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Theme="minorEastAsia" w:hAnsiTheme="minorEastAsia" w:eastAsiaTheme="minorEastAsia"/>
          <w:b/>
          <w:bCs/>
          <w:color w:val="auto"/>
          <w:sz w:val="60"/>
          <w:szCs w:val="60"/>
        </w:rPr>
      </w:pPr>
      <w:bookmarkStart w:id="0" w:name="OLE_LINK17"/>
      <w:bookmarkStart w:id="1" w:name="OLE_LINK18"/>
      <w:bookmarkStart w:id="2" w:name="OLE_LINK15"/>
    </w:p>
    <w:p>
      <w:pPr>
        <w:jc w:val="center"/>
        <w:rPr>
          <w:rFonts w:asciiTheme="minorEastAsia" w:hAnsiTheme="minorEastAsia" w:eastAsiaTheme="minorEastAsia"/>
          <w:b/>
          <w:bCs/>
          <w:color w:val="auto"/>
          <w:sz w:val="60"/>
          <w:szCs w:val="60"/>
        </w:rPr>
      </w:pPr>
      <w:r>
        <w:rPr>
          <w:rFonts w:hint="eastAsia" w:asciiTheme="minorEastAsia" w:hAnsiTheme="minorEastAsia" w:eastAsiaTheme="minorEastAsia"/>
          <w:b/>
          <w:bCs/>
          <w:color w:val="auto"/>
          <w:sz w:val="60"/>
          <w:szCs w:val="60"/>
        </w:rPr>
        <w:t>2026年石景山区高考考点安全电力改造项目</w:t>
      </w:r>
    </w:p>
    <w:bookmarkEnd w:id="0"/>
    <w:bookmarkEnd w:id="1"/>
    <w:p>
      <w:pPr>
        <w:jc w:val="center"/>
        <w:rPr>
          <w:rFonts w:asciiTheme="minorEastAsia" w:hAnsiTheme="minorEastAsia" w:eastAsiaTheme="minorEastAsia"/>
          <w:b/>
          <w:bCs/>
          <w:color w:val="auto"/>
          <w:sz w:val="60"/>
          <w:szCs w:val="60"/>
        </w:rPr>
      </w:pPr>
    </w:p>
    <w:p>
      <w:pPr>
        <w:jc w:val="center"/>
        <w:rPr>
          <w:rFonts w:asciiTheme="minorEastAsia" w:hAnsiTheme="minorEastAsia" w:eastAsiaTheme="minorEastAsia"/>
          <w:b/>
          <w:bCs/>
          <w:color w:val="auto"/>
          <w:sz w:val="60"/>
          <w:szCs w:val="60"/>
        </w:rPr>
      </w:pPr>
    </w:p>
    <w:p>
      <w:pPr>
        <w:jc w:val="center"/>
        <w:rPr>
          <w:rFonts w:asciiTheme="minorEastAsia" w:hAnsiTheme="minorEastAsia" w:eastAsiaTheme="minorEastAsia"/>
          <w:b/>
          <w:bCs/>
          <w:color w:val="auto"/>
          <w:sz w:val="60"/>
          <w:szCs w:val="60"/>
        </w:rPr>
      </w:pPr>
    </w:p>
    <w:p>
      <w:pPr>
        <w:pStyle w:val="2"/>
      </w:pPr>
    </w:p>
    <w:p>
      <w:pPr>
        <w:jc w:val="center"/>
        <w:rPr>
          <w:rFonts w:asciiTheme="minorEastAsia" w:hAnsiTheme="minorEastAsia" w:eastAsiaTheme="minorEastAsia"/>
          <w:b/>
          <w:bCs/>
          <w:color w:val="auto"/>
          <w:sz w:val="60"/>
          <w:szCs w:val="60"/>
        </w:rPr>
      </w:pPr>
      <w:r>
        <w:rPr>
          <w:rFonts w:asciiTheme="minorEastAsia" w:hAnsiTheme="minorEastAsia" w:eastAsiaTheme="minorEastAsia"/>
          <w:b/>
          <w:bCs/>
          <w:color w:val="auto"/>
          <w:sz w:val="60"/>
          <w:szCs w:val="60"/>
        </w:rPr>
        <w:t>竞争性磋商文件</w:t>
      </w:r>
    </w:p>
    <w:p>
      <w:pPr>
        <w:spacing w:line="360" w:lineRule="auto"/>
        <w:rPr>
          <w:rFonts w:asciiTheme="minorEastAsia" w:hAnsiTheme="minorEastAsia" w:eastAsiaTheme="minorEastAsia"/>
          <w:b/>
          <w:bCs/>
          <w:color w:val="auto"/>
          <w:sz w:val="60"/>
          <w:szCs w:val="60"/>
        </w:rPr>
      </w:pPr>
    </w:p>
    <w:p>
      <w:pPr>
        <w:pStyle w:val="2"/>
      </w:pPr>
    </w:p>
    <w:p>
      <w:pPr>
        <w:tabs>
          <w:tab w:val="left" w:pos="5609"/>
        </w:tabs>
        <w:spacing w:before="240" w:beforeLines="100" w:after="240" w:afterLines="100" w:line="360" w:lineRule="auto"/>
        <w:ind w:right="-510" w:rightChars="-243"/>
        <w:jc w:val="left"/>
        <w:rPr>
          <w:rFonts w:asciiTheme="minorEastAsia" w:hAnsiTheme="minorEastAsia" w:eastAsiaTheme="minorEastAsia"/>
          <w:bCs/>
          <w:color w:val="auto"/>
          <w:sz w:val="32"/>
          <w:szCs w:val="32"/>
        </w:rPr>
      </w:pPr>
      <w:r>
        <w:rPr>
          <w:rFonts w:asciiTheme="minorEastAsia" w:hAnsiTheme="minorEastAsia" w:eastAsiaTheme="minorEastAsia"/>
          <w:bCs/>
          <w:color w:val="auto"/>
          <w:sz w:val="32"/>
          <w:szCs w:val="32"/>
        </w:rPr>
        <w:t>项目名称：</w:t>
      </w:r>
      <w:bookmarkStart w:id="3" w:name="OLE_LINK12"/>
      <w:bookmarkStart w:id="4" w:name="OLE_LINK13"/>
      <w:r>
        <w:rPr>
          <w:rFonts w:hint="eastAsia" w:asciiTheme="minorEastAsia" w:hAnsiTheme="minorEastAsia" w:eastAsiaTheme="minorEastAsia"/>
          <w:bCs/>
          <w:color w:val="auto"/>
          <w:sz w:val="32"/>
          <w:szCs w:val="32"/>
          <w:lang w:val="en-US" w:eastAsia="zh-CN"/>
        </w:rPr>
        <w:t xml:space="preserve"> </w:t>
      </w:r>
      <w:r>
        <w:rPr>
          <w:rFonts w:hint="eastAsia" w:asciiTheme="minorEastAsia" w:hAnsiTheme="minorEastAsia" w:eastAsiaTheme="minorEastAsia"/>
          <w:bCs/>
          <w:color w:val="auto"/>
          <w:sz w:val="32"/>
          <w:szCs w:val="32"/>
        </w:rPr>
        <w:t>2026年石景山区高考考点安全电力改造项目</w:t>
      </w:r>
    </w:p>
    <w:bookmarkEnd w:id="3"/>
    <w:bookmarkEnd w:id="4"/>
    <w:p>
      <w:pPr>
        <w:tabs>
          <w:tab w:val="left" w:pos="5609"/>
        </w:tabs>
        <w:spacing w:before="240" w:beforeLines="100" w:after="240" w:afterLines="100" w:line="360" w:lineRule="auto"/>
        <w:jc w:val="left"/>
        <w:rPr>
          <w:rFonts w:asciiTheme="minorEastAsia" w:hAnsiTheme="minorEastAsia" w:eastAsiaTheme="minorEastAsia"/>
          <w:bCs/>
          <w:color w:val="auto"/>
          <w:sz w:val="32"/>
          <w:szCs w:val="32"/>
        </w:rPr>
      </w:pPr>
      <w:r>
        <w:rPr>
          <w:rFonts w:asciiTheme="minorEastAsia" w:hAnsiTheme="minorEastAsia" w:eastAsiaTheme="minorEastAsia"/>
          <w:bCs/>
          <w:color w:val="auto"/>
          <w:sz w:val="32"/>
          <w:szCs w:val="32"/>
        </w:rPr>
        <w:t>项目编号/包号</w:t>
      </w:r>
      <w:r>
        <w:rPr>
          <w:rFonts w:hint="eastAsia" w:asciiTheme="minorEastAsia" w:hAnsiTheme="minorEastAsia" w:eastAsiaTheme="minorEastAsia"/>
          <w:bCs/>
          <w:color w:val="auto"/>
          <w:sz w:val="32"/>
          <w:szCs w:val="32"/>
        </w:rPr>
        <w:t>：</w:t>
      </w:r>
      <w:r>
        <w:rPr>
          <w:rFonts w:hint="eastAsia" w:ascii="宋体" w:hAnsi="宋体" w:eastAsia="宋体" w:cs="宋体"/>
          <w:color w:val="auto"/>
          <w:sz w:val="32"/>
          <w:szCs w:val="32"/>
        </w:rPr>
        <w:t>11010726210200020706-XM001</w:t>
      </w:r>
      <w:r>
        <w:rPr>
          <w:rFonts w:hint="eastAsia" w:ascii="宋体" w:hAnsi="宋体" w:cs="宋体"/>
          <w:color w:val="auto"/>
          <w:sz w:val="32"/>
          <w:szCs w:val="32"/>
          <w:lang w:val="en-US" w:eastAsia="zh-CN"/>
        </w:rPr>
        <w:t>/01</w:t>
      </w:r>
    </w:p>
    <w:p>
      <w:pPr>
        <w:tabs>
          <w:tab w:val="left" w:pos="3240"/>
          <w:tab w:val="left" w:pos="3420"/>
        </w:tabs>
        <w:spacing w:before="240" w:beforeLines="100" w:after="240" w:afterLines="100" w:line="360" w:lineRule="auto"/>
        <w:ind w:right="-227" w:rightChars="-108"/>
        <w:jc w:val="left"/>
        <w:rPr>
          <w:rFonts w:asciiTheme="minorEastAsia" w:hAnsiTheme="minorEastAsia" w:eastAsiaTheme="minorEastAsia"/>
          <w:bCs/>
          <w:color w:val="auto"/>
          <w:sz w:val="32"/>
          <w:szCs w:val="32"/>
        </w:rPr>
      </w:pPr>
      <w:r>
        <w:rPr>
          <w:rFonts w:asciiTheme="minorEastAsia" w:hAnsiTheme="minorEastAsia" w:eastAsiaTheme="minorEastAsia"/>
          <w:bCs/>
          <w:color w:val="auto"/>
          <w:sz w:val="32"/>
          <w:szCs w:val="32"/>
        </w:rPr>
        <w:t>采购人：</w:t>
      </w:r>
      <w:r>
        <w:rPr>
          <w:rFonts w:hint="eastAsia" w:asciiTheme="minorEastAsia" w:hAnsiTheme="minorEastAsia" w:eastAsiaTheme="minorEastAsia"/>
          <w:bCs/>
          <w:color w:val="auto"/>
          <w:sz w:val="32"/>
          <w:szCs w:val="32"/>
        </w:rPr>
        <w:t>北京市石景山区教育委员会教育技术装备中心</w:t>
      </w:r>
    </w:p>
    <w:p>
      <w:pPr>
        <w:tabs>
          <w:tab w:val="left" w:pos="3240"/>
          <w:tab w:val="left" w:pos="3420"/>
        </w:tabs>
        <w:spacing w:before="240" w:beforeLines="100" w:after="240" w:afterLines="100" w:line="360" w:lineRule="auto"/>
        <w:jc w:val="left"/>
        <w:rPr>
          <w:rFonts w:asciiTheme="minorEastAsia" w:hAnsiTheme="minorEastAsia" w:eastAsiaTheme="minorEastAsia"/>
          <w:bCs/>
          <w:color w:val="auto"/>
          <w:sz w:val="32"/>
          <w:szCs w:val="32"/>
        </w:rPr>
      </w:pPr>
      <w:r>
        <w:rPr>
          <w:rFonts w:hint="eastAsia" w:asciiTheme="minorEastAsia" w:hAnsiTheme="minorEastAsia" w:eastAsiaTheme="minorEastAsia"/>
          <w:bCs/>
          <w:color w:val="auto"/>
          <w:sz w:val="32"/>
          <w:szCs w:val="32"/>
        </w:rPr>
        <w:t>采购</w:t>
      </w:r>
      <w:r>
        <w:rPr>
          <w:rFonts w:asciiTheme="minorEastAsia" w:hAnsiTheme="minorEastAsia" w:eastAsiaTheme="minorEastAsia"/>
          <w:bCs/>
          <w:color w:val="auto"/>
          <w:sz w:val="32"/>
          <w:szCs w:val="32"/>
        </w:rPr>
        <w:t>代理机构：</w:t>
      </w:r>
      <w:r>
        <w:rPr>
          <w:rFonts w:hint="eastAsia" w:asciiTheme="minorEastAsia" w:hAnsiTheme="minorEastAsia" w:eastAsiaTheme="minorEastAsia"/>
          <w:bCs/>
          <w:color w:val="auto"/>
          <w:sz w:val="32"/>
          <w:szCs w:val="32"/>
        </w:rPr>
        <w:t>北京市石景山区政府采购中心</w:t>
      </w:r>
      <w:bookmarkEnd w:id="2"/>
    </w:p>
    <w:p>
      <w:pPr>
        <w:widowControl/>
        <w:jc w:val="left"/>
        <w:rPr>
          <w:rFonts w:asciiTheme="minorEastAsia" w:hAnsiTheme="minorEastAsia" w:eastAsiaTheme="minorEastAsia"/>
          <w:color w:val="auto"/>
        </w:rPr>
        <w:sectPr>
          <w:headerReference r:id="rId3" w:type="default"/>
          <w:footerReference r:id="rId5" w:type="default"/>
          <w:headerReference r:id="rId4" w:type="even"/>
          <w:pgSz w:w="11906" w:h="16838"/>
          <w:pgMar w:top="1911" w:right="1474" w:bottom="1882" w:left="1587" w:header="851" w:footer="992" w:gutter="0"/>
          <w:cols w:space="720" w:num="1"/>
          <w:docGrid w:linePitch="312" w:charSpace="0"/>
        </w:sectPr>
      </w:pPr>
      <w:r>
        <w:rPr>
          <w:rFonts w:asciiTheme="minorEastAsia" w:hAnsiTheme="minorEastAsia" w:eastAsiaTheme="minorEastAsia"/>
          <w:b/>
          <w:bCs/>
          <w:color w:val="auto"/>
          <w:sz w:val="44"/>
        </w:rPr>
        <w:br w:type="page"/>
      </w:r>
    </w:p>
    <w:p>
      <w:pPr>
        <w:pStyle w:val="278"/>
        <w:spacing w:line="360" w:lineRule="auto"/>
        <w:rPr>
          <w:rFonts w:cs="Times New Roman" w:asciiTheme="minorEastAsia" w:hAnsiTheme="minorEastAsia" w:eastAsiaTheme="minorEastAsia"/>
          <w:color w:val="auto"/>
        </w:rPr>
      </w:pPr>
    </w:p>
    <w:p>
      <w:pPr>
        <w:spacing w:line="360" w:lineRule="auto"/>
        <w:jc w:val="center"/>
        <w:outlineLvl w:val="0"/>
        <w:rPr>
          <w:rFonts w:asciiTheme="minorEastAsia" w:hAnsiTheme="minorEastAsia" w:eastAsiaTheme="minorEastAsia"/>
          <w:color w:val="auto"/>
        </w:rPr>
      </w:pPr>
      <w:bookmarkStart w:id="5" w:name="_Toc184912277"/>
      <w:bookmarkStart w:id="6" w:name="_Toc105598813"/>
      <w:r>
        <w:rPr>
          <w:rFonts w:hint="eastAsia" w:asciiTheme="minorEastAsia" w:hAnsiTheme="minorEastAsia" w:eastAsiaTheme="minorEastAsia"/>
          <w:b/>
          <w:color w:val="auto"/>
          <w:sz w:val="36"/>
          <w:szCs w:val="36"/>
        </w:rPr>
        <w:t xml:space="preserve">目 </w:t>
      </w:r>
      <w:r>
        <w:rPr>
          <w:rFonts w:asciiTheme="minorEastAsia" w:hAnsiTheme="minorEastAsia" w:eastAsiaTheme="minorEastAsia"/>
          <w:b/>
          <w:color w:val="auto"/>
          <w:sz w:val="36"/>
          <w:szCs w:val="36"/>
        </w:rPr>
        <w:t xml:space="preserve"> </w:t>
      </w:r>
      <w:r>
        <w:rPr>
          <w:rFonts w:hint="eastAsia" w:asciiTheme="minorEastAsia" w:hAnsiTheme="minorEastAsia" w:eastAsiaTheme="minorEastAsia"/>
          <w:b/>
          <w:color w:val="auto"/>
          <w:sz w:val="36"/>
          <w:szCs w:val="36"/>
        </w:rPr>
        <w:t>录</w:t>
      </w:r>
      <w:bookmarkEnd w:id="5"/>
      <w:bookmarkEnd w:id="6"/>
      <w:r>
        <w:rPr>
          <w:rFonts w:asciiTheme="minorEastAsia" w:hAnsiTheme="minorEastAsia" w:eastAsiaTheme="minorEastAsia"/>
          <w:b/>
          <w:color w:val="auto"/>
          <w:sz w:val="32"/>
          <w:szCs w:val="32"/>
        </w:rPr>
        <w:fldChar w:fldCharType="begin"/>
      </w:r>
      <w:r>
        <w:rPr>
          <w:rFonts w:asciiTheme="minorEastAsia" w:hAnsiTheme="minorEastAsia" w:eastAsiaTheme="minorEastAsia"/>
          <w:b/>
          <w:color w:val="auto"/>
          <w:sz w:val="32"/>
          <w:szCs w:val="32"/>
        </w:rPr>
        <w:instrText xml:space="preserve"> TOC \o "1-1" \h \z \u </w:instrText>
      </w:r>
      <w:r>
        <w:rPr>
          <w:rFonts w:asciiTheme="minorEastAsia" w:hAnsiTheme="minorEastAsia" w:eastAsiaTheme="minorEastAsia"/>
          <w:b/>
          <w:color w:val="auto"/>
          <w:sz w:val="32"/>
          <w:szCs w:val="32"/>
        </w:rPr>
        <w:fldChar w:fldCharType="separate"/>
      </w:r>
    </w:p>
    <w:p>
      <w:pPr>
        <w:pStyle w:val="65"/>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"_Toc184912278" </w:instrText>
      </w:r>
      <w:r>
        <w:rPr>
          <w:color w:val="auto"/>
        </w:rPr>
        <w:fldChar w:fldCharType="separate"/>
      </w:r>
      <w:r>
        <w:rPr>
          <w:rStyle w:val="101"/>
          <w:rFonts w:asciiTheme="minorEastAsia" w:hAnsiTheme="minorEastAsia" w:eastAsiaTheme="minorEastAsia"/>
          <w:color w:val="auto"/>
          <w:sz w:val="28"/>
          <w:szCs w:val="28"/>
        </w:rPr>
        <w:t>第一章</w:t>
      </w:r>
      <w:r>
        <w:rPr>
          <w:rStyle w:val="101"/>
          <w:rFonts w:hint="eastAsia" w:asciiTheme="minorEastAsia" w:hAnsiTheme="minorEastAsia" w:eastAsiaTheme="minorEastAsia"/>
          <w:color w:val="auto"/>
          <w:sz w:val="28"/>
          <w:szCs w:val="28"/>
        </w:rPr>
        <w:t xml:space="preserve"> </w:t>
      </w:r>
      <w:r>
        <w:rPr>
          <w:rStyle w:val="101"/>
          <w:rFonts w:asciiTheme="minorEastAsia" w:hAnsiTheme="minorEastAsia" w:eastAsiaTheme="minorEastAsia"/>
          <w:color w:val="auto"/>
          <w:sz w:val="28"/>
          <w:szCs w:val="28"/>
        </w:rPr>
        <w:t>采购邀请</w:t>
      </w:r>
      <w:r>
        <w:rPr>
          <w:rFonts w:asciiTheme="minorEastAsia" w:hAnsiTheme="minorEastAsia" w:eastAsiaTheme="minorEastAsia"/>
          <w:color w:val="auto"/>
          <w:sz w:val="28"/>
          <w:szCs w:val="28"/>
        </w:rPr>
        <w:tab/>
      </w:r>
      <w:r>
        <w:rPr>
          <w:rFonts w:asciiTheme="minorEastAsia" w:hAnsiTheme="minorEastAsia" w:eastAsiaTheme="minorEastAsia"/>
          <w:color w:val="auto"/>
          <w:sz w:val="28"/>
          <w:szCs w:val="28"/>
        </w:rPr>
        <w:fldChar w:fldCharType="begin"/>
      </w:r>
      <w:r>
        <w:rPr>
          <w:rFonts w:asciiTheme="minorEastAsia" w:hAnsiTheme="minorEastAsia" w:eastAsiaTheme="minorEastAsia"/>
          <w:color w:val="auto"/>
          <w:sz w:val="28"/>
          <w:szCs w:val="28"/>
        </w:rPr>
        <w:instrText xml:space="preserve"> PAGEREF _Toc184912278 \h </w:instrText>
      </w:r>
      <w:r>
        <w:rPr>
          <w:rFonts w:asciiTheme="minorEastAsia" w:hAnsiTheme="minorEastAsia" w:eastAsiaTheme="minorEastAsia"/>
          <w:color w:val="auto"/>
          <w:sz w:val="28"/>
          <w:szCs w:val="28"/>
        </w:rPr>
        <w:fldChar w:fldCharType="separate"/>
      </w:r>
      <w:r>
        <w:rPr>
          <w:rFonts w:asciiTheme="minorEastAsia" w:hAnsiTheme="minorEastAsia" w:eastAsiaTheme="minorEastAsia"/>
          <w:color w:val="auto"/>
          <w:sz w:val="28"/>
          <w:szCs w:val="28"/>
        </w:rPr>
        <w:t>1</w:t>
      </w:r>
      <w:r>
        <w:rPr>
          <w:rFonts w:asciiTheme="minorEastAsia" w:hAnsiTheme="minorEastAsia" w:eastAsiaTheme="minorEastAsia"/>
          <w:color w:val="auto"/>
          <w:sz w:val="28"/>
          <w:szCs w:val="28"/>
        </w:rPr>
        <w:fldChar w:fldCharType="end"/>
      </w:r>
      <w:r>
        <w:rPr>
          <w:rFonts w:asciiTheme="minorEastAsia" w:hAnsiTheme="minorEastAsia" w:eastAsiaTheme="minorEastAsia"/>
          <w:color w:val="auto"/>
          <w:sz w:val="28"/>
          <w:szCs w:val="28"/>
        </w:rPr>
        <w:fldChar w:fldCharType="end"/>
      </w:r>
    </w:p>
    <w:p>
      <w:pPr>
        <w:pStyle w:val="65"/>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"_Toc184912279" </w:instrText>
      </w:r>
      <w:r>
        <w:rPr>
          <w:color w:val="auto"/>
        </w:rPr>
        <w:fldChar w:fldCharType="separate"/>
      </w:r>
      <w:r>
        <w:rPr>
          <w:rStyle w:val="101"/>
          <w:rFonts w:asciiTheme="minorEastAsia" w:hAnsiTheme="minorEastAsia" w:eastAsiaTheme="minorEastAsia"/>
          <w:color w:val="auto"/>
          <w:sz w:val="28"/>
          <w:szCs w:val="28"/>
        </w:rPr>
        <w:t>第二章</w:t>
      </w:r>
      <w:r>
        <w:rPr>
          <w:rStyle w:val="101"/>
          <w:rFonts w:hint="eastAsia" w:asciiTheme="minorEastAsia" w:hAnsiTheme="minorEastAsia" w:eastAsiaTheme="minorEastAsia"/>
          <w:color w:val="auto"/>
          <w:sz w:val="28"/>
          <w:szCs w:val="28"/>
        </w:rPr>
        <w:t xml:space="preserve"> </w:t>
      </w:r>
      <w:r>
        <w:rPr>
          <w:rStyle w:val="101"/>
          <w:rFonts w:asciiTheme="minorEastAsia" w:hAnsiTheme="minorEastAsia" w:eastAsiaTheme="minorEastAsia"/>
          <w:color w:val="auto"/>
          <w:sz w:val="28"/>
          <w:szCs w:val="28"/>
        </w:rPr>
        <w:t>供应商须知</w:t>
      </w:r>
      <w:r>
        <w:rPr>
          <w:rFonts w:asciiTheme="minorEastAsia" w:hAnsiTheme="minorEastAsia" w:eastAsiaTheme="minorEastAsia"/>
          <w:color w:val="auto"/>
          <w:sz w:val="28"/>
          <w:szCs w:val="28"/>
        </w:rPr>
        <w:tab/>
      </w:r>
      <w:r>
        <w:rPr>
          <w:rFonts w:asciiTheme="minorEastAsia" w:hAnsiTheme="minorEastAsia" w:eastAsiaTheme="minorEastAsia"/>
          <w:color w:val="auto"/>
          <w:sz w:val="28"/>
          <w:szCs w:val="28"/>
        </w:rPr>
        <w:fldChar w:fldCharType="begin"/>
      </w:r>
      <w:r>
        <w:rPr>
          <w:rFonts w:asciiTheme="minorEastAsia" w:hAnsiTheme="minorEastAsia" w:eastAsiaTheme="minorEastAsia"/>
          <w:color w:val="auto"/>
          <w:sz w:val="28"/>
          <w:szCs w:val="28"/>
        </w:rPr>
        <w:instrText xml:space="preserve"> PAGEREF _Toc184912279 \h </w:instrText>
      </w:r>
      <w:r>
        <w:rPr>
          <w:rFonts w:asciiTheme="minorEastAsia" w:hAnsiTheme="minorEastAsia" w:eastAsiaTheme="minorEastAsia"/>
          <w:color w:val="auto"/>
          <w:sz w:val="28"/>
          <w:szCs w:val="28"/>
        </w:rPr>
        <w:fldChar w:fldCharType="separate"/>
      </w:r>
      <w:r>
        <w:rPr>
          <w:rFonts w:asciiTheme="minorEastAsia" w:hAnsiTheme="minorEastAsia" w:eastAsiaTheme="minorEastAsia"/>
          <w:color w:val="auto"/>
          <w:sz w:val="28"/>
          <w:szCs w:val="28"/>
        </w:rPr>
        <w:t>6</w:t>
      </w:r>
      <w:r>
        <w:rPr>
          <w:rFonts w:asciiTheme="minorEastAsia" w:hAnsiTheme="minorEastAsia" w:eastAsiaTheme="minorEastAsia"/>
          <w:color w:val="auto"/>
          <w:sz w:val="28"/>
          <w:szCs w:val="28"/>
        </w:rPr>
        <w:fldChar w:fldCharType="end"/>
      </w:r>
      <w:r>
        <w:rPr>
          <w:rFonts w:asciiTheme="minorEastAsia" w:hAnsiTheme="minorEastAsia" w:eastAsiaTheme="minorEastAsia"/>
          <w:color w:val="auto"/>
          <w:sz w:val="28"/>
          <w:szCs w:val="28"/>
        </w:rPr>
        <w:fldChar w:fldCharType="end"/>
      </w:r>
    </w:p>
    <w:p>
      <w:pPr>
        <w:pStyle w:val="65"/>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"_Toc184912280" </w:instrText>
      </w:r>
      <w:r>
        <w:rPr>
          <w:color w:val="auto"/>
        </w:rPr>
        <w:fldChar w:fldCharType="separate"/>
      </w:r>
      <w:r>
        <w:rPr>
          <w:rStyle w:val="101"/>
          <w:rFonts w:asciiTheme="minorEastAsia" w:hAnsiTheme="minorEastAsia" w:eastAsiaTheme="minorEastAsia"/>
          <w:color w:val="auto"/>
          <w:sz w:val="28"/>
          <w:szCs w:val="28"/>
        </w:rPr>
        <w:t>第三章</w:t>
      </w:r>
      <w:r>
        <w:rPr>
          <w:rStyle w:val="101"/>
          <w:rFonts w:hint="eastAsia" w:asciiTheme="minorEastAsia" w:hAnsiTheme="minorEastAsia" w:eastAsiaTheme="minorEastAsia"/>
          <w:color w:val="auto"/>
          <w:sz w:val="28"/>
          <w:szCs w:val="28"/>
        </w:rPr>
        <w:t xml:space="preserve"> </w:t>
      </w:r>
      <w:r>
        <w:rPr>
          <w:rStyle w:val="101"/>
          <w:rFonts w:asciiTheme="minorEastAsia" w:hAnsiTheme="minorEastAsia" w:eastAsiaTheme="minorEastAsia"/>
          <w:color w:val="auto"/>
          <w:sz w:val="28"/>
          <w:szCs w:val="28"/>
        </w:rPr>
        <w:t>评审方法和评审标准</w:t>
      </w:r>
      <w:r>
        <w:rPr>
          <w:rFonts w:asciiTheme="minorEastAsia" w:hAnsiTheme="minorEastAsia" w:eastAsiaTheme="minorEastAsia"/>
          <w:color w:val="auto"/>
          <w:sz w:val="28"/>
          <w:szCs w:val="28"/>
        </w:rPr>
        <w:tab/>
      </w:r>
      <w:r>
        <w:rPr>
          <w:rFonts w:hint="eastAsia" w:asciiTheme="minorEastAsia" w:hAnsiTheme="minorEastAsia" w:eastAsiaTheme="minorEastAsia"/>
          <w:color w:val="auto"/>
          <w:sz w:val="28"/>
          <w:szCs w:val="28"/>
          <w:lang w:val="en-US" w:eastAsia="zh-CN"/>
        </w:rPr>
        <w:t>1</w:t>
      </w:r>
      <w:r>
        <w:rPr>
          <w:rFonts w:asciiTheme="minorEastAsia" w:hAnsiTheme="minorEastAsia" w:eastAsiaTheme="minorEastAsia"/>
          <w:color w:val="auto"/>
          <w:sz w:val="28"/>
          <w:szCs w:val="28"/>
        </w:rPr>
        <w:fldChar w:fldCharType="end"/>
      </w:r>
      <w:r>
        <w:rPr>
          <w:rFonts w:hint="eastAsia" w:asciiTheme="minorEastAsia" w:hAnsiTheme="minorEastAsia" w:eastAsiaTheme="minorEastAsia"/>
          <w:color w:val="auto"/>
          <w:sz w:val="28"/>
          <w:szCs w:val="28"/>
          <w:lang w:val="en-US" w:eastAsia="zh-CN"/>
        </w:rPr>
        <w:t>8</w:t>
      </w:r>
    </w:p>
    <w:p>
      <w:pPr>
        <w:pStyle w:val="65"/>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"_Toc184912281" </w:instrText>
      </w:r>
      <w:r>
        <w:rPr>
          <w:color w:val="auto"/>
        </w:rPr>
        <w:fldChar w:fldCharType="separate"/>
      </w:r>
      <w:r>
        <w:rPr>
          <w:rStyle w:val="101"/>
          <w:rFonts w:asciiTheme="minorEastAsia" w:hAnsiTheme="minorEastAsia" w:eastAsiaTheme="minorEastAsia"/>
          <w:color w:val="auto"/>
          <w:sz w:val="28"/>
          <w:szCs w:val="28"/>
        </w:rPr>
        <w:t>第四章</w:t>
      </w:r>
      <w:r>
        <w:rPr>
          <w:rStyle w:val="101"/>
          <w:rFonts w:hint="eastAsia" w:asciiTheme="minorEastAsia" w:hAnsiTheme="minorEastAsia" w:eastAsiaTheme="minorEastAsia"/>
          <w:color w:val="auto"/>
          <w:sz w:val="28"/>
          <w:szCs w:val="28"/>
        </w:rPr>
        <w:t xml:space="preserve"> </w:t>
      </w:r>
      <w:r>
        <w:rPr>
          <w:rStyle w:val="101"/>
          <w:rFonts w:asciiTheme="minorEastAsia" w:hAnsiTheme="minorEastAsia" w:eastAsiaTheme="minorEastAsia"/>
          <w:color w:val="auto"/>
          <w:sz w:val="28"/>
          <w:szCs w:val="28"/>
        </w:rPr>
        <w:t>采购需求</w:t>
      </w:r>
      <w:r>
        <w:rPr>
          <w:rFonts w:asciiTheme="minorEastAsia" w:hAnsiTheme="minorEastAsia" w:eastAsiaTheme="minorEastAsia"/>
          <w:color w:val="auto"/>
          <w:sz w:val="28"/>
          <w:szCs w:val="28"/>
        </w:rPr>
        <w:tab/>
      </w:r>
      <w:r>
        <w:rPr>
          <w:rFonts w:hint="eastAsia" w:asciiTheme="minorEastAsia" w:hAnsiTheme="minorEastAsia" w:eastAsiaTheme="minorEastAsia"/>
          <w:color w:val="auto"/>
          <w:sz w:val="28"/>
          <w:szCs w:val="28"/>
          <w:lang w:val="en-US" w:eastAsia="zh-CN"/>
        </w:rPr>
        <w:t>2</w:t>
      </w:r>
      <w:r>
        <w:rPr>
          <w:rFonts w:asciiTheme="minorEastAsia" w:hAnsiTheme="minorEastAsia" w:eastAsiaTheme="minorEastAsia"/>
          <w:color w:val="auto"/>
          <w:sz w:val="28"/>
          <w:szCs w:val="28"/>
        </w:rPr>
        <w:fldChar w:fldCharType="end"/>
      </w:r>
      <w:r>
        <w:rPr>
          <w:rFonts w:hint="eastAsia" w:asciiTheme="minorEastAsia" w:hAnsiTheme="minorEastAsia" w:eastAsiaTheme="minorEastAsia"/>
          <w:color w:val="auto"/>
          <w:sz w:val="28"/>
          <w:szCs w:val="28"/>
          <w:lang w:val="en-US" w:eastAsia="zh-CN"/>
        </w:rPr>
        <w:t>6</w:t>
      </w:r>
    </w:p>
    <w:p>
      <w:pPr>
        <w:pStyle w:val="65"/>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"_Toc184912285" </w:instrText>
      </w:r>
      <w:r>
        <w:rPr>
          <w:color w:val="auto"/>
        </w:rPr>
        <w:fldChar w:fldCharType="separate"/>
      </w:r>
      <w:r>
        <w:rPr>
          <w:rStyle w:val="101"/>
          <w:rFonts w:asciiTheme="minorEastAsia" w:hAnsiTheme="minorEastAsia" w:eastAsiaTheme="minorEastAsia"/>
          <w:color w:val="auto"/>
          <w:sz w:val="28"/>
          <w:szCs w:val="28"/>
        </w:rPr>
        <w:t>第五章</w:t>
      </w:r>
      <w:r>
        <w:rPr>
          <w:rStyle w:val="101"/>
          <w:rFonts w:hint="eastAsia" w:asciiTheme="minorEastAsia" w:hAnsiTheme="minorEastAsia" w:eastAsiaTheme="minorEastAsia"/>
          <w:color w:val="auto"/>
          <w:sz w:val="28"/>
          <w:szCs w:val="28"/>
        </w:rPr>
        <w:t xml:space="preserve"> </w:t>
      </w:r>
      <w:r>
        <w:rPr>
          <w:rStyle w:val="101"/>
          <w:rFonts w:asciiTheme="minorEastAsia" w:hAnsiTheme="minorEastAsia" w:eastAsiaTheme="minorEastAsia"/>
          <w:color w:val="auto"/>
          <w:sz w:val="28"/>
          <w:szCs w:val="28"/>
        </w:rPr>
        <w:t>合同草案条款</w:t>
      </w:r>
      <w:r>
        <w:rPr>
          <w:rFonts w:asciiTheme="minorEastAsia" w:hAnsiTheme="minorEastAsia" w:eastAsiaTheme="minorEastAsia"/>
          <w:color w:val="auto"/>
          <w:sz w:val="28"/>
          <w:szCs w:val="28"/>
        </w:rPr>
        <w:tab/>
      </w:r>
      <w:r>
        <w:rPr>
          <w:rFonts w:hint="eastAsia" w:asciiTheme="minorEastAsia" w:hAnsiTheme="minorEastAsia" w:eastAsiaTheme="minorEastAsia"/>
          <w:color w:val="auto"/>
          <w:sz w:val="28"/>
          <w:szCs w:val="28"/>
          <w:lang w:val="en-US" w:eastAsia="zh-CN"/>
        </w:rPr>
        <w:t>3</w:t>
      </w:r>
      <w:r>
        <w:rPr>
          <w:rFonts w:asciiTheme="minorEastAsia" w:hAnsiTheme="minorEastAsia" w:eastAsiaTheme="minorEastAsia"/>
          <w:color w:val="auto"/>
          <w:sz w:val="28"/>
          <w:szCs w:val="28"/>
        </w:rPr>
        <w:fldChar w:fldCharType="end"/>
      </w:r>
      <w:r>
        <w:rPr>
          <w:rFonts w:hint="eastAsia" w:asciiTheme="minorEastAsia" w:hAnsiTheme="minorEastAsia" w:eastAsiaTheme="minorEastAsia"/>
          <w:color w:val="auto"/>
          <w:sz w:val="28"/>
          <w:szCs w:val="28"/>
          <w:lang w:val="en-US" w:eastAsia="zh-CN"/>
        </w:rPr>
        <w:t>4</w:t>
      </w:r>
    </w:p>
    <w:p>
      <w:pPr>
        <w:pStyle w:val="65"/>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"_Toc184912286" </w:instrText>
      </w:r>
      <w:r>
        <w:rPr>
          <w:color w:val="auto"/>
        </w:rPr>
        <w:fldChar w:fldCharType="separate"/>
      </w:r>
      <w:r>
        <w:rPr>
          <w:rStyle w:val="101"/>
          <w:rFonts w:asciiTheme="minorEastAsia" w:hAnsiTheme="minorEastAsia" w:eastAsiaTheme="minorEastAsia"/>
          <w:color w:val="auto"/>
          <w:sz w:val="28"/>
          <w:szCs w:val="28"/>
        </w:rPr>
        <w:t>第六章</w:t>
      </w:r>
      <w:r>
        <w:rPr>
          <w:rStyle w:val="101"/>
          <w:rFonts w:hint="eastAsia" w:asciiTheme="minorEastAsia" w:hAnsiTheme="minorEastAsia" w:eastAsiaTheme="minorEastAsia"/>
          <w:color w:val="auto"/>
          <w:sz w:val="28"/>
          <w:szCs w:val="28"/>
        </w:rPr>
        <w:t xml:space="preserve"> </w:t>
      </w:r>
      <w:r>
        <w:rPr>
          <w:rStyle w:val="101"/>
          <w:rFonts w:asciiTheme="minorEastAsia" w:hAnsiTheme="minorEastAsia" w:eastAsiaTheme="minorEastAsia"/>
          <w:color w:val="auto"/>
          <w:sz w:val="28"/>
          <w:szCs w:val="28"/>
        </w:rPr>
        <w:t>响应文件格式</w:t>
      </w:r>
      <w:r>
        <w:rPr>
          <w:rFonts w:asciiTheme="minorEastAsia" w:hAnsiTheme="minorEastAsia" w:eastAsiaTheme="minorEastAsia"/>
          <w:color w:val="auto"/>
          <w:sz w:val="28"/>
          <w:szCs w:val="28"/>
        </w:rPr>
        <w:tab/>
      </w:r>
      <w:r>
        <w:rPr>
          <w:rFonts w:hint="eastAsia" w:asciiTheme="minorEastAsia" w:hAnsiTheme="minorEastAsia" w:eastAsiaTheme="minorEastAsia"/>
          <w:color w:val="auto"/>
          <w:sz w:val="28"/>
          <w:szCs w:val="28"/>
          <w:lang w:val="en-US" w:eastAsia="zh-CN"/>
        </w:rPr>
        <w:t>8</w:t>
      </w:r>
      <w:r>
        <w:rPr>
          <w:rFonts w:asciiTheme="minorEastAsia" w:hAnsiTheme="minorEastAsia" w:eastAsiaTheme="minorEastAsia"/>
          <w:color w:val="auto"/>
          <w:sz w:val="28"/>
          <w:szCs w:val="28"/>
        </w:rPr>
        <w:fldChar w:fldCharType="end"/>
      </w:r>
      <w:r>
        <w:rPr>
          <w:rFonts w:hint="eastAsia" w:asciiTheme="minorEastAsia" w:hAnsiTheme="minorEastAsia" w:eastAsiaTheme="minorEastAsia"/>
          <w:color w:val="auto"/>
          <w:sz w:val="28"/>
          <w:szCs w:val="28"/>
          <w:lang w:val="en-US" w:eastAsia="zh-CN"/>
        </w:rPr>
        <w:t>2</w:t>
      </w:r>
    </w:p>
    <w:p>
      <w:pPr>
        <w:pStyle w:val="65"/>
        <w:spacing w:line="360" w:lineRule="auto"/>
        <w:rPr>
          <w:rFonts w:asciiTheme="minorEastAsia" w:hAnsiTheme="minorEastAsia" w:eastAsiaTheme="minorEastAsia"/>
          <w:b w:val="0"/>
          <w:color w:val="auto"/>
          <w:sz w:val="28"/>
          <w:szCs w:val="28"/>
        </w:rPr>
      </w:pPr>
      <w:r>
        <w:rPr>
          <w:rFonts w:asciiTheme="minorEastAsia" w:hAnsiTheme="minorEastAsia" w:eastAsiaTheme="minorEastAsia"/>
          <w:b w:val="0"/>
          <w:color w:val="auto"/>
          <w:sz w:val="32"/>
          <w:szCs w:val="32"/>
        </w:rPr>
        <w:fldChar w:fldCharType="end"/>
      </w:r>
    </w:p>
    <w:p>
      <w:pPr>
        <w:spacing w:line="360" w:lineRule="auto"/>
        <w:ind w:left="562" w:hanging="562" w:hangingChars="200"/>
        <w:jc w:val="left"/>
        <w:outlineLvl w:val="0"/>
        <w:rPr>
          <w:rFonts w:hint="eastAsia" w:asciiTheme="minorEastAsia" w:hAnsiTheme="minorEastAsia" w:eastAsiaTheme="minorEastAsia"/>
          <w:b/>
          <w:color w:val="auto"/>
          <w:sz w:val="28"/>
          <w:szCs w:val="28"/>
        </w:rPr>
      </w:pPr>
    </w:p>
    <w:p>
      <w:pPr>
        <w:spacing w:line="360" w:lineRule="auto"/>
        <w:ind w:left="562" w:hanging="562" w:hangingChars="200"/>
        <w:jc w:val="left"/>
        <w:outlineLvl w:val="0"/>
        <w:rPr>
          <w:rFonts w:asciiTheme="minorEastAsia" w:hAnsiTheme="minorEastAsia" w:eastAsiaTheme="minorEastAsia"/>
          <w:b/>
          <w:color w:val="auto"/>
          <w:sz w:val="36"/>
          <w:szCs w:val="36"/>
        </w:rPr>
        <w:sectPr>
          <w:headerReference r:id="rId7" w:type="first"/>
          <w:footerReference r:id="rId9" w:type="first"/>
          <w:headerReference r:id="rId6" w:type="default"/>
          <w:footerReference r:id="rId8" w:type="default"/>
          <w:pgSz w:w="11907" w:h="16840"/>
          <w:pgMar w:top="1418" w:right="1134" w:bottom="1418" w:left="1701" w:header="851" w:footer="851" w:gutter="0"/>
          <w:pgNumType w:start="1"/>
          <w:cols w:space="720" w:num="1"/>
          <w:titlePg/>
          <w:docGrid w:linePitch="462" w:charSpace="0"/>
        </w:sectPr>
      </w:pPr>
      <w:r>
        <w:rPr>
          <w:rFonts w:hint="eastAsia" w:asciiTheme="minorEastAsia" w:hAnsiTheme="minorEastAsia" w:eastAsiaTheme="minorEastAsia"/>
          <w:b/>
          <w:color w:val="auto"/>
          <w:sz w:val="28"/>
          <w:szCs w:val="28"/>
        </w:rPr>
        <w:t>注：采购文件条款中以“■”形式标记的内容适用于本项目， 以“□”形式标记的内容不适用于本项目。</w:t>
      </w:r>
    </w:p>
    <w:p>
      <w:pPr>
        <w:spacing w:line="360" w:lineRule="auto"/>
        <w:jc w:val="center"/>
        <w:outlineLvl w:val="0"/>
        <w:rPr>
          <w:rFonts w:asciiTheme="minorEastAsia" w:hAnsiTheme="minorEastAsia" w:eastAsiaTheme="minorEastAsia"/>
          <w:b/>
          <w:color w:val="auto"/>
          <w:sz w:val="36"/>
          <w:szCs w:val="36"/>
        </w:rPr>
      </w:pPr>
      <w:bookmarkStart w:id="7" w:name="_Toc184912278"/>
      <w:r>
        <w:rPr>
          <w:rFonts w:asciiTheme="minorEastAsia" w:hAnsiTheme="minorEastAsia" w:eastAsiaTheme="minorEastAsia"/>
          <w:b/>
          <w:color w:val="auto"/>
          <w:sz w:val="36"/>
          <w:szCs w:val="36"/>
        </w:rPr>
        <w:t>第一章</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采购邀请</w:t>
      </w:r>
      <w:bookmarkEnd w:id="7"/>
      <w:bookmarkStart w:id="8" w:name="_Toc28359079"/>
      <w:bookmarkStart w:id="9" w:name="_Toc35393790"/>
      <w:bookmarkStart w:id="10" w:name="_Toc28359002"/>
      <w:bookmarkStart w:id="11" w:name="_Toc35393621"/>
      <w:bookmarkStart w:id="12" w:name="_Hlk24379207"/>
    </w:p>
    <w:p>
      <w:pPr>
        <w:spacing w:line="360" w:lineRule="auto"/>
        <w:ind w:firstLine="480" w:firstLineChars="200"/>
        <w:rPr>
          <w:rFonts w:asciiTheme="minorEastAsia" w:hAnsiTheme="minorEastAsia" w:eastAsiaTheme="minorEastAsia"/>
          <w:color w:val="auto"/>
          <w:sz w:val="24"/>
        </w:rPr>
      </w:pPr>
    </w:p>
    <w:p>
      <w:pPr>
        <w:pStyle w:val="4"/>
        <w:spacing w:before="0" w:line="360" w:lineRule="auto"/>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一、项目基本情况</w:t>
      </w:r>
      <w:bookmarkEnd w:id="8"/>
      <w:bookmarkEnd w:id="9"/>
      <w:bookmarkEnd w:id="10"/>
      <w:bookmarkEnd w:id="11"/>
    </w:p>
    <w:p>
      <w:pPr>
        <w:spacing w:line="360" w:lineRule="auto"/>
        <w:ind w:firstLine="480" w:firstLineChars="200"/>
        <w:rPr>
          <w:rFonts w:cs="仿宋_GB2312" w:asciiTheme="minorEastAsia" w:hAnsiTheme="minorEastAsia" w:eastAsiaTheme="minorEastAsia"/>
          <w:color w:val="auto"/>
          <w:sz w:val="24"/>
        </w:rPr>
      </w:pPr>
      <w:r>
        <w:rPr>
          <w:rFonts w:cs="仿宋_GB2312" w:asciiTheme="minorEastAsia" w:hAnsiTheme="minorEastAsia" w:eastAsiaTheme="minorEastAsia"/>
          <w:color w:val="auto"/>
          <w:sz w:val="24"/>
        </w:rPr>
        <w:t>1.</w:t>
      </w:r>
      <w:bookmarkStart w:id="13" w:name="OLE_LINK30"/>
      <w:r>
        <w:rPr>
          <w:rFonts w:cs="仿宋_GB2312" w:asciiTheme="minorEastAsia" w:hAnsiTheme="minorEastAsia" w:eastAsiaTheme="minorEastAsia"/>
          <w:color w:val="auto"/>
          <w:sz w:val="24"/>
        </w:rPr>
        <w:t>项目编号：</w:t>
      </w:r>
      <w:bookmarkEnd w:id="13"/>
      <w:r>
        <w:rPr>
          <w:rFonts w:hint="eastAsia" w:cs="仿宋_GB2312" w:asciiTheme="minorEastAsia" w:hAnsiTheme="minorEastAsia" w:eastAsiaTheme="minorEastAsia"/>
          <w:color w:val="auto"/>
          <w:sz w:val="24"/>
        </w:rPr>
        <w:t>110107262102000</w:t>
      </w:r>
      <w:r>
        <w:rPr>
          <w:rFonts w:hint="eastAsia" w:cs="仿宋_GB2312" w:asciiTheme="minorEastAsia" w:hAnsiTheme="minorEastAsia" w:eastAsiaTheme="minorEastAsia"/>
          <w:color w:val="auto"/>
          <w:sz w:val="24"/>
          <w:lang w:val="en-US" w:eastAsia="zh-CN"/>
        </w:rPr>
        <w:t>20706</w:t>
      </w:r>
      <w:r>
        <w:rPr>
          <w:rFonts w:hint="eastAsia" w:cs="仿宋_GB2312" w:asciiTheme="minorEastAsia" w:hAnsiTheme="minorEastAsia" w:eastAsiaTheme="minorEastAsia"/>
          <w:color w:val="auto"/>
          <w:sz w:val="24"/>
        </w:rPr>
        <w:t>-XM001</w:t>
      </w:r>
    </w:p>
    <w:p>
      <w:pPr>
        <w:spacing w:line="360" w:lineRule="auto"/>
        <w:ind w:right="-386" w:rightChars="-184"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2.项目名称：</w:t>
      </w:r>
      <w:bookmarkStart w:id="14" w:name="OLE_LINK4"/>
      <w:bookmarkStart w:id="15" w:name="OLE_LINK3"/>
      <w:bookmarkStart w:id="16" w:name="OLE_LINK20"/>
      <w:r>
        <w:rPr>
          <w:rFonts w:hint="eastAsia" w:cs="仿宋_GB2312" w:asciiTheme="minorEastAsia" w:hAnsiTheme="minorEastAsia" w:eastAsiaTheme="minorEastAsia"/>
          <w:color w:val="auto"/>
          <w:sz w:val="24"/>
        </w:rPr>
        <w:t>2026年石景山区高考考点安全电力改造项目</w:t>
      </w:r>
    </w:p>
    <w:bookmarkEnd w:id="14"/>
    <w:bookmarkEnd w:id="15"/>
    <w:bookmarkEnd w:id="16"/>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3.采购方式：竞争性磋商</w:t>
      </w:r>
    </w:p>
    <w:bookmarkEnd w:id="12"/>
    <w:p>
      <w:pPr>
        <w:spacing w:line="360" w:lineRule="auto"/>
        <w:ind w:firstLine="480" w:firstLineChars="200"/>
        <w:rPr>
          <w:rFonts w:asciiTheme="minorEastAsia" w:hAnsiTheme="minorEastAsia" w:eastAsiaTheme="minorEastAsia"/>
          <w:color w:val="auto"/>
        </w:rPr>
      </w:pPr>
      <w:r>
        <w:rPr>
          <w:rFonts w:asciiTheme="minorEastAsia" w:hAnsiTheme="minorEastAsia" w:eastAsiaTheme="minorEastAsia"/>
          <w:color w:val="auto"/>
          <w:sz w:val="24"/>
        </w:rPr>
        <w:t>4.项目预算金额：</w:t>
      </w:r>
      <w:r>
        <w:rPr>
          <w:rFonts w:hint="eastAsia" w:asciiTheme="minorEastAsia" w:hAnsiTheme="minorEastAsia" w:eastAsiaTheme="minorEastAsia"/>
          <w:color w:val="auto"/>
          <w:sz w:val="24"/>
          <w:lang w:val="en-US" w:eastAsia="zh-CN"/>
        </w:rPr>
        <w:t xml:space="preserve">174.776947 </w:t>
      </w:r>
      <w:r>
        <w:rPr>
          <w:rFonts w:hint="eastAsia" w:asciiTheme="minorEastAsia" w:hAnsiTheme="minorEastAsia" w:eastAsiaTheme="minorEastAsia"/>
          <w:color w:val="auto"/>
          <w:sz w:val="24"/>
        </w:rPr>
        <w:t>万元</w:t>
      </w:r>
      <w:r>
        <w:rPr>
          <w:rFonts w:asciiTheme="minorEastAsia" w:hAnsiTheme="minorEastAsia" w:eastAsiaTheme="minorEastAsia"/>
          <w:color w:val="auto"/>
          <w:sz w:val="24"/>
        </w:rPr>
        <w:t>、项目最高限价：</w:t>
      </w:r>
      <w:r>
        <w:rPr>
          <w:rFonts w:hint="eastAsia" w:asciiTheme="minorEastAsia" w:hAnsiTheme="minorEastAsia" w:eastAsiaTheme="minorEastAsia"/>
          <w:color w:val="auto"/>
          <w:sz w:val="24"/>
          <w:lang w:val="en-US" w:eastAsia="zh-CN"/>
        </w:rPr>
        <w:t xml:space="preserve">174.776947 </w:t>
      </w:r>
      <w:r>
        <w:rPr>
          <w:rFonts w:hint="eastAsia" w:asciiTheme="minorEastAsia" w:hAnsiTheme="minorEastAsia" w:eastAsiaTheme="minorEastAsia"/>
          <w:color w:val="auto"/>
          <w:sz w:val="24"/>
        </w:rPr>
        <w:t>万元。</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5.采购需求：</w:t>
      </w:r>
    </w:p>
    <w:tbl>
      <w:tblPr>
        <w:tblStyle w:val="108"/>
        <w:tblW w:w="8504"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409"/>
        <w:gridCol w:w="1701"/>
        <w:gridCol w:w="992"/>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包号</w:t>
            </w:r>
          </w:p>
        </w:tc>
        <w:tc>
          <w:tcPr>
            <w:tcW w:w="2409"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lang w:eastAsia="zh-CN"/>
              </w:rPr>
              <w:t>标的</w:t>
            </w:r>
            <w:r>
              <w:rPr>
                <w:rFonts w:hint="default" w:asciiTheme="minorEastAsia" w:hAnsiTheme="minorEastAsia" w:eastAsiaTheme="minorEastAsia"/>
                <w:bCs/>
                <w:color w:val="auto"/>
                <w:sz w:val="24"/>
                <w:szCs w:val="24"/>
              </w:rPr>
              <w:t>名称</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采购包预算金额</w:t>
            </w:r>
          </w:p>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（万元）</w:t>
            </w:r>
          </w:p>
        </w:tc>
        <w:tc>
          <w:tcPr>
            <w:tcW w:w="992"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数量</w:t>
            </w:r>
          </w:p>
        </w:tc>
        <w:tc>
          <w:tcPr>
            <w:tcW w:w="2693"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709"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lang w:val="en-US" w:eastAsia="zh-CN"/>
              </w:rPr>
              <w:t>0</w:t>
            </w:r>
            <w:r>
              <w:rPr>
                <w:rFonts w:hint="default" w:asciiTheme="minorEastAsia" w:hAnsiTheme="minorEastAsia" w:eastAsiaTheme="minorEastAsia"/>
                <w:bCs/>
                <w:color w:val="auto"/>
                <w:sz w:val="24"/>
                <w:szCs w:val="24"/>
              </w:rPr>
              <w:t>1</w:t>
            </w:r>
          </w:p>
        </w:tc>
        <w:tc>
          <w:tcPr>
            <w:tcW w:w="2409"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石景山区高考考点安全电力改造</w:t>
            </w:r>
          </w:p>
        </w:tc>
        <w:tc>
          <w:tcPr>
            <w:tcW w:w="1701" w:type="dxa"/>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szCs w:val="24"/>
                <w:lang w:eastAsia="zh-CN"/>
              </w:rPr>
            </w:pPr>
            <w:r>
              <w:rPr>
                <w:rFonts w:hint="eastAsia" w:asciiTheme="minorEastAsia" w:hAnsiTheme="minorEastAsia" w:eastAsiaTheme="minorEastAsia"/>
                <w:color w:val="auto"/>
                <w:sz w:val="24"/>
                <w:lang w:val="en-US" w:eastAsia="zh-CN"/>
              </w:rPr>
              <w:t xml:space="preserve">174.776947 </w:t>
            </w:r>
          </w:p>
        </w:tc>
        <w:tc>
          <w:tcPr>
            <w:tcW w:w="992"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1项</w:t>
            </w:r>
          </w:p>
        </w:tc>
        <w:tc>
          <w:tcPr>
            <w:tcW w:w="2693"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color w:val="auto"/>
                <w:sz w:val="24"/>
                <w:szCs w:val="24"/>
                <w:lang w:eastAsia="zh-CN"/>
              </w:rPr>
              <w:t>详见竞争性磋商文件第四章《采购需求》</w:t>
            </w:r>
            <w:r>
              <w:rPr>
                <w:rFonts w:hint="default" w:asciiTheme="minorEastAsia" w:hAnsiTheme="minorEastAsia" w:eastAsiaTheme="minorEastAsia"/>
                <w:color w:val="auto"/>
                <w:sz w:val="24"/>
                <w:szCs w:val="24"/>
              </w:rPr>
              <w:t>。</w:t>
            </w:r>
          </w:p>
        </w:tc>
      </w:tr>
    </w:tbl>
    <w:p>
      <w:pPr>
        <w:pStyle w:val="477"/>
        <w:spacing w:before="120" w:beforeLines="50"/>
        <w:ind w:firstLine="439" w:firstLineChars="183"/>
        <w:rPr>
          <w:rFonts w:cs="仿宋_GB2312" w:asciiTheme="minorEastAsia" w:hAnsiTheme="minorEastAsia" w:eastAsiaTheme="minorEastAsia"/>
          <w:color w:val="auto"/>
          <w:szCs w:val="21"/>
        </w:rPr>
      </w:pPr>
      <w:r>
        <w:rPr>
          <w:rFonts w:asciiTheme="minorEastAsia" w:hAnsiTheme="minorEastAsia" w:eastAsiaTheme="minorEastAsia"/>
          <w:color w:val="auto"/>
        </w:rPr>
        <w:t>6.</w:t>
      </w:r>
      <w:bookmarkStart w:id="17" w:name="OLE_LINK9"/>
      <w:bookmarkStart w:id="18" w:name="OLE_LINK10"/>
      <w:bookmarkStart w:id="19" w:name="OLE_LINK23"/>
      <w:r>
        <w:rPr>
          <w:rFonts w:asciiTheme="minorEastAsia" w:hAnsiTheme="minorEastAsia" w:eastAsiaTheme="minorEastAsia"/>
          <w:color w:val="auto"/>
        </w:rPr>
        <w:t>合同履行期限：</w:t>
      </w:r>
      <w:bookmarkEnd w:id="17"/>
      <w:bookmarkEnd w:id="18"/>
      <w:r>
        <w:rPr>
          <w:rFonts w:hint="eastAsia" w:asciiTheme="minorEastAsia" w:hAnsiTheme="minorEastAsia" w:eastAsiaTheme="minorEastAsia"/>
          <w:color w:val="auto"/>
        </w:rPr>
        <w:t>自合同签订之日起20日历天内完成交货、安装、调试及验收。</w:t>
      </w:r>
    </w:p>
    <w:bookmarkEnd w:id="19"/>
    <w:p>
      <w:pPr>
        <w:spacing w:line="360" w:lineRule="auto"/>
        <w:ind w:firstLine="424" w:firstLineChars="177"/>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7.本项目是否接受联合体：</w:t>
      </w:r>
      <w:bookmarkStart w:id="20" w:name="_Hlk128141328"/>
      <w:r>
        <w:rPr>
          <w:rFonts w:asciiTheme="minorEastAsia" w:hAnsiTheme="minorEastAsia" w:eastAsiaTheme="minorEastAsia"/>
          <w:color w:val="auto"/>
          <w:sz w:val="22"/>
          <w:szCs w:val="22"/>
        </w:rPr>
        <w:t>□</w:t>
      </w:r>
      <w:bookmarkEnd w:id="20"/>
      <w:r>
        <w:rPr>
          <w:rFonts w:asciiTheme="minorEastAsia" w:hAnsiTheme="minorEastAsia" w:eastAsiaTheme="minorEastAsia"/>
          <w:color w:val="auto"/>
          <w:sz w:val="24"/>
          <w:szCs w:val="22"/>
        </w:rPr>
        <w:t>是</w:t>
      </w:r>
      <w:r>
        <w:rPr>
          <w:rFonts w:hint="eastAsia" w:asciiTheme="minorEastAsia" w:hAnsiTheme="minorEastAsia" w:eastAsiaTheme="minorEastAsia"/>
          <w:color w:val="auto"/>
          <w:sz w:val="24"/>
          <w:szCs w:val="22"/>
        </w:rPr>
        <w:t xml:space="preserve"> </w:t>
      </w:r>
      <w:r>
        <w:rPr>
          <w:rFonts w:asciiTheme="minorEastAsia" w:hAnsiTheme="minorEastAsia" w:eastAsiaTheme="minorEastAsia"/>
          <w:color w:val="auto"/>
          <w:sz w:val="24"/>
          <w:szCs w:val="22"/>
        </w:rPr>
        <w:t xml:space="preserve">  </w:t>
      </w:r>
      <w:r>
        <w:rPr>
          <w:rFonts w:hint="eastAsia" w:cs="宋体" w:asciiTheme="minorEastAsia" w:hAnsiTheme="minorEastAsia" w:eastAsiaTheme="minorEastAsia"/>
          <w:color w:val="auto"/>
          <w:szCs w:val="22"/>
        </w:rPr>
        <w:t>■</w:t>
      </w:r>
      <w:r>
        <w:rPr>
          <w:rFonts w:asciiTheme="minorEastAsia" w:hAnsiTheme="minorEastAsia" w:eastAsiaTheme="minorEastAsia"/>
          <w:color w:val="auto"/>
          <w:sz w:val="24"/>
          <w:szCs w:val="22"/>
        </w:rPr>
        <w:t>否。</w:t>
      </w:r>
    </w:p>
    <w:p>
      <w:pPr>
        <w:spacing w:line="360" w:lineRule="auto"/>
        <w:ind w:firstLine="424" w:firstLineChars="177"/>
        <w:rPr>
          <w:rFonts w:asciiTheme="minorEastAsia" w:hAnsiTheme="minorEastAsia" w:eastAsiaTheme="minorEastAsia"/>
          <w:color w:val="auto"/>
          <w:sz w:val="24"/>
        </w:rPr>
      </w:pPr>
    </w:p>
    <w:p>
      <w:pPr>
        <w:pStyle w:val="4"/>
        <w:spacing w:before="0" w:line="360" w:lineRule="auto"/>
        <w:jc w:val="left"/>
        <w:rPr>
          <w:rFonts w:asciiTheme="minorEastAsia" w:hAnsiTheme="minorEastAsia" w:eastAsiaTheme="minorEastAsia"/>
          <w:color w:val="auto"/>
          <w:sz w:val="24"/>
          <w:szCs w:val="24"/>
        </w:rPr>
      </w:pPr>
      <w:bookmarkStart w:id="21" w:name="_Toc28359080"/>
      <w:bookmarkStart w:id="22" w:name="_Toc28359003"/>
      <w:bookmarkStart w:id="23" w:name="_Toc35393791"/>
      <w:bookmarkStart w:id="24" w:name="_Toc35393622"/>
      <w:r>
        <w:rPr>
          <w:rFonts w:asciiTheme="minorEastAsia" w:hAnsiTheme="minorEastAsia" w:eastAsiaTheme="minorEastAsia"/>
          <w:color w:val="auto"/>
          <w:sz w:val="24"/>
          <w:szCs w:val="24"/>
        </w:rPr>
        <w:t>二、申请人的资格要求（须同时满足）</w:t>
      </w:r>
      <w:bookmarkEnd w:id="21"/>
      <w:bookmarkEnd w:id="22"/>
      <w:bookmarkEnd w:id="23"/>
      <w:bookmarkEnd w:id="24"/>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1.满足《中华人民共和国政府采购法》第二十二条规定；</w:t>
      </w:r>
    </w:p>
    <w:p>
      <w:pPr>
        <w:spacing w:line="360" w:lineRule="auto"/>
        <w:ind w:firstLine="480" w:firstLineChars="200"/>
        <w:rPr>
          <w:rFonts w:asciiTheme="minorEastAsia" w:hAnsiTheme="minorEastAsia" w:eastAsiaTheme="minorEastAsia"/>
          <w:color w:val="auto"/>
          <w:sz w:val="24"/>
        </w:rPr>
      </w:pPr>
      <w:bookmarkStart w:id="25" w:name="_Toc28359004"/>
      <w:bookmarkStart w:id="26" w:name="_Toc28359081"/>
      <w:r>
        <w:rPr>
          <w:rFonts w:asciiTheme="minorEastAsia" w:hAnsiTheme="minorEastAsia" w:eastAsiaTheme="minorEastAsia"/>
          <w:color w:val="auto"/>
          <w:sz w:val="24"/>
        </w:rPr>
        <w:t>2.落实政府采购政策需满足的资格要求：</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2.1中小企业政策</w:t>
      </w:r>
    </w:p>
    <w:p>
      <w:pPr>
        <w:spacing w:line="360" w:lineRule="auto"/>
        <w:ind w:firstLine="369" w:firstLineChars="176"/>
        <w:rPr>
          <w:rFonts w:asciiTheme="minorEastAsia" w:hAnsiTheme="minorEastAsia" w:eastAsiaTheme="minorEastAsia"/>
          <w:color w:val="auto"/>
          <w:sz w:val="24"/>
        </w:rPr>
      </w:pPr>
      <w:r>
        <w:rPr>
          <w:rFonts w:asciiTheme="minorEastAsia" w:hAnsiTheme="minorEastAsia" w:eastAsiaTheme="minorEastAsia"/>
          <w:color w:val="auto"/>
        </w:rPr>
        <w:t>□</w:t>
      </w:r>
      <w:r>
        <w:rPr>
          <w:rFonts w:asciiTheme="minorEastAsia" w:hAnsiTheme="minorEastAsia" w:eastAsiaTheme="minorEastAsia"/>
          <w:color w:val="auto"/>
          <w:sz w:val="24"/>
        </w:rPr>
        <w:t>本项目不专门面向中小企业预留采购份额。</w:t>
      </w:r>
      <w:bookmarkStart w:id="27" w:name="OLE_LINK22"/>
      <w:bookmarkStart w:id="28" w:name="OLE_LINK19"/>
    </w:p>
    <w:bookmarkEnd w:id="27"/>
    <w:p>
      <w:pPr>
        <w:spacing w:line="360" w:lineRule="auto"/>
        <w:ind w:firstLine="446" w:firstLineChars="202"/>
        <w:rPr>
          <w:rFonts w:asciiTheme="minorEastAsia" w:hAnsiTheme="minorEastAsia" w:eastAsiaTheme="minorEastAsia"/>
          <w:color w:val="auto"/>
          <w:sz w:val="24"/>
        </w:rPr>
      </w:pPr>
      <w:r>
        <w:rPr>
          <w:rFonts w:asciiTheme="minorEastAsia" w:hAnsiTheme="minorEastAsia" w:eastAsiaTheme="minorEastAsia"/>
          <w:b/>
          <w:color w:val="auto"/>
          <w:sz w:val="22"/>
        </w:rPr>
        <w:t>■</w:t>
      </w:r>
      <w:r>
        <w:rPr>
          <w:rFonts w:asciiTheme="minorEastAsia" w:hAnsiTheme="minorEastAsia" w:eastAsiaTheme="minorEastAsia"/>
          <w:color w:val="auto"/>
          <w:sz w:val="24"/>
        </w:rPr>
        <w:t>本项目专门面向</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 xml:space="preserve"> </w:t>
      </w:r>
      <w:r>
        <w:rPr>
          <w:rFonts w:asciiTheme="minorEastAsia" w:hAnsiTheme="minorEastAsia" w:eastAsiaTheme="minorEastAsia"/>
          <w:b/>
          <w:color w:val="auto"/>
          <w:sz w:val="22"/>
        </w:rPr>
        <w:t>■</w:t>
      </w:r>
      <w:r>
        <w:rPr>
          <w:rFonts w:asciiTheme="minorEastAsia" w:hAnsiTheme="minorEastAsia" w:eastAsiaTheme="minorEastAsia"/>
          <w:color w:val="auto"/>
          <w:sz w:val="24"/>
        </w:rPr>
        <w:t>中小</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rPr>
        <w:t>□</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小微企业</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采购。</w:t>
      </w:r>
      <w:bookmarkEnd w:id="28"/>
      <w:r>
        <w:rPr>
          <w:rFonts w:asciiTheme="minorEastAsia" w:hAnsiTheme="minorEastAsia" w:eastAsiaTheme="minorEastAsia"/>
          <w:color w:val="auto"/>
          <w:sz w:val="24"/>
        </w:rPr>
        <w:t>即：提供的服务全部由符合政策要求的</w:t>
      </w:r>
      <w:r>
        <w:rPr>
          <w:rFonts w:hint="eastAsia" w:asciiTheme="minorEastAsia" w:hAnsiTheme="minorEastAsia" w:eastAsiaTheme="minorEastAsia"/>
          <w:color w:val="auto"/>
          <w:sz w:val="24"/>
          <w:lang w:eastAsia="zh-CN"/>
        </w:rPr>
        <w:t>中小</w:t>
      </w:r>
      <w:r>
        <w:rPr>
          <w:rFonts w:asciiTheme="minorEastAsia" w:hAnsiTheme="minorEastAsia" w:eastAsiaTheme="minorEastAsia"/>
          <w:color w:val="auto"/>
          <w:sz w:val="24"/>
        </w:rPr>
        <w:t>企业承接。</w:t>
      </w:r>
    </w:p>
    <w:p>
      <w:pPr>
        <w:spacing w:line="360" w:lineRule="auto"/>
        <w:ind w:firstLine="420" w:firstLineChars="200"/>
        <w:rPr>
          <w:rFonts w:asciiTheme="minorEastAsia" w:hAnsiTheme="minorEastAsia" w:eastAsiaTheme="minorEastAsia"/>
          <w:color w:val="auto"/>
          <w:sz w:val="24"/>
        </w:rPr>
      </w:pPr>
      <w:r>
        <w:rPr>
          <w:rFonts w:asciiTheme="minorEastAsia" w:hAnsiTheme="minorEastAsia" w:eastAsiaTheme="minorEastAsia"/>
          <w:color w:val="auto"/>
        </w:rPr>
        <w:t>□</w:t>
      </w:r>
      <w:r>
        <w:rPr>
          <w:rFonts w:asciiTheme="minorEastAsia" w:hAnsiTheme="minorEastAsia" w:eastAsiaTheme="minorEastAsia"/>
          <w:color w:val="auto"/>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Theme="minorEastAsia" w:hAnsiTheme="minorEastAsia" w:eastAsiaTheme="minorEastAsia"/>
          <w:color w:val="auto"/>
          <w:sz w:val="24"/>
          <w:u w:val="single"/>
        </w:rPr>
        <w:t>无</w:t>
      </w:r>
      <w:r>
        <w:rPr>
          <w:rFonts w:hint="eastAsia" w:asciiTheme="minorEastAsia" w:hAnsiTheme="minorEastAsia" w:eastAsiaTheme="minorEastAsia"/>
          <w:color w:val="auto"/>
          <w:sz w:val="24"/>
        </w:rPr>
        <w:t>。</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2.2其它落实政府采购政策的资格要求（如有）：</w:t>
      </w:r>
      <w:r>
        <w:rPr>
          <w:rFonts w:hint="eastAsia" w:asciiTheme="minorEastAsia" w:hAnsiTheme="minorEastAsia" w:eastAsiaTheme="minorEastAsia"/>
          <w:color w:val="auto"/>
          <w:sz w:val="24"/>
          <w:u w:val="single"/>
          <w:lang w:val="en-US" w:eastAsia="zh-CN"/>
        </w:rPr>
        <w:t>无</w:t>
      </w:r>
      <w:r>
        <w:rPr>
          <w:rFonts w:hint="eastAsia" w:asciiTheme="minorEastAsia" w:hAnsiTheme="minorEastAsia" w:eastAsiaTheme="minorEastAsia"/>
          <w:color w:val="auto"/>
          <w:sz w:val="24"/>
        </w:rPr>
        <w:t>。</w:t>
      </w:r>
    </w:p>
    <w:p>
      <w:pPr>
        <w:spacing w:line="360" w:lineRule="auto"/>
        <w:ind w:firstLine="480" w:firstLineChars="200"/>
        <w:rPr>
          <w:rFonts w:asciiTheme="minorEastAsia" w:hAnsiTheme="minorEastAsia" w:eastAsiaTheme="minorEastAsia"/>
          <w:i/>
          <w:iCs/>
          <w:color w:val="auto"/>
          <w:sz w:val="24"/>
          <w:u w:val="single"/>
        </w:rPr>
      </w:pPr>
      <w:r>
        <w:rPr>
          <w:rFonts w:asciiTheme="minorEastAsia" w:hAnsiTheme="minorEastAsia" w:eastAsiaTheme="minorEastAsia"/>
          <w:color w:val="auto"/>
          <w:sz w:val="24"/>
        </w:rPr>
        <w:t>3.本项目的特定资格要求：</w:t>
      </w:r>
    </w:p>
    <w:p>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3.</w:t>
      </w:r>
      <w:r>
        <w:rPr>
          <w:rFonts w:hint="eastAsia" w:asciiTheme="minorEastAsia" w:hAnsiTheme="minorEastAsia" w:eastAsiaTheme="minorEastAsia"/>
          <w:color w:val="auto"/>
          <w:sz w:val="24"/>
        </w:rPr>
        <w:t>1</w:t>
      </w:r>
      <w:bookmarkStart w:id="29" w:name="OLE_LINK31"/>
      <w:bookmarkStart w:id="30" w:name="OLE_LINK32"/>
      <w:r>
        <w:rPr>
          <w:rFonts w:asciiTheme="minorEastAsia" w:hAnsiTheme="minorEastAsia" w:eastAsiaTheme="minorEastAsia"/>
          <w:color w:val="auto"/>
          <w:sz w:val="24"/>
        </w:rPr>
        <w:t>本项目是否属于政府购买服务</w:t>
      </w:r>
      <w:bookmarkEnd w:id="29"/>
      <w:bookmarkEnd w:id="30"/>
      <w:r>
        <w:rPr>
          <w:rFonts w:asciiTheme="minorEastAsia" w:hAnsiTheme="minorEastAsia" w:eastAsiaTheme="minorEastAsia"/>
          <w:color w:val="auto"/>
          <w:sz w:val="24"/>
        </w:rPr>
        <w:t>：</w:t>
      </w:r>
    </w:p>
    <w:p>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color w:val="auto"/>
          <w:sz w:val="24"/>
        </w:rPr>
      </w:pPr>
      <w:r>
        <w:rPr>
          <w:rFonts w:asciiTheme="minorEastAsia" w:hAnsiTheme="minorEastAsia" w:eastAsiaTheme="minorEastAsia"/>
          <w:b/>
          <w:color w:val="auto"/>
          <w:sz w:val="24"/>
        </w:rPr>
        <w:t>■</w:t>
      </w:r>
      <w:r>
        <w:rPr>
          <w:rFonts w:asciiTheme="minorEastAsia" w:hAnsiTheme="minorEastAsia" w:eastAsiaTheme="minorEastAsia"/>
          <w:color w:val="auto"/>
          <w:sz w:val="24"/>
        </w:rPr>
        <w:t>否</w:t>
      </w:r>
    </w:p>
    <w:p>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color w:val="auto"/>
          <w:sz w:val="24"/>
        </w:rPr>
      </w:pPr>
      <w:r>
        <w:rPr>
          <w:rFonts w:asciiTheme="minorEastAsia" w:hAnsiTheme="minorEastAsia" w:eastAsiaTheme="minorEastAsia"/>
          <w:color w:val="auto"/>
        </w:rPr>
        <w:t>□</w:t>
      </w:r>
      <w:r>
        <w:rPr>
          <w:rFonts w:asciiTheme="minorEastAsia" w:hAnsiTheme="minorEastAsia" w:eastAsiaTheme="minorEastAsia"/>
          <w:color w:val="auto"/>
          <w:sz w:val="24"/>
        </w:rPr>
        <w:t>是，公益一类事业单位、使用事业编制且由财政拨款保障的群团组织，不得作为承接主体；</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3.</w:t>
      </w:r>
      <w:r>
        <w:rPr>
          <w:rFonts w:hint="eastAsia" w:asciiTheme="minorEastAsia" w:hAnsiTheme="minorEastAsia" w:eastAsiaTheme="minorEastAsia"/>
          <w:color w:val="auto"/>
          <w:sz w:val="24"/>
        </w:rPr>
        <w:t>2</w:t>
      </w:r>
      <w:r>
        <w:rPr>
          <w:rFonts w:asciiTheme="minorEastAsia" w:hAnsiTheme="minorEastAsia" w:eastAsiaTheme="minorEastAsia"/>
          <w:color w:val="auto"/>
          <w:sz w:val="24"/>
        </w:rPr>
        <w:t>其他特定资格要求：</w:t>
      </w:r>
    </w:p>
    <w:p>
      <w:pPr>
        <w:pStyle w:val="2"/>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480" w:firstLineChars="0"/>
        <w:jc w:val="both"/>
        <w:textAlignment w:val="auto"/>
        <w:outlineLvl w:val="9"/>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3.2.1供应商须具备机电安装工程专业承包叁级（含）以上资质或输变电工程专业承包叁级（含）以上资质，并且具备有效期内的安全生产许可证；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3.2.2供应商至少具备一个近三年内100万以上类似业绩。需提供合同关键页，包含合同的甲乙双方，合同详细标的和双方签字盖章及生效时间；</w:t>
      </w:r>
    </w:p>
    <w:p>
      <w:pPr>
        <w:pStyle w:val="2"/>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48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3.2.3供应商拟派项目负责人（项目经理）必须在供应商本单位注册，具有机电工程专业贰级及以上注册建造师执业资格并取得“安全生产考核合格证书”（简称B本），且在确定成交供应商时不得担任其他在建工程的项目经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3.2.4供应商拟派施工人员中具备特种工作操作证（低压电工作证）的人员不得少于2人。</w:t>
      </w:r>
    </w:p>
    <w:bookmarkEnd w:id="25"/>
    <w:bookmarkEnd w:id="26"/>
    <w:p>
      <w:pPr>
        <w:pStyle w:val="4"/>
        <w:widowControl/>
        <w:spacing w:before="0" w:line="360" w:lineRule="auto"/>
        <w:jc w:val="left"/>
        <w:rPr>
          <w:rFonts w:asciiTheme="minorEastAsia" w:hAnsiTheme="minorEastAsia" w:eastAsiaTheme="minorEastAsia"/>
          <w:color w:val="auto"/>
          <w:sz w:val="24"/>
          <w:szCs w:val="24"/>
        </w:rPr>
      </w:pPr>
      <w:bookmarkStart w:id="31" w:name="_Toc35393623"/>
      <w:bookmarkStart w:id="32" w:name="_Toc35393792"/>
      <w:r>
        <w:rPr>
          <w:rFonts w:asciiTheme="minorEastAsia" w:hAnsiTheme="minorEastAsia" w:eastAsiaTheme="minorEastAsia"/>
          <w:color w:val="auto"/>
          <w:sz w:val="24"/>
          <w:szCs w:val="24"/>
        </w:rPr>
        <w:t>三、获取采购文件</w:t>
      </w:r>
      <w:bookmarkEnd w:id="31"/>
      <w:bookmarkEnd w:id="32"/>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1.时间：</w:t>
      </w:r>
      <w:bookmarkStart w:id="33" w:name="_Hlk166656901"/>
      <w:r>
        <w:rPr>
          <w:rFonts w:hint="eastAsia" w:asciiTheme="minorEastAsia" w:hAnsiTheme="minorEastAsia" w:eastAsiaTheme="minorEastAsia"/>
          <w:color w:val="auto"/>
          <w:sz w:val="24"/>
          <w:lang w:bidi="ar"/>
        </w:rPr>
        <w:t>202</w:t>
      </w:r>
      <w:r>
        <w:rPr>
          <w:rFonts w:hint="eastAsia" w:asciiTheme="minorEastAsia" w:hAnsiTheme="minorEastAsia" w:eastAsiaTheme="minorEastAsia"/>
          <w:color w:val="auto"/>
          <w:sz w:val="24"/>
          <w:lang w:val="en-US" w:eastAsia="zh-CN" w:bidi="ar"/>
        </w:rPr>
        <w:t>6</w:t>
      </w:r>
      <w:r>
        <w:rPr>
          <w:rFonts w:asciiTheme="minorEastAsia" w:hAnsiTheme="minorEastAsia" w:eastAsiaTheme="minorEastAsia"/>
          <w:color w:val="auto"/>
          <w:sz w:val="24"/>
          <w:lang w:bidi="ar"/>
        </w:rPr>
        <w:t>年</w:t>
      </w:r>
      <w:r>
        <w:rPr>
          <w:rFonts w:hint="eastAsia" w:asciiTheme="minorEastAsia" w:hAnsiTheme="minorEastAsia" w:eastAsiaTheme="minorEastAsia"/>
          <w:color w:val="auto"/>
          <w:sz w:val="24"/>
          <w:lang w:val="en-US" w:eastAsia="zh-CN" w:bidi="ar"/>
        </w:rPr>
        <w:t>10</w:t>
      </w:r>
      <w:r>
        <w:rPr>
          <w:rFonts w:asciiTheme="minorEastAsia" w:hAnsiTheme="minorEastAsia" w:eastAsiaTheme="minorEastAsia"/>
          <w:color w:val="auto"/>
          <w:sz w:val="24"/>
          <w:lang w:bidi="ar"/>
        </w:rPr>
        <w:t>月</w:t>
      </w:r>
      <w:r>
        <w:rPr>
          <w:rFonts w:hint="eastAsia" w:asciiTheme="minorEastAsia" w:hAnsiTheme="minorEastAsia" w:eastAsiaTheme="minorEastAsia"/>
          <w:color w:val="auto"/>
          <w:sz w:val="24"/>
          <w:lang w:val="en-US" w:eastAsia="zh-CN" w:bidi="ar"/>
        </w:rPr>
        <w:t>1</w:t>
      </w:r>
      <w:r>
        <w:rPr>
          <w:rFonts w:asciiTheme="minorEastAsia" w:hAnsiTheme="minorEastAsia" w:eastAsiaTheme="minorEastAsia"/>
          <w:color w:val="auto"/>
          <w:sz w:val="24"/>
          <w:lang w:bidi="ar"/>
        </w:rPr>
        <w:t>日至</w:t>
      </w:r>
      <w:r>
        <w:rPr>
          <w:rFonts w:hint="eastAsia" w:asciiTheme="minorEastAsia" w:hAnsiTheme="minorEastAsia" w:eastAsiaTheme="minorEastAsia"/>
          <w:color w:val="auto"/>
          <w:sz w:val="24"/>
          <w:lang w:bidi="ar"/>
        </w:rPr>
        <w:t>202</w:t>
      </w:r>
      <w:r>
        <w:rPr>
          <w:rFonts w:hint="eastAsia" w:asciiTheme="minorEastAsia" w:hAnsiTheme="minorEastAsia" w:eastAsiaTheme="minorEastAsia"/>
          <w:color w:val="auto"/>
          <w:sz w:val="24"/>
          <w:lang w:val="en-US" w:eastAsia="zh-CN" w:bidi="ar"/>
        </w:rPr>
        <w:t>6</w:t>
      </w:r>
      <w:r>
        <w:rPr>
          <w:rFonts w:asciiTheme="minorEastAsia" w:hAnsiTheme="minorEastAsia" w:eastAsiaTheme="minorEastAsia"/>
          <w:color w:val="auto"/>
          <w:sz w:val="24"/>
          <w:lang w:bidi="ar"/>
        </w:rPr>
        <w:t>年</w:t>
      </w:r>
      <w:r>
        <w:rPr>
          <w:rFonts w:hint="eastAsia" w:asciiTheme="minorEastAsia" w:hAnsiTheme="minorEastAsia" w:eastAsiaTheme="minorEastAsia"/>
          <w:color w:val="auto"/>
          <w:sz w:val="24"/>
          <w:lang w:val="en-US" w:eastAsia="zh-CN" w:bidi="ar"/>
        </w:rPr>
        <w:t>10</w:t>
      </w:r>
      <w:r>
        <w:rPr>
          <w:rFonts w:asciiTheme="minorEastAsia" w:hAnsiTheme="minorEastAsia" w:eastAsiaTheme="minorEastAsia"/>
          <w:color w:val="auto"/>
          <w:sz w:val="24"/>
          <w:lang w:bidi="ar"/>
        </w:rPr>
        <w:t>月</w:t>
      </w:r>
      <w:r>
        <w:rPr>
          <w:rFonts w:hint="eastAsia" w:asciiTheme="minorEastAsia" w:hAnsiTheme="minorEastAsia" w:eastAsiaTheme="minorEastAsia"/>
          <w:color w:val="auto"/>
          <w:sz w:val="24"/>
          <w:lang w:val="en-US" w:eastAsia="zh-CN" w:bidi="ar"/>
        </w:rPr>
        <w:t>13</w:t>
      </w:r>
      <w:r>
        <w:rPr>
          <w:rFonts w:asciiTheme="minorEastAsia" w:hAnsiTheme="minorEastAsia" w:eastAsiaTheme="minorEastAsia"/>
          <w:color w:val="auto"/>
          <w:sz w:val="24"/>
          <w:lang w:bidi="ar"/>
        </w:rPr>
        <w:t>日</w:t>
      </w:r>
      <w:r>
        <w:rPr>
          <w:rFonts w:hint="eastAsia" w:asciiTheme="minorEastAsia" w:hAnsiTheme="minorEastAsia" w:eastAsiaTheme="minorEastAsia"/>
          <w:color w:val="auto"/>
          <w:sz w:val="24"/>
          <w:lang w:bidi="ar"/>
        </w:rPr>
        <w:t>，每天</w:t>
      </w:r>
      <w:r>
        <w:rPr>
          <w:rFonts w:asciiTheme="minorEastAsia" w:hAnsiTheme="minorEastAsia" w:eastAsiaTheme="minorEastAsia"/>
          <w:color w:val="auto"/>
          <w:sz w:val="24"/>
          <w:lang w:bidi="ar"/>
        </w:rPr>
        <w:t>上午</w:t>
      </w:r>
      <w:r>
        <w:rPr>
          <w:rFonts w:hint="eastAsia" w:asciiTheme="minorEastAsia" w:hAnsiTheme="minorEastAsia" w:eastAsiaTheme="minorEastAsia"/>
          <w:color w:val="auto"/>
          <w:sz w:val="24"/>
          <w:lang w:val="en-US" w:eastAsia="zh-CN"/>
        </w:rPr>
        <w:t>00</w:t>
      </w:r>
      <w:r>
        <w:rPr>
          <w:rFonts w:hint="eastAsia" w:asciiTheme="minorEastAsia" w:hAnsiTheme="minorEastAsia" w:eastAsiaTheme="minorEastAsia"/>
          <w:color w:val="auto"/>
          <w:sz w:val="24"/>
        </w:rPr>
        <w:t>:0</w:t>
      </w:r>
      <w:r>
        <w:rPr>
          <w:rFonts w:asciiTheme="minorEastAsia" w:hAnsiTheme="minorEastAsia" w:eastAsiaTheme="minorEastAsia"/>
          <w:color w:val="auto"/>
          <w:sz w:val="24"/>
        </w:rPr>
        <w:t>0</w:t>
      </w:r>
      <w:r>
        <w:rPr>
          <w:rFonts w:hint="eastAsia" w:asciiTheme="minorEastAsia" w:hAnsiTheme="minorEastAsia" w:eastAsiaTheme="minorEastAsia"/>
          <w:color w:val="auto"/>
          <w:sz w:val="24"/>
        </w:rPr>
        <w:t>至1</w:t>
      </w:r>
      <w:r>
        <w:rPr>
          <w:rFonts w:asciiTheme="minorEastAsia" w:hAnsiTheme="minorEastAsia" w:eastAsiaTheme="minorEastAsia"/>
          <w:color w:val="auto"/>
          <w:sz w:val="24"/>
        </w:rPr>
        <w:t>2</w:t>
      </w:r>
      <w:r>
        <w:rPr>
          <w:rFonts w:hint="eastAsia" w:asciiTheme="minorEastAsia" w:hAnsiTheme="minorEastAsia" w:eastAsiaTheme="minorEastAsia"/>
          <w:color w:val="auto"/>
          <w:sz w:val="24"/>
        </w:rPr>
        <w:t>:00，</w:t>
      </w:r>
      <w:r>
        <w:rPr>
          <w:rFonts w:hint="eastAsia" w:asciiTheme="minorEastAsia" w:hAnsiTheme="minorEastAsia" w:eastAsiaTheme="minorEastAsia"/>
          <w:color w:val="auto"/>
          <w:sz w:val="24"/>
          <w:lang w:bidi="ar"/>
        </w:rPr>
        <w:t>下午</w:t>
      </w:r>
      <w:r>
        <w:rPr>
          <w:rFonts w:hint="eastAsia" w:asciiTheme="minorEastAsia" w:hAnsiTheme="minorEastAsia" w:eastAsiaTheme="minorEastAsia"/>
          <w:color w:val="auto"/>
          <w:sz w:val="24"/>
        </w:rPr>
        <w:t>1</w:t>
      </w:r>
      <w:r>
        <w:rPr>
          <w:rFonts w:asciiTheme="minorEastAsia" w:hAnsiTheme="minorEastAsia" w:eastAsiaTheme="minorEastAsia"/>
          <w:color w:val="auto"/>
          <w:sz w:val="24"/>
        </w:rPr>
        <w:t>2</w:t>
      </w:r>
      <w:r>
        <w:rPr>
          <w:rFonts w:hint="eastAsia" w:asciiTheme="minorEastAsia" w:hAnsiTheme="minorEastAsia" w:eastAsiaTheme="minorEastAsia"/>
          <w:color w:val="auto"/>
          <w:sz w:val="24"/>
        </w:rPr>
        <w:t>:00至</w:t>
      </w:r>
      <w:r>
        <w:rPr>
          <w:rFonts w:hint="eastAsia" w:asciiTheme="minorEastAsia" w:hAnsiTheme="minorEastAsia" w:eastAsiaTheme="minorEastAsia"/>
          <w:color w:val="auto"/>
          <w:sz w:val="24"/>
          <w:lang w:val="en-US" w:eastAsia="zh-CN"/>
        </w:rPr>
        <w:t>24</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t>00</w:t>
      </w:r>
      <w:bookmarkEnd w:id="33"/>
      <w:r>
        <w:rPr>
          <w:rFonts w:asciiTheme="minorEastAsia" w:hAnsiTheme="minorEastAsia" w:eastAsiaTheme="minorEastAsia"/>
          <w:color w:val="auto"/>
          <w:sz w:val="24"/>
          <w:lang w:bidi="ar"/>
        </w:rPr>
        <w:t>（北京时间，法定节假日除外）。</w:t>
      </w:r>
    </w:p>
    <w:p>
      <w:pPr>
        <w:adjustRightInd w:val="0"/>
        <w:snapToGrid w:val="0"/>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lang w:bidi="ar"/>
        </w:rPr>
        <w:t>2.地点：北京市政府采购电子交易平台</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3.方式：</w:t>
      </w:r>
      <w:bookmarkStart w:id="34" w:name="OLE_LINK27"/>
      <w:bookmarkStart w:id="35" w:name="OLE_LINK28"/>
      <w:bookmarkStart w:id="36" w:name="OLE_LINK33"/>
      <w:r>
        <w:rPr>
          <w:rFonts w:asciiTheme="minorEastAsia" w:hAnsiTheme="minorEastAsia" w:eastAsiaTheme="minorEastAsia"/>
          <w:color w:val="auto"/>
          <w:sz w:val="24"/>
          <w:lang w:bidi="ar"/>
        </w:rPr>
        <w:t>供应商</w:t>
      </w:r>
      <w:r>
        <w:rPr>
          <w:rFonts w:hint="eastAsia" w:asciiTheme="minorEastAsia" w:hAnsiTheme="minorEastAsia" w:eastAsiaTheme="minorEastAsia"/>
          <w:color w:val="auto"/>
          <w:sz w:val="24"/>
          <w:lang w:bidi="ar"/>
        </w:rPr>
        <w:t>使用</w:t>
      </w:r>
      <w:r>
        <w:rPr>
          <w:rFonts w:asciiTheme="minorEastAsia" w:hAnsiTheme="minorEastAsia" w:eastAsiaTheme="minorEastAsia"/>
          <w:color w:val="auto"/>
          <w:sz w:val="24"/>
          <w:lang w:bidi="ar"/>
        </w:rPr>
        <w:t>CA数字证书</w:t>
      </w:r>
      <w:r>
        <w:rPr>
          <w:rFonts w:hint="eastAsia" w:asciiTheme="minorEastAsia" w:hAnsiTheme="minorEastAsia" w:eastAsiaTheme="minorEastAsia"/>
          <w:color w:val="auto"/>
          <w:sz w:val="24"/>
          <w:lang w:bidi="ar"/>
        </w:rPr>
        <w:t>或电子营业执照</w:t>
      </w:r>
      <w:r>
        <w:rPr>
          <w:rFonts w:asciiTheme="minorEastAsia" w:hAnsiTheme="minorEastAsia" w:eastAsiaTheme="minorEastAsia"/>
          <w:color w:val="auto"/>
          <w:sz w:val="24"/>
          <w:lang w:bidi="ar"/>
        </w:rPr>
        <w:t>登录北京市政府采购电子交易平台获取电子版竞争性磋商文件。</w:t>
      </w:r>
    </w:p>
    <w:bookmarkEnd w:id="34"/>
    <w:bookmarkEnd w:id="35"/>
    <w:bookmarkEnd w:id="36"/>
    <w:p>
      <w:pPr>
        <w:widowControl/>
        <w:adjustRightInd w:val="0"/>
        <w:snapToGrid w:val="0"/>
        <w:spacing w:line="360" w:lineRule="auto"/>
        <w:ind w:firstLine="480" w:firstLineChars="200"/>
        <w:jc w:val="left"/>
        <w:rPr>
          <w:rFonts w:asciiTheme="minorEastAsia" w:hAnsiTheme="minorEastAsia" w:eastAsiaTheme="minorEastAsia"/>
          <w:color w:val="auto"/>
          <w:sz w:val="24"/>
        </w:rPr>
      </w:pPr>
      <w:r>
        <w:rPr>
          <w:rFonts w:asciiTheme="minorEastAsia" w:hAnsiTheme="minorEastAsia" w:eastAsiaTheme="minorEastAsia"/>
          <w:color w:val="auto"/>
          <w:sz w:val="24"/>
          <w:lang w:bidi="ar"/>
        </w:rPr>
        <w:t>4.售价：0元。</w:t>
      </w:r>
    </w:p>
    <w:p>
      <w:pPr>
        <w:tabs>
          <w:tab w:val="left" w:pos="900"/>
          <w:tab w:val="left" w:pos="1980"/>
        </w:tabs>
        <w:snapToGrid w:val="0"/>
        <w:spacing w:line="360" w:lineRule="auto"/>
        <w:ind w:left="840"/>
        <w:rPr>
          <w:rFonts w:asciiTheme="minorEastAsia" w:hAnsiTheme="minorEastAsia" w:eastAsiaTheme="minorEastAsia"/>
          <w:color w:val="auto"/>
          <w:sz w:val="24"/>
        </w:rPr>
      </w:pPr>
    </w:p>
    <w:p>
      <w:pPr>
        <w:pStyle w:val="4"/>
        <w:widowControl/>
        <w:spacing w:before="0" w:line="360" w:lineRule="auto"/>
        <w:jc w:val="left"/>
        <w:rPr>
          <w:rFonts w:asciiTheme="minorEastAsia" w:hAnsiTheme="minorEastAsia" w:eastAsiaTheme="minorEastAsia"/>
          <w:color w:val="auto"/>
          <w:sz w:val="24"/>
          <w:szCs w:val="24"/>
        </w:rPr>
      </w:pPr>
      <w:bookmarkStart w:id="37" w:name="_Toc35393793"/>
      <w:bookmarkStart w:id="38" w:name="_Toc35393624"/>
      <w:bookmarkStart w:id="39" w:name="_Toc28359005"/>
      <w:bookmarkStart w:id="40" w:name="_Toc28359082"/>
      <w:r>
        <w:rPr>
          <w:rFonts w:asciiTheme="minorEastAsia" w:hAnsiTheme="minorEastAsia" w:eastAsiaTheme="minorEastAsia"/>
          <w:color w:val="auto"/>
          <w:sz w:val="24"/>
          <w:szCs w:val="24"/>
        </w:rPr>
        <w:t>四、</w:t>
      </w:r>
      <w:bookmarkEnd w:id="37"/>
      <w:bookmarkEnd w:id="38"/>
      <w:bookmarkEnd w:id="39"/>
      <w:bookmarkEnd w:id="40"/>
      <w:r>
        <w:rPr>
          <w:rFonts w:asciiTheme="minorEastAsia" w:hAnsiTheme="minorEastAsia" w:eastAsiaTheme="minorEastAsia"/>
          <w:color w:val="auto"/>
          <w:sz w:val="24"/>
          <w:szCs w:val="24"/>
        </w:rPr>
        <w:t>响应文件提交</w:t>
      </w:r>
    </w:p>
    <w:p>
      <w:pPr>
        <w:spacing w:line="360" w:lineRule="auto"/>
        <w:ind w:firstLine="480" w:firstLineChars="200"/>
        <w:rPr>
          <w:rFonts w:asciiTheme="minorEastAsia" w:hAnsiTheme="minorEastAsia" w:eastAsiaTheme="minorEastAsia"/>
          <w:bCs/>
          <w:color w:val="auto"/>
          <w:sz w:val="24"/>
          <w:u w:val="single"/>
        </w:rPr>
      </w:pPr>
      <w:r>
        <w:rPr>
          <w:rFonts w:asciiTheme="minorEastAsia" w:hAnsiTheme="minorEastAsia" w:eastAsiaTheme="minorEastAsia"/>
          <w:color w:val="auto"/>
          <w:sz w:val="24"/>
          <w:lang w:bidi="ar"/>
        </w:rPr>
        <w:t>截止时间：</w:t>
      </w:r>
      <w:r>
        <w:rPr>
          <w:rFonts w:hint="eastAsia" w:asciiTheme="minorEastAsia" w:hAnsiTheme="minorEastAsia" w:eastAsiaTheme="minorEastAsia"/>
          <w:color w:val="auto"/>
          <w:sz w:val="24"/>
        </w:rPr>
        <w:t>202</w:t>
      </w:r>
      <w:r>
        <w:rPr>
          <w:rFonts w:hint="eastAsia" w:asciiTheme="minorEastAsia" w:hAnsiTheme="minorEastAsia" w:eastAsiaTheme="minorEastAsia"/>
          <w:color w:val="auto"/>
          <w:sz w:val="24"/>
          <w:lang w:val="en-US" w:eastAsia="zh-CN"/>
        </w:rPr>
        <w:t>6</w:t>
      </w:r>
      <w:r>
        <w:rPr>
          <w:rFonts w:asciiTheme="minorEastAsia" w:hAnsiTheme="minorEastAsia" w:eastAsiaTheme="minorEastAsia"/>
          <w:color w:val="auto"/>
          <w:sz w:val="24"/>
        </w:rPr>
        <w:t>年</w:t>
      </w:r>
      <w:r>
        <w:rPr>
          <w:rFonts w:hint="eastAsia" w:asciiTheme="minorEastAsia" w:hAnsiTheme="minorEastAsia" w:eastAsiaTheme="minorEastAsia"/>
          <w:color w:val="auto"/>
          <w:sz w:val="24"/>
          <w:lang w:val="en-US" w:eastAsia="zh-CN"/>
        </w:rPr>
        <w:t>10</w:t>
      </w:r>
      <w:r>
        <w:rPr>
          <w:rFonts w:asciiTheme="minorEastAsia" w:hAnsiTheme="minorEastAsia" w:eastAsiaTheme="minorEastAsia"/>
          <w:color w:val="auto"/>
          <w:sz w:val="24"/>
        </w:rPr>
        <w:t>月</w:t>
      </w:r>
      <w:r>
        <w:rPr>
          <w:rFonts w:hint="eastAsia" w:asciiTheme="minorEastAsia" w:hAnsiTheme="minorEastAsia" w:eastAsiaTheme="minorEastAsia"/>
          <w:color w:val="auto"/>
          <w:sz w:val="24"/>
          <w:lang w:val="en-US" w:eastAsia="zh-CN"/>
        </w:rPr>
        <w:t>15</w:t>
      </w:r>
      <w:r>
        <w:rPr>
          <w:rFonts w:asciiTheme="minorEastAsia" w:hAnsiTheme="minorEastAsia" w:eastAsiaTheme="minorEastAsia"/>
          <w:color w:val="auto"/>
          <w:sz w:val="24"/>
        </w:rPr>
        <w:t>日09点</w:t>
      </w:r>
      <w:r>
        <w:rPr>
          <w:rFonts w:hint="eastAsia" w:asciiTheme="minorEastAsia" w:hAnsiTheme="minorEastAsia" w:eastAsiaTheme="minorEastAsia"/>
          <w:color w:val="auto"/>
          <w:sz w:val="24"/>
          <w:lang w:val="en-US" w:eastAsia="zh-CN"/>
        </w:rPr>
        <w:t>0</w:t>
      </w:r>
      <w:r>
        <w:rPr>
          <w:rFonts w:hint="eastAsia" w:asciiTheme="minorEastAsia" w:hAnsiTheme="minorEastAsia" w:eastAsiaTheme="minorEastAsia"/>
          <w:color w:val="auto"/>
          <w:sz w:val="24"/>
        </w:rPr>
        <w:t>0</w:t>
      </w:r>
      <w:r>
        <w:rPr>
          <w:rFonts w:asciiTheme="minorEastAsia" w:hAnsiTheme="minorEastAsia" w:eastAsiaTheme="minorEastAsia"/>
          <w:color w:val="auto"/>
          <w:sz w:val="24"/>
        </w:rPr>
        <w:t>分（北京时</w:t>
      </w:r>
      <w:r>
        <w:rPr>
          <w:rFonts w:asciiTheme="minorEastAsia" w:hAnsiTheme="minorEastAsia" w:eastAsiaTheme="minorEastAsia"/>
          <w:bCs/>
          <w:color w:val="auto"/>
          <w:sz w:val="24"/>
          <w:lang w:bidi="ar"/>
        </w:rPr>
        <w:t>间）</w:t>
      </w:r>
      <w:r>
        <w:rPr>
          <w:rFonts w:asciiTheme="minorEastAsia" w:hAnsiTheme="minorEastAsia" w:eastAsiaTheme="minorEastAsia"/>
          <w:iCs/>
          <w:color w:val="auto"/>
          <w:sz w:val="24"/>
          <w:lang w:bidi="ar"/>
        </w:rPr>
        <w:t>。</w:t>
      </w:r>
    </w:p>
    <w:p>
      <w:pPr>
        <w:spacing w:line="360" w:lineRule="auto"/>
        <w:ind w:firstLine="480" w:firstLineChars="200"/>
        <w:rPr>
          <w:rFonts w:asciiTheme="minorEastAsia" w:hAnsiTheme="minorEastAsia" w:eastAsiaTheme="minorEastAsia"/>
          <w:color w:val="auto"/>
          <w:sz w:val="24"/>
          <w:lang w:val="zh-TW" w:bidi="ar"/>
        </w:rPr>
      </w:pPr>
      <w:r>
        <w:rPr>
          <w:rFonts w:asciiTheme="minorEastAsia" w:hAnsiTheme="minorEastAsia" w:eastAsiaTheme="minorEastAsia"/>
          <w:color w:val="auto"/>
          <w:sz w:val="24"/>
          <w:lang w:bidi="ar"/>
        </w:rPr>
        <w:t>地点：</w:t>
      </w:r>
      <w:r>
        <w:rPr>
          <w:rFonts w:hint="eastAsia" w:asciiTheme="minorEastAsia" w:hAnsiTheme="minorEastAsia" w:eastAsiaTheme="minorEastAsia"/>
          <w:color w:val="auto"/>
          <w:sz w:val="24"/>
          <w:lang w:bidi="ar"/>
        </w:rPr>
        <w:t>北京市政府采购电子交易平台。</w:t>
      </w:r>
    </w:p>
    <w:p>
      <w:pPr>
        <w:spacing w:line="360" w:lineRule="auto"/>
        <w:ind w:firstLine="480" w:firstLineChars="200"/>
        <w:rPr>
          <w:rFonts w:asciiTheme="minorEastAsia" w:hAnsiTheme="minorEastAsia" w:eastAsiaTheme="minorEastAsia"/>
          <w:color w:val="auto"/>
          <w:sz w:val="24"/>
          <w:lang w:val="zh-TW" w:bidi="ar"/>
        </w:rPr>
      </w:pPr>
    </w:p>
    <w:p>
      <w:pPr>
        <w:pStyle w:val="4"/>
        <w:spacing w:before="0" w:line="360" w:lineRule="auto"/>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五、开启</w:t>
      </w:r>
    </w:p>
    <w:p>
      <w:pPr>
        <w:spacing w:line="360" w:lineRule="auto"/>
        <w:ind w:firstLine="480" w:firstLineChars="200"/>
        <w:rPr>
          <w:rFonts w:asciiTheme="minorEastAsia" w:hAnsiTheme="minorEastAsia" w:eastAsiaTheme="minorEastAsia"/>
          <w:bCs/>
          <w:color w:val="auto"/>
          <w:sz w:val="24"/>
          <w:u w:val="single"/>
        </w:rPr>
      </w:pPr>
      <w:r>
        <w:rPr>
          <w:rFonts w:asciiTheme="minorEastAsia" w:hAnsiTheme="minorEastAsia" w:eastAsiaTheme="minorEastAsia"/>
          <w:color w:val="auto"/>
          <w:sz w:val="24"/>
          <w:lang w:bidi="ar"/>
        </w:rPr>
        <w:t>时间：</w:t>
      </w:r>
      <w:r>
        <w:rPr>
          <w:rFonts w:hint="eastAsia" w:asciiTheme="minorEastAsia" w:hAnsiTheme="minorEastAsia" w:eastAsiaTheme="minorEastAsia"/>
          <w:color w:val="auto"/>
          <w:sz w:val="24"/>
        </w:rPr>
        <w:t>202</w:t>
      </w:r>
      <w:r>
        <w:rPr>
          <w:rFonts w:hint="eastAsia" w:asciiTheme="minorEastAsia" w:hAnsiTheme="minorEastAsia" w:eastAsiaTheme="minorEastAsia"/>
          <w:color w:val="auto"/>
          <w:sz w:val="24"/>
          <w:lang w:val="en-US" w:eastAsia="zh-CN"/>
        </w:rPr>
        <w:t>6</w:t>
      </w:r>
      <w:r>
        <w:rPr>
          <w:rFonts w:asciiTheme="minorEastAsia" w:hAnsiTheme="minorEastAsia" w:eastAsiaTheme="minorEastAsia"/>
          <w:color w:val="auto"/>
          <w:sz w:val="24"/>
        </w:rPr>
        <w:t>年</w:t>
      </w:r>
      <w:r>
        <w:rPr>
          <w:rFonts w:hint="eastAsia" w:asciiTheme="minorEastAsia" w:hAnsiTheme="minorEastAsia" w:eastAsiaTheme="minorEastAsia"/>
          <w:color w:val="auto"/>
          <w:sz w:val="24"/>
          <w:lang w:val="en-US" w:eastAsia="zh-CN"/>
        </w:rPr>
        <w:t>10</w:t>
      </w:r>
      <w:r>
        <w:rPr>
          <w:rFonts w:asciiTheme="minorEastAsia" w:hAnsiTheme="minorEastAsia" w:eastAsiaTheme="minorEastAsia"/>
          <w:color w:val="auto"/>
          <w:sz w:val="24"/>
        </w:rPr>
        <w:t>月</w:t>
      </w:r>
      <w:r>
        <w:rPr>
          <w:rFonts w:hint="eastAsia" w:asciiTheme="minorEastAsia" w:hAnsiTheme="minorEastAsia" w:eastAsiaTheme="minorEastAsia"/>
          <w:color w:val="auto"/>
          <w:sz w:val="24"/>
          <w:lang w:val="en-US" w:eastAsia="zh-CN"/>
        </w:rPr>
        <w:t>15</w:t>
      </w:r>
      <w:r>
        <w:rPr>
          <w:rFonts w:asciiTheme="minorEastAsia" w:hAnsiTheme="minorEastAsia" w:eastAsiaTheme="minorEastAsia"/>
          <w:color w:val="auto"/>
          <w:sz w:val="24"/>
        </w:rPr>
        <w:t>日09点</w:t>
      </w:r>
      <w:r>
        <w:rPr>
          <w:rFonts w:hint="eastAsia" w:asciiTheme="minorEastAsia" w:hAnsiTheme="minorEastAsia" w:eastAsiaTheme="minorEastAsia"/>
          <w:color w:val="auto"/>
          <w:sz w:val="24"/>
          <w:lang w:val="en-US" w:eastAsia="zh-CN"/>
        </w:rPr>
        <w:t>0</w:t>
      </w:r>
      <w:r>
        <w:rPr>
          <w:rFonts w:asciiTheme="minorEastAsia" w:hAnsiTheme="minorEastAsia" w:eastAsiaTheme="minorEastAsia"/>
          <w:color w:val="auto"/>
          <w:sz w:val="24"/>
        </w:rPr>
        <w:t>0分</w:t>
      </w:r>
      <w:r>
        <w:rPr>
          <w:rFonts w:asciiTheme="minorEastAsia" w:hAnsiTheme="minorEastAsia" w:eastAsiaTheme="minorEastAsia"/>
          <w:bCs/>
          <w:color w:val="auto"/>
          <w:sz w:val="24"/>
          <w:lang w:bidi="ar"/>
        </w:rPr>
        <w:t>（北京时间）</w:t>
      </w:r>
      <w:r>
        <w:rPr>
          <w:rFonts w:asciiTheme="minorEastAsia" w:hAnsiTheme="minorEastAsia" w:eastAsiaTheme="minorEastAsia"/>
          <w:iCs/>
          <w:color w:val="auto"/>
          <w:sz w:val="24"/>
          <w:lang w:bidi="ar"/>
        </w:rPr>
        <w:t>。</w:t>
      </w:r>
    </w:p>
    <w:p>
      <w:pPr>
        <w:spacing w:line="360" w:lineRule="auto"/>
        <w:ind w:firstLine="480" w:firstLineChars="200"/>
        <w:rPr>
          <w:rFonts w:asciiTheme="minorEastAsia" w:hAnsiTheme="minorEastAsia" w:eastAsiaTheme="minorEastAsia"/>
          <w:bCs/>
          <w:color w:val="auto"/>
          <w:sz w:val="24"/>
          <w:u w:val="single"/>
        </w:rPr>
      </w:pPr>
      <w:r>
        <w:rPr>
          <w:rFonts w:asciiTheme="minorEastAsia" w:hAnsiTheme="minorEastAsia" w:eastAsiaTheme="minorEastAsia"/>
          <w:color w:val="auto"/>
          <w:sz w:val="24"/>
          <w:lang w:bidi="ar"/>
        </w:rPr>
        <w:t>地点：</w:t>
      </w:r>
      <w:r>
        <w:rPr>
          <w:rFonts w:hint="eastAsia" w:asciiTheme="minorEastAsia" w:hAnsiTheme="minorEastAsia" w:eastAsiaTheme="minorEastAsia"/>
          <w:color w:val="auto"/>
          <w:sz w:val="24"/>
          <w:lang w:bidi="ar"/>
        </w:rPr>
        <w:t>北京市政府采购电子交易平台。本项目采用远程电子开标方式，由供应商自行对电子响应文件进行解密（解密时限最长30分钟，超出时间未解密供应商自行承担责任），不接受纸质文件，无须供应商到达现场</w:t>
      </w:r>
      <w:r>
        <w:rPr>
          <w:rFonts w:asciiTheme="minorEastAsia" w:hAnsiTheme="minorEastAsia" w:eastAsiaTheme="minorEastAsia"/>
          <w:color w:val="auto"/>
          <w:sz w:val="24"/>
          <w:lang w:val="zh-TW" w:bidi="ar"/>
        </w:rPr>
        <w:t>。</w:t>
      </w:r>
    </w:p>
    <w:p>
      <w:pPr>
        <w:pStyle w:val="4"/>
        <w:spacing w:before="0" w:line="360" w:lineRule="auto"/>
        <w:jc w:val="left"/>
        <w:rPr>
          <w:rFonts w:asciiTheme="minorEastAsia" w:hAnsiTheme="minorEastAsia" w:eastAsiaTheme="minorEastAsia"/>
          <w:color w:val="auto"/>
          <w:kern w:val="0"/>
          <w:sz w:val="24"/>
        </w:rPr>
      </w:pPr>
      <w:bookmarkStart w:id="41" w:name="_Toc28359007"/>
      <w:bookmarkStart w:id="42" w:name="_Toc35393625"/>
      <w:bookmarkStart w:id="43" w:name="_Toc28359084"/>
      <w:bookmarkStart w:id="44" w:name="_Toc35393794"/>
      <w:r>
        <w:rPr>
          <w:rFonts w:asciiTheme="minorEastAsia" w:hAnsiTheme="minorEastAsia" w:eastAsiaTheme="minorEastAsia"/>
          <w:color w:val="auto"/>
          <w:sz w:val="24"/>
          <w:szCs w:val="24"/>
        </w:rPr>
        <w:t>六、公告期限</w:t>
      </w:r>
      <w:bookmarkEnd w:id="41"/>
      <w:bookmarkEnd w:id="42"/>
      <w:bookmarkEnd w:id="43"/>
      <w:bookmarkEnd w:id="44"/>
      <w:r>
        <w:rPr>
          <w:rFonts w:hint="eastAsia" w:asciiTheme="minorEastAsia" w:hAnsiTheme="minorEastAsia" w:eastAsiaTheme="minorEastAsia"/>
          <w:color w:val="auto"/>
          <w:sz w:val="24"/>
          <w:szCs w:val="24"/>
          <w:lang w:val="en-US" w:eastAsia="zh-CN"/>
        </w:rPr>
        <w:t>:本项目不公开发布采购公告</w:t>
      </w:r>
      <w:r>
        <w:rPr>
          <w:rFonts w:asciiTheme="minorEastAsia" w:hAnsiTheme="minorEastAsia" w:eastAsiaTheme="minorEastAsia"/>
          <w:color w:val="auto"/>
          <w:kern w:val="0"/>
          <w:sz w:val="24"/>
        </w:rPr>
        <w:t>。</w:t>
      </w:r>
    </w:p>
    <w:p>
      <w:pPr>
        <w:pStyle w:val="7"/>
        <w:rPr>
          <w:rFonts w:asciiTheme="minorEastAsia" w:hAnsiTheme="minorEastAsia" w:eastAsiaTheme="minorEastAsia"/>
          <w:color w:val="auto"/>
        </w:rPr>
      </w:pPr>
    </w:p>
    <w:p>
      <w:pPr>
        <w:pStyle w:val="4"/>
        <w:spacing w:before="0" w:line="360" w:lineRule="auto"/>
        <w:jc w:val="left"/>
        <w:rPr>
          <w:rFonts w:asciiTheme="minorEastAsia" w:hAnsiTheme="minorEastAsia" w:eastAsiaTheme="minorEastAsia"/>
          <w:color w:val="auto"/>
          <w:sz w:val="24"/>
          <w:szCs w:val="24"/>
        </w:rPr>
      </w:pPr>
      <w:bookmarkStart w:id="45" w:name="_Toc35393626"/>
      <w:bookmarkStart w:id="46" w:name="_Toc35393795"/>
      <w:r>
        <w:rPr>
          <w:rFonts w:asciiTheme="minorEastAsia" w:hAnsiTheme="minorEastAsia" w:eastAsiaTheme="minorEastAsia"/>
          <w:color w:val="auto"/>
          <w:sz w:val="24"/>
          <w:szCs w:val="24"/>
        </w:rPr>
        <w:t>七、其他补充事宜</w:t>
      </w:r>
      <w:bookmarkEnd w:id="45"/>
      <w:bookmarkEnd w:id="46"/>
    </w:p>
    <w:p>
      <w:pPr>
        <w:spacing w:line="360" w:lineRule="auto"/>
        <w:ind w:firstLine="480" w:firstLineChars="200"/>
        <w:jc w:val="left"/>
        <w:rPr>
          <w:rFonts w:asciiTheme="minorEastAsia" w:hAnsiTheme="minorEastAsia" w:eastAsiaTheme="minorEastAsia"/>
          <w:color w:val="auto"/>
          <w:sz w:val="24"/>
        </w:rPr>
      </w:pPr>
      <w:bookmarkStart w:id="47" w:name="OLE_LINK34"/>
      <w:bookmarkStart w:id="48" w:name="OLE_LINK29"/>
      <w:bookmarkStart w:id="49" w:name="OLE_LINK14"/>
      <w:bookmarkStart w:id="50" w:name="OLE_LINK11"/>
      <w:r>
        <w:rPr>
          <w:rFonts w:asciiTheme="minorEastAsia" w:hAnsiTheme="minorEastAsia" w:eastAsiaTheme="minorEastAsia"/>
          <w:color w:val="auto"/>
          <w:sz w:val="24"/>
        </w:rPr>
        <w:t>1.本项目需要落实的政府采购政策</w:t>
      </w:r>
      <w:r>
        <w:rPr>
          <w:rFonts w:hint="eastAsia" w:asciiTheme="minorEastAsia" w:hAnsiTheme="minorEastAsia" w:eastAsiaTheme="minorEastAsia"/>
          <w:color w:val="auto"/>
          <w:sz w:val="24"/>
        </w:rPr>
        <w:t>：</w:t>
      </w:r>
    </w:p>
    <w:p>
      <w:pPr>
        <w:widowControl/>
        <w:adjustRightInd w:val="0"/>
        <w:snapToGrid w:val="0"/>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《中华人民共和国政府采购法》、《中华人民共和国政府采购法实施条例》、</w:t>
      </w:r>
      <w:r>
        <w:rPr>
          <w:rFonts w:hint="eastAsia" w:ascii="宋体" w:hAnsi="宋体" w:cs="宋体"/>
          <w:b w:val="0"/>
          <w:bCs w:val="0"/>
          <w:kern w:val="0"/>
          <w:sz w:val="24"/>
        </w:rPr>
        <w:t>《政府采购竞争性磋商采购方式管理暂行办法》</w:t>
      </w:r>
      <w:r>
        <w:rPr>
          <w:rFonts w:hint="eastAsia" w:ascii="宋体" w:hAnsi="宋体" w:cs="宋体"/>
          <w:b w:val="0"/>
          <w:bCs w:val="0"/>
          <w:kern w:val="0"/>
          <w:sz w:val="24"/>
          <w:lang w:eastAsia="zh-CN"/>
        </w:rPr>
        <w:t>（财库〔2014〕214号）、《财政部关于政府采购竞争性磋商采购方式管理暂行办法有关问题的补充通知》、</w:t>
      </w:r>
      <w:r>
        <w:rPr>
          <w:rFonts w:hint="eastAsia" w:ascii="宋体" w:hAnsi="宋体" w:eastAsia="宋体" w:cs="宋体"/>
          <w:i w:val="0"/>
          <w:caps w:val="0"/>
          <w:color w:val="000000"/>
          <w:spacing w:val="0"/>
          <w:sz w:val="24"/>
          <w:szCs w:val="24"/>
          <w:shd w:val="clear" w:fill="FFFFFF"/>
        </w:rPr>
        <w:t>中华人民共和国财政部令第94号《政府采购质疑和投诉办法》</w:t>
      </w:r>
      <w:r>
        <w:rPr>
          <w:rFonts w:hint="eastAsia" w:ascii="宋体" w:hAnsi="宋体" w:eastAsia="宋体" w:cs="宋体"/>
          <w:i w:val="0"/>
          <w:caps w:val="0"/>
          <w:color w:val="000000"/>
          <w:spacing w:val="0"/>
          <w:sz w:val="24"/>
          <w:szCs w:val="24"/>
          <w:shd w:val="clear" w:fill="FFFFFF"/>
          <w:lang w:eastAsia="zh-CN"/>
        </w:rPr>
        <w:t>、中华人民共和国财政部令第101号《政府采购信息发布管理办法》、</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中华人民共和国财政部令第102号《政府购买服务管理办法》</w:t>
      </w:r>
      <w:r>
        <w:rPr>
          <w:rFonts w:hint="eastAsia" w:asciiTheme="minorEastAsia" w:hAnsiTheme="minorEastAsia" w:eastAsiaTheme="minorEastAsia"/>
          <w:color w:val="auto"/>
          <w:sz w:val="24"/>
          <w:lang w:eastAsia="zh-CN"/>
        </w:rPr>
        <w:t>、</w:t>
      </w:r>
      <w:r>
        <w:rPr>
          <w:rFonts w:asciiTheme="minorEastAsia" w:hAnsiTheme="minorEastAsia" w:eastAsiaTheme="minorEastAsia"/>
          <w:color w:val="auto"/>
          <w:sz w:val="24"/>
        </w:rPr>
        <w:t>《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w:t>
      </w:r>
      <w:r>
        <w:rPr>
          <w:rFonts w:hint="eastAsia" w:asciiTheme="minorEastAsia" w:hAnsiTheme="minorEastAsia" w:eastAsiaTheme="minorEastAsia"/>
          <w:color w:val="auto"/>
          <w:sz w:val="24"/>
        </w:rPr>
        <w:t>、</w:t>
      </w:r>
      <w:r>
        <w:rPr>
          <w:rFonts w:ascii="宋体" w:hAnsi="宋体"/>
          <w:color w:val="auto"/>
          <w:sz w:val="24"/>
        </w:rPr>
        <w:t>《政府采购促进中小企业发展管理办法》（财库[2020]46号）</w:t>
      </w:r>
      <w:r>
        <w:rPr>
          <w:rFonts w:hint="eastAsia" w:ascii="宋体" w:hAnsi="宋体"/>
          <w:color w:val="auto"/>
          <w:sz w:val="24"/>
        </w:rPr>
        <w:t>、</w:t>
      </w:r>
      <w:r>
        <w:rPr>
          <w:rFonts w:hint="eastAsia" w:asciiTheme="minorEastAsia" w:hAnsiTheme="minorEastAsia" w:eastAsiaTheme="minorEastAsia"/>
          <w:color w:val="auto"/>
          <w:sz w:val="24"/>
        </w:rPr>
        <w:t>北京市石景山区财政局《转发北京市财政局 中国人民银行营业管理部关于推进政府采购合同线上融资有关工作的通知》</w:t>
      </w:r>
      <w:r>
        <w:rPr>
          <w:rFonts w:hint="eastAsia" w:asciiTheme="minorEastAsia" w:hAnsiTheme="minorEastAsia" w:eastAsiaTheme="minorEastAsia"/>
          <w:color w:val="auto"/>
          <w:sz w:val="24"/>
          <w:lang w:eastAsia="zh-CN"/>
        </w:rPr>
        <w:t>、</w:t>
      </w:r>
      <w:r>
        <w:rPr>
          <w:rFonts w:hint="eastAsia" w:ascii="宋体" w:hAnsi="宋体"/>
          <w:color w:val="auto"/>
          <w:sz w:val="24"/>
        </w:rPr>
        <w:t>《财政部关于推动解决政府采购异常低价问题的通知》（财办库〔2026〕2号）</w:t>
      </w:r>
      <w:r>
        <w:rPr>
          <w:rFonts w:hint="eastAsia" w:ascii="宋体" w:hAnsi="宋体"/>
          <w:color w:val="auto"/>
          <w:sz w:val="24"/>
          <w:lang w:eastAsia="zh-CN"/>
        </w:rPr>
        <w:t>、《国务院办公厅关于在政府采购中实施本国产品标准及相关政策的通知》（国办发〔2025〕34号）、《关于贯彻落实&lt;国务院办公厅关于在政府采购中实施本国产品标准及相关政策的通知&gt;的意见》（财库〔2025〕30号）、</w:t>
      </w:r>
      <w:r>
        <w:rPr>
          <w:rFonts w:hint="eastAsia" w:asciiTheme="minorEastAsia" w:hAnsiTheme="minorEastAsia" w:eastAsiaTheme="minorEastAsia"/>
          <w:color w:val="auto"/>
          <w:sz w:val="24"/>
          <w:lang w:eastAsia="zh-CN"/>
        </w:rPr>
        <w:t>北京市财政局《关于转发财政部在政府采购中实施本国产品标准和解决异常低价问题有关事项的通知》（京财采购〔2026〕211号）</w:t>
      </w:r>
      <w:r>
        <w:rPr>
          <w:rFonts w:hint="eastAsia" w:asciiTheme="minorEastAsia" w:hAnsiTheme="minorEastAsia" w:eastAsiaTheme="minorEastAsia"/>
          <w:color w:val="auto"/>
          <w:sz w:val="24"/>
        </w:rPr>
        <w:t>及其它相关法律法规。</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2</w:t>
      </w:r>
      <w:r>
        <w:rPr>
          <w:rFonts w:asciiTheme="minorEastAsia" w:hAnsiTheme="minorEastAsia" w:eastAsiaTheme="minorEastAsia"/>
          <w:color w:val="auto"/>
          <w:sz w:val="24"/>
          <w:lang w:bidi="ar"/>
        </w:rPr>
        <w:t>.</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 xml:space="preserve">CA数字证书服务热线 </w:t>
      </w:r>
      <w:r>
        <w:rPr>
          <w:rFonts w:asciiTheme="minorEastAsia" w:hAnsiTheme="minorEastAsia" w:eastAsiaTheme="minorEastAsia"/>
          <w:color w:val="auto"/>
          <w:sz w:val="24"/>
          <w:lang w:bidi="ar"/>
        </w:rPr>
        <w:t xml:space="preserve"> </w:t>
      </w:r>
      <w:r>
        <w:rPr>
          <w:rFonts w:hint="eastAsia" w:asciiTheme="minorEastAsia" w:hAnsiTheme="minorEastAsia" w:eastAsiaTheme="minorEastAsia"/>
          <w:color w:val="auto"/>
          <w:sz w:val="24"/>
          <w:lang w:bidi="ar"/>
        </w:rPr>
        <w:t>010-58511086</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电子营业执照服务热线 400-699-7000</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 xml:space="preserve">技术支持服务热线 </w:t>
      </w:r>
      <w:r>
        <w:rPr>
          <w:rFonts w:asciiTheme="minorEastAsia" w:hAnsiTheme="minorEastAsia" w:eastAsiaTheme="minorEastAsia"/>
          <w:color w:val="auto"/>
          <w:sz w:val="24"/>
          <w:lang w:bidi="ar"/>
        </w:rPr>
        <w:t xml:space="preserve">    </w:t>
      </w:r>
      <w:r>
        <w:rPr>
          <w:rFonts w:hint="eastAsia" w:asciiTheme="minorEastAsia" w:hAnsiTheme="minorEastAsia" w:eastAsiaTheme="minorEastAsia"/>
          <w:color w:val="auto"/>
          <w:sz w:val="24"/>
          <w:lang w:bidi="ar"/>
        </w:rPr>
        <w:t>010-86483801</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2.1</w:t>
      </w:r>
      <w:r>
        <w:rPr>
          <w:rFonts w:hint="eastAsia" w:asciiTheme="minorEastAsia" w:hAnsiTheme="minorEastAsia" w:eastAsiaTheme="minorEastAsia"/>
          <w:color w:val="auto"/>
          <w:sz w:val="24"/>
          <w:lang w:bidi="ar"/>
        </w:rPr>
        <w:t>办理CA数字证书或电子营业执照</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供应商登录北京市政府采购电子交易平台查阅 “用户指南”—“操作指南”—“市场主体CA办理操作流程指引”/“电子营业执照使用指南”，按照程序要求办理。</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2.2注册</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2.3驱动、客户端下载</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供应商登录北京市政府采购电子交易平台“用户指南”—“工具下载”—“招标采购系统文件驱动安装包”下载相关驱动。</w:t>
      </w:r>
    </w:p>
    <w:p>
      <w:pPr>
        <w:widowControl/>
        <w:adjustRightInd w:val="0"/>
        <w:snapToGrid w:val="0"/>
        <w:spacing w:line="360" w:lineRule="auto"/>
        <w:ind w:firstLine="480" w:firstLineChars="200"/>
        <w:jc w:val="left"/>
        <w:rPr>
          <w:rFonts w:asciiTheme="minorEastAsia" w:hAnsiTheme="minorEastAsia" w:eastAsiaTheme="minorEastAsia"/>
          <w:color w:val="auto"/>
          <w:sz w:val="24"/>
        </w:rPr>
      </w:pPr>
      <w:r>
        <w:rPr>
          <w:rFonts w:hint="eastAsia" w:asciiTheme="minorEastAsia" w:hAnsiTheme="minorEastAsia" w:eastAsiaTheme="minorEastAsia"/>
          <w:color w:val="auto"/>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2.4获取电子竞争性磋商文件</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供应商使用CA数字证书或电子营业执照登录北京市政府采购电子交易平台获取电子竞争性磋商文件。</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r>
        <w:rPr>
          <w:rFonts w:asciiTheme="minorEastAsia" w:hAnsiTheme="minorEastAsia" w:eastAsiaTheme="minorEastAsia"/>
          <w:color w:val="auto"/>
          <w:sz w:val="24"/>
          <w:lang w:bidi="ar"/>
        </w:rPr>
        <w:t>。</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2.5</w:t>
      </w:r>
      <w:r>
        <w:rPr>
          <w:rFonts w:hint="eastAsia" w:asciiTheme="minorEastAsia" w:hAnsiTheme="minorEastAsia" w:eastAsiaTheme="minorEastAsia"/>
          <w:color w:val="auto"/>
          <w:sz w:val="24"/>
          <w:lang w:bidi="ar"/>
        </w:rPr>
        <w:t>编制电子响应文件</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2.6</w:t>
      </w:r>
      <w:r>
        <w:rPr>
          <w:rFonts w:hint="eastAsia" w:asciiTheme="minorEastAsia" w:hAnsiTheme="minorEastAsia" w:eastAsiaTheme="minorEastAsia"/>
          <w:color w:val="auto"/>
          <w:sz w:val="24"/>
          <w:lang w:bidi="ar"/>
        </w:rPr>
        <w:t xml:space="preserve"> 提交电子响应文件</w:t>
      </w:r>
    </w:p>
    <w:p>
      <w:pPr>
        <w:adjustRightInd w:val="0"/>
        <w:snapToGrid w:val="0"/>
        <w:spacing w:line="360" w:lineRule="auto"/>
        <w:ind w:firstLine="480" w:firstLineChars="200"/>
        <w:rPr>
          <w:rFonts w:hint="eastAsia"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供应商应于响应文件提交截止时间前在北京市政府采购电子交易平台提交电子响应文件，上传电子响应文件过程中请保持与互联网的连接畅通。</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供应商应充分考虑到网络及系统平台可能存在的非正常情况，在</w:t>
      </w:r>
      <w:r>
        <w:rPr>
          <w:rFonts w:hint="eastAsia" w:asciiTheme="minorEastAsia" w:hAnsiTheme="minorEastAsia" w:eastAsiaTheme="minorEastAsia"/>
          <w:color w:val="auto"/>
          <w:sz w:val="24"/>
          <w:lang w:eastAsia="zh-CN" w:bidi="ar"/>
        </w:rPr>
        <w:t>响应</w:t>
      </w:r>
      <w:r>
        <w:rPr>
          <w:rFonts w:hint="eastAsia" w:asciiTheme="minorEastAsia" w:hAnsiTheme="minorEastAsia" w:eastAsiaTheme="minorEastAsia"/>
          <w:color w:val="auto"/>
          <w:sz w:val="24"/>
          <w:lang w:bidi="ar"/>
        </w:rPr>
        <w:t>文件递交截止时间之前完成上传。</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2.7</w:t>
      </w:r>
      <w:r>
        <w:rPr>
          <w:rFonts w:hint="eastAsia" w:asciiTheme="minorEastAsia" w:hAnsiTheme="minorEastAsia" w:eastAsiaTheme="minorEastAsia"/>
          <w:color w:val="auto"/>
          <w:sz w:val="24"/>
          <w:lang w:bidi="ar"/>
        </w:rPr>
        <w:t>开启响应文件</w:t>
      </w:r>
    </w:p>
    <w:p>
      <w:pPr>
        <w:pStyle w:val="7"/>
        <w:spacing w:line="360" w:lineRule="auto"/>
        <w:rPr>
          <w:rFonts w:asciiTheme="minorEastAsia" w:hAnsiTheme="minorEastAsia" w:eastAsiaTheme="minorEastAsia"/>
          <w:color w:val="auto"/>
          <w:lang w:bidi="ar"/>
        </w:rPr>
      </w:pPr>
      <w:r>
        <w:rPr>
          <w:rFonts w:hint="eastAsia" w:asciiTheme="minorEastAsia" w:hAnsiTheme="minorEastAsia" w:eastAsiaTheme="minorEastAsia"/>
          <w:color w:val="auto"/>
          <w:lang w:bidi="ar"/>
        </w:rPr>
        <w:t>供应商于磋商文件规定的开启时间、在开启地点使用CA数字证书或电子营业执照登录北京市政府采购电子交易平台解密并开启响应文件。如因供应商问题</w:t>
      </w:r>
      <w:r>
        <w:rPr>
          <w:rFonts w:hint="eastAsia" w:asciiTheme="minorEastAsia" w:hAnsiTheme="minorEastAsia" w:eastAsiaTheme="minorEastAsia"/>
          <w:color w:val="auto"/>
          <w:lang w:eastAsia="zh-CN" w:bidi="ar"/>
        </w:rPr>
        <w:t>（如忘记数字证书登陆密码或未在规定时限内完成解密等自身原因）</w:t>
      </w:r>
      <w:r>
        <w:rPr>
          <w:rFonts w:hint="eastAsia" w:asciiTheme="minorEastAsia" w:hAnsiTheme="minorEastAsia" w:eastAsiaTheme="minorEastAsia"/>
          <w:color w:val="auto"/>
          <w:lang w:bidi="ar"/>
        </w:rPr>
        <w:t>，解密不成功，则响应无效。</w:t>
      </w:r>
    </w:p>
    <w:p>
      <w:pPr>
        <w:pStyle w:val="7"/>
        <w:spacing w:line="360" w:lineRule="auto"/>
        <w:rPr>
          <w:rFonts w:asciiTheme="minorEastAsia" w:hAnsiTheme="minorEastAsia" w:eastAsiaTheme="minorEastAsia"/>
          <w:color w:val="auto"/>
          <w:lang w:bidi="ar"/>
        </w:rPr>
      </w:pPr>
      <w:r>
        <w:rPr>
          <w:rFonts w:hint="eastAsia" w:asciiTheme="minorEastAsia" w:hAnsiTheme="minorEastAsia" w:eastAsiaTheme="minorEastAsia"/>
          <w:color w:val="auto"/>
          <w:lang w:eastAsia="zh-CN" w:bidi="ar"/>
        </w:rPr>
        <w:t>如</w:t>
      </w:r>
      <w:r>
        <w:rPr>
          <w:rFonts w:hint="eastAsia" w:asciiTheme="minorEastAsia" w:hAnsiTheme="minorEastAsia" w:eastAsiaTheme="minorEastAsia"/>
          <w:color w:val="auto"/>
          <w:lang w:bidi="ar"/>
        </w:rPr>
        <w:t>供应商已申请多</w:t>
      </w:r>
      <w:r>
        <w:rPr>
          <w:rFonts w:hint="eastAsia" w:asciiTheme="minorEastAsia" w:hAnsiTheme="minorEastAsia" w:eastAsiaTheme="minorEastAsia"/>
          <w:color w:val="auto"/>
          <w:lang w:eastAsia="zh-CN" w:bidi="ar"/>
        </w:rPr>
        <w:t>个</w:t>
      </w:r>
      <w:r>
        <w:rPr>
          <w:rFonts w:hint="eastAsia" w:asciiTheme="minorEastAsia" w:hAnsiTheme="minorEastAsia" w:eastAsiaTheme="minorEastAsia"/>
          <w:color w:val="auto"/>
          <w:lang w:bidi="ar"/>
        </w:rPr>
        <w:t>数字证书，</w:t>
      </w:r>
      <w:r>
        <w:rPr>
          <w:rFonts w:hint="eastAsia" w:asciiTheme="minorEastAsia" w:hAnsiTheme="minorEastAsia" w:eastAsiaTheme="minorEastAsia"/>
          <w:color w:val="auto"/>
          <w:lang w:eastAsia="zh-CN" w:bidi="ar"/>
        </w:rPr>
        <w:t>应</w:t>
      </w:r>
      <w:r>
        <w:rPr>
          <w:rFonts w:hint="eastAsia" w:asciiTheme="minorEastAsia" w:hAnsiTheme="minorEastAsia" w:eastAsiaTheme="minorEastAsia"/>
          <w:color w:val="auto"/>
          <w:lang w:bidi="ar"/>
        </w:rPr>
        <w:t>确保制作的</w:t>
      </w:r>
      <w:r>
        <w:rPr>
          <w:rFonts w:hint="eastAsia" w:asciiTheme="minorEastAsia" w:hAnsiTheme="minorEastAsia" w:eastAsiaTheme="minorEastAsia"/>
          <w:color w:val="auto"/>
          <w:lang w:eastAsia="zh-CN" w:bidi="ar"/>
        </w:rPr>
        <w:t>响应</w:t>
      </w:r>
      <w:r>
        <w:rPr>
          <w:rFonts w:hint="eastAsia" w:asciiTheme="minorEastAsia" w:hAnsiTheme="minorEastAsia" w:eastAsiaTheme="minorEastAsia"/>
          <w:color w:val="auto"/>
          <w:lang w:bidi="ar"/>
        </w:rPr>
        <w:t>文件和</w:t>
      </w:r>
      <w:r>
        <w:rPr>
          <w:rFonts w:hint="eastAsia" w:asciiTheme="minorEastAsia" w:hAnsiTheme="minorEastAsia" w:eastAsiaTheme="minorEastAsia"/>
          <w:color w:val="auto"/>
          <w:lang w:eastAsia="zh-CN" w:bidi="ar"/>
        </w:rPr>
        <w:t>开启</w:t>
      </w:r>
      <w:r>
        <w:rPr>
          <w:rFonts w:hint="eastAsia" w:asciiTheme="minorEastAsia" w:hAnsiTheme="minorEastAsia" w:eastAsiaTheme="minorEastAsia"/>
          <w:color w:val="auto"/>
          <w:lang w:bidi="ar"/>
        </w:rPr>
        <w:t>解密时使用的数字证书一致。</w:t>
      </w:r>
    </w:p>
    <w:p>
      <w:pPr>
        <w:adjustRightInd w:val="0"/>
        <w:snapToGrid w:val="0"/>
        <w:spacing w:line="360" w:lineRule="auto"/>
        <w:ind w:firstLine="482" w:firstLineChars="200"/>
        <w:rPr>
          <w:rFonts w:asciiTheme="minorEastAsia" w:hAnsiTheme="minorEastAsia" w:eastAsiaTheme="minorEastAsia"/>
          <w:b/>
          <w:bCs/>
          <w:color w:val="FF0000"/>
          <w:sz w:val="24"/>
          <w:lang w:bidi="ar"/>
        </w:rPr>
      </w:pPr>
      <w:r>
        <w:rPr>
          <w:rFonts w:asciiTheme="minorEastAsia" w:hAnsiTheme="minorEastAsia" w:eastAsiaTheme="minorEastAsia"/>
          <w:b/>
          <w:bCs/>
          <w:color w:val="FF0000"/>
          <w:sz w:val="24"/>
          <w:lang w:bidi="ar"/>
        </w:rPr>
        <w:t>2.8</w:t>
      </w:r>
      <w:r>
        <w:rPr>
          <w:rFonts w:hint="eastAsia" w:asciiTheme="minorEastAsia" w:hAnsiTheme="minorEastAsia" w:eastAsiaTheme="minorEastAsia"/>
          <w:b/>
          <w:bCs/>
          <w:color w:val="FF0000"/>
          <w:sz w:val="24"/>
          <w:lang w:bidi="ar"/>
        </w:rPr>
        <w:t>最后报价填报</w:t>
      </w:r>
    </w:p>
    <w:bookmarkEnd w:id="47"/>
    <w:bookmarkEnd w:id="48"/>
    <w:bookmarkEnd w:id="49"/>
    <w:bookmarkEnd w:id="50"/>
    <w:p>
      <w:pPr>
        <w:spacing w:line="360" w:lineRule="auto"/>
        <w:ind w:right="-168" w:rightChars="-80" w:firstLine="482" w:firstLineChars="200"/>
        <w:rPr>
          <w:rFonts w:asciiTheme="minorEastAsia" w:hAnsiTheme="minorEastAsia" w:eastAsiaTheme="minorEastAsia"/>
          <w:b/>
          <w:bCs/>
          <w:color w:val="FF0000"/>
          <w:sz w:val="24"/>
          <w:lang w:bidi="ar"/>
        </w:rPr>
      </w:pPr>
      <w:r>
        <w:rPr>
          <w:rFonts w:hint="eastAsia" w:asciiTheme="minorEastAsia" w:hAnsiTheme="minorEastAsia" w:eastAsiaTheme="minorEastAsia"/>
          <w:b/>
          <w:bCs/>
          <w:color w:val="FF0000"/>
          <w:sz w:val="24"/>
          <w:lang w:bidi="ar"/>
        </w:rPr>
        <w:t>磋商结束后，磋商小组将要求所有实质性响应的供应商在规定时间内</w:t>
      </w:r>
      <w:r>
        <w:rPr>
          <w:rFonts w:hint="eastAsia" w:asciiTheme="minorEastAsia" w:hAnsiTheme="minorEastAsia" w:eastAsiaTheme="minorEastAsia"/>
          <w:b/>
          <w:bCs/>
          <w:color w:val="FF0000"/>
          <w:sz w:val="24"/>
          <w:lang w:eastAsia="zh-CN" w:bidi="ar"/>
        </w:rPr>
        <w:t>在</w:t>
      </w:r>
      <w:r>
        <w:rPr>
          <w:rFonts w:hint="eastAsia" w:asciiTheme="minorEastAsia" w:hAnsiTheme="minorEastAsia" w:eastAsiaTheme="minorEastAsia"/>
          <w:b/>
          <w:bCs/>
          <w:color w:val="FF0000"/>
          <w:sz w:val="24"/>
          <w:lang w:bidi="ar"/>
        </w:rPr>
        <w:t>北京市政府采购电子交易平台提交最后报价。最后报价时间为磋商小组</w:t>
      </w:r>
      <w:r>
        <w:rPr>
          <w:rFonts w:hint="eastAsia" w:asciiTheme="minorEastAsia" w:hAnsiTheme="minorEastAsia" w:eastAsiaTheme="minorEastAsia"/>
          <w:b/>
          <w:bCs/>
          <w:color w:val="FF0000"/>
          <w:sz w:val="24"/>
          <w:lang w:eastAsia="zh-CN" w:bidi="ar"/>
        </w:rPr>
        <w:t>在</w:t>
      </w:r>
      <w:bookmarkStart w:id="51" w:name="OLE_LINK1"/>
      <w:r>
        <w:rPr>
          <w:rFonts w:hint="eastAsia" w:asciiTheme="minorEastAsia" w:hAnsiTheme="minorEastAsia" w:eastAsiaTheme="minorEastAsia"/>
          <w:b/>
          <w:bCs/>
          <w:color w:val="FF0000"/>
          <w:sz w:val="24"/>
          <w:lang w:eastAsia="zh-CN" w:bidi="ar"/>
        </w:rPr>
        <w:t>磋商开启当天</w:t>
      </w:r>
      <w:bookmarkEnd w:id="51"/>
      <w:r>
        <w:rPr>
          <w:rFonts w:hint="eastAsia" w:asciiTheme="minorEastAsia" w:hAnsiTheme="minorEastAsia" w:eastAsiaTheme="minorEastAsia"/>
          <w:b/>
          <w:bCs/>
          <w:color w:val="FF0000"/>
          <w:sz w:val="24"/>
          <w:lang w:bidi="ar"/>
        </w:rPr>
        <w:t>指定的时间，具体时间根据磋商进度另行通知。</w:t>
      </w:r>
      <w:r>
        <w:rPr>
          <w:rFonts w:hint="eastAsia" w:asciiTheme="minorEastAsia" w:hAnsiTheme="minorEastAsia" w:eastAsiaTheme="minorEastAsia"/>
          <w:b/>
          <w:bCs/>
          <w:color w:val="FF0000"/>
          <w:sz w:val="24"/>
          <w:lang w:eastAsia="zh-CN" w:bidi="ar"/>
        </w:rPr>
        <w:t>请供应商保持通讯畅通。</w:t>
      </w:r>
    </w:p>
    <w:p>
      <w:pPr>
        <w:pStyle w:val="7"/>
        <w:rPr>
          <w:rFonts w:asciiTheme="minorEastAsia" w:hAnsiTheme="minorEastAsia" w:eastAsiaTheme="minorEastAsia"/>
          <w:color w:val="auto"/>
          <w:lang w:bidi="ar"/>
        </w:rPr>
      </w:pPr>
    </w:p>
    <w:p>
      <w:pPr>
        <w:pStyle w:val="4"/>
        <w:spacing w:before="0" w:line="360" w:lineRule="auto"/>
        <w:jc w:val="left"/>
        <w:rPr>
          <w:rFonts w:asciiTheme="minorEastAsia" w:hAnsiTheme="minorEastAsia" w:eastAsiaTheme="minorEastAsia"/>
          <w:color w:val="auto"/>
          <w:sz w:val="24"/>
          <w:szCs w:val="24"/>
        </w:rPr>
      </w:pPr>
      <w:bookmarkStart w:id="52" w:name="_Toc28359085"/>
      <w:bookmarkStart w:id="53" w:name="_Toc35393627"/>
      <w:bookmarkStart w:id="54" w:name="_Toc28359008"/>
      <w:bookmarkStart w:id="55" w:name="_Toc35393796"/>
      <w:r>
        <w:rPr>
          <w:rFonts w:asciiTheme="minorEastAsia" w:hAnsiTheme="minorEastAsia" w:eastAsiaTheme="minorEastAsia"/>
          <w:color w:val="auto"/>
          <w:sz w:val="24"/>
          <w:szCs w:val="24"/>
        </w:rPr>
        <w:t>八、对本</w:t>
      </w:r>
      <w:r>
        <w:rPr>
          <w:rFonts w:hint="eastAsia" w:asciiTheme="minorEastAsia" w:hAnsiTheme="minorEastAsia" w:eastAsiaTheme="minorEastAsia"/>
          <w:color w:val="auto"/>
          <w:sz w:val="24"/>
          <w:szCs w:val="24"/>
        </w:rPr>
        <w:t>次采购</w:t>
      </w:r>
      <w:r>
        <w:rPr>
          <w:rFonts w:asciiTheme="minorEastAsia" w:hAnsiTheme="minorEastAsia" w:eastAsiaTheme="minorEastAsia"/>
          <w:color w:val="auto"/>
          <w:sz w:val="24"/>
          <w:szCs w:val="24"/>
        </w:rPr>
        <w:t>提出询问，请按以下方式联系。</w:t>
      </w:r>
      <w:bookmarkEnd w:id="52"/>
      <w:bookmarkEnd w:id="53"/>
      <w:bookmarkEnd w:id="54"/>
      <w:bookmarkEnd w:id="55"/>
    </w:p>
    <w:p>
      <w:pPr>
        <w:widowControl/>
        <w:spacing w:line="360" w:lineRule="auto"/>
        <w:ind w:firstLine="723" w:firstLineChars="300"/>
        <w:jc w:val="left"/>
        <w:rPr>
          <w:rFonts w:asciiTheme="minorEastAsia" w:hAnsiTheme="minorEastAsia" w:eastAsiaTheme="minorEastAsia"/>
          <w:b/>
          <w:color w:val="auto"/>
          <w:sz w:val="24"/>
        </w:rPr>
      </w:pPr>
      <w:r>
        <w:rPr>
          <w:rFonts w:asciiTheme="minorEastAsia" w:hAnsiTheme="minorEastAsia" w:eastAsiaTheme="minorEastAsia"/>
          <w:b/>
          <w:color w:val="auto"/>
          <w:sz w:val="24"/>
        </w:rPr>
        <w:t>1.采购人信息</w:t>
      </w:r>
    </w:p>
    <w:p>
      <w:pPr>
        <w:spacing w:line="360" w:lineRule="auto"/>
        <w:ind w:left="1079" w:leftChars="371" w:hanging="300" w:hangingChars="125"/>
        <w:jc w:val="left"/>
        <w:rPr>
          <w:rFonts w:asciiTheme="minorEastAsia" w:hAnsiTheme="minorEastAsia" w:eastAsiaTheme="minorEastAsia"/>
          <w:color w:val="auto"/>
          <w:sz w:val="24"/>
        </w:rPr>
      </w:pPr>
      <w:bookmarkStart w:id="56" w:name="_Toc28359086"/>
      <w:bookmarkStart w:id="57" w:name="_Toc28359009"/>
      <w:r>
        <w:rPr>
          <w:rFonts w:asciiTheme="minorEastAsia" w:hAnsiTheme="minorEastAsia" w:eastAsiaTheme="minorEastAsia"/>
          <w:color w:val="auto"/>
          <w:sz w:val="24"/>
        </w:rPr>
        <w:t>名    称：</w:t>
      </w:r>
      <w:r>
        <w:rPr>
          <w:rFonts w:hint="eastAsia" w:asciiTheme="minorEastAsia" w:hAnsiTheme="minorEastAsia" w:eastAsiaTheme="minorEastAsia"/>
          <w:color w:val="auto"/>
          <w:sz w:val="24"/>
        </w:rPr>
        <w:t>北京市石景山区教育委员会教育技术装备中心</w:t>
      </w:r>
    </w:p>
    <w:p>
      <w:pPr>
        <w:spacing w:line="360" w:lineRule="auto"/>
        <w:ind w:left="1079" w:leftChars="371" w:hanging="300" w:hangingChars="125"/>
        <w:jc w:val="left"/>
        <w:rPr>
          <w:rFonts w:asciiTheme="minorEastAsia" w:hAnsiTheme="minorEastAsia" w:eastAsiaTheme="minorEastAsia"/>
          <w:color w:val="auto"/>
          <w:sz w:val="24"/>
        </w:rPr>
      </w:pPr>
      <w:r>
        <w:rPr>
          <w:rFonts w:asciiTheme="minorEastAsia" w:hAnsiTheme="minorEastAsia" w:eastAsiaTheme="minorEastAsia"/>
          <w:color w:val="auto"/>
          <w:sz w:val="24"/>
        </w:rPr>
        <w:t>地    址：</w:t>
      </w:r>
      <w:r>
        <w:rPr>
          <w:rFonts w:hint="eastAsia" w:asciiTheme="minorEastAsia" w:hAnsiTheme="minorEastAsia" w:eastAsiaTheme="minorEastAsia"/>
          <w:color w:val="auto"/>
          <w:sz w:val="24"/>
        </w:rPr>
        <w:t>北京市石景山区西井三区北门西侧胡同内</w:t>
      </w:r>
    </w:p>
    <w:p>
      <w:pPr>
        <w:spacing w:line="360" w:lineRule="auto"/>
        <w:ind w:left="1079" w:leftChars="371" w:hanging="300" w:hangingChars="125"/>
        <w:jc w:val="left"/>
        <w:rPr>
          <w:rFonts w:asciiTheme="minorEastAsia" w:hAnsiTheme="minorEastAsia" w:eastAsiaTheme="minorEastAsia"/>
          <w:color w:val="auto"/>
          <w:sz w:val="24"/>
        </w:rPr>
      </w:pPr>
      <w:r>
        <w:rPr>
          <w:rFonts w:asciiTheme="minorEastAsia" w:hAnsiTheme="minorEastAsia" w:eastAsiaTheme="minorEastAsia"/>
          <w:color w:val="auto"/>
          <w:sz w:val="24"/>
        </w:rPr>
        <w:t>联系方式</w:t>
      </w:r>
      <w:r>
        <w:rPr>
          <w:rFonts w:hint="eastAsia" w:asciiTheme="minorEastAsia" w:hAnsiTheme="minorEastAsia" w:eastAsiaTheme="minorEastAsia"/>
          <w:color w:val="auto"/>
          <w:sz w:val="24"/>
        </w:rPr>
        <w:t>：</w:t>
      </w:r>
      <w:bookmarkStart w:id="58" w:name="OLE_LINK5"/>
      <w:bookmarkStart w:id="59" w:name="OLE_LINK6"/>
      <w:r>
        <w:rPr>
          <w:rFonts w:hint="eastAsia" w:asciiTheme="minorEastAsia" w:hAnsiTheme="minorEastAsia" w:eastAsiaTheme="minorEastAsia"/>
          <w:color w:val="auto"/>
          <w:sz w:val="24"/>
          <w:lang w:eastAsia="zh-CN"/>
        </w:rPr>
        <w:t>韩同</w:t>
      </w:r>
      <w:r>
        <w:rPr>
          <w:rFonts w:hint="eastAsia" w:asciiTheme="minorEastAsia" w:hAnsiTheme="minorEastAsia" w:eastAsiaTheme="minorEastAsia"/>
          <w:color w:val="auto"/>
          <w:sz w:val="24"/>
        </w:rPr>
        <w:t>，010-</w:t>
      </w:r>
      <w:r>
        <w:rPr>
          <w:rFonts w:hint="eastAsia" w:asciiTheme="minorEastAsia" w:hAnsiTheme="minorEastAsia" w:eastAsiaTheme="minorEastAsia"/>
          <w:color w:val="auto"/>
          <w:sz w:val="24"/>
          <w:lang w:val="en-US" w:eastAsia="zh-CN"/>
        </w:rPr>
        <w:t>88963530</w:t>
      </w:r>
    </w:p>
    <w:bookmarkEnd w:id="58"/>
    <w:bookmarkEnd w:id="59"/>
    <w:p>
      <w:pPr>
        <w:spacing w:line="360" w:lineRule="auto"/>
        <w:ind w:left="1078" w:leftChars="371" w:hanging="299" w:hangingChars="124"/>
        <w:jc w:val="left"/>
        <w:rPr>
          <w:rFonts w:asciiTheme="minorEastAsia" w:hAnsiTheme="minorEastAsia" w:eastAsiaTheme="minorEastAsia"/>
          <w:b/>
          <w:color w:val="auto"/>
          <w:sz w:val="24"/>
        </w:rPr>
      </w:pPr>
      <w:r>
        <w:rPr>
          <w:rFonts w:asciiTheme="minorEastAsia" w:hAnsiTheme="minorEastAsia" w:eastAsiaTheme="minorEastAsia"/>
          <w:b/>
          <w:color w:val="auto"/>
          <w:sz w:val="24"/>
        </w:rPr>
        <w:t>2.采购代理机构信息</w:t>
      </w:r>
      <w:bookmarkEnd w:id="56"/>
      <w:bookmarkEnd w:id="57"/>
    </w:p>
    <w:p>
      <w:pPr>
        <w:spacing w:line="360" w:lineRule="auto"/>
        <w:ind w:left="1076" w:leftChars="371" w:hanging="297" w:hangingChars="124"/>
        <w:jc w:val="left"/>
        <w:rPr>
          <w:rFonts w:asciiTheme="minorEastAsia" w:hAnsiTheme="minorEastAsia" w:eastAsiaTheme="minorEastAsia"/>
          <w:color w:val="auto"/>
          <w:sz w:val="24"/>
        </w:rPr>
      </w:pPr>
      <w:bookmarkStart w:id="60" w:name="_Toc28359010"/>
      <w:bookmarkStart w:id="61" w:name="_Toc28359087"/>
      <w:r>
        <w:rPr>
          <w:rFonts w:asciiTheme="minorEastAsia" w:hAnsiTheme="minorEastAsia" w:eastAsiaTheme="minorEastAsia"/>
          <w:color w:val="auto"/>
          <w:sz w:val="24"/>
        </w:rPr>
        <w:t>名</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 xml:space="preserve">   称：</w:t>
      </w:r>
      <w:r>
        <w:rPr>
          <w:rFonts w:hint="eastAsia" w:asciiTheme="minorEastAsia" w:hAnsiTheme="minorEastAsia" w:eastAsiaTheme="minorEastAsia"/>
          <w:color w:val="auto"/>
          <w:sz w:val="24"/>
        </w:rPr>
        <w:t>北京市石景山区政府采购中心</w:t>
      </w:r>
    </w:p>
    <w:p>
      <w:pPr>
        <w:spacing w:line="360" w:lineRule="auto"/>
        <w:ind w:left="1076" w:leftChars="371" w:hanging="297" w:hangingChars="124"/>
        <w:jc w:val="left"/>
        <w:rPr>
          <w:rFonts w:asciiTheme="minorEastAsia" w:hAnsiTheme="minorEastAsia" w:eastAsiaTheme="minorEastAsia"/>
          <w:color w:val="auto"/>
          <w:sz w:val="24"/>
        </w:rPr>
      </w:pPr>
      <w:r>
        <w:rPr>
          <w:rFonts w:asciiTheme="minorEastAsia" w:hAnsiTheme="minorEastAsia" w:eastAsiaTheme="minorEastAsia"/>
          <w:color w:val="auto"/>
          <w:sz w:val="24"/>
        </w:rPr>
        <w:t>地</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 xml:space="preserve">   址：</w:t>
      </w:r>
      <w:r>
        <w:rPr>
          <w:rFonts w:hint="eastAsia" w:asciiTheme="minorEastAsia" w:hAnsiTheme="minorEastAsia" w:eastAsiaTheme="minorEastAsia"/>
          <w:color w:val="auto"/>
          <w:sz w:val="24"/>
        </w:rPr>
        <w:t>北京市石景山区京原西街6号院3号楼7层</w:t>
      </w:r>
    </w:p>
    <w:p>
      <w:pPr>
        <w:spacing w:line="360" w:lineRule="auto"/>
        <w:ind w:left="1076" w:leftChars="371" w:hanging="297" w:hangingChars="124"/>
        <w:jc w:val="left"/>
        <w:rPr>
          <w:rFonts w:asciiTheme="minorEastAsia" w:hAnsiTheme="minorEastAsia" w:eastAsiaTheme="minorEastAsia"/>
          <w:color w:val="auto"/>
          <w:sz w:val="24"/>
        </w:rPr>
      </w:pPr>
      <w:r>
        <w:rPr>
          <w:rFonts w:asciiTheme="minorEastAsia" w:hAnsiTheme="minorEastAsia" w:eastAsiaTheme="minorEastAsia"/>
          <w:color w:val="auto"/>
          <w:sz w:val="24"/>
        </w:rPr>
        <w:t>联系方式：</w:t>
      </w:r>
      <w:bookmarkStart w:id="62" w:name="OLE_LINK7"/>
      <w:bookmarkStart w:id="63" w:name="OLE_LINK24"/>
      <w:r>
        <w:rPr>
          <w:rFonts w:hint="eastAsia" w:asciiTheme="minorEastAsia" w:hAnsiTheme="minorEastAsia" w:eastAsiaTheme="minorEastAsia"/>
          <w:color w:val="auto"/>
          <w:sz w:val="24"/>
          <w:lang w:eastAsia="zh-CN"/>
        </w:rPr>
        <w:t>朱彦超</w:t>
      </w:r>
      <w:r>
        <w:rPr>
          <w:rFonts w:hint="eastAsia" w:asciiTheme="minorEastAsia" w:hAnsiTheme="minorEastAsia" w:eastAsiaTheme="minorEastAsia"/>
          <w:color w:val="auto"/>
          <w:sz w:val="24"/>
        </w:rPr>
        <w:t>，</w:t>
      </w:r>
      <w:bookmarkEnd w:id="62"/>
      <w:r>
        <w:rPr>
          <w:rFonts w:hint="eastAsia" w:asciiTheme="minorEastAsia" w:hAnsiTheme="minorEastAsia" w:eastAsiaTheme="minorEastAsia"/>
          <w:color w:val="auto"/>
          <w:sz w:val="24"/>
          <w:lang w:val="en-US" w:eastAsia="zh-CN"/>
        </w:rPr>
        <w:t>010-81927379</w:t>
      </w:r>
    </w:p>
    <w:bookmarkEnd w:id="63"/>
    <w:p>
      <w:pPr>
        <w:spacing w:line="360" w:lineRule="auto"/>
        <w:ind w:left="1078" w:leftChars="371" w:hanging="299" w:hangingChars="124"/>
        <w:rPr>
          <w:rFonts w:asciiTheme="minorEastAsia" w:hAnsiTheme="minorEastAsia" w:eastAsiaTheme="minorEastAsia"/>
          <w:b/>
          <w:color w:val="auto"/>
          <w:sz w:val="24"/>
          <w:u w:val="single"/>
        </w:rPr>
      </w:pPr>
      <w:r>
        <w:rPr>
          <w:rFonts w:asciiTheme="minorEastAsia" w:hAnsiTheme="minorEastAsia" w:eastAsiaTheme="minorEastAsia"/>
          <w:b/>
          <w:color w:val="auto"/>
          <w:sz w:val="24"/>
        </w:rPr>
        <w:t>3.项目联系方式</w:t>
      </w:r>
      <w:bookmarkEnd w:id="60"/>
      <w:bookmarkEnd w:id="61"/>
    </w:p>
    <w:p>
      <w:pPr>
        <w:pStyle w:val="50"/>
        <w:spacing w:line="360" w:lineRule="auto"/>
        <w:ind w:left="1076" w:leftChars="371" w:hanging="297" w:hangingChars="124"/>
        <w:rPr>
          <w:rFonts w:hint="default" w:asciiTheme="minorEastAsia" w:hAnsiTheme="minorEastAsia" w:eastAsiaTheme="minorEastAsia"/>
          <w:color w:val="auto"/>
          <w:sz w:val="24"/>
          <w:u w:val="single"/>
          <w:lang w:bidi="ar"/>
        </w:rPr>
      </w:pPr>
      <w:r>
        <w:rPr>
          <w:rFonts w:hint="default" w:asciiTheme="minorEastAsia" w:hAnsiTheme="minorEastAsia" w:eastAsiaTheme="minorEastAsia"/>
          <w:color w:val="auto"/>
          <w:sz w:val="24"/>
          <w:szCs w:val="24"/>
        </w:rPr>
        <w:t>项目联系人：</w:t>
      </w:r>
      <w:r>
        <w:rPr>
          <w:rFonts w:hint="eastAsia" w:asciiTheme="minorEastAsia" w:hAnsiTheme="minorEastAsia" w:eastAsiaTheme="minorEastAsia"/>
          <w:color w:val="auto"/>
          <w:sz w:val="24"/>
          <w:lang w:eastAsia="zh-CN"/>
        </w:rPr>
        <w:t>朱彦超</w:t>
      </w:r>
    </w:p>
    <w:p>
      <w:pPr>
        <w:pStyle w:val="50"/>
        <w:spacing w:line="360" w:lineRule="auto"/>
        <w:ind w:left="1076" w:leftChars="371" w:hanging="297" w:hangingChars="124"/>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rPr>
        <w:t>电</w:t>
      </w:r>
      <w:r>
        <w:rPr>
          <w:rFonts w:asciiTheme="minorEastAsia" w:hAnsiTheme="minorEastAsia" w:eastAsiaTheme="minorEastAsia"/>
          <w:color w:val="auto"/>
          <w:sz w:val="24"/>
        </w:rPr>
        <w:t xml:space="preserve"> </w:t>
      </w:r>
      <w:r>
        <w:rPr>
          <w:rFonts w:hint="default" w:asciiTheme="minorEastAsia" w:hAnsiTheme="minorEastAsia" w:eastAsiaTheme="minorEastAsia"/>
          <w:color w:val="auto"/>
          <w:sz w:val="24"/>
        </w:rPr>
        <w:t xml:space="preserve">     话：</w:t>
      </w:r>
      <w:r>
        <w:rPr>
          <w:rFonts w:hint="eastAsia" w:asciiTheme="minorEastAsia" w:hAnsiTheme="minorEastAsia" w:eastAsiaTheme="minorEastAsia"/>
          <w:color w:val="auto"/>
          <w:sz w:val="24"/>
          <w:lang w:val="en-US" w:eastAsia="zh-CN"/>
        </w:rPr>
        <w:t>010-81927379</w:t>
      </w:r>
    </w:p>
    <w:p>
      <w:pPr>
        <w:spacing w:line="360" w:lineRule="auto"/>
        <w:ind w:firstLine="5880" w:firstLineChars="2450"/>
        <w:jc w:val="right"/>
        <w:rPr>
          <w:rFonts w:asciiTheme="minorEastAsia" w:hAnsiTheme="minorEastAsia" w:eastAsiaTheme="minorEastAsia"/>
          <w:color w:val="auto"/>
          <w:sz w:val="24"/>
        </w:rPr>
      </w:pPr>
    </w:p>
    <w:p>
      <w:pPr>
        <w:spacing w:line="360" w:lineRule="auto"/>
        <w:jc w:val="center"/>
        <w:outlineLvl w:val="0"/>
        <w:rPr>
          <w:rFonts w:asciiTheme="minorEastAsia" w:hAnsiTheme="minorEastAsia" w:eastAsiaTheme="minorEastAsia"/>
          <w:b/>
          <w:color w:val="auto"/>
          <w:sz w:val="32"/>
          <w:szCs w:val="32"/>
        </w:rPr>
      </w:pPr>
      <w:r>
        <w:rPr>
          <w:rFonts w:asciiTheme="minorEastAsia" w:hAnsiTheme="minorEastAsia" w:eastAsiaTheme="minorEastAsia"/>
          <w:color w:val="auto"/>
          <w:sz w:val="24"/>
        </w:rPr>
        <w:br w:type="page"/>
      </w:r>
      <w:bookmarkStart w:id="64" w:name="_Toc353873938"/>
      <w:bookmarkStart w:id="65" w:name="_Toc512937850"/>
      <w:bookmarkStart w:id="66" w:name="_Toc305158854"/>
      <w:bookmarkStart w:id="67" w:name="_Toc264969275"/>
      <w:bookmarkStart w:id="68" w:name="_Toc305158928"/>
      <w:bookmarkStart w:id="69" w:name="_Toc265228423"/>
      <w:bookmarkStart w:id="70" w:name="_Toc184912279"/>
      <w:bookmarkStart w:id="71" w:name="_Toc353825548"/>
      <w:bookmarkStart w:id="72" w:name="_Toc127151777"/>
      <w:bookmarkStart w:id="73" w:name="_Toc150774783"/>
      <w:bookmarkStart w:id="74" w:name="_Toc226965856"/>
      <w:bookmarkStart w:id="75" w:name="_Toc127161488"/>
      <w:bookmarkStart w:id="76" w:name="_Toc195842950"/>
      <w:r>
        <w:rPr>
          <w:rFonts w:asciiTheme="minorEastAsia" w:hAnsiTheme="minorEastAsia" w:eastAsiaTheme="minorEastAsia"/>
          <w:b/>
          <w:color w:val="auto"/>
          <w:sz w:val="36"/>
          <w:szCs w:val="36"/>
        </w:rPr>
        <w:t>第二章</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供应商须知</w:t>
      </w:r>
      <w:bookmarkEnd w:id="64"/>
      <w:bookmarkEnd w:id="65"/>
      <w:bookmarkEnd w:id="66"/>
      <w:bookmarkEnd w:id="67"/>
      <w:bookmarkEnd w:id="68"/>
      <w:bookmarkEnd w:id="69"/>
      <w:bookmarkEnd w:id="70"/>
      <w:bookmarkEnd w:id="71"/>
      <w:bookmarkEnd w:id="72"/>
      <w:bookmarkEnd w:id="73"/>
      <w:bookmarkEnd w:id="74"/>
      <w:bookmarkEnd w:id="75"/>
      <w:bookmarkEnd w:id="76"/>
    </w:p>
    <w:p>
      <w:pPr>
        <w:pStyle w:val="4"/>
        <w:tabs>
          <w:tab w:val="center" w:pos="4592"/>
          <w:tab w:val="left" w:pos="7860"/>
        </w:tabs>
        <w:spacing w:before="0" w:line="360" w:lineRule="auto"/>
        <w:rPr>
          <w:rFonts w:asciiTheme="minorEastAsia" w:hAnsiTheme="minorEastAsia" w:eastAsiaTheme="minorEastAsia"/>
          <w:b w:val="0"/>
          <w:color w:val="auto"/>
          <w:sz w:val="28"/>
        </w:rPr>
      </w:pPr>
      <w:bookmarkStart w:id="77" w:name="_Toc164608633"/>
      <w:bookmarkStart w:id="78" w:name="_Toc151193761"/>
      <w:bookmarkStart w:id="79" w:name="_Toc150480757"/>
      <w:bookmarkStart w:id="80" w:name="_Toc164351613"/>
      <w:bookmarkStart w:id="81" w:name="_Toc150509270"/>
      <w:bookmarkStart w:id="82" w:name="_Toc151193907"/>
      <w:bookmarkStart w:id="83" w:name="_Toc150774724"/>
      <w:bookmarkStart w:id="84" w:name="_Toc164608788"/>
      <w:bookmarkStart w:id="85" w:name="_Toc150774619"/>
      <w:bookmarkStart w:id="86" w:name="_Toc195842884"/>
      <w:bookmarkStart w:id="87" w:name="_Toc226965709"/>
      <w:bookmarkStart w:id="88" w:name="_Toc151193833"/>
      <w:bookmarkStart w:id="89" w:name="_Toc226309763"/>
      <w:bookmarkStart w:id="90" w:name="_Toc127161433"/>
      <w:bookmarkStart w:id="91" w:name="_Toc127151519"/>
      <w:bookmarkStart w:id="92" w:name="_Toc164229360"/>
      <w:bookmarkStart w:id="93" w:name="_Toc226337215"/>
      <w:bookmarkStart w:id="94" w:name="_Toc151193689"/>
      <w:bookmarkStart w:id="95" w:name="_Toc151193617"/>
      <w:bookmarkStart w:id="96" w:name="_Toc226965792"/>
      <w:bookmarkStart w:id="97" w:name="_Toc142311021"/>
      <w:bookmarkStart w:id="98" w:name="_Toc151190146"/>
      <w:bookmarkStart w:id="99" w:name="_Toc149720812"/>
      <w:bookmarkStart w:id="100" w:name="_Toc164229214"/>
      <w:bookmarkStart w:id="101" w:name="_Toc127151720"/>
      <w:bookmarkStart w:id="102" w:name="_Toc520356144"/>
      <w:r>
        <w:rPr>
          <w:rFonts w:asciiTheme="minorEastAsia" w:hAnsiTheme="minorEastAsia" w:eastAsiaTheme="minorEastAsia"/>
          <w:color w:val="auto"/>
          <w:sz w:val="28"/>
        </w:rPr>
        <w:t>供应商须知资料表</w:t>
      </w:r>
    </w:p>
    <w:p>
      <w:pPr>
        <w:jc w:val="center"/>
        <w:rPr>
          <w:rFonts w:asciiTheme="minorEastAsia" w:hAnsiTheme="minorEastAsia" w:eastAsiaTheme="minorEastAsia"/>
          <w:b/>
          <w:color w:val="auto"/>
          <w:sz w:val="28"/>
          <w:szCs w:val="28"/>
        </w:rPr>
      </w:pPr>
    </w:p>
    <w:p>
      <w:pPr>
        <w:spacing w:line="360" w:lineRule="auto"/>
        <w:ind w:firstLine="480"/>
        <w:rPr>
          <w:rFonts w:asciiTheme="minorEastAsia" w:hAnsiTheme="minorEastAsia" w:eastAsiaTheme="minorEastAsia"/>
          <w:color w:val="auto"/>
          <w:sz w:val="24"/>
        </w:rPr>
      </w:pPr>
      <w:r>
        <w:rPr>
          <w:rFonts w:asciiTheme="minorEastAsia" w:hAnsiTheme="minorEastAsia" w:eastAsiaTheme="minorEastAsia"/>
          <w:color w:val="auto"/>
          <w:sz w:val="24"/>
        </w:rPr>
        <w:t>本表是对供应商须知的具体补充和修改，如有矛盾，均以本资料表为准。</w:t>
      </w:r>
      <w:r>
        <w:rPr>
          <w:rFonts w:hint="eastAsia" w:asciiTheme="minorEastAsia" w:hAnsiTheme="minorEastAsia" w:eastAsiaTheme="minorEastAsia"/>
          <w:color w:val="auto"/>
          <w:sz w:val="24"/>
        </w:rPr>
        <w:t>采购文件条款中以“■”形式标记的内容适用于本项目， 以“□”形式标记的内容不适用于本项目。</w:t>
      </w:r>
    </w:p>
    <w:tbl>
      <w:tblPr>
        <w:tblStyle w:val="108"/>
        <w:tblW w:w="9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88"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auto"/>
                <w:sz w:val="24"/>
              </w:rPr>
            </w:pPr>
            <w:r>
              <w:rPr>
                <w:rFonts w:hint="default" w:asciiTheme="minorEastAsia" w:hAnsiTheme="minorEastAsia" w:eastAsiaTheme="minorEastAsia"/>
                <w:b/>
                <w:color w:val="auto"/>
                <w:sz w:val="24"/>
              </w:rPr>
              <w:t>条款号</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auto"/>
                <w:sz w:val="24"/>
              </w:rPr>
            </w:pPr>
            <w:r>
              <w:rPr>
                <w:rFonts w:hint="default" w:asciiTheme="minorEastAsia" w:hAnsiTheme="minorEastAsia" w:eastAsiaTheme="minorEastAsia"/>
                <w:b/>
                <w:bCs/>
                <w:color w:val="auto"/>
                <w:sz w:val="24"/>
              </w:rPr>
              <w:t>条目</w:t>
            </w:r>
          </w:p>
        </w:tc>
        <w:tc>
          <w:tcPr>
            <w:tcW w:w="7253"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auto"/>
                <w:sz w:val="24"/>
              </w:rPr>
            </w:pPr>
            <w:r>
              <w:rPr>
                <w:rFonts w:hint="default" w:asciiTheme="minorEastAsia" w:hAnsiTheme="minorEastAsia" w:eastAsiaTheme="minorEastAsia"/>
                <w:b/>
                <w:bCs/>
                <w:color w:val="auto"/>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2.2</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项目属性</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项目属性：</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服务</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货物</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u w:val="single"/>
              </w:rPr>
            </w:pPr>
            <w:r>
              <w:rPr>
                <w:rFonts w:hint="default" w:asciiTheme="minorEastAsia" w:hAnsiTheme="minorEastAsia" w:eastAsiaTheme="minorEastAsia"/>
                <w:b/>
                <w:color w:val="auto"/>
                <w:sz w:val="24"/>
              </w:rPr>
              <w:t>■</w:t>
            </w:r>
            <w:r>
              <w:rPr>
                <w:rFonts w:hint="eastAsia" w:asciiTheme="minorEastAsia" w:hAnsiTheme="minorEastAsia" w:eastAsiaTheme="minorEastAsia"/>
                <w:color w:val="auto"/>
                <w:sz w:val="24"/>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2.3</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科研仪器设备</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是否属于科研仪器设备采购项目：</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是</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1" w:hRule="atLeast"/>
          <w:jc w:val="center"/>
        </w:trPr>
        <w:tc>
          <w:tcPr>
            <w:tcW w:w="988" w:type="dxa"/>
            <w:vMerge w:val="restart"/>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3.1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现场考察</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不组织</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bCs/>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组织，考察时间：___</w:t>
            </w:r>
            <w:r>
              <w:rPr>
                <w:rFonts w:hint="default" w:asciiTheme="minorEastAsia" w:hAnsiTheme="minorEastAsia" w:eastAsiaTheme="minorEastAsia"/>
                <w:color w:val="auto"/>
                <w:sz w:val="24"/>
                <w:lang w:bidi="ar"/>
              </w:rPr>
              <w:t>年</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月</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日</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点</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分</w:t>
            </w:r>
          </w:p>
          <w:p>
            <w:pPr>
              <w:pStyle w:val="50"/>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rPr>
              <w:t>考察地点：___________</w:t>
            </w:r>
            <w:r>
              <w:rPr>
                <w:rFonts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continue"/>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磋商前答疑会</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不召开</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召开，召开时间：</w:t>
            </w:r>
            <w:r>
              <w:rPr>
                <w:rFonts w:hint="eastAsia" w:asciiTheme="minorEastAsia" w:hAnsiTheme="minorEastAsia" w:eastAsiaTheme="minorEastAsia"/>
                <w:color w:val="auto"/>
                <w:sz w:val="24"/>
                <w:u w:val="single"/>
                <w:lang w:val="en-US" w:eastAsia="zh-CN"/>
              </w:rPr>
              <w:t>2026</w:t>
            </w:r>
            <w:r>
              <w:rPr>
                <w:rFonts w:hint="default" w:asciiTheme="minorEastAsia" w:hAnsiTheme="minorEastAsia" w:eastAsiaTheme="minorEastAsia"/>
                <w:color w:val="auto"/>
                <w:sz w:val="24"/>
                <w:lang w:bidi="ar"/>
              </w:rPr>
              <w:t>年</w:t>
            </w:r>
            <w:r>
              <w:rPr>
                <w:rFonts w:hint="eastAsia" w:asciiTheme="minorEastAsia" w:hAnsiTheme="minorEastAsia" w:eastAsiaTheme="minorEastAsia"/>
                <w:color w:val="auto"/>
                <w:sz w:val="24"/>
                <w:u w:val="single"/>
                <w:lang w:val="en-US" w:eastAsia="zh-CN"/>
              </w:rPr>
              <w:t>10</w:t>
            </w:r>
            <w:r>
              <w:rPr>
                <w:rFonts w:hint="default" w:asciiTheme="minorEastAsia" w:hAnsiTheme="minorEastAsia" w:eastAsiaTheme="minorEastAsia"/>
                <w:color w:val="auto"/>
                <w:sz w:val="24"/>
                <w:lang w:bidi="ar"/>
              </w:rPr>
              <w:t>月</w:t>
            </w:r>
            <w:r>
              <w:rPr>
                <w:rFonts w:hint="eastAsia" w:asciiTheme="minorEastAsia" w:hAnsiTheme="minorEastAsia" w:eastAsiaTheme="minorEastAsia"/>
                <w:color w:val="auto"/>
                <w:sz w:val="24"/>
                <w:u w:val="single"/>
                <w:lang w:val="en-US" w:eastAsia="zh-CN"/>
              </w:rPr>
              <w:t>14</w:t>
            </w:r>
            <w:r>
              <w:rPr>
                <w:rFonts w:hint="default" w:asciiTheme="minorEastAsia" w:hAnsiTheme="minorEastAsia" w:eastAsiaTheme="minorEastAsia"/>
                <w:color w:val="auto"/>
                <w:sz w:val="24"/>
                <w:lang w:bidi="ar"/>
              </w:rPr>
              <w:t>日</w:t>
            </w:r>
            <w:r>
              <w:rPr>
                <w:rFonts w:hint="eastAsia" w:asciiTheme="minorEastAsia" w:hAnsiTheme="minorEastAsia" w:eastAsiaTheme="minorEastAsia"/>
                <w:color w:val="auto"/>
                <w:sz w:val="24"/>
                <w:u w:val="single"/>
                <w:lang w:val="en-US" w:eastAsia="zh-CN"/>
              </w:rPr>
              <w:t>15</w:t>
            </w:r>
            <w:r>
              <w:rPr>
                <w:rFonts w:hint="default" w:asciiTheme="minorEastAsia" w:hAnsiTheme="minorEastAsia" w:eastAsiaTheme="minorEastAsia"/>
                <w:color w:val="auto"/>
                <w:sz w:val="24"/>
                <w:lang w:bidi="ar"/>
              </w:rPr>
              <w:t>点</w:t>
            </w:r>
            <w:r>
              <w:rPr>
                <w:rFonts w:hint="eastAsia" w:asciiTheme="minorEastAsia" w:hAnsiTheme="minorEastAsia" w:eastAsiaTheme="minorEastAsia"/>
                <w:color w:val="auto"/>
                <w:sz w:val="24"/>
                <w:u w:val="single"/>
                <w:lang w:val="en-US" w:eastAsia="zh-CN" w:bidi="ar"/>
              </w:rPr>
              <w:t>3</w:t>
            </w:r>
            <w:r>
              <w:rPr>
                <w:rFonts w:hint="eastAsia" w:asciiTheme="minorEastAsia" w:hAnsiTheme="minorEastAsia" w:eastAsiaTheme="minorEastAsia"/>
                <w:color w:val="auto"/>
                <w:sz w:val="24"/>
                <w:u w:val="single"/>
                <w:lang w:val="en-US" w:eastAsia="zh-CN"/>
              </w:rPr>
              <w:t>0</w:t>
            </w:r>
            <w:r>
              <w:rPr>
                <w:rFonts w:hint="default" w:asciiTheme="minorEastAsia" w:hAnsiTheme="minorEastAsia" w:eastAsiaTheme="minorEastAsia"/>
                <w:color w:val="auto"/>
                <w:sz w:val="24"/>
                <w:lang w:bidi="ar"/>
              </w:rPr>
              <w:t>分</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召开地点：</w:t>
            </w:r>
            <w:r>
              <w:rPr>
                <w:rFonts w:hint="eastAsia" w:asciiTheme="minorEastAsia" w:hAnsiTheme="minorEastAsia" w:eastAsiaTheme="minorEastAsia"/>
                <w:color w:val="auto"/>
                <w:sz w:val="24"/>
                <w:u w:val="single"/>
              </w:rPr>
              <w:t>北京市石景山区京原西街6号院3号楼7层</w:t>
            </w:r>
            <w:r>
              <w:rPr>
                <w:rFonts w:hint="eastAsia" w:asciiTheme="minorEastAsia" w:hAnsiTheme="minorEastAsia" w:eastAsiaTheme="minorEastAsia"/>
                <w:color w:val="auto"/>
                <w:sz w:val="24"/>
                <w:u w:val="single"/>
                <w:lang w:val="en-US" w:eastAsia="zh-CN"/>
              </w:rPr>
              <w:t>702室</w:t>
            </w:r>
            <w:r>
              <w:rPr>
                <w:rFonts w:hint="eastAsia"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4.2.5</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标的所属行业</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本项目采购标的对应的中小企业划分标准所属行业：</w:t>
            </w:r>
          </w:p>
          <w:tbl>
            <w:tblPr>
              <w:tblStyle w:val="108"/>
              <w:tblW w:w="7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3013"/>
              <w:gridCol w:w="3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lang w:eastAsia="zh-CN"/>
                    </w:rPr>
                  </w:pPr>
                  <w:r>
                    <w:rPr>
                      <w:rFonts w:hint="eastAsia" w:asciiTheme="minorEastAsia" w:hAnsiTheme="minorEastAsia" w:eastAsiaTheme="minorEastAsia"/>
                      <w:bCs/>
                      <w:color w:val="auto"/>
                      <w:sz w:val="24"/>
                      <w:lang w:eastAsia="zh-CN"/>
                    </w:rPr>
                    <w:t>包号</w:t>
                  </w:r>
                </w:p>
              </w:tc>
              <w:tc>
                <w:tcPr>
                  <w:tcW w:w="30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lang w:eastAsia="zh-CN"/>
                    </w:rPr>
                  </w:pPr>
                  <w:r>
                    <w:rPr>
                      <w:rFonts w:hint="eastAsia" w:asciiTheme="minorEastAsia" w:hAnsiTheme="minorEastAsia" w:eastAsiaTheme="minorEastAsia"/>
                      <w:bCs/>
                      <w:color w:val="auto"/>
                      <w:sz w:val="24"/>
                      <w:lang w:eastAsia="zh-CN"/>
                    </w:rPr>
                    <w:t>标的</w:t>
                  </w:r>
                  <w:r>
                    <w:rPr>
                      <w:rFonts w:hint="default" w:asciiTheme="minorEastAsia" w:hAnsiTheme="minorEastAsia" w:eastAsiaTheme="minorEastAsia"/>
                      <w:bCs/>
                      <w:color w:val="auto"/>
                      <w:sz w:val="24"/>
                    </w:rPr>
                    <w:t>名称</w:t>
                  </w:r>
                </w:p>
              </w:tc>
              <w:tc>
                <w:tcPr>
                  <w:tcW w:w="329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rPr>
                  </w:pPr>
                  <w:r>
                    <w:rPr>
                      <w:rFonts w:hint="default" w:asciiTheme="minorEastAsia" w:hAnsiTheme="minorEastAsia" w:eastAsiaTheme="minorEastAsia"/>
                      <w:bCs/>
                      <w:color w:val="auto"/>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lang w:val="en-US" w:eastAsia="zh-CN"/>
                    </w:rPr>
                    <w:t>01</w:t>
                  </w:r>
                </w:p>
              </w:tc>
              <w:tc>
                <w:tcPr>
                  <w:tcW w:w="30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auto"/>
                      <w:sz w:val="24"/>
                    </w:rPr>
                  </w:pPr>
                  <w:r>
                    <w:rPr>
                      <w:rFonts w:hint="default" w:asciiTheme="minorEastAsia" w:hAnsiTheme="minorEastAsia" w:eastAsiaTheme="minorEastAsia"/>
                      <w:bCs/>
                      <w:color w:val="auto"/>
                      <w:sz w:val="24"/>
                      <w:szCs w:val="24"/>
                    </w:rPr>
                    <w:t>石景山区高考考点安全电力改造</w:t>
                  </w:r>
                </w:p>
              </w:tc>
              <w:tc>
                <w:tcPr>
                  <w:tcW w:w="329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rPr>
                  </w:pPr>
                  <w:r>
                    <w:rPr>
                      <w:rFonts w:hint="eastAsia" w:asciiTheme="minorEastAsia" w:hAnsiTheme="minorEastAsia" w:eastAsiaTheme="minorEastAsia"/>
                      <w:bCs/>
                      <w:color w:val="auto"/>
                      <w:sz w:val="24"/>
                      <w:lang w:eastAsia="zh-CN"/>
                    </w:rPr>
                    <w:t>建筑</w:t>
                  </w:r>
                  <w:r>
                    <w:rPr>
                      <w:rFonts w:hint="eastAsia" w:asciiTheme="minorEastAsia" w:hAnsiTheme="minorEastAsia" w:eastAsiaTheme="minorEastAsia"/>
                      <w:bCs/>
                      <w:color w:val="auto"/>
                      <w:sz w:val="24"/>
                    </w:rPr>
                    <w:t>业</w:t>
                  </w:r>
                </w:p>
              </w:tc>
            </w:tr>
          </w:tbl>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10.2</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报价</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报价的特殊规定：</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无</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有，具体情形：___________。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11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磋商保证金</w:t>
            </w:r>
          </w:p>
        </w:tc>
        <w:tc>
          <w:tcPr>
            <w:tcW w:w="7253" w:type="dxa"/>
            <w:vAlign w:val="center"/>
          </w:tcPr>
          <w:p>
            <w:pPr>
              <w:pStyle w:val="50"/>
              <w:keepNext w:val="0"/>
              <w:keepLines w:val="0"/>
              <w:suppressLineNumbers w:val="0"/>
              <w:adjustRightInd w:val="0"/>
              <w:snapToGrid w:val="0"/>
              <w:spacing w:before="0" w:beforeAutospacing="0" w:after="0" w:afterAutospacing="0"/>
              <w:ind w:left="0" w:right="0"/>
              <w:rPr>
                <w:rFonts w:hint="eastAsia" w:asciiTheme="minorEastAsia" w:hAnsiTheme="minorEastAsia" w:eastAsiaTheme="minorEastAsia"/>
                <w:color w:val="auto"/>
                <w:sz w:val="24"/>
                <w:szCs w:val="24"/>
                <w:lang w:eastAsia="zh-CN"/>
              </w:rPr>
            </w:pPr>
            <w:r>
              <w:rPr>
                <w:rFonts w:hint="eastAsia" w:asciiTheme="minorEastAsia" w:hAnsiTheme="minorEastAsia" w:eastAsiaTheme="minorEastAsia"/>
                <w:color w:val="auto"/>
                <w:sz w:val="24"/>
                <w:szCs w:val="24"/>
                <w:lang w:eastAsia="zh-CN"/>
              </w:rPr>
              <w:t>本项目不要求交纳磋商保证金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12.1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响应有效期</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自提交响应文件的截止之日起算</w:t>
            </w:r>
            <w:r>
              <w:rPr>
                <w:rFonts w:hint="eastAsia" w:asciiTheme="minorEastAsia" w:hAnsiTheme="minorEastAsia" w:eastAsiaTheme="minorEastAsia"/>
                <w:color w:val="auto"/>
                <w:sz w:val="24"/>
                <w:u w:val="single"/>
              </w:rPr>
              <w:t>90</w:t>
            </w:r>
            <w:r>
              <w:rPr>
                <w:rFonts w:hint="default" w:asciiTheme="minorEastAsia" w:hAnsiTheme="minorEastAsia" w:eastAsiaTheme="minorEastAsia"/>
                <w:color w:val="auto"/>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w:t>
            </w:r>
            <w:r>
              <w:rPr>
                <w:rFonts w:hint="default" w:asciiTheme="minorEastAsia" w:hAnsiTheme="minorEastAsia" w:eastAsiaTheme="minorEastAsia"/>
                <w:color w:val="auto"/>
                <w:sz w:val="24"/>
                <w:szCs w:val="24"/>
              </w:rPr>
              <w:t>7.2</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解密时间</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解密时间：30分钟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20.1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确认成交供应商</w:t>
            </w:r>
          </w:p>
        </w:tc>
        <w:tc>
          <w:tcPr>
            <w:tcW w:w="7253" w:type="dxa"/>
            <w:vAlign w:val="center"/>
          </w:tcPr>
          <w:p>
            <w:pPr>
              <w:pStyle w:val="50"/>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采购人是否授权磋商小组直接确定成交供应商：</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2"/>
              </w:rPr>
              <w:t>■</w:t>
            </w:r>
            <w:r>
              <w:rPr>
                <w:rFonts w:hint="default" w:asciiTheme="minorEastAsia" w:hAnsiTheme="minorEastAsia" w:eastAsiaTheme="minorEastAsia"/>
                <w:color w:val="auto"/>
                <w:sz w:val="24"/>
              </w:rPr>
              <w:t>否</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是</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u w:val="single"/>
              </w:rPr>
            </w:pPr>
            <w:r>
              <w:rPr>
                <w:rFonts w:hint="default" w:asciiTheme="minorEastAsia" w:hAnsiTheme="minorEastAsia" w:eastAsiaTheme="minorEastAsia"/>
                <w:color w:val="auto"/>
                <w:sz w:val="24"/>
              </w:rPr>
              <w:t>成交候选人并列的，按照以下方式确定成交供应商：</w:t>
            </w:r>
            <w:r>
              <w:rPr>
                <w:rFonts w:hint="default" w:asciiTheme="minorEastAsia" w:hAnsiTheme="minorEastAsia" w:eastAsiaTheme="minorEastAsia"/>
                <w:color w:val="auto"/>
                <w:sz w:val="24"/>
                <w:u w:val="single"/>
              </w:rPr>
              <w:t>得分且投标报价均相同的，以</w:t>
            </w:r>
            <w:r>
              <w:rPr>
                <w:rFonts w:hint="eastAsia" w:asciiTheme="minorEastAsia" w:hAnsiTheme="minorEastAsia" w:eastAsiaTheme="minorEastAsia"/>
                <w:color w:val="auto"/>
                <w:sz w:val="24"/>
                <w:u w:val="single"/>
              </w:rPr>
              <w:t>响应</w:t>
            </w:r>
            <w:r>
              <w:rPr>
                <w:rFonts w:hint="default" w:asciiTheme="minorEastAsia" w:hAnsiTheme="minorEastAsia" w:eastAsiaTheme="minorEastAsia"/>
                <w:color w:val="auto"/>
                <w:sz w:val="24"/>
                <w:u w:val="single"/>
              </w:rPr>
              <w:t>文件满足</w:t>
            </w:r>
            <w:r>
              <w:rPr>
                <w:rFonts w:hint="eastAsia" w:asciiTheme="minorEastAsia" w:hAnsiTheme="minorEastAsia" w:eastAsiaTheme="minorEastAsia"/>
                <w:color w:val="auto"/>
                <w:sz w:val="24"/>
                <w:u w:val="single"/>
              </w:rPr>
              <w:t>竞争性磋商</w:t>
            </w:r>
            <w:r>
              <w:rPr>
                <w:rFonts w:hint="default" w:asciiTheme="minorEastAsia" w:hAnsiTheme="minorEastAsia" w:eastAsiaTheme="minorEastAsia"/>
                <w:color w:val="auto"/>
                <w:sz w:val="24"/>
                <w:u w:val="single"/>
              </w:rPr>
              <w:t>文件全部实质性要求，且技术部分按照评审因素的量化指标评审得分高者为</w:t>
            </w:r>
            <w:r>
              <w:rPr>
                <w:rFonts w:hint="eastAsia" w:asciiTheme="minorEastAsia" w:hAnsiTheme="minorEastAsia" w:eastAsiaTheme="minorEastAsia"/>
                <w:color w:val="auto"/>
                <w:sz w:val="24"/>
                <w:u w:val="single"/>
              </w:rPr>
              <w:t>成交供应商</w:t>
            </w:r>
            <w:r>
              <w:rPr>
                <w:rFonts w:hint="default" w:asciiTheme="minorEastAsia" w:hAnsiTheme="minorEastAsia" w:eastAsiaTheme="minorEastAsia"/>
                <w:color w:val="auto"/>
                <w:sz w:val="24"/>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23.5</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分包</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本项目是否允许分包：</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2"/>
              </w:rPr>
              <w:t>■</w:t>
            </w:r>
            <w:r>
              <w:rPr>
                <w:rFonts w:hint="default" w:asciiTheme="minorEastAsia" w:hAnsiTheme="minorEastAsia" w:eastAsiaTheme="minorEastAsia"/>
                <w:color w:val="auto"/>
                <w:sz w:val="24"/>
              </w:rPr>
              <w:t>不允许</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允许，具体要求：_______。</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（1）可以分包履行的具体内容：_______；</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（2）允许分包的金额或者比例：_______；</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u w:val="single"/>
              </w:rPr>
            </w:pPr>
            <w:r>
              <w:rPr>
                <w:rFonts w:hint="default" w:asciiTheme="minorEastAsia" w:hAnsiTheme="minorEastAsia" w:eastAsiaTheme="minorEastAsia"/>
                <w:color w:val="auto"/>
                <w:sz w:val="24"/>
              </w:rPr>
              <w:t>（3）其他要求：_______。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2</w:t>
            </w:r>
            <w:r>
              <w:rPr>
                <w:rFonts w:hint="default" w:asciiTheme="minorEastAsia" w:hAnsiTheme="minorEastAsia" w:eastAsiaTheme="minorEastAsia"/>
                <w:color w:val="auto"/>
                <w:sz w:val="24"/>
                <w:szCs w:val="24"/>
              </w:rPr>
              <w:t>3.6</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政采贷</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24.1.1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询问</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询问送达形式：</w:t>
            </w:r>
            <w:r>
              <w:rPr>
                <w:rFonts w:hint="eastAsia" w:asciiTheme="minorEastAsia" w:hAnsiTheme="minorEastAsia" w:eastAsiaTheme="minorEastAsia"/>
                <w:color w:val="auto"/>
                <w:sz w:val="24"/>
              </w:rPr>
              <w:t>以书面形式一次性提交。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24.3</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联系方式</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接收询问和质疑的联系方式</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联系部门：</w:t>
            </w:r>
            <w:r>
              <w:rPr>
                <w:rFonts w:hint="eastAsia" w:asciiTheme="minorEastAsia" w:hAnsiTheme="minorEastAsia" w:eastAsiaTheme="minorEastAsia"/>
                <w:color w:val="auto"/>
                <w:sz w:val="24"/>
              </w:rPr>
              <w:t>北京</w:t>
            </w:r>
            <w:r>
              <w:rPr>
                <w:rFonts w:hint="eastAsia" w:asciiTheme="minorEastAsia" w:hAnsiTheme="minorEastAsia" w:eastAsiaTheme="minorEastAsia"/>
                <w:color w:val="auto"/>
                <w:sz w:val="24"/>
                <w:lang w:eastAsia="zh-CN"/>
              </w:rPr>
              <w:t>市石景山区政府采购中心</w:t>
            </w:r>
            <w:r>
              <w:rPr>
                <w:rFonts w:hint="default" w:asciiTheme="minorEastAsia" w:hAnsiTheme="minorEastAsia" w:eastAsiaTheme="minorEastAsia"/>
                <w:color w:val="auto"/>
                <w:sz w:val="24"/>
              </w:rPr>
              <w:t>；</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联系电话：</w:t>
            </w:r>
            <w:r>
              <w:rPr>
                <w:rFonts w:hint="eastAsia" w:asciiTheme="minorEastAsia" w:hAnsiTheme="minorEastAsia" w:eastAsiaTheme="minorEastAsia"/>
                <w:color w:val="auto"/>
                <w:sz w:val="24"/>
                <w:lang w:val="en-US" w:eastAsia="zh-CN"/>
              </w:rPr>
              <w:t>010-81927379；</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通讯地址：</w:t>
            </w:r>
            <w:r>
              <w:rPr>
                <w:rFonts w:hint="eastAsia" w:asciiTheme="minorEastAsia" w:hAnsiTheme="minorEastAsia" w:eastAsiaTheme="minorEastAsia"/>
                <w:color w:val="auto"/>
                <w:sz w:val="24"/>
              </w:rPr>
              <w:t>北京市石景山区京原西街6号院3号楼7层</w:t>
            </w:r>
            <w:r>
              <w:rPr>
                <w:rFonts w:hint="default"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50"/>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25</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代理费</w:t>
            </w:r>
          </w:p>
        </w:tc>
        <w:tc>
          <w:tcPr>
            <w:tcW w:w="7253" w:type="dxa"/>
            <w:vAlign w:val="center"/>
          </w:tcPr>
          <w:p>
            <w:pPr>
              <w:keepNext w:val="0"/>
              <w:keepLines w:val="0"/>
              <w:suppressLineNumbers w:val="0"/>
              <w:spacing w:before="0" w:beforeAutospacing="0" w:after="0" w:afterAutospacing="0"/>
              <w:ind w:left="0" w:right="0"/>
              <w:jc w:val="left"/>
              <w:rPr>
                <w:rFonts w:hint="eastAsia" w:asciiTheme="minorEastAsia" w:hAnsiTheme="minorEastAsia" w:eastAsiaTheme="minorEastAsia"/>
                <w:b/>
                <w:color w:val="auto"/>
                <w:lang w:eastAsia="zh-CN"/>
              </w:rPr>
            </w:pPr>
            <w:r>
              <w:rPr>
                <w:rFonts w:hint="eastAsia" w:asciiTheme="minorEastAsia" w:hAnsiTheme="minorEastAsia" w:eastAsiaTheme="minorEastAsia"/>
                <w:color w:val="auto"/>
                <w:sz w:val="24"/>
                <w:lang w:eastAsia="zh-CN"/>
              </w:rPr>
              <w:t>本项目不收取代理费</w:t>
            </w:r>
          </w:p>
        </w:tc>
      </w:tr>
    </w:tbl>
    <w:p>
      <w:pPr>
        <w:tabs>
          <w:tab w:val="left" w:pos="5580"/>
        </w:tabs>
        <w:adjustRightInd w:val="0"/>
        <w:spacing w:line="360" w:lineRule="auto"/>
        <w:jc w:val="distribute"/>
        <w:rPr>
          <w:rFonts w:asciiTheme="minorEastAsia" w:hAnsiTheme="minorEastAsia" w:eastAsiaTheme="minorEastAsia"/>
          <w:color w:val="auto"/>
          <w:sz w:val="24"/>
        </w:rPr>
        <w:sectPr>
          <w:footerReference r:id="rId11" w:type="first"/>
          <w:footerReference r:id="rId10" w:type="default"/>
          <w:pgSz w:w="11907" w:h="16840"/>
          <w:pgMar w:top="1418" w:right="1134" w:bottom="1843" w:left="1701" w:header="851" w:footer="851" w:gutter="0"/>
          <w:pgNumType w:start="1"/>
          <w:cols w:space="720" w:num="1"/>
          <w:titlePg/>
          <w:docGrid w:linePitch="462" w:charSpace="0"/>
        </w:sectPr>
      </w:pPr>
    </w:p>
    <w:p>
      <w:pPr>
        <w:spacing w:before="240" w:beforeLines="100" w:after="240" w:afterLines="100"/>
        <w:jc w:val="center"/>
        <w:rPr>
          <w:rFonts w:eastAsiaTheme="minorEastAsia"/>
          <w:b/>
          <w:sz w:val="28"/>
          <w:szCs w:val="28"/>
        </w:rPr>
      </w:pPr>
      <w:r>
        <w:rPr>
          <w:rFonts w:eastAsiaTheme="minorEastAsia"/>
          <w:b/>
          <w:sz w:val="28"/>
          <w:szCs w:val="28"/>
        </w:rPr>
        <w:t>供应商须知</w:t>
      </w:r>
    </w:p>
    <w:p>
      <w:pPr>
        <w:pStyle w:val="4"/>
        <w:tabs>
          <w:tab w:val="center" w:pos="4592"/>
          <w:tab w:val="left" w:pos="7860"/>
        </w:tabs>
        <w:spacing w:before="0" w:line="360" w:lineRule="auto"/>
        <w:jc w:val="left"/>
        <w:rPr>
          <w:rFonts w:ascii="Times New Roman" w:hAnsi="Times New Roman" w:eastAsiaTheme="minorEastAsia"/>
          <w:sz w:val="28"/>
        </w:rPr>
      </w:pPr>
      <w:bookmarkStart w:id="103" w:name="_Toc127151518"/>
      <w:bookmarkStart w:id="104" w:name="_Toc520356143"/>
      <w:r>
        <w:rPr>
          <w:rFonts w:ascii="Times New Roman" w:hAnsi="Times New Roman" w:eastAsiaTheme="minorEastAsia"/>
          <w:sz w:val="28"/>
        </w:rPr>
        <w:tab/>
      </w:r>
      <w:bookmarkStart w:id="105" w:name="_Toc305158786"/>
      <w:bookmarkStart w:id="106" w:name="_Toc150509269"/>
      <w:bookmarkStart w:id="107" w:name="_Toc151193906"/>
      <w:bookmarkStart w:id="108" w:name="_Toc265228356"/>
      <w:bookmarkStart w:id="109" w:name="_Toc226965791"/>
      <w:bookmarkStart w:id="110" w:name="_Toc151190145"/>
      <w:bookmarkStart w:id="111" w:name="_Toc151193688"/>
      <w:bookmarkStart w:id="112" w:name="_Toc151193760"/>
      <w:bookmarkStart w:id="113" w:name="_Toc264969208"/>
      <w:bookmarkStart w:id="114" w:name="_Toc142311020"/>
      <w:bookmarkStart w:id="115" w:name="_Toc151193616"/>
      <w:bookmarkStart w:id="116" w:name="_Toc226337214"/>
      <w:bookmarkStart w:id="117" w:name="_Toc151193832"/>
      <w:bookmarkStart w:id="118" w:name="_Toc150480756"/>
      <w:bookmarkStart w:id="119" w:name="_Toc150774618"/>
      <w:bookmarkStart w:id="120" w:name="_Toc150774723"/>
      <w:bookmarkStart w:id="121" w:name="_Toc226965708"/>
      <w:bookmarkStart w:id="122" w:name="_Toc195842883"/>
      <w:bookmarkStart w:id="123" w:name="_Toc226309762"/>
      <w:bookmarkStart w:id="124" w:name="_Toc305158860"/>
      <w:r>
        <w:rPr>
          <w:rFonts w:ascii="Times New Roman" w:hAnsi="Times New Roman" w:eastAsiaTheme="minorEastAsia"/>
          <w:sz w:val="28"/>
        </w:rPr>
        <w:t>一   说  明</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Fonts w:ascii="Times New Roman" w:hAnsi="Times New Roman" w:eastAsiaTheme="minorEastAsia"/>
          <w:sz w:val="28"/>
        </w:rPr>
        <w:tab/>
      </w:r>
    </w:p>
    <w:p>
      <w:pPr>
        <w:numPr>
          <w:ilvl w:val="0"/>
          <w:numId w:val="64"/>
        </w:numPr>
        <w:tabs>
          <w:tab w:val="left" w:pos="360"/>
          <w:tab w:val="clear" w:pos="900"/>
        </w:tabs>
        <w:snapToGrid w:val="0"/>
        <w:spacing w:line="360" w:lineRule="auto"/>
        <w:ind w:left="357" w:hanging="357"/>
        <w:outlineLvl w:val="1"/>
        <w:rPr>
          <w:rFonts w:eastAsiaTheme="minorEastAsia"/>
          <w:sz w:val="24"/>
        </w:rPr>
      </w:pPr>
      <w:bookmarkStart w:id="125" w:name="_Toc265228357"/>
      <w:bookmarkStart w:id="126" w:name="_Toc305158787"/>
      <w:bookmarkStart w:id="127" w:name="_Toc264969209"/>
      <w:bookmarkStart w:id="128" w:name="_Toc305158861"/>
      <w:r>
        <w:rPr>
          <w:rFonts w:eastAsiaTheme="minorEastAsia"/>
          <w:sz w:val="24"/>
        </w:rPr>
        <w:t>采购人、采购代理机构、供应商</w:t>
      </w:r>
      <w:bookmarkEnd w:id="125"/>
      <w:bookmarkEnd w:id="126"/>
      <w:bookmarkEnd w:id="127"/>
      <w:bookmarkEnd w:id="128"/>
      <w:r>
        <w:rPr>
          <w:rFonts w:eastAsiaTheme="minorEastAsia"/>
          <w:sz w:val="24"/>
        </w:rPr>
        <w:t>、联合体</w:t>
      </w:r>
    </w:p>
    <w:p>
      <w:pPr>
        <w:numPr>
          <w:ilvl w:val="1"/>
          <w:numId w:val="64"/>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pPr>
        <w:numPr>
          <w:ilvl w:val="1"/>
          <w:numId w:val="64"/>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pPr>
        <w:numPr>
          <w:ilvl w:val="1"/>
          <w:numId w:val="64"/>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pPr>
        <w:numPr>
          <w:ilvl w:val="0"/>
          <w:numId w:val="64"/>
        </w:numPr>
        <w:tabs>
          <w:tab w:val="left" w:pos="360"/>
          <w:tab w:val="clear" w:pos="900"/>
        </w:tabs>
        <w:snapToGrid w:val="0"/>
        <w:spacing w:line="360" w:lineRule="auto"/>
        <w:ind w:left="357" w:hanging="357"/>
        <w:outlineLvl w:val="1"/>
        <w:rPr>
          <w:rFonts w:eastAsiaTheme="minorEastAsia"/>
          <w:sz w:val="24"/>
        </w:rPr>
      </w:pPr>
      <w:bookmarkStart w:id="129" w:name="_Toc265228358"/>
      <w:bookmarkStart w:id="130" w:name="_Toc305158862"/>
      <w:bookmarkStart w:id="131" w:name="_Toc127151721"/>
      <w:bookmarkStart w:id="132" w:name="_Toc151193762"/>
      <w:bookmarkStart w:id="133" w:name="_Toc164608634"/>
      <w:bookmarkStart w:id="134" w:name="_Toc226309764"/>
      <w:bookmarkStart w:id="135" w:name="_Toc151193834"/>
      <w:bookmarkStart w:id="136" w:name="_Toc150774725"/>
      <w:bookmarkStart w:id="137" w:name="_Toc151193690"/>
      <w:bookmarkStart w:id="138" w:name="_Toc226337216"/>
      <w:bookmarkStart w:id="139" w:name="_Toc305158788"/>
      <w:bookmarkStart w:id="140" w:name="_Toc149720813"/>
      <w:bookmarkStart w:id="141" w:name="_Toc226965710"/>
      <w:bookmarkStart w:id="142" w:name="_Toc164229215"/>
      <w:bookmarkStart w:id="143" w:name="_Toc151193618"/>
      <w:bookmarkStart w:id="144" w:name="_Toc151190147"/>
      <w:bookmarkStart w:id="145" w:name="_Toc164608789"/>
      <w:bookmarkStart w:id="146" w:name="_Toc195842885"/>
      <w:bookmarkStart w:id="147" w:name="_Toc151193908"/>
      <w:bookmarkStart w:id="148" w:name="_Toc150774620"/>
      <w:bookmarkStart w:id="149" w:name="_Toc142311022"/>
      <w:bookmarkStart w:id="150" w:name="_Toc164229361"/>
      <w:bookmarkStart w:id="151" w:name="_Toc264969210"/>
      <w:bookmarkStart w:id="152" w:name="_Toc150480758"/>
      <w:bookmarkStart w:id="153" w:name="_Toc127161434"/>
      <w:bookmarkStart w:id="154" w:name="_Toc164351614"/>
      <w:bookmarkStart w:id="155" w:name="_Toc150509271"/>
      <w:bookmarkStart w:id="156" w:name="_Toc226965793"/>
      <w:bookmarkStart w:id="157" w:name="_Toc127151520"/>
      <w:r>
        <w:rPr>
          <w:rFonts w:eastAsiaTheme="minorEastAsia"/>
          <w:sz w:val="24"/>
        </w:rPr>
        <w:t>资金来源</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Fonts w:eastAsiaTheme="minorEastAsia"/>
          <w:sz w:val="24"/>
        </w:rPr>
        <w:t>、项目属性、科研仪器设备采购</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pPr>
        <w:numPr>
          <w:ilvl w:val="1"/>
          <w:numId w:val="64"/>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58" w:name="_Toc151193620"/>
      <w:bookmarkStart w:id="159" w:name="_Toc305158864"/>
      <w:bookmarkStart w:id="160" w:name="_Toc150774727"/>
      <w:bookmarkStart w:id="161" w:name="_Toc151193692"/>
      <w:bookmarkStart w:id="162" w:name="_Toc265228360"/>
      <w:bookmarkStart w:id="163" w:name="_Toc150774622"/>
      <w:bookmarkStart w:id="164" w:name="_Toc151193910"/>
      <w:bookmarkStart w:id="165" w:name="_Toc226309766"/>
      <w:bookmarkStart w:id="166" w:name="_Toc195842887"/>
      <w:bookmarkStart w:id="167" w:name="_Toc226337218"/>
      <w:bookmarkStart w:id="168" w:name="_Toc226965795"/>
      <w:bookmarkStart w:id="169" w:name="_Toc151193836"/>
      <w:bookmarkStart w:id="170" w:name="_Toc142311024"/>
      <w:bookmarkStart w:id="171" w:name="_Toc305158790"/>
      <w:bookmarkStart w:id="172" w:name="_Toc226965712"/>
      <w:bookmarkStart w:id="173" w:name="_Toc264969212"/>
      <w:bookmarkStart w:id="174" w:name="_Toc150509273"/>
      <w:bookmarkStart w:id="175" w:name="_Toc151193764"/>
      <w:bookmarkStart w:id="176" w:name="_Toc151190149"/>
      <w:bookmarkStart w:id="177" w:name="_Toc150480760"/>
      <w:bookmarkStart w:id="178" w:name="_Toc520356146"/>
      <w:bookmarkStart w:id="179" w:name="_Toc127151522"/>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pPr>
        <w:numPr>
          <w:ilvl w:val="0"/>
          <w:numId w:val="64"/>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pPr>
        <w:numPr>
          <w:ilvl w:val="1"/>
          <w:numId w:val="64"/>
        </w:numPr>
        <w:tabs>
          <w:tab w:val="left" w:pos="1080"/>
          <w:tab w:val="left" w:pos="2014"/>
        </w:tabs>
        <w:snapToGrid w:val="0"/>
        <w:spacing w:line="360" w:lineRule="auto"/>
        <w:ind w:left="1080" w:hanging="720"/>
        <w:rPr>
          <w:rFonts w:eastAsiaTheme="minorEastAsia"/>
          <w:sz w:val="24"/>
        </w:rPr>
      </w:pPr>
      <w:r>
        <w:rPr>
          <w:sz w:val="24"/>
        </w:rPr>
        <w:t>采购本国货物、工程和服务</w:t>
      </w:r>
    </w:p>
    <w:p>
      <w:pPr>
        <w:numPr>
          <w:ilvl w:val="2"/>
          <w:numId w:val="64"/>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64"/>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pPr>
        <w:numPr>
          <w:ilvl w:val="2"/>
          <w:numId w:val="64"/>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64"/>
        </w:numPr>
        <w:tabs>
          <w:tab w:val="left" w:pos="1080"/>
        </w:tabs>
        <w:snapToGrid w:val="0"/>
        <w:spacing w:line="360" w:lineRule="auto"/>
        <w:rPr>
          <w:sz w:val="24"/>
        </w:rPr>
      </w:pPr>
      <w:r>
        <w:rPr>
          <w:rFonts w:hint="eastAsia"/>
          <w:sz w:val="24"/>
        </w:rPr>
        <w:t>本国产品</w:t>
      </w:r>
    </w:p>
    <w:p>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pPr>
        <w:numPr>
          <w:ilvl w:val="2"/>
          <w:numId w:val="64"/>
        </w:numPr>
        <w:snapToGrid w:val="0"/>
        <w:spacing w:line="360" w:lineRule="auto"/>
        <w:rPr>
          <w:rFonts w:eastAsiaTheme="minorEastAsia"/>
          <w:sz w:val="24"/>
        </w:rPr>
      </w:pPr>
      <w:r>
        <w:rPr>
          <w:rFonts w:eastAsiaTheme="minorEastAsia"/>
          <w:sz w:val="24"/>
        </w:rPr>
        <w:t>中小企业定义：</w:t>
      </w: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1"/>
          <w:numId w:val="65"/>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1"/>
          <w:numId w:val="65"/>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1"/>
          <w:numId w:val="65"/>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2"/>
          <w:numId w:val="65"/>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65"/>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64"/>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64"/>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pPr>
        <w:pStyle w:val="194"/>
        <w:numPr>
          <w:ilvl w:val="2"/>
          <w:numId w:val="65"/>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2"/>
          <w:numId w:val="65"/>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64"/>
        </w:numPr>
        <w:snapToGrid w:val="0"/>
        <w:spacing w:line="360" w:lineRule="auto"/>
        <w:rPr>
          <w:rFonts w:eastAsiaTheme="minorEastAsia"/>
          <w:sz w:val="24"/>
        </w:rPr>
      </w:pPr>
      <w:r>
        <w:rPr>
          <w:rFonts w:eastAsiaTheme="minorEastAsia"/>
          <w:sz w:val="24"/>
        </w:rPr>
        <w:t>本项目是否专门面向中小企业预留采购份额见第一章《采购邀请》。</w:t>
      </w:r>
    </w:p>
    <w:p>
      <w:pPr>
        <w:numPr>
          <w:ilvl w:val="2"/>
          <w:numId w:val="64"/>
        </w:numPr>
        <w:snapToGrid w:val="0"/>
        <w:spacing w:line="360" w:lineRule="auto"/>
        <w:rPr>
          <w:rFonts w:eastAsiaTheme="minorEastAsia"/>
          <w:sz w:val="24"/>
        </w:rPr>
      </w:pPr>
      <w:r>
        <w:rPr>
          <w:rFonts w:eastAsiaTheme="minorEastAsia"/>
          <w:sz w:val="24"/>
        </w:rPr>
        <w:t>采购标的对应的中小企业划分标准所属行业见《供应商须知资料表》。</w:t>
      </w:r>
    </w:p>
    <w:p>
      <w:pPr>
        <w:numPr>
          <w:ilvl w:val="2"/>
          <w:numId w:val="64"/>
        </w:numPr>
        <w:snapToGrid w:val="0"/>
        <w:spacing w:line="360" w:lineRule="auto"/>
        <w:rPr>
          <w:rFonts w:eastAsiaTheme="minorEastAsia"/>
          <w:sz w:val="24"/>
        </w:rPr>
      </w:pPr>
      <w:r>
        <w:rPr>
          <w:rFonts w:eastAsiaTheme="minorEastAsia"/>
          <w:sz w:val="24"/>
        </w:rPr>
        <w:t>小微企业价格评审优惠的政策调整：见第三章《评审方法和评审标准》。</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pPr>
        <w:numPr>
          <w:ilvl w:val="2"/>
          <w:numId w:val="64"/>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64"/>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64"/>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pPr>
        <w:numPr>
          <w:ilvl w:val="2"/>
          <w:numId w:val="64"/>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pPr>
        <w:numPr>
          <w:ilvl w:val="2"/>
          <w:numId w:val="64"/>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pPr>
        <w:numPr>
          <w:ilvl w:val="2"/>
          <w:numId w:val="64"/>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pPr>
        <w:numPr>
          <w:ilvl w:val="2"/>
          <w:numId w:val="64"/>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pPr>
        <w:numPr>
          <w:ilvl w:val="1"/>
          <w:numId w:val="64"/>
        </w:numPr>
        <w:tabs>
          <w:tab w:val="left" w:pos="1080"/>
        </w:tabs>
        <w:snapToGrid w:val="0"/>
        <w:spacing w:line="360" w:lineRule="auto"/>
        <w:rPr>
          <w:sz w:val="24"/>
        </w:rPr>
      </w:pPr>
      <w:r>
        <w:rPr>
          <w:sz w:val="24"/>
        </w:rPr>
        <w:t>采购需求标准</w:t>
      </w:r>
    </w:p>
    <w:p>
      <w:pPr>
        <w:numPr>
          <w:ilvl w:val="2"/>
          <w:numId w:val="64"/>
        </w:numPr>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pPr>
        <w:numPr>
          <w:ilvl w:val="2"/>
          <w:numId w:val="64"/>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80" w:name="_Hlk168431650"/>
      <w:r>
        <w:rPr>
          <w:rFonts w:hint="eastAsia"/>
          <w:sz w:val="24"/>
        </w:rPr>
        <w:t>财政部门会同有关部门制定发布的</w:t>
      </w:r>
      <w:bookmarkEnd w:id="180"/>
      <w:r>
        <w:rPr>
          <w:rFonts w:hint="eastAsia"/>
          <w:sz w:val="24"/>
        </w:rPr>
        <w:t>其他政府采购需求标准，</w:t>
      </w:r>
      <w:r>
        <w:rPr>
          <w:sz w:val="24"/>
        </w:rPr>
        <w:t>本项目如涉及，则具体要求见第四章《采购需求》。</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pPr>
        <w:tabs>
          <w:tab w:val="left" w:pos="1080"/>
        </w:tabs>
        <w:snapToGrid w:val="0"/>
        <w:spacing w:line="360" w:lineRule="auto"/>
        <w:ind w:left="1080"/>
        <w:rPr>
          <w:rFonts w:eastAsiaTheme="minorEastAsia"/>
          <w:sz w:val="28"/>
        </w:rPr>
      </w:pPr>
      <w:bookmarkStart w:id="181" w:name="_1.8_计量单位"/>
      <w:bookmarkEnd w:id="181"/>
    </w:p>
    <w:p>
      <w:pPr>
        <w:pStyle w:val="4"/>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numPr>
          <w:ilvl w:val="0"/>
          <w:numId w:val="64"/>
        </w:numPr>
        <w:tabs>
          <w:tab w:val="left" w:pos="360"/>
        </w:tabs>
        <w:snapToGrid w:val="0"/>
        <w:spacing w:line="360" w:lineRule="auto"/>
        <w:ind w:left="357" w:hanging="357"/>
        <w:outlineLvl w:val="1"/>
        <w:rPr>
          <w:rFonts w:eastAsiaTheme="minorEastAsia"/>
          <w:sz w:val="24"/>
        </w:rPr>
      </w:pPr>
      <w:bookmarkStart w:id="182" w:name="_Toc150774728"/>
      <w:bookmarkStart w:id="183" w:name="_Toc127151724"/>
      <w:bookmarkStart w:id="184" w:name="_Toc151193837"/>
      <w:bookmarkStart w:id="185" w:name="_Toc195842888"/>
      <w:bookmarkStart w:id="186" w:name="_Toc305158865"/>
      <w:bookmarkStart w:id="187" w:name="_Toc150774623"/>
      <w:bookmarkStart w:id="188" w:name="_Toc164229364"/>
      <w:bookmarkStart w:id="189" w:name="_Toc150480761"/>
      <w:bookmarkStart w:id="190" w:name="_Toc127151523"/>
      <w:bookmarkStart w:id="191" w:name="_Toc151193621"/>
      <w:bookmarkStart w:id="192" w:name="_Toc151193911"/>
      <w:bookmarkStart w:id="193" w:name="_Toc164229218"/>
      <w:bookmarkStart w:id="194" w:name="_Toc127161437"/>
      <w:bookmarkStart w:id="195" w:name="_Toc305158791"/>
      <w:bookmarkStart w:id="196" w:name="_Toc149720816"/>
      <w:bookmarkStart w:id="197" w:name="_Toc226337219"/>
      <w:bookmarkStart w:id="198" w:name="_Toc151190150"/>
      <w:bookmarkStart w:id="199" w:name="_Toc151193693"/>
      <w:bookmarkStart w:id="200" w:name="_Toc265228361"/>
      <w:bookmarkStart w:id="201" w:name="_Toc151193765"/>
      <w:bookmarkStart w:id="202" w:name="_Toc520356147"/>
      <w:bookmarkStart w:id="203" w:name="_Toc226965796"/>
      <w:bookmarkStart w:id="204" w:name="_Toc264969213"/>
      <w:bookmarkStart w:id="205" w:name="_Toc164351617"/>
      <w:bookmarkStart w:id="206" w:name="_Toc150509274"/>
      <w:bookmarkStart w:id="207" w:name="_Toc226309767"/>
      <w:bookmarkStart w:id="208" w:name="_Toc142311025"/>
      <w:bookmarkStart w:id="209" w:name="_Toc164608637"/>
      <w:bookmarkStart w:id="210" w:name="_Toc226965713"/>
      <w:bookmarkStart w:id="211" w:name="_Toc164608792"/>
      <w:r>
        <w:rPr>
          <w:rFonts w:eastAsiaTheme="minorEastAsia"/>
          <w:sz w:val="24"/>
        </w:rPr>
        <w:t>竞争性磋商文件构</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Fonts w:eastAsiaTheme="minorEastAsia"/>
          <w:sz w:val="24"/>
        </w:rPr>
        <w:t>成</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pPr>
        <w:numPr>
          <w:ilvl w:val="0"/>
          <w:numId w:val="64"/>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pPr>
        <w:numPr>
          <w:ilvl w:val="1"/>
          <w:numId w:val="64"/>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pPr>
        <w:numPr>
          <w:ilvl w:val="1"/>
          <w:numId w:val="64"/>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pPr>
        <w:numPr>
          <w:ilvl w:val="1"/>
          <w:numId w:val="64"/>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pPr>
        <w:tabs>
          <w:tab w:val="left" w:pos="1080"/>
          <w:tab w:val="left" w:pos="1561"/>
        </w:tabs>
        <w:snapToGrid w:val="0"/>
        <w:spacing w:line="360" w:lineRule="auto"/>
        <w:ind w:left="1080"/>
        <w:rPr>
          <w:rFonts w:eastAsiaTheme="minorEastAsia"/>
          <w:sz w:val="28"/>
        </w:rPr>
      </w:pPr>
      <w:bookmarkStart w:id="212" w:name="_Toc516367020"/>
      <w:bookmarkStart w:id="213" w:name="_Toc265228364"/>
      <w:bookmarkStart w:id="214" w:name="_Toc151193624"/>
      <w:bookmarkStart w:id="215" w:name="_Toc195842891"/>
      <w:bookmarkStart w:id="216" w:name="_Toc226965716"/>
      <w:bookmarkStart w:id="217" w:name="_Toc151190153"/>
      <w:bookmarkStart w:id="218" w:name="_Toc305158868"/>
      <w:bookmarkStart w:id="219" w:name="_Toc150774731"/>
      <w:bookmarkStart w:id="220" w:name="_Toc520356150"/>
      <w:bookmarkStart w:id="221" w:name="_Toc151193914"/>
      <w:bookmarkStart w:id="222" w:name="_Toc151193840"/>
      <w:bookmarkStart w:id="223" w:name="_Toc226309770"/>
      <w:bookmarkStart w:id="224" w:name="_Toc142311028"/>
      <w:bookmarkStart w:id="225" w:name="_Toc151193696"/>
      <w:bookmarkStart w:id="226" w:name="_Toc305158794"/>
      <w:bookmarkStart w:id="227" w:name="_Toc150774626"/>
      <w:bookmarkStart w:id="228" w:name="_Toc150480764"/>
      <w:bookmarkStart w:id="229" w:name="_Toc264969216"/>
      <w:bookmarkStart w:id="230" w:name="_Toc150509277"/>
      <w:bookmarkStart w:id="231" w:name="_Toc151193768"/>
      <w:bookmarkStart w:id="232" w:name="_Toc127151526"/>
      <w:bookmarkStart w:id="233" w:name="_Toc226965799"/>
      <w:bookmarkStart w:id="234" w:name="_Toc226337222"/>
    </w:p>
    <w:p>
      <w:pPr>
        <w:pStyle w:val="4"/>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212"/>
      <w:r>
        <w:rPr>
          <w:rFonts w:ascii="Times New Roman" w:hAnsi="Times New Roman" w:eastAsiaTheme="minorEastAsia"/>
          <w:sz w:val="28"/>
        </w:rPr>
        <w:t>的编制</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numPr>
          <w:ilvl w:val="0"/>
          <w:numId w:val="64"/>
        </w:numPr>
        <w:tabs>
          <w:tab w:val="left" w:pos="360"/>
        </w:tabs>
        <w:snapToGrid w:val="0"/>
        <w:spacing w:line="360" w:lineRule="auto"/>
        <w:ind w:left="357" w:hanging="357"/>
        <w:outlineLvl w:val="1"/>
        <w:rPr>
          <w:rFonts w:eastAsiaTheme="minorEastAsia"/>
          <w:sz w:val="24"/>
        </w:rPr>
      </w:pPr>
      <w:bookmarkStart w:id="235" w:name="_Toc164608796"/>
      <w:bookmarkStart w:id="236" w:name="_Toc151193841"/>
      <w:bookmarkStart w:id="237" w:name="_Toc151193697"/>
      <w:bookmarkStart w:id="238" w:name="_Toc516367021"/>
      <w:bookmarkStart w:id="239" w:name="_Toc164229368"/>
      <w:bookmarkStart w:id="240" w:name="_Toc150480765"/>
      <w:bookmarkStart w:id="241" w:name="_Toc226965800"/>
      <w:bookmarkStart w:id="242" w:name="_Toc151190154"/>
      <w:bookmarkStart w:id="243" w:name="_Toc226965717"/>
      <w:bookmarkStart w:id="244" w:name="_Toc305158869"/>
      <w:bookmarkStart w:id="245" w:name="_Toc151193769"/>
      <w:bookmarkStart w:id="246" w:name="_Toc149720820"/>
      <w:bookmarkStart w:id="247" w:name="_Toc151193625"/>
      <w:bookmarkStart w:id="248" w:name="_Toc142311029"/>
      <w:bookmarkStart w:id="249" w:name="_Toc151193915"/>
      <w:bookmarkStart w:id="250" w:name="_Toc150774627"/>
      <w:bookmarkStart w:id="251" w:name="_Toc164608641"/>
      <w:bookmarkStart w:id="252" w:name="_Toc164229222"/>
      <w:bookmarkStart w:id="253" w:name="_Toc127161441"/>
      <w:bookmarkStart w:id="254" w:name="_Toc164351621"/>
      <w:bookmarkStart w:id="255" w:name="_Toc264969217"/>
      <w:bookmarkStart w:id="256" w:name="_Toc127151728"/>
      <w:bookmarkStart w:id="257" w:name="_Toc150509278"/>
      <w:bookmarkStart w:id="258" w:name="_Toc195842892"/>
      <w:bookmarkStart w:id="259" w:name="_Toc265228365"/>
      <w:bookmarkStart w:id="260" w:name="_Toc226309771"/>
      <w:bookmarkStart w:id="261" w:name="_Toc127151527"/>
      <w:bookmarkStart w:id="262" w:name="_Toc305158795"/>
      <w:bookmarkStart w:id="263" w:name="_Toc150774732"/>
      <w:bookmarkStart w:id="264" w:name="_Toc520356151"/>
      <w:bookmarkStart w:id="265" w:name="_Toc226337223"/>
      <w:r>
        <w:rPr>
          <w:rFonts w:eastAsiaTheme="minorEastAsia"/>
          <w:sz w:val="24"/>
        </w:rPr>
        <w:t>响应范围、竞争性磋商文件中计量单位的使用</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Fonts w:eastAsiaTheme="minorEastAsia"/>
          <w:sz w:val="24"/>
        </w:rPr>
        <w:t>及磋商语言</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numPr>
          <w:ilvl w:val="0"/>
          <w:numId w:val="64"/>
        </w:numPr>
        <w:tabs>
          <w:tab w:val="left" w:pos="360"/>
        </w:tabs>
        <w:snapToGrid w:val="0"/>
        <w:spacing w:line="360" w:lineRule="auto"/>
        <w:ind w:left="357" w:hanging="357"/>
        <w:outlineLvl w:val="1"/>
        <w:rPr>
          <w:rFonts w:eastAsiaTheme="minorEastAsia"/>
          <w:sz w:val="24"/>
        </w:rPr>
      </w:pPr>
      <w:bookmarkStart w:id="266" w:name="_Toc516367022"/>
      <w:bookmarkStart w:id="267" w:name="_Ref467306676"/>
      <w:bookmarkStart w:id="268" w:name="_Ref467306195"/>
      <w:bookmarkStart w:id="269" w:name="_Toc305158796"/>
      <w:bookmarkStart w:id="270" w:name="_Toc150774628"/>
      <w:bookmarkStart w:id="271" w:name="_Toc164351622"/>
      <w:bookmarkStart w:id="272" w:name="_Toc151193770"/>
      <w:bookmarkStart w:id="273" w:name="_Toc164608642"/>
      <w:bookmarkStart w:id="274" w:name="_Toc520356152"/>
      <w:bookmarkStart w:id="275" w:name="_Toc164229223"/>
      <w:bookmarkStart w:id="276" w:name="_Toc151193842"/>
      <w:bookmarkStart w:id="277" w:name="_Toc226965718"/>
      <w:bookmarkStart w:id="278" w:name="_Toc195842893"/>
      <w:bookmarkStart w:id="279" w:name="_Toc226309772"/>
      <w:bookmarkStart w:id="280" w:name="_Toc264969218"/>
      <w:bookmarkStart w:id="281" w:name="_Toc149720821"/>
      <w:bookmarkStart w:id="282" w:name="_Toc127151528"/>
      <w:bookmarkStart w:id="283" w:name="_Toc226965801"/>
      <w:bookmarkStart w:id="284" w:name="_Toc142311030"/>
      <w:bookmarkStart w:id="285" w:name="_Toc151190155"/>
      <w:bookmarkStart w:id="286" w:name="_Toc150774733"/>
      <w:bookmarkStart w:id="287" w:name="_Toc305158870"/>
      <w:bookmarkStart w:id="288" w:name="_Toc164608797"/>
      <w:bookmarkStart w:id="289" w:name="_Toc150480766"/>
      <w:bookmarkStart w:id="290" w:name="_Toc151193916"/>
      <w:bookmarkStart w:id="291" w:name="_Toc265228366"/>
      <w:bookmarkStart w:id="292" w:name="_Toc127151729"/>
      <w:bookmarkStart w:id="293" w:name="_Toc127161442"/>
      <w:bookmarkStart w:id="294" w:name="_Toc226337224"/>
      <w:bookmarkStart w:id="295" w:name="_Toc151193698"/>
      <w:bookmarkStart w:id="296" w:name="_Toc150509279"/>
      <w:bookmarkStart w:id="297" w:name="_Toc151193626"/>
      <w:bookmarkStart w:id="298" w:name="_Toc164229369"/>
      <w:r>
        <w:rPr>
          <w:rFonts w:eastAsiaTheme="minorEastAsia"/>
          <w:sz w:val="24"/>
        </w:rPr>
        <w:t>响应文件</w:t>
      </w:r>
      <w:bookmarkEnd w:id="266"/>
      <w:bookmarkEnd w:id="267"/>
      <w:bookmarkEnd w:id="268"/>
      <w:r>
        <w:rPr>
          <w:rFonts w:eastAsiaTheme="minorEastAsia"/>
          <w:sz w:val="24"/>
        </w:rPr>
        <w:t>构成</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numPr>
          <w:ilvl w:val="1"/>
          <w:numId w:val="64"/>
        </w:numPr>
        <w:tabs>
          <w:tab w:val="left" w:pos="1080"/>
          <w:tab w:val="left" w:pos="2014"/>
        </w:tabs>
        <w:snapToGrid w:val="0"/>
        <w:spacing w:line="360" w:lineRule="auto"/>
        <w:ind w:left="1077" w:hanging="720"/>
        <w:rPr>
          <w:rFonts w:eastAsiaTheme="minorEastAsia"/>
          <w:sz w:val="24"/>
        </w:rPr>
      </w:pPr>
      <w:bookmarkStart w:id="299"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99"/>
    </w:p>
    <w:p>
      <w:pPr>
        <w:numPr>
          <w:ilvl w:val="0"/>
          <w:numId w:val="64"/>
        </w:numPr>
        <w:tabs>
          <w:tab w:val="left" w:pos="360"/>
        </w:tabs>
        <w:snapToGrid w:val="0"/>
        <w:spacing w:line="360" w:lineRule="auto"/>
        <w:ind w:left="357" w:hanging="357"/>
        <w:outlineLvl w:val="1"/>
        <w:rPr>
          <w:rFonts w:eastAsiaTheme="minorEastAsia"/>
          <w:sz w:val="24"/>
        </w:rPr>
      </w:pPr>
      <w:bookmarkStart w:id="300" w:name="_Toc520356155"/>
      <w:bookmarkStart w:id="301" w:name="_Toc142311032"/>
      <w:bookmarkStart w:id="302" w:name="_Toc127151530"/>
      <w:bookmarkStart w:id="303" w:name="_Toc164229225"/>
      <w:bookmarkStart w:id="304" w:name="_Toc151193918"/>
      <w:bookmarkStart w:id="305" w:name="_Toc150509281"/>
      <w:bookmarkStart w:id="306" w:name="_Toc164608644"/>
      <w:bookmarkStart w:id="307" w:name="_Toc164608799"/>
      <w:bookmarkStart w:id="308" w:name="_Toc127151731"/>
      <w:bookmarkStart w:id="309" w:name="_Toc164229371"/>
      <w:bookmarkStart w:id="310" w:name="_Toc150774735"/>
      <w:bookmarkStart w:id="311" w:name="_Toc151193772"/>
      <w:bookmarkStart w:id="312" w:name="_Toc149720823"/>
      <w:bookmarkStart w:id="313" w:name="_Toc151193628"/>
      <w:bookmarkStart w:id="314" w:name="_Toc150774630"/>
      <w:bookmarkStart w:id="315" w:name="_Toc151193844"/>
      <w:bookmarkStart w:id="316" w:name="_Toc150480768"/>
      <w:bookmarkStart w:id="317" w:name="_Toc151193700"/>
      <w:bookmarkStart w:id="318" w:name="_Toc195842895"/>
      <w:bookmarkStart w:id="319" w:name="_Toc127161444"/>
      <w:bookmarkStart w:id="320" w:name="_Toc151190157"/>
      <w:bookmarkStart w:id="321" w:name="_Toc164351624"/>
      <w:r>
        <w:rPr>
          <w:rFonts w:eastAsiaTheme="minorEastAsia"/>
          <w:sz w:val="24"/>
        </w:rPr>
        <w:t>报价</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pPr>
        <w:numPr>
          <w:ilvl w:val="1"/>
          <w:numId w:val="64"/>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pPr>
        <w:numPr>
          <w:ilvl w:val="2"/>
          <w:numId w:val="64"/>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64"/>
        </w:numPr>
        <w:snapToGrid w:val="0"/>
        <w:spacing w:line="360" w:lineRule="auto"/>
        <w:rPr>
          <w:rFonts w:eastAsiaTheme="minorEastAsia"/>
          <w:sz w:val="24"/>
        </w:rPr>
      </w:pPr>
      <w:r>
        <w:rPr>
          <w:rFonts w:eastAsiaTheme="minorEastAsia"/>
          <w:sz w:val="24"/>
        </w:rPr>
        <w:t>按照竞争性磋商文件要求完成本项目的全部相关费用。</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r>
        <w:rPr>
          <w:rFonts w:hint="eastAsia" w:eastAsiaTheme="minorEastAsia"/>
          <w:sz w:val="24"/>
          <w:lang w:val="en-US" w:eastAsia="zh-CN"/>
        </w:rPr>
        <w:t>：本项目不要求交纳磋商保证金</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pPr>
        <w:numPr>
          <w:ilvl w:val="0"/>
          <w:numId w:val="64"/>
        </w:numPr>
        <w:tabs>
          <w:tab w:val="left" w:pos="360"/>
        </w:tabs>
        <w:snapToGrid w:val="0"/>
        <w:spacing w:line="360" w:lineRule="auto"/>
        <w:ind w:left="357" w:hanging="357"/>
        <w:outlineLvl w:val="1"/>
        <w:rPr>
          <w:rFonts w:eastAsiaTheme="minorEastAsia"/>
          <w:sz w:val="24"/>
        </w:rPr>
      </w:pPr>
      <w:bookmarkStart w:id="322" w:name="_Toc149720826"/>
      <w:bookmarkStart w:id="323" w:name="_Toc151190160"/>
      <w:bookmarkStart w:id="324" w:name="_Toc150774738"/>
      <w:bookmarkStart w:id="325" w:name="_Toc150509284"/>
      <w:bookmarkStart w:id="326" w:name="_Toc305158801"/>
      <w:bookmarkStart w:id="327" w:name="_Toc150480771"/>
      <w:bookmarkStart w:id="328" w:name="_Toc151193631"/>
      <w:bookmarkStart w:id="329" w:name="_Toc151193775"/>
      <w:bookmarkStart w:id="330" w:name="_Toc164229374"/>
      <w:bookmarkStart w:id="331" w:name="_Toc264969223"/>
      <w:bookmarkStart w:id="332" w:name="_Toc226337229"/>
      <w:bookmarkStart w:id="333" w:name="_Toc265228371"/>
      <w:bookmarkStart w:id="334" w:name="_Toc520356158"/>
      <w:bookmarkStart w:id="335" w:name="_Toc195842898"/>
      <w:bookmarkStart w:id="336" w:name="_Toc305158875"/>
      <w:bookmarkStart w:id="337" w:name="_Toc151193847"/>
      <w:bookmarkStart w:id="338" w:name="_Toc164608647"/>
      <w:bookmarkStart w:id="339" w:name="_Toc127161447"/>
      <w:bookmarkStart w:id="340" w:name="_Toc226965723"/>
      <w:bookmarkStart w:id="341" w:name="_Toc164608802"/>
      <w:bookmarkStart w:id="342" w:name="_Toc164229228"/>
      <w:bookmarkStart w:id="343" w:name="_Toc151193703"/>
      <w:bookmarkStart w:id="344" w:name="_Toc226965806"/>
      <w:bookmarkStart w:id="345" w:name="_Toc127151734"/>
      <w:bookmarkStart w:id="346" w:name="_Toc127151533"/>
      <w:bookmarkStart w:id="347" w:name="_Toc164351627"/>
      <w:bookmarkStart w:id="348" w:name="_Toc151193921"/>
      <w:bookmarkStart w:id="349" w:name="_Toc150774633"/>
      <w:bookmarkStart w:id="350" w:name="_Toc226309777"/>
      <w:bookmarkStart w:id="351" w:name="_Toc142311035"/>
      <w:r>
        <w:rPr>
          <w:rFonts w:eastAsiaTheme="minorEastAsia"/>
          <w:sz w:val="24"/>
        </w:rPr>
        <w:t>响应文件的签署</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Fonts w:eastAsiaTheme="minorEastAsia"/>
          <w:sz w:val="24"/>
        </w:rPr>
        <w:t>、盖章</w:t>
      </w:r>
    </w:p>
    <w:p>
      <w:pPr>
        <w:numPr>
          <w:ilvl w:val="1"/>
          <w:numId w:val="64"/>
        </w:numPr>
        <w:tabs>
          <w:tab w:val="left" w:pos="1080"/>
        </w:tabs>
        <w:snapToGrid w:val="0"/>
        <w:spacing w:line="360" w:lineRule="auto"/>
        <w:rPr>
          <w:rFonts w:eastAsiaTheme="minorEastAsia"/>
          <w:sz w:val="24"/>
        </w:rPr>
      </w:pPr>
      <w:bookmarkStart w:id="352" w:name="_Toc151193776"/>
      <w:bookmarkStart w:id="353" w:name="_Toc151193632"/>
      <w:bookmarkStart w:id="354" w:name="_Toc520356159"/>
      <w:bookmarkStart w:id="355" w:name="_Toc226965724"/>
      <w:bookmarkStart w:id="356" w:name="_Toc151193922"/>
      <w:bookmarkStart w:id="357" w:name="_Toc150509285"/>
      <w:bookmarkStart w:id="358" w:name="_Toc305158802"/>
      <w:bookmarkStart w:id="359" w:name="_Toc142311036"/>
      <w:bookmarkStart w:id="360" w:name="_Toc226965807"/>
      <w:bookmarkStart w:id="361" w:name="_Toc150774739"/>
      <w:bookmarkStart w:id="362" w:name="_Toc195842899"/>
      <w:bookmarkStart w:id="363" w:name="_Toc151190161"/>
      <w:bookmarkStart w:id="364" w:name="_Toc151193848"/>
      <w:bookmarkStart w:id="365" w:name="_Toc305158876"/>
      <w:bookmarkStart w:id="366" w:name="_Toc226337230"/>
      <w:bookmarkStart w:id="367" w:name="_Toc264969224"/>
      <w:bookmarkStart w:id="368" w:name="_Toc150480772"/>
      <w:bookmarkStart w:id="369" w:name="_Toc127151534"/>
      <w:bookmarkStart w:id="370" w:name="_Toc265228372"/>
      <w:bookmarkStart w:id="371" w:name="_Toc150774634"/>
      <w:bookmarkStart w:id="372" w:name="_Toc151193704"/>
      <w:bookmarkStart w:id="373" w:name="_Toc226309778"/>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pPr>
        <w:tabs>
          <w:tab w:val="left" w:pos="900"/>
          <w:tab w:val="left" w:pos="1080"/>
        </w:tabs>
        <w:snapToGrid w:val="0"/>
        <w:spacing w:line="360" w:lineRule="auto"/>
        <w:ind w:left="357"/>
        <w:rPr>
          <w:rFonts w:eastAsiaTheme="minorEastAsia"/>
        </w:rPr>
      </w:pPr>
    </w:p>
    <w:p>
      <w:pPr>
        <w:pStyle w:val="4"/>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numPr>
          <w:ilvl w:val="0"/>
          <w:numId w:val="64"/>
        </w:numPr>
        <w:tabs>
          <w:tab w:val="left" w:pos="360"/>
        </w:tabs>
        <w:snapToGrid w:val="0"/>
        <w:spacing w:line="360" w:lineRule="auto"/>
        <w:ind w:left="357" w:hanging="357"/>
        <w:outlineLvl w:val="1"/>
        <w:rPr>
          <w:rFonts w:eastAsiaTheme="minorEastAsia"/>
          <w:sz w:val="24"/>
        </w:rPr>
      </w:pPr>
      <w:bookmarkStart w:id="374" w:name="_Toc164229230"/>
      <w:bookmarkStart w:id="375" w:name="_Toc164608649"/>
      <w:bookmarkStart w:id="376" w:name="_Toc151193777"/>
      <w:bookmarkStart w:id="377" w:name="_Toc149720828"/>
      <w:bookmarkStart w:id="378" w:name="_Toc164229376"/>
      <w:bookmarkStart w:id="379" w:name="_Toc127161449"/>
      <w:bookmarkStart w:id="380" w:name="_Toc127151736"/>
      <w:bookmarkStart w:id="381" w:name="_Toc142311037"/>
      <w:bookmarkStart w:id="382" w:name="_Toc305158877"/>
      <w:bookmarkStart w:id="383" w:name="_Toc151193705"/>
      <w:bookmarkStart w:id="384" w:name="_Toc226965725"/>
      <w:bookmarkStart w:id="385" w:name="_Toc127151535"/>
      <w:bookmarkStart w:id="386" w:name="_Toc150480773"/>
      <w:bookmarkStart w:id="387" w:name="_Toc164351629"/>
      <w:bookmarkStart w:id="388" w:name="_Toc150774740"/>
      <w:bookmarkStart w:id="389" w:name="_Toc226965808"/>
      <w:bookmarkStart w:id="390" w:name="_Toc520356160"/>
      <w:bookmarkStart w:id="391" w:name="_Toc150774635"/>
      <w:bookmarkStart w:id="392" w:name="_Toc265228373"/>
      <w:bookmarkStart w:id="393" w:name="_Toc150509286"/>
      <w:bookmarkStart w:id="394" w:name="_Toc164608804"/>
      <w:bookmarkStart w:id="395" w:name="_Toc151193849"/>
      <w:bookmarkStart w:id="396" w:name="_Toc151193923"/>
      <w:bookmarkStart w:id="397" w:name="_Toc226309779"/>
      <w:bookmarkStart w:id="398" w:name="_Toc151193633"/>
      <w:bookmarkStart w:id="399" w:name="_Toc151190162"/>
      <w:bookmarkStart w:id="400" w:name="_Toc226337231"/>
      <w:bookmarkStart w:id="401" w:name="_Toc305158803"/>
      <w:bookmarkStart w:id="402" w:name="_Toc195842900"/>
      <w:bookmarkStart w:id="403" w:name="_Toc264969225"/>
      <w:r>
        <w:rPr>
          <w:rFonts w:eastAsiaTheme="minorEastAsia"/>
          <w:sz w:val="24"/>
        </w:rPr>
        <w:t>响应文件的</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Fonts w:eastAsiaTheme="minorEastAsia"/>
          <w:sz w:val="24"/>
        </w:rPr>
        <w:t>提交</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pPr>
        <w:numPr>
          <w:ilvl w:val="0"/>
          <w:numId w:val="64"/>
        </w:numPr>
        <w:tabs>
          <w:tab w:val="left" w:pos="360"/>
        </w:tabs>
        <w:snapToGrid w:val="0"/>
        <w:spacing w:line="360" w:lineRule="auto"/>
        <w:ind w:left="357" w:hanging="357"/>
        <w:outlineLvl w:val="1"/>
        <w:rPr>
          <w:rFonts w:eastAsiaTheme="minorEastAsia"/>
          <w:sz w:val="24"/>
        </w:rPr>
      </w:pPr>
      <w:bookmarkStart w:id="404" w:name="_Toc127151536"/>
      <w:bookmarkStart w:id="405" w:name="_Toc151193706"/>
      <w:bookmarkStart w:id="406" w:name="_Toc164229231"/>
      <w:bookmarkStart w:id="407" w:name="_Toc149720829"/>
      <w:bookmarkStart w:id="408" w:name="_Toc151193850"/>
      <w:bookmarkStart w:id="409" w:name="_Toc164229377"/>
      <w:bookmarkStart w:id="410" w:name="_Toc151193924"/>
      <w:bookmarkStart w:id="411" w:name="_Toc226337232"/>
      <w:bookmarkStart w:id="412" w:name="_Toc265228374"/>
      <w:bookmarkStart w:id="413" w:name="_Toc305158878"/>
      <w:bookmarkStart w:id="414" w:name="_Toc305158804"/>
      <w:bookmarkStart w:id="415" w:name="_Toc151193778"/>
      <w:bookmarkStart w:id="416" w:name="_Toc151193634"/>
      <w:bookmarkStart w:id="417" w:name="_Toc150774636"/>
      <w:bookmarkStart w:id="418" w:name="_Toc150480774"/>
      <w:bookmarkStart w:id="419" w:name="_Toc150509287"/>
      <w:bookmarkStart w:id="420" w:name="_Toc127161450"/>
      <w:bookmarkStart w:id="421" w:name="_Toc164351630"/>
      <w:bookmarkStart w:id="422" w:name="_Toc264969226"/>
      <w:bookmarkStart w:id="423" w:name="_Toc226965809"/>
      <w:bookmarkStart w:id="424" w:name="_Toc151190163"/>
      <w:bookmarkStart w:id="425" w:name="_Toc226965726"/>
      <w:bookmarkStart w:id="426" w:name="_Toc520356161"/>
      <w:bookmarkStart w:id="427" w:name="_Toc195842901"/>
      <w:bookmarkStart w:id="428" w:name="_Toc142311038"/>
      <w:bookmarkStart w:id="429" w:name="_Toc164608805"/>
      <w:bookmarkStart w:id="430" w:name="_Toc164608650"/>
      <w:bookmarkStart w:id="431" w:name="_Toc127151737"/>
      <w:bookmarkStart w:id="432" w:name="_Toc226309780"/>
      <w:bookmarkStart w:id="433" w:name="_Toc150774741"/>
      <w:r>
        <w:rPr>
          <w:rFonts w:eastAsiaTheme="minorEastAsia"/>
          <w:sz w:val="24"/>
        </w:rPr>
        <w:t>响应文件提交截止</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Fonts w:eastAsiaTheme="minorEastAsia"/>
          <w:sz w:val="24"/>
        </w:rPr>
        <w:t>时间</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pPr>
        <w:numPr>
          <w:ilvl w:val="0"/>
          <w:numId w:val="64"/>
        </w:numPr>
        <w:tabs>
          <w:tab w:val="left" w:pos="360"/>
        </w:tabs>
        <w:snapToGrid w:val="0"/>
        <w:spacing w:line="360" w:lineRule="auto"/>
        <w:ind w:left="357" w:hanging="357"/>
        <w:outlineLvl w:val="1"/>
        <w:rPr>
          <w:rFonts w:eastAsiaTheme="minorEastAsia"/>
          <w:sz w:val="24"/>
        </w:rPr>
      </w:pPr>
      <w:bookmarkStart w:id="434" w:name="_Toc164608806"/>
      <w:bookmarkStart w:id="435" w:name="_Toc164608651"/>
      <w:bookmarkStart w:id="436" w:name="_Toc149720830"/>
      <w:bookmarkStart w:id="437" w:name="_Toc164351631"/>
      <w:bookmarkStart w:id="438" w:name="_Toc164229378"/>
      <w:bookmarkStart w:id="439" w:name="_Toc150509288"/>
      <w:bookmarkStart w:id="440" w:name="_Toc150774637"/>
      <w:bookmarkStart w:id="441" w:name="_Toc265228375"/>
      <w:bookmarkStart w:id="442" w:name="_Toc127161451"/>
      <w:bookmarkStart w:id="443" w:name="_Toc151193925"/>
      <w:bookmarkStart w:id="444" w:name="_Toc164229232"/>
      <w:bookmarkStart w:id="445" w:name="_Toc305158879"/>
      <w:bookmarkStart w:id="446" w:name="_Toc127151738"/>
      <w:bookmarkStart w:id="447" w:name="_Toc150480775"/>
      <w:bookmarkStart w:id="448" w:name="_Toc226337233"/>
      <w:bookmarkStart w:id="449" w:name="_Toc142311039"/>
      <w:bookmarkStart w:id="450" w:name="_Toc151193707"/>
      <w:bookmarkStart w:id="451" w:name="_Toc127151537"/>
      <w:bookmarkStart w:id="452" w:name="_Toc151190164"/>
      <w:bookmarkStart w:id="453" w:name="_Toc226965727"/>
      <w:bookmarkStart w:id="454" w:name="_Toc264969227"/>
      <w:bookmarkStart w:id="455" w:name="_Toc151193851"/>
      <w:bookmarkStart w:id="456" w:name="_Toc226309781"/>
      <w:bookmarkStart w:id="457" w:name="_Toc151193635"/>
      <w:bookmarkStart w:id="458" w:name="_Toc520356162"/>
      <w:bookmarkStart w:id="459" w:name="_Toc151193779"/>
      <w:bookmarkStart w:id="460" w:name="_Toc150774742"/>
      <w:bookmarkStart w:id="461" w:name="_Toc195842902"/>
      <w:bookmarkStart w:id="462" w:name="_Toc226965810"/>
      <w:bookmarkStart w:id="463" w:name="_Toc305158805"/>
      <w:r>
        <w:rPr>
          <w:rFonts w:eastAsiaTheme="minorEastAsia"/>
          <w:sz w:val="24"/>
        </w:rPr>
        <w:t>响应文件的修改与撤回</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pPr>
        <w:tabs>
          <w:tab w:val="left" w:pos="900"/>
          <w:tab w:val="left" w:pos="1080"/>
          <w:tab w:val="left" w:pos="1589"/>
        </w:tabs>
        <w:snapToGrid w:val="0"/>
        <w:spacing w:line="360" w:lineRule="auto"/>
        <w:ind w:left="357"/>
        <w:rPr>
          <w:rFonts w:eastAsiaTheme="minorEastAsia"/>
          <w:sz w:val="24"/>
        </w:rPr>
      </w:pPr>
    </w:p>
    <w:p>
      <w:pPr>
        <w:pStyle w:val="4"/>
        <w:spacing w:before="0" w:line="360" w:lineRule="auto"/>
        <w:rPr>
          <w:rFonts w:ascii="Times New Roman" w:hAnsi="Times New Roman" w:eastAsiaTheme="minorEastAsia"/>
          <w:sz w:val="28"/>
        </w:rPr>
      </w:pPr>
      <w:bookmarkStart w:id="464" w:name="_Toc305158880"/>
      <w:bookmarkStart w:id="465" w:name="_Toc264969228"/>
      <w:bookmarkStart w:id="466" w:name="_Toc142311040"/>
      <w:bookmarkStart w:id="467" w:name="_Toc150774638"/>
      <w:bookmarkStart w:id="468" w:name="_Toc151193708"/>
      <w:bookmarkStart w:id="469" w:name="_Toc150480776"/>
      <w:bookmarkStart w:id="470" w:name="_Toc305158806"/>
      <w:bookmarkStart w:id="471" w:name="_Toc195842903"/>
      <w:bookmarkStart w:id="472" w:name="_Toc226965728"/>
      <w:bookmarkStart w:id="473" w:name="_Toc226337234"/>
      <w:bookmarkStart w:id="474" w:name="_Toc127151538"/>
      <w:bookmarkStart w:id="475" w:name="_Toc150774743"/>
      <w:bookmarkStart w:id="476" w:name="_Toc151193636"/>
      <w:bookmarkStart w:id="477" w:name="_Toc151193780"/>
      <w:bookmarkStart w:id="478" w:name="_Toc150509289"/>
      <w:bookmarkStart w:id="479" w:name="_Toc151193852"/>
      <w:bookmarkStart w:id="480" w:name="_Toc151190165"/>
      <w:bookmarkStart w:id="481" w:name="_Toc520356163"/>
      <w:bookmarkStart w:id="482" w:name="_Toc226965811"/>
      <w:bookmarkStart w:id="483" w:name="_Toc226309782"/>
      <w:bookmarkStart w:id="484" w:name="_Toc151193926"/>
      <w:bookmarkStart w:id="485" w:name="_Toc265228376"/>
      <w:r>
        <w:rPr>
          <w:rFonts w:ascii="Times New Roman" w:hAnsi="Times New Roman" w:eastAsiaTheme="minorEastAsia"/>
          <w:sz w:val="28"/>
        </w:rPr>
        <w:t xml:space="preserve">五   </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Fonts w:ascii="Times New Roman" w:hAnsi="Times New Roman" w:eastAsiaTheme="minorEastAsia"/>
          <w:sz w:val="28"/>
        </w:rPr>
        <w:t>评审</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pPr>
        <w:numPr>
          <w:ilvl w:val="1"/>
          <w:numId w:val="64"/>
        </w:numPr>
        <w:tabs>
          <w:tab w:val="left" w:pos="1080"/>
          <w:tab w:val="left" w:pos="2014"/>
        </w:tabs>
        <w:snapToGrid w:val="0"/>
        <w:spacing w:line="360" w:lineRule="auto"/>
        <w:ind w:left="1077" w:hanging="720"/>
        <w:rPr>
          <w:rFonts w:eastAsiaTheme="minorEastAsia"/>
          <w:sz w:val="24"/>
        </w:rPr>
      </w:pPr>
      <w:bookmarkStart w:id="486" w:name="_Toc520356165"/>
      <w:r>
        <w:rPr>
          <w:rFonts w:eastAsiaTheme="minorEastAsia"/>
          <w:sz w:val="24"/>
        </w:rPr>
        <w:t>本项目不公开报价。</w:t>
      </w:r>
    </w:p>
    <w:bookmarkEnd w:id="486"/>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87" w:name="_Toc520356166"/>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87"/>
      <w:bookmarkStart w:id="488" w:name="_Toc520356169"/>
    </w:p>
    <w:p>
      <w:pPr>
        <w:numPr>
          <w:ilvl w:val="0"/>
          <w:numId w:val="64"/>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pPr>
        <w:tabs>
          <w:tab w:val="left" w:pos="360"/>
          <w:tab w:val="left" w:pos="1080"/>
        </w:tabs>
        <w:snapToGrid w:val="0"/>
        <w:spacing w:line="360" w:lineRule="auto"/>
        <w:ind w:left="1080"/>
        <w:rPr>
          <w:rFonts w:eastAsiaTheme="minorEastAsia"/>
          <w:sz w:val="24"/>
        </w:rPr>
      </w:pPr>
    </w:p>
    <w:p>
      <w:pPr>
        <w:pStyle w:val="4"/>
        <w:spacing w:before="0" w:line="360" w:lineRule="auto"/>
        <w:rPr>
          <w:rFonts w:ascii="Times New Roman" w:hAnsi="Times New Roman" w:eastAsiaTheme="minorEastAsia"/>
          <w:sz w:val="28"/>
        </w:rPr>
      </w:pPr>
      <w:bookmarkStart w:id="489" w:name="_Toc226965735"/>
      <w:bookmarkStart w:id="490" w:name="_Toc142311047"/>
      <w:bookmarkStart w:id="491" w:name="_Toc151190172"/>
      <w:bookmarkStart w:id="492" w:name="_Toc150509296"/>
      <w:bookmarkStart w:id="493" w:name="_Toc226337241"/>
      <w:bookmarkStart w:id="494" w:name="_Toc151193715"/>
      <w:bookmarkStart w:id="495" w:name="_Toc150774750"/>
      <w:bookmarkStart w:id="496" w:name="_Toc151193933"/>
      <w:bookmarkStart w:id="497" w:name="_Toc151193787"/>
      <w:bookmarkStart w:id="498" w:name="_Toc265228383"/>
      <w:bookmarkStart w:id="499" w:name="_Toc305158813"/>
      <w:bookmarkStart w:id="500" w:name="_Toc305158887"/>
      <w:bookmarkStart w:id="501" w:name="_Toc226965818"/>
      <w:bookmarkStart w:id="502" w:name="_Toc151193643"/>
      <w:bookmarkStart w:id="503" w:name="_Toc264969235"/>
      <w:bookmarkStart w:id="504" w:name="_Toc150774645"/>
      <w:bookmarkStart w:id="505" w:name="_Toc150480783"/>
      <w:bookmarkStart w:id="506" w:name="_Toc195842910"/>
      <w:bookmarkStart w:id="507" w:name="_Toc127151545"/>
      <w:bookmarkStart w:id="508" w:name="_Toc151193859"/>
      <w:bookmarkStart w:id="509" w:name="_Toc226309789"/>
      <w:r>
        <w:rPr>
          <w:rFonts w:ascii="Times New Roman" w:hAnsi="Times New Roman" w:eastAsiaTheme="minorEastAsia"/>
          <w:sz w:val="28"/>
        </w:rPr>
        <w:t xml:space="preserve">六   </w:t>
      </w:r>
      <w:bookmarkEnd w:id="488"/>
      <w:r>
        <w:rPr>
          <w:rFonts w:ascii="Times New Roman" w:hAnsi="Times New Roman" w:eastAsiaTheme="minorEastAsia"/>
          <w:sz w:val="28"/>
        </w:rPr>
        <w:t>确定</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Fonts w:ascii="Times New Roman" w:hAnsi="Times New Roman" w:eastAsiaTheme="minorEastAsia"/>
          <w:sz w:val="28"/>
        </w:rPr>
        <w:t>成交</w:t>
      </w:r>
    </w:p>
    <w:p>
      <w:pPr>
        <w:numPr>
          <w:ilvl w:val="0"/>
          <w:numId w:val="64"/>
        </w:numPr>
        <w:tabs>
          <w:tab w:val="left" w:pos="360"/>
        </w:tabs>
        <w:snapToGrid w:val="0"/>
        <w:spacing w:line="360" w:lineRule="auto"/>
        <w:ind w:left="357" w:hanging="357"/>
        <w:outlineLvl w:val="1"/>
        <w:rPr>
          <w:rFonts w:eastAsiaTheme="minorEastAsia"/>
          <w:sz w:val="24"/>
        </w:rPr>
      </w:pPr>
      <w:bookmarkStart w:id="510" w:name="_Toc226965737"/>
      <w:bookmarkStart w:id="511" w:name="_Toc164608816"/>
      <w:bookmarkStart w:id="512" w:name="_Toc127151748"/>
      <w:bookmarkStart w:id="513" w:name="_Toc150774647"/>
      <w:bookmarkStart w:id="514" w:name="_Toc151193645"/>
      <w:bookmarkStart w:id="515" w:name="_Toc127161461"/>
      <w:bookmarkStart w:id="516" w:name="_Toc142311049"/>
      <w:bookmarkStart w:id="517" w:name="_Toc305158889"/>
      <w:bookmarkStart w:id="518" w:name="_Toc164229242"/>
      <w:bookmarkStart w:id="519" w:name="_Toc151193789"/>
      <w:bookmarkStart w:id="520" w:name="_Toc151193717"/>
      <w:bookmarkStart w:id="521" w:name="_Toc151193935"/>
      <w:bookmarkStart w:id="522" w:name="_Toc151190174"/>
      <w:bookmarkStart w:id="523" w:name="_Toc226965820"/>
      <w:bookmarkStart w:id="524" w:name="_Toc150509298"/>
      <w:bookmarkStart w:id="525" w:name="_Toc265228385"/>
      <w:bookmarkStart w:id="526" w:name="_Toc127151547"/>
      <w:bookmarkStart w:id="527" w:name="_Toc195842912"/>
      <w:bookmarkStart w:id="528" w:name="_Toc164229388"/>
      <w:bookmarkStart w:id="529" w:name="_Toc226337243"/>
      <w:bookmarkStart w:id="530" w:name="_Toc264969237"/>
      <w:bookmarkStart w:id="531" w:name="_Toc149720840"/>
      <w:bookmarkStart w:id="532" w:name="_Toc305158815"/>
      <w:bookmarkStart w:id="533" w:name="_Toc226309791"/>
      <w:bookmarkStart w:id="534" w:name="_Toc150480785"/>
      <w:bookmarkStart w:id="535" w:name="_Toc151193861"/>
      <w:bookmarkStart w:id="536" w:name="_Toc164351641"/>
      <w:bookmarkStart w:id="537" w:name="_Toc164608661"/>
      <w:bookmarkStart w:id="538" w:name="_Toc150774752"/>
      <w:r>
        <w:rPr>
          <w:rFonts w:eastAsiaTheme="minorEastAsia"/>
          <w:sz w:val="24"/>
        </w:rPr>
        <w:t>确定成交供应商</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pPr>
        <w:numPr>
          <w:ilvl w:val="0"/>
          <w:numId w:val="64"/>
        </w:numPr>
        <w:tabs>
          <w:tab w:val="left" w:pos="360"/>
        </w:tabs>
        <w:snapToGrid w:val="0"/>
        <w:spacing w:line="360" w:lineRule="auto"/>
        <w:ind w:left="357" w:hanging="357"/>
        <w:outlineLvl w:val="1"/>
        <w:rPr>
          <w:rFonts w:eastAsiaTheme="minorEastAsia"/>
          <w:sz w:val="24"/>
        </w:rPr>
      </w:pPr>
      <w:bookmarkStart w:id="539" w:name="_Toc305158891"/>
      <w:bookmarkStart w:id="540" w:name="_Toc305158817"/>
      <w:bookmarkStart w:id="541" w:name="_Toc195842914"/>
      <w:bookmarkStart w:id="542" w:name="_Toc164608663"/>
      <w:bookmarkStart w:id="543" w:name="_Toc226337245"/>
      <w:bookmarkStart w:id="544" w:name="_Toc164229244"/>
      <w:bookmarkStart w:id="545" w:name="_Toc151193647"/>
      <w:bookmarkStart w:id="546" w:name="_Toc151193791"/>
      <w:bookmarkStart w:id="547" w:name="_Toc150480787"/>
      <w:bookmarkStart w:id="548" w:name="_Toc151193719"/>
      <w:bookmarkStart w:id="549" w:name="_Toc226965822"/>
      <w:bookmarkStart w:id="550" w:name="_Toc150774754"/>
      <w:bookmarkStart w:id="551" w:name="_Toc127151750"/>
      <w:bookmarkStart w:id="552" w:name="_Toc226965739"/>
      <w:bookmarkStart w:id="553" w:name="_Toc127151549"/>
      <w:bookmarkStart w:id="554" w:name="_Toc127161463"/>
      <w:bookmarkStart w:id="555" w:name="_Toc164608818"/>
      <w:bookmarkStart w:id="556" w:name="_Toc142311051"/>
      <w:bookmarkStart w:id="557" w:name="_Toc265228387"/>
      <w:bookmarkStart w:id="558" w:name="_Toc151193937"/>
      <w:bookmarkStart w:id="559" w:name="_Toc226309793"/>
      <w:bookmarkStart w:id="560" w:name="_Toc150774649"/>
      <w:bookmarkStart w:id="561" w:name="_Toc151193863"/>
      <w:bookmarkStart w:id="562" w:name="_Toc151190176"/>
      <w:bookmarkStart w:id="563" w:name="_Toc264969239"/>
      <w:bookmarkStart w:id="564" w:name="_Toc164229390"/>
      <w:bookmarkStart w:id="565" w:name="_Toc150509300"/>
      <w:bookmarkStart w:id="566" w:name="_Toc149720842"/>
      <w:bookmarkStart w:id="567" w:name="_Toc164351643"/>
      <w:bookmarkStart w:id="568" w:name="_Ref467306425"/>
      <w:bookmarkStart w:id="569" w:name="_Toc520356176"/>
      <w:bookmarkStart w:id="570" w:name="_Ref467307090"/>
      <w:r>
        <w:rPr>
          <w:rFonts w:eastAsiaTheme="minorEastAsia"/>
          <w:sz w:val="24"/>
        </w:rPr>
        <w:t>成交公告与成交通知书</w:t>
      </w:r>
      <w:bookmarkEnd w:id="539"/>
      <w:bookmarkEnd w:id="540"/>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终止</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pPr>
        <w:numPr>
          <w:ilvl w:val="2"/>
          <w:numId w:val="64"/>
        </w:numPr>
        <w:snapToGrid w:val="0"/>
        <w:spacing w:line="360" w:lineRule="auto"/>
        <w:rPr>
          <w:rFonts w:eastAsiaTheme="minorEastAsia"/>
          <w:sz w:val="24"/>
        </w:rPr>
      </w:pPr>
      <w:r>
        <w:rPr>
          <w:rFonts w:eastAsiaTheme="minorEastAsia"/>
          <w:sz w:val="24"/>
        </w:rPr>
        <w:t>因情况变化，不再符合规定的竞争性磋商采购方式适用情形的；</w:t>
      </w:r>
    </w:p>
    <w:p>
      <w:pPr>
        <w:numPr>
          <w:ilvl w:val="2"/>
          <w:numId w:val="64"/>
        </w:numPr>
        <w:snapToGrid w:val="0"/>
        <w:spacing w:line="360" w:lineRule="auto"/>
        <w:rPr>
          <w:rFonts w:eastAsiaTheme="minorEastAsia"/>
          <w:sz w:val="24"/>
        </w:rPr>
      </w:pPr>
      <w:r>
        <w:rPr>
          <w:rFonts w:eastAsiaTheme="minorEastAsia"/>
          <w:sz w:val="24"/>
        </w:rPr>
        <w:t>出现影响采购公正的违法、违规行为的；</w:t>
      </w:r>
    </w:p>
    <w:p>
      <w:pPr>
        <w:numPr>
          <w:ilvl w:val="2"/>
          <w:numId w:val="64"/>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Pr>
        <w:numPr>
          <w:ilvl w:val="0"/>
          <w:numId w:val="64"/>
        </w:numPr>
        <w:tabs>
          <w:tab w:val="left" w:pos="360"/>
        </w:tabs>
        <w:snapToGrid w:val="0"/>
        <w:spacing w:line="360" w:lineRule="auto"/>
        <w:ind w:left="357" w:hanging="357"/>
        <w:outlineLvl w:val="1"/>
        <w:rPr>
          <w:rFonts w:eastAsiaTheme="minorEastAsia"/>
          <w:sz w:val="24"/>
        </w:rPr>
      </w:pPr>
      <w:bookmarkStart w:id="571" w:name="_Toc265228388"/>
      <w:bookmarkStart w:id="572" w:name="_Toc164351644"/>
      <w:bookmarkStart w:id="573" w:name="_Toc164608664"/>
      <w:bookmarkStart w:id="574" w:name="_Toc151190177"/>
      <w:bookmarkStart w:id="575" w:name="_Toc150480788"/>
      <w:bookmarkStart w:id="576" w:name="_Toc142311052"/>
      <w:bookmarkStart w:id="577" w:name="_Toc151193792"/>
      <w:bookmarkStart w:id="578" w:name="_Toc226309794"/>
      <w:bookmarkStart w:id="579" w:name="_Toc127161464"/>
      <w:bookmarkStart w:id="580" w:name="_Toc305158892"/>
      <w:bookmarkStart w:id="581" w:name="_Toc520356175"/>
      <w:bookmarkStart w:id="582" w:name="_Toc151193864"/>
      <w:bookmarkStart w:id="583" w:name="_Toc164229245"/>
      <w:bookmarkStart w:id="584" w:name="_Toc151193648"/>
      <w:bookmarkStart w:id="585" w:name="_Toc151193720"/>
      <w:bookmarkStart w:id="586" w:name="_Ref467306377"/>
      <w:bookmarkStart w:id="587" w:name="_Ref467307204"/>
      <w:bookmarkStart w:id="588" w:name="_Toc305158818"/>
      <w:bookmarkStart w:id="589" w:name="_Toc149720843"/>
      <w:bookmarkStart w:id="590" w:name="_Ref467306978"/>
      <w:bookmarkStart w:id="591" w:name="_Toc150509301"/>
      <w:bookmarkStart w:id="592" w:name="_Toc195842915"/>
      <w:bookmarkStart w:id="593" w:name="_Toc127151550"/>
      <w:bookmarkStart w:id="594" w:name="_Ref467307062"/>
      <w:bookmarkStart w:id="595" w:name="_Toc264969240"/>
      <w:bookmarkStart w:id="596" w:name="_Toc151193938"/>
      <w:bookmarkStart w:id="597" w:name="_Toc164229391"/>
      <w:bookmarkStart w:id="598" w:name="_Toc150774755"/>
      <w:bookmarkStart w:id="599" w:name="_Toc164608819"/>
      <w:bookmarkStart w:id="600" w:name="_Toc226337246"/>
      <w:bookmarkStart w:id="601" w:name="_Toc226965823"/>
      <w:bookmarkStart w:id="602" w:name="_Toc150774650"/>
      <w:bookmarkStart w:id="603" w:name="_Toc127151751"/>
      <w:bookmarkStart w:id="604" w:name="_Toc226965740"/>
      <w:r>
        <w:rPr>
          <w:rFonts w:eastAsiaTheme="minorEastAsia"/>
          <w:sz w:val="24"/>
        </w:rPr>
        <w:t>签订合同</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pPr>
        <w:numPr>
          <w:ilvl w:val="1"/>
          <w:numId w:val="64"/>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68"/>
    <w:bookmarkEnd w:id="569"/>
    <w:bookmarkEnd w:id="570"/>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pPr>
        <w:numPr>
          <w:ilvl w:val="2"/>
          <w:numId w:val="64"/>
        </w:numPr>
        <w:snapToGrid w:val="0"/>
        <w:spacing w:line="360" w:lineRule="auto"/>
        <w:rPr>
          <w:rFonts w:eastAsiaTheme="minorEastAsia"/>
          <w:sz w:val="24"/>
        </w:rPr>
      </w:pPr>
      <w:bookmarkStart w:id="605"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605"/>
    </w:p>
    <w:p>
      <w:pPr>
        <w:numPr>
          <w:ilvl w:val="2"/>
          <w:numId w:val="64"/>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pPr>
        <w:numPr>
          <w:ilvl w:val="2"/>
          <w:numId w:val="64"/>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64"/>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pPr>
        <w:numPr>
          <w:ilvl w:val="2"/>
          <w:numId w:val="64"/>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pPr>
        <w:numPr>
          <w:ilvl w:val="2"/>
          <w:numId w:val="64"/>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pPr>
        <w:numPr>
          <w:ilvl w:val="0"/>
          <w:numId w:val="64"/>
        </w:numPr>
        <w:tabs>
          <w:tab w:val="left" w:pos="360"/>
        </w:tabs>
        <w:snapToGrid w:val="0"/>
        <w:spacing w:line="360" w:lineRule="auto"/>
        <w:ind w:left="357" w:hanging="357"/>
        <w:outlineLvl w:val="1"/>
        <w:rPr>
          <w:rFonts w:asciiTheme="minorEastAsia" w:hAnsiTheme="minorEastAsia" w:eastAsiaTheme="minorEastAsia"/>
          <w:color w:val="auto"/>
          <w:sz w:val="24"/>
        </w:rPr>
      </w:pPr>
      <w:r>
        <w:rPr>
          <w:rFonts w:eastAsiaTheme="minorEastAsia"/>
          <w:sz w:val="24"/>
        </w:rPr>
        <w:t>代理费</w:t>
      </w:r>
    </w:p>
    <w:p>
      <w:pPr>
        <w:numPr>
          <w:ilvl w:val="1"/>
          <w:numId w:val="64"/>
        </w:numPr>
        <w:tabs>
          <w:tab w:val="left" w:pos="1080"/>
          <w:tab w:val="left" w:pos="2014"/>
        </w:tabs>
        <w:snapToGrid w:val="0"/>
        <w:spacing w:line="360" w:lineRule="auto"/>
        <w:ind w:left="1077" w:hanging="720"/>
        <w:rPr>
          <w:rFonts w:eastAsiaTheme="minorEastAsia"/>
          <w:sz w:val="24"/>
        </w:rPr>
      </w:pPr>
      <w:r>
        <w:rPr>
          <w:rFonts w:hint="eastAsia" w:asciiTheme="minorEastAsia" w:hAnsiTheme="minorEastAsia" w:eastAsiaTheme="minorEastAsia"/>
          <w:color w:val="auto"/>
          <w:sz w:val="24"/>
          <w:lang w:eastAsia="zh-CN"/>
        </w:rPr>
        <w:t>本项目不收取代理费</w:t>
      </w:r>
      <w:r>
        <w:rPr>
          <w:rFonts w:eastAsiaTheme="minorEastAsia"/>
          <w:sz w:val="24"/>
        </w:rPr>
        <w:t>。</w:t>
      </w:r>
    </w:p>
    <w:p>
      <w:pPr>
        <w:spacing w:line="360" w:lineRule="auto"/>
        <w:jc w:val="center"/>
        <w:outlineLvl w:val="0"/>
        <w:rPr>
          <w:rFonts w:asciiTheme="minorEastAsia" w:hAnsiTheme="minorEastAsia" w:eastAsiaTheme="minorEastAsia"/>
          <w:b/>
          <w:color w:val="auto"/>
          <w:sz w:val="36"/>
          <w:szCs w:val="36"/>
        </w:rPr>
      </w:pPr>
      <w:bookmarkStart w:id="606" w:name="_Toc226337250"/>
      <w:bookmarkStart w:id="607" w:name="_Toc127151554"/>
      <w:bookmarkStart w:id="608" w:name="_Toc305158896"/>
      <w:bookmarkStart w:id="609" w:name="_Toc226965827"/>
      <w:bookmarkStart w:id="610" w:name="_Toc353825544"/>
      <w:bookmarkStart w:id="611" w:name="_Toc353873934"/>
      <w:bookmarkStart w:id="612" w:name="_Toc353873664"/>
      <w:bookmarkStart w:id="613" w:name="_Toc264969244"/>
      <w:bookmarkStart w:id="614" w:name="_Toc265228392"/>
      <w:bookmarkStart w:id="615" w:name="_Toc305158822"/>
      <w:bookmarkStart w:id="616" w:name="_Toc150774759"/>
      <w:bookmarkStart w:id="617" w:name="_Toc142311056"/>
      <w:bookmarkStart w:id="618" w:name="_Toc150480792"/>
      <w:r>
        <w:rPr>
          <w:rFonts w:asciiTheme="minorEastAsia" w:hAnsiTheme="minorEastAsia" w:eastAsiaTheme="minorEastAsia"/>
          <w:color w:val="auto"/>
          <w:sz w:val="24"/>
        </w:rPr>
        <w:br w:type="page"/>
      </w:r>
      <w:bookmarkStart w:id="619" w:name="_Toc184912280"/>
      <w:r>
        <w:rPr>
          <w:rFonts w:asciiTheme="minorEastAsia" w:hAnsiTheme="minorEastAsia" w:eastAsiaTheme="minorEastAsia"/>
          <w:b/>
          <w:color w:val="auto"/>
          <w:sz w:val="36"/>
          <w:szCs w:val="36"/>
        </w:rPr>
        <w:t>第三章</w:t>
      </w:r>
      <w:bookmarkEnd w:id="606"/>
      <w:bookmarkEnd w:id="607"/>
      <w:bookmarkEnd w:id="608"/>
      <w:bookmarkEnd w:id="609"/>
      <w:bookmarkEnd w:id="610"/>
      <w:bookmarkEnd w:id="611"/>
      <w:bookmarkEnd w:id="612"/>
      <w:bookmarkEnd w:id="613"/>
      <w:bookmarkEnd w:id="614"/>
      <w:bookmarkEnd w:id="615"/>
      <w:bookmarkEnd w:id="616"/>
      <w:bookmarkEnd w:id="617"/>
      <w:bookmarkEnd w:id="618"/>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评审方法和评审标准</w:t>
      </w:r>
      <w:bookmarkEnd w:id="619"/>
      <w:bookmarkStart w:id="620" w:name="_Toc487900382"/>
    </w:p>
    <w:p>
      <w:pPr>
        <w:pStyle w:val="4"/>
        <w:spacing w:before="0" w:line="360" w:lineRule="auto"/>
        <w:rPr>
          <w:rFonts w:asciiTheme="minorEastAsia" w:hAnsiTheme="minorEastAsia" w:eastAsiaTheme="minorEastAsia"/>
          <w:color w:val="auto"/>
        </w:rPr>
      </w:pPr>
      <w:r>
        <w:rPr>
          <w:rFonts w:asciiTheme="minorEastAsia" w:hAnsiTheme="minorEastAsia" w:eastAsiaTheme="minorEastAsia"/>
          <w:color w:val="auto"/>
          <w:sz w:val="24"/>
          <w:szCs w:val="24"/>
        </w:rPr>
        <w:t>一、</w:t>
      </w:r>
      <w:r>
        <w:rPr>
          <w:rFonts w:hint="eastAsia" w:asciiTheme="minorEastAsia" w:hAnsiTheme="minorEastAsia" w:eastAsiaTheme="minorEastAsia"/>
          <w:color w:val="auto"/>
          <w:sz w:val="24"/>
          <w:szCs w:val="24"/>
        </w:rPr>
        <w:t>评审程序和方法</w:t>
      </w:r>
      <w:r>
        <w:rPr>
          <w:rFonts w:asciiTheme="minorEastAsia" w:hAnsiTheme="minorEastAsia" w:eastAsiaTheme="minorEastAsia"/>
          <w:color w:val="auto"/>
        </w:rPr>
        <w:tab/>
      </w:r>
    </w:p>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620"/>
    <w:p>
      <w:pPr>
        <w:numPr>
          <w:ilvl w:val="0"/>
          <w:numId w:val="67"/>
        </w:numPr>
        <w:tabs>
          <w:tab w:val="left" w:pos="360"/>
        </w:tabs>
        <w:snapToGrid w:val="0"/>
        <w:spacing w:line="360" w:lineRule="auto"/>
        <w:outlineLvl w:val="1"/>
        <w:rPr>
          <w:rFonts w:asciiTheme="minorEastAsia" w:hAnsiTheme="minorEastAsia" w:eastAsiaTheme="minorEastAsia"/>
          <w:color w:val="auto"/>
          <w:sz w:val="24"/>
        </w:rPr>
      </w:pPr>
      <w:bookmarkStart w:id="621" w:name="_Toc305158809"/>
      <w:bookmarkStart w:id="622" w:name="_Toc195842906"/>
      <w:bookmarkStart w:id="623" w:name="_Toc150774746"/>
      <w:bookmarkStart w:id="624" w:name="_Toc127151541"/>
      <w:bookmarkStart w:id="625" w:name="_Toc164351635"/>
      <w:bookmarkStart w:id="626" w:name="_Toc226965731"/>
      <w:bookmarkStart w:id="627" w:name="_Toc226965814"/>
      <w:bookmarkStart w:id="628" w:name="_Toc164608655"/>
      <w:bookmarkStart w:id="629" w:name="_Toc150509292"/>
      <w:bookmarkStart w:id="630" w:name="_Toc142311043"/>
      <w:bookmarkStart w:id="631" w:name="_Toc150480779"/>
      <w:bookmarkStart w:id="632" w:name="_Toc164229236"/>
      <w:bookmarkStart w:id="633" w:name="_Toc305158883"/>
      <w:bookmarkStart w:id="634" w:name="_Toc264969231"/>
      <w:bookmarkStart w:id="635" w:name="_Toc127161455"/>
      <w:bookmarkStart w:id="636" w:name="_Toc127151742"/>
      <w:bookmarkStart w:id="637" w:name="_Toc164229382"/>
      <w:bookmarkStart w:id="638" w:name="_Toc151193783"/>
      <w:bookmarkStart w:id="639" w:name="_Toc265228379"/>
      <w:bookmarkStart w:id="640" w:name="_Toc151193855"/>
      <w:bookmarkStart w:id="641" w:name="_Toc150774641"/>
      <w:bookmarkStart w:id="642" w:name="_Toc151193639"/>
      <w:bookmarkStart w:id="643" w:name="_Toc149720834"/>
      <w:bookmarkStart w:id="644" w:name="_Toc151190168"/>
      <w:bookmarkStart w:id="645" w:name="_Toc164608810"/>
      <w:bookmarkStart w:id="646" w:name="_Toc226337237"/>
      <w:bookmarkStart w:id="647" w:name="_Toc151193711"/>
      <w:bookmarkStart w:id="648" w:name="_Toc151193929"/>
      <w:bookmarkStart w:id="649" w:name="_Toc226309785"/>
      <w:bookmarkStart w:id="650" w:name="_Toc353825551"/>
      <w:bookmarkStart w:id="651" w:name="_Toc353873941"/>
      <w:bookmarkStart w:id="652" w:name="_Toc305158823"/>
      <w:bookmarkStart w:id="653" w:name="_Toc264969245"/>
      <w:bookmarkStart w:id="654" w:name="_Toc353873935"/>
      <w:bookmarkStart w:id="655" w:name="_Toc226965828"/>
      <w:bookmarkStart w:id="656" w:name="_Toc127151555"/>
      <w:bookmarkStart w:id="657" w:name="_Toc195842920"/>
      <w:bookmarkStart w:id="658" w:name="_Toc226337251"/>
      <w:bookmarkStart w:id="659" w:name="_Toc150480793"/>
      <w:bookmarkStart w:id="660" w:name="_Toc265228393"/>
      <w:bookmarkStart w:id="661" w:name="_Toc353825545"/>
      <w:bookmarkStart w:id="662" w:name="_Toc353873665"/>
      <w:bookmarkStart w:id="663" w:name="_Toc142311057"/>
      <w:bookmarkStart w:id="664" w:name="_Toc150774760"/>
      <w:bookmarkStart w:id="665" w:name="_Toc305158897"/>
      <w:r>
        <w:rPr>
          <w:rFonts w:asciiTheme="minorEastAsia" w:hAnsiTheme="minorEastAsia" w:eastAsiaTheme="minorEastAsia"/>
          <w:color w:val="auto"/>
          <w:sz w:val="24"/>
        </w:rPr>
        <w:t>响应文件的资格</w:t>
      </w:r>
      <w:r>
        <w:rPr>
          <w:rFonts w:hint="eastAsia" w:asciiTheme="minorEastAsia" w:hAnsiTheme="minorEastAsia" w:eastAsiaTheme="minorEastAsia"/>
          <w:color w:val="auto"/>
          <w:sz w:val="24"/>
          <w:lang w:eastAsia="zh-CN"/>
        </w:rPr>
        <w:t>审查</w:t>
      </w:r>
      <w:r>
        <w:rPr>
          <w:rFonts w:asciiTheme="minorEastAsia" w:hAnsiTheme="minorEastAsia" w:eastAsiaTheme="minorEastAsia"/>
          <w:color w:val="auto"/>
          <w:sz w:val="24"/>
        </w:rPr>
        <w:t>和符合性审查</w:t>
      </w:r>
    </w:p>
    <w:p>
      <w:pPr>
        <w:numPr>
          <w:ilvl w:val="1"/>
          <w:numId w:val="67"/>
        </w:numPr>
        <w:tabs>
          <w:tab w:val="left" w:pos="1080"/>
        </w:tabs>
        <w:snapToGrid w:val="0"/>
        <w:spacing w:line="360" w:lineRule="auto"/>
        <w:ind w:hanging="720"/>
        <w:rPr>
          <w:rFonts w:asciiTheme="minorEastAsia" w:hAnsiTheme="minorEastAsia" w:eastAsiaTheme="minorEastAsia"/>
          <w:color w:val="auto"/>
          <w:sz w:val="24"/>
        </w:rPr>
      </w:pPr>
      <w:r>
        <w:rPr>
          <w:rFonts w:asciiTheme="minorEastAsia" w:hAnsiTheme="minorEastAsia" w:eastAsiaTheme="minorEastAsia"/>
          <w:color w:val="auto"/>
          <w:sz w:val="24"/>
        </w:rPr>
        <w:t>磋商小组将根据《资格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要求》和《符合性审查要求》中规定的内容，对供应商进行检查，并形成检查结果。供应商《响应文件》有任何一项不符合《资格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要求》和《符合性审查要求》要求的，视为未实质性响应磋商文件。未实质性响应磋商文件的响应文件按</w:t>
      </w:r>
      <w:r>
        <w:rPr>
          <w:rFonts w:asciiTheme="minorEastAsia" w:hAnsiTheme="minorEastAsia" w:eastAsiaTheme="minorEastAsia"/>
          <w:b/>
          <w:color w:val="auto"/>
          <w:sz w:val="24"/>
        </w:rPr>
        <w:t>无效响应</w:t>
      </w:r>
      <w:r>
        <w:rPr>
          <w:rFonts w:asciiTheme="minorEastAsia" w:hAnsiTheme="minorEastAsia" w:eastAsiaTheme="minorEastAsia"/>
          <w:color w:val="auto"/>
          <w:sz w:val="24"/>
        </w:rPr>
        <w:t>处理，磋商小组应当告知提交响应文件的供应商。</w:t>
      </w:r>
    </w:p>
    <w:p>
      <w:pPr>
        <w:numPr>
          <w:ilvl w:val="1"/>
          <w:numId w:val="67"/>
        </w:numPr>
        <w:tabs>
          <w:tab w:val="left" w:pos="1080"/>
        </w:tabs>
        <w:snapToGrid w:val="0"/>
        <w:spacing w:line="360" w:lineRule="auto"/>
        <w:ind w:hanging="720"/>
        <w:rPr>
          <w:rFonts w:asciiTheme="minorEastAsia" w:hAnsiTheme="minorEastAsia" w:eastAsiaTheme="minorEastAsia"/>
          <w:color w:val="auto"/>
          <w:sz w:val="24"/>
        </w:rPr>
      </w:pPr>
      <w:r>
        <w:rPr>
          <w:rFonts w:asciiTheme="minorEastAsia" w:hAnsiTheme="minorEastAsia" w:eastAsiaTheme="minorEastAsia"/>
          <w:color w:val="auto"/>
          <w:sz w:val="24"/>
        </w:rPr>
        <w:t>《资格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要求》中对格式有要求的，除竞争性磋商文件另有规定外，均为“实质性格式”文件。</w:t>
      </w:r>
    </w:p>
    <w:p>
      <w:pPr>
        <w:numPr>
          <w:ilvl w:val="1"/>
          <w:numId w:val="67"/>
        </w:numPr>
        <w:tabs>
          <w:tab w:val="left" w:pos="1080"/>
        </w:tabs>
        <w:snapToGrid w:val="0"/>
        <w:spacing w:line="360" w:lineRule="auto"/>
        <w:ind w:hanging="720"/>
        <w:rPr>
          <w:rFonts w:asciiTheme="minorEastAsia" w:hAnsiTheme="minorEastAsia" w:eastAsiaTheme="minorEastAsia"/>
          <w:color w:val="auto"/>
          <w:sz w:val="24"/>
        </w:rPr>
      </w:pPr>
      <w:r>
        <w:rPr>
          <w:rFonts w:asciiTheme="minorEastAsia" w:hAnsiTheme="minorEastAsia" w:eastAsiaTheme="minorEastAsia"/>
          <w:color w:val="auto"/>
          <w:sz w:val="24"/>
        </w:rPr>
        <w:t>《资格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要求》见下表：</w:t>
      </w:r>
    </w:p>
    <w:p>
      <w:pPr>
        <w:tabs>
          <w:tab w:val="left" w:pos="1080"/>
        </w:tabs>
        <w:snapToGrid w:val="0"/>
        <w:spacing w:line="360" w:lineRule="auto"/>
        <w:ind w:left="900"/>
        <w:jc w:val="center"/>
        <w:rPr>
          <w:rFonts w:asciiTheme="minorEastAsia" w:hAnsiTheme="minorEastAsia" w:eastAsiaTheme="minorEastAsia"/>
          <w:b/>
          <w:color w:val="auto"/>
          <w:sz w:val="24"/>
        </w:rPr>
      </w:pPr>
      <w:r>
        <w:rPr>
          <w:rFonts w:asciiTheme="minorEastAsia" w:hAnsiTheme="minorEastAsia" w:eastAsiaTheme="minorEastAsia"/>
          <w:b/>
          <w:color w:val="auto"/>
          <w:sz w:val="24"/>
        </w:rPr>
        <w:t>资格</w:t>
      </w:r>
      <w:r>
        <w:rPr>
          <w:rFonts w:hint="eastAsia" w:asciiTheme="minorEastAsia" w:hAnsiTheme="minorEastAsia" w:eastAsiaTheme="minorEastAsia"/>
          <w:b/>
          <w:color w:val="auto"/>
          <w:sz w:val="24"/>
        </w:rPr>
        <w:t>审查</w:t>
      </w:r>
      <w:r>
        <w:rPr>
          <w:rFonts w:asciiTheme="minorEastAsia" w:hAnsiTheme="minorEastAsia" w:eastAsiaTheme="minorEastAsia"/>
          <w:b/>
          <w:color w:val="auto"/>
          <w:sz w:val="24"/>
        </w:rPr>
        <w:t>要求</w:t>
      </w:r>
    </w:p>
    <w:tbl>
      <w:tblPr>
        <w:tblStyle w:val="108"/>
        <w:tblW w:w="1026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9"/>
        <w:gridCol w:w="1867"/>
        <w:gridCol w:w="5748"/>
        <w:gridCol w:w="18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序号</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检查因素</w:t>
            </w:r>
          </w:p>
        </w:tc>
        <w:tc>
          <w:tcPr>
            <w:tcW w:w="5748"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检查内容</w:t>
            </w:r>
          </w:p>
        </w:tc>
        <w:tc>
          <w:tcPr>
            <w:tcW w:w="1827"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b/>
                <w:color w:val="auto"/>
                <w:sz w:val="24"/>
                <w:lang w:val="en-US" w:eastAsia="zh-CN"/>
              </w:rPr>
            </w:pPr>
            <w:r>
              <w:rPr>
                <w:rFonts w:hint="eastAsia" w:asciiTheme="minorEastAsia" w:hAnsiTheme="minorEastAsia" w:eastAsiaTheme="minorEastAsia"/>
                <w:b w:val="0"/>
                <w:bCs/>
                <w:color w:val="auto"/>
                <w:sz w:val="24"/>
                <w:lang w:val="en-US" w:eastAsia="zh-CN"/>
              </w:rPr>
              <w:t>1</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FZSSK--GBK1-0" w:hAnsi="FZSSK--GBK1-0" w:eastAsia="FZSSK--GBK1-0" w:cs="FZSSK--GBK1-0"/>
                <w:b w:val="0"/>
                <w:color w:val="auto"/>
                <w:sz w:val="24"/>
                <w:szCs w:val="24"/>
              </w:rPr>
              <w:t>满足《中华人 民共和国政府 采购法》第二 十二条规定</w:t>
            </w:r>
          </w:p>
        </w:tc>
        <w:tc>
          <w:tcPr>
            <w:tcW w:w="5748"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eastAsia" w:asciiTheme="minorEastAsia" w:hAnsiTheme="minorEastAsia" w:eastAsiaTheme="minorEastAsia"/>
                <w:b w:val="0"/>
                <w:bCs/>
                <w:color w:val="auto"/>
                <w:sz w:val="24"/>
              </w:rPr>
              <w:t>具体规定见第一章《采购邀请》</w:t>
            </w:r>
          </w:p>
        </w:tc>
        <w:tc>
          <w:tcPr>
            <w:tcW w:w="1827"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w:t>
            </w:r>
            <w:r>
              <w:rPr>
                <w:rFonts w:hint="eastAsia" w:asciiTheme="minorEastAsia" w:hAnsiTheme="minorEastAsia" w:eastAsiaTheme="minorEastAsia"/>
                <w:color w:val="auto"/>
                <w:sz w:val="24"/>
                <w:lang w:val="en-US" w:eastAsia="zh-CN"/>
              </w:rPr>
              <w:t>-1</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营业执照等证明文件</w:t>
            </w:r>
          </w:p>
        </w:tc>
        <w:tc>
          <w:tcPr>
            <w:tcW w:w="5748"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供应商为企业（包括合伙企业）的，应提供有效的“营业执照”；</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供应商为事业单位的，应提供有效的“事业单位法人证书”；</w:t>
            </w:r>
          </w:p>
          <w:p>
            <w:pPr>
              <w:keepNext w:val="0"/>
              <w:keepLines w:val="0"/>
              <w:suppressLineNumbers w:val="0"/>
              <w:tabs>
                <w:tab w:val="left" w:pos="1080"/>
              </w:tabs>
              <w:snapToGrid w:val="0"/>
              <w:spacing w:before="0" w:beforeAutospacing="0" w:after="0" w:afterAutospacing="0"/>
              <w:ind w:left="0" w:right="-2" w:rightChars="-1"/>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供应商是非企业机构的，应提供有效的“执业许可证”、“登记证书”等证明文件；</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供应商是个体工商户的，应提供有效的“个体工商户营业执照”；</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供应商是自然人的，应提供有效的自然人身份证明。</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w:t>
            </w:r>
            <w:r>
              <w:rPr>
                <w:rFonts w:hint="eastAsia" w:asciiTheme="minorEastAsia" w:hAnsiTheme="minorEastAsia" w:eastAsiaTheme="minorEastAsia"/>
                <w:color w:val="auto"/>
                <w:sz w:val="24"/>
              </w:rPr>
              <w:t>、</w:t>
            </w:r>
            <w:r>
              <w:rPr>
                <w:rFonts w:hint="default" w:asciiTheme="minorEastAsia" w:hAnsiTheme="minorEastAsia" w:eastAsiaTheme="minorEastAsia"/>
                <w:color w:val="auto"/>
                <w:sz w:val="24"/>
              </w:rPr>
              <w:t>石油石化、电力、电信等行业的分支机构，可以提供上述授权，也可以提供其所属法人/其他组织的有关文件或制度等能够证明授权其独立开展业务的证明材料。</w:t>
            </w:r>
          </w:p>
        </w:tc>
        <w:tc>
          <w:tcPr>
            <w:tcW w:w="1827"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1-</w:t>
            </w:r>
            <w:r>
              <w:rPr>
                <w:rFonts w:hint="default" w:asciiTheme="minorEastAsia" w:hAnsiTheme="minorEastAsia" w:eastAsiaTheme="minorEastAsia"/>
                <w:color w:val="auto"/>
                <w:sz w:val="24"/>
              </w:rPr>
              <w:t>2</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供应商资格声明书</w:t>
            </w:r>
          </w:p>
        </w:tc>
        <w:tc>
          <w:tcPr>
            <w:tcW w:w="5748"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提供了符合竞争性磋商文件要求的《供应商资格声明书》。</w:t>
            </w:r>
          </w:p>
        </w:tc>
        <w:tc>
          <w:tcPr>
            <w:tcW w:w="1827"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1-3</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供应商信用记</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录</w:t>
            </w:r>
          </w:p>
        </w:tc>
        <w:tc>
          <w:tcPr>
            <w:tcW w:w="5748"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查询渠道：信用中国网站和中国政府采购网</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www.creditchina.gov.cn 、</w:t>
            </w:r>
            <w:r>
              <w:rPr>
                <w:rFonts w:hint="eastAsia" w:asciiTheme="minorEastAsia" w:hAnsiTheme="minorEastAsia" w:eastAsiaTheme="minorEastAsia"/>
                <w:color w:val="auto"/>
                <w:sz w:val="24"/>
                <w:u w:val="none"/>
              </w:rPr>
              <w:t>www.ccgp.</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gov.cn）；</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截止时点：首次响应文件提交截止时间以后、</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资格审查阶段采购人或采购代理机构的实际</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查询时间；</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信用信息查询记录和证据留存具体方式：查</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询结果网页打印页作为查询记录和证据，与</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其他竞争性磋商文件一并保存；</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信用信息的使用原则：经认定的被列入失信</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被执行人、重大税收违法案件当事人名单、</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政府采购严重违法失信行为记录名单的供应</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商，其响应无效。联合体形式磋商的，联合</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体成员存在不良信用记录，视同联合体存在</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不良信用记录。</w:t>
            </w:r>
          </w:p>
        </w:tc>
        <w:tc>
          <w:tcPr>
            <w:tcW w:w="182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无 须 供 应 商 提</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供，由采购人或</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采购代理机构查</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2</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落实政府采购</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政策需满足的</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资格要求</w:t>
            </w:r>
          </w:p>
        </w:tc>
        <w:tc>
          <w:tcPr>
            <w:tcW w:w="5748"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rPr>
              <w:t>具体要求见第一章《采购邀请》</w:t>
            </w:r>
          </w:p>
        </w:tc>
        <w:tc>
          <w:tcPr>
            <w:tcW w:w="182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6"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2-1</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lang w:eastAsia="zh-CN"/>
              </w:rPr>
              <w:t>中小企业要求</w:t>
            </w:r>
          </w:p>
        </w:tc>
        <w:tc>
          <w:tcPr>
            <w:tcW w:w="5748"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szCs w:val="24"/>
                <w:lang w:eastAsia="zh-CN"/>
              </w:rPr>
            </w:pPr>
            <w:r>
              <w:rPr>
                <w:rFonts w:hint="eastAsia" w:ascii="宋体" w:hAnsi="宋体" w:cs="宋体"/>
                <w:color w:val="auto"/>
                <w:spacing w:val="2"/>
                <w:sz w:val="24"/>
                <w:szCs w:val="24"/>
                <w:lang w:eastAsia="zh-CN"/>
              </w:rPr>
              <w:t>本项目提供工程应当由中小企业承建</w:t>
            </w:r>
          </w:p>
        </w:tc>
        <w:tc>
          <w:tcPr>
            <w:tcW w:w="1827"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格式见《响应文</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lang w:eastAsia="zh-CN"/>
              </w:rPr>
              <w:t>件</w:t>
            </w:r>
            <w:r>
              <w:rPr>
                <w:rFonts w:hint="eastAsia" w:asciiTheme="minorEastAsia" w:hAnsiTheme="minorEastAsia" w:eastAsiaTheme="minorEastAsia"/>
                <w:color w:val="auto"/>
                <w:sz w:val="24"/>
              </w:rPr>
              <w:t>格式》</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rPr>
              <w:t>2-1中小企业证明文件</w:t>
            </w:r>
            <w:r>
              <w:rPr>
                <w:rFonts w:hint="eastAsia" w:asciiTheme="minorEastAsia" w:hAnsiTheme="minorEastAsia" w:eastAsiaTheme="minorEastAsia"/>
                <w:color w:val="auto"/>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6"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3</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lang w:eastAsia="zh-CN"/>
              </w:rPr>
              <w:t>本项目的特定资格要求</w:t>
            </w:r>
          </w:p>
        </w:tc>
        <w:tc>
          <w:tcPr>
            <w:tcW w:w="5748"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宋体" w:hAnsi="宋体" w:cs="宋体"/>
                <w:color w:val="auto"/>
                <w:spacing w:val="2"/>
                <w:sz w:val="24"/>
                <w:szCs w:val="24"/>
                <w:lang w:eastAsia="zh-CN"/>
              </w:rPr>
            </w:pPr>
          </w:p>
        </w:tc>
        <w:tc>
          <w:tcPr>
            <w:tcW w:w="182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6"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3-1</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lang w:eastAsia="zh-CN"/>
              </w:rPr>
              <w:t>其他特定资格要求</w:t>
            </w:r>
          </w:p>
        </w:tc>
        <w:tc>
          <w:tcPr>
            <w:tcW w:w="5748" w:type="dxa"/>
            <w:vAlign w:val="center"/>
          </w:tcPr>
          <w:p>
            <w:pPr>
              <w:pStyle w:val="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auto"/>
              <w:outlineLvl w:val="9"/>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3.2.1供应商须具备机电安装工程专业承包叁级（含）以上资质或输变电工程专业承包叁级（含）以上资质，并且具备有效期内的安全生产许可证；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3.2.2供应商至少具备一个近三年内100万以上类似业绩。需提供合同关键页，包含合同的甲乙双方，合同详细标的和双方签字盖章及生效时间；</w:t>
            </w:r>
          </w:p>
          <w:p>
            <w:pPr>
              <w:pStyle w:val="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3.2.3供应商拟派项目负责人（项目经理）必须在供应商本单位注册，具有机电工程专业贰级及以上注册建造师执业资格并取得“安全生产考核合格证书”（简称B本），且在确定成交供应商时不得担任其他在建工程的项目经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eastAsia" w:ascii="宋体" w:hAnsi="宋体" w:cs="宋体"/>
                <w:color w:val="auto"/>
                <w:spacing w:val="2"/>
                <w:sz w:val="24"/>
                <w:szCs w:val="24"/>
                <w:lang w:eastAsia="zh-CN"/>
              </w:rPr>
            </w:pPr>
            <w:r>
              <w:rPr>
                <w:rFonts w:hint="eastAsia" w:ascii="宋体" w:hAnsi="宋体" w:eastAsia="宋体" w:cs="宋体"/>
                <w:sz w:val="24"/>
                <w:szCs w:val="24"/>
                <w:lang w:val="en-US" w:eastAsia="zh-CN"/>
              </w:rPr>
              <w:t>3.2.4供应商拟派施工人员中具备特种工作操作证（低压电工作证）的人员不得少于2人。</w:t>
            </w:r>
          </w:p>
        </w:tc>
        <w:tc>
          <w:tcPr>
            <w:tcW w:w="182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4</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FZSSK--GBK1-0" w:hAnsi="FZSSK--GBK1-0" w:eastAsia="FZSSK--GBK1-0" w:cs="FZSSK--GBK1-0"/>
                <w:b w:val="0"/>
                <w:color w:val="auto"/>
                <w:sz w:val="24"/>
                <w:szCs w:val="24"/>
              </w:rPr>
            </w:pPr>
            <w:r>
              <w:rPr>
                <w:rFonts w:hint="eastAsia" w:ascii="FZSSK--GBK1-0" w:hAnsi="FZSSK--GBK1-0" w:eastAsia="FZSSK--GBK1-0" w:cs="FZSSK--GBK1-0"/>
                <w:b w:val="0"/>
                <w:color w:val="auto"/>
                <w:sz w:val="24"/>
                <w:szCs w:val="24"/>
              </w:rPr>
              <w:t>获取磋商文件</w:t>
            </w:r>
          </w:p>
        </w:tc>
        <w:tc>
          <w:tcPr>
            <w:tcW w:w="5748"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在规定期限内通过北京市政府采购电子交易</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平台获取所参与包的磋商文件。</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注：如本项目接受联合体，且供应商为联合</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体时，联合体中任一成员获取文件即视为满</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足要求。</w:t>
            </w:r>
          </w:p>
        </w:tc>
        <w:tc>
          <w:tcPr>
            <w:tcW w:w="1827"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p>
        </w:tc>
      </w:tr>
    </w:tbl>
    <w:p>
      <w:pPr>
        <w:widowControl/>
        <w:numPr>
          <w:ilvl w:val="1"/>
          <w:numId w:val="67"/>
        </w:numPr>
        <w:tabs>
          <w:tab w:val="left" w:pos="1080"/>
        </w:tabs>
        <w:snapToGrid w:val="0"/>
        <w:spacing w:line="360" w:lineRule="auto"/>
        <w:ind w:hanging="720"/>
        <w:jc w:val="left"/>
        <w:rPr>
          <w:rFonts w:asciiTheme="minorEastAsia" w:hAnsiTheme="minorEastAsia" w:eastAsiaTheme="minorEastAsia"/>
          <w:color w:val="auto"/>
          <w:sz w:val="24"/>
        </w:rPr>
      </w:pPr>
      <w:r>
        <w:rPr>
          <w:rFonts w:asciiTheme="minorEastAsia" w:hAnsiTheme="minorEastAsia" w:eastAsiaTheme="minorEastAsia"/>
          <w:color w:val="auto"/>
          <w:sz w:val="24"/>
        </w:rPr>
        <w:t>《符合性审查要求》见下表：</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Start w:id="666" w:name="_Hlt487972895"/>
      <w:bookmarkEnd w:id="666"/>
    </w:p>
    <w:p>
      <w:pPr>
        <w:widowControl/>
        <w:spacing w:line="360" w:lineRule="auto"/>
        <w:jc w:val="center"/>
        <w:rPr>
          <w:rFonts w:asciiTheme="minorEastAsia" w:hAnsiTheme="minorEastAsia" w:eastAsiaTheme="minorEastAsia"/>
          <w:b/>
          <w:color w:val="auto"/>
          <w:kern w:val="0"/>
          <w:sz w:val="24"/>
        </w:rPr>
      </w:pPr>
      <w:r>
        <w:rPr>
          <w:rFonts w:asciiTheme="minorEastAsia" w:hAnsiTheme="minorEastAsia" w:eastAsiaTheme="minorEastAsia"/>
          <w:b/>
          <w:color w:val="auto"/>
          <w:kern w:val="0"/>
          <w:sz w:val="24"/>
        </w:rPr>
        <w:t>符合性审查要求</w:t>
      </w:r>
    </w:p>
    <w:tbl>
      <w:tblPr>
        <w:tblStyle w:val="108"/>
        <w:tblW w:w="10078" w:type="dxa"/>
        <w:jc w:val="center"/>
        <w:tblInd w:w="-1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609"/>
        <w:gridCol w:w="5442"/>
        <w:gridCol w:w="1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1417"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kern w:val="0"/>
                <w:sz w:val="24"/>
                <w:szCs w:val="24"/>
              </w:rPr>
              <w:t>序号</w:t>
            </w:r>
          </w:p>
        </w:tc>
        <w:tc>
          <w:tcPr>
            <w:tcW w:w="1609"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sz w:val="24"/>
                <w:szCs w:val="24"/>
              </w:rPr>
              <w:t>检查</w:t>
            </w:r>
            <w:r>
              <w:rPr>
                <w:rFonts w:hint="default" w:asciiTheme="minorEastAsia" w:hAnsiTheme="minorEastAsia" w:eastAsiaTheme="minorEastAsia"/>
                <w:b/>
                <w:color w:val="auto"/>
                <w:kern w:val="0"/>
                <w:sz w:val="24"/>
                <w:szCs w:val="24"/>
              </w:rPr>
              <w:t>因素</w:t>
            </w:r>
          </w:p>
        </w:tc>
        <w:tc>
          <w:tcPr>
            <w:tcW w:w="5442"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sz w:val="24"/>
                <w:szCs w:val="24"/>
              </w:rPr>
              <w:t>检查</w:t>
            </w:r>
            <w:r>
              <w:rPr>
                <w:rFonts w:hint="default" w:asciiTheme="minorEastAsia" w:hAnsiTheme="minorEastAsia" w:eastAsiaTheme="minorEastAsia"/>
                <w:b/>
                <w:color w:val="auto"/>
                <w:kern w:val="0"/>
                <w:sz w:val="24"/>
                <w:szCs w:val="24"/>
              </w:rPr>
              <w:t>内容</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left"/>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kern w:val="0"/>
                <w:sz w:val="24"/>
                <w:szCs w:val="24"/>
              </w:rPr>
              <w:t>是否允许澄清、说明或者更正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1417" w:type="dxa"/>
            <w:shd w:val="clear" w:color="000000" w:fill="FFFFFF"/>
            <w:vAlign w:val="top"/>
          </w:tcPr>
          <w:p>
            <w:pPr>
              <w:pStyle w:val="687"/>
              <w:keepNext w:val="0"/>
              <w:keepLines w:val="0"/>
              <w:suppressLineNumbers w:val="0"/>
              <w:spacing w:before="243" w:beforeAutospacing="0" w:afterAutospacing="0" w:line="199" w:lineRule="auto"/>
              <w:ind w:left="324"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1</w:t>
            </w:r>
          </w:p>
        </w:tc>
        <w:tc>
          <w:tcPr>
            <w:tcW w:w="1609" w:type="dxa"/>
            <w:shd w:val="clear" w:color="000000" w:fill="FFFFFF"/>
            <w:vAlign w:val="top"/>
          </w:tcPr>
          <w:p>
            <w:pPr>
              <w:keepNext w:val="0"/>
              <w:keepLines w:val="0"/>
              <w:suppressLineNumbers w:val="0"/>
              <w:spacing w:before="207" w:beforeAutospacing="0" w:after="0" w:afterAutospacing="0" w:line="201" w:lineRule="auto"/>
              <w:ind w:left="107"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授权委托书</w:t>
            </w:r>
          </w:p>
        </w:tc>
        <w:tc>
          <w:tcPr>
            <w:tcW w:w="5442" w:type="dxa"/>
            <w:shd w:val="clear" w:color="000000" w:fill="FFFFFF"/>
            <w:vAlign w:val="top"/>
          </w:tcPr>
          <w:p>
            <w:pPr>
              <w:keepNext w:val="0"/>
              <w:keepLines w:val="0"/>
              <w:suppressLineNumbers w:val="0"/>
              <w:spacing w:before="208" w:beforeAutospacing="0" w:after="0" w:afterAutospacing="0" w:line="200" w:lineRule="auto"/>
              <w:ind w:left="109"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按</w:t>
            </w:r>
            <w:r>
              <w:rPr>
                <w:rFonts w:hint="eastAsia" w:ascii="宋体" w:hAnsi="宋体" w:cs="宋体"/>
                <w:color w:val="auto"/>
                <w:spacing w:val="-1"/>
                <w:sz w:val="24"/>
                <w:szCs w:val="24"/>
                <w:lang w:eastAsia="zh-CN"/>
              </w:rPr>
              <w:t>竞争性磋商</w:t>
            </w:r>
            <w:r>
              <w:rPr>
                <w:rFonts w:hint="eastAsia" w:ascii="宋体" w:hAnsi="宋体" w:eastAsia="宋体" w:cs="宋体"/>
                <w:color w:val="auto"/>
                <w:spacing w:val="-1"/>
                <w:sz w:val="24"/>
                <w:szCs w:val="24"/>
              </w:rPr>
              <w:t>文件要求提供授权委托书；</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1417" w:type="dxa"/>
            <w:shd w:val="clear" w:color="000000" w:fill="FFFFFF"/>
            <w:vAlign w:val="top"/>
          </w:tcPr>
          <w:p>
            <w:pPr>
              <w:pStyle w:val="687"/>
              <w:keepNext w:val="0"/>
              <w:keepLines w:val="0"/>
              <w:suppressLineNumbers w:val="0"/>
              <w:spacing w:before="242" w:beforeAutospacing="0" w:afterAutospacing="0" w:line="201" w:lineRule="auto"/>
              <w:ind w:left="315"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2</w:t>
            </w:r>
          </w:p>
        </w:tc>
        <w:tc>
          <w:tcPr>
            <w:tcW w:w="1609" w:type="dxa"/>
            <w:shd w:val="clear" w:color="000000" w:fill="FFFFFF"/>
            <w:vAlign w:val="top"/>
          </w:tcPr>
          <w:p>
            <w:pPr>
              <w:keepNext w:val="0"/>
              <w:keepLines w:val="0"/>
              <w:suppressLineNumbers w:val="0"/>
              <w:spacing w:before="206" w:beforeAutospacing="0" w:after="0" w:afterAutospacing="0" w:line="201" w:lineRule="auto"/>
              <w:ind w:left="108" w:leftChars="0" w:right="0"/>
              <w:rPr>
                <w:rFonts w:hint="default" w:asciiTheme="minorEastAsia" w:hAnsiTheme="minorEastAsia" w:eastAsiaTheme="minorEastAsia"/>
                <w:color w:val="auto"/>
                <w:kern w:val="0"/>
                <w:sz w:val="24"/>
                <w:szCs w:val="24"/>
              </w:rPr>
            </w:pPr>
            <w:r>
              <w:rPr>
                <w:rFonts w:hint="eastAsia" w:ascii="宋体" w:hAnsi="宋体" w:cs="宋体"/>
                <w:color w:val="auto"/>
                <w:spacing w:val="-2"/>
                <w:sz w:val="24"/>
                <w:szCs w:val="24"/>
                <w:lang w:eastAsia="zh-CN"/>
              </w:rPr>
              <w:t>响应</w:t>
            </w:r>
            <w:r>
              <w:rPr>
                <w:rFonts w:hint="eastAsia" w:ascii="宋体" w:hAnsi="宋体" w:eastAsia="宋体" w:cs="宋体"/>
                <w:color w:val="auto"/>
                <w:spacing w:val="-2"/>
                <w:sz w:val="24"/>
                <w:szCs w:val="24"/>
              </w:rPr>
              <w:t>完整性</w:t>
            </w:r>
          </w:p>
        </w:tc>
        <w:tc>
          <w:tcPr>
            <w:tcW w:w="5442" w:type="dxa"/>
            <w:shd w:val="clear" w:color="000000" w:fill="FFFFFF"/>
            <w:vAlign w:val="top"/>
          </w:tcPr>
          <w:p>
            <w:pPr>
              <w:keepNext w:val="0"/>
              <w:keepLines w:val="0"/>
              <w:suppressLineNumbers w:val="0"/>
              <w:spacing w:before="207" w:beforeAutospacing="0" w:after="0" w:afterAutospacing="0" w:line="200" w:lineRule="auto"/>
              <w:ind w:left="111"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未将一个采购包中的内容拆分投标；</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1417" w:type="dxa"/>
            <w:shd w:val="clear" w:color="000000" w:fill="FFFFFF"/>
            <w:vAlign w:val="top"/>
          </w:tcPr>
          <w:p>
            <w:pPr>
              <w:pStyle w:val="687"/>
              <w:keepNext w:val="0"/>
              <w:keepLines w:val="0"/>
              <w:suppressLineNumbers w:val="0"/>
              <w:spacing w:before="248" w:beforeAutospacing="0" w:afterAutospacing="0" w:line="201" w:lineRule="auto"/>
              <w:ind w:left="316"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3</w:t>
            </w:r>
          </w:p>
        </w:tc>
        <w:tc>
          <w:tcPr>
            <w:tcW w:w="1609" w:type="dxa"/>
            <w:shd w:val="clear" w:color="000000" w:fill="FFFFFF"/>
            <w:vAlign w:val="top"/>
          </w:tcPr>
          <w:p>
            <w:pPr>
              <w:keepNext w:val="0"/>
              <w:keepLines w:val="0"/>
              <w:suppressLineNumbers w:val="0"/>
              <w:spacing w:before="213" w:beforeAutospacing="0" w:after="0" w:afterAutospacing="0" w:line="200" w:lineRule="auto"/>
              <w:ind w:left="108" w:leftChars="0" w:right="0"/>
              <w:rPr>
                <w:rFonts w:hint="default" w:asciiTheme="minorEastAsia" w:hAnsiTheme="minorEastAsia" w:eastAsiaTheme="minorEastAsia"/>
                <w:color w:val="auto"/>
                <w:kern w:val="0"/>
                <w:sz w:val="24"/>
                <w:szCs w:val="24"/>
              </w:rPr>
            </w:pPr>
            <w:r>
              <w:rPr>
                <w:rFonts w:hint="eastAsia" w:ascii="宋体" w:hAnsi="宋体" w:cs="宋体"/>
                <w:color w:val="auto"/>
                <w:spacing w:val="-2"/>
                <w:sz w:val="24"/>
                <w:szCs w:val="24"/>
                <w:lang w:eastAsia="zh-CN"/>
              </w:rPr>
              <w:t>响应</w:t>
            </w:r>
            <w:r>
              <w:rPr>
                <w:rFonts w:hint="eastAsia" w:ascii="宋体" w:hAnsi="宋体" w:eastAsia="宋体" w:cs="宋体"/>
                <w:color w:val="auto"/>
                <w:spacing w:val="-2"/>
                <w:sz w:val="24"/>
                <w:szCs w:val="24"/>
              </w:rPr>
              <w:t>报价</w:t>
            </w:r>
          </w:p>
        </w:tc>
        <w:tc>
          <w:tcPr>
            <w:tcW w:w="5442" w:type="dxa"/>
            <w:shd w:val="clear" w:color="000000" w:fill="FFFFFF"/>
            <w:vAlign w:val="top"/>
          </w:tcPr>
          <w:p>
            <w:pPr>
              <w:pStyle w:val="687"/>
              <w:keepNext w:val="0"/>
              <w:keepLines w:val="0"/>
              <w:suppressLineNumbers w:val="0"/>
              <w:spacing w:before="40" w:beforeAutospacing="0" w:afterAutospacing="0" w:line="189" w:lineRule="auto"/>
              <w:ind w:left="110" w:leftChars="0" w:right="296" w:right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响应</w:t>
            </w:r>
            <w:r>
              <w:rPr>
                <w:rFonts w:hint="eastAsia" w:ascii="宋体" w:hAnsi="宋体" w:eastAsia="宋体" w:cs="宋体"/>
                <w:color w:val="auto"/>
                <w:sz w:val="24"/>
                <w:szCs w:val="24"/>
              </w:rPr>
              <w:t>报价未超过</w:t>
            </w:r>
            <w:r>
              <w:rPr>
                <w:rFonts w:hint="eastAsia" w:ascii="宋体" w:hAnsi="宋体" w:cs="宋体"/>
                <w:color w:val="auto"/>
                <w:sz w:val="24"/>
                <w:szCs w:val="24"/>
                <w:lang w:eastAsia="zh-CN"/>
              </w:rPr>
              <w:t>竞争性磋商</w:t>
            </w:r>
            <w:r>
              <w:rPr>
                <w:rFonts w:hint="eastAsia" w:ascii="宋体" w:hAnsi="宋体" w:eastAsia="宋体" w:cs="宋体"/>
                <w:color w:val="auto"/>
                <w:sz w:val="24"/>
                <w:szCs w:val="24"/>
              </w:rPr>
              <w:t>文件中规定的项目/采购包预算金额或者项目/采购包最高限价；</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417" w:type="dxa"/>
            <w:shd w:val="clear" w:color="000000" w:fill="FFFFFF"/>
            <w:vAlign w:val="top"/>
          </w:tcPr>
          <w:p>
            <w:pPr>
              <w:pStyle w:val="687"/>
              <w:keepNext w:val="0"/>
              <w:keepLines w:val="0"/>
              <w:suppressLineNumbers w:val="0"/>
              <w:spacing w:before="252" w:beforeAutospacing="0" w:afterAutospacing="0" w:line="199" w:lineRule="auto"/>
              <w:ind w:left="309"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7"/>
                <w:sz w:val="24"/>
                <w:szCs w:val="24"/>
              </w:rPr>
              <w:t>4</w:t>
            </w:r>
          </w:p>
        </w:tc>
        <w:tc>
          <w:tcPr>
            <w:tcW w:w="1609" w:type="dxa"/>
            <w:shd w:val="clear" w:color="000000" w:fill="FFFFFF"/>
            <w:vAlign w:val="top"/>
          </w:tcPr>
          <w:p>
            <w:pPr>
              <w:keepNext w:val="0"/>
              <w:keepLines w:val="0"/>
              <w:suppressLineNumbers w:val="0"/>
              <w:spacing w:before="214" w:beforeAutospacing="0" w:after="0" w:afterAutospacing="0" w:line="200" w:lineRule="auto"/>
              <w:ind w:left="109"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2"/>
                <w:sz w:val="24"/>
                <w:szCs w:val="24"/>
              </w:rPr>
              <w:t>报价唯一性</w:t>
            </w:r>
          </w:p>
        </w:tc>
        <w:tc>
          <w:tcPr>
            <w:tcW w:w="5442" w:type="dxa"/>
            <w:shd w:val="clear" w:color="000000" w:fill="FFFFFF"/>
            <w:vAlign w:val="top"/>
          </w:tcPr>
          <w:p>
            <w:pPr>
              <w:keepNext w:val="0"/>
              <w:keepLines w:val="0"/>
              <w:suppressLineNumbers w:val="0"/>
              <w:spacing w:before="41" w:beforeAutospacing="0" w:after="0" w:afterAutospacing="0" w:line="189" w:lineRule="auto"/>
              <w:ind w:left="129" w:leftChars="0" w:right="135" w:rightChars="0" w:hanging="18" w:firstLine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响应</w:t>
            </w:r>
            <w:r>
              <w:rPr>
                <w:rFonts w:hint="eastAsia" w:ascii="宋体" w:hAnsi="宋体" w:eastAsia="宋体" w:cs="宋体"/>
                <w:color w:val="auto"/>
                <w:sz w:val="24"/>
                <w:szCs w:val="24"/>
              </w:rPr>
              <w:t>文件未出现可选择性或可调整的报价（</w:t>
            </w:r>
            <w:r>
              <w:rPr>
                <w:rFonts w:hint="eastAsia" w:ascii="宋体" w:hAnsi="宋体" w:cs="宋体"/>
                <w:color w:val="auto"/>
                <w:sz w:val="24"/>
                <w:szCs w:val="24"/>
                <w:lang w:eastAsia="zh-CN"/>
              </w:rPr>
              <w:t>竞争性磋商</w:t>
            </w:r>
            <w:r>
              <w:rPr>
                <w:rFonts w:hint="eastAsia" w:ascii="宋体" w:hAnsi="宋体" w:eastAsia="宋体" w:cs="宋体"/>
                <w:color w:val="auto"/>
                <w:spacing w:val="-1"/>
                <w:sz w:val="24"/>
                <w:szCs w:val="24"/>
              </w:rPr>
              <w:t>文件另有规定</w:t>
            </w:r>
            <w:r>
              <w:rPr>
                <w:rFonts w:hint="eastAsia" w:ascii="宋体" w:hAnsi="宋体" w:eastAsia="宋体" w:cs="宋体"/>
                <w:color w:val="auto"/>
                <w:spacing w:val="-9"/>
                <w:sz w:val="24"/>
                <w:szCs w:val="24"/>
              </w:rPr>
              <w:t>的除外</w:t>
            </w:r>
            <w:r>
              <w:rPr>
                <w:rFonts w:hint="eastAsia" w:ascii="宋体" w:hAnsi="宋体" w:eastAsia="宋体" w:cs="宋体"/>
                <w:color w:val="auto"/>
                <w:sz w:val="24"/>
                <w:szCs w:val="24"/>
              </w:rPr>
              <w:t>）；</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1417" w:type="dxa"/>
            <w:shd w:val="clear" w:color="000000" w:fill="FFFFFF"/>
            <w:vAlign w:val="top"/>
          </w:tcPr>
          <w:p>
            <w:pPr>
              <w:pStyle w:val="687"/>
              <w:keepNext w:val="0"/>
              <w:keepLines w:val="0"/>
              <w:suppressLineNumbers w:val="0"/>
              <w:spacing w:before="253" w:beforeAutospacing="0" w:afterAutospacing="0" w:line="199" w:lineRule="auto"/>
              <w:ind w:left="316"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5</w:t>
            </w:r>
          </w:p>
        </w:tc>
        <w:tc>
          <w:tcPr>
            <w:tcW w:w="1609" w:type="dxa"/>
            <w:shd w:val="clear" w:color="000000" w:fill="FFFFFF"/>
            <w:vAlign w:val="top"/>
          </w:tcPr>
          <w:p>
            <w:pPr>
              <w:keepNext w:val="0"/>
              <w:keepLines w:val="0"/>
              <w:suppressLineNumbers w:val="0"/>
              <w:spacing w:before="214" w:beforeAutospacing="0" w:after="0" w:afterAutospacing="0" w:line="200" w:lineRule="auto"/>
              <w:ind w:left="108" w:leftChars="0" w:right="0"/>
              <w:rPr>
                <w:rFonts w:hint="default" w:asciiTheme="minorEastAsia" w:hAnsiTheme="minorEastAsia" w:eastAsiaTheme="minorEastAsia"/>
                <w:color w:val="auto"/>
                <w:kern w:val="0"/>
                <w:sz w:val="24"/>
                <w:szCs w:val="24"/>
              </w:rPr>
            </w:pPr>
            <w:r>
              <w:rPr>
                <w:rFonts w:hint="eastAsia" w:ascii="宋体" w:hAnsi="宋体" w:cs="宋体"/>
                <w:color w:val="auto"/>
                <w:spacing w:val="-2"/>
                <w:sz w:val="24"/>
                <w:szCs w:val="24"/>
                <w:lang w:eastAsia="zh-CN"/>
              </w:rPr>
              <w:t>响应</w:t>
            </w:r>
            <w:r>
              <w:rPr>
                <w:rFonts w:hint="eastAsia" w:ascii="宋体" w:hAnsi="宋体" w:eastAsia="宋体" w:cs="宋体"/>
                <w:color w:val="auto"/>
                <w:spacing w:val="-2"/>
                <w:sz w:val="24"/>
                <w:szCs w:val="24"/>
              </w:rPr>
              <w:t>有效期</w:t>
            </w:r>
          </w:p>
        </w:tc>
        <w:tc>
          <w:tcPr>
            <w:tcW w:w="5442" w:type="dxa"/>
            <w:shd w:val="clear" w:color="000000" w:fill="FFFFFF"/>
            <w:vAlign w:val="top"/>
          </w:tcPr>
          <w:p>
            <w:pPr>
              <w:keepNext w:val="0"/>
              <w:keepLines w:val="0"/>
              <w:suppressLineNumbers w:val="0"/>
              <w:spacing w:before="42" w:beforeAutospacing="0" w:after="0" w:afterAutospacing="0" w:line="189" w:lineRule="auto"/>
              <w:ind w:left="109" w:leftChars="0" w:right="135" w:rightChars="0" w:firstLine="1" w:firstLine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响应</w:t>
            </w:r>
            <w:r>
              <w:rPr>
                <w:rFonts w:hint="eastAsia" w:ascii="宋体" w:hAnsi="宋体" w:eastAsia="宋体" w:cs="宋体"/>
                <w:color w:val="auto"/>
                <w:sz w:val="24"/>
                <w:szCs w:val="24"/>
              </w:rPr>
              <w:t>文件中承诺的</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有效期满足</w:t>
            </w:r>
            <w:r>
              <w:rPr>
                <w:rFonts w:hint="eastAsia" w:ascii="宋体" w:hAnsi="宋体" w:cs="宋体"/>
                <w:color w:val="auto"/>
                <w:sz w:val="24"/>
                <w:szCs w:val="24"/>
                <w:lang w:eastAsia="zh-CN"/>
              </w:rPr>
              <w:t>竞争性磋商</w:t>
            </w:r>
            <w:r>
              <w:rPr>
                <w:rFonts w:hint="eastAsia" w:ascii="宋体" w:hAnsi="宋体" w:eastAsia="宋体" w:cs="宋体"/>
                <w:color w:val="auto"/>
                <w:sz w:val="24"/>
                <w:szCs w:val="24"/>
              </w:rPr>
              <w:t>文件中</w:t>
            </w:r>
            <w:r>
              <w:rPr>
                <w:rFonts w:hint="eastAsia" w:ascii="宋体" w:hAnsi="宋体" w:eastAsia="宋体" w:cs="宋体"/>
                <w:color w:val="auto"/>
                <w:spacing w:val="-1"/>
                <w:sz w:val="24"/>
                <w:szCs w:val="24"/>
              </w:rPr>
              <w:t>载明的</w:t>
            </w:r>
            <w:r>
              <w:rPr>
                <w:rFonts w:hint="eastAsia" w:ascii="宋体" w:hAnsi="宋体" w:cs="宋体"/>
                <w:color w:val="auto"/>
                <w:spacing w:val="-1"/>
                <w:sz w:val="24"/>
                <w:szCs w:val="24"/>
                <w:lang w:eastAsia="zh-CN"/>
              </w:rPr>
              <w:t>响应</w:t>
            </w:r>
            <w:r>
              <w:rPr>
                <w:rFonts w:hint="eastAsia" w:ascii="宋体" w:hAnsi="宋体" w:eastAsia="宋体" w:cs="宋体"/>
                <w:color w:val="auto"/>
                <w:spacing w:val="-1"/>
                <w:sz w:val="24"/>
                <w:szCs w:val="24"/>
              </w:rPr>
              <w:t>有效</w:t>
            </w:r>
            <w:r>
              <w:rPr>
                <w:rFonts w:hint="eastAsia" w:ascii="宋体" w:hAnsi="宋体" w:eastAsia="宋体" w:cs="宋体"/>
                <w:color w:val="auto"/>
                <w:spacing w:val="-2"/>
                <w:sz w:val="24"/>
                <w:szCs w:val="24"/>
              </w:rPr>
              <w:t>期的；</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1417" w:type="dxa"/>
            <w:shd w:val="clear" w:color="000000" w:fill="FFFFFF"/>
            <w:vAlign w:val="top"/>
          </w:tcPr>
          <w:p>
            <w:pPr>
              <w:pStyle w:val="687"/>
              <w:keepNext w:val="0"/>
              <w:keepLines w:val="0"/>
              <w:suppressLineNumbers w:val="0"/>
              <w:spacing w:before="249" w:beforeAutospacing="0" w:afterAutospacing="0" w:line="202" w:lineRule="auto"/>
              <w:ind w:left="314"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2"/>
                <w:sz w:val="24"/>
                <w:szCs w:val="24"/>
              </w:rPr>
              <w:t>6</w:t>
            </w:r>
          </w:p>
        </w:tc>
        <w:tc>
          <w:tcPr>
            <w:tcW w:w="1609" w:type="dxa"/>
            <w:shd w:val="clear" w:color="000000" w:fill="FFFFFF"/>
            <w:vAlign w:val="top"/>
          </w:tcPr>
          <w:p>
            <w:pPr>
              <w:keepNext w:val="0"/>
              <w:keepLines w:val="0"/>
              <w:suppressLineNumbers w:val="0"/>
              <w:spacing w:before="215" w:beforeAutospacing="0" w:after="0" w:afterAutospacing="0" w:line="200" w:lineRule="auto"/>
              <w:ind w:left="111"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2"/>
                <w:sz w:val="24"/>
                <w:szCs w:val="24"/>
              </w:rPr>
              <w:t>实质性格式</w:t>
            </w:r>
          </w:p>
        </w:tc>
        <w:tc>
          <w:tcPr>
            <w:tcW w:w="5442" w:type="dxa"/>
            <w:shd w:val="clear" w:color="000000" w:fill="FFFFFF"/>
            <w:vAlign w:val="top"/>
          </w:tcPr>
          <w:p>
            <w:pPr>
              <w:pStyle w:val="687"/>
              <w:keepNext w:val="0"/>
              <w:keepLines w:val="0"/>
              <w:suppressLineNumbers w:val="0"/>
              <w:spacing w:before="40" w:beforeAutospacing="0" w:afterAutospacing="0" w:line="189" w:lineRule="auto"/>
              <w:ind w:left="111" w:leftChars="0" w:right="128" w:rightChars="0" w:hanging="2" w:firstLineChars="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标记为</w:t>
            </w:r>
            <w:r>
              <w:rPr>
                <w:rFonts w:hint="eastAsia" w:ascii="宋体" w:hAnsi="宋体" w:eastAsia="宋体" w:cs="宋体"/>
                <w:color w:val="auto"/>
                <w:spacing w:val="-34"/>
                <w:sz w:val="24"/>
                <w:szCs w:val="24"/>
              </w:rPr>
              <w:t xml:space="preserve"> </w:t>
            </w:r>
            <w:r>
              <w:rPr>
                <w:rFonts w:hint="eastAsia" w:ascii="宋体" w:hAnsi="宋体" w:eastAsia="宋体" w:cs="宋体"/>
                <w:color w:val="auto"/>
                <w:sz w:val="24"/>
                <w:szCs w:val="24"/>
              </w:rPr>
              <w:t>“实质性格式</w:t>
            </w:r>
            <w:r>
              <w:rPr>
                <w:rFonts w:hint="eastAsia" w:ascii="宋体" w:hAnsi="宋体" w:eastAsia="宋体" w:cs="宋体"/>
                <w:color w:val="auto"/>
                <w:spacing w:val="-51"/>
                <w:sz w:val="24"/>
                <w:szCs w:val="24"/>
              </w:rPr>
              <w:t xml:space="preserve"> </w:t>
            </w:r>
            <w:r>
              <w:rPr>
                <w:rFonts w:hint="eastAsia" w:ascii="宋体" w:hAnsi="宋体" w:eastAsia="宋体" w:cs="宋体"/>
                <w:color w:val="auto"/>
                <w:sz w:val="24"/>
                <w:szCs w:val="24"/>
              </w:rPr>
              <w:t>”</w:t>
            </w:r>
            <w:r>
              <w:rPr>
                <w:rFonts w:hint="eastAsia" w:ascii="宋体" w:hAnsi="宋体" w:eastAsia="宋体" w:cs="宋体"/>
                <w:color w:val="auto"/>
                <w:spacing w:val="-42"/>
                <w:sz w:val="24"/>
                <w:szCs w:val="24"/>
              </w:rPr>
              <w:t xml:space="preserve"> </w:t>
            </w:r>
            <w:r>
              <w:rPr>
                <w:rFonts w:hint="eastAsia" w:ascii="宋体" w:hAnsi="宋体" w:eastAsia="宋体" w:cs="宋体"/>
                <w:color w:val="auto"/>
                <w:sz w:val="24"/>
                <w:szCs w:val="24"/>
              </w:rPr>
              <w:t>的文件均按</w:t>
            </w:r>
            <w:r>
              <w:rPr>
                <w:rFonts w:hint="eastAsia" w:ascii="宋体" w:hAnsi="宋体" w:cs="宋体"/>
                <w:color w:val="auto"/>
                <w:sz w:val="24"/>
                <w:szCs w:val="24"/>
                <w:lang w:eastAsia="zh-CN"/>
              </w:rPr>
              <w:t>竞争性磋商</w:t>
            </w:r>
            <w:r>
              <w:rPr>
                <w:rFonts w:hint="eastAsia" w:ascii="宋体" w:hAnsi="宋体" w:eastAsia="宋体" w:cs="宋体"/>
                <w:color w:val="auto"/>
                <w:sz w:val="24"/>
                <w:szCs w:val="24"/>
              </w:rPr>
              <w:t>文件要求提供且签署、盖</w:t>
            </w:r>
            <w:r>
              <w:rPr>
                <w:rFonts w:hint="eastAsia" w:ascii="宋体" w:hAnsi="宋体" w:eastAsia="宋体" w:cs="宋体"/>
                <w:color w:val="auto"/>
                <w:spacing w:val="-3"/>
                <w:sz w:val="24"/>
                <w:szCs w:val="24"/>
              </w:rPr>
              <w:t>章的；</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1417" w:type="dxa"/>
            <w:shd w:val="clear" w:color="000000" w:fill="FFFFFF"/>
            <w:vAlign w:val="top"/>
          </w:tcPr>
          <w:p>
            <w:pPr>
              <w:pStyle w:val="687"/>
              <w:keepNext w:val="0"/>
              <w:keepLines w:val="0"/>
              <w:suppressLineNumbers w:val="0"/>
              <w:spacing w:before="249" w:beforeAutospacing="0" w:afterAutospacing="0" w:line="199" w:lineRule="auto"/>
              <w:ind w:left="317"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7</w:t>
            </w:r>
          </w:p>
        </w:tc>
        <w:tc>
          <w:tcPr>
            <w:tcW w:w="1609" w:type="dxa"/>
            <w:shd w:val="clear" w:color="000000" w:fill="FFFFFF"/>
            <w:vAlign w:val="top"/>
          </w:tcPr>
          <w:p>
            <w:pPr>
              <w:keepNext w:val="0"/>
              <w:keepLines w:val="0"/>
              <w:suppressLineNumbers w:val="0"/>
              <w:spacing w:before="211" w:beforeAutospacing="0" w:after="0" w:afterAutospacing="0" w:line="201" w:lineRule="auto"/>
              <w:ind w:left="133" w:leftChars="0" w:right="0"/>
              <w:rPr>
                <w:rFonts w:hint="default" w:cs="Arial" w:asciiTheme="minorEastAsia" w:hAnsiTheme="minorEastAsia" w:eastAsiaTheme="minorEastAsia"/>
                <w:color w:val="auto"/>
                <w:sz w:val="24"/>
                <w:szCs w:val="24"/>
              </w:rPr>
            </w:pPr>
            <w:r>
              <w:rPr>
                <w:rFonts w:hint="eastAsia" w:ascii="宋体" w:hAnsi="宋体" w:eastAsia="宋体" w:cs="宋体"/>
                <w:color w:val="auto"/>
                <w:spacing w:val="2"/>
                <w:sz w:val="24"/>
                <w:szCs w:val="24"/>
              </w:rPr>
              <w:t>★号条款响应</w:t>
            </w:r>
          </w:p>
        </w:tc>
        <w:tc>
          <w:tcPr>
            <w:tcW w:w="5442" w:type="dxa"/>
            <w:shd w:val="clear" w:color="000000" w:fill="FFFFFF"/>
            <w:vAlign w:val="top"/>
          </w:tcPr>
          <w:p>
            <w:pPr>
              <w:keepNext w:val="0"/>
              <w:keepLines w:val="0"/>
              <w:suppressLineNumbers w:val="0"/>
              <w:spacing w:before="211" w:beforeAutospacing="0" w:after="0" w:afterAutospacing="0" w:line="200" w:lineRule="auto"/>
              <w:ind w:left="0" w:right="0"/>
              <w:jc w:val="left"/>
              <w:rPr>
                <w:rFonts w:hint="default" w:cs="Arial" w:asciiTheme="minorEastAsia" w:hAnsiTheme="minorEastAsia" w:eastAsiaTheme="minorEastAsia"/>
                <w:color w:val="auto"/>
                <w:sz w:val="24"/>
                <w:szCs w:val="24"/>
              </w:rPr>
            </w:pPr>
            <w:r>
              <w:rPr>
                <w:rFonts w:hint="eastAsia" w:ascii="宋体" w:hAnsi="宋体" w:cs="宋体"/>
                <w:color w:val="auto"/>
                <w:spacing w:val="-4"/>
                <w:sz w:val="24"/>
                <w:szCs w:val="24"/>
                <w:lang w:eastAsia="zh-CN"/>
              </w:rPr>
              <w:t>响应</w:t>
            </w:r>
            <w:r>
              <w:rPr>
                <w:rFonts w:hint="eastAsia" w:ascii="宋体" w:hAnsi="宋体" w:eastAsia="宋体" w:cs="宋体"/>
                <w:color w:val="auto"/>
                <w:spacing w:val="-4"/>
                <w:sz w:val="24"/>
                <w:szCs w:val="24"/>
              </w:rPr>
              <w:t>文件满足</w:t>
            </w:r>
            <w:r>
              <w:rPr>
                <w:rFonts w:hint="eastAsia" w:ascii="宋体" w:hAnsi="宋体" w:cs="宋体"/>
                <w:color w:val="auto"/>
                <w:spacing w:val="-4"/>
                <w:sz w:val="24"/>
                <w:szCs w:val="24"/>
                <w:lang w:eastAsia="zh-CN"/>
              </w:rPr>
              <w:t>竞争性磋商</w:t>
            </w:r>
            <w:r>
              <w:rPr>
                <w:rFonts w:hint="eastAsia" w:ascii="宋体" w:hAnsi="宋体" w:eastAsia="宋体" w:cs="宋体"/>
                <w:color w:val="auto"/>
                <w:spacing w:val="-4"/>
                <w:sz w:val="24"/>
                <w:szCs w:val="24"/>
              </w:rPr>
              <w:t>文件第</w:t>
            </w:r>
            <w:r>
              <w:rPr>
                <w:rFonts w:hint="eastAsia" w:ascii="宋体" w:hAnsi="宋体" w:cs="宋体"/>
                <w:color w:val="auto"/>
                <w:spacing w:val="-4"/>
                <w:sz w:val="24"/>
                <w:szCs w:val="24"/>
                <w:lang w:eastAsia="zh-CN"/>
              </w:rPr>
              <w:t>四</w:t>
            </w:r>
            <w:r>
              <w:rPr>
                <w:rFonts w:hint="eastAsia" w:ascii="宋体" w:hAnsi="宋体" w:eastAsia="宋体" w:cs="宋体"/>
                <w:color w:val="auto"/>
                <w:spacing w:val="-4"/>
                <w:sz w:val="24"/>
                <w:szCs w:val="24"/>
              </w:rPr>
              <w:t>章《采购需求》中★号条款要求的；</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1417"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auto"/>
                <w:kern w:val="0"/>
                <w:sz w:val="24"/>
                <w:szCs w:val="24"/>
              </w:rPr>
            </w:pPr>
            <w:r>
              <w:rPr>
                <w:rFonts w:hint="default" w:asciiTheme="minorEastAsia" w:hAnsiTheme="minorEastAsia" w:eastAsiaTheme="minorEastAsia"/>
                <w:color w:val="auto"/>
                <w:kern w:val="0"/>
                <w:sz w:val="24"/>
                <w:szCs w:val="24"/>
              </w:rPr>
              <w:t>8</w:t>
            </w:r>
          </w:p>
        </w:tc>
        <w:tc>
          <w:tcPr>
            <w:tcW w:w="1609" w:type="dxa"/>
            <w:shd w:val="clear" w:color="000000" w:fill="FFFFFF"/>
            <w:vAlign w:val="top"/>
          </w:tcPr>
          <w:p>
            <w:pPr>
              <w:keepNext w:val="0"/>
              <w:keepLines w:val="0"/>
              <w:suppressLineNumbers w:val="0"/>
              <w:spacing w:before="218" w:beforeAutospacing="0" w:after="0" w:afterAutospacing="0" w:line="200" w:lineRule="auto"/>
              <w:ind w:left="107"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其他无效情形</w:t>
            </w:r>
          </w:p>
        </w:tc>
        <w:tc>
          <w:tcPr>
            <w:tcW w:w="5442" w:type="dxa"/>
            <w:shd w:val="clear" w:color="000000" w:fill="FFFFFF"/>
            <w:vAlign w:val="top"/>
          </w:tcPr>
          <w:p>
            <w:pPr>
              <w:keepNext w:val="0"/>
              <w:keepLines w:val="0"/>
              <w:suppressLineNumbers w:val="0"/>
              <w:spacing w:before="43" w:beforeAutospacing="0" w:after="0" w:afterAutospacing="0" w:line="190" w:lineRule="auto"/>
              <w:ind w:left="109" w:leftChars="0" w:right="135" w:rightChars="0" w:firstLine="1" w:firstLine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供应商</w:t>
            </w:r>
            <w:r>
              <w:rPr>
                <w:rFonts w:hint="eastAsia" w:ascii="宋体" w:hAnsi="宋体" w:eastAsia="宋体" w:cs="宋体"/>
                <w:color w:val="auto"/>
                <w:sz w:val="24"/>
                <w:szCs w:val="24"/>
              </w:rPr>
              <w:t>、</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文件不存在不符合法律、法规和</w:t>
            </w:r>
            <w:r>
              <w:rPr>
                <w:rFonts w:hint="eastAsia" w:ascii="宋体" w:hAnsi="宋体" w:cs="宋体"/>
                <w:color w:val="auto"/>
                <w:spacing w:val="-1"/>
                <w:sz w:val="24"/>
                <w:szCs w:val="24"/>
                <w:lang w:eastAsia="zh-CN"/>
              </w:rPr>
              <w:t>竞争性磋商</w:t>
            </w:r>
            <w:r>
              <w:rPr>
                <w:rFonts w:hint="eastAsia" w:ascii="宋体" w:hAnsi="宋体" w:eastAsia="宋体" w:cs="宋体"/>
                <w:color w:val="auto"/>
                <w:spacing w:val="-1"/>
                <w:sz w:val="24"/>
                <w:szCs w:val="24"/>
              </w:rPr>
              <w:t>文件规定的其他无效情形。</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bl>
    <w:p>
      <w:pPr>
        <w:numPr>
          <w:ilvl w:val="0"/>
          <w:numId w:val="67"/>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pPr>
        <w:numPr>
          <w:ilvl w:val="1"/>
          <w:numId w:val="67"/>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pPr>
        <w:numPr>
          <w:ilvl w:val="1"/>
          <w:numId w:val="67"/>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pPr>
        <w:numPr>
          <w:ilvl w:val="1"/>
          <w:numId w:val="67"/>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pPr>
        <w:numPr>
          <w:ilvl w:val="1"/>
          <w:numId w:val="67"/>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pPr>
        <w:numPr>
          <w:ilvl w:val="2"/>
          <w:numId w:val="67"/>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pPr>
        <w:numPr>
          <w:ilvl w:val="2"/>
          <w:numId w:val="67"/>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pPr>
        <w:numPr>
          <w:ilvl w:val="2"/>
          <w:numId w:val="67"/>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pPr>
        <w:numPr>
          <w:ilvl w:val="1"/>
          <w:numId w:val="67"/>
        </w:numPr>
        <w:tabs>
          <w:tab w:val="left" w:pos="1080"/>
          <w:tab w:val="left" w:pos="1872"/>
        </w:tabs>
        <w:snapToGrid w:val="0"/>
        <w:spacing w:line="360" w:lineRule="auto"/>
        <w:ind w:left="1077" w:hanging="720"/>
        <w:rPr>
          <w:rFonts w:eastAsiaTheme="minorEastAsia"/>
          <w:snapToGrid w:val="0"/>
          <w:sz w:val="24"/>
        </w:rPr>
      </w:pPr>
      <w:bookmarkStart w:id="667" w:name="_Hlk220085436"/>
      <w:r>
        <w:rPr>
          <w:rFonts w:hint="eastAsia" w:eastAsiaTheme="minorEastAsia"/>
          <w:snapToGrid w:val="0"/>
          <w:sz w:val="24"/>
        </w:rPr>
        <w:t>异常低价处理</w:t>
      </w:r>
    </w:p>
    <w:p>
      <w:pPr>
        <w:numPr>
          <w:ilvl w:val="2"/>
          <w:numId w:val="67"/>
        </w:numPr>
        <w:snapToGrid w:val="0"/>
        <w:spacing w:line="360" w:lineRule="auto"/>
        <w:rPr>
          <w:rFonts w:eastAsiaTheme="minorEastAsia"/>
          <w:color w:val="auto"/>
          <w:sz w:val="24"/>
        </w:rPr>
      </w:pPr>
      <w:r>
        <w:rPr>
          <w:rFonts w:hint="eastAsia" w:eastAsiaTheme="minorEastAsia"/>
          <w:color w:val="auto"/>
          <w:sz w:val="24"/>
        </w:rPr>
        <w:t>政府采购评审中出现下列情形之一的，评审委员会应当启动异常低价投标（响应）审查程序：</w:t>
      </w:r>
    </w:p>
    <w:p>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1</w:t>
      </w:r>
      <w:r>
        <w:rPr>
          <w:rFonts w:hint="eastAsia" w:eastAsiaTheme="minorEastAsia"/>
          <w:color w:val="auto"/>
          <w:sz w:val="24"/>
        </w:rPr>
        <w:t>）投标（响应）报价低于全部通过符合性审查供应商投标（响应）报价平均值</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全部通过符合性审查供应商投标（响应）报价平均值×</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w:t>
      </w:r>
    </w:p>
    <w:p>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2</w:t>
      </w:r>
      <w:r>
        <w:rPr>
          <w:rFonts w:hint="eastAsia" w:eastAsiaTheme="minorEastAsia"/>
          <w:color w:val="auto"/>
          <w:sz w:val="24"/>
        </w:rPr>
        <w:t>）投标（响应）报价低于通过符合性审查的次低报价供应商投标（响应）报价</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通过符合性审查的次低报价供应商投标（响应）报价×</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w:t>
      </w:r>
    </w:p>
    <w:p>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3</w:t>
      </w:r>
      <w:r>
        <w:rPr>
          <w:rFonts w:hint="eastAsia" w:eastAsiaTheme="minorEastAsia"/>
          <w:color w:val="auto"/>
          <w:sz w:val="24"/>
        </w:rPr>
        <w:t>）投标（响应）报价低于采购项目最高限价</w:t>
      </w:r>
      <w:r>
        <w:rPr>
          <w:rFonts w:hint="eastAsia" w:eastAsiaTheme="minorEastAsia"/>
          <w:color w:val="auto"/>
          <w:sz w:val="24"/>
          <w:u w:val="single"/>
          <w:lang w:val="en-US" w:eastAsia="zh-CN"/>
        </w:rPr>
        <w:t>45</w:t>
      </w:r>
      <w:r>
        <w:rPr>
          <w:rFonts w:eastAsiaTheme="minorEastAsia"/>
          <w:color w:val="auto"/>
          <w:sz w:val="24"/>
          <w:u w:val="single"/>
        </w:rPr>
        <w:t>%</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采购项目最高限价×</w:t>
      </w:r>
      <w:r>
        <w:rPr>
          <w:rFonts w:hint="eastAsia" w:eastAsiaTheme="minorEastAsia"/>
          <w:color w:val="auto"/>
          <w:sz w:val="24"/>
          <w:u w:val="single"/>
          <w:lang w:val="en-US" w:eastAsia="zh-CN"/>
        </w:rPr>
        <w:t>45</w:t>
      </w:r>
      <w:r>
        <w:rPr>
          <w:rFonts w:eastAsiaTheme="minorEastAsia"/>
          <w:color w:val="auto"/>
          <w:sz w:val="24"/>
          <w:u w:val="single"/>
        </w:rPr>
        <w:t>%</w:t>
      </w:r>
      <w:r>
        <w:rPr>
          <w:rFonts w:hint="eastAsia" w:eastAsiaTheme="minorEastAsia"/>
          <w:color w:val="auto"/>
          <w:sz w:val="24"/>
          <w:u w:val="single"/>
        </w:rPr>
        <w:t>；</w:t>
      </w:r>
      <w:r>
        <w:rPr>
          <w:rFonts w:hint="eastAsia" w:eastAsiaTheme="minorEastAsia"/>
          <w:color w:val="auto"/>
          <w:sz w:val="24"/>
        </w:rPr>
        <w:t>未设定最高限价的采购项目，以采购项目预算金额作为最高限价；</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pPr>
        <w:numPr>
          <w:ilvl w:val="2"/>
          <w:numId w:val="67"/>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pPr>
        <w:numPr>
          <w:ilvl w:val="2"/>
          <w:numId w:val="67"/>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numPr>
          <w:ilvl w:val="2"/>
          <w:numId w:val="67"/>
        </w:numPr>
        <w:snapToGrid w:val="0"/>
        <w:spacing w:line="360" w:lineRule="auto"/>
        <w:rPr>
          <w:rFonts w:eastAsiaTheme="minorEastAsia"/>
          <w:sz w:val="24"/>
        </w:rPr>
      </w:pPr>
      <w:bookmarkStart w:id="668"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68"/>
      <w:r>
        <w:rPr>
          <w:rFonts w:hint="eastAsia" w:eastAsiaTheme="minorEastAsia"/>
          <w:sz w:val="24"/>
        </w:rPr>
        <w:t>。</w:t>
      </w:r>
      <w:bookmarkEnd w:id="667"/>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pPr>
        <w:numPr>
          <w:ilvl w:val="2"/>
          <w:numId w:val="67"/>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pPr>
        <w:tabs>
          <w:tab w:val="left" w:pos="1080"/>
          <w:tab w:val="left" w:pos="1589"/>
          <w:tab w:val="left" w:pos="2035"/>
          <w:tab w:val="left" w:pos="2114"/>
        </w:tabs>
        <w:snapToGrid w:val="0"/>
        <w:spacing w:line="360" w:lineRule="auto"/>
        <w:ind w:left="2035"/>
        <w:rPr>
          <w:rFonts w:eastAsiaTheme="minorEastAsia"/>
          <w:sz w:val="24"/>
          <w:u w:val="single"/>
        </w:rPr>
      </w:pPr>
      <w:r>
        <w:rPr>
          <w:rFonts w:asciiTheme="minorEastAsia" w:hAnsiTheme="minorEastAsia" w:eastAsiaTheme="minorEastAsia"/>
          <w:color w:val="auto"/>
          <w:sz w:val="24"/>
        </w:rPr>
        <w:t>□</w:t>
      </w:r>
      <w:r>
        <w:rPr>
          <w:rFonts w:eastAsiaTheme="minorEastAsia"/>
          <w:sz w:val="24"/>
        </w:rPr>
        <w:t>有，具体规定为：___________</w:t>
      </w:r>
    </w:p>
    <w:p>
      <w:pPr>
        <w:tabs>
          <w:tab w:val="left" w:pos="1080"/>
          <w:tab w:val="left" w:pos="1589"/>
          <w:tab w:val="left" w:pos="2035"/>
          <w:tab w:val="left" w:pos="2114"/>
        </w:tabs>
        <w:snapToGrid w:val="0"/>
        <w:spacing w:line="360" w:lineRule="auto"/>
        <w:ind w:left="2035"/>
        <w:rPr>
          <w:rFonts w:eastAsiaTheme="minorEastAsia"/>
          <w:sz w:val="24"/>
        </w:rPr>
      </w:pPr>
      <w:r>
        <w:rPr>
          <w:rFonts w:hint="eastAsia" w:asciiTheme="minorEastAsia" w:hAnsiTheme="minorEastAsia" w:eastAsiaTheme="minorEastAsia"/>
          <w:color w:val="auto"/>
          <w:sz w:val="24"/>
        </w:rPr>
        <w:t>■</w:t>
      </w:r>
      <w:r>
        <w:rPr>
          <w:rFonts w:eastAsiaTheme="minorEastAsia"/>
          <w:sz w:val="24"/>
        </w:rPr>
        <w:t>无，按下述3.2.2-3.2.5项规定修正。</w:t>
      </w:r>
    </w:p>
    <w:p>
      <w:pPr>
        <w:numPr>
          <w:ilvl w:val="2"/>
          <w:numId w:val="67"/>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pPr>
        <w:numPr>
          <w:ilvl w:val="2"/>
          <w:numId w:val="67"/>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pPr>
        <w:numPr>
          <w:ilvl w:val="2"/>
          <w:numId w:val="67"/>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pPr>
        <w:numPr>
          <w:ilvl w:val="2"/>
          <w:numId w:val="67"/>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pPr>
        <w:numPr>
          <w:ilvl w:val="2"/>
          <w:numId w:val="67"/>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eastAsiaTheme="minorEastAsia"/>
          <w:sz w:val="24"/>
          <w:u w:val="single"/>
          <w:lang w:val="en-US" w:eastAsia="zh-CN"/>
        </w:rPr>
        <w:t>10</w:t>
      </w:r>
      <w:r>
        <w:rPr>
          <w:rFonts w:eastAsiaTheme="minorEastAsia"/>
          <w:sz w:val="24"/>
          <w:u w:val="single"/>
        </w:rPr>
        <w:t>%</w:t>
      </w:r>
      <w:r>
        <w:rPr>
          <w:rFonts w:eastAsiaTheme="minorEastAsia"/>
          <w:sz w:val="24"/>
        </w:rPr>
        <w:t>的扣除，用扣除后的价格参加评审。</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sz w:val="24"/>
          <w:u w:val="single"/>
          <w:lang w:val="en-US" w:eastAsia="zh-CN"/>
        </w:rPr>
        <w:t>5</w:t>
      </w:r>
      <w:r>
        <w:rPr>
          <w:rFonts w:eastAsiaTheme="minorEastAsia"/>
          <w:sz w:val="24"/>
          <w:u w:val="single"/>
        </w:rPr>
        <w:t>%</w:t>
      </w:r>
      <w:r>
        <w:rPr>
          <w:rFonts w:eastAsiaTheme="minorEastAsia"/>
          <w:sz w:val="24"/>
        </w:rPr>
        <w:t>的扣除，用扣除后的价格参加评审。</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pPr>
        <w:numPr>
          <w:ilvl w:val="2"/>
          <w:numId w:val="67"/>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pPr>
        <w:numPr>
          <w:ilvl w:val="1"/>
          <w:numId w:val="67"/>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pPr>
        <w:numPr>
          <w:ilvl w:val="2"/>
          <w:numId w:val="67"/>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67"/>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67"/>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其他：</w:t>
      </w:r>
      <w:r>
        <w:rPr>
          <w:rFonts w:hint="eastAsia" w:eastAsiaTheme="minorEastAsia"/>
          <w:sz w:val="24"/>
          <w:u w:val="single"/>
          <w:lang w:eastAsia="zh-CN"/>
        </w:rPr>
        <w:t>无</w:t>
      </w:r>
      <w:r>
        <w:rPr>
          <w:rFonts w:eastAsiaTheme="minorEastAsia"/>
          <w:sz w:val="24"/>
        </w:rPr>
        <w:t>。</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hint="eastAsia" w:asciiTheme="minorEastAsia" w:hAnsiTheme="minorEastAsia" w:eastAsiaTheme="minorEastAsia"/>
          <w:color w:val="auto"/>
          <w:sz w:val="24"/>
          <w:u w:val="single"/>
        </w:rPr>
        <w:t>/</w:t>
      </w:r>
      <w:r>
        <w:rPr>
          <w:rFonts w:eastAsiaTheme="minorEastAsia"/>
          <w:sz w:val="24"/>
        </w:rPr>
        <w:t>。</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确定成交候选人名单</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pPr>
        <w:numPr>
          <w:ilvl w:val="1"/>
          <w:numId w:val="67"/>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szCs w:val="20"/>
        </w:rPr>
        <w:t>磋商小组根据上述原则进行供应商排序，排名第一的供应商为成交候选人，并编写评审报告</w:t>
      </w:r>
      <w:r>
        <w:rPr>
          <w:rFonts w:eastAsiaTheme="minorEastAsia"/>
          <w:kern w:val="0"/>
          <w:sz w:val="24"/>
          <w:szCs w:val="20"/>
        </w:rPr>
        <w:t>。</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报告违法行为</w:t>
      </w:r>
    </w:p>
    <w:p>
      <w:pPr>
        <w:numPr>
          <w:ilvl w:val="1"/>
          <w:numId w:val="67"/>
        </w:numPr>
        <w:tabs>
          <w:tab w:val="left" w:pos="1080"/>
          <w:tab w:val="left" w:pos="1872"/>
        </w:tabs>
        <w:snapToGrid w:val="0"/>
        <w:spacing w:line="360" w:lineRule="auto"/>
        <w:rPr>
          <w:rFonts w:asciiTheme="minorEastAsia" w:hAnsiTheme="minorEastAsia" w:eastAsiaTheme="minorEastAsia"/>
          <w:color w:val="auto"/>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p>
    <w:bookmarkEnd w:id="650"/>
    <w:bookmarkEnd w:id="651"/>
    <w:p>
      <w:pPr>
        <w:widowControl/>
        <w:numPr>
          <w:ilvl w:val="0"/>
          <w:numId w:val="0"/>
        </w:numPr>
        <w:tabs>
          <w:tab w:val="left" w:pos="1080"/>
          <w:tab w:val="left" w:pos="1589"/>
          <w:tab w:val="left" w:pos="1872"/>
        </w:tabs>
        <w:snapToGrid w:val="0"/>
        <w:spacing w:line="360" w:lineRule="auto"/>
        <w:jc w:val="left"/>
        <w:rPr>
          <w:rFonts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二、评</w:t>
      </w:r>
      <w:r>
        <w:rPr>
          <w:rFonts w:hint="eastAsia" w:asciiTheme="minorEastAsia" w:hAnsiTheme="minorEastAsia" w:eastAsiaTheme="minorEastAsia"/>
          <w:b/>
          <w:bCs/>
          <w:color w:val="auto"/>
          <w:sz w:val="24"/>
          <w:szCs w:val="24"/>
        </w:rPr>
        <w:t>审</w:t>
      </w:r>
      <w:r>
        <w:rPr>
          <w:rFonts w:asciiTheme="minorEastAsia" w:hAnsiTheme="minorEastAsia" w:eastAsiaTheme="minorEastAsia"/>
          <w:b/>
          <w:bCs/>
          <w:color w:val="auto"/>
          <w:sz w:val="24"/>
          <w:szCs w:val="24"/>
        </w:rPr>
        <w:t>标准</w:t>
      </w:r>
    </w:p>
    <w:tbl>
      <w:tblPr>
        <w:tblStyle w:val="108"/>
        <w:tblW w:w="10395" w:type="dxa"/>
        <w:tblInd w:w="-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8"/>
        <w:gridCol w:w="1557"/>
        <w:gridCol w:w="818"/>
        <w:gridCol w:w="7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1" w:hRule="atLeast"/>
        </w:trPr>
        <w:tc>
          <w:tcPr>
            <w:tcW w:w="59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557"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评分因素</w:t>
            </w:r>
          </w:p>
        </w:tc>
        <w:tc>
          <w:tcPr>
            <w:tcW w:w="81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b/>
                <w:bCs/>
                <w:sz w:val="24"/>
                <w:szCs w:val="24"/>
              </w:rPr>
            </w:pPr>
            <w:r>
              <w:rPr>
                <w:rFonts w:hint="eastAsia" w:ascii="宋体" w:hAnsi="宋体" w:eastAsia="宋体" w:cs="宋体"/>
                <w:b/>
                <w:bCs/>
                <w:sz w:val="24"/>
                <w:szCs w:val="24"/>
              </w:rPr>
              <w:t>标准分</w:t>
            </w:r>
          </w:p>
        </w:tc>
        <w:tc>
          <w:tcPr>
            <w:tcW w:w="7422"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b/>
                <w:bCs/>
                <w:sz w:val="24"/>
                <w:szCs w:val="24"/>
              </w:rPr>
            </w:pPr>
            <w:r>
              <w:rPr>
                <w:rFonts w:hint="eastAsia" w:ascii="宋体" w:hAnsi="宋体" w:eastAsia="宋体" w:cs="宋体"/>
                <w:b/>
                <w:bCs/>
                <w:sz w:val="24"/>
                <w:szCs w:val="24"/>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59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rPr>
            </w:pPr>
            <w:r>
              <w:rPr>
                <w:rFonts w:hint="eastAsia" w:ascii="宋体" w:hAnsi="宋体" w:eastAsia="宋体" w:cs="宋体"/>
                <w:sz w:val="24"/>
                <w:szCs w:val="24"/>
                <w:lang w:val="en-US"/>
              </w:rPr>
              <w:t>1</w:t>
            </w:r>
          </w:p>
        </w:tc>
        <w:tc>
          <w:tcPr>
            <w:tcW w:w="1557" w:type="dxa"/>
            <w:vAlign w:val="center"/>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eastAsia="zh-CN"/>
              </w:rPr>
            </w:pPr>
            <w:r>
              <w:rPr>
                <w:rFonts w:hint="eastAsia" w:ascii="宋体" w:hAnsi="宋体" w:eastAsia="宋体" w:cs="宋体"/>
                <w:sz w:val="24"/>
                <w:szCs w:val="24"/>
                <w:lang w:eastAsia="zh-CN"/>
              </w:rPr>
              <w:t>供应商业绩</w:t>
            </w:r>
          </w:p>
        </w:tc>
        <w:tc>
          <w:tcPr>
            <w:tcW w:w="81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rPr>
            </w:pPr>
            <w:r>
              <w:rPr>
                <w:rFonts w:hint="eastAsia" w:ascii="宋体" w:hAnsi="宋体" w:eastAsia="宋体" w:cs="宋体"/>
                <w:sz w:val="24"/>
                <w:szCs w:val="24"/>
                <w:lang w:val="en-US"/>
              </w:rPr>
              <w:t>8</w:t>
            </w:r>
          </w:p>
        </w:tc>
        <w:tc>
          <w:tcPr>
            <w:tcW w:w="7422" w:type="dxa"/>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具备近三年（自202</w:t>
            </w:r>
            <w:r>
              <w:rPr>
                <w:rFonts w:hint="eastAsia" w:ascii="宋体" w:hAnsi="宋体" w:eastAsia="宋体" w:cs="宋体"/>
                <w:sz w:val="24"/>
                <w:szCs w:val="24"/>
                <w:lang w:val="en-US" w:eastAsia="zh-CN"/>
              </w:rPr>
              <w:t>3</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1日</w:t>
            </w:r>
            <w:r>
              <w:rPr>
                <w:rFonts w:hint="eastAsia" w:ascii="宋体" w:hAnsi="宋体" w:eastAsia="宋体" w:cs="宋体"/>
                <w:sz w:val="24"/>
                <w:szCs w:val="24"/>
              </w:rPr>
              <w:t>至响应文件递交截止日）</w:t>
            </w:r>
            <w:r>
              <w:rPr>
                <w:rFonts w:hint="eastAsia" w:ascii="宋体" w:hAnsi="宋体" w:eastAsia="宋体" w:cs="宋体"/>
                <w:sz w:val="24"/>
                <w:szCs w:val="24"/>
                <w:lang w:val="en-US"/>
              </w:rPr>
              <w:t>类似项目</w:t>
            </w:r>
            <w:r>
              <w:rPr>
                <w:rFonts w:hint="eastAsia" w:ascii="宋体" w:hAnsi="宋体" w:eastAsia="宋体" w:cs="宋体"/>
                <w:sz w:val="24"/>
                <w:szCs w:val="24"/>
              </w:rPr>
              <w:t>业绩经验。每提供1个业绩得2分，最多</w:t>
            </w:r>
            <w:r>
              <w:rPr>
                <w:rFonts w:hint="eastAsia" w:ascii="宋体" w:hAnsi="宋体" w:eastAsia="宋体" w:cs="宋体"/>
                <w:sz w:val="24"/>
                <w:szCs w:val="24"/>
                <w:lang w:val="en-US"/>
              </w:rPr>
              <w:t>得8</w:t>
            </w:r>
            <w:r>
              <w:rPr>
                <w:rFonts w:hint="eastAsia" w:ascii="宋体" w:hAnsi="宋体" w:eastAsia="宋体" w:cs="宋体"/>
                <w:sz w:val="24"/>
                <w:szCs w:val="24"/>
              </w:rPr>
              <w:t>分。（提供项目业绩的合同关键页复印件</w:t>
            </w:r>
            <w:r>
              <w:rPr>
                <w:rFonts w:hint="eastAsia" w:ascii="宋体" w:hAnsi="宋体" w:eastAsia="宋体" w:cs="宋体"/>
                <w:sz w:val="24"/>
                <w:szCs w:val="24"/>
                <w:lang w:val="en-US"/>
              </w:rPr>
              <w:t>加盖</w:t>
            </w:r>
            <w:r>
              <w:rPr>
                <w:rFonts w:hint="eastAsia" w:ascii="宋体" w:hAnsi="宋体" w:eastAsia="宋体" w:cs="宋体"/>
                <w:sz w:val="24"/>
                <w:szCs w:val="24"/>
                <w:lang w:val="en-US" w:eastAsia="zh-CN"/>
              </w:rPr>
              <w:t>供应商</w:t>
            </w:r>
            <w:r>
              <w:rPr>
                <w:rFonts w:hint="eastAsia" w:ascii="宋体" w:hAnsi="宋体" w:eastAsia="宋体" w:cs="宋体"/>
                <w:sz w:val="24"/>
                <w:szCs w:val="24"/>
                <w:lang w:val="en-US"/>
              </w:rPr>
              <w:t>公章</w:t>
            </w:r>
            <w:r>
              <w:rPr>
                <w:rFonts w:hint="eastAsia" w:ascii="宋体" w:hAnsi="宋体" w:eastAsia="宋体" w:cs="宋体"/>
                <w:sz w:val="24"/>
                <w:szCs w:val="24"/>
                <w:lang w:val="en-US" w:eastAsia="zh-CN"/>
              </w:rPr>
              <w:t>，</w:t>
            </w:r>
            <w:r>
              <w:rPr>
                <w:rFonts w:hint="eastAsia" w:ascii="宋体" w:hAnsi="宋体" w:eastAsia="宋体" w:cs="宋体"/>
                <w:sz w:val="24"/>
                <w:szCs w:val="24"/>
              </w:rPr>
              <w:t>合同关键页</w:t>
            </w:r>
            <w:r>
              <w:rPr>
                <w:rFonts w:hint="eastAsia" w:ascii="宋体" w:hAnsi="宋体" w:eastAsia="宋体" w:cs="宋体"/>
                <w:sz w:val="24"/>
                <w:szCs w:val="24"/>
                <w:lang w:eastAsia="zh-CN"/>
              </w:rPr>
              <w:t>需包含</w:t>
            </w:r>
            <w:r>
              <w:rPr>
                <w:rFonts w:hint="eastAsia" w:ascii="宋体" w:hAnsi="宋体" w:eastAsia="宋体" w:cs="宋体"/>
                <w:sz w:val="24"/>
                <w:szCs w:val="24"/>
              </w:rPr>
              <w:t>合同的甲乙双方</w:t>
            </w:r>
            <w:r>
              <w:rPr>
                <w:rFonts w:hint="eastAsia" w:ascii="宋体" w:hAnsi="宋体" w:eastAsia="宋体" w:cs="宋体"/>
                <w:sz w:val="24"/>
                <w:szCs w:val="24"/>
                <w:lang w:eastAsia="zh-CN"/>
              </w:rPr>
              <w:t>所在页、</w:t>
            </w:r>
            <w:r>
              <w:rPr>
                <w:rFonts w:hint="eastAsia" w:ascii="宋体" w:hAnsi="宋体" w:eastAsia="宋体" w:cs="宋体"/>
                <w:sz w:val="24"/>
                <w:szCs w:val="24"/>
              </w:rPr>
              <w:t>合同详细标的</w:t>
            </w:r>
            <w:r>
              <w:rPr>
                <w:rFonts w:hint="eastAsia" w:ascii="宋体" w:hAnsi="宋体" w:eastAsia="宋体" w:cs="宋体"/>
                <w:sz w:val="24"/>
                <w:szCs w:val="24"/>
                <w:lang w:eastAsia="zh-CN"/>
              </w:rPr>
              <w:t>页、</w:t>
            </w:r>
            <w:r>
              <w:rPr>
                <w:rFonts w:hint="eastAsia" w:ascii="宋体" w:hAnsi="宋体" w:eastAsia="宋体" w:cs="宋体"/>
                <w:sz w:val="24"/>
                <w:szCs w:val="24"/>
              </w:rPr>
              <w:t>双方签章</w:t>
            </w:r>
            <w:r>
              <w:rPr>
                <w:rFonts w:hint="eastAsia" w:ascii="宋体" w:hAnsi="宋体" w:eastAsia="宋体" w:cs="宋体"/>
                <w:sz w:val="24"/>
                <w:szCs w:val="24"/>
                <w:lang w:eastAsia="zh-CN"/>
              </w:rPr>
              <w:t>页</w:t>
            </w:r>
            <w:r>
              <w:rPr>
                <w:rFonts w:hint="eastAsia" w:ascii="宋体" w:hAnsi="宋体" w:eastAsia="宋体" w:cs="宋体"/>
                <w:sz w:val="24"/>
                <w:szCs w:val="24"/>
              </w:rPr>
              <w:t>及生效时间）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59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rPr>
            </w:pPr>
            <w:r>
              <w:rPr>
                <w:rFonts w:hint="eastAsia" w:ascii="宋体" w:hAnsi="宋体" w:eastAsia="宋体" w:cs="宋体"/>
                <w:sz w:val="24"/>
                <w:szCs w:val="24"/>
                <w:lang w:val="en-US"/>
              </w:rPr>
              <w:t>2</w:t>
            </w:r>
          </w:p>
        </w:tc>
        <w:tc>
          <w:tcPr>
            <w:tcW w:w="1557" w:type="dxa"/>
            <w:vAlign w:val="center"/>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lang w:val="en-US"/>
              </w:rPr>
              <w:t>响应</w:t>
            </w:r>
            <w:r>
              <w:rPr>
                <w:rFonts w:hint="eastAsia" w:ascii="宋体" w:hAnsi="宋体" w:eastAsia="宋体" w:cs="宋体"/>
                <w:sz w:val="24"/>
                <w:szCs w:val="24"/>
              </w:rPr>
              <w:t>报价</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lang w:val="en-US"/>
              </w:rPr>
              <w:t>0分</w:t>
            </w:r>
            <w:r>
              <w:rPr>
                <w:rFonts w:hint="eastAsia" w:ascii="宋体" w:hAnsi="宋体" w:eastAsia="宋体" w:cs="宋体"/>
                <w:sz w:val="24"/>
                <w:szCs w:val="24"/>
              </w:rPr>
              <w:t>）</w:t>
            </w:r>
          </w:p>
        </w:tc>
        <w:tc>
          <w:tcPr>
            <w:tcW w:w="81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3</w:t>
            </w:r>
            <w:r>
              <w:rPr>
                <w:rFonts w:hint="eastAsia" w:ascii="宋体" w:hAnsi="宋体" w:eastAsia="宋体" w:cs="宋体"/>
                <w:sz w:val="24"/>
                <w:szCs w:val="24"/>
                <w:lang w:val="en-US"/>
              </w:rPr>
              <w:t>0</w:t>
            </w:r>
          </w:p>
        </w:tc>
        <w:tc>
          <w:tcPr>
            <w:tcW w:w="7422" w:type="dxa"/>
          </w:tcPr>
          <w:p>
            <w:pPr>
              <w:keepNext w:val="0"/>
              <w:keepLines w:val="0"/>
              <w:suppressLineNumbers w:val="0"/>
              <w:spacing w:before="0" w:beforeAutospacing="0" w:after="0" w:afterAutospacing="0"/>
              <w:ind w:left="0" w:right="0" w:firstLine="28"/>
              <w:jc w:val="left"/>
              <w:rPr>
                <w:rFonts w:hint="default" w:eastAsiaTheme="minorEastAsia"/>
                <w:sz w:val="24"/>
              </w:rPr>
            </w:pPr>
            <w:r>
              <w:rPr>
                <w:rFonts w:hint="default" w:eastAsiaTheme="minorEastAsia"/>
                <w:sz w:val="24"/>
              </w:rPr>
              <w:t>满足磋商文件要求的最后报价最低的供应商的价格为磋商基准价，其价格分为满分。其他供应商的价格分统一按照下列公式计算：</w:t>
            </w:r>
          </w:p>
          <w:p>
            <w:pPr>
              <w:keepNext w:val="0"/>
              <w:keepLines w:val="0"/>
              <w:suppressLineNumbers w:val="0"/>
              <w:bidi w:val="0"/>
              <w:spacing w:before="0" w:beforeAutospacing="0" w:after="0" w:afterAutospacing="0" w:line="240" w:lineRule="auto"/>
              <w:ind w:left="0" w:right="0"/>
              <w:rPr>
                <w:rFonts w:hint="default" w:eastAsiaTheme="minorEastAsia"/>
                <w:sz w:val="24"/>
              </w:rPr>
            </w:pPr>
            <w:r>
              <w:rPr>
                <w:rFonts w:hint="default" w:eastAsiaTheme="minorEastAsia"/>
                <w:sz w:val="24"/>
              </w:rPr>
              <w:t>磋商报价得分=（磋商基准价/最后报价）×分值</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default" w:eastAsiaTheme="minorEastAsia"/>
                <w:sz w:val="24"/>
              </w:rPr>
              <w:t>此处最后报价指经过报价修正，及因落实政府采购政策进行价格调整后的报价，详见第三章《评审方法和评审标准》</w:t>
            </w:r>
            <w:r>
              <w:rPr>
                <w:rFonts w:hint="default"/>
                <w:sz w:val="24"/>
              </w:rPr>
              <w:t>3.2</w:t>
            </w:r>
            <w:r>
              <w:rPr>
                <w:rFonts w:hint="eastAsia"/>
                <w:sz w:val="24"/>
              </w:rPr>
              <w:t>、</w:t>
            </w:r>
            <w:r>
              <w:rPr>
                <w:rFonts w:hint="default"/>
                <w:sz w:val="24"/>
              </w:rPr>
              <w:t>3.3</w:t>
            </w:r>
            <w:r>
              <w:rPr>
                <w:rFonts w:hint="eastAsia"/>
                <w:sz w:val="24"/>
              </w:rPr>
              <w:t>及</w:t>
            </w:r>
            <w:r>
              <w:rPr>
                <w:rFonts w:hint="default"/>
                <w:sz w:val="24"/>
              </w:rPr>
              <w:t>3.4</w:t>
            </w:r>
            <w:r>
              <w:rPr>
                <w:rFonts w:hint="eastAsia"/>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598" w:type="dxa"/>
            <w:tcBorders>
              <w:bottom w:val="single" w:color="auto" w:sz="4" w:space="0"/>
            </w:tcBorders>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557" w:type="dxa"/>
            <w:tcBorders>
              <w:bottom w:val="single" w:color="auto" w:sz="4" w:space="0"/>
            </w:tcBorders>
            <w:vAlign w:val="center"/>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施工方案及主要技术措施</w:t>
            </w:r>
          </w:p>
        </w:tc>
        <w:tc>
          <w:tcPr>
            <w:tcW w:w="81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rPr>
              <w:t>1</w:t>
            </w:r>
            <w:r>
              <w:rPr>
                <w:rFonts w:hint="eastAsia" w:ascii="宋体" w:hAnsi="宋体" w:eastAsia="宋体" w:cs="宋体"/>
                <w:sz w:val="24"/>
                <w:szCs w:val="24"/>
                <w:lang w:val="en-US" w:eastAsia="zh-CN"/>
              </w:rPr>
              <w:t>0</w:t>
            </w:r>
          </w:p>
        </w:tc>
        <w:tc>
          <w:tcPr>
            <w:tcW w:w="7422" w:type="dxa"/>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eastAsia="en-US"/>
              </w:rPr>
            </w:pPr>
            <w:r>
              <w:rPr>
                <w:rFonts w:hint="eastAsia" w:ascii="宋体" w:hAnsi="宋体" w:eastAsia="宋体" w:cs="宋体"/>
                <w:sz w:val="24"/>
                <w:szCs w:val="24"/>
                <w:lang w:val="en-US" w:eastAsia="zh-CN"/>
              </w:rPr>
              <w:t>1.</w:t>
            </w:r>
            <w:r>
              <w:rPr>
                <w:rFonts w:hint="eastAsia" w:ascii="宋体" w:hAnsi="宋体" w:eastAsia="宋体" w:cs="宋体"/>
                <w:sz w:val="24"/>
                <w:szCs w:val="24"/>
                <w:lang w:val="en-US" w:eastAsia="en-US"/>
              </w:rPr>
              <w:t>施工方案及主要技术措施内容全面、方案科学、有针对性，满分1</w:t>
            </w:r>
            <w:r>
              <w:rPr>
                <w:rFonts w:hint="eastAsia" w:ascii="宋体" w:hAnsi="宋体" w:eastAsia="宋体" w:cs="宋体"/>
                <w:sz w:val="24"/>
                <w:szCs w:val="24"/>
                <w:lang w:val="en-US" w:eastAsia="zh-CN"/>
              </w:rPr>
              <w:t>0</w:t>
            </w:r>
            <w:r>
              <w:rPr>
                <w:rFonts w:hint="eastAsia" w:ascii="宋体" w:hAnsi="宋体" w:eastAsia="宋体" w:cs="宋体"/>
                <w:sz w:val="24"/>
                <w:szCs w:val="24"/>
                <w:lang w:val="en-US" w:eastAsia="en-US"/>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eastAsia="en-US"/>
              </w:rPr>
            </w:pPr>
            <w:r>
              <w:rPr>
                <w:rFonts w:hint="eastAsia" w:ascii="宋体" w:hAnsi="宋体" w:eastAsia="宋体" w:cs="宋体"/>
                <w:sz w:val="24"/>
                <w:szCs w:val="24"/>
                <w:lang w:val="en-US" w:eastAsia="zh-CN"/>
              </w:rPr>
              <w:t>2.</w:t>
            </w:r>
            <w:r>
              <w:rPr>
                <w:rFonts w:hint="eastAsia" w:ascii="宋体" w:hAnsi="宋体" w:eastAsia="宋体" w:cs="宋体"/>
                <w:sz w:val="24"/>
                <w:szCs w:val="24"/>
                <w:lang w:val="en-US" w:eastAsia="en-US"/>
              </w:rPr>
              <w:t>施工方案及主要技术措施内容全面、方案科学且合理可行，有一定的针对性，得</w:t>
            </w:r>
            <w:r>
              <w:rPr>
                <w:rFonts w:hint="eastAsia" w:ascii="宋体" w:hAnsi="宋体" w:eastAsia="宋体" w:cs="宋体"/>
                <w:sz w:val="24"/>
                <w:szCs w:val="24"/>
                <w:lang w:val="en-US" w:eastAsia="zh-CN"/>
              </w:rPr>
              <w:t>7</w:t>
            </w:r>
            <w:r>
              <w:rPr>
                <w:rFonts w:hint="eastAsia" w:ascii="宋体" w:hAnsi="宋体" w:eastAsia="宋体" w:cs="宋体"/>
                <w:sz w:val="24"/>
                <w:szCs w:val="24"/>
                <w:lang w:val="en-US" w:eastAsia="en-US"/>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eastAsia="en-US"/>
              </w:rPr>
            </w:pPr>
            <w:r>
              <w:rPr>
                <w:rFonts w:hint="eastAsia" w:ascii="宋体" w:hAnsi="宋体" w:eastAsia="宋体" w:cs="宋体"/>
                <w:sz w:val="24"/>
                <w:szCs w:val="24"/>
                <w:lang w:val="en-US" w:eastAsia="zh-CN"/>
              </w:rPr>
              <w:t>3.</w:t>
            </w:r>
            <w:r>
              <w:rPr>
                <w:rFonts w:hint="eastAsia" w:ascii="宋体" w:hAnsi="宋体" w:eastAsia="宋体" w:cs="宋体"/>
                <w:sz w:val="24"/>
                <w:szCs w:val="24"/>
                <w:lang w:val="en-US" w:eastAsia="en-US"/>
              </w:rPr>
              <w:t>施工方案及主要技术措施内容较全面、方案较科学、合理可行、细节待完善，得</w:t>
            </w:r>
            <w:r>
              <w:rPr>
                <w:rFonts w:hint="eastAsia" w:ascii="宋体" w:hAnsi="宋体" w:eastAsia="宋体" w:cs="宋体"/>
                <w:sz w:val="24"/>
                <w:szCs w:val="24"/>
                <w:lang w:val="en-US" w:eastAsia="zh-CN"/>
              </w:rPr>
              <w:t>4</w:t>
            </w:r>
            <w:r>
              <w:rPr>
                <w:rFonts w:hint="eastAsia" w:ascii="宋体" w:hAnsi="宋体" w:eastAsia="宋体" w:cs="宋体"/>
                <w:sz w:val="24"/>
                <w:szCs w:val="24"/>
                <w:lang w:val="en-US" w:eastAsia="en-US"/>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eastAsia="en-US"/>
              </w:rPr>
            </w:pPr>
            <w:r>
              <w:rPr>
                <w:rFonts w:hint="eastAsia" w:ascii="宋体" w:hAnsi="宋体" w:eastAsia="宋体" w:cs="宋体"/>
                <w:sz w:val="24"/>
                <w:szCs w:val="24"/>
                <w:lang w:val="en-US" w:eastAsia="zh-CN"/>
              </w:rPr>
              <w:t>4.</w:t>
            </w:r>
            <w:r>
              <w:rPr>
                <w:rFonts w:hint="eastAsia" w:ascii="宋体" w:hAnsi="宋体" w:eastAsia="宋体" w:cs="宋体"/>
                <w:sz w:val="24"/>
                <w:szCs w:val="24"/>
                <w:lang w:val="en-US" w:eastAsia="en-US"/>
              </w:rPr>
              <w:t>施工方案及主要技术措施内容不全、方案欠合理，基本满足工程需要，得</w:t>
            </w:r>
            <w:r>
              <w:rPr>
                <w:rFonts w:hint="eastAsia" w:ascii="宋体" w:hAnsi="宋体" w:eastAsia="宋体" w:cs="宋体"/>
                <w:sz w:val="24"/>
                <w:szCs w:val="24"/>
                <w:lang w:val="en-US" w:eastAsia="zh-CN"/>
              </w:rPr>
              <w:t>1</w:t>
            </w:r>
            <w:r>
              <w:rPr>
                <w:rFonts w:hint="eastAsia" w:ascii="宋体" w:hAnsi="宋体" w:eastAsia="宋体" w:cs="宋体"/>
                <w:sz w:val="24"/>
                <w:szCs w:val="24"/>
                <w:lang w:val="en-US" w:eastAsia="en-US"/>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lang w:val="en-US" w:eastAsia="en-US"/>
              </w:rPr>
              <w:t>施工方案及主要技术措施内容不全、方案不可行，不能满足工程需要，得0分。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598" w:type="dxa"/>
            <w:tcBorders>
              <w:top w:val="single" w:color="auto" w:sz="4" w:space="0"/>
            </w:tcBorders>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1557" w:type="dxa"/>
            <w:tcBorders>
              <w:top w:val="single" w:color="auto" w:sz="4" w:space="0"/>
              <w:bottom w:val="single" w:color="auto" w:sz="4" w:space="0"/>
            </w:tcBorders>
            <w:vAlign w:val="center"/>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eastAsia="en-US"/>
              </w:rPr>
            </w:pPr>
            <w:r>
              <w:rPr>
                <w:rFonts w:hint="eastAsia" w:ascii="宋体" w:hAnsi="宋体" w:eastAsia="宋体" w:cs="宋体"/>
                <w:sz w:val="24"/>
                <w:szCs w:val="24"/>
                <w:lang w:val="en-US" w:eastAsia="en-US"/>
              </w:rPr>
              <w:t>与</w:t>
            </w:r>
            <w:r>
              <w:rPr>
                <w:rFonts w:hint="eastAsia" w:ascii="宋体" w:hAnsi="宋体" w:eastAsia="宋体" w:cs="宋体"/>
                <w:sz w:val="24"/>
                <w:szCs w:val="24"/>
                <w:lang w:val="en-US" w:eastAsia="zh-CN"/>
              </w:rPr>
              <w:t>采购人</w:t>
            </w:r>
            <w:r>
              <w:rPr>
                <w:rFonts w:hint="eastAsia" w:ascii="宋体" w:hAnsi="宋体" w:eastAsia="宋体" w:cs="宋体"/>
                <w:sz w:val="24"/>
                <w:szCs w:val="24"/>
                <w:lang w:val="en-US" w:eastAsia="en-US"/>
              </w:rPr>
              <w:t>的配合、协调；紧急情况的处理措施和预案，抵抗风险的措施</w:t>
            </w:r>
          </w:p>
        </w:tc>
        <w:tc>
          <w:tcPr>
            <w:tcW w:w="81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7422" w:type="dxa"/>
            <w:vAlign w:val="center"/>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eastAsia="en-US"/>
              </w:rPr>
            </w:pPr>
            <w:r>
              <w:rPr>
                <w:rFonts w:hint="eastAsia" w:ascii="宋体" w:hAnsi="宋体" w:eastAsia="宋体" w:cs="宋体"/>
                <w:sz w:val="24"/>
                <w:szCs w:val="24"/>
                <w:lang w:val="en-US" w:eastAsia="en-US"/>
              </w:rPr>
              <w:t>1</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配合、协调、服务方案考虑全面</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措施完善、科学、合理，针对性全面</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得</w:t>
            </w:r>
            <w:r>
              <w:rPr>
                <w:rFonts w:hint="eastAsia" w:ascii="宋体" w:hAnsi="宋体" w:eastAsia="宋体" w:cs="宋体"/>
                <w:sz w:val="24"/>
                <w:szCs w:val="24"/>
                <w:lang w:val="en-US" w:eastAsia="zh-CN"/>
              </w:rPr>
              <w:t>7</w:t>
            </w:r>
            <w:r>
              <w:rPr>
                <w:rFonts w:hint="eastAsia" w:ascii="宋体" w:hAnsi="宋体" w:eastAsia="宋体" w:cs="宋体"/>
                <w:sz w:val="24"/>
                <w:szCs w:val="24"/>
                <w:lang w:val="en-US" w:eastAsia="en-US"/>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en-US"/>
              </w:rPr>
              <w:t>2</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配合、协调、服务方案</w:t>
            </w:r>
            <w:r>
              <w:rPr>
                <w:rFonts w:hint="eastAsia" w:ascii="宋体" w:hAnsi="宋体" w:eastAsia="宋体" w:cs="宋体"/>
                <w:sz w:val="24"/>
                <w:szCs w:val="24"/>
                <w:lang w:val="en-US" w:eastAsia="zh-CN"/>
              </w:rPr>
              <w:t>基本</w:t>
            </w:r>
            <w:r>
              <w:rPr>
                <w:rFonts w:hint="eastAsia" w:ascii="宋体" w:hAnsi="宋体" w:eastAsia="宋体" w:cs="宋体"/>
                <w:sz w:val="24"/>
                <w:szCs w:val="24"/>
                <w:lang w:val="en-US" w:eastAsia="en-US"/>
              </w:rPr>
              <w:t>全面</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措施与实际有偏差大</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得</w:t>
            </w:r>
            <w:r>
              <w:rPr>
                <w:rFonts w:hint="eastAsia" w:ascii="宋体" w:hAnsi="宋体" w:eastAsia="宋体" w:cs="宋体"/>
                <w:sz w:val="24"/>
                <w:szCs w:val="24"/>
                <w:lang w:val="en-US" w:eastAsia="zh-CN"/>
              </w:rPr>
              <w:t>4</w:t>
            </w:r>
            <w:r>
              <w:rPr>
                <w:rFonts w:hint="eastAsia" w:ascii="宋体" w:hAnsi="宋体" w:eastAsia="宋体" w:cs="宋体"/>
                <w:sz w:val="24"/>
                <w:szCs w:val="24"/>
                <w:lang w:val="en-US" w:eastAsia="en-US"/>
              </w:rPr>
              <w:t>分</w:t>
            </w:r>
            <w:r>
              <w:rPr>
                <w:rFonts w:hint="eastAsia" w:ascii="宋体" w:hAnsi="宋体" w:eastAsia="宋体" w:cs="宋体"/>
                <w:sz w:val="24"/>
                <w:szCs w:val="24"/>
                <w:lang w:val="en-US" w:eastAsia="zh-CN"/>
              </w:rPr>
              <w:t>；</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eastAsia="en-US"/>
              </w:rPr>
            </w:pPr>
            <w:r>
              <w:rPr>
                <w:rFonts w:hint="eastAsia" w:ascii="宋体" w:hAnsi="宋体" w:eastAsia="宋体" w:cs="宋体"/>
                <w:sz w:val="24"/>
                <w:szCs w:val="24"/>
                <w:lang w:val="en-US" w:eastAsia="zh-CN"/>
              </w:rPr>
              <w:t>3.</w:t>
            </w:r>
            <w:r>
              <w:rPr>
                <w:rFonts w:hint="eastAsia" w:ascii="宋体" w:hAnsi="宋体" w:eastAsia="宋体" w:cs="宋体"/>
                <w:sz w:val="24"/>
                <w:szCs w:val="24"/>
                <w:lang w:val="en-US" w:eastAsia="en-US"/>
              </w:rPr>
              <w:t>配合、协调、服务方案</w:t>
            </w:r>
            <w:r>
              <w:rPr>
                <w:rFonts w:hint="eastAsia" w:ascii="宋体" w:hAnsi="宋体" w:eastAsia="宋体" w:cs="宋体"/>
                <w:sz w:val="24"/>
                <w:szCs w:val="24"/>
                <w:lang w:val="en-US" w:eastAsia="zh-CN"/>
              </w:rPr>
              <w:t>请欠缺，</w:t>
            </w:r>
            <w:r>
              <w:rPr>
                <w:rFonts w:hint="eastAsia" w:ascii="宋体" w:hAnsi="宋体" w:eastAsia="宋体" w:cs="宋体"/>
                <w:sz w:val="24"/>
                <w:szCs w:val="24"/>
                <w:lang w:val="en-US" w:eastAsia="en-US"/>
              </w:rPr>
              <w:t>措施与实际有偏差大</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得</w:t>
            </w:r>
            <w:r>
              <w:rPr>
                <w:rFonts w:hint="eastAsia" w:ascii="宋体" w:hAnsi="宋体" w:eastAsia="宋体" w:cs="宋体"/>
                <w:sz w:val="24"/>
                <w:szCs w:val="24"/>
                <w:lang w:val="en-US" w:eastAsia="zh-CN"/>
              </w:rPr>
              <w:t>1</w:t>
            </w:r>
            <w:r>
              <w:rPr>
                <w:rFonts w:hint="eastAsia" w:ascii="宋体" w:hAnsi="宋体" w:eastAsia="宋体" w:cs="宋体"/>
                <w:sz w:val="24"/>
                <w:szCs w:val="24"/>
                <w:lang w:val="en-US" w:eastAsia="en-US"/>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eastAsia="en-US"/>
              </w:rPr>
            </w:pPr>
            <w:r>
              <w:rPr>
                <w:rFonts w:hint="eastAsia" w:ascii="宋体" w:hAnsi="宋体" w:eastAsia="宋体" w:cs="宋体"/>
                <w:sz w:val="24"/>
                <w:szCs w:val="24"/>
                <w:lang w:val="en-US" w:eastAsia="zh-CN"/>
              </w:rPr>
              <w:t>4.</w:t>
            </w:r>
            <w:r>
              <w:rPr>
                <w:rFonts w:hint="eastAsia" w:ascii="宋体" w:hAnsi="宋体" w:eastAsia="宋体" w:cs="宋体"/>
                <w:sz w:val="24"/>
                <w:szCs w:val="24"/>
                <w:lang w:val="en-US" w:eastAsia="en-US"/>
              </w:rPr>
              <w:t>未提供方案，得0分。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598" w:type="dxa"/>
            <w:tcBorders>
              <w:top w:val="single" w:color="auto" w:sz="4" w:space="0"/>
              <w:bottom w:val="single" w:color="auto" w:sz="4" w:space="0"/>
            </w:tcBorders>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557" w:type="dxa"/>
            <w:tcBorders>
              <w:top w:val="single" w:color="auto" w:sz="4" w:space="0"/>
              <w:bottom w:val="single" w:color="auto" w:sz="4" w:space="0"/>
            </w:tcBorders>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rPr>
            </w:pP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rPr>
            </w:pP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rPr>
            </w:pP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施工工期、施工进度计划及工期保证措施</w:t>
            </w:r>
          </w:p>
        </w:tc>
        <w:tc>
          <w:tcPr>
            <w:tcW w:w="818" w:type="dxa"/>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p>
        </w:tc>
        <w:tc>
          <w:tcPr>
            <w:tcW w:w="7422" w:type="dxa"/>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施工计划合理，进度</w:t>
            </w:r>
            <w:r>
              <w:rPr>
                <w:rFonts w:hint="eastAsia" w:ascii="宋体" w:hAnsi="宋体" w:eastAsia="宋体" w:cs="宋体"/>
                <w:sz w:val="24"/>
                <w:szCs w:val="24"/>
                <w:lang w:val="en-US"/>
              </w:rPr>
              <w:t>完全满足</w:t>
            </w:r>
            <w:r>
              <w:rPr>
                <w:rFonts w:hint="eastAsia" w:ascii="宋体" w:hAnsi="宋体" w:eastAsia="宋体" w:cs="宋体"/>
                <w:sz w:val="24"/>
                <w:szCs w:val="24"/>
              </w:rPr>
              <w:t>采购人的需求，保障措施得当，</w:t>
            </w:r>
            <w:r>
              <w:rPr>
                <w:rFonts w:hint="eastAsia" w:ascii="宋体" w:hAnsi="宋体" w:eastAsia="宋体" w:cs="宋体"/>
                <w:sz w:val="24"/>
                <w:szCs w:val="24"/>
                <w:lang w:val="en-US"/>
              </w:rPr>
              <w:t>具有可实施性</w:t>
            </w:r>
            <w:r>
              <w:rPr>
                <w:rFonts w:hint="eastAsia" w:ascii="宋体" w:hAnsi="宋体" w:eastAsia="宋体" w:cs="宋体"/>
                <w:sz w:val="24"/>
                <w:szCs w:val="24"/>
              </w:rPr>
              <w:t>，得满分 1</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施工计划较合理，进度</w:t>
            </w:r>
            <w:r>
              <w:rPr>
                <w:rFonts w:hint="eastAsia" w:ascii="宋体" w:hAnsi="宋体" w:eastAsia="宋体" w:cs="宋体"/>
                <w:sz w:val="24"/>
                <w:szCs w:val="24"/>
                <w:lang w:val="en-US"/>
              </w:rPr>
              <w:t>可以</w:t>
            </w:r>
            <w:r>
              <w:rPr>
                <w:rFonts w:hint="eastAsia" w:ascii="宋体" w:hAnsi="宋体" w:eastAsia="宋体" w:cs="宋体"/>
                <w:sz w:val="24"/>
                <w:szCs w:val="24"/>
              </w:rPr>
              <w:t>满足采购人的需求， 保障措施得当，</w:t>
            </w:r>
            <w:r>
              <w:rPr>
                <w:rFonts w:hint="eastAsia" w:ascii="宋体" w:hAnsi="宋体" w:eastAsia="宋体" w:cs="宋体"/>
                <w:sz w:val="24"/>
                <w:szCs w:val="24"/>
                <w:lang w:val="en-US"/>
              </w:rPr>
              <w:t>具有一定的实施性，</w:t>
            </w:r>
            <w:r>
              <w:rPr>
                <w:rFonts w:hint="eastAsia" w:ascii="宋体" w:hAnsi="宋体" w:eastAsia="宋体" w:cs="宋体"/>
                <w:sz w:val="24"/>
                <w:szCs w:val="24"/>
              </w:rPr>
              <w:t xml:space="preserve">得 </w:t>
            </w: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 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施工计划基本合理，进度</w:t>
            </w:r>
            <w:r>
              <w:rPr>
                <w:rFonts w:hint="eastAsia" w:ascii="宋体" w:hAnsi="宋体" w:eastAsia="宋体" w:cs="宋体"/>
                <w:sz w:val="24"/>
                <w:szCs w:val="24"/>
                <w:lang w:val="en-US"/>
              </w:rPr>
              <w:t>基本</w:t>
            </w:r>
            <w:r>
              <w:rPr>
                <w:rFonts w:hint="eastAsia" w:ascii="宋体" w:hAnsi="宋体" w:eastAsia="宋体" w:cs="宋体"/>
                <w:sz w:val="24"/>
                <w:szCs w:val="24"/>
              </w:rPr>
              <w:t>满足采购人需求，保障措施细节待完善，</w:t>
            </w:r>
            <w:r>
              <w:rPr>
                <w:rFonts w:hint="eastAsia" w:ascii="宋体" w:hAnsi="宋体" w:eastAsia="宋体" w:cs="宋体"/>
                <w:sz w:val="24"/>
                <w:szCs w:val="24"/>
                <w:lang w:val="en-US"/>
              </w:rPr>
              <w:t>可行性片面</w:t>
            </w:r>
            <w:r>
              <w:rPr>
                <w:rFonts w:hint="eastAsia" w:ascii="宋体" w:hAnsi="宋体" w:eastAsia="宋体" w:cs="宋体"/>
                <w:sz w:val="24"/>
                <w:szCs w:val="24"/>
              </w:rPr>
              <w:t xml:space="preserve">得 </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施工计划欠完善，进度满足采购人需求，保障措施可行性</w:t>
            </w:r>
            <w:r>
              <w:rPr>
                <w:rFonts w:hint="eastAsia" w:ascii="宋体" w:hAnsi="宋体" w:eastAsia="宋体" w:cs="宋体"/>
                <w:sz w:val="24"/>
                <w:szCs w:val="24"/>
                <w:lang w:val="en-US"/>
              </w:rPr>
              <w:t>偏差大</w:t>
            </w:r>
            <w:r>
              <w:rPr>
                <w:rFonts w:hint="eastAsia" w:ascii="宋体" w:hAnsi="宋体" w:eastAsia="宋体" w:cs="宋体"/>
                <w:sz w:val="24"/>
                <w:szCs w:val="24"/>
              </w:rPr>
              <w:t>，满足工程需要</w:t>
            </w:r>
            <w:r>
              <w:rPr>
                <w:rFonts w:hint="eastAsia" w:ascii="宋体" w:hAnsi="宋体" w:eastAsia="宋体" w:cs="宋体"/>
                <w:sz w:val="24"/>
                <w:szCs w:val="24"/>
                <w:lang w:val="en-US"/>
              </w:rPr>
              <w:t>有难度</w:t>
            </w:r>
            <w:r>
              <w:rPr>
                <w:rFonts w:hint="eastAsia" w:ascii="宋体" w:hAnsi="宋体" w:eastAsia="宋体" w:cs="宋体"/>
                <w:sz w:val="24"/>
                <w:szCs w:val="24"/>
              </w:rPr>
              <w:t xml:space="preserve">，得 </w:t>
            </w:r>
            <w:r>
              <w:rPr>
                <w:rFonts w:hint="eastAsia" w:ascii="宋体" w:hAnsi="宋体" w:eastAsia="宋体" w:cs="宋体"/>
                <w:sz w:val="24"/>
                <w:szCs w:val="24"/>
                <w:lang w:val="en-US" w:eastAsia="zh-CN"/>
              </w:rPr>
              <w:t>1</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施工计划不完善，进度无法满足采购人需求，不能满足工程需要，</w:t>
            </w:r>
            <w:r>
              <w:rPr>
                <w:rFonts w:hint="eastAsia" w:ascii="宋体" w:hAnsi="宋体" w:eastAsia="宋体" w:cs="宋体"/>
                <w:sz w:val="24"/>
                <w:szCs w:val="24"/>
                <w:lang w:val="en-US"/>
              </w:rPr>
              <w:t>或者未提供</w:t>
            </w:r>
            <w:r>
              <w:rPr>
                <w:rFonts w:hint="eastAsia" w:ascii="宋体" w:hAnsi="宋体" w:eastAsia="宋体" w:cs="宋体"/>
                <w:sz w:val="24"/>
                <w:szCs w:val="24"/>
              </w:rPr>
              <w:t>得 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598" w:type="dxa"/>
            <w:tcBorders>
              <w:top w:val="single" w:color="auto" w:sz="4" w:space="0"/>
              <w:bottom w:val="single" w:color="auto" w:sz="4" w:space="0"/>
            </w:tcBorders>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557" w:type="dxa"/>
            <w:tcBorders>
              <w:top w:val="single" w:color="auto" w:sz="4" w:space="0"/>
              <w:bottom w:val="single" w:color="auto" w:sz="4" w:space="0"/>
            </w:tcBorders>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质量目标及保证措施</w:t>
            </w:r>
          </w:p>
        </w:tc>
        <w:tc>
          <w:tcPr>
            <w:tcW w:w="818" w:type="dxa"/>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rPr>
              <w:t>1</w:t>
            </w:r>
            <w:r>
              <w:rPr>
                <w:rFonts w:hint="eastAsia" w:ascii="宋体" w:hAnsi="宋体" w:eastAsia="宋体" w:cs="宋体"/>
                <w:sz w:val="24"/>
                <w:szCs w:val="24"/>
                <w:lang w:val="en-US" w:eastAsia="zh-CN"/>
              </w:rPr>
              <w:t>5</w:t>
            </w:r>
          </w:p>
        </w:tc>
        <w:tc>
          <w:tcPr>
            <w:tcW w:w="7422" w:type="dxa"/>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拟投入材料及产品</w:t>
            </w:r>
            <w:r>
              <w:rPr>
                <w:rFonts w:hint="eastAsia" w:ascii="宋体" w:hAnsi="宋体" w:eastAsia="宋体" w:cs="宋体"/>
                <w:sz w:val="24"/>
                <w:szCs w:val="24"/>
                <w:lang w:val="en-US"/>
              </w:rPr>
              <w:t>符合项目要求</w:t>
            </w:r>
            <w:r>
              <w:rPr>
                <w:rFonts w:hint="eastAsia" w:ascii="宋体" w:hAnsi="宋体" w:eastAsia="宋体" w:cs="宋体"/>
                <w:sz w:val="24"/>
                <w:szCs w:val="24"/>
              </w:rPr>
              <w:t>，针对性</w:t>
            </w:r>
            <w:r>
              <w:rPr>
                <w:rFonts w:hint="eastAsia" w:ascii="宋体" w:hAnsi="宋体" w:eastAsia="宋体" w:cs="宋体"/>
                <w:sz w:val="24"/>
                <w:szCs w:val="24"/>
                <w:lang w:val="en-US"/>
              </w:rPr>
              <w:t>全面</w:t>
            </w:r>
            <w:r>
              <w:rPr>
                <w:rFonts w:hint="eastAsia" w:ascii="宋体" w:hAnsi="宋体" w:eastAsia="宋体" w:cs="宋体"/>
                <w:sz w:val="24"/>
                <w:szCs w:val="24"/>
              </w:rPr>
              <w:t>，质量保证体系、措施完善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质量保证多于6年</w:t>
            </w:r>
            <w:r>
              <w:rPr>
                <w:rFonts w:hint="eastAsia" w:ascii="宋体" w:hAnsi="宋体" w:eastAsia="宋体" w:cs="宋体"/>
                <w:sz w:val="24"/>
                <w:szCs w:val="24"/>
              </w:rPr>
              <w:t xml:space="preserve">，得满分 </w:t>
            </w:r>
            <w:r>
              <w:rPr>
                <w:rFonts w:hint="eastAsia" w:ascii="宋体" w:hAnsi="宋体" w:eastAsia="宋体" w:cs="宋体"/>
                <w:sz w:val="24"/>
                <w:szCs w:val="24"/>
                <w:lang w:val="en-US"/>
              </w:rPr>
              <w:t>1</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拟投入材料及产品</w:t>
            </w:r>
            <w:r>
              <w:rPr>
                <w:rFonts w:hint="eastAsia" w:ascii="宋体" w:hAnsi="宋体" w:eastAsia="宋体" w:cs="宋体"/>
                <w:sz w:val="24"/>
                <w:szCs w:val="24"/>
                <w:lang w:val="en-US"/>
              </w:rPr>
              <w:t>较能符合项目要求</w:t>
            </w:r>
            <w:r>
              <w:rPr>
                <w:rFonts w:hint="eastAsia" w:ascii="宋体" w:hAnsi="宋体" w:eastAsia="宋体" w:cs="宋体"/>
                <w:sz w:val="24"/>
                <w:szCs w:val="24"/>
              </w:rPr>
              <w:t>，针对性</w:t>
            </w:r>
            <w:r>
              <w:rPr>
                <w:rFonts w:hint="eastAsia" w:ascii="宋体" w:hAnsi="宋体" w:eastAsia="宋体" w:cs="宋体"/>
                <w:sz w:val="24"/>
                <w:szCs w:val="24"/>
                <w:lang w:val="en-US"/>
              </w:rPr>
              <w:t>基本全面</w:t>
            </w:r>
            <w:r>
              <w:rPr>
                <w:rFonts w:hint="eastAsia" w:ascii="宋体" w:hAnsi="宋体" w:eastAsia="宋体" w:cs="宋体"/>
                <w:sz w:val="24"/>
                <w:szCs w:val="24"/>
              </w:rPr>
              <w:t>，质量保证体系、措施较完善，</w:t>
            </w:r>
            <w:r>
              <w:rPr>
                <w:rFonts w:hint="eastAsia" w:ascii="宋体" w:hAnsi="宋体" w:eastAsia="宋体" w:cs="宋体"/>
                <w:sz w:val="24"/>
                <w:szCs w:val="24"/>
                <w:lang w:val="en-US" w:eastAsia="zh-CN"/>
              </w:rPr>
              <w:t>质量保证多于4年但少于6年，</w:t>
            </w:r>
            <w:r>
              <w:rPr>
                <w:rFonts w:hint="eastAsia" w:ascii="宋体" w:hAnsi="宋体" w:eastAsia="宋体" w:cs="宋体"/>
                <w:sz w:val="24"/>
                <w:szCs w:val="24"/>
              </w:rPr>
              <w:t>得</w:t>
            </w:r>
            <w:r>
              <w:rPr>
                <w:rFonts w:hint="eastAsia" w:ascii="宋体" w:hAnsi="宋体" w:eastAsia="宋体" w:cs="宋体"/>
                <w:sz w:val="24"/>
                <w:szCs w:val="24"/>
                <w:lang w:val="en-US" w:eastAsia="zh-CN"/>
              </w:rPr>
              <w:t>12</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拟投入材料及产品</w:t>
            </w:r>
            <w:r>
              <w:rPr>
                <w:rFonts w:hint="eastAsia" w:ascii="宋体" w:hAnsi="宋体" w:eastAsia="宋体" w:cs="宋体"/>
                <w:sz w:val="24"/>
                <w:szCs w:val="24"/>
                <w:lang w:val="en-US"/>
              </w:rPr>
              <w:t>实施项目有难度</w:t>
            </w:r>
            <w:r>
              <w:rPr>
                <w:rFonts w:hint="eastAsia" w:ascii="宋体" w:hAnsi="宋体" w:eastAsia="宋体" w:cs="宋体"/>
                <w:sz w:val="24"/>
                <w:szCs w:val="24"/>
              </w:rPr>
              <w:t>，针对性</w:t>
            </w:r>
            <w:r>
              <w:rPr>
                <w:rFonts w:hint="eastAsia" w:ascii="宋体" w:hAnsi="宋体" w:eastAsia="宋体" w:cs="宋体"/>
                <w:sz w:val="24"/>
                <w:szCs w:val="24"/>
                <w:lang w:val="en-US"/>
              </w:rPr>
              <w:t>不够全面</w:t>
            </w:r>
            <w:r>
              <w:rPr>
                <w:rFonts w:hint="eastAsia" w:ascii="宋体" w:hAnsi="宋体" w:eastAsia="宋体" w:cs="宋体"/>
                <w:sz w:val="24"/>
                <w:szCs w:val="24"/>
              </w:rPr>
              <w:t>，质量保证体系、措施一般，</w:t>
            </w:r>
            <w:r>
              <w:rPr>
                <w:rFonts w:hint="eastAsia" w:ascii="宋体" w:hAnsi="宋体" w:eastAsia="宋体" w:cs="宋体"/>
                <w:sz w:val="24"/>
                <w:szCs w:val="24"/>
                <w:lang w:val="en-US" w:eastAsia="zh-CN"/>
              </w:rPr>
              <w:t>质量保证多于2年但少于4年，</w:t>
            </w:r>
            <w:r>
              <w:rPr>
                <w:rFonts w:hint="eastAsia" w:ascii="宋体" w:hAnsi="宋体" w:eastAsia="宋体" w:cs="宋体"/>
                <w:sz w:val="24"/>
                <w:szCs w:val="24"/>
              </w:rPr>
              <w:t>得</w:t>
            </w:r>
            <w:r>
              <w:rPr>
                <w:rFonts w:hint="eastAsia" w:ascii="宋体" w:hAnsi="宋体" w:eastAsia="宋体" w:cs="宋体"/>
                <w:sz w:val="24"/>
                <w:szCs w:val="24"/>
                <w:lang w:val="en-US" w:eastAsia="zh-CN"/>
              </w:rPr>
              <w:t>9</w:t>
            </w:r>
            <w:r>
              <w:rPr>
                <w:rFonts w:hint="eastAsia" w:ascii="宋体" w:hAnsi="宋体" w:eastAsia="宋体" w:cs="宋体"/>
                <w:sz w:val="24"/>
                <w:szCs w:val="24"/>
              </w:rPr>
              <w:t xml:space="preserve"> 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拟投入材料及产品</w:t>
            </w:r>
            <w:r>
              <w:rPr>
                <w:rFonts w:hint="eastAsia" w:ascii="宋体" w:hAnsi="宋体" w:eastAsia="宋体" w:cs="宋体"/>
                <w:sz w:val="24"/>
                <w:szCs w:val="24"/>
                <w:lang w:val="en-US"/>
              </w:rPr>
              <w:t>实施项目难度大</w:t>
            </w:r>
            <w:r>
              <w:rPr>
                <w:rFonts w:hint="eastAsia" w:ascii="宋体" w:hAnsi="宋体" w:eastAsia="宋体" w:cs="宋体"/>
                <w:sz w:val="24"/>
                <w:szCs w:val="24"/>
              </w:rPr>
              <w:t>，针对性</w:t>
            </w:r>
            <w:r>
              <w:rPr>
                <w:rFonts w:hint="eastAsia" w:ascii="宋体" w:hAnsi="宋体" w:eastAsia="宋体" w:cs="宋体"/>
                <w:sz w:val="24"/>
                <w:szCs w:val="24"/>
                <w:lang w:val="en-US"/>
              </w:rPr>
              <w:t>片面</w:t>
            </w:r>
            <w:r>
              <w:rPr>
                <w:rFonts w:hint="eastAsia" w:ascii="宋体" w:hAnsi="宋体" w:eastAsia="宋体" w:cs="宋体"/>
                <w:sz w:val="24"/>
                <w:szCs w:val="24"/>
              </w:rPr>
              <w:t>，质量保证体系、措施</w:t>
            </w:r>
            <w:r>
              <w:rPr>
                <w:rFonts w:hint="eastAsia" w:ascii="宋体" w:hAnsi="宋体" w:eastAsia="宋体" w:cs="宋体"/>
                <w:sz w:val="24"/>
                <w:szCs w:val="24"/>
                <w:lang w:val="en-US"/>
              </w:rPr>
              <w:t>不全面</w:t>
            </w:r>
            <w:r>
              <w:rPr>
                <w:rFonts w:hint="eastAsia" w:ascii="宋体" w:hAnsi="宋体" w:eastAsia="宋体" w:cs="宋体"/>
                <w:sz w:val="24"/>
                <w:szCs w:val="24"/>
              </w:rPr>
              <w:t>，</w:t>
            </w:r>
            <w:r>
              <w:rPr>
                <w:rFonts w:hint="eastAsia" w:ascii="宋体" w:hAnsi="宋体" w:eastAsia="宋体" w:cs="宋体"/>
                <w:sz w:val="24"/>
                <w:szCs w:val="24"/>
                <w:lang w:val="en-US" w:eastAsia="zh-CN"/>
              </w:rPr>
              <w:t>质量保证多于1年，</w:t>
            </w:r>
            <w:r>
              <w:rPr>
                <w:rFonts w:hint="eastAsia" w:ascii="宋体" w:hAnsi="宋体" w:eastAsia="宋体" w:cs="宋体"/>
                <w:sz w:val="24"/>
                <w:szCs w:val="24"/>
              </w:rPr>
              <w:t>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拟投入材料及产品</w:t>
            </w:r>
            <w:r>
              <w:rPr>
                <w:rFonts w:hint="eastAsia" w:ascii="宋体" w:hAnsi="宋体" w:eastAsia="宋体" w:cs="宋体"/>
                <w:sz w:val="24"/>
                <w:szCs w:val="24"/>
                <w:lang w:val="en-US"/>
              </w:rPr>
              <w:t>实施项目难度大</w:t>
            </w:r>
            <w:r>
              <w:rPr>
                <w:rFonts w:hint="eastAsia" w:ascii="宋体" w:hAnsi="宋体" w:eastAsia="宋体" w:cs="宋体"/>
                <w:sz w:val="24"/>
                <w:szCs w:val="24"/>
              </w:rPr>
              <w:t>，针对性</w:t>
            </w:r>
            <w:r>
              <w:rPr>
                <w:rFonts w:hint="eastAsia" w:ascii="宋体" w:hAnsi="宋体" w:eastAsia="宋体" w:cs="宋体"/>
                <w:sz w:val="24"/>
                <w:szCs w:val="24"/>
                <w:lang w:val="en-US"/>
              </w:rPr>
              <w:t>片面</w:t>
            </w:r>
            <w:r>
              <w:rPr>
                <w:rFonts w:hint="eastAsia" w:ascii="宋体" w:hAnsi="宋体" w:eastAsia="宋体" w:cs="宋体"/>
                <w:sz w:val="24"/>
                <w:szCs w:val="24"/>
              </w:rPr>
              <w:t>，质量保证体系、措施</w:t>
            </w:r>
            <w:r>
              <w:rPr>
                <w:rFonts w:hint="eastAsia" w:ascii="宋体" w:hAnsi="宋体" w:eastAsia="宋体" w:cs="宋体"/>
                <w:sz w:val="24"/>
                <w:szCs w:val="24"/>
                <w:lang w:val="en-US"/>
              </w:rPr>
              <w:t>不全面</w:t>
            </w:r>
            <w:r>
              <w:rPr>
                <w:rFonts w:hint="eastAsia" w:ascii="宋体" w:hAnsi="宋体" w:eastAsia="宋体" w:cs="宋体"/>
                <w:sz w:val="24"/>
                <w:szCs w:val="24"/>
              </w:rPr>
              <w:t>，</w:t>
            </w:r>
            <w:r>
              <w:rPr>
                <w:rFonts w:hint="eastAsia" w:ascii="宋体" w:hAnsi="宋体" w:eastAsia="宋体" w:cs="宋体"/>
                <w:sz w:val="24"/>
                <w:szCs w:val="24"/>
                <w:lang w:eastAsia="zh-CN"/>
              </w:rPr>
              <w:t>质量保证期少于</w:t>
            </w:r>
            <w:r>
              <w:rPr>
                <w:rFonts w:hint="eastAsia" w:ascii="宋体" w:hAnsi="宋体" w:eastAsia="宋体" w:cs="宋体"/>
                <w:sz w:val="24"/>
                <w:szCs w:val="24"/>
                <w:lang w:val="en-US" w:eastAsia="zh-CN"/>
              </w:rPr>
              <w:t>1年，</w:t>
            </w:r>
            <w:r>
              <w:rPr>
                <w:rFonts w:hint="eastAsia" w:ascii="宋体" w:hAnsi="宋体" w:cs="宋体"/>
                <w:sz w:val="24"/>
                <w:szCs w:val="24"/>
                <w:lang w:val="en-US" w:eastAsia="zh-CN"/>
              </w:rPr>
              <w:t>或不提供措施</w:t>
            </w:r>
            <w:bookmarkStart w:id="1737" w:name="_GoBack"/>
            <w:bookmarkEnd w:id="1737"/>
            <w:r>
              <w:rPr>
                <w:rFonts w:hint="eastAsia" w:ascii="宋体" w:hAnsi="宋体" w:eastAsia="宋体" w:cs="宋体"/>
                <w:sz w:val="24"/>
                <w:szCs w:val="24"/>
                <w:lang w:val="en-US" w:eastAsia="zh-CN"/>
              </w:rPr>
              <w:t>得</w:t>
            </w:r>
            <w:r>
              <w:rPr>
                <w:rFonts w:hint="eastAsia" w:ascii="宋体" w:hAnsi="宋体" w:cs="宋体"/>
                <w:sz w:val="24"/>
                <w:szCs w:val="24"/>
                <w:lang w:val="en-US" w:eastAsia="zh-CN"/>
              </w:rPr>
              <w:t>0</w:t>
            </w:r>
            <w:r>
              <w:rPr>
                <w:rFonts w:hint="eastAsia" w:ascii="宋体" w:hAnsi="宋体" w:eastAsia="宋体" w:cs="宋体"/>
                <w:sz w:val="24"/>
                <w:szCs w:val="24"/>
                <w:lang w:val="en-US" w:eastAsia="zh-CN"/>
              </w:rPr>
              <w:t>分</w:t>
            </w:r>
            <w:r>
              <w:rPr>
                <w:rFonts w:hint="eastAsia" w:ascii="宋体" w:hAnsi="宋体" w:cs="宋体"/>
                <w:sz w:val="24"/>
                <w:szCs w:val="24"/>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598" w:type="dxa"/>
            <w:tcBorders>
              <w:top w:val="single" w:color="auto" w:sz="4" w:space="0"/>
              <w:bottom w:val="single" w:color="auto" w:sz="4" w:space="0"/>
            </w:tcBorders>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557" w:type="dxa"/>
            <w:tcBorders>
              <w:top w:val="single" w:color="auto" w:sz="4" w:space="0"/>
              <w:bottom w:val="single" w:color="auto" w:sz="4" w:space="0"/>
            </w:tcBorders>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安全生产和文明施工措施</w:t>
            </w:r>
          </w:p>
        </w:tc>
        <w:tc>
          <w:tcPr>
            <w:tcW w:w="81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rPr>
              <w:t>1</w:t>
            </w:r>
            <w:r>
              <w:rPr>
                <w:rFonts w:hint="eastAsia" w:ascii="宋体" w:hAnsi="宋体" w:eastAsia="宋体" w:cs="宋体"/>
                <w:sz w:val="24"/>
                <w:szCs w:val="24"/>
                <w:lang w:val="en-US" w:eastAsia="zh-CN"/>
              </w:rPr>
              <w:t>0</w:t>
            </w:r>
          </w:p>
        </w:tc>
        <w:tc>
          <w:tcPr>
            <w:tcW w:w="7422" w:type="dxa"/>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安全防护用品配备</w:t>
            </w:r>
            <w:r>
              <w:rPr>
                <w:rFonts w:hint="eastAsia" w:ascii="宋体" w:hAnsi="宋体" w:eastAsia="宋体" w:cs="宋体"/>
                <w:sz w:val="24"/>
                <w:szCs w:val="24"/>
                <w:lang w:val="en-US" w:eastAsia="zh-CN"/>
              </w:rPr>
              <w:t>不少于5种</w:t>
            </w:r>
            <w:r>
              <w:rPr>
                <w:rFonts w:hint="eastAsia" w:ascii="宋体" w:hAnsi="宋体" w:eastAsia="宋体" w:cs="宋体"/>
                <w:sz w:val="24"/>
                <w:szCs w:val="24"/>
              </w:rPr>
              <w:t>，考虑实际现场情况措施合理可行、有针对性，文明施工措施</w:t>
            </w:r>
            <w:r>
              <w:rPr>
                <w:rFonts w:hint="eastAsia" w:ascii="宋体" w:hAnsi="宋体" w:eastAsia="宋体" w:cs="宋体"/>
                <w:sz w:val="24"/>
                <w:szCs w:val="24"/>
                <w:lang w:val="en-US" w:eastAsia="zh-CN"/>
              </w:rPr>
              <w:t>方法多于3种</w:t>
            </w:r>
            <w:r>
              <w:rPr>
                <w:rFonts w:hint="eastAsia" w:ascii="宋体" w:hAnsi="宋体" w:eastAsia="宋体" w:cs="宋体"/>
                <w:sz w:val="24"/>
                <w:szCs w:val="24"/>
              </w:rPr>
              <w:t xml:space="preserve">，能保证绿色施工，得满分 </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安全防护用品配备</w:t>
            </w:r>
            <w:r>
              <w:rPr>
                <w:rFonts w:hint="eastAsia" w:ascii="宋体" w:hAnsi="宋体" w:eastAsia="宋体" w:cs="宋体"/>
                <w:sz w:val="24"/>
                <w:szCs w:val="24"/>
                <w:lang w:val="en-US" w:eastAsia="zh-CN"/>
              </w:rPr>
              <w:t>多于3种但少于5种</w:t>
            </w:r>
            <w:r>
              <w:rPr>
                <w:rFonts w:hint="eastAsia" w:ascii="宋体" w:hAnsi="宋体" w:eastAsia="宋体" w:cs="宋体"/>
                <w:sz w:val="24"/>
                <w:szCs w:val="24"/>
              </w:rPr>
              <w:t>，措施合理可行、细节待完善，文明施工措施较</w:t>
            </w:r>
            <w:r>
              <w:rPr>
                <w:rFonts w:hint="eastAsia" w:ascii="宋体" w:hAnsi="宋体" w:eastAsia="宋体" w:cs="宋体"/>
                <w:sz w:val="24"/>
                <w:szCs w:val="24"/>
                <w:lang w:val="en-US" w:eastAsia="zh-CN"/>
              </w:rPr>
              <w:t>多于2种</w:t>
            </w:r>
            <w:r>
              <w:rPr>
                <w:rFonts w:hint="eastAsia" w:ascii="宋体" w:hAnsi="宋体" w:eastAsia="宋体" w:cs="宋体"/>
                <w:sz w:val="24"/>
                <w:szCs w:val="24"/>
              </w:rPr>
              <w:t>，得</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lang w:val="en-US"/>
              </w:rPr>
              <w:t>3</w:t>
            </w:r>
            <w:r>
              <w:rPr>
                <w:rFonts w:hint="eastAsia" w:ascii="宋体" w:hAnsi="宋体" w:eastAsia="宋体" w:cs="宋体"/>
                <w:sz w:val="24"/>
                <w:szCs w:val="24"/>
                <w:lang w:val="en-US" w:eastAsia="zh-CN"/>
              </w:rPr>
              <w:t>.</w:t>
            </w:r>
            <w:r>
              <w:rPr>
                <w:rFonts w:hint="eastAsia" w:ascii="宋体" w:hAnsi="宋体" w:eastAsia="宋体" w:cs="宋体"/>
                <w:sz w:val="24"/>
                <w:szCs w:val="24"/>
              </w:rPr>
              <w:t>安全防护用品配备</w:t>
            </w:r>
            <w:r>
              <w:rPr>
                <w:rFonts w:hint="eastAsia" w:ascii="宋体" w:hAnsi="宋体" w:eastAsia="宋体" w:cs="宋体"/>
                <w:sz w:val="24"/>
                <w:szCs w:val="24"/>
                <w:lang w:val="en-US" w:eastAsia="zh-CN"/>
              </w:rPr>
              <w:t>多于1种但少于3种</w:t>
            </w:r>
            <w:r>
              <w:rPr>
                <w:rFonts w:hint="eastAsia" w:ascii="宋体" w:hAnsi="宋体" w:eastAsia="宋体" w:cs="宋体"/>
                <w:sz w:val="24"/>
                <w:szCs w:val="24"/>
              </w:rPr>
              <w:t>，措施合理可行、细节待完善，文明施工措施</w:t>
            </w:r>
            <w:r>
              <w:rPr>
                <w:rFonts w:hint="eastAsia" w:ascii="宋体" w:hAnsi="宋体" w:eastAsia="宋体" w:cs="宋体"/>
                <w:sz w:val="24"/>
                <w:szCs w:val="24"/>
                <w:lang w:val="en-US" w:eastAsia="zh-CN"/>
              </w:rPr>
              <w:t>多于1种</w:t>
            </w:r>
            <w:r>
              <w:rPr>
                <w:rFonts w:hint="eastAsia" w:ascii="宋体" w:hAnsi="宋体" w:eastAsia="宋体" w:cs="宋体"/>
                <w:sz w:val="24"/>
                <w:szCs w:val="24"/>
              </w:rPr>
              <w:t xml:space="preserve">，得 </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lang w:val="en-US"/>
              </w:rPr>
              <w:t>4</w:t>
            </w:r>
            <w:r>
              <w:rPr>
                <w:rFonts w:hint="eastAsia" w:ascii="宋体" w:hAnsi="宋体" w:eastAsia="宋体" w:cs="宋体"/>
                <w:sz w:val="24"/>
                <w:szCs w:val="24"/>
                <w:lang w:val="en-US" w:eastAsia="zh-CN"/>
              </w:rPr>
              <w:t>.</w:t>
            </w:r>
            <w:r>
              <w:rPr>
                <w:rFonts w:hint="eastAsia" w:ascii="宋体" w:hAnsi="宋体" w:eastAsia="宋体" w:cs="宋体"/>
                <w:sz w:val="24"/>
                <w:szCs w:val="24"/>
              </w:rPr>
              <w:t>安全防护用品配备</w:t>
            </w:r>
            <w:r>
              <w:rPr>
                <w:rFonts w:hint="eastAsia" w:ascii="宋体" w:hAnsi="宋体" w:eastAsia="宋体" w:cs="宋体"/>
                <w:sz w:val="24"/>
                <w:szCs w:val="24"/>
                <w:lang w:val="en-US" w:eastAsia="zh-CN"/>
              </w:rPr>
              <w:t>只有1种</w:t>
            </w:r>
            <w:r>
              <w:rPr>
                <w:rFonts w:hint="eastAsia" w:ascii="宋体" w:hAnsi="宋体" w:eastAsia="宋体" w:cs="宋体"/>
                <w:sz w:val="24"/>
                <w:szCs w:val="24"/>
              </w:rPr>
              <w:t>、措施欠合理，文明施工措施</w:t>
            </w:r>
            <w:r>
              <w:rPr>
                <w:rFonts w:hint="eastAsia" w:ascii="宋体" w:hAnsi="宋体" w:eastAsia="宋体" w:cs="宋体"/>
                <w:sz w:val="24"/>
                <w:szCs w:val="24"/>
                <w:lang w:val="en-US" w:eastAsia="zh-CN"/>
              </w:rPr>
              <w:t>只有1种</w:t>
            </w:r>
            <w:r>
              <w:rPr>
                <w:rFonts w:hint="eastAsia" w:ascii="宋体" w:hAnsi="宋体" w:eastAsia="宋体" w:cs="宋体"/>
                <w:sz w:val="24"/>
                <w:szCs w:val="24"/>
              </w:rPr>
              <w:t>，基本满足工程需要，得</w:t>
            </w:r>
            <w:r>
              <w:rPr>
                <w:rFonts w:hint="eastAsia" w:ascii="宋体" w:hAnsi="宋体" w:eastAsia="宋体" w:cs="宋体"/>
                <w:sz w:val="24"/>
                <w:szCs w:val="24"/>
                <w:lang w:val="en-US" w:eastAsia="zh-CN"/>
              </w:rPr>
              <w:t xml:space="preserve"> 1</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lang w:val="en-US"/>
              </w:rPr>
              <w:t>5</w:t>
            </w:r>
            <w:r>
              <w:rPr>
                <w:rFonts w:hint="eastAsia" w:ascii="宋体" w:hAnsi="宋体" w:eastAsia="宋体" w:cs="宋体"/>
                <w:sz w:val="24"/>
                <w:szCs w:val="24"/>
                <w:lang w:val="en-US" w:eastAsia="zh-CN"/>
              </w:rPr>
              <w:t>.</w:t>
            </w:r>
            <w:r>
              <w:rPr>
                <w:rFonts w:hint="eastAsia" w:ascii="宋体" w:hAnsi="宋体" w:eastAsia="宋体" w:cs="宋体"/>
                <w:sz w:val="24"/>
                <w:szCs w:val="24"/>
              </w:rPr>
              <w:t>无安全防护用品配备、措施不合理，文明施工措施不可行，不能满足工程需要，</w:t>
            </w:r>
            <w:r>
              <w:rPr>
                <w:rFonts w:hint="eastAsia" w:ascii="宋体" w:hAnsi="宋体" w:eastAsia="宋体" w:cs="宋体"/>
                <w:sz w:val="24"/>
                <w:szCs w:val="24"/>
                <w:lang w:val="en-US"/>
              </w:rPr>
              <w:t>或者未提供</w:t>
            </w:r>
            <w:r>
              <w:rPr>
                <w:rFonts w:hint="eastAsia" w:ascii="宋体" w:hAnsi="宋体" w:eastAsia="宋体" w:cs="宋体"/>
                <w:sz w:val="24"/>
                <w:szCs w:val="24"/>
              </w:rPr>
              <w:t>得 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598" w:type="dxa"/>
            <w:tcBorders>
              <w:top w:val="single" w:color="auto" w:sz="4" w:space="0"/>
              <w:bottom w:val="single" w:color="auto" w:sz="4" w:space="0"/>
            </w:tcBorders>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1557" w:type="dxa"/>
            <w:tcBorders>
              <w:top w:val="single" w:color="auto" w:sz="4" w:space="0"/>
              <w:bottom w:val="single" w:color="auto" w:sz="4" w:space="0"/>
            </w:tcBorders>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rPr>
              <w:t>施工机械的配备和施工人员配备</w:t>
            </w:r>
          </w:p>
        </w:tc>
        <w:tc>
          <w:tcPr>
            <w:tcW w:w="81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7422" w:type="dxa"/>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施工机械、人员配置及劳动力计划合理，团队人员综合素质及技术</w:t>
            </w:r>
            <w:r>
              <w:rPr>
                <w:rFonts w:hint="eastAsia" w:ascii="宋体" w:hAnsi="宋体" w:eastAsia="宋体" w:cs="宋体"/>
                <w:sz w:val="24"/>
                <w:szCs w:val="24"/>
                <w:lang w:val="en-US"/>
              </w:rPr>
              <w:t>水平符合项目需求，经验丰富</w:t>
            </w:r>
            <w:r>
              <w:rPr>
                <w:rFonts w:hint="eastAsia" w:ascii="宋体" w:hAnsi="宋体" w:eastAsia="宋体" w:cs="宋体"/>
                <w:sz w:val="24"/>
                <w:szCs w:val="24"/>
              </w:rPr>
              <w:t>，</w:t>
            </w:r>
            <w:r>
              <w:rPr>
                <w:rFonts w:hint="eastAsia" w:ascii="宋体" w:hAnsi="宋体" w:eastAsia="宋体" w:cs="宋体"/>
                <w:sz w:val="24"/>
                <w:szCs w:val="24"/>
                <w:lang w:val="en-US" w:eastAsia="zh-CN"/>
              </w:rPr>
              <w:t>具备相关专业证书人员多于7人，</w:t>
            </w:r>
            <w:r>
              <w:rPr>
                <w:rFonts w:hint="eastAsia" w:ascii="宋体" w:hAnsi="宋体" w:eastAsia="宋体" w:cs="宋体"/>
                <w:sz w:val="24"/>
                <w:szCs w:val="24"/>
              </w:rPr>
              <w:t>得满分 1</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施工机械、人员配置及劳动力计划合理，团队人员综合素质及技术水平</w:t>
            </w:r>
            <w:r>
              <w:rPr>
                <w:rFonts w:hint="eastAsia" w:ascii="宋体" w:hAnsi="宋体" w:eastAsia="宋体" w:cs="宋体"/>
                <w:sz w:val="24"/>
                <w:szCs w:val="24"/>
                <w:lang w:val="en-US"/>
              </w:rPr>
              <w:t>较能符合项目要求，有一定的经验</w:t>
            </w:r>
            <w:r>
              <w:rPr>
                <w:rFonts w:hint="eastAsia" w:ascii="宋体" w:hAnsi="宋体" w:eastAsia="宋体" w:cs="宋体"/>
                <w:sz w:val="24"/>
                <w:szCs w:val="24"/>
              </w:rPr>
              <w:t>，</w:t>
            </w:r>
            <w:r>
              <w:rPr>
                <w:rFonts w:hint="eastAsia" w:ascii="宋体" w:hAnsi="宋体" w:eastAsia="宋体" w:cs="宋体"/>
                <w:sz w:val="24"/>
                <w:szCs w:val="24"/>
                <w:lang w:val="en-US" w:eastAsia="zh-CN"/>
              </w:rPr>
              <w:t>具备相关专业证书人员多于5人但少于7人，</w:t>
            </w:r>
            <w:r>
              <w:rPr>
                <w:rFonts w:hint="eastAsia" w:ascii="宋体" w:hAnsi="宋体" w:eastAsia="宋体" w:cs="宋体"/>
                <w:sz w:val="24"/>
                <w:szCs w:val="24"/>
              </w:rPr>
              <w:t xml:space="preserve">得满分 </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lang w:val="en-US"/>
              </w:rPr>
              <w:t>3</w:t>
            </w:r>
            <w:r>
              <w:rPr>
                <w:rFonts w:hint="eastAsia" w:ascii="宋体" w:hAnsi="宋体" w:eastAsia="宋体" w:cs="宋体"/>
                <w:sz w:val="24"/>
                <w:szCs w:val="24"/>
                <w:lang w:val="en-US" w:eastAsia="zh-CN"/>
              </w:rPr>
              <w:t>.</w:t>
            </w:r>
            <w:r>
              <w:rPr>
                <w:rFonts w:hint="eastAsia" w:ascii="宋体" w:hAnsi="宋体" w:eastAsia="宋体" w:cs="宋体"/>
                <w:sz w:val="24"/>
                <w:szCs w:val="24"/>
              </w:rPr>
              <w:t>施工机械、人员配置及劳动力计划较合理，团队人员综合素质及技术水平</w:t>
            </w:r>
            <w:r>
              <w:rPr>
                <w:rFonts w:hint="eastAsia" w:ascii="宋体" w:hAnsi="宋体" w:eastAsia="宋体" w:cs="宋体"/>
                <w:sz w:val="24"/>
                <w:szCs w:val="24"/>
                <w:lang w:val="en-US"/>
              </w:rPr>
              <w:t>对于实施项目有一定难度</w:t>
            </w:r>
            <w:r>
              <w:rPr>
                <w:rFonts w:hint="eastAsia" w:ascii="宋体" w:hAnsi="宋体" w:eastAsia="宋体" w:cs="宋体"/>
                <w:sz w:val="24"/>
                <w:szCs w:val="24"/>
              </w:rPr>
              <w:t>，</w:t>
            </w:r>
            <w:r>
              <w:rPr>
                <w:rFonts w:hint="eastAsia" w:ascii="宋体" w:hAnsi="宋体" w:eastAsia="宋体" w:cs="宋体"/>
                <w:sz w:val="24"/>
                <w:szCs w:val="24"/>
                <w:lang w:val="en-US"/>
              </w:rPr>
              <w:t>经验较少，</w:t>
            </w:r>
            <w:r>
              <w:rPr>
                <w:rFonts w:hint="eastAsia" w:ascii="宋体" w:hAnsi="宋体" w:eastAsia="宋体" w:cs="宋体"/>
                <w:sz w:val="24"/>
                <w:szCs w:val="24"/>
                <w:lang w:val="en-US" w:eastAsia="zh-CN"/>
              </w:rPr>
              <w:t>具备相关专业证书人员多于3人但少于5人，</w:t>
            </w:r>
            <w:r>
              <w:rPr>
                <w:rFonts w:hint="eastAsia" w:ascii="宋体" w:hAnsi="宋体" w:eastAsia="宋体" w:cs="宋体"/>
                <w:sz w:val="24"/>
                <w:szCs w:val="24"/>
              </w:rPr>
              <w:t xml:space="preserve">得 </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rPr>
            </w:pPr>
            <w:r>
              <w:rPr>
                <w:rFonts w:hint="eastAsia" w:ascii="宋体" w:hAnsi="宋体" w:eastAsia="宋体" w:cs="宋体"/>
                <w:sz w:val="24"/>
                <w:szCs w:val="24"/>
                <w:lang w:val="en-US"/>
              </w:rPr>
              <w:t>4</w:t>
            </w:r>
            <w:r>
              <w:rPr>
                <w:rFonts w:hint="eastAsia" w:ascii="宋体" w:hAnsi="宋体" w:eastAsia="宋体" w:cs="宋体"/>
                <w:sz w:val="24"/>
                <w:szCs w:val="24"/>
                <w:lang w:val="en-US" w:eastAsia="zh-CN"/>
              </w:rPr>
              <w:t>.</w:t>
            </w:r>
            <w:r>
              <w:rPr>
                <w:rFonts w:hint="eastAsia" w:ascii="宋体" w:hAnsi="宋体" w:eastAsia="宋体" w:cs="宋体"/>
                <w:sz w:val="24"/>
                <w:szCs w:val="24"/>
              </w:rPr>
              <w:t>施工机械、人员配置及劳动力计划欠完善，团队人员综合素质及技术水平</w:t>
            </w:r>
            <w:r>
              <w:rPr>
                <w:rFonts w:hint="eastAsia" w:ascii="宋体" w:hAnsi="宋体" w:eastAsia="宋体" w:cs="宋体"/>
                <w:sz w:val="24"/>
                <w:szCs w:val="24"/>
                <w:lang w:val="en-US"/>
              </w:rPr>
              <w:t>对于实施项目难度大</w:t>
            </w:r>
            <w:r>
              <w:rPr>
                <w:rFonts w:hint="eastAsia" w:ascii="宋体" w:hAnsi="宋体" w:eastAsia="宋体" w:cs="宋体"/>
                <w:sz w:val="24"/>
                <w:szCs w:val="24"/>
              </w:rPr>
              <w:t>，</w:t>
            </w:r>
            <w:r>
              <w:rPr>
                <w:rFonts w:hint="eastAsia" w:ascii="宋体" w:hAnsi="宋体" w:eastAsia="宋体" w:cs="宋体"/>
                <w:sz w:val="24"/>
                <w:szCs w:val="24"/>
                <w:lang w:val="en-US"/>
              </w:rPr>
              <w:t>经验少，</w:t>
            </w:r>
            <w:r>
              <w:rPr>
                <w:rFonts w:hint="eastAsia" w:ascii="宋体" w:hAnsi="宋体" w:eastAsia="宋体" w:cs="宋体"/>
                <w:sz w:val="24"/>
                <w:szCs w:val="24"/>
              </w:rPr>
              <w:t xml:space="preserve">基本满足工程需要， </w:t>
            </w:r>
            <w:r>
              <w:rPr>
                <w:rFonts w:hint="eastAsia" w:ascii="宋体" w:hAnsi="宋体" w:eastAsia="宋体" w:cs="宋体"/>
                <w:sz w:val="24"/>
                <w:szCs w:val="24"/>
                <w:lang w:val="en-US" w:eastAsia="zh-CN"/>
              </w:rPr>
              <w:t>具备相关专业证书人员多于1人但少于3人，</w:t>
            </w:r>
            <w:r>
              <w:rPr>
                <w:rFonts w:hint="eastAsia" w:ascii="宋体" w:hAnsi="宋体" w:eastAsia="宋体" w:cs="宋体"/>
                <w:sz w:val="24"/>
                <w:szCs w:val="24"/>
              </w:rPr>
              <w:t xml:space="preserve">得 </w:t>
            </w:r>
            <w:r>
              <w:rPr>
                <w:rFonts w:hint="eastAsia" w:ascii="宋体" w:hAnsi="宋体" w:eastAsia="宋体" w:cs="宋体"/>
                <w:sz w:val="24"/>
                <w:szCs w:val="24"/>
                <w:lang w:val="en-US" w:eastAsia="zh-CN"/>
              </w:rPr>
              <w:t>1</w:t>
            </w:r>
            <w:r>
              <w:rPr>
                <w:rFonts w:hint="eastAsia" w:ascii="宋体" w:hAnsi="宋体" w:eastAsia="宋体" w:cs="宋体"/>
                <w:sz w:val="24"/>
                <w:szCs w:val="24"/>
              </w:rPr>
              <w:t>分；</w:t>
            </w:r>
          </w:p>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rPr>
            </w:pPr>
            <w:r>
              <w:rPr>
                <w:rFonts w:hint="eastAsia" w:ascii="宋体" w:hAnsi="宋体" w:eastAsia="宋体" w:cs="宋体"/>
                <w:sz w:val="24"/>
                <w:szCs w:val="24"/>
                <w:lang w:val="en-US"/>
              </w:rPr>
              <w:t>5</w:t>
            </w:r>
            <w:r>
              <w:rPr>
                <w:rFonts w:hint="eastAsia" w:ascii="宋体" w:hAnsi="宋体" w:eastAsia="宋体" w:cs="宋体"/>
                <w:sz w:val="24"/>
                <w:szCs w:val="24"/>
                <w:lang w:val="en-US" w:eastAsia="zh-CN"/>
              </w:rPr>
              <w:t>.</w:t>
            </w:r>
            <w:r>
              <w:rPr>
                <w:rFonts w:hint="eastAsia" w:ascii="宋体" w:hAnsi="宋体" w:eastAsia="宋体" w:cs="宋体"/>
                <w:sz w:val="24"/>
                <w:szCs w:val="24"/>
              </w:rPr>
              <w:t>施工机械、人员配置及劳动力计划不合理，团队人员综合素质及技术水平</w:t>
            </w:r>
            <w:r>
              <w:rPr>
                <w:rFonts w:hint="eastAsia" w:ascii="宋体" w:hAnsi="宋体" w:eastAsia="宋体" w:cs="宋体"/>
                <w:sz w:val="24"/>
                <w:szCs w:val="24"/>
                <w:lang w:val="en-US"/>
              </w:rPr>
              <w:t>无法开展项目</w:t>
            </w:r>
            <w:r>
              <w:rPr>
                <w:rFonts w:hint="eastAsia" w:ascii="宋体" w:hAnsi="宋体" w:eastAsia="宋体" w:cs="宋体"/>
                <w:sz w:val="24"/>
                <w:szCs w:val="24"/>
              </w:rPr>
              <w:t>，无类似项目经验，不能满足工程需要，</w:t>
            </w:r>
            <w:r>
              <w:rPr>
                <w:rFonts w:hint="eastAsia" w:ascii="宋体" w:hAnsi="宋体" w:eastAsia="宋体" w:cs="宋体"/>
                <w:sz w:val="24"/>
                <w:szCs w:val="24"/>
                <w:lang w:val="en-US"/>
              </w:rPr>
              <w:t>或者未提供</w:t>
            </w:r>
            <w:r>
              <w:rPr>
                <w:rFonts w:hint="eastAsia" w:ascii="宋体" w:hAnsi="宋体" w:eastAsia="宋体" w:cs="宋体"/>
                <w:sz w:val="24"/>
                <w:szCs w:val="24"/>
              </w:rPr>
              <w:t>得 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2155" w:type="dxa"/>
            <w:gridSpan w:val="2"/>
            <w:tcBorders>
              <w:top w:val="single" w:color="auto" w:sz="4" w:space="0"/>
              <w:bottom w:val="single" w:color="auto" w:sz="4" w:space="0"/>
            </w:tcBorders>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合计</w:t>
            </w:r>
          </w:p>
        </w:tc>
        <w:tc>
          <w:tcPr>
            <w:tcW w:w="818" w:type="dxa"/>
            <w:vAlign w:val="center"/>
          </w:tcPr>
          <w:p>
            <w:pPr>
              <w:keepNext w:val="0"/>
              <w:keepLines w:val="0"/>
              <w:suppressLineNumbers w:val="0"/>
              <w:bidi w:val="0"/>
              <w:spacing w:before="0" w:beforeAutospacing="0" w:after="0" w:afterAutospacing="0" w:line="24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100</w:t>
            </w:r>
          </w:p>
        </w:tc>
        <w:tc>
          <w:tcPr>
            <w:tcW w:w="7422" w:type="dxa"/>
          </w:tcPr>
          <w:p>
            <w:pPr>
              <w:keepNext w:val="0"/>
              <w:keepLines w:val="0"/>
              <w:suppressLineNumbers w:val="0"/>
              <w:bidi w:val="0"/>
              <w:spacing w:before="0" w:beforeAutospacing="0" w:after="0" w:afterAutospacing="0" w:line="240" w:lineRule="auto"/>
              <w:ind w:left="0" w:right="0"/>
              <w:rPr>
                <w:rFonts w:hint="eastAsia" w:ascii="宋体" w:hAnsi="宋体" w:eastAsia="宋体" w:cs="宋体"/>
                <w:sz w:val="24"/>
                <w:szCs w:val="24"/>
                <w:lang w:val="en-US"/>
              </w:rPr>
            </w:pPr>
          </w:p>
        </w:tc>
      </w:tr>
    </w:tbl>
    <w:p>
      <w:pPr>
        <w:spacing w:line="360" w:lineRule="auto"/>
        <w:jc w:val="center"/>
        <w:outlineLvl w:val="0"/>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br w:type="page"/>
      </w:r>
      <w:bookmarkStart w:id="669" w:name="_Toc184912281"/>
      <w:r>
        <w:rPr>
          <w:rFonts w:asciiTheme="minorEastAsia" w:hAnsiTheme="minorEastAsia" w:eastAsiaTheme="minorEastAsia"/>
          <w:b/>
          <w:color w:val="auto"/>
          <w:sz w:val="36"/>
          <w:szCs w:val="36"/>
        </w:rPr>
        <w:t>第四章</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采购需求</w:t>
      </w:r>
      <w:bookmarkEnd w:id="669"/>
    </w:p>
    <w:p>
      <w:pPr>
        <w:keepNext w:val="0"/>
        <w:keepLines w:val="0"/>
        <w:widowControl w:val="0"/>
        <w:numPr>
          <w:ilvl w:val="0"/>
          <w:numId w:val="68"/>
        </w:numPr>
        <w:suppressLineNumbers w:val="0"/>
        <w:spacing w:before="0" w:beforeAutospacing="1" w:after="156" w:afterLines="50" w:afterAutospacing="0" w:line="360" w:lineRule="auto"/>
        <w:ind w:right="0" w:rightChars="0"/>
        <w:jc w:val="both"/>
        <w:rPr>
          <w:rFonts w:hint="eastAsia" w:ascii="宋体" w:hAnsi="宋体" w:cs="宋体"/>
          <w:b/>
          <w:bCs/>
          <w:kern w:val="2"/>
          <w:sz w:val="24"/>
          <w:szCs w:val="24"/>
          <w:lang w:val="en-US" w:eastAsia="zh-CN"/>
        </w:rPr>
      </w:pPr>
      <w:r>
        <w:rPr>
          <w:rFonts w:hint="eastAsia" w:ascii="宋体" w:hAnsi="宋体" w:cs="宋体"/>
          <w:b/>
          <w:bCs/>
          <w:kern w:val="2"/>
          <w:sz w:val="24"/>
          <w:szCs w:val="24"/>
          <w:lang w:val="en-US" w:eastAsia="zh-CN"/>
        </w:rPr>
        <w:t>工程量清单</w:t>
      </w:r>
    </w:p>
    <w:p>
      <w:pPr>
        <w:spacing w:before="64" w:line="223" w:lineRule="auto"/>
        <w:ind w:left="3054"/>
        <w:outlineLvl w:val="2"/>
        <w:rPr>
          <w:rFonts w:ascii="宋体" w:hAnsi="宋体" w:eastAsia="宋体" w:cs="宋体"/>
          <w:sz w:val="31"/>
          <w:szCs w:val="31"/>
        </w:rPr>
      </w:pPr>
      <w:r>
        <w:rPr>
          <w:rFonts w:ascii="宋体" w:hAnsi="宋体" w:eastAsia="宋体" w:cs="宋体"/>
          <w:b/>
          <w:bCs/>
          <w:spacing w:val="7"/>
          <w:sz w:val="31"/>
          <w:szCs w:val="31"/>
        </w:rPr>
        <w:t>分部分项工程项目清单</w:t>
      </w:r>
    </w:p>
    <w:p>
      <w:pPr>
        <w:spacing w:before="129"/>
      </w:pPr>
    </w:p>
    <w:p>
      <w:pPr>
        <w:sectPr>
          <w:pgSz w:w="11905" w:h="16837"/>
          <w:pgMar w:top="957" w:right="859" w:bottom="0" w:left="819" w:header="0" w:footer="0" w:gutter="0"/>
          <w:cols w:equalWidth="0" w:num="1">
            <w:col w:w="10227"/>
          </w:cols>
        </w:sectPr>
      </w:pPr>
    </w:p>
    <w:p>
      <w:pPr>
        <w:keepNext w:val="0"/>
        <w:keepLines w:val="0"/>
        <w:pageBreakBefore w:val="0"/>
        <w:widowControl w:val="0"/>
        <w:kinsoku/>
        <w:wordWrap/>
        <w:overflowPunct/>
        <w:topLinePunct w:val="0"/>
        <w:autoSpaceDE/>
        <w:autoSpaceDN/>
        <w:bidi w:val="0"/>
        <w:adjustRightInd/>
        <w:snapToGrid/>
        <w:spacing w:line="360" w:lineRule="auto"/>
        <w:ind w:left="78" w:right="0" w:rightChars="0" w:firstLine="0" w:firstLineChars="0"/>
        <w:jc w:val="both"/>
        <w:textAlignment w:val="auto"/>
        <w:outlineLvl w:val="9"/>
        <w:rPr>
          <w:rFonts w:ascii="宋体" w:hAnsi="宋体" w:eastAsia="宋体" w:cs="宋体"/>
          <w:sz w:val="18"/>
          <w:szCs w:val="18"/>
        </w:rPr>
      </w:pPr>
      <w:r>
        <w:rPr>
          <w:rFonts w:ascii="宋体" w:hAnsi="宋体" w:eastAsia="宋体" w:cs="宋体"/>
          <w:spacing w:val="-2"/>
          <w:sz w:val="18"/>
          <w:szCs w:val="18"/>
        </w:rPr>
        <w:t>工程名称：</w:t>
      </w:r>
      <w:r>
        <w:rPr>
          <w:rFonts w:ascii="宋体" w:hAnsi="宋体" w:eastAsia="宋体" w:cs="宋体"/>
          <w:spacing w:val="-37"/>
          <w:sz w:val="18"/>
          <w:szCs w:val="18"/>
        </w:rPr>
        <w:t xml:space="preserve"> </w:t>
      </w:r>
      <w:r>
        <w:rPr>
          <w:rFonts w:ascii="宋体" w:hAnsi="宋体" w:eastAsia="宋体" w:cs="宋体"/>
          <w:spacing w:val="-2"/>
          <w:sz w:val="18"/>
          <w:szCs w:val="18"/>
        </w:rPr>
        <w:t>(石景山区教育招生考试中心单项工程-低压电缆单位工程)</w:t>
      </w:r>
      <w:r>
        <w:rPr>
          <w:rFonts w:hint="eastAsia" w:ascii="宋体" w:hAnsi="宋体" w:eastAsia="宋体" w:cs="宋体"/>
          <w:spacing w:val="-2"/>
          <w:sz w:val="18"/>
          <w:szCs w:val="18"/>
          <w:lang w:val="en-US" w:eastAsia="zh-CN"/>
        </w:rPr>
        <w:t xml:space="preserve">                           </w:t>
      </w:r>
      <w:r>
        <w:rPr>
          <w:rFonts w:ascii="宋体" w:hAnsi="宋体" w:eastAsia="宋体" w:cs="宋体"/>
          <w:spacing w:val="-10"/>
          <w:sz w:val="18"/>
          <w:szCs w:val="18"/>
        </w:rPr>
        <w:t>第</w:t>
      </w:r>
      <w:r>
        <w:rPr>
          <w:rFonts w:ascii="宋体" w:hAnsi="宋体" w:eastAsia="宋体" w:cs="宋体"/>
          <w:spacing w:val="26"/>
          <w:sz w:val="18"/>
          <w:szCs w:val="18"/>
        </w:rPr>
        <w:t xml:space="preserve"> </w:t>
      </w:r>
      <w:r>
        <w:rPr>
          <w:rFonts w:ascii="宋体" w:hAnsi="宋体" w:eastAsia="宋体" w:cs="宋体"/>
          <w:spacing w:val="-10"/>
          <w:sz w:val="18"/>
          <w:szCs w:val="18"/>
        </w:rPr>
        <w:t>1</w:t>
      </w:r>
      <w:r>
        <w:rPr>
          <w:rFonts w:ascii="宋体" w:hAnsi="宋体" w:eastAsia="宋体" w:cs="宋体"/>
          <w:spacing w:val="14"/>
          <w:sz w:val="18"/>
          <w:szCs w:val="18"/>
        </w:rPr>
        <w:t xml:space="preserve"> </w:t>
      </w:r>
      <w:r>
        <w:rPr>
          <w:rFonts w:ascii="宋体" w:hAnsi="宋体" w:eastAsia="宋体" w:cs="宋体"/>
          <w:spacing w:val="-10"/>
          <w:sz w:val="18"/>
          <w:szCs w:val="18"/>
        </w:rPr>
        <w:t>页</w:t>
      </w:r>
      <w:r>
        <w:rPr>
          <w:rFonts w:ascii="宋体" w:hAnsi="宋体" w:eastAsia="宋体" w:cs="宋体"/>
          <w:spacing w:val="4"/>
          <w:sz w:val="18"/>
          <w:szCs w:val="18"/>
        </w:rPr>
        <w:t xml:space="preserve">  </w:t>
      </w:r>
      <w:r>
        <w:rPr>
          <w:rFonts w:ascii="宋体" w:hAnsi="宋体" w:eastAsia="宋体" w:cs="宋体"/>
          <w:spacing w:val="-10"/>
          <w:sz w:val="18"/>
          <w:szCs w:val="18"/>
        </w:rPr>
        <w:t>共</w:t>
      </w:r>
      <w:r>
        <w:rPr>
          <w:rFonts w:ascii="宋体" w:hAnsi="宋体" w:eastAsia="宋体" w:cs="宋体"/>
          <w:spacing w:val="10"/>
          <w:sz w:val="18"/>
          <w:szCs w:val="18"/>
        </w:rPr>
        <w:t xml:space="preserve"> </w:t>
      </w:r>
      <w:r>
        <w:rPr>
          <w:rFonts w:ascii="宋体" w:hAnsi="宋体" w:eastAsia="宋体" w:cs="宋体"/>
          <w:spacing w:val="-10"/>
          <w:sz w:val="18"/>
          <w:szCs w:val="18"/>
        </w:rPr>
        <w:t>2</w:t>
      </w:r>
      <w:r>
        <w:rPr>
          <w:rFonts w:ascii="宋体" w:hAnsi="宋体" w:eastAsia="宋体" w:cs="宋体"/>
          <w:spacing w:val="12"/>
          <w:sz w:val="18"/>
          <w:szCs w:val="18"/>
        </w:rPr>
        <w:t xml:space="preserve"> </w:t>
      </w:r>
      <w:r>
        <w:rPr>
          <w:rFonts w:ascii="宋体" w:hAnsi="宋体" w:eastAsia="宋体" w:cs="宋体"/>
          <w:spacing w:val="-10"/>
          <w:sz w:val="18"/>
          <w:szCs w:val="18"/>
        </w:rPr>
        <w:t>页</w:t>
      </w:r>
    </w:p>
    <w:p>
      <w:pPr>
        <w:spacing w:line="184" w:lineRule="auto"/>
        <w:rPr>
          <w:rFonts w:ascii="宋体" w:hAnsi="宋体" w:eastAsia="宋体" w:cs="宋体"/>
          <w:sz w:val="18"/>
          <w:szCs w:val="18"/>
        </w:rPr>
        <w:sectPr>
          <w:type w:val="continuous"/>
          <w:pgSz w:w="11905" w:h="16837"/>
          <w:pgMar w:top="957" w:right="859" w:bottom="0" w:left="819" w:header="0" w:footer="0" w:gutter="0"/>
          <w:cols w:equalWidth="0" w:num="2">
            <w:col w:w="8653" w:space="100"/>
            <w:col w:w="1474"/>
          </w:cols>
        </w:sectPr>
      </w:pPr>
    </w:p>
    <w:tbl>
      <w:tblPr>
        <w:tblStyle w:val="346"/>
        <w:tblW w:w="10038" w:type="dxa"/>
        <w:tblInd w:w="17" w:type="dxa"/>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
      <w:tblGrid>
        <w:gridCol w:w="820"/>
        <w:gridCol w:w="1361"/>
        <w:gridCol w:w="5116"/>
        <w:gridCol w:w="1336"/>
        <w:gridCol w:w="1405"/>
      </w:tblGrid>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62" w:hRule="atLeast"/>
        </w:trPr>
        <w:tc>
          <w:tcPr>
            <w:tcW w:w="820" w:type="dxa"/>
            <w:vMerge w:val="restart"/>
            <w:tcBorders>
              <w:top w:val="single" w:color="000008" w:sz="14" w:space="0"/>
              <w:left w:val="single" w:color="000008" w:sz="14" w:space="0"/>
              <w:bottom w:val="nil"/>
            </w:tcBorders>
            <w:vAlign w:val="top"/>
          </w:tcPr>
          <w:p>
            <w:pPr>
              <w:pStyle w:val="687"/>
              <w:autoSpaceDE w:val="0"/>
              <w:autoSpaceDN w:val="0"/>
              <w:spacing w:line="381" w:lineRule="auto"/>
            </w:pPr>
          </w:p>
          <w:p>
            <w:pPr>
              <w:autoSpaceDE w:val="0"/>
              <w:autoSpaceDN w:val="0"/>
              <w:spacing w:before="62" w:line="229" w:lineRule="auto"/>
              <w:ind w:left="207"/>
              <w:rPr>
                <w:rFonts w:ascii="宋体" w:hAnsi="宋体" w:eastAsia="宋体" w:cs="宋体"/>
                <w:sz w:val="19"/>
                <w:szCs w:val="19"/>
              </w:rPr>
            </w:pPr>
            <w:r>
              <w:rPr>
                <w:rFonts w:ascii="宋体" w:hAnsi="宋体" w:eastAsia="宋体" w:cs="宋体"/>
                <w:spacing w:val="5"/>
                <w:sz w:val="19"/>
                <w:szCs w:val="19"/>
              </w:rPr>
              <w:t>序号</w:t>
            </w:r>
          </w:p>
        </w:tc>
        <w:tc>
          <w:tcPr>
            <w:tcW w:w="1361"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288"/>
              <w:rPr>
                <w:rFonts w:ascii="宋体" w:hAnsi="宋体" w:eastAsia="宋体" w:cs="宋体"/>
                <w:sz w:val="19"/>
                <w:szCs w:val="19"/>
              </w:rPr>
            </w:pPr>
            <w:r>
              <w:rPr>
                <w:rFonts w:ascii="宋体" w:hAnsi="宋体" w:eastAsia="宋体" w:cs="宋体"/>
                <w:spacing w:val="6"/>
                <w:sz w:val="19"/>
                <w:szCs w:val="19"/>
              </w:rPr>
              <w:t>项目名称</w:t>
            </w:r>
          </w:p>
        </w:tc>
        <w:tc>
          <w:tcPr>
            <w:tcW w:w="5116"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8" w:lineRule="auto"/>
              <w:ind w:left="218"/>
              <w:rPr>
                <w:rFonts w:ascii="宋体" w:hAnsi="宋体" w:eastAsia="宋体" w:cs="宋体"/>
                <w:sz w:val="19"/>
                <w:szCs w:val="19"/>
              </w:rPr>
            </w:pPr>
            <w:r>
              <w:rPr>
                <w:rFonts w:ascii="宋体" w:hAnsi="宋体" w:eastAsia="宋体" w:cs="宋体"/>
                <w:spacing w:val="7"/>
                <w:sz w:val="19"/>
                <w:szCs w:val="19"/>
              </w:rPr>
              <w:t>项目特征描述</w:t>
            </w:r>
          </w:p>
        </w:tc>
        <w:tc>
          <w:tcPr>
            <w:tcW w:w="1336"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152"/>
              <w:rPr>
                <w:rFonts w:ascii="宋体" w:hAnsi="宋体" w:eastAsia="宋体" w:cs="宋体"/>
                <w:sz w:val="19"/>
                <w:szCs w:val="19"/>
              </w:rPr>
            </w:pPr>
            <w:r>
              <w:rPr>
                <w:rFonts w:ascii="宋体" w:hAnsi="宋体" w:eastAsia="宋体" w:cs="宋体"/>
                <w:spacing w:val="7"/>
                <w:sz w:val="19"/>
                <w:szCs w:val="19"/>
              </w:rPr>
              <w:t>计量单位</w:t>
            </w:r>
          </w:p>
        </w:tc>
        <w:tc>
          <w:tcPr>
            <w:tcW w:w="1405"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122"/>
              <w:rPr>
                <w:rFonts w:ascii="宋体" w:hAnsi="宋体" w:eastAsia="宋体" w:cs="宋体"/>
                <w:sz w:val="19"/>
                <w:szCs w:val="19"/>
              </w:rPr>
            </w:pPr>
            <w:r>
              <w:rPr>
                <w:rFonts w:ascii="宋体" w:hAnsi="宋体" w:eastAsia="宋体" w:cs="宋体"/>
                <w:spacing w:val="5"/>
                <w:sz w:val="19"/>
                <w:szCs w:val="19"/>
              </w:rPr>
              <w:t>工程量</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vMerge w:val="continue"/>
            <w:tcBorders>
              <w:top w:val="nil"/>
              <w:left w:val="single" w:color="000008" w:sz="14" w:space="0"/>
              <w:bottom w:val="nil"/>
            </w:tcBorders>
            <w:vAlign w:val="top"/>
          </w:tcPr>
          <w:p>
            <w:pPr>
              <w:pStyle w:val="687"/>
              <w:autoSpaceDE w:val="0"/>
              <w:autoSpaceDN w:val="0"/>
            </w:pPr>
          </w:p>
        </w:tc>
        <w:tc>
          <w:tcPr>
            <w:tcW w:w="1361" w:type="dxa"/>
            <w:vMerge w:val="continue"/>
            <w:tcBorders>
              <w:top w:val="nil"/>
              <w:bottom w:val="nil"/>
            </w:tcBorders>
            <w:vAlign w:val="top"/>
          </w:tcPr>
          <w:p>
            <w:pPr>
              <w:pStyle w:val="687"/>
              <w:autoSpaceDE w:val="0"/>
              <w:autoSpaceDN w:val="0"/>
            </w:pPr>
          </w:p>
        </w:tc>
        <w:tc>
          <w:tcPr>
            <w:tcW w:w="5116" w:type="dxa"/>
            <w:vMerge w:val="continue"/>
            <w:tcBorders>
              <w:top w:val="nil"/>
              <w:bottom w:val="nil"/>
            </w:tcBorders>
            <w:vAlign w:val="top"/>
          </w:tcPr>
          <w:p>
            <w:pPr>
              <w:pStyle w:val="687"/>
              <w:autoSpaceDE w:val="0"/>
              <w:autoSpaceDN w:val="0"/>
            </w:pPr>
          </w:p>
        </w:tc>
        <w:tc>
          <w:tcPr>
            <w:tcW w:w="1336" w:type="dxa"/>
            <w:vMerge w:val="continue"/>
            <w:tcBorders>
              <w:top w:val="nil"/>
              <w:bottom w:val="nil"/>
            </w:tcBorders>
            <w:vAlign w:val="top"/>
          </w:tcPr>
          <w:p>
            <w:pPr>
              <w:pStyle w:val="687"/>
              <w:autoSpaceDE w:val="0"/>
              <w:autoSpaceDN w:val="0"/>
            </w:pPr>
          </w:p>
        </w:tc>
        <w:tc>
          <w:tcPr>
            <w:tcW w:w="1405" w:type="dxa"/>
            <w:vMerge w:val="continue"/>
            <w:tcBorders>
              <w:top w:val="nil"/>
              <w:bottom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vMerge w:val="continue"/>
            <w:tcBorders>
              <w:top w:val="nil"/>
              <w:left w:val="single" w:color="000008" w:sz="14" w:space="0"/>
            </w:tcBorders>
            <w:vAlign w:val="top"/>
          </w:tcPr>
          <w:p>
            <w:pPr>
              <w:pStyle w:val="687"/>
              <w:autoSpaceDE w:val="0"/>
              <w:autoSpaceDN w:val="0"/>
            </w:pPr>
          </w:p>
        </w:tc>
        <w:tc>
          <w:tcPr>
            <w:tcW w:w="1361" w:type="dxa"/>
            <w:vMerge w:val="continue"/>
            <w:tcBorders>
              <w:top w:val="nil"/>
            </w:tcBorders>
            <w:vAlign w:val="top"/>
          </w:tcPr>
          <w:p>
            <w:pPr>
              <w:pStyle w:val="687"/>
              <w:autoSpaceDE w:val="0"/>
              <w:autoSpaceDN w:val="0"/>
            </w:pPr>
          </w:p>
        </w:tc>
        <w:tc>
          <w:tcPr>
            <w:tcW w:w="5116" w:type="dxa"/>
            <w:vMerge w:val="continue"/>
            <w:tcBorders>
              <w:top w:val="nil"/>
            </w:tcBorders>
            <w:vAlign w:val="top"/>
          </w:tcPr>
          <w:p>
            <w:pPr>
              <w:pStyle w:val="687"/>
              <w:autoSpaceDE w:val="0"/>
              <w:autoSpaceDN w:val="0"/>
            </w:pPr>
          </w:p>
        </w:tc>
        <w:tc>
          <w:tcPr>
            <w:tcW w:w="1336" w:type="dxa"/>
            <w:vMerge w:val="continue"/>
            <w:tcBorders>
              <w:top w:val="nil"/>
            </w:tcBorders>
            <w:vAlign w:val="top"/>
          </w:tcPr>
          <w:p>
            <w:pPr>
              <w:pStyle w:val="687"/>
              <w:autoSpaceDE w:val="0"/>
              <w:autoSpaceDN w:val="0"/>
            </w:pPr>
          </w:p>
        </w:tc>
        <w:tc>
          <w:tcPr>
            <w:tcW w:w="1405" w:type="dxa"/>
            <w:vMerge w:val="continue"/>
            <w:tcBorders>
              <w:top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autoSpaceDE w:val="0"/>
              <w:autoSpaceDN w:val="0"/>
              <w:spacing w:before="86" w:line="219" w:lineRule="auto"/>
              <w:ind w:left="31"/>
              <w:rPr>
                <w:rFonts w:ascii="宋体" w:hAnsi="宋体" w:eastAsia="宋体" w:cs="宋体"/>
                <w:sz w:val="18"/>
                <w:szCs w:val="18"/>
              </w:rPr>
            </w:pPr>
            <w:r>
              <w:rPr>
                <w:rFonts w:ascii="宋体" w:hAnsi="宋体" w:eastAsia="宋体" w:cs="宋体"/>
                <w:spacing w:val="-2"/>
                <w:sz w:val="18"/>
                <w:szCs w:val="18"/>
              </w:rPr>
              <w:t>整个项目</w:t>
            </w:r>
          </w:p>
        </w:tc>
        <w:tc>
          <w:tcPr>
            <w:tcW w:w="5116" w:type="dxa"/>
            <w:vAlign w:val="top"/>
          </w:tcPr>
          <w:p>
            <w:pPr>
              <w:pStyle w:val="687"/>
              <w:autoSpaceDE w:val="0"/>
              <w:autoSpaceDN w:val="0"/>
            </w:pPr>
          </w:p>
        </w:tc>
        <w:tc>
          <w:tcPr>
            <w:tcW w:w="1336" w:type="dxa"/>
            <w:vAlign w:val="top"/>
          </w:tcPr>
          <w:p>
            <w:pPr>
              <w:pStyle w:val="687"/>
              <w:autoSpaceDE w:val="0"/>
              <w:autoSpaceDN w:val="0"/>
            </w:pPr>
          </w:p>
        </w:tc>
        <w:tc>
          <w:tcPr>
            <w:tcW w:w="1405"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828" w:hRule="atLeast"/>
        </w:trPr>
        <w:tc>
          <w:tcPr>
            <w:tcW w:w="820" w:type="dxa"/>
            <w:tcBorders>
              <w:left w:val="single" w:color="000008" w:sz="14" w:space="0"/>
            </w:tcBorders>
            <w:vAlign w:val="top"/>
          </w:tcPr>
          <w:p>
            <w:pPr>
              <w:pStyle w:val="687"/>
              <w:autoSpaceDE w:val="0"/>
              <w:autoSpaceDN w:val="0"/>
              <w:spacing w:line="457" w:lineRule="auto"/>
            </w:pPr>
          </w:p>
          <w:p>
            <w:pPr>
              <w:autoSpaceDE w:val="0"/>
              <w:autoSpaceDN w:val="0"/>
              <w:spacing w:before="59" w:line="241" w:lineRule="auto"/>
              <w:ind w:left="373"/>
              <w:rPr>
                <w:rFonts w:ascii="宋体" w:hAnsi="宋体" w:eastAsia="宋体" w:cs="宋体"/>
                <w:sz w:val="18"/>
                <w:szCs w:val="18"/>
              </w:rPr>
            </w:pPr>
            <w:r>
              <w:rPr>
                <w:rFonts w:ascii="宋体" w:hAnsi="宋体" w:eastAsia="宋体" w:cs="宋体"/>
                <w:sz w:val="18"/>
                <w:szCs w:val="18"/>
              </w:rPr>
              <w:t>1</w:t>
            </w:r>
          </w:p>
        </w:tc>
        <w:tc>
          <w:tcPr>
            <w:tcW w:w="1361" w:type="dxa"/>
            <w:vAlign w:val="top"/>
          </w:tcPr>
          <w:p>
            <w:pPr>
              <w:pStyle w:val="687"/>
              <w:autoSpaceDE w:val="0"/>
              <w:autoSpaceDN w:val="0"/>
              <w:spacing w:line="457" w:lineRule="auto"/>
            </w:pPr>
          </w:p>
          <w:p>
            <w:pPr>
              <w:autoSpaceDE w:val="0"/>
              <w:autoSpaceDN w:val="0"/>
              <w:spacing w:before="59" w:line="220" w:lineRule="auto"/>
              <w:ind w:left="30"/>
              <w:rPr>
                <w:rFonts w:ascii="宋体" w:hAnsi="宋体" w:eastAsia="宋体" w:cs="宋体"/>
                <w:sz w:val="18"/>
                <w:szCs w:val="18"/>
              </w:rPr>
            </w:pPr>
            <w:r>
              <w:rPr>
                <w:rFonts w:ascii="宋体" w:hAnsi="宋体" w:eastAsia="宋体" w:cs="宋体"/>
                <w:spacing w:val="-3"/>
                <w:sz w:val="18"/>
                <w:szCs w:val="18"/>
              </w:rPr>
              <w:t>配电箱</w:t>
            </w:r>
          </w:p>
        </w:tc>
        <w:tc>
          <w:tcPr>
            <w:tcW w:w="5116" w:type="dxa"/>
            <w:vAlign w:val="top"/>
          </w:tcPr>
          <w:p>
            <w:pPr>
              <w:autoSpaceDE w:val="0"/>
              <w:autoSpaceDN w:val="0"/>
              <w:spacing w:before="68" w:line="220" w:lineRule="auto"/>
              <w:ind w:left="45"/>
              <w:rPr>
                <w:rFonts w:ascii="宋体" w:hAnsi="宋体" w:eastAsia="宋体" w:cs="宋体"/>
                <w:sz w:val="18"/>
                <w:szCs w:val="18"/>
              </w:rPr>
            </w:pPr>
            <w:r>
              <w:rPr>
                <w:rFonts w:ascii="宋体" w:hAnsi="宋体" w:eastAsia="宋体" w:cs="宋体"/>
                <w:spacing w:val="-3"/>
                <w:sz w:val="18"/>
                <w:szCs w:val="18"/>
              </w:rPr>
              <w:t>1.名称:配电箱</w:t>
            </w:r>
          </w:p>
          <w:p>
            <w:pPr>
              <w:autoSpaceDE w:val="0"/>
              <w:autoSpaceDN w:val="0"/>
              <w:spacing w:before="10" w:line="230" w:lineRule="auto"/>
              <w:ind w:left="32" w:right="219" w:firstLine="2"/>
              <w:rPr>
                <w:rFonts w:ascii="宋体" w:hAnsi="宋体" w:eastAsia="宋体" w:cs="宋体"/>
                <w:sz w:val="18"/>
                <w:szCs w:val="18"/>
              </w:rPr>
            </w:pPr>
            <w:r>
              <w:rPr>
                <w:rFonts w:ascii="宋体" w:hAnsi="宋体" w:eastAsia="宋体" w:cs="宋体"/>
                <w:spacing w:val="-1"/>
                <w:sz w:val="18"/>
                <w:szCs w:val="18"/>
              </w:rPr>
              <w:t>2.规格:可调定值含400A开关1个</w:t>
            </w:r>
          </w:p>
          <w:p>
            <w:pPr>
              <w:autoSpaceDE w:val="0"/>
              <w:autoSpaceDN w:val="0"/>
              <w:spacing w:line="228" w:lineRule="auto"/>
              <w:ind w:left="32" w:right="39" w:firstLine="3"/>
              <w:rPr>
                <w:rFonts w:ascii="宋体" w:hAnsi="宋体" w:eastAsia="宋体" w:cs="宋体"/>
                <w:sz w:val="18"/>
                <w:szCs w:val="18"/>
              </w:rPr>
            </w:pPr>
            <w:r>
              <w:rPr>
                <w:rFonts w:ascii="宋体" w:hAnsi="宋体" w:eastAsia="宋体" w:cs="宋体"/>
                <w:spacing w:val="-1"/>
                <w:sz w:val="18"/>
                <w:szCs w:val="18"/>
              </w:rPr>
              <w:t>3.安装方式:墙上明</w:t>
            </w:r>
            <w:r>
              <w:rPr>
                <w:rFonts w:ascii="宋体" w:hAnsi="宋体" w:eastAsia="宋体" w:cs="宋体"/>
                <w:sz w:val="18"/>
                <w:szCs w:val="18"/>
              </w:rPr>
              <w:t>装</w:t>
            </w:r>
          </w:p>
        </w:tc>
        <w:tc>
          <w:tcPr>
            <w:tcW w:w="1336" w:type="dxa"/>
            <w:vAlign w:val="top"/>
          </w:tcPr>
          <w:p>
            <w:pPr>
              <w:pStyle w:val="687"/>
              <w:autoSpaceDE w:val="0"/>
              <w:autoSpaceDN w:val="0"/>
              <w:spacing w:line="458" w:lineRule="auto"/>
            </w:pPr>
          </w:p>
          <w:p>
            <w:pPr>
              <w:autoSpaceDE w:val="0"/>
              <w:autoSpaceDN w:val="0"/>
              <w:spacing w:before="58" w:line="221" w:lineRule="auto"/>
              <w:ind w:left="472"/>
              <w:rPr>
                <w:rFonts w:ascii="宋体" w:hAnsi="宋体" w:eastAsia="宋体" w:cs="宋体"/>
                <w:sz w:val="18"/>
                <w:szCs w:val="18"/>
              </w:rPr>
            </w:pPr>
            <w:r>
              <w:rPr>
                <w:rFonts w:ascii="宋体" w:hAnsi="宋体" w:eastAsia="宋体" w:cs="宋体"/>
                <w:sz w:val="18"/>
                <w:szCs w:val="18"/>
              </w:rPr>
              <w:t>台</w:t>
            </w:r>
          </w:p>
        </w:tc>
        <w:tc>
          <w:tcPr>
            <w:tcW w:w="1405" w:type="dxa"/>
            <w:vAlign w:val="top"/>
          </w:tcPr>
          <w:p>
            <w:pPr>
              <w:pStyle w:val="687"/>
              <w:autoSpaceDE w:val="0"/>
              <w:autoSpaceDN w:val="0"/>
              <w:spacing w:line="457" w:lineRule="auto"/>
            </w:pPr>
          </w:p>
          <w:p>
            <w:pPr>
              <w:autoSpaceDE w:val="0"/>
              <w:autoSpaceDN w:val="0"/>
              <w:spacing w:before="59" w:line="241" w:lineRule="auto"/>
              <w:ind w:left="386"/>
              <w:rPr>
                <w:rFonts w:ascii="宋体" w:hAnsi="宋体" w:eastAsia="宋体" w:cs="宋体"/>
                <w:sz w:val="18"/>
                <w:szCs w:val="18"/>
              </w:rPr>
            </w:pPr>
            <w:r>
              <w:rPr>
                <w:rFonts w:ascii="宋体" w:hAnsi="宋体" w:eastAsia="宋体" w:cs="宋体"/>
                <w:sz w:val="18"/>
                <w:szCs w:val="18"/>
              </w:rPr>
              <w:t>1</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892" w:hRule="atLeast"/>
        </w:trPr>
        <w:tc>
          <w:tcPr>
            <w:tcW w:w="820" w:type="dxa"/>
            <w:tcBorders>
              <w:left w:val="single" w:color="000008" w:sz="14" w:space="0"/>
            </w:tcBorders>
            <w:vAlign w:val="top"/>
          </w:tcPr>
          <w:p>
            <w:pPr>
              <w:pStyle w:val="687"/>
              <w:autoSpaceDE w:val="0"/>
              <w:autoSpaceDN w:val="0"/>
              <w:spacing w:line="287" w:lineRule="auto"/>
            </w:pPr>
          </w:p>
          <w:p>
            <w:pPr>
              <w:pStyle w:val="687"/>
              <w:autoSpaceDE w:val="0"/>
              <w:autoSpaceDN w:val="0"/>
              <w:spacing w:line="287" w:lineRule="auto"/>
            </w:pPr>
          </w:p>
          <w:p>
            <w:pPr>
              <w:autoSpaceDE w:val="0"/>
              <w:autoSpaceDN w:val="0"/>
              <w:spacing w:before="59" w:line="241" w:lineRule="auto"/>
              <w:ind w:left="362"/>
              <w:rPr>
                <w:rFonts w:ascii="宋体" w:hAnsi="宋体" w:eastAsia="宋体" w:cs="宋体"/>
                <w:sz w:val="18"/>
                <w:szCs w:val="18"/>
              </w:rPr>
            </w:pPr>
            <w:r>
              <w:rPr>
                <w:rFonts w:ascii="宋体" w:hAnsi="宋体" w:eastAsia="宋体" w:cs="宋体"/>
                <w:sz w:val="18"/>
                <w:szCs w:val="18"/>
              </w:rPr>
              <w:t>2</w:t>
            </w:r>
          </w:p>
        </w:tc>
        <w:tc>
          <w:tcPr>
            <w:tcW w:w="1361" w:type="dxa"/>
            <w:vAlign w:val="top"/>
          </w:tcPr>
          <w:p>
            <w:pPr>
              <w:pStyle w:val="687"/>
              <w:autoSpaceDE w:val="0"/>
              <w:autoSpaceDN w:val="0"/>
              <w:spacing w:line="287" w:lineRule="auto"/>
            </w:pPr>
          </w:p>
          <w:p>
            <w:pPr>
              <w:pStyle w:val="687"/>
              <w:autoSpaceDE w:val="0"/>
              <w:autoSpaceDN w:val="0"/>
              <w:spacing w:line="288" w:lineRule="auto"/>
            </w:pPr>
          </w:p>
          <w:p>
            <w:pPr>
              <w:autoSpaceDE w:val="0"/>
              <w:autoSpaceDN w:val="0"/>
              <w:spacing w:before="58" w:line="220" w:lineRule="auto"/>
              <w:ind w:left="30"/>
              <w:rPr>
                <w:rFonts w:ascii="宋体" w:hAnsi="宋体" w:eastAsia="宋体" w:cs="宋体"/>
                <w:sz w:val="18"/>
                <w:szCs w:val="18"/>
              </w:rPr>
            </w:pPr>
            <w:r>
              <w:rPr>
                <w:rFonts w:ascii="宋体" w:hAnsi="宋体" w:eastAsia="宋体" w:cs="宋体"/>
                <w:spacing w:val="-2"/>
                <w:sz w:val="18"/>
                <w:szCs w:val="18"/>
              </w:rPr>
              <w:t>应急电源接入箱</w:t>
            </w:r>
          </w:p>
        </w:tc>
        <w:tc>
          <w:tcPr>
            <w:tcW w:w="5116" w:type="dxa"/>
            <w:vAlign w:val="top"/>
          </w:tcPr>
          <w:p>
            <w:pPr>
              <w:autoSpaceDE w:val="0"/>
              <w:autoSpaceDN w:val="0"/>
              <w:spacing w:before="74" w:line="231" w:lineRule="auto"/>
              <w:ind w:left="31" w:right="39" w:firstLine="14"/>
              <w:rPr>
                <w:rFonts w:ascii="宋体" w:hAnsi="宋体" w:eastAsia="宋体" w:cs="宋体"/>
                <w:sz w:val="18"/>
                <w:szCs w:val="18"/>
              </w:rPr>
            </w:pPr>
            <w:r>
              <w:rPr>
                <w:rFonts w:ascii="宋体" w:hAnsi="宋体" w:eastAsia="宋体" w:cs="宋体"/>
                <w:spacing w:val="-2"/>
                <w:sz w:val="18"/>
                <w:szCs w:val="18"/>
              </w:rPr>
              <w:t>1.名称:应急电源接</w:t>
            </w:r>
            <w:r>
              <w:rPr>
                <w:rFonts w:ascii="宋体" w:hAnsi="宋体" w:eastAsia="宋体" w:cs="宋体"/>
                <w:spacing w:val="-4"/>
                <w:sz w:val="18"/>
                <w:szCs w:val="18"/>
              </w:rPr>
              <w:t>入箱</w:t>
            </w:r>
          </w:p>
          <w:p>
            <w:pPr>
              <w:autoSpaceDE w:val="0"/>
              <w:autoSpaceDN w:val="0"/>
              <w:spacing w:before="1" w:line="229" w:lineRule="auto"/>
              <w:ind w:left="31" w:right="219" w:firstLine="2"/>
              <w:rPr>
                <w:rFonts w:ascii="宋体" w:hAnsi="宋体" w:eastAsia="宋体" w:cs="宋体"/>
                <w:sz w:val="18"/>
                <w:szCs w:val="18"/>
              </w:rPr>
            </w:pPr>
            <w:r>
              <w:rPr>
                <w:rFonts w:ascii="宋体" w:hAnsi="宋体" w:eastAsia="宋体" w:cs="宋体"/>
                <w:spacing w:val="-1"/>
                <w:sz w:val="18"/>
                <w:szCs w:val="18"/>
              </w:rPr>
              <w:t>2.规格:额定电流400A</w:t>
            </w:r>
          </w:p>
          <w:p>
            <w:pPr>
              <w:autoSpaceDE w:val="0"/>
              <w:autoSpaceDN w:val="0"/>
              <w:spacing w:line="227" w:lineRule="auto"/>
              <w:ind w:left="36" w:right="39"/>
              <w:rPr>
                <w:rFonts w:ascii="宋体" w:hAnsi="宋体" w:eastAsia="宋体" w:cs="宋体"/>
                <w:sz w:val="18"/>
                <w:szCs w:val="18"/>
              </w:rPr>
            </w:pPr>
            <w:r>
              <w:rPr>
                <w:rFonts w:ascii="宋体" w:hAnsi="宋体" w:eastAsia="宋体" w:cs="宋体"/>
                <w:spacing w:val="-1"/>
                <w:sz w:val="18"/>
                <w:szCs w:val="18"/>
              </w:rPr>
              <w:t>3.安装方式:壁挂式</w:t>
            </w:r>
            <w:r>
              <w:rPr>
                <w:rFonts w:ascii="宋体" w:hAnsi="宋体" w:eastAsia="宋体" w:cs="宋体"/>
                <w:spacing w:val="-6"/>
                <w:sz w:val="18"/>
                <w:szCs w:val="18"/>
              </w:rPr>
              <w:t>安装</w:t>
            </w:r>
          </w:p>
        </w:tc>
        <w:tc>
          <w:tcPr>
            <w:tcW w:w="1336" w:type="dxa"/>
            <w:vAlign w:val="top"/>
          </w:tcPr>
          <w:p>
            <w:pPr>
              <w:pStyle w:val="687"/>
              <w:autoSpaceDE w:val="0"/>
              <w:autoSpaceDN w:val="0"/>
              <w:spacing w:line="287" w:lineRule="auto"/>
            </w:pPr>
          </w:p>
          <w:p>
            <w:pPr>
              <w:pStyle w:val="687"/>
              <w:autoSpaceDE w:val="0"/>
              <w:autoSpaceDN w:val="0"/>
              <w:spacing w:line="288" w:lineRule="auto"/>
            </w:pPr>
          </w:p>
          <w:p>
            <w:pPr>
              <w:autoSpaceDE w:val="0"/>
              <w:autoSpaceDN w:val="0"/>
              <w:spacing w:before="58" w:line="221" w:lineRule="auto"/>
              <w:ind w:left="472"/>
              <w:rPr>
                <w:rFonts w:ascii="宋体" w:hAnsi="宋体" w:eastAsia="宋体" w:cs="宋体"/>
                <w:sz w:val="18"/>
                <w:szCs w:val="18"/>
              </w:rPr>
            </w:pPr>
            <w:r>
              <w:rPr>
                <w:rFonts w:ascii="宋体" w:hAnsi="宋体" w:eastAsia="宋体" w:cs="宋体"/>
                <w:sz w:val="18"/>
                <w:szCs w:val="18"/>
              </w:rPr>
              <w:t>台</w:t>
            </w:r>
          </w:p>
        </w:tc>
        <w:tc>
          <w:tcPr>
            <w:tcW w:w="1405" w:type="dxa"/>
            <w:vAlign w:val="top"/>
          </w:tcPr>
          <w:p>
            <w:pPr>
              <w:pStyle w:val="687"/>
              <w:autoSpaceDE w:val="0"/>
              <w:autoSpaceDN w:val="0"/>
              <w:spacing w:line="287" w:lineRule="auto"/>
            </w:pPr>
          </w:p>
          <w:p>
            <w:pPr>
              <w:pStyle w:val="687"/>
              <w:autoSpaceDE w:val="0"/>
              <w:autoSpaceDN w:val="0"/>
              <w:spacing w:line="287" w:lineRule="auto"/>
            </w:pPr>
          </w:p>
          <w:p>
            <w:pPr>
              <w:autoSpaceDE w:val="0"/>
              <w:autoSpaceDN w:val="0"/>
              <w:spacing w:before="59" w:line="241" w:lineRule="auto"/>
              <w:ind w:left="386"/>
              <w:rPr>
                <w:rFonts w:ascii="宋体" w:hAnsi="宋体" w:eastAsia="宋体" w:cs="宋体"/>
                <w:sz w:val="18"/>
                <w:szCs w:val="18"/>
              </w:rPr>
            </w:pPr>
            <w:r>
              <w:rPr>
                <w:rFonts w:ascii="宋体" w:hAnsi="宋体" w:eastAsia="宋体" w:cs="宋体"/>
                <w:sz w:val="18"/>
                <w:szCs w:val="18"/>
              </w:rPr>
              <w:t>1</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881" w:hRule="atLeast"/>
        </w:trPr>
        <w:tc>
          <w:tcPr>
            <w:tcW w:w="820" w:type="dxa"/>
            <w:tcBorders>
              <w:left w:val="single" w:color="000008" w:sz="14" w:space="0"/>
            </w:tcBorders>
            <w:vAlign w:val="top"/>
          </w:tcPr>
          <w:p>
            <w:pPr>
              <w:pStyle w:val="687"/>
              <w:autoSpaceDE w:val="0"/>
              <w:autoSpaceDN w:val="0"/>
              <w:spacing w:line="289" w:lineRule="auto"/>
            </w:pPr>
          </w:p>
          <w:p>
            <w:pPr>
              <w:pStyle w:val="687"/>
              <w:autoSpaceDE w:val="0"/>
              <w:autoSpaceDN w:val="0"/>
              <w:spacing w:line="290" w:lineRule="auto"/>
            </w:pPr>
          </w:p>
          <w:p>
            <w:pPr>
              <w:autoSpaceDE w:val="0"/>
              <w:autoSpaceDN w:val="0"/>
              <w:spacing w:before="58" w:line="239" w:lineRule="auto"/>
              <w:ind w:left="364"/>
              <w:rPr>
                <w:rFonts w:ascii="宋体" w:hAnsi="宋体" w:eastAsia="宋体" w:cs="宋体"/>
                <w:sz w:val="18"/>
                <w:szCs w:val="18"/>
              </w:rPr>
            </w:pPr>
            <w:r>
              <w:rPr>
                <w:rFonts w:ascii="宋体" w:hAnsi="宋体" w:eastAsia="宋体" w:cs="宋体"/>
                <w:sz w:val="18"/>
                <w:szCs w:val="18"/>
              </w:rPr>
              <w:t>3</w:t>
            </w:r>
          </w:p>
        </w:tc>
        <w:tc>
          <w:tcPr>
            <w:tcW w:w="1361" w:type="dxa"/>
            <w:vAlign w:val="top"/>
          </w:tcPr>
          <w:p>
            <w:pPr>
              <w:pStyle w:val="687"/>
              <w:autoSpaceDE w:val="0"/>
              <w:autoSpaceDN w:val="0"/>
              <w:spacing w:line="289" w:lineRule="auto"/>
            </w:pPr>
          </w:p>
          <w:p>
            <w:pPr>
              <w:pStyle w:val="687"/>
              <w:autoSpaceDE w:val="0"/>
              <w:autoSpaceDN w:val="0"/>
              <w:spacing w:line="290" w:lineRule="auto"/>
            </w:pPr>
          </w:p>
          <w:p>
            <w:pPr>
              <w:autoSpaceDE w:val="0"/>
              <w:autoSpaceDN w:val="0"/>
              <w:spacing w:before="58"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5116" w:type="dxa"/>
            <w:vAlign w:val="top"/>
          </w:tcPr>
          <w:p>
            <w:pPr>
              <w:autoSpaceDE w:val="0"/>
              <w:autoSpaceDN w:val="0"/>
              <w:spacing w:before="190" w:line="219" w:lineRule="auto"/>
              <w:ind w:left="45"/>
              <w:rPr>
                <w:rFonts w:ascii="宋体" w:hAnsi="宋体" w:eastAsia="宋体" w:cs="宋体"/>
                <w:sz w:val="18"/>
                <w:szCs w:val="18"/>
              </w:rPr>
            </w:pPr>
            <w:r>
              <w:rPr>
                <w:rFonts w:ascii="宋体" w:hAnsi="宋体" w:eastAsia="宋体" w:cs="宋体"/>
                <w:spacing w:val="-2"/>
                <w:sz w:val="18"/>
                <w:szCs w:val="18"/>
              </w:rPr>
              <w:t>1.名称:低压电缆</w:t>
            </w:r>
          </w:p>
          <w:p>
            <w:pPr>
              <w:autoSpaceDE w:val="0"/>
              <w:autoSpaceDN w:val="0"/>
              <w:spacing w:before="11" w:line="218" w:lineRule="auto"/>
              <w:ind w:left="34"/>
              <w:rPr>
                <w:rFonts w:ascii="宋体" w:hAnsi="宋体" w:eastAsia="宋体" w:cs="宋体"/>
                <w:sz w:val="18"/>
                <w:szCs w:val="18"/>
              </w:rPr>
            </w:pPr>
            <w:r>
              <w:rPr>
                <w:rFonts w:ascii="宋体" w:hAnsi="宋体" w:eastAsia="宋体" w:cs="宋体"/>
                <w:sz w:val="18"/>
                <w:szCs w:val="18"/>
              </w:rPr>
              <w:t>2.规格:ZC-YJY-</w:t>
            </w:r>
          </w:p>
          <w:p>
            <w:pPr>
              <w:autoSpaceDE w:val="0"/>
              <w:autoSpaceDN w:val="0"/>
              <w:spacing w:before="12" w:line="224" w:lineRule="auto"/>
              <w:ind w:left="34"/>
              <w:rPr>
                <w:rFonts w:ascii="宋体" w:hAnsi="宋体" w:eastAsia="宋体" w:cs="宋体"/>
                <w:sz w:val="18"/>
                <w:szCs w:val="18"/>
              </w:rPr>
            </w:pPr>
            <w:r>
              <w:rPr>
                <w:rFonts w:ascii="宋体" w:hAnsi="宋体" w:eastAsia="宋体" w:cs="宋体"/>
                <w:sz w:val="18"/>
                <w:szCs w:val="18"/>
              </w:rPr>
              <w:t>0.6/1kV-4*240mm2</w:t>
            </w:r>
          </w:p>
          <w:p>
            <w:pPr>
              <w:autoSpaceDE w:val="0"/>
              <w:autoSpaceDN w:val="0"/>
              <w:spacing w:before="4" w:line="234" w:lineRule="auto"/>
              <w:ind w:left="35" w:right="39"/>
              <w:rPr>
                <w:rFonts w:ascii="宋体" w:hAnsi="宋体" w:eastAsia="宋体" w:cs="宋体"/>
                <w:sz w:val="18"/>
                <w:szCs w:val="18"/>
              </w:rPr>
            </w:pPr>
            <w:r>
              <w:rPr>
                <w:rFonts w:ascii="宋体" w:hAnsi="宋体" w:eastAsia="宋体" w:cs="宋体"/>
                <w:spacing w:val="-1"/>
                <w:sz w:val="18"/>
                <w:szCs w:val="18"/>
              </w:rPr>
              <w:t>3.敷设方式:桥架敷</w:t>
            </w:r>
            <w:r>
              <w:rPr>
                <w:rFonts w:ascii="宋体" w:hAnsi="宋体" w:eastAsia="宋体" w:cs="宋体"/>
                <w:sz w:val="18"/>
                <w:szCs w:val="18"/>
              </w:rPr>
              <w:t>设</w:t>
            </w:r>
          </w:p>
        </w:tc>
        <w:tc>
          <w:tcPr>
            <w:tcW w:w="1336" w:type="dxa"/>
            <w:vAlign w:val="top"/>
          </w:tcPr>
          <w:p>
            <w:pPr>
              <w:pStyle w:val="687"/>
              <w:autoSpaceDE w:val="0"/>
              <w:autoSpaceDN w:val="0"/>
              <w:spacing w:line="289" w:lineRule="auto"/>
            </w:pPr>
          </w:p>
          <w:p>
            <w:pPr>
              <w:pStyle w:val="687"/>
              <w:autoSpaceDE w:val="0"/>
              <w:autoSpaceDN w:val="0"/>
              <w:spacing w:line="289" w:lineRule="auto"/>
            </w:pPr>
          </w:p>
          <w:p>
            <w:pPr>
              <w:autoSpaceDE w:val="0"/>
              <w:autoSpaceDN w:val="0"/>
              <w:spacing w:before="59" w:line="241" w:lineRule="auto"/>
              <w:ind w:left="496"/>
              <w:rPr>
                <w:rFonts w:ascii="宋体" w:hAnsi="宋体" w:eastAsia="宋体" w:cs="宋体"/>
                <w:sz w:val="18"/>
                <w:szCs w:val="18"/>
              </w:rPr>
            </w:pPr>
            <w:r>
              <w:rPr>
                <w:rFonts w:ascii="宋体" w:hAnsi="宋体" w:eastAsia="宋体" w:cs="宋体"/>
                <w:sz w:val="18"/>
                <w:szCs w:val="18"/>
              </w:rPr>
              <w:t>m</w:t>
            </w:r>
          </w:p>
        </w:tc>
        <w:tc>
          <w:tcPr>
            <w:tcW w:w="1405" w:type="dxa"/>
            <w:vAlign w:val="top"/>
          </w:tcPr>
          <w:p>
            <w:pPr>
              <w:pStyle w:val="687"/>
              <w:autoSpaceDE w:val="0"/>
              <w:autoSpaceDN w:val="0"/>
              <w:spacing w:line="289" w:lineRule="auto"/>
            </w:pPr>
          </w:p>
          <w:p>
            <w:pPr>
              <w:pStyle w:val="687"/>
              <w:autoSpaceDE w:val="0"/>
              <w:autoSpaceDN w:val="0"/>
              <w:spacing w:line="289" w:lineRule="auto"/>
            </w:pPr>
          </w:p>
          <w:p>
            <w:pPr>
              <w:autoSpaceDE w:val="0"/>
              <w:autoSpaceDN w:val="0"/>
              <w:spacing w:before="59" w:line="241" w:lineRule="auto"/>
              <w:ind w:left="341"/>
              <w:rPr>
                <w:rFonts w:ascii="宋体" w:hAnsi="宋体" w:eastAsia="宋体" w:cs="宋体"/>
                <w:sz w:val="18"/>
                <w:szCs w:val="18"/>
              </w:rPr>
            </w:pPr>
            <w:r>
              <w:rPr>
                <w:rFonts w:ascii="宋体" w:hAnsi="宋体" w:eastAsia="宋体" w:cs="宋体"/>
                <w:spacing w:val="-10"/>
                <w:sz w:val="18"/>
                <w:szCs w:val="18"/>
              </w:rPr>
              <w:t>12</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99" w:hRule="atLeast"/>
        </w:trPr>
        <w:tc>
          <w:tcPr>
            <w:tcW w:w="820" w:type="dxa"/>
            <w:tcBorders>
              <w:left w:val="single" w:color="000008" w:sz="14" w:space="0"/>
            </w:tcBorders>
            <w:vAlign w:val="top"/>
          </w:tcPr>
          <w:p>
            <w:pPr>
              <w:pStyle w:val="687"/>
              <w:autoSpaceDE w:val="0"/>
              <w:autoSpaceDN w:val="0"/>
              <w:spacing w:line="353" w:lineRule="auto"/>
            </w:pPr>
          </w:p>
          <w:p>
            <w:pPr>
              <w:autoSpaceDE w:val="0"/>
              <w:autoSpaceDN w:val="0"/>
              <w:spacing w:before="58" w:line="241" w:lineRule="auto"/>
              <w:ind w:left="359"/>
              <w:rPr>
                <w:rFonts w:ascii="宋体" w:hAnsi="宋体" w:eastAsia="宋体" w:cs="宋体"/>
                <w:sz w:val="18"/>
                <w:szCs w:val="18"/>
              </w:rPr>
            </w:pPr>
            <w:r>
              <w:rPr>
                <w:rFonts w:ascii="宋体" w:hAnsi="宋体" w:eastAsia="宋体" w:cs="宋体"/>
                <w:sz w:val="18"/>
                <w:szCs w:val="18"/>
              </w:rPr>
              <w:t>4</w:t>
            </w:r>
          </w:p>
        </w:tc>
        <w:tc>
          <w:tcPr>
            <w:tcW w:w="1361" w:type="dxa"/>
            <w:vAlign w:val="top"/>
          </w:tcPr>
          <w:p>
            <w:pPr>
              <w:pStyle w:val="687"/>
              <w:autoSpaceDE w:val="0"/>
              <w:autoSpaceDN w:val="0"/>
              <w:spacing w:line="353"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6"/>
                <w:sz w:val="18"/>
                <w:szCs w:val="18"/>
              </w:rPr>
              <w:t>电力电缆头</w:t>
            </w:r>
          </w:p>
        </w:tc>
        <w:tc>
          <w:tcPr>
            <w:tcW w:w="5116" w:type="dxa"/>
            <w:vAlign w:val="top"/>
          </w:tcPr>
          <w:p>
            <w:pPr>
              <w:autoSpaceDE w:val="0"/>
              <w:autoSpaceDN w:val="0"/>
              <w:spacing w:before="188" w:line="219" w:lineRule="auto"/>
              <w:ind w:left="45"/>
              <w:rPr>
                <w:rFonts w:ascii="宋体" w:hAnsi="宋体" w:eastAsia="宋体" w:cs="宋体"/>
                <w:sz w:val="18"/>
                <w:szCs w:val="18"/>
              </w:rPr>
            </w:pPr>
            <w:r>
              <w:rPr>
                <w:rFonts w:ascii="宋体" w:hAnsi="宋体" w:eastAsia="宋体" w:cs="宋体"/>
                <w:spacing w:val="-2"/>
                <w:sz w:val="18"/>
                <w:szCs w:val="18"/>
              </w:rPr>
              <w:t>1.名称:电缆终端头</w:t>
            </w:r>
          </w:p>
          <w:p>
            <w:pPr>
              <w:autoSpaceDE w:val="0"/>
              <w:autoSpaceDN w:val="0"/>
              <w:spacing w:before="11" w:line="218" w:lineRule="auto"/>
              <w:ind w:left="34"/>
              <w:rPr>
                <w:rFonts w:ascii="宋体" w:hAnsi="宋体" w:eastAsia="宋体" w:cs="宋体"/>
                <w:sz w:val="18"/>
                <w:szCs w:val="18"/>
              </w:rPr>
            </w:pPr>
            <w:r>
              <w:rPr>
                <w:rFonts w:ascii="宋体" w:hAnsi="宋体" w:eastAsia="宋体" w:cs="宋体"/>
                <w:sz w:val="18"/>
                <w:szCs w:val="18"/>
              </w:rPr>
              <w:t>2.规格:ZC-YJY-</w:t>
            </w:r>
          </w:p>
          <w:p>
            <w:pPr>
              <w:autoSpaceDE w:val="0"/>
              <w:autoSpaceDN w:val="0"/>
              <w:spacing w:before="10" w:line="224" w:lineRule="auto"/>
              <w:ind w:left="34"/>
              <w:rPr>
                <w:rFonts w:ascii="宋体" w:hAnsi="宋体" w:eastAsia="宋体" w:cs="宋体"/>
                <w:sz w:val="18"/>
                <w:szCs w:val="18"/>
              </w:rPr>
            </w:pPr>
            <w:r>
              <w:rPr>
                <w:rFonts w:ascii="宋体" w:hAnsi="宋体" w:eastAsia="宋体" w:cs="宋体"/>
                <w:sz w:val="18"/>
                <w:szCs w:val="18"/>
              </w:rPr>
              <w:t>0.6/1kV-4*240mm2</w:t>
            </w:r>
          </w:p>
        </w:tc>
        <w:tc>
          <w:tcPr>
            <w:tcW w:w="1336" w:type="dxa"/>
            <w:vAlign w:val="top"/>
          </w:tcPr>
          <w:p>
            <w:pPr>
              <w:pStyle w:val="687"/>
              <w:autoSpaceDE w:val="0"/>
              <w:autoSpaceDN w:val="0"/>
              <w:spacing w:line="353" w:lineRule="auto"/>
            </w:pPr>
          </w:p>
          <w:p>
            <w:pPr>
              <w:autoSpaceDE w:val="0"/>
              <w:autoSpaceDN w:val="0"/>
              <w:spacing w:before="59" w:line="219" w:lineRule="auto"/>
              <w:ind w:left="458"/>
              <w:rPr>
                <w:rFonts w:ascii="宋体" w:hAnsi="宋体" w:eastAsia="宋体" w:cs="宋体"/>
                <w:sz w:val="18"/>
                <w:szCs w:val="18"/>
              </w:rPr>
            </w:pPr>
            <w:r>
              <w:rPr>
                <w:rFonts w:ascii="宋体" w:hAnsi="宋体" w:eastAsia="宋体" w:cs="宋体"/>
                <w:sz w:val="18"/>
                <w:szCs w:val="18"/>
              </w:rPr>
              <w:t>个</w:t>
            </w:r>
          </w:p>
        </w:tc>
        <w:tc>
          <w:tcPr>
            <w:tcW w:w="1405" w:type="dxa"/>
            <w:vAlign w:val="top"/>
          </w:tcPr>
          <w:p>
            <w:pPr>
              <w:pStyle w:val="687"/>
              <w:autoSpaceDE w:val="0"/>
              <w:autoSpaceDN w:val="0"/>
              <w:spacing w:line="353" w:lineRule="auto"/>
            </w:pPr>
          </w:p>
          <w:p>
            <w:pPr>
              <w:autoSpaceDE w:val="0"/>
              <w:autoSpaceDN w:val="0"/>
              <w:spacing w:before="59" w:line="239" w:lineRule="auto"/>
              <w:ind w:left="377"/>
              <w:rPr>
                <w:rFonts w:ascii="宋体" w:hAnsi="宋体" w:eastAsia="宋体" w:cs="宋体"/>
                <w:sz w:val="18"/>
                <w:szCs w:val="18"/>
              </w:rPr>
            </w:pPr>
            <w:r>
              <w:rPr>
                <w:rFonts w:ascii="宋体" w:hAnsi="宋体" w:eastAsia="宋体" w:cs="宋体"/>
                <w:sz w:val="18"/>
                <w:szCs w:val="18"/>
              </w:rPr>
              <w:t>3</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002" w:hRule="atLeast"/>
        </w:trPr>
        <w:tc>
          <w:tcPr>
            <w:tcW w:w="820" w:type="dxa"/>
            <w:tcBorders>
              <w:left w:val="single" w:color="000008" w:sz="14" w:space="0"/>
            </w:tcBorders>
            <w:vAlign w:val="top"/>
          </w:tcPr>
          <w:p>
            <w:pPr>
              <w:pStyle w:val="687"/>
              <w:autoSpaceDE w:val="0"/>
              <w:autoSpaceDN w:val="0"/>
              <w:spacing w:line="292" w:lineRule="auto"/>
            </w:pPr>
          </w:p>
          <w:p>
            <w:pPr>
              <w:pStyle w:val="687"/>
              <w:autoSpaceDE w:val="0"/>
              <w:autoSpaceDN w:val="0"/>
              <w:spacing w:line="292" w:lineRule="auto"/>
            </w:pPr>
          </w:p>
          <w:p>
            <w:pPr>
              <w:autoSpaceDE w:val="0"/>
              <w:autoSpaceDN w:val="0"/>
              <w:spacing w:before="59" w:line="239" w:lineRule="auto"/>
              <w:ind w:left="364"/>
              <w:rPr>
                <w:rFonts w:ascii="宋体" w:hAnsi="宋体" w:eastAsia="宋体" w:cs="宋体"/>
                <w:sz w:val="18"/>
                <w:szCs w:val="18"/>
              </w:rPr>
            </w:pPr>
            <w:r>
              <w:rPr>
                <w:rFonts w:ascii="宋体" w:hAnsi="宋体" w:eastAsia="宋体" w:cs="宋体"/>
                <w:sz w:val="18"/>
                <w:szCs w:val="18"/>
              </w:rPr>
              <w:t>5</w:t>
            </w:r>
          </w:p>
        </w:tc>
        <w:tc>
          <w:tcPr>
            <w:tcW w:w="1361" w:type="dxa"/>
            <w:vAlign w:val="top"/>
          </w:tcPr>
          <w:p>
            <w:pPr>
              <w:pStyle w:val="687"/>
              <w:autoSpaceDE w:val="0"/>
              <w:autoSpaceDN w:val="0"/>
              <w:spacing w:line="292" w:lineRule="auto"/>
            </w:pPr>
          </w:p>
          <w:p>
            <w:pPr>
              <w:pStyle w:val="687"/>
              <w:autoSpaceDE w:val="0"/>
              <w:autoSpaceDN w:val="0"/>
              <w:spacing w:line="292"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5116" w:type="dxa"/>
            <w:vAlign w:val="top"/>
          </w:tcPr>
          <w:p>
            <w:pPr>
              <w:autoSpaceDE w:val="0"/>
              <w:autoSpaceDN w:val="0"/>
              <w:spacing w:before="196" w:line="219" w:lineRule="auto"/>
              <w:ind w:left="45"/>
              <w:rPr>
                <w:rFonts w:ascii="宋体" w:hAnsi="宋体" w:eastAsia="宋体" w:cs="宋体"/>
                <w:sz w:val="18"/>
                <w:szCs w:val="18"/>
              </w:rPr>
            </w:pPr>
            <w:r>
              <w:rPr>
                <w:rFonts w:ascii="宋体" w:hAnsi="宋体" w:eastAsia="宋体" w:cs="宋体"/>
                <w:spacing w:val="-2"/>
                <w:sz w:val="18"/>
                <w:szCs w:val="18"/>
              </w:rPr>
              <w:t>1.名称:低压电缆</w:t>
            </w:r>
          </w:p>
          <w:p>
            <w:pPr>
              <w:autoSpaceDE w:val="0"/>
              <w:autoSpaceDN w:val="0"/>
              <w:spacing w:before="10" w:line="230" w:lineRule="auto"/>
              <w:ind w:left="34" w:right="207"/>
              <w:rPr>
                <w:rFonts w:ascii="宋体" w:hAnsi="宋体" w:eastAsia="宋体" w:cs="宋体"/>
                <w:sz w:val="18"/>
                <w:szCs w:val="18"/>
              </w:rPr>
            </w:pPr>
            <w:r>
              <w:rPr>
                <w:rFonts w:ascii="宋体" w:hAnsi="宋体" w:eastAsia="宋体" w:cs="宋体"/>
                <w:sz w:val="18"/>
                <w:szCs w:val="18"/>
              </w:rPr>
              <w:t>2.规格:ZC-YJY- 0.6/1kV-5*16mm2</w:t>
            </w:r>
          </w:p>
          <w:p>
            <w:pPr>
              <w:autoSpaceDE w:val="0"/>
              <w:autoSpaceDN w:val="0"/>
              <w:spacing w:line="234" w:lineRule="auto"/>
              <w:ind w:left="35" w:right="39"/>
              <w:rPr>
                <w:rFonts w:ascii="宋体" w:hAnsi="宋体" w:eastAsia="宋体" w:cs="宋体"/>
                <w:sz w:val="18"/>
                <w:szCs w:val="18"/>
              </w:rPr>
            </w:pPr>
            <w:r>
              <w:rPr>
                <w:rFonts w:ascii="宋体" w:hAnsi="宋体" w:eastAsia="宋体" w:cs="宋体"/>
                <w:spacing w:val="-1"/>
                <w:sz w:val="18"/>
                <w:szCs w:val="18"/>
              </w:rPr>
              <w:t>3.敷设方式:桥架敷</w:t>
            </w:r>
            <w:r>
              <w:rPr>
                <w:rFonts w:ascii="宋体" w:hAnsi="宋体" w:eastAsia="宋体" w:cs="宋体"/>
                <w:sz w:val="18"/>
                <w:szCs w:val="18"/>
              </w:rPr>
              <w:t>设</w:t>
            </w:r>
          </w:p>
        </w:tc>
        <w:tc>
          <w:tcPr>
            <w:tcW w:w="1336" w:type="dxa"/>
            <w:vAlign w:val="top"/>
          </w:tcPr>
          <w:p>
            <w:pPr>
              <w:pStyle w:val="687"/>
              <w:autoSpaceDE w:val="0"/>
              <w:autoSpaceDN w:val="0"/>
              <w:spacing w:line="292" w:lineRule="auto"/>
            </w:pPr>
          </w:p>
          <w:p>
            <w:pPr>
              <w:pStyle w:val="687"/>
              <w:autoSpaceDE w:val="0"/>
              <w:autoSpaceDN w:val="0"/>
              <w:spacing w:line="292" w:lineRule="auto"/>
            </w:pPr>
          </w:p>
          <w:p>
            <w:pPr>
              <w:autoSpaceDE w:val="0"/>
              <w:autoSpaceDN w:val="0"/>
              <w:spacing w:before="58" w:line="241" w:lineRule="auto"/>
              <w:ind w:left="496"/>
              <w:rPr>
                <w:rFonts w:ascii="宋体" w:hAnsi="宋体" w:eastAsia="宋体" w:cs="宋体"/>
                <w:sz w:val="18"/>
                <w:szCs w:val="18"/>
              </w:rPr>
            </w:pPr>
            <w:r>
              <w:rPr>
                <w:rFonts w:ascii="宋体" w:hAnsi="宋体" w:eastAsia="宋体" w:cs="宋体"/>
                <w:sz w:val="18"/>
                <w:szCs w:val="18"/>
              </w:rPr>
              <w:t>m</w:t>
            </w:r>
          </w:p>
        </w:tc>
        <w:tc>
          <w:tcPr>
            <w:tcW w:w="1405" w:type="dxa"/>
            <w:vAlign w:val="top"/>
          </w:tcPr>
          <w:p>
            <w:pPr>
              <w:pStyle w:val="687"/>
              <w:autoSpaceDE w:val="0"/>
              <w:autoSpaceDN w:val="0"/>
              <w:spacing w:line="292" w:lineRule="auto"/>
            </w:pPr>
          </w:p>
          <w:p>
            <w:pPr>
              <w:pStyle w:val="687"/>
              <w:autoSpaceDE w:val="0"/>
              <w:autoSpaceDN w:val="0"/>
              <w:spacing w:line="292" w:lineRule="auto"/>
            </w:pPr>
          </w:p>
          <w:p>
            <w:pPr>
              <w:autoSpaceDE w:val="0"/>
              <w:autoSpaceDN w:val="0"/>
              <w:spacing w:before="59" w:line="239" w:lineRule="auto"/>
              <w:ind w:left="329"/>
              <w:rPr>
                <w:rFonts w:ascii="宋体" w:hAnsi="宋体" w:eastAsia="宋体" w:cs="宋体"/>
                <w:sz w:val="18"/>
                <w:szCs w:val="18"/>
              </w:rPr>
            </w:pPr>
            <w:r>
              <w:rPr>
                <w:rFonts w:ascii="宋体" w:hAnsi="宋体" w:eastAsia="宋体" w:cs="宋体"/>
                <w:spacing w:val="-4"/>
                <w:sz w:val="18"/>
                <w:szCs w:val="18"/>
              </w:rPr>
              <w:t>84</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16" w:hRule="atLeast"/>
        </w:trPr>
        <w:tc>
          <w:tcPr>
            <w:tcW w:w="820" w:type="dxa"/>
            <w:tcBorders>
              <w:left w:val="single" w:color="000008" w:sz="14" w:space="0"/>
            </w:tcBorders>
            <w:vAlign w:val="top"/>
          </w:tcPr>
          <w:p>
            <w:pPr>
              <w:pStyle w:val="687"/>
              <w:autoSpaceDE w:val="0"/>
              <w:autoSpaceDN w:val="0"/>
              <w:spacing w:line="360" w:lineRule="auto"/>
            </w:pPr>
          </w:p>
          <w:p>
            <w:pPr>
              <w:autoSpaceDE w:val="0"/>
              <w:autoSpaceDN w:val="0"/>
              <w:spacing w:before="58" w:line="239" w:lineRule="auto"/>
              <w:ind w:left="362"/>
              <w:rPr>
                <w:rFonts w:ascii="宋体" w:hAnsi="宋体" w:eastAsia="宋体" w:cs="宋体"/>
                <w:sz w:val="18"/>
                <w:szCs w:val="18"/>
              </w:rPr>
            </w:pPr>
            <w:r>
              <w:rPr>
                <w:rFonts w:ascii="宋体" w:hAnsi="宋体" w:eastAsia="宋体" w:cs="宋体"/>
                <w:sz w:val="18"/>
                <w:szCs w:val="18"/>
              </w:rPr>
              <w:t>6</w:t>
            </w:r>
          </w:p>
        </w:tc>
        <w:tc>
          <w:tcPr>
            <w:tcW w:w="1361" w:type="dxa"/>
            <w:vAlign w:val="top"/>
          </w:tcPr>
          <w:p>
            <w:pPr>
              <w:pStyle w:val="687"/>
              <w:autoSpaceDE w:val="0"/>
              <w:autoSpaceDN w:val="0"/>
              <w:spacing w:line="360" w:lineRule="auto"/>
            </w:pPr>
          </w:p>
          <w:p>
            <w:pPr>
              <w:autoSpaceDE w:val="0"/>
              <w:autoSpaceDN w:val="0"/>
              <w:spacing w:before="58" w:line="219" w:lineRule="auto"/>
              <w:ind w:left="51"/>
              <w:rPr>
                <w:rFonts w:ascii="宋体" w:hAnsi="宋体" w:eastAsia="宋体" w:cs="宋体"/>
                <w:sz w:val="18"/>
                <w:szCs w:val="18"/>
              </w:rPr>
            </w:pPr>
            <w:r>
              <w:rPr>
                <w:rFonts w:ascii="宋体" w:hAnsi="宋体" w:eastAsia="宋体" w:cs="宋体"/>
                <w:spacing w:val="-6"/>
                <w:sz w:val="18"/>
                <w:szCs w:val="18"/>
              </w:rPr>
              <w:t>电力电缆头</w:t>
            </w:r>
          </w:p>
        </w:tc>
        <w:tc>
          <w:tcPr>
            <w:tcW w:w="5116" w:type="dxa"/>
            <w:vAlign w:val="top"/>
          </w:tcPr>
          <w:p>
            <w:pPr>
              <w:autoSpaceDE w:val="0"/>
              <w:autoSpaceDN w:val="0"/>
              <w:spacing w:before="195" w:line="219" w:lineRule="auto"/>
              <w:ind w:left="45"/>
              <w:rPr>
                <w:rFonts w:ascii="宋体" w:hAnsi="宋体" w:eastAsia="宋体" w:cs="宋体"/>
                <w:sz w:val="18"/>
                <w:szCs w:val="18"/>
              </w:rPr>
            </w:pPr>
            <w:r>
              <w:rPr>
                <w:rFonts w:ascii="宋体" w:hAnsi="宋体" w:eastAsia="宋体" w:cs="宋体"/>
                <w:spacing w:val="-2"/>
                <w:sz w:val="18"/>
                <w:szCs w:val="18"/>
              </w:rPr>
              <w:t>1.名称:电缆终端头</w:t>
            </w:r>
          </w:p>
          <w:p>
            <w:pPr>
              <w:autoSpaceDE w:val="0"/>
              <w:autoSpaceDN w:val="0"/>
              <w:spacing w:before="12" w:line="235" w:lineRule="auto"/>
              <w:ind w:left="34" w:right="207"/>
              <w:rPr>
                <w:rFonts w:ascii="宋体" w:hAnsi="宋体" w:eastAsia="宋体" w:cs="宋体"/>
                <w:sz w:val="18"/>
                <w:szCs w:val="18"/>
              </w:rPr>
            </w:pPr>
            <w:r>
              <w:rPr>
                <w:rFonts w:ascii="宋体" w:hAnsi="宋体" w:eastAsia="宋体" w:cs="宋体"/>
                <w:sz w:val="18"/>
                <w:szCs w:val="18"/>
              </w:rPr>
              <w:t>2.规格:ZC-YJY- 0.6/1kV-5*16mm2</w:t>
            </w:r>
          </w:p>
        </w:tc>
        <w:tc>
          <w:tcPr>
            <w:tcW w:w="1336" w:type="dxa"/>
            <w:vAlign w:val="top"/>
          </w:tcPr>
          <w:p>
            <w:pPr>
              <w:pStyle w:val="687"/>
              <w:autoSpaceDE w:val="0"/>
              <w:autoSpaceDN w:val="0"/>
              <w:spacing w:line="360" w:lineRule="auto"/>
            </w:pPr>
          </w:p>
          <w:p>
            <w:pPr>
              <w:autoSpaceDE w:val="0"/>
              <w:autoSpaceDN w:val="0"/>
              <w:spacing w:before="58" w:line="219" w:lineRule="auto"/>
              <w:ind w:left="458"/>
              <w:rPr>
                <w:rFonts w:ascii="宋体" w:hAnsi="宋体" w:eastAsia="宋体" w:cs="宋体"/>
                <w:sz w:val="18"/>
                <w:szCs w:val="18"/>
              </w:rPr>
            </w:pPr>
            <w:r>
              <w:rPr>
                <w:rFonts w:ascii="宋体" w:hAnsi="宋体" w:eastAsia="宋体" w:cs="宋体"/>
                <w:sz w:val="18"/>
                <w:szCs w:val="18"/>
              </w:rPr>
              <w:t>个</w:t>
            </w:r>
          </w:p>
        </w:tc>
        <w:tc>
          <w:tcPr>
            <w:tcW w:w="1405" w:type="dxa"/>
            <w:vAlign w:val="top"/>
          </w:tcPr>
          <w:p>
            <w:pPr>
              <w:pStyle w:val="687"/>
              <w:autoSpaceDE w:val="0"/>
              <w:autoSpaceDN w:val="0"/>
              <w:spacing w:line="359" w:lineRule="auto"/>
            </w:pPr>
          </w:p>
          <w:p>
            <w:pPr>
              <w:autoSpaceDE w:val="0"/>
              <w:autoSpaceDN w:val="0"/>
              <w:spacing w:before="59" w:line="241" w:lineRule="auto"/>
              <w:ind w:left="372"/>
              <w:rPr>
                <w:rFonts w:ascii="宋体" w:hAnsi="宋体" w:eastAsia="宋体" w:cs="宋体"/>
                <w:sz w:val="18"/>
                <w:szCs w:val="18"/>
              </w:rPr>
            </w:pPr>
            <w:r>
              <w:rPr>
                <w:rFonts w:ascii="宋体" w:hAnsi="宋体" w:eastAsia="宋体" w:cs="宋体"/>
                <w:sz w:val="18"/>
                <w:szCs w:val="18"/>
              </w:rPr>
              <w:t>4</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89" w:line="239" w:lineRule="auto"/>
              <w:ind w:left="364"/>
              <w:rPr>
                <w:rFonts w:ascii="宋体" w:hAnsi="宋体" w:eastAsia="宋体" w:cs="宋体"/>
                <w:sz w:val="18"/>
                <w:szCs w:val="18"/>
              </w:rPr>
            </w:pPr>
            <w:r>
              <w:rPr>
                <w:rFonts w:ascii="宋体" w:hAnsi="宋体" w:eastAsia="宋体" w:cs="宋体"/>
                <w:sz w:val="18"/>
                <w:szCs w:val="18"/>
              </w:rPr>
              <w:t>7</w:t>
            </w:r>
          </w:p>
        </w:tc>
        <w:tc>
          <w:tcPr>
            <w:tcW w:w="1361" w:type="dxa"/>
            <w:vAlign w:val="top"/>
          </w:tcPr>
          <w:p>
            <w:pPr>
              <w:autoSpaceDE w:val="0"/>
              <w:autoSpaceDN w:val="0"/>
              <w:spacing w:before="189" w:line="220" w:lineRule="auto"/>
              <w:ind w:left="30"/>
              <w:rPr>
                <w:rFonts w:ascii="宋体" w:hAnsi="宋体" w:eastAsia="宋体" w:cs="宋体"/>
                <w:sz w:val="18"/>
                <w:szCs w:val="18"/>
              </w:rPr>
            </w:pPr>
            <w:r>
              <w:rPr>
                <w:rFonts w:ascii="宋体" w:hAnsi="宋体" w:eastAsia="宋体" w:cs="宋体"/>
                <w:spacing w:val="-4"/>
                <w:sz w:val="18"/>
                <w:szCs w:val="18"/>
              </w:rPr>
              <w:t>桥架</w:t>
            </w:r>
          </w:p>
        </w:tc>
        <w:tc>
          <w:tcPr>
            <w:tcW w:w="5116" w:type="dxa"/>
            <w:vAlign w:val="top"/>
          </w:tcPr>
          <w:p>
            <w:pPr>
              <w:autoSpaceDE w:val="0"/>
              <w:autoSpaceDN w:val="0"/>
              <w:spacing w:before="76" w:line="219" w:lineRule="auto"/>
              <w:ind w:left="45"/>
              <w:rPr>
                <w:rFonts w:ascii="宋体" w:hAnsi="宋体" w:eastAsia="宋体" w:cs="宋体"/>
                <w:sz w:val="18"/>
                <w:szCs w:val="18"/>
              </w:rPr>
            </w:pPr>
            <w:r>
              <w:rPr>
                <w:rFonts w:ascii="宋体" w:hAnsi="宋体" w:eastAsia="宋体" w:cs="宋体"/>
                <w:spacing w:val="-2"/>
                <w:sz w:val="18"/>
                <w:szCs w:val="18"/>
              </w:rPr>
              <w:t>1.名称:电缆桥架</w:t>
            </w:r>
          </w:p>
          <w:p>
            <w:pPr>
              <w:autoSpaceDE w:val="0"/>
              <w:autoSpaceDN w:val="0"/>
              <w:spacing w:before="12" w:line="198" w:lineRule="auto"/>
              <w:ind w:left="34"/>
              <w:rPr>
                <w:rFonts w:ascii="宋体" w:hAnsi="宋体" w:eastAsia="宋体" w:cs="宋体"/>
                <w:sz w:val="18"/>
                <w:szCs w:val="18"/>
              </w:rPr>
            </w:pPr>
            <w:r>
              <w:rPr>
                <w:rFonts w:ascii="宋体" w:hAnsi="宋体" w:eastAsia="宋体" w:cs="宋体"/>
                <w:spacing w:val="-1"/>
                <w:sz w:val="18"/>
                <w:szCs w:val="18"/>
              </w:rPr>
              <w:t>2.规格:200*100</w:t>
            </w:r>
          </w:p>
        </w:tc>
        <w:tc>
          <w:tcPr>
            <w:tcW w:w="1336" w:type="dxa"/>
            <w:vAlign w:val="top"/>
          </w:tcPr>
          <w:p>
            <w:pPr>
              <w:autoSpaceDE w:val="0"/>
              <w:autoSpaceDN w:val="0"/>
              <w:spacing w:before="189" w:line="241" w:lineRule="auto"/>
              <w:ind w:left="496"/>
              <w:rPr>
                <w:rFonts w:ascii="宋体" w:hAnsi="宋体" w:eastAsia="宋体" w:cs="宋体"/>
                <w:sz w:val="18"/>
                <w:szCs w:val="18"/>
              </w:rPr>
            </w:pPr>
            <w:r>
              <w:rPr>
                <w:rFonts w:ascii="宋体" w:hAnsi="宋体" w:eastAsia="宋体" w:cs="宋体"/>
                <w:sz w:val="18"/>
                <w:szCs w:val="18"/>
              </w:rPr>
              <w:t>m</w:t>
            </w:r>
          </w:p>
        </w:tc>
        <w:tc>
          <w:tcPr>
            <w:tcW w:w="1405" w:type="dxa"/>
            <w:vAlign w:val="top"/>
          </w:tcPr>
          <w:p>
            <w:pPr>
              <w:autoSpaceDE w:val="0"/>
              <w:autoSpaceDN w:val="0"/>
              <w:spacing w:before="189" w:line="239" w:lineRule="auto"/>
              <w:ind w:left="332"/>
              <w:rPr>
                <w:rFonts w:ascii="宋体" w:hAnsi="宋体" w:eastAsia="宋体" w:cs="宋体"/>
                <w:sz w:val="18"/>
                <w:szCs w:val="18"/>
              </w:rPr>
            </w:pPr>
            <w:r>
              <w:rPr>
                <w:rFonts w:ascii="宋体" w:hAnsi="宋体" w:eastAsia="宋体" w:cs="宋体"/>
                <w:spacing w:val="-5"/>
                <w:sz w:val="18"/>
                <w:szCs w:val="18"/>
              </w:rPr>
              <w:t>35</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pStyle w:val="687"/>
              <w:autoSpaceDE w:val="0"/>
              <w:autoSpaceDN w:val="0"/>
              <w:spacing w:line="247" w:lineRule="auto"/>
            </w:pPr>
          </w:p>
          <w:p>
            <w:pPr>
              <w:autoSpaceDE w:val="0"/>
              <w:autoSpaceDN w:val="0"/>
              <w:spacing w:before="58" w:line="239" w:lineRule="auto"/>
              <w:ind w:left="361"/>
              <w:rPr>
                <w:rFonts w:ascii="宋体" w:hAnsi="宋体" w:eastAsia="宋体" w:cs="宋体"/>
                <w:sz w:val="18"/>
                <w:szCs w:val="18"/>
              </w:rPr>
            </w:pPr>
            <w:r>
              <w:rPr>
                <w:rFonts w:ascii="宋体" w:hAnsi="宋体" w:eastAsia="宋体" w:cs="宋体"/>
                <w:sz w:val="18"/>
                <w:szCs w:val="18"/>
              </w:rPr>
              <w:t>8</w:t>
            </w:r>
          </w:p>
        </w:tc>
        <w:tc>
          <w:tcPr>
            <w:tcW w:w="1361" w:type="dxa"/>
            <w:vAlign w:val="top"/>
          </w:tcPr>
          <w:p>
            <w:pPr>
              <w:pStyle w:val="687"/>
              <w:autoSpaceDE w:val="0"/>
              <w:autoSpaceDN w:val="0"/>
              <w:spacing w:line="246" w:lineRule="auto"/>
            </w:pPr>
          </w:p>
          <w:p>
            <w:pPr>
              <w:autoSpaceDE w:val="0"/>
              <w:autoSpaceDN w:val="0"/>
              <w:spacing w:before="59" w:line="220" w:lineRule="auto"/>
              <w:ind w:left="31"/>
              <w:rPr>
                <w:rFonts w:ascii="宋体" w:hAnsi="宋体" w:eastAsia="宋体" w:cs="宋体"/>
                <w:sz w:val="18"/>
                <w:szCs w:val="18"/>
              </w:rPr>
            </w:pPr>
            <w:r>
              <w:rPr>
                <w:rFonts w:ascii="宋体" w:hAnsi="宋体" w:eastAsia="宋体" w:cs="宋体"/>
                <w:spacing w:val="-2"/>
                <w:sz w:val="18"/>
                <w:szCs w:val="18"/>
              </w:rPr>
              <w:t>开孔打洞</w:t>
            </w:r>
          </w:p>
        </w:tc>
        <w:tc>
          <w:tcPr>
            <w:tcW w:w="5116" w:type="dxa"/>
            <w:vAlign w:val="top"/>
          </w:tcPr>
          <w:p>
            <w:pPr>
              <w:autoSpaceDE w:val="0"/>
              <w:autoSpaceDN w:val="0"/>
              <w:spacing w:before="80" w:line="221" w:lineRule="auto"/>
              <w:ind w:left="45"/>
              <w:rPr>
                <w:rFonts w:ascii="宋体" w:hAnsi="宋体" w:eastAsia="宋体" w:cs="宋体"/>
                <w:sz w:val="18"/>
                <w:szCs w:val="18"/>
              </w:rPr>
            </w:pPr>
            <w:r>
              <w:rPr>
                <w:rFonts w:ascii="宋体" w:hAnsi="宋体" w:eastAsia="宋体" w:cs="宋体"/>
                <w:spacing w:val="-3"/>
                <w:sz w:val="18"/>
                <w:szCs w:val="18"/>
              </w:rPr>
              <w:t>1.名称:铣孔</w:t>
            </w:r>
          </w:p>
          <w:p>
            <w:pPr>
              <w:autoSpaceDE w:val="0"/>
              <w:autoSpaceDN w:val="0"/>
              <w:spacing w:before="10" w:line="215" w:lineRule="auto"/>
              <w:ind w:left="35" w:right="304" w:hanging="1"/>
              <w:rPr>
                <w:rFonts w:ascii="宋体" w:hAnsi="宋体" w:eastAsia="宋体" w:cs="宋体"/>
                <w:sz w:val="18"/>
                <w:szCs w:val="18"/>
              </w:rPr>
            </w:pPr>
            <w:r>
              <w:rPr>
                <w:rFonts w:ascii="宋体" w:hAnsi="宋体" w:eastAsia="宋体" w:cs="宋体"/>
                <w:spacing w:val="-1"/>
                <w:sz w:val="18"/>
                <w:szCs w:val="18"/>
              </w:rPr>
              <w:t>2.规格:200*100</w:t>
            </w:r>
            <w:r>
              <w:rPr>
                <w:rFonts w:ascii="宋体" w:hAnsi="宋体" w:eastAsia="宋体" w:cs="宋体"/>
                <w:spacing w:val="10"/>
                <w:sz w:val="18"/>
                <w:szCs w:val="18"/>
              </w:rPr>
              <w:t xml:space="preserve"> </w:t>
            </w:r>
            <w:r>
              <w:rPr>
                <w:rFonts w:ascii="宋体" w:hAnsi="宋体" w:eastAsia="宋体" w:cs="宋体"/>
                <w:spacing w:val="-1"/>
                <w:sz w:val="18"/>
                <w:szCs w:val="18"/>
              </w:rPr>
              <w:t>3.部位:墙体</w:t>
            </w:r>
          </w:p>
        </w:tc>
        <w:tc>
          <w:tcPr>
            <w:tcW w:w="1336" w:type="dxa"/>
            <w:vAlign w:val="top"/>
          </w:tcPr>
          <w:p>
            <w:pPr>
              <w:pStyle w:val="687"/>
              <w:autoSpaceDE w:val="0"/>
              <w:autoSpaceDN w:val="0"/>
              <w:spacing w:line="246" w:lineRule="auto"/>
            </w:pPr>
          </w:p>
          <w:p>
            <w:pPr>
              <w:autoSpaceDE w:val="0"/>
              <w:autoSpaceDN w:val="0"/>
              <w:spacing w:before="59" w:line="219" w:lineRule="auto"/>
              <w:ind w:left="458"/>
              <w:rPr>
                <w:rFonts w:ascii="宋体" w:hAnsi="宋体" w:eastAsia="宋体" w:cs="宋体"/>
                <w:sz w:val="18"/>
                <w:szCs w:val="18"/>
              </w:rPr>
            </w:pPr>
            <w:r>
              <w:rPr>
                <w:rFonts w:ascii="宋体" w:hAnsi="宋体" w:eastAsia="宋体" w:cs="宋体"/>
                <w:sz w:val="18"/>
                <w:szCs w:val="18"/>
              </w:rPr>
              <w:t>个</w:t>
            </w:r>
          </w:p>
        </w:tc>
        <w:tc>
          <w:tcPr>
            <w:tcW w:w="1405" w:type="dxa"/>
            <w:vAlign w:val="top"/>
          </w:tcPr>
          <w:p>
            <w:pPr>
              <w:pStyle w:val="687"/>
              <w:autoSpaceDE w:val="0"/>
              <w:autoSpaceDN w:val="0"/>
              <w:spacing w:line="246" w:lineRule="auto"/>
            </w:pPr>
          </w:p>
          <w:p>
            <w:pPr>
              <w:autoSpaceDE w:val="0"/>
              <w:autoSpaceDN w:val="0"/>
              <w:spacing w:before="58" w:line="241" w:lineRule="auto"/>
              <w:ind w:left="375"/>
              <w:rPr>
                <w:rFonts w:ascii="宋体" w:hAnsi="宋体" w:eastAsia="宋体" w:cs="宋体"/>
                <w:sz w:val="18"/>
                <w:szCs w:val="18"/>
              </w:rPr>
            </w:pPr>
            <w:r>
              <w:rPr>
                <w:rFonts w:ascii="宋体" w:hAnsi="宋体" w:eastAsia="宋体" w:cs="宋体"/>
                <w:sz w:val="18"/>
                <w:szCs w:val="18"/>
              </w:rPr>
              <w:t>2</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93" w:line="239" w:lineRule="auto"/>
              <w:ind w:left="361"/>
              <w:rPr>
                <w:rFonts w:ascii="宋体" w:hAnsi="宋体" w:eastAsia="宋体" w:cs="宋体"/>
                <w:sz w:val="18"/>
                <w:szCs w:val="18"/>
              </w:rPr>
            </w:pPr>
            <w:r>
              <w:rPr>
                <w:rFonts w:ascii="宋体" w:hAnsi="宋体" w:eastAsia="宋体" w:cs="宋体"/>
                <w:sz w:val="18"/>
                <w:szCs w:val="18"/>
              </w:rPr>
              <w:t>9</w:t>
            </w:r>
          </w:p>
        </w:tc>
        <w:tc>
          <w:tcPr>
            <w:tcW w:w="1361" w:type="dxa"/>
            <w:vAlign w:val="top"/>
          </w:tcPr>
          <w:p>
            <w:pPr>
              <w:autoSpaceDE w:val="0"/>
              <w:autoSpaceDN w:val="0"/>
              <w:spacing w:before="192" w:line="219" w:lineRule="auto"/>
              <w:ind w:left="41"/>
              <w:rPr>
                <w:rFonts w:ascii="宋体" w:hAnsi="宋体" w:eastAsia="宋体" w:cs="宋体"/>
                <w:sz w:val="18"/>
                <w:szCs w:val="18"/>
              </w:rPr>
            </w:pPr>
            <w:r>
              <w:rPr>
                <w:rFonts w:ascii="宋体" w:hAnsi="宋体" w:eastAsia="宋体" w:cs="宋体"/>
                <w:spacing w:val="-3"/>
                <w:sz w:val="18"/>
                <w:szCs w:val="18"/>
              </w:rPr>
              <w:t>防火堵料(包)</w:t>
            </w:r>
          </w:p>
        </w:tc>
        <w:tc>
          <w:tcPr>
            <w:tcW w:w="5116" w:type="dxa"/>
            <w:vAlign w:val="top"/>
          </w:tcPr>
          <w:p>
            <w:pPr>
              <w:autoSpaceDE w:val="0"/>
              <w:autoSpaceDN w:val="0"/>
              <w:spacing w:before="80" w:line="219" w:lineRule="auto"/>
              <w:ind w:left="45"/>
              <w:rPr>
                <w:rFonts w:ascii="宋体" w:hAnsi="宋体" w:eastAsia="宋体" w:cs="宋体"/>
                <w:sz w:val="18"/>
                <w:szCs w:val="18"/>
              </w:rPr>
            </w:pPr>
            <w:r>
              <w:rPr>
                <w:rFonts w:ascii="宋体" w:hAnsi="宋体" w:eastAsia="宋体" w:cs="宋体"/>
                <w:spacing w:val="-2"/>
                <w:sz w:val="18"/>
                <w:szCs w:val="18"/>
              </w:rPr>
              <w:t>1.名称:防火堵洞</w:t>
            </w:r>
          </w:p>
          <w:p>
            <w:pPr>
              <w:autoSpaceDE w:val="0"/>
              <w:autoSpaceDN w:val="0"/>
              <w:spacing w:before="12" w:line="195" w:lineRule="auto"/>
              <w:ind w:left="34"/>
              <w:rPr>
                <w:rFonts w:ascii="宋体" w:hAnsi="宋体" w:eastAsia="宋体" w:cs="宋体"/>
                <w:sz w:val="18"/>
                <w:szCs w:val="18"/>
              </w:rPr>
            </w:pPr>
            <w:r>
              <w:rPr>
                <w:rFonts w:ascii="宋体" w:hAnsi="宋体" w:eastAsia="宋体" w:cs="宋体"/>
                <w:spacing w:val="-1"/>
                <w:sz w:val="18"/>
                <w:szCs w:val="18"/>
              </w:rPr>
              <w:t>2.材质:封堵泥</w:t>
            </w:r>
          </w:p>
        </w:tc>
        <w:tc>
          <w:tcPr>
            <w:tcW w:w="1336" w:type="dxa"/>
            <w:vAlign w:val="top"/>
          </w:tcPr>
          <w:p>
            <w:pPr>
              <w:autoSpaceDE w:val="0"/>
              <w:autoSpaceDN w:val="0"/>
              <w:spacing w:before="193" w:line="213" w:lineRule="auto"/>
              <w:ind w:left="457"/>
              <w:rPr>
                <w:rFonts w:ascii="宋体" w:hAnsi="宋体" w:eastAsia="宋体" w:cs="宋体"/>
                <w:sz w:val="18"/>
                <w:szCs w:val="18"/>
              </w:rPr>
            </w:pPr>
            <w:r>
              <w:rPr>
                <w:rFonts w:ascii="宋体" w:hAnsi="宋体" w:eastAsia="宋体" w:cs="宋体"/>
                <w:spacing w:val="-3"/>
                <w:sz w:val="18"/>
                <w:szCs w:val="18"/>
              </w:rPr>
              <w:t>kg</w:t>
            </w:r>
          </w:p>
        </w:tc>
        <w:tc>
          <w:tcPr>
            <w:tcW w:w="1405" w:type="dxa"/>
            <w:vAlign w:val="top"/>
          </w:tcPr>
          <w:p>
            <w:pPr>
              <w:autoSpaceDE w:val="0"/>
              <w:autoSpaceDN w:val="0"/>
              <w:spacing w:before="193" w:line="239" w:lineRule="auto"/>
              <w:ind w:left="341"/>
              <w:rPr>
                <w:rFonts w:ascii="宋体" w:hAnsi="宋体" w:eastAsia="宋体" w:cs="宋体"/>
                <w:sz w:val="18"/>
                <w:szCs w:val="18"/>
              </w:rPr>
            </w:pPr>
            <w:r>
              <w:rPr>
                <w:rFonts w:ascii="宋体" w:hAnsi="宋体" w:eastAsia="宋体" w:cs="宋体"/>
                <w:spacing w:val="-10"/>
                <w:sz w:val="18"/>
                <w:szCs w:val="18"/>
              </w:rPr>
              <w:t>10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94" w:line="239" w:lineRule="auto"/>
              <w:ind w:left="330"/>
              <w:rPr>
                <w:rFonts w:ascii="宋体" w:hAnsi="宋体" w:eastAsia="宋体" w:cs="宋体"/>
                <w:sz w:val="18"/>
                <w:szCs w:val="18"/>
              </w:rPr>
            </w:pPr>
            <w:r>
              <w:rPr>
                <w:rFonts w:ascii="宋体" w:hAnsi="宋体" w:eastAsia="宋体" w:cs="宋体"/>
                <w:spacing w:val="-10"/>
                <w:sz w:val="18"/>
                <w:szCs w:val="18"/>
              </w:rPr>
              <w:t>10</w:t>
            </w:r>
          </w:p>
        </w:tc>
        <w:tc>
          <w:tcPr>
            <w:tcW w:w="1361" w:type="dxa"/>
            <w:vAlign w:val="top"/>
          </w:tcPr>
          <w:p>
            <w:pPr>
              <w:autoSpaceDE w:val="0"/>
              <w:autoSpaceDN w:val="0"/>
              <w:spacing w:before="80" w:line="213" w:lineRule="auto"/>
              <w:ind w:left="33" w:right="151" w:hanging="7"/>
              <w:rPr>
                <w:rFonts w:ascii="宋体" w:hAnsi="宋体" w:eastAsia="宋体" w:cs="宋体"/>
                <w:sz w:val="18"/>
                <w:szCs w:val="18"/>
              </w:rPr>
            </w:pPr>
            <w:r>
              <w:rPr>
                <w:rFonts w:ascii="宋体" w:hAnsi="宋体" w:eastAsia="宋体" w:cs="宋体"/>
                <w:spacing w:val="-1"/>
                <w:sz w:val="18"/>
                <w:szCs w:val="18"/>
              </w:rPr>
              <w:t>UPS不间断电源</w:t>
            </w:r>
            <w:r>
              <w:rPr>
                <w:rFonts w:ascii="宋体" w:hAnsi="宋体" w:eastAsia="宋体" w:cs="宋体"/>
                <w:spacing w:val="-5"/>
                <w:sz w:val="18"/>
                <w:szCs w:val="18"/>
              </w:rPr>
              <w:t>设备</w:t>
            </w:r>
          </w:p>
        </w:tc>
        <w:tc>
          <w:tcPr>
            <w:tcW w:w="5116" w:type="dxa"/>
            <w:vAlign w:val="top"/>
          </w:tcPr>
          <w:p>
            <w:pPr>
              <w:autoSpaceDE w:val="0"/>
              <w:autoSpaceDN w:val="0"/>
              <w:spacing w:before="81" w:line="221" w:lineRule="auto"/>
              <w:ind w:left="45"/>
              <w:rPr>
                <w:rFonts w:ascii="宋体" w:hAnsi="宋体" w:eastAsia="宋体" w:cs="宋体"/>
                <w:sz w:val="18"/>
                <w:szCs w:val="18"/>
              </w:rPr>
            </w:pPr>
            <w:r>
              <w:rPr>
                <w:rFonts w:ascii="宋体" w:hAnsi="宋体" w:eastAsia="宋体" w:cs="宋体"/>
                <w:spacing w:val="-2"/>
                <w:sz w:val="18"/>
                <w:szCs w:val="18"/>
              </w:rPr>
              <w:t>1.名称:UPS</w:t>
            </w:r>
          </w:p>
          <w:p>
            <w:pPr>
              <w:autoSpaceDE w:val="0"/>
              <w:autoSpaceDN w:val="0"/>
              <w:spacing w:before="9" w:line="194" w:lineRule="auto"/>
              <w:ind w:left="34"/>
              <w:rPr>
                <w:rFonts w:ascii="宋体" w:hAnsi="宋体" w:eastAsia="宋体" w:cs="宋体"/>
                <w:spacing w:val="-1"/>
                <w:sz w:val="18"/>
                <w:szCs w:val="18"/>
              </w:rPr>
            </w:pPr>
            <w:r>
              <w:rPr>
                <w:rFonts w:ascii="宋体" w:hAnsi="宋体" w:eastAsia="宋体" w:cs="宋体"/>
                <w:spacing w:val="-1"/>
                <w:sz w:val="18"/>
                <w:szCs w:val="18"/>
              </w:rPr>
              <w:t>2.容量:40kVA</w:t>
            </w:r>
          </w:p>
          <w:p>
            <w:pPr>
              <w:autoSpaceDE w:val="0"/>
              <w:autoSpaceDN w:val="0"/>
              <w:spacing w:before="9" w:line="194" w:lineRule="auto"/>
              <w:ind w:left="34"/>
              <w:rPr>
                <w:rFonts w:hint="default" w:ascii="宋体" w:hAnsi="宋体" w:eastAsia="宋体" w:cs="宋体"/>
                <w:spacing w:val="-1"/>
                <w:sz w:val="18"/>
                <w:szCs w:val="18"/>
                <w:lang w:val="en-US" w:eastAsia="zh-CN"/>
              </w:rPr>
            </w:pPr>
            <w:r>
              <w:rPr>
                <w:rFonts w:hint="eastAsia" w:ascii="宋体" w:hAnsi="宋体" w:eastAsia="宋体" w:cs="宋体"/>
                <w:spacing w:val="-1"/>
                <w:sz w:val="18"/>
                <w:szCs w:val="18"/>
                <w:lang w:val="en-US" w:eastAsia="zh-CN"/>
              </w:rPr>
              <w:t>3.时间：</w:t>
            </w:r>
            <w:r>
              <w:rPr>
                <w:rFonts w:hint="default" w:ascii="Arial" w:hAnsi="Arial" w:eastAsia="宋体" w:cs="Arial"/>
                <w:spacing w:val="-1"/>
                <w:sz w:val="18"/>
                <w:szCs w:val="18"/>
                <w:lang w:val="en-US" w:eastAsia="zh-CN"/>
              </w:rPr>
              <w:t>≥</w:t>
            </w:r>
            <w:r>
              <w:rPr>
                <w:rFonts w:hint="eastAsia" w:ascii="宋体" w:hAnsi="宋体" w:eastAsia="宋体" w:cs="宋体"/>
                <w:spacing w:val="-1"/>
                <w:sz w:val="18"/>
                <w:szCs w:val="18"/>
                <w:lang w:val="en-US" w:eastAsia="zh-CN"/>
              </w:rPr>
              <w:t>60分钟</w:t>
            </w:r>
          </w:p>
        </w:tc>
        <w:tc>
          <w:tcPr>
            <w:tcW w:w="1336" w:type="dxa"/>
            <w:vAlign w:val="top"/>
          </w:tcPr>
          <w:p>
            <w:pPr>
              <w:autoSpaceDE w:val="0"/>
              <w:autoSpaceDN w:val="0"/>
              <w:spacing w:before="193" w:line="220" w:lineRule="auto"/>
              <w:ind w:left="459"/>
              <w:rPr>
                <w:rFonts w:ascii="宋体" w:hAnsi="宋体" w:eastAsia="宋体" w:cs="宋体"/>
                <w:sz w:val="18"/>
                <w:szCs w:val="18"/>
              </w:rPr>
            </w:pPr>
            <w:r>
              <w:rPr>
                <w:rFonts w:ascii="宋体" w:hAnsi="宋体" w:eastAsia="宋体" w:cs="宋体"/>
                <w:sz w:val="18"/>
                <w:szCs w:val="18"/>
              </w:rPr>
              <w:t>套</w:t>
            </w:r>
          </w:p>
        </w:tc>
        <w:tc>
          <w:tcPr>
            <w:tcW w:w="1405" w:type="dxa"/>
            <w:vAlign w:val="top"/>
          </w:tcPr>
          <w:p>
            <w:pPr>
              <w:autoSpaceDE w:val="0"/>
              <w:autoSpaceDN w:val="0"/>
              <w:spacing w:before="193" w:line="241" w:lineRule="auto"/>
              <w:ind w:left="386"/>
              <w:rPr>
                <w:rFonts w:ascii="宋体" w:hAnsi="宋体" w:eastAsia="宋体" w:cs="宋体"/>
                <w:sz w:val="18"/>
                <w:szCs w:val="18"/>
              </w:rPr>
            </w:pPr>
            <w:r>
              <w:rPr>
                <w:rFonts w:ascii="宋体" w:hAnsi="宋体" w:eastAsia="宋体" w:cs="宋体"/>
                <w:sz w:val="18"/>
                <w:szCs w:val="18"/>
              </w:rPr>
              <w:t>1</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autoSpaceDE w:val="0"/>
              <w:autoSpaceDN w:val="0"/>
              <w:spacing w:before="111" w:line="220" w:lineRule="auto"/>
              <w:ind w:left="330"/>
              <w:rPr>
                <w:rFonts w:ascii="宋体" w:hAnsi="宋体" w:eastAsia="宋体" w:cs="宋体"/>
                <w:sz w:val="18"/>
                <w:szCs w:val="18"/>
              </w:rPr>
            </w:pPr>
            <w:r>
              <w:rPr>
                <w:rFonts w:ascii="宋体" w:hAnsi="宋体" w:eastAsia="宋体" w:cs="宋体"/>
                <w:spacing w:val="-10"/>
                <w:sz w:val="18"/>
                <w:szCs w:val="18"/>
              </w:rPr>
              <w:t>11</w:t>
            </w:r>
          </w:p>
        </w:tc>
        <w:tc>
          <w:tcPr>
            <w:tcW w:w="1361" w:type="dxa"/>
            <w:vAlign w:val="top"/>
          </w:tcPr>
          <w:p>
            <w:pPr>
              <w:autoSpaceDE w:val="0"/>
              <w:autoSpaceDN w:val="0"/>
              <w:spacing w:before="111" w:line="220" w:lineRule="auto"/>
              <w:ind w:left="29"/>
              <w:rPr>
                <w:rFonts w:ascii="宋体" w:hAnsi="宋体" w:eastAsia="宋体" w:cs="宋体"/>
                <w:sz w:val="18"/>
                <w:szCs w:val="18"/>
              </w:rPr>
            </w:pPr>
            <w:r>
              <w:rPr>
                <w:rFonts w:ascii="宋体" w:hAnsi="宋体" w:eastAsia="宋体" w:cs="宋体"/>
                <w:spacing w:val="-2"/>
                <w:sz w:val="18"/>
                <w:szCs w:val="18"/>
              </w:rPr>
              <w:t>低压开关柜</w:t>
            </w:r>
          </w:p>
        </w:tc>
        <w:tc>
          <w:tcPr>
            <w:tcW w:w="5116" w:type="dxa"/>
            <w:vAlign w:val="top"/>
          </w:tcPr>
          <w:p>
            <w:pPr>
              <w:autoSpaceDE w:val="0"/>
              <w:autoSpaceDN w:val="0"/>
              <w:spacing w:before="111" w:line="220" w:lineRule="auto"/>
              <w:ind w:left="45"/>
              <w:rPr>
                <w:rFonts w:ascii="宋体" w:hAnsi="宋体" w:eastAsia="宋体" w:cs="宋体"/>
                <w:spacing w:val="-3"/>
                <w:sz w:val="18"/>
                <w:szCs w:val="18"/>
              </w:rPr>
            </w:pPr>
            <w:r>
              <w:rPr>
                <w:rFonts w:ascii="宋体" w:hAnsi="宋体" w:eastAsia="宋体" w:cs="宋体"/>
                <w:spacing w:val="-3"/>
                <w:sz w:val="18"/>
                <w:szCs w:val="18"/>
              </w:rPr>
              <w:t>1.名称:电池柜</w:t>
            </w:r>
          </w:p>
          <w:p>
            <w:pPr>
              <w:autoSpaceDE w:val="0"/>
              <w:autoSpaceDN w:val="0"/>
              <w:spacing w:before="111" w:line="220" w:lineRule="auto"/>
              <w:ind w:left="45"/>
              <w:rPr>
                <w:rFonts w:hint="default" w:ascii="宋体" w:hAnsi="宋体" w:eastAsia="宋体" w:cs="宋体"/>
                <w:spacing w:val="-3"/>
                <w:sz w:val="18"/>
                <w:szCs w:val="18"/>
                <w:lang w:val="en-US" w:eastAsia="zh-CN"/>
              </w:rPr>
            </w:pPr>
            <w:r>
              <w:rPr>
                <w:rFonts w:hint="eastAsia" w:ascii="宋体" w:hAnsi="宋体" w:eastAsia="宋体" w:cs="宋体"/>
                <w:spacing w:val="-3"/>
                <w:sz w:val="18"/>
                <w:szCs w:val="18"/>
                <w:lang w:val="en-US" w:eastAsia="zh-CN"/>
              </w:rPr>
              <w:t>2.方式：并联方式</w:t>
            </w:r>
          </w:p>
        </w:tc>
        <w:tc>
          <w:tcPr>
            <w:tcW w:w="1336" w:type="dxa"/>
            <w:vAlign w:val="top"/>
          </w:tcPr>
          <w:p>
            <w:pPr>
              <w:autoSpaceDE w:val="0"/>
              <w:autoSpaceDN w:val="0"/>
              <w:spacing w:before="111" w:line="220" w:lineRule="auto"/>
              <w:ind w:left="472"/>
              <w:rPr>
                <w:rFonts w:ascii="宋体" w:hAnsi="宋体" w:eastAsia="宋体" w:cs="宋体"/>
                <w:sz w:val="18"/>
                <w:szCs w:val="18"/>
              </w:rPr>
            </w:pPr>
            <w:r>
              <w:rPr>
                <w:rFonts w:ascii="宋体" w:hAnsi="宋体" w:eastAsia="宋体" w:cs="宋体"/>
                <w:sz w:val="18"/>
                <w:szCs w:val="18"/>
              </w:rPr>
              <w:t>台</w:t>
            </w:r>
          </w:p>
        </w:tc>
        <w:tc>
          <w:tcPr>
            <w:tcW w:w="1405" w:type="dxa"/>
            <w:vAlign w:val="top"/>
          </w:tcPr>
          <w:p>
            <w:pPr>
              <w:autoSpaceDE w:val="0"/>
              <w:autoSpaceDN w:val="0"/>
              <w:spacing w:before="111" w:line="220" w:lineRule="auto"/>
              <w:ind w:left="375"/>
              <w:rPr>
                <w:rFonts w:ascii="宋体" w:hAnsi="宋体" w:eastAsia="宋体" w:cs="宋体"/>
                <w:sz w:val="18"/>
                <w:szCs w:val="18"/>
              </w:rPr>
            </w:pPr>
            <w:r>
              <w:rPr>
                <w:rFonts w:ascii="宋体" w:hAnsi="宋体" w:eastAsia="宋体" w:cs="宋体"/>
                <w:sz w:val="18"/>
                <w:szCs w:val="18"/>
              </w:rPr>
              <w:t>2</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pStyle w:val="687"/>
              <w:autoSpaceDE w:val="0"/>
              <w:autoSpaceDN w:val="0"/>
              <w:spacing w:line="251" w:lineRule="auto"/>
            </w:pPr>
          </w:p>
          <w:p>
            <w:pPr>
              <w:autoSpaceDE w:val="0"/>
              <w:autoSpaceDN w:val="0"/>
              <w:spacing w:before="58" w:line="241" w:lineRule="auto"/>
              <w:ind w:left="330"/>
              <w:rPr>
                <w:rFonts w:ascii="宋体" w:hAnsi="宋体" w:eastAsia="宋体" w:cs="宋体"/>
                <w:sz w:val="18"/>
                <w:szCs w:val="18"/>
              </w:rPr>
            </w:pPr>
            <w:r>
              <w:rPr>
                <w:rFonts w:ascii="宋体" w:hAnsi="宋体" w:eastAsia="宋体" w:cs="宋体"/>
                <w:spacing w:val="-10"/>
                <w:sz w:val="18"/>
                <w:szCs w:val="18"/>
              </w:rPr>
              <w:t>12</w:t>
            </w:r>
          </w:p>
        </w:tc>
        <w:tc>
          <w:tcPr>
            <w:tcW w:w="1361" w:type="dxa"/>
            <w:vAlign w:val="top"/>
          </w:tcPr>
          <w:p>
            <w:pPr>
              <w:pStyle w:val="687"/>
              <w:autoSpaceDE w:val="0"/>
              <w:autoSpaceDN w:val="0"/>
              <w:spacing w:line="251" w:lineRule="auto"/>
            </w:pPr>
          </w:p>
          <w:p>
            <w:pPr>
              <w:autoSpaceDE w:val="0"/>
              <w:autoSpaceDN w:val="0"/>
              <w:spacing w:before="58" w:line="220" w:lineRule="auto"/>
              <w:ind w:left="29"/>
              <w:rPr>
                <w:rFonts w:ascii="宋体" w:hAnsi="宋体" w:eastAsia="宋体" w:cs="宋体"/>
                <w:sz w:val="18"/>
                <w:szCs w:val="18"/>
              </w:rPr>
            </w:pPr>
            <w:r>
              <w:rPr>
                <w:rFonts w:ascii="宋体" w:hAnsi="宋体" w:eastAsia="宋体" w:cs="宋体"/>
                <w:spacing w:val="-2"/>
                <w:sz w:val="18"/>
                <w:szCs w:val="18"/>
              </w:rPr>
              <w:t>接地母线</w:t>
            </w:r>
          </w:p>
        </w:tc>
        <w:tc>
          <w:tcPr>
            <w:tcW w:w="5116" w:type="dxa"/>
            <w:vAlign w:val="top"/>
          </w:tcPr>
          <w:p>
            <w:pPr>
              <w:autoSpaceDE w:val="0"/>
              <w:autoSpaceDN w:val="0"/>
              <w:spacing w:before="86" w:line="220" w:lineRule="auto"/>
              <w:ind w:left="45"/>
              <w:rPr>
                <w:rFonts w:ascii="宋体" w:hAnsi="宋体" w:eastAsia="宋体" w:cs="宋体"/>
                <w:sz w:val="18"/>
                <w:szCs w:val="18"/>
              </w:rPr>
            </w:pPr>
            <w:r>
              <w:rPr>
                <w:rFonts w:ascii="宋体" w:hAnsi="宋体" w:eastAsia="宋体" w:cs="宋体"/>
                <w:spacing w:val="-2"/>
                <w:sz w:val="18"/>
                <w:szCs w:val="18"/>
              </w:rPr>
              <w:t>1.名称:接地母线</w:t>
            </w:r>
          </w:p>
          <w:p>
            <w:pPr>
              <w:autoSpaceDE w:val="0"/>
              <w:autoSpaceDN w:val="0"/>
              <w:spacing w:before="10" w:line="218" w:lineRule="auto"/>
              <w:ind w:left="34"/>
              <w:rPr>
                <w:rFonts w:ascii="宋体" w:hAnsi="宋体" w:eastAsia="宋体" w:cs="宋体"/>
                <w:sz w:val="18"/>
                <w:szCs w:val="18"/>
              </w:rPr>
            </w:pPr>
            <w:r>
              <w:rPr>
                <w:rFonts w:ascii="宋体" w:hAnsi="宋体" w:eastAsia="宋体" w:cs="宋体"/>
                <w:spacing w:val="-1"/>
                <w:sz w:val="18"/>
                <w:szCs w:val="18"/>
              </w:rPr>
              <w:t>2.材质:热镀锌扁钢</w:t>
            </w:r>
          </w:p>
          <w:p>
            <w:pPr>
              <w:autoSpaceDE w:val="0"/>
              <w:autoSpaceDN w:val="0"/>
              <w:spacing w:before="12" w:line="194" w:lineRule="auto"/>
              <w:ind w:left="36"/>
              <w:rPr>
                <w:rFonts w:ascii="宋体" w:hAnsi="宋体" w:eastAsia="宋体" w:cs="宋体"/>
                <w:sz w:val="18"/>
                <w:szCs w:val="18"/>
              </w:rPr>
            </w:pPr>
            <w:r>
              <w:rPr>
                <w:rFonts w:ascii="宋体" w:hAnsi="宋体" w:eastAsia="宋体" w:cs="宋体"/>
                <w:spacing w:val="-1"/>
                <w:sz w:val="18"/>
                <w:szCs w:val="18"/>
              </w:rPr>
              <w:t>3.规格:-50*5</w:t>
            </w:r>
          </w:p>
        </w:tc>
        <w:tc>
          <w:tcPr>
            <w:tcW w:w="1336" w:type="dxa"/>
            <w:vAlign w:val="top"/>
          </w:tcPr>
          <w:p>
            <w:pPr>
              <w:pStyle w:val="687"/>
              <w:autoSpaceDE w:val="0"/>
              <w:autoSpaceDN w:val="0"/>
              <w:spacing w:line="251" w:lineRule="auto"/>
            </w:pPr>
          </w:p>
          <w:p>
            <w:pPr>
              <w:autoSpaceDE w:val="0"/>
              <w:autoSpaceDN w:val="0"/>
              <w:spacing w:before="58" w:line="241" w:lineRule="auto"/>
              <w:ind w:left="496"/>
              <w:rPr>
                <w:rFonts w:ascii="宋体" w:hAnsi="宋体" w:eastAsia="宋体" w:cs="宋体"/>
                <w:sz w:val="18"/>
                <w:szCs w:val="18"/>
              </w:rPr>
            </w:pPr>
            <w:r>
              <w:rPr>
                <w:rFonts w:ascii="宋体" w:hAnsi="宋体" w:eastAsia="宋体" w:cs="宋体"/>
                <w:sz w:val="18"/>
                <w:szCs w:val="18"/>
              </w:rPr>
              <w:t>m</w:t>
            </w:r>
          </w:p>
        </w:tc>
        <w:tc>
          <w:tcPr>
            <w:tcW w:w="1405" w:type="dxa"/>
            <w:vAlign w:val="top"/>
          </w:tcPr>
          <w:p>
            <w:pPr>
              <w:pStyle w:val="687"/>
              <w:autoSpaceDE w:val="0"/>
              <w:autoSpaceDN w:val="0"/>
              <w:spacing w:line="251" w:lineRule="auto"/>
            </w:pPr>
          </w:p>
          <w:p>
            <w:pPr>
              <w:autoSpaceDE w:val="0"/>
              <w:autoSpaceDN w:val="0"/>
              <w:spacing w:before="59" w:line="239" w:lineRule="auto"/>
              <w:ind w:left="327"/>
              <w:rPr>
                <w:rFonts w:ascii="宋体" w:hAnsi="宋体" w:eastAsia="宋体" w:cs="宋体"/>
                <w:sz w:val="18"/>
                <w:szCs w:val="18"/>
              </w:rPr>
            </w:pPr>
            <w:r>
              <w:rPr>
                <w:rFonts w:ascii="宋体" w:hAnsi="宋体" w:eastAsia="宋体" w:cs="宋体"/>
                <w:spacing w:val="-3"/>
                <w:sz w:val="18"/>
                <w:szCs w:val="18"/>
              </w:rPr>
              <w:t>40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pStyle w:val="687"/>
              <w:autoSpaceDE w:val="0"/>
              <w:autoSpaceDN w:val="0"/>
              <w:spacing w:line="253" w:lineRule="auto"/>
            </w:pPr>
          </w:p>
          <w:p>
            <w:pPr>
              <w:autoSpaceDE w:val="0"/>
              <w:autoSpaceDN w:val="0"/>
              <w:spacing w:before="59" w:line="239" w:lineRule="auto"/>
              <w:ind w:left="330"/>
              <w:rPr>
                <w:rFonts w:ascii="宋体" w:hAnsi="宋体" w:eastAsia="宋体" w:cs="宋体"/>
                <w:sz w:val="18"/>
                <w:szCs w:val="18"/>
              </w:rPr>
            </w:pPr>
            <w:r>
              <w:rPr>
                <w:rFonts w:ascii="宋体" w:hAnsi="宋体" w:eastAsia="宋体" w:cs="宋体"/>
                <w:spacing w:val="-10"/>
                <w:sz w:val="18"/>
                <w:szCs w:val="18"/>
              </w:rPr>
              <w:t>13</w:t>
            </w:r>
          </w:p>
        </w:tc>
        <w:tc>
          <w:tcPr>
            <w:tcW w:w="1361" w:type="dxa"/>
            <w:vAlign w:val="top"/>
          </w:tcPr>
          <w:p>
            <w:pPr>
              <w:autoSpaceDE w:val="0"/>
              <w:autoSpaceDN w:val="0"/>
              <w:spacing w:before="200" w:line="235" w:lineRule="auto"/>
              <w:ind w:left="35" w:right="151" w:hanging="4"/>
              <w:rPr>
                <w:rFonts w:ascii="宋体" w:hAnsi="宋体" w:eastAsia="宋体" w:cs="宋体"/>
                <w:sz w:val="18"/>
                <w:szCs w:val="18"/>
              </w:rPr>
            </w:pPr>
            <w:r>
              <w:rPr>
                <w:rFonts w:ascii="宋体" w:hAnsi="宋体" w:eastAsia="宋体" w:cs="宋体"/>
                <w:spacing w:val="-1"/>
                <w:sz w:val="18"/>
                <w:szCs w:val="18"/>
              </w:rPr>
              <w:t>支/吊架、基础</w:t>
            </w:r>
            <w:r>
              <w:rPr>
                <w:rFonts w:ascii="宋体" w:hAnsi="宋体" w:eastAsia="宋体" w:cs="宋体"/>
                <w:spacing w:val="-7"/>
                <w:sz w:val="18"/>
                <w:szCs w:val="18"/>
              </w:rPr>
              <w:t>型钢</w:t>
            </w:r>
          </w:p>
        </w:tc>
        <w:tc>
          <w:tcPr>
            <w:tcW w:w="5116" w:type="dxa"/>
            <w:vAlign w:val="top"/>
          </w:tcPr>
          <w:p>
            <w:pPr>
              <w:autoSpaceDE w:val="0"/>
              <w:autoSpaceDN w:val="0"/>
              <w:spacing w:before="87" w:line="221" w:lineRule="auto"/>
              <w:ind w:left="45"/>
              <w:rPr>
                <w:rFonts w:ascii="宋体" w:hAnsi="宋体" w:eastAsia="宋体" w:cs="宋体"/>
                <w:sz w:val="18"/>
                <w:szCs w:val="18"/>
              </w:rPr>
            </w:pPr>
            <w:r>
              <w:rPr>
                <w:rFonts w:ascii="宋体" w:hAnsi="宋体" w:eastAsia="宋体" w:cs="宋体"/>
                <w:spacing w:val="-2"/>
                <w:sz w:val="18"/>
                <w:szCs w:val="18"/>
              </w:rPr>
              <w:t>1.名称:设备基础</w:t>
            </w:r>
          </w:p>
          <w:p>
            <w:pPr>
              <w:autoSpaceDE w:val="0"/>
              <w:autoSpaceDN w:val="0"/>
              <w:spacing w:before="11" w:line="218" w:lineRule="auto"/>
              <w:ind w:left="34"/>
              <w:rPr>
                <w:rFonts w:ascii="宋体" w:hAnsi="宋体" w:eastAsia="宋体" w:cs="宋体"/>
                <w:sz w:val="18"/>
                <w:szCs w:val="18"/>
              </w:rPr>
            </w:pPr>
            <w:r>
              <w:rPr>
                <w:rFonts w:ascii="宋体" w:hAnsi="宋体" w:eastAsia="宋体" w:cs="宋体"/>
                <w:spacing w:val="-1"/>
                <w:sz w:val="18"/>
                <w:szCs w:val="18"/>
              </w:rPr>
              <w:t>2.材质:角钢</w:t>
            </w:r>
          </w:p>
          <w:p>
            <w:pPr>
              <w:autoSpaceDE w:val="0"/>
              <w:autoSpaceDN w:val="0"/>
              <w:spacing w:before="12" w:line="192" w:lineRule="auto"/>
              <w:ind w:left="36"/>
              <w:rPr>
                <w:rFonts w:ascii="宋体" w:hAnsi="宋体" w:eastAsia="宋体" w:cs="宋体"/>
                <w:sz w:val="18"/>
                <w:szCs w:val="18"/>
              </w:rPr>
            </w:pPr>
            <w:r>
              <w:rPr>
                <w:rFonts w:ascii="宋体" w:hAnsi="宋体" w:eastAsia="宋体" w:cs="宋体"/>
                <w:spacing w:val="-3"/>
                <w:sz w:val="18"/>
                <w:szCs w:val="18"/>
              </w:rPr>
              <w:t>3.规格:</w:t>
            </w:r>
            <w:r>
              <w:rPr>
                <w:rFonts w:ascii="宋体" w:hAnsi="宋体" w:eastAsia="宋体" w:cs="宋体"/>
                <w:spacing w:val="-65"/>
                <w:sz w:val="18"/>
                <w:szCs w:val="18"/>
              </w:rPr>
              <w:t xml:space="preserve"> </w:t>
            </w:r>
            <w:r>
              <w:rPr>
                <w:rFonts w:ascii="宋体" w:hAnsi="宋体" w:eastAsia="宋体" w:cs="宋体"/>
                <w:spacing w:val="-3"/>
                <w:sz w:val="18"/>
                <w:szCs w:val="18"/>
              </w:rPr>
              <w:t>∠50*5</w:t>
            </w:r>
          </w:p>
        </w:tc>
        <w:tc>
          <w:tcPr>
            <w:tcW w:w="1336" w:type="dxa"/>
            <w:vAlign w:val="top"/>
          </w:tcPr>
          <w:p>
            <w:pPr>
              <w:pStyle w:val="687"/>
              <w:autoSpaceDE w:val="0"/>
              <w:autoSpaceDN w:val="0"/>
              <w:spacing w:line="253" w:lineRule="auto"/>
            </w:pPr>
          </w:p>
          <w:p>
            <w:pPr>
              <w:autoSpaceDE w:val="0"/>
              <w:autoSpaceDN w:val="0"/>
              <w:spacing w:before="59" w:line="213" w:lineRule="auto"/>
              <w:ind w:left="457"/>
              <w:rPr>
                <w:rFonts w:ascii="宋体" w:hAnsi="宋体" w:eastAsia="宋体" w:cs="宋体"/>
                <w:sz w:val="18"/>
                <w:szCs w:val="18"/>
              </w:rPr>
            </w:pPr>
            <w:r>
              <w:rPr>
                <w:rFonts w:ascii="宋体" w:hAnsi="宋体" w:eastAsia="宋体" w:cs="宋体"/>
                <w:spacing w:val="-3"/>
                <w:sz w:val="18"/>
                <w:szCs w:val="18"/>
              </w:rPr>
              <w:t>kg</w:t>
            </w:r>
          </w:p>
        </w:tc>
        <w:tc>
          <w:tcPr>
            <w:tcW w:w="1405" w:type="dxa"/>
            <w:vAlign w:val="top"/>
          </w:tcPr>
          <w:p>
            <w:pPr>
              <w:pStyle w:val="687"/>
              <w:autoSpaceDE w:val="0"/>
              <w:autoSpaceDN w:val="0"/>
              <w:spacing w:line="253" w:lineRule="auto"/>
            </w:pPr>
          </w:p>
          <w:p>
            <w:pPr>
              <w:autoSpaceDE w:val="0"/>
              <w:autoSpaceDN w:val="0"/>
              <w:spacing w:before="58" w:line="239" w:lineRule="auto"/>
              <w:ind w:left="192"/>
              <w:rPr>
                <w:rFonts w:ascii="宋体" w:hAnsi="宋体" w:eastAsia="宋体" w:cs="宋体"/>
                <w:sz w:val="18"/>
                <w:szCs w:val="18"/>
              </w:rPr>
            </w:pPr>
            <w:r>
              <w:rPr>
                <w:rFonts w:ascii="宋体" w:hAnsi="宋体" w:eastAsia="宋体" w:cs="宋体"/>
                <w:spacing w:val="-1"/>
                <w:sz w:val="18"/>
                <w:szCs w:val="18"/>
              </w:rPr>
              <w:t>94.25</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autoSpaceDE w:val="0"/>
              <w:autoSpaceDN w:val="0"/>
              <w:spacing w:before="115" w:line="216" w:lineRule="auto"/>
              <w:ind w:left="330"/>
              <w:rPr>
                <w:rFonts w:ascii="宋体" w:hAnsi="宋体" w:eastAsia="宋体" w:cs="宋体"/>
                <w:sz w:val="18"/>
                <w:szCs w:val="18"/>
              </w:rPr>
            </w:pPr>
            <w:r>
              <w:rPr>
                <w:rFonts w:ascii="宋体" w:hAnsi="宋体" w:eastAsia="宋体" w:cs="宋体"/>
                <w:spacing w:val="-10"/>
                <w:sz w:val="18"/>
                <w:szCs w:val="18"/>
              </w:rPr>
              <w:t>14</w:t>
            </w:r>
          </w:p>
        </w:tc>
        <w:tc>
          <w:tcPr>
            <w:tcW w:w="1361" w:type="dxa"/>
            <w:vAlign w:val="top"/>
          </w:tcPr>
          <w:p>
            <w:pPr>
              <w:autoSpaceDE w:val="0"/>
              <w:autoSpaceDN w:val="0"/>
              <w:spacing w:before="115" w:line="216" w:lineRule="auto"/>
              <w:ind w:left="31"/>
              <w:rPr>
                <w:rFonts w:ascii="宋体" w:hAnsi="宋体" w:eastAsia="宋体" w:cs="宋体"/>
                <w:sz w:val="18"/>
                <w:szCs w:val="18"/>
              </w:rPr>
            </w:pPr>
            <w:r>
              <w:rPr>
                <w:rFonts w:ascii="宋体" w:hAnsi="宋体" w:eastAsia="宋体" w:cs="宋体"/>
                <w:spacing w:val="-2"/>
                <w:sz w:val="18"/>
                <w:szCs w:val="18"/>
              </w:rPr>
              <w:t>花纹钢板</w:t>
            </w:r>
          </w:p>
        </w:tc>
        <w:tc>
          <w:tcPr>
            <w:tcW w:w="5116" w:type="dxa"/>
            <w:vAlign w:val="top"/>
          </w:tcPr>
          <w:p>
            <w:pPr>
              <w:autoSpaceDE w:val="0"/>
              <w:autoSpaceDN w:val="0"/>
              <w:spacing w:before="115" w:line="216" w:lineRule="auto"/>
              <w:ind w:left="45"/>
              <w:rPr>
                <w:rFonts w:ascii="宋体" w:hAnsi="宋体" w:eastAsia="宋体" w:cs="宋体"/>
                <w:sz w:val="18"/>
                <w:szCs w:val="18"/>
              </w:rPr>
            </w:pPr>
            <w:r>
              <w:rPr>
                <w:rFonts w:ascii="宋体" w:hAnsi="宋体" w:eastAsia="宋体" w:cs="宋体"/>
                <w:spacing w:val="-2"/>
                <w:sz w:val="18"/>
                <w:szCs w:val="18"/>
              </w:rPr>
              <w:t>1.名称:花纹钢板</w:t>
            </w:r>
          </w:p>
        </w:tc>
        <w:tc>
          <w:tcPr>
            <w:tcW w:w="1336" w:type="dxa"/>
            <w:vAlign w:val="top"/>
          </w:tcPr>
          <w:p>
            <w:pPr>
              <w:autoSpaceDE w:val="0"/>
              <w:autoSpaceDN w:val="0"/>
              <w:spacing w:before="115" w:line="216" w:lineRule="auto"/>
              <w:ind w:left="453"/>
              <w:rPr>
                <w:rFonts w:ascii="宋体" w:hAnsi="宋体" w:eastAsia="宋体" w:cs="宋体"/>
                <w:sz w:val="18"/>
                <w:szCs w:val="18"/>
              </w:rPr>
            </w:pPr>
            <w:r>
              <w:rPr>
                <w:rFonts w:ascii="宋体" w:hAnsi="宋体" w:eastAsia="宋体" w:cs="宋体"/>
                <w:spacing w:val="-1"/>
                <w:sz w:val="18"/>
                <w:szCs w:val="18"/>
              </w:rPr>
              <w:t>m2</w:t>
            </w:r>
          </w:p>
        </w:tc>
        <w:tc>
          <w:tcPr>
            <w:tcW w:w="1405" w:type="dxa"/>
            <w:vAlign w:val="top"/>
          </w:tcPr>
          <w:p>
            <w:pPr>
              <w:autoSpaceDE w:val="0"/>
              <w:autoSpaceDN w:val="0"/>
              <w:spacing w:before="115" w:line="216" w:lineRule="auto"/>
              <w:ind w:left="375"/>
              <w:rPr>
                <w:rFonts w:ascii="宋体" w:hAnsi="宋体" w:eastAsia="宋体" w:cs="宋体"/>
                <w:sz w:val="18"/>
                <w:szCs w:val="18"/>
              </w:rPr>
            </w:pPr>
            <w:r>
              <w:rPr>
                <w:rFonts w:ascii="宋体" w:hAnsi="宋体" w:eastAsia="宋体" w:cs="宋体"/>
                <w:sz w:val="18"/>
                <w:szCs w:val="18"/>
              </w:rPr>
              <w:t>2</w:t>
            </w:r>
          </w:p>
        </w:tc>
      </w:tr>
    </w:tbl>
    <w:p>
      <w:pPr>
        <w:pStyle w:val="19"/>
        <w:spacing w:line="14" w:lineRule="auto"/>
        <w:rPr>
          <w:sz w:val="2"/>
        </w:rPr>
      </w:pPr>
    </w:p>
    <w:p>
      <w:pPr>
        <w:spacing w:line="14" w:lineRule="auto"/>
        <w:rPr>
          <w:sz w:val="2"/>
          <w:szCs w:val="2"/>
        </w:rPr>
        <w:sectPr>
          <w:type w:val="continuous"/>
          <w:pgSz w:w="11905" w:h="16837"/>
          <w:pgMar w:top="957" w:right="859" w:bottom="0" w:left="819" w:header="0" w:footer="0" w:gutter="0"/>
          <w:cols w:equalWidth="0" w:num="1">
            <w:col w:w="10227"/>
          </w:cols>
        </w:sectPr>
      </w:pPr>
    </w:p>
    <w:p>
      <w:pPr>
        <w:spacing w:before="64" w:line="223" w:lineRule="auto"/>
        <w:ind w:left="3054"/>
        <w:outlineLvl w:val="2"/>
        <w:rPr>
          <w:rFonts w:ascii="宋体" w:hAnsi="宋体" w:eastAsia="宋体" w:cs="宋体"/>
          <w:sz w:val="31"/>
          <w:szCs w:val="31"/>
        </w:rPr>
      </w:pPr>
      <w:r>
        <w:rPr>
          <w:rFonts w:ascii="宋体" w:hAnsi="宋体" w:eastAsia="宋体" w:cs="宋体"/>
          <w:b/>
          <w:bCs/>
          <w:spacing w:val="7"/>
          <w:sz w:val="31"/>
          <w:szCs w:val="31"/>
        </w:rPr>
        <w:t>分部分项工程项目清单</w:t>
      </w:r>
    </w:p>
    <w:p>
      <w:pPr>
        <w:spacing w:before="129"/>
      </w:pPr>
    </w:p>
    <w:p>
      <w:pPr>
        <w:sectPr>
          <w:pgSz w:w="11905" w:h="16837"/>
          <w:pgMar w:top="957" w:right="859" w:bottom="0" w:left="819" w:header="0" w:footer="0" w:gutter="0"/>
          <w:cols w:equalWidth="0" w:num="1">
            <w:col w:w="10227"/>
          </w:cols>
        </w:sectPr>
      </w:pPr>
    </w:p>
    <w:p>
      <w:pPr>
        <w:spacing w:before="36" w:line="184" w:lineRule="auto"/>
        <w:ind w:left="78"/>
        <w:rPr>
          <w:rFonts w:ascii="宋体" w:hAnsi="宋体" w:eastAsia="宋体" w:cs="宋体"/>
          <w:sz w:val="18"/>
          <w:szCs w:val="18"/>
        </w:rPr>
      </w:pPr>
      <w:r>
        <w:rPr>
          <w:rFonts w:ascii="宋体" w:hAnsi="宋体" w:eastAsia="宋体" w:cs="宋体"/>
          <w:spacing w:val="-2"/>
          <w:sz w:val="18"/>
          <w:szCs w:val="18"/>
        </w:rPr>
        <w:t>工程名称：</w:t>
      </w:r>
      <w:r>
        <w:rPr>
          <w:rFonts w:ascii="宋体" w:hAnsi="宋体" w:eastAsia="宋体" w:cs="宋体"/>
          <w:spacing w:val="-37"/>
          <w:sz w:val="18"/>
          <w:szCs w:val="18"/>
        </w:rPr>
        <w:t xml:space="preserve"> </w:t>
      </w:r>
      <w:r>
        <w:rPr>
          <w:rFonts w:ascii="宋体" w:hAnsi="宋体" w:eastAsia="宋体" w:cs="宋体"/>
          <w:spacing w:val="-2"/>
          <w:sz w:val="18"/>
          <w:szCs w:val="18"/>
        </w:rPr>
        <w:t>(石景山区教育招生考试中心单项工程-低压电缆单位工程)</w:t>
      </w:r>
    </w:p>
    <w:p>
      <w:pPr>
        <w:pStyle w:val="19"/>
        <w:spacing w:line="14" w:lineRule="auto"/>
        <w:rPr>
          <w:sz w:val="2"/>
        </w:rPr>
      </w:pPr>
      <w:r>
        <w:rPr>
          <w:sz w:val="2"/>
          <w:szCs w:val="2"/>
        </w:rPr>
        <w:br w:type="column"/>
      </w:r>
    </w:p>
    <w:p>
      <w:pPr>
        <w:spacing w:before="35" w:line="184" w:lineRule="auto"/>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0"/>
          <w:sz w:val="18"/>
          <w:szCs w:val="18"/>
        </w:rPr>
        <w:t xml:space="preserve"> </w:t>
      </w:r>
      <w:r>
        <w:rPr>
          <w:rFonts w:ascii="宋体" w:hAnsi="宋体" w:eastAsia="宋体" w:cs="宋体"/>
          <w:spacing w:val="-6"/>
          <w:sz w:val="18"/>
          <w:szCs w:val="18"/>
        </w:rPr>
        <w:t>2</w:t>
      </w:r>
      <w:r>
        <w:rPr>
          <w:rFonts w:ascii="宋体" w:hAnsi="宋体" w:eastAsia="宋体" w:cs="宋体"/>
          <w:spacing w:val="15"/>
          <w:sz w:val="18"/>
          <w:szCs w:val="18"/>
        </w:rPr>
        <w:t xml:space="preserve"> </w:t>
      </w:r>
      <w:r>
        <w:rPr>
          <w:rFonts w:ascii="宋体" w:hAnsi="宋体" w:eastAsia="宋体" w:cs="宋体"/>
          <w:spacing w:val="-6"/>
          <w:sz w:val="18"/>
          <w:szCs w:val="18"/>
        </w:rPr>
        <w:t>页</w:t>
      </w:r>
    </w:p>
    <w:p>
      <w:pPr>
        <w:pStyle w:val="19"/>
        <w:spacing w:line="14" w:lineRule="auto"/>
        <w:rPr>
          <w:sz w:val="2"/>
        </w:rPr>
      </w:pPr>
      <w:r>
        <w:rPr>
          <w:sz w:val="2"/>
          <w:szCs w:val="2"/>
        </w:rPr>
        <w:br w:type="column"/>
      </w:r>
    </w:p>
    <w:p>
      <w:pPr>
        <w:spacing w:before="35" w:line="184" w:lineRule="auto"/>
        <w:ind w:left="61"/>
        <w:rPr>
          <w:rFonts w:ascii="宋体" w:hAnsi="宋体" w:eastAsia="宋体" w:cs="宋体"/>
          <w:sz w:val="18"/>
          <w:szCs w:val="18"/>
        </w:rPr>
      </w:pPr>
      <w:r>
        <w:rPr>
          <w:rFonts w:ascii="宋体" w:hAnsi="宋体" w:eastAsia="宋体" w:cs="宋体"/>
          <w:spacing w:val="-6"/>
          <w:sz w:val="18"/>
          <w:szCs w:val="18"/>
        </w:rPr>
        <w:t>共</w:t>
      </w:r>
      <w:r>
        <w:rPr>
          <w:rFonts w:ascii="宋体" w:hAnsi="宋体" w:eastAsia="宋体" w:cs="宋体"/>
          <w:spacing w:val="11"/>
          <w:sz w:val="18"/>
          <w:szCs w:val="18"/>
        </w:rPr>
        <w:t xml:space="preserve"> </w:t>
      </w:r>
      <w:r>
        <w:rPr>
          <w:rFonts w:ascii="宋体" w:hAnsi="宋体" w:eastAsia="宋体" w:cs="宋体"/>
          <w:spacing w:val="-6"/>
          <w:sz w:val="18"/>
          <w:szCs w:val="18"/>
        </w:rPr>
        <w:t>2</w:t>
      </w:r>
      <w:r>
        <w:rPr>
          <w:rFonts w:ascii="宋体" w:hAnsi="宋体" w:eastAsia="宋体" w:cs="宋体"/>
          <w:spacing w:val="12"/>
          <w:sz w:val="18"/>
          <w:szCs w:val="18"/>
        </w:rPr>
        <w:t xml:space="preserve"> </w:t>
      </w:r>
      <w:r>
        <w:rPr>
          <w:rFonts w:ascii="宋体" w:hAnsi="宋体" w:eastAsia="宋体" w:cs="宋体"/>
          <w:spacing w:val="-6"/>
          <w:sz w:val="18"/>
          <w:szCs w:val="18"/>
        </w:rPr>
        <w:t>页</w:t>
      </w:r>
    </w:p>
    <w:p>
      <w:pPr>
        <w:spacing w:line="184" w:lineRule="auto"/>
        <w:rPr>
          <w:rFonts w:ascii="宋体" w:hAnsi="宋体" w:eastAsia="宋体" w:cs="宋体"/>
          <w:sz w:val="18"/>
          <w:szCs w:val="18"/>
        </w:rPr>
        <w:sectPr>
          <w:type w:val="continuous"/>
          <w:pgSz w:w="11905" w:h="16837"/>
          <w:pgMar w:top="957" w:right="859" w:bottom="0" w:left="819" w:header="0" w:footer="0" w:gutter="0"/>
          <w:cols w:equalWidth="0" w:num="3">
            <w:col w:w="8653" w:space="100"/>
            <w:col w:w="720" w:space="33"/>
            <w:col w:w="720"/>
          </w:cols>
        </w:sectPr>
      </w:pPr>
    </w:p>
    <w:tbl>
      <w:tblPr>
        <w:tblStyle w:val="346"/>
        <w:tblW w:w="10177" w:type="dxa"/>
        <w:tblInd w:w="17" w:type="dxa"/>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
      <w:tblGrid>
        <w:gridCol w:w="820"/>
        <w:gridCol w:w="1361"/>
        <w:gridCol w:w="5610"/>
        <w:gridCol w:w="954"/>
        <w:gridCol w:w="1432"/>
      </w:tblGrid>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12" w:hRule="atLeast"/>
        </w:trPr>
        <w:tc>
          <w:tcPr>
            <w:tcW w:w="820" w:type="dxa"/>
            <w:vMerge w:val="restart"/>
            <w:tcBorders>
              <w:top w:val="single" w:color="000008" w:sz="14" w:space="0"/>
              <w:left w:val="single" w:color="000008" w:sz="14" w:space="0"/>
              <w:bottom w:val="nil"/>
            </w:tcBorders>
            <w:vAlign w:val="top"/>
          </w:tcPr>
          <w:p>
            <w:pPr>
              <w:pStyle w:val="687"/>
              <w:autoSpaceDE w:val="0"/>
              <w:autoSpaceDN w:val="0"/>
              <w:spacing w:line="381" w:lineRule="auto"/>
            </w:pPr>
          </w:p>
          <w:p>
            <w:pPr>
              <w:autoSpaceDE w:val="0"/>
              <w:autoSpaceDN w:val="0"/>
              <w:spacing w:before="62" w:line="229" w:lineRule="auto"/>
              <w:ind w:left="207"/>
              <w:rPr>
                <w:rFonts w:ascii="宋体" w:hAnsi="宋体" w:eastAsia="宋体" w:cs="宋体"/>
                <w:sz w:val="19"/>
                <w:szCs w:val="19"/>
              </w:rPr>
            </w:pPr>
            <w:r>
              <w:rPr>
                <w:rFonts w:ascii="宋体" w:hAnsi="宋体" w:eastAsia="宋体" w:cs="宋体"/>
                <w:spacing w:val="5"/>
                <w:sz w:val="19"/>
                <w:szCs w:val="19"/>
              </w:rPr>
              <w:t>序号</w:t>
            </w:r>
          </w:p>
        </w:tc>
        <w:tc>
          <w:tcPr>
            <w:tcW w:w="1361"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288"/>
              <w:rPr>
                <w:rFonts w:ascii="宋体" w:hAnsi="宋体" w:eastAsia="宋体" w:cs="宋体"/>
                <w:sz w:val="19"/>
                <w:szCs w:val="19"/>
              </w:rPr>
            </w:pPr>
            <w:r>
              <w:rPr>
                <w:rFonts w:ascii="宋体" w:hAnsi="宋体" w:eastAsia="宋体" w:cs="宋体"/>
                <w:spacing w:val="6"/>
                <w:sz w:val="19"/>
                <w:szCs w:val="19"/>
              </w:rPr>
              <w:t>项目名称</w:t>
            </w:r>
          </w:p>
        </w:tc>
        <w:tc>
          <w:tcPr>
            <w:tcW w:w="5610"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8" w:lineRule="auto"/>
              <w:ind w:left="218"/>
              <w:rPr>
                <w:rFonts w:ascii="宋体" w:hAnsi="宋体" w:eastAsia="宋体" w:cs="宋体"/>
                <w:sz w:val="19"/>
                <w:szCs w:val="19"/>
              </w:rPr>
            </w:pPr>
            <w:r>
              <w:rPr>
                <w:rFonts w:ascii="宋体" w:hAnsi="宋体" w:eastAsia="宋体" w:cs="宋体"/>
                <w:spacing w:val="7"/>
                <w:sz w:val="19"/>
                <w:szCs w:val="19"/>
              </w:rPr>
              <w:t>项目特征描述</w:t>
            </w:r>
          </w:p>
        </w:tc>
        <w:tc>
          <w:tcPr>
            <w:tcW w:w="954"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152"/>
              <w:rPr>
                <w:rFonts w:ascii="宋体" w:hAnsi="宋体" w:eastAsia="宋体" w:cs="宋体"/>
                <w:sz w:val="19"/>
                <w:szCs w:val="19"/>
              </w:rPr>
            </w:pPr>
            <w:r>
              <w:rPr>
                <w:rFonts w:ascii="宋体" w:hAnsi="宋体" w:eastAsia="宋体" w:cs="宋体"/>
                <w:spacing w:val="7"/>
                <w:sz w:val="19"/>
                <w:szCs w:val="19"/>
              </w:rPr>
              <w:t>计量单位</w:t>
            </w:r>
          </w:p>
        </w:tc>
        <w:tc>
          <w:tcPr>
            <w:tcW w:w="1432"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122"/>
              <w:rPr>
                <w:rFonts w:ascii="宋体" w:hAnsi="宋体" w:eastAsia="宋体" w:cs="宋体"/>
                <w:sz w:val="19"/>
                <w:szCs w:val="19"/>
              </w:rPr>
            </w:pPr>
            <w:r>
              <w:rPr>
                <w:rFonts w:ascii="宋体" w:hAnsi="宋体" w:eastAsia="宋体" w:cs="宋体"/>
                <w:spacing w:val="5"/>
                <w:sz w:val="19"/>
                <w:szCs w:val="19"/>
              </w:rPr>
              <w:t>工程量</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vMerge w:val="continue"/>
            <w:tcBorders>
              <w:top w:val="nil"/>
              <w:left w:val="single" w:color="000008" w:sz="14" w:space="0"/>
              <w:bottom w:val="nil"/>
            </w:tcBorders>
            <w:vAlign w:val="top"/>
          </w:tcPr>
          <w:p>
            <w:pPr>
              <w:pStyle w:val="687"/>
              <w:autoSpaceDE w:val="0"/>
              <w:autoSpaceDN w:val="0"/>
            </w:pPr>
          </w:p>
        </w:tc>
        <w:tc>
          <w:tcPr>
            <w:tcW w:w="1361" w:type="dxa"/>
            <w:vMerge w:val="continue"/>
            <w:tcBorders>
              <w:top w:val="nil"/>
              <w:bottom w:val="nil"/>
            </w:tcBorders>
            <w:vAlign w:val="top"/>
          </w:tcPr>
          <w:p>
            <w:pPr>
              <w:pStyle w:val="687"/>
              <w:autoSpaceDE w:val="0"/>
              <w:autoSpaceDN w:val="0"/>
            </w:pPr>
          </w:p>
        </w:tc>
        <w:tc>
          <w:tcPr>
            <w:tcW w:w="5610" w:type="dxa"/>
            <w:vMerge w:val="continue"/>
            <w:tcBorders>
              <w:top w:val="nil"/>
              <w:bottom w:val="nil"/>
            </w:tcBorders>
            <w:vAlign w:val="top"/>
          </w:tcPr>
          <w:p>
            <w:pPr>
              <w:pStyle w:val="687"/>
              <w:autoSpaceDE w:val="0"/>
              <w:autoSpaceDN w:val="0"/>
            </w:pPr>
          </w:p>
        </w:tc>
        <w:tc>
          <w:tcPr>
            <w:tcW w:w="954" w:type="dxa"/>
            <w:vMerge w:val="continue"/>
            <w:tcBorders>
              <w:top w:val="nil"/>
              <w:bottom w:val="nil"/>
            </w:tcBorders>
            <w:vAlign w:val="top"/>
          </w:tcPr>
          <w:p>
            <w:pPr>
              <w:pStyle w:val="687"/>
              <w:autoSpaceDE w:val="0"/>
              <w:autoSpaceDN w:val="0"/>
            </w:pPr>
          </w:p>
        </w:tc>
        <w:tc>
          <w:tcPr>
            <w:tcW w:w="1432" w:type="dxa"/>
            <w:vMerge w:val="continue"/>
            <w:tcBorders>
              <w:top w:val="nil"/>
              <w:bottom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vMerge w:val="continue"/>
            <w:tcBorders>
              <w:top w:val="nil"/>
              <w:left w:val="single" w:color="000008" w:sz="14" w:space="0"/>
            </w:tcBorders>
            <w:vAlign w:val="top"/>
          </w:tcPr>
          <w:p>
            <w:pPr>
              <w:pStyle w:val="687"/>
              <w:autoSpaceDE w:val="0"/>
              <w:autoSpaceDN w:val="0"/>
            </w:pPr>
          </w:p>
        </w:tc>
        <w:tc>
          <w:tcPr>
            <w:tcW w:w="1361" w:type="dxa"/>
            <w:vMerge w:val="continue"/>
            <w:tcBorders>
              <w:top w:val="nil"/>
            </w:tcBorders>
            <w:vAlign w:val="top"/>
          </w:tcPr>
          <w:p>
            <w:pPr>
              <w:pStyle w:val="687"/>
              <w:autoSpaceDE w:val="0"/>
              <w:autoSpaceDN w:val="0"/>
            </w:pPr>
          </w:p>
        </w:tc>
        <w:tc>
          <w:tcPr>
            <w:tcW w:w="5610" w:type="dxa"/>
            <w:vMerge w:val="continue"/>
            <w:tcBorders>
              <w:top w:val="nil"/>
            </w:tcBorders>
            <w:vAlign w:val="top"/>
          </w:tcPr>
          <w:p>
            <w:pPr>
              <w:pStyle w:val="687"/>
              <w:autoSpaceDE w:val="0"/>
              <w:autoSpaceDN w:val="0"/>
            </w:pPr>
          </w:p>
        </w:tc>
        <w:tc>
          <w:tcPr>
            <w:tcW w:w="954" w:type="dxa"/>
            <w:vMerge w:val="continue"/>
            <w:tcBorders>
              <w:top w:val="nil"/>
            </w:tcBorders>
            <w:vAlign w:val="top"/>
          </w:tcPr>
          <w:p>
            <w:pPr>
              <w:pStyle w:val="687"/>
              <w:autoSpaceDE w:val="0"/>
              <w:autoSpaceDN w:val="0"/>
            </w:pPr>
          </w:p>
        </w:tc>
        <w:tc>
          <w:tcPr>
            <w:tcW w:w="1432" w:type="dxa"/>
            <w:vMerge w:val="continue"/>
            <w:tcBorders>
              <w:top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autoSpaceDE w:val="0"/>
              <w:autoSpaceDN w:val="0"/>
              <w:spacing w:before="285" w:line="239" w:lineRule="auto"/>
              <w:ind w:left="330"/>
              <w:rPr>
                <w:rFonts w:ascii="宋体" w:hAnsi="宋体" w:eastAsia="宋体" w:cs="宋体"/>
                <w:sz w:val="18"/>
                <w:szCs w:val="18"/>
              </w:rPr>
            </w:pPr>
            <w:r>
              <w:rPr>
                <w:rFonts w:ascii="宋体" w:hAnsi="宋体" w:eastAsia="宋体" w:cs="宋体"/>
                <w:spacing w:val="-10"/>
                <w:sz w:val="18"/>
                <w:szCs w:val="18"/>
              </w:rPr>
              <w:t>15</w:t>
            </w:r>
          </w:p>
        </w:tc>
        <w:tc>
          <w:tcPr>
            <w:tcW w:w="1361" w:type="dxa"/>
            <w:vAlign w:val="top"/>
          </w:tcPr>
          <w:p>
            <w:pPr>
              <w:autoSpaceDE w:val="0"/>
              <w:autoSpaceDN w:val="0"/>
              <w:spacing w:before="285" w:line="219" w:lineRule="auto"/>
              <w:ind w:left="33"/>
              <w:rPr>
                <w:rFonts w:ascii="宋体" w:hAnsi="宋体" w:eastAsia="宋体" w:cs="宋体"/>
                <w:sz w:val="18"/>
                <w:szCs w:val="18"/>
              </w:rPr>
            </w:pPr>
            <w:r>
              <w:rPr>
                <w:rFonts w:ascii="宋体" w:hAnsi="宋体" w:eastAsia="宋体" w:cs="宋体"/>
                <w:spacing w:val="-4"/>
                <w:sz w:val="18"/>
                <w:szCs w:val="18"/>
              </w:rPr>
              <w:t>灭火器</w:t>
            </w:r>
          </w:p>
        </w:tc>
        <w:tc>
          <w:tcPr>
            <w:tcW w:w="5610" w:type="dxa"/>
            <w:vAlign w:val="top"/>
          </w:tcPr>
          <w:p>
            <w:pPr>
              <w:autoSpaceDE w:val="0"/>
              <w:autoSpaceDN w:val="0"/>
              <w:spacing w:before="60" w:line="219" w:lineRule="auto"/>
              <w:ind w:left="45"/>
              <w:rPr>
                <w:rFonts w:ascii="宋体" w:hAnsi="宋体" w:eastAsia="宋体" w:cs="宋体"/>
                <w:sz w:val="18"/>
                <w:szCs w:val="18"/>
              </w:rPr>
            </w:pPr>
            <w:r>
              <w:rPr>
                <w:rFonts w:ascii="宋体" w:hAnsi="宋体" w:eastAsia="宋体" w:cs="宋体"/>
                <w:spacing w:val="-2"/>
                <w:sz w:val="18"/>
                <w:szCs w:val="18"/>
              </w:rPr>
              <w:t>1.名称:水基灭火器</w:t>
            </w:r>
          </w:p>
          <w:p>
            <w:pPr>
              <w:autoSpaceDE w:val="0"/>
              <w:autoSpaceDN w:val="0"/>
              <w:spacing w:before="11" w:line="226" w:lineRule="auto"/>
              <w:ind w:left="34" w:right="219"/>
              <w:rPr>
                <w:rFonts w:ascii="宋体" w:hAnsi="宋体" w:eastAsia="宋体" w:cs="宋体"/>
                <w:sz w:val="18"/>
                <w:szCs w:val="18"/>
              </w:rPr>
            </w:pPr>
            <w:r>
              <w:rPr>
                <w:rFonts w:ascii="宋体" w:hAnsi="宋体" w:eastAsia="宋体" w:cs="宋体"/>
                <w:spacing w:val="-1"/>
                <w:sz w:val="18"/>
                <w:szCs w:val="18"/>
              </w:rPr>
              <w:t>2.规格、型号:3L</w:t>
            </w:r>
            <w:r>
              <w:rPr>
                <w:rFonts w:ascii="宋体" w:hAnsi="宋体" w:eastAsia="宋体" w:cs="宋体"/>
                <w:spacing w:val="-3"/>
                <w:sz w:val="18"/>
                <w:szCs w:val="18"/>
              </w:rPr>
              <w:t>一组两支</w:t>
            </w:r>
          </w:p>
        </w:tc>
        <w:tc>
          <w:tcPr>
            <w:tcW w:w="954" w:type="dxa"/>
            <w:vAlign w:val="top"/>
          </w:tcPr>
          <w:p>
            <w:pPr>
              <w:autoSpaceDE w:val="0"/>
              <w:autoSpaceDN w:val="0"/>
              <w:spacing w:before="285" w:line="220" w:lineRule="auto"/>
              <w:ind w:left="462"/>
              <w:rPr>
                <w:rFonts w:ascii="宋体" w:hAnsi="宋体" w:eastAsia="宋体" w:cs="宋体"/>
                <w:sz w:val="18"/>
                <w:szCs w:val="18"/>
              </w:rPr>
            </w:pPr>
            <w:r>
              <w:rPr>
                <w:rFonts w:ascii="宋体" w:hAnsi="宋体" w:eastAsia="宋体" w:cs="宋体"/>
                <w:sz w:val="18"/>
                <w:szCs w:val="18"/>
              </w:rPr>
              <w:t>具</w:t>
            </w:r>
          </w:p>
        </w:tc>
        <w:tc>
          <w:tcPr>
            <w:tcW w:w="1432" w:type="dxa"/>
            <w:vAlign w:val="top"/>
          </w:tcPr>
          <w:p>
            <w:pPr>
              <w:autoSpaceDE w:val="0"/>
              <w:autoSpaceDN w:val="0"/>
              <w:spacing w:before="285" w:line="239" w:lineRule="auto"/>
              <w:ind w:left="374"/>
              <w:rPr>
                <w:rFonts w:ascii="宋体" w:hAnsi="宋体" w:eastAsia="宋体" w:cs="宋体"/>
                <w:sz w:val="18"/>
                <w:szCs w:val="18"/>
              </w:rPr>
            </w:pPr>
            <w:r>
              <w:rPr>
                <w:rFonts w:ascii="宋体" w:hAnsi="宋体" w:eastAsia="宋体" w:cs="宋体"/>
                <w:sz w:val="18"/>
                <w:szCs w:val="18"/>
              </w:rPr>
              <w:t>8</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autoSpaceDE w:val="0"/>
              <w:autoSpaceDN w:val="0"/>
              <w:spacing w:before="88" w:line="239" w:lineRule="auto"/>
              <w:ind w:left="330"/>
              <w:rPr>
                <w:rFonts w:ascii="宋体" w:hAnsi="宋体" w:eastAsia="宋体" w:cs="宋体"/>
                <w:sz w:val="18"/>
                <w:szCs w:val="18"/>
              </w:rPr>
            </w:pPr>
            <w:r>
              <w:rPr>
                <w:rFonts w:ascii="宋体" w:hAnsi="宋体" w:eastAsia="宋体" w:cs="宋体"/>
                <w:spacing w:val="-10"/>
                <w:sz w:val="18"/>
                <w:szCs w:val="18"/>
              </w:rPr>
              <w:t>16</w:t>
            </w:r>
          </w:p>
        </w:tc>
        <w:tc>
          <w:tcPr>
            <w:tcW w:w="1361" w:type="dxa"/>
            <w:vAlign w:val="top"/>
          </w:tcPr>
          <w:p>
            <w:pPr>
              <w:autoSpaceDE w:val="0"/>
              <w:autoSpaceDN w:val="0"/>
              <w:spacing w:before="88" w:line="219" w:lineRule="auto"/>
              <w:ind w:left="31"/>
              <w:rPr>
                <w:rFonts w:ascii="宋体" w:hAnsi="宋体" w:eastAsia="宋体" w:cs="宋体"/>
                <w:sz w:val="18"/>
                <w:szCs w:val="18"/>
              </w:rPr>
            </w:pPr>
            <w:r>
              <w:rPr>
                <w:rFonts w:ascii="宋体" w:hAnsi="宋体" w:eastAsia="宋体" w:cs="宋体"/>
                <w:spacing w:val="-2"/>
                <w:sz w:val="18"/>
                <w:szCs w:val="18"/>
              </w:rPr>
              <w:t>标识标牌</w:t>
            </w:r>
          </w:p>
        </w:tc>
        <w:tc>
          <w:tcPr>
            <w:tcW w:w="5610" w:type="dxa"/>
            <w:vAlign w:val="top"/>
          </w:tcPr>
          <w:p>
            <w:pPr>
              <w:autoSpaceDE w:val="0"/>
              <w:autoSpaceDN w:val="0"/>
              <w:spacing w:before="88" w:line="219" w:lineRule="auto"/>
              <w:ind w:left="45"/>
              <w:rPr>
                <w:rFonts w:ascii="宋体" w:hAnsi="宋体" w:eastAsia="宋体" w:cs="宋体"/>
                <w:sz w:val="18"/>
                <w:szCs w:val="18"/>
              </w:rPr>
            </w:pPr>
            <w:r>
              <w:rPr>
                <w:rFonts w:ascii="宋体" w:hAnsi="宋体" w:eastAsia="宋体" w:cs="宋体"/>
                <w:spacing w:val="-2"/>
                <w:sz w:val="18"/>
                <w:szCs w:val="18"/>
              </w:rPr>
              <w:t>1.名称:标识标牌</w:t>
            </w:r>
          </w:p>
        </w:tc>
        <w:tc>
          <w:tcPr>
            <w:tcW w:w="954" w:type="dxa"/>
            <w:vAlign w:val="top"/>
          </w:tcPr>
          <w:p>
            <w:pPr>
              <w:autoSpaceDE w:val="0"/>
              <w:autoSpaceDN w:val="0"/>
              <w:spacing w:before="88" w:line="220" w:lineRule="auto"/>
              <w:ind w:left="459"/>
              <w:rPr>
                <w:rFonts w:ascii="宋体" w:hAnsi="宋体" w:eastAsia="宋体" w:cs="宋体"/>
                <w:sz w:val="18"/>
                <w:szCs w:val="18"/>
              </w:rPr>
            </w:pPr>
            <w:r>
              <w:rPr>
                <w:rFonts w:ascii="宋体" w:hAnsi="宋体" w:eastAsia="宋体" w:cs="宋体"/>
                <w:sz w:val="18"/>
                <w:szCs w:val="18"/>
              </w:rPr>
              <w:t>套</w:t>
            </w:r>
          </w:p>
        </w:tc>
        <w:tc>
          <w:tcPr>
            <w:tcW w:w="1432" w:type="dxa"/>
            <w:vAlign w:val="top"/>
          </w:tcPr>
          <w:p>
            <w:pPr>
              <w:autoSpaceDE w:val="0"/>
              <w:autoSpaceDN w:val="0"/>
              <w:spacing w:before="87" w:line="241" w:lineRule="auto"/>
              <w:ind w:left="386"/>
              <w:rPr>
                <w:rFonts w:ascii="宋体" w:hAnsi="宋体" w:eastAsia="宋体" w:cs="宋体"/>
                <w:sz w:val="18"/>
                <w:szCs w:val="18"/>
              </w:rPr>
            </w:pPr>
            <w:r>
              <w:rPr>
                <w:rFonts w:ascii="宋体" w:hAnsi="宋体" w:eastAsia="宋体" w:cs="宋体"/>
                <w:sz w:val="18"/>
                <w:szCs w:val="18"/>
              </w:rPr>
              <w:t>1</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426" w:hRule="atLeast"/>
        </w:trPr>
        <w:tc>
          <w:tcPr>
            <w:tcW w:w="820" w:type="dxa"/>
            <w:tcBorders>
              <w:left w:val="single" w:color="000008" w:sz="14" w:space="0"/>
            </w:tcBorders>
            <w:vAlign w:val="top"/>
          </w:tcPr>
          <w:p>
            <w:pPr>
              <w:pStyle w:val="687"/>
              <w:autoSpaceDE w:val="0"/>
              <w:autoSpaceDN w:val="0"/>
              <w:spacing w:line="287" w:lineRule="auto"/>
            </w:pPr>
          </w:p>
          <w:p>
            <w:pPr>
              <w:pStyle w:val="687"/>
              <w:autoSpaceDE w:val="0"/>
              <w:autoSpaceDN w:val="0"/>
              <w:spacing w:line="287" w:lineRule="auto"/>
            </w:pPr>
          </w:p>
          <w:p>
            <w:pPr>
              <w:autoSpaceDE w:val="0"/>
              <w:autoSpaceDN w:val="0"/>
              <w:spacing w:before="58" w:line="239" w:lineRule="auto"/>
              <w:ind w:left="330"/>
              <w:rPr>
                <w:rFonts w:ascii="宋体" w:hAnsi="宋体" w:eastAsia="宋体" w:cs="宋体"/>
                <w:sz w:val="18"/>
                <w:szCs w:val="18"/>
              </w:rPr>
            </w:pPr>
            <w:r>
              <w:rPr>
                <w:rFonts w:ascii="宋体" w:hAnsi="宋体" w:eastAsia="宋体" w:cs="宋体"/>
                <w:spacing w:val="-10"/>
                <w:sz w:val="18"/>
                <w:szCs w:val="18"/>
              </w:rPr>
              <w:t>17</w:t>
            </w:r>
          </w:p>
        </w:tc>
        <w:tc>
          <w:tcPr>
            <w:tcW w:w="1361" w:type="dxa"/>
            <w:vAlign w:val="top"/>
          </w:tcPr>
          <w:p>
            <w:pPr>
              <w:pStyle w:val="687"/>
              <w:autoSpaceDE w:val="0"/>
              <w:autoSpaceDN w:val="0"/>
              <w:spacing w:line="286" w:lineRule="auto"/>
            </w:pPr>
          </w:p>
          <w:p>
            <w:pPr>
              <w:pStyle w:val="687"/>
              <w:autoSpaceDE w:val="0"/>
              <w:autoSpaceDN w:val="0"/>
              <w:spacing w:line="287" w:lineRule="auto"/>
            </w:pPr>
          </w:p>
          <w:p>
            <w:pPr>
              <w:autoSpaceDE w:val="0"/>
              <w:autoSpaceDN w:val="0"/>
              <w:spacing w:before="59" w:line="219" w:lineRule="auto"/>
              <w:ind w:left="30"/>
              <w:rPr>
                <w:rFonts w:ascii="宋体" w:hAnsi="宋体" w:eastAsia="宋体" w:cs="宋体"/>
                <w:sz w:val="18"/>
                <w:szCs w:val="18"/>
              </w:rPr>
            </w:pPr>
            <w:r>
              <w:rPr>
                <w:rFonts w:ascii="宋体" w:hAnsi="宋体" w:eastAsia="宋体" w:cs="宋体"/>
                <w:spacing w:val="-2"/>
                <w:sz w:val="18"/>
                <w:szCs w:val="18"/>
              </w:rPr>
              <w:t>拆除及恢复吊顶</w:t>
            </w:r>
          </w:p>
        </w:tc>
        <w:tc>
          <w:tcPr>
            <w:tcW w:w="5610" w:type="dxa"/>
            <w:vAlign w:val="top"/>
          </w:tcPr>
          <w:p>
            <w:pPr>
              <w:autoSpaceDE w:val="0"/>
              <w:autoSpaceDN w:val="0"/>
              <w:spacing w:before="75" w:line="230" w:lineRule="auto"/>
              <w:ind w:left="33" w:right="42" w:firstLine="12"/>
              <w:rPr>
                <w:rFonts w:ascii="宋体" w:hAnsi="宋体" w:eastAsia="宋体" w:cs="宋体"/>
                <w:sz w:val="18"/>
                <w:szCs w:val="18"/>
              </w:rPr>
            </w:pPr>
            <w:r>
              <w:rPr>
                <w:rFonts w:ascii="宋体" w:hAnsi="宋体" w:eastAsia="宋体" w:cs="宋体"/>
                <w:spacing w:val="-3"/>
                <w:sz w:val="18"/>
                <w:szCs w:val="18"/>
              </w:rPr>
              <w:t>1.吊顶形式、吊杆</w:t>
            </w:r>
            <w:r>
              <w:rPr>
                <w:rFonts w:ascii="宋体" w:hAnsi="宋体" w:eastAsia="宋体" w:cs="宋体"/>
                <w:spacing w:val="-1"/>
                <w:sz w:val="18"/>
                <w:szCs w:val="18"/>
              </w:rPr>
              <w:t>规格、高度:装饰板</w:t>
            </w:r>
            <w:r>
              <w:rPr>
                <w:rFonts w:ascii="宋体" w:hAnsi="宋体" w:eastAsia="宋体" w:cs="宋体"/>
                <w:spacing w:val="-2"/>
                <w:sz w:val="18"/>
                <w:szCs w:val="18"/>
              </w:rPr>
              <w:t>石膏板吊顶</w:t>
            </w:r>
          </w:p>
          <w:p>
            <w:pPr>
              <w:autoSpaceDE w:val="0"/>
              <w:autoSpaceDN w:val="0"/>
              <w:spacing w:line="218" w:lineRule="auto"/>
              <w:ind w:left="34"/>
              <w:rPr>
                <w:rFonts w:ascii="宋体" w:hAnsi="宋体" w:eastAsia="宋体" w:cs="宋体"/>
                <w:sz w:val="18"/>
                <w:szCs w:val="18"/>
              </w:rPr>
            </w:pPr>
            <w:r>
              <w:rPr>
                <w:rFonts w:ascii="宋体" w:hAnsi="宋体" w:eastAsia="宋体" w:cs="宋体"/>
                <w:spacing w:val="-1"/>
                <w:sz w:val="18"/>
                <w:szCs w:val="18"/>
              </w:rPr>
              <w:t>2.龙骨材料种类、</w:t>
            </w:r>
          </w:p>
          <w:p>
            <w:pPr>
              <w:autoSpaceDE w:val="0"/>
              <w:autoSpaceDN w:val="0"/>
              <w:spacing w:before="11" w:line="227" w:lineRule="auto"/>
              <w:ind w:left="33" w:right="42"/>
              <w:rPr>
                <w:rFonts w:ascii="宋体" w:hAnsi="宋体" w:eastAsia="宋体" w:cs="宋体"/>
                <w:sz w:val="18"/>
                <w:szCs w:val="18"/>
              </w:rPr>
            </w:pPr>
            <w:r>
              <w:rPr>
                <w:rFonts w:ascii="宋体" w:hAnsi="宋体" w:eastAsia="宋体" w:cs="宋体"/>
                <w:spacing w:val="-1"/>
                <w:sz w:val="18"/>
                <w:szCs w:val="18"/>
              </w:rPr>
              <w:t>规格、中距:轻钢龙</w:t>
            </w:r>
            <w:r>
              <w:rPr>
                <w:rFonts w:ascii="宋体" w:hAnsi="宋体" w:eastAsia="宋体" w:cs="宋体"/>
                <w:sz w:val="18"/>
                <w:szCs w:val="18"/>
              </w:rPr>
              <w:t>骨</w:t>
            </w:r>
          </w:p>
        </w:tc>
        <w:tc>
          <w:tcPr>
            <w:tcW w:w="954" w:type="dxa"/>
            <w:vAlign w:val="top"/>
          </w:tcPr>
          <w:p>
            <w:pPr>
              <w:pStyle w:val="687"/>
              <w:autoSpaceDE w:val="0"/>
              <w:autoSpaceDN w:val="0"/>
              <w:spacing w:line="286" w:lineRule="auto"/>
            </w:pPr>
          </w:p>
          <w:p>
            <w:pPr>
              <w:pStyle w:val="687"/>
              <w:autoSpaceDE w:val="0"/>
              <w:autoSpaceDN w:val="0"/>
              <w:spacing w:line="287" w:lineRule="auto"/>
            </w:pPr>
          </w:p>
          <w:p>
            <w:pPr>
              <w:autoSpaceDE w:val="0"/>
              <w:autoSpaceDN w:val="0"/>
              <w:spacing w:before="59" w:line="241" w:lineRule="auto"/>
              <w:ind w:left="453"/>
              <w:rPr>
                <w:rFonts w:ascii="宋体" w:hAnsi="宋体" w:eastAsia="宋体" w:cs="宋体"/>
                <w:sz w:val="18"/>
                <w:szCs w:val="18"/>
              </w:rPr>
            </w:pPr>
            <w:r>
              <w:rPr>
                <w:rFonts w:ascii="宋体" w:hAnsi="宋体" w:eastAsia="宋体" w:cs="宋体"/>
                <w:spacing w:val="-1"/>
                <w:sz w:val="18"/>
                <w:szCs w:val="18"/>
              </w:rPr>
              <w:t>m2</w:t>
            </w:r>
          </w:p>
        </w:tc>
        <w:tc>
          <w:tcPr>
            <w:tcW w:w="1432" w:type="dxa"/>
            <w:vAlign w:val="top"/>
          </w:tcPr>
          <w:p>
            <w:pPr>
              <w:pStyle w:val="687"/>
              <w:autoSpaceDE w:val="0"/>
              <w:autoSpaceDN w:val="0"/>
              <w:spacing w:line="287" w:lineRule="auto"/>
            </w:pPr>
          </w:p>
          <w:p>
            <w:pPr>
              <w:pStyle w:val="687"/>
              <w:autoSpaceDE w:val="0"/>
              <w:autoSpaceDN w:val="0"/>
              <w:spacing w:line="287" w:lineRule="auto"/>
            </w:pPr>
          </w:p>
          <w:p>
            <w:pPr>
              <w:autoSpaceDE w:val="0"/>
              <w:autoSpaceDN w:val="0"/>
              <w:spacing w:before="58" w:line="239" w:lineRule="auto"/>
              <w:ind w:left="332"/>
              <w:rPr>
                <w:rFonts w:ascii="宋体" w:hAnsi="宋体" w:eastAsia="宋体" w:cs="宋体"/>
                <w:sz w:val="18"/>
                <w:szCs w:val="18"/>
              </w:rPr>
            </w:pPr>
            <w:r>
              <w:rPr>
                <w:rFonts w:ascii="宋体" w:hAnsi="宋体" w:eastAsia="宋体" w:cs="宋体"/>
                <w:spacing w:val="-5"/>
                <w:sz w:val="18"/>
                <w:szCs w:val="18"/>
              </w:rPr>
              <w:t>38</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autoSpaceDE w:val="0"/>
              <w:autoSpaceDN w:val="0"/>
              <w:spacing w:before="93" w:line="238" w:lineRule="auto"/>
              <w:ind w:left="330"/>
              <w:rPr>
                <w:rFonts w:ascii="宋体" w:hAnsi="宋体" w:eastAsia="宋体" w:cs="宋体"/>
                <w:sz w:val="18"/>
                <w:szCs w:val="18"/>
              </w:rPr>
            </w:pPr>
            <w:r>
              <w:rPr>
                <w:rFonts w:ascii="宋体" w:hAnsi="宋体" w:eastAsia="宋体" w:cs="宋体"/>
                <w:spacing w:val="-10"/>
                <w:sz w:val="18"/>
                <w:szCs w:val="18"/>
              </w:rPr>
              <w:t>18</w:t>
            </w:r>
          </w:p>
        </w:tc>
        <w:tc>
          <w:tcPr>
            <w:tcW w:w="1361" w:type="dxa"/>
            <w:vAlign w:val="top"/>
          </w:tcPr>
          <w:p>
            <w:pPr>
              <w:autoSpaceDE w:val="0"/>
              <w:autoSpaceDN w:val="0"/>
              <w:spacing w:before="93" w:line="219" w:lineRule="auto"/>
              <w:ind w:left="30"/>
              <w:rPr>
                <w:rFonts w:ascii="宋体" w:hAnsi="宋体" w:eastAsia="宋体" w:cs="宋体"/>
                <w:sz w:val="18"/>
                <w:szCs w:val="18"/>
              </w:rPr>
            </w:pPr>
            <w:r>
              <w:rPr>
                <w:rFonts w:ascii="宋体" w:hAnsi="宋体" w:eastAsia="宋体" w:cs="宋体"/>
                <w:spacing w:val="-2"/>
                <w:sz w:val="18"/>
                <w:szCs w:val="18"/>
              </w:rPr>
              <w:t>拆除配电箱</w:t>
            </w:r>
          </w:p>
        </w:tc>
        <w:tc>
          <w:tcPr>
            <w:tcW w:w="5610" w:type="dxa"/>
            <w:vAlign w:val="top"/>
          </w:tcPr>
          <w:p>
            <w:pPr>
              <w:autoSpaceDE w:val="0"/>
              <w:autoSpaceDN w:val="0"/>
              <w:spacing w:before="93" w:line="219" w:lineRule="auto"/>
              <w:ind w:left="45"/>
              <w:rPr>
                <w:rFonts w:ascii="宋体" w:hAnsi="宋体" w:eastAsia="宋体" w:cs="宋体"/>
                <w:sz w:val="18"/>
                <w:szCs w:val="18"/>
              </w:rPr>
            </w:pPr>
            <w:r>
              <w:rPr>
                <w:rFonts w:ascii="宋体" w:hAnsi="宋体" w:eastAsia="宋体" w:cs="宋体"/>
                <w:spacing w:val="-2"/>
                <w:sz w:val="18"/>
                <w:szCs w:val="18"/>
              </w:rPr>
              <w:t>1.名称:拆除配电箱</w:t>
            </w:r>
          </w:p>
        </w:tc>
        <w:tc>
          <w:tcPr>
            <w:tcW w:w="954" w:type="dxa"/>
            <w:vAlign w:val="top"/>
          </w:tcPr>
          <w:p>
            <w:pPr>
              <w:autoSpaceDE w:val="0"/>
              <w:autoSpaceDN w:val="0"/>
              <w:spacing w:before="93" w:line="221" w:lineRule="auto"/>
              <w:ind w:left="472"/>
              <w:rPr>
                <w:rFonts w:ascii="宋体" w:hAnsi="宋体" w:eastAsia="宋体" w:cs="宋体"/>
                <w:sz w:val="18"/>
                <w:szCs w:val="18"/>
              </w:rPr>
            </w:pPr>
            <w:r>
              <w:rPr>
                <w:rFonts w:ascii="宋体" w:hAnsi="宋体" w:eastAsia="宋体" w:cs="宋体"/>
                <w:sz w:val="18"/>
                <w:szCs w:val="18"/>
              </w:rPr>
              <w:t>台</w:t>
            </w:r>
          </w:p>
        </w:tc>
        <w:tc>
          <w:tcPr>
            <w:tcW w:w="1432" w:type="dxa"/>
            <w:vAlign w:val="top"/>
          </w:tcPr>
          <w:p>
            <w:pPr>
              <w:autoSpaceDE w:val="0"/>
              <w:autoSpaceDN w:val="0"/>
              <w:spacing w:before="93" w:line="238" w:lineRule="auto"/>
              <w:ind w:left="386"/>
              <w:rPr>
                <w:rFonts w:ascii="宋体" w:hAnsi="宋体" w:eastAsia="宋体" w:cs="宋体"/>
                <w:sz w:val="18"/>
                <w:szCs w:val="18"/>
              </w:rPr>
            </w:pPr>
            <w:r>
              <w:rPr>
                <w:rFonts w:ascii="宋体" w:hAnsi="宋体" w:eastAsia="宋体" w:cs="宋体"/>
                <w:sz w:val="18"/>
                <w:szCs w:val="18"/>
              </w:rPr>
              <w:t>1</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autoSpaceDE w:val="0"/>
              <w:autoSpaceDN w:val="0"/>
              <w:spacing w:before="95" w:line="219" w:lineRule="auto"/>
              <w:ind w:left="32"/>
              <w:rPr>
                <w:rFonts w:ascii="宋体" w:hAnsi="宋体" w:eastAsia="宋体" w:cs="宋体"/>
                <w:sz w:val="18"/>
                <w:szCs w:val="18"/>
              </w:rPr>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10" w:type="dxa"/>
            <w:vAlign w:val="top"/>
          </w:tcPr>
          <w:p>
            <w:pPr>
              <w:pStyle w:val="687"/>
              <w:autoSpaceDE w:val="0"/>
              <w:autoSpaceDN w:val="0"/>
            </w:pPr>
          </w:p>
        </w:tc>
        <w:tc>
          <w:tcPr>
            <w:tcW w:w="954" w:type="dxa"/>
            <w:vAlign w:val="top"/>
          </w:tcPr>
          <w:p>
            <w:pPr>
              <w:pStyle w:val="687"/>
              <w:autoSpaceDE w:val="0"/>
              <w:autoSpaceDN w:val="0"/>
            </w:pPr>
          </w:p>
        </w:tc>
        <w:tc>
          <w:tcPr>
            <w:tcW w:w="1432" w:type="dxa"/>
            <w:vAlign w:val="top"/>
          </w:tcPr>
          <w:p>
            <w:pPr>
              <w:pStyle w:val="687"/>
              <w:autoSpaceDE w:val="0"/>
              <w:autoSpaceDN w:val="0"/>
            </w:pPr>
          </w:p>
        </w:tc>
      </w:tr>
    </w:tbl>
    <w:p>
      <w:pPr>
        <w:pStyle w:val="19"/>
        <w:spacing w:line="14" w:lineRule="auto"/>
        <w:rPr>
          <w:sz w:val="2"/>
        </w:rPr>
      </w:pPr>
    </w:p>
    <w:p>
      <w:pPr>
        <w:spacing w:line="14" w:lineRule="auto"/>
        <w:rPr>
          <w:sz w:val="2"/>
          <w:szCs w:val="2"/>
        </w:rPr>
        <w:sectPr>
          <w:type w:val="continuous"/>
          <w:pgSz w:w="11905" w:h="16837"/>
          <w:pgMar w:top="957" w:right="859" w:bottom="0" w:left="819" w:header="0" w:footer="0" w:gutter="0"/>
          <w:cols w:equalWidth="0" w:num="1">
            <w:col w:w="10227"/>
          </w:cols>
        </w:sectPr>
      </w:pPr>
    </w:p>
    <w:p>
      <w:pPr>
        <w:spacing w:before="64" w:line="223" w:lineRule="auto"/>
        <w:ind w:left="3054"/>
        <w:outlineLvl w:val="2"/>
        <w:rPr>
          <w:rFonts w:ascii="宋体" w:hAnsi="宋体" w:eastAsia="宋体" w:cs="宋体"/>
          <w:sz w:val="31"/>
          <w:szCs w:val="31"/>
        </w:rPr>
      </w:pPr>
      <w:r>
        <w:rPr>
          <w:rFonts w:ascii="宋体" w:hAnsi="宋体" w:eastAsia="宋体" w:cs="宋体"/>
          <w:b/>
          <w:bCs/>
          <w:spacing w:val="7"/>
          <w:sz w:val="31"/>
          <w:szCs w:val="31"/>
        </w:rPr>
        <w:t>分部分项工程项目清单</w:t>
      </w:r>
    </w:p>
    <w:p>
      <w:pPr>
        <w:spacing w:before="129"/>
      </w:pPr>
    </w:p>
    <w:p>
      <w:pPr>
        <w:sectPr>
          <w:pgSz w:w="11905" w:h="16837"/>
          <w:pgMar w:top="957" w:right="859" w:bottom="0" w:left="819" w:header="0" w:footer="0" w:gutter="0"/>
          <w:cols w:equalWidth="0" w:num="1">
            <w:col w:w="10227"/>
          </w:cols>
        </w:sectPr>
      </w:pPr>
    </w:p>
    <w:p>
      <w:pPr>
        <w:keepNext w:val="0"/>
        <w:keepLines w:val="0"/>
        <w:pageBreakBefore w:val="0"/>
        <w:widowControl w:val="0"/>
        <w:kinsoku/>
        <w:wordWrap/>
        <w:overflowPunct/>
        <w:topLinePunct w:val="0"/>
        <w:autoSpaceDE/>
        <w:autoSpaceDN/>
        <w:bidi w:val="0"/>
        <w:adjustRightInd/>
        <w:snapToGrid/>
        <w:spacing w:before="36" w:line="360" w:lineRule="auto"/>
        <w:ind w:left="79" w:leftChars="0" w:right="0" w:rightChars="0" w:firstLine="0" w:firstLineChars="0"/>
        <w:jc w:val="both"/>
        <w:textAlignment w:val="auto"/>
        <w:outlineLvl w:val="9"/>
        <w:rPr>
          <w:rFonts w:ascii="宋体" w:hAnsi="宋体" w:eastAsia="宋体" w:cs="宋体"/>
          <w:sz w:val="18"/>
          <w:szCs w:val="18"/>
        </w:rPr>
      </w:pPr>
      <w:r>
        <w:rPr>
          <w:rFonts w:ascii="宋体" w:hAnsi="宋体" w:eastAsia="宋体" w:cs="宋体"/>
          <w:spacing w:val="-2"/>
          <w:sz w:val="18"/>
          <w:szCs w:val="18"/>
        </w:rPr>
        <w:t>工程名称：</w:t>
      </w:r>
      <w:r>
        <w:rPr>
          <w:rFonts w:ascii="宋体" w:hAnsi="宋体" w:eastAsia="宋体" w:cs="宋体"/>
          <w:spacing w:val="-47"/>
          <w:sz w:val="18"/>
          <w:szCs w:val="18"/>
        </w:rPr>
        <w:t xml:space="preserve"> </w:t>
      </w:r>
      <w:r>
        <w:rPr>
          <w:rFonts w:ascii="宋体" w:hAnsi="宋体" w:eastAsia="宋体" w:cs="宋体"/>
          <w:spacing w:val="-2"/>
          <w:sz w:val="18"/>
          <w:szCs w:val="18"/>
        </w:rPr>
        <w:t>(古城中学东校区单项工程-低压电缆单位工程)</w:t>
      </w:r>
      <w:r>
        <w:rPr>
          <w:rFonts w:hint="eastAsia" w:ascii="宋体" w:hAnsi="宋体" w:eastAsia="宋体" w:cs="宋体"/>
          <w:spacing w:val="-2"/>
          <w:sz w:val="18"/>
          <w:szCs w:val="18"/>
          <w:lang w:val="en-US" w:eastAsia="zh-CN"/>
        </w:rPr>
        <w:t xml:space="preserve">                                         </w:t>
      </w:r>
      <w:r>
        <w:rPr>
          <w:rFonts w:ascii="宋体" w:hAnsi="宋体" w:eastAsia="宋体" w:cs="宋体"/>
          <w:spacing w:val="-10"/>
          <w:sz w:val="18"/>
          <w:szCs w:val="18"/>
        </w:rPr>
        <w:t>第</w:t>
      </w:r>
      <w:r>
        <w:rPr>
          <w:rFonts w:ascii="宋体" w:hAnsi="宋体" w:eastAsia="宋体" w:cs="宋体"/>
          <w:spacing w:val="26"/>
          <w:sz w:val="18"/>
          <w:szCs w:val="18"/>
        </w:rPr>
        <w:t xml:space="preserve"> </w:t>
      </w:r>
      <w:r>
        <w:rPr>
          <w:rFonts w:ascii="宋体" w:hAnsi="宋体" w:eastAsia="宋体" w:cs="宋体"/>
          <w:spacing w:val="-10"/>
          <w:sz w:val="18"/>
          <w:szCs w:val="18"/>
        </w:rPr>
        <w:t>1</w:t>
      </w:r>
      <w:r>
        <w:rPr>
          <w:rFonts w:ascii="宋体" w:hAnsi="宋体" w:eastAsia="宋体" w:cs="宋体"/>
          <w:spacing w:val="14"/>
          <w:sz w:val="18"/>
          <w:szCs w:val="18"/>
        </w:rPr>
        <w:t xml:space="preserve"> </w:t>
      </w:r>
      <w:r>
        <w:rPr>
          <w:rFonts w:ascii="宋体" w:hAnsi="宋体" w:eastAsia="宋体" w:cs="宋体"/>
          <w:spacing w:val="-10"/>
          <w:sz w:val="18"/>
          <w:szCs w:val="18"/>
        </w:rPr>
        <w:t>页</w:t>
      </w:r>
      <w:r>
        <w:rPr>
          <w:rFonts w:ascii="宋体" w:hAnsi="宋体" w:eastAsia="宋体" w:cs="宋体"/>
          <w:spacing w:val="4"/>
          <w:sz w:val="18"/>
          <w:szCs w:val="18"/>
        </w:rPr>
        <w:t xml:space="preserve">  </w:t>
      </w:r>
      <w:r>
        <w:rPr>
          <w:rFonts w:ascii="宋体" w:hAnsi="宋体" w:eastAsia="宋体" w:cs="宋体"/>
          <w:spacing w:val="-10"/>
          <w:sz w:val="18"/>
          <w:szCs w:val="18"/>
        </w:rPr>
        <w:t>共</w:t>
      </w:r>
      <w:r>
        <w:rPr>
          <w:rFonts w:ascii="宋体" w:hAnsi="宋体" w:eastAsia="宋体" w:cs="宋体"/>
          <w:spacing w:val="10"/>
          <w:sz w:val="18"/>
          <w:szCs w:val="18"/>
        </w:rPr>
        <w:t xml:space="preserve"> </w:t>
      </w:r>
      <w:r>
        <w:rPr>
          <w:rFonts w:ascii="宋体" w:hAnsi="宋体" w:eastAsia="宋体" w:cs="宋体"/>
          <w:spacing w:val="-10"/>
          <w:sz w:val="18"/>
          <w:szCs w:val="18"/>
        </w:rPr>
        <w:t>2</w:t>
      </w:r>
      <w:r>
        <w:rPr>
          <w:rFonts w:ascii="宋体" w:hAnsi="宋体" w:eastAsia="宋体" w:cs="宋体"/>
          <w:spacing w:val="12"/>
          <w:sz w:val="18"/>
          <w:szCs w:val="18"/>
        </w:rPr>
        <w:t xml:space="preserve"> </w:t>
      </w:r>
      <w:r>
        <w:rPr>
          <w:rFonts w:ascii="宋体" w:hAnsi="宋体" w:eastAsia="宋体" w:cs="宋体"/>
          <w:spacing w:val="-10"/>
          <w:sz w:val="18"/>
          <w:szCs w:val="18"/>
        </w:rPr>
        <w:t>页</w:t>
      </w:r>
    </w:p>
    <w:p>
      <w:pPr>
        <w:spacing w:line="184" w:lineRule="auto"/>
        <w:jc w:val="left"/>
        <w:rPr>
          <w:rFonts w:ascii="宋体" w:hAnsi="宋体" w:eastAsia="宋体" w:cs="宋体"/>
          <w:sz w:val="18"/>
          <w:szCs w:val="18"/>
        </w:rPr>
        <w:sectPr>
          <w:type w:val="continuous"/>
          <w:pgSz w:w="11905" w:h="16837"/>
          <w:pgMar w:top="957" w:right="859" w:bottom="0" w:left="819" w:header="0" w:footer="0" w:gutter="0"/>
          <w:cols w:equalWidth="0" w:num="2">
            <w:col w:w="8653" w:space="100"/>
            <w:col w:w="1474"/>
          </w:cols>
        </w:sectPr>
      </w:pPr>
    </w:p>
    <w:tbl>
      <w:tblPr>
        <w:tblStyle w:val="346"/>
        <w:tblW w:w="10324" w:type="dxa"/>
        <w:tblInd w:w="17" w:type="dxa"/>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
      <w:tblGrid>
        <w:gridCol w:w="820"/>
        <w:gridCol w:w="1677"/>
        <w:gridCol w:w="5032"/>
        <w:gridCol w:w="1336"/>
        <w:gridCol w:w="1459"/>
      </w:tblGrid>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62" w:hRule="atLeast"/>
        </w:trPr>
        <w:tc>
          <w:tcPr>
            <w:tcW w:w="820" w:type="dxa"/>
            <w:vMerge w:val="restart"/>
            <w:tcBorders>
              <w:top w:val="single" w:color="000008" w:sz="14" w:space="0"/>
              <w:left w:val="single" w:color="000008" w:sz="14" w:space="0"/>
              <w:bottom w:val="nil"/>
            </w:tcBorders>
            <w:vAlign w:val="top"/>
          </w:tcPr>
          <w:p>
            <w:pPr>
              <w:pStyle w:val="687"/>
              <w:autoSpaceDE w:val="0"/>
              <w:autoSpaceDN w:val="0"/>
              <w:spacing w:line="381" w:lineRule="auto"/>
            </w:pPr>
          </w:p>
          <w:p>
            <w:pPr>
              <w:autoSpaceDE w:val="0"/>
              <w:autoSpaceDN w:val="0"/>
              <w:spacing w:before="62" w:line="229" w:lineRule="auto"/>
              <w:ind w:left="207"/>
              <w:rPr>
                <w:rFonts w:ascii="宋体" w:hAnsi="宋体" w:eastAsia="宋体" w:cs="宋体"/>
                <w:sz w:val="19"/>
                <w:szCs w:val="19"/>
              </w:rPr>
            </w:pPr>
            <w:r>
              <w:rPr>
                <w:rFonts w:ascii="宋体" w:hAnsi="宋体" w:eastAsia="宋体" w:cs="宋体"/>
                <w:spacing w:val="5"/>
                <w:sz w:val="19"/>
                <w:szCs w:val="19"/>
              </w:rPr>
              <w:t>序号</w:t>
            </w:r>
          </w:p>
        </w:tc>
        <w:tc>
          <w:tcPr>
            <w:tcW w:w="1677"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288"/>
              <w:rPr>
                <w:rFonts w:ascii="宋体" w:hAnsi="宋体" w:eastAsia="宋体" w:cs="宋体"/>
                <w:sz w:val="19"/>
                <w:szCs w:val="19"/>
              </w:rPr>
            </w:pPr>
            <w:r>
              <w:rPr>
                <w:rFonts w:ascii="宋体" w:hAnsi="宋体" w:eastAsia="宋体" w:cs="宋体"/>
                <w:spacing w:val="6"/>
                <w:sz w:val="19"/>
                <w:szCs w:val="19"/>
              </w:rPr>
              <w:t>项目名称</w:t>
            </w:r>
          </w:p>
        </w:tc>
        <w:tc>
          <w:tcPr>
            <w:tcW w:w="5032"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8" w:lineRule="auto"/>
              <w:ind w:left="218"/>
              <w:rPr>
                <w:rFonts w:ascii="宋体" w:hAnsi="宋体" w:eastAsia="宋体" w:cs="宋体"/>
                <w:sz w:val="19"/>
                <w:szCs w:val="19"/>
              </w:rPr>
            </w:pPr>
            <w:r>
              <w:rPr>
                <w:rFonts w:ascii="宋体" w:hAnsi="宋体" w:eastAsia="宋体" w:cs="宋体"/>
                <w:spacing w:val="7"/>
                <w:sz w:val="19"/>
                <w:szCs w:val="19"/>
              </w:rPr>
              <w:t>项目特征描述</w:t>
            </w:r>
          </w:p>
        </w:tc>
        <w:tc>
          <w:tcPr>
            <w:tcW w:w="1336"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152"/>
              <w:rPr>
                <w:rFonts w:ascii="宋体" w:hAnsi="宋体" w:eastAsia="宋体" w:cs="宋体"/>
                <w:sz w:val="19"/>
                <w:szCs w:val="19"/>
              </w:rPr>
            </w:pPr>
            <w:r>
              <w:rPr>
                <w:rFonts w:ascii="宋体" w:hAnsi="宋体" w:eastAsia="宋体" w:cs="宋体"/>
                <w:spacing w:val="7"/>
                <w:sz w:val="19"/>
                <w:szCs w:val="19"/>
              </w:rPr>
              <w:t>计量单位</w:t>
            </w:r>
          </w:p>
        </w:tc>
        <w:tc>
          <w:tcPr>
            <w:tcW w:w="1459"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122"/>
              <w:rPr>
                <w:rFonts w:ascii="宋体" w:hAnsi="宋体" w:eastAsia="宋体" w:cs="宋体"/>
                <w:sz w:val="19"/>
                <w:szCs w:val="19"/>
              </w:rPr>
            </w:pPr>
            <w:r>
              <w:rPr>
                <w:rFonts w:ascii="宋体" w:hAnsi="宋体" w:eastAsia="宋体" w:cs="宋体"/>
                <w:spacing w:val="5"/>
                <w:sz w:val="19"/>
                <w:szCs w:val="19"/>
              </w:rPr>
              <w:t>工程量</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vMerge w:val="continue"/>
            <w:tcBorders>
              <w:top w:val="nil"/>
              <w:left w:val="single" w:color="000008" w:sz="14" w:space="0"/>
              <w:bottom w:val="nil"/>
            </w:tcBorders>
            <w:vAlign w:val="top"/>
          </w:tcPr>
          <w:p>
            <w:pPr>
              <w:pStyle w:val="687"/>
              <w:autoSpaceDE w:val="0"/>
              <w:autoSpaceDN w:val="0"/>
            </w:pPr>
          </w:p>
        </w:tc>
        <w:tc>
          <w:tcPr>
            <w:tcW w:w="1677" w:type="dxa"/>
            <w:vMerge w:val="continue"/>
            <w:tcBorders>
              <w:top w:val="nil"/>
              <w:bottom w:val="nil"/>
            </w:tcBorders>
            <w:vAlign w:val="top"/>
          </w:tcPr>
          <w:p>
            <w:pPr>
              <w:pStyle w:val="687"/>
              <w:autoSpaceDE w:val="0"/>
              <w:autoSpaceDN w:val="0"/>
            </w:pPr>
          </w:p>
        </w:tc>
        <w:tc>
          <w:tcPr>
            <w:tcW w:w="5032" w:type="dxa"/>
            <w:vMerge w:val="continue"/>
            <w:tcBorders>
              <w:top w:val="nil"/>
              <w:bottom w:val="nil"/>
            </w:tcBorders>
            <w:vAlign w:val="top"/>
          </w:tcPr>
          <w:p>
            <w:pPr>
              <w:pStyle w:val="687"/>
              <w:autoSpaceDE w:val="0"/>
              <w:autoSpaceDN w:val="0"/>
            </w:pPr>
          </w:p>
        </w:tc>
        <w:tc>
          <w:tcPr>
            <w:tcW w:w="1336" w:type="dxa"/>
            <w:vMerge w:val="continue"/>
            <w:tcBorders>
              <w:top w:val="nil"/>
              <w:bottom w:val="nil"/>
            </w:tcBorders>
            <w:vAlign w:val="top"/>
          </w:tcPr>
          <w:p>
            <w:pPr>
              <w:pStyle w:val="687"/>
              <w:autoSpaceDE w:val="0"/>
              <w:autoSpaceDN w:val="0"/>
            </w:pPr>
          </w:p>
        </w:tc>
        <w:tc>
          <w:tcPr>
            <w:tcW w:w="1459" w:type="dxa"/>
            <w:vMerge w:val="continue"/>
            <w:tcBorders>
              <w:top w:val="nil"/>
              <w:bottom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vMerge w:val="continue"/>
            <w:tcBorders>
              <w:top w:val="nil"/>
              <w:left w:val="single" w:color="000008" w:sz="14" w:space="0"/>
            </w:tcBorders>
            <w:vAlign w:val="top"/>
          </w:tcPr>
          <w:p>
            <w:pPr>
              <w:pStyle w:val="687"/>
              <w:autoSpaceDE w:val="0"/>
              <w:autoSpaceDN w:val="0"/>
            </w:pPr>
          </w:p>
        </w:tc>
        <w:tc>
          <w:tcPr>
            <w:tcW w:w="1677" w:type="dxa"/>
            <w:vMerge w:val="continue"/>
            <w:tcBorders>
              <w:top w:val="nil"/>
            </w:tcBorders>
            <w:vAlign w:val="top"/>
          </w:tcPr>
          <w:p>
            <w:pPr>
              <w:pStyle w:val="687"/>
              <w:autoSpaceDE w:val="0"/>
              <w:autoSpaceDN w:val="0"/>
            </w:pPr>
          </w:p>
        </w:tc>
        <w:tc>
          <w:tcPr>
            <w:tcW w:w="5032" w:type="dxa"/>
            <w:vMerge w:val="continue"/>
            <w:tcBorders>
              <w:top w:val="nil"/>
            </w:tcBorders>
            <w:vAlign w:val="top"/>
          </w:tcPr>
          <w:p>
            <w:pPr>
              <w:pStyle w:val="687"/>
              <w:autoSpaceDE w:val="0"/>
              <w:autoSpaceDN w:val="0"/>
            </w:pPr>
          </w:p>
        </w:tc>
        <w:tc>
          <w:tcPr>
            <w:tcW w:w="1336" w:type="dxa"/>
            <w:vMerge w:val="continue"/>
            <w:tcBorders>
              <w:top w:val="nil"/>
            </w:tcBorders>
            <w:vAlign w:val="top"/>
          </w:tcPr>
          <w:p>
            <w:pPr>
              <w:pStyle w:val="687"/>
              <w:autoSpaceDE w:val="0"/>
              <w:autoSpaceDN w:val="0"/>
            </w:pPr>
          </w:p>
        </w:tc>
        <w:tc>
          <w:tcPr>
            <w:tcW w:w="1459" w:type="dxa"/>
            <w:vMerge w:val="continue"/>
            <w:tcBorders>
              <w:top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677" w:type="dxa"/>
            <w:vAlign w:val="top"/>
          </w:tcPr>
          <w:p>
            <w:pPr>
              <w:autoSpaceDE w:val="0"/>
              <w:autoSpaceDN w:val="0"/>
              <w:spacing w:before="86" w:line="219" w:lineRule="auto"/>
              <w:ind w:left="31"/>
              <w:rPr>
                <w:rFonts w:ascii="宋体" w:hAnsi="宋体" w:eastAsia="宋体" w:cs="宋体"/>
                <w:sz w:val="18"/>
                <w:szCs w:val="18"/>
              </w:rPr>
            </w:pPr>
            <w:r>
              <w:rPr>
                <w:rFonts w:ascii="宋体" w:hAnsi="宋体" w:eastAsia="宋体" w:cs="宋体"/>
                <w:spacing w:val="-2"/>
                <w:sz w:val="18"/>
                <w:szCs w:val="18"/>
              </w:rPr>
              <w:t>整个项目</w:t>
            </w:r>
          </w:p>
        </w:tc>
        <w:tc>
          <w:tcPr>
            <w:tcW w:w="5032" w:type="dxa"/>
            <w:vAlign w:val="top"/>
          </w:tcPr>
          <w:p>
            <w:pPr>
              <w:pStyle w:val="687"/>
              <w:autoSpaceDE w:val="0"/>
              <w:autoSpaceDN w:val="0"/>
            </w:pPr>
          </w:p>
        </w:tc>
        <w:tc>
          <w:tcPr>
            <w:tcW w:w="1336" w:type="dxa"/>
            <w:vAlign w:val="top"/>
          </w:tcPr>
          <w:p>
            <w:pPr>
              <w:pStyle w:val="687"/>
              <w:autoSpaceDE w:val="0"/>
              <w:autoSpaceDN w:val="0"/>
            </w:pPr>
          </w:p>
        </w:tc>
        <w:tc>
          <w:tcPr>
            <w:tcW w:w="1459"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029" w:hRule="atLeast"/>
        </w:trPr>
        <w:tc>
          <w:tcPr>
            <w:tcW w:w="820" w:type="dxa"/>
            <w:tcBorders>
              <w:left w:val="single" w:color="000008" w:sz="14" w:space="0"/>
            </w:tcBorders>
            <w:vAlign w:val="top"/>
          </w:tcPr>
          <w:p>
            <w:pPr>
              <w:pStyle w:val="687"/>
              <w:autoSpaceDE w:val="0"/>
              <w:autoSpaceDN w:val="0"/>
              <w:spacing w:line="285" w:lineRule="auto"/>
            </w:pPr>
          </w:p>
          <w:p>
            <w:pPr>
              <w:pStyle w:val="687"/>
              <w:autoSpaceDE w:val="0"/>
              <w:autoSpaceDN w:val="0"/>
              <w:spacing w:line="286" w:lineRule="auto"/>
            </w:pPr>
          </w:p>
          <w:p>
            <w:pPr>
              <w:autoSpaceDE w:val="0"/>
              <w:autoSpaceDN w:val="0"/>
              <w:spacing w:before="59" w:line="241" w:lineRule="auto"/>
              <w:ind w:left="373"/>
              <w:rPr>
                <w:rFonts w:ascii="宋体" w:hAnsi="宋体" w:eastAsia="宋体" w:cs="宋体"/>
                <w:sz w:val="18"/>
                <w:szCs w:val="18"/>
              </w:rPr>
            </w:pPr>
            <w:r>
              <w:rPr>
                <w:rFonts w:ascii="宋体" w:hAnsi="宋体" w:eastAsia="宋体" w:cs="宋体"/>
                <w:sz w:val="18"/>
                <w:szCs w:val="18"/>
              </w:rPr>
              <w:t>1</w:t>
            </w:r>
          </w:p>
        </w:tc>
        <w:tc>
          <w:tcPr>
            <w:tcW w:w="1677" w:type="dxa"/>
            <w:vAlign w:val="top"/>
          </w:tcPr>
          <w:p>
            <w:pPr>
              <w:pStyle w:val="687"/>
              <w:autoSpaceDE w:val="0"/>
              <w:autoSpaceDN w:val="0"/>
              <w:spacing w:line="285" w:lineRule="auto"/>
            </w:pPr>
          </w:p>
          <w:p>
            <w:pPr>
              <w:pStyle w:val="687"/>
              <w:autoSpaceDE w:val="0"/>
              <w:autoSpaceDN w:val="0"/>
              <w:spacing w:line="286" w:lineRule="auto"/>
            </w:pPr>
          </w:p>
          <w:p>
            <w:pPr>
              <w:autoSpaceDE w:val="0"/>
              <w:autoSpaceDN w:val="0"/>
              <w:spacing w:before="59" w:line="220" w:lineRule="auto"/>
              <w:ind w:left="30"/>
              <w:rPr>
                <w:rFonts w:ascii="宋体" w:hAnsi="宋体" w:eastAsia="宋体" w:cs="宋体"/>
                <w:sz w:val="18"/>
                <w:szCs w:val="18"/>
              </w:rPr>
            </w:pPr>
            <w:r>
              <w:rPr>
                <w:rFonts w:ascii="宋体" w:hAnsi="宋体" w:eastAsia="宋体" w:cs="宋体"/>
                <w:spacing w:val="-2"/>
                <w:sz w:val="18"/>
                <w:szCs w:val="18"/>
              </w:rPr>
              <w:t>应急电源接入箱</w:t>
            </w:r>
          </w:p>
        </w:tc>
        <w:tc>
          <w:tcPr>
            <w:tcW w:w="5032" w:type="dxa"/>
            <w:vAlign w:val="top"/>
          </w:tcPr>
          <w:p>
            <w:pPr>
              <w:autoSpaceDE w:val="0"/>
              <w:autoSpaceDN w:val="0"/>
              <w:spacing w:before="70" w:line="231" w:lineRule="auto"/>
              <w:ind w:left="31" w:right="39" w:firstLine="14"/>
              <w:rPr>
                <w:rFonts w:ascii="宋体" w:hAnsi="宋体" w:eastAsia="宋体" w:cs="宋体"/>
                <w:sz w:val="18"/>
                <w:szCs w:val="18"/>
              </w:rPr>
            </w:pPr>
            <w:r>
              <w:rPr>
                <w:rFonts w:ascii="宋体" w:hAnsi="宋体" w:eastAsia="宋体" w:cs="宋体"/>
                <w:spacing w:val="-2"/>
                <w:sz w:val="18"/>
                <w:szCs w:val="18"/>
              </w:rPr>
              <w:t>1.名称:应急电源接</w:t>
            </w:r>
            <w:r>
              <w:rPr>
                <w:rFonts w:ascii="宋体" w:hAnsi="宋体" w:eastAsia="宋体" w:cs="宋体"/>
                <w:spacing w:val="-4"/>
                <w:sz w:val="18"/>
                <w:szCs w:val="18"/>
              </w:rPr>
              <w:t>入箱</w:t>
            </w:r>
          </w:p>
          <w:p>
            <w:pPr>
              <w:autoSpaceDE w:val="0"/>
              <w:autoSpaceDN w:val="0"/>
              <w:spacing w:before="1" w:line="229" w:lineRule="auto"/>
              <w:ind w:left="35" w:right="219" w:hanging="1"/>
              <w:rPr>
                <w:rFonts w:ascii="宋体" w:hAnsi="宋体" w:eastAsia="宋体" w:cs="宋体"/>
                <w:sz w:val="18"/>
                <w:szCs w:val="18"/>
              </w:rPr>
            </w:pPr>
            <w:r>
              <w:rPr>
                <w:rFonts w:ascii="宋体" w:hAnsi="宋体" w:eastAsia="宋体" w:cs="宋体"/>
                <w:spacing w:val="-1"/>
                <w:sz w:val="18"/>
                <w:szCs w:val="18"/>
              </w:rPr>
              <w:t>2.规格:额定电流</w:t>
            </w:r>
            <w:r>
              <w:rPr>
                <w:rFonts w:ascii="宋体" w:hAnsi="宋体" w:eastAsia="宋体" w:cs="宋体"/>
                <w:spacing w:val="-2"/>
                <w:sz w:val="18"/>
                <w:szCs w:val="18"/>
              </w:rPr>
              <w:t>315A</w:t>
            </w:r>
          </w:p>
          <w:p>
            <w:pPr>
              <w:autoSpaceDE w:val="0"/>
              <w:autoSpaceDN w:val="0"/>
              <w:spacing w:before="1" w:line="228" w:lineRule="auto"/>
              <w:ind w:left="36" w:right="39"/>
              <w:rPr>
                <w:rFonts w:ascii="宋体" w:hAnsi="宋体" w:eastAsia="宋体" w:cs="宋体"/>
                <w:sz w:val="18"/>
                <w:szCs w:val="18"/>
              </w:rPr>
            </w:pPr>
            <w:r>
              <w:rPr>
                <w:rFonts w:ascii="宋体" w:hAnsi="宋体" w:eastAsia="宋体" w:cs="宋体"/>
                <w:spacing w:val="-1"/>
                <w:sz w:val="18"/>
                <w:szCs w:val="18"/>
              </w:rPr>
              <w:t>3.安装方式:壁挂式</w:t>
            </w:r>
            <w:r>
              <w:rPr>
                <w:rFonts w:ascii="宋体" w:hAnsi="宋体" w:eastAsia="宋体" w:cs="宋体"/>
                <w:spacing w:val="-6"/>
                <w:sz w:val="18"/>
                <w:szCs w:val="18"/>
              </w:rPr>
              <w:t>安装</w:t>
            </w:r>
          </w:p>
        </w:tc>
        <w:tc>
          <w:tcPr>
            <w:tcW w:w="1336" w:type="dxa"/>
            <w:vAlign w:val="top"/>
          </w:tcPr>
          <w:p>
            <w:pPr>
              <w:pStyle w:val="687"/>
              <w:autoSpaceDE w:val="0"/>
              <w:autoSpaceDN w:val="0"/>
              <w:spacing w:line="286" w:lineRule="auto"/>
            </w:pPr>
          </w:p>
          <w:p>
            <w:pPr>
              <w:pStyle w:val="687"/>
              <w:autoSpaceDE w:val="0"/>
              <w:autoSpaceDN w:val="0"/>
              <w:spacing w:line="286" w:lineRule="auto"/>
            </w:pPr>
          </w:p>
          <w:p>
            <w:pPr>
              <w:autoSpaceDE w:val="0"/>
              <w:autoSpaceDN w:val="0"/>
              <w:spacing w:before="58" w:line="221" w:lineRule="auto"/>
              <w:ind w:left="472"/>
              <w:rPr>
                <w:rFonts w:ascii="宋体" w:hAnsi="宋体" w:eastAsia="宋体" w:cs="宋体"/>
                <w:sz w:val="18"/>
                <w:szCs w:val="18"/>
              </w:rPr>
            </w:pPr>
            <w:r>
              <w:rPr>
                <w:rFonts w:ascii="宋体" w:hAnsi="宋体" w:eastAsia="宋体" w:cs="宋体"/>
                <w:sz w:val="18"/>
                <w:szCs w:val="18"/>
              </w:rPr>
              <w:t>台</w:t>
            </w:r>
          </w:p>
        </w:tc>
        <w:tc>
          <w:tcPr>
            <w:tcW w:w="1459" w:type="dxa"/>
            <w:vAlign w:val="top"/>
          </w:tcPr>
          <w:p>
            <w:pPr>
              <w:pStyle w:val="687"/>
              <w:autoSpaceDE w:val="0"/>
              <w:autoSpaceDN w:val="0"/>
              <w:spacing w:line="285" w:lineRule="auto"/>
            </w:pPr>
          </w:p>
          <w:p>
            <w:pPr>
              <w:pStyle w:val="687"/>
              <w:autoSpaceDE w:val="0"/>
              <w:autoSpaceDN w:val="0"/>
              <w:spacing w:line="286" w:lineRule="auto"/>
            </w:pPr>
          </w:p>
          <w:p>
            <w:pPr>
              <w:autoSpaceDE w:val="0"/>
              <w:autoSpaceDN w:val="0"/>
              <w:spacing w:before="59" w:line="241" w:lineRule="auto"/>
              <w:ind w:left="375"/>
              <w:rPr>
                <w:rFonts w:ascii="宋体" w:hAnsi="宋体" w:eastAsia="宋体" w:cs="宋体"/>
                <w:sz w:val="18"/>
                <w:szCs w:val="18"/>
              </w:rPr>
            </w:pPr>
            <w:r>
              <w:rPr>
                <w:rFonts w:ascii="宋体" w:hAnsi="宋体" w:eastAsia="宋体" w:cs="宋体"/>
                <w:sz w:val="18"/>
                <w:szCs w:val="18"/>
              </w:rPr>
              <w:t>2</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098" w:hRule="atLeast"/>
        </w:trPr>
        <w:tc>
          <w:tcPr>
            <w:tcW w:w="820" w:type="dxa"/>
            <w:tcBorders>
              <w:left w:val="single" w:color="000008" w:sz="14" w:space="0"/>
            </w:tcBorders>
            <w:vAlign w:val="top"/>
          </w:tcPr>
          <w:p>
            <w:pPr>
              <w:pStyle w:val="687"/>
              <w:autoSpaceDE w:val="0"/>
              <w:autoSpaceDN w:val="0"/>
              <w:spacing w:line="286" w:lineRule="auto"/>
            </w:pPr>
          </w:p>
          <w:p>
            <w:pPr>
              <w:pStyle w:val="687"/>
              <w:autoSpaceDE w:val="0"/>
              <w:autoSpaceDN w:val="0"/>
              <w:spacing w:line="287" w:lineRule="auto"/>
            </w:pPr>
          </w:p>
          <w:p>
            <w:pPr>
              <w:autoSpaceDE w:val="0"/>
              <w:autoSpaceDN w:val="0"/>
              <w:spacing w:before="59" w:line="241" w:lineRule="auto"/>
              <w:ind w:left="362"/>
              <w:rPr>
                <w:rFonts w:ascii="宋体" w:hAnsi="宋体" w:eastAsia="宋体" w:cs="宋体"/>
                <w:sz w:val="18"/>
                <w:szCs w:val="18"/>
              </w:rPr>
            </w:pPr>
            <w:r>
              <w:rPr>
                <w:rFonts w:ascii="宋体" w:hAnsi="宋体" w:eastAsia="宋体" w:cs="宋体"/>
                <w:sz w:val="18"/>
                <w:szCs w:val="18"/>
              </w:rPr>
              <w:t>2</w:t>
            </w:r>
          </w:p>
        </w:tc>
        <w:tc>
          <w:tcPr>
            <w:tcW w:w="1677" w:type="dxa"/>
            <w:vAlign w:val="top"/>
          </w:tcPr>
          <w:p>
            <w:pPr>
              <w:pStyle w:val="687"/>
              <w:autoSpaceDE w:val="0"/>
              <w:autoSpaceDN w:val="0"/>
              <w:spacing w:line="286" w:lineRule="auto"/>
            </w:pPr>
          </w:p>
          <w:p>
            <w:pPr>
              <w:pStyle w:val="687"/>
              <w:autoSpaceDE w:val="0"/>
              <w:autoSpaceDN w:val="0"/>
              <w:spacing w:line="287"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5032" w:type="dxa"/>
            <w:vAlign w:val="top"/>
          </w:tcPr>
          <w:p>
            <w:pPr>
              <w:autoSpaceDE w:val="0"/>
              <w:autoSpaceDN w:val="0"/>
              <w:spacing w:before="187" w:line="219" w:lineRule="auto"/>
              <w:ind w:left="45"/>
              <w:rPr>
                <w:rFonts w:ascii="宋体" w:hAnsi="宋体" w:eastAsia="宋体" w:cs="宋体"/>
                <w:sz w:val="18"/>
                <w:szCs w:val="18"/>
              </w:rPr>
            </w:pPr>
            <w:r>
              <w:rPr>
                <w:rFonts w:ascii="宋体" w:hAnsi="宋体" w:eastAsia="宋体" w:cs="宋体"/>
                <w:spacing w:val="-2"/>
                <w:sz w:val="18"/>
                <w:szCs w:val="18"/>
              </w:rPr>
              <w:t>1.名称:低压电缆</w:t>
            </w:r>
          </w:p>
          <w:p>
            <w:pPr>
              <w:autoSpaceDE w:val="0"/>
              <w:autoSpaceDN w:val="0"/>
              <w:spacing w:before="11" w:line="218" w:lineRule="auto"/>
              <w:ind w:left="34"/>
              <w:rPr>
                <w:rFonts w:ascii="宋体" w:hAnsi="宋体" w:eastAsia="宋体" w:cs="宋体"/>
                <w:sz w:val="18"/>
                <w:szCs w:val="18"/>
              </w:rPr>
            </w:pPr>
            <w:r>
              <w:rPr>
                <w:rFonts w:ascii="宋体" w:hAnsi="宋体" w:eastAsia="宋体" w:cs="宋体"/>
                <w:sz w:val="18"/>
                <w:szCs w:val="18"/>
              </w:rPr>
              <w:t>2.规格:ZC-YJY-</w:t>
            </w:r>
          </w:p>
          <w:p>
            <w:pPr>
              <w:autoSpaceDE w:val="0"/>
              <w:autoSpaceDN w:val="0"/>
              <w:spacing w:before="10" w:line="224" w:lineRule="auto"/>
              <w:ind w:left="34"/>
              <w:rPr>
                <w:rFonts w:ascii="宋体" w:hAnsi="宋体" w:eastAsia="宋体" w:cs="宋体"/>
                <w:sz w:val="18"/>
                <w:szCs w:val="18"/>
              </w:rPr>
            </w:pPr>
            <w:r>
              <w:rPr>
                <w:rFonts w:ascii="宋体" w:hAnsi="宋体" w:eastAsia="宋体" w:cs="宋体"/>
                <w:sz w:val="18"/>
                <w:szCs w:val="18"/>
              </w:rPr>
              <w:t>0.6/1kV-4*185mm2</w:t>
            </w:r>
          </w:p>
          <w:p>
            <w:pPr>
              <w:autoSpaceDE w:val="0"/>
              <w:autoSpaceDN w:val="0"/>
              <w:spacing w:before="7" w:line="233" w:lineRule="auto"/>
              <w:ind w:left="35" w:right="39"/>
              <w:rPr>
                <w:rFonts w:ascii="宋体" w:hAnsi="宋体" w:eastAsia="宋体" w:cs="宋体"/>
                <w:sz w:val="18"/>
                <w:szCs w:val="18"/>
              </w:rPr>
            </w:pPr>
            <w:r>
              <w:rPr>
                <w:rFonts w:ascii="宋体" w:hAnsi="宋体" w:eastAsia="宋体" w:cs="宋体"/>
                <w:spacing w:val="-1"/>
                <w:sz w:val="18"/>
                <w:szCs w:val="18"/>
              </w:rPr>
              <w:t>3.敷设方式:桥架敷</w:t>
            </w:r>
            <w:r>
              <w:rPr>
                <w:rFonts w:ascii="宋体" w:hAnsi="宋体" w:eastAsia="宋体" w:cs="宋体"/>
                <w:sz w:val="18"/>
                <w:szCs w:val="18"/>
              </w:rPr>
              <w:t>设</w:t>
            </w:r>
          </w:p>
        </w:tc>
        <w:tc>
          <w:tcPr>
            <w:tcW w:w="1336" w:type="dxa"/>
            <w:vAlign w:val="top"/>
          </w:tcPr>
          <w:p>
            <w:pPr>
              <w:pStyle w:val="687"/>
              <w:autoSpaceDE w:val="0"/>
              <w:autoSpaceDN w:val="0"/>
              <w:spacing w:line="286" w:lineRule="auto"/>
            </w:pPr>
          </w:p>
          <w:p>
            <w:pPr>
              <w:pStyle w:val="687"/>
              <w:autoSpaceDE w:val="0"/>
              <w:autoSpaceDN w:val="0"/>
              <w:spacing w:line="287" w:lineRule="auto"/>
            </w:pPr>
          </w:p>
          <w:p>
            <w:pPr>
              <w:autoSpaceDE w:val="0"/>
              <w:autoSpaceDN w:val="0"/>
              <w:spacing w:before="59" w:line="241" w:lineRule="auto"/>
              <w:ind w:left="496"/>
              <w:rPr>
                <w:rFonts w:ascii="宋体" w:hAnsi="宋体" w:eastAsia="宋体" w:cs="宋体"/>
                <w:sz w:val="18"/>
                <w:szCs w:val="18"/>
              </w:rPr>
            </w:pPr>
            <w:r>
              <w:rPr>
                <w:rFonts w:ascii="宋体" w:hAnsi="宋体" w:eastAsia="宋体" w:cs="宋体"/>
                <w:sz w:val="18"/>
                <w:szCs w:val="18"/>
              </w:rPr>
              <w:t>m</w:t>
            </w:r>
          </w:p>
        </w:tc>
        <w:tc>
          <w:tcPr>
            <w:tcW w:w="1459" w:type="dxa"/>
            <w:vAlign w:val="top"/>
          </w:tcPr>
          <w:p>
            <w:pPr>
              <w:pStyle w:val="687"/>
              <w:autoSpaceDE w:val="0"/>
              <w:autoSpaceDN w:val="0"/>
              <w:spacing w:line="287" w:lineRule="auto"/>
            </w:pPr>
          </w:p>
          <w:p>
            <w:pPr>
              <w:pStyle w:val="687"/>
              <w:autoSpaceDE w:val="0"/>
              <w:autoSpaceDN w:val="0"/>
              <w:spacing w:line="287" w:lineRule="auto"/>
            </w:pPr>
          </w:p>
          <w:p>
            <w:pPr>
              <w:autoSpaceDE w:val="0"/>
              <w:autoSpaceDN w:val="0"/>
              <w:spacing w:before="58" w:line="239" w:lineRule="auto"/>
              <w:ind w:left="330"/>
              <w:rPr>
                <w:rFonts w:ascii="宋体" w:hAnsi="宋体" w:eastAsia="宋体" w:cs="宋体"/>
                <w:sz w:val="18"/>
                <w:szCs w:val="18"/>
              </w:rPr>
            </w:pPr>
            <w:r>
              <w:rPr>
                <w:rFonts w:ascii="宋体" w:hAnsi="宋体" w:eastAsia="宋体" w:cs="宋体"/>
                <w:spacing w:val="-4"/>
                <w:sz w:val="18"/>
                <w:szCs w:val="18"/>
              </w:rPr>
              <w:t>68</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968" w:hRule="atLeast"/>
        </w:trPr>
        <w:tc>
          <w:tcPr>
            <w:tcW w:w="820" w:type="dxa"/>
            <w:tcBorders>
              <w:left w:val="single" w:color="000008" w:sz="14" w:space="0"/>
            </w:tcBorders>
            <w:vAlign w:val="top"/>
          </w:tcPr>
          <w:p>
            <w:pPr>
              <w:pStyle w:val="687"/>
              <w:autoSpaceDE w:val="0"/>
              <w:autoSpaceDN w:val="0"/>
              <w:spacing w:line="351" w:lineRule="auto"/>
            </w:pPr>
          </w:p>
          <w:p>
            <w:pPr>
              <w:autoSpaceDE w:val="0"/>
              <w:autoSpaceDN w:val="0"/>
              <w:spacing w:before="59" w:line="239" w:lineRule="auto"/>
              <w:ind w:left="364"/>
              <w:rPr>
                <w:rFonts w:ascii="宋体" w:hAnsi="宋体" w:eastAsia="宋体" w:cs="宋体"/>
                <w:sz w:val="18"/>
                <w:szCs w:val="18"/>
              </w:rPr>
            </w:pPr>
            <w:r>
              <w:rPr>
                <w:rFonts w:ascii="宋体" w:hAnsi="宋体" w:eastAsia="宋体" w:cs="宋体"/>
                <w:sz w:val="18"/>
                <w:szCs w:val="18"/>
              </w:rPr>
              <w:t>3</w:t>
            </w:r>
          </w:p>
        </w:tc>
        <w:tc>
          <w:tcPr>
            <w:tcW w:w="1677" w:type="dxa"/>
            <w:vAlign w:val="top"/>
          </w:tcPr>
          <w:p>
            <w:pPr>
              <w:pStyle w:val="687"/>
              <w:autoSpaceDE w:val="0"/>
              <w:autoSpaceDN w:val="0"/>
              <w:spacing w:line="351"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6"/>
                <w:sz w:val="18"/>
                <w:szCs w:val="18"/>
              </w:rPr>
              <w:t>电力电缆头</w:t>
            </w:r>
          </w:p>
        </w:tc>
        <w:tc>
          <w:tcPr>
            <w:tcW w:w="5032" w:type="dxa"/>
            <w:vAlign w:val="top"/>
          </w:tcPr>
          <w:p>
            <w:pPr>
              <w:autoSpaceDE w:val="0"/>
              <w:autoSpaceDN w:val="0"/>
              <w:spacing w:before="187" w:line="219" w:lineRule="auto"/>
              <w:ind w:left="45"/>
              <w:rPr>
                <w:rFonts w:ascii="宋体" w:hAnsi="宋体" w:eastAsia="宋体" w:cs="宋体"/>
                <w:sz w:val="18"/>
                <w:szCs w:val="18"/>
              </w:rPr>
            </w:pPr>
            <w:r>
              <w:rPr>
                <w:rFonts w:ascii="宋体" w:hAnsi="宋体" w:eastAsia="宋体" w:cs="宋体"/>
                <w:spacing w:val="-2"/>
                <w:sz w:val="18"/>
                <w:szCs w:val="18"/>
              </w:rPr>
              <w:t>1.名称:电缆终端头</w:t>
            </w:r>
          </w:p>
          <w:p>
            <w:pPr>
              <w:autoSpaceDE w:val="0"/>
              <w:autoSpaceDN w:val="0"/>
              <w:spacing w:before="10" w:line="218" w:lineRule="auto"/>
              <w:ind w:left="34"/>
              <w:rPr>
                <w:rFonts w:ascii="宋体" w:hAnsi="宋体" w:eastAsia="宋体" w:cs="宋体"/>
                <w:sz w:val="18"/>
                <w:szCs w:val="18"/>
              </w:rPr>
            </w:pPr>
            <w:r>
              <w:rPr>
                <w:rFonts w:ascii="宋体" w:hAnsi="宋体" w:eastAsia="宋体" w:cs="宋体"/>
                <w:sz w:val="18"/>
                <w:szCs w:val="18"/>
              </w:rPr>
              <w:t>2.规格:ZC-YJY-</w:t>
            </w:r>
          </w:p>
          <w:p>
            <w:pPr>
              <w:autoSpaceDE w:val="0"/>
              <w:autoSpaceDN w:val="0"/>
              <w:spacing w:before="13" w:line="224" w:lineRule="auto"/>
              <w:ind w:left="34"/>
              <w:rPr>
                <w:rFonts w:ascii="宋体" w:hAnsi="宋体" w:eastAsia="宋体" w:cs="宋体"/>
                <w:sz w:val="18"/>
                <w:szCs w:val="18"/>
              </w:rPr>
            </w:pPr>
            <w:r>
              <w:rPr>
                <w:rFonts w:ascii="宋体" w:hAnsi="宋体" w:eastAsia="宋体" w:cs="宋体"/>
                <w:sz w:val="18"/>
                <w:szCs w:val="18"/>
              </w:rPr>
              <w:t>0.6/1kV-4*185mm2</w:t>
            </w:r>
          </w:p>
        </w:tc>
        <w:tc>
          <w:tcPr>
            <w:tcW w:w="1336" w:type="dxa"/>
            <w:vAlign w:val="top"/>
          </w:tcPr>
          <w:p>
            <w:pPr>
              <w:pStyle w:val="687"/>
              <w:autoSpaceDE w:val="0"/>
              <w:autoSpaceDN w:val="0"/>
              <w:spacing w:line="351" w:lineRule="auto"/>
            </w:pPr>
          </w:p>
          <w:p>
            <w:pPr>
              <w:autoSpaceDE w:val="0"/>
              <w:autoSpaceDN w:val="0"/>
              <w:spacing w:before="59" w:line="219" w:lineRule="auto"/>
              <w:ind w:left="458"/>
              <w:rPr>
                <w:rFonts w:ascii="宋体" w:hAnsi="宋体" w:eastAsia="宋体" w:cs="宋体"/>
                <w:sz w:val="18"/>
                <w:szCs w:val="18"/>
              </w:rPr>
            </w:pPr>
            <w:r>
              <w:rPr>
                <w:rFonts w:ascii="宋体" w:hAnsi="宋体" w:eastAsia="宋体" w:cs="宋体"/>
                <w:sz w:val="18"/>
                <w:szCs w:val="18"/>
              </w:rPr>
              <w:t>个</w:t>
            </w:r>
          </w:p>
        </w:tc>
        <w:tc>
          <w:tcPr>
            <w:tcW w:w="1459" w:type="dxa"/>
            <w:vAlign w:val="top"/>
          </w:tcPr>
          <w:p>
            <w:pPr>
              <w:pStyle w:val="687"/>
              <w:autoSpaceDE w:val="0"/>
              <w:autoSpaceDN w:val="0"/>
              <w:spacing w:line="351" w:lineRule="auto"/>
            </w:pPr>
          </w:p>
          <w:p>
            <w:pPr>
              <w:autoSpaceDE w:val="0"/>
              <w:autoSpaceDN w:val="0"/>
              <w:spacing w:before="58" w:line="241" w:lineRule="auto"/>
              <w:ind w:left="372"/>
              <w:rPr>
                <w:rFonts w:ascii="宋体" w:hAnsi="宋体" w:eastAsia="宋体" w:cs="宋体"/>
                <w:sz w:val="18"/>
                <w:szCs w:val="18"/>
              </w:rPr>
            </w:pPr>
            <w:r>
              <w:rPr>
                <w:rFonts w:ascii="宋体" w:hAnsi="宋体" w:eastAsia="宋体" w:cs="宋体"/>
                <w:sz w:val="18"/>
                <w:szCs w:val="18"/>
              </w:rPr>
              <w:t>4</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81" w:line="241" w:lineRule="auto"/>
              <w:ind w:left="359"/>
              <w:rPr>
                <w:rFonts w:ascii="宋体" w:hAnsi="宋体" w:eastAsia="宋体" w:cs="宋体"/>
                <w:sz w:val="18"/>
                <w:szCs w:val="18"/>
              </w:rPr>
            </w:pPr>
            <w:r>
              <w:rPr>
                <w:rFonts w:ascii="宋体" w:hAnsi="宋体" w:eastAsia="宋体" w:cs="宋体"/>
                <w:sz w:val="18"/>
                <w:szCs w:val="18"/>
              </w:rPr>
              <w:t>4</w:t>
            </w:r>
          </w:p>
        </w:tc>
        <w:tc>
          <w:tcPr>
            <w:tcW w:w="1677" w:type="dxa"/>
            <w:vAlign w:val="top"/>
          </w:tcPr>
          <w:p>
            <w:pPr>
              <w:autoSpaceDE w:val="0"/>
              <w:autoSpaceDN w:val="0"/>
              <w:spacing w:before="181" w:line="220" w:lineRule="auto"/>
              <w:ind w:left="30"/>
              <w:rPr>
                <w:rFonts w:ascii="宋体" w:hAnsi="宋体" w:eastAsia="宋体" w:cs="宋体"/>
                <w:sz w:val="18"/>
                <w:szCs w:val="18"/>
              </w:rPr>
            </w:pPr>
            <w:r>
              <w:rPr>
                <w:rFonts w:ascii="宋体" w:hAnsi="宋体" w:eastAsia="宋体" w:cs="宋体"/>
                <w:spacing w:val="-4"/>
                <w:sz w:val="18"/>
                <w:szCs w:val="18"/>
              </w:rPr>
              <w:t>桥架</w:t>
            </w:r>
          </w:p>
        </w:tc>
        <w:tc>
          <w:tcPr>
            <w:tcW w:w="5032" w:type="dxa"/>
            <w:vAlign w:val="top"/>
          </w:tcPr>
          <w:p>
            <w:pPr>
              <w:autoSpaceDE w:val="0"/>
              <w:autoSpaceDN w:val="0"/>
              <w:spacing w:before="69" w:line="219" w:lineRule="auto"/>
              <w:ind w:left="45"/>
              <w:rPr>
                <w:rFonts w:ascii="宋体" w:hAnsi="宋体" w:eastAsia="宋体" w:cs="宋体"/>
                <w:sz w:val="18"/>
                <w:szCs w:val="18"/>
              </w:rPr>
            </w:pPr>
            <w:r>
              <w:rPr>
                <w:rFonts w:ascii="宋体" w:hAnsi="宋体" w:eastAsia="宋体" w:cs="宋体"/>
                <w:spacing w:val="-2"/>
                <w:sz w:val="18"/>
                <w:szCs w:val="18"/>
              </w:rPr>
              <w:t>1.名称:电缆桥架</w:t>
            </w:r>
          </w:p>
          <w:p>
            <w:pPr>
              <w:autoSpaceDE w:val="0"/>
              <w:autoSpaceDN w:val="0"/>
              <w:spacing w:before="12" w:line="206" w:lineRule="auto"/>
              <w:ind w:left="34"/>
              <w:rPr>
                <w:rFonts w:ascii="宋体" w:hAnsi="宋体" w:eastAsia="宋体" w:cs="宋体"/>
                <w:sz w:val="18"/>
                <w:szCs w:val="18"/>
              </w:rPr>
            </w:pPr>
            <w:r>
              <w:rPr>
                <w:rFonts w:ascii="宋体" w:hAnsi="宋体" w:eastAsia="宋体" w:cs="宋体"/>
                <w:spacing w:val="-1"/>
                <w:sz w:val="18"/>
                <w:szCs w:val="18"/>
              </w:rPr>
              <w:t>2.规格:200*100</w:t>
            </w:r>
          </w:p>
        </w:tc>
        <w:tc>
          <w:tcPr>
            <w:tcW w:w="1336" w:type="dxa"/>
            <w:vAlign w:val="top"/>
          </w:tcPr>
          <w:p>
            <w:pPr>
              <w:autoSpaceDE w:val="0"/>
              <w:autoSpaceDN w:val="0"/>
              <w:spacing w:before="181" w:line="241" w:lineRule="auto"/>
              <w:ind w:left="496"/>
              <w:rPr>
                <w:rFonts w:ascii="宋体" w:hAnsi="宋体" w:eastAsia="宋体" w:cs="宋体"/>
                <w:sz w:val="18"/>
                <w:szCs w:val="18"/>
              </w:rPr>
            </w:pPr>
            <w:r>
              <w:rPr>
                <w:rFonts w:ascii="宋体" w:hAnsi="宋体" w:eastAsia="宋体" w:cs="宋体"/>
                <w:sz w:val="18"/>
                <w:szCs w:val="18"/>
              </w:rPr>
              <w:t>m</w:t>
            </w:r>
          </w:p>
        </w:tc>
        <w:tc>
          <w:tcPr>
            <w:tcW w:w="1459" w:type="dxa"/>
            <w:vAlign w:val="top"/>
          </w:tcPr>
          <w:p>
            <w:pPr>
              <w:autoSpaceDE w:val="0"/>
              <w:autoSpaceDN w:val="0"/>
              <w:spacing w:before="182" w:line="239" w:lineRule="auto"/>
              <w:ind w:left="377"/>
              <w:rPr>
                <w:rFonts w:ascii="宋体" w:hAnsi="宋体" w:eastAsia="宋体" w:cs="宋体"/>
                <w:sz w:val="18"/>
                <w:szCs w:val="18"/>
              </w:rPr>
            </w:pPr>
            <w:r>
              <w:rPr>
                <w:rFonts w:ascii="宋体" w:hAnsi="宋体" w:eastAsia="宋体" w:cs="宋体"/>
                <w:sz w:val="18"/>
                <w:szCs w:val="18"/>
              </w:rPr>
              <w:t>7</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084" w:hRule="atLeast"/>
        </w:trPr>
        <w:tc>
          <w:tcPr>
            <w:tcW w:w="820" w:type="dxa"/>
            <w:tcBorders>
              <w:left w:val="single" w:color="000008" w:sz="14" w:space="0"/>
            </w:tcBorders>
            <w:vAlign w:val="top"/>
          </w:tcPr>
          <w:p>
            <w:pPr>
              <w:pStyle w:val="687"/>
              <w:autoSpaceDE w:val="0"/>
              <w:autoSpaceDN w:val="0"/>
              <w:spacing w:line="291" w:lineRule="auto"/>
            </w:pPr>
          </w:p>
          <w:p>
            <w:pPr>
              <w:pStyle w:val="687"/>
              <w:autoSpaceDE w:val="0"/>
              <w:autoSpaceDN w:val="0"/>
              <w:spacing w:line="292" w:lineRule="auto"/>
            </w:pPr>
          </w:p>
          <w:p>
            <w:pPr>
              <w:autoSpaceDE w:val="0"/>
              <w:autoSpaceDN w:val="0"/>
              <w:spacing w:before="59" w:line="239" w:lineRule="auto"/>
              <w:ind w:left="364"/>
              <w:rPr>
                <w:rFonts w:ascii="宋体" w:hAnsi="宋体" w:eastAsia="宋体" w:cs="宋体"/>
                <w:sz w:val="18"/>
                <w:szCs w:val="18"/>
              </w:rPr>
            </w:pPr>
            <w:r>
              <w:rPr>
                <w:rFonts w:ascii="宋体" w:hAnsi="宋体" w:eastAsia="宋体" w:cs="宋体"/>
                <w:sz w:val="18"/>
                <w:szCs w:val="18"/>
              </w:rPr>
              <w:t>5</w:t>
            </w:r>
          </w:p>
        </w:tc>
        <w:tc>
          <w:tcPr>
            <w:tcW w:w="1677" w:type="dxa"/>
            <w:vAlign w:val="top"/>
          </w:tcPr>
          <w:p>
            <w:pPr>
              <w:pStyle w:val="687"/>
              <w:autoSpaceDE w:val="0"/>
              <w:autoSpaceDN w:val="0"/>
              <w:spacing w:line="291" w:lineRule="auto"/>
            </w:pPr>
          </w:p>
          <w:p>
            <w:pPr>
              <w:pStyle w:val="687"/>
              <w:autoSpaceDE w:val="0"/>
              <w:autoSpaceDN w:val="0"/>
              <w:spacing w:line="292"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5032" w:type="dxa"/>
            <w:vAlign w:val="top"/>
          </w:tcPr>
          <w:p>
            <w:pPr>
              <w:autoSpaceDE w:val="0"/>
              <w:autoSpaceDN w:val="0"/>
              <w:spacing w:before="82" w:line="219" w:lineRule="auto"/>
              <w:ind w:left="45"/>
              <w:rPr>
                <w:rFonts w:ascii="宋体" w:hAnsi="宋体" w:eastAsia="宋体" w:cs="宋体"/>
                <w:sz w:val="18"/>
                <w:szCs w:val="18"/>
              </w:rPr>
            </w:pPr>
            <w:r>
              <w:rPr>
                <w:rFonts w:ascii="宋体" w:hAnsi="宋体" w:eastAsia="宋体" w:cs="宋体"/>
                <w:spacing w:val="-2"/>
                <w:sz w:val="18"/>
                <w:szCs w:val="18"/>
              </w:rPr>
              <w:t>1.名称:低压电缆</w:t>
            </w:r>
          </w:p>
          <w:p>
            <w:pPr>
              <w:autoSpaceDE w:val="0"/>
              <w:autoSpaceDN w:val="0"/>
              <w:spacing w:before="11" w:line="231" w:lineRule="auto"/>
              <w:ind w:left="34" w:right="302"/>
              <w:rPr>
                <w:rFonts w:ascii="宋体" w:hAnsi="宋体" w:eastAsia="宋体" w:cs="宋体"/>
                <w:sz w:val="18"/>
                <w:szCs w:val="18"/>
              </w:rPr>
            </w:pPr>
            <w:r>
              <w:rPr>
                <w:rFonts w:ascii="宋体" w:hAnsi="宋体" w:eastAsia="宋体" w:cs="宋体"/>
                <w:sz w:val="18"/>
                <w:szCs w:val="18"/>
              </w:rPr>
              <w:t xml:space="preserve">2.规格:ZC-YJY- </w:t>
            </w:r>
            <w:r>
              <w:rPr>
                <w:rFonts w:ascii="宋体" w:hAnsi="宋体" w:eastAsia="宋体" w:cs="宋体"/>
                <w:spacing w:val="-1"/>
                <w:sz w:val="18"/>
                <w:szCs w:val="18"/>
              </w:rPr>
              <w:t>0.6/1kV-</w:t>
            </w:r>
          </w:p>
          <w:p>
            <w:pPr>
              <w:autoSpaceDE w:val="0"/>
              <w:autoSpaceDN w:val="0"/>
              <w:spacing w:line="228" w:lineRule="auto"/>
              <w:ind w:left="31"/>
              <w:rPr>
                <w:rFonts w:ascii="宋体" w:hAnsi="宋体" w:eastAsia="宋体" w:cs="宋体"/>
                <w:sz w:val="18"/>
                <w:szCs w:val="18"/>
              </w:rPr>
            </w:pPr>
            <w:r>
              <w:rPr>
                <w:rFonts w:ascii="宋体" w:hAnsi="宋体" w:eastAsia="宋体" w:cs="宋体"/>
                <w:sz w:val="18"/>
                <w:szCs w:val="18"/>
              </w:rPr>
              <w:t>4*150+1*70mm2</w:t>
            </w:r>
          </w:p>
          <w:p>
            <w:pPr>
              <w:autoSpaceDE w:val="0"/>
              <w:autoSpaceDN w:val="0"/>
              <w:spacing w:line="223" w:lineRule="auto"/>
              <w:ind w:left="35" w:right="39"/>
              <w:rPr>
                <w:rFonts w:ascii="宋体" w:hAnsi="宋体" w:eastAsia="宋体" w:cs="宋体"/>
                <w:sz w:val="18"/>
                <w:szCs w:val="18"/>
              </w:rPr>
            </w:pPr>
            <w:r>
              <w:rPr>
                <w:rFonts w:ascii="宋体" w:hAnsi="宋体" w:eastAsia="宋体" w:cs="宋体"/>
                <w:spacing w:val="-1"/>
                <w:sz w:val="18"/>
                <w:szCs w:val="18"/>
              </w:rPr>
              <w:t>3.敷设方式:桥架敷</w:t>
            </w:r>
            <w:r>
              <w:rPr>
                <w:rFonts w:ascii="宋体" w:hAnsi="宋体" w:eastAsia="宋体" w:cs="宋体"/>
                <w:sz w:val="18"/>
                <w:szCs w:val="18"/>
              </w:rPr>
              <w:t>设</w:t>
            </w:r>
          </w:p>
        </w:tc>
        <w:tc>
          <w:tcPr>
            <w:tcW w:w="1336" w:type="dxa"/>
            <w:vAlign w:val="top"/>
          </w:tcPr>
          <w:p>
            <w:pPr>
              <w:pStyle w:val="687"/>
              <w:autoSpaceDE w:val="0"/>
              <w:autoSpaceDN w:val="0"/>
              <w:spacing w:line="291" w:lineRule="auto"/>
            </w:pPr>
          </w:p>
          <w:p>
            <w:pPr>
              <w:pStyle w:val="687"/>
              <w:autoSpaceDE w:val="0"/>
              <w:autoSpaceDN w:val="0"/>
              <w:spacing w:line="292" w:lineRule="auto"/>
            </w:pPr>
          </w:p>
          <w:p>
            <w:pPr>
              <w:autoSpaceDE w:val="0"/>
              <w:autoSpaceDN w:val="0"/>
              <w:spacing w:before="58" w:line="241" w:lineRule="auto"/>
              <w:ind w:left="496"/>
              <w:rPr>
                <w:rFonts w:ascii="宋体" w:hAnsi="宋体" w:eastAsia="宋体" w:cs="宋体"/>
                <w:sz w:val="18"/>
                <w:szCs w:val="18"/>
              </w:rPr>
            </w:pPr>
            <w:r>
              <w:rPr>
                <w:rFonts w:ascii="宋体" w:hAnsi="宋体" w:eastAsia="宋体" w:cs="宋体"/>
                <w:sz w:val="18"/>
                <w:szCs w:val="18"/>
              </w:rPr>
              <w:t>m</w:t>
            </w:r>
          </w:p>
        </w:tc>
        <w:tc>
          <w:tcPr>
            <w:tcW w:w="1459" w:type="dxa"/>
            <w:vAlign w:val="top"/>
          </w:tcPr>
          <w:p>
            <w:pPr>
              <w:pStyle w:val="687"/>
              <w:autoSpaceDE w:val="0"/>
              <w:autoSpaceDN w:val="0"/>
              <w:spacing w:line="291" w:lineRule="auto"/>
            </w:pPr>
          </w:p>
          <w:p>
            <w:pPr>
              <w:pStyle w:val="687"/>
              <w:autoSpaceDE w:val="0"/>
              <w:autoSpaceDN w:val="0"/>
              <w:spacing w:line="292" w:lineRule="auto"/>
            </w:pPr>
          </w:p>
          <w:p>
            <w:pPr>
              <w:autoSpaceDE w:val="0"/>
              <w:autoSpaceDN w:val="0"/>
              <w:spacing w:before="59" w:line="239" w:lineRule="auto"/>
              <w:ind w:left="330"/>
              <w:rPr>
                <w:rFonts w:ascii="宋体" w:hAnsi="宋体" w:eastAsia="宋体" w:cs="宋体"/>
                <w:sz w:val="18"/>
                <w:szCs w:val="18"/>
              </w:rPr>
            </w:pPr>
            <w:r>
              <w:rPr>
                <w:rFonts w:ascii="宋体" w:hAnsi="宋体" w:eastAsia="宋体" w:cs="宋体"/>
                <w:spacing w:val="-5"/>
                <w:sz w:val="18"/>
                <w:szCs w:val="18"/>
              </w:rPr>
              <w:t>26</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968" w:hRule="atLeast"/>
        </w:trPr>
        <w:tc>
          <w:tcPr>
            <w:tcW w:w="820" w:type="dxa"/>
            <w:tcBorders>
              <w:left w:val="single" w:color="000008" w:sz="14" w:space="0"/>
            </w:tcBorders>
            <w:vAlign w:val="top"/>
          </w:tcPr>
          <w:p>
            <w:pPr>
              <w:pStyle w:val="687"/>
              <w:autoSpaceDE w:val="0"/>
              <w:autoSpaceDN w:val="0"/>
              <w:spacing w:line="359" w:lineRule="auto"/>
            </w:pPr>
          </w:p>
          <w:p>
            <w:pPr>
              <w:autoSpaceDE w:val="0"/>
              <w:autoSpaceDN w:val="0"/>
              <w:spacing w:before="58" w:line="239" w:lineRule="auto"/>
              <w:ind w:left="362"/>
              <w:rPr>
                <w:rFonts w:ascii="宋体" w:hAnsi="宋体" w:eastAsia="宋体" w:cs="宋体"/>
                <w:sz w:val="18"/>
                <w:szCs w:val="18"/>
              </w:rPr>
            </w:pPr>
            <w:r>
              <w:rPr>
                <w:rFonts w:ascii="宋体" w:hAnsi="宋体" w:eastAsia="宋体" w:cs="宋体"/>
                <w:sz w:val="18"/>
                <w:szCs w:val="18"/>
              </w:rPr>
              <w:t>6</w:t>
            </w:r>
          </w:p>
        </w:tc>
        <w:tc>
          <w:tcPr>
            <w:tcW w:w="1677" w:type="dxa"/>
            <w:vAlign w:val="top"/>
          </w:tcPr>
          <w:p>
            <w:pPr>
              <w:pStyle w:val="687"/>
              <w:autoSpaceDE w:val="0"/>
              <w:autoSpaceDN w:val="0"/>
              <w:spacing w:line="359" w:lineRule="auto"/>
            </w:pPr>
          </w:p>
          <w:p>
            <w:pPr>
              <w:autoSpaceDE w:val="0"/>
              <w:autoSpaceDN w:val="0"/>
              <w:spacing w:before="58" w:line="219" w:lineRule="auto"/>
              <w:ind w:left="51"/>
              <w:rPr>
                <w:rFonts w:ascii="宋体" w:hAnsi="宋体" w:eastAsia="宋体" w:cs="宋体"/>
                <w:sz w:val="18"/>
                <w:szCs w:val="18"/>
              </w:rPr>
            </w:pPr>
            <w:r>
              <w:rPr>
                <w:rFonts w:ascii="宋体" w:hAnsi="宋体" w:eastAsia="宋体" w:cs="宋体"/>
                <w:spacing w:val="-6"/>
                <w:sz w:val="18"/>
                <w:szCs w:val="18"/>
              </w:rPr>
              <w:t>电力电缆头</w:t>
            </w:r>
          </w:p>
        </w:tc>
        <w:tc>
          <w:tcPr>
            <w:tcW w:w="5032" w:type="dxa"/>
            <w:vAlign w:val="top"/>
          </w:tcPr>
          <w:p>
            <w:pPr>
              <w:autoSpaceDE w:val="0"/>
              <w:autoSpaceDN w:val="0"/>
              <w:spacing w:before="82" w:line="219" w:lineRule="auto"/>
              <w:ind w:left="45"/>
              <w:rPr>
                <w:rFonts w:ascii="宋体" w:hAnsi="宋体" w:eastAsia="宋体" w:cs="宋体"/>
                <w:sz w:val="18"/>
                <w:szCs w:val="18"/>
              </w:rPr>
            </w:pPr>
            <w:r>
              <w:rPr>
                <w:rFonts w:ascii="宋体" w:hAnsi="宋体" w:eastAsia="宋体" w:cs="宋体"/>
                <w:spacing w:val="-2"/>
                <w:sz w:val="18"/>
                <w:szCs w:val="18"/>
              </w:rPr>
              <w:t>1.名称:电缆终端头</w:t>
            </w:r>
          </w:p>
          <w:p>
            <w:pPr>
              <w:autoSpaceDE w:val="0"/>
              <w:autoSpaceDN w:val="0"/>
              <w:spacing w:before="10" w:line="230" w:lineRule="auto"/>
              <w:ind w:left="34" w:right="302"/>
              <w:rPr>
                <w:rFonts w:ascii="宋体" w:hAnsi="宋体" w:eastAsia="宋体" w:cs="宋体"/>
                <w:sz w:val="18"/>
                <w:szCs w:val="18"/>
              </w:rPr>
            </w:pPr>
            <w:r>
              <w:rPr>
                <w:rFonts w:ascii="宋体" w:hAnsi="宋体" w:eastAsia="宋体" w:cs="宋体"/>
                <w:sz w:val="18"/>
                <w:szCs w:val="18"/>
              </w:rPr>
              <w:t xml:space="preserve">2.规格:ZC-YJY- </w:t>
            </w:r>
            <w:r>
              <w:rPr>
                <w:rFonts w:ascii="宋体" w:hAnsi="宋体" w:eastAsia="宋体" w:cs="宋体"/>
                <w:spacing w:val="-1"/>
                <w:sz w:val="18"/>
                <w:szCs w:val="18"/>
              </w:rPr>
              <w:t>0.6/1kV-</w:t>
            </w:r>
          </w:p>
          <w:p>
            <w:pPr>
              <w:autoSpaceDE w:val="0"/>
              <w:autoSpaceDN w:val="0"/>
              <w:spacing w:line="207" w:lineRule="auto"/>
              <w:ind w:left="31"/>
              <w:rPr>
                <w:rFonts w:ascii="宋体" w:hAnsi="宋体" w:eastAsia="宋体" w:cs="宋体"/>
                <w:sz w:val="18"/>
                <w:szCs w:val="18"/>
              </w:rPr>
            </w:pPr>
            <w:r>
              <w:rPr>
                <w:rFonts w:ascii="宋体" w:hAnsi="宋体" w:eastAsia="宋体" w:cs="宋体"/>
                <w:sz w:val="18"/>
                <w:szCs w:val="18"/>
              </w:rPr>
              <w:t>4*150+1*70mm2</w:t>
            </w:r>
          </w:p>
        </w:tc>
        <w:tc>
          <w:tcPr>
            <w:tcW w:w="1336" w:type="dxa"/>
            <w:vAlign w:val="top"/>
          </w:tcPr>
          <w:p>
            <w:pPr>
              <w:pStyle w:val="687"/>
              <w:autoSpaceDE w:val="0"/>
              <w:autoSpaceDN w:val="0"/>
              <w:spacing w:line="359" w:lineRule="auto"/>
            </w:pPr>
          </w:p>
          <w:p>
            <w:pPr>
              <w:autoSpaceDE w:val="0"/>
              <w:autoSpaceDN w:val="0"/>
              <w:spacing w:before="58" w:line="219" w:lineRule="auto"/>
              <w:ind w:left="458"/>
              <w:rPr>
                <w:rFonts w:ascii="宋体" w:hAnsi="宋体" w:eastAsia="宋体" w:cs="宋体"/>
                <w:sz w:val="18"/>
                <w:szCs w:val="18"/>
              </w:rPr>
            </w:pPr>
            <w:r>
              <w:rPr>
                <w:rFonts w:ascii="宋体" w:hAnsi="宋体" w:eastAsia="宋体" w:cs="宋体"/>
                <w:sz w:val="18"/>
                <w:szCs w:val="18"/>
              </w:rPr>
              <w:t>个</w:t>
            </w:r>
          </w:p>
        </w:tc>
        <w:tc>
          <w:tcPr>
            <w:tcW w:w="1459" w:type="dxa"/>
            <w:vAlign w:val="top"/>
          </w:tcPr>
          <w:p>
            <w:pPr>
              <w:pStyle w:val="687"/>
              <w:autoSpaceDE w:val="0"/>
              <w:autoSpaceDN w:val="0"/>
              <w:spacing w:line="358" w:lineRule="auto"/>
            </w:pPr>
          </w:p>
          <w:p>
            <w:pPr>
              <w:autoSpaceDE w:val="0"/>
              <w:autoSpaceDN w:val="0"/>
              <w:spacing w:before="59" w:line="241" w:lineRule="auto"/>
              <w:ind w:left="375"/>
              <w:rPr>
                <w:rFonts w:ascii="宋体" w:hAnsi="宋体" w:eastAsia="宋体" w:cs="宋体"/>
                <w:sz w:val="18"/>
                <w:szCs w:val="18"/>
              </w:rPr>
            </w:pPr>
            <w:r>
              <w:rPr>
                <w:rFonts w:ascii="宋体" w:hAnsi="宋体" w:eastAsia="宋体" w:cs="宋体"/>
                <w:sz w:val="18"/>
                <w:szCs w:val="18"/>
              </w:rPr>
              <w:t>2</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084" w:hRule="atLeast"/>
        </w:trPr>
        <w:tc>
          <w:tcPr>
            <w:tcW w:w="820" w:type="dxa"/>
            <w:tcBorders>
              <w:left w:val="single" w:color="000008" w:sz="14" w:space="0"/>
            </w:tcBorders>
            <w:vAlign w:val="top"/>
          </w:tcPr>
          <w:p>
            <w:pPr>
              <w:pStyle w:val="687"/>
              <w:autoSpaceDE w:val="0"/>
              <w:autoSpaceDN w:val="0"/>
              <w:spacing w:line="295" w:lineRule="auto"/>
            </w:pPr>
          </w:p>
          <w:p>
            <w:pPr>
              <w:pStyle w:val="687"/>
              <w:autoSpaceDE w:val="0"/>
              <w:autoSpaceDN w:val="0"/>
              <w:spacing w:line="295" w:lineRule="auto"/>
            </w:pPr>
          </w:p>
          <w:p>
            <w:pPr>
              <w:autoSpaceDE w:val="0"/>
              <w:autoSpaceDN w:val="0"/>
              <w:spacing w:before="58" w:line="239" w:lineRule="auto"/>
              <w:ind w:left="364"/>
              <w:rPr>
                <w:rFonts w:ascii="宋体" w:hAnsi="宋体" w:eastAsia="宋体" w:cs="宋体"/>
                <w:sz w:val="18"/>
                <w:szCs w:val="18"/>
              </w:rPr>
            </w:pPr>
            <w:r>
              <w:rPr>
                <w:rFonts w:ascii="宋体" w:hAnsi="宋体" w:eastAsia="宋体" w:cs="宋体"/>
                <w:sz w:val="18"/>
                <w:szCs w:val="18"/>
              </w:rPr>
              <w:t>7</w:t>
            </w:r>
          </w:p>
        </w:tc>
        <w:tc>
          <w:tcPr>
            <w:tcW w:w="1677" w:type="dxa"/>
            <w:vAlign w:val="top"/>
          </w:tcPr>
          <w:p>
            <w:pPr>
              <w:pStyle w:val="687"/>
              <w:autoSpaceDE w:val="0"/>
              <w:autoSpaceDN w:val="0"/>
              <w:spacing w:line="294" w:lineRule="auto"/>
            </w:pPr>
          </w:p>
          <w:p>
            <w:pPr>
              <w:pStyle w:val="687"/>
              <w:autoSpaceDE w:val="0"/>
              <w:autoSpaceDN w:val="0"/>
              <w:spacing w:line="295"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5032" w:type="dxa"/>
            <w:vAlign w:val="top"/>
          </w:tcPr>
          <w:p>
            <w:pPr>
              <w:autoSpaceDE w:val="0"/>
              <w:autoSpaceDN w:val="0"/>
              <w:spacing w:before="90" w:line="219" w:lineRule="auto"/>
              <w:ind w:left="45"/>
              <w:rPr>
                <w:rFonts w:ascii="宋体" w:hAnsi="宋体" w:eastAsia="宋体" w:cs="宋体"/>
                <w:sz w:val="18"/>
                <w:szCs w:val="18"/>
              </w:rPr>
            </w:pPr>
            <w:r>
              <w:rPr>
                <w:rFonts w:ascii="宋体" w:hAnsi="宋体" w:eastAsia="宋体" w:cs="宋体"/>
                <w:spacing w:val="-2"/>
                <w:sz w:val="18"/>
                <w:szCs w:val="18"/>
              </w:rPr>
              <w:t>1.名称:低压电缆</w:t>
            </w:r>
          </w:p>
          <w:p>
            <w:pPr>
              <w:autoSpaceDE w:val="0"/>
              <w:autoSpaceDN w:val="0"/>
              <w:spacing w:before="9" w:line="231" w:lineRule="auto"/>
              <w:ind w:left="34" w:right="302"/>
              <w:rPr>
                <w:rFonts w:ascii="宋体" w:hAnsi="宋体" w:eastAsia="宋体" w:cs="宋体"/>
                <w:sz w:val="18"/>
                <w:szCs w:val="18"/>
              </w:rPr>
            </w:pPr>
            <w:r>
              <w:rPr>
                <w:rFonts w:ascii="宋体" w:hAnsi="宋体" w:eastAsia="宋体" w:cs="宋体"/>
                <w:sz w:val="18"/>
                <w:szCs w:val="18"/>
              </w:rPr>
              <w:t xml:space="preserve">2.规格:ZC-YJY- </w:t>
            </w:r>
            <w:r>
              <w:rPr>
                <w:rFonts w:ascii="宋体" w:hAnsi="宋体" w:eastAsia="宋体" w:cs="宋体"/>
                <w:spacing w:val="-1"/>
                <w:sz w:val="18"/>
                <w:szCs w:val="18"/>
              </w:rPr>
              <w:t>0.6/1kV-</w:t>
            </w:r>
          </w:p>
          <w:p>
            <w:pPr>
              <w:autoSpaceDE w:val="0"/>
              <w:autoSpaceDN w:val="0"/>
              <w:spacing w:line="230" w:lineRule="auto"/>
              <w:ind w:left="31"/>
              <w:rPr>
                <w:rFonts w:ascii="宋体" w:hAnsi="宋体" w:eastAsia="宋体" w:cs="宋体"/>
                <w:sz w:val="18"/>
                <w:szCs w:val="18"/>
              </w:rPr>
            </w:pPr>
            <w:r>
              <w:rPr>
                <w:rFonts w:ascii="宋体" w:hAnsi="宋体" w:eastAsia="宋体" w:cs="宋体"/>
                <w:sz w:val="18"/>
                <w:szCs w:val="18"/>
              </w:rPr>
              <w:t>4*70+1*35mm2</w:t>
            </w:r>
          </w:p>
          <w:p>
            <w:pPr>
              <w:autoSpaceDE w:val="0"/>
              <w:autoSpaceDN w:val="0"/>
              <w:spacing w:before="1" w:line="218" w:lineRule="auto"/>
              <w:ind w:left="35" w:right="39"/>
              <w:rPr>
                <w:rFonts w:ascii="宋体" w:hAnsi="宋体" w:eastAsia="宋体" w:cs="宋体"/>
                <w:sz w:val="18"/>
                <w:szCs w:val="18"/>
              </w:rPr>
            </w:pPr>
            <w:r>
              <w:rPr>
                <w:rFonts w:ascii="宋体" w:hAnsi="宋体" w:eastAsia="宋体" w:cs="宋体"/>
                <w:spacing w:val="-1"/>
                <w:sz w:val="18"/>
                <w:szCs w:val="18"/>
              </w:rPr>
              <w:t>3.敷设方式:桥架敷</w:t>
            </w:r>
            <w:r>
              <w:rPr>
                <w:rFonts w:ascii="宋体" w:hAnsi="宋体" w:eastAsia="宋体" w:cs="宋体"/>
                <w:sz w:val="18"/>
                <w:szCs w:val="18"/>
              </w:rPr>
              <w:t>设</w:t>
            </w:r>
          </w:p>
        </w:tc>
        <w:tc>
          <w:tcPr>
            <w:tcW w:w="1336" w:type="dxa"/>
            <w:vAlign w:val="top"/>
          </w:tcPr>
          <w:p>
            <w:pPr>
              <w:pStyle w:val="687"/>
              <w:autoSpaceDE w:val="0"/>
              <w:autoSpaceDN w:val="0"/>
              <w:spacing w:line="294" w:lineRule="auto"/>
            </w:pPr>
          </w:p>
          <w:p>
            <w:pPr>
              <w:pStyle w:val="687"/>
              <w:autoSpaceDE w:val="0"/>
              <w:autoSpaceDN w:val="0"/>
              <w:spacing w:line="295" w:lineRule="auto"/>
            </w:pPr>
          </w:p>
          <w:p>
            <w:pPr>
              <w:autoSpaceDE w:val="0"/>
              <w:autoSpaceDN w:val="0"/>
              <w:spacing w:before="59" w:line="241" w:lineRule="auto"/>
              <w:ind w:left="496"/>
              <w:rPr>
                <w:rFonts w:ascii="宋体" w:hAnsi="宋体" w:eastAsia="宋体" w:cs="宋体"/>
                <w:sz w:val="18"/>
                <w:szCs w:val="18"/>
              </w:rPr>
            </w:pPr>
            <w:r>
              <w:rPr>
                <w:rFonts w:ascii="宋体" w:hAnsi="宋体" w:eastAsia="宋体" w:cs="宋体"/>
                <w:sz w:val="18"/>
                <w:szCs w:val="18"/>
              </w:rPr>
              <w:t>m</w:t>
            </w:r>
          </w:p>
        </w:tc>
        <w:tc>
          <w:tcPr>
            <w:tcW w:w="1459" w:type="dxa"/>
            <w:vAlign w:val="top"/>
          </w:tcPr>
          <w:p>
            <w:pPr>
              <w:pStyle w:val="687"/>
              <w:autoSpaceDE w:val="0"/>
              <w:autoSpaceDN w:val="0"/>
              <w:spacing w:line="295" w:lineRule="auto"/>
            </w:pPr>
          </w:p>
          <w:p>
            <w:pPr>
              <w:pStyle w:val="687"/>
              <w:autoSpaceDE w:val="0"/>
              <w:autoSpaceDN w:val="0"/>
              <w:spacing w:line="295" w:lineRule="auto"/>
            </w:pPr>
          </w:p>
          <w:p>
            <w:pPr>
              <w:autoSpaceDE w:val="0"/>
              <w:autoSpaceDN w:val="0"/>
              <w:spacing w:before="58" w:line="239" w:lineRule="auto"/>
              <w:ind w:left="332"/>
              <w:rPr>
                <w:rFonts w:ascii="宋体" w:hAnsi="宋体" w:eastAsia="宋体" w:cs="宋体"/>
                <w:sz w:val="18"/>
                <w:szCs w:val="18"/>
              </w:rPr>
            </w:pPr>
            <w:r>
              <w:rPr>
                <w:rFonts w:ascii="宋体" w:hAnsi="宋体" w:eastAsia="宋体" w:cs="宋体"/>
                <w:spacing w:val="-5"/>
                <w:sz w:val="18"/>
                <w:szCs w:val="18"/>
              </w:rPr>
              <w:t>55</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968" w:hRule="atLeast"/>
        </w:trPr>
        <w:tc>
          <w:tcPr>
            <w:tcW w:w="820" w:type="dxa"/>
            <w:tcBorders>
              <w:left w:val="single" w:color="000008" w:sz="14" w:space="0"/>
            </w:tcBorders>
            <w:vAlign w:val="top"/>
          </w:tcPr>
          <w:p>
            <w:pPr>
              <w:pStyle w:val="687"/>
              <w:autoSpaceDE w:val="0"/>
              <w:autoSpaceDN w:val="0"/>
              <w:spacing w:line="365" w:lineRule="auto"/>
            </w:pPr>
          </w:p>
          <w:p>
            <w:pPr>
              <w:autoSpaceDE w:val="0"/>
              <w:autoSpaceDN w:val="0"/>
              <w:spacing w:before="59" w:line="239" w:lineRule="auto"/>
              <w:ind w:left="361"/>
              <w:rPr>
                <w:rFonts w:ascii="宋体" w:hAnsi="宋体" w:eastAsia="宋体" w:cs="宋体"/>
                <w:sz w:val="18"/>
                <w:szCs w:val="18"/>
              </w:rPr>
            </w:pPr>
            <w:r>
              <w:rPr>
                <w:rFonts w:ascii="宋体" w:hAnsi="宋体" w:eastAsia="宋体" w:cs="宋体"/>
                <w:sz w:val="18"/>
                <w:szCs w:val="18"/>
              </w:rPr>
              <w:t>8</w:t>
            </w:r>
          </w:p>
        </w:tc>
        <w:tc>
          <w:tcPr>
            <w:tcW w:w="1677" w:type="dxa"/>
            <w:vAlign w:val="top"/>
          </w:tcPr>
          <w:p>
            <w:pPr>
              <w:pStyle w:val="687"/>
              <w:autoSpaceDE w:val="0"/>
              <w:autoSpaceDN w:val="0"/>
              <w:spacing w:line="365" w:lineRule="auto"/>
            </w:pPr>
          </w:p>
          <w:p>
            <w:pPr>
              <w:autoSpaceDE w:val="0"/>
              <w:autoSpaceDN w:val="0"/>
              <w:spacing w:before="58" w:line="219" w:lineRule="auto"/>
              <w:ind w:left="51"/>
              <w:rPr>
                <w:rFonts w:ascii="宋体" w:hAnsi="宋体" w:eastAsia="宋体" w:cs="宋体"/>
                <w:sz w:val="18"/>
                <w:szCs w:val="18"/>
              </w:rPr>
            </w:pPr>
            <w:r>
              <w:rPr>
                <w:rFonts w:ascii="宋体" w:hAnsi="宋体" w:eastAsia="宋体" w:cs="宋体"/>
                <w:spacing w:val="-6"/>
                <w:sz w:val="18"/>
                <w:szCs w:val="18"/>
              </w:rPr>
              <w:t>电力电缆头</w:t>
            </w:r>
          </w:p>
        </w:tc>
        <w:tc>
          <w:tcPr>
            <w:tcW w:w="5032" w:type="dxa"/>
            <w:vAlign w:val="top"/>
          </w:tcPr>
          <w:p>
            <w:pPr>
              <w:autoSpaceDE w:val="0"/>
              <w:autoSpaceDN w:val="0"/>
              <w:spacing w:before="87" w:line="219" w:lineRule="auto"/>
              <w:ind w:left="45"/>
              <w:rPr>
                <w:rFonts w:ascii="宋体" w:hAnsi="宋体" w:eastAsia="宋体" w:cs="宋体"/>
                <w:sz w:val="18"/>
                <w:szCs w:val="18"/>
              </w:rPr>
            </w:pPr>
            <w:r>
              <w:rPr>
                <w:rFonts w:ascii="宋体" w:hAnsi="宋体" w:eastAsia="宋体" w:cs="宋体"/>
                <w:spacing w:val="-2"/>
                <w:sz w:val="18"/>
                <w:szCs w:val="18"/>
              </w:rPr>
              <w:t>1.名称:电缆终端头</w:t>
            </w:r>
          </w:p>
          <w:p>
            <w:pPr>
              <w:autoSpaceDE w:val="0"/>
              <w:autoSpaceDN w:val="0"/>
              <w:spacing w:before="11" w:line="230" w:lineRule="auto"/>
              <w:ind w:left="34" w:right="302"/>
              <w:rPr>
                <w:rFonts w:ascii="宋体" w:hAnsi="宋体" w:eastAsia="宋体" w:cs="宋体"/>
                <w:sz w:val="18"/>
                <w:szCs w:val="18"/>
              </w:rPr>
            </w:pPr>
            <w:r>
              <w:rPr>
                <w:rFonts w:ascii="宋体" w:hAnsi="宋体" w:eastAsia="宋体" w:cs="宋体"/>
                <w:sz w:val="18"/>
                <w:szCs w:val="18"/>
              </w:rPr>
              <w:t xml:space="preserve">2.规格:ZC-YJY- </w:t>
            </w:r>
            <w:r>
              <w:rPr>
                <w:rFonts w:ascii="宋体" w:hAnsi="宋体" w:eastAsia="宋体" w:cs="宋体"/>
                <w:spacing w:val="-1"/>
                <w:sz w:val="18"/>
                <w:szCs w:val="18"/>
              </w:rPr>
              <w:t>0.6/1kV-</w:t>
            </w:r>
          </w:p>
          <w:p>
            <w:pPr>
              <w:autoSpaceDE w:val="0"/>
              <w:autoSpaceDN w:val="0"/>
              <w:spacing w:line="201" w:lineRule="auto"/>
              <w:ind w:left="31"/>
              <w:rPr>
                <w:rFonts w:ascii="宋体" w:hAnsi="宋体" w:eastAsia="宋体" w:cs="宋体"/>
                <w:sz w:val="18"/>
                <w:szCs w:val="18"/>
              </w:rPr>
            </w:pPr>
            <w:r>
              <w:rPr>
                <w:rFonts w:ascii="宋体" w:hAnsi="宋体" w:eastAsia="宋体" w:cs="宋体"/>
                <w:sz w:val="18"/>
                <w:szCs w:val="18"/>
              </w:rPr>
              <w:t>4*70+1*35mm2</w:t>
            </w:r>
          </w:p>
        </w:tc>
        <w:tc>
          <w:tcPr>
            <w:tcW w:w="1336" w:type="dxa"/>
            <w:vAlign w:val="top"/>
          </w:tcPr>
          <w:p>
            <w:pPr>
              <w:pStyle w:val="687"/>
              <w:autoSpaceDE w:val="0"/>
              <w:autoSpaceDN w:val="0"/>
              <w:spacing w:line="365" w:lineRule="auto"/>
            </w:pPr>
          </w:p>
          <w:p>
            <w:pPr>
              <w:autoSpaceDE w:val="0"/>
              <w:autoSpaceDN w:val="0"/>
              <w:spacing w:before="58" w:line="219" w:lineRule="auto"/>
              <w:ind w:left="458"/>
              <w:rPr>
                <w:rFonts w:ascii="宋体" w:hAnsi="宋体" w:eastAsia="宋体" w:cs="宋体"/>
                <w:sz w:val="18"/>
                <w:szCs w:val="18"/>
              </w:rPr>
            </w:pPr>
            <w:r>
              <w:rPr>
                <w:rFonts w:ascii="宋体" w:hAnsi="宋体" w:eastAsia="宋体" w:cs="宋体"/>
                <w:sz w:val="18"/>
                <w:szCs w:val="18"/>
              </w:rPr>
              <w:t>个</w:t>
            </w:r>
          </w:p>
        </w:tc>
        <w:tc>
          <w:tcPr>
            <w:tcW w:w="1459" w:type="dxa"/>
            <w:vAlign w:val="top"/>
          </w:tcPr>
          <w:p>
            <w:pPr>
              <w:pStyle w:val="687"/>
              <w:autoSpaceDE w:val="0"/>
              <w:autoSpaceDN w:val="0"/>
              <w:spacing w:line="365" w:lineRule="auto"/>
            </w:pPr>
          </w:p>
          <w:p>
            <w:pPr>
              <w:autoSpaceDE w:val="0"/>
              <w:autoSpaceDN w:val="0"/>
              <w:spacing w:before="58" w:line="241" w:lineRule="auto"/>
              <w:ind w:left="372"/>
              <w:rPr>
                <w:rFonts w:ascii="宋体" w:hAnsi="宋体" w:eastAsia="宋体" w:cs="宋体"/>
                <w:sz w:val="18"/>
                <w:szCs w:val="18"/>
              </w:rPr>
            </w:pPr>
            <w:r>
              <w:rPr>
                <w:rFonts w:ascii="宋体" w:hAnsi="宋体" w:eastAsia="宋体" w:cs="宋体"/>
                <w:sz w:val="18"/>
                <w:szCs w:val="18"/>
              </w:rPr>
              <w:t>4</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95" w:line="239" w:lineRule="auto"/>
              <w:ind w:left="361"/>
              <w:rPr>
                <w:rFonts w:ascii="宋体" w:hAnsi="宋体" w:eastAsia="宋体" w:cs="宋体"/>
                <w:sz w:val="18"/>
                <w:szCs w:val="18"/>
              </w:rPr>
            </w:pPr>
            <w:r>
              <w:rPr>
                <w:rFonts w:ascii="宋体" w:hAnsi="宋体" w:eastAsia="宋体" w:cs="宋体"/>
                <w:sz w:val="18"/>
                <w:szCs w:val="18"/>
              </w:rPr>
              <w:t>9</w:t>
            </w:r>
          </w:p>
        </w:tc>
        <w:tc>
          <w:tcPr>
            <w:tcW w:w="1677" w:type="dxa"/>
            <w:vAlign w:val="top"/>
          </w:tcPr>
          <w:p>
            <w:pPr>
              <w:autoSpaceDE w:val="0"/>
              <w:autoSpaceDN w:val="0"/>
              <w:spacing w:before="194" w:line="220" w:lineRule="auto"/>
              <w:ind w:left="30"/>
              <w:rPr>
                <w:rFonts w:ascii="宋体" w:hAnsi="宋体" w:eastAsia="宋体" w:cs="宋体"/>
                <w:sz w:val="18"/>
                <w:szCs w:val="18"/>
              </w:rPr>
            </w:pPr>
            <w:r>
              <w:rPr>
                <w:rFonts w:ascii="宋体" w:hAnsi="宋体" w:eastAsia="宋体" w:cs="宋体"/>
                <w:spacing w:val="-4"/>
                <w:sz w:val="18"/>
                <w:szCs w:val="18"/>
              </w:rPr>
              <w:t>桥架</w:t>
            </w:r>
          </w:p>
        </w:tc>
        <w:tc>
          <w:tcPr>
            <w:tcW w:w="5032" w:type="dxa"/>
            <w:vAlign w:val="top"/>
          </w:tcPr>
          <w:p>
            <w:pPr>
              <w:autoSpaceDE w:val="0"/>
              <w:autoSpaceDN w:val="0"/>
              <w:spacing w:before="82" w:line="219" w:lineRule="auto"/>
              <w:ind w:left="45"/>
              <w:rPr>
                <w:rFonts w:ascii="宋体" w:hAnsi="宋体" w:eastAsia="宋体" w:cs="宋体"/>
                <w:sz w:val="18"/>
                <w:szCs w:val="18"/>
              </w:rPr>
            </w:pPr>
            <w:r>
              <w:rPr>
                <w:rFonts w:ascii="宋体" w:hAnsi="宋体" w:eastAsia="宋体" w:cs="宋体"/>
                <w:spacing w:val="-2"/>
                <w:sz w:val="18"/>
                <w:szCs w:val="18"/>
              </w:rPr>
              <w:t>1.名称:电缆桥架</w:t>
            </w:r>
          </w:p>
          <w:p>
            <w:pPr>
              <w:autoSpaceDE w:val="0"/>
              <w:autoSpaceDN w:val="0"/>
              <w:spacing w:before="12" w:line="193" w:lineRule="auto"/>
              <w:ind w:left="34"/>
              <w:rPr>
                <w:rFonts w:ascii="宋体" w:hAnsi="宋体" w:eastAsia="宋体" w:cs="宋体"/>
                <w:sz w:val="18"/>
                <w:szCs w:val="18"/>
              </w:rPr>
            </w:pPr>
            <w:r>
              <w:rPr>
                <w:rFonts w:ascii="宋体" w:hAnsi="宋体" w:eastAsia="宋体" w:cs="宋体"/>
                <w:spacing w:val="-1"/>
                <w:sz w:val="18"/>
                <w:szCs w:val="18"/>
              </w:rPr>
              <w:t>2.规格:200*200</w:t>
            </w:r>
          </w:p>
        </w:tc>
        <w:tc>
          <w:tcPr>
            <w:tcW w:w="1336" w:type="dxa"/>
            <w:vAlign w:val="top"/>
          </w:tcPr>
          <w:p>
            <w:pPr>
              <w:autoSpaceDE w:val="0"/>
              <w:autoSpaceDN w:val="0"/>
              <w:spacing w:before="194" w:line="241" w:lineRule="auto"/>
              <w:ind w:left="496"/>
              <w:rPr>
                <w:rFonts w:ascii="宋体" w:hAnsi="宋体" w:eastAsia="宋体" w:cs="宋体"/>
                <w:sz w:val="18"/>
                <w:szCs w:val="18"/>
              </w:rPr>
            </w:pPr>
            <w:r>
              <w:rPr>
                <w:rFonts w:ascii="宋体" w:hAnsi="宋体" w:eastAsia="宋体" w:cs="宋体"/>
                <w:sz w:val="18"/>
                <w:szCs w:val="18"/>
              </w:rPr>
              <w:t>m</w:t>
            </w:r>
          </w:p>
        </w:tc>
        <w:tc>
          <w:tcPr>
            <w:tcW w:w="1459" w:type="dxa"/>
            <w:vAlign w:val="top"/>
          </w:tcPr>
          <w:p>
            <w:pPr>
              <w:autoSpaceDE w:val="0"/>
              <w:autoSpaceDN w:val="0"/>
              <w:spacing w:before="195" w:line="239" w:lineRule="auto"/>
              <w:ind w:left="341"/>
              <w:rPr>
                <w:rFonts w:ascii="宋体" w:hAnsi="宋体" w:eastAsia="宋体" w:cs="宋体"/>
                <w:sz w:val="18"/>
                <w:szCs w:val="18"/>
              </w:rPr>
            </w:pPr>
            <w:r>
              <w:rPr>
                <w:rFonts w:ascii="宋体" w:hAnsi="宋体" w:eastAsia="宋体" w:cs="宋体"/>
                <w:spacing w:val="-10"/>
                <w:sz w:val="18"/>
                <w:szCs w:val="18"/>
              </w:rPr>
              <w:t>10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96" w:line="239" w:lineRule="auto"/>
              <w:ind w:left="330"/>
              <w:rPr>
                <w:rFonts w:ascii="宋体" w:hAnsi="宋体" w:eastAsia="宋体" w:cs="宋体"/>
                <w:sz w:val="18"/>
                <w:szCs w:val="18"/>
              </w:rPr>
            </w:pPr>
            <w:r>
              <w:rPr>
                <w:rFonts w:ascii="宋体" w:hAnsi="宋体" w:eastAsia="宋体" w:cs="宋体"/>
                <w:spacing w:val="-10"/>
                <w:sz w:val="18"/>
                <w:szCs w:val="18"/>
              </w:rPr>
              <w:t>10</w:t>
            </w:r>
          </w:p>
        </w:tc>
        <w:tc>
          <w:tcPr>
            <w:tcW w:w="1677" w:type="dxa"/>
            <w:vAlign w:val="top"/>
          </w:tcPr>
          <w:p>
            <w:pPr>
              <w:autoSpaceDE w:val="0"/>
              <w:autoSpaceDN w:val="0"/>
              <w:spacing w:before="86" w:line="210" w:lineRule="auto"/>
              <w:ind w:left="33" w:right="151" w:hanging="7"/>
              <w:rPr>
                <w:rFonts w:ascii="宋体" w:hAnsi="宋体" w:eastAsia="宋体" w:cs="宋体"/>
                <w:sz w:val="18"/>
                <w:szCs w:val="18"/>
              </w:rPr>
            </w:pPr>
            <w:r>
              <w:rPr>
                <w:rFonts w:ascii="宋体" w:hAnsi="宋体" w:eastAsia="宋体" w:cs="宋体"/>
                <w:spacing w:val="-1"/>
                <w:sz w:val="18"/>
                <w:szCs w:val="18"/>
              </w:rPr>
              <w:t>UPS不间断电源</w:t>
            </w:r>
            <w:r>
              <w:rPr>
                <w:rFonts w:ascii="宋体" w:hAnsi="宋体" w:eastAsia="宋体" w:cs="宋体"/>
                <w:spacing w:val="-5"/>
                <w:sz w:val="18"/>
                <w:szCs w:val="18"/>
              </w:rPr>
              <w:t>设备</w:t>
            </w:r>
          </w:p>
        </w:tc>
        <w:tc>
          <w:tcPr>
            <w:tcW w:w="5032" w:type="dxa"/>
            <w:vAlign w:val="top"/>
          </w:tcPr>
          <w:p>
            <w:pPr>
              <w:autoSpaceDE w:val="0"/>
              <w:autoSpaceDN w:val="0"/>
              <w:spacing w:before="86" w:line="221" w:lineRule="auto"/>
              <w:ind w:left="45"/>
              <w:rPr>
                <w:rFonts w:ascii="宋体" w:hAnsi="宋体" w:eastAsia="宋体" w:cs="宋体"/>
                <w:sz w:val="18"/>
                <w:szCs w:val="18"/>
              </w:rPr>
            </w:pPr>
            <w:r>
              <w:rPr>
                <w:rFonts w:ascii="宋体" w:hAnsi="宋体" w:eastAsia="宋体" w:cs="宋体"/>
                <w:spacing w:val="-2"/>
                <w:sz w:val="18"/>
                <w:szCs w:val="18"/>
              </w:rPr>
              <w:t>1.名称:UPS</w:t>
            </w:r>
          </w:p>
          <w:p>
            <w:pPr>
              <w:autoSpaceDE w:val="0"/>
              <w:autoSpaceDN w:val="0"/>
              <w:spacing w:before="6" w:line="192" w:lineRule="auto"/>
              <w:ind w:left="34"/>
              <w:rPr>
                <w:rFonts w:ascii="宋体" w:hAnsi="宋体" w:eastAsia="宋体" w:cs="宋体"/>
                <w:spacing w:val="-1"/>
                <w:sz w:val="18"/>
                <w:szCs w:val="18"/>
              </w:rPr>
            </w:pPr>
            <w:r>
              <w:rPr>
                <w:rFonts w:ascii="宋体" w:hAnsi="宋体" w:eastAsia="宋体" w:cs="宋体"/>
                <w:spacing w:val="-1"/>
                <w:sz w:val="18"/>
                <w:szCs w:val="18"/>
              </w:rPr>
              <w:t>2.容量:80kVA</w:t>
            </w:r>
          </w:p>
          <w:p>
            <w:pPr>
              <w:autoSpaceDE w:val="0"/>
              <w:autoSpaceDN w:val="0"/>
              <w:spacing w:before="6" w:line="192" w:lineRule="auto"/>
              <w:ind w:left="34"/>
              <w:rPr>
                <w:rFonts w:hint="default" w:ascii="宋体" w:hAnsi="宋体" w:eastAsia="宋体" w:cs="宋体"/>
                <w:spacing w:val="-1"/>
                <w:sz w:val="18"/>
                <w:szCs w:val="18"/>
                <w:lang w:val="en-US" w:eastAsia="zh-CN"/>
              </w:rPr>
            </w:pPr>
            <w:r>
              <w:rPr>
                <w:rFonts w:hint="eastAsia" w:ascii="宋体" w:hAnsi="宋体" w:eastAsia="宋体" w:cs="宋体"/>
                <w:spacing w:val="-1"/>
                <w:sz w:val="18"/>
                <w:szCs w:val="18"/>
                <w:lang w:val="en-US" w:eastAsia="zh-CN"/>
              </w:rPr>
              <w:t>3.时间：</w:t>
            </w:r>
            <w:r>
              <w:rPr>
                <w:rFonts w:hint="default" w:ascii="Arial" w:hAnsi="Arial" w:eastAsia="宋体" w:cs="Arial"/>
                <w:spacing w:val="-1"/>
                <w:sz w:val="18"/>
                <w:szCs w:val="18"/>
                <w:lang w:val="en-US" w:eastAsia="zh-CN"/>
              </w:rPr>
              <w:t>≥</w:t>
            </w:r>
            <w:r>
              <w:rPr>
                <w:rFonts w:hint="eastAsia" w:ascii="宋体" w:hAnsi="宋体" w:eastAsia="宋体" w:cs="宋体"/>
                <w:spacing w:val="-1"/>
                <w:sz w:val="18"/>
                <w:szCs w:val="18"/>
                <w:lang w:val="en-US" w:eastAsia="zh-CN"/>
              </w:rPr>
              <w:t>30分钟</w:t>
            </w:r>
          </w:p>
        </w:tc>
        <w:tc>
          <w:tcPr>
            <w:tcW w:w="1336" w:type="dxa"/>
            <w:vAlign w:val="top"/>
          </w:tcPr>
          <w:p>
            <w:pPr>
              <w:autoSpaceDE w:val="0"/>
              <w:autoSpaceDN w:val="0"/>
              <w:spacing w:before="196" w:line="220" w:lineRule="auto"/>
              <w:ind w:left="459"/>
              <w:rPr>
                <w:rFonts w:ascii="宋体" w:hAnsi="宋体" w:eastAsia="宋体" w:cs="宋体"/>
                <w:sz w:val="18"/>
                <w:szCs w:val="18"/>
              </w:rPr>
            </w:pPr>
            <w:r>
              <w:rPr>
                <w:rFonts w:ascii="宋体" w:hAnsi="宋体" w:eastAsia="宋体" w:cs="宋体"/>
                <w:sz w:val="18"/>
                <w:szCs w:val="18"/>
              </w:rPr>
              <w:t>套</w:t>
            </w:r>
          </w:p>
        </w:tc>
        <w:tc>
          <w:tcPr>
            <w:tcW w:w="1459" w:type="dxa"/>
            <w:vAlign w:val="top"/>
          </w:tcPr>
          <w:p>
            <w:pPr>
              <w:autoSpaceDE w:val="0"/>
              <w:autoSpaceDN w:val="0"/>
              <w:spacing w:before="195" w:line="241" w:lineRule="auto"/>
              <w:ind w:left="375"/>
              <w:rPr>
                <w:rFonts w:ascii="宋体" w:hAnsi="宋体" w:eastAsia="宋体" w:cs="宋体"/>
                <w:sz w:val="18"/>
                <w:szCs w:val="18"/>
              </w:rPr>
            </w:pPr>
            <w:r>
              <w:rPr>
                <w:rFonts w:ascii="宋体" w:hAnsi="宋体" w:eastAsia="宋体" w:cs="宋体"/>
                <w:sz w:val="18"/>
                <w:szCs w:val="18"/>
              </w:rPr>
              <w:t>2</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98" w:line="241" w:lineRule="auto"/>
              <w:ind w:left="330"/>
              <w:rPr>
                <w:rFonts w:ascii="宋体" w:hAnsi="宋体" w:eastAsia="宋体" w:cs="宋体"/>
                <w:sz w:val="18"/>
                <w:szCs w:val="18"/>
              </w:rPr>
            </w:pPr>
            <w:r>
              <w:rPr>
                <w:rFonts w:ascii="宋体" w:hAnsi="宋体" w:eastAsia="宋体" w:cs="宋体"/>
                <w:spacing w:val="-10"/>
                <w:sz w:val="18"/>
                <w:szCs w:val="18"/>
              </w:rPr>
              <w:t>11</w:t>
            </w:r>
          </w:p>
        </w:tc>
        <w:tc>
          <w:tcPr>
            <w:tcW w:w="1677" w:type="dxa"/>
            <w:vAlign w:val="top"/>
          </w:tcPr>
          <w:p>
            <w:pPr>
              <w:autoSpaceDE w:val="0"/>
              <w:autoSpaceDN w:val="0"/>
              <w:spacing w:before="88" w:line="209" w:lineRule="auto"/>
              <w:ind w:left="33" w:right="151" w:hanging="7"/>
              <w:rPr>
                <w:rFonts w:ascii="宋体" w:hAnsi="宋体" w:eastAsia="宋体" w:cs="宋体"/>
                <w:sz w:val="18"/>
                <w:szCs w:val="18"/>
              </w:rPr>
            </w:pPr>
            <w:r>
              <w:rPr>
                <w:rFonts w:ascii="宋体" w:hAnsi="宋体" w:eastAsia="宋体" w:cs="宋体"/>
                <w:spacing w:val="-1"/>
                <w:sz w:val="18"/>
                <w:szCs w:val="18"/>
              </w:rPr>
              <w:t>UPS不间断电源</w:t>
            </w:r>
            <w:r>
              <w:rPr>
                <w:rFonts w:ascii="宋体" w:hAnsi="宋体" w:eastAsia="宋体" w:cs="宋体"/>
                <w:spacing w:val="-5"/>
                <w:sz w:val="18"/>
                <w:szCs w:val="18"/>
              </w:rPr>
              <w:t>设备</w:t>
            </w:r>
          </w:p>
        </w:tc>
        <w:tc>
          <w:tcPr>
            <w:tcW w:w="5032" w:type="dxa"/>
            <w:vAlign w:val="top"/>
          </w:tcPr>
          <w:p>
            <w:pPr>
              <w:autoSpaceDE w:val="0"/>
              <w:autoSpaceDN w:val="0"/>
              <w:spacing w:before="87" w:line="221" w:lineRule="auto"/>
              <w:ind w:left="45"/>
              <w:rPr>
                <w:rFonts w:ascii="宋体" w:hAnsi="宋体" w:eastAsia="宋体" w:cs="宋体"/>
                <w:sz w:val="18"/>
                <w:szCs w:val="18"/>
              </w:rPr>
            </w:pPr>
            <w:r>
              <w:rPr>
                <w:rFonts w:ascii="宋体" w:hAnsi="宋体" w:eastAsia="宋体" w:cs="宋体"/>
                <w:spacing w:val="-2"/>
                <w:sz w:val="18"/>
                <w:szCs w:val="18"/>
              </w:rPr>
              <w:t>1.名称:UPS</w:t>
            </w:r>
          </w:p>
          <w:p>
            <w:pPr>
              <w:autoSpaceDE w:val="0"/>
              <w:autoSpaceDN w:val="0"/>
              <w:spacing w:before="7" w:line="190" w:lineRule="auto"/>
              <w:ind w:left="34"/>
              <w:rPr>
                <w:rFonts w:ascii="宋体" w:hAnsi="宋体" w:eastAsia="宋体" w:cs="宋体"/>
                <w:spacing w:val="-1"/>
                <w:sz w:val="18"/>
                <w:szCs w:val="18"/>
              </w:rPr>
            </w:pPr>
            <w:r>
              <w:rPr>
                <w:rFonts w:ascii="宋体" w:hAnsi="宋体" w:eastAsia="宋体" w:cs="宋体"/>
                <w:spacing w:val="-1"/>
                <w:sz w:val="18"/>
                <w:szCs w:val="18"/>
              </w:rPr>
              <w:t>2.容量:40kVA</w:t>
            </w:r>
          </w:p>
          <w:p>
            <w:pPr>
              <w:autoSpaceDE w:val="0"/>
              <w:autoSpaceDN w:val="0"/>
              <w:spacing w:before="7" w:line="190" w:lineRule="auto"/>
              <w:ind w:left="34"/>
              <w:rPr>
                <w:rFonts w:hint="default" w:ascii="宋体" w:hAnsi="宋体" w:eastAsia="宋体" w:cs="宋体"/>
                <w:spacing w:val="-1"/>
                <w:sz w:val="18"/>
                <w:szCs w:val="18"/>
                <w:lang w:val="en-US" w:eastAsia="zh-CN"/>
              </w:rPr>
            </w:pPr>
            <w:r>
              <w:rPr>
                <w:rFonts w:hint="eastAsia" w:ascii="宋体" w:hAnsi="宋体" w:eastAsia="宋体" w:cs="宋体"/>
                <w:spacing w:val="-1"/>
                <w:sz w:val="18"/>
                <w:szCs w:val="18"/>
                <w:lang w:val="en-US" w:eastAsia="zh-CN"/>
              </w:rPr>
              <w:t>3.时间：</w:t>
            </w:r>
            <w:r>
              <w:rPr>
                <w:rFonts w:hint="default" w:ascii="Arial" w:hAnsi="Arial" w:eastAsia="宋体" w:cs="Arial"/>
                <w:spacing w:val="-1"/>
                <w:sz w:val="18"/>
                <w:szCs w:val="18"/>
                <w:lang w:val="en-US" w:eastAsia="zh-CN"/>
              </w:rPr>
              <w:t>≥</w:t>
            </w:r>
            <w:r>
              <w:rPr>
                <w:rFonts w:hint="eastAsia" w:ascii="宋体" w:hAnsi="宋体" w:eastAsia="宋体" w:cs="宋体"/>
                <w:spacing w:val="-1"/>
                <w:sz w:val="18"/>
                <w:szCs w:val="18"/>
                <w:lang w:val="en-US" w:eastAsia="zh-CN"/>
              </w:rPr>
              <w:t>30分钟</w:t>
            </w:r>
          </w:p>
        </w:tc>
        <w:tc>
          <w:tcPr>
            <w:tcW w:w="1336" w:type="dxa"/>
            <w:vAlign w:val="top"/>
          </w:tcPr>
          <w:p>
            <w:pPr>
              <w:autoSpaceDE w:val="0"/>
              <w:autoSpaceDN w:val="0"/>
              <w:spacing w:before="198" w:line="220" w:lineRule="auto"/>
              <w:ind w:left="459"/>
              <w:rPr>
                <w:rFonts w:ascii="宋体" w:hAnsi="宋体" w:eastAsia="宋体" w:cs="宋体"/>
                <w:sz w:val="18"/>
                <w:szCs w:val="18"/>
              </w:rPr>
            </w:pPr>
            <w:r>
              <w:rPr>
                <w:rFonts w:ascii="宋体" w:hAnsi="宋体" w:eastAsia="宋体" w:cs="宋体"/>
                <w:sz w:val="18"/>
                <w:szCs w:val="18"/>
              </w:rPr>
              <w:t>套</w:t>
            </w:r>
          </w:p>
        </w:tc>
        <w:tc>
          <w:tcPr>
            <w:tcW w:w="1459" w:type="dxa"/>
            <w:vAlign w:val="top"/>
          </w:tcPr>
          <w:p>
            <w:pPr>
              <w:autoSpaceDE w:val="0"/>
              <w:autoSpaceDN w:val="0"/>
              <w:spacing w:before="198" w:line="241" w:lineRule="auto"/>
              <w:ind w:left="386"/>
              <w:rPr>
                <w:rFonts w:ascii="宋体" w:hAnsi="宋体" w:eastAsia="宋体" w:cs="宋体"/>
                <w:sz w:val="18"/>
                <w:szCs w:val="18"/>
              </w:rPr>
            </w:pPr>
            <w:r>
              <w:rPr>
                <w:rFonts w:ascii="宋体" w:hAnsi="宋体" w:eastAsia="宋体" w:cs="宋体"/>
                <w:sz w:val="18"/>
                <w:szCs w:val="18"/>
              </w:rPr>
              <w:t>1</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autoSpaceDE w:val="0"/>
              <w:autoSpaceDN w:val="0"/>
              <w:spacing w:before="115" w:line="217" w:lineRule="auto"/>
              <w:ind w:left="330"/>
              <w:rPr>
                <w:rFonts w:ascii="宋体" w:hAnsi="宋体" w:eastAsia="宋体" w:cs="宋体"/>
                <w:sz w:val="18"/>
                <w:szCs w:val="18"/>
              </w:rPr>
            </w:pPr>
            <w:r>
              <w:rPr>
                <w:rFonts w:ascii="宋体" w:hAnsi="宋体" w:eastAsia="宋体" w:cs="宋体"/>
                <w:spacing w:val="-10"/>
                <w:sz w:val="18"/>
                <w:szCs w:val="18"/>
              </w:rPr>
              <w:t>12</w:t>
            </w:r>
          </w:p>
        </w:tc>
        <w:tc>
          <w:tcPr>
            <w:tcW w:w="1677" w:type="dxa"/>
            <w:vAlign w:val="top"/>
          </w:tcPr>
          <w:p>
            <w:pPr>
              <w:autoSpaceDE w:val="0"/>
              <w:autoSpaceDN w:val="0"/>
              <w:spacing w:before="115" w:line="217" w:lineRule="auto"/>
              <w:ind w:left="29"/>
              <w:rPr>
                <w:rFonts w:ascii="宋体" w:hAnsi="宋体" w:eastAsia="宋体" w:cs="宋体"/>
                <w:sz w:val="18"/>
                <w:szCs w:val="18"/>
              </w:rPr>
            </w:pPr>
            <w:r>
              <w:rPr>
                <w:rFonts w:ascii="宋体" w:hAnsi="宋体" w:eastAsia="宋体" w:cs="宋体"/>
                <w:spacing w:val="-2"/>
                <w:sz w:val="18"/>
                <w:szCs w:val="18"/>
              </w:rPr>
              <w:t>低压开关柜</w:t>
            </w:r>
          </w:p>
        </w:tc>
        <w:tc>
          <w:tcPr>
            <w:tcW w:w="5032" w:type="dxa"/>
            <w:vAlign w:val="top"/>
          </w:tcPr>
          <w:p>
            <w:pPr>
              <w:tabs>
                <w:tab w:val="right" w:pos="1555"/>
              </w:tabs>
              <w:autoSpaceDE w:val="0"/>
              <w:autoSpaceDN w:val="0"/>
              <w:spacing w:before="115" w:line="217" w:lineRule="auto"/>
              <w:ind w:left="45"/>
              <w:rPr>
                <w:rFonts w:hint="eastAsia" w:ascii="宋体" w:hAnsi="宋体" w:eastAsia="宋体" w:cs="宋体"/>
                <w:spacing w:val="-3"/>
                <w:sz w:val="18"/>
                <w:szCs w:val="18"/>
                <w:lang w:eastAsia="zh-CN"/>
              </w:rPr>
            </w:pPr>
            <w:r>
              <w:rPr>
                <w:rFonts w:ascii="宋体" w:hAnsi="宋体" w:eastAsia="宋体" w:cs="宋体"/>
                <w:spacing w:val="-3"/>
                <w:sz w:val="18"/>
                <w:szCs w:val="18"/>
              </w:rPr>
              <w:t>1.名称:电池柜</w:t>
            </w:r>
            <w:r>
              <w:rPr>
                <w:rFonts w:hint="eastAsia" w:ascii="宋体" w:hAnsi="宋体" w:eastAsia="宋体" w:cs="宋体"/>
                <w:spacing w:val="-3"/>
                <w:sz w:val="18"/>
                <w:szCs w:val="18"/>
                <w:lang w:eastAsia="zh-CN"/>
              </w:rPr>
              <w:tab/>
            </w:r>
          </w:p>
          <w:p>
            <w:pPr>
              <w:tabs>
                <w:tab w:val="right" w:pos="1555"/>
              </w:tabs>
              <w:autoSpaceDE w:val="0"/>
              <w:autoSpaceDN w:val="0"/>
              <w:spacing w:before="115" w:line="217" w:lineRule="auto"/>
              <w:ind w:left="45"/>
              <w:rPr>
                <w:rFonts w:hint="default" w:ascii="宋体" w:hAnsi="宋体" w:eastAsia="宋体" w:cs="宋体"/>
                <w:spacing w:val="-3"/>
                <w:sz w:val="18"/>
                <w:szCs w:val="18"/>
                <w:lang w:val="en-US" w:eastAsia="zh-CN"/>
              </w:rPr>
            </w:pPr>
            <w:r>
              <w:rPr>
                <w:rFonts w:hint="eastAsia" w:ascii="宋体" w:hAnsi="宋体" w:eastAsia="宋体" w:cs="宋体"/>
                <w:spacing w:val="-3"/>
                <w:sz w:val="18"/>
                <w:szCs w:val="18"/>
                <w:lang w:val="en-US" w:eastAsia="zh-CN"/>
              </w:rPr>
              <w:t>2.方式：并联方式</w:t>
            </w:r>
          </w:p>
        </w:tc>
        <w:tc>
          <w:tcPr>
            <w:tcW w:w="1336" w:type="dxa"/>
            <w:vAlign w:val="top"/>
          </w:tcPr>
          <w:p>
            <w:pPr>
              <w:autoSpaceDE w:val="0"/>
              <w:autoSpaceDN w:val="0"/>
              <w:spacing w:before="115" w:line="217" w:lineRule="auto"/>
              <w:ind w:left="472"/>
              <w:rPr>
                <w:rFonts w:ascii="宋体" w:hAnsi="宋体" w:eastAsia="宋体" w:cs="宋体"/>
                <w:sz w:val="18"/>
                <w:szCs w:val="18"/>
              </w:rPr>
            </w:pPr>
            <w:r>
              <w:rPr>
                <w:rFonts w:ascii="宋体" w:hAnsi="宋体" w:eastAsia="宋体" w:cs="宋体"/>
                <w:sz w:val="18"/>
                <w:szCs w:val="18"/>
              </w:rPr>
              <w:t>台</w:t>
            </w:r>
          </w:p>
        </w:tc>
        <w:tc>
          <w:tcPr>
            <w:tcW w:w="1459" w:type="dxa"/>
            <w:vAlign w:val="top"/>
          </w:tcPr>
          <w:p>
            <w:pPr>
              <w:autoSpaceDE w:val="0"/>
              <w:autoSpaceDN w:val="0"/>
              <w:spacing w:before="115" w:line="217" w:lineRule="auto"/>
              <w:ind w:left="377"/>
              <w:rPr>
                <w:rFonts w:ascii="宋体" w:hAnsi="宋体" w:eastAsia="宋体" w:cs="宋体"/>
                <w:sz w:val="18"/>
                <w:szCs w:val="18"/>
              </w:rPr>
            </w:pPr>
            <w:r>
              <w:rPr>
                <w:rFonts w:ascii="宋体" w:hAnsi="宋体" w:eastAsia="宋体" w:cs="宋体"/>
                <w:sz w:val="18"/>
                <w:szCs w:val="18"/>
              </w:rPr>
              <w:t>5</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pStyle w:val="687"/>
              <w:autoSpaceDE w:val="0"/>
              <w:autoSpaceDN w:val="0"/>
              <w:spacing w:line="255" w:lineRule="auto"/>
            </w:pPr>
          </w:p>
          <w:p>
            <w:pPr>
              <w:autoSpaceDE w:val="0"/>
              <w:autoSpaceDN w:val="0"/>
              <w:spacing w:before="58" w:line="239" w:lineRule="auto"/>
              <w:ind w:left="330"/>
              <w:rPr>
                <w:rFonts w:ascii="宋体" w:hAnsi="宋体" w:eastAsia="宋体" w:cs="宋体"/>
                <w:sz w:val="18"/>
                <w:szCs w:val="18"/>
              </w:rPr>
            </w:pPr>
            <w:r>
              <w:rPr>
                <w:rFonts w:ascii="宋体" w:hAnsi="宋体" w:eastAsia="宋体" w:cs="宋体"/>
                <w:spacing w:val="-10"/>
                <w:sz w:val="18"/>
                <w:szCs w:val="18"/>
              </w:rPr>
              <w:t>13</w:t>
            </w:r>
          </w:p>
        </w:tc>
        <w:tc>
          <w:tcPr>
            <w:tcW w:w="1677" w:type="dxa"/>
            <w:vAlign w:val="top"/>
          </w:tcPr>
          <w:p>
            <w:pPr>
              <w:pStyle w:val="687"/>
              <w:autoSpaceDE w:val="0"/>
              <w:autoSpaceDN w:val="0"/>
              <w:spacing w:line="254" w:lineRule="auto"/>
            </w:pPr>
          </w:p>
          <w:p>
            <w:pPr>
              <w:autoSpaceDE w:val="0"/>
              <w:autoSpaceDN w:val="0"/>
              <w:spacing w:before="59" w:line="220" w:lineRule="auto"/>
              <w:ind w:left="29"/>
              <w:rPr>
                <w:rFonts w:ascii="宋体" w:hAnsi="宋体" w:eastAsia="宋体" w:cs="宋体"/>
                <w:sz w:val="18"/>
                <w:szCs w:val="18"/>
              </w:rPr>
            </w:pPr>
            <w:r>
              <w:rPr>
                <w:rFonts w:ascii="宋体" w:hAnsi="宋体" w:eastAsia="宋体" w:cs="宋体"/>
                <w:spacing w:val="-2"/>
                <w:sz w:val="18"/>
                <w:szCs w:val="18"/>
              </w:rPr>
              <w:t>接地母线</w:t>
            </w:r>
          </w:p>
        </w:tc>
        <w:tc>
          <w:tcPr>
            <w:tcW w:w="5032" w:type="dxa"/>
            <w:vAlign w:val="top"/>
          </w:tcPr>
          <w:p>
            <w:pPr>
              <w:autoSpaceDE w:val="0"/>
              <w:autoSpaceDN w:val="0"/>
              <w:spacing w:before="89" w:line="220" w:lineRule="auto"/>
              <w:ind w:left="45"/>
              <w:rPr>
                <w:rFonts w:ascii="宋体" w:hAnsi="宋体" w:eastAsia="宋体" w:cs="宋体"/>
                <w:sz w:val="18"/>
                <w:szCs w:val="18"/>
              </w:rPr>
            </w:pPr>
            <w:r>
              <w:rPr>
                <w:rFonts w:ascii="宋体" w:hAnsi="宋体" w:eastAsia="宋体" w:cs="宋体"/>
                <w:spacing w:val="-2"/>
                <w:sz w:val="18"/>
                <w:szCs w:val="18"/>
              </w:rPr>
              <w:t>1.名称:接地母线</w:t>
            </w:r>
          </w:p>
          <w:p>
            <w:pPr>
              <w:autoSpaceDE w:val="0"/>
              <w:autoSpaceDN w:val="0"/>
              <w:spacing w:before="11" w:line="218" w:lineRule="auto"/>
              <w:ind w:left="34"/>
              <w:rPr>
                <w:rFonts w:ascii="宋体" w:hAnsi="宋体" w:eastAsia="宋体" w:cs="宋体"/>
                <w:sz w:val="18"/>
                <w:szCs w:val="18"/>
              </w:rPr>
            </w:pPr>
            <w:r>
              <w:rPr>
                <w:rFonts w:ascii="宋体" w:hAnsi="宋体" w:eastAsia="宋体" w:cs="宋体"/>
                <w:spacing w:val="-1"/>
                <w:sz w:val="18"/>
                <w:szCs w:val="18"/>
              </w:rPr>
              <w:t>2.材质:热镀锌扁钢</w:t>
            </w:r>
          </w:p>
          <w:p>
            <w:pPr>
              <w:autoSpaceDE w:val="0"/>
              <w:autoSpaceDN w:val="0"/>
              <w:spacing w:before="11" w:line="191" w:lineRule="auto"/>
              <w:ind w:left="36"/>
              <w:rPr>
                <w:rFonts w:ascii="宋体" w:hAnsi="宋体" w:eastAsia="宋体" w:cs="宋体"/>
                <w:sz w:val="18"/>
                <w:szCs w:val="18"/>
              </w:rPr>
            </w:pPr>
            <w:r>
              <w:rPr>
                <w:rFonts w:ascii="宋体" w:hAnsi="宋体" w:eastAsia="宋体" w:cs="宋体"/>
                <w:spacing w:val="-1"/>
                <w:sz w:val="18"/>
                <w:szCs w:val="18"/>
              </w:rPr>
              <w:t>3.规格:-50*5</w:t>
            </w:r>
          </w:p>
        </w:tc>
        <w:tc>
          <w:tcPr>
            <w:tcW w:w="1336" w:type="dxa"/>
            <w:vAlign w:val="top"/>
          </w:tcPr>
          <w:p>
            <w:pPr>
              <w:pStyle w:val="687"/>
              <w:autoSpaceDE w:val="0"/>
              <w:autoSpaceDN w:val="0"/>
              <w:spacing w:line="254" w:lineRule="auto"/>
            </w:pPr>
          </w:p>
          <w:p>
            <w:pPr>
              <w:autoSpaceDE w:val="0"/>
              <w:autoSpaceDN w:val="0"/>
              <w:spacing w:before="59" w:line="241" w:lineRule="auto"/>
              <w:ind w:left="496"/>
              <w:rPr>
                <w:rFonts w:ascii="宋体" w:hAnsi="宋体" w:eastAsia="宋体" w:cs="宋体"/>
                <w:sz w:val="18"/>
                <w:szCs w:val="18"/>
              </w:rPr>
            </w:pPr>
            <w:r>
              <w:rPr>
                <w:rFonts w:ascii="宋体" w:hAnsi="宋体" w:eastAsia="宋体" w:cs="宋体"/>
                <w:sz w:val="18"/>
                <w:szCs w:val="18"/>
              </w:rPr>
              <w:t>m</w:t>
            </w:r>
          </w:p>
        </w:tc>
        <w:tc>
          <w:tcPr>
            <w:tcW w:w="1459" w:type="dxa"/>
            <w:vAlign w:val="top"/>
          </w:tcPr>
          <w:p>
            <w:pPr>
              <w:pStyle w:val="687"/>
              <w:autoSpaceDE w:val="0"/>
              <w:autoSpaceDN w:val="0"/>
              <w:spacing w:line="255" w:lineRule="auto"/>
            </w:pPr>
          </w:p>
          <w:p>
            <w:pPr>
              <w:autoSpaceDE w:val="0"/>
              <w:autoSpaceDN w:val="0"/>
              <w:spacing w:before="58" w:line="239" w:lineRule="auto"/>
              <w:ind w:left="332"/>
              <w:rPr>
                <w:rFonts w:ascii="宋体" w:hAnsi="宋体" w:eastAsia="宋体" w:cs="宋体"/>
                <w:sz w:val="18"/>
                <w:szCs w:val="18"/>
              </w:rPr>
            </w:pPr>
            <w:r>
              <w:rPr>
                <w:rFonts w:ascii="宋体" w:hAnsi="宋体" w:eastAsia="宋体" w:cs="宋体"/>
                <w:spacing w:val="-5"/>
                <w:sz w:val="18"/>
                <w:szCs w:val="18"/>
              </w:rPr>
              <w:t>50</w:t>
            </w:r>
          </w:p>
        </w:tc>
      </w:tr>
    </w:tbl>
    <w:p>
      <w:pPr>
        <w:pStyle w:val="19"/>
        <w:spacing w:line="14" w:lineRule="auto"/>
        <w:rPr>
          <w:sz w:val="2"/>
        </w:rPr>
      </w:pPr>
    </w:p>
    <w:p>
      <w:pPr>
        <w:spacing w:line="14" w:lineRule="auto"/>
        <w:rPr>
          <w:sz w:val="2"/>
          <w:szCs w:val="2"/>
        </w:rPr>
        <w:sectPr>
          <w:type w:val="continuous"/>
          <w:pgSz w:w="11905" w:h="16837"/>
          <w:pgMar w:top="957" w:right="859" w:bottom="0" w:left="819" w:header="0" w:footer="0" w:gutter="0"/>
          <w:cols w:equalWidth="0" w:num="1">
            <w:col w:w="10227"/>
          </w:cols>
        </w:sectPr>
      </w:pPr>
    </w:p>
    <w:p>
      <w:pPr>
        <w:spacing w:before="64" w:line="223" w:lineRule="auto"/>
        <w:ind w:left="3054"/>
        <w:outlineLvl w:val="2"/>
        <w:rPr>
          <w:rFonts w:ascii="宋体" w:hAnsi="宋体" w:eastAsia="宋体" w:cs="宋体"/>
          <w:sz w:val="31"/>
          <w:szCs w:val="31"/>
        </w:rPr>
      </w:pPr>
      <w:r>
        <w:rPr>
          <w:rFonts w:ascii="宋体" w:hAnsi="宋体" w:eastAsia="宋体" w:cs="宋体"/>
          <w:b/>
          <w:bCs/>
          <w:spacing w:val="7"/>
          <w:sz w:val="31"/>
          <w:szCs w:val="31"/>
        </w:rPr>
        <w:t>分部分项工程项目清单</w:t>
      </w:r>
    </w:p>
    <w:p>
      <w:pPr>
        <w:spacing w:before="129"/>
      </w:pPr>
    </w:p>
    <w:p>
      <w:pPr>
        <w:sectPr>
          <w:pgSz w:w="11905" w:h="16837"/>
          <w:pgMar w:top="957" w:right="859" w:bottom="0" w:left="819" w:header="0" w:footer="0" w:gutter="0"/>
          <w:cols w:equalWidth="0" w:num="1">
            <w:col w:w="10227"/>
          </w:cols>
        </w:sectPr>
      </w:pPr>
    </w:p>
    <w:p>
      <w:pPr>
        <w:spacing w:before="36" w:line="184" w:lineRule="auto"/>
        <w:ind w:left="78"/>
        <w:rPr>
          <w:rFonts w:ascii="宋体" w:hAnsi="宋体" w:eastAsia="宋体" w:cs="宋体"/>
          <w:sz w:val="18"/>
          <w:szCs w:val="18"/>
        </w:rPr>
      </w:pPr>
      <w:r>
        <w:rPr>
          <w:rFonts w:ascii="宋体" w:hAnsi="宋体" w:eastAsia="宋体" w:cs="宋体"/>
          <w:spacing w:val="-2"/>
          <w:sz w:val="18"/>
          <w:szCs w:val="18"/>
        </w:rPr>
        <w:t>工程名称：</w:t>
      </w:r>
      <w:r>
        <w:rPr>
          <w:rFonts w:ascii="宋体" w:hAnsi="宋体" w:eastAsia="宋体" w:cs="宋体"/>
          <w:spacing w:val="-47"/>
          <w:sz w:val="18"/>
          <w:szCs w:val="18"/>
        </w:rPr>
        <w:t xml:space="preserve"> </w:t>
      </w:r>
      <w:r>
        <w:rPr>
          <w:rFonts w:ascii="宋体" w:hAnsi="宋体" w:eastAsia="宋体" w:cs="宋体"/>
          <w:spacing w:val="-2"/>
          <w:sz w:val="18"/>
          <w:szCs w:val="18"/>
        </w:rPr>
        <w:t>(古城中学东校区单项工程-低压电缆单位工程)</w:t>
      </w:r>
    </w:p>
    <w:p>
      <w:pPr>
        <w:pStyle w:val="19"/>
        <w:spacing w:line="14" w:lineRule="auto"/>
        <w:rPr>
          <w:sz w:val="2"/>
        </w:rPr>
      </w:pPr>
      <w:r>
        <w:rPr>
          <w:sz w:val="2"/>
          <w:szCs w:val="2"/>
        </w:rPr>
        <w:br w:type="column"/>
      </w:r>
    </w:p>
    <w:p>
      <w:pPr>
        <w:spacing w:before="35" w:line="184" w:lineRule="auto"/>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0"/>
          <w:sz w:val="18"/>
          <w:szCs w:val="18"/>
        </w:rPr>
        <w:t xml:space="preserve"> </w:t>
      </w:r>
      <w:r>
        <w:rPr>
          <w:rFonts w:ascii="宋体" w:hAnsi="宋体" w:eastAsia="宋体" w:cs="宋体"/>
          <w:spacing w:val="-6"/>
          <w:sz w:val="18"/>
          <w:szCs w:val="18"/>
        </w:rPr>
        <w:t>2</w:t>
      </w:r>
      <w:r>
        <w:rPr>
          <w:rFonts w:ascii="宋体" w:hAnsi="宋体" w:eastAsia="宋体" w:cs="宋体"/>
          <w:spacing w:val="15"/>
          <w:sz w:val="18"/>
          <w:szCs w:val="18"/>
        </w:rPr>
        <w:t xml:space="preserve"> </w:t>
      </w:r>
      <w:r>
        <w:rPr>
          <w:rFonts w:ascii="宋体" w:hAnsi="宋体" w:eastAsia="宋体" w:cs="宋体"/>
          <w:spacing w:val="-6"/>
          <w:sz w:val="18"/>
          <w:szCs w:val="18"/>
        </w:rPr>
        <w:t>页</w:t>
      </w:r>
    </w:p>
    <w:p>
      <w:pPr>
        <w:pStyle w:val="19"/>
        <w:spacing w:line="14" w:lineRule="auto"/>
        <w:rPr>
          <w:sz w:val="2"/>
        </w:rPr>
      </w:pPr>
      <w:r>
        <w:rPr>
          <w:sz w:val="2"/>
          <w:szCs w:val="2"/>
        </w:rPr>
        <w:br w:type="column"/>
      </w:r>
    </w:p>
    <w:p>
      <w:pPr>
        <w:spacing w:before="35" w:line="184" w:lineRule="auto"/>
        <w:ind w:left="61"/>
        <w:rPr>
          <w:rFonts w:ascii="宋体" w:hAnsi="宋体" w:eastAsia="宋体" w:cs="宋体"/>
          <w:sz w:val="18"/>
          <w:szCs w:val="18"/>
        </w:rPr>
      </w:pPr>
      <w:r>
        <w:rPr>
          <w:rFonts w:ascii="宋体" w:hAnsi="宋体" w:eastAsia="宋体" w:cs="宋体"/>
          <w:spacing w:val="-6"/>
          <w:sz w:val="18"/>
          <w:szCs w:val="18"/>
        </w:rPr>
        <w:t>共</w:t>
      </w:r>
      <w:r>
        <w:rPr>
          <w:rFonts w:ascii="宋体" w:hAnsi="宋体" w:eastAsia="宋体" w:cs="宋体"/>
          <w:spacing w:val="11"/>
          <w:sz w:val="18"/>
          <w:szCs w:val="18"/>
        </w:rPr>
        <w:t xml:space="preserve"> </w:t>
      </w:r>
      <w:r>
        <w:rPr>
          <w:rFonts w:ascii="宋体" w:hAnsi="宋体" w:eastAsia="宋体" w:cs="宋体"/>
          <w:spacing w:val="-6"/>
          <w:sz w:val="18"/>
          <w:szCs w:val="18"/>
        </w:rPr>
        <w:t>2</w:t>
      </w:r>
      <w:r>
        <w:rPr>
          <w:rFonts w:ascii="宋体" w:hAnsi="宋体" w:eastAsia="宋体" w:cs="宋体"/>
          <w:spacing w:val="12"/>
          <w:sz w:val="18"/>
          <w:szCs w:val="18"/>
        </w:rPr>
        <w:t xml:space="preserve"> </w:t>
      </w:r>
      <w:r>
        <w:rPr>
          <w:rFonts w:ascii="宋体" w:hAnsi="宋体" w:eastAsia="宋体" w:cs="宋体"/>
          <w:spacing w:val="-6"/>
          <w:sz w:val="18"/>
          <w:szCs w:val="18"/>
        </w:rPr>
        <w:t>页</w:t>
      </w:r>
    </w:p>
    <w:p>
      <w:pPr>
        <w:spacing w:line="184" w:lineRule="auto"/>
        <w:rPr>
          <w:rFonts w:ascii="宋体" w:hAnsi="宋体" w:eastAsia="宋体" w:cs="宋体"/>
          <w:sz w:val="18"/>
          <w:szCs w:val="18"/>
        </w:rPr>
        <w:sectPr>
          <w:type w:val="continuous"/>
          <w:pgSz w:w="11905" w:h="16837"/>
          <w:pgMar w:top="957" w:right="859" w:bottom="0" w:left="819" w:header="0" w:footer="0" w:gutter="0"/>
          <w:cols w:equalWidth="0" w:num="3">
            <w:col w:w="8653" w:space="100"/>
            <w:col w:w="720" w:space="33"/>
            <w:col w:w="720"/>
          </w:cols>
        </w:sectPr>
      </w:pPr>
    </w:p>
    <w:tbl>
      <w:tblPr>
        <w:tblStyle w:val="346"/>
        <w:tblW w:w="10327" w:type="dxa"/>
        <w:tblInd w:w="17" w:type="dxa"/>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
      <w:tblGrid>
        <w:gridCol w:w="820"/>
        <w:gridCol w:w="1361"/>
        <w:gridCol w:w="5664"/>
        <w:gridCol w:w="1159"/>
        <w:gridCol w:w="1323"/>
      </w:tblGrid>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62" w:hRule="atLeast"/>
        </w:trPr>
        <w:tc>
          <w:tcPr>
            <w:tcW w:w="820" w:type="dxa"/>
            <w:vMerge w:val="restart"/>
            <w:tcBorders>
              <w:top w:val="single" w:color="000008" w:sz="14" w:space="0"/>
              <w:left w:val="single" w:color="000008" w:sz="14" w:space="0"/>
              <w:bottom w:val="nil"/>
            </w:tcBorders>
            <w:vAlign w:val="top"/>
          </w:tcPr>
          <w:p>
            <w:pPr>
              <w:pStyle w:val="687"/>
              <w:autoSpaceDE w:val="0"/>
              <w:autoSpaceDN w:val="0"/>
              <w:spacing w:line="381" w:lineRule="auto"/>
            </w:pPr>
          </w:p>
          <w:p>
            <w:pPr>
              <w:autoSpaceDE w:val="0"/>
              <w:autoSpaceDN w:val="0"/>
              <w:spacing w:before="62" w:line="229" w:lineRule="auto"/>
              <w:ind w:left="207"/>
              <w:rPr>
                <w:rFonts w:ascii="宋体" w:hAnsi="宋体" w:eastAsia="宋体" w:cs="宋体"/>
                <w:sz w:val="19"/>
                <w:szCs w:val="19"/>
              </w:rPr>
            </w:pPr>
            <w:r>
              <w:rPr>
                <w:rFonts w:ascii="宋体" w:hAnsi="宋体" w:eastAsia="宋体" w:cs="宋体"/>
                <w:spacing w:val="5"/>
                <w:sz w:val="19"/>
                <w:szCs w:val="19"/>
              </w:rPr>
              <w:t>序号</w:t>
            </w:r>
          </w:p>
        </w:tc>
        <w:tc>
          <w:tcPr>
            <w:tcW w:w="1361"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288"/>
              <w:rPr>
                <w:rFonts w:ascii="宋体" w:hAnsi="宋体" w:eastAsia="宋体" w:cs="宋体"/>
                <w:sz w:val="19"/>
                <w:szCs w:val="19"/>
              </w:rPr>
            </w:pPr>
            <w:r>
              <w:rPr>
                <w:rFonts w:ascii="宋体" w:hAnsi="宋体" w:eastAsia="宋体" w:cs="宋体"/>
                <w:spacing w:val="6"/>
                <w:sz w:val="19"/>
                <w:szCs w:val="19"/>
              </w:rPr>
              <w:t>项目名称</w:t>
            </w:r>
          </w:p>
        </w:tc>
        <w:tc>
          <w:tcPr>
            <w:tcW w:w="5664"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8" w:lineRule="auto"/>
              <w:ind w:left="218"/>
              <w:rPr>
                <w:rFonts w:ascii="宋体" w:hAnsi="宋体" w:eastAsia="宋体" w:cs="宋体"/>
                <w:sz w:val="19"/>
                <w:szCs w:val="19"/>
              </w:rPr>
            </w:pPr>
            <w:r>
              <w:rPr>
                <w:rFonts w:ascii="宋体" w:hAnsi="宋体" w:eastAsia="宋体" w:cs="宋体"/>
                <w:spacing w:val="7"/>
                <w:sz w:val="19"/>
                <w:szCs w:val="19"/>
              </w:rPr>
              <w:t>项目特征描述</w:t>
            </w:r>
          </w:p>
        </w:tc>
        <w:tc>
          <w:tcPr>
            <w:tcW w:w="1159"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152"/>
              <w:rPr>
                <w:rFonts w:ascii="宋体" w:hAnsi="宋体" w:eastAsia="宋体" w:cs="宋体"/>
                <w:sz w:val="19"/>
                <w:szCs w:val="19"/>
              </w:rPr>
            </w:pPr>
            <w:r>
              <w:rPr>
                <w:rFonts w:ascii="宋体" w:hAnsi="宋体" w:eastAsia="宋体" w:cs="宋体"/>
                <w:spacing w:val="7"/>
                <w:sz w:val="19"/>
                <w:szCs w:val="19"/>
              </w:rPr>
              <w:t>计量单位</w:t>
            </w:r>
          </w:p>
        </w:tc>
        <w:tc>
          <w:tcPr>
            <w:tcW w:w="1323"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122"/>
              <w:rPr>
                <w:rFonts w:ascii="宋体" w:hAnsi="宋体" w:eastAsia="宋体" w:cs="宋体"/>
                <w:sz w:val="19"/>
                <w:szCs w:val="19"/>
              </w:rPr>
            </w:pPr>
            <w:r>
              <w:rPr>
                <w:rFonts w:ascii="宋体" w:hAnsi="宋体" w:eastAsia="宋体" w:cs="宋体"/>
                <w:spacing w:val="5"/>
                <w:sz w:val="19"/>
                <w:szCs w:val="19"/>
              </w:rPr>
              <w:t>工程量</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vMerge w:val="continue"/>
            <w:tcBorders>
              <w:top w:val="nil"/>
              <w:left w:val="single" w:color="000008" w:sz="14" w:space="0"/>
              <w:bottom w:val="nil"/>
            </w:tcBorders>
            <w:vAlign w:val="top"/>
          </w:tcPr>
          <w:p>
            <w:pPr>
              <w:pStyle w:val="687"/>
              <w:autoSpaceDE w:val="0"/>
              <w:autoSpaceDN w:val="0"/>
            </w:pPr>
          </w:p>
        </w:tc>
        <w:tc>
          <w:tcPr>
            <w:tcW w:w="1361" w:type="dxa"/>
            <w:vMerge w:val="continue"/>
            <w:tcBorders>
              <w:top w:val="nil"/>
              <w:bottom w:val="nil"/>
            </w:tcBorders>
            <w:vAlign w:val="top"/>
          </w:tcPr>
          <w:p>
            <w:pPr>
              <w:pStyle w:val="687"/>
              <w:autoSpaceDE w:val="0"/>
              <w:autoSpaceDN w:val="0"/>
            </w:pPr>
          </w:p>
        </w:tc>
        <w:tc>
          <w:tcPr>
            <w:tcW w:w="5664" w:type="dxa"/>
            <w:vMerge w:val="continue"/>
            <w:tcBorders>
              <w:top w:val="nil"/>
              <w:bottom w:val="nil"/>
            </w:tcBorders>
            <w:vAlign w:val="top"/>
          </w:tcPr>
          <w:p>
            <w:pPr>
              <w:pStyle w:val="687"/>
              <w:autoSpaceDE w:val="0"/>
              <w:autoSpaceDN w:val="0"/>
            </w:pPr>
          </w:p>
        </w:tc>
        <w:tc>
          <w:tcPr>
            <w:tcW w:w="1159" w:type="dxa"/>
            <w:vMerge w:val="continue"/>
            <w:tcBorders>
              <w:top w:val="nil"/>
              <w:bottom w:val="nil"/>
            </w:tcBorders>
            <w:vAlign w:val="top"/>
          </w:tcPr>
          <w:p>
            <w:pPr>
              <w:pStyle w:val="687"/>
              <w:autoSpaceDE w:val="0"/>
              <w:autoSpaceDN w:val="0"/>
            </w:pPr>
          </w:p>
        </w:tc>
        <w:tc>
          <w:tcPr>
            <w:tcW w:w="1323" w:type="dxa"/>
            <w:vMerge w:val="continue"/>
            <w:tcBorders>
              <w:top w:val="nil"/>
              <w:bottom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vMerge w:val="continue"/>
            <w:tcBorders>
              <w:top w:val="nil"/>
              <w:left w:val="single" w:color="000008" w:sz="14" w:space="0"/>
            </w:tcBorders>
            <w:vAlign w:val="top"/>
          </w:tcPr>
          <w:p>
            <w:pPr>
              <w:pStyle w:val="687"/>
              <w:autoSpaceDE w:val="0"/>
              <w:autoSpaceDN w:val="0"/>
            </w:pPr>
          </w:p>
        </w:tc>
        <w:tc>
          <w:tcPr>
            <w:tcW w:w="1361" w:type="dxa"/>
            <w:vMerge w:val="continue"/>
            <w:tcBorders>
              <w:top w:val="nil"/>
            </w:tcBorders>
            <w:vAlign w:val="top"/>
          </w:tcPr>
          <w:p>
            <w:pPr>
              <w:pStyle w:val="687"/>
              <w:autoSpaceDE w:val="0"/>
              <w:autoSpaceDN w:val="0"/>
            </w:pPr>
          </w:p>
        </w:tc>
        <w:tc>
          <w:tcPr>
            <w:tcW w:w="5664" w:type="dxa"/>
            <w:vMerge w:val="continue"/>
            <w:tcBorders>
              <w:top w:val="nil"/>
            </w:tcBorders>
            <w:vAlign w:val="top"/>
          </w:tcPr>
          <w:p>
            <w:pPr>
              <w:pStyle w:val="687"/>
              <w:autoSpaceDE w:val="0"/>
              <w:autoSpaceDN w:val="0"/>
            </w:pPr>
          </w:p>
        </w:tc>
        <w:tc>
          <w:tcPr>
            <w:tcW w:w="1159" w:type="dxa"/>
            <w:vMerge w:val="continue"/>
            <w:tcBorders>
              <w:top w:val="nil"/>
            </w:tcBorders>
            <w:vAlign w:val="top"/>
          </w:tcPr>
          <w:p>
            <w:pPr>
              <w:pStyle w:val="687"/>
              <w:autoSpaceDE w:val="0"/>
              <w:autoSpaceDN w:val="0"/>
            </w:pPr>
          </w:p>
        </w:tc>
        <w:tc>
          <w:tcPr>
            <w:tcW w:w="1323" w:type="dxa"/>
            <w:vMerge w:val="continue"/>
            <w:tcBorders>
              <w:top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autoSpaceDE w:val="0"/>
              <w:autoSpaceDN w:val="0"/>
              <w:spacing w:before="283" w:line="241" w:lineRule="auto"/>
              <w:ind w:left="330"/>
              <w:rPr>
                <w:rFonts w:ascii="宋体" w:hAnsi="宋体" w:eastAsia="宋体" w:cs="宋体"/>
                <w:sz w:val="18"/>
                <w:szCs w:val="18"/>
              </w:rPr>
            </w:pPr>
            <w:r>
              <w:rPr>
                <w:rFonts w:ascii="宋体" w:hAnsi="宋体" w:eastAsia="宋体" w:cs="宋体"/>
                <w:spacing w:val="-10"/>
                <w:sz w:val="18"/>
                <w:szCs w:val="18"/>
              </w:rPr>
              <w:t>14</w:t>
            </w:r>
          </w:p>
        </w:tc>
        <w:tc>
          <w:tcPr>
            <w:tcW w:w="1361" w:type="dxa"/>
            <w:vAlign w:val="top"/>
          </w:tcPr>
          <w:p>
            <w:pPr>
              <w:autoSpaceDE w:val="0"/>
              <w:autoSpaceDN w:val="0"/>
              <w:spacing w:before="172" w:line="234" w:lineRule="auto"/>
              <w:ind w:left="35" w:right="151" w:hanging="4"/>
              <w:rPr>
                <w:rFonts w:ascii="宋体" w:hAnsi="宋体" w:eastAsia="宋体" w:cs="宋体"/>
                <w:sz w:val="18"/>
                <w:szCs w:val="18"/>
              </w:rPr>
            </w:pPr>
            <w:r>
              <w:rPr>
                <w:rFonts w:ascii="宋体" w:hAnsi="宋体" w:eastAsia="宋体" w:cs="宋体"/>
                <w:spacing w:val="-1"/>
                <w:sz w:val="18"/>
                <w:szCs w:val="18"/>
              </w:rPr>
              <w:t>支/吊架、基础</w:t>
            </w:r>
            <w:r>
              <w:rPr>
                <w:rFonts w:ascii="宋体" w:hAnsi="宋体" w:eastAsia="宋体" w:cs="宋体"/>
                <w:spacing w:val="-7"/>
                <w:sz w:val="18"/>
                <w:szCs w:val="18"/>
              </w:rPr>
              <w:t>型钢</w:t>
            </w:r>
          </w:p>
        </w:tc>
        <w:tc>
          <w:tcPr>
            <w:tcW w:w="5664" w:type="dxa"/>
            <w:vAlign w:val="top"/>
          </w:tcPr>
          <w:p>
            <w:pPr>
              <w:autoSpaceDE w:val="0"/>
              <w:autoSpaceDN w:val="0"/>
              <w:spacing w:before="58" w:line="221" w:lineRule="auto"/>
              <w:ind w:left="45"/>
              <w:rPr>
                <w:rFonts w:ascii="宋体" w:hAnsi="宋体" w:eastAsia="宋体" w:cs="宋体"/>
                <w:sz w:val="18"/>
                <w:szCs w:val="18"/>
              </w:rPr>
            </w:pPr>
            <w:r>
              <w:rPr>
                <w:rFonts w:ascii="宋体" w:hAnsi="宋体" w:eastAsia="宋体" w:cs="宋体"/>
                <w:spacing w:val="-2"/>
                <w:sz w:val="18"/>
                <w:szCs w:val="18"/>
              </w:rPr>
              <w:t>1.名称:设备基础</w:t>
            </w:r>
          </w:p>
          <w:p>
            <w:pPr>
              <w:autoSpaceDE w:val="0"/>
              <w:autoSpaceDN w:val="0"/>
              <w:spacing w:before="10" w:line="218" w:lineRule="auto"/>
              <w:ind w:left="34"/>
              <w:rPr>
                <w:rFonts w:ascii="宋体" w:hAnsi="宋体" w:eastAsia="宋体" w:cs="宋体"/>
                <w:sz w:val="18"/>
                <w:szCs w:val="18"/>
              </w:rPr>
            </w:pPr>
            <w:r>
              <w:rPr>
                <w:rFonts w:ascii="宋体" w:hAnsi="宋体" w:eastAsia="宋体" w:cs="宋体"/>
                <w:spacing w:val="-1"/>
                <w:sz w:val="18"/>
                <w:szCs w:val="18"/>
              </w:rPr>
              <w:t>2.材质:角钢</w:t>
            </w:r>
          </w:p>
          <w:p>
            <w:pPr>
              <w:autoSpaceDE w:val="0"/>
              <w:autoSpaceDN w:val="0"/>
              <w:spacing w:before="12" w:line="219" w:lineRule="auto"/>
              <w:ind w:left="36"/>
              <w:rPr>
                <w:rFonts w:ascii="宋体" w:hAnsi="宋体" w:eastAsia="宋体" w:cs="宋体"/>
                <w:sz w:val="18"/>
                <w:szCs w:val="18"/>
              </w:rPr>
            </w:pPr>
            <w:r>
              <w:rPr>
                <w:rFonts w:ascii="宋体" w:hAnsi="宋体" w:eastAsia="宋体" w:cs="宋体"/>
                <w:spacing w:val="-3"/>
                <w:sz w:val="18"/>
                <w:szCs w:val="18"/>
              </w:rPr>
              <w:t>3.规格:</w:t>
            </w:r>
            <w:r>
              <w:rPr>
                <w:rFonts w:ascii="宋体" w:hAnsi="宋体" w:eastAsia="宋体" w:cs="宋体"/>
                <w:spacing w:val="-65"/>
                <w:sz w:val="18"/>
                <w:szCs w:val="18"/>
              </w:rPr>
              <w:t xml:space="preserve"> </w:t>
            </w:r>
            <w:r>
              <w:rPr>
                <w:rFonts w:ascii="宋体" w:hAnsi="宋体" w:eastAsia="宋体" w:cs="宋体"/>
                <w:spacing w:val="-3"/>
                <w:sz w:val="18"/>
                <w:szCs w:val="18"/>
              </w:rPr>
              <w:t>∠50*5</w:t>
            </w:r>
          </w:p>
        </w:tc>
        <w:tc>
          <w:tcPr>
            <w:tcW w:w="1159" w:type="dxa"/>
            <w:vAlign w:val="top"/>
          </w:tcPr>
          <w:p>
            <w:pPr>
              <w:autoSpaceDE w:val="0"/>
              <w:autoSpaceDN w:val="0"/>
              <w:spacing w:before="284" w:line="213" w:lineRule="auto"/>
              <w:ind w:left="457"/>
              <w:rPr>
                <w:rFonts w:ascii="宋体" w:hAnsi="宋体" w:eastAsia="宋体" w:cs="宋体"/>
                <w:sz w:val="18"/>
                <w:szCs w:val="18"/>
              </w:rPr>
            </w:pPr>
            <w:r>
              <w:rPr>
                <w:rFonts w:ascii="宋体" w:hAnsi="宋体" w:eastAsia="宋体" w:cs="宋体"/>
                <w:spacing w:val="-3"/>
                <w:sz w:val="18"/>
                <w:szCs w:val="18"/>
              </w:rPr>
              <w:t>kg</w:t>
            </w:r>
          </w:p>
        </w:tc>
        <w:tc>
          <w:tcPr>
            <w:tcW w:w="1323" w:type="dxa"/>
            <w:vAlign w:val="top"/>
          </w:tcPr>
          <w:p>
            <w:pPr>
              <w:autoSpaceDE w:val="0"/>
              <w:autoSpaceDN w:val="0"/>
              <w:spacing w:before="283" w:line="239" w:lineRule="auto"/>
              <w:ind w:left="149"/>
              <w:rPr>
                <w:rFonts w:ascii="宋体" w:hAnsi="宋体" w:eastAsia="宋体" w:cs="宋体"/>
                <w:sz w:val="18"/>
                <w:szCs w:val="18"/>
              </w:rPr>
            </w:pPr>
            <w:r>
              <w:rPr>
                <w:rFonts w:ascii="宋体" w:hAnsi="宋体" w:eastAsia="宋体" w:cs="宋体"/>
                <w:spacing w:val="-1"/>
                <w:sz w:val="18"/>
                <w:szCs w:val="18"/>
              </w:rPr>
              <w:t>312.91</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autoSpaceDE w:val="0"/>
              <w:autoSpaceDN w:val="0"/>
              <w:spacing w:before="87" w:line="239" w:lineRule="auto"/>
              <w:ind w:left="330"/>
              <w:rPr>
                <w:rFonts w:ascii="宋体" w:hAnsi="宋体" w:eastAsia="宋体" w:cs="宋体"/>
                <w:sz w:val="18"/>
                <w:szCs w:val="18"/>
              </w:rPr>
            </w:pPr>
            <w:r>
              <w:rPr>
                <w:rFonts w:ascii="宋体" w:hAnsi="宋体" w:eastAsia="宋体" w:cs="宋体"/>
                <w:spacing w:val="-10"/>
                <w:sz w:val="18"/>
                <w:szCs w:val="18"/>
              </w:rPr>
              <w:t>15</w:t>
            </w:r>
          </w:p>
        </w:tc>
        <w:tc>
          <w:tcPr>
            <w:tcW w:w="1361" w:type="dxa"/>
            <w:vAlign w:val="top"/>
          </w:tcPr>
          <w:p>
            <w:pPr>
              <w:autoSpaceDE w:val="0"/>
              <w:autoSpaceDN w:val="0"/>
              <w:spacing w:before="87" w:line="218" w:lineRule="auto"/>
              <w:ind w:left="31"/>
              <w:rPr>
                <w:rFonts w:ascii="宋体" w:hAnsi="宋体" w:eastAsia="宋体" w:cs="宋体"/>
                <w:sz w:val="18"/>
                <w:szCs w:val="18"/>
              </w:rPr>
            </w:pPr>
            <w:r>
              <w:rPr>
                <w:rFonts w:ascii="宋体" w:hAnsi="宋体" w:eastAsia="宋体" w:cs="宋体"/>
                <w:spacing w:val="-2"/>
                <w:sz w:val="18"/>
                <w:szCs w:val="18"/>
              </w:rPr>
              <w:t>花纹钢板</w:t>
            </w:r>
          </w:p>
        </w:tc>
        <w:tc>
          <w:tcPr>
            <w:tcW w:w="5664" w:type="dxa"/>
            <w:vAlign w:val="top"/>
          </w:tcPr>
          <w:p>
            <w:pPr>
              <w:autoSpaceDE w:val="0"/>
              <w:autoSpaceDN w:val="0"/>
              <w:spacing w:before="87" w:line="218" w:lineRule="auto"/>
              <w:ind w:left="45"/>
              <w:rPr>
                <w:rFonts w:ascii="宋体" w:hAnsi="宋体" w:eastAsia="宋体" w:cs="宋体"/>
                <w:sz w:val="18"/>
                <w:szCs w:val="18"/>
              </w:rPr>
            </w:pPr>
            <w:r>
              <w:rPr>
                <w:rFonts w:ascii="宋体" w:hAnsi="宋体" w:eastAsia="宋体" w:cs="宋体"/>
                <w:spacing w:val="-2"/>
                <w:sz w:val="18"/>
                <w:szCs w:val="18"/>
              </w:rPr>
              <w:t>1.名称:花纹钢板</w:t>
            </w:r>
          </w:p>
        </w:tc>
        <w:tc>
          <w:tcPr>
            <w:tcW w:w="1159" w:type="dxa"/>
            <w:vAlign w:val="top"/>
          </w:tcPr>
          <w:p>
            <w:pPr>
              <w:autoSpaceDE w:val="0"/>
              <w:autoSpaceDN w:val="0"/>
              <w:spacing w:before="86" w:line="241" w:lineRule="auto"/>
              <w:ind w:left="453"/>
              <w:rPr>
                <w:rFonts w:ascii="宋体" w:hAnsi="宋体" w:eastAsia="宋体" w:cs="宋体"/>
                <w:sz w:val="18"/>
                <w:szCs w:val="18"/>
              </w:rPr>
            </w:pPr>
            <w:r>
              <w:rPr>
                <w:rFonts w:ascii="宋体" w:hAnsi="宋体" w:eastAsia="宋体" w:cs="宋体"/>
                <w:spacing w:val="-1"/>
                <w:sz w:val="18"/>
                <w:szCs w:val="18"/>
              </w:rPr>
              <w:t>m2</w:t>
            </w:r>
          </w:p>
        </w:tc>
        <w:tc>
          <w:tcPr>
            <w:tcW w:w="1323" w:type="dxa"/>
            <w:vAlign w:val="top"/>
          </w:tcPr>
          <w:p>
            <w:pPr>
              <w:autoSpaceDE w:val="0"/>
              <w:autoSpaceDN w:val="0"/>
              <w:spacing w:before="87" w:line="239" w:lineRule="auto"/>
              <w:ind w:left="341"/>
              <w:rPr>
                <w:rFonts w:ascii="宋体" w:hAnsi="宋体" w:eastAsia="宋体" w:cs="宋体"/>
                <w:sz w:val="18"/>
                <w:szCs w:val="18"/>
              </w:rPr>
            </w:pPr>
            <w:r>
              <w:rPr>
                <w:rFonts w:ascii="宋体" w:hAnsi="宋体" w:eastAsia="宋体" w:cs="宋体"/>
                <w:spacing w:val="-10"/>
                <w:sz w:val="18"/>
                <w:szCs w:val="18"/>
              </w:rPr>
              <w:t>10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autoSpaceDE w:val="0"/>
              <w:autoSpaceDN w:val="0"/>
              <w:spacing w:before="286" w:line="239" w:lineRule="auto"/>
              <w:ind w:left="330"/>
              <w:rPr>
                <w:rFonts w:ascii="宋体" w:hAnsi="宋体" w:eastAsia="宋体" w:cs="宋体"/>
                <w:sz w:val="18"/>
                <w:szCs w:val="18"/>
              </w:rPr>
            </w:pPr>
            <w:r>
              <w:rPr>
                <w:rFonts w:ascii="宋体" w:hAnsi="宋体" w:eastAsia="宋体" w:cs="宋体"/>
                <w:spacing w:val="-10"/>
                <w:sz w:val="18"/>
                <w:szCs w:val="18"/>
              </w:rPr>
              <w:t>16</w:t>
            </w:r>
          </w:p>
        </w:tc>
        <w:tc>
          <w:tcPr>
            <w:tcW w:w="1361" w:type="dxa"/>
            <w:vAlign w:val="top"/>
          </w:tcPr>
          <w:p>
            <w:pPr>
              <w:autoSpaceDE w:val="0"/>
              <w:autoSpaceDN w:val="0"/>
              <w:spacing w:before="286" w:line="219" w:lineRule="auto"/>
              <w:ind w:left="33"/>
              <w:rPr>
                <w:rFonts w:ascii="宋体" w:hAnsi="宋体" w:eastAsia="宋体" w:cs="宋体"/>
                <w:sz w:val="18"/>
                <w:szCs w:val="18"/>
              </w:rPr>
            </w:pPr>
            <w:r>
              <w:rPr>
                <w:rFonts w:ascii="宋体" w:hAnsi="宋体" w:eastAsia="宋体" w:cs="宋体"/>
                <w:spacing w:val="-4"/>
                <w:sz w:val="18"/>
                <w:szCs w:val="18"/>
              </w:rPr>
              <w:t>灭火器</w:t>
            </w:r>
          </w:p>
        </w:tc>
        <w:tc>
          <w:tcPr>
            <w:tcW w:w="5664" w:type="dxa"/>
            <w:vAlign w:val="top"/>
          </w:tcPr>
          <w:p>
            <w:pPr>
              <w:autoSpaceDE w:val="0"/>
              <w:autoSpaceDN w:val="0"/>
              <w:spacing w:before="60" w:line="219" w:lineRule="auto"/>
              <w:ind w:left="45"/>
              <w:rPr>
                <w:rFonts w:ascii="宋体" w:hAnsi="宋体" w:eastAsia="宋体" w:cs="宋体"/>
                <w:sz w:val="18"/>
                <w:szCs w:val="18"/>
              </w:rPr>
            </w:pPr>
            <w:r>
              <w:rPr>
                <w:rFonts w:ascii="宋体" w:hAnsi="宋体" w:eastAsia="宋体" w:cs="宋体"/>
                <w:spacing w:val="-2"/>
                <w:sz w:val="18"/>
                <w:szCs w:val="18"/>
              </w:rPr>
              <w:t>1.名称:水基灭火器</w:t>
            </w:r>
          </w:p>
          <w:p>
            <w:pPr>
              <w:autoSpaceDE w:val="0"/>
              <w:autoSpaceDN w:val="0"/>
              <w:spacing w:before="12" w:line="225" w:lineRule="auto"/>
              <w:ind w:left="34" w:right="219"/>
              <w:rPr>
                <w:rFonts w:ascii="宋体" w:hAnsi="宋体" w:eastAsia="宋体" w:cs="宋体"/>
                <w:sz w:val="18"/>
                <w:szCs w:val="18"/>
              </w:rPr>
            </w:pPr>
            <w:r>
              <w:rPr>
                <w:rFonts w:ascii="宋体" w:hAnsi="宋体" w:eastAsia="宋体" w:cs="宋体"/>
                <w:spacing w:val="-1"/>
                <w:sz w:val="18"/>
                <w:szCs w:val="18"/>
              </w:rPr>
              <w:t>2.规格、型号:3L</w:t>
            </w:r>
            <w:r>
              <w:rPr>
                <w:rFonts w:ascii="宋体" w:hAnsi="宋体" w:eastAsia="宋体" w:cs="宋体"/>
                <w:spacing w:val="-3"/>
                <w:sz w:val="18"/>
                <w:szCs w:val="18"/>
              </w:rPr>
              <w:t>一组两支</w:t>
            </w:r>
          </w:p>
        </w:tc>
        <w:tc>
          <w:tcPr>
            <w:tcW w:w="1159" w:type="dxa"/>
            <w:vAlign w:val="top"/>
          </w:tcPr>
          <w:p>
            <w:pPr>
              <w:autoSpaceDE w:val="0"/>
              <w:autoSpaceDN w:val="0"/>
              <w:spacing w:before="285" w:line="221" w:lineRule="auto"/>
              <w:ind w:left="462"/>
              <w:rPr>
                <w:rFonts w:ascii="宋体" w:hAnsi="宋体" w:eastAsia="宋体" w:cs="宋体"/>
                <w:sz w:val="18"/>
                <w:szCs w:val="18"/>
              </w:rPr>
            </w:pPr>
            <w:r>
              <w:rPr>
                <w:rFonts w:ascii="宋体" w:hAnsi="宋体" w:eastAsia="宋体" w:cs="宋体"/>
                <w:sz w:val="18"/>
                <w:szCs w:val="18"/>
              </w:rPr>
              <w:t>具</w:t>
            </w:r>
          </w:p>
        </w:tc>
        <w:tc>
          <w:tcPr>
            <w:tcW w:w="1323" w:type="dxa"/>
            <w:vAlign w:val="top"/>
          </w:tcPr>
          <w:p>
            <w:pPr>
              <w:autoSpaceDE w:val="0"/>
              <w:autoSpaceDN w:val="0"/>
              <w:spacing w:before="286" w:line="241" w:lineRule="auto"/>
              <w:ind w:left="341"/>
              <w:rPr>
                <w:rFonts w:ascii="宋体" w:hAnsi="宋体" w:eastAsia="宋体" w:cs="宋体"/>
                <w:sz w:val="18"/>
                <w:szCs w:val="18"/>
              </w:rPr>
            </w:pPr>
            <w:r>
              <w:rPr>
                <w:rFonts w:ascii="宋体" w:hAnsi="宋体" w:eastAsia="宋体" w:cs="宋体"/>
                <w:spacing w:val="-10"/>
                <w:sz w:val="18"/>
                <w:szCs w:val="18"/>
              </w:rPr>
              <w:t>12</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autoSpaceDE w:val="0"/>
              <w:autoSpaceDN w:val="0"/>
              <w:spacing w:before="88" w:line="239" w:lineRule="auto"/>
              <w:ind w:left="330"/>
              <w:rPr>
                <w:rFonts w:ascii="宋体" w:hAnsi="宋体" w:eastAsia="宋体" w:cs="宋体"/>
                <w:sz w:val="18"/>
                <w:szCs w:val="18"/>
              </w:rPr>
            </w:pPr>
            <w:r>
              <w:rPr>
                <w:rFonts w:ascii="宋体" w:hAnsi="宋体" w:eastAsia="宋体" w:cs="宋体"/>
                <w:spacing w:val="-10"/>
                <w:sz w:val="18"/>
                <w:szCs w:val="18"/>
              </w:rPr>
              <w:t>17</w:t>
            </w:r>
          </w:p>
        </w:tc>
        <w:tc>
          <w:tcPr>
            <w:tcW w:w="1361" w:type="dxa"/>
            <w:vAlign w:val="top"/>
          </w:tcPr>
          <w:p>
            <w:pPr>
              <w:autoSpaceDE w:val="0"/>
              <w:autoSpaceDN w:val="0"/>
              <w:spacing w:before="88" w:line="219" w:lineRule="auto"/>
              <w:ind w:left="31"/>
              <w:rPr>
                <w:rFonts w:ascii="宋体" w:hAnsi="宋体" w:eastAsia="宋体" w:cs="宋体"/>
                <w:sz w:val="18"/>
                <w:szCs w:val="18"/>
              </w:rPr>
            </w:pPr>
            <w:r>
              <w:rPr>
                <w:rFonts w:ascii="宋体" w:hAnsi="宋体" w:eastAsia="宋体" w:cs="宋体"/>
                <w:spacing w:val="-2"/>
                <w:sz w:val="18"/>
                <w:szCs w:val="18"/>
              </w:rPr>
              <w:t>标识标牌</w:t>
            </w:r>
          </w:p>
        </w:tc>
        <w:tc>
          <w:tcPr>
            <w:tcW w:w="5664" w:type="dxa"/>
            <w:vAlign w:val="top"/>
          </w:tcPr>
          <w:p>
            <w:pPr>
              <w:autoSpaceDE w:val="0"/>
              <w:autoSpaceDN w:val="0"/>
              <w:spacing w:before="88" w:line="219" w:lineRule="auto"/>
              <w:ind w:left="45"/>
              <w:rPr>
                <w:rFonts w:ascii="宋体" w:hAnsi="宋体" w:eastAsia="宋体" w:cs="宋体"/>
                <w:sz w:val="18"/>
                <w:szCs w:val="18"/>
              </w:rPr>
            </w:pPr>
            <w:r>
              <w:rPr>
                <w:rFonts w:ascii="宋体" w:hAnsi="宋体" w:eastAsia="宋体" w:cs="宋体"/>
                <w:spacing w:val="-2"/>
                <w:sz w:val="18"/>
                <w:szCs w:val="18"/>
              </w:rPr>
              <w:t>1.名称:标识标牌</w:t>
            </w:r>
          </w:p>
        </w:tc>
        <w:tc>
          <w:tcPr>
            <w:tcW w:w="1159" w:type="dxa"/>
            <w:vAlign w:val="top"/>
          </w:tcPr>
          <w:p>
            <w:pPr>
              <w:autoSpaceDE w:val="0"/>
              <w:autoSpaceDN w:val="0"/>
              <w:spacing w:before="88" w:line="220" w:lineRule="auto"/>
              <w:ind w:left="459"/>
              <w:rPr>
                <w:rFonts w:ascii="宋体" w:hAnsi="宋体" w:eastAsia="宋体" w:cs="宋体"/>
                <w:sz w:val="18"/>
                <w:szCs w:val="18"/>
              </w:rPr>
            </w:pPr>
            <w:r>
              <w:rPr>
                <w:rFonts w:ascii="宋体" w:hAnsi="宋体" w:eastAsia="宋体" w:cs="宋体"/>
                <w:sz w:val="18"/>
                <w:szCs w:val="18"/>
              </w:rPr>
              <w:t>套</w:t>
            </w:r>
          </w:p>
        </w:tc>
        <w:tc>
          <w:tcPr>
            <w:tcW w:w="1323" w:type="dxa"/>
            <w:vAlign w:val="top"/>
          </w:tcPr>
          <w:p>
            <w:pPr>
              <w:autoSpaceDE w:val="0"/>
              <w:autoSpaceDN w:val="0"/>
              <w:spacing w:before="88" w:line="241" w:lineRule="auto"/>
              <w:ind w:left="386"/>
              <w:rPr>
                <w:rFonts w:ascii="宋体" w:hAnsi="宋体" w:eastAsia="宋体" w:cs="宋体"/>
                <w:sz w:val="18"/>
                <w:szCs w:val="18"/>
              </w:rPr>
            </w:pPr>
            <w:r>
              <w:rPr>
                <w:rFonts w:ascii="宋体" w:hAnsi="宋体" w:eastAsia="宋体" w:cs="宋体"/>
                <w:sz w:val="18"/>
                <w:szCs w:val="18"/>
              </w:rPr>
              <w:t>1</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968" w:hRule="atLeast"/>
        </w:trPr>
        <w:tc>
          <w:tcPr>
            <w:tcW w:w="820" w:type="dxa"/>
            <w:tcBorders>
              <w:left w:val="single" w:color="000008" w:sz="14" w:space="0"/>
            </w:tcBorders>
            <w:vAlign w:val="top"/>
          </w:tcPr>
          <w:p>
            <w:pPr>
              <w:pStyle w:val="687"/>
              <w:autoSpaceDE w:val="0"/>
              <w:autoSpaceDN w:val="0"/>
              <w:spacing w:line="345" w:lineRule="auto"/>
            </w:pPr>
          </w:p>
          <w:p>
            <w:pPr>
              <w:autoSpaceDE w:val="0"/>
              <w:autoSpaceDN w:val="0"/>
              <w:spacing w:before="58" w:line="239" w:lineRule="auto"/>
              <w:ind w:left="330"/>
              <w:rPr>
                <w:rFonts w:ascii="宋体" w:hAnsi="宋体" w:eastAsia="宋体" w:cs="宋体"/>
                <w:sz w:val="18"/>
                <w:szCs w:val="18"/>
              </w:rPr>
            </w:pPr>
            <w:r>
              <w:rPr>
                <w:rFonts w:ascii="宋体" w:hAnsi="宋体" w:eastAsia="宋体" w:cs="宋体"/>
                <w:spacing w:val="-10"/>
                <w:sz w:val="18"/>
                <w:szCs w:val="18"/>
              </w:rPr>
              <w:t>18</w:t>
            </w:r>
          </w:p>
        </w:tc>
        <w:tc>
          <w:tcPr>
            <w:tcW w:w="1361" w:type="dxa"/>
            <w:vAlign w:val="top"/>
          </w:tcPr>
          <w:p>
            <w:pPr>
              <w:pStyle w:val="687"/>
              <w:autoSpaceDE w:val="0"/>
              <w:autoSpaceDN w:val="0"/>
              <w:spacing w:line="345" w:lineRule="auto"/>
            </w:pPr>
          </w:p>
          <w:p>
            <w:pPr>
              <w:autoSpaceDE w:val="0"/>
              <w:autoSpaceDN w:val="0"/>
              <w:spacing w:before="58" w:line="219" w:lineRule="auto"/>
              <w:ind w:left="51"/>
              <w:rPr>
                <w:rFonts w:ascii="宋体" w:hAnsi="宋体" w:eastAsia="宋体" w:cs="宋体"/>
                <w:sz w:val="18"/>
                <w:szCs w:val="18"/>
              </w:rPr>
            </w:pPr>
            <w:r>
              <w:rPr>
                <w:rFonts w:ascii="宋体" w:hAnsi="宋体" w:eastAsia="宋体" w:cs="宋体"/>
                <w:spacing w:val="-5"/>
                <w:sz w:val="18"/>
                <w:szCs w:val="18"/>
              </w:rPr>
              <w:t>电力电缆拆除</w:t>
            </w:r>
          </w:p>
        </w:tc>
        <w:tc>
          <w:tcPr>
            <w:tcW w:w="5664" w:type="dxa"/>
            <w:vAlign w:val="top"/>
          </w:tcPr>
          <w:p>
            <w:pPr>
              <w:autoSpaceDE w:val="0"/>
              <w:autoSpaceDN w:val="0"/>
              <w:spacing w:before="180" w:line="219" w:lineRule="auto"/>
              <w:ind w:left="45"/>
              <w:rPr>
                <w:rFonts w:ascii="宋体" w:hAnsi="宋体" w:eastAsia="宋体" w:cs="宋体"/>
                <w:sz w:val="18"/>
                <w:szCs w:val="18"/>
              </w:rPr>
            </w:pPr>
            <w:r>
              <w:rPr>
                <w:rFonts w:ascii="宋体" w:hAnsi="宋体" w:eastAsia="宋体" w:cs="宋体"/>
                <w:spacing w:val="-2"/>
                <w:sz w:val="18"/>
                <w:szCs w:val="18"/>
              </w:rPr>
              <w:t>1.名称:电缆拆除</w:t>
            </w:r>
          </w:p>
          <w:p>
            <w:pPr>
              <w:autoSpaceDE w:val="0"/>
              <w:autoSpaceDN w:val="0"/>
              <w:spacing w:before="11" w:line="218" w:lineRule="auto"/>
              <w:ind w:left="34"/>
              <w:rPr>
                <w:rFonts w:ascii="宋体" w:hAnsi="宋体" w:eastAsia="宋体" w:cs="宋体"/>
                <w:sz w:val="18"/>
                <w:szCs w:val="18"/>
              </w:rPr>
            </w:pPr>
            <w:r>
              <w:rPr>
                <w:rFonts w:ascii="宋体" w:hAnsi="宋体" w:eastAsia="宋体" w:cs="宋体"/>
                <w:sz w:val="18"/>
                <w:szCs w:val="18"/>
              </w:rPr>
              <w:t>2.规格:ZC-YJY-</w:t>
            </w:r>
          </w:p>
          <w:p>
            <w:pPr>
              <w:autoSpaceDE w:val="0"/>
              <w:autoSpaceDN w:val="0"/>
              <w:spacing w:before="10" w:line="224" w:lineRule="auto"/>
              <w:ind w:left="34"/>
              <w:rPr>
                <w:rFonts w:ascii="宋体" w:hAnsi="宋体" w:eastAsia="宋体" w:cs="宋体"/>
                <w:sz w:val="18"/>
                <w:szCs w:val="18"/>
              </w:rPr>
            </w:pPr>
            <w:r>
              <w:rPr>
                <w:rFonts w:ascii="宋体" w:hAnsi="宋体" w:eastAsia="宋体" w:cs="宋体"/>
                <w:sz w:val="18"/>
                <w:szCs w:val="18"/>
              </w:rPr>
              <w:t>0.6/1kV-4*120mm2</w:t>
            </w:r>
          </w:p>
        </w:tc>
        <w:tc>
          <w:tcPr>
            <w:tcW w:w="1159" w:type="dxa"/>
            <w:vAlign w:val="top"/>
          </w:tcPr>
          <w:p>
            <w:pPr>
              <w:pStyle w:val="687"/>
              <w:autoSpaceDE w:val="0"/>
              <w:autoSpaceDN w:val="0"/>
              <w:spacing w:line="344" w:lineRule="auto"/>
            </w:pPr>
          </w:p>
          <w:p>
            <w:pPr>
              <w:autoSpaceDE w:val="0"/>
              <w:autoSpaceDN w:val="0"/>
              <w:spacing w:before="59" w:line="241" w:lineRule="auto"/>
              <w:ind w:left="496"/>
              <w:rPr>
                <w:rFonts w:ascii="宋体" w:hAnsi="宋体" w:eastAsia="宋体" w:cs="宋体"/>
                <w:sz w:val="18"/>
                <w:szCs w:val="18"/>
              </w:rPr>
            </w:pPr>
            <w:r>
              <w:rPr>
                <w:rFonts w:ascii="宋体" w:hAnsi="宋体" w:eastAsia="宋体" w:cs="宋体"/>
                <w:sz w:val="18"/>
                <w:szCs w:val="18"/>
              </w:rPr>
              <w:t>m</w:t>
            </w:r>
          </w:p>
        </w:tc>
        <w:tc>
          <w:tcPr>
            <w:tcW w:w="1323" w:type="dxa"/>
            <w:vAlign w:val="top"/>
          </w:tcPr>
          <w:p>
            <w:pPr>
              <w:pStyle w:val="687"/>
              <w:autoSpaceDE w:val="0"/>
              <w:autoSpaceDN w:val="0"/>
              <w:spacing w:line="345" w:lineRule="auto"/>
            </w:pPr>
          </w:p>
          <w:p>
            <w:pPr>
              <w:autoSpaceDE w:val="0"/>
              <w:autoSpaceDN w:val="0"/>
              <w:spacing w:before="58" w:line="239" w:lineRule="auto"/>
              <w:ind w:left="332"/>
              <w:rPr>
                <w:rFonts w:ascii="宋体" w:hAnsi="宋体" w:eastAsia="宋体" w:cs="宋体"/>
                <w:sz w:val="18"/>
                <w:szCs w:val="18"/>
              </w:rPr>
            </w:pPr>
            <w:r>
              <w:rPr>
                <w:rFonts w:ascii="宋体" w:hAnsi="宋体" w:eastAsia="宋体" w:cs="宋体"/>
                <w:spacing w:val="-5"/>
                <w:sz w:val="18"/>
                <w:szCs w:val="18"/>
              </w:rPr>
              <w:t>30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658" w:hRule="atLeast"/>
        </w:trPr>
        <w:tc>
          <w:tcPr>
            <w:tcW w:w="820" w:type="dxa"/>
            <w:tcBorders>
              <w:left w:val="single" w:color="000008" w:sz="14" w:space="0"/>
            </w:tcBorders>
            <w:vAlign w:val="top"/>
          </w:tcPr>
          <w:p>
            <w:pPr>
              <w:pStyle w:val="687"/>
              <w:autoSpaceDE w:val="0"/>
              <w:autoSpaceDN w:val="0"/>
              <w:spacing w:line="345" w:lineRule="auto"/>
            </w:pPr>
          </w:p>
          <w:p>
            <w:pPr>
              <w:pStyle w:val="687"/>
              <w:autoSpaceDE w:val="0"/>
              <w:autoSpaceDN w:val="0"/>
              <w:spacing w:line="345" w:lineRule="auto"/>
            </w:pPr>
          </w:p>
          <w:p>
            <w:pPr>
              <w:autoSpaceDE w:val="0"/>
              <w:autoSpaceDN w:val="0"/>
              <w:spacing w:before="58" w:line="239" w:lineRule="auto"/>
              <w:ind w:left="330"/>
              <w:rPr>
                <w:rFonts w:ascii="宋体" w:hAnsi="宋体" w:eastAsia="宋体" w:cs="宋体"/>
                <w:sz w:val="18"/>
                <w:szCs w:val="18"/>
              </w:rPr>
            </w:pPr>
            <w:r>
              <w:rPr>
                <w:rFonts w:ascii="宋体" w:hAnsi="宋体" w:eastAsia="宋体" w:cs="宋体"/>
                <w:spacing w:val="-10"/>
                <w:sz w:val="18"/>
                <w:szCs w:val="18"/>
              </w:rPr>
              <w:t>19</w:t>
            </w:r>
          </w:p>
        </w:tc>
        <w:tc>
          <w:tcPr>
            <w:tcW w:w="1361" w:type="dxa"/>
            <w:vAlign w:val="top"/>
          </w:tcPr>
          <w:p>
            <w:pPr>
              <w:pStyle w:val="687"/>
              <w:autoSpaceDE w:val="0"/>
              <w:autoSpaceDN w:val="0"/>
              <w:spacing w:line="344" w:lineRule="auto"/>
            </w:pPr>
          </w:p>
          <w:p>
            <w:pPr>
              <w:pStyle w:val="687"/>
              <w:autoSpaceDE w:val="0"/>
              <w:autoSpaceDN w:val="0"/>
              <w:spacing w:line="345"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5664" w:type="dxa"/>
            <w:vAlign w:val="top"/>
          </w:tcPr>
          <w:p>
            <w:pPr>
              <w:autoSpaceDE w:val="0"/>
              <w:autoSpaceDN w:val="0"/>
              <w:spacing w:before="191" w:line="230" w:lineRule="auto"/>
              <w:ind w:left="42" w:right="219" w:firstLine="3"/>
              <w:rPr>
                <w:rFonts w:ascii="宋体" w:hAnsi="宋体" w:eastAsia="宋体" w:cs="宋体"/>
                <w:sz w:val="18"/>
                <w:szCs w:val="18"/>
              </w:rPr>
            </w:pPr>
            <w:r>
              <w:rPr>
                <w:rFonts w:ascii="宋体" w:hAnsi="宋体" w:eastAsia="宋体" w:cs="宋体"/>
                <w:spacing w:val="-2"/>
                <w:sz w:val="18"/>
                <w:szCs w:val="18"/>
              </w:rPr>
              <w:t>1.名称:低压电缆</w:t>
            </w:r>
            <w:r>
              <w:rPr>
                <w:rFonts w:ascii="宋体" w:hAnsi="宋体" w:eastAsia="宋体" w:cs="宋体"/>
                <w:spacing w:val="-5"/>
                <w:sz w:val="18"/>
                <w:szCs w:val="18"/>
              </w:rPr>
              <w:t>（利旧）</w:t>
            </w:r>
          </w:p>
          <w:p>
            <w:pPr>
              <w:autoSpaceDE w:val="0"/>
              <w:autoSpaceDN w:val="0"/>
              <w:spacing w:line="217" w:lineRule="auto"/>
              <w:ind w:left="34"/>
              <w:rPr>
                <w:rFonts w:ascii="宋体" w:hAnsi="宋体" w:eastAsia="宋体" w:cs="宋体"/>
                <w:sz w:val="18"/>
                <w:szCs w:val="18"/>
              </w:rPr>
            </w:pPr>
            <w:r>
              <w:rPr>
                <w:rFonts w:ascii="宋体" w:hAnsi="宋体" w:eastAsia="宋体" w:cs="宋体"/>
                <w:sz w:val="18"/>
                <w:szCs w:val="18"/>
              </w:rPr>
              <w:t>2.规格:ZC-YJY-</w:t>
            </w:r>
          </w:p>
          <w:p>
            <w:pPr>
              <w:autoSpaceDE w:val="0"/>
              <w:autoSpaceDN w:val="0"/>
              <w:spacing w:before="13" w:line="224" w:lineRule="auto"/>
              <w:ind w:left="34"/>
              <w:rPr>
                <w:rFonts w:ascii="宋体" w:hAnsi="宋体" w:eastAsia="宋体" w:cs="宋体"/>
                <w:sz w:val="18"/>
                <w:szCs w:val="18"/>
              </w:rPr>
            </w:pPr>
            <w:r>
              <w:rPr>
                <w:rFonts w:ascii="宋体" w:hAnsi="宋体" w:eastAsia="宋体" w:cs="宋体"/>
                <w:sz w:val="18"/>
                <w:szCs w:val="18"/>
              </w:rPr>
              <w:t>0.6/1kV-4*120mm2</w:t>
            </w:r>
          </w:p>
          <w:p>
            <w:pPr>
              <w:autoSpaceDE w:val="0"/>
              <w:autoSpaceDN w:val="0"/>
              <w:spacing w:before="6" w:line="234" w:lineRule="auto"/>
              <w:ind w:left="35" w:right="39"/>
              <w:rPr>
                <w:rFonts w:ascii="宋体" w:hAnsi="宋体" w:eastAsia="宋体" w:cs="宋体"/>
                <w:sz w:val="18"/>
                <w:szCs w:val="18"/>
              </w:rPr>
            </w:pPr>
            <w:r>
              <w:rPr>
                <w:rFonts w:ascii="宋体" w:hAnsi="宋体" w:eastAsia="宋体" w:cs="宋体"/>
                <w:spacing w:val="-1"/>
                <w:sz w:val="18"/>
                <w:szCs w:val="18"/>
              </w:rPr>
              <w:t>3.敷设方式:桥架敷</w:t>
            </w:r>
            <w:r>
              <w:rPr>
                <w:rFonts w:ascii="宋体" w:hAnsi="宋体" w:eastAsia="宋体" w:cs="宋体"/>
                <w:sz w:val="18"/>
                <w:szCs w:val="18"/>
              </w:rPr>
              <w:t>设</w:t>
            </w:r>
          </w:p>
        </w:tc>
        <w:tc>
          <w:tcPr>
            <w:tcW w:w="1159" w:type="dxa"/>
            <w:vAlign w:val="top"/>
          </w:tcPr>
          <w:p>
            <w:pPr>
              <w:pStyle w:val="687"/>
              <w:autoSpaceDE w:val="0"/>
              <w:autoSpaceDN w:val="0"/>
              <w:spacing w:line="344" w:lineRule="auto"/>
            </w:pPr>
          </w:p>
          <w:p>
            <w:pPr>
              <w:pStyle w:val="687"/>
              <w:autoSpaceDE w:val="0"/>
              <w:autoSpaceDN w:val="0"/>
              <w:spacing w:line="345" w:lineRule="auto"/>
            </w:pPr>
          </w:p>
          <w:p>
            <w:pPr>
              <w:autoSpaceDE w:val="0"/>
              <w:autoSpaceDN w:val="0"/>
              <w:spacing w:before="59" w:line="241" w:lineRule="auto"/>
              <w:ind w:left="496"/>
              <w:rPr>
                <w:rFonts w:ascii="宋体" w:hAnsi="宋体" w:eastAsia="宋体" w:cs="宋体"/>
                <w:sz w:val="18"/>
                <w:szCs w:val="18"/>
              </w:rPr>
            </w:pPr>
            <w:r>
              <w:rPr>
                <w:rFonts w:ascii="宋体" w:hAnsi="宋体" w:eastAsia="宋体" w:cs="宋体"/>
                <w:sz w:val="18"/>
                <w:szCs w:val="18"/>
              </w:rPr>
              <w:t>m</w:t>
            </w:r>
          </w:p>
        </w:tc>
        <w:tc>
          <w:tcPr>
            <w:tcW w:w="1323" w:type="dxa"/>
            <w:vAlign w:val="top"/>
          </w:tcPr>
          <w:p>
            <w:pPr>
              <w:pStyle w:val="687"/>
              <w:autoSpaceDE w:val="0"/>
              <w:autoSpaceDN w:val="0"/>
              <w:spacing w:line="345" w:lineRule="auto"/>
            </w:pPr>
          </w:p>
          <w:p>
            <w:pPr>
              <w:pStyle w:val="687"/>
              <w:autoSpaceDE w:val="0"/>
              <w:autoSpaceDN w:val="0"/>
              <w:spacing w:line="345" w:lineRule="auto"/>
            </w:pPr>
          </w:p>
          <w:p>
            <w:pPr>
              <w:autoSpaceDE w:val="0"/>
              <w:autoSpaceDN w:val="0"/>
              <w:spacing w:before="58" w:line="239" w:lineRule="auto"/>
              <w:ind w:left="332"/>
              <w:rPr>
                <w:rFonts w:ascii="宋体" w:hAnsi="宋体" w:eastAsia="宋体" w:cs="宋体"/>
                <w:sz w:val="18"/>
                <w:szCs w:val="18"/>
              </w:rPr>
            </w:pPr>
            <w:r>
              <w:rPr>
                <w:rFonts w:ascii="宋体" w:hAnsi="宋体" w:eastAsia="宋体" w:cs="宋体"/>
                <w:spacing w:val="-5"/>
                <w:sz w:val="18"/>
                <w:szCs w:val="18"/>
              </w:rPr>
              <w:t>30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autoSpaceDE w:val="0"/>
              <w:autoSpaceDN w:val="0"/>
              <w:spacing w:before="95" w:line="219" w:lineRule="auto"/>
              <w:ind w:left="32"/>
              <w:rPr>
                <w:rFonts w:ascii="宋体" w:hAnsi="宋体" w:eastAsia="宋体" w:cs="宋体"/>
                <w:sz w:val="18"/>
                <w:szCs w:val="18"/>
              </w:rPr>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7"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pStyle w:val="687"/>
              <w:autoSpaceDE w:val="0"/>
              <w:autoSpaceDN w:val="0"/>
            </w:pPr>
          </w:p>
        </w:tc>
        <w:tc>
          <w:tcPr>
            <w:tcW w:w="5664" w:type="dxa"/>
            <w:vAlign w:val="top"/>
          </w:tcPr>
          <w:p>
            <w:pPr>
              <w:pStyle w:val="687"/>
              <w:autoSpaceDE w:val="0"/>
              <w:autoSpaceDN w:val="0"/>
            </w:pPr>
          </w:p>
        </w:tc>
        <w:tc>
          <w:tcPr>
            <w:tcW w:w="1159" w:type="dxa"/>
            <w:vAlign w:val="top"/>
          </w:tcPr>
          <w:p>
            <w:pPr>
              <w:pStyle w:val="687"/>
              <w:autoSpaceDE w:val="0"/>
              <w:autoSpaceDN w:val="0"/>
            </w:pPr>
          </w:p>
        </w:tc>
        <w:tc>
          <w:tcPr>
            <w:tcW w:w="1323" w:type="dxa"/>
            <w:vAlign w:val="top"/>
          </w:tcPr>
          <w:p>
            <w:pPr>
              <w:pStyle w:val="687"/>
              <w:autoSpaceDE w:val="0"/>
              <w:autoSpaceDN w:val="0"/>
            </w:pPr>
          </w:p>
        </w:tc>
      </w:tr>
    </w:tbl>
    <w:p>
      <w:pPr>
        <w:pStyle w:val="19"/>
        <w:spacing w:line="14" w:lineRule="auto"/>
        <w:rPr>
          <w:sz w:val="2"/>
        </w:rPr>
      </w:pPr>
    </w:p>
    <w:p>
      <w:pPr>
        <w:spacing w:line="14" w:lineRule="auto"/>
        <w:rPr>
          <w:sz w:val="2"/>
          <w:szCs w:val="2"/>
        </w:rPr>
        <w:sectPr>
          <w:type w:val="continuous"/>
          <w:pgSz w:w="11905" w:h="16837"/>
          <w:pgMar w:top="957" w:right="859" w:bottom="0" w:left="819" w:header="0" w:footer="0" w:gutter="0"/>
          <w:cols w:equalWidth="0" w:num="1">
            <w:col w:w="10227"/>
          </w:cols>
        </w:sectPr>
      </w:pPr>
    </w:p>
    <w:p>
      <w:pPr>
        <w:spacing w:before="64" w:line="223" w:lineRule="auto"/>
        <w:ind w:left="3054"/>
        <w:outlineLvl w:val="2"/>
        <w:rPr>
          <w:rFonts w:ascii="宋体" w:hAnsi="宋体" w:eastAsia="宋体" w:cs="宋体"/>
          <w:sz w:val="31"/>
          <w:szCs w:val="31"/>
        </w:rPr>
      </w:pPr>
      <w:r>
        <w:rPr>
          <w:rFonts w:ascii="宋体" w:hAnsi="宋体" w:eastAsia="宋体" w:cs="宋体"/>
          <w:b/>
          <w:bCs/>
          <w:spacing w:val="7"/>
          <w:sz w:val="31"/>
          <w:szCs w:val="31"/>
        </w:rPr>
        <w:t>分部分项工程项目清单</w:t>
      </w:r>
    </w:p>
    <w:p>
      <w:pPr>
        <w:spacing w:before="129"/>
      </w:pPr>
    </w:p>
    <w:p>
      <w:pPr>
        <w:sectPr>
          <w:pgSz w:w="11905" w:h="16837"/>
          <w:pgMar w:top="957" w:right="859" w:bottom="0" w:left="819" w:header="0" w:footer="0" w:gutter="0"/>
          <w:cols w:equalWidth="0" w:num="1">
            <w:col w:w="10227"/>
          </w:cols>
        </w:sectPr>
      </w:pPr>
    </w:p>
    <w:p>
      <w:pPr>
        <w:spacing w:before="36" w:line="184" w:lineRule="auto"/>
        <w:ind w:left="78"/>
        <w:rPr>
          <w:rFonts w:ascii="宋体" w:hAnsi="宋体" w:eastAsia="宋体" w:cs="宋体"/>
          <w:sz w:val="18"/>
          <w:szCs w:val="18"/>
        </w:rPr>
      </w:pPr>
      <w:r>
        <w:rPr>
          <w:rFonts w:ascii="宋体" w:hAnsi="宋体" w:eastAsia="宋体" w:cs="宋体"/>
          <w:spacing w:val="-2"/>
          <w:sz w:val="18"/>
          <w:szCs w:val="18"/>
        </w:rPr>
        <w:t>工程名称：</w:t>
      </w:r>
      <w:r>
        <w:rPr>
          <w:rFonts w:ascii="宋体" w:hAnsi="宋体" w:eastAsia="宋体" w:cs="宋体"/>
          <w:spacing w:val="-41"/>
          <w:sz w:val="18"/>
          <w:szCs w:val="18"/>
        </w:rPr>
        <w:t xml:space="preserve"> </w:t>
      </w:r>
      <w:r>
        <w:rPr>
          <w:rFonts w:ascii="宋体" w:hAnsi="宋体" w:eastAsia="宋体" w:cs="宋体"/>
          <w:spacing w:val="-2"/>
          <w:sz w:val="18"/>
          <w:szCs w:val="18"/>
        </w:rPr>
        <w:t>(北方工业大学附属学校单项工程-低压电缆单位工程)</w:t>
      </w:r>
      <w:r>
        <w:rPr>
          <w:rFonts w:hint="eastAsia" w:ascii="宋体" w:hAnsi="宋体" w:eastAsia="宋体" w:cs="宋体"/>
          <w:spacing w:val="-2"/>
          <w:sz w:val="18"/>
          <w:szCs w:val="18"/>
          <w:lang w:val="en-US" w:eastAsia="zh-CN"/>
        </w:rPr>
        <w:t xml:space="preserve">                                </w:t>
      </w:r>
      <w:r>
        <w:rPr>
          <w:rFonts w:hint="eastAsia" w:ascii="宋体" w:hAnsi="宋体" w:eastAsia="宋体" w:cs="宋体"/>
          <w:spacing w:val="26"/>
          <w:sz w:val="18"/>
          <w:szCs w:val="18"/>
          <w:lang w:eastAsia="zh-CN"/>
        </w:rPr>
        <w:t>第</w:t>
      </w:r>
      <w:r>
        <w:rPr>
          <w:rFonts w:ascii="宋体" w:hAnsi="宋体" w:eastAsia="宋体" w:cs="宋体"/>
          <w:spacing w:val="26"/>
          <w:sz w:val="18"/>
          <w:szCs w:val="18"/>
        </w:rPr>
        <w:t xml:space="preserve"> </w:t>
      </w:r>
      <w:r>
        <w:rPr>
          <w:rFonts w:ascii="宋体" w:hAnsi="宋体" w:eastAsia="宋体" w:cs="宋体"/>
          <w:spacing w:val="-10"/>
          <w:sz w:val="18"/>
          <w:szCs w:val="18"/>
        </w:rPr>
        <w:t>1</w:t>
      </w:r>
      <w:r>
        <w:rPr>
          <w:rFonts w:ascii="宋体" w:hAnsi="宋体" w:eastAsia="宋体" w:cs="宋体"/>
          <w:spacing w:val="14"/>
          <w:sz w:val="18"/>
          <w:szCs w:val="18"/>
        </w:rPr>
        <w:t xml:space="preserve"> </w:t>
      </w:r>
      <w:r>
        <w:rPr>
          <w:rFonts w:ascii="宋体" w:hAnsi="宋体" w:eastAsia="宋体" w:cs="宋体"/>
          <w:spacing w:val="-10"/>
          <w:sz w:val="18"/>
          <w:szCs w:val="18"/>
        </w:rPr>
        <w:t>页</w:t>
      </w:r>
      <w:r>
        <w:rPr>
          <w:rFonts w:ascii="宋体" w:hAnsi="宋体" w:eastAsia="宋体" w:cs="宋体"/>
          <w:spacing w:val="4"/>
          <w:sz w:val="18"/>
          <w:szCs w:val="18"/>
        </w:rPr>
        <w:t xml:space="preserve">  </w:t>
      </w:r>
      <w:r>
        <w:rPr>
          <w:rFonts w:ascii="宋体" w:hAnsi="宋体" w:eastAsia="宋体" w:cs="宋体"/>
          <w:spacing w:val="-10"/>
          <w:sz w:val="18"/>
          <w:szCs w:val="18"/>
        </w:rPr>
        <w:t>共</w:t>
      </w:r>
      <w:r>
        <w:rPr>
          <w:rFonts w:ascii="宋体" w:hAnsi="宋体" w:eastAsia="宋体" w:cs="宋体"/>
          <w:spacing w:val="10"/>
          <w:sz w:val="18"/>
          <w:szCs w:val="18"/>
        </w:rPr>
        <w:t xml:space="preserve"> </w:t>
      </w:r>
      <w:r>
        <w:rPr>
          <w:rFonts w:ascii="宋体" w:hAnsi="宋体" w:eastAsia="宋体" w:cs="宋体"/>
          <w:spacing w:val="-10"/>
          <w:sz w:val="18"/>
          <w:szCs w:val="18"/>
        </w:rPr>
        <w:t>2</w:t>
      </w:r>
      <w:r>
        <w:rPr>
          <w:rFonts w:ascii="宋体" w:hAnsi="宋体" w:eastAsia="宋体" w:cs="宋体"/>
          <w:spacing w:val="12"/>
          <w:sz w:val="18"/>
          <w:szCs w:val="18"/>
        </w:rPr>
        <w:t xml:space="preserve"> </w:t>
      </w:r>
      <w:r>
        <w:rPr>
          <w:rFonts w:ascii="宋体" w:hAnsi="宋体" w:eastAsia="宋体" w:cs="宋体"/>
          <w:spacing w:val="-10"/>
          <w:sz w:val="18"/>
          <w:szCs w:val="18"/>
        </w:rPr>
        <w:t>页</w:t>
      </w:r>
    </w:p>
    <w:p>
      <w:pPr>
        <w:spacing w:line="184" w:lineRule="auto"/>
        <w:rPr>
          <w:rFonts w:ascii="宋体" w:hAnsi="宋体" w:eastAsia="宋体" w:cs="宋体"/>
          <w:sz w:val="18"/>
          <w:szCs w:val="18"/>
        </w:rPr>
        <w:sectPr>
          <w:type w:val="continuous"/>
          <w:pgSz w:w="11905" w:h="16837"/>
          <w:pgMar w:top="957" w:right="859" w:bottom="0" w:left="819" w:header="0" w:footer="0" w:gutter="0"/>
          <w:cols w:equalWidth="0" w:num="2">
            <w:col w:w="8653" w:space="100"/>
            <w:col w:w="1474"/>
          </w:cols>
        </w:sectPr>
      </w:pPr>
    </w:p>
    <w:tbl>
      <w:tblPr>
        <w:tblStyle w:val="346"/>
        <w:tblW w:w="10174" w:type="dxa"/>
        <w:tblInd w:w="17" w:type="dxa"/>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
      <w:tblGrid>
        <w:gridCol w:w="820"/>
        <w:gridCol w:w="1361"/>
        <w:gridCol w:w="5334"/>
        <w:gridCol w:w="1241"/>
        <w:gridCol w:w="1418"/>
      </w:tblGrid>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62" w:hRule="atLeast"/>
        </w:trPr>
        <w:tc>
          <w:tcPr>
            <w:tcW w:w="820" w:type="dxa"/>
            <w:vMerge w:val="restart"/>
            <w:tcBorders>
              <w:top w:val="single" w:color="000008" w:sz="14" w:space="0"/>
              <w:left w:val="single" w:color="000008" w:sz="14" w:space="0"/>
              <w:bottom w:val="nil"/>
            </w:tcBorders>
            <w:vAlign w:val="top"/>
          </w:tcPr>
          <w:p>
            <w:pPr>
              <w:pStyle w:val="687"/>
              <w:autoSpaceDE w:val="0"/>
              <w:autoSpaceDN w:val="0"/>
              <w:spacing w:line="381" w:lineRule="auto"/>
            </w:pPr>
          </w:p>
          <w:p>
            <w:pPr>
              <w:autoSpaceDE w:val="0"/>
              <w:autoSpaceDN w:val="0"/>
              <w:spacing w:before="61" w:line="229" w:lineRule="auto"/>
              <w:ind w:left="207"/>
              <w:rPr>
                <w:rFonts w:ascii="宋体" w:hAnsi="宋体" w:eastAsia="宋体" w:cs="宋体"/>
                <w:sz w:val="19"/>
                <w:szCs w:val="19"/>
              </w:rPr>
            </w:pPr>
            <w:r>
              <w:rPr>
                <w:rFonts w:ascii="宋体" w:hAnsi="宋体" w:eastAsia="宋体" w:cs="宋体"/>
                <w:spacing w:val="5"/>
                <w:sz w:val="19"/>
                <w:szCs w:val="19"/>
              </w:rPr>
              <w:t>序号</w:t>
            </w:r>
          </w:p>
        </w:tc>
        <w:tc>
          <w:tcPr>
            <w:tcW w:w="1361" w:type="dxa"/>
            <w:vMerge w:val="restart"/>
            <w:tcBorders>
              <w:top w:val="single" w:color="000008" w:sz="14" w:space="0"/>
              <w:bottom w:val="nil"/>
            </w:tcBorders>
            <w:vAlign w:val="top"/>
          </w:tcPr>
          <w:p>
            <w:pPr>
              <w:pStyle w:val="687"/>
              <w:autoSpaceDE w:val="0"/>
              <w:autoSpaceDN w:val="0"/>
              <w:spacing w:line="381" w:lineRule="auto"/>
            </w:pPr>
          </w:p>
          <w:p>
            <w:pPr>
              <w:autoSpaceDE w:val="0"/>
              <w:autoSpaceDN w:val="0"/>
              <w:spacing w:before="62" w:line="228" w:lineRule="auto"/>
              <w:ind w:left="288"/>
              <w:rPr>
                <w:rFonts w:ascii="宋体" w:hAnsi="宋体" w:eastAsia="宋体" w:cs="宋体"/>
                <w:sz w:val="19"/>
                <w:szCs w:val="19"/>
              </w:rPr>
            </w:pPr>
            <w:r>
              <w:rPr>
                <w:rFonts w:ascii="宋体" w:hAnsi="宋体" w:eastAsia="宋体" w:cs="宋体"/>
                <w:spacing w:val="6"/>
                <w:sz w:val="19"/>
                <w:szCs w:val="19"/>
              </w:rPr>
              <w:t>项目名称</w:t>
            </w:r>
          </w:p>
        </w:tc>
        <w:tc>
          <w:tcPr>
            <w:tcW w:w="5334"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8" w:lineRule="auto"/>
              <w:ind w:left="218"/>
              <w:rPr>
                <w:rFonts w:ascii="宋体" w:hAnsi="宋体" w:eastAsia="宋体" w:cs="宋体"/>
                <w:sz w:val="19"/>
                <w:szCs w:val="19"/>
              </w:rPr>
            </w:pPr>
            <w:r>
              <w:rPr>
                <w:rFonts w:ascii="宋体" w:hAnsi="宋体" w:eastAsia="宋体" w:cs="宋体"/>
                <w:spacing w:val="7"/>
                <w:sz w:val="19"/>
                <w:szCs w:val="19"/>
              </w:rPr>
              <w:t>项目特征描述</w:t>
            </w:r>
          </w:p>
        </w:tc>
        <w:tc>
          <w:tcPr>
            <w:tcW w:w="1241" w:type="dxa"/>
            <w:vMerge w:val="restart"/>
            <w:tcBorders>
              <w:top w:val="single" w:color="000008" w:sz="14" w:space="0"/>
              <w:bottom w:val="nil"/>
            </w:tcBorders>
            <w:vAlign w:val="top"/>
          </w:tcPr>
          <w:p>
            <w:pPr>
              <w:pStyle w:val="687"/>
              <w:autoSpaceDE w:val="0"/>
              <w:autoSpaceDN w:val="0"/>
              <w:spacing w:line="381" w:lineRule="auto"/>
            </w:pPr>
          </w:p>
          <w:p>
            <w:pPr>
              <w:autoSpaceDE w:val="0"/>
              <w:autoSpaceDN w:val="0"/>
              <w:spacing w:before="62" w:line="228" w:lineRule="auto"/>
              <w:ind w:left="152"/>
              <w:rPr>
                <w:rFonts w:ascii="宋体" w:hAnsi="宋体" w:eastAsia="宋体" w:cs="宋体"/>
                <w:sz w:val="19"/>
                <w:szCs w:val="19"/>
              </w:rPr>
            </w:pPr>
            <w:r>
              <w:rPr>
                <w:rFonts w:ascii="宋体" w:hAnsi="宋体" w:eastAsia="宋体" w:cs="宋体"/>
                <w:spacing w:val="7"/>
                <w:sz w:val="19"/>
                <w:szCs w:val="19"/>
              </w:rPr>
              <w:t>计量单位</w:t>
            </w:r>
          </w:p>
        </w:tc>
        <w:tc>
          <w:tcPr>
            <w:tcW w:w="1418" w:type="dxa"/>
            <w:vMerge w:val="restart"/>
            <w:tcBorders>
              <w:top w:val="single" w:color="000008" w:sz="14" w:space="0"/>
              <w:bottom w:val="nil"/>
            </w:tcBorders>
            <w:vAlign w:val="top"/>
          </w:tcPr>
          <w:p>
            <w:pPr>
              <w:pStyle w:val="687"/>
              <w:autoSpaceDE w:val="0"/>
              <w:autoSpaceDN w:val="0"/>
              <w:spacing w:line="381" w:lineRule="auto"/>
            </w:pPr>
          </w:p>
          <w:p>
            <w:pPr>
              <w:autoSpaceDE w:val="0"/>
              <w:autoSpaceDN w:val="0"/>
              <w:spacing w:before="62" w:line="228" w:lineRule="auto"/>
              <w:ind w:left="122"/>
              <w:rPr>
                <w:rFonts w:ascii="宋体" w:hAnsi="宋体" w:eastAsia="宋体" w:cs="宋体"/>
                <w:sz w:val="19"/>
                <w:szCs w:val="19"/>
              </w:rPr>
            </w:pPr>
            <w:r>
              <w:rPr>
                <w:rFonts w:ascii="宋体" w:hAnsi="宋体" w:eastAsia="宋体" w:cs="宋体"/>
                <w:spacing w:val="5"/>
                <w:sz w:val="19"/>
                <w:szCs w:val="19"/>
              </w:rPr>
              <w:t>工程量</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vMerge w:val="continue"/>
            <w:tcBorders>
              <w:top w:val="nil"/>
              <w:left w:val="single" w:color="000008" w:sz="14" w:space="0"/>
              <w:bottom w:val="nil"/>
            </w:tcBorders>
            <w:vAlign w:val="top"/>
          </w:tcPr>
          <w:p>
            <w:pPr>
              <w:pStyle w:val="687"/>
              <w:autoSpaceDE w:val="0"/>
              <w:autoSpaceDN w:val="0"/>
            </w:pPr>
          </w:p>
        </w:tc>
        <w:tc>
          <w:tcPr>
            <w:tcW w:w="1361" w:type="dxa"/>
            <w:vMerge w:val="continue"/>
            <w:tcBorders>
              <w:top w:val="nil"/>
              <w:bottom w:val="nil"/>
            </w:tcBorders>
            <w:vAlign w:val="top"/>
          </w:tcPr>
          <w:p>
            <w:pPr>
              <w:pStyle w:val="687"/>
              <w:autoSpaceDE w:val="0"/>
              <w:autoSpaceDN w:val="0"/>
            </w:pPr>
          </w:p>
        </w:tc>
        <w:tc>
          <w:tcPr>
            <w:tcW w:w="5334" w:type="dxa"/>
            <w:vMerge w:val="continue"/>
            <w:tcBorders>
              <w:top w:val="nil"/>
              <w:bottom w:val="nil"/>
            </w:tcBorders>
            <w:vAlign w:val="top"/>
          </w:tcPr>
          <w:p>
            <w:pPr>
              <w:pStyle w:val="687"/>
              <w:autoSpaceDE w:val="0"/>
              <w:autoSpaceDN w:val="0"/>
            </w:pPr>
          </w:p>
        </w:tc>
        <w:tc>
          <w:tcPr>
            <w:tcW w:w="1241" w:type="dxa"/>
            <w:vMerge w:val="continue"/>
            <w:tcBorders>
              <w:top w:val="nil"/>
              <w:bottom w:val="nil"/>
            </w:tcBorders>
            <w:vAlign w:val="top"/>
          </w:tcPr>
          <w:p>
            <w:pPr>
              <w:pStyle w:val="687"/>
              <w:autoSpaceDE w:val="0"/>
              <w:autoSpaceDN w:val="0"/>
            </w:pPr>
          </w:p>
        </w:tc>
        <w:tc>
          <w:tcPr>
            <w:tcW w:w="1418" w:type="dxa"/>
            <w:vMerge w:val="continue"/>
            <w:tcBorders>
              <w:top w:val="nil"/>
              <w:bottom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vMerge w:val="continue"/>
            <w:tcBorders>
              <w:top w:val="nil"/>
              <w:left w:val="single" w:color="000008" w:sz="14" w:space="0"/>
            </w:tcBorders>
            <w:vAlign w:val="top"/>
          </w:tcPr>
          <w:p>
            <w:pPr>
              <w:pStyle w:val="687"/>
              <w:autoSpaceDE w:val="0"/>
              <w:autoSpaceDN w:val="0"/>
            </w:pPr>
          </w:p>
        </w:tc>
        <w:tc>
          <w:tcPr>
            <w:tcW w:w="1361" w:type="dxa"/>
            <w:vMerge w:val="continue"/>
            <w:tcBorders>
              <w:top w:val="nil"/>
            </w:tcBorders>
            <w:vAlign w:val="top"/>
          </w:tcPr>
          <w:p>
            <w:pPr>
              <w:pStyle w:val="687"/>
              <w:autoSpaceDE w:val="0"/>
              <w:autoSpaceDN w:val="0"/>
            </w:pPr>
          </w:p>
        </w:tc>
        <w:tc>
          <w:tcPr>
            <w:tcW w:w="5334" w:type="dxa"/>
            <w:vMerge w:val="continue"/>
            <w:tcBorders>
              <w:top w:val="nil"/>
            </w:tcBorders>
            <w:vAlign w:val="top"/>
          </w:tcPr>
          <w:p>
            <w:pPr>
              <w:pStyle w:val="687"/>
              <w:autoSpaceDE w:val="0"/>
              <w:autoSpaceDN w:val="0"/>
            </w:pPr>
          </w:p>
        </w:tc>
        <w:tc>
          <w:tcPr>
            <w:tcW w:w="1241" w:type="dxa"/>
            <w:vMerge w:val="continue"/>
            <w:tcBorders>
              <w:top w:val="nil"/>
            </w:tcBorders>
            <w:vAlign w:val="top"/>
          </w:tcPr>
          <w:p>
            <w:pPr>
              <w:pStyle w:val="687"/>
              <w:autoSpaceDE w:val="0"/>
              <w:autoSpaceDN w:val="0"/>
            </w:pPr>
          </w:p>
        </w:tc>
        <w:tc>
          <w:tcPr>
            <w:tcW w:w="1418" w:type="dxa"/>
            <w:vMerge w:val="continue"/>
            <w:tcBorders>
              <w:top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pStyle w:val="687"/>
              <w:autoSpaceDE w:val="0"/>
              <w:autoSpaceDN w:val="0"/>
            </w:pPr>
          </w:p>
        </w:tc>
        <w:tc>
          <w:tcPr>
            <w:tcW w:w="1361" w:type="dxa"/>
            <w:vAlign w:val="top"/>
          </w:tcPr>
          <w:p>
            <w:pPr>
              <w:autoSpaceDE w:val="0"/>
              <w:autoSpaceDN w:val="0"/>
              <w:spacing w:before="86" w:line="219" w:lineRule="auto"/>
              <w:ind w:left="31"/>
              <w:rPr>
                <w:rFonts w:ascii="宋体" w:hAnsi="宋体" w:eastAsia="宋体" w:cs="宋体"/>
                <w:sz w:val="18"/>
                <w:szCs w:val="18"/>
              </w:rPr>
            </w:pPr>
            <w:r>
              <w:rPr>
                <w:rFonts w:ascii="宋体" w:hAnsi="宋体" w:eastAsia="宋体" w:cs="宋体"/>
                <w:spacing w:val="-2"/>
                <w:sz w:val="18"/>
                <w:szCs w:val="18"/>
              </w:rPr>
              <w:t>整个项目</w:t>
            </w:r>
          </w:p>
        </w:tc>
        <w:tc>
          <w:tcPr>
            <w:tcW w:w="5334" w:type="dxa"/>
            <w:vAlign w:val="top"/>
          </w:tcPr>
          <w:p>
            <w:pPr>
              <w:pStyle w:val="687"/>
              <w:autoSpaceDE w:val="0"/>
              <w:autoSpaceDN w:val="0"/>
            </w:pPr>
          </w:p>
        </w:tc>
        <w:tc>
          <w:tcPr>
            <w:tcW w:w="1241" w:type="dxa"/>
            <w:vAlign w:val="top"/>
          </w:tcPr>
          <w:p>
            <w:pPr>
              <w:pStyle w:val="687"/>
              <w:autoSpaceDE w:val="0"/>
              <w:autoSpaceDN w:val="0"/>
            </w:pPr>
          </w:p>
        </w:tc>
        <w:tc>
          <w:tcPr>
            <w:tcW w:w="1418" w:type="dxa"/>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974" w:hRule="atLeast"/>
        </w:trPr>
        <w:tc>
          <w:tcPr>
            <w:tcW w:w="820" w:type="dxa"/>
            <w:tcBorders>
              <w:left w:val="single" w:color="000008" w:sz="14" w:space="0"/>
            </w:tcBorders>
            <w:vAlign w:val="top"/>
          </w:tcPr>
          <w:p>
            <w:pPr>
              <w:pStyle w:val="687"/>
              <w:autoSpaceDE w:val="0"/>
              <w:autoSpaceDN w:val="0"/>
              <w:spacing w:line="285" w:lineRule="auto"/>
            </w:pPr>
          </w:p>
          <w:p>
            <w:pPr>
              <w:pStyle w:val="687"/>
              <w:autoSpaceDE w:val="0"/>
              <w:autoSpaceDN w:val="0"/>
              <w:spacing w:line="286" w:lineRule="auto"/>
            </w:pPr>
          </w:p>
          <w:p>
            <w:pPr>
              <w:autoSpaceDE w:val="0"/>
              <w:autoSpaceDN w:val="0"/>
              <w:spacing w:before="59" w:line="241" w:lineRule="auto"/>
              <w:ind w:left="373"/>
              <w:rPr>
                <w:rFonts w:ascii="宋体" w:hAnsi="宋体" w:eastAsia="宋体" w:cs="宋体"/>
                <w:sz w:val="18"/>
                <w:szCs w:val="18"/>
              </w:rPr>
            </w:pPr>
            <w:r>
              <w:rPr>
                <w:rFonts w:ascii="宋体" w:hAnsi="宋体" w:eastAsia="宋体" w:cs="宋体"/>
                <w:sz w:val="18"/>
                <w:szCs w:val="18"/>
              </w:rPr>
              <w:t>1</w:t>
            </w:r>
          </w:p>
        </w:tc>
        <w:tc>
          <w:tcPr>
            <w:tcW w:w="1361" w:type="dxa"/>
            <w:vAlign w:val="top"/>
          </w:tcPr>
          <w:p>
            <w:pPr>
              <w:pStyle w:val="687"/>
              <w:autoSpaceDE w:val="0"/>
              <w:autoSpaceDN w:val="0"/>
              <w:spacing w:line="285" w:lineRule="auto"/>
            </w:pPr>
          </w:p>
          <w:p>
            <w:pPr>
              <w:pStyle w:val="687"/>
              <w:autoSpaceDE w:val="0"/>
              <w:autoSpaceDN w:val="0"/>
              <w:spacing w:line="286" w:lineRule="auto"/>
            </w:pPr>
          </w:p>
          <w:p>
            <w:pPr>
              <w:autoSpaceDE w:val="0"/>
              <w:autoSpaceDN w:val="0"/>
              <w:spacing w:before="59" w:line="220" w:lineRule="auto"/>
              <w:ind w:left="30"/>
              <w:rPr>
                <w:rFonts w:ascii="宋体" w:hAnsi="宋体" w:eastAsia="宋体" w:cs="宋体"/>
                <w:sz w:val="18"/>
                <w:szCs w:val="18"/>
              </w:rPr>
            </w:pPr>
            <w:r>
              <w:rPr>
                <w:rFonts w:ascii="宋体" w:hAnsi="宋体" w:eastAsia="宋体" w:cs="宋体"/>
                <w:spacing w:val="-2"/>
                <w:sz w:val="18"/>
                <w:szCs w:val="18"/>
              </w:rPr>
              <w:t>应急电源接入箱</w:t>
            </w:r>
          </w:p>
        </w:tc>
        <w:tc>
          <w:tcPr>
            <w:tcW w:w="5334" w:type="dxa"/>
            <w:vAlign w:val="top"/>
          </w:tcPr>
          <w:p>
            <w:pPr>
              <w:autoSpaceDE w:val="0"/>
              <w:autoSpaceDN w:val="0"/>
              <w:spacing w:before="70" w:line="231" w:lineRule="auto"/>
              <w:ind w:left="31" w:right="39" w:firstLine="14"/>
              <w:rPr>
                <w:rFonts w:ascii="宋体" w:hAnsi="宋体" w:eastAsia="宋体" w:cs="宋体"/>
                <w:sz w:val="18"/>
                <w:szCs w:val="18"/>
              </w:rPr>
            </w:pPr>
            <w:r>
              <w:rPr>
                <w:rFonts w:ascii="宋体" w:hAnsi="宋体" w:eastAsia="宋体" w:cs="宋体"/>
                <w:spacing w:val="-2"/>
                <w:sz w:val="18"/>
                <w:szCs w:val="18"/>
              </w:rPr>
              <w:t>1.名称:应急电源接</w:t>
            </w:r>
            <w:r>
              <w:rPr>
                <w:rFonts w:ascii="宋体" w:hAnsi="宋体" w:eastAsia="宋体" w:cs="宋体"/>
                <w:spacing w:val="-4"/>
                <w:sz w:val="18"/>
                <w:szCs w:val="18"/>
              </w:rPr>
              <w:t>入箱</w:t>
            </w:r>
          </w:p>
          <w:p>
            <w:pPr>
              <w:autoSpaceDE w:val="0"/>
              <w:autoSpaceDN w:val="0"/>
              <w:spacing w:before="1" w:line="229" w:lineRule="auto"/>
              <w:ind w:left="31" w:right="219" w:firstLine="2"/>
              <w:rPr>
                <w:rFonts w:ascii="宋体" w:hAnsi="宋体" w:eastAsia="宋体" w:cs="宋体"/>
                <w:sz w:val="18"/>
                <w:szCs w:val="18"/>
              </w:rPr>
            </w:pPr>
            <w:r>
              <w:rPr>
                <w:rFonts w:ascii="宋体" w:hAnsi="宋体" w:eastAsia="宋体" w:cs="宋体"/>
                <w:spacing w:val="-1"/>
                <w:sz w:val="18"/>
                <w:szCs w:val="18"/>
              </w:rPr>
              <w:t>2.规格:额定电流400A</w:t>
            </w:r>
          </w:p>
          <w:p>
            <w:pPr>
              <w:autoSpaceDE w:val="0"/>
              <w:autoSpaceDN w:val="0"/>
              <w:spacing w:line="229" w:lineRule="auto"/>
              <w:ind w:left="36" w:right="39"/>
              <w:rPr>
                <w:rFonts w:ascii="宋体" w:hAnsi="宋体" w:eastAsia="宋体" w:cs="宋体"/>
                <w:sz w:val="18"/>
                <w:szCs w:val="18"/>
              </w:rPr>
            </w:pPr>
            <w:r>
              <w:rPr>
                <w:rFonts w:ascii="宋体" w:hAnsi="宋体" w:eastAsia="宋体" w:cs="宋体"/>
                <w:spacing w:val="-1"/>
                <w:sz w:val="18"/>
                <w:szCs w:val="18"/>
              </w:rPr>
              <w:t>3.安装方式:壁挂式</w:t>
            </w:r>
            <w:r>
              <w:rPr>
                <w:rFonts w:ascii="宋体" w:hAnsi="宋体" w:eastAsia="宋体" w:cs="宋体"/>
                <w:spacing w:val="-6"/>
                <w:sz w:val="18"/>
                <w:szCs w:val="18"/>
              </w:rPr>
              <w:t>安装</w:t>
            </w:r>
          </w:p>
        </w:tc>
        <w:tc>
          <w:tcPr>
            <w:tcW w:w="1241" w:type="dxa"/>
            <w:vAlign w:val="top"/>
          </w:tcPr>
          <w:p>
            <w:pPr>
              <w:pStyle w:val="687"/>
              <w:autoSpaceDE w:val="0"/>
              <w:autoSpaceDN w:val="0"/>
              <w:spacing w:line="286" w:lineRule="auto"/>
            </w:pPr>
          </w:p>
          <w:p>
            <w:pPr>
              <w:pStyle w:val="687"/>
              <w:autoSpaceDE w:val="0"/>
              <w:autoSpaceDN w:val="0"/>
              <w:spacing w:line="286" w:lineRule="auto"/>
            </w:pPr>
          </w:p>
          <w:p>
            <w:pPr>
              <w:autoSpaceDE w:val="0"/>
              <w:autoSpaceDN w:val="0"/>
              <w:spacing w:before="58" w:line="221" w:lineRule="auto"/>
              <w:ind w:left="472"/>
              <w:rPr>
                <w:rFonts w:ascii="宋体" w:hAnsi="宋体" w:eastAsia="宋体" w:cs="宋体"/>
                <w:sz w:val="18"/>
                <w:szCs w:val="18"/>
              </w:rPr>
            </w:pPr>
            <w:r>
              <w:rPr>
                <w:rFonts w:ascii="宋体" w:hAnsi="宋体" w:eastAsia="宋体" w:cs="宋体"/>
                <w:sz w:val="18"/>
                <w:szCs w:val="18"/>
              </w:rPr>
              <w:t>台</w:t>
            </w:r>
          </w:p>
        </w:tc>
        <w:tc>
          <w:tcPr>
            <w:tcW w:w="1418" w:type="dxa"/>
            <w:vAlign w:val="top"/>
          </w:tcPr>
          <w:p>
            <w:pPr>
              <w:pStyle w:val="687"/>
              <w:autoSpaceDE w:val="0"/>
              <w:autoSpaceDN w:val="0"/>
              <w:spacing w:line="285" w:lineRule="auto"/>
            </w:pPr>
          </w:p>
          <w:p>
            <w:pPr>
              <w:pStyle w:val="687"/>
              <w:autoSpaceDE w:val="0"/>
              <w:autoSpaceDN w:val="0"/>
              <w:spacing w:line="286" w:lineRule="auto"/>
            </w:pPr>
          </w:p>
          <w:p>
            <w:pPr>
              <w:autoSpaceDE w:val="0"/>
              <w:autoSpaceDN w:val="0"/>
              <w:spacing w:before="59" w:line="241" w:lineRule="auto"/>
              <w:ind w:left="386"/>
              <w:rPr>
                <w:rFonts w:ascii="宋体" w:hAnsi="宋体" w:eastAsia="宋体" w:cs="宋体"/>
                <w:sz w:val="18"/>
                <w:szCs w:val="18"/>
              </w:rPr>
            </w:pPr>
            <w:r>
              <w:rPr>
                <w:rFonts w:ascii="宋体" w:hAnsi="宋体" w:eastAsia="宋体" w:cs="宋体"/>
                <w:sz w:val="18"/>
                <w:szCs w:val="18"/>
              </w:rPr>
              <w:t>1</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145" w:hRule="atLeast"/>
        </w:trPr>
        <w:tc>
          <w:tcPr>
            <w:tcW w:w="820" w:type="dxa"/>
            <w:tcBorders>
              <w:left w:val="single" w:color="000008" w:sz="14" w:space="0"/>
            </w:tcBorders>
            <w:vAlign w:val="top"/>
          </w:tcPr>
          <w:p>
            <w:pPr>
              <w:pStyle w:val="687"/>
              <w:autoSpaceDE w:val="0"/>
              <w:autoSpaceDN w:val="0"/>
              <w:spacing w:line="258" w:lineRule="auto"/>
            </w:pPr>
          </w:p>
          <w:p>
            <w:pPr>
              <w:pStyle w:val="687"/>
              <w:autoSpaceDE w:val="0"/>
              <w:autoSpaceDN w:val="0"/>
              <w:spacing w:line="258" w:lineRule="auto"/>
            </w:pPr>
          </w:p>
          <w:p>
            <w:pPr>
              <w:autoSpaceDE w:val="0"/>
              <w:autoSpaceDN w:val="0"/>
              <w:spacing w:before="59" w:line="241" w:lineRule="auto"/>
              <w:ind w:left="362"/>
              <w:rPr>
                <w:rFonts w:ascii="宋体" w:hAnsi="宋体" w:eastAsia="宋体" w:cs="宋体"/>
                <w:sz w:val="18"/>
                <w:szCs w:val="18"/>
              </w:rPr>
            </w:pPr>
            <w:r>
              <w:rPr>
                <w:rFonts w:ascii="宋体" w:hAnsi="宋体" w:eastAsia="宋体" w:cs="宋体"/>
                <w:sz w:val="18"/>
                <w:szCs w:val="18"/>
              </w:rPr>
              <w:t>2</w:t>
            </w:r>
          </w:p>
        </w:tc>
        <w:tc>
          <w:tcPr>
            <w:tcW w:w="1361" w:type="dxa"/>
            <w:vAlign w:val="top"/>
          </w:tcPr>
          <w:p>
            <w:pPr>
              <w:pStyle w:val="687"/>
              <w:autoSpaceDE w:val="0"/>
              <w:autoSpaceDN w:val="0"/>
              <w:spacing w:line="306" w:lineRule="auto"/>
            </w:pPr>
          </w:p>
          <w:p>
            <w:pPr>
              <w:pStyle w:val="687"/>
              <w:autoSpaceDE w:val="0"/>
              <w:autoSpaceDN w:val="0"/>
              <w:spacing w:line="307" w:lineRule="auto"/>
            </w:pPr>
          </w:p>
          <w:p>
            <w:pPr>
              <w:autoSpaceDE w:val="0"/>
              <w:autoSpaceDN w:val="0"/>
              <w:spacing w:before="58" w:line="234" w:lineRule="auto"/>
              <w:ind w:left="32" w:right="62" w:hanging="2"/>
              <w:rPr>
                <w:rFonts w:ascii="宋体" w:hAnsi="宋体" w:eastAsia="宋体" w:cs="宋体"/>
                <w:sz w:val="18"/>
                <w:szCs w:val="18"/>
              </w:rPr>
            </w:pPr>
            <w:r>
              <w:rPr>
                <w:rFonts w:ascii="宋体" w:hAnsi="宋体" w:eastAsia="宋体" w:cs="宋体"/>
                <w:spacing w:val="-2"/>
                <w:sz w:val="18"/>
                <w:szCs w:val="18"/>
              </w:rPr>
              <w:t>拆除及恢复方砖</w:t>
            </w:r>
            <w:r>
              <w:rPr>
                <w:rFonts w:ascii="宋体" w:hAnsi="宋体" w:eastAsia="宋体" w:cs="宋体"/>
                <w:spacing w:val="-5"/>
                <w:sz w:val="18"/>
                <w:szCs w:val="18"/>
              </w:rPr>
              <w:t>步道</w:t>
            </w:r>
          </w:p>
        </w:tc>
        <w:tc>
          <w:tcPr>
            <w:tcW w:w="5334" w:type="dxa"/>
            <w:vAlign w:val="top"/>
          </w:tcPr>
          <w:p>
            <w:pPr>
              <w:autoSpaceDE w:val="0"/>
              <w:autoSpaceDN w:val="0"/>
              <w:spacing w:before="87" w:line="231" w:lineRule="auto"/>
              <w:ind w:left="31" w:right="133"/>
              <w:rPr>
                <w:rFonts w:ascii="宋体" w:hAnsi="宋体" w:eastAsia="宋体" w:cs="宋体"/>
                <w:sz w:val="18"/>
                <w:szCs w:val="18"/>
              </w:rPr>
            </w:pPr>
            <w:r>
              <w:rPr>
                <w:rFonts w:ascii="宋体" w:hAnsi="宋体" w:eastAsia="宋体" w:cs="宋体"/>
                <w:spacing w:val="-1"/>
                <w:sz w:val="18"/>
                <w:szCs w:val="18"/>
              </w:rPr>
              <w:t>拆除及恢复方砖步</w:t>
            </w:r>
            <w:r>
              <w:rPr>
                <w:rFonts w:ascii="宋体" w:hAnsi="宋体" w:eastAsia="宋体" w:cs="宋体"/>
                <w:sz w:val="18"/>
                <w:szCs w:val="18"/>
              </w:rPr>
              <w:t>道</w:t>
            </w:r>
          </w:p>
          <w:p>
            <w:pPr>
              <w:autoSpaceDE w:val="0"/>
              <w:autoSpaceDN w:val="0"/>
              <w:spacing w:line="230" w:lineRule="auto"/>
              <w:ind w:left="36" w:right="34" w:firstLine="9"/>
              <w:rPr>
                <w:rFonts w:ascii="宋体" w:hAnsi="宋体" w:eastAsia="宋体" w:cs="宋体"/>
                <w:sz w:val="18"/>
                <w:szCs w:val="18"/>
              </w:rPr>
            </w:pPr>
            <w:r>
              <w:rPr>
                <w:rFonts w:ascii="宋体" w:hAnsi="宋体" w:eastAsia="宋体" w:cs="宋体"/>
                <w:spacing w:val="-5"/>
                <w:sz w:val="18"/>
                <w:szCs w:val="18"/>
              </w:rPr>
              <w:t>1.</w:t>
            </w:r>
            <w:r>
              <w:rPr>
                <w:rFonts w:ascii="宋体" w:hAnsi="宋体" w:eastAsia="宋体" w:cs="宋体"/>
                <w:spacing w:val="27"/>
                <w:sz w:val="18"/>
                <w:szCs w:val="18"/>
              </w:rPr>
              <w:t xml:space="preserve"> </w:t>
            </w:r>
            <w:r>
              <w:rPr>
                <w:rFonts w:ascii="宋体" w:hAnsi="宋体" w:eastAsia="宋体" w:cs="宋体"/>
                <w:spacing w:val="-5"/>
                <w:sz w:val="18"/>
                <w:szCs w:val="18"/>
              </w:rPr>
              <w:t>防滑透水步道砖</w:t>
            </w:r>
            <w:r>
              <w:rPr>
                <w:rFonts w:ascii="宋体" w:hAnsi="宋体" w:eastAsia="宋体" w:cs="宋体"/>
                <w:spacing w:val="-1"/>
                <w:sz w:val="18"/>
                <w:szCs w:val="18"/>
              </w:rPr>
              <w:t>(含盲道砖10X20 X6</w:t>
            </w:r>
            <w:r>
              <w:rPr>
                <w:rFonts w:ascii="宋体" w:hAnsi="宋体" w:eastAsia="宋体" w:cs="宋体"/>
                <w:spacing w:val="10"/>
                <w:sz w:val="18"/>
                <w:szCs w:val="18"/>
              </w:rPr>
              <w:t xml:space="preserve"> </w:t>
            </w:r>
            <w:r>
              <w:rPr>
                <w:rFonts w:ascii="宋体" w:hAnsi="宋体" w:eastAsia="宋体" w:cs="宋体"/>
                <w:spacing w:val="-4"/>
                <w:sz w:val="18"/>
                <w:szCs w:val="18"/>
              </w:rPr>
              <w:t>cm）</w:t>
            </w:r>
          </w:p>
          <w:p>
            <w:pPr>
              <w:autoSpaceDE w:val="0"/>
              <w:autoSpaceDN w:val="0"/>
              <w:spacing w:before="1" w:line="230" w:lineRule="auto"/>
              <w:ind w:left="34" w:right="37"/>
              <w:rPr>
                <w:rFonts w:ascii="宋体" w:hAnsi="宋体" w:eastAsia="宋体" w:cs="宋体"/>
                <w:sz w:val="18"/>
                <w:szCs w:val="18"/>
              </w:rPr>
            </w:pPr>
            <w:r>
              <w:rPr>
                <w:rFonts w:ascii="宋体" w:hAnsi="宋体" w:eastAsia="宋体" w:cs="宋体"/>
                <w:spacing w:val="-3"/>
                <w:sz w:val="18"/>
                <w:szCs w:val="18"/>
              </w:rPr>
              <w:t>2.</w:t>
            </w:r>
            <w:r>
              <w:rPr>
                <w:rFonts w:ascii="宋体" w:hAnsi="宋体" w:eastAsia="宋体" w:cs="宋体"/>
                <w:spacing w:val="25"/>
                <w:sz w:val="18"/>
                <w:szCs w:val="18"/>
              </w:rPr>
              <w:t xml:space="preserve"> </w:t>
            </w:r>
            <w:r>
              <w:rPr>
                <w:rFonts w:ascii="宋体" w:hAnsi="宋体" w:eastAsia="宋体" w:cs="宋体"/>
                <w:spacing w:val="-3"/>
                <w:sz w:val="18"/>
                <w:szCs w:val="18"/>
              </w:rPr>
              <w:t>1：5干硬预拌水</w:t>
            </w:r>
            <w:r>
              <w:rPr>
                <w:rFonts w:ascii="宋体" w:hAnsi="宋体" w:eastAsia="宋体" w:cs="宋体"/>
                <w:spacing w:val="-1"/>
                <w:sz w:val="18"/>
                <w:szCs w:val="18"/>
              </w:rPr>
              <w:t>泥砂浆卧底2cm</w:t>
            </w:r>
          </w:p>
          <w:p>
            <w:pPr>
              <w:autoSpaceDE w:val="0"/>
              <w:autoSpaceDN w:val="0"/>
              <w:spacing w:before="1" w:line="229" w:lineRule="auto"/>
              <w:ind w:left="31" w:right="126" w:firstLine="4"/>
              <w:rPr>
                <w:rFonts w:ascii="宋体" w:hAnsi="宋体" w:eastAsia="宋体" w:cs="宋体"/>
                <w:sz w:val="18"/>
                <w:szCs w:val="18"/>
              </w:rPr>
            </w:pPr>
            <w:r>
              <w:rPr>
                <w:rFonts w:ascii="宋体" w:hAnsi="宋体" w:eastAsia="宋体" w:cs="宋体"/>
                <w:spacing w:val="-1"/>
                <w:sz w:val="18"/>
                <w:szCs w:val="18"/>
              </w:rPr>
              <w:t>3. C20无砂水泥混</w:t>
            </w:r>
            <w:r>
              <w:rPr>
                <w:rFonts w:ascii="宋体" w:hAnsi="宋体" w:eastAsia="宋体" w:cs="宋体"/>
                <w:spacing w:val="-4"/>
                <w:sz w:val="18"/>
                <w:szCs w:val="18"/>
              </w:rPr>
              <w:t>凝土</w:t>
            </w:r>
            <w:r>
              <w:rPr>
                <w:rFonts w:ascii="宋体" w:hAnsi="宋体" w:eastAsia="宋体" w:cs="宋体"/>
                <w:spacing w:val="21"/>
                <w:sz w:val="18"/>
                <w:szCs w:val="18"/>
              </w:rPr>
              <w:t xml:space="preserve"> </w:t>
            </w:r>
            <w:r>
              <w:rPr>
                <w:rFonts w:ascii="宋体" w:hAnsi="宋体" w:eastAsia="宋体" w:cs="宋体"/>
                <w:spacing w:val="-4"/>
                <w:sz w:val="18"/>
                <w:szCs w:val="18"/>
              </w:rPr>
              <w:t>15cm</w:t>
            </w:r>
          </w:p>
          <w:p>
            <w:pPr>
              <w:autoSpaceDE w:val="0"/>
              <w:autoSpaceDN w:val="0"/>
              <w:spacing w:line="219" w:lineRule="auto"/>
              <w:ind w:left="31"/>
              <w:rPr>
                <w:rFonts w:ascii="宋体" w:hAnsi="宋体" w:eastAsia="宋体" w:cs="宋体"/>
                <w:sz w:val="18"/>
                <w:szCs w:val="18"/>
              </w:rPr>
            </w:pPr>
            <w:r>
              <w:rPr>
                <w:rFonts w:ascii="宋体" w:hAnsi="宋体" w:eastAsia="宋体" w:cs="宋体"/>
                <w:spacing w:val="-3"/>
                <w:sz w:val="18"/>
                <w:szCs w:val="18"/>
              </w:rPr>
              <w:t>4.</w:t>
            </w:r>
            <w:r>
              <w:rPr>
                <w:rFonts w:ascii="宋体" w:hAnsi="宋体" w:eastAsia="宋体" w:cs="宋体"/>
                <w:spacing w:val="10"/>
                <w:sz w:val="18"/>
                <w:szCs w:val="18"/>
              </w:rPr>
              <w:t xml:space="preserve"> </w:t>
            </w:r>
            <w:r>
              <w:rPr>
                <w:rFonts w:ascii="宋体" w:hAnsi="宋体" w:eastAsia="宋体" w:cs="宋体"/>
                <w:spacing w:val="-3"/>
                <w:sz w:val="18"/>
                <w:szCs w:val="18"/>
              </w:rPr>
              <w:t>粗砂</w:t>
            </w:r>
            <w:r>
              <w:rPr>
                <w:rFonts w:ascii="宋体" w:hAnsi="宋体" w:eastAsia="宋体" w:cs="宋体"/>
                <w:spacing w:val="11"/>
                <w:sz w:val="18"/>
                <w:szCs w:val="18"/>
              </w:rPr>
              <w:t xml:space="preserve"> </w:t>
            </w:r>
            <w:r>
              <w:rPr>
                <w:rFonts w:ascii="宋体" w:hAnsi="宋体" w:eastAsia="宋体" w:cs="宋体"/>
                <w:spacing w:val="-3"/>
                <w:sz w:val="18"/>
                <w:szCs w:val="18"/>
              </w:rPr>
              <w:t>5cm</w:t>
            </w:r>
          </w:p>
        </w:tc>
        <w:tc>
          <w:tcPr>
            <w:tcW w:w="1241" w:type="dxa"/>
            <w:vAlign w:val="top"/>
          </w:tcPr>
          <w:p>
            <w:pPr>
              <w:pStyle w:val="687"/>
              <w:autoSpaceDE w:val="0"/>
              <w:autoSpaceDN w:val="0"/>
              <w:spacing w:line="258" w:lineRule="auto"/>
            </w:pPr>
          </w:p>
          <w:p>
            <w:pPr>
              <w:pStyle w:val="687"/>
              <w:autoSpaceDE w:val="0"/>
              <w:autoSpaceDN w:val="0"/>
              <w:spacing w:line="258" w:lineRule="auto"/>
            </w:pPr>
          </w:p>
          <w:p>
            <w:pPr>
              <w:autoSpaceDE w:val="0"/>
              <w:autoSpaceDN w:val="0"/>
              <w:spacing w:before="59" w:line="241" w:lineRule="auto"/>
              <w:jc w:val="center"/>
              <w:rPr>
                <w:rFonts w:ascii="宋体" w:hAnsi="宋体" w:eastAsia="宋体" w:cs="宋体"/>
                <w:sz w:val="18"/>
                <w:szCs w:val="18"/>
              </w:rPr>
            </w:pPr>
            <w:r>
              <w:rPr>
                <w:rFonts w:ascii="宋体" w:hAnsi="宋体" w:eastAsia="宋体" w:cs="宋体"/>
                <w:spacing w:val="-1"/>
                <w:sz w:val="18"/>
                <w:szCs w:val="18"/>
              </w:rPr>
              <w:t>m2</w:t>
            </w:r>
          </w:p>
        </w:tc>
        <w:tc>
          <w:tcPr>
            <w:tcW w:w="1418" w:type="dxa"/>
            <w:vAlign w:val="top"/>
          </w:tcPr>
          <w:p>
            <w:pPr>
              <w:pStyle w:val="687"/>
              <w:autoSpaceDE w:val="0"/>
              <w:autoSpaceDN w:val="0"/>
              <w:spacing w:line="258" w:lineRule="auto"/>
            </w:pPr>
          </w:p>
          <w:p>
            <w:pPr>
              <w:pStyle w:val="687"/>
              <w:autoSpaceDE w:val="0"/>
              <w:autoSpaceDN w:val="0"/>
              <w:spacing w:line="258" w:lineRule="auto"/>
              <w:jc w:val="center"/>
            </w:pPr>
          </w:p>
          <w:p>
            <w:pPr>
              <w:autoSpaceDE w:val="0"/>
              <w:autoSpaceDN w:val="0"/>
              <w:spacing w:before="58" w:line="239" w:lineRule="auto"/>
              <w:jc w:val="center"/>
              <w:rPr>
                <w:rFonts w:ascii="宋体" w:hAnsi="宋体" w:eastAsia="宋体" w:cs="宋体"/>
                <w:sz w:val="18"/>
                <w:szCs w:val="18"/>
              </w:rPr>
            </w:pPr>
            <w:r>
              <w:rPr>
                <w:rFonts w:ascii="宋体" w:hAnsi="宋体" w:eastAsia="宋体" w:cs="宋体"/>
                <w:spacing w:val="-10"/>
                <w:sz w:val="18"/>
                <w:szCs w:val="18"/>
              </w:rPr>
              <w:t>10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81" w:line="239" w:lineRule="auto"/>
              <w:ind w:left="364"/>
              <w:rPr>
                <w:rFonts w:ascii="宋体" w:hAnsi="宋体" w:eastAsia="宋体" w:cs="宋体"/>
                <w:sz w:val="18"/>
                <w:szCs w:val="18"/>
              </w:rPr>
            </w:pPr>
            <w:r>
              <w:rPr>
                <w:rFonts w:ascii="宋体" w:hAnsi="宋体" w:eastAsia="宋体" w:cs="宋体"/>
                <w:sz w:val="18"/>
                <w:szCs w:val="18"/>
              </w:rPr>
              <w:t>3</w:t>
            </w:r>
          </w:p>
        </w:tc>
        <w:tc>
          <w:tcPr>
            <w:tcW w:w="1361" w:type="dxa"/>
            <w:vAlign w:val="top"/>
          </w:tcPr>
          <w:p>
            <w:pPr>
              <w:autoSpaceDE w:val="0"/>
              <w:autoSpaceDN w:val="0"/>
              <w:spacing w:before="181" w:line="219" w:lineRule="auto"/>
              <w:ind w:left="29"/>
              <w:rPr>
                <w:rFonts w:ascii="宋体" w:hAnsi="宋体" w:eastAsia="宋体" w:cs="宋体"/>
                <w:sz w:val="18"/>
                <w:szCs w:val="18"/>
              </w:rPr>
            </w:pPr>
            <w:r>
              <w:rPr>
                <w:rFonts w:ascii="宋体" w:hAnsi="宋体" w:eastAsia="宋体" w:cs="宋体"/>
                <w:spacing w:val="-2"/>
                <w:sz w:val="18"/>
                <w:szCs w:val="18"/>
              </w:rPr>
              <w:t>挖沟槽土方</w:t>
            </w:r>
          </w:p>
        </w:tc>
        <w:tc>
          <w:tcPr>
            <w:tcW w:w="5334" w:type="dxa"/>
            <w:vAlign w:val="top"/>
          </w:tcPr>
          <w:p>
            <w:pPr>
              <w:autoSpaceDE w:val="0"/>
              <w:autoSpaceDN w:val="0"/>
              <w:spacing w:before="70" w:line="218" w:lineRule="auto"/>
              <w:ind w:left="33" w:right="39" w:firstLine="12"/>
              <w:rPr>
                <w:rFonts w:ascii="宋体" w:hAnsi="宋体" w:eastAsia="宋体" w:cs="宋体"/>
                <w:sz w:val="18"/>
                <w:szCs w:val="18"/>
              </w:rPr>
            </w:pPr>
            <w:r>
              <w:rPr>
                <w:rFonts w:ascii="宋体" w:hAnsi="宋体" w:eastAsia="宋体" w:cs="宋体"/>
                <w:spacing w:val="-2"/>
                <w:sz w:val="18"/>
                <w:szCs w:val="18"/>
              </w:rPr>
              <w:t>1.名称:电缆沟挖填</w:t>
            </w:r>
            <w:r>
              <w:rPr>
                <w:rFonts w:ascii="宋体" w:hAnsi="宋体" w:eastAsia="宋体" w:cs="宋体"/>
                <w:sz w:val="18"/>
                <w:szCs w:val="18"/>
              </w:rPr>
              <w:t>土</w:t>
            </w:r>
          </w:p>
        </w:tc>
        <w:tc>
          <w:tcPr>
            <w:tcW w:w="1241" w:type="dxa"/>
            <w:vAlign w:val="top"/>
          </w:tcPr>
          <w:p>
            <w:pPr>
              <w:autoSpaceDE w:val="0"/>
              <w:autoSpaceDN w:val="0"/>
              <w:spacing w:before="181" w:line="239" w:lineRule="auto"/>
              <w:ind w:left="453"/>
              <w:rPr>
                <w:rFonts w:ascii="宋体" w:hAnsi="宋体" w:eastAsia="宋体" w:cs="宋体"/>
                <w:sz w:val="18"/>
                <w:szCs w:val="18"/>
              </w:rPr>
            </w:pPr>
            <w:r>
              <w:rPr>
                <w:rFonts w:ascii="宋体" w:hAnsi="宋体" w:eastAsia="宋体" w:cs="宋体"/>
                <w:spacing w:val="-1"/>
                <w:sz w:val="18"/>
                <w:szCs w:val="18"/>
              </w:rPr>
              <w:t>m3</w:t>
            </w:r>
          </w:p>
        </w:tc>
        <w:tc>
          <w:tcPr>
            <w:tcW w:w="1418" w:type="dxa"/>
            <w:vAlign w:val="top"/>
          </w:tcPr>
          <w:p>
            <w:pPr>
              <w:autoSpaceDE w:val="0"/>
              <w:autoSpaceDN w:val="0"/>
              <w:spacing w:before="181" w:line="239" w:lineRule="auto"/>
              <w:ind w:left="281"/>
              <w:rPr>
                <w:rFonts w:ascii="宋体" w:hAnsi="宋体" w:eastAsia="宋体" w:cs="宋体"/>
                <w:sz w:val="18"/>
                <w:szCs w:val="18"/>
              </w:rPr>
            </w:pPr>
            <w:r>
              <w:rPr>
                <w:rFonts w:ascii="宋体" w:hAnsi="宋体" w:eastAsia="宋体" w:cs="宋体"/>
                <w:spacing w:val="-2"/>
                <w:sz w:val="18"/>
                <w:szCs w:val="18"/>
              </w:rPr>
              <w:t>4.5</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83" w:line="241" w:lineRule="auto"/>
              <w:ind w:left="359"/>
              <w:rPr>
                <w:rFonts w:ascii="宋体" w:hAnsi="宋体" w:eastAsia="宋体" w:cs="宋体"/>
                <w:sz w:val="18"/>
                <w:szCs w:val="18"/>
              </w:rPr>
            </w:pPr>
            <w:r>
              <w:rPr>
                <w:rFonts w:ascii="宋体" w:hAnsi="宋体" w:eastAsia="宋体" w:cs="宋体"/>
                <w:sz w:val="18"/>
                <w:szCs w:val="18"/>
              </w:rPr>
              <w:t>4</w:t>
            </w:r>
          </w:p>
        </w:tc>
        <w:tc>
          <w:tcPr>
            <w:tcW w:w="1361" w:type="dxa"/>
            <w:vAlign w:val="top"/>
          </w:tcPr>
          <w:p>
            <w:pPr>
              <w:autoSpaceDE w:val="0"/>
              <w:autoSpaceDN w:val="0"/>
              <w:spacing w:before="72" w:line="217" w:lineRule="auto"/>
              <w:ind w:left="61" w:right="62" w:hanging="32"/>
              <w:rPr>
                <w:rFonts w:ascii="宋体" w:hAnsi="宋体" w:eastAsia="宋体" w:cs="宋体"/>
                <w:sz w:val="18"/>
                <w:szCs w:val="18"/>
              </w:rPr>
            </w:pPr>
            <w:r>
              <w:rPr>
                <w:rFonts w:ascii="宋体" w:hAnsi="宋体" w:eastAsia="宋体" w:cs="宋体"/>
                <w:spacing w:val="-1"/>
                <w:sz w:val="18"/>
                <w:szCs w:val="18"/>
              </w:rPr>
              <w:t>铺砂、盖保护板</w:t>
            </w:r>
            <w:r>
              <w:rPr>
                <w:rFonts w:ascii="宋体" w:hAnsi="宋体" w:eastAsia="宋体" w:cs="宋体"/>
                <w:spacing w:val="-13"/>
                <w:sz w:val="18"/>
                <w:szCs w:val="18"/>
              </w:rPr>
              <w:t>(砖)</w:t>
            </w:r>
          </w:p>
        </w:tc>
        <w:tc>
          <w:tcPr>
            <w:tcW w:w="5334" w:type="dxa"/>
            <w:vAlign w:val="top"/>
          </w:tcPr>
          <w:p>
            <w:pPr>
              <w:autoSpaceDE w:val="0"/>
              <w:autoSpaceDN w:val="0"/>
              <w:spacing w:before="184" w:line="218" w:lineRule="auto"/>
              <w:ind w:left="45"/>
              <w:rPr>
                <w:rFonts w:ascii="宋体" w:hAnsi="宋体" w:eastAsia="宋体" w:cs="宋体"/>
                <w:sz w:val="18"/>
                <w:szCs w:val="18"/>
              </w:rPr>
            </w:pPr>
            <w:r>
              <w:rPr>
                <w:rFonts w:ascii="宋体" w:hAnsi="宋体" w:eastAsia="宋体" w:cs="宋体"/>
                <w:spacing w:val="-2"/>
                <w:sz w:val="18"/>
                <w:szCs w:val="18"/>
              </w:rPr>
              <w:t>1.名称:电缆盖板</w:t>
            </w:r>
          </w:p>
        </w:tc>
        <w:tc>
          <w:tcPr>
            <w:tcW w:w="1241" w:type="dxa"/>
            <w:vAlign w:val="top"/>
          </w:tcPr>
          <w:p>
            <w:pPr>
              <w:autoSpaceDE w:val="0"/>
              <w:autoSpaceDN w:val="0"/>
              <w:spacing w:before="183" w:line="241" w:lineRule="auto"/>
              <w:ind w:left="496"/>
              <w:rPr>
                <w:rFonts w:ascii="宋体" w:hAnsi="宋体" w:eastAsia="宋体" w:cs="宋体"/>
                <w:sz w:val="18"/>
                <w:szCs w:val="18"/>
              </w:rPr>
            </w:pPr>
            <w:r>
              <w:rPr>
                <w:rFonts w:ascii="宋体" w:hAnsi="宋体" w:eastAsia="宋体" w:cs="宋体"/>
                <w:sz w:val="18"/>
                <w:szCs w:val="18"/>
              </w:rPr>
              <w:t>m</w:t>
            </w:r>
          </w:p>
        </w:tc>
        <w:tc>
          <w:tcPr>
            <w:tcW w:w="1418" w:type="dxa"/>
            <w:vAlign w:val="top"/>
          </w:tcPr>
          <w:p>
            <w:pPr>
              <w:autoSpaceDE w:val="0"/>
              <w:autoSpaceDN w:val="0"/>
              <w:spacing w:before="184" w:line="239" w:lineRule="auto"/>
              <w:ind w:left="341"/>
              <w:rPr>
                <w:rFonts w:ascii="宋体" w:hAnsi="宋体" w:eastAsia="宋体" w:cs="宋体"/>
                <w:sz w:val="18"/>
                <w:szCs w:val="18"/>
              </w:rPr>
            </w:pPr>
            <w:r>
              <w:rPr>
                <w:rFonts w:ascii="宋体" w:hAnsi="宋体" w:eastAsia="宋体" w:cs="宋体"/>
                <w:spacing w:val="-10"/>
                <w:sz w:val="18"/>
                <w:szCs w:val="18"/>
              </w:rPr>
              <w:t>10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5" w:hRule="atLeast"/>
        </w:trPr>
        <w:tc>
          <w:tcPr>
            <w:tcW w:w="820" w:type="dxa"/>
            <w:tcBorders>
              <w:left w:val="single" w:color="000008" w:sz="14" w:space="0"/>
            </w:tcBorders>
            <w:vAlign w:val="top"/>
          </w:tcPr>
          <w:p>
            <w:pPr>
              <w:pStyle w:val="687"/>
              <w:autoSpaceDE w:val="0"/>
              <w:autoSpaceDN w:val="0"/>
            </w:pPr>
          </w:p>
          <w:p>
            <w:pPr>
              <w:autoSpaceDE w:val="0"/>
              <w:autoSpaceDN w:val="0"/>
              <w:spacing w:before="58" w:line="239" w:lineRule="auto"/>
              <w:ind w:left="364"/>
              <w:rPr>
                <w:rFonts w:ascii="宋体" w:hAnsi="宋体" w:eastAsia="宋体" w:cs="宋体"/>
                <w:sz w:val="18"/>
                <w:szCs w:val="18"/>
              </w:rPr>
            </w:pPr>
            <w:r>
              <w:rPr>
                <w:rFonts w:ascii="宋体" w:hAnsi="宋体" w:eastAsia="宋体" w:cs="宋体"/>
                <w:sz w:val="18"/>
                <w:szCs w:val="18"/>
              </w:rPr>
              <w:t>5</w:t>
            </w:r>
          </w:p>
        </w:tc>
        <w:tc>
          <w:tcPr>
            <w:tcW w:w="1361" w:type="dxa"/>
            <w:vAlign w:val="top"/>
          </w:tcPr>
          <w:p>
            <w:pPr>
              <w:autoSpaceDE w:val="0"/>
              <w:autoSpaceDN w:val="0"/>
              <w:spacing w:before="299" w:line="219" w:lineRule="auto"/>
              <w:ind w:left="51"/>
              <w:rPr>
                <w:rFonts w:ascii="宋体" w:hAnsi="宋体" w:eastAsia="宋体" w:cs="宋体"/>
                <w:sz w:val="18"/>
                <w:szCs w:val="18"/>
              </w:rPr>
            </w:pPr>
            <w:r>
              <w:rPr>
                <w:rFonts w:ascii="宋体" w:hAnsi="宋体" w:eastAsia="宋体" w:cs="宋体"/>
                <w:spacing w:val="-6"/>
                <w:sz w:val="18"/>
                <w:szCs w:val="18"/>
              </w:rPr>
              <w:t>电缆保护管</w:t>
            </w:r>
          </w:p>
        </w:tc>
        <w:tc>
          <w:tcPr>
            <w:tcW w:w="5334" w:type="dxa"/>
            <w:vAlign w:val="top"/>
          </w:tcPr>
          <w:p>
            <w:pPr>
              <w:autoSpaceDE w:val="0"/>
              <w:autoSpaceDN w:val="0"/>
              <w:spacing w:before="74" w:line="219" w:lineRule="auto"/>
              <w:ind w:left="45"/>
              <w:rPr>
                <w:rFonts w:ascii="宋体" w:hAnsi="宋体" w:eastAsia="宋体" w:cs="宋体"/>
                <w:sz w:val="18"/>
                <w:szCs w:val="18"/>
              </w:rPr>
            </w:pPr>
            <w:r>
              <w:rPr>
                <w:rFonts w:ascii="宋体" w:hAnsi="宋体" w:eastAsia="宋体" w:cs="宋体"/>
                <w:spacing w:val="-2"/>
                <w:sz w:val="18"/>
                <w:szCs w:val="18"/>
              </w:rPr>
              <w:t>1.名称:电缆保护管</w:t>
            </w:r>
          </w:p>
          <w:p>
            <w:pPr>
              <w:autoSpaceDE w:val="0"/>
              <w:autoSpaceDN w:val="0"/>
              <w:spacing w:before="12" w:line="218" w:lineRule="auto"/>
              <w:ind w:left="34"/>
              <w:rPr>
                <w:rFonts w:ascii="宋体" w:hAnsi="宋体" w:eastAsia="宋体" w:cs="宋体"/>
                <w:sz w:val="18"/>
                <w:szCs w:val="18"/>
              </w:rPr>
            </w:pPr>
            <w:r>
              <w:rPr>
                <w:rFonts w:ascii="宋体" w:hAnsi="宋体" w:eastAsia="宋体" w:cs="宋体"/>
                <w:spacing w:val="-1"/>
                <w:sz w:val="18"/>
                <w:szCs w:val="18"/>
              </w:rPr>
              <w:t>2.材质:热浸塑钢管</w:t>
            </w:r>
          </w:p>
          <w:p>
            <w:pPr>
              <w:autoSpaceDE w:val="0"/>
              <w:autoSpaceDN w:val="0"/>
              <w:spacing w:before="12" w:line="205" w:lineRule="auto"/>
              <w:ind w:left="36"/>
              <w:rPr>
                <w:rFonts w:ascii="宋体" w:hAnsi="宋体" w:eastAsia="宋体" w:cs="宋体"/>
                <w:sz w:val="18"/>
                <w:szCs w:val="18"/>
              </w:rPr>
            </w:pPr>
            <w:r>
              <w:rPr>
                <w:rFonts w:ascii="宋体" w:hAnsi="宋体" w:eastAsia="宋体" w:cs="宋体"/>
                <w:spacing w:val="-8"/>
                <w:sz w:val="18"/>
                <w:szCs w:val="18"/>
              </w:rPr>
              <w:t>3.规格:</w:t>
            </w:r>
            <w:r>
              <w:rPr>
                <w:rFonts w:ascii="宋体" w:hAnsi="宋体" w:eastAsia="宋体" w:cs="宋体"/>
                <w:spacing w:val="-44"/>
                <w:sz w:val="18"/>
                <w:szCs w:val="18"/>
              </w:rPr>
              <w:t xml:space="preserve"> </w:t>
            </w:r>
            <w:r>
              <w:rPr>
                <w:rFonts w:ascii="宋体" w:hAnsi="宋体" w:eastAsia="宋体" w:cs="宋体"/>
                <w:spacing w:val="-8"/>
                <w:sz w:val="18"/>
                <w:szCs w:val="18"/>
              </w:rPr>
              <w:t>φ</w:t>
            </w:r>
            <w:r>
              <w:rPr>
                <w:rFonts w:ascii="宋体" w:hAnsi="宋体" w:eastAsia="宋体" w:cs="宋体"/>
                <w:spacing w:val="-70"/>
                <w:sz w:val="18"/>
                <w:szCs w:val="18"/>
              </w:rPr>
              <w:t xml:space="preserve"> </w:t>
            </w:r>
            <w:r>
              <w:rPr>
                <w:rFonts w:ascii="宋体" w:hAnsi="宋体" w:eastAsia="宋体" w:cs="宋体"/>
                <w:spacing w:val="-8"/>
                <w:sz w:val="18"/>
                <w:szCs w:val="18"/>
              </w:rPr>
              <w:t>150</w:t>
            </w:r>
          </w:p>
        </w:tc>
        <w:tc>
          <w:tcPr>
            <w:tcW w:w="1241" w:type="dxa"/>
            <w:vAlign w:val="top"/>
          </w:tcPr>
          <w:p>
            <w:pPr>
              <w:autoSpaceDE w:val="0"/>
              <w:autoSpaceDN w:val="0"/>
              <w:spacing w:before="299" w:line="241" w:lineRule="auto"/>
              <w:ind w:left="496"/>
              <w:rPr>
                <w:rFonts w:ascii="宋体" w:hAnsi="宋体" w:eastAsia="宋体" w:cs="宋体"/>
                <w:sz w:val="18"/>
                <w:szCs w:val="18"/>
              </w:rPr>
            </w:pPr>
            <w:r>
              <w:rPr>
                <w:rFonts w:ascii="宋体" w:hAnsi="宋体" w:eastAsia="宋体" w:cs="宋体"/>
                <w:sz w:val="18"/>
                <w:szCs w:val="18"/>
              </w:rPr>
              <w:t>m</w:t>
            </w:r>
          </w:p>
        </w:tc>
        <w:tc>
          <w:tcPr>
            <w:tcW w:w="1418" w:type="dxa"/>
            <w:vAlign w:val="top"/>
          </w:tcPr>
          <w:p>
            <w:pPr>
              <w:pStyle w:val="687"/>
              <w:autoSpaceDE w:val="0"/>
              <w:autoSpaceDN w:val="0"/>
            </w:pPr>
          </w:p>
          <w:p>
            <w:pPr>
              <w:autoSpaceDE w:val="0"/>
              <w:autoSpaceDN w:val="0"/>
              <w:spacing w:before="58" w:line="239" w:lineRule="auto"/>
              <w:ind w:left="341"/>
              <w:rPr>
                <w:rFonts w:ascii="宋体" w:hAnsi="宋体" w:eastAsia="宋体" w:cs="宋体"/>
                <w:sz w:val="18"/>
                <w:szCs w:val="18"/>
              </w:rPr>
            </w:pPr>
            <w:r>
              <w:rPr>
                <w:rFonts w:ascii="宋体" w:hAnsi="宋体" w:eastAsia="宋体" w:cs="宋体"/>
                <w:spacing w:val="-10"/>
                <w:sz w:val="18"/>
                <w:szCs w:val="18"/>
              </w:rPr>
              <w:t>15</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197" w:hRule="atLeast"/>
        </w:trPr>
        <w:tc>
          <w:tcPr>
            <w:tcW w:w="820" w:type="dxa"/>
            <w:tcBorders>
              <w:left w:val="single" w:color="000008" w:sz="14" w:space="0"/>
            </w:tcBorders>
            <w:vAlign w:val="top"/>
          </w:tcPr>
          <w:p>
            <w:pPr>
              <w:pStyle w:val="687"/>
              <w:autoSpaceDE w:val="0"/>
              <w:autoSpaceDN w:val="0"/>
              <w:spacing w:line="473" w:lineRule="auto"/>
            </w:pPr>
          </w:p>
          <w:p>
            <w:pPr>
              <w:autoSpaceDE w:val="0"/>
              <w:autoSpaceDN w:val="0"/>
              <w:spacing w:before="58" w:line="239" w:lineRule="auto"/>
              <w:ind w:left="362"/>
              <w:rPr>
                <w:rFonts w:ascii="宋体" w:hAnsi="宋体" w:eastAsia="宋体" w:cs="宋体"/>
                <w:sz w:val="18"/>
                <w:szCs w:val="18"/>
              </w:rPr>
            </w:pPr>
            <w:r>
              <w:rPr>
                <w:rFonts w:ascii="宋体" w:hAnsi="宋体" w:eastAsia="宋体" w:cs="宋体"/>
                <w:sz w:val="18"/>
                <w:szCs w:val="18"/>
              </w:rPr>
              <w:t>6</w:t>
            </w:r>
          </w:p>
        </w:tc>
        <w:tc>
          <w:tcPr>
            <w:tcW w:w="1361" w:type="dxa"/>
            <w:vAlign w:val="top"/>
          </w:tcPr>
          <w:p>
            <w:pPr>
              <w:pStyle w:val="687"/>
              <w:autoSpaceDE w:val="0"/>
              <w:autoSpaceDN w:val="0"/>
              <w:spacing w:line="472"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5334" w:type="dxa"/>
            <w:vAlign w:val="top"/>
          </w:tcPr>
          <w:p>
            <w:pPr>
              <w:autoSpaceDE w:val="0"/>
              <w:autoSpaceDN w:val="0"/>
              <w:spacing w:before="196" w:line="219" w:lineRule="auto"/>
              <w:ind w:left="45"/>
              <w:rPr>
                <w:rFonts w:ascii="宋体" w:hAnsi="宋体" w:eastAsia="宋体" w:cs="宋体"/>
                <w:sz w:val="18"/>
                <w:szCs w:val="18"/>
              </w:rPr>
            </w:pPr>
            <w:r>
              <w:rPr>
                <w:rFonts w:ascii="宋体" w:hAnsi="宋体" w:eastAsia="宋体" w:cs="宋体"/>
                <w:spacing w:val="-2"/>
                <w:sz w:val="18"/>
                <w:szCs w:val="18"/>
              </w:rPr>
              <w:t>1.名称:低压电缆</w:t>
            </w:r>
          </w:p>
          <w:p>
            <w:pPr>
              <w:autoSpaceDE w:val="0"/>
              <w:autoSpaceDN w:val="0"/>
              <w:spacing w:before="11" w:line="218" w:lineRule="auto"/>
              <w:ind w:left="34"/>
              <w:rPr>
                <w:rFonts w:ascii="宋体" w:hAnsi="宋体" w:eastAsia="宋体" w:cs="宋体"/>
                <w:sz w:val="18"/>
                <w:szCs w:val="18"/>
              </w:rPr>
            </w:pPr>
            <w:r>
              <w:rPr>
                <w:rFonts w:ascii="宋体" w:hAnsi="宋体" w:eastAsia="宋体" w:cs="宋体"/>
                <w:sz w:val="18"/>
                <w:szCs w:val="18"/>
              </w:rPr>
              <w:t>2.规格:ZC-YJY-</w:t>
            </w:r>
          </w:p>
          <w:p>
            <w:pPr>
              <w:autoSpaceDE w:val="0"/>
              <w:autoSpaceDN w:val="0"/>
              <w:spacing w:before="12" w:line="224" w:lineRule="auto"/>
              <w:ind w:left="34"/>
              <w:rPr>
                <w:rFonts w:ascii="宋体" w:hAnsi="宋体" w:eastAsia="宋体" w:cs="宋体"/>
                <w:sz w:val="18"/>
                <w:szCs w:val="18"/>
              </w:rPr>
            </w:pPr>
            <w:r>
              <w:rPr>
                <w:rFonts w:ascii="宋体" w:hAnsi="宋体" w:eastAsia="宋体" w:cs="宋体"/>
                <w:sz w:val="18"/>
                <w:szCs w:val="18"/>
              </w:rPr>
              <w:t>0.6/1kV-4*240mm2</w:t>
            </w:r>
          </w:p>
          <w:p>
            <w:pPr>
              <w:autoSpaceDE w:val="0"/>
              <w:autoSpaceDN w:val="0"/>
              <w:spacing w:before="4" w:line="219" w:lineRule="auto"/>
              <w:ind w:left="36"/>
              <w:rPr>
                <w:rFonts w:ascii="宋体" w:hAnsi="宋体" w:eastAsia="宋体" w:cs="宋体"/>
                <w:sz w:val="18"/>
                <w:szCs w:val="18"/>
              </w:rPr>
            </w:pPr>
            <w:r>
              <w:rPr>
                <w:rFonts w:ascii="宋体" w:hAnsi="宋体" w:eastAsia="宋体" w:cs="宋体"/>
                <w:spacing w:val="-1"/>
                <w:sz w:val="18"/>
                <w:szCs w:val="18"/>
              </w:rPr>
              <w:t>3.敷设方式:桥架</w:t>
            </w:r>
          </w:p>
        </w:tc>
        <w:tc>
          <w:tcPr>
            <w:tcW w:w="1241" w:type="dxa"/>
            <w:vAlign w:val="top"/>
          </w:tcPr>
          <w:p>
            <w:pPr>
              <w:pStyle w:val="687"/>
              <w:autoSpaceDE w:val="0"/>
              <w:autoSpaceDN w:val="0"/>
              <w:spacing w:line="472" w:lineRule="auto"/>
            </w:pPr>
          </w:p>
          <w:p>
            <w:pPr>
              <w:autoSpaceDE w:val="0"/>
              <w:autoSpaceDN w:val="0"/>
              <w:spacing w:before="59" w:line="241" w:lineRule="auto"/>
              <w:ind w:left="496"/>
              <w:rPr>
                <w:rFonts w:ascii="宋体" w:hAnsi="宋体" w:eastAsia="宋体" w:cs="宋体"/>
                <w:sz w:val="18"/>
                <w:szCs w:val="18"/>
              </w:rPr>
            </w:pPr>
            <w:r>
              <w:rPr>
                <w:rFonts w:ascii="宋体" w:hAnsi="宋体" w:eastAsia="宋体" w:cs="宋体"/>
                <w:sz w:val="18"/>
                <w:szCs w:val="18"/>
              </w:rPr>
              <w:t>m</w:t>
            </w:r>
          </w:p>
        </w:tc>
        <w:tc>
          <w:tcPr>
            <w:tcW w:w="1418" w:type="dxa"/>
            <w:vAlign w:val="top"/>
          </w:tcPr>
          <w:p>
            <w:pPr>
              <w:pStyle w:val="687"/>
              <w:autoSpaceDE w:val="0"/>
              <w:autoSpaceDN w:val="0"/>
              <w:spacing w:line="473" w:lineRule="auto"/>
            </w:pPr>
          </w:p>
          <w:p>
            <w:pPr>
              <w:autoSpaceDE w:val="0"/>
              <w:autoSpaceDN w:val="0"/>
              <w:spacing w:before="58" w:line="239" w:lineRule="auto"/>
              <w:ind w:left="330"/>
              <w:rPr>
                <w:rFonts w:ascii="宋体" w:hAnsi="宋体" w:eastAsia="宋体" w:cs="宋体"/>
                <w:sz w:val="18"/>
                <w:szCs w:val="18"/>
              </w:rPr>
            </w:pPr>
            <w:r>
              <w:rPr>
                <w:rFonts w:ascii="宋体" w:hAnsi="宋体" w:eastAsia="宋体" w:cs="宋体"/>
                <w:spacing w:val="-5"/>
                <w:sz w:val="18"/>
                <w:szCs w:val="18"/>
              </w:rPr>
              <w:t>25</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967" w:hRule="atLeast"/>
        </w:trPr>
        <w:tc>
          <w:tcPr>
            <w:tcW w:w="820" w:type="dxa"/>
            <w:tcBorders>
              <w:left w:val="single" w:color="000008" w:sz="14" w:space="0"/>
            </w:tcBorders>
            <w:vAlign w:val="top"/>
          </w:tcPr>
          <w:p>
            <w:pPr>
              <w:pStyle w:val="687"/>
              <w:autoSpaceDE w:val="0"/>
              <w:autoSpaceDN w:val="0"/>
              <w:spacing w:line="362" w:lineRule="auto"/>
            </w:pPr>
          </w:p>
          <w:p>
            <w:pPr>
              <w:autoSpaceDE w:val="0"/>
              <w:autoSpaceDN w:val="0"/>
              <w:spacing w:before="58" w:line="239" w:lineRule="auto"/>
              <w:ind w:left="364"/>
              <w:rPr>
                <w:rFonts w:ascii="宋体" w:hAnsi="宋体" w:eastAsia="宋体" w:cs="宋体"/>
                <w:sz w:val="18"/>
                <w:szCs w:val="18"/>
              </w:rPr>
            </w:pPr>
            <w:r>
              <w:rPr>
                <w:rFonts w:ascii="宋体" w:hAnsi="宋体" w:eastAsia="宋体" w:cs="宋体"/>
                <w:sz w:val="18"/>
                <w:szCs w:val="18"/>
              </w:rPr>
              <w:t>7</w:t>
            </w:r>
          </w:p>
        </w:tc>
        <w:tc>
          <w:tcPr>
            <w:tcW w:w="1361" w:type="dxa"/>
            <w:vAlign w:val="top"/>
          </w:tcPr>
          <w:p>
            <w:pPr>
              <w:pStyle w:val="687"/>
              <w:autoSpaceDE w:val="0"/>
              <w:autoSpaceDN w:val="0"/>
              <w:spacing w:line="361"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6"/>
                <w:sz w:val="18"/>
                <w:szCs w:val="18"/>
              </w:rPr>
              <w:t>电力电缆头</w:t>
            </w:r>
          </w:p>
        </w:tc>
        <w:tc>
          <w:tcPr>
            <w:tcW w:w="5334" w:type="dxa"/>
            <w:vAlign w:val="top"/>
          </w:tcPr>
          <w:p>
            <w:pPr>
              <w:autoSpaceDE w:val="0"/>
              <w:autoSpaceDN w:val="0"/>
              <w:spacing w:before="196" w:line="219" w:lineRule="auto"/>
              <w:ind w:left="45"/>
              <w:rPr>
                <w:rFonts w:ascii="宋体" w:hAnsi="宋体" w:eastAsia="宋体" w:cs="宋体"/>
                <w:sz w:val="18"/>
                <w:szCs w:val="18"/>
              </w:rPr>
            </w:pPr>
            <w:r>
              <w:rPr>
                <w:rFonts w:ascii="宋体" w:hAnsi="宋体" w:eastAsia="宋体" w:cs="宋体"/>
                <w:spacing w:val="-2"/>
                <w:sz w:val="18"/>
                <w:szCs w:val="18"/>
              </w:rPr>
              <w:t>1.名称:电缆终端头</w:t>
            </w:r>
          </w:p>
          <w:p>
            <w:pPr>
              <w:autoSpaceDE w:val="0"/>
              <w:autoSpaceDN w:val="0"/>
              <w:spacing w:before="11" w:line="218" w:lineRule="auto"/>
              <w:ind w:left="34"/>
              <w:rPr>
                <w:rFonts w:ascii="宋体" w:hAnsi="宋体" w:eastAsia="宋体" w:cs="宋体"/>
                <w:sz w:val="18"/>
                <w:szCs w:val="18"/>
              </w:rPr>
            </w:pPr>
            <w:r>
              <w:rPr>
                <w:rFonts w:ascii="宋体" w:hAnsi="宋体" w:eastAsia="宋体" w:cs="宋体"/>
                <w:sz w:val="18"/>
                <w:szCs w:val="18"/>
              </w:rPr>
              <w:t>2.规格:ZC-YJY-</w:t>
            </w:r>
          </w:p>
          <w:p>
            <w:pPr>
              <w:autoSpaceDE w:val="0"/>
              <w:autoSpaceDN w:val="0"/>
              <w:spacing w:before="10" w:line="224" w:lineRule="auto"/>
              <w:ind w:left="34"/>
              <w:rPr>
                <w:rFonts w:ascii="宋体" w:hAnsi="宋体" w:eastAsia="宋体" w:cs="宋体"/>
                <w:sz w:val="18"/>
                <w:szCs w:val="18"/>
              </w:rPr>
            </w:pPr>
            <w:r>
              <w:rPr>
                <w:rFonts w:ascii="宋体" w:hAnsi="宋体" w:eastAsia="宋体" w:cs="宋体"/>
                <w:sz w:val="18"/>
                <w:szCs w:val="18"/>
              </w:rPr>
              <w:t>0.6/1kV-4*240mm2</w:t>
            </w:r>
          </w:p>
        </w:tc>
        <w:tc>
          <w:tcPr>
            <w:tcW w:w="1241" w:type="dxa"/>
            <w:vAlign w:val="top"/>
          </w:tcPr>
          <w:p>
            <w:pPr>
              <w:pStyle w:val="687"/>
              <w:autoSpaceDE w:val="0"/>
              <w:autoSpaceDN w:val="0"/>
              <w:spacing w:line="361" w:lineRule="auto"/>
            </w:pPr>
          </w:p>
          <w:p>
            <w:pPr>
              <w:autoSpaceDE w:val="0"/>
              <w:autoSpaceDN w:val="0"/>
              <w:spacing w:before="59" w:line="219" w:lineRule="auto"/>
              <w:ind w:left="458"/>
              <w:rPr>
                <w:rFonts w:ascii="宋体" w:hAnsi="宋体" w:eastAsia="宋体" w:cs="宋体"/>
                <w:sz w:val="18"/>
                <w:szCs w:val="18"/>
              </w:rPr>
            </w:pPr>
            <w:r>
              <w:rPr>
                <w:rFonts w:ascii="宋体" w:hAnsi="宋体" w:eastAsia="宋体" w:cs="宋体"/>
                <w:sz w:val="18"/>
                <w:szCs w:val="18"/>
              </w:rPr>
              <w:t>个</w:t>
            </w:r>
          </w:p>
        </w:tc>
        <w:tc>
          <w:tcPr>
            <w:tcW w:w="1418" w:type="dxa"/>
            <w:vAlign w:val="top"/>
          </w:tcPr>
          <w:p>
            <w:pPr>
              <w:pStyle w:val="687"/>
              <w:autoSpaceDE w:val="0"/>
              <w:autoSpaceDN w:val="0"/>
              <w:spacing w:line="361" w:lineRule="auto"/>
            </w:pPr>
          </w:p>
          <w:p>
            <w:pPr>
              <w:autoSpaceDE w:val="0"/>
              <w:autoSpaceDN w:val="0"/>
              <w:spacing w:before="59" w:line="241" w:lineRule="auto"/>
              <w:ind w:left="375"/>
              <w:rPr>
                <w:rFonts w:ascii="宋体" w:hAnsi="宋体" w:eastAsia="宋体" w:cs="宋体"/>
                <w:sz w:val="18"/>
                <w:szCs w:val="18"/>
              </w:rPr>
            </w:pPr>
            <w:r>
              <w:rPr>
                <w:rFonts w:ascii="宋体" w:hAnsi="宋体" w:eastAsia="宋体" w:cs="宋体"/>
                <w:sz w:val="18"/>
                <w:szCs w:val="18"/>
              </w:rPr>
              <w:t>2</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197" w:hRule="atLeast"/>
        </w:trPr>
        <w:tc>
          <w:tcPr>
            <w:tcW w:w="820" w:type="dxa"/>
            <w:tcBorders>
              <w:left w:val="single" w:color="000008" w:sz="14" w:space="0"/>
            </w:tcBorders>
            <w:vAlign w:val="top"/>
          </w:tcPr>
          <w:p>
            <w:pPr>
              <w:pStyle w:val="687"/>
              <w:autoSpaceDE w:val="0"/>
              <w:autoSpaceDN w:val="0"/>
              <w:spacing w:line="479" w:lineRule="auto"/>
            </w:pPr>
          </w:p>
          <w:p>
            <w:pPr>
              <w:autoSpaceDE w:val="0"/>
              <w:autoSpaceDN w:val="0"/>
              <w:spacing w:before="59" w:line="239" w:lineRule="auto"/>
              <w:ind w:left="361"/>
              <w:rPr>
                <w:rFonts w:ascii="宋体" w:hAnsi="宋体" w:eastAsia="宋体" w:cs="宋体"/>
                <w:sz w:val="18"/>
                <w:szCs w:val="18"/>
              </w:rPr>
            </w:pPr>
            <w:r>
              <w:rPr>
                <w:rFonts w:ascii="宋体" w:hAnsi="宋体" w:eastAsia="宋体" w:cs="宋体"/>
                <w:sz w:val="18"/>
                <w:szCs w:val="18"/>
              </w:rPr>
              <w:t>8</w:t>
            </w:r>
          </w:p>
        </w:tc>
        <w:tc>
          <w:tcPr>
            <w:tcW w:w="1361" w:type="dxa"/>
            <w:vAlign w:val="top"/>
          </w:tcPr>
          <w:p>
            <w:pPr>
              <w:pStyle w:val="687"/>
              <w:autoSpaceDE w:val="0"/>
              <w:autoSpaceDN w:val="0"/>
              <w:spacing w:line="479" w:lineRule="auto"/>
            </w:pPr>
          </w:p>
          <w:p>
            <w:pPr>
              <w:autoSpaceDE w:val="0"/>
              <w:autoSpaceDN w:val="0"/>
              <w:spacing w:before="58"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5334" w:type="dxa"/>
            <w:vAlign w:val="top"/>
          </w:tcPr>
          <w:p>
            <w:pPr>
              <w:autoSpaceDE w:val="0"/>
              <w:autoSpaceDN w:val="0"/>
              <w:spacing w:before="89" w:line="219" w:lineRule="auto"/>
              <w:ind w:left="45"/>
              <w:rPr>
                <w:rFonts w:ascii="宋体" w:hAnsi="宋体" w:eastAsia="宋体" w:cs="宋体"/>
                <w:sz w:val="18"/>
                <w:szCs w:val="18"/>
              </w:rPr>
            </w:pPr>
            <w:r>
              <w:rPr>
                <w:rFonts w:ascii="宋体" w:hAnsi="宋体" w:eastAsia="宋体" w:cs="宋体"/>
                <w:spacing w:val="-2"/>
                <w:sz w:val="18"/>
                <w:szCs w:val="18"/>
              </w:rPr>
              <w:t>1.名称:低压电缆</w:t>
            </w:r>
          </w:p>
          <w:p>
            <w:pPr>
              <w:autoSpaceDE w:val="0"/>
              <w:autoSpaceDN w:val="0"/>
              <w:spacing w:before="11" w:line="231" w:lineRule="auto"/>
              <w:ind w:left="34" w:right="302"/>
              <w:rPr>
                <w:rFonts w:ascii="宋体" w:hAnsi="宋体" w:eastAsia="宋体" w:cs="宋体"/>
                <w:sz w:val="18"/>
                <w:szCs w:val="18"/>
              </w:rPr>
            </w:pPr>
            <w:r>
              <w:rPr>
                <w:rFonts w:ascii="宋体" w:hAnsi="宋体" w:eastAsia="宋体" w:cs="宋体"/>
                <w:sz w:val="18"/>
                <w:szCs w:val="18"/>
              </w:rPr>
              <w:t xml:space="preserve">2.规格:ZC-YJY- </w:t>
            </w:r>
            <w:r>
              <w:rPr>
                <w:rFonts w:ascii="宋体" w:hAnsi="宋体" w:eastAsia="宋体" w:cs="宋体"/>
                <w:spacing w:val="-1"/>
                <w:sz w:val="18"/>
                <w:szCs w:val="18"/>
              </w:rPr>
              <w:t>0.6/1kV-</w:t>
            </w:r>
          </w:p>
          <w:p>
            <w:pPr>
              <w:autoSpaceDE w:val="0"/>
              <w:autoSpaceDN w:val="0"/>
              <w:spacing w:line="228" w:lineRule="auto"/>
              <w:ind w:left="31"/>
              <w:rPr>
                <w:rFonts w:ascii="宋体" w:hAnsi="宋体" w:eastAsia="宋体" w:cs="宋体"/>
                <w:sz w:val="18"/>
                <w:szCs w:val="18"/>
              </w:rPr>
            </w:pPr>
            <w:r>
              <w:rPr>
                <w:rFonts w:ascii="宋体" w:hAnsi="宋体" w:eastAsia="宋体" w:cs="宋体"/>
                <w:sz w:val="18"/>
                <w:szCs w:val="18"/>
              </w:rPr>
              <w:t>4*95+1*50mm2</w:t>
            </w:r>
          </w:p>
          <w:p>
            <w:pPr>
              <w:autoSpaceDE w:val="0"/>
              <w:autoSpaceDN w:val="0"/>
              <w:spacing w:line="203" w:lineRule="auto"/>
              <w:ind w:left="36"/>
              <w:rPr>
                <w:rFonts w:ascii="宋体" w:hAnsi="宋体" w:eastAsia="宋体" w:cs="宋体"/>
                <w:sz w:val="18"/>
                <w:szCs w:val="18"/>
              </w:rPr>
            </w:pPr>
            <w:r>
              <w:rPr>
                <w:rFonts w:ascii="宋体" w:hAnsi="宋体" w:eastAsia="宋体" w:cs="宋体"/>
                <w:spacing w:val="-1"/>
                <w:sz w:val="18"/>
                <w:szCs w:val="18"/>
              </w:rPr>
              <w:t>3.敷设方式:桥架</w:t>
            </w:r>
          </w:p>
        </w:tc>
        <w:tc>
          <w:tcPr>
            <w:tcW w:w="1241" w:type="dxa"/>
            <w:vAlign w:val="top"/>
          </w:tcPr>
          <w:p>
            <w:pPr>
              <w:pStyle w:val="687"/>
              <w:autoSpaceDE w:val="0"/>
              <w:autoSpaceDN w:val="0"/>
              <w:spacing w:line="479" w:lineRule="auto"/>
            </w:pPr>
          </w:p>
          <w:p>
            <w:pPr>
              <w:autoSpaceDE w:val="0"/>
              <w:autoSpaceDN w:val="0"/>
              <w:spacing w:before="58" w:line="241" w:lineRule="auto"/>
              <w:ind w:left="496"/>
              <w:rPr>
                <w:rFonts w:ascii="宋体" w:hAnsi="宋体" w:eastAsia="宋体" w:cs="宋体"/>
                <w:sz w:val="18"/>
                <w:szCs w:val="18"/>
              </w:rPr>
            </w:pPr>
            <w:r>
              <w:rPr>
                <w:rFonts w:ascii="宋体" w:hAnsi="宋体" w:eastAsia="宋体" w:cs="宋体"/>
                <w:sz w:val="18"/>
                <w:szCs w:val="18"/>
              </w:rPr>
              <w:t>m</w:t>
            </w:r>
          </w:p>
        </w:tc>
        <w:tc>
          <w:tcPr>
            <w:tcW w:w="1418" w:type="dxa"/>
            <w:vAlign w:val="top"/>
          </w:tcPr>
          <w:p>
            <w:pPr>
              <w:pStyle w:val="687"/>
              <w:autoSpaceDE w:val="0"/>
              <w:autoSpaceDN w:val="0"/>
              <w:spacing w:line="479" w:lineRule="auto"/>
            </w:pPr>
          </w:p>
          <w:p>
            <w:pPr>
              <w:autoSpaceDE w:val="0"/>
              <w:autoSpaceDN w:val="0"/>
              <w:spacing w:before="59" w:line="239" w:lineRule="auto"/>
              <w:ind w:left="329"/>
              <w:rPr>
                <w:rFonts w:ascii="宋体" w:hAnsi="宋体" w:eastAsia="宋体" w:cs="宋体"/>
                <w:sz w:val="18"/>
                <w:szCs w:val="18"/>
              </w:rPr>
            </w:pPr>
            <w:r>
              <w:rPr>
                <w:rFonts w:ascii="宋体" w:hAnsi="宋体" w:eastAsia="宋体" w:cs="宋体"/>
                <w:spacing w:val="-4"/>
                <w:sz w:val="18"/>
                <w:szCs w:val="18"/>
              </w:rPr>
              <w:t>97</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1197" w:hRule="atLeast"/>
        </w:trPr>
        <w:tc>
          <w:tcPr>
            <w:tcW w:w="820" w:type="dxa"/>
            <w:tcBorders>
              <w:left w:val="single" w:color="000008" w:sz="14" w:space="0"/>
            </w:tcBorders>
            <w:vAlign w:val="top"/>
          </w:tcPr>
          <w:p>
            <w:pPr>
              <w:pStyle w:val="687"/>
              <w:autoSpaceDE w:val="0"/>
              <w:autoSpaceDN w:val="0"/>
            </w:pPr>
          </w:p>
          <w:p>
            <w:pPr>
              <w:pStyle w:val="687"/>
              <w:autoSpaceDE w:val="0"/>
              <w:autoSpaceDN w:val="0"/>
              <w:spacing w:line="241" w:lineRule="auto"/>
            </w:pPr>
          </w:p>
          <w:p>
            <w:pPr>
              <w:autoSpaceDE w:val="0"/>
              <w:autoSpaceDN w:val="0"/>
              <w:spacing w:before="59" w:line="239" w:lineRule="auto"/>
              <w:ind w:left="361"/>
              <w:rPr>
                <w:rFonts w:ascii="宋体" w:hAnsi="宋体" w:eastAsia="宋体" w:cs="宋体"/>
                <w:sz w:val="18"/>
                <w:szCs w:val="18"/>
              </w:rPr>
            </w:pPr>
            <w:r>
              <w:rPr>
                <w:rFonts w:ascii="宋体" w:hAnsi="宋体" w:eastAsia="宋体" w:cs="宋体"/>
                <w:sz w:val="18"/>
                <w:szCs w:val="18"/>
              </w:rPr>
              <w:t>9</w:t>
            </w:r>
          </w:p>
        </w:tc>
        <w:tc>
          <w:tcPr>
            <w:tcW w:w="1361" w:type="dxa"/>
            <w:vAlign w:val="top"/>
          </w:tcPr>
          <w:p>
            <w:pPr>
              <w:pStyle w:val="687"/>
              <w:autoSpaceDE w:val="0"/>
              <w:autoSpaceDN w:val="0"/>
            </w:pPr>
          </w:p>
          <w:p>
            <w:pPr>
              <w:pStyle w:val="687"/>
              <w:autoSpaceDE w:val="0"/>
              <w:autoSpaceDN w:val="0"/>
              <w:spacing w:line="241"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5334" w:type="dxa"/>
            <w:vAlign w:val="top"/>
          </w:tcPr>
          <w:p>
            <w:pPr>
              <w:autoSpaceDE w:val="0"/>
              <w:autoSpaceDN w:val="0"/>
              <w:spacing w:before="92" w:line="219" w:lineRule="auto"/>
              <w:ind w:left="45"/>
              <w:rPr>
                <w:rFonts w:ascii="宋体" w:hAnsi="宋体" w:eastAsia="宋体" w:cs="宋体"/>
                <w:sz w:val="18"/>
                <w:szCs w:val="18"/>
              </w:rPr>
            </w:pPr>
            <w:r>
              <w:rPr>
                <w:rFonts w:ascii="宋体" w:hAnsi="宋体" w:eastAsia="宋体" w:cs="宋体"/>
                <w:spacing w:val="-2"/>
                <w:sz w:val="18"/>
                <w:szCs w:val="18"/>
              </w:rPr>
              <w:t>1.名称:低压电缆</w:t>
            </w:r>
          </w:p>
          <w:p>
            <w:pPr>
              <w:autoSpaceDE w:val="0"/>
              <w:autoSpaceDN w:val="0"/>
              <w:spacing w:before="11" w:line="231" w:lineRule="auto"/>
              <w:ind w:left="34" w:right="302"/>
              <w:rPr>
                <w:rFonts w:ascii="宋体" w:hAnsi="宋体" w:eastAsia="宋体" w:cs="宋体"/>
                <w:sz w:val="18"/>
                <w:szCs w:val="18"/>
              </w:rPr>
            </w:pPr>
            <w:r>
              <w:rPr>
                <w:rFonts w:ascii="宋体" w:hAnsi="宋体" w:eastAsia="宋体" w:cs="宋体"/>
                <w:sz w:val="18"/>
                <w:szCs w:val="18"/>
              </w:rPr>
              <w:t xml:space="preserve">2.规格:ZC-YJY- </w:t>
            </w:r>
            <w:r>
              <w:rPr>
                <w:rFonts w:ascii="宋体" w:hAnsi="宋体" w:eastAsia="宋体" w:cs="宋体"/>
                <w:spacing w:val="-1"/>
                <w:sz w:val="18"/>
                <w:szCs w:val="18"/>
              </w:rPr>
              <w:t>0.6/1kV-</w:t>
            </w:r>
          </w:p>
          <w:p>
            <w:pPr>
              <w:autoSpaceDE w:val="0"/>
              <w:autoSpaceDN w:val="0"/>
              <w:spacing w:line="228" w:lineRule="auto"/>
              <w:ind w:left="31"/>
              <w:rPr>
                <w:rFonts w:ascii="宋体" w:hAnsi="宋体" w:eastAsia="宋体" w:cs="宋体"/>
                <w:sz w:val="18"/>
                <w:szCs w:val="18"/>
              </w:rPr>
            </w:pPr>
            <w:r>
              <w:rPr>
                <w:rFonts w:ascii="宋体" w:hAnsi="宋体" w:eastAsia="宋体" w:cs="宋体"/>
                <w:sz w:val="18"/>
                <w:szCs w:val="18"/>
              </w:rPr>
              <w:t>4*95+1*50mm2</w:t>
            </w:r>
          </w:p>
          <w:p>
            <w:pPr>
              <w:autoSpaceDE w:val="0"/>
              <w:autoSpaceDN w:val="0"/>
              <w:spacing w:line="200" w:lineRule="auto"/>
              <w:ind w:left="36"/>
              <w:rPr>
                <w:rFonts w:ascii="宋体" w:hAnsi="宋体" w:eastAsia="宋体" w:cs="宋体"/>
                <w:sz w:val="18"/>
                <w:szCs w:val="18"/>
              </w:rPr>
            </w:pPr>
            <w:r>
              <w:rPr>
                <w:rFonts w:ascii="宋体" w:hAnsi="宋体" w:eastAsia="宋体" w:cs="宋体"/>
                <w:spacing w:val="-1"/>
                <w:sz w:val="18"/>
                <w:szCs w:val="18"/>
              </w:rPr>
              <w:t>3.敷设方式:直埋</w:t>
            </w:r>
          </w:p>
        </w:tc>
        <w:tc>
          <w:tcPr>
            <w:tcW w:w="1241" w:type="dxa"/>
            <w:vAlign w:val="top"/>
          </w:tcPr>
          <w:p>
            <w:pPr>
              <w:pStyle w:val="687"/>
              <w:autoSpaceDE w:val="0"/>
              <w:autoSpaceDN w:val="0"/>
            </w:pPr>
          </w:p>
          <w:p>
            <w:pPr>
              <w:pStyle w:val="687"/>
              <w:autoSpaceDE w:val="0"/>
              <w:autoSpaceDN w:val="0"/>
              <w:spacing w:line="241" w:lineRule="auto"/>
            </w:pPr>
          </w:p>
          <w:p>
            <w:pPr>
              <w:autoSpaceDE w:val="0"/>
              <w:autoSpaceDN w:val="0"/>
              <w:spacing w:before="58" w:line="241" w:lineRule="auto"/>
              <w:ind w:left="496"/>
              <w:rPr>
                <w:rFonts w:ascii="宋体" w:hAnsi="宋体" w:eastAsia="宋体" w:cs="宋体"/>
                <w:sz w:val="18"/>
                <w:szCs w:val="18"/>
              </w:rPr>
            </w:pPr>
            <w:r>
              <w:rPr>
                <w:rFonts w:ascii="宋体" w:hAnsi="宋体" w:eastAsia="宋体" w:cs="宋体"/>
                <w:sz w:val="18"/>
                <w:szCs w:val="18"/>
              </w:rPr>
              <w:t>m</w:t>
            </w:r>
          </w:p>
        </w:tc>
        <w:tc>
          <w:tcPr>
            <w:tcW w:w="1418" w:type="dxa"/>
            <w:vAlign w:val="top"/>
          </w:tcPr>
          <w:p>
            <w:pPr>
              <w:pStyle w:val="687"/>
              <w:autoSpaceDE w:val="0"/>
              <w:autoSpaceDN w:val="0"/>
            </w:pPr>
          </w:p>
          <w:p>
            <w:pPr>
              <w:pStyle w:val="687"/>
              <w:autoSpaceDE w:val="0"/>
              <w:autoSpaceDN w:val="0"/>
              <w:spacing w:line="241" w:lineRule="auto"/>
            </w:pPr>
          </w:p>
          <w:p>
            <w:pPr>
              <w:autoSpaceDE w:val="0"/>
              <w:autoSpaceDN w:val="0"/>
              <w:spacing w:before="59" w:line="239" w:lineRule="auto"/>
              <w:ind w:left="341"/>
              <w:rPr>
                <w:rFonts w:ascii="宋体" w:hAnsi="宋体" w:eastAsia="宋体" w:cs="宋体"/>
                <w:sz w:val="18"/>
                <w:szCs w:val="18"/>
              </w:rPr>
            </w:pPr>
            <w:r>
              <w:rPr>
                <w:rFonts w:ascii="宋体" w:hAnsi="宋体" w:eastAsia="宋体" w:cs="宋体"/>
                <w:spacing w:val="-10"/>
                <w:sz w:val="18"/>
                <w:szCs w:val="18"/>
              </w:rPr>
              <w:t>10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967" w:hRule="atLeast"/>
        </w:trPr>
        <w:tc>
          <w:tcPr>
            <w:tcW w:w="820" w:type="dxa"/>
            <w:tcBorders>
              <w:left w:val="single" w:color="000008" w:sz="14" w:space="0"/>
            </w:tcBorders>
            <w:vAlign w:val="top"/>
          </w:tcPr>
          <w:p>
            <w:pPr>
              <w:pStyle w:val="687"/>
              <w:autoSpaceDE w:val="0"/>
              <w:autoSpaceDN w:val="0"/>
              <w:spacing w:line="370" w:lineRule="auto"/>
            </w:pPr>
          </w:p>
          <w:p>
            <w:pPr>
              <w:autoSpaceDE w:val="0"/>
              <w:autoSpaceDN w:val="0"/>
              <w:spacing w:before="59" w:line="239" w:lineRule="auto"/>
              <w:ind w:left="330"/>
              <w:rPr>
                <w:rFonts w:ascii="宋体" w:hAnsi="宋体" w:eastAsia="宋体" w:cs="宋体"/>
                <w:sz w:val="18"/>
                <w:szCs w:val="18"/>
              </w:rPr>
            </w:pPr>
            <w:r>
              <w:rPr>
                <w:rFonts w:ascii="宋体" w:hAnsi="宋体" w:eastAsia="宋体" w:cs="宋体"/>
                <w:spacing w:val="-10"/>
                <w:sz w:val="18"/>
                <w:szCs w:val="18"/>
              </w:rPr>
              <w:t>10</w:t>
            </w:r>
          </w:p>
        </w:tc>
        <w:tc>
          <w:tcPr>
            <w:tcW w:w="1361" w:type="dxa"/>
            <w:vAlign w:val="top"/>
          </w:tcPr>
          <w:p>
            <w:pPr>
              <w:pStyle w:val="687"/>
              <w:autoSpaceDE w:val="0"/>
              <w:autoSpaceDN w:val="0"/>
              <w:spacing w:line="370"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6"/>
                <w:sz w:val="18"/>
                <w:szCs w:val="18"/>
              </w:rPr>
              <w:t>电力电缆头</w:t>
            </w:r>
          </w:p>
        </w:tc>
        <w:tc>
          <w:tcPr>
            <w:tcW w:w="5334" w:type="dxa"/>
            <w:vAlign w:val="top"/>
          </w:tcPr>
          <w:p>
            <w:pPr>
              <w:autoSpaceDE w:val="0"/>
              <w:autoSpaceDN w:val="0"/>
              <w:spacing w:before="93" w:line="219" w:lineRule="auto"/>
              <w:ind w:left="45"/>
              <w:rPr>
                <w:rFonts w:ascii="宋体" w:hAnsi="宋体" w:eastAsia="宋体" w:cs="宋体"/>
                <w:sz w:val="18"/>
                <w:szCs w:val="18"/>
              </w:rPr>
            </w:pPr>
            <w:r>
              <w:rPr>
                <w:rFonts w:ascii="宋体" w:hAnsi="宋体" w:eastAsia="宋体" w:cs="宋体"/>
                <w:spacing w:val="-2"/>
                <w:sz w:val="18"/>
                <w:szCs w:val="18"/>
              </w:rPr>
              <w:t>1.名称:电缆终端头</w:t>
            </w:r>
          </w:p>
          <w:p>
            <w:pPr>
              <w:autoSpaceDE w:val="0"/>
              <w:autoSpaceDN w:val="0"/>
              <w:spacing w:before="10" w:line="230" w:lineRule="auto"/>
              <w:ind w:left="34" w:right="302"/>
              <w:rPr>
                <w:rFonts w:ascii="宋体" w:hAnsi="宋体" w:eastAsia="宋体" w:cs="宋体"/>
                <w:sz w:val="18"/>
                <w:szCs w:val="18"/>
              </w:rPr>
            </w:pPr>
            <w:r>
              <w:rPr>
                <w:rFonts w:ascii="宋体" w:hAnsi="宋体" w:eastAsia="宋体" w:cs="宋体"/>
                <w:sz w:val="18"/>
                <w:szCs w:val="18"/>
              </w:rPr>
              <w:t xml:space="preserve">2.规格:ZC-YJY- </w:t>
            </w:r>
            <w:r>
              <w:rPr>
                <w:rFonts w:ascii="宋体" w:hAnsi="宋体" w:eastAsia="宋体" w:cs="宋体"/>
                <w:spacing w:val="-1"/>
                <w:sz w:val="18"/>
                <w:szCs w:val="18"/>
              </w:rPr>
              <w:t>0.6/1kV-</w:t>
            </w:r>
          </w:p>
          <w:p>
            <w:pPr>
              <w:autoSpaceDE w:val="0"/>
              <w:autoSpaceDN w:val="0"/>
              <w:spacing w:line="195" w:lineRule="auto"/>
              <w:ind w:left="31"/>
              <w:rPr>
                <w:rFonts w:ascii="宋体" w:hAnsi="宋体" w:eastAsia="宋体" w:cs="宋体"/>
                <w:sz w:val="18"/>
                <w:szCs w:val="18"/>
              </w:rPr>
            </w:pPr>
            <w:r>
              <w:rPr>
                <w:rFonts w:ascii="宋体" w:hAnsi="宋体" w:eastAsia="宋体" w:cs="宋体"/>
                <w:sz w:val="18"/>
                <w:szCs w:val="18"/>
              </w:rPr>
              <w:t>4*95+1*50mm2</w:t>
            </w:r>
          </w:p>
        </w:tc>
        <w:tc>
          <w:tcPr>
            <w:tcW w:w="1241" w:type="dxa"/>
            <w:vAlign w:val="top"/>
          </w:tcPr>
          <w:p>
            <w:pPr>
              <w:pStyle w:val="687"/>
              <w:autoSpaceDE w:val="0"/>
              <w:autoSpaceDN w:val="0"/>
              <w:spacing w:line="370" w:lineRule="auto"/>
            </w:pPr>
          </w:p>
          <w:p>
            <w:pPr>
              <w:autoSpaceDE w:val="0"/>
              <w:autoSpaceDN w:val="0"/>
              <w:spacing w:before="59" w:line="219" w:lineRule="auto"/>
              <w:ind w:left="458"/>
              <w:rPr>
                <w:rFonts w:ascii="宋体" w:hAnsi="宋体" w:eastAsia="宋体" w:cs="宋体"/>
                <w:sz w:val="18"/>
                <w:szCs w:val="18"/>
              </w:rPr>
            </w:pPr>
            <w:r>
              <w:rPr>
                <w:rFonts w:ascii="宋体" w:hAnsi="宋体" w:eastAsia="宋体" w:cs="宋体"/>
                <w:sz w:val="18"/>
                <w:szCs w:val="18"/>
              </w:rPr>
              <w:t>个</w:t>
            </w:r>
          </w:p>
        </w:tc>
        <w:tc>
          <w:tcPr>
            <w:tcW w:w="1418" w:type="dxa"/>
            <w:vAlign w:val="top"/>
          </w:tcPr>
          <w:p>
            <w:pPr>
              <w:pStyle w:val="687"/>
              <w:autoSpaceDE w:val="0"/>
              <w:autoSpaceDN w:val="0"/>
              <w:spacing w:line="370" w:lineRule="auto"/>
            </w:pPr>
          </w:p>
          <w:p>
            <w:pPr>
              <w:autoSpaceDE w:val="0"/>
              <w:autoSpaceDN w:val="0"/>
              <w:spacing w:before="58" w:line="241" w:lineRule="auto"/>
              <w:ind w:left="372"/>
              <w:rPr>
                <w:rFonts w:ascii="宋体" w:hAnsi="宋体" w:eastAsia="宋体" w:cs="宋体"/>
                <w:sz w:val="18"/>
                <w:szCs w:val="18"/>
              </w:rPr>
            </w:pPr>
            <w:r>
              <w:rPr>
                <w:rFonts w:ascii="宋体" w:hAnsi="宋体" w:eastAsia="宋体" w:cs="宋体"/>
                <w:sz w:val="18"/>
                <w:szCs w:val="18"/>
              </w:rPr>
              <w:t>4</w:t>
            </w:r>
          </w:p>
        </w:tc>
      </w:tr>
    </w:tbl>
    <w:p>
      <w:pPr>
        <w:pStyle w:val="19"/>
        <w:spacing w:line="14" w:lineRule="auto"/>
        <w:rPr>
          <w:sz w:val="2"/>
        </w:rPr>
      </w:pPr>
    </w:p>
    <w:p>
      <w:pPr>
        <w:spacing w:line="14" w:lineRule="auto"/>
        <w:rPr>
          <w:sz w:val="2"/>
          <w:szCs w:val="2"/>
        </w:rPr>
        <w:sectPr>
          <w:type w:val="continuous"/>
          <w:pgSz w:w="11905" w:h="16837"/>
          <w:pgMar w:top="957" w:right="859" w:bottom="0" w:left="819" w:header="0" w:footer="0" w:gutter="0"/>
          <w:cols w:equalWidth="0" w:num="1">
            <w:col w:w="10227"/>
          </w:cols>
        </w:sectPr>
      </w:pPr>
    </w:p>
    <w:p>
      <w:pPr>
        <w:pStyle w:val="2"/>
        <w:rPr>
          <w:rFonts w:ascii="宋体" w:hAnsi="宋体" w:eastAsia="宋体" w:cs="宋体"/>
          <w:spacing w:val="-6"/>
          <w:sz w:val="18"/>
          <w:szCs w:val="18"/>
        </w:rPr>
      </w:pPr>
    </w:p>
    <w:p>
      <w:pPr>
        <w:rPr>
          <w:rFonts w:ascii="宋体" w:hAnsi="宋体" w:eastAsia="宋体" w:cs="宋体"/>
          <w:spacing w:val="-6"/>
          <w:sz w:val="18"/>
          <w:szCs w:val="18"/>
        </w:rPr>
      </w:pPr>
    </w:p>
    <w:p>
      <w:pPr>
        <w:pStyle w:val="2"/>
        <w:rPr>
          <w:rFonts w:ascii="宋体" w:hAnsi="宋体" w:eastAsia="宋体" w:cs="宋体"/>
          <w:spacing w:val="-6"/>
          <w:sz w:val="18"/>
          <w:szCs w:val="18"/>
        </w:rPr>
      </w:pPr>
    </w:p>
    <w:p>
      <w:pPr>
        <w:ind w:left="-9439" w:leftChars="-4495" w:right="9320" w:rightChars="4438" w:firstLine="0" w:firstLineChars="0"/>
        <w:jc w:val="left"/>
        <w:sectPr>
          <w:type w:val="continuous"/>
          <w:pgSz w:w="11905" w:h="16837"/>
          <w:pgMar w:top="957" w:right="859" w:bottom="0" w:left="819" w:header="0" w:footer="0" w:gutter="0"/>
          <w:cols w:equalWidth="0" w:num="3">
            <w:col w:w="8653" w:space="100"/>
            <w:col w:w="720" w:space="33"/>
            <w:col w:w="720"/>
          </w:cols>
        </w:sectPr>
      </w:pPr>
    </w:p>
    <w:p>
      <w:pPr>
        <w:pStyle w:val="2"/>
        <w:numPr>
          <w:ilvl w:val="0"/>
          <w:numId w:val="0"/>
        </w:numPr>
        <w:jc w:val="center"/>
        <w:rPr>
          <w:rFonts w:hint="eastAsia"/>
          <w:lang w:val="en-US" w:eastAsia="zh-CN"/>
        </w:rPr>
      </w:pPr>
      <w:r>
        <w:rPr>
          <w:rFonts w:hint="eastAsia"/>
          <w:b/>
          <w:bCs/>
          <w:sz w:val="31"/>
          <w:szCs w:val="31"/>
          <w:lang w:val="en-US" w:eastAsia="zh-CN"/>
        </w:rPr>
        <w:t>分部分项工程项目清单</w:t>
      </w:r>
    </w:p>
    <w:p>
      <w:pPr>
        <w:pStyle w:val="2"/>
        <w:numPr>
          <w:ilvl w:val="0"/>
          <w:numId w:val="0"/>
        </w:numPr>
        <w:rPr>
          <w:rFonts w:hint="eastAsia"/>
          <w:lang w:val="en-US" w:eastAsia="zh-CN"/>
        </w:rPr>
      </w:pPr>
    </w:p>
    <w:p>
      <w:pPr>
        <w:pStyle w:val="2"/>
        <w:numPr>
          <w:ilvl w:val="0"/>
          <w:numId w:val="0"/>
        </w:numPr>
        <w:rPr>
          <w:rFonts w:hint="eastAsia"/>
          <w:lang w:val="en-US" w:eastAsia="zh-CN"/>
        </w:rPr>
      </w:pPr>
      <w:r>
        <w:rPr>
          <w:rFonts w:hint="eastAsia" w:ascii="宋体" w:hAnsi="宋体" w:eastAsia="宋体" w:cs="宋体"/>
          <w:sz w:val="18"/>
          <w:szCs w:val="18"/>
          <w:lang w:val="en-US" w:eastAsia="zh-CN"/>
        </w:rPr>
        <w:t xml:space="preserve">工程名称： (北方工业大学附属学校单项工程-低压电缆单位工程)                     </w:t>
      </w:r>
      <w:r>
        <w:rPr>
          <w:rFonts w:hint="eastAsia"/>
          <w:sz w:val="18"/>
          <w:szCs w:val="18"/>
          <w:lang w:val="en-US" w:eastAsia="zh-CN"/>
        </w:rPr>
        <w:t>第 2 页  共 2 页</w:t>
      </w:r>
    </w:p>
    <w:p>
      <w:pPr>
        <w:pStyle w:val="2"/>
        <w:numPr>
          <w:ilvl w:val="0"/>
          <w:numId w:val="0"/>
        </w:numPr>
        <w:rPr>
          <w:rFonts w:hint="eastAsia"/>
          <w:lang w:val="en-US" w:eastAsia="zh-CN"/>
        </w:rPr>
      </w:pPr>
    </w:p>
    <w:tbl>
      <w:tblPr>
        <w:tblStyle w:val="346"/>
        <w:tblW w:w="9133" w:type="dxa"/>
        <w:tblInd w:w="17" w:type="dxa"/>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
      <w:tblGrid>
        <w:gridCol w:w="820"/>
        <w:gridCol w:w="1361"/>
        <w:gridCol w:w="4456"/>
        <w:gridCol w:w="1255"/>
        <w:gridCol w:w="1241"/>
      </w:tblGrid>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62" w:hRule="atLeast"/>
        </w:trPr>
        <w:tc>
          <w:tcPr>
            <w:tcW w:w="820" w:type="dxa"/>
            <w:vMerge w:val="restart"/>
            <w:tcBorders>
              <w:top w:val="single" w:color="000008" w:sz="14" w:space="0"/>
              <w:left w:val="single" w:color="000008" w:sz="14" w:space="0"/>
              <w:bottom w:val="nil"/>
            </w:tcBorders>
            <w:vAlign w:val="top"/>
          </w:tcPr>
          <w:p>
            <w:pPr>
              <w:pStyle w:val="687"/>
              <w:autoSpaceDE w:val="0"/>
              <w:autoSpaceDN w:val="0"/>
              <w:spacing w:line="381" w:lineRule="auto"/>
            </w:pPr>
          </w:p>
          <w:p>
            <w:pPr>
              <w:autoSpaceDE w:val="0"/>
              <w:autoSpaceDN w:val="0"/>
              <w:spacing w:before="62" w:line="229" w:lineRule="auto"/>
              <w:ind w:left="207"/>
              <w:rPr>
                <w:rFonts w:ascii="宋体" w:hAnsi="宋体" w:eastAsia="宋体" w:cs="宋体"/>
                <w:sz w:val="19"/>
                <w:szCs w:val="19"/>
              </w:rPr>
            </w:pPr>
            <w:r>
              <w:rPr>
                <w:rFonts w:ascii="宋体" w:hAnsi="宋体" w:eastAsia="宋体" w:cs="宋体"/>
                <w:spacing w:val="5"/>
                <w:sz w:val="19"/>
                <w:szCs w:val="19"/>
              </w:rPr>
              <w:t>序号</w:t>
            </w:r>
          </w:p>
        </w:tc>
        <w:tc>
          <w:tcPr>
            <w:tcW w:w="1361"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288"/>
              <w:rPr>
                <w:rFonts w:ascii="宋体" w:hAnsi="宋体" w:eastAsia="宋体" w:cs="宋体"/>
                <w:sz w:val="19"/>
                <w:szCs w:val="19"/>
              </w:rPr>
            </w:pPr>
            <w:r>
              <w:rPr>
                <w:rFonts w:ascii="宋体" w:hAnsi="宋体" w:eastAsia="宋体" w:cs="宋体"/>
                <w:spacing w:val="6"/>
                <w:sz w:val="19"/>
                <w:szCs w:val="19"/>
              </w:rPr>
              <w:t>项目名称</w:t>
            </w:r>
          </w:p>
        </w:tc>
        <w:tc>
          <w:tcPr>
            <w:tcW w:w="4456"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8" w:lineRule="auto"/>
              <w:ind w:left="218"/>
              <w:rPr>
                <w:rFonts w:ascii="宋体" w:hAnsi="宋体" w:eastAsia="宋体" w:cs="宋体"/>
                <w:sz w:val="19"/>
                <w:szCs w:val="19"/>
              </w:rPr>
            </w:pPr>
            <w:r>
              <w:rPr>
                <w:rFonts w:ascii="宋体" w:hAnsi="宋体" w:eastAsia="宋体" w:cs="宋体"/>
                <w:spacing w:val="7"/>
                <w:sz w:val="19"/>
                <w:szCs w:val="19"/>
              </w:rPr>
              <w:t>项目特征描述</w:t>
            </w:r>
          </w:p>
        </w:tc>
        <w:tc>
          <w:tcPr>
            <w:tcW w:w="1255"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152"/>
              <w:rPr>
                <w:rFonts w:ascii="宋体" w:hAnsi="宋体" w:eastAsia="宋体" w:cs="宋体"/>
                <w:sz w:val="19"/>
                <w:szCs w:val="19"/>
              </w:rPr>
            </w:pPr>
            <w:r>
              <w:rPr>
                <w:rFonts w:ascii="宋体" w:hAnsi="宋体" w:eastAsia="宋体" w:cs="宋体"/>
                <w:spacing w:val="7"/>
                <w:sz w:val="19"/>
                <w:szCs w:val="19"/>
              </w:rPr>
              <w:t>计量单位</w:t>
            </w:r>
          </w:p>
        </w:tc>
        <w:tc>
          <w:tcPr>
            <w:tcW w:w="1241" w:type="dxa"/>
            <w:vMerge w:val="restart"/>
            <w:tcBorders>
              <w:top w:val="single" w:color="000008" w:sz="14" w:space="0"/>
              <w:bottom w:val="nil"/>
            </w:tcBorders>
            <w:vAlign w:val="top"/>
          </w:tcPr>
          <w:p>
            <w:pPr>
              <w:pStyle w:val="687"/>
              <w:autoSpaceDE w:val="0"/>
              <w:autoSpaceDN w:val="0"/>
              <w:spacing w:line="380" w:lineRule="auto"/>
            </w:pPr>
          </w:p>
          <w:p>
            <w:pPr>
              <w:autoSpaceDE w:val="0"/>
              <w:autoSpaceDN w:val="0"/>
              <w:spacing w:before="62" w:line="229" w:lineRule="auto"/>
              <w:ind w:left="122"/>
              <w:rPr>
                <w:rFonts w:ascii="宋体" w:hAnsi="宋体" w:eastAsia="宋体" w:cs="宋体"/>
                <w:sz w:val="19"/>
                <w:szCs w:val="19"/>
              </w:rPr>
            </w:pPr>
            <w:r>
              <w:rPr>
                <w:rFonts w:ascii="宋体" w:hAnsi="宋体" w:eastAsia="宋体" w:cs="宋体"/>
                <w:spacing w:val="5"/>
                <w:sz w:val="19"/>
                <w:szCs w:val="19"/>
              </w:rPr>
              <w:t>工程量</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vMerge w:val="continue"/>
            <w:tcBorders>
              <w:top w:val="nil"/>
              <w:left w:val="single" w:color="000008" w:sz="14" w:space="0"/>
              <w:bottom w:val="nil"/>
            </w:tcBorders>
            <w:vAlign w:val="top"/>
          </w:tcPr>
          <w:p>
            <w:pPr>
              <w:pStyle w:val="687"/>
              <w:autoSpaceDE w:val="0"/>
              <w:autoSpaceDN w:val="0"/>
            </w:pPr>
          </w:p>
        </w:tc>
        <w:tc>
          <w:tcPr>
            <w:tcW w:w="1361" w:type="dxa"/>
            <w:vMerge w:val="continue"/>
            <w:tcBorders>
              <w:top w:val="nil"/>
              <w:bottom w:val="nil"/>
            </w:tcBorders>
            <w:vAlign w:val="top"/>
          </w:tcPr>
          <w:p>
            <w:pPr>
              <w:pStyle w:val="687"/>
              <w:autoSpaceDE w:val="0"/>
              <w:autoSpaceDN w:val="0"/>
            </w:pPr>
          </w:p>
        </w:tc>
        <w:tc>
          <w:tcPr>
            <w:tcW w:w="4456" w:type="dxa"/>
            <w:vMerge w:val="continue"/>
            <w:tcBorders>
              <w:top w:val="nil"/>
              <w:bottom w:val="nil"/>
            </w:tcBorders>
            <w:vAlign w:val="top"/>
          </w:tcPr>
          <w:p>
            <w:pPr>
              <w:pStyle w:val="687"/>
              <w:autoSpaceDE w:val="0"/>
              <w:autoSpaceDN w:val="0"/>
            </w:pPr>
          </w:p>
        </w:tc>
        <w:tc>
          <w:tcPr>
            <w:tcW w:w="1255" w:type="dxa"/>
            <w:vMerge w:val="continue"/>
            <w:tcBorders>
              <w:top w:val="nil"/>
              <w:bottom w:val="nil"/>
            </w:tcBorders>
            <w:vAlign w:val="top"/>
          </w:tcPr>
          <w:p>
            <w:pPr>
              <w:pStyle w:val="687"/>
              <w:autoSpaceDE w:val="0"/>
              <w:autoSpaceDN w:val="0"/>
            </w:pPr>
          </w:p>
        </w:tc>
        <w:tc>
          <w:tcPr>
            <w:tcW w:w="1241" w:type="dxa"/>
            <w:vMerge w:val="continue"/>
            <w:tcBorders>
              <w:top w:val="nil"/>
              <w:bottom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12" w:hRule="atLeast"/>
        </w:trPr>
        <w:tc>
          <w:tcPr>
            <w:tcW w:w="820" w:type="dxa"/>
            <w:vMerge w:val="continue"/>
            <w:tcBorders>
              <w:top w:val="nil"/>
              <w:left w:val="single" w:color="000008" w:sz="14" w:space="0"/>
            </w:tcBorders>
            <w:vAlign w:val="top"/>
          </w:tcPr>
          <w:p>
            <w:pPr>
              <w:pStyle w:val="687"/>
              <w:autoSpaceDE w:val="0"/>
              <w:autoSpaceDN w:val="0"/>
            </w:pPr>
          </w:p>
        </w:tc>
        <w:tc>
          <w:tcPr>
            <w:tcW w:w="1361" w:type="dxa"/>
            <w:vMerge w:val="continue"/>
            <w:tcBorders>
              <w:top w:val="nil"/>
            </w:tcBorders>
            <w:vAlign w:val="top"/>
          </w:tcPr>
          <w:p>
            <w:pPr>
              <w:pStyle w:val="687"/>
              <w:autoSpaceDE w:val="0"/>
              <w:autoSpaceDN w:val="0"/>
            </w:pPr>
          </w:p>
        </w:tc>
        <w:tc>
          <w:tcPr>
            <w:tcW w:w="4456" w:type="dxa"/>
            <w:vMerge w:val="continue"/>
            <w:tcBorders>
              <w:top w:val="nil"/>
            </w:tcBorders>
            <w:vAlign w:val="top"/>
          </w:tcPr>
          <w:p>
            <w:pPr>
              <w:pStyle w:val="687"/>
              <w:autoSpaceDE w:val="0"/>
              <w:autoSpaceDN w:val="0"/>
            </w:pPr>
          </w:p>
        </w:tc>
        <w:tc>
          <w:tcPr>
            <w:tcW w:w="1255" w:type="dxa"/>
            <w:vMerge w:val="continue"/>
            <w:tcBorders>
              <w:top w:val="nil"/>
            </w:tcBorders>
            <w:vAlign w:val="top"/>
          </w:tcPr>
          <w:p>
            <w:pPr>
              <w:pStyle w:val="687"/>
              <w:autoSpaceDE w:val="0"/>
              <w:autoSpaceDN w:val="0"/>
            </w:pPr>
          </w:p>
        </w:tc>
        <w:tc>
          <w:tcPr>
            <w:tcW w:w="1241" w:type="dxa"/>
            <w:vMerge w:val="continue"/>
            <w:tcBorders>
              <w:top w:val="nil"/>
            </w:tcBorders>
            <w:vAlign w:val="top"/>
          </w:tcPr>
          <w:p>
            <w:pPr>
              <w:pStyle w:val="687"/>
              <w:autoSpaceDE w:val="0"/>
              <w:autoSpaceDN w:val="0"/>
            </w:pP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650" w:hRule="atLeast"/>
        </w:trPr>
        <w:tc>
          <w:tcPr>
            <w:tcW w:w="820" w:type="dxa"/>
            <w:tcBorders>
              <w:left w:val="single" w:color="000008" w:sz="14" w:space="0"/>
            </w:tcBorders>
            <w:vAlign w:val="top"/>
          </w:tcPr>
          <w:p>
            <w:pPr>
              <w:pStyle w:val="687"/>
              <w:autoSpaceDE w:val="0"/>
              <w:autoSpaceDN w:val="0"/>
              <w:spacing w:line="456" w:lineRule="auto"/>
            </w:pPr>
          </w:p>
          <w:p>
            <w:pPr>
              <w:autoSpaceDE w:val="0"/>
              <w:autoSpaceDN w:val="0"/>
              <w:spacing w:before="58" w:line="241" w:lineRule="auto"/>
              <w:ind w:left="330"/>
              <w:rPr>
                <w:rFonts w:ascii="宋体" w:hAnsi="宋体" w:eastAsia="宋体" w:cs="宋体"/>
                <w:sz w:val="18"/>
                <w:szCs w:val="18"/>
              </w:rPr>
            </w:pPr>
            <w:r>
              <w:rPr>
                <w:rFonts w:ascii="宋体" w:hAnsi="宋体" w:eastAsia="宋体" w:cs="宋体"/>
                <w:spacing w:val="-10"/>
                <w:sz w:val="18"/>
                <w:szCs w:val="18"/>
              </w:rPr>
              <w:t>11</w:t>
            </w:r>
          </w:p>
        </w:tc>
        <w:tc>
          <w:tcPr>
            <w:tcW w:w="1361" w:type="dxa"/>
            <w:vAlign w:val="top"/>
          </w:tcPr>
          <w:p>
            <w:pPr>
              <w:pStyle w:val="687"/>
              <w:autoSpaceDE w:val="0"/>
              <w:autoSpaceDN w:val="0"/>
              <w:spacing w:line="456"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4456" w:type="dxa"/>
            <w:vAlign w:val="top"/>
          </w:tcPr>
          <w:p>
            <w:pPr>
              <w:autoSpaceDE w:val="0"/>
              <w:autoSpaceDN w:val="0"/>
              <w:spacing w:before="67" w:line="219" w:lineRule="auto"/>
              <w:ind w:left="45"/>
              <w:rPr>
                <w:rFonts w:ascii="宋体" w:hAnsi="宋体" w:eastAsia="宋体" w:cs="宋体"/>
                <w:sz w:val="18"/>
                <w:szCs w:val="18"/>
              </w:rPr>
            </w:pPr>
            <w:r>
              <w:rPr>
                <w:rFonts w:ascii="宋体" w:hAnsi="宋体" w:eastAsia="宋体" w:cs="宋体"/>
                <w:spacing w:val="-2"/>
                <w:sz w:val="18"/>
                <w:szCs w:val="18"/>
              </w:rPr>
              <w:t>1.名称:低压电缆</w:t>
            </w:r>
          </w:p>
          <w:p>
            <w:pPr>
              <w:autoSpaceDE w:val="0"/>
              <w:autoSpaceDN w:val="0"/>
              <w:spacing w:before="12" w:line="229" w:lineRule="auto"/>
              <w:ind w:left="34" w:right="302"/>
              <w:rPr>
                <w:rFonts w:ascii="宋体" w:hAnsi="宋体" w:eastAsia="宋体" w:cs="宋体"/>
                <w:sz w:val="18"/>
                <w:szCs w:val="18"/>
              </w:rPr>
            </w:pPr>
            <w:r>
              <w:rPr>
                <w:rFonts w:ascii="宋体" w:hAnsi="宋体" w:eastAsia="宋体" w:cs="宋体"/>
                <w:sz w:val="18"/>
                <w:szCs w:val="18"/>
              </w:rPr>
              <w:t xml:space="preserve">2.规格:ZC-YJY- </w:t>
            </w:r>
            <w:r>
              <w:rPr>
                <w:rFonts w:ascii="宋体" w:hAnsi="宋体" w:eastAsia="宋体" w:cs="宋体"/>
                <w:spacing w:val="-1"/>
                <w:sz w:val="18"/>
                <w:szCs w:val="18"/>
              </w:rPr>
              <w:t>0.6/1kV-</w:t>
            </w:r>
          </w:p>
          <w:p>
            <w:pPr>
              <w:autoSpaceDE w:val="0"/>
              <w:autoSpaceDN w:val="0"/>
              <w:spacing w:line="231" w:lineRule="auto"/>
              <w:ind w:left="31"/>
              <w:rPr>
                <w:rFonts w:ascii="宋体" w:hAnsi="宋体" w:eastAsia="宋体" w:cs="宋体"/>
                <w:sz w:val="18"/>
                <w:szCs w:val="18"/>
              </w:rPr>
            </w:pPr>
            <w:r>
              <w:rPr>
                <w:rFonts w:ascii="宋体" w:hAnsi="宋体" w:eastAsia="宋体" w:cs="宋体"/>
                <w:sz w:val="18"/>
                <w:szCs w:val="18"/>
              </w:rPr>
              <w:t>4*70+1*35mm2</w:t>
            </w:r>
          </w:p>
          <w:p>
            <w:pPr>
              <w:autoSpaceDE w:val="0"/>
              <w:autoSpaceDN w:val="0"/>
              <w:spacing w:line="219" w:lineRule="auto"/>
              <w:ind w:left="36"/>
              <w:rPr>
                <w:rFonts w:ascii="宋体" w:hAnsi="宋体" w:eastAsia="宋体" w:cs="宋体"/>
                <w:sz w:val="18"/>
                <w:szCs w:val="18"/>
              </w:rPr>
            </w:pPr>
            <w:r>
              <w:rPr>
                <w:rFonts w:ascii="宋体" w:hAnsi="宋体" w:eastAsia="宋体" w:cs="宋体"/>
                <w:spacing w:val="-1"/>
                <w:sz w:val="18"/>
                <w:szCs w:val="18"/>
              </w:rPr>
              <w:t>3.敷设方式:桥架</w:t>
            </w:r>
          </w:p>
        </w:tc>
        <w:tc>
          <w:tcPr>
            <w:tcW w:w="1255" w:type="dxa"/>
            <w:vAlign w:val="top"/>
          </w:tcPr>
          <w:p>
            <w:pPr>
              <w:pStyle w:val="687"/>
              <w:autoSpaceDE w:val="0"/>
              <w:autoSpaceDN w:val="0"/>
              <w:spacing w:line="456" w:lineRule="auto"/>
            </w:pPr>
          </w:p>
          <w:p>
            <w:pPr>
              <w:autoSpaceDE w:val="0"/>
              <w:autoSpaceDN w:val="0"/>
              <w:spacing w:before="58" w:line="241" w:lineRule="auto"/>
              <w:ind w:left="496"/>
              <w:rPr>
                <w:rFonts w:ascii="宋体" w:hAnsi="宋体" w:eastAsia="宋体" w:cs="宋体"/>
                <w:sz w:val="18"/>
                <w:szCs w:val="18"/>
              </w:rPr>
            </w:pPr>
            <w:r>
              <w:rPr>
                <w:rFonts w:ascii="宋体" w:hAnsi="宋体" w:eastAsia="宋体" w:cs="宋体"/>
                <w:sz w:val="18"/>
                <w:szCs w:val="18"/>
              </w:rPr>
              <w:t>m</w:t>
            </w:r>
          </w:p>
        </w:tc>
        <w:tc>
          <w:tcPr>
            <w:tcW w:w="1241" w:type="dxa"/>
            <w:vAlign w:val="top"/>
          </w:tcPr>
          <w:p>
            <w:pPr>
              <w:pStyle w:val="687"/>
              <w:autoSpaceDE w:val="0"/>
              <w:autoSpaceDN w:val="0"/>
              <w:spacing w:line="456" w:lineRule="auto"/>
            </w:pPr>
          </w:p>
          <w:p>
            <w:pPr>
              <w:autoSpaceDE w:val="0"/>
              <w:autoSpaceDN w:val="0"/>
              <w:spacing w:before="59" w:line="239" w:lineRule="auto"/>
              <w:ind w:left="330"/>
              <w:rPr>
                <w:rFonts w:ascii="宋体" w:hAnsi="宋体" w:eastAsia="宋体" w:cs="宋体"/>
                <w:sz w:val="18"/>
                <w:szCs w:val="18"/>
              </w:rPr>
            </w:pPr>
            <w:r>
              <w:rPr>
                <w:rFonts w:ascii="宋体" w:hAnsi="宋体" w:eastAsia="宋体" w:cs="宋体"/>
                <w:spacing w:val="-5"/>
                <w:sz w:val="18"/>
                <w:szCs w:val="18"/>
              </w:rPr>
              <w:t>25</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31" w:hRule="atLeast"/>
        </w:trPr>
        <w:tc>
          <w:tcPr>
            <w:tcW w:w="820" w:type="dxa"/>
            <w:tcBorders>
              <w:left w:val="single" w:color="000008" w:sz="14" w:space="0"/>
            </w:tcBorders>
            <w:vAlign w:val="top"/>
          </w:tcPr>
          <w:p>
            <w:pPr>
              <w:pStyle w:val="687"/>
              <w:autoSpaceDE w:val="0"/>
              <w:autoSpaceDN w:val="0"/>
              <w:spacing w:line="345" w:lineRule="auto"/>
            </w:pPr>
          </w:p>
          <w:p>
            <w:pPr>
              <w:autoSpaceDE w:val="0"/>
              <w:autoSpaceDN w:val="0"/>
              <w:spacing w:before="58" w:line="241" w:lineRule="auto"/>
              <w:ind w:left="330"/>
              <w:rPr>
                <w:rFonts w:ascii="宋体" w:hAnsi="宋体" w:eastAsia="宋体" w:cs="宋体"/>
                <w:sz w:val="18"/>
                <w:szCs w:val="18"/>
              </w:rPr>
            </w:pPr>
            <w:r>
              <w:rPr>
                <w:rFonts w:ascii="宋体" w:hAnsi="宋体" w:eastAsia="宋体" w:cs="宋体"/>
                <w:spacing w:val="-10"/>
                <w:sz w:val="18"/>
                <w:szCs w:val="18"/>
              </w:rPr>
              <w:t>12</w:t>
            </w:r>
          </w:p>
        </w:tc>
        <w:tc>
          <w:tcPr>
            <w:tcW w:w="1361" w:type="dxa"/>
            <w:vAlign w:val="top"/>
          </w:tcPr>
          <w:p>
            <w:pPr>
              <w:pStyle w:val="687"/>
              <w:autoSpaceDE w:val="0"/>
              <w:autoSpaceDN w:val="0"/>
              <w:spacing w:line="345"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6"/>
                <w:sz w:val="18"/>
                <w:szCs w:val="18"/>
              </w:rPr>
              <w:t>电力电缆头</w:t>
            </w:r>
          </w:p>
        </w:tc>
        <w:tc>
          <w:tcPr>
            <w:tcW w:w="4456" w:type="dxa"/>
            <w:vAlign w:val="top"/>
          </w:tcPr>
          <w:p>
            <w:pPr>
              <w:autoSpaceDE w:val="0"/>
              <w:autoSpaceDN w:val="0"/>
              <w:spacing w:before="67" w:line="219" w:lineRule="auto"/>
              <w:ind w:left="45"/>
              <w:rPr>
                <w:rFonts w:ascii="宋体" w:hAnsi="宋体" w:eastAsia="宋体" w:cs="宋体"/>
                <w:sz w:val="18"/>
                <w:szCs w:val="18"/>
              </w:rPr>
            </w:pPr>
            <w:r>
              <w:rPr>
                <w:rFonts w:ascii="宋体" w:hAnsi="宋体" w:eastAsia="宋体" w:cs="宋体"/>
                <w:spacing w:val="-2"/>
                <w:sz w:val="18"/>
                <w:szCs w:val="18"/>
              </w:rPr>
              <w:t>1.名称:电缆终端头</w:t>
            </w:r>
          </w:p>
          <w:p>
            <w:pPr>
              <w:autoSpaceDE w:val="0"/>
              <w:autoSpaceDN w:val="0"/>
              <w:spacing w:before="11" w:line="230" w:lineRule="auto"/>
              <w:ind w:left="34" w:right="302"/>
              <w:rPr>
                <w:rFonts w:ascii="宋体" w:hAnsi="宋体" w:eastAsia="宋体" w:cs="宋体"/>
                <w:sz w:val="18"/>
                <w:szCs w:val="18"/>
              </w:rPr>
            </w:pPr>
            <w:r>
              <w:rPr>
                <w:rFonts w:ascii="宋体" w:hAnsi="宋体" w:eastAsia="宋体" w:cs="宋体"/>
                <w:sz w:val="18"/>
                <w:szCs w:val="18"/>
              </w:rPr>
              <w:t xml:space="preserve">2.规格:ZC-YJY- </w:t>
            </w:r>
            <w:r>
              <w:rPr>
                <w:rFonts w:ascii="宋体" w:hAnsi="宋体" w:eastAsia="宋体" w:cs="宋体"/>
                <w:spacing w:val="-1"/>
                <w:sz w:val="18"/>
                <w:szCs w:val="18"/>
              </w:rPr>
              <w:t>0.6/1kV-</w:t>
            </w:r>
          </w:p>
          <w:p>
            <w:pPr>
              <w:autoSpaceDE w:val="0"/>
              <w:autoSpaceDN w:val="0"/>
              <w:spacing w:line="221" w:lineRule="auto"/>
              <w:ind w:left="31"/>
              <w:rPr>
                <w:rFonts w:ascii="宋体" w:hAnsi="宋体" w:eastAsia="宋体" w:cs="宋体"/>
                <w:sz w:val="18"/>
                <w:szCs w:val="18"/>
              </w:rPr>
            </w:pPr>
            <w:r>
              <w:rPr>
                <w:rFonts w:ascii="宋体" w:hAnsi="宋体" w:eastAsia="宋体" w:cs="宋体"/>
                <w:sz w:val="18"/>
                <w:szCs w:val="18"/>
              </w:rPr>
              <w:t>4*70+1*35mm2</w:t>
            </w:r>
          </w:p>
        </w:tc>
        <w:tc>
          <w:tcPr>
            <w:tcW w:w="1255" w:type="dxa"/>
            <w:vAlign w:val="top"/>
          </w:tcPr>
          <w:p>
            <w:pPr>
              <w:pStyle w:val="687"/>
              <w:autoSpaceDE w:val="0"/>
              <w:autoSpaceDN w:val="0"/>
              <w:spacing w:line="345" w:lineRule="auto"/>
            </w:pPr>
          </w:p>
          <w:p>
            <w:pPr>
              <w:autoSpaceDE w:val="0"/>
              <w:autoSpaceDN w:val="0"/>
              <w:spacing w:before="59" w:line="219" w:lineRule="auto"/>
              <w:ind w:left="458"/>
              <w:rPr>
                <w:rFonts w:ascii="宋体" w:hAnsi="宋体" w:eastAsia="宋体" w:cs="宋体"/>
                <w:sz w:val="18"/>
                <w:szCs w:val="18"/>
              </w:rPr>
            </w:pPr>
            <w:r>
              <w:rPr>
                <w:rFonts w:ascii="宋体" w:hAnsi="宋体" w:eastAsia="宋体" w:cs="宋体"/>
                <w:sz w:val="18"/>
                <w:szCs w:val="18"/>
              </w:rPr>
              <w:t>个</w:t>
            </w:r>
          </w:p>
        </w:tc>
        <w:tc>
          <w:tcPr>
            <w:tcW w:w="1241" w:type="dxa"/>
            <w:vAlign w:val="top"/>
          </w:tcPr>
          <w:p>
            <w:pPr>
              <w:pStyle w:val="687"/>
              <w:autoSpaceDE w:val="0"/>
              <w:autoSpaceDN w:val="0"/>
              <w:spacing w:line="345" w:lineRule="auto"/>
            </w:pPr>
          </w:p>
          <w:p>
            <w:pPr>
              <w:autoSpaceDE w:val="0"/>
              <w:autoSpaceDN w:val="0"/>
              <w:spacing w:before="59" w:line="239" w:lineRule="auto"/>
              <w:ind w:left="377"/>
              <w:rPr>
                <w:rFonts w:ascii="宋体" w:hAnsi="宋体" w:eastAsia="宋体" w:cs="宋体"/>
                <w:sz w:val="18"/>
                <w:szCs w:val="18"/>
              </w:rPr>
            </w:pPr>
            <w:r>
              <w:rPr>
                <w:rFonts w:ascii="宋体" w:hAnsi="宋体" w:eastAsia="宋体" w:cs="宋体"/>
                <w:sz w:val="18"/>
                <w:szCs w:val="18"/>
              </w:rPr>
              <w:t>3</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75" w:line="239" w:lineRule="auto"/>
              <w:ind w:left="330"/>
              <w:rPr>
                <w:rFonts w:ascii="宋体" w:hAnsi="宋体" w:eastAsia="宋体" w:cs="宋体"/>
                <w:sz w:val="18"/>
                <w:szCs w:val="18"/>
              </w:rPr>
            </w:pPr>
            <w:r>
              <w:rPr>
                <w:rFonts w:ascii="宋体" w:hAnsi="宋体" w:eastAsia="宋体" w:cs="宋体"/>
                <w:spacing w:val="-10"/>
                <w:sz w:val="18"/>
                <w:szCs w:val="18"/>
              </w:rPr>
              <w:t>13</w:t>
            </w:r>
          </w:p>
        </w:tc>
        <w:tc>
          <w:tcPr>
            <w:tcW w:w="1361" w:type="dxa"/>
            <w:vAlign w:val="top"/>
          </w:tcPr>
          <w:p>
            <w:pPr>
              <w:autoSpaceDE w:val="0"/>
              <w:autoSpaceDN w:val="0"/>
              <w:spacing w:before="174" w:line="220" w:lineRule="auto"/>
              <w:ind w:left="30"/>
              <w:rPr>
                <w:rFonts w:ascii="宋体" w:hAnsi="宋体" w:eastAsia="宋体" w:cs="宋体"/>
                <w:sz w:val="18"/>
                <w:szCs w:val="18"/>
              </w:rPr>
            </w:pPr>
            <w:r>
              <w:rPr>
                <w:rFonts w:ascii="宋体" w:hAnsi="宋体" w:eastAsia="宋体" w:cs="宋体"/>
                <w:spacing w:val="-4"/>
                <w:sz w:val="18"/>
                <w:szCs w:val="18"/>
              </w:rPr>
              <w:t>桥架</w:t>
            </w:r>
          </w:p>
        </w:tc>
        <w:tc>
          <w:tcPr>
            <w:tcW w:w="4456" w:type="dxa"/>
            <w:vAlign w:val="top"/>
          </w:tcPr>
          <w:p>
            <w:pPr>
              <w:autoSpaceDE w:val="0"/>
              <w:autoSpaceDN w:val="0"/>
              <w:spacing w:before="65" w:line="219" w:lineRule="auto"/>
              <w:ind w:left="45"/>
              <w:rPr>
                <w:rFonts w:ascii="宋体" w:hAnsi="宋体" w:eastAsia="宋体" w:cs="宋体"/>
                <w:sz w:val="18"/>
                <w:szCs w:val="18"/>
              </w:rPr>
            </w:pPr>
            <w:r>
              <w:rPr>
                <w:rFonts w:ascii="宋体" w:hAnsi="宋体" w:eastAsia="宋体" w:cs="宋体"/>
                <w:spacing w:val="-2"/>
                <w:sz w:val="18"/>
                <w:szCs w:val="18"/>
              </w:rPr>
              <w:t>1.名称:电缆桥架</w:t>
            </w:r>
          </w:p>
          <w:p>
            <w:pPr>
              <w:autoSpaceDE w:val="0"/>
              <w:autoSpaceDN w:val="0"/>
              <w:spacing w:before="9" w:line="213" w:lineRule="auto"/>
              <w:ind w:left="34"/>
              <w:rPr>
                <w:rFonts w:ascii="宋体" w:hAnsi="宋体" w:eastAsia="宋体" w:cs="宋体"/>
                <w:sz w:val="18"/>
                <w:szCs w:val="18"/>
              </w:rPr>
            </w:pPr>
            <w:r>
              <w:rPr>
                <w:rFonts w:ascii="宋体" w:hAnsi="宋体" w:eastAsia="宋体" w:cs="宋体"/>
                <w:spacing w:val="-1"/>
                <w:sz w:val="18"/>
                <w:szCs w:val="18"/>
              </w:rPr>
              <w:t>2.规格:200*100</w:t>
            </w:r>
          </w:p>
        </w:tc>
        <w:tc>
          <w:tcPr>
            <w:tcW w:w="1255" w:type="dxa"/>
            <w:vAlign w:val="top"/>
          </w:tcPr>
          <w:p>
            <w:pPr>
              <w:autoSpaceDE w:val="0"/>
              <w:autoSpaceDN w:val="0"/>
              <w:spacing w:before="174" w:line="241" w:lineRule="auto"/>
              <w:ind w:left="496"/>
              <w:rPr>
                <w:rFonts w:ascii="宋体" w:hAnsi="宋体" w:eastAsia="宋体" w:cs="宋体"/>
                <w:sz w:val="18"/>
                <w:szCs w:val="18"/>
              </w:rPr>
            </w:pPr>
            <w:r>
              <w:rPr>
                <w:rFonts w:ascii="宋体" w:hAnsi="宋体" w:eastAsia="宋体" w:cs="宋体"/>
                <w:sz w:val="18"/>
                <w:szCs w:val="18"/>
              </w:rPr>
              <w:t>m</w:t>
            </w:r>
          </w:p>
        </w:tc>
        <w:tc>
          <w:tcPr>
            <w:tcW w:w="1241" w:type="dxa"/>
            <w:vAlign w:val="top"/>
          </w:tcPr>
          <w:p>
            <w:pPr>
              <w:autoSpaceDE w:val="0"/>
              <w:autoSpaceDN w:val="0"/>
              <w:spacing w:before="175" w:line="239" w:lineRule="auto"/>
              <w:ind w:left="330"/>
              <w:rPr>
                <w:rFonts w:ascii="宋体" w:hAnsi="宋体" w:eastAsia="宋体" w:cs="宋体"/>
                <w:sz w:val="18"/>
                <w:szCs w:val="18"/>
              </w:rPr>
            </w:pPr>
            <w:r>
              <w:rPr>
                <w:rFonts w:ascii="宋体" w:hAnsi="宋体" w:eastAsia="宋体" w:cs="宋体"/>
                <w:spacing w:val="-5"/>
                <w:sz w:val="18"/>
                <w:szCs w:val="18"/>
              </w:rPr>
              <w:t>28</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autoSpaceDE w:val="0"/>
              <w:autoSpaceDN w:val="0"/>
              <w:spacing w:before="291" w:line="241" w:lineRule="auto"/>
              <w:ind w:left="330"/>
              <w:rPr>
                <w:rFonts w:ascii="宋体" w:hAnsi="宋体" w:eastAsia="宋体" w:cs="宋体"/>
                <w:sz w:val="18"/>
                <w:szCs w:val="18"/>
              </w:rPr>
            </w:pPr>
            <w:r>
              <w:rPr>
                <w:rFonts w:ascii="宋体" w:hAnsi="宋体" w:eastAsia="宋体" w:cs="宋体"/>
                <w:spacing w:val="-10"/>
                <w:sz w:val="18"/>
                <w:szCs w:val="18"/>
              </w:rPr>
              <w:t>14</w:t>
            </w:r>
          </w:p>
        </w:tc>
        <w:tc>
          <w:tcPr>
            <w:tcW w:w="1361" w:type="dxa"/>
            <w:vAlign w:val="top"/>
          </w:tcPr>
          <w:p>
            <w:pPr>
              <w:autoSpaceDE w:val="0"/>
              <w:autoSpaceDN w:val="0"/>
              <w:spacing w:before="291" w:line="220" w:lineRule="auto"/>
              <w:ind w:left="31"/>
              <w:rPr>
                <w:rFonts w:ascii="宋体" w:hAnsi="宋体" w:eastAsia="宋体" w:cs="宋体"/>
                <w:sz w:val="18"/>
                <w:szCs w:val="18"/>
              </w:rPr>
            </w:pPr>
            <w:r>
              <w:rPr>
                <w:rFonts w:ascii="宋体" w:hAnsi="宋体" w:eastAsia="宋体" w:cs="宋体"/>
                <w:spacing w:val="-2"/>
                <w:sz w:val="18"/>
                <w:szCs w:val="18"/>
              </w:rPr>
              <w:t>开孔打洞</w:t>
            </w:r>
          </w:p>
        </w:tc>
        <w:tc>
          <w:tcPr>
            <w:tcW w:w="4456" w:type="dxa"/>
            <w:vAlign w:val="top"/>
          </w:tcPr>
          <w:p>
            <w:pPr>
              <w:autoSpaceDE w:val="0"/>
              <w:autoSpaceDN w:val="0"/>
              <w:spacing w:before="65" w:line="221" w:lineRule="auto"/>
              <w:ind w:left="45"/>
              <w:rPr>
                <w:rFonts w:ascii="宋体" w:hAnsi="宋体" w:eastAsia="宋体" w:cs="宋体"/>
                <w:sz w:val="18"/>
                <w:szCs w:val="18"/>
              </w:rPr>
            </w:pPr>
            <w:r>
              <w:rPr>
                <w:rFonts w:ascii="宋体" w:hAnsi="宋体" w:eastAsia="宋体" w:cs="宋体"/>
                <w:spacing w:val="-3"/>
                <w:sz w:val="18"/>
                <w:szCs w:val="18"/>
              </w:rPr>
              <w:t>1.名称:铣孔</w:t>
            </w:r>
          </w:p>
          <w:p>
            <w:pPr>
              <w:autoSpaceDE w:val="0"/>
              <w:autoSpaceDN w:val="0"/>
              <w:spacing w:before="11" w:line="222" w:lineRule="auto"/>
              <w:ind w:left="35" w:right="487" w:hanging="1"/>
              <w:rPr>
                <w:rFonts w:ascii="宋体" w:hAnsi="宋体" w:eastAsia="宋体" w:cs="宋体"/>
                <w:sz w:val="18"/>
                <w:szCs w:val="18"/>
              </w:rPr>
            </w:pPr>
            <w:r>
              <w:rPr>
                <w:rFonts w:ascii="宋体" w:hAnsi="宋体" w:eastAsia="宋体" w:cs="宋体"/>
                <w:spacing w:val="-8"/>
                <w:sz w:val="18"/>
                <w:szCs w:val="18"/>
              </w:rPr>
              <w:t>2.规格:</w:t>
            </w:r>
            <w:r>
              <w:rPr>
                <w:rFonts w:ascii="宋体" w:hAnsi="宋体" w:eastAsia="宋体" w:cs="宋体"/>
                <w:spacing w:val="-43"/>
                <w:sz w:val="18"/>
                <w:szCs w:val="18"/>
              </w:rPr>
              <w:t xml:space="preserve"> </w:t>
            </w:r>
            <w:r>
              <w:rPr>
                <w:rFonts w:ascii="宋体" w:hAnsi="宋体" w:eastAsia="宋体" w:cs="宋体"/>
                <w:spacing w:val="-8"/>
                <w:sz w:val="18"/>
                <w:szCs w:val="18"/>
              </w:rPr>
              <w:t>φ</w:t>
            </w:r>
            <w:r>
              <w:rPr>
                <w:rFonts w:ascii="宋体" w:hAnsi="宋体" w:eastAsia="宋体" w:cs="宋体"/>
                <w:spacing w:val="-70"/>
                <w:sz w:val="18"/>
                <w:szCs w:val="18"/>
              </w:rPr>
              <w:t xml:space="preserve"> </w:t>
            </w:r>
            <w:r>
              <w:rPr>
                <w:rFonts w:ascii="宋体" w:hAnsi="宋体" w:eastAsia="宋体" w:cs="宋体"/>
                <w:spacing w:val="-8"/>
                <w:sz w:val="18"/>
                <w:szCs w:val="18"/>
              </w:rPr>
              <w:t>150</w:t>
            </w:r>
            <w:r>
              <w:rPr>
                <w:rFonts w:ascii="宋体" w:hAnsi="宋体" w:eastAsia="宋体" w:cs="宋体"/>
                <w:sz w:val="18"/>
                <w:szCs w:val="18"/>
              </w:rPr>
              <w:t xml:space="preserve"> </w:t>
            </w:r>
            <w:r>
              <w:rPr>
                <w:rFonts w:ascii="宋体" w:hAnsi="宋体" w:eastAsia="宋体" w:cs="宋体"/>
                <w:spacing w:val="-1"/>
                <w:sz w:val="18"/>
                <w:szCs w:val="18"/>
              </w:rPr>
              <w:t>3.部位:墙体</w:t>
            </w:r>
          </w:p>
        </w:tc>
        <w:tc>
          <w:tcPr>
            <w:tcW w:w="1255" w:type="dxa"/>
            <w:vAlign w:val="top"/>
          </w:tcPr>
          <w:p>
            <w:pPr>
              <w:autoSpaceDE w:val="0"/>
              <w:autoSpaceDN w:val="0"/>
              <w:spacing w:before="292" w:line="219" w:lineRule="auto"/>
              <w:ind w:left="458"/>
              <w:rPr>
                <w:rFonts w:ascii="宋体" w:hAnsi="宋体" w:eastAsia="宋体" w:cs="宋体"/>
                <w:sz w:val="18"/>
                <w:szCs w:val="18"/>
              </w:rPr>
            </w:pPr>
            <w:r>
              <w:rPr>
                <w:rFonts w:ascii="宋体" w:hAnsi="宋体" w:eastAsia="宋体" w:cs="宋体"/>
                <w:sz w:val="18"/>
                <w:szCs w:val="18"/>
              </w:rPr>
              <w:t>个</w:t>
            </w:r>
          </w:p>
        </w:tc>
        <w:tc>
          <w:tcPr>
            <w:tcW w:w="1241" w:type="dxa"/>
            <w:vAlign w:val="top"/>
          </w:tcPr>
          <w:p>
            <w:pPr>
              <w:autoSpaceDE w:val="0"/>
              <w:autoSpaceDN w:val="0"/>
              <w:spacing w:before="292" w:line="239" w:lineRule="auto"/>
              <w:ind w:left="377"/>
              <w:rPr>
                <w:rFonts w:ascii="宋体" w:hAnsi="宋体" w:eastAsia="宋体" w:cs="宋体"/>
                <w:sz w:val="18"/>
                <w:szCs w:val="18"/>
              </w:rPr>
            </w:pPr>
            <w:r>
              <w:rPr>
                <w:rFonts w:ascii="宋体" w:hAnsi="宋体" w:eastAsia="宋体" w:cs="宋体"/>
                <w:sz w:val="18"/>
                <w:szCs w:val="18"/>
              </w:rPr>
              <w:t>3</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78" w:line="239" w:lineRule="auto"/>
              <w:ind w:left="330"/>
              <w:rPr>
                <w:rFonts w:ascii="宋体" w:hAnsi="宋体" w:eastAsia="宋体" w:cs="宋体"/>
                <w:sz w:val="18"/>
                <w:szCs w:val="18"/>
              </w:rPr>
            </w:pPr>
            <w:r>
              <w:rPr>
                <w:rFonts w:ascii="宋体" w:hAnsi="宋体" w:eastAsia="宋体" w:cs="宋体"/>
                <w:spacing w:val="-10"/>
                <w:sz w:val="18"/>
                <w:szCs w:val="18"/>
              </w:rPr>
              <w:t>15</w:t>
            </w:r>
          </w:p>
        </w:tc>
        <w:tc>
          <w:tcPr>
            <w:tcW w:w="1361" w:type="dxa"/>
            <w:vAlign w:val="top"/>
          </w:tcPr>
          <w:p>
            <w:pPr>
              <w:autoSpaceDE w:val="0"/>
              <w:autoSpaceDN w:val="0"/>
              <w:spacing w:before="178" w:line="219" w:lineRule="auto"/>
              <w:ind w:left="41"/>
              <w:rPr>
                <w:rFonts w:ascii="宋体" w:hAnsi="宋体" w:eastAsia="宋体" w:cs="宋体"/>
                <w:sz w:val="18"/>
                <w:szCs w:val="18"/>
              </w:rPr>
            </w:pPr>
            <w:r>
              <w:rPr>
                <w:rFonts w:ascii="宋体" w:hAnsi="宋体" w:eastAsia="宋体" w:cs="宋体"/>
                <w:spacing w:val="-3"/>
                <w:sz w:val="18"/>
                <w:szCs w:val="18"/>
              </w:rPr>
              <w:t>防火堵料(包)</w:t>
            </w:r>
          </w:p>
        </w:tc>
        <w:tc>
          <w:tcPr>
            <w:tcW w:w="4456" w:type="dxa"/>
            <w:vAlign w:val="top"/>
          </w:tcPr>
          <w:p>
            <w:pPr>
              <w:autoSpaceDE w:val="0"/>
              <w:autoSpaceDN w:val="0"/>
              <w:spacing w:before="65" w:line="219" w:lineRule="auto"/>
              <w:ind w:left="45"/>
              <w:rPr>
                <w:rFonts w:ascii="宋体" w:hAnsi="宋体" w:eastAsia="宋体" w:cs="宋体"/>
                <w:sz w:val="18"/>
                <w:szCs w:val="18"/>
              </w:rPr>
            </w:pPr>
            <w:r>
              <w:rPr>
                <w:rFonts w:ascii="宋体" w:hAnsi="宋体" w:eastAsia="宋体" w:cs="宋体"/>
                <w:spacing w:val="-2"/>
                <w:sz w:val="18"/>
                <w:szCs w:val="18"/>
              </w:rPr>
              <w:t>1.名称:防火堵洞</w:t>
            </w:r>
          </w:p>
          <w:p>
            <w:pPr>
              <w:autoSpaceDE w:val="0"/>
              <w:autoSpaceDN w:val="0"/>
              <w:spacing w:before="12" w:line="210" w:lineRule="auto"/>
              <w:ind w:left="34"/>
              <w:rPr>
                <w:rFonts w:ascii="宋体" w:hAnsi="宋体" w:eastAsia="宋体" w:cs="宋体"/>
                <w:sz w:val="18"/>
                <w:szCs w:val="18"/>
              </w:rPr>
            </w:pPr>
            <w:r>
              <w:rPr>
                <w:rFonts w:ascii="宋体" w:hAnsi="宋体" w:eastAsia="宋体" w:cs="宋体"/>
                <w:spacing w:val="-1"/>
                <w:sz w:val="18"/>
                <w:szCs w:val="18"/>
              </w:rPr>
              <w:t>2.材质:柔性封堵</w:t>
            </w:r>
          </w:p>
        </w:tc>
        <w:tc>
          <w:tcPr>
            <w:tcW w:w="1255" w:type="dxa"/>
            <w:vAlign w:val="top"/>
          </w:tcPr>
          <w:p>
            <w:pPr>
              <w:autoSpaceDE w:val="0"/>
              <w:autoSpaceDN w:val="0"/>
              <w:spacing w:before="178" w:line="223" w:lineRule="auto"/>
              <w:ind w:left="462"/>
              <w:rPr>
                <w:rFonts w:ascii="宋体" w:hAnsi="宋体" w:eastAsia="宋体" w:cs="宋体"/>
                <w:sz w:val="18"/>
                <w:szCs w:val="18"/>
              </w:rPr>
            </w:pPr>
            <w:r>
              <w:rPr>
                <w:rFonts w:ascii="宋体" w:hAnsi="宋体" w:eastAsia="宋体" w:cs="宋体"/>
                <w:sz w:val="18"/>
                <w:szCs w:val="18"/>
              </w:rPr>
              <w:t>处</w:t>
            </w:r>
          </w:p>
        </w:tc>
        <w:tc>
          <w:tcPr>
            <w:tcW w:w="1241" w:type="dxa"/>
            <w:vAlign w:val="top"/>
          </w:tcPr>
          <w:p>
            <w:pPr>
              <w:autoSpaceDE w:val="0"/>
              <w:autoSpaceDN w:val="0"/>
              <w:spacing w:before="178" w:line="239" w:lineRule="auto"/>
              <w:ind w:left="377"/>
              <w:rPr>
                <w:rFonts w:ascii="宋体" w:hAnsi="宋体" w:eastAsia="宋体" w:cs="宋体"/>
                <w:sz w:val="18"/>
                <w:szCs w:val="18"/>
              </w:rPr>
            </w:pPr>
            <w:r>
              <w:rPr>
                <w:rFonts w:ascii="宋体" w:hAnsi="宋体" w:eastAsia="宋体" w:cs="宋体"/>
                <w:sz w:val="18"/>
                <w:szCs w:val="18"/>
              </w:rPr>
              <w:t>3</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79" w:line="239" w:lineRule="auto"/>
              <w:ind w:left="330"/>
              <w:rPr>
                <w:rFonts w:ascii="宋体" w:hAnsi="宋体" w:eastAsia="宋体" w:cs="宋体"/>
                <w:sz w:val="18"/>
                <w:szCs w:val="18"/>
              </w:rPr>
            </w:pPr>
            <w:r>
              <w:rPr>
                <w:rFonts w:ascii="宋体" w:hAnsi="宋体" w:eastAsia="宋体" w:cs="宋体"/>
                <w:spacing w:val="-10"/>
                <w:sz w:val="18"/>
                <w:szCs w:val="18"/>
              </w:rPr>
              <w:t>16</w:t>
            </w:r>
          </w:p>
        </w:tc>
        <w:tc>
          <w:tcPr>
            <w:tcW w:w="1361" w:type="dxa"/>
            <w:vAlign w:val="top"/>
          </w:tcPr>
          <w:p>
            <w:pPr>
              <w:autoSpaceDE w:val="0"/>
              <w:autoSpaceDN w:val="0"/>
              <w:spacing w:before="179" w:line="219" w:lineRule="auto"/>
              <w:ind w:left="41"/>
              <w:rPr>
                <w:rFonts w:ascii="宋体" w:hAnsi="宋体" w:eastAsia="宋体" w:cs="宋体"/>
                <w:sz w:val="18"/>
                <w:szCs w:val="18"/>
              </w:rPr>
            </w:pPr>
            <w:r>
              <w:rPr>
                <w:rFonts w:ascii="宋体" w:hAnsi="宋体" w:eastAsia="宋体" w:cs="宋体"/>
                <w:spacing w:val="-3"/>
                <w:sz w:val="18"/>
                <w:szCs w:val="18"/>
              </w:rPr>
              <w:t>防火堵料(包)</w:t>
            </w:r>
          </w:p>
        </w:tc>
        <w:tc>
          <w:tcPr>
            <w:tcW w:w="4456" w:type="dxa"/>
            <w:vAlign w:val="top"/>
          </w:tcPr>
          <w:p>
            <w:pPr>
              <w:autoSpaceDE w:val="0"/>
              <w:autoSpaceDN w:val="0"/>
              <w:spacing w:before="69" w:line="219" w:lineRule="auto"/>
              <w:ind w:left="45"/>
              <w:rPr>
                <w:rFonts w:ascii="宋体" w:hAnsi="宋体" w:eastAsia="宋体" w:cs="宋体"/>
                <w:sz w:val="18"/>
                <w:szCs w:val="18"/>
              </w:rPr>
            </w:pPr>
            <w:r>
              <w:rPr>
                <w:rFonts w:ascii="宋体" w:hAnsi="宋体" w:eastAsia="宋体" w:cs="宋体"/>
                <w:spacing w:val="-2"/>
                <w:sz w:val="18"/>
                <w:szCs w:val="18"/>
              </w:rPr>
              <w:t>1.名称:防火堵洞</w:t>
            </w:r>
          </w:p>
          <w:p>
            <w:pPr>
              <w:autoSpaceDE w:val="0"/>
              <w:autoSpaceDN w:val="0"/>
              <w:spacing w:before="9" w:line="209" w:lineRule="auto"/>
              <w:ind w:left="34"/>
              <w:rPr>
                <w:rFonts w:ascii="宋体" w:hAnsi="宋体" w:eastAsia="宋体" w:cs="宋体"/>
                <w:sz w:val="18"/>
                <w:szCs w:val="18"/>
              </w:rPr>
            </w:pPr>
            <w:r>
              <w:rPr>
                <w:rFonts w:ascii="宋体" w:hAnsi="宋体" w:eastAsia="宋体" w:cs="宋体"/>
                <w:spacing w:val="-1"/>
                <w:sz w:val="18"/>
                <w:szCs w:val="18"/>
              </w:rPr>
              <w:t>2.材质:封堵泥</w:t>
            </w:r>
          </w:p>
        </w:tc>
        <w:tc>
          <w:tcPr>
            <w:tcW w:w="1255" w:type="dxa"/>
            <w:vAlign w:val="top"/>
          </w:tcPr>
          <w:p>
            <w:pPr>
              <w:autoSpaceDE w:val="0"/>
              <w:autoSpaceDN w:val="0"/>
              <w:spacing w:before="179" w:line="213" w:lineRule="auto"/>
              <w:ind w:left="457"/>
              <w:rPr>
                <w:rFonts w:ascii="宋体" w:hAnsi="宋体" w:eastAsia="宋体" w:cs="宋体"/>
                <w:sz w:val="18"/>
                <w:szCs w:val="18"/>
              </w:rPr>
            </w:pPr>
            <w:r>
              <w:rPr>
                <w:rFonts w:ascii="宋体" w:hAnsi="宋体" w:eastAsia="宋体" w:cs="宋体"/>
                <w:spacing w:val="-3"/>
                <w:sz w:val="18"/>
                <w:szCs w:val="18"/>
              </w:rPr>
              <w:t>kg</w:t>
            </w:r>
          </w:p>
        </w:tc>
        <w:tc>
          <w:tcPr>
            <w:tcW w:w="1241" w:type="dxa"/>
            <w:vAlign w:val="top"/>
          </w:tcPr>
          <w:p>
            <w:pPr>
              <w:autoSpaceDE w:val="0"/>
              <w:autoSpaceDN w:val="0"/>
              <w:spacing w:before="179" w:line="239" w:lineRule="auto"/>
              <w:ind w:left="341"/>
              <w:rPr>
                <w:rFonts w:ascii="宋体" w:hAnsi="宋体" w:eastAsia="宋体" w:cs="宋体"/>
                <w:sz w:val="18"/>
                <w:szCs w:val="18"/>
              </w:rPr>
            </w:pPr>
            <w:r>
              <w:rPr>
                <w:rFonts w:ascii="宋体" w:hAnsi="宋体" w:eastAsia="宋体" w:cs="宋体"/>
                <w:spacing w:val="-10"/>
                <w:sz w:val="18"/>
                <w:szCs w:val="18"/>
              </w:rPr>
              <w:t>15</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506" w:hRule="atLeast"/>
        </w:trPr>
        <w:tc>
          <w:tcPr>
            <w:tcW w:w="820" w:type="dxa"/>
            <w:tcBorders>
              <w:left w:val="single" w:color="000008" w:sz="14" w:space="0"/>
            </w:tcBorders>
            <w:vAlign w:val="top"/>
          </w:tcPr>
          <w:p>
            <w:pPr>
              <w:autoSpaceDE w:val="0"/>
              <w:autoSpaceDN w:val="0"/>
              <w:spacing w:before="181" w:line="239" w:lineRule="auto"/>
              <w:ind w:left="330"/>
              <w:rPr>
                <w:rFonts w:ascii="宋体" w:hAnsi="宋体" w:eastAsia="宋体" w:cs="宋体"/>
                <w:sz w:val="18"/>
                <w:szCs w:val="18"/>
              </w:rPr>
            </w:pPr>
            <w:r>
              <w:rPr>
                <w:rFonts w:ascii="宋体" w:hAnsi="宋体" w:eastAsia="宋体" w:cs="宋体"/>
                <w:spacing w:val="-10"/>
                <w:sz w:val="18"/>
                <w:szCs w:val="18"/>
              </w:rPr>
              <w:t>17</w:t>
            </w:r>
          </w:p>
        </w:tc>
        <w:tc>
          <w:tcPr>
            <w:tcW w:w="1361" w:type="dxa"/>
            <w:vAlign w:val="top"/>
          </w:tcPr>
          <w:p>
            <w:pPr>
              <w:autoSpaceDE w:val="0"/>
              <w:autoSpaceDN w:val="0"/>
              <w:spacing w:before="70" w:line="218" w:lineRule="auto"/>
              <w:ind w:left="33" w:right="151" w:hanging="7"/>
              <w:rPr>
                <w:rFonts w:ascii="宋体" w:hAnsi="宋体" w:eastAsia="宋体" w:cs="宋体"/>
                <w:sz w:val="18"/>
                <w:szCs w:val="18"/>
              </w:rPr>
            </w:pPr>
            <w:r>
              <w:rPr>
                <w:rFonts w:ascii="宋体" w:hAnsi="宋体" w:eastAsia="宋体" w:cs="宋体"/>
                <w:spacing w:val="-1"/>
                <w:sz w:val="18"/>
                <w:szCs w:val="18"/>
              </w:rPr>
              <w:t>UPS不间断电源</w:t>
            </w:r>
            <w:r>
              <w:rPr>
                <w:rFonts w:ascii="宋体" w:hAnsi="宋体" w:eastAsia="宋体" w:cs="宋体"/>
                <w:spacing w:val="-5"/>
                <w:sz w:val="18"/>
                <w:szCs w:val="18"/>
              </w:rPr>
              <w:t>设备</w:t>
            </w:r>
          </w:p>
        </w:tc>
        <w:tc>
          <w:tcPr>
            <w:tcW w:w="4456" w:type="dxa"/>
            <w:vAlign w:val="top"/>
          </w:tcPr>
          <w:p>
            <w:pPr>
              <w:autoSpaceDE w:val="0"/>
              <w:autoSpaceDN w:val="0"/>
              <w:spacing w:before="71" w:line="221" w:lineRule="auto"/>
              <w:ind w:left="45"/>
              <w:rPr>
                <w:rFonts w:ascii="宋体" w:hAnsi="宋体" w:eastAsia="宋体" w:cs="宋体"/>
                <w:sz w:val="18"/>
                <w:szCs w:val="18"/>
              </w:rPr>
            </w:pPr>
            <w:r>
              <w:rPr>
                <w:rFonts w:ascii="宋体" w:hAnsi="宋体" w:eastAsia="宋体" w:cs="宋体"/>
                <w:spacing w:val="-2"/>
                <w:sz w:val="18"/>
                <w:szCs w:val="18"/>
              </w:rPr>
              <w:t>1.名称:UPS</w:t>
            </w:r>
          </w:p>
          <w:p>
            <w:pPr>
              <w:autoSpaceDE w:val="0"/>
              <w:autoSpaceDN w:val="0"/>
              <w:spacing w:before="6" w:line="208" w:lineRule="auto"/>
              <w:ind w:left="34"/>
              <w:rPr>
                <w:rFonts w:ascii="宋体" w:hAnsi="宋体" w:eastAsia="宋体" w:cs="宋体"/>
                <w:spacing w:val="-1"/>
                <w:sz w:val="18"/>
                <w:szCs w:val="18"/>
              </w:rPr>
            </w:pPr>
            <w:r>
              <w:rPr>
                <w:rFonts w:ascii="宋体" w:hAnsi="宋体" w:eastAsia="宋体" w:cs="宋体"/>
                <w:spacing w:val="-1"/>
                <w:sz w:val="18"/>
                <w:szCs w:val="18"/>
              </w:rPr>
              <w:t>2.容量:80kVA</w:t>
            </w:r>
          </w:p>
          <w:p>
            <w:pPr>
              <w:autoSpaceDE w:val="0"/>
              <w:autoSpaceDN w:val="0"/>
              <w:spacing w:before="6" w:line="208" w:lineRule="auto"/>
              <w:ind w:left="34"/>
              <w:rPr>
                <w:rFonts w:hint="default" w:ascii="宋体" w:hAnsi="宋体" w:eastAsia="宋体" w:cs="宋体"/>
                <w:spacing w:val="-1"/>
                <w:sz w:val="18"/>
                <w:szCs w:val="18"/>
                <w:lang w:val="en-US" w:eastAsia="zh-CN"/>
              </w:rPr>
            </w:pPr>
            <w:r>
              <w:rPr>
                <w:rFonts w:hint="eastAsia" w:ascii="宋体" w:hAnsi="宋体" w:eastAsia="宋体" w:cs="宋体"/>
                <w:spacing w:val="-1"/>
                <w:sz w:val="18"/>
                <w:szCs w:val="18"/>
                <w:lang w:val="en-US" w:eastAsia="zh-CN"/>
              </w:rPr>
              <w:t>3.时间：</w:t>
            </w:r>
            <w:r>
              <w:rPr>
                <w:rFonts w:hint="default" w:ascii="Arial" w:hAnsi="Arial" w:eastAsia="宋体" w:cs="Arial"/>
                <w:spacing w:val="-1"/>
                <w:sz w:val="18"/>
                <w:szCs w:val="18"/>
                <w:lang w:val="en-US" w:eastAsia="zh-CN"/>
              </w:rPr>
              <w:t>≥</w:t>
            </w:r>
            <w:r>
              <w:rPr>
                <w:rFonts w:hint="eastAsia" w:ascii="宋体" w:hAnsi="宋体" w:eastAsia="宋体" w:cs="宋体"/>
                <w:spacing w:val="-1"/>
                <w:sz w:val="18"/>
                <w:szCs w:val="18"/>
                <w:lang w:val="en-US" w:eastAsia="zh-CN"/>
              </w:rPr>
              <w:t>30分钟</w:t>
            </w:r>
          </w:p>
        </w:tc>
        <w:tc>
          <w:tcPr>
            <w:tcW w:w="1255" w:type="dxa"/>
            <w:vAlign w:val="top"/>
          </w:tcPr>
          <w:p>
            <w:pPr>
              <w:autoSpaceDE w:val="0"/>
              <w:autoSpaceDN w:val="0"/>
              <w:spacing w:before="181" w:line="220" w:lineRule="auto"/>
              <w:ind w:left="459"/>
              <w:rPr>
                <w:rFonts w:ascii="宋体" w:hAnsi="宋体" w:eastAsia="宋体" w:cs="宋体"/>
                <w:sz w:val="18"/>
                <w:szCs w:val="18"/>
              </w:rPr>
            </w:pPr>
            <w:r>
              <w:rPr>
                <w:rFonts w:ascii="宋体" w:hAnsi="宋体" w:eastAsia="宋体" w:cs="宋体"/>
                <w:sz w:val="18"/>
                <w:szCs w:val="18"/>
              </w:rPr>
              <w:t>套</w:t>
            </w:r>
          </w:p>
        </w:tc>
        <w:tc>
          <w:tcPr>
            <w:tcW w:w="1241" w:type="dxa"/>
            <w:vAlign w:val="top"/>
          </w:tcPr>
          <w:p>
            <w:pPr>
              <w:autoSpaceDE w:val="0"/>
              <w:autoSpaceDN w:val="0"/>
              <w:spacing w:before="181" w:line="241" w:lineRule="auto"/>
              <w:ind w:left="375"/>
              <w:rPr>
                <w:rFonts w:ascii="宋体" w:hAnsi="宋体" w:eastAsia="宋体" w:cs="宋体"/>
                <w:sz w:val="18"/>
                <w:szCs w:val="18"/>
              </w:rPr>
            </w:pPr>
            <w:r>
              <w:rPr>
                <w:rFonts w:ascii="宋体" w:hAnsi="宋体" w:eastAsia="宋体" w:cs="宋体"/>
                <w:sz w:val="18"/>
                <w:szCs w:val="18"/>
              </w:rPr>
              <w:t>2</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autoSpaceDE w:val="0"/>
              <w:autoSpaceDN w:val="0"/>
              <w:spacing w:before="98" w:line="233" w:lineRule="auto"/>
              <w:ind w:left="330"/>
              <w:rPr>
                <w:rFonts w:ascii="宋体" w:hAnsi="宋体" w:eastAsia="宋体" w:cs="宋体"/>
                <w:sz w:val="18"/>
                <w:szCs w:val="18"/>
              </w:rPr>
            </w:pPr>
            <w:r>
              <w:rPr>
                <w:rFonts w:ascii="宋体" w:hAnsi="宋体" w:eastAsia="宋体" w:cs="宋体"/>
                <w:spacing w:val="-10"/>
                <w:sz w:val="18"/>
                <w:szCs w:val="18"/>
              </w:rPr>
              <w:t>18</w:t>
            </w:r>
          </w:p>
        </w:tc>
        <w:tc>
          <w:tcPr>
            <w:tcW w:w="1361" w:type="dxa"/>
            <w:vAlign w:val="top"/>
          </w:tcPr>
          <w:p>
            <w:pPr>
              <w:autoSpaceDE w:val="0"/>
              <w:autoSpaceDN w:val="0"/>
              <w:spacing w:before="98" w:line="220" w:lineRule="auto"/>
              <w:ind w:left="29"/>
              <w:rPr>
                <w:rFonts w:ascii="宋体" w:hAnsi="宋体" w:eastAsia="宋体" w:cs="宋体"/>
                <w:sz w:val="18"/>
                <w:szCs w:val="18"/>
              </w:rPr>
            </w:pPr>
            <w:r>
              <w:rPr>
                <w:rFonts w:ascii="宋体" w:hAnsi="宋体" w:eastAsia="宋体" w:cs="宋体"/>
                <w:spacing w:val="-2"/>
                <w:sz w:val="18"/>
                <w:szCs w:val="18"/>
              </w:rPr>
              <w:t>低压开关柜</w:t>
            </w:r>
          </w:p>
        </w:tc>
        <w:tc>
          <w:tcPr>
            <w:tcW w:w="4456" w:type="dxa"/>
            <w:vAlign w:val="top"/>
          </w:tcPr>
          <w:p>
            <w:pPr>
              <w:autoSpaceDE w:val="0"/>
              <w:autoSpaceDN w:val="0"/>
              <w:spacing w:before="98" w:line="220" w:lineRule="auto"/>
              <w:ind w:left="45"/>
              <w:rPr>
                <w:rFonts w:ascii="宋体" w:hAnsi="宋体" w:eastAsia="宋体" w:cs="宋体"/>
                <w:spacing w:val="-3"/>
                <w:sz w:val="18"/>
                <w:szCs w:val="18"/>
              </w:rPr>
            </w:pPr>
            <w:r>
              <w:rPr>
                <w:rFonts w:ascii="宋体" w:hAnsi="宋体" w:eastAsia="宋体" w:cs="宋体"/>
                <w:spacing w:val="-3"/>
                <w:sz w:val="18"/>
                <w:szCs w:val="18"/>
              </w:rPr>
              <w:t>1.名称:电池柜</w:t>
            </w:r>
          </w:p>
          <w:p>
            <w:pPr>
              <w:autoSpaceDE w:val="0"/>
              <w:autoSpaceDN w:val="0"/>
              <w:spacing w:before="98" w:line="220" w:lineRule="auto"/>
              <w:ind w:left="45"/>
              <w:rPr>
                <w:rFonts w:hint="default" w:ascii="宋体" w:hAnsi="宋体" w:eastAsia="宋体" w:cs="宋体"/>
                <w:spacing w:val="-3"/>
                <w:sz w:val="18"/>
                <w:szCs w:val="18"/>
                <w:lang w:val="en-US" w:eastAsia="zh-CN"/>
              </w:rPr>
            </w:pPr>
            <w:r>
              <w:rPr>
                <w:rFonts w:hint="eastAsia" w:ascii="宋体" w:hAnsi="宋体" w:eastAsia="宋体" w:cs="宋体"/>
                <w:spacing w:val="-3"/>
                <w:sz w:val="18"/>
                <w:szCs w:val="18"/>
                <w:lang w:val="en-US" w:eastAsia="zh-CN"/>
              </w:rPr>
              <w:t>2.方式：并联方式</w:t>
            </w:r>
          </w:p>
        </w:tc>
        <w:tc>
          <w:tcPr>
            <w:tcW w:w="1255" w:type="dxa"/>
            <w:vAlign w:val="top"/>
          </w:tcPr>
          <w:p>
            <w:pPr>
              <w:autoSpaceDE w:val="0"/>
              <w:autoSpaceDN w:val="0"/>
              <w:spacing w:before="99" w:line="221" w:lineRule="auto"/>
              <w:ind w:left="472"/>
              <w:rPr>
                <w:rFonts w:ascii="宋体" w:hAnsi="宋体" w:eastAsia="宋体" w:cs="宋体"/>
                <w:sz w:val="18"/>
                <w:szCs w:val="18"/>
              </w:rPr>
            </w:pPr>
            <w:r>
              <w:rPr>
                <w:rFonts w:ascii="宋体" w:hAnsi="宋体" w:eastAsia="宋体" w:cs="宋体"/>
                <w:sz w:val="18"/>
                <w:szCs w:val="18"/>
              </w:rPr>
              <w:t>台</w:t>
            </w:r>
          </w:p>
        </w:tc>
        <w:tc>
          <w:tcPr>
            <w:tcW w:w="1241" w:type="dxa"/>
            <w:vAlign w:val="top"/>
          </w:tcPr>
          <w:p>
            <w:pPr>
              <w:autoSpaceDE w:val="0"/>
              <w:autoSpaceDN w:val="0"/>
              <w:spacing w:before="98" w:line="233" w:lineRule="auto"/>
              <w:ind w:left="372"/>
              <w:rPr>
                <w:rFonts w:ascii="宋体" w:hAnsi="宋体" w:eastAsia="宋体" w:cs="宋体"/>
                <w:sz w:val="18"/>
                <w:szCs w:val="18"/>
              </w:rPr>
            </w:pPr>
            <w:r>
              <w:rPr>
                <w:rFonts w:ascii="宋体" w:hAnsi="宋体" w:eastAsia="宋体" w:cs="宋体"/>
                <w:sz w:val="18"/>
                <w:szCs w:val="18"/>
              </w:rPr>
              <w:t>4</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autoSpaceDE w:val="0"/>
              <w:autoSpaceDN w:val="0"/>
              <w:spacing w:before="299" w:line="239" w:lineRule="auto"/>
              <w:ind w:left="330"/>
              <w:rPr>
                <w:rFonts w:ascii="宋体" w:hAnsi="宋体" w:eastAsia="宋体" w:cs="宋体"/>
                <w:sz w:val="18"/>
                <w:szCs w:val="18"/>
              </w:rPr>
            </w:pPr>
            <w:r>
              <w:rPr>
                <w:rFonts w:ascii="宋体" w:hAnsi="宋体" w:eastAsia="宋体" w:cs="宋体"/>
                <w:spacing w:val="-10"/>
                <w:sz w:val="18"/>
                <w:szCs w:val="18"/>
              </w:rPr>
              <w:t>19</w:t>
            </w:r>
          </w:p>
        </w:tc>
        <w:tc>
          <w:tcPr>
            <w:tcW w:w="1361" w:type="dxa"/>
            <w:vAlign w:val="top"/>
          </w:tcPr>
          <w:p>
            <w:pPr>
              <w:autoSpaceDE w:val="0"/>
              <w:autoSpaceDN w:val="0"/>
              <w:spacing w:before="299" w:line="220" w:lineRule="auto"/>
              <w:ind w:left="29"/>
              <w:rPr>
                <w:rFonts w:ascii="宋体" w:hAnsi="宋体" w:eastAsia="宋体" w:cs="宋体"/>
                <w:sz w:val="18"/>
                <w:szCs w:val="18"/>
              </w:rPr>
            </w:pPr>
            <w:r>
              <w:rPr>
                <w:rFonts w:ascii="宋体" w:hAnsi="宋体" w:eastAsia="宋体" w:cs="宋体"/>
                <w:spacing w:val="-2"/>
                <w:sz w:val="18"/>
                <w:szCs w:val="18"/>
              </w:rPr>
              <w:t>接地母线</w:t>
            </w:r>
          </w:p>
        </w:tc>
        <w:tc>
          <w:tcPr>
            <w:tcW w:w="4456" w:type="dxa"/>
            <w:vAlign w:val="top"/>
          </w:tcPr>
          <w:p>
            <w:pPr>
              <w:autoSpaceDE w:val="0"/>
              <w:autoSpaceDN w:val="0"/>
              <w:spacing w:before="73" w:line="220" w:lineRule="auto"/>
              <w:ind w:left="45"/>
              <w:rPr>
                <w:rFonts w:ascii="宋体" w:hAnsi="宋体" w:eastAsia="宋体" w:cs="宋体"/>
                <w:sz w:val="18"/>
                <w:szCs w:val="18"/>
              </w:rPr>
            </w:pPr>
            <w:r>
              <w:rPr>
                <w:rFonts w:ascii="宋体" w:hAnsi="宋体" w:eastAsia="宋体" w:cs="宋体"/>
                <w:spacing w:val="-2"/>
                <w:sz w:val="18"/>
                <w:szCs w:val="18"/>
              </w:rPr>
              <w:t>1.名称:接地母线</w:t>
            </w:r>
          </w:p>
          <w:p>
            <w:pPr>
              <w:autoSpaceDE w:val="0"/>
              <w:autoSpaceDN w:val="0"/>
              <w:spacing w:before="11" w:line="218" w:lineRule="auto"/>
              <w:ind w:left="34"/>
              <w:rPr>
                <w:rFonts w:ascii="宋体" w:hAnsi="宋体" w:eastAsia="宋体" w:cs="宋体"/>
                <w:sz w:val="18"/>
                <w:szCs w:val="18"/>
              </w:rPr>
            </w:pPr>
            <w:r>
              <w:rPr>
                <w:rFonts w:ascii="宋体" w:hAnsi="宋体" w:eastAsia="宋体" w:cs="宋体"/>
                <w:spacing w:val="-1"/>
                <w:sz w:val="18"/>
                <w:szCs w:val="18"/>
              </w:rPr>
              <w:t>2.材质:热镀锌扁钢</w:t>
            </w:r>
          </w:p>
          <w:p>
            <w:pPr>
              <w:autoSpaceDE w:val="0"/>
              <w:autoSpaceDN w:val="0"/>
              <w:spacing w:before="12" w:line="207" w:lineRule="auto"/>
              <w:ind w:left="36"/>
              <w:rPr>
                <w:rFonts w:ascii="宋体" w:hAnsi="宋体" w:eastAsia="宋体" w:cs="宋体"/>
                <w:sz w:val="18"/>
                <w:szCs w:val="18"/>
              </w:rPr>
            </w:pPr>
            <w:r>
              <w:rPr>
                <w:rFonts w:ascii="宋体" w:hAnsi="宋体" w:eastAsia="宋体" w:cs="宋体"/>
                <w:spacing w:val="-1"/>
                <w:sz w:val="18"/>
                <w:szCs w:val="18"/>
              </w:rPr>
              <w:t>3.规格:-50*5</w:t>
            </w:r>
          </w:p>
        </w:tc>
        <w:tc>
          <w:tcPr>
            <w:tcW w:w="1255" w:type="dxa"/>
            <w:vAlign w:val="top"/>
          </w:tcPr>
          <w:p>
            <w:pPr>
              <w:autoSpaceDE w:val="0"/>
              <w:autoSpaceDN w:val="0"/>
              <w:spacing w:before="298" w:line="241" w:lineRule="auto"/>
              <w:ind w:left="496"/>
              <w:rPr>
                <w:rFonts w:ascii="宋体" w:hAnsi="宋体" w:eastAsia="宋体" w:cs="宋体"/>
                <w:sz w:val="18"/>
                <w:szCs w:val="18"/>
              </w:rPr>
            </w:pPr>
            <w:r>
              <w:rPr>
                <w:rFonts w:ascii="宋体" w:hAnsi="宋体" w:eastAsia="宋体" w:cs="宋体"/>
                <w:sz w:val="18"/>
                <w:szCs w:val="18"/>
              </w:rPr>
              <w:t>m</w:t>
            </w:r>
          </w:p>
        </w:tc>
        <w:tc>
          <w:tcPr>
            <w:tcW w:w="1241" w:type="dxa"/>
            <w:vAlign w:val="top"/>
          </w:tcPr>
          <w:p>
            <w:pPr>
              <w:autoSpaceDE w:val="0"/>
              <w:autoSpaceDN w:val="0"/>
              <w:spacing w:before="299" w:line="239" w:lineRule="auto"/>
              <w:ind w:left="327"/>
              <w:rPr>
                <w:rFonts w:ascii="宋体" w:hAnsi="宋体" w:eastAsia="宋体" w:cs="宋体"/>
                <w:sz w:val="18"/>
                <w:szCs w:val="18"/>
              </w:rPr>
            </w:pPr>
            <w:r>
              <w:rPr>
                <w:rFonts w:ascii="宋体" w:hAnsi="宋体" w:eastAsia="宋体" w:cs="宋体"/>
                <w:spacing w:val="-3"/>
                <w:sz w:val="18"/>
                <w:szCs w:val="18"/>
              </w:rPr>
              <w:t>40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pStyle w:val="687"/>
              <w:autoSpaceDE w:val="0"/>
              <w:autoSpaceDN w:val="0"/>
            </w:pPr>
          </w:p>
          <w:p>
            <w:pPr>
              <w:autoSpaceDE w:val="0"/>
              <w:autoSpaceDN w:val="0"/>
              <w:spacing w:before="58" w:line="239" w:lineRule="auto"/>
              <w:ind w:left="319"/>
              <w:rPr>
                <w:rFonts w:ascii="宋体" w:hAnsi="宋体" w:eastAsia="宋体" w:cs="宋体"/>
                <w:sz w:val="18"/>
                <w:szCs w:val="18"/>
              </w:rPr>
            </w:pPr>
            <w:r>
              <w:rPr>
                <w:rFonts w:ascii="宋体" w:hAnsi="宋体" w:eastAsia="宋体" w:cs="宋体"/>
                <w:spacing w:val="-5"/>
                <w:sz w:val="18"/>
                <w:szCs w:val="18"/>
              </w:rPr>
              <w:t>20</w:t>
            </w:r>
          </w:p>
        </w:tc>
        <w:tc>
          <w:tcPr>
            <w:tcW w:w="1361" w:type="dxa"/>
            <w:vAlign w:val="top"/>
          </w:tcPr>
          <w:p>
            <w:pPr>
              <w:autoSpaceDE w:val="0"/>
              <w:autoSpaceDN w:val="0"/>
              <w:spacing w:before="188" w:line="234" w:lineRule="auto"/>
              <w:ind w:left="35" w:right="151" w:hanging="4"/>
              <w:rPr>
                <w:rFonts w:ascii="宋体" w:hAnsi="宋体" w:eastAsia="宋体" w:cs="宋体"/>
                <w:sz w:val="18"/>
                <w:szCs w:val="18"/>
              </w:rPr>
            </w:pPr>
            <w:r>
              <w:rPr>
                <w:rFonts w:ascii="宋体" w:hAnsi="宋体" w:eastAsia="宋体" w:cs="宋体"/>
                <w:spacing w:val="-1"/>
                <w:sz w:val="18"/>
                <w:szCs w:val="18"/>
              </w:rPr>
              <w:t>支/吊架、基础</w:t>
            </w:r>
            <w:r>
              <w:rPr>
                <w:rFonts w:ascii="宋体" w:hAnsi="宋体" w:eastAsia="宋体" w:cs="宋体"/>
                <w:spacing w:val="-7"/>
                <w:sz w:val="18"/>
                <w:szCs w:val="18"/>
              </w:rPr>
              <w:t>型钢</w:t>
            </w:r>
          </w:p>
        </w:tc>
        <w:tc>
          <w:tcPr>
            <w:tcW w:w="4456" w:type="dxa"/>
            <w:vAlign w:val="top"/>
          </w:tcPr>
          <w:p>
            <w:pPr>
              <w:autoSpaceDE w:val="0"/>
              <w:autoSpaceDN w:val="0"/>
              <w:spacing w:before="74" w:line="221" w:lineRule="auto"/>
              <w:ind w:left="45"/>
              <w:rPr>
                <w:rFonts w:ascii="宋体" w:hAnsi="宋体" w:eastAsia="宋体" w:cs="宋体"/>
                <w:sz w:val="18"/>
                <w:szCs w:val="18"/>
              </w:rPr>
            </w:pPr>
            <w:r>
              <w:rPr>
                <w:rFonts w:ascii="宋体" w:hAnsi="宋体" w:eastAsia="宋体" w:cs="宋体"/>
                <w:spacing w:val="-2"/>
                <w:sz w:val="18"/>
                <w:szCs w:val="18"/>
              </w:rPr>
              <w:t>1.名称:设备基础</w:t>
            </w:r>
          </w:p>
          <w:p>
            <w:pPr>
              <w:autoSpaceDE w:val="0"/>
              <w:autoSpaceDN w:val="0"/>
              <w:spacing w:before="10" w:line="218" w:lineRule="auto"/>
              <w:ind w:left="34"/>
              <w:rPr>
                <w:rFonts w:ascii="宋体" w:hAnsi="宋体" w:eastAsia="宋体" w:cs="宋体"/>
                <w:sz w:val="18"/>
                <w:szCs w:val="18"/>
              </w:rPr>
            </w:pPr>
            <w:r>
              <w:rPr>
                <w:rFonts w:ascii="宋体" w:hAnsi="宋体" w:eastAsia="宋体" w:cs="宋体"/>
                <w:spacing w:val="-1"/>
                <w:sz w:val="18"/>
                <w:szCs w:val="18"/>
              </w:rPr>
              <w:t>2.材质:角钢</w:t>
            </w:r>
          </w:p>
          <w:p>
            <w:pPr>
              <w:autoSpaceDE w:val="0"/>
              <w:autoSpaceDN w:val="0"/>
              <w:spacing w:before="13" w:line="205" w:lineRule="auto"/>
              <w:ind w:left="36"/>
              <w:rPr>
                <w:rFonts w:ascii="宋体" w:hAnsi="宋体" w:eastAsia="宋体" w:cs="宋体"/>
                <w:sz w:val="18"/>
                <w:szCs w:val="18"/>
              </w:rPr>
            </w:pPr>
            <w:r>
              <w:rPr>
                <w:rFonts w:ascii="宋体" w:hAnsi="宋体" w:eastAsia="宋体" w:cs="宋体"/>
                <w:spacing w:val="-3"/>
                <w:sz w:val="18"/>
                <w:szCs w:val="18"/>
              </w:rPr>
              <w:t>3.规格:</w:t>
            </w:r>
            <w:r>
              <w:rPr>
                <w:rFonts w:ascii="宋体" w:hAnsi="宋体" w:eastAsia="宋体" w:cs="宋体"/>
                <w:spacing w:val="-65"/>
                <w:sz w:val="18"/>
                <w:szCs w:val="18"/>
              </w:rPr>
              <w:t xml:space="preserve"> </w:t>
            </w:r>
            <w:r>
              <w:rPr>
                <w:rFonts w:ascii="宋体" w:hAnsi="宋体" w:eastAsia="宋体" w:cs="宋体"/>
                <w:spacing w:val="-3"/>
                <w:sz w:val="18"/>
                <w:szCs w:val="18"/>
              </w:rPr>
              <w:t>∠50*5</w:t>
            </w:r>
          </w:p>
        </w:tc>
        <w:tc>
          <w:tcPr>
            <w:tcW w:w="1255" w:type="dxa"/>
            <w:vAlign w:val="top"/>
          </w:tcPr>
          <w:p>
            <w:pPr>
              <w:pStyle w:val="687"/>
              <w:autoSpaceDE w:val="0"/>
              <w:autoSpaceDN w:val="0"/>
            </w:pPr>
          </w:p>
          <w:p>
            <w:pPr>
              <w:autoSpaceDE w:val="0"/>
              <w:autoSpaceDN w:val="0"/>
              <w:spacing w:before="58" w:line="213" w:lineRule="auto"/>
              <w:ind w:left="457"/>
              <w:rPr>
                <w:rFonts w:ascii="宋体" w:hAnsi="宋体" w:eastAsia="宋体" w:cs="宋体"/>
                <w:sz w:val="18"/>
                <w:szCs w:val="18"/>
              </w:rPr>
            </w:pPr>
            <w:r>
              <w:rPr>
                <w:rFonts w:ascii="宋体" w:hAnsi="宋体" w:eastAsia="宋体" w:cs="宋体"/>
                <w:spacing w:val="-3"/>
                <w:sz w:val="18"/>
                <w:szCs w:val="18"/>
              </w:rPr>
              <w:t>kg</w:t>
            </w:r>
          </w:p>
        </w:tc>
        <w:tc>
          <w:tcPr>
            <w:tcW w:w="1241" w:type="dxa"/>
            <w:vAlign w:val="top"/>
          </w:tcPr>
          <w:p>
            <w:pPr>
              <w:autoSpaceDE w:val="0"/>
              <w:autoSpaceDN w:val="0"/>
              <w:spacing w:before="299" w:line="239" w:lineRule="auto"/>
              <w:ind w:left="147"/>
              <w:rPr>
                <w:rFonts w:ascii="宋体" w:hAnsi="宋体" w:eastAsia="宋体" w:cs="宋体"/>
                <w:sz w:val="18"/>
                <w:szCs w:val="18"/>
              </w:rPr>
            </w:pPr>
            <w:r>
              <w:rPr>
                <w:rFonts w:ascii="宋体" w:hAnsi="宋体" w:eastAsia="宋体" w:cs="宋体"/>
                <w:spacing w:val="-1"/>
                <w:sz w:val="18"/>
                <w:szCs w:val="18"/>
              </w:rPr>
              <w:t>252.59</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autoSpaceDE w:val="0"/>
              <w:autoSpaceDN w:val="0"/>
              <w:spacing w:before="103" w:line="228" w:lineRule="auto"/>
              <w:ind w:left="319"/>
              <w:rPr>
                <w:rFonts w:ascii="宋体" w:hAnsi="宋体" w:eastAsia="宋体" w:cs="宋体"/>
                <w:sz w:val="18"/>
                <w:szCs w:val="18"/>
              </w:rPr>
            </w:pPr>
            <w:r>
              <w:rPr>
                <w:rFonts w:ascii="宋体" w:hAnsi="宋体" w:eastAsia="宋体" w:cs="宋体"/>
                <w:spacing w:val="-5"/>
                <w:sz w:val="18"/>
                <w:szCs w:val="18"/>
              </w:rPr>
              <w:t>21</w:t>
            </w:r>
          </w:p>
        </w:tc>
        <w:tc>
          <w:tcPr>
            <w:tcW w:w="1361" w:type="dxa"/>
            <w:vAlign w:val="top"/>
          </w:tcPr>
          <w:p>
            <w:pPr>
              <w:autoSpaceDE w:val="0"/>
              <w:autoSpaceDN w:val="0"/>
              <w:spacing w:before="103" w:line="218" w:lineRule="auto"/>
              <w:ind w:left="31"/>
              <w:rPr>
                <w:rFonts w:ascii="宋体" w:hAnsi="宋体" w:eastAsia="宋体" w:cs="宋体"/>
                <w:sz w:val="18"/>
                <w:szCs w:val="18"/>
              </w:rPr>
            </w:pPr>
            <w:r>
              <w:rPr>
                <w:rFonts w:ascii="宋体" w:hAnsi="宋体" w:eastAsia="宋体" w:cs="宋体"/>
                <w:spacing w:val="-2"/>
                <w:sz w:val="18"/>
                <w:szCs w:val="18"/>
              </w:rPr>
              <w:t>花纹钢板</w:t>
            </w:r>
          </w:p>
        </w:tc>
        <w:tc>
          <w:tcPr>
            <w:tcW w:w="4456" w:type="dxa"/>
            <w:vAlign w:val="top"/>
          </w:tcPr>
          <w:p>
            <w:pPr>
              <w:autoSpaceDE w:val="0"/>
              <w:autoSpaceDN w:val="0"/>
              <w:spacing w:before="103" w:line="218" w:lineRule="auto"/>
              <w:ind w:left="45"/>
              <w:rPr>
                <w:rFonts w:ascii="宋体" w:hAnsi="宋体" w:eastAsia="宋体" w:cs="宋体"/>
                <w:sz w:val="18"/>
                <w:szCs w:val="18"/>
              </w:rPr>
            </w:pPr>
            <w:r>
              <w:rPr>
                <w:rFonts w:ascii="宋体" w:hAnsi="宋体" w:eastAsia="宋体" w:cs="宋体"/>
                <w:spacing w:val="-2"/>
                <w:sz w:val="18"/>
                <w:szCs w:val="18"/>
              </w:rPr>
              <w:t>1.名称:花纹钢板</w:t>
            </w:r>
          </w:p>
        </w:tc>
        <w:tc>
          <w:tcPr>
            <w:tcW w:w="1255" w:type="dxa"/>
            <w:vAlign w:val="top"/>
          </w:tcPr>
          <w:p>
            <w:pPr>
              <w:autoSpaceDE w:val="0"/>
              <w:autoSpaceDN w:val="0"/>
              <w:spacing w:before="103" w:line="228" w:lineRule="auto"/>
              <w:ind w:left="453"/>
              <w:rPr>
                <w:rFonts w:ascii="宋体" w:hAnsi="宋体" w:eastAsia="宋体" w:cs="宋体"/>
                <w:sz w:val="18"/>
                <w:szCs w:val="18"/>
              </w:rPr>
            </w:pPr>
            <w:r>
              <w:rPr>
                <w:rFonts w:ascii="宋体" w:hAnsi="宋体" w:eastAsia="宋体" w:cs="宋体"/>
                <w:spacing w:val="-1"/>
                <w:sz w:val="18"/>
                <w:szCs w:val="18"/>
              </w:rPr>
              <w:t>m2</w:t>
            </w:r>
          </w:p>
        </w:tc>
        <w:tc>
          <w:tcPr>
            <w:tcW w:w="1241" w:type="dxa"/>
            <w:vAlign w:val="top"/>
          </w:tcPr>
          <w:p>
            <w:pPr>
              <w:autoSpaceDE w:val="0"/>
              <w:autoSpaceDN w:val="0"/>
              <w:spacing w:before="103" w:line="228" w:lineRule="auto"/>
              <w:ind w:left="341"/>
              <w:rPr>
                <w:rFonts w:ascii="宋体" w:hAnsi="宋体" w:eastAsia="宋体" w:cs="宋体"/>
                <w:sz w:val="18"/>
                <w:szCs w:val="18"/>
              </w:rPr>
            </w:pPr>
            <w:r>
              <w:rPr>
                <w:rFonts w:ascii="宋体" w:hAnsi="宋体" w:eastAsia="宋体" w:cs="宋体"/>
                <w:spacing w:val="-10"/>
                <w:sz w:val="18"/>
                <w:szCs w:val="18"/>
              </w:rPr>
              <w:t>10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736" w:hRule="atLeast"/>
        </w:trPr>
        <w:tc>
          <w:tcPr>
            <w:tcW w:w="820" w:type="dxa"/>
            <w:tcBorders>
              <w:left w:val="single" w:color="000008" w:sz="14" w:space="0"/>
            </w:tcBorders>
            <w:vAlign w:val="top"/>
          </w:tcPr>
          <w:p>
            <w:pPr>
              <w:pStyle w:val="687"/>
              <w:autoSpaceDE w:val="0"/>
              <w:autoSpaceDN w:val="0"/>
              <w:spacing w:line="243" w:lineRule="auto"/>
            </w:pPr>
          </w:p>
          <w:p>
            <w:pPr>
              <w:autoSpaceDE w:val="0"/>
              <w:autoSpaceDN w:val="0"/>
              <w:spacing w:before="58" w:line="241" w:lineRule="auto"/>
              <w:ind w:left="319"/>
              <w:rPr>
                <w:rFonts w:ascii="宋体" w:hAnsi="宋体" w:eastAsia="宋体" w:cs="宋体"/>
                <w:sz w:val="18"/>
                <w:szCs w:val="18"/>
              </w:rPr>
            </w:pPr>
            <w:r>
              <w:rPr>
                <w:rFonts w:ascii="宋体" w:hAnsi="宋体" w:eastAsia="宋体" w:cs="宋体"/>
                <w:spacing w:val="-5"/>
                <w:sz w:val="18"/>
                <w:szCs w:val="18"/>
              </w:rPr>
              <w:t>22</w:t>
            </w:r>
          </w:p>
        </w:tc>
        <w:tc>
          <w:tcPr>
            <w:tcW w:w="1361" w:type="dxa"/>
            <w:vAlign w:val="top"/>
          </w:tcPr>
          <w:p>
            <w:pPr>
              <w:pStyle w:val="687"/>
              <w:autoSpaceDE w:val="0"/>
              <w:autoSpaceDN w:val="0"/>
              <w:spacing w:line="243" w:lineRule="auto"/>
            </w:pPr>
          </w:p>
          <w:p>
            <w:pPr>
              <w:autoSpaceDE w:val="0"/>
              <w:autoSpaceDN w:val="0"/>
              <w:spacing w:before="59" w:line="219" w:lineRule="auto"/>
              <w:ind w:left="33"/>
              <w:rPr>
                <w:rFonts w:ascii="宋体" w:hAnsi="宋体" w:eastAsia="宋体" w:cs="宋体"/>
                <w:sz w:val="18"/>
                <w:szCs w:val="18"/>
              </w:rPr>
            </w:pPr>
            <w:r>
              <w:rPr>
                <w:rFonts w:ascii="宋体" w:hAnsi="宋体" w:eastAsia="宋体" w:cs="宋体"/>
                <w:spacing w:val="-4"/>
                <w:sz w:val="18"/>
                <w:szCs w:val="18"/>
              </w:rPr>
              <w:t>灭火器</w:t>
            </w:r>
          </w:p>
        </w:tc>
        <w:tc>
          <w:tcPr>
            <w:tcW w:w="4456" w:type="dxa"/>
            <w:vAlign w:val="top"/>
          </w:tcPr>
          <w:p>
            <w:pPr>
              <w:autoSpaceDE w:val="0"/>
              <w:autoSpaceDN w:val="0"/>
              <w:spacing w:before="77" w:line="219" w:lineRule="auto"/>
              <w:ind w:left="45"/>
              <w:rPr>
                <w:rFonts w:ascii="宋体" w:hAnsi="宋体" w:eastAsia="宋体" w:cs="宋体"/>
                <w:sz w:val="18"/>
                <w:szCs w:val="18"/>
              </w:rPr>
            </w:pPr>
            <w:r>
              <w:rPr>
                <w:rFonts w:ascii="宋体" w:hAnsi="宋体" w:eastAsia="宋体" w:cs="宋体"/>
                <w:spacing w:val="-2"/>
                <w:sz w:val="18"/>
                <w:szCs w:val="18"/>
              </w:rPr>
              <w:t>1.名称:水基灭火器</w:t>
            </w:r>
          </w:p>
          <w:p>
            <w:pPr>
              <w:autoSpaceDE w:val="0"/>
              <w:autoSpaceDN w:val="0"/>
              <w:spacing w:before="11" w:line="217" w:lineRule="auto"/>
              <w:ind w:left="34" w:right="219"/>
              <w:rPr>
                <w:rFonts w:ascii="宋体" w:hAnsi="宋体" w:eastAsia="宋体" w:cs="宋体"/>
                <w:sz w:val="18"/>
                <w:szCs w:val="18"/>
              </w:rPr>
            </w:pPr>
            <w:r>
              <w:rPr>
                <w:rFonts w:ascii="宋体" w:hAnsi="宋体" w:eastAsia="宋体" w:cs="宋体"/>
                <w:spacing w:val="-1"/>
                <w:sz w:val="18"/>
                <w:szCs w:val="18"/>
              </w:rPr>
              <w:t>2.规格、型号:3L</w:t>
            </w:r>
            <w:r>
              <w:rPr>
                <w:rFonts w:ascii="宋体" w:hAnsi="宋体" w:eastAsia="宋体" w:cs="宋体"/>
                <w:spacing w:val="-3"/>
                <w:sz w:val="18"/>
                <w:szCs w:val="18"/>
              </w:rPr>
              <w:t>一组两支</w:t>
            </w:r>
          </w:p>
        </w:tc>
        <w:tc>
          <w:tcPr>
            <w:tcW w:w="1255" w:type="dxa"/>
            <w:vAlign w:val="top"/>
          </w:tcPr>
          <w:p>
            <w:pPr>
              <w:pStyle w:val="687"/>
              <w:autoSpaceDE w:val="0"/>
              <w:autoSpaceDN w:val="0"/>
              <w:spacing w:line="243" w:lineRule="auto"/>
            </w:pPr>
          </w:p>
          <w:p>
            <w:pPr>
              <w:autoSpaceDE w:val="0"/>
              <w:autoSpaceDN w:val="0"/>
              <w:spacing w:before="58" w:line="221" w:lineRule="auto"/>
              <w:ind w:left="462"/>
              <w:rPr>
                <w:rFonts w:ascii="宋体" w:hAnsi="宋体" w:eastAsia="宋体" w:cs="宋体"/>
                <w:sz w:val="18"/>
                <w:szCs w:val="18"/>
              </w:rPr>
            </w:pPr>
            <w:r>
              <w:rPr>
                <w:rFonts w:ascii="宋体" w:hAnsi="宋体" w:eastAsia="宋体" w:cs="宋体"/>
                <w:sz w:val="18"/>
                <w:szCs w:val="18"/>
              </w:rPr>
              <w:t>具</w:t>
            </w:r>
          </w:p>
        </w:tc>
        <w:tc>
          <w:tcPr>
            <w:tcW w:w="1241" w:type="dxa"/>
            <w:vAlign w:val="top"/>
          </w:tcPr>
          <w:p>
            <w:pPr>
              <w:pStyle w:val="687"/>
              <w:autoSpaceDE w:val="0"/>
              <w:autoSpaceDN w:val="0"/>
              <w:spacing w:line="243" w:lineRule="auto"/>
            </w:pPr>
          </w:p>
          <w:p>
            <w:pPr>
              <w:autoSpaceDE w:val="0"/>
              <w:autoSpaceDN w:val="0"/>
              <w:spacing w:before="58" w:line="241" w:lineRule="auto"/>
              <w:ind w:left="341"/>
              <w:rPr>
                <w:rFonts w:ascii="宋体" w:hAnsi="宋体" w:eastAsia="宋体" w:cs="宋体"/>
                <w:sz w:val="18"/>
                <w:szCs w:val="18"/>
              </w:rPr>
            </w:pPr>
            <w:r>
              <w:rPr>
                <w:rFonts w:ascii="宋体" w:hAnsi="宋体" w:eastAsia="宋体" w:cs="宋体"/>
                <w:spacing w:val="-10"/>
                <w:sz w:val="18"/>
                <w:szCs w:val="18"/>
              </w:rPr>
              <w:t>12</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336" w:hRule="atLeast"/>
        </w:trPr>
        <w:tc>
          <w:tcPr>
            <w:tcW w:w="820" w:type="dxa"/>
            <w:tcBorders>
              <w:left w:val="single" w:color="000008" w:sz="14" w:space="0"/>
            </w:tcBorders>
            <w:vAlign w:val="top"/>
          </w:tcPr>
          <w:p>
            <w:pPr>
              <w:autoSpaceDE w:val="0"/>
              <w:autoSpaceDN w:val="0"/>
              <w:spacing w:before="105" w:line="226" w:lineRule="auto"/>
              <w:ind w:left="319"/>
              <w:rPr>
                <w:rFonts w:ascii="宋体" w:hAnsi="宋体" w:eastAsia="宋体" w:cs="宋体"/>
                <w:sz w:val="18"/>
                <w:szCs w:val="18"/>
              </w:rPr>
            </w:pPr>
            <w:r>
              <w:rPr>
                <w:rFonts w:ascii="宋体" w:hAnsi="宋体" w:eastAsia="宋体" w:cs="宋体"/>
                <w:spacing w:val="-5"/>
                <w:sz w:val="18"/>
                <w:szCs w:val="18"/>
              </w:rPr>
              <w:t>23</w:t>
            </w:r>
          </w:p>
        </w:tc>
        <w:tc>
          <w:tcPr>
            <w:tcW w:w="1361" w:type="dxa"/>
            <w:vAlign w:val="top"/>
          </w:tcPr>
          <w:p>
            <w:pPr>
              <w:autoSpaceDE w:val="0"/>
              <w:autoSpaceDN w:val="0"/>
              <w:spacing w:before="105" w:line="219" w:lineRule="auto"/>
              <w:ind w:left="31"/>
              <w:rPr>
                <w:rFonts w:ascii="宋体" w:hAnsi="宋体" w:eastAsia="宋体" w:cs="宋体"/>
                <w:sz w:val="18"/>
                <w:szCs w:val="18"/>
              </w:rPr>
            </w:pPr>
            <w:r>
              <w:rPr>
                <w:rFonts w:ascii="宋体" w:hAnsi="宋体" w:eastAsia="宋体" w:cs="宋体"/>
                <w:spacing w:val="-2"/>
                <w:sz w:val="18"/>
                <w:szCs w:val="18"/>
              </w:rPr>
              <w:t>标识标牌</w:t>
            </w:r>
          </w:p>
        </w:tc>
        <w:tc>
          <w:tcPr>
            <w:tcW w:w="4456" w:type="dxa"/>
            <w:vAlign w:val="top"/>
          </w:tcPr>
          <w:p>
            <w:pPr>
              <w:autoSpaceDE w:val="0"/>
              <w:autoSpaceDN w:val="0"/>
              <w:spacing w:before="105" w:line="219" w:lineRule="auto"/>
              <w:ind w:left="45"/>
              <w:rPr>
                <w:rFonts w:ascii="宋体" w:hAnsi="宋体" w:eastAsia="宋体" w:cs="宋体"/>
                <w:sz w:val="18"/>
                <w:szCs w:val="18"/>
              </w:rPr>
            </w:pPr>
            <w:r>
              <w:rPr>
                <w:rFonts w:ascii="宋体" w:hAnsi="宋体" w:eastAsia="宋体" w:cs="宋体"/>
                <w:spacing w:val="-2"/>
                <w:sz w:val="18"/>
                <w:szCs w:val="18"/>
              </w:rPr>
              <w:t>1.名称:标识标牌</w:t>
            </w:r>
          </w:p>
        </w:tc>
        <w:tc>
          <w:tcPr>
            <w:tcW w:w="1255" w:type="dxa"/>
            <w:vAlign w:val="top"/>
          </w:tcPr>
          <w:p>
            <w:pPr>
              <w:autoSpaceDE w:val="0"/>
              <w:autoSpaceDN w:val="0"/>
              <w:spacing w:before="105" w:line="220" w:lineRule="auto"/>
              <w:ind w:left="459"/>
              <w:rPr>
                <w:rFonts w:ascii="宋体" w:hAnsi="宋体" w:eastAsia="宋体" w:cs="宋体"/>
                <w:sz w:val="18"/>
                <w:szCs w:val="18"/>
              </w:rPr>
            </w:pPr>
            <w:r>
              <w:rPr>
                <w:rFonts w:ascii="宋体" w:hAnsi="宋体" w:eastAsia="宋体" w:cs="宋体"/>
                <w:sz w:val="18"/>
                <w:szCs w:val="18"/>
              </w:rPr>
              <w:t>套</w:t>
            </w:r>
          </w:p>
        </w:tc>
        <w:tc>
          <w:tcPr>
            <w:tcW w:w="1241" w:type="dxa"/>
            <w:vAlign w:val="top"/>
          </w:tcPr>
          <w:p>
            <w:pPr>
              <w:autoSpaceDE w:val="0"/>
              <w:autoSpaceDN w:val="0"/>
              <w:spacing w:before="105" w:line="226" w:lineRule="auto"/>
              <w:ind w:left="386"/>
              <w:rPr>
                <w:rFonts w:ascii="宋体" w:hAnsi="宋体" w:eastAsia="宋体" w:cs="宋体"/>
                <w:sz w:val="18"/>
                <w:szCs w:val="18"/>
              </w:rPr>
            </w:pPr>
            <w:r>
              <w:rPr>
                <w:rFonts w:ascii="宋体" w:hAnsi="宋体" w:eastAsia="宋体" w:cs="宋体"/>
                <w:sz w:val="18"/>
                <w:szCs w:val="18"/>
              </w:rPr>
              <w:t>1</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968" w:hRule="atLeast"/>
        </w:trPr>
        <w:tc>
          <w:tcPr>
            <w:tcW w:w="820" w:type="dxa"/>
            <w:tcBorders>
              <w:left w:val="single" w:color="000008" w:sz="14" w:space="0"/>
            </w:tcBorders>
            <w:vAlign w:val="top"/>
          </w:tcPr>
          <w:p>
            <w:pPr>
              <w:pStyle w:val="687"/>
              <w:autoSpaceDE w:val="0"/>
              <w:autoSpaceDN w:val="0"/>
              <w:spacing w:line="362" w:lineRule="auto"/>
            </w:pPr>
          </w:p>
          <w:p>
            <w:pPr>
              <w:autoSpaceDE w:val="0"/>
              <w:autoSpaceDN w:val="0"/>
              <w:spacing w:before="59" w:line="241" w:lineRule="auto"/>
              <w:ind w:left="319"/>
              <w:rPr>
                <w:rFonts w:ascii="宋体" w:hAnsi="宋体" w:eastAsia="宋体" w:cs="宋体"/>
                <w:sz w:val="18"/>
                <w:szCs w:val="18"/>
              </w:rPr>
            </w:pPr>
            <w:r>
              <w:rPr>
                <w:rFonts w:ascii="宋体" w:hAnsi="宋体" w:eastAsia="宋体" w:cs="宋体"/>
                <w:spacing w:val="-5"/>
                <w:sz w:val="18"/>
                <w:szCs w:val="18"/>
              </w:rPr>
              <w:t>24</w:t>
            </w:r>
          </w:p>
        </w:tc>
        <w:tc>
          <w:tcPr>
            <w:tcW w:w="1361" w:type="dxa"/>
            <w:vAlign w:val="top"/>
          </w:tcPr>
          <w:p>
            <w:pPr>
              <w:pStyle w:val="687"/>
              <w:autoSpaceDE w:val="0"/>
              <w:autoSpaceDN w:val="0"/>
              <w:spacing w:line="363" w:lineRule="auto"/>
            </w:pPr>
          </w:p>
          <w:p>
            <w:pPr>
              <w:autoSpaceDE w:val="0"/>
              <w:autoSpaceDN w:val="0"/>
              <w:spacing w:before="58" w:line="219" w:lineRule="auto"/>
              <w:ind w:left="51"/>
              <w:rPr>
                <w:rFonts w:ascii="宋体" w:hAnsi="宋体" w:eastAsia="宋体" w:cs="宋体"/>
                <w:sz w:val="18"/>
                <w:szCs w:val="18"/>
              </w:rPr>
            </w:pPr>
            <w:r>
              <w:rPr>
                <w:rFonts w:ascii="宋体" w:hAnsi="宋体" w:eastAsia="宋体" w:cs="宋体"/>
                <w:spacing w:val="-5"/>
                <w:sz w:val="18"/>
                <w:szCs w:val="18"/>
              </w:rPr>
              <w:t>电力电缆拆除</w:t>
            </w:r>
          </w:p>
        </w:tc>
        <w:tc>
          <w:tcPr>
            <w:tcW w:w="4456" w:type="dxa"/>
            <w:vAlign w:val="top"/>
          </w:tcPr>
          <w:p>
            <w:pPr>
              <w:autoSpaceDE w:val="0"/>
              <w:autoSpaceDN w:val="0"/>
              <w:spacing w:before="198" w:line="219" w:lineRule="auto"/>
              <w:ind w:left="45"/>
              <w:rPr>
                <w:rFonts w:ascii="宋体" w:hAnsi="宋体" w:eastAsia="宋体" w:cs="宋体"/>
                <w:sz w:val="18"/>
                <w:szCs w:val="18"/>
              </w:rPr>
            </w:pPr>
            <w:r>
              <w:rPr>
                <w:rFonts w:ascii="宋体" w:hAnsi="宋体" w:eastAsia="宋体" w:cs="宋体"/>
                <w:spacing w:val="-2"/>
                <w:sz w:val="18"/>
                <w:szCs w:val="18"/>
              </w:rPr>
              <w:t>1.名称:电缆拆除</w:t>
            </w:r>
          </w:p>
          <w:p>
            <w:pPr>
              <w:autoSpaceDE w:val="0"/>
              <w:autoSpaceDN w:val="0"/>
              <w:spacing w:before="11" w:line="218" w:lineRule="auto"/>
              <w:ind w:left="34"/>
              <w:rPr>
                <w:rFonts w:ascii="宋体" w:hAnsi="宋体" w:eastAsia="宋体" w:cs="宋体"/>
                <w:sz w:val="18"/>
                <w:szCs w:val="18"/>
              </w:rPr>
            </w:pPr>
            <w:r>
              <w:rPr>
                <w:rFonts w:ascii="宋体" w:hAnsi="宋体" w:eastAsia="宋体" w:cs="宋体"/>
                <w:sz w:val="18"/>
                <w:szCs w:val="18"/>
              </w:rPr>
              <w:t>2.规格:ZC-YJY-</w:t>
            </w:r>
          </w:p>
          <w:p>
            <w:pPr>
              <w:autoSpaceDE w:val="0"/>
              <w:autoSpaceDN w:val="0"/>
              <w:spacing w:before="10" w:line="224" w:lineRule="auto"/>
              <w:ind w:left="34"/>
              <w:rPr>
                <w:rFonts w:ascii="宋体" w:hAnsi="宋体" w:eastAsia="宋体" w:cs="宋体"/>
                <w:sz w:val="18"/>
                <w:szCs w:val="18"/>
              </w:rPr>
            </w:pPr>
            <w:r>
              <w:rPr>
                <w:rFonts w:ascii="宋体" w:hAnsi="宋体" w:eastAsia="宋体" w:cs="宋体"/>
                <w:sz w:val="18"/>
                <w:szCs w:val="18"/>
              </w:rPr>
              <w:t>0.6/1kV-4*120mm2</w:t>
            </w:r>
          </w:p>
        </w:tc>
        <w:tc>
          <w:tcPr>
            <w:tcW w:w="1255" w:type="dxa"/>
            <w:vAlign w:val="top"/>
          </w:tcPr>
          <w:p>
            <w:pPr>
              <w:pStyle w:val="687"/>
              <w:autoSpaceDE w:val="0"/>
              <w:autoSpaceDN w:val="0"/>
              <w:spacing w:line="362" w:lineRule="auto"/>
            </w:pPr>
          </w:p>
          <w:p>
            <w:pPr>
              <w:autoSpaceDE w:val="0"/>
              <w:autoSpaceDN w:val="0"/>
              <w:spacing w:before="59" w:line="241" w:lineRule="auto"/>
              <w:ind w:left="496"/>
              <w:rPr>
                <w:rFonts w:ascii="宋体" w:hAnsi="宋体" w:eastAsia="宋体" w:cs="宋体"/>
                <w:sz w:val="18"/>
                <w:szCs w:val="18"/>
              </w:rPr>
            </w:pPr>
            <w:r>
              <w:rPr>
                <w:rFonts w:ascii="宋体" w:hAnsi="宋体" w:eastAsia="宋体" w:cs="宋体"/>
                <w:sz w:val="18"/>
                <w:szCs w:val="18"/>
              </w:rPr>
              <w:t>m</w:t>
            </w:r>
          </w:p>
        </w:tc>
        <w:tc>
          <w:tcPr>
            <w:tcW w:w="1241" w:type="dxa"/>
            <w:vAlign w:val="top"/>
          </w:tcPr>
          <w:p>
            <w:pPr>
              <w:pStyle w:val="687"/>
              <w:autoSpaceDE w:val="0"/>
              <w:autoSpaceDN w:val="0"/>
              <w:spacing w:line="363" w:lineRule="auto"/>
            </w:pPr>
          </w:p>
          <w:p>
            <w:pPr>
              <w:autoSpaceDE w:val="0"/>
              <w:autoSpaceDN w:val="0"/>
              <w:spacing w:before="58" w:line="239" w:lineRule="auto"/>
              <w:ind w:left="341"/>
              <w:rPr>
                <w:rFonts w:ascii="宋体" w:hAnsi="宋体" w:eastAsia="宋体" w:cs="宋体"/>
                <w:sz w:val="18"/>
                <w:szCs w:val="18"/>
              </w:rPr>
            </w:pPr>
            <w:r>
              <w:rPr>
                <w:rFonts w:ascii="宋体" w:hAnsi="宋体" w:eastAsia="宋体" w:cs="宋体"/>
                <w:spacing w:val="-10"/>
                <w:sz w:val="18"/>
                <w:szCs w:val="18"/>
              </w:rPr>
              <w:t>10</w:t>
            </w:r>
          </w:p>
        </w:tc>
      </w:tr>
      <w:tr>
        <w:tblPrEx>
          <w:tblBorders>
            <w:top w:val="single" w:color="000008" w:sz="6" w:space="0"/>
            <w:left w:val="single" w:color="000008" w:sz="6" w:space="0"/>
            <w:bottom w:val="single" w:color="000008" w:sz="6" w:space="0"/>
            <w:right w:val="single" w:color="000008" w:sz="6" w:space="0"/>
            <w:insideH w:val="single" w:color="000008" w:sz="6" w:space="0"/>
            <w:insideV w:val="single" w:color="000008" w:sz="6" w:space="0"/>
          </w:tblBorders>
          <w:tblLayout w:type="fixed"/>
          <w:tblCellMar>
            <w:top w:w="0" w:type="dxa"/>
            <w:left w:w="0" w:type="dxa"/>
            <w:bottom w:w="0" w:type="dxa"/>
            <w:right w:w="0" w:type="dxa"/>
          </w:tblCellMar>
        </w:tblPrEx>
        <w:trPr>
          <w:trHeight w:val="854" w:hRule="atLeast"/>
        </w:trPr>
        <w:tc>
          <w:tcPr>
            <w:tcW w:w="820" w:type="dxa"/>
            <w:tcBorders>
              <w:left w:val="single" w:color="000008" w:sz="14" w:space="0"/>
            </w:tcBorders>
            <w:vAlign w:val="top"/>
          </w:tcPr>
          <w:p>
            <w:pPr>
              <w:pStyle w:val="687"/>
              <w:autoSpaceDE w:val="0"/>
              <w:autoSpaceDN w:val="0"/>
              <w:spacing w:line="354" w:lineRule="auto"/>
            </w:pPr>
          </w:p>
          <w:p>
            <w:pPr>
              <w:pStyle w:val="687"/>
              <w:autoSpaceDE w:val="0"/>
              <w:autoSpaceDN w:val="0"/>
              <w:spacing w:line="354" w:lineRule="auto"/>
            </w:pPr>
          </w:p>
          <w:p>
            <w:pPr>
              <w:autoSpaceDE w:val="0"/>
              <w:autoSpaceDN w:val="0"/>
              <w:spacing w:before="58" w:line="239" w:lineRule="auto"/>
              <w:ind w:left="319"/>
              <w:rPr>
                <w:rFonts w:ascii="宋体" w:hAnsi="宋体" w:eastAsia="宋体" w:cs="宋体"/>
                <w:sz w:val="18"/>
                <w:szCs w:val="18"/>
              </w:rPr>
            </w:pPr>
            <w:r>
              <w:rPr>
                <w:rFonts w:ascii="宋体" w:hAnsi="宋体" w:eastAsia="宋体" w:cs="宋体"/>
                <w:spacing w:val="-5"/>
                <w:sz w:val="18"/>
                <w:szCs w:val="18"/>
              </w:rPr>
              <w:t>25</w:t>
            </w:r>
          </w:p>
        </w:tc>
        <w:tc>
          <w:tcPr>
            <w:tcW w:w="1361" w:type="dxa"/>
            <w:vAlign w:val="top"/>
          </w:tcPr>
          <w:p>
            <w:pPr>
              <w:pStyle w:val="687"/>
              <w:autoSpaceDE w:val="0"/>
              <w:autoSpaceDN w:val="0"/>
              <w:spacing w:line="353" w:lineRule="auto"/>
            </w:pPr>
          </w:p>
          <w:p>
            <w:pPr>
              <w:pStyle w:val="687"/>
              <w:autoSpaceDE w:val="0"/>
              <w:autoSpaceDN w:val="0"/>
              <w:spacing w:line="354" w:lineRule="auto"/>
            </w:pPr>
          </w:p>
          <w:p>
            <w:pPr>
              <w:autoSpaceDE w:val="0"/>
              <w:autoSpaceDN w:val="0"/>
              <w:spacing w:before="59" w:line="219" w:lineRule="auto"/>
              <w:ind w:left="51"/>
              <w:rPr>
                <w:rFonts w:ascii="宋体" w:hAnsi="宋体" w:eastAsia="宋体" w:cs="宋体"/>
                <w:sz w:val="18"/>
                <w:szCs w:val="18"/>
              </w:rPr>
            </w:pPr>
            <w:r>
              <w:rPr>
                <w:rFonts w:ascii="宋体" w:hAnsi="宋体" w:eastAsia="宋体" w:cs="宋体"/>
                <w:spacing w:val="-8"/>
                <w:sz w:val="18"/>
                <w:szCs w:val="18"/>
              </w:rPr>
              <w:t>电力电缆</w:t>
            </w:r>
          </w:p>
        </w:tc>
        <w:tc>
          <w:tcPr>
            <w:tcW w:w="4456" w:type="dxa"/>
            <w:vAlign w:val="top"/>
          </w:tcPr>
          <w:p>
            <w:pPr>
              <w:autoSpaceDE w:val="0"/>
              <w:autoSpaceDN w:val="0"/>
              <w:spacing w:before="209" w:line="230" w:lineRule="auto"/>
              <w:ind w:left="42" w:right="219" w:firstLine="3"/>
              <w:rPr>
                <w:rFonts w:ascii="宋体" w:hAnsi="宋体" w:eastAsia="宋体" w:cs="宋体"/>
                <w:sz w:val="18"/>
                <w:szCs w:val="18"/>
              </w:rPr>
            </w:pPr>
            <w:r>
              <w:rPr>
                <w:rFonts w:ascii="宋体" w:hAnsi="宋体" w:eastAsia="宋体" w:cs="宋体"/>
                <w:spacing w:val="-2"/>
                <w:sz w:val="18"/>
                <w:szCs w:val="18"/>
              </w:rPr>
              <w:t>1.名称:低压电缆</w:t>
            </w:r>
            <w:r>
              <w:rPr>
                <w:rFonts w:ascii="宋体" w:hAnsi="宋体" w:eastAsia="宋体" w:cs="宋体"/>
                <w:spacing w:val="-5"/>
                <w:sz w:val="18"/>
                <w:szCs w:val="18"/>
              </w:rPr>
              <w:t>（利旧）</w:t>
            </w:r>
          </w:p>
          <w:p>
            <w:pPr>
              <w:autoSpaceDE w:val="0"/>
              <w:autoSpaceDN w:val="0"/>
              <w:spacing w:line="217" w:lineRule="auto"/>
              <w:ind w:left="34"/>
              <w:rPr>
                <w:rFonts w:ascii="宋体" w:hAnsi="宋体" w:eastAsia="宋体" w:cs="宋体"/>
                <w:sz w:val="18"/>
                <w:szCs w:val="18"/>
              </w:rPr>
            </w:pPr>
            <w:r>
              <w:rPr>
                <w:rFonts w:ascii="宋体" w:hAnsi="宋体" w:eastAsia="宋体" w:cs="宋体"/>
                <w:sz w:val="18"/>
                <w:szCs w:val="18"/>
              </w:rPr>
              <w:t>2.规格:ZC-YJY-</w:t>
            </w:r>
          </w:p>
          <w:p>
            <w:pPr>
              <w:autoSpaceDE w:val="0"/>
              <w:autoSpaceDN w:val="0"/>
              <w:spacing w:before="13" w:line="224" w:lineRule="auto"/>
              <w:ind w:left="34"/>
              <w:rPr>
                <w:rFonts w:ascii="宋体" w:hAnsi="宋体" w:eastAsia="宋体" w:cs="宋体"/>
                <w:sz w:val="18"/>
                <w:szCs w:val="18"/>
              </w:rPr>
            </w:pPr>
            <w:r>
              <w:rPr>
                <w:rFonts w:ascii="宋体" w:hAnsi="宋体" w:eastAsia="宋体" w:cs="宋体"/>
                <w:sz w:val="18"/>
                <w:szCs w:val="18"/>
              </w:rPr>
              <w:t>0.6/1kV-4*120mm2</w:t>
            </w:r>
          </w:p>
          <w:p>
            <w:pPr>
              <w:autoSpaceDE w:val="0"/>
              <w:autoSpaceDN w:val="0"/>
              <w:spacing w:before="6" w:line="234" w:lineRule="auto"/>
              <w:ind w:left="35" w:right="39"/>
              <w:rPr>
                <w:rFonts w:ascii="宋体" w:hAnsi="宋体" w:eastAsia="宋体" w:cs="宋体"/>
                <w:sz w:val="18"/>
                <w:szCs w:val="18"/>
              </w:rPr>
            </w:pPr>
            <w:r>
              <w:rPr>
                <w:rFonts w:ascii="宋体" w:hAnsi="宋体" w:eastAsia="宋体" w:cs="宋体"/>
                <w:spacing w:val="-1"/>
                <w:sz w:val="18"/>
                <w:szCs w:val="18"/>
              </w:rPr>
              <w:t>3.敷设方式:桥架敷</w:t>
            </w:r>
            <w:r>
              <w:rPr>
                <w:rFonts w:ascii="宋体" w:hAnsi="宋体" w:eastAsia="宋体" w:cs="宋体"/>
                <w:sz w:val="18"/>
                <w:szCs w:val="18"/>
              </w:rPr>
              <w:t>设</w:t>
            </w:r>
          </w:p>
        </w:tc>
        <w:tc>
          <w:tcPr>
            <w:tcW w:w="1255" w:type="dxa"/>
            <w:vAlign w:val="top"/>
          </w:tcPr>
          <w:p>
            <w:pPr>
              <w:pStyle w:val="687"/>
              <w:autoSpaceDE w:val="0"/>
              <w:autoSpaceDN w:val="0"/>
              <w:spacing w:line="353" w:lineRule="auto"/>
            </w:pPr>
          </w:p>
          <w:p>
            <w:pPr>
              <w:pStyle w:val="687"/>
              <w:autoSpaceDE w:val="0"/>
              <w:autoSpaceDN w:val="0"/>
              <w:spacing w:line="354" w:lineRule="auto"/>
            </w:pPr>
          </w:p>
          <w:p>
            <w:pPr>
              <w:autoSpaceDE w:val="0"/>
              <w:autoSpaceDN w:val="0"/>
              <w:spacing w:before="59" w:line="241" w:lineRule="auto"/>
              <w:ind w:left="496"/>
              <w:rPr>
                <w:rFonts w:ascii="宋体" w:hAnsi="宋体" w:eastAsia="宋体" w:cs="宋体"/>
                <w:sz w:val="18"/>
                <w:szCs w:val="18"/>
              </w:rPr>
            </w:pPr>
            <w:r>
              <w:rPr>
                <w:rFonts w:ascii="宋体" w:hAnsi="宋体" w:eastAsia="宋体" w:cs="宋体"/>
                <w:sz w:val="18"/>
                <w:szCs w:val="18"/>
              </w:rPr>
              <w:t>m</w:t>
            </w:r>
          </w:p>
        </w:tc>
        <w:tc>
          <w:tcPr>
            <w:tcW w:w="1241" w:type="dxa"/>
            <w:vAlign w:val="top"/>
          </w:tcPr>
          <w:p>
            <w:pPr>
              <w:pStyle w:val="687"/>
              <w:autoSpaceDE w:val="0"/>
              <w:autoSpaceDN w:val="0"/>
              <w:spacing w:line="354" w:lineRule="auto"/>
            </w:pPr>
          </w:p>
          <w:p>
            <w:pPr>
              <w:pStyle w:val="687"/>
              <w:autoSpaceDE w:val="0"/>
              <w:autoSpaceDN w:val="0"/>
              <w:spacing w:line="354" w:lineRule="auto"/>
            </w:pPr>
          </w:p>
          <w:p>
            <w:pPr>
              <w:autoSpaceDE w:val="0"/>
              <w:autoSpaceDN w:val="0"/>
              <w:spacing w:before="58" w:line="239" w:lineRule="auto"/>
              <w:ind w:left="341"/>
              <w:rPr>
                <w:rFonts w:ascii="宋体" w:hAnsi="宋体" w:eastAsia="宋体" w:cs="宋体"/>
                <w:sz w:val="18"/>
                <w:szCs w:val="18"/>
              </w:rPr>
            </w:pPr>
            <w:r>
              <w:rPr>
                <w:rFonts w:ascii="宋体" w:hAnsi="宋体" w:eastAsia="宋体" w:cs="宋体"/>
                <w:spacing w:val="-10"/>
                <w:sz w:val="18"/>
                <w:szCs w:val="18"/>
              </w:rPr>
              <w:t>10</w:t>
            </w:r>
          </w:p>
        </w:tc>
      </w:tr>
    </w:tbl>
    <w:p>
      <w:pPr>
        <w:pStyle w:val="2"/>
        <w:numPr>
          <w:ilvl w:val="0"/>
          <w:numId w:val="0"/>
        </w:numPr>
        <w:rPr>
          <w:rFonts w:hint="eastAsia"/>
          <w:b/>
          <w:bCs/>
          <w:lang w:val="en-US" w:eastAsia="zh-CN"/>
        </w:rPr>
      </w:pPr>
    </w:p>
    <w:p>
      <w:pPr>
        <w:pStyle w:val="2"/>
        <w:numPr>
          <w:ilvl w:val="0"/>
          <w:numId w:val="0"/>
        </w:numPr>
        <w:rPr>
          <w:rFonts w:hint="eastAsia"/>
          <w:b/>
          <w:bCs/>
          <w:lang w:val="en-US" w:eastAsia="zh-CN"/>
        </w:rPr>
      </w:pPr>
    </w:p>
    <w:p>
      <w:pPr>
        <w:pStyle w:val="2"/>
        <w:numPr>
          <w:ilvl w:val="0"/>
          <w:numId w:val="0"/>
        </w:numPr>
        <w:rPr>
          <w:rFonts w:hint="eastAsia"/>
          <w:b/>
          <w:bCs/>
          <w:lang w:val="en-US" w:eastAsia="zh-CN"/>
        </w:rPr>
      </w:pPr>
      <w:r>
        <w:rPr>
          <w:rFonts w:hint="eastAsia"/>
          <w:b/>
          <w:bCs/>
          <w:lang w:val="en-US" w:eastAsia="zh-CN"/>
        </w:rPr>
        <w:t>二、图纸（供应商登录北京市政府采购电子交易平台于“采购文件澄清、修改”处下载）</w:t>
      </w:r>
    </w:p>
    <w:p>
      <w:pPr>
        <w:rPr>
          <w:rFonts w:hint="eastAsia"/>
          <w:lang w:val="en-US" w:eastAsia="zh-CN"/>
        </w:rPr>
      </w:pPr>
    </w:p>
    <w:p>
      <w:pPr>
        <w:pStyle w:val="2"/>
        <w:numPr>
          <w:ilvl w:val="0"/>
          <w:numId w:val="69"/>
        </w:numPr>
        <w:rPr>
          <w:rFonts w:hint="eastAsia"/>
          <w:b/>
          <w:bCs/>
          <w:sz w:val="24"/>
          <w:szCs w:val="24"/>
          <w:lang w:val="en-US" w:eastAsia="zh-CN"/>
        </w:rPr>
      </w:pPr>
      <w:r>
        <w:rPr>
          <w:rFonts w:hint="eastAsia"/>
          <w:b/>
          <w:bCs/>
          <w:sz w:val="24"/>
          <w:szCs w:val="24"/>
          <w:lang w:val="en-US" w:eastAsia="zh-CN"/>
        </w:rPr>
        <w:t>总体要求</w:t>
      </w:r>
    </w:p>
    <w:p>
      <w:pPr>
        <w:rPr>
          <w:rFonts w:hint="eastAsia"/>
          <w:b/>
          <w:bCs/>
          <w:sz w:val="24"/>
          <w:szCs w:val="24"/>
          <w:lang w:val="en-US" w:eastAsia="zh-CN"/>
        </w:rPr>
      </w:pPr>
    </w:p>
    <w:p>
      <w:pPr>
        <w:pStyle w:val="2"/>
        <w:keepNext w:val="0"/>
        <w:keepLines w:val="0"/>
        <w:pageBreakBefore w:val="0"/>
        <w:kinsoku/>
        <w:wordWrap/>
        <w:overflowPunct/>
        <w:topLinePunct w:val="0"/>
        <w:autoSpaceDE/>
        <w:autoSpaceDN/>
        <w:bidi w:val="0"/>
        <w:snapToGrid/>
        <w:spacing w:line="360" w:lineRule="auto"/>
        <w:ind w:left="0" w:leftChars="0" w:right="0" w:rightChars="0" w:firstLine="0" w:firstLineChars="0"/>
        <w:textAlignment w:val="auto"/>
        <w:outlineLvl w:val="9"/>
        <w:rPr>
          <w:rFonts w:hint="eastAsia" w:ascii="宋体" w:hAnsi="宋体" w:eastAsia="宋体" w:cs="宋体"/>
          <w:b w:val="0"/>
          <w:bCs w:val="0"/>
          <w:sz w:val="24"/>
          <w:szCs w:val="24"/>
          <w:lang w:val="en-US" w:eastAsia="zh-CN"/>
        </w:rPr>
      </w:pPr>
      <w:r>
        <w:rPr>
          <w:rFonts w:hint="eastAsia"/>
          <w:b/>
          <w:bCs/>
          <w:sz w:val="24"/>
          <w:szCs w:val="24"/>
          <w:lang w:val="en-US" w:eastAsia="zh-CN"/>
        </w:rPr>
        <w:t xml:space="preserve">  </w:t>
      </w:r>
      <w:r>
        <w:rPr>
          <w:rFonts w:hint="eastAsia" w:ascii="宋体" w:hAnsi="宋体" w:eastAsia="宋体" w:cs="宋体"/>
          <w:b w:val="0"/>
          <w:bCs w:val="0"/>
          <w:sz w:val="24"/>
          <w:szCs w:val="24"/>
          <w:lang w:val="en-US" w:eastAsia="zh-CN"/>
        </w:rPr>
        <w:t>1、工期要求及施工地点</w:t>
      </w:r>
    </w:p>
    <w:p>
      <w:pPr>
        <w:pStyle w:val="5"/>
        <w:keepNext w:val="0"/>
        <w:keepLines w:val="0"/>
        <w:pageBreakBefore w:val="0"/>
        <w:numPr>
          <w:ilvl w:val="0"/>
          <w:numId w:val="70"/>
        </w:numPr>
        <w:kinsoku/>
        <w:wordWrap/>
        <w:overflowPunct/>
        <w:topLinePunct w:val="0"/>
        <w:autoSpaceDE/>
        <w:autoSpaceDN/>
        <w:bidi w:val="0"/>
        <w:snapToGrid/>
        <w:spacing w:line="360" w:lineRule="auto"/>
        <w:ind w:left="0" w:leftChars="0" w:right="0" w:rightChars="0" w:firstLine="0" w:firstLineChars="0"/>
        <w:textAlignment w:val="auto"/>
        <w:outlineLvl w:val="9"/>
        <w:rPr>
          <w:rFonts w:hint="eastAsia" w:ascii="宋体" w:hAnsi="宋体" w:cs="宋体"/>
          <w:color w:val="auto"/>
        </w:rPr>
      </w:pPr>
      <w:r>
        <w:rPr>
          <w:rFonts w:hint="eastAsia" w:ascii="宋体" w:hAnsi="宋体" w:cs="宋体"/>
          <w:color w:val="auto"/>
          <w:lang w:eastAsia="zh-CN"/>
        </w:rPr>
        <w:t>完工</w:t>
      </w:r>
      <w:r>
        <w:rPr>
          <w:rFonts w:hint="eastAsia" w:ascii="宋体" w:hAnsi="宋体" w:cs="宋体"/>
          <w:color w:val="auto"/>
        </w:rPr>
        <w:t>日期：自合同签订之日起20日历天内完成交货、安装、调试及验收。</w:t>
      </w:r>
    </w:p>
    <w:p>
      <w:pPr>
        <w:pStyle w:val="5"/>
        <w:keepNext w:val="0"/>
        <w:keepLines w:val="0"/>
        <w:pageBreakBefore w:val="0"/>
        <w:numPr>
          <w:ilvl w:val="0"/>
          <w:numId w:val="70"/>
        </w:numPr>
        <w:kinsoku/>
        <w:wordWrap/>
        <w:overflowPunct/>
        <w:topLinePunct w:val="0"/>
        <w:autoSpaceDE/>
        <w:autoSpaceDN/>
        <w:bidi w:val="0"/>
        <w:snapToGrid/>
        <w:spacing w:line="360" w:lineRule="auto"/>
        <w:ind w:left="0" w:leftChars="0" w:right="0" w:rightChars="0" w:firstLine="0" w:firstLineChars="0"/>
        <w:textAlignment w:val="auto"/>
        <w:outlineLvl w:val="9"/>
        <w:rPr>
          <w:rFonts w:hint="eastAsia"/>
          <w:lang w:val="en-US" w:eastAsia="zh-CN"/>
        </w:rPr>
      </w:pPr>
      <w:r>
        <w:rPr>
          <w:rFonts w:hint="eastAsia" w:ascii="宋体" w:hAnsi="宋体" w:cs="宋体"/>
          <w:color w:val="auto"/>
          <w:lang w:eastAsia="zh-CN"/>
        </w:rPr>
        <w:t>施工</w:t>
      </w:r>
      <w:r>
        <w:rPr>
          <w:rFonts w:hint="eastAsia" w:ascii="宋体" w:hAnsi="宋体" w:cs="宋体"/>
          <w:color w:val="auto"/>
        </w:rPr>
        <w:t>地点：</w:t>
      </w:r>
      <w:r>
        <w:rPr>
          <w:rFonts w:hint="eastAsia" w:ascii="宋体" w:hAnsi="宋体" w:cs="宋体"/>
          <w:color w:val="auto"/>
          <w:lang w:eastAsia="zh-CN"/>
        </w:rPr>
        <w:t>采购人</w:t>
      </w:r>
      <w:r>
        <w:rPr>
          <w:rFonts w:hint="eastAsia" w:ascii="宋体" w:hAnsi="宋体" w:cs="宋体"/>
          <w:color w:val="auto"/>
        </w:rPr>
        <w:t>指定。</w:t>
      </w:r>
    </w:p>
    <w:p>
      <w:pPr>
        <w:keepNext w:val="0"/>
        <w:keepLines w:val="0"/>
        <w:pageBreakBefore w:val="0"/>
        <w:kinsoku/>
        <w:wordWrap/>
        <w:overflowPunct/>
        <w:topLinePunct w:val="0"/>
        <w:autoSpaceDE/>
        <w:autoSpaceDN/>
        <w:bidi w:val="0"/>
        <w:snapToGrid/>
        <w:spacing w:line="360" w:lineRule="auto"/>
        <w:ind w:left="0" w:leftChars="0" w:right="0" w:rightChars="0" w:firstLine="0" w:firstLineChars="0"/>
        <w:textAlignment w:val="auto"/>
        <w:outlineLvl w:val="9"/>
        <w:rPr>
          <w:rFonts w:hint="eastAsia"/>
          <w:lang w:val="en-US" w:eastAsia="zh-CN"/>
        </w:rPr>
      </w:pPr>
      <w:r>
        <w:rPr>
          <w:rFonts w:hint="eastAsia" w:ascii="宋体" w:hAnsi="宋体" w:eastAsia="宋体" w:cs="宋体"/>
          <w:b w:val="0"/>
          <w:bCs w:val="0"/>
          <w:sz w:val="24"/>
          <w:szCs w:val="24"/>
          <w:lang w:val="en-US" w:eastAsia="zh-CN"/>
        </w:rPr>
        <w:t xml:space="preserve">  </w:t>
      </w:r>
    </w:p>
    <w:p>
      <w:pPr>
        <w:pStyle w:val="5"/>
        <w:ind w:left="0" w:leftChars="0" w:firstLine="240" w:firstLineChars="100"/>
        <w:rPr>
          <w:rFonts w:hint="eastAsia" w:ascii="宋体" w:hAnsi="宋体" w:cs="宋体"/>
          <w:color w:val="auto"/>
        </w:rPr>
      </w:pPr>
      <w:r>
        <w:rPr>
          <w:rFonts w:hint="eastAsia"/>
          <w:b w:val="0"/>
          <w:bCs w:val="0"/>
          <w:sz w:val="24"/>
          <w:szCs w:val="24"/>
          <w:lang w:val="en-US" w:eastAsia="zh-CN"/>
        </w:rPr>
        <w:t>2、</w:t>
      </w:r>
      <w:r>
        <w:rPr>
          <w:rFonts w:hint="eastAsia" w:ascii="宋体" w:hAnsi="宋体" w:cs="宋体"/>
          <w:b/>
          <w:bCs/>
          <w:color w:val="auto"/>
          <w:lang w:eastAsia="zh-CN"/>
        </w:rPr>
        <w:t>服务要求</w:t>
      </w:r>
    </w:p>
    <w:p>
      <w:pPr>
        <w:pStyle w:val="5"/>
        <w:ind w:left="0" w:leftChars="0" w:firstLine="240" w:firstLineChars="100"/>
        <w:rPr>
          <w:rFonts w:hint="eastAsia" w:ascii="宋体" w:hAnsi="宋体" w:cs="宋体"/>
          <w:color w:val="auto"/>
        </w:rPr>
      </w:pPr>
      <w:r>
        <w:rPr>
          <w:rFonts w:hint="eastAsia" w:ascii="宋体" w:hAnsi="宋体" w:cs="宋体"/>
          <w:color w:val="auto"/>
          <w:lang w:eastAsia="zh-CN"/>
        </w:rPr>
        <w:t>供应商</w:t>
      </w:r>
      <w:r>
        <w:rPr>
          <w:rFonts w:hint="eastAsia" w:ascii="宋体" w:hAnsi="宋体" w:cs="宋体"/>
          <w:color w:val="auto"/>
        </w:rPr>
        <w:t>应在</w:t>
      </w:r>
      <w:r>
        <w:rPr>
          <w:rFonts w:hint="eastAsia" w:ascii="宋体" w:hAnsi="宋体" w:cs="宋体"/>
          <w:color w:val="auto"/>
          <w:lang w:eastAsia="zh-CN"/>
        </w:rPr>
        <w:t>响应</w:t>
      </w:r>
      <w:r>
        <w:rPr>
          <w:rFonts w:hint="eastAsia" w:ascii="宋体" w:hAnsi="宋体" w:cs="宋体"/>
          <w:color w:val="auto"/>
        </w:rPr>
        <w:t>文件中承诺免费质保期自验收合格之日</w:t>
      </w:r>
      <w:r>
        <w:rPr>
          <w:rFonts w:hint="eastAsia" w:ascii="宋体" w:hAnsi="宋体" w:cs="宋体"/>
          <w:color w:val="auto"/>
          <w:lang w:eastAsia="zh-CN"/>
        </w:rPr>
        <w:t>起</w:t>
      </w:r>
      <w:r>
        <w:rPr>
          <w:rFonts w:hint="eastAsia" w:ascii="宋体" w:hAnsi="宋体" w:cs="宋体"/>
          <w:color w:val="auto"/>
        </w:rPr>
        <w:t>不少于</w:t>
      </w:r>
      <w:r>
        <w:rPr>
          <w:rFonts w:hint="eastAsia" w:ascii="宋体" w:hAnsi="宋体" w:cs="宋体"/>
          <w:color w:val="auto"/>
          <w:lang w:val="en-US" w:eastAsia="zh-CN"/>
        </w:rPr>
        <w:t>1</w:t>
      </w:r>
      <w:r>
        <w:rPr>
          <w:rFonts w:hint="eastAsia" w:ascii="宋体" w:hAnsi="宋体" w:cs="宋体"/>
          <w:color w:val="auto"/>
        </w:rPr>
        <w:t>年。</w:t>
      </w:r>
    </w:p>
    <w:p>
      <w:pPr>
        <w:pStyle w:val="5"/>
        <w:numPr>
          <w:ilvl w:val="0"/>
          <w:numId w:val="71"/>
        </w:numPr>
        <w:ind w:left="0" w:leftChars="0" w:firstLine="241" w:firstLineChars="100"/>
        <w:rPr>
          <w:rFonts w:hint="eastAsia" w:ascii="宋体" w:hAnsi="宋体" w:cs="宋体"/>
          <w:b/>
          <w:bCs/>
          <w:color w:val="auto"/>
          <w:lang w:val="en-US" w:eastAsia="zh-CN"/>
        </w:rPr>
      </w:pPr>
      <w:r>
        <w:rPr>
          <w:rFonts w:hint="eastAsia" w:ascii="宋体" w:hAnsi="宋体" w:cs="宋体"/>
          <w:b/>
          <w:bCs/>
          <w:color w:val="auto"/>
          <w:lang w:val="en-US" w:eastAsia="zh-CN"/>
        </w:rPr>
        <w:t>验收标准</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（1）施工质量符合国家及地方相关规范、标准要求，并达到合格标准。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（2）按照工程量清单完成全部施工内容。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（3）注意施工安全及环境扬尘保护。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（4）确保周围建筑物及场地内管线的安全。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（5）成交供应商应做好与其他承包商的配合施工。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（6）施工现场安全文明管理符合国家与地方相关规定，施工安全责任全部由成交供应商负责。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（7）施工临设布置要充分考虑现场条件，采购人有权现场指定位置。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（8）技术资料：符合按照地方及采购人的要求，并与采购人做好交接。</w:t>
      </w:r>
    </w:p>
    <w:p>
      <w:pPr>
        <w:pStyle w:val="5"/>
        <w:ind w:left="0" w:leftChars="0" w:firstLine="241" w:firstLineChars="100"/>
        <w:rPr>
          <w:rFonts w:hint="eastAsia" w:ascii="宋体" w:hAnsi="宋体" w:cs="宋体"/>
          <w:b/>
          <w:bCs/>
          <w:color w:val="auto"/>
          <w:lang w:val="en-US" w:eastAsia="zh-CN"/>
        </w:rPr>
      </w:pPr>
      <w:r>
        <w:rPr>
          <w:rFonts w:hint="eastAsia" w:ascii="宋体" w:hAnsi="宋体" w:cs="宋体"/>
          <w:b/>
          <w:bCs/>
          <w:color w:val="auto"/>
          <w:lang w:val="en-US" w:eastAsia="zh-CN"/>
        </w:rPr>
        <w:t>4、付款方式</w:t>
      </w:r>
    </w:p>
    <w:p>
      <w:pPr>
        <w:pStyle w:val="5"/>
        <w:ind w:left="0" w:leftChars="0" w:firstLine="240" w:firstLineChars="100"/>
        <w:rPr>
          <w:rFonts w:hint="eastAsia" w:ascii="宋体" w:hAnsi="宋体" w:cs="宋体"/>
          <w:b/>
          <w:bCs/>
          <w:color w:val="auto"/>
          <w:lang w:val="en-US" w:eastAsia="zh-CN"/>
        </w:rPr>
      </w:pPr>
      <w:r>
        <w:rPr>
          <w:rFonts w:hint="eastAsia" w:ascii="宋体" w:hAnsi="宋体" w:cs="宋体"/>
          <w:b w:val="0"/>
          <w:bCs w:val="0"/>
          <w:color w:val="auto"/>
          <w:lang w:val="en-US" w:eastAsia="zh-CN"/>
        </w:rPr>
        <w:t>预付款为合同金额的30%，签订合同后10个工作日内支付；进度款为合同金额的60%，项目初验合格后10个工作日内支付；剩余尾款待工程结算审计完成后按实际结算金额支付，并从尾款中扣留合同金额3%的质量保证金2年。</w:t>
      </w:r>
    </w:p>
    <w:p>
      <w:pPr>
        <w:pStyle w:val="5"/>
        <w:numPr>
          <w:ilvl w:val="0"/>
          <w:numId w:val="72"/>
        </w:numPr>
        <w:ind w:left="0" w:leftChars="0" w:firstLine="241" w:firstLineChars="100"/>
        <w:rPr>
          <w:rFonts w:hint="eastAsia" w:ascii="宋体" w:hAnsi="宋体" w:cs="宋体"/>
          <w:b/>
          <w:bCs/>
          <w:color w:val="auto"/>
          <w:lang w:val="en-US" w:eastAsia="zh-CN"/>
        </w:rPr>
      </w:pPr>
      <w:r>
        <w:rPr>
          <w:rFonts w:hint="eastAsia" w:ascii="宋体" w:hAnsi="宋体" w:cs="宋体"/>
          <w:b/>
          <w:bCs/>
          <w:color w:val="auto"/>
          <w:lang w:val="en-US" w:eastAsia="zh-CN"/>
        </w:rPr>
        <w:t>特殊技术标准和要求</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施工范围内的部分材料和工程设备技术要求如下：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（1）依据技术文件要求，本工程的材料和工程设备必须达到现行中华人民共和国、北京市及行业的一切有关法规、规范要求，标准及规范要求有出入，则以较严格者为准。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（2）用于永久性工程建设的材料、工程设备、构配件、成品、半成品的质量、技术性能均须符合相关规范要求。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（3）所有材料、工程设备、构配件、成品、半成品的检验、测试、试验均应符合现行国家、行业的规定及北京市颁布的检验、试验、技术规程的要求。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（4）材料和工程设备须有出厂合格证明、试验报告、及进场复试试验报告且试验结果符合设计及规范要求。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（5）钢材、型材须有出厂合格证明和试验报告，其规格和尺寸应符合清单要求。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上述材料和工程设备技术要求中如果出现了参考品牌或规格型号，其目的是为了方便供应商直观和准确地把握相应材料和工程设备的技术标准，不具指定或唯一的意思表示，供应商应当参考所列品牌的材料和工程设备，采购相当于或高于所列品牌技术标准的材料和工程设备。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 xml:space="preserve">在实施过程中，以上材料为重点质量控制点，在采购前需进行考察封样等工作，征得采购人同意后方可进行上述材料的采购工作。 </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6）本工程涉及的新技术、新工艺和新材料及相应使用和操作说明如下：新材料、新技术、新工艺的应用应由国家权威部门认定，并由推荐使用的部门提出所执行的施工规范及质量检验评定标准，经业主和监理工程师同意后方可使用。</w:t>
      </w:r>
    </w:p>
    <w:p>
      <w:pPr>
        <w:pStyle w:val="5"/>
        <w:numPr>
          <w:ilvl w:val="0"/>
          <w:numId w:val="0"/>
        </w:numPr>
        <w:ind w:leftChars="100"/>
        <w:rPr>
          <w:rFonts w:hint="eastAsia" w:ascii="宋体" w:hAnsi="宋体" w:cs="宋体"/>
          <w:b w:val="0"/>
          <w:bCs w:val="0"/>
          <w:color w:val="auto"/>
          <w:lang w:val="en-US" w:eastAsia="zh-CN"/>
        </w:rPr>
      </w:pPr>
      <w:r>
        <w:rPr>
          <w:rFonts w:hint="eastAsia" w:ascii="宋体" w:hAnsi="宋体" w:cs="宋体"/>
          <w:b w:val="0"/>
          <w:bCs w:val="0"/>
          <w:color w:val="auto"/>
          <w:lang w:val="en-US" w:eastAsia="zh-CN"/>
        </w:rPr>
        <w:t>（7）本项目设计包含：建筑工程、装饰工程、给排水工程、采暖工程、通风工程、电气工程、消防水工程、消防电工程、弱电工程。其中消防水工程范围为套管预留预埋、剔槽打洞及后续恢复，消防电工程范围为桥架安装、配管预留预埋、剔槽打洞及后续恢复，弱电工程范围为桥架安装、配管预留预埋、剔槽打洞及后续恢复。以及项目清单所示全部内容。</w:t>
      </w:r>
    </w:p>
    <w:p>
      <w:pPr>
        <w:keepNext w:val="0"/>
        <w:keepLines w:val="0"/>
        <w:pageBreakBefore w:val="0"/>
        <w:numPr>
          <w:ilvl w:val="0"/>
          <w:numId w:val="0"/>
        </w:numPr>
        <w:kinsoku/>
        <w:wordWrap/>
        <w:overflowPunct/>
        <w:topLinePunct w:val="0"/>
        <w:autoSpaceDE/>
        <w:autoSpaceDN/>
        <w:bidi w:val="0"/>
        <w:snapToGrid/>
        <w:spacing w:line="360" w:lineRule="auto"/>
        <w:ind w:left="0" w:leftChars="0" w:right="0" w:rightChars="0" w:firstLine="0" w:firstLineChars="0"/>
        <w:textAlignment w:val="auto"/>
        <w:outlineLvl w:val="9"/>
        <w:rPr>
          <w:rFonts w:hint="eastAsia"/>
          <w:b/>
          <w:bCs/>
          <w:sz w:val="24"/>
          <w:szCs w:val="24"/>
          <w:lang w:val="en-US" w:eastAsia="zh-CN"/>
        </w:rPr>
      </w:pPr>
    </w:p>
    <w:p>
      <w:pPr>
        <w:keepNext w:val="0"/>
        <w:keepLines w:val="0"/>
        <w:pageBreakBefore w:val="0"/>
        <w:kinsoku/>
        <w:wordWrap/>
        <w:overflowPunct/>
        <w:topLinePunct w:val="0"/>
        <w:autoSpaceDE/>
        <w:autoSpaceDN/>
        <w:bidi w:val="0"/>
        <w:snapToGrid/>
        <w:spacing w:line="360" w:lineRule="auto"/>
        <w:ind w:left="0" w:leftChars="0" w:right="0" w:rightChars="0" w:firstLine="0" w:firstLineChars="0"/>
        <w:textAlignment w:val="auto"/>
        <w:outlineLvl w:val="9"/>
        <w:rPr>
          <w:rFonts w:hint="eastAsia"/>
          <w:lang w:val="en-US" w:eastAsia="zh-CN"/>
        </w:rPr>
      </w:pPr>
    </w:p>
    <w:p>
      <w:pPr>
        <w:rPr>
          <w:rFonts w:hint="eastAsia"/>
          <w:lang w:val="en-US" w:eastAsia="zh-CN"/>
        </w:rPr>
      </w:pPr>
    </w:p>
    <w:p>
      <w:pPr>
        <w:pStyle w:val="62"/>
        <w:rPr>
          <w:rFonts w:asciiTheme="minorEastAsia" w:hAnsiTheme="minorEastAsia" w:eastAsiaTheme="minorEastAsia"/>
          <w:b/>
          <w:color w:val="auto"/>
          <w:sz w:val="36"/>
          <w:szCs w:val="36"/>
        </w:rPr>
      </w:pPr>
    </w:p>
    <w:p>
      <w:pPr>
        <w:pStyle w:val="62"/>
        <w:rPr>
          <w:rFonts w:asciiTheme="minorEastAsia" w:hAnsiTheme="minorEastAsia" w:eastAsiaTheme="minorEastAsia"/>
          <w:b/>
          <w:color w:val="auto"/>
          <w:sz w:val="36"/>
          <w:szCs w:val="36"/>
        </w:rPr>
      </w:pPr>
    </w:p>
    <w:p>
      <w:pPr>
        <w:pStyle w:val="62"/>
        <w:rPr>
          <w:rFonts w:asciiTheme="minorEastAsia" w:hAnsiTheme="minorEastAsia" w:eastAsiaTheme="minorEastAsia"/>
          <w:b/>
          <w:color w:val="auto"/>
          <w:sz w:val="36"/>
          <w:szCs w:val="36"/>
        </w:rPr>
      </w:pPr>
    </w:p>
    <w:p>
      <w:pPr>
        <w:pStyle w:val="3"/>
        <w:rPr>
          <w:rFonts w:asciiTheme="minorEastAsia" w:hAnsiTheme="minorEastAsia" w:eastAsiaTheme="minorEastAsia"/>
          <w:color w:val="auto"/>
          <w:sz w:val="36"/>
          <w:szCs w:val="36"/>
        </w:rPr>
      </w:pPr>
      <w:bookmarkStart w:id="670" w:name="_Toc184912285"/>
    </w:p>
    <w:p>
      <w:pPr>
        <w:rPr>
          <w:rFonts w:asciiTheme="minorEastAsia" w:hAnsiTheme="minorEastAsia" w:eastAsiaTheme="minorEastAsia"/>
          <w:color w:val="auto"/>
          <w:sz w:val="36"/>
          <w:szCs w:val="36"/>
        </w:rPr>
      </w:pPr>
    </w:p>
    <w:p>
      <w:pPr>
        <w:pStyle w:val="2"/>
        <w:rPr>
          <w:rFonts w:asciiTheme="minorEastAsia" w:hAnsiTheme="minorEastAsia" w:eastAsiaTheme="minorEastAsia"/>
          <w:color w:val="auto"/>
          <w:sz w:val="36"/>
          <w:szCs w:val="36"/>
        </w:rPr>
      </w:pPr>
    </w:p>
    <w:p>
      <w:pPr>
        <w:rPr>
          <w:rFonts w:asciiTheme="minorEastAsia" w:hAnsiTheme="minorEastAsia" w:eastAsiaTheme="minorEastAsia"/>
          <w:color w:val="auto"/>
          <w:sz w:val="36"/>
          <w:szCs w:val="36"/>
        </w:rPr>
      </w:pPr>
    </w:p>
    <w:p>
      <w:pPr>
        <w:pStyle w:val="3"/>
        <w:rPr>
          <w:rFonts w:asciiTheme="minorEastAsia" w:hAnsiTheme="minorEastAsia" w:eastAsiaTheme="minorEastAsia"/>
          <w:color w:val="auto"/>
          <w:sz w:val="36"/>
          <w:szCs w:val="36"/>
        </w:rPr>
      </w:pPr>
      <w:r>
        <w:rPr>
          <w:rFonts w:asciiTheme="minorEastAsia" w:hAnsiTheme="minorEastAsia" w:eastAsiaTheme="minorEastAsia"/>
          <w:color w:val="auto"/>
          <w:sz w:val="36"/>
          <w:szCs w:val="36"/>
        </w:rPr>
        <w:t>第五章</w:t>
      </w:r>
      <w:r>
        <w:rPr>
          <w:rFonts w:hint="eastAsia" w:asciiTheme="minorEastAsia" w:hAnsiTheme="minorEastAsia" w:eastAsiaTheme="minorEastAsia"/>
          <w:color w:val="auto"/>
          <w:sz w:val="36"/>
          <w:szCs w:val="36"/>
        </w:rPr>
        <w:t xml:space="preserve"> </w:t>
      </w:r>
      <w:r>
        <w:rPr>
          <w:rFonts w:asciiTheme="minorEastAsia" w:hAnsiTheme="minorEastAsia" w:eastAsiaTheme="minorEastAsia"/>
          <w:color w:val="auto"/>
          <w:sz w:val="36"/>
          <w:szCs w:val="36"/>
        </w:rPr>
        <w:t xml:space="preserve">  合同草案条款</w:t>
      </w:r>
      <w:bookmarkEnd w:id="670"/>
    </w:p>
    <w:p>
      <w:pPr>
        <w:rPr>
          <w:rFonts w:hint="eastAsia"/>
        </w:rPr>
      </w:pPr>
    </w:p>
    <w:p>
      <w:pPr>
        <w:numPr>
          <w:ilvl w:val="0"/>
          <w:numId w:val="0"/>
        </w:numPr>
        <w:spacing w:line="360" w:lineRule="auto"/>
        <w:jc w:val="center"/>
        <w:outlineLvl w:val="0"/>
        <w:rPr>
          <w:rFonts w:hint="eastAsia" w:eastAsiaTheme="minorEastAsia"/>
          <w:b/>
          <w:sz w:val="24"/>
          <w:szCs w:val="24"/>
          <w:lang w:eastAsia="zh-CN"/>
        </w:rPr>
      </w:pPr>
      <w:r>
        <w:rPr>
          <w:rFonts w:hint="eastAsia" w:eastAsiaTheme="minorEastAsia"/>
          <w:b/>
          <w:sz w:val="24"/>
          <w:szCs w:val="24"/>
          <w:lang w:eastAsia="zh-CN"/>
        </w:rPr>
        <w:t>（</w:t>
      </w:r>
      <w:r>
        <w:rPr>
          <w:rFonts w:hint="eastAsia" w:eastAsiaTheme="minorEastAsia"/>
          <w:b/>
          <w:sz w:val="24"/>
          <w:szCs w:val="24"/>
          <w:lang w:val="en-US" w:eastAsia="zh-CN"/>
        </w:rPr>
        <w:t>具体以实际签订为准</w:t>
      </w:r>
      <w:r>
        <w:rPr>
          <w:rFonts w:hint="eastAsia" w:eastAsiaTheme="minorEastAsia"/>
          <w:b/>
          <w:sz w:val="24"/>
          <w:szCs w:val="24"/>
          <w:lang w:eastAsia="zh-CN"/>
        </w:rPr>
        <w:t>）</w:t>
      </w:r>
    </w:p>
    <w:p>
      <w:bookmarkStart w:id="671" w:name="_Toc72340036"/>
      <w:bookmarkStart w:id="672" w:name="_Toc72339171"/>
      <w:bookmarkStart w:id="673" w:name="_Toc221179595"/>
      <w:bookmarkStart w:id="674" w:name="_Toc3900421"/>
      <w:r>
        <w:t>第一部分 合同协议书</w:t>
      </w:r>
      <w:bookmarkEnd w:id="671"/>
      <w:bookmarkEnd w:id="672"/>
      <w:bookmarkEnd w:id="673"/>
      <w:bookmarkEnd w:id="674"/>
    </w:p>
    <w:p>
      <w:r>
        <w:t>发包人（全称）：</w:t>
      </w:r>
      <w:r>
        <w:rPr>
          <w:rFonts w:hint="eastAsia"/>
        </w:rPr>
        <w:t xml:space="preserve">                                    </w:t>
      </w:r>
      <w:r>
        <w:t></w:t>
      </w:r>
    </w:p>
    <w:p>
      <w:r>
        <w:t xml:space="preserve">承包人（全称）：  </w:t>
      </w: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t></w:t>
      </w:r>
      <w:r>
        <w:rPr>
          <w:rFonts w:hint="eastAsia"/>
        </w:rPr>
        <w:t xml:space="preserve">  </w:t>
      </w:r>
      <w:r>
        <w:t></w:t>
      </w:r>
    </w:p>
    <w:p>
      <w:r>
        <w:t>根据《民法典》、《中华人民共和国建筑法》及有关法律规定，遵循平等、自愿、公平和诚实信用的原则，双方就</w:t>
      </w:r>
      <w:r>
        <w:rPr>
          <w:rFonts w:hint="eastAsia" w:eastAsia="宋体"/>
          <w:u w:val="single"/>
          <w:lang w:val="en-US" w:eastAsia="zh-CN"/>
        </w:rPr>
        <w:t xml:space="preserve">           </w:t>
      </w:r>
      <w:r>
        <w:t>工程施工及有关事项协商一致</w:t>
      </w:r>
      <w:r>
        <w:rPr>
          <w:rFonts w:hint="eastAsia"/>
        </w:rPr>
        <w:t>，</w:t>
      </w:r>
      <w:r>
        <w:t>共同达成如下协议：</w:t>
      </w:r>
    </w:p>
    <w:p>
      <w:bookmarkStart w:id="675" w:name="_Toc351203481"/>
      <w:r>
        <w:t>一、工程概况</w:t>
      </w:r>
      <w:bookmarkEnd w:id="675"/>
    </w:p>
    <w:p>
      <w:r>
        <w:t>1.工程名称：</w:t>
      </w:r>
      <w:r>
        <w:rPr>
          <w:rFonts w:hint="eastAsia"/>
        </w:rPr>
        <w:t xml:space="preserve"> </w:t>
      </w:r>
      <w:r>
        <w:rPr>
          <w:rFonts w:hint="eastAsia" w:eastAsia="宋体"/>
          <w:lang w:val="en-US" w:eastAsia="zh-CN"/>
        </w:rPr>
        <w:t xml:space="preserve">                       </w:t>
      </w:r>
      <w:r>
        <w:rPr>
          <w:rFonts w:hint="eastAsia"/>
        </w:rPr>
        <w:t xml:space="preserve"> </w:t>
      </w:r>
      <w:r>
        <w:t>。</w:t>
      </w:r>
    </w:p>
    <w:p>
      <w:r>
        <w:t>2.工程地点：</w:t>
      </w:r>
      <w:r>
        <w:rPr>
          <w:rFonts w:hint="eastAsia" w:eastAsia="宋体"/>
          <w:lang w:val="en-US" w:eastAsia="zh-CN"/>
        </w:rPr>
        <w:t xml:space="preserve">                          </w:t>
      </w:r>
      <w:r>
        <w:t xml:space="preserve"> 。</w:t>
      </w:r>
    </w:p>
    <w:p>
      <w:r>
        <w:t>3.工程立项批准文号：</w:t>
      </w:r>
      <w:r>
        <w:rPr>
          <w:rFonts w:hint="eastAsia"/>
        </w:rPr>
        <w:t xml:space="preserve">         </w:t>
      </w:r>
      <w:r>
        <w:t>/</w:t>
      </w:r>
      <w:r>
        <w:rPr>
          <w:rFonts w:hint="eastAsia"/>
        </w:rPr>
        <w:t xml:space="preserve">                    </w:t>
      </w:r>
      <w:r>
        <w:t>。</w:t>
      </w:r>
    </w:p>
    <w:p>
      <w:r>
        <w:t>4.资金来源：</w:t>
      </w:r>
      <w:r>
        <w:rPr>
          <w:rFonts w:hint="eastAsia"/>
        </w:rPr>
        <w:t xml:space="preserve"> 财政拨款  </w:t>
      </w:r>
      <w:r>
        <w:t>。</w:t>
      </w:r>
    </w:p>
    <w:p>
      <w:pPr>
        <w:rPr>
          <w:rFonts w:hint="eastAsia" w:eastAsia="宋体"/>
        </w:rPr>
      </w:pPr>
      <w:r>
        <w:rPr>
          <w:rFonts w:hint="eastAsia"/>
        </w:rPr>
        <w:t>5.工程内容：</w:t>
      </w:r>
      <w:r>
        <w:rPr>
          <w:rFonts w:hint="eastAsia" w:eastAsia="宋体"/>
        </w:rPr>
        <w:t xml:space="preserve"> </w:t>
      </w:r>
    </w:p>
    <w:p>
      <w:r>
        <w:rPr>
          <w:rFonts w:hint="eastAsia"/>
        </w:rPr>
        <w:t>6</w:t>
      </w:r>
      <w:r>
        <w:t>.工程承包范围：</w:t>
      </w:r>
    </w:p>
    <w:p>
      <w:r>
        <w:t xml:space="preserve"> </w:t>
      </w:r>
      <w:bookmarkStart w:id="676" w:name="_Toc351203482"/>
      <w:r>
        <w:t>二、合同工期</w:t>
      </w:r>
      <w:bookmarkEnd w:id="676"/>
    </w:p>
    <w:p>
      <w:r>
        <w:t>计划开工日期：2026年</w:t>
      </w:r>
      <w:r>
        <w:rPr>
          <w:rFonts w:hint="eastAsia"/>
        </w:rPr>
        <w:t xml:space="preserve">  </w:t>
      </w:r>
      <w:r>
        <w:t>月</w:t>
      </w:r>
      <w:r>
        <w:rPr>
          <w:rFonts w:hint="eastAsia"/>
        </w:rPr>
        <w:t xml:space="preserve">  </w:t>
      </w:r>
      <w:r>
        <w:t>日。</w:t>
      </w:r>
      <w:r>
        <w:rPr>
          <w:rFonts w:hint="eastAsia"/>
        </w:rPr>
        <w:t>实际开工日期以发包人通知或监理发出的开工令为准。</w:t>
      </w:r>
    </w:p>
    <w:p>
      <w:r>
        <w:t>计划竣工日期：2026年</w:t>
      </w:r>
      <w:r>
        <w:rPr>
          <w:rFonts w:hint="eastAsia"/>
        </w:rPr>
        <w:t xml:space="preserve">  </w:t>
      </w:r>
      <w:r>
        <w:t>月</w:t>
      </w:r>
      <w:r>
        <w:rPr>
          <w:rFonts w:hint="eastAsia"/>
        </w:rPr>
        <w:t xml:space="preserve">  </w:t>
      </w:r>
      <w:r>
        <w:t>日。</w:t>
      </w:r>
    </w:p>
    <w:p>
      <w:r>
        <w:t>工期总日历天数：</w:t>
      </w:r>
      <w:r>
        <w:rPr>
          <w:rFonts w:hint="eastAsia"/>
        </w:rPr>
        <w:t xml:space="preserve">    </w:t>
      </w:r>
      <w:r>
        <w:t>天。工期总日历天数与根据前述计划开竣工日期计算的工期天数不一致的，以工期总日历天数为准。</w:t>
      </w:r>
    </w:p>
    <w:p>
      <w:r>
        <w:t xml:space="preserve"> </w:t>
      </w:r>
      <w:bookmarkStart w:id="677" w:name="_Toc351203483"/>
      <w:r>
        <w:t>三、质量标准</w:t>
      </w:r>
      <w:bookmarkEnd w:id="677"/>
    </w:p>
    <w:p>
      <w:r>
        <w:t>工程质量符合</w:t>
      </w:r>
      <w:r>
        <w:rPr>
          <w:rFonts w:hint="eastAsia"/>
        </w:rPr>
        <w:t>合格</w:t>
      </w:r>
      <w:r>
        <w:t>标准。</w:t>
      </w:r>
    </w:p>
    <w:p>
      <w:r>
        <w:t xml:space="preserve">    </w:t>
      </w:r>
      <w:bookmarkStart w:id="678" w:name="_Toc351203484"/>
      <w:r>
        <w:t>四、签约合同价与合同价格形式</w:t>
      </w:r>
      <w:bookmarkEnd w:id="678"/>
      <w:r>
        <w:tab/>
      </w:r>
    </w:p>
    <w:p>
      <w:r>
        <w:t>1.签约合同价为：</w:t>
      </w:r>
    </w:p>
    <w:p>
      <w:r>
        <w:t xml:space="preserve">人民币（大写）    </w:t>
      </w:r>
      <w:r>
        <w:rPr>
          <w:rFonts w:hint="eastAsia"/>
        </w:rPr>
        <w:t xml:space="preserve">           </w:t>
      </w:r>
      <w:r>
        <w:t xml:space="preserve">  (¥    </w:t>
      </w:r>
      <w:r>
        <w:rPr>
          <w:rFonts w:hint="eastAsia"/>
        </w:rPr>
        <w:t xml:space="preserve">      </w:t>
      </w:r>
      <w:r>
        <w:t xml:space="preserve">  元)；</w:t>
      </w:r>
    </w:p>
    <w:p>
      <w:r>
        <w:t>其中：</w:t>
      </w:r>
    </w:p>
    <w:p>
      <w:r>
        <w:t>（1）安全生产标准化措施费：</w:t>
      </w:r>
    </w:p>
    <w:p>
      <w:r>
        <w:t xml:space="preserve">人民币（大写）   </w:t>
      </w:r>
      <w:r>
        <w:rPr>
          <w:rFonts w:hint="eastAsia"/>
        </w:rPr>
        <w:t xml:space="preserve">  </w:t>
      </w:r>
      <w:r>
        <w:t xml:space="preserve"> </w:t>
      </w:r>
      <w:r>
        <w:rPr>
          <w:rFonts w:hint="eastAsia"/>
        </w:rPr>
        <w:t xml:space="preserve">       </w:t>
      </w:r>
      <w:r>
        <w:t xml:space="preserve">  (¥    </w:t>
      </w:r>
      <w:r>
        <w:rPr>
          <w:rFonts w:hint="eastAsia"/>
        </w:rPr>
        <w:t xml:space="preserve">      </w:t>
      </w:r>
      <w:r>
        <w:t>元)；</w:t>
      </w:r>
    </w:p>
    <w:p>
      <w:r>
        <w:t>（2）材料和工程设备暂估价金额：</w:t>
      </w:r>
    </w:p>
    <w:p>
      <w:r>
        <w:t xml:space="preserve">人民币（大写）    </w:t>
      </w:r>
      <w:r>
        <w:rPr>
          <w:rFonts w:hint="eastAsia"/>
        </w:rPr>
        <w:t xml:space="preserve">        </w:t>
      </w:r>
      <w:r>
        <w:t xml:space="preserve">   (¥    </w:t>
      </w:r>
      <w:r>
        <w:rPr>
          <w:rFonts w:hint="eastAsia"/>
        </w:rPr>
        <w:t xml:space="preserve">     </w:t>
      </w:r>
      <w:r>
        <w:t xml:space="preserve"> 元)；</w:t>
      </w:r>
    </w:p>
    <w:p>
      <w:r>
        <w:t>（3）专业工程暂估价金额：</w:t>
      </w:r>
    </w:p>
    <w:p>
      <w:r>
        <w:t xml:space="preserve">人民币（大写）    </w:t>
      </w:r>
      <w:r>
        <w:rPr>
          <w:rFonts w:hint="eastAsia"/>
        </w:rPr>
        <w:t xml:space="preserve">        </w:t>
      </w:r>
      <w:r>
        <w:t xml:space="preserve">   (¥    </w:t>
      </w:r>
      <w:r>
        <w:rPr>
          <w:rFonts w:hint="eastAsia"/>
        </w:rPr>
        <w:t xml:space="preserve">     </w:t>
      </w:r>
      <w:r>
        <w:t xml:space="preserve"> 元)；</w:t>
      </w:r>
    </w:p>
    <w:p>
      <w:r>
        <w:t>（4）暂列金额：</w:t>
      </w:r>
    </w:p>
    <w:p>
      <w:r>
        <w:t xml:space="preserve">人民币（大写）    </w:t>
      </w:r>
      <w:r>
        <w:rPr>
          <w:rFonts w:hint="eastAsia"/>
        </w:rPr>
        <w:t xml:space="preserve">        </w:t>
      </w:r>
      <w:r>
        <w:t xml:space="preserve">   (¥    </w:t>
      </w:r>
      <w:r>
        <w:rPr>
          <w:rFonts w:hint="eastAsia"/>
        </w:rPr>
        <w:t xml:space="preserve">    </w:t>
      </w:r>
      <w:r>
        <w:t xml:space="preserve">  元)。</w:t>
      </w:r>
    </w:p>
    <w:p>
      <w:r>
        <w:t>2.合同价格形式：</w:t>
      </w:r>
      <w:r>
        <w:rPr>
          <w:rFonts w:hint="eastAsia"/>
          <w:lang w:val="en-US" w:eastAsia="zh-CN"/>
        </w:rPr>
        <w:t>单价</w:t>
      </w:r>
      <w:r>
        <w:t>合同。</w:t>
      </w:r>
    </w:p>
    <w:p>
      <w:r>
        <w:t xml:space="preserve">    </w:t>
      </w:r>
      <w:bookmarkStart w:id="679" w:name="_Toc351203485"/>
      <w:r>
        <w:t>五、</w:t>
      </w:r>
      <w:bookmarkEnd w:id="679"/>
      <w:r>
        <w:t>项目经理</w:t>
      </w:r>
    </w:p>
    <w:p>
      <w:r>
        <w:t xml:space="preserve">承包人项目经理：     </w:t>
      </w:r>
      <w:r>
        <w:rPr>
          <w:rFonts w:hint="eastAsia"/>
        </w:rPr>
        <w:t xml:space="preserve">         </w:t>
      </w:r>
      <w:r>
        <w:t xml:space="preserve">  </w:t>
      </w:r>
      <w:r>
        <w:rPr>
          <w:rFonts w:hint="eastAsia"/>
        </w:rPr>
        <w:t xml:space="preserve"> </w:t>
      </w:r>
      <w:r>
        <w:t>    。</w:t>
      </w:r>
    </w:p>
    <w:p>
      <w:r>
        <w:t xml:space="preserve">    </w:t>
      </w:r>
      <w:bookmarkStart w:id="680" w:name="_Toc351203486"/>
      <w:r>
        <w:t>六、合同文件构成</w:t>
      </w:r>
      <w:bookmarkEnd w:id="680"/>
    </w:p>
    <w:p>
      <w:r>
        <w:t>本协议书与下列文件一起构成合同文件：</w:t>
      </w:r>
    </w:p>
    <w:p>
      <w:r>
        <w:t>（1）</w:t>
      </w:r>
      <w:r>
        <w:rPr>
          <w:rFonts w:hint="eastAsia"/>
        </w:rPr>
        <w:t>成交</w:t>
      </w:r>
      <w:r>
        <w:t>通知书（如果有）；</w:t>
      </w:r>
    </w:p>
    <w:p>
      <w:r>
        <w:t xml:space="preserve">（2）投标函及其附录（如果有）； </w:t>
      </w:r>
    </w:p>
    <w:p>
      <w:r>
        <w:t>（3）专用合同条款及其附件；</w:t>
      </w:r>
    </w:p>
    <w:p>
      <w:r>
        <w:t>（4）通用合同条款；</w:t>
      </w:r>
    </w:p>
    <w:p>
      <w:r>
        <w:t>（5）技术标准和要求；</w:t>
      </w:r>
    </w:p>
    <w:p>
      <w:r>
        <w:t>（</w:t>
      </w:r>
      <w:r>
        <w:rPr>
          <w:rFonts w:hint="eastAsia"/>
          <w:lang w:val="en-US" w:eastAsia="zh-CN"/>
        </w:rPr>
        <w:t>6</w:t>
      </w:r>
      <w:r>
        <w:t>）已标价工程量清单或预算书；</w:t>
      </w:r>
    </w:p>
    <w:p>
      <w:r>
        <w:t>（</w:t>
      </w:r>
      <w:r>
        <w:rPr>
          <w:rFonts w:hint="eastAsia"/>
          <w:lang w:val="en-US" w:eastAsia="zh-CN"/>
        </w:rPr>
        <w:t>7</w:t>
      </w:r>
      <w:r>
        <w:t>）其他合同文件。</w:t>
      </w:r>
    </w:p>
    <w:p>
      <w:r>
        <w:t>在合同订立及履行过程中形成的与合同有关的文件均构成合同文件组成部分。</w:t>
      </w:r>
    </w:p>
    <w:p>
      <w:r>
        <w:t>上述各项合同文件包括合同当事人就该项合同文件所作出的补充和修改，属于同一类内容的文件，应以最新签署的为准。</w:t>
      </w:r>
      <w:r>
        <w:rPr>
          <w:rFonts w:hint="eastAsia"/>
        </w:rPr>
        <w:t>专用合同条款及其附件须经合同当事人签字或盖章。</w:t>
      </w:r>
    </w:p>
    <w:p>
      <w:r>
        <w:t xml:space="preserve">    </w:t>
      </w:r>
      <w:bookmarkStart w:id="681" w:name="_Toc351203487"/>
      <w:r>
        <w:t>七、承诺</w:t>
      </w:r>
      <w:bookmarkEnd w:id="681"/>
    </w:p>
    <w:p>
      <w:r>
        <w:t>1.发包人承诺按照法律规定履行项目审批手续、筹集工程建设资金并按照合同约定的期限和方式支付合同价款。</w:t>
      </w:r>
    </w:p>
    <w:p>
      <w:r>
        <w:t>2.承包人承诺按照法律规定及合同约定组织完成工程施工，确保工程质量和安全，不进行转包及违法分包，并在缺陷责任期及保修期内承担相应的工程维修责任。</w:t>
      </w:r>
    </w:p>
    <w:p>
      <w:r>
        <w:t>3.发包人和承包人通过招投标形式签订合同的，双方理解并</w:t>
      </w:r>
      <w:r>
        <w:rPr>
          <w:rFonts w:hint="eastAsia"/>
        </w:rPr>
        <w:t>承诺</w:t>
      </w:r>
      <w:r>
        <w:t>不再就同一工程另行签订与合同实质性内容相背离的协议。</w:t>
      </w:r>
    </w:p>
    <w:p>
      <w:bookmarkStart w:id="682" w:name="_Toc351203488"/>
      <w:r>
        <w:rPr>
          <w:rFonts w:hint="eastAsia"/>
        </w:rPr>
        <w:t xml:space="preserve">    </w:t>
      </w:r>
      <w:r>
        <w:t>八、词语含义</w:t>
      </w:r>
      <w:bookmarkEnd w:id="682"/>
    </w:p>
    <w:p>
      <w:r>
        <w:t>本协议书中词语含义与第二部分通用合同条款中赋予的含义相同。</w:t>
      </w:r>
    </w:p>
    <w:p>
      <w:r>
        <w:t xml:space="preserve">    </w:t>
      </w:r>
      <w:bookmarkStart w:id="683" w:name="_Toc351203489"/>
      <w:r>
        <w:t>九、签订时间</w:t>
      </w:r>
      <w:bookmarkEnd w:id="683"/>
    </w:p>
    <w:p>
      <w:r>
        <w:t>本合同于         年    月    日签订。</w:t>
      </w:r>
    </w:p>
    <w:p>
      <w:r>
        <w:t xml:space="preserve">    </w:t>
      </w:r>
      <w:bookmarkStart w:id="684" w:name="_Toc351203490"/>
      <w:r>
        <w:t>十、签订地点</w:t>
      </w:r>
      <w:bookmarkEnd w:id="684"/>
    </w:p>
    <w:p>
      <w:r>
        <w:t xml:space="preserve">本合同在         </w:t>
      </w:r>
      <w:r>
        <w:rPr>
          <w:rFonts w:hint="eastAsia"/>
        </w:rPr>
        <w:t xml:space="preserve"> </w:t>
      </w:r>
      <w:r>
        <w:t xml:space="preserve">           签订。</w:t>
      </w:r>
    </w:p>
    <w:p>
      <w:r>
        <w:t xml:space="preserve">    </w:t>
      </w:r>
      <w:bookmarkStart w:id="685" w:name="_Toc351203491"/>
      <w:r>
        <w:t>十一、补充协议</w:t>
      </w:r>
      <w:bookmarkEnd w:id="685"/>
    </w:p>
    <w:p>
      <w:r>
        <w:t>合同未尽事宜，合同当事人另行签订补充协议</w:t>
      </w:r>
      <w:r>
        <w:rPr>
          <w:rFonts w:hint="eastAsia"/>
        </w:rPr>
        <w:t>，</w:t>
      </w:r>
      <w:r>
        <w:t>补充协议是合同的组成部分。</w:t>
      </w:r>
    </w:p>
    <w:p>
      <w:r>
        <w:t xml:space="preserve">    </w:t>
      </w:r>
      <w:bookmarkStart w:id="686" w:name="_Toc351203492"/>
      <w:r>
        <w:t>十二、合同生效</w:t>
      </w:r>
      <w:bookmarkEnd w:id="686"/>
    </w:p>
    <w:p>
      <w:r>
        <w:t xml:space="preserve">本合同自 </w:t>
      </w:r>
      <w:r>
        <w:rPr>
          <w:rFonts w:hint="eastAsia"/>
        </w:rPr>
        <w:t xml:space="preserve">双方加盖公章或合同专用章并双方法定代表人或授权委托人签字或签章之后 </w:t>
      </w:r>
      <w:r>
        <w:t>生效。</w:t>
      </w:r>
    </w:p>
    <w:p>
      <w:r>
        <w:t xml:space="preserve">    </w:t>
      </w:r>
      <w:bookmarkStart w:id="687" w:name="_Toc351203493"/>
      <w:r>
        <w:t>十三、合同份数</w:t>
      </w:r>
      <w:bookmarkEnd w:id="687"/>
    </w:p>
    <w:p>
      <w:r>
        <w:t xml:space="preserve">本合同一式 </w:t>
      </w:r>
      <w:r>
        <w:rPr>
          <w:rFonts w:hint="eastAsia"/>
          <w:lang w:val="en-US" w:eastAsia="zh-CN"/>
        </w:rPr>
        <w:t>4</w:t>
      </w:r>
      <w:r>
        <w:rPr>
          <w:rFonts w:hint="eastAsia"/>
        </w:rPr>
        <w:t xml:space="preserve"> </w:t>
      </w:r>
      <w:r>
        <w:t xml:space="preserve"> 份，均具有同等法律效力，发包人执  </w:t>
      </w:r>
      <w:r>
        <w:rPr>
          <w:rFonts w:hint="eastAsia"/>
          <w:lang w:val="en-US" w:eastAsia="zh-CN"/>
        </w:rPr>
        <w:t>2</w:t>
      </w:r>
      <w:r>
        <w:t xml:space="preserve"> 份，承包人执  </w:t>
      </w:r>
      <w:r>
        <w:rPr>
          <w:rFonts w:hint="eastAsia"/>
          <w:lang w:val="en-US" w:eastAsia="zh-CN"/>
        </w:rPr>
        <w:t>2</w:t>
      </w:r>
      <w:r>
        <w:rPr>
          <w:rFonts w:hint="eastAsia"/>
        </w:rPr>
        <w:t xml:space="preserve"> </w:t>
      </w:r>
      <w:r>
        <w:t xml:space="preserve"> 份。</w:t>
      </w:r>
    </w:p>
    <w:p/>
    <w:p/>
    <w:p/>
    <w:p/>
    <w:p/>
    <w:p/>
    <w:p/>
    <w:p/>
    <w:p/>
    <w:p/>
    <w:p/>
    <w:p/>
    <w:p/>
    <w:p/>
    <w:p/>
    <w:p>
      <w:r>
        <w:t>发包人</w:t>
      </w:r>
      <w:r>
        <w:rPr>
          <w:rFonts w:hint="eastAsia"/>
        </w:rPr>
        <w:t xml:space="preserve">：  </w:t>
      </w:r>
      <w:r>
        <w:t>(公章)</w:t>
      </w:r>
      <w:r>
        <w:rPr>
          <w:rFonts w:hint="eastAsia"/>
        </w:rPr>
        <w:t xml:space="preserve">                              </w:t>
      </w:r>
      <w:r>
        <w:t>承包人</w:t>
      </w:r>
      <w:r>
        <w:rPr>
          <w:rFonts w:hint="eastAsia"/>
        </w:rPr>
        <w:t xml:space="preserve">：  </w:t>
      </w:r>
      <w:r>
        <w:t>(公章)</w:t>
      </w:r>
    </w:p>
    <w:p>
      <w:r>
        <w:rPr>
          <w:rFonts w:hint="eastAsia"/>
        </w:rPr>
        <w:t xml:space="preserve">                                 </w:t>
      </w:r>
    </w:p>
    <w:p>
      <w:r>
        <w:rPr>
          <w:rFonts w:hint="eastAsia"/>
        </w:rPr>
        <w:t>法定代表人或其委托代理人：                   法定代表人或其委托代理人：</w:t>
      </w:r>
    </w:p>
    <w:p>
      <w:r>
        <w:rPr>
          <w:rFonts w:hint="eastAsia"/>
        </w:rPr>
        <w:t>（签字）                                      （签字）</w:t>
      </w:r>
    </w:p>
    <w:p/>
    <w:p>
      <w:r>
        <w:rPr>
          <w:rFonts w:hint="eastAsia"/>
        </w:rPr>
        <w:t>组织机构代码：</w:t>
      </w:r>
      <w:r>
        <w:t xml:space="preserve"> </w:t>
      </w:r>
      <w:r>
        <w:rPr>
          <w:rFonts w:hint="eastAsia"/>
        </w:rPr>
        <w:t xml:space="preserve"> </w:t>
      </w:r>
      <w:r>
        <w:t xml:space="preserve">      </w:t>
      </w:r>
      <w:r>
        <w:rPr>
          <w:rFonts w:hint="eastAsia"/>
        </w:rPr>
        <w:t xml:space="preserve">                  组织机构代码：</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t xml:space="preserve">    </w:t>
      </w:r>
    </w:p>
    <w:p>
      <w:r>
        <w:t xml:space="preserve">地  址：     </w:t>
      </w:r>
      <w:r>
        <w:rPr>
          <w:rFonts w:hint="eastAsia"/>
        </w:rPr>
        <w:t xml:space="preserve">                   </w:t>
      </w:r>
      <w:r>
        <w:t>地  址：</w:t>
      </w:r>
      <w:r>
        <w:rPr>
          <w:rFonts w:hint="eastAsia"/>
        </w:rPr>
        <w:t xml:space="preserve"> </w:t>
      </w:r>
      <w:r>
        <w:t></w:t>
      </w:r>
      <w:r>
        <w:rPr>
          <w:rFonts w:hint="eastAsia"/>
        </w:rPr>
        <w:t xml:space="preserve"> </w:t>
      </w:r>
      <w:r>
        <w:t xml:space="preserve"> </w:t>
      </w:r>
      <w:r>
        <w:rPr>
          <w:rFonts w:hint="eastAsia"/>
        </w:rPr>
        <w:t xml:space="preserve"> </w:t>
      </w:r>
      <w:r>
        <w:t xml:space="preserve">    </w:t>
      </w:r>
    </w:p>
    <w:p>
      <w:r>
        <w:t>邮政编码： </w:t>
      </w:r>
      <w:r>
        <w:rPr>
          <w:rFonts w:hint="eastAsia"/>
        </w:rPr>
        <w:t xml:space="preserve"> </w:t>
      </w:r>
      <w:r>
        <w:t xml:space="preserve">  </w:t>
      </w:r>
      <w:r>
        <w:rPr>
          <w:rFonts w:hint="eastAsia"/>
        </w:rPr>
        <w:t xml:space="preserve"> </w:t>
      </w:r>
      <w:r>
        <w:t xml:space="preserve">  </w:t>
      </w:r>
      <w:r>
        <w:rPr>
          <w:rFonts w:hint="eastAsia"/>
        </w:rPr>
        <w:t xml:space="preserve">                 </w:t>
      </w:r>
      <w:r>
        <w:t xml:space="preserve">邮政编码：   </w:t>
      </w:r>
    </w:p>
    <w:p>
      <w:r>
        <w:t>法定代表人：</w:t>
      </w:r>
      <w:r>
        <w:rPr>
          <w:rFonts w:hint="eastAsia"/>
        </w:rPr>
        <w:t xml:space="preserve">     </w:t>
      </w:r>
      <w:r>
        <w:t></w:t>
      </w:r>
      <w:r>
        <w:rPr>
          <w:rFonts w:hint="eastAsia"/>
        </w:rPr>
        <w:t xml:space="preserve">     </w:t>
      </w:r>
      <w:r>
        <w:t xml:space="preserve">  </w:t>
      </w:r>
      <w:r>
        <w:rPr>
          <w:rFonts w:hint="eastAsia"/>
        </w:rPr>
        <w:t xml:space="preserve">                  </w:t>
      </w:r>
      <w:r>
        <w:t>法定代表人：</w:t>
      </w:r>
      <w:r>
        <w:rPr>
          <w:rFonts w:hint="eastAsia"/>
        </w:rPr>
        <w:t xml:space="preserve">      </w:t>
      </w:r>
      <w:r>
        <w:t></w:t>
      </w:r>
      <w:r>
        <w:rPr>
          <w:rFonts w:hint="eastAsia"/>
        </w:rPr>
        <w:t xml:space="preserve">      </w:t>
      </w:r>
      <w:r>
        <w:t xml:space="preserve"> </w:t>
      </w:r>
    </w:p>
    <w:p>
      <w:r>
        <w:t xml:space="preserve">委托代理人： </w:t>
      </w:r>
      <w:r>
        <w:rPr>
          <w:rFonts w:hint="eastAsia"/>
        </w:rPr>
        <w:t xml:space="preserve">     </w:t>
      </w:r>
      <w:r>
        <w:t xml:space="preserve"> </w:t>
      </w:r>
      <w:r>
        <w:rPr>
          <w:rFonts w:hint="eastAsia"/>
        </w:rPr>
        <w:t xml:space="preserve"> </w:t>
      </w:r>
      <w:r>
        <w:t xml:space="preserve">    </w:t>
      </w:r>
      <w:r>
        <w:rPr>
          <w:rFonts w:hint="eastAsia"/>
        </w:rPr>
        <w:t xml:space="preserve">                  </w:t>
      </w:r>
      <w:r>
        <w:t xml:space="preserve">委托代理人：  </w:t>
      </w:r>
      <w:r>
        <w:rPr>
          <w:rFonts w:hint="eastAsia"/>
        </w:rPr>
        <w:t xml:space="preserve">       </w:t>
      </w:r>
      <w:r>
        <w:t xml:space="preserve">    </w:t>
      </w:r>
    </w:p>
    <w:p>
      <w:r>
        <w:t>电  话：</w:t>
      </w:r>
      <w:r>
        <w:rPr>
          <w:rFonts w:hint="eastAsia"/>
        </w:rPr>
        <w:t xml:space="preserve"> </w:t>
      </w:r>
      <w:r>
        <w:t xml:space="preserve">   </w:t>
      </w:r>
      <w:r>
        <w:rPr>
          <w:rFonts w:hint="eastAsia"/>
        </w:rPr>
        <w:t xml:space="preserve">                  </w:t>
      </w:r>
      <w:r>
        <w:t>电  话：</w:t>
      </w:r>
      <w:r>
        <w:rPr>
          <w:rFonts w:hint="eastAsia"/>
        </w:rPr>
        <w:t xml:space="preserve">  </w:t>
      </w:r>
      <w:r>
        <w:t xml:space="preserve">   </w:t>
      </w:r>
    </w:p>
    <w:p>
      <w:r>
        <w:t xml:space="preserve">传  真： </w:t>
      </w:r>
      <w:r>
        <w:rPr>
          <w:rFonts w:hint="eastAsia"/>
        </w:rPr>
        <w:t xml:space="preserve"> </w:t>
      </w:r>
      <w:r>
        <w:t xml:space="preserve">  </w:t>
      </w:r>
      <w:r>
        <w:rPr>
          <w:rFonts w:hint="eastAsia"/>
        </w:rPr>
        <w:t xml:space="preserve">                  </w:t>
      </w:r>
      <w:r>
        <w:t>传  真：</w:t>
      </w:r>
      <w:r>
        <w:rPr>
          <w:rFonts w:hint="eastAsia"/>
        </w:rPr>
        <w:t xml:space="preserve">  </w:t>
      </w:r>
      <w:r>
        <w:t xml:space="preserve">   </w:t>
      </w:r>
    </w:p>
    <w:p>
      <w:r>
        <w:t xml:space="preserve">电子信箱：                  </w:t>
      </w:r>
      <w:r>
        <w:rPr>
          <w:rFonts w:hint="eastAsia"/>
        </w:rPr>
        <w:t xml:space="preserve">                  </w:t>
      </w:r>
      <w:r>
        <w:t xml:space="preserve">电子信箱：   </w:t>
      </w:r>
    </w:p>
    <w:p>
      <w:r>
        <w:t xml:space="preserve">开户银行：    </w:t>
      </w:r>
      <w:r>
        <w:rPr>
          <w:rFonts w:hint="eastAsia"/>
        </w:rPr>
        <w:t xml:space="preserve">                  </w:t>
      </w:r>
      <w:r>
        <w:t xml:space="preserve">开户银行：   </w:t>
      </w:r>
    </w:p>
    <w:p>
      <w:r>
        <w:t xml:space="preserve">账  号：       </w:t>
      </w:r>
      <w:r>
        <w:rPr>
          <w:rFonts w:hint="eastAsia"/>
        </w:rPr>
        <w:t xml:space="preserve">                  </w:t>
      </w:r>
      <w:r>
        <w:rPr>
          <w:rFonts w:hint="eastAsia" w:eastAsia="宋体"/>
          <w:lang w:val="en-US" w:eastAsia="zh-CN"/>
        </w:rPr>
        <w:t xml:space="preserve"> </w:t>
      </w:r>
      <w:r>
        <w:rPr>
          <w:rFonts w:hint="eastAsia"/>
        </w:rPr>
        <w:t xml:space="preserve"> </w:t>
      </w:r>
      <w:r>
        <w:t>账</w:t>
      </w:r>
      <w:r>
        <w:rPr>
          <w:rFonts w:hint="eastAsia"/>
        </w:rPr>
        <w:t xml:space="preserve"> </w:t>
      </w:r>
      <w:r>
        <w:t xml:space="preserve"> 号：</w:t>
      </w:r>
      <w:r>
        <w:rPr>
          <w:rFonts w:hint="eastAsia"/>
        </w:rPr>
        <w:t xml:space="preserve">  </w:t>
      </w:r>
      <w:r>
        <w:t xml:space="preserve">  </w:t>
      </w:r>
      <w:r>
        <w:rPr>
          <w:rFonts w:hint="eastAsia"/>
        </w:rPr>
        <w:t xml:space="preserve"> </w:t>
      </w:r>
    </w:p>
    <w:p/>
    <w:p>
      <w:r>
        <w:br w:type="page"/>
      </w:r>
    </w:p>
    <w:p>
      <w:bookmarkStart w:id="688" w:name="_Toc351203494"/>
      <w:bookmarkStart w:id="689" w:name="_Toc3900422"/>
      <w:r>
        <w:t>第二部分 通用合同条款</w:t>
      </w:r>
      <w:bookmarkEnd w:id="688"/>
      <w:bookmarkEnd w:id="689"/>
    </w:p>
    <w:p>
      <w:bookmarkStart w:id="690" w:name="_Toc351203495"/>
      <w:r>
        <w:t>1.</w:t>
      </w:r>
      <w:bookmarkStart w:id="691" w:name="_Toc303538974"/>
      <w:bookmarkEnd w:id="691"/>
      <w:bookmarkStart w:id="692" w:name="_Toc303538975"/>
      <w:bookmarkEnd w:id="692"/>
      <w:bookmarkStart w:id="693" w:name="_Toc303538973"/>
      <w:bookmarkEnd w:id="693"/>
      <w:bookmarkStart w:id="694" w:name="_Toc303538976"/>
      <w:bookmarkEnd w:id="694"/>
      <w:bookmarkStart w:id="695" w:name="_Toc303538972"/>
      <w:bookmarkEnd w:id="695"/>
      <w:bookmarkStart w:id="696" w:name="_Toc296346528"/>
      <w:bookmarkStart w:id="697" w:name="_Toc296503027"/>
      <w:r>
        <w:t xml:space="preserve"> 一般约定</w:t>
      </w:r>
      <w:bookmarkEnd w:id="690"/>
      <w:bookmarkEnd w:id="696"/>
      <w:bookmarkEnd w:id="697"/>
    </w:p>
    <w:p>
      <w:bookmarkStart w:id="698" w:name="_Toc296346529"/>
      <w:bookmarkStart w:id="699" w:name="_Toc337558728"/>
      <w:bookmarkStart w:id="700" w:name="_Toc296503028"/>
      <w:bookmarkStart w:id="701" w:name="_Toc351203496"/>
      <w:r>
        <w:t>1.1词语定义</w:t>
      </w:r>
      <w:bookmarkEnd w:id="698"/>
      <w:bookmarkEnd w:id="699"/>
      <w:bookmarkEnd w:id="700"/>
      <w:r>
        <w:t>与解释</w:t>
      </w:r>
      <w:bookmarkEnd w:id="701"/>
    </w:p>
    <w:p>
      <w:r>
        <w:t>合同协议书、通用合同条款、专用合同条款中的下列词语具有本款所赋予的含义：</w:t>
      </w:r>
    </w:p>
    <w:p>
      <w:r>
        <w:t xml:space="preserve">    1.1.1 合同</w:t>
      </w:r>
    </w:p>
    <w:p>
      <w: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r>
        <w:t>1.1.1.2 合同协议书：是指构成合同的由发包人和承包人共同签署的称为“合同协议书”的书面文件</w:t>
      </w:r>
      <w:r>
        <w:rPr>
          <w:rFonts w:hint="eastAsia"/>
        </w:rPr>
        <w:t>。</w:t>
      </w:r>
    </w:p>
    <w:p>
      <w:r>
        <w:t xml:space="preserve">1.1.1.3 </w:t>
      </w:r>
      <w:r>
        <w:rPr>
          <w:rFonts w:hint="eastAsia"/>
        </w:rPr>
        <w:t>成交</w:t>
      </w:r>
      <w:r>
        <w:t>通知书：是指构成合同的</w:t>
      </w:r>
      <w:r>
        <w:rPr>
          <w:rFonts w:hint="eastAsia"/>
        </w:rPr>
        <w:t>由</w:t>
      </w:r>
      <w:r>
        <w:t>发包人通知承包人中标的书面文件。</w:t>
      </w:r>
    </w:p>
    <w:p>
      <w:r>
        <w:t>1.1.1.4 投标函：是指构成合同的由承包人填写并签署的用于投标的称为“投标函”的文件。</w:t>
      </w:r>
    </w:p>
    <w:p>
      <w:r>
        <w:t>1.1.1.5 投标函附录：是指构成合同的附在投标函后的称为“投标函附录”的文件。</w:t>
      </w:r>
    </w:p>
    <w:p>
      <w:r>
        <w:t>1.1.1.6 技术标准和要求：是指构成合同的施工应当遵守的或指导施工的国家、行业或地方的技术标准和要求，以及合同约定的技术标准和要求。</w:t>
      </w:r>
    </w:p>
    <w:p>
      <w:r>
        <w:t>1.1.1.7 图纸：是指构成合同的图纸，包括由发包人按照合同约定提供或经发包人批准的设计文件、</w:t>
      </w:r>
      <w:r>
        <w:rPr>
          <w:rFonts w:hint="eastAsia"/>
        </w:rPr>
        <w:t>施工图、</w:t>
      </w:r>
      <w:r>
        <w:t>鸟瞰图及模型等，</w:t>
      </w:r>
      <w:r>
        <w:rPr>
          <w:rFonts w:hint="eastAsia"/>
        </w:rPr>
        <w:t>以及在合同履行过程中形成的图纸文件。图纸</w:t>
      </w:r>
      <w:r>
        <w:t>应当按照法律规定审查合格。</w:t>
      </w:r>
    </w:p>
    <w:p>
      <w:r>
        <w:t>1.1.1.8 已标价工程量清单：是指构成合同的由承包人按照规定的格式和要求填写并标明价格的工程量清单，包括说明和表格。</w:t>
      </w:r>
    </w:p>
    <w:p>
      <w:r>
        <w:t>1.1.1.9 预算书：是指构成合同的由承包人按照发包人规定的格式和要求编制的工程预算文件。</w:t>
      </w:r>
    </w:p>
    <w:p>
      <w:r>
        <w:t>1.1.1.10 其他合同文件：是指经合同当事人约定的与工程施工有关的具有合同约束力的文件或书面协议。合同当事人可以在专用合同条款中进行约定。</w:t>
      </w:r>
    </w:p>
    <w:p>
      <w:r>
        <w:t xml:space="preserve">    1.1.2 合同当事人及其他相关方</w:t>
      </w:r>
    </w:p>
    <w:p>
      <w:r>
        <w:t>1.1.2.1 合同当事人：是指发包人和（或）承包人。</w:t>
      </w:r>
    </w:p>
    <w:p>
      <w:r>
        <w:t>1.1.2.2 发包人：是指与承包人签订合同协议书的当事人及取得该当事人资格的合法继承人。</w:t>
      </w:r>
    </w:p>
    <w:p>
      <w:r>
        <w:t>1.1.2.3 承包人：是指与发包人签订合同协议书的，具有相应工程施工承包资质的当事人及取得该当事人资格的合法继承人。</w:t>
      </w:r>
    </w:p>
    <w:p>
      <w:r>
        <w:t>1.1.2.4 监理人：是指在专用合同条款中指明的，受发包人委托按照法律规定进行工程监督管理的法人或其他组织。</w:t>
      </w:r>
    </w:p>
    <w:p>
      <w:r>
        <w:t>1.1.2.5 设计人：是指在专用合同条款中指明的，受发包人委托负责工程设计并具备相应工程设计资质的法人或其他组织。</w:t>
      </w:r>
    </w:p>
    <w:p>
      <w:r>
        <w:t>1.1.2.6 分包人：</w:t>
      </w:r>
      <w:bookmarkStart w:id="702" w:name="#go5"/>
      <w:bookmarkEnd w:id="702"/>
      <w:r>
        <w:t>是指</w:t>
      </w:r>
      <w:r>
        <w:rPr>
          <w:rFonts w:hint="eastAsia"/>
        </w:rPr>
        <w:t>按照法律规定和</w:t>
      </w:r>
      <w:r>
        <w:t>合同约定，分包</w:t>
      </w:r>
      <w:r>
        <w:rPr>
          <w:rFonts w:hint="eastAsia"/>
        </w:rPr>
        <w:t>部分</w:t>
      </w:r>
      <w:r>
        <w:t>工程</w:t>
      </w:r>
      <w:r>
        <w:rPr>
          <w:rFonts w:hint="eastAsia"/>
        </w:rPr>
        <w:t>或工作</w:t>
      </w:r>
      <w:r>
        <w:t>，并与</w:t>
      </w:r>
      <w:r>
        <w:rPr>
          <w:rFonts w:hint="eastAsia"/>
        </w:rPr>
        <w:t>承包人</w:t>
      </w:r>
      <w:r>
        <w:t>签订分包合同的具有相应资质的法人。</w:t>
      </w:r>
    </w:p>
    <w:p>
      <w:r>
        <w:t>1.1.2.7 发包人代表：是指由发包人任命并派驻施工现场在发包人授权范围内行使发包人权利的人。</w:t>
      </w:r>
    </w:p>
    <w:p>
      <w:r>
        <w:t>1.1.2.8 项目经理：是指由承包人任命并派驻施工现场，在承包人授权范围内负责合同履行，且按照法律规定具有相应资格的</w:t>
      </w:r>
      <w:r>
        <w:rPr>
          <w:rFonts w:hint="eastAsia"/>
        </w:rPr>
        <w:t>项目负责</w:t>
      </w:r>
      <w:r>
        <w:t>人。</w:t>
      </w:r>
    </w:p>
    <w:p>
      <w:r>
        <w:t>1.1.2.9 总监理工程师：是指由监理人任命并派驻施工现场进行工程监理的总负责人。</w:t>
      </w:r>
    </w:p>
    <w:p>
      <w:r>
        <w:t>1.1.3 工程和设备</w:t>
      </w:r>
    </w:p>
    <w:p>
      <w:r>
        <w:t>1.1.3.1 工程：是指与合同协议书中工程承包范围对应的永久工程和（或）临时工程。</w:t>
      </w:r>
    </w:p>
    <w:p>
      <w:r>
        <w:t>1.1.3.2 永久工程：是指按合同约定建造并移交给发包人的工程，包括工程设备。</w:t>
      </w:r>
    </w:p>
    <w:p>
      <w:r>
        <w:t>1.1.3.3 临时工程：是指为完成合同约定的永久工程所修建的各类临时性工程，不包括施工设备。</w:t>
      </w:r>
    </w:p>
    <w:p>
      <w:r>
        <w:t>1.1.3.4 单位工程：是指在</w:t>
      </w:r>
      <w:r>
        <w:rPr>
          <w:rFonts w:hint="eastAsia"/>
        </w:rPr>
        <w:t>合同协议书</w:t>
      </w:r>
      <w:r>
        <w:t>中指明的，具备独立施工条件并能形成独立使用功能的永久工程。</w:t>
      </w:r>
    </w:p>
    <w:p>
      <w:r>
        <w:t>1.1.3.5 工程设备：是指构成永久工程的机电设备、金属结构设备、仪器及其他类似的设备和装置。</w:t>
      </w:r>
    </w:p>
    <w:p>
      <w:r>
        <w:t>1.1.3.6 施工设备：是指为完成合同约定的各项工作所需的设备、器具和其他物品，但不包括工程设备、临时工程和材料。</w:t>
      </w:r>
    </w:p>
    <w:p>
      <w:r>
        <w:t>1.1.3.7 施工现场：是指用于工程施工的场所，以及在专用合同条款中</w:t>
      </w:r>
      <w:r>
        <w:rPr>
          <w:rFonts w:hint="eastAsia"/>
        </w:rPr>
        <w:t>指</w:t>
      </w:r>
      <w:r>
        <w:t>明作为施工场所组成部分的其他场所，包括永久占地和临时占地。</w:t>
      </w:r>
    </w:p>
    <w:p>
      <w:r>
        <w:t>1.1.3.8临时设施：是指为完成合同约定的各项工作所服务的临时性生产和生活设施。</w:t>
      </w:r>
    </w:p>
    <w:p>
      <w:r>
        <w:t>1.1.3.9 永久占地：是指专用合同条款中指明为实施工程需永久占用的土地。</w:t>
      </w:r>
    </w:p>
    <w:p>
      <w:r>
        <w:t>1.1.3.10 临时占地：是指专用合同条款中指明为实施工程需要临时占用的土地。</w:t>
      </w:r>
    </w:p>
    <w:p>
      <w:r>
        <w:t>1.1.4 日期和期限</w:t>
      </w:r>
    </w:p>
    <w:p>
      <w:r>
        <w:t>1.1.4.1 开工日期：包括计划开工日期和实际开工日期。计划开工日期是指合同协议书约定的开工日期；实际开工日期是指监理人按照第7.3.2项</w:t>
      </w:r>
      <w:r>
        <w:rPr>
          <w:rFonts w:hint="eastAsia"/>
        </w:rPr>
        <w:t>〔</w:t>
      </w:r>
      <w:r>
        <w:t>开工通知</w:t>
      </w:r>
      <w:r>
        <w:rPr>
          <w:rFonts w:hint="eastAsia"/>
        </w:rPr>
        <w:t>〕</w:t>
      </w:r>
      <w:r>
        <w:t>约定发出的符合法律规定的开工通知中载明的开工日期。</w:t>
      </w:r>
    </w:p>
    <w:p>
      <w:r>
        <w:t>1.1.4.2 竣工日期：包括计划竣工日期和实际竣工日期。计划竣工日期是指合同协议书约定的竣工日期</w:t>
      </w:r>
      <w:r>
        <w:rPr>
          <w:rFonts w:hint="eastAsia"/>
        </w:rPr>
        <w:t>；</w:t>
      </w:r>
      <w:r>
        <w:t>实际竣工日期按照第13.2.3项</w:t>
      </w:r>
      <w:r>
        <w:rPr>
          <w:rFonts w:hint="eastAsia"/>
        </w:rPr>
        <w:t>〔</w:t>
      </w:r>
      <w:r>
        <w:t>竣工日期</w:t>
      </w:r>
      <w:r>
        <w:rPr>
          <w:rFonts w:hint="eastAsia"/>
        </w:rPr>
        <w:t>〕</w:t>
      </w:r>
      <w:r>
        <w:t xml:space="preserve">的约定确定。 </w:t>
      </w:r>
    </w:p>
    <w:p>
      <w:r>
        <w:t>1.1.4.3 工期：是指在合同协议书约定的承包人完成工程所需的期限，包括按照合同约定所作的</w:t>
      </w:r>
      <w:r>
        <w:rPr>
          <w:rFonts w:hint="eastAsia"/>
        </w:rPr>
        <w:t>期限</w:t>
      </w:r>
      <w:r>
        <w:t>变更。</w:t>
      </w:r>
    </w:p>
    <w:p>
      <w:r>
        <w:t>1.1.4.4 缺陷责任期：是指承包人按照合同约定承担缺陷修复义务，且发包人</w:t>
      </w:r>
      <w:r>
        <w:rPr>
          <w:rFonts w:hint="eastAsia"/>
        </w:rPr>
        <w:t>预</w:t>
      </w:r>
      <w:r>
        <w:t>留质量保证金</w:t>
      </w:r>
      <w:r>
        <w:rPr>
          <w:rFonts w:hint="eastAsia"/>
        </w:rPr>
        <w:t>（已</w:t>
      </w:r>
      <w:r>
        <w:t>缴纳履约保证金的除外</w:t>
      </w:r>
      <w:r>
        <w:rPr>
          <w:rFonts w:hint="eastAsia"/>
        </w:rPr>
        <w:t>）</w:t>
      </w:r>
      <w:r>
        <w:t>的期限，</w:t>
      </w:r>
      <w:r>
        <w:rPr>
          <w:rFonts w:hint="eastAsia"/>
        </w:rPr>
        <w:t>自</w:t>
      </w:r>
      <w:r>
        <w:t>工程</w:t>
      </w:r>
      <w:r>
        <w:rPr>
          <w:rFonts w:hint="eastAsia"/>
        </w:rPr>
        <w:t>实际竣工日期</w:t>
      </w:r>
      <w:r>
        <w:t>起计算。</w:t>
      </w:r>
    </w:p>
    <w:p>
      <w:r>
        <w:t>1.1.4.5 保修期：是指承包人按照合同约定对工程承担保修责任的期限，从工程竣工验收合格之日起计算。</w:t>
      </w:r>
    </w:p>
    <w:p>
      <w:r>
        <w:t>1.1.4.6 基准日期：招标发包的工程以投标截止日前28天的日期为基准日</w:t>
      </w:r>
      <w:r>
        <w:rPr>
          <w:rFonts w:hint="eastAsia"/>
        </w:rPr>
        <w:t>期</w:t>
      </w:r>
      <w:r>
        <w:t>，直接发包的工程以合同签订日前28天的日期为基准日</w:t>
      </w:r>
      <w:r>
        <w:rPr>
          <w:rFonts w:hint="eastAsia"/>
        </w:rPr>
        <w:t>期</w:t>
      </w:r>
      <w:r>
        <w:t>。</w:t>
      </w:r>
    </w:p>
    <w:p>
      <w:r>
        <w:t>1.1.4.7 天：除特别指明外，均指日历天。合同中按天计算时间的，开始当天不计入，从次日开始计算，期限最后一天的截止时间为当天24:00时。</w:t>
      </w:r>
    </w:p>
    <w:p>
      <w:r>
        <w:t>1.1.5 合同价格和费用</w:t>
      </w:r>
    </w:p>
    <w:p>
      <w:r>
        <w:t>1.1.5.1 签约合同价：是指发包人和承包人在合同协议书中确定的总金额，包括安全生产标准化措施费、暂估价及暂列金额等。</w:t>
      </w:r>
    </w:p>
    <w:p>
      <w:r>
        <w:t>1.1.5.2 合同价格：是指发包人用于支付承包人按照合同约定完成承包范围内全部工作的金额，包括合同履行过程中按合同约定</w:t>
      </w:r>
      <w:r>
        <w:rPr>
          <w:rFonts w:hint="eastAsia"/>
        </w:rPr>
        <w:t>发生的价格变化。</w:t>
      </w:r>
    </w:p>
    <w:p>
      <w:r>
        <w:t>1.1.5.3 费用：是指为履行合同所发生的或将要发生的所有必需的开支，包括管理费和应分摊的其他费用，但不包括利润。</w:t>
      </w:r>
    </w:p>
    <w:p>
      <w:r>
        <w:t>1.1.5.4 暂估价：是指发包人在工程量清单或预算书中提供的用于支付必然发生但暂时不能确定价格的材料、工程设备的单价</w:t>
      </w:r>
      <w:r>
        <w:rPr>
          <w:rFonts w:hint="eastAsia"/>
        </w:rPr>
        <w:t>、</w:t>
      </w:r>
      <w:r>
        <w:t>专业工程以及</w:t>
      </w:r>
      <w:r>
        <w:rPr>
          <w:rFonts w:hint="eastAsia"/>
        </w:rPr>
        <w:t>服务工作</w:t>
      </w:r>
      <w:r>
        <w:t>的金额。</w:t>
      </w:r>
    </w:p>
    <w:p>
      <w:r>
        <w:t>1.1.5.5 暂列金额：是指发包人在工程量清单或预算书中暂定并包括在合同价格中的一笔款项</w:t>
      </w:r>
      <w:r>
        <w:rPr>
          <w:rFonts w:hint="eastAsia"/>
        </w:rPr>
        <w:t>，</w:t>
      </w:r>
      <w:r>
        <w:t>用于工程合同签订时尚未确定或者不可预见的所需材料、工程设备、服务的采购，施工中可能发生的工程变更、合同约定调整因素出现时的合同价格调整以及发生的索赔、现场签证确认等的费用。</w:t>
      </w:r>
    </w:p>
    <w:p>
      <w:r>
        <w:t>1.1.5.6 计日工：是指合同履行过程中，承包人完成发包人提出的零星工作或需要采用计日工计价的变更工作时，按合同中约定的单价计价的一种方式。</w:t>
      </w:r>
    </w:p>
    <w:p>
      <w:r>
        <w:t>1.1.5.7 质量保证金</w:t>
      </w:r>
      <w:bookmarkStart w:id="703" w:name="#go2"/>
      <w:bookmarkEnd w:id="703"/>
      <w:r>
        <w:t>：是指按照第15.3款</w:t>
      </w:r>
      <w:r>
        <w:rPr>
          <w:rFonts w:hint="eastAsia"/>
        </w:rPr>
        <w:t>〔</w:t>
      </w:r>
      <w:r>
        <w:t>质量保证金</w:t>
      </w:r>
      <w:r>
        <w:rPr>
          <w:rFonts w:hint="eastAsia"/>
        </w:rPr>
        <w:t>〕</w:t>
      </w:r>
      <w:r>
        <w:t>约定承包人用于保证其在缺陷责任期内履行缺陷修补义务的担保。</w:t>
      </w:r>
    </w:p>
    <w:p>
      <w:r>
        <w:t>1.1.5.8 总价项目：是指在现行国家、行业以及地方的计量规则中无工程量计算规则，在已标价工程量清单或预算书中以总价或以费率形式计算的项目。</w:t>
      </w:r>
    </w:p>
    <w:p>
      <w:r>
        <w:t>1.1.6 其他</w:t>
      </w:r>
    </w:p>
    <w:p>
      <w:r>
        <w:t>1.1.6.1 书面形式：是指合同文件、信函、电报、传真等可以有形地表现所载内容的形式。</w:t>
      </w:r>
    </w:p>
    <w:p>
      <w:r>
        <w:t xml:space="preserve">    </w:t>
      </w:r>
      <w:bookmarkStart w:id="704" w:name="_Toc296346530"/>
      <w:bookmarkStart w:id="705" w:name="_Toc296503029"/>
      <w:bookmarkStart w:id="706" w:name="_Toc351203497"/>
      <w:bookmarkStart w:id="707" w:name="_Toc337558729"/>
      <w:r>
        <w:t>1.2语言文字</w:t>
      </w:r>
      <w:bookmarkEnd w:id="704"/>
      <w:bookmarkEnd w:id="705"/>
      <w:bookmarkEnd w:id="706"/>
      <w:bookmarkEnd w:id="707"/>
    </w:p>
    <w:p>
      <w:r>
        <w:t>合同以中国的汉语简体文字编写、解释和说明。合同当事人在专用合同条款中约定使用两种以上语言时，汉语为优先解释和说明合同的语言。</w:t>
      </w:r>
    </w:p>
    <w:p>
      <w:bookmarkStart w:id="708" w:name="_Toc296346531"/>
      <w:bookmarkStart w:id="709" w:name="_Toc351203498"/>
      <w:bookmarkStart w:id="710" w:name="_Toc296503030"/>
      <w:bookmarkStart w:id="711" w:name="_Toc337558730"/>
      <w:r>
        <w:t>1.3法律</w:t>
      </w:r>
      <w:bookmarkEnd w:id="708"/>
      <w:bookmarkEnd w:id="709"/>
      <w:bookmarkEnd w:id="710"/>
      <w:bookmarkEnd w:id="711"/>
    </w:p>
    <w:p>
      <w:r>
        <w:t>合同所称法律是指中华人民共和国法律、行政法规、部门规章，以及工程所在地的地方性法规、自治条例、单行条例和地方政府规章等。</w:t>
      </w:r>
    </w:p>
    <w:p>
      <w:r>
        <w:t>合同当事人可以在专用合同条款中约定合同适用的其他规范性文件。</w:t>
      </w:r>
    </w:p>
    <w:p>
      <w:bookmarkStart w:id="712" w:name="_Toc351203499"/>
      <w:r>
        <w:t>1.4 标准和规范</w:t>
      </w:r>
      <w:bookmarkEnd w:id="712"/>
    </w:p>
    <w:p>
      <w:r>
        <w:t>1.4.1 适用于工程的国家标准、行业标准、工程所在地的地方性标准，以及相应的规范、规程等，合同当事人有特别要求的，应在专用合同条款中约定。</w:t>
      </w:r>
    </w:p>
    <w:p>
      <w:r>
        <w:t>1.4.2 发包人要求使用国外标准、规范的，发包人负责提供原文版本和中文译本，并在专用合同条款中约定提供标准规范的名称、份数和时间。</w:t>
      </w:r>
    </w:p>
    <w:p>
      <w:r>
        <w:t>1.4.3 发包人对工程的技术标准、功能要求高于或严于现行国家、行业或地方标准的，应当在专用合同条款中予以明确。除专用合同条款另有约定外，应视为</w:t>
      </w:r>
      <w:r>
        <w:rPr>
          <w:rFonts w:hint="eastAsia"/>
        </w:rPr>
        <w:t>承包人</w:t>
      </w:r>
      <w:r>
        <w:t>在签订合同前已充分预见前述技术标准和功能要求的复杂程度，签约合同价中已包含由此产生的费用。</w:t>
      </w:r>
    </w:p>
    <w:p>
      <w:bookmarkStart w:id="713" w:name="_Toc351203500"/>
      <w:r>
        <w:t>1</w:t>
      </w:r>
      <w:bookmarkStart w:id="714" w:name="_Toc337558731"/>
      <w:bookmarkStart w:id="715" w:name="_Toc296503031"/>
      <w:bookmarkStart w:id="716" w:name="_Toc296346532"/>
      <w:r>
        <w:t>.5 合同文件的优先顺序</w:t>
      </w:r>
      <w:bookmarkEnd w:id="713"/>
    </w:p>
    <w:bookmarkEnd w:id="714"/>
    <w:bookmarkEnd w:id="715"/>
    <w:bookmarkEnd w:id="716"/>
    <w:p>
      <w:r>
        <w:t>组成合同的各项文件应互相解释，互为说明。除专用合同条款另有约定外，解释合同文件的优先顺序如下：</w:t>
      </w:r>
    </w:p>
    <w:p>
      <w:r>
        <w:t>（1）合同协议书；</w:t>
      </w:r>
    </w:p>
    <w:p>
      <w:r>
        <w:t>（2）</w:t>
      </w:r>
      <w:r>
        <w:rPr>
          <w:rFonts w:hint="eastAsia"/>
        </w:rPr>
        <w:t>成交</w:t>
      </w:r>
      <w:r>
        <w:t>通知书（如果有）；</w:t>
      </w:r>
    </w:p>
    <w:p>
      <w:r>
        <w:t>（3）投标函及其附录（如果有）；</w:t>
      </w:r>
    </w:p>
    <w:p>
      <w:r>
        <w:t>（4）专用合同条款及其附件；</w:t>
      </w:r>
    </w:p>
    <w:p>
      <w:r>
        <w:t>（5）通用合同条款；</w:t>
      </w:r>
    </w:p>
    <w:p>
      <w:r>
        <w:t>（6）技术标准和要求；</w:t>
      </w:r>
    </w:p>
    <w:p>
      <w:r>
        <w:t>（7）图纸；</w:t>
      </w:r>
    </w:p>
    <w:p>
      <w:r>
        <w:t>（8）已标价工程量清单或预算书；</w:t>
      </w:r>
    </w:p>
    <w:p>
      <w:r>
        <w:t>（9）其他合同文件。</w:t>
      </w:r>
    </w:p>
    <w:p>
      <w:r>
        <w:t>上述各项合同文件包括合同当事人就该项合同文件所作出的补充和修改，属于同一类内容的文件，应以最新签署的为准。</w:t>
      </w:r>
    </w:p>
    <w:p>
      <w:r>
        <w:t>在合同订立及履行过程中形成的与合同有关的文件均构成合同文件组成部分，并根据其性质确定优先解释顺序。</w:t>
      </w:r>
    </w:p>
    <w:p>
      <w:bookmarkStart w:id="717" w:name="_Toc351203501"/>
      <w:r>
        <w:t>1</w:t>
      </w:r>
      <w:bookmarkStart w:id="718" w:name="_Toc337558732"/>
      <w:bookmarkStart w:id="719" w:name="_Toc296503032"/>
      <w:bookmarkStart w:id="720" w:name="_Toc296346533"/>
      <w:r>
        <w:t>.6图纸和承包人文件</w:t>
      </w:r>
      <w:bookmarkEnd w:id="717"/>
    </w:p>
    <w:bookmarkEnd w:id="718"/>
    <w:bookmarkEnd w:id="719"/>
    <w:bookmarkEnd w:id="720"/>
    <w:p>
      <w:r>
        <w:t>1.6.1 图纸的提供和交底</w:t>
      </w:r>
    </w:p>
    <w:p>
      <w:r>
        <w:t>发包人应按照专用合同条款约定的期限、数量和内容向承包人免费提供图纸，并组织承包人、监理人和设计人进行图纸会审和设计交底。发包人至迟不得晚于第7.3.2项</w:t>
      </w:r>
      <w:r>
        <w:rPr>
          <w:rFonts w:hint="eastAsia"/>
        </w:rPr>
        <w:t>〔</w:t>
      </w:r>
      <w:r>
        <w:t>开工通知</w:t>
      </w:r>
      <w:r>
        <w:rPr>
          <w:rFonts w:hint="eastAsia"/>
        </w:rPr>
        <w:t>〕</w:t>
      </w:r>
      <w:r>
        <w:t>载明的开工日期前14天向承包人提供图纸。</w:t>
      </w:r>
    </w:p>
    <w:p>
      <w:r>
        <w:t>因发包人未按合同约定提供图纸导致承包人费用增加和（或）工期延误的，按照第7.5.1项</w:t>
      </w:r>
      <w:r>
        <w:rPr>
          <w:rFonts w:hint="eastAsia"/>
        </w:rPr>
        <w:t>〔</w:t>
      </w:r>
      <w:r>
        <w:t>因发包人原因导致工期延误</w:t>
      </w:r>
      <w:r>
        <w:rPr>
          <w:rFonts w:hint="eastAsia"/>
        </w:rPr>
        <w:t>〕</w:t>
      </w:r>
      <w:r>
        <w:t>约定办理。</w:t>
      </w:r>
    </w:p>
    <w:p>
      <w:r>
        <w:t>1.6.2 图纸的错误</w:t>
      </w:r>
    </w:p>
    <w:p>
      <w:r>
        <w:t>承包人在收到发包人提供的图纸后，发现图纸存在差错、遗漏或缺陷的，应及时通知监理人。监理人接到该通知后，应附具相关意见并立即报送发包人，发包人应在收到监理人报送的通知后的合理时间内作出决定。</w:t>
      </w:r>
      <w:r>
        <w:rPr>
          <w:rFonts w:hint="eastAsia"/>
        </w:rPr>
        <w:t>合理时间是指发包人在收到监理人的报送通知后，尽其努力且不懈怠地完成图纸修改补充所需的时间。</w:t>
      </w:r>
    </w:p>
    <w:p>
      <w:r>
        <w:t>1.6.3 图纸的修改和补充</w:t>
      </w:r>
    </w:p>
    <w:p>
      <w:r>
        <w:t>图纸需要修改和补充的，应经图纸原设计人及审批部门同意，并由监理人在工程或工程相应部位施工前将修改后的图纸或补充图纸提交给承包人，承包人应按修改或补充后的图纸施工。</w:t>
      </w:r>
    </w:p>
    <w:p>
      <w:r>
        <w:t>1.6.4 承包人文件</w:t>
      </w:r>
    </w:p>
    <w:p>
      <w:r>
        <w:t>承包人应按照专用合同条款的约定提供应当由其编制的与工程施工有关的文件，并按照专用合同条款约定的期限、数量和形式提交监理人，并由监理人报送发包人。</w:t>
      </w:r>
    </w:p>
    <w:p>
      <w: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r>
        <w:t>1.6.5 图纸和承包人文件的保管</w:t>
      </w:r>
    </w:p>
    <w:p>
      <w:r>
        <w:t>除专用合同条款另有约定外，承包人应在施工现场另外保存一套完整的图纸和承包人文件，供发包人、监理人及有关人员进行工程检查时使用。</w:t>
      </w:r>
    </w:p>
    <w:p>
      <w:bookmarkStart w:id="721" w:name="_Toc351203502"/>
      <w:r>
        <w:t>1</w:t>
      </w:r>
      <w:bookmarkStart w:id="722" w:name="_Toc296346534"/>
      <w:bookmarkStart w:id="723" w:name="_Toc296503033"/>
      <w:bookmarkStart w:id="724" w:name="_Toc337558733"/>
      <w:r>
        <w:t>.7联络</w:t>
      </w:r>
      <w:bookmarkEnd w:id="721"/>
    </w:p>
    <w:bookmarkEnd w:id="722"/>
    <w:bookmarkEnd w:id="723"/>
    <w:bookmarkEnd w:id="724"/>
    <w:p>
      <w:r>
        <w:t>1.7.1 与合同有关的通知、批准、证明、证书、指示、指令、要求、请求、同意、意见、确定和决定等，均应采用书面形式，并应在合同约定的期限内送达接收人和送达地点。</w:t>
      </w:r>
    </w:p>
    <w:p>
      <w:r>
        <w:t>1.7.2 发包人和承包人应在专用合同条款中约定各自的送达接收人和送达地点。任何一方合同当事人指定的接收人或送达地点发生变动的，应提前3天以书面形式通知对方。</w:t>
      </w:r>
    </w:p>
    <w:p>
      <w:r>
        <w:t>1.7.3 发包人和承包人应当及时签收另一方送达至送达地点和指定接收人的来往信函。拒不签收的，由此增加的费用和（或）延误的工期由拒绝接收一方承担。</w:t>
      </w:r>
    </w:p>
    <w:p>
      <w:bookmarkStart w:id="725" w:name="_Toc351203503"/>
      <w:r>
        <w:t>1</w:t>
      </w:r>
      <w:bookmarkStart w:id="726" w:name="_Toc296503035"/>
      <w:bookmarkStart w:id="727" w:name="_Toc296346536"/>
      <w:bookmarkStart w:id="728" w:name="_Toc337558734"/>
      <w:r>
        <w:t>.8严禁贿赂</w:t>
      </w:r>
      <w:bookmarkEnd w:id="725"/>
    </w:p>
    <w:bookmarkEnd w:id="726"/>
    <w:bookmarkEnd w:id="727"/>
    <w:bookmarkEnd w:id="728"/>
    <w:p>
      <w:r>
        <w:t>合同当事人不得以贿赂或变相贿赂的方式，谋取非法利益或损害对方权益。因一方合同当事人的贿赂造成对方损失的，应赔偿损失，并承担相应的法律责任。</w:t>
      </w:r>
    </w:p>
    <w:p>
      <w:r>
        <w:t>承包人不得与监理人或发包人聘请的第三方串通损害发包人利益。未经发包人书面同意，承包人不得为监理人提供合同约定以外的通讯设备、交通工具及其他任何形式的利益，不得向监理人支付报酬。</w:t>
      </w:r>
    </w:p>
    <w:p>
      <w:bookmarkStart w:id="729" w:name="_Toc351203504"/>
      <w:r>
        <w:t>1</w:t>
      </w:r>
      <w:bookmarkStart w:id="730" w:name="_Toc296503036"/>
      <w:bookmarkStart w:id="731" w:name="_Toc337558735"/>
      <w:bookmarkStart w:id="732" w:name="_Toc296346537"/>
      <w:r>
        <w:t>.9化石、文物</w:t>
      </w:r>
      <w:bookmarkEnd w:id="729"/>
    </w:p>
    <w:bookmarkEnd w:id="730"/>
    <w:bookmarkEnd w:id="731"/>
    <w:bookmarkEnd w:id="732"/>
    <w:p>
      <w: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
        <w:t>发包人、监理人和承包人应按有关政府行政管理部门要求采取妥善的保护措施，由此增加的费用和</w:t>
      </w:r>
      <w:r>
        <w:rPr>
          <w:rFonts w:hint="eastAsia"/>
        </w:rPr>
        <w:t>（</w:t>
      </w:r>
      <w:r>
        <w:t>或）延误的工期由发包人承担。</w:t>
      </w:r>
    </w:p>
    <w:p>
      <w:r>
        <w:t>承包人发现文物后不及时报告或隐瞒不报，致使文物丢失或损坏的，应赔偿损失，并承担相应的法律责任。</w:t>
      </w:r>
    </w:p>
    <w:p>
      <w:bookmarkStart w:id="733" w:name="_Toc351203505"/>
      <w:r>
        <w:t>1</w:t>
      </w:r>
      <w:bookmarkStart w:id="734" w:name="_Toc337558736"/>
      <w:r>
        <w:t>.10交通运输</w:t>
      </w:r>
      <w:bookmarkEnd w:id="733"/>
    </w:p>
    <w:bookmarkEnd w:id="734"/>
    <w:p>
      <w:r>
        <w:t>1.10.1</w:t>
      </w:r>
      <w:r>
        <w:rPr>
          <w:rFonts w:hint="eastAsia"/>
        </w:rPr>
        <w:t xml:space="preserve"> </w:t>
      </w:r>
      <w:r>
        <w:t>出入现场的权利</w:t>
      </w:r>
    </w:p>
    <w:p>
      <w:r>
        <w:t>除专用合同条款另有约定外，发包人应根据施工需要，负责取得出入施工现场所需的</w:t>
      </w:r>
      <w:r>
        <w:rPr>
          <w:rFonts w:hint="eastAsia"/>
        </w:rPr>
        <w:t>批准手续和</w:t>
      </w:r>
      <w:r>
        <w:t>全部权利，以及取得因施工所需修建道路、桥梁以及其他基础设施的权利，并承担相关手续费用和建设费用。承包人应协助发包人办理修建场内外道路、桥梁以及其他基础设施的手续。</w:t>
      </w:r>
    </w:p>
    <w:p>
      <w:r>
        <w:t>承包人应在订立合同前查勘施工现场，并根据工程规模及技术参数合理预见工程施工所需的进出施工现场的方式、手段、路径等。因承包人未合理预见所增加的费用和（或）延误的工期由承包人承担。</w:t>
      </w:r>
    </w:p>
    <w:p>
      <w:r>
        <w:t>1.10.2</w:t>
      </w:r>
      <w:r>
        <w:rPr>
          <w:rFonts w:hint="eastAsia"/>
        </w:rPr>
        <w:t xml:space="preserve"> </w:t>
      </w:r>
      <w:r>
        <w:t>场外交通</w:t>
      </w:r>
    </w:p>
    <w:p>
      <w: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r>
        <w:t>1.10.3场内交通</w:t>
      </w:r>
    </w:p>
    <w:p>
      <w: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r>
        <w:t>场外交通和场内交通的边界由合同当事人在专用合同条款中约定。</w:t>
      </w:r>
    </w:p>
    <w:p>
      <w:r>
        <w:t>1.10.4</w:t>
      </w:r>
      <w:r>
        <w:rPr>
          <w:rFonts w:hint="eastAsia"/>
        </w:rPr>
        <w:t xml:space="preserve"> </w:t>
      </w:r>
      <w:r>
        <w:t>超大件和超重件的运输</w:t>
      </w:r>
    </w:p>
    <w:p>
      <w: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r>
        <w:t>1.10.5</w:t>
      </w:r>
      <w:r>
        <w:rPr>
          <w:rFonts w:hint="eastAsia"/>
        </w:rPr>
        <w:t xml:space="preserve"> </w:t>
      </w:r>
      <w:r>
        <w:t>道路和桥梁的损坏责任</w:t>
      </w:r>
    </w:p>
    <w:p>
      <w:r>
        <w:t>因承包人运输造成施工场地内外公共道路和桥梁损坏的，由承包人承担修复损坏的全部费用和可能引起的赔偿。</w:t>
      </w:r>
    </w:p>
    <w:p>
      <w:r>
        <w:t>1.10.6</w:t>
      </w:r>
      <w:r>
        <w:rPr>
          <w:rFonts w:hint="eastAsia"/>
        </w:rPr>
        <w:t xml:space="preserve"> </w:t>
      </w:r>
      <w:r>
        <w:t>水路和航空运输</w:t>
      </w:r>
    </w:p>
    <w:p>
      <w:r>
        <w:t>本</w:t>
      </w:r>
      <w:r>
        <w:rPr>
          <w:rFonts w:hint="eastAsia"/>
        </w:rPr>
        <w:t>款</w:t>
      </w:r>
      <w:r>
        <w:t>前述各</w:t>
      </w:r>
      <w:r>
        <w:rPr>
          <w:rFonts w:hint="eastAsia"/>
        </w:rPr>
        <w:t>项</w:t>
      </w:r>
      <w:r>
        <w:t>的内容适用于水路运输和航空运输，其中“道路”一词的涵义包括河道、航线、船闸、机场、码头、堤防以及水路或航空运输中其他相似结构物；“车辆”一词的涵义包括船舶和飞机等。</w:t>
      </w:r>
    </w:p>
    <w:p>
      <w:bookmarkStart w:id="735" w:name="_Toc351203506"/>
      <w:r>
        <w:t>1</w:t>
      </w:r>
      <w:bookmarkStart w:id="736" w:name="_Toc337558737"/>
      <w:bookmarkStart w:id="737" w:name="_Toc296503037"/>
      <w:bookmarkStart w:id="738" w:name="_Toc296346538"/>
      <w:r>
        <w:t>.11知识产权</w:t>
      </w:r>
      <w:bookmarkEnd w:id="735"/>
      <w:r>
        <w:t xml:space="preserve"> </w:t>
      </w:r>
      <w:bookmarkEnd w:id="736"/>
    </w:p>
    <w:bookmarkEnd w:id="737"/>
    <w:bookmarkEnd w:id="738"/>
    <w:p>
      <w: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r>
        <w:t xml:space="preserve">    1.11.4 除专用合同条款另有约定外，承包人在合同签订前和签订时已确定采用的专利、专有技术、技术秘密的使用费已包含在签约合同价中。</w:t>
      </w:r>
    </w:p>
    <w:p>
      <w:bookmarkStart w:id="739" w:name="_Toc351203507"/>
      <w:r>
        <w:t>1</w:t>
      </w:r>
      <w:bookmarkStart w:id="740" w:name="_Toc337558738"/>
      <w:r>
        <w:t>.12保密</w:t>
      </w:r>
      <w:bookmarkEnd w:id="739"/>
    </w:p>
    <w:bookmarkEnd w:id="740"/>
    <w:p>
      <w:r>
        <w:t>除法律规定或合同另有约定外，未经发包人同意，承包人不得将发包人提供的图纸、文件以及声明需要保密的资料信息等商业秘密泄露给第三方。</w:t>
      </w:r>
    </w:p>
    <w:p>
      <w:r>
        <w:t>除法律规定或合同另有约定外，未经承包人同意，发包人不得将承包人提供的技术秘密及声明需要保密的资料信息等商业秘密泄露给第三方。</w:t>
      </w:r>
    </w:p>
    <w:p>
      <w:bookmarkStart w:id="741" w:name="_Toc351203508"/>
      <w:r>
        <w:t>1.13工程量清单错误的修正</w:t>
      </w:r>
      <w:bookmarkEnd w:id="741"/>
    </w:p>
    <w:p>
      <w:r>
        <w:rPr>
          <w:rFonts w:hint="eastAsia"/>
        </w:rPr>
        <w:t>除专用合同条款另有约定外，</w:t>
      </w:r>
      <w:r>
        <w:t>发包人提供的工程量清单，应被认为是准确的和完整的。出现下列情形之一时，发包人应予以修正，并相应调整合同价格：</w:t>
      </w:r>
    </w:p>
    <w:p>
      <w:r>
        <w:t>（1）工程量清单存在缺项、漏项的；</w:t>
      </w:r>
    </w:p>
    <w:p>
      <w:r>
        <w:t>（2）工程量清单偏差超出专用合同条款约定的工程量偏差范围的；</w:t>
      </w:r>
    </w:p>
    <w:p>
      <w:r>
        <w:t>（3）未按照国家现行计量规范强制性规定计量的。</w:t>
      </w:r>
    </w:p>
    <w:p>
      <w:bookmarkStart w:id="742" w:name="_Toc351203509"/>
      <w:r>
        <w:t>2</w:t>
      </w:r>
      <w:bookmarkStart w:id="743" w:name="_Toc296346539"/>
      <w:bookmarkStart w:id="744" w:name="_Toc296503038"/>
      <w:bookmarkStart w:id="745" w:name="_Toc337558739"/>
      <w:r>
        <w:t>. 发包人</w:t>
      </w:r>
      <w:bookmarkEnd w:id="742"/>
    </w:p>
    <w:bookmarkEnd w:id="743"/>
    <w:bookmarkEnd w:id="744"/>
    <w:bookmarkEnd w:id="745"/>
    <w:p>
      <w:bookmarkStart w:id="746" w:name="_Toc351203510"/>
      <w:r>
        <w:t>2</w:t>
      </w:r>
      <w:bookmarkStart w:id="747" w:name="_Toc337558740"/>
      <w:bookmarkStart w:id="748" w:name="_Toc296503039"/>
      <w:bookmarkStart w:id="749" w:name="_Toc296346540"/>
      <w:r>
        <w:t>.1 许可或批准</w:t>
      </w:r>
      <w:bookmarkEnd w:id="746"/>
    </w:p>
    <w:p>
      <w: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r>
        <w:t>因发包人原因未能及时办理完毕前述许可、批准或备案，由发包人承担由此增加的费用和（或）延误的工期，并支付承包人合理的利润。</w:t>
      </w:r>
    </w:p>
    <w:p>
      <w:bookmarkStart w:id="750" w:name="_Toc351203511"/>
      <w:r>
        <w:t>2.2 发包人代表</w:t>
      </w:r>
      <w:bookmarkEnd w:id="750"/>
    </w:p>
    <w:p>
      <w: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r>
        <w:t>发包人代表不能按照合同约定履行其职责及义务，并导致合同无法继续正常履行的，承包人可以要求发包人撤换发包人代表。</w:t>
      </w:r>
    </w:p>
    <w:p>
      <w:r>
        <w:rPr>
          <w:rFonts w:hint="eastAsia"/>
        </w:rPr>
        <w:t>不属于法定必须监理的工程，监理人的职权可以由发包人代表或发包人指定的其他人员行使。</w:t>
      </w:r>
    </w:p>
    <w:p>
      <w:bookmarkStart w:id="751" w:name="_Toc351203512"/>
      <w:r>
        <w:t>2.3 发包人人员</w:t>
      </w:r>
      <w:bookmarkEnd w:id="751"/>
    </w:p>
    <w:p>
      <w:r>
        <w:t>发包人应要求在施工现场的发包人人员遵守法律及有关安全、质量、环境保护、文明施工等规定，并保障承包人免于承受因发包人人员未遵守上述要求给承包人造成的损失和责任。</w:t>
      </w:r>
    </w:p>
    <w:p>
      <w:r>
        <w:t>发包人人员包括发包人代表及其他由发包人派驻施工现场的人员。</w:t>
      </w:r>
      <w:bookmarkEnd w:id="747"/>
      <w:bookmarkEnd w:id="748"/>
      <w:bookmarkEnd w:id="749"/>
    </w:p>
    <w:p>
      <w:bookmarkStart w:id="752" w:name="_Toc351203513"/>
      <w:r>
        <w:t>2</w:t>
      </w:r>
      <w:bookmarkStart w:id="753" w:name="_Toc337558741"/>
      <w:bookmarkStart w:id="754" w:name="_Toc296503040"/>
      <w:bookmarkStart w:id="755" w:name="_Toc296346541"/>
      <w:r>
        <w:t>.4 施工现场、施工条件和基础资料的提供</w:t>
      </w:r>
      <w:bookmarkEnd w:id="752"/>
      <w:r>
        <w:t xml:space="preserve"> </w:t>
      </w:r>
      <w:bookmarkEnd w:id="753"/>
      <w:bookmarkEnd w:id="754"/>
      <w:bookmarkEnd w:id="755"/>
      <w:r>
        <w:t xml:space="preserve"> </w:t>
      </w:r>
    </w:p>
    <w:p>
      <w:r>
        <w:t>2.4.1 提供施工现场</w:t>
      </w:r>
    </w:p>
    <w:p>
      <w:r>
        <w:t>除专用合同条款另有约定外，发包人应</w:t>
      </w:r>
      <w:r>
        <w:rPr>
          <w:rFonts w:hint="eastAsia"/>
        </w:rPr>
        <w:t>最迟于</w:t>
      </w:r>
      <w:r>
        <w:t>开工日期7天前向承包人移交施工现场。</w:t>
      </w:r>
    </w:p>
    <w:p>
      <w:r>
        <w:t>2.4.2 提供施工条件</w:t>
      </w:r>
    </w:p>
    <w:p>
      <w:r>
        <w:t>除专用合同条款另有约定外，发包人应负责提供施工所需要的条件，包括：</w:t>
      </w:r>
    </w:p>
    <w:p>
      <w:r>
        <w:t>（1）将施工用水、电力、通讯线路等施工所必需的条件接至施工现场内；</w:t>
      </w:r>
    </w:p>
    <w:p>
      <w:r>
        <w:t>（2）保证向承包人提供正常施工所需要的进入施工现场的交通条件；</w:t>
      </w:r>
    </w:p>
    <w:p>
      <w:r>
        <w:t>（3）协调处理施工现场周围地下管线和邻近建筑物、构筑物、古树名木的保护工作，并承担相关费用；</w:t>
      </w:r>
    </w:p>
    <w:p>
      <w:r>
        <w:t>（4）按照专用合同条款约定</w:t>
      </w:r>
      <w:r>
        <w:rPr>
          <w:rFonts w:hint="eastAsia"/>
        </w:rPr>
        <w:t>应</w:t>
      </w:r>
      <w:r>
        <w:t>提供的其他设施和条件。</w:t>
      </w:r>
    </w:p>
    <w:p>
      <w:r>
        <w:t>2.4.3 提供基础资料</w:t>
      </w:r>
    </w:p>
    <w:p>
      <w: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r>
        <w:rPr>
          <w:rFonts w:hint="eastAsia"/>
        </w:rPr>
        <w:t>按照法律规定确需在开工后方能提供的基础资料，发包人应尽其努力及时地在相应工程施工前的合理期限内提供，合理期限应以不影响承包人的正常施工为限。</w:t>
      </w:r>
    </w:p>
    <w:p>
      <w:r>
        <w:t>2.4.4 逾期提供的责任</w:t>
      </w:r>
    </w:p>
    <w:p>
      <w:r>
        <w:t>因发包人原因未能按合同约定及时向承包人提供施工现场、施工条件、基础资料的，由发包人承担由此增加的费用和（或）延误的工期。</w:t>
      </w:r>
    </w:p>
    <w:p>
      <w:bookmarkStart w:id="756" w:name="_Toc351203514"/>
      <w:r>
        <w:t>2</w:t>
      </w:r>
      <w:bookmarkStart w:id="757" w:name="_Toc296503042"/>
      <w:bookmarkStart w:id="758" w:name="_Toc296346543"/>
      <w:bookmarkStart w:id="759" w:name="_Toc337558745"/>
      <w:r>
        <w:t>.5 资</w:t>
      </w:r>
      <w:bookmarkEnd w:id="757"/>
      <w:bookmarkEnd w:id="758"/>
      <w:bookmarkEnd w:id="759"/>
      <w:r>
        <w:t>金来源证明及支付担保</w:t>
      </w:r>
      <w:bookmarkEnd w:id="756"/>
    </w:p>
    <w:p>
      <w:r>
        <w:t>除专用合同条款另有约定外，发包人应在收到承包人要求提供资金来源证明的书面通知后28天内，向承包人提供能够按照合同约定支付合同价款的相应资金来源证明。</w:t>
      </w:r>
    </w:p>
    <w:p>
      <w:r>
        <w:t>除专用合同条款另有约定外，发包人要求承包人提供履约担保的，发包人应当向承包人提供支付担保。支付担保可以采用银行保函或担保公司担保等形式，具体由合同当事人在专用合同条款中约定。</w:t>
      </w:r>
    </w:p>
    <w:p>
      <w:bookmarkStart w:id="760" w:name="_Toc351203515"/>
      <w:r>
        <w:t>2.6 支付合同价款</w:t>
      </w:r>
      <w:bookmarkEnd w:id="760"/>
    </w:p>
    <w:p>
      <w:r>
        <w:t>发包人应按合同约定向承包人及时支付合同价款。</w:t>
      </w:r>
    </w:p>
    <w:p>
      <w:bookmarkStart w:id="761" w:name="_Toc351203516"/>
      <w:r>
        <w:t>2.7 组织竣工验收</w:t>
      </w:r>
      <w:bookmarkEnd w:id="761"/>
    </w:p>
    <w:p>
      <w:r>
        <w:t>发包人应按合同约定及时组织竣工验收。</w:t>
      </w:r>
    </w:p>
    <w:p>
      <w:bookmarkStart w:id="762" w:name="_Toc351203517"/>
      <w:r>
        <w:t>2.8 现场统一管理协议</w:t>
      </w:r>
      <w:bookmarkEnd w:id="762"/>
    </w:p>
    <w:p>
      <w:r>
        <w:t>发包人应与承包人、由发包人直接发包的专业工程的承包人签订施工现场统一管理协议，明确各方的权利义务。施工现场统一管理协议作为专用合同条款的附件。</w:t>
      </w:r>
    </w:p>
    <w:p>
      <w:bookmarkStart w:id="763" w:name="_Toc351203518"/>
      <w:r>
        <w:t>3</w:t>
      </w:r>
      <w:bookmarkStart w:id="764" w:name="_Toc296503045"/>
      <w:bookmarkStart w:id="765" w:name="_Toc296346546"/>
      <w:bookmarkStart w:id="766" w:name="_Toc337558746"/>
      <w:r>
        <w:t>. 承包人</w:t>
      </w:r>
      <w:bookmarkEnd w:id="763"/>
    </w:p>
    <w:bookmarkEnd w:id="764"/>
    <w:bookmarkEnd w:id="765"/>
    <w:bookmarkEnd w:id="766"/>
    <w:p>
      <w:bookmarkStart w:id="767" w:name="_Toc351203519"/>
      <w:r>
        <w:t>3</w:t>
      </w:r>
      <w:bookmarkStart w:id="768" w:name="_Toc296346547"/>
      <w:bookmarkStart w:id="769" w:name="_Toc337558747"/>
      <w:bookmarkStart w:id="770" w:name="_Toc296503046"/>
      <w:r>
        <w:t>.1 承包人的一般义务</w:t>
      </w:r>
      <w:bookmarkEnd w:id="767"/>
    </w:p>
    <w:bookmarkEnd w:id="768"/>
    <w:bookmarkEnd w:id="769"/>
    <w:bookmarkEnd w:id="770"/>
    <w:p>
      <w:r>
        <w:t>承包人在履行合同过程中应遵守法律和工程建设标准规范，并履行以下义务：</w:t>
      </w:r>
    </w:p>
    <w:p>
      <w:r>
        <w:t>办理法律规定</w:t>
      </w:r>
      <w:r>
        <w:rPr>
          <w:rFonts w:hint="eastAsia"/>
        </w:rPr>
        <w:t>应</w:t>
      </w:r>
      <w:r>
        <w:t>由承包人办理的许可和批准，并将</w:t>
      </w:r>
      <w:r>
        <w:rPr>
          <w:rFonts w:hint="eastAsia"/>
        </w:rPr>
        <w:t>办理</w:t>
      </w:r>
      <w:r>
        <w:t>结果书面报送发包人留存；</w:t>
      </w:r>
    </w:p>
    <w:p>
      <w:r>
        <w:t>（2）按法律规定和合同约定完成工程，并在保修期内承担保修义务；</w:t>
      </w:r>
    </w:p>
    <w:p>
      <w:r>
        <w:t>（3）按法律规定和合同约定采取施工安全和环境保护措施，办理工伤保险，确保工程及人员、材料、设备和设施的安全；</w:t>
      </w:r>
    </w:p>
    <w:p>
      <w:r>
        <w:t>（4）按合同约定的工作内容和施工进度要求，编制施工组织设计和施工措施计划，并对所有施工作业和施工方法的完备性和安全可靠性负责；</w:t>
      </w:r>
    </w:p>
    <w:p>
      <w: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r>
        <w:t>（6）按照第6.3款</w:t>
      </w:r>
      <w:r>
        <w:rPr>
          <w:rFonts w:hint="eastAsia"/>
        </w:rPr>
        <w:t>〔</w:t>
      </w:r>
      <w:r>
        <w:t>环境保护</w:t>
      </w:r>
      <w:r>
        <w:rPr>
          <w:rFonts w:hint="eastAsia"/>
        </w:rPr>
        <w:t>〕</w:t>
      </w:r>
      <w:r>
        <w:t>约定负责施工场地及其周边环境与生态的保护工作；</w:t>
      </w:r>
    </w:p>
    <w:p>
      <w:r>
        <w:t>（7）按第6.1款</w:t>
      </w:r>
      <w:r>
        <w:rPr>
          <w:rFonts w:hint="eastAsia"/>
        </w:rPr>
        <w:t>〔</w:t>
      </w:r>
      <w:r>
        <w:t>安全生产标准化</w:t>
      </w:r>
      <w:r>
        <w:rPr>
          <w:rFonts w:hint="eastAsia"/>
        </w:rPr>
        <w:t>〕</w:t>
      </w:r>
      <w:r>
        <w:t>约定采取施工安全措施，确保工程及其人员、材料、设备和设施的安全，防止因工程施工造成的人身伤害和财产损失；</w:t>
      </w:r>
    </w:p>
    <w:p>
      <w:r>
        <w:t>（8）</w:t>
      </w:r>
      <w:r>
        <w:rPr>
          <w:rFonts w:hint="eastAsia"/>
        </w:rPr>
        <w:t>将</w:t>
      </w:r>
      <w:r>
        <w:t>发包人按合同约定支付的各项价款专用于合同工程，且应及时支付其雇用人员工资，并及时向分包人支付合同价款；</w:t>
      </w:r>
    </w:p>
    <w:p>
      <w:r>
        <w:t>（9）按照法律规定和合同约定编制竣工资料，完成竣工资料立卷及归档，并按专用合同条款约定的竣工资料的套数、内容、时间等要求移交发包人；</w:t>
      </w:r>
    </w:p>
    <w:p>
      <w:r>
        <w:t>（10）应履行的其他义务。</w:t>
      </w:r>
    </w:p>
    <w:p>
      <w:bookmarkStart w:id="771" w:name="_Toc351203520"/>
      <w:r>
        <w:t>3</w:t>
      </w:r>
      <w:bookmarkStart w:id="772" w:name="_Toc296346548"/>
      <w:bookmarkStart w:id="773" w:name="_Toc296503047"/>
      <w:bookmarkStart w:id="774" w:name="_Toc337558748"/>
      <w:r>
        <w:t xml:space="preserve">.2 </w:t>
      </w:r>
      <w:bookmarkEnd w:id="771"/>
      <w:r>
        <w:t>项目经理</w:t>
      </w:r>
    </w:p>
    <w:bookmarkEnd w:id="772"/>
    <w:bookmarkEnd w:id="773"/>
    <w:bookmarkEnd w:id="774"/>
    <w:p>
      <w: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r>
        <w:t>承包人违反上述约定的，应按照专用合同条款的约定，承担违约责任。</w:t>
      </w:r>
    </w:p>
    <w:p>
      <w:r>
        <w:t>3.2.2 项目经理按合同约定组织工程实施。在紧急情况下</w:t>
      </w:r>
      <w:r>
        <w:rPr>
          <w:rFonts w:hint="eastAsia"/>
        </w:rPr>
        <w:t>为确保施工安全和人员安全</w:t>
      </w:r>
      <w:r>
        <w:t>，</w:t>
      </w:r>
      <w:r>
        <w:rPr>
          <w:rFonts w:hint="eastAsia"/>
        </w:rPr>
        <w:t>在</w:t>
      </w:r>
      <w:r>
        <w:t>无法与发包人代表和总监理工程师</w:t>
      </w:r>
      <w:r>
        <w:rPr>
          <w:rFonts w:hint="eastAsia"/>
        </w:rPr>
        <w:t>及时</w:t>
      </w:r>
      <w:r>
        <w:t>取得联系时，项目经理有权采取必要的措施保证与工程有关的人身、财产和工程的安全，但应在48小时内向发包人代表和总监理工程师提交书面报告。</w:t>
      </w:r>
    </w:p>
    <w:p>
      <w: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w:t>
      </w:r>
      <w:r>
        <w:rPr>
          <w:rFonts w:hint="eastAsia"/>
        </w:rPr>
        <w:t>继</w:t>
      </w:r>
      <w:r>
        <w:t>任项目经理继续履行第3.2.1项约定的职责。承包人无正当理由拒绝更换项目经理的，应按照专用合同条款的约定承担违约责任。</w:t>
      </w:r>
    </w:p>
    <w:p>
      <w:r>
        <w:t>3.2.5 项目经理因特殊情况授权其下属人员履行其某项工作职责的，该下属人员应具备履行相应职责的能力，并应提前7天将上述人员的姓名和授权范围书面通知监理人，并征得发包人书面同意。</w:t>
      </w:r>
    </w:p>
    <w:p>
      <w:bookmarkStart w:id="775" w:name="_Toc351203521"/>
      <w:r>
        <w:t>3</w:t>
      </w:r>
      <w:bookmarkStart w:id="776" w:name="_Toc296346549"/>
      <w:bookmarkStart w:id="777" w:name="_Toc296503048"/>
      <w:bookmarkStart w:id="778" w:name="_Toc337558749"/>
      <w:r>
        <w:t xml:space="preserve">.3 </w:t>
      </w:r>
      <w:bookmarkEnd w:id="776"/>
      <w:bookmarkEnd w:id="777"/>
      <w:r>
        <w:t>承包人人员</w:t>
      </w:r>
      <w:bookmarkEnd w:id="775"/>
    </w:p>
    <w:bookmarkEnd w:id="778"/>
    <w:p>
      <w: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w:t>
      </w:r>
      <w:r>
        <w:rPr>
          <w:rFonts w:hint="eastAsia"/>
        </w:rPr>
        <w:t>和</w:t>
      </w:r>
      <w:r>
        <w:t>缴纳社会保险的有效证明。</w:t>
      </w:r>
    </w:p>
    <w:p>
      <w:r>
        <w:t>3.3.2 承包人派驻到施工现场的主要施工管理人员应相对稳定。施工过程中</w:t>
      </w:r>
      <w:r>
        <w:rPr>
          <w:rFonts w:hint="eastAsia"/>
        </w:rPr>
        <w:t>如有变动</w:t>
      </w:r>
      <w:r>
        <w:t>，承包人应及时向监理人提交施工现场人员变动情况的报告。承包人更换主要施工管理人员时，应提前7天书面通知监理人，并征得发包人书面同意。通知中应当载明继任人员的注册执业资格、管理经验等资料。</w:t>
      </w:r>
    </w:p>
    <w:p>
      <w:r>
        <w:t>特殊工种作业人员均应持有相应的资格证明，监理人可以随时检查。</w:t>
      </w:r>
    </w:p>
    <w:p>
      <w:r>
        <w:t>3.3.3 发包人对于承包人主要施工管理人员</w:t>
      </w:r>
      <w:r>
        <w:rPr>
          <w:rFonts w:hint="eastAsia"/>
        </w:rPr>
        <w:t>的资格或能力</w:t>
      </w:r>
      <w:r>
        <w:t>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r>
        <w:t>3.3.5 承包人擅自更换主要施工管理人员，或前述人员未经监理人或发包人同意擅自离开施工现场的，应按照专用合同条款约定承担违约责任。</w:t>
      </w:r>
    </w:p>
    <w:p>
      <w:bookmarkStart w:id="779" w:name="_Toc351203522"/>
      <w:r>
        <w:t>3</w:t>
      </w:r>
      <w:bookmarkStart w:id="780" w:name="_Toc337558750"/>
      <w:bookmarkStart w:id="781" w:name="_Toc296346551"/>
      <w:bookmarkStart w:id="782" w:name="_Toc296503050"/>
      <w:r>
        <w:t>.4 承包人现场查勘</w:t>
      </w:r>
      <w:bookmarkEnd w:id="779"/>
    </w:p>
    <w:bookmarkEnd w:id="780"/>
    <w:bookmarkEnd w:id="781"/>
    <w:bookmarkEnd w:id="782"/>
    <w:p>
      <w:r>
        <w:t>承包人应对基于发包人按照第2.4.3项</w:t>
      </w:r>
      <w:r>
        <w:rPr>
          <w:rFonts w:hint="eastAsia"/>
        </w:rPr>
        <w:t>〔</w:t>
      </w:r>
      <w:r>
        <w:t>提供基础资料</w:t>
      </w:r>
      <w:r>
        <w:rPr>
          <w:rFonts w:hint="eastAsia"/>
        </w:rPr>
        <w:t>〕</w:t>
      </w:r>
      <w:r>
        <w:t>提交的基础资料所做出的解释和推断负责，但因基础资料存在错误、遗漏导致承包人解释或推断失实的，由发包人承担责任。</w:t>
      </w:r>
    </w:p>
    <w:p>
      <w: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bookmarkStart w:id="783" w:name="_Toc351203523"/>
      <w:r>
        <w:t>3</w:t>
      </w:r>
      <w:bookmarkStart w:id="784" w:name="_Toc337558751"/>
      <w:bookmarkStart w:id="785" w:name="_Toc296346552"/>
      <w:bookmarkStart w:id="786" w:name="_Toc296503051"/>
      <w:r>
        <w:t>.5 分包</w:t>
      </w:r>
      <w:bookmarkEnd w:id="783"/>
    </w:p>
    <w:bookmarkEnd w:id="784"/>
    <w:bookmarkEnd w:id="785"/>
    <w:bookmarkEnd w:id="786"/>
    <w:p>
      <w:r>
        <w:t>3.5.1 分包的一般约定</w:t>
      </w:r>
    </w:p>
    <w:p>
      <w: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r>
        <w:rPr>
          <w:rFonts w:hint="eastAsia"/>
        </w:rPr>
        <w:t>承包人不得以劳务分包的名义转包或违法分包工程。</w:t>
      </w:r>
    </w:p>
    <w:p>
      <w:r>
        <w:t>3.5.2 分包的确定</w:t>
      </w:r>
    </w:p>
    <w:p>
      <w:r>
        <w:t>承包人应按专用合同条款的约定进行分包，确定分包人。已标价工程量清单或预算书中给定暂估价的专业工程，按照第10.7款</w:t>
      </w:r>
      <w:r>
        <w:rPr>
          <w:rFonts w:hint="eastAsia"/>
        </w:rPr>
        <w:t>〔</w:t>
      </w:r>
      <w:r>
        <w:t>暂估价</w:t>
      </w:r>
      <w:r>
        <w:rPr>
          <w:rFonts w:hint="eastAsia"/>
        </w:rPr>
        <w:t>〕</w:t>
      </w:r>
      <w:r>
        <w:t>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r>
        <w:t>3.5.3 分包管理</w:t>
      </w:r>
    </w:p>
    <w:p>
      <w:r>
        <w:t>承包人应向监理人提交分包人的主要施工管理人员表，并对分包人的施工人员进行实名制管理，包括但不限于进出场管理、登记造册以及各种证照的办理。</w:t>
      </w:r>
    </w:p>
    <w:p>
      <w:r>
        <w:t>3.5.4 分包合同价款</w:t>
      </w:r>
    </w:p>
    <w:p>
      <w:r>
        <w:t>（1）除本项第（2）目约定的情况或专用合同条款另有约定外，分包合同价款由承包人与分包人结算，未经承包人同意，发包人不得向分包人支付分包工程价款；</w:t>
      </w:r>
    </w:p>
    <w:p>
      <w:r>
        <w:t>（2）生效法律文书要求发包人向分包人支付分包合同价款的，发包人有权从应付承包人工程款中扣除该部分款项。</w:t>
      </w:r>
    </w:p>
    <w:p>
      <w:r>
        <w:t>3.5.5 分包合同权益的转让</w:t>
      </w:r>
    </w:p>
    <w:p>
      <w: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787" w:name="_Toc351203524"/>
    </w:p>
    <w:p>
      <w:r>
        <w:t>3.6 工程照管与成品、半成品保护</w:t>
      </w:r>
      <w:bookmarkEnd w:id="787"/>
    </w:p>
    <w:p>
      <w:r>
        <w:t>（1）除专用合同条款另有约定外，自发包人向承包人移交施工现场之日起，承包人应负责照管工程及工程相关的材料、工程设备，直到颁发工程接收证书之日止。</w:t>
      </w:r>
    </w:p>
    <w:p>
      <w:r>
        <w:t>（</w:t>
      </w:r>
      <w:r>
        <w:rPr>
          <w:rFonts w:hint="eastAsia"/>
        </w:rPr>
        <w:t>2</w:t>
      </w:r>
      <w:r>
        <w:t>）在承包人负责照管期间，因承包人原因造成工程、材料、工程设备损坏的，由承包人负责修复或更换，并承担由此增加的费用和（或）延误的工期。</w:t>
      </w:r>
    </w:p>
    <w:p>
      <w:r>
        <w:t>（</w:t>
      </w:r>
      <w:r>
        <w:rPr>
          <w:rFonts w:hint="eastAsia"/>
        </w:rPr>
        <w:t>3</w:t>
      </w:r>
      <w:r>
        <w:t>）对合同内分期完成的成品和半成品，在工程接收证书颁发前，由承包人承担保护责任。因承包人原因造成成品或半成品损坏的，由承包人负责修复或更换，并承担由此增加的费用和（或）延误的工期。</w:t>
      </w:r>
    </w:p>
    <w:p>
      <w:bookmarkStart w:id="788" w:name="_Toc351203525"/>
      <w:r>
        <w:t>3</w:t>
      </w:r>
      <w:bookmarkStart w:id="789" w:name="_Toc296503052"/>
      <w:bookmarkStart w:id="790" w:name="_Toc337558752"/>
      <w:bookmarkStart w:id="791" w:name="_Toc296346553"/>
      <w:r>
        <w:t>.7 履约担保</w:t>
      </w:r>
      <w:bookmarkEnd w:id="788"/>
    </w:p>
    <w:bookmarkEnd w:id="789"/>
    <w:bookmarkEnd w:id="790"/>
    <w:bookmarkEnd w:id="791"/>
    <w:p>
      <w:r>
        <w:rPr>
          <w:rFonts w:hint="eastAsia"/>
        </w:rPr>
        <w:t>发包人需要承包人提供履约担保的，由合同当事人在专用合同条款中约定履约担保的方式、金额及期限等。</w:t>
      </w:r>
      <w:r>
        <w:t>履约担保可以采用银行保函或担保公司担保等形式，具体由合同当事人在专用合同条款中约定。</w:t>
      </w:r>
    </w:p>
    <w:p>
      <w:r>
        <w:t>因承包人原因导致工期延长的，继续提供履约担保所增加的费用由承包人承担；非因承包人原因导致工期延长的，继续提供履约担保所增加的费用由发包人承担。</w:t>
      </w:r>
    </w:p>
    <w:p>
      <w:bookmarkStart w:id="792" w:name="_Toc351203526"/>
      <w:r>
        <w:t>3.8 联合体</w:t>
      </w:r>
      <w:bookmarkEnd w:id="792"/>
    </w:p>
    <w:p>
      <w:r>
        <w:t>3.8.1 联合体各方应共同与发包人签订合同协议书。联合体各方应为履行合同</w:t>
      </w:r>
      <w:r>
        <w:rPr>
          <w:rFonts w:hint="eastAsia"/>
        </w:rPr>
        <w:t>向发包人</w:t>
      </w:r>
      <w:r>
        <w:t>承担连带责任。</w:t>
      </w:r>
    </w:p>
    <w:p>
      <w:r>
        <w:t>3.8.2 联合体协议经发包人确认后作为合同附件。在履行合同过程中，未经发包人同意，不得修改联合体协议。</w:t>
      </w:r>
    </w:p>
    <w:p>
      <w:r>
        <w:t>3.8.3 联合体牵头人负责与发包人和监理人联系，并接受指示，负责组织联合体各成员全面履行合同。</w:t>
      </w:r>
    </w:p>
    <w:p>
      <w:bookmarkStart w:id="793" w:name="_Toc351203527"/>
      <w:r>
        <w:t>4</w:t>
      </w:r>
      <w:bookmarkStart w:id="794" w:name="_Toc296346554"/>
      <w:bookmarkStart w:id="795" w:name="_Toc296503053"/>
      <w:bookmarkStart w:id="796" w:name="_Toc337558753"/>
      <w:r>
        <w:t>. 监</w:t>
      </w:r>
      <w:bookmarkEnd w:id="794"/>
      <w:bookmarkEnd w:id="795"/>
      <w:r>
        <w:t>理人</w:t>
      </w:r>
      <w:bookmarkEnd w:id="793"/>
    </w:p>
    <w:bookmarkEnd w:id="796"/>
    <w:p>
      <w:bookmarkStart w:id="797" w:name="_Toc351203528"/>
      <w:r>
        <w:t>4</w:t>
      </w:r>
      <w:bookmarkStart w:id="798" w:name="_Toc296346555"/>
      <w:bookmarkStart w:id="799" w:name="_Toc337558754"/>
      <w:bookmarkStart w:id="800" w:name="_Toc296503054"/>
      <w:r>
        <w:t>.1监理人的一般规定</w:t>
      </w:r>
      <w:bookmarkEnd w:id="797"/>
    </w:p>
    <w:bookmarkEnd w:id="798"/>
    <w:bookmarkEnd w:id="799"/>
    <w:bookmarkEnd w:id="800"/>
    <w:p>
      <w: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r>
        <w:t>除专用合同条款另有约定外，监理人在施工现场的办公场所、生活场所由承包人提供，所发生的费用由发包人承担。</w:t>
      </w:r>
    </w:p>
    <w:p>
      <w:bookmarkStart w:id="801" w:name="_Toc351203529"/>
      <w:r>
        <w:t>4</w:t>
      </w:r>
      <w:bookmarkStart w:id="802" w:name="_Toc337558755"/>
      <w:r>
        <w:t>.2监理人员</w:t>
      </w:r>
      <w:bookmarkEnd w:id="801"/>
    </w:p>
    <w:bookmarkEnd w:id="802"/>
    <w:p>
      <w: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bookmarkStart w:id="803" w:name="_Toc351203530"/>
      <w:r>
        <w:t>4</w:t>
      </w:r>
      <w:bookmarkStart w:id="804" w:name="_Toc296346556"/>
      <w:bookmarkStart w:id="805" w:name="_Toc296503055"/>
      <w:bookmarkStart w:id="806" w:name="_Toc337558756"/>
      <w:r>
        <w:t>.3</w:t>
      </w:r>
      <w:bookmarkEnd w:id="804"/>
      <w:bookmarkEnd w:id="805"/>
      <w:r>
        <w:t>监理人的指</w:t>
      </w:r>
      <w:bookmarkEnd w:id="806"/>
      <w:r>
        <w:t>示</w:t>
      </w:r>
      <w:bookmarkEnd w:id="803"/>
    </w:p>
    <w:p>
      <w: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r>
        <w:t>监理人发出的指示应送达承包人项目经理或经项目经理授权接收的人员。因监理人未能按合同约定发出指示、指示延误或发出了错误指示而导致承包人费用增加和（或）工期延误的，由发包人承担</w:t>
      </w:r>
      <w:r>
        <w:rPr>
          <w:rFonts w:hint="eastAsia"/>
        </w:rPr>
        <w:t>相应</w:t>
      </w:r>
      <w:r>
        <w:t>责任。除专用合同条款另有约定外，总监理工程师不应将第4.4款</w:t>
      </w:r>
      <w:r>
        <w:rPr>
          <w:rFonts w:hint="eastAsia"/>
        </w:rPr>
        <w:t>〔</w:t>
      </w:r>
      <w:r>
        <w:t>商定或确定</w:t>
      </w:r>
      <w:r>
        <w:rPr>
          <w:rFonts w:hint="eastAsia"/>
        </w:rPr>
        <w:t>〕</w:t>
      </w:r>
      <w:r>
        <w:t>约定应由总监理工程师作出确定的权力授权或委托给其他监理人员。</w:t>
      </w:r>
    </w:p>
    <w:p>
      <w:r>
        <w:t>承包人对监理人发出的指示有疑问的，应向监理人提出书面异议，监理人应在48小时内对该指示予以确认、更改或撤销，监理人逾期未回复的，承包人有权拒绝执行上述指示。</w:t>
      </w:r>
    </w:p>
    <w:p>
      <w:r>
        <w:t>监理人对承包人的任何工作、工程或其采用的材料和工程设备未在约定的或合理期限内提出意见的，视为批准，但不免除或减轻承包人对该工作、工程、材料、工程设备等应承担的责任和义务。</w:t>
      </w:r>
    </w:p>
    <w:p>
      <w:bookmarkStart w:id="807" w:name="_Toc351203531"/>
      <w:r>
        <w:t>4</w:t>
      </w:r>
      <w:bookmarkStart w:id="808" w:name="_Toc337558757"/>
      <w:bookmarkStart w:id="809" w:name="_Toc296503057"/>
      <w:bookmarkStart w:id="810" w:name="_Toc296346558"/>
      <w:r>
        <w:t>.4 商定或确定</w:t>
      </w:r>
      <w:bookmarkEnd w:id="807"/>
    </w:p>
    <w:bookmarkEnd w:id="808"/>
    <w:bookmarkEnd w:id="809"/>
    <w:bookmarkEnd w:id="810"/>
    <w:p>
      <w:r>
        <w:t>合同</w:t>
      </w:r>
      <w:r>
        <w:rPr>
          <w:rFonts w:hint="eastAsia"/>
        </w:rPr>
        <w:t>当事人</w:t>
      </w:r>
      <w:r>
        <w:t>进行</w:t>
      </w:r>
      <w:r>
        <w:rPr>
          <w:rFonts w:hint="eastAsia"/>
        </w:rPr>
        <w:t>商定</w:t>
      </w:r>
      <w:r>
        <w:t>或确定时，总监理工程师应当会同合同当事人尽量通过协商达成一致，不能达成一致的，由总监理工程师按照合同约定审慎做出公正的确定。</w:t>
      </w:r>
    </w:p>
    <w:p>
      <w:r>
        <w:t>总监理工程师应将确定以书面形式通知发包人和承包人，并附详细依据。合同当事人对总监理工程师的确定没有异议的，按照总监理工程师的确定执行。任何一方合同当事人有异议，按照第20条</w:t>
      </w:r>
      <w:r>
        <w:rPr>
          <w:rFonts w:hint="eastAsia"/>
        </w:rPr>
        <w:t>〔</w:t>
      </w:r>
      <w:r>
        <w:t>争议解决</w:t>
      </w:r>
      <w:r>
        <w:rPr>
          <w:rFonts w:hint="eastAsia"/>
        </w:rPr>
        <w:t>〕</w:t>
      </w:r>
      <w:r>
        <w:t>约定处理。争议解决前，合同当事人暂按总监理工程师的确定执行；争议解决后，争议解决的结果与总监理工程师的确定不一致的，按照争议解决的结果执行，由此造成的损失由责任人承担。</w:t>
      </w:r>
    </w:p>
    <w:p>
      <w:bookmarkStart w:id="811" w:name="_Toc351203532"/>
      <w:r>
        <w:t>5</w:t>
      </w:r>
      <w:bookmarkStart w:id="812" w:name="_Toc337558758"/>
      <w:r>
        <w:t>. 工程质量</w:t>
      </w:r>
      <w:bookmarkEnd w:id="811"/>
    </w:p>
    <w:bookmarkEnd w:id="812"/>
    <w:p>
      <w:bookmarkStart w:id="813" w:name="_Toc351203533"/>
      <w:r>
        <w:t>5</w:t>
      </w:r>
      <w:bookmarkStart w:id="814" w:name="_Toc337558759"/>
      <w:r>
        <w:t>.1质量要求</w:t>
      </w:r>
      <w:bookmarkEnd w:id="813"/>
    </w:p>
    <w:bookmarkEnd w:id="814"/>
    <w:p>
      <w:r>
        <w:t>5.1.1 工程质量标准必须符合现行国家有关工程施工质量验收规范和标准的要求。有关工程质量的特殊标准或要求由合同当事人在专用合同条款中约定。</w:t>
      </w:r>
    </w:p>
    <w:p>
      <w:r>
        <w:t>5.1.2 因发包人原因造成工程质量未达到合同约定标准的，由发包人承担由此增加的费用和（或）延误的工期，并支付承包人合理的利润。</w:t>
      </w:r>
    </w:p>
    <w:p>
      <w:r>
        <w:t>5.1.3 因承包人原因造成工程质量未达到合同约定标准的，发包人有权要求承包人返工直至工程质量达到合同约定的标准为止，并由承包人承担由此增加的费用和（或）延误的工期。</w:t>
      </w:r>
    </w:p>
    <w:p>
      <w:bookmarkStart w:id="815" w:name="_Toc351203534"/>
      <w:r>
        <w:t>5</w:t>
      </w:r>
      <w:bookmarkStart w:id="816" w:name="_Toc337558760"/>
      <w:r>
        <w:t>.2质量保证措施</w:t>
      </w:r>
      <w:bookmarkEnd w:id="815"/>
    </w:p>
    <w:bookmarkEnd w:id="816"/>
    <w:p>
      <w:bookmarkStart w:id="817" w:name="_Toc3900423"/>
      <w:r>
        <w:t>5.2.1 发包人的质量管理</w:t>
      </w:r>
      <w:bookmarkEnd w:id="817"/>
    </w:p>
    <w:p>
      <w:r>
        <w:t>发包人应按照法律规定及合同约定完成与工程质量有关的各项工作。</w:t>
      </w:r>
    </w:p>
    <w:p>
      <w:r>
        <w:t>5.2.2 承包人的质量管理</w:t>
      </w:r>
    </w:p>
    <w:p>
      <w:r>
        <w:t>承包人按照第7.1款</w:t>
      </w:r>
      <w:r>
        <w:rPr>
          <w:rFonts w:hint="eastAsia"/>
        </w:rPr>
        <w:t>〔</w:t>
      </w:r>
      <w:r>
        <w:t>施工组织设计</w:t>
      </w:r>
      <w:r>
        <w:rPr>
          <w:rFonts w:hint="eastAsia"/>
        </w:rPr>
        <w:t>〕</w:t>
      </w:r>
      <w:r>
        <w:t>约定向发包人和监理人提交工程质量保证体系及措施文件，建立完善的质量检查制度，并提交相应的工程质量文件。对于发包人和监理人违反法律规定和合同约定的错误指示，承包人有权拒绝实施。</w:t>
      </w:r>
    </w:p>
    <w:p>
      <w:r>
        <w:t>承包人应对施工人员进行质量教育和技术培训，定期考核施工人员的劳动技能，严格执行施工规范和操作规程。</w:t>
      </w:r>
    </w:p>
    <w:p>
      <w: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bookmarkStart w:id="818" w:name="_Toc3900424"/>
      <w:r>
        <w:t>5.2.3 监理人的质量检查和检验</w:t>
      </w:r>
      <w:bookmarkEnd w:id="818"/>
    </w:p>
    <w:p>
      <w: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bookmarkStart w:id="819" w:name="_Toc351203535"/>
      <w:r>
        <w:t>5</w:t>
      </w:r>
      <w:bookmarkStart w:id="820" w:name="_Toc337558761"/>
      <w:r>
        <w:t>.3 隐蔽工程检查</w:t>
      </w:r>
      <w:bookmarkEnd w:id="819"/>
    </w:p>
    <w:bookmarkEnd w:id="820"/>
    <w:p>
      <w:r>
        <w:t>5.3.1承包人自检</w:t>
      </w:r>
    </w:p>
    <w:p>
      <w:r>
        <w:t>承包人应当对工程隐蔽部位进行自检，并经自检确认是否具备覆盖条件。</w:t>
      </w:r>
    </w:p>
    <w:p>
      <w:r>
        <w:t>5.3.2检查程序</w:t>
      </w:r>
    </w:p>
    <w:p>
      <w:r>
        <w:t>除专用合同条款另有约定外，工程隐蔽部位经承包人自检确认具备覆盖条件的，承包人应在</w:t>
      </w:r>
      <w:r>
        <w:rPr>
          <w:rFonts w:hint="eastAsia"/>
        </w:rPr>
        <w:t>共同</w:t>
      </w:r>
      <w:r>
        <w:t>检查前48小时书面通知监理人检查，通知中应载明隐蔽检查的内容、时间和地点，并应附有自检记录和必要的检查资料。</w:t>
      </w:r>
    </w:p>
    <w:p>
      <w: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w:t>
      </w:r>
      <w:r>
        <w:rPr>
          <w:rFonts w:hint="eastAsia"/>
        </w:rPr>
        <w:t>〔</w:t>
      </w:r>
      <w:r>
        <w:t>重新检查</w:t>
      </w:r>
      <w:r>
        <w:rPr>
          <w:rFonts w:hint="eastAsia"/>
        </w:rPr>
        <w:t>〕</w:t>
      </w:r>
      <w:r>
        <w:t>的约定重新检查。</w:t>
      </w:r>
    </w:p>
    <w:p>
      <w:r>
        <w:t>5.3.3 重新检查</w:t>
      </w:r>
    </w:p>
    <w:p>
      <w: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r>
        <w:t>5.3.4 承包人私自覆盖</w:t>
      </w:r>
    </w:p>
    <w:p>
      <w:r>
        <w:t>承包人未通知监理人到场检查，私自将工程隐蔽部位覆盖的，监理人有权指示承包人钻孔探测或揭开检查，无论工程隐蔽部位质量是否合格，由此增加的费用和（或）延误的工期均由承包人承担。</w:t>
      </w:r>
    </w:p>
    <w:p>
      <w:bookmarkStart w:id="821" w:name="_Toc351203536"/>
      <w:r>
        <w:t>5</w:t>
      </w:r>
      <w:bookmarkStart w:id="822" w:name="_Toc337558762"/>
      <w:r>
        <w:t>.4不合格工程的处理</w:t>
      </w:r>
      <w:bookmarkEnd w:id="821"/>
    </w:p>
    <w:bookmarkEnd w:id="822"/>
    <w:p>
      <w:r>
        <w:t>5.4.1 因承包人原因造成工程不合格的，发包人有权随时要求承包人采取补救措施，直至达到合同要求的质量标准，由此增加的费用和（或）延误的工期由承包人承担。无法补救的，按照第13.2.4项</w:t>
      </w:r>
      <w:r>
        <w:rPr>
          <w:rFonts w:hint="eastAsia"/>
        </w:rPr>
        <w:t>〔</w:t>
      </w:r>
      <w:r>
        <w:t>拒绝接收全部或部分工程</w:t>
      </w:r>
      <w:r>
        <w:rPr>
          <w:rFonts w:hint="eastAsia"/>
        </w:rPr>
        <w:t>〕</w:t>
      </w:r>
      <w:r>
        <w:t xml:space="preserve">约定执行。 </w:t>
      </w:r>
    </w:p>
    <w:p>
      <w:r>
        <w:t>5.4.2 因发包人原因造成工程不合格的，由此增加的费用和（或）延误的工期由发包人承担，并支付承包人合理的利润。</w:t>
      </w:r>
    </w:p>
    <w:p>
      <w:bookmarkStart w:id="823" w:name="_Toc351203537"/>
      <w:r>
        <w:t>5.5 质量争议检测</w:t>
      </w:r>
      <w:bookmarkEnd w:id="823"/>
    </w:p>
    <w:p>
      <w:r>
        <w:t>合同当事人对工程质量有争议的，由双方协商确定的工程质量检测机构鉴定，由此产生的费用及因此造成的损失，由责任方承担。</w:t>
      </w:r>
    </w:p>
    <w:p>
      <w:r>
        <w:t>合同当事人均有责任的，由双方根据其责任分别承担。合同当事人无法达成一致的，按照第4.4款</w:t>
      </w:r>
      <w:r>
        <w:rPr>
          <w:rFonts w:hint="eastAsia"/>
        </w:rPr>
        <w:t>〔</w:t>
      </w:r>
      <w:r>
        <w:t>商定或确定</w:t>
      </w:r>
      <w:r>
        <w:rPr>
          <w:rFonts w:hint="eastAsia"/>
        </w:rPr>
        <w:t>〕</w:t>
      </w:r>
      <w:r>
        <w:t>执行。</w:t>
      </w:r>
    </w:p>
    <w:p>
      <w:bookmarkStart w:id="824" w:name="_Toc351203538"/>
      <w:r>
        <w:t>6</w:t>
      </w:r>
      <w:bookmarkStart w:id="825" w:name="_Toc337558763"/>
      <w:r>
        <w:t>. 安全生产标准化与环境保护</w:t>
      </w:r>
      <w:bookmarkEnd w:id="824"/>
    </w:p>
    <w:bookmarkEnd w:id="825"/>
    <w:p>
      <w:bookmarkStart w:id="826" w:name="_Toc351203539"/>
      <w:r>
        <w:t>6</w:t>
      </w:r>
      <w:bookmarkStart w:id="827" w:name="_Toc337558764"/>
      <w:r>
        <w:t>.1安全生产标准化</w:t>
      </w:r>
      <w:bookmarkEnd w:id="826"/>
    </w:p>
    <w:bookmarkEnd w:id="827"/>
    <w:p>
      <w:r>
        <w:t>6.1.1安全生产要求</w:t>
      </w:r>
    </w:p>
    <w:p>
      <w: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r>
        <w:t>在施工过程中，如遇到突发的地质变动、事先未知的地下施工障碍等影响施工安全的紧急情况，</w:t>
      </w:r>
      <w:r>
        <w:rPr>
          <w:rFonts w:hint="eastAsia"/>
        </w:rPr>
        <w:t>承包人应及时报告监理人和发包人，</w:t>
      </w:r>
      <w:r>
        <w:t>发包人应当及时下令停工并报政府有关行政管理部门采取应急措施。</w:t>
      </w:r>
    </w:p>
    <w:p>
      <w:r>
        <w:t>因安全生产需要暂停施工的，按照第7.8款</w:t>
      </w:r>
      <w:r>
        <w:rPr>
          <w:rFonts w:hint="eastAsia"/>
        </w:rPr>
        <w:t>〔</w:t>
      </w:r>
      <w:r>
        <w:t>暂停施工</w:t>
      </w:r>
      <w:r>
        <w:rPr>
          <w:rFonts w:hint="eastAsia"/>
        </w:rPr>
        <w:t>〕</w:t>
      </w:r>
      <w:r>
        <w:t>的约定执行。</w:t>
      </w:r>
    </w:p>
    <w:p>
      <w:r>
        <w:t>6.1.2 安全生产保证措施</w:t>
      </w:r>
    </w:p>
    <w:p>
      <w:r>
        <w:t>承包人应当按照有关规定编制安全技术措施或者专项施工方案，建立安全生产责任制度、治安保卫制度及安全生产教育培训制度，并按安全生产法律规定及合同约定履行安全职责，</w:t>
      </w:r>
      <w:r>
        <w:rPr>
          <w:rFonts w:hint="eastAsia"/>
        </w:rPr>
        <w:t>如实</w:t>
      </w:r>
      <w:r>
        <w:t>编制工程安全生产的有关记录，接受发包人、监理人及政府安全监督部门的检查与监督。</w:t>
      </w:r>
    </w:p>
    <w:p>
      <w:r>
        <w:t>6.1.3特别安全生产事项</w:t>
      </w:r>
    </w:p>
    <w:p>
      <w: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r>
        <w:t xml:space="preserve">承包人在动力设备、输电线路、地下管道、密封防震车间、易燃易爆地段以及临街交通要道附近施工时，施工开始前应向发包人和监理人提出安全防护措施，经发包人认可后实施。 </w:t>
      </w:r>
    </w:p>
    <w:p>
      <w:r>
        <w:t>实施爆破作业，在放射、毒害性环境中施工（含储存、运输、使用）及使用毒害性、腐蚀性物品施工时，承包人应在施工前7天以书面通知发包人和监理人，并报送相应的安全防护措施，经发包人认可后实施。</w:t>
      </w:r>
    </w:p>
    <w:p>
      <w:r>
        <w:t>需单独编制危险性较大分部分项专项工程施工方案的，及要求进行专家论证的超过一定规模的危险性较大的分部分项工程，承包人应及时编制和组织论证。</w:t>
      </w:r>
    </w:p>
    <w:p>
      <w:r>
        <w:t>6.1.4 治安保卫</w:t>
      </w:r>
    </w:p>
    <w:p>
      <w:r>
        <w:t>除专用合同条款另有约定外，发包人应与当地公安部门协商，在现场建立治安管理机构或联防组织，统一管理施工场地的治安保卫事项，履行合同工程的治安保卫职责。</w:t>
      </w:r>
    </w:p>
    <w:p>
      <w:r>
        <w:t>发包人和承包人除应协助现场治安管理机构或联防组织维护施工场地的社会治安外，还应做好包括生活区在内的各自管辖区的治安保卫工作。</w:t>
      </w:r>
    </w:p>
    <w:p>
      <w: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w:t>
      </w:r>
      <w:r>
        <w:rPr>
          <w:rFonts w:hint="eastAsia"/>
        </w:rPr>
        <w:t>和</w:t>
      </w:r>
      <w:r>
        <w:t>财产损失。</w:t>
      </w:r>
    </w:p>
    <w:p>
      <w:r>
        <w:t>6.1.5 文明施工</w:t>
      </w:r>
    </w:p>
    <w:p>
      <w:r>
        <w:t>承包人在工程施工期间，应当采取措施保持施工现场平整，物料堆放整齐。工程所在地有关政府行政管理部门有特殊要求的，按照其要求执行。</w:t>
      </w:r>
      <w:r>
        <w:rPr>
          <w:rFonts w:hint="eastAsia"/>
        </w:rPr>
        <w:t>合同当事人对文明施工有其他要求的，可以在专用合同条款中明确。</w:t>
      </w:r>
    </w:p>
    <w:p>
      <w: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r>
        <w:t>6.1.6 安全生产标准化措施费</w:t>
      </w:r>
    </w:p>
    <w:p>
      <w:r>
        <w:t>安全生产标准化措施费由发包人承担，发包人不得以任何形式扣减该部分费用。因基准日期后合同所适用的法律或政府有关规定发生变化，增加的安全生产标准化措施费由发包人承担。</w:t>
      </w:r>
    </w:p>
    <w:p>
      <w: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r>
        <w:t>除专用合同条款另有约定外，发包人应在开工后28天内预付安全生产标准化措施费总额的50%，其余部分与进度款同期支付。发包人逾期支付安全生产标准化措施费超过7天的，承包人有权向发包人发出要求预付的催告通知，发包人收到通知后7天内仍未支付的，承包人有权暂停施工，并按第16.1.1项</w:t>
      </w:r>
      <w:r>
        <w:rPr>
          <w:rFonts w:hint="eastAsia"/>
        </w:rPr>
        <w:t>〔</w:t>
      </w:r>
      <w:r>
        <w:t>发包人违约的情形</w:t>
      </w:r>
      <w:r>
        <w:rPr>
          <w:rFonts w:hint="eastAsia"/>
        </w:rPr>
        <w:t>〕</w:t>
      </w:r>
      <w:r>
        <w:t>执行。</w:t>
      </w:r>
    </w:p>
    <w:p>
      <w:r>
        <w:t>承包人对安全生产标准化措施费应专款专用，承包人应在财务账目中单独列项备查，不得挪作他用，否则发包人有权责令其限期改正；逾期未改正的，可以责令其暂停施工，由此增加的费用和（或）延误的工期由承包人承担。</w:t>
      </w:r>
    </w:p>
    <w:p>
      <w:r>
        <w:t>6.1.7 紧急情况</w:t>
      </w:r>
      <w:r>
        <w:rPr>
          <w:rFonts w:hint="eastAsia"/>
        </w:rPr>
        <w:t>处理</w:t>
      </w:r>
    </w:p>
    <w:p>
      <w: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r>
        <w:t>6.1.8 事故处理</w:t>
      </w:r>
    </w:p>
    <w:p>
      <w: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r>
        <w:t>6.1.9 安全生产责任</w:t>
      </w:r>
    </w:p>
    <w:p>
      <w:r>
        <w:t>6.1.9.1 发包人的安全责任</w:t>
      </w:r>
    </w:p>
    <w:p>
      <w:r>
        <w:t>发包人应负责赔偿以下各种情况造成</w:t>
      </w:r>
      <w:r>
        <w:rPr>
          <w:rFonts w:hint="eastAsia"/>
        </w:rPr>
        <w:t>的</w:t>
      </w:r>
      <w:r>
        <w:t>损失：</w:t>
      </w:r>
    </w:p>
    <w:p>
      <w:r>
        <w:t>（1）工程或工程的任何部分对土地的占用所造成的第三者财产损失；</w:t>
      </w:r>
    </w:p>
    <w:p>
      <w:r>
        <w:t>（2）由于发包人原因在施工场地及其毗邻地带造成的第三者人身伤亡和财产损失</w:t>
      </w:r>
      <w:r>
        <w:rPr>
          <w:rFonts w:hint="eastAsia"/>
        </w:rPr>
        <w:t>；</w:t>
      </w:r>
    </w:p>
    <w:p>
      <w:r>
        <w:rPr>
          <w:rFonts w:hint="eastAsia"/>
        </w:rPr>
        <w:t>（3）由于发包人原因对承包人、监理人造成的人员人身伤亡和财产损失；</w:t>
      </w:r>
    </w:p>
    <w:p>
      <w:r>
        <w:rPr>
          <w:rFonts w:hint="eastAsia"/>
        </w:rPr>
        <w:t>（4）由于发包人原因造成的发包人自身人员的人身伤害以及财产损失。</w:t>
      </w:r>
    </w:p>
    <w:p>
      <w:r>
        <w:t>6.1.9.2 承包人的安全责任</w:t>
      </w:r>
    </w:p>
    <w:p>
      <w:r>
        <w:t>由于承包人原因在施工场地内及其毗邻地带造成的</w:t>
      </w:r>
      <w:r>
        <w:rPr>
          <w:rFonts w:hint="eastAsia"/>
        </w:rPr>
        <w:t>发包人、监理人以及</w:t>
      </w:r>
      <w:r>
        <w:t>第三者人员伤亡和财产损失，由承包人负责赔偿。</w:t>
      </w:r>
    </w:p>
    <w:p>
      <w:bookmarkStart w:id="828" w:name="_Toc351203540"/>
      <w:r>
        <w:t>6</w:t>
      </w:r>
      <w:bookmarkStart w:id="829" w:name="_Toc337558765"/>
      <w:r>
        <w:t>.2 职业健康</w:t>
      </w:r>
      <w:bookmarkEnd w:id="828"/>
    </w:p>
    <w:bookmarkEnd w:id="829"/>
    <w:p>
      <w:r>
        <w:t>6.2.1 劳动保护</w:t>
      </w:r>
    </w:p>
    <w:p>
      <w: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r>
        <w:t>承包人应按</w:t>
      </w:r>
      <w:r>
        <w:rPr>
          <w:rFonts w:hint="eastAsia"/>
        </w:rPr>
        <w:t>法律</w:t>
      </w:r>
      <w:r>
        <w:t>规定安排工作时间，保证其雇佣人员享有休息和休假的权利。因工程施工的特殊需要占用休假日或延长工作时间的，应不超过法律规定的限度，并按法律规定给予补休或付酬。</w:t>
      </w:r>
    </w:p>
    <w:p>
      <w:r>
        <w:t>6.2.2 生活条件</w:t>
      </w:r>
    </w:p>
    <w:p>
      <w: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bookmarkStart w:id="830" w:name="_Toc351203541"/>
      <w:r>
        <w:t>6</w:t>
      </w:r>
      <w:bookmarkStart w:id="831" w:name="_Toc337558766"/>
      <w:r>
        <w:t>.3 环境保护</w:t>
      </w:r>
      <w:bookmarkEnd w:id="830"/>
    </w:p>
    <w:bookmarkEnd w:id="831"/>
    <w:p>
      <w:r>
        <w:t>承包人应在施工组织设计中列明环境保护的具体措施。在合同履行期间，承包人应采取合理措施保护施工现场环境。对施工作业过程中可能引起的大气、水、噪音以及固体废物污染采取具体可行的防范措施。</w:t>
      </w:r>
    </w:p>
    <w:p>
      <w:r>
        <w:t>承包人应当承担因其原因引起的环境污染侵权损害赔偿责任，因上述环境污染引起纠纷而导致暂停施工的，由此增加的费用和（或）延误的工期由承包人承担。</w:t>
      </w:r>
    </w:p>
    <w:p>
      <w:bookmarkStart w:id="832" w:name="_Toc351203542"/>
      <w:r>
        <w:t>7</w:t>
      </w:r>
      <w:bookmarkStart w:id="833" w:name="_Toc337558767"/>
      <w:r>
        <w:t>. 工期和进度</w:t>
      </w:r>
      <w:bookmarkEnd w:id="832"/>
    </w:p>
    <w:bookmarkEnd w:id="833"/>
    <w:p>
      <w:bookmarkStart w:id="834" w:name="_Toc351203543"/>
      <w:r>
        <w:t>7</w:t>
      </w:r>
      <w:bookmarkStart w:id="835" w:name="_Toc337558768"/>
      <w:bookmarkStart w:id="836" w:name="_Toc296346567"/>
      <w:bookmarkStart w:id="837" w:name="_Toc296503066"/>
      <w:r>
        <w:t>.1施工组织设计</w:t>
      </w:r>
      <w:bookmarkEnd w:id="834"/>
    </w:p>
    <w:bookmarkEnd w:id="835"/>
    <w:p>
      <w:r>
        <w:t>7.1.1 施工组织设计的内容</w:t>
      </w:r>
    </w:p>
    <w:p>
      <w:r>
        <w:t>施工组织设计应包含以下内容：</w:t>
      </w:r>
    </w:p>
    <w:p>
      <w:r>
        <w:t xml:space="preserve">（1）施工方案； </w:t>
      </w:r>
    </w:p>
    <w:p>
      <w:r>
        <w:t>（2）施工现场平面布置图；</w:t>
      </w:r>
    </w:p>
    <w:p>
      <w:r>
        <w:t xml:space="preserve">（3）施工进度计划和保证措施； </w:t>
      </w:r>
    </w:p>
    <w:p>
      <w:r>
        <w:t>（4）劳动力及材料供应计划；</w:t>
      </w:r>
    </w:p>
    <w:p>
      <w:r>
        <w:t>（5）施工机械设备的选用；</w:t>
      </w:r>
    </w:p>
    <w:p>
      <w:r>
        <w:t>（6）质量保证体系及措施；</w:t>
      </w:r>
    </w:p>
    <w:p>
      <w:r>
        <w:t>（7）安全生产、文明施工措施；</w:t>
      </w:r>
    </w:p>
    <w:p>
      <w:r>
        <w:t>（8）环境保护、成本控制措施</w:t>
      </w:r>
      <w:r>
        <w:rPr>
          <w:rFonts w:hint="eastAsia"/>
        </w:rPr>
        <w:t>；</w:t>
      </w:r>
    </w:p>
    <w:p>
      <w:r>
        <w:rPr>
          <w:rFonts w:hint="eastAsia"/>
        </w:rPr>
        <w:t>（9）合同当事人约定的其他内容</w:t>
      </w:r>
      <w:r>
        <w:t>。</w:t>
      </w:r>
    </w:p>
    <w:p>
      <w:r>
        <w:t>7.1.2 施工组织设计的提交和修改</w:t>
      </w:r>
    </w:p>
    <w:p>
      <w:r>
        <w:t>除专用合同条款另有约定外，承包人应在合同签订后14天内，但至迟不得晚于第7.3.2项</w:t>
      </w:r>
      <w:r>
        <w:rPr>
          <w:rFonts w:hint="eastAsia"/>
        </w:rPr>
        <w:t>〔</w:t>
      </w:r>
      <w:r>
        <w:t>开工通知</w:t>
      </w:r>
      <w:r>
        <w:rPr>
          <w:rFonts w:hint="eastAsia"/>
        </w:rPr>
        <w:t>〕</w:t>
      </w:r>
      <w:r>
        <w:t>载明的开工日期前7天，向监理人提交详细的施工组织设计，并由监理人报送发包人。</w:t>
      </w:r>
      <w:r>
        <w:rPr>
          <w:rFonts w:hint="eastAsia"/>
        </w:rPr>
        <w:t>除专用合同条款另有约定外，发包人和监理人应在监理人收到施工组织设计后7天内确认或提出修改意见</w:t>
      </w:r>
      <w:r>
        <w:t>。对发包人和监理人提出的合理意见和要求，承包人应自费修改完善。根据工程实际情况需要修改施工组织设计的，承包人应向发包人和监理人提交修改后的施工组织设计。</w:t>
      </w:r>
    </w:p>
    <w:p>
      <w:r>
        <w:t>施工进度计划的编制和修改按照第7.2款</w:t>
      </w:r>
      <w:r>
        <w:rPr>
          <w:rFonts w:hint="eastAsia"/>
        </w:rPr>
        <w:t>〔</w:t>
      </w:r>
      <w:r>
        <w:t>施工进度计划</w:t>
      </w:r>
      <w:r>
        <w:rPr>
          <w:rFonts w:hint="eastAsia"/>
        </w:rPr>
        <w:t>〕</w:t>
      </w:r>
      <w:r>
        <w:t>执行。</w:t>
      </w:r>
    </w:p>
    <w:p>
      <w:bookmarkStart w:id="838" w:name="_Toc351203544"/>
      <w:r>
        <w:t>7</w:t>
      </w:r>
      <w:bookmarkStart w:id="839" w:name="_Toc337558769"/>
      <w:r>
        <w:t>.2 施工进度计划</w:t>
      </w:r>
      <w:bookmarkEnd w:id="838"/>
    </w:p>
    <w:bookmarkEnd w:id="839"/>
    <w:p>
      <w:r>
        <w:t>7.2.1 施工进度计划的编制</w:t>
      </w:r>
    </w:p>
    <w:p>
      <w:r>
        <w:t>承包人应按照第7.1款</w:t>
      </w:r>
      <w:r>
        <w:rPr>
          <w:rFonts w:hint="eastAsia"/>
        </w:rPr>
        <w:t>〔</w:t>
      </w:r>
      <w:r>
        <w:t>施工组织设计</w:t>
      </w:r>
      <w:r>
        <w:rPr>
          <w:rFonts w:hint="eastAsia"/>
        </w:rPr>
        <w:t>〕</w:t>
      </w:r>
      <w:r>
        <w:t>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r>
        <w:t>7.2.2 施工进度计划的修订</w:t>
      </w:r>
    </w:p>
    <w:p>
      <w: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bookmarkStart w:id="840" w:name="_Toc351203545"/>
      <w:r>
        <w:t>7</w:t>
      </w:r>
      <w:bookmarkStart w:id="841" w:name="_Toc337558770"/>
      <w:r>
        <w:t>.3 开工</w:t>
      </w:r>
      <w:bookmarkEnd w:id="840"/>
    </w:p>
    <w:p>
      <w:r>
        <w:t>7.3.1 开工准备</w:t>
      </w:r>
    </w:p>
    <w:p>
      <w:r>
        <w:t>除专用合同条款另有约定外，承包人应按照第7.1款</w:t>
      </w:r>
      <w:r>
        <w:rPr>
          <w:rFonts w:hint="eastAsia"/>
        </w:rPr>
        <w:t>〔</w:t>
      </w:r>
      <w:r>
        <w:t>施工组织设计</w:t>
      </w:r>
      <w:r>
        <w:rPr>
          <w:rFonts w:hint="eastAsia"/>
        </w:rPr>
        <w:t>〕</w:t>
      </w:r>
      <w:r>
        <w:t>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r>
        <w:t>除专用合同条款另有约定外，合同当事人应按约定完成开工准备工作。</w:t>
      </w:r>
    </w:p>
    <w:p>
      <w:r>
        <w:t>7.3.2 开工通知</w:t>
      </w:r>
    </w:p>
    <w:bookmarkEnd w:id="841"/>
    <w:p>
      <w:r>
        <w:t>发包人应按照法律规定获得工程施工所需的许可。经发包人同意后，监理人发出的开工通知应符合法律规定。监理人应在计划开工日期7天前向承包人发出开工通知，工期自开工通知中载明的开工日期起算。</w:t>
      </w:r>
    </w:p>
    <w:p>
      <w: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bookmarkStart w:id="842" w:name="_Toc351203546"/>
      <w:r>
        <w:t>7.4测量放线</w:t>
      </w:r>
      <w:bookmarkEnd w:id="842"/>
    </w:p>
    <w:p>
      <w:r>
        <w:t>7.4.1 除专用合同条款另有约定外，发包人应在至迟不得晚于第7.3.2项</w:t>
      </w:r>
      <w:r>
        <w:rPr>
          <w:rFonts w:hint="eastAsia"/>
        </w:rPr>
        <w:t>〔</w:t>
      </w:r>
      <w:r>
        <w:t>开工通知</w:t>
      </w:r>
      <w:r>
        <w:rPr>
          <w:rFonts w:hint="eastAsia"/>
        </w:rPr>
        <w:t>〕</w:t>
      </w:r>
      <w:r>
        <w:t>载明的开工日期前7天通过监理人向承包人提供测量基准点、基准线和水准点及其书面资料。发包人应对其提供的测量基准点、基准线和水准点及其书面资料的真实性、准确性和完整性负责。</w:t>
      </w:r>
    </w:p>
    <w:p>
      <w: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r>
        <w:t>7.4.2 承包人负责施工过程中的全部施工测量放线工作，并配置具有相应资质的人员、合格的仪器、设备和其他物品。承包人应矫正工程的位置、标高、尺寸或准线中出现的任何差错，并对工程各部分的定位负责。</w:t>
      </w:r>
    </w:p>
    <w:p>
      <w:r>
        <w:t>施工过程中对施工现场内水准点等测量标志物的保护工作由承包人负责。</w:t>
      </w:r>
      <w:bookmarkStart w:id="843" w:name="_Toc351203547"/>
    </w:p>
    <w:p>
      <w:r>
        <w:t>7</w:t>
      </w:r>
      <w:bookmarkEnd w:id="836"/>
      <w:bookmarkEnd w:id="837"/>
      <w:bookmarkStart w:id="844" w:name="_Toc296346574"/>
      <w:bookmarkStart w:id="845" w:name="_Toc337558772"/>
      <w:bookmarkStart w:id="846" w:name="_Toc296503073"/>
      <w:r>
        <w:t>.5</w:t>
      </w:r>
      <w:r>
        <w:rPr>
          <w:rFonts w:hint="eastAsia"/>
        </w:rPr>
        <w:t xml:space="preserve"> </w:t>
      </w:r>
      <w:r>
        <w:t>工期延误</w:t>
      </w:r>
      <w:bookmarkEnd w:id="843"/>
    </w:p>
    <w:bookmarkEnd w:id="844"/>
    <w:bookmarkEnd w:id="845"/>
    <w:bookmarkEnd w:id="846"/>
    <w:p>
      <w:r>
        <w:t>7.5.1 因发包人原因导致工期延误</w:t>
      </w:r>
    </w:p>
    <w:p>
      <w:r>
        <w:t xml:space="preserve">在合同履行过程中，因下列情况导致工期延误和（或）费用增加的，由发包人承担由此延误的工期和（或）增加的费用，且发包人应支付承包人合理的利润： </w:t>
      </w:r>
    </w:p>
    <w:p>
      <w:r>
        <w:t>（1）发包人未能按合同约定提供图纸或所提供图纸不符合合同约定的；</w:t>
      </w:r>
    </w:p>
    <w:p>
      <w:r>
        <w:t>（2）发包人未能按合同约定提供施工现场、施工条件、基础资料、许可、批准等开工条件的；</w:t>
      </w:r>
    </w:p>
    <w:p>
      <w:r>
        <w:t>（3）发包人提供的测量基准点、基准线和水准点及其书面资料存在错误或疏漏的；</w:t>
      </w:r>
    </w:p>
    <w:p>
      <w:r>
        <w:t>（4）发包人未能在计划开工日期之日起7天内同意下达开工通知的；</w:t>
      </w:r>
    </w:p>
    <w:p>
      <w:r>
        <w:t>（5）发包人未能按合同约定日期支付工程预付款、进度款或竣工结算款的；</w:t>
      </w:r>
    </w:p>
    <w:p>
      <w:r>
        <w:t>（6）监理人未按合同约定发出指示、批准等文件的；</w:t>
      </w:r>
    </w:p>
    <w:p>
      <w:r>
        <w:t>（7）专用合同条款中约定的其他情形。</w:t>
      </w:r>
    </w:p>
    <w:p>
      <w:r>
        <w:t>因发包人原因未按计划开工日期开工的，发包人应按实际开工日期顺延竣工日期，确保实际工期不低于合同约定的工期总日历天数。因发包人原因导致工期延误需要修订施工进度计划的，按照第7.2.2项</w:t>
      </w:r>
      <w:r>
        <w:rPr>
          <w:rFonts w:hint="eastAsia"/>
        </w:rPr>
        <w:t>〔</w:t>
      </w:r>
      <w:r>
        <w:t>施工进度计划的修订</w:t>
      </w:r>
      <w:r>
        <w:rPr>
          <w:rFonts w:hint="eastAsia"/>
        </w:rPr>
        <w:t>〕</w:t>
      </w:r>
      <w:r>
        <w:t>执行。</w:t>
      </w:r>
    </w:p>
    <w:p>
      <w:r>
        <w:t>7.5.2 因承包人原因导致工期延误</w:t>
      </w:r>
    </w:p>
    <w:p>
      <w:bookmarkStart w:id="847" w:name="_Toc296346577"/>
      <w:bookmarkStart w:id="848" w:name="_Toc296503076"/>
      <w:r>
        <w:t>因</w:t>
      </w:r>
      <w:bookmarkEnd w:id="847"/>
      <w:bookmarkEnd w:id="848"/>
      <w:r>
        <w:t>承包人原因造成工期延误的，可以在专用合同条款中约定逾期竣工违约金的计算方法和逾期竣工违约金的上限。承包人支付逾期竣工违约金后，不免除承包人继续完成工程及修补缺陷的义务。</w:t>
      </w:r>
    </w:p>
    <w:p>
      <w:bookmarkStart w:id="849" w:name="_Toc351203548"/>
      <w:r>
        <w:t>7</w:t>
      </w:r>
      <w:bookmarkStart w:id="850" w:name="_Toc337558773"/>
      <w:bookmarkStart w:id="851" w:name="_Toc296503074"/>
      <w:bookmarkStart w:id="852" w:name="_Toc296346575"/>
      <w:bookmarkStart w:id="853" w:name="_Toc296346578"/>
      <w:bookmarkStart w:id="854" w:name="_Toc296503077"/>
      <w:r>
        <w:t>.6 不利物质条件</w:t>
      </w:r>
      <w:bookmarkEnd w:id="849"/>
    </w:p>
    <w:bookmarkEnd w:id="850"/>
    <w:bookmarkEnd w:id="851"/>
    <w:bookmarkEnd w:id="852"/>
    <w:p>
      <w:r>
        <w:t>不利物质条件是指有经验的承包人在施工现场遇到的不可预见的自然物质条件、非自然的物质障碍和污染物，包括地表以下物质条件和水文条件以及专用合同条款约定的其他情形，但不包括气候条件。</w:t>
      </w:r>
    </w:p>
    <w:p>
      <w: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w:t>
      </w:r>
      <w:r>
        <w:rPr>
          <w:rFonts w:hint="eastAsia"/>
        </w:rPr>
        <w:t>〔</w:t>
      </w:r>
      <w:r>
        <w:t>变更</w:t>
      </w:r>
      <w:r>
        <w:rPr>
          <w:rFonts w:hint="eastAsia"/>
        </w:rPr>
        <w:t>〕</w:t>
      </w:r>
      <w:r>
        <w:t>约定执行。承包人因采取合理措施而增加的费用和（或）延误的工期由发包人承担。</w:t>
      </w:r>
    </w:p>
    <w:p>
      <w:bookmarkStart w:id="855" w:name="_Toc351203549"/>
      <w:r>
        <w:t>7</w:t>
      </w:r>
      <w:bookmarkStart w:id="856" w:name="_Toc337558774"/>
      <w:bookmarkStart w:id="857" w:name="_Toc296346576"/>
      <w:bookmarkStart w:id="858" w:name="_Toc296503075"/>
      <w:r>
        <w:t>.7</w:t>
      </w:r>
      <w:r>
        <w:rPr>
          <w:rFonts w:hint="eastAsia"/>
        </w:rPr>
        <w:t xml:space="preserve"> </w:t>
      </w:r>
      <w:r>
        <w:t>异常恶劣的气候条件</w:t>
      </w:r>
      <w:bookmarkEnd w:id="855"/>
    </w:p>
    <w:bookmarkEnd w:id="856"/>
    <w:bookmarkEnd w:id="857"/>
    <w:bookmarkEnd w:id="858"/>
    <w:p>
      <w: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r>
        <w:t>承包人应采取克服异常恶劣的气候条件的合理措施继续施工，并及时通知发包人和监理人。监理人经发包人同意后应当及时发出指示，指示构成变更的，按第10条</w:t>
      </w:r>
      <w:r>
        <w:rPr>
          <w:rFonts w:hint="eastAsia"/>
        </w:rPr>
        <w:t>〔</w:t>
      </w:r>
      <w:r>
        <w:t>变更</w:t>
      </w:r>
      <w:r>
        <w:rPr>
          <w:rFonts w:hint="eastAsia"/>
        </w:rPr>
        <w:t>〕</w:t>
      </w:r>
      <w:r>
        <w:t>约定办理。承包人因采取合理措施而增加的费用和（或）延误的工期由发包人承担。</w:t>
      </w:r>
      <w:bookmarkStart w:id="859" w:name="_Toc351203550"/>
    </w:p>
    <w:p>
      <w:bookmarkStart w:id="860" w:name="_Toc3900425"/>
      <w:r>
        <w:t>7</w:t>
      </w:r>
      <w:bookmarkStart w:id="861" w:name="_Toc337558775"/>
      <w:r>
        <w:t>.8</w:t>
      </w:r>
      <w:r>
        <w:rPr>
          <w:rFonts w:hint="eastAsia"/>
        </w:rPr>
        <w:t xml:space="preserve"> </w:t>
      </w:r>
      <w:r>
        <w:t>暂停施工</w:t>
      </w:r>
      <w:bookmarkEnd w:id="859"/>
      <w:bookmarkEnd w:id="860"/>
    </w:p>
    <w:bookmarkEnd w:id="853"/>
    <w:bookmarkEnd w:id="854"/>
    <w:bookmarkEnd w:id="861"/>
    <w:p>
      <w:r>
        <w:t>7.8.1发包人原因引起的暂停施工</w:t>
      </w:r>
    </w:p>
    <w:p>
      <w:r>
        <w:t>因发包人原因引起暂停施工的，监理人经发包人同意后，应及时下达暂停施工指示。情况紧急且监理人未及时下达暂停施工指示的，按照第7.8.4项</w:t>
      </w:r>
      <w:r>
        <w:rPr>
          <w:rFonts w:hint="eastAsia"/>
        </w:rPr>
        <w:t>〔</w:t>
      </w:r>
      <w:r>
        <w:t>紧急情况下的暂停施工</w:t>
      </w:r>
      <w:r>
        <w:rPr>
          <w:rFonts w:hint="eastAsia"/>
        </w:rPr>
        <w:t>〕</w:t>
      </w:r>
      <w:r>
        <w:t>执行。</w:t>
      </w:r>
    </w:p>
    <w:p>
      <w:r>
        <w:t>因发包人原因引起的暂停施工，发包人应承担由此增加的费用和（或）延误的工期，并支付承包人合理的利润。</w:t>
      </w:r>
    </w:p>
    <w:p>
      <w:r>
        <w:t>7.8.2 承包人原因引起的暂停施工</w:t>
      </w:r>
    </w:p>
    <w:p>
      <w:r>
        <w:t>因承包人原因引起的暂停施工，承包人应承担由此增加的费用和（或）延误的工期，且承包人在收到监理人复工指示后</w:t>
      </w:r>
      <w:r>
        <w:rPr>
          <w:rFonts w:hint="eastAsia"/>
        </w:rPr>
        <w:t>84</w:t>
      </w:r>
      <w:r>
        <w:t>天内仍未复工的，视为第16.2.1项</w:t>
      </w:r>
      <w:r>
        <w:rPr>
          <w:rFonts w:hint="eastAsia"/>
        </w:rPr>
        <w:t>〔</w:t>
      </w:r>
      <w:r>
        <w:t>承包人违约的情形</w:t>
      </w:r>
      <w:r>
        <w:rPr>
          <w:rFonts w:hint="eastAsia"/>
        </w:rPr>
        <w:t>〕</w:t>
      </w:r>
      <w:r>
        <w:t>第（7）目约定的承包人无法继续履行合同的情形。</w:t>
      </w:r>
    </w:p>
    <w:p>
      <w:r>
        <w:t>7.8.3 指示暂停施工</w:t>
      </w:r>
    </w:p>
    <w:p>
      <w:r>
        <w:t>监理人认为有必要时，并经发包人批准后，可向承包人作出暂停施工的指示，承包人应按监理人指示暂停施工。</w:t>
      </w:r>
    </w:p>
    <w:p>
      <w:r>
        <w:t>7.8.4 紧急情况下的暂停施工</w:t>
      </w:r>
    </w:p>
    <w:p>
      <w: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w:t>
      </w:r>
      <w:r>
        <w:rPr>
          <w:rFonts w:hint="eastAsia"/>
        </w:rPr>
        <w:t>〔</w:t>
      </w:r>
      <w:r>
        <w:t>争议解决</w:t>
      </w:r>
      <w:r>
        <w:rPr>
          <w:rFonts w:hint="eastAsia"/>
        </w:rPr>
        <w:t>〕</w:t>
      </w:r>
      <w:r>
        <w:t>约定处理。</w:t>
      </w:r>
    </w:p>
    <w:p>
      <w:r>
        <w:t>7.8.5 暂停施工后的复工</w:t>
      </w:r>
    </w:p>
    <w:p>
      <w: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r>
        <w:t>承包人无故拖延和拒绝复工的，承包人承担由此增加的费用和（或）延误的工期；因发包人原因无法按时复工的，按照第7.5.1项</w:t>
      </w:r>
      <w:r>
        <w:rPr>
          <w:rFonts w:hint="eastAsia"/>
        </w:rPr>
        <w:t>〔</w:t>
      </w:r>
      <w:r>
        <w:t>因发包人原因导致工期延误</w:t>
      </w:r>
      <w:r>
        <w:rPr>
          <w:rFonts w:hint="eastAsia"/>
        </w:rPr>
        <w:t>〕</w:t>
      </w:r>
      <w:r>
        <w:t>约定办理。</w:t>
      </w:r>
    </w:p>
    <w:p>
      <w:r>
        <w:t>7.8.6 暂停施工持续56天以上</w:t>
      </w:r>
    </w:p>
    <w:p>
      <w:r>
        <w:t>监理人发出暂停施工指示后56天内未向承包人发出复工通知，除该项停工属于第7.8.2项</w:t>
      </w:r>
      <w:r>
        <w:rPr>
          <w:rFonts w:hint="eastAsia"/>
        </w:rPr>
        <w:t>〔</w:t>
      </w:r>
      <w:r>
        <w:t>承包人原因引起的暂停施工</w:t>
      </w:r>
      <w:r>
        <w:rPr>
          <w:rFonts w:hint="eastAsia"/>
        </w:rPr>
        <w:t>〕</w:t>
      </w:r>
      <w:r>
        <w:t>及第17条</w:t>
      </w:r>
      <w:r>
        <w:rPr>
          <w:rFonts w:hint="eastAsia"/>
        </w:rPr>
        <w:t>〔</w:t>
      </w:r>
      <w:r>
        <w:t>不可抗力</w:t>
      </w:r>
      <w:r>
        <w:rPr>
          <w:rFonts w:hint="eastAsia"/>
        </w:rPr>
        <w:t>〕</w:t>
      </w:r>
      <w:r>
        <w:t>约定的情形外，承包人可向发包人提交书面通知，要求发包人在收到书面通知后28天内准许已暂停施工的部分或全部工程继续施工。发包人逾期不予批准的，则承包人可以通知发包人，将工程受影响的部分视为按第10.1款</w:t>
      </w:r>
      <w:r>
        <w:rPr>
          <w:rFonts w:hint="eastAsia"/>
        </w:rPr>
        <w:t>〔</w:t>
      </w:r>
      <w:r>
        <w:t>变更的范围</w:t>
      </w:r>
      <w:r>
        <w:rPr>
          <w:rFonts w:hint="eastAsia"/>
        </w:rPr>
        <w:t>〕</w:t>
      </w:r>
      <w:r>
        <w:t>第（2）项的可取消工作。</w:t>
      </w:r>
    </w:p>
    <w:p>
      <w:r>
        <w:t>暂停施工持续</w:t>
      </w:r>
      <w:r>
        <w:rPr>
          <w:rFonts w:hint="eastAsia"/>
        </w:rPr>
        <w:t>84</w:t>
      </w:r>
      <w:r>
        <w:t>天以上不复工的，且不属于第7.8.2项</w:t>
      </w:r>
      <w:r>
        <w:rPr>
          <w:rFonts w:hint="eastAsia"/>
        </w:rPr>
        <w:t>〔</w:t>
      </w:r>
      <w:r>
        <w:t>承包人原因引起的暂停施工</w:t>
      </w:r>
      <w:r>
        <w:rPr>
          <w:rFonts w:hint="eastAsia"/>
        </w:rPr>
        <w:t>〕</w:t>
      </w:r>
      <w:r>
        <w:t>及第17条</w:t>
      </w:r>
      <w:r>
        <w:rPr>
          <w:rFonts w:hint="eastAsia"/>
        </w:rPr>
        <w:t>〔</w:t>
      </w:r>
      <w:r>
        <w:t>不可抗力</w:t>
      </w:r>
      <w:r>
        <w:rPr>
          <w:rFonts w:hint="eastAsia"/>
        </w:rPr>
        <w:t>〕</w:t>
      </w:r>
      <w:r>
        <w:t>约定的情形，并影响到整个工程以及合同目的实现的，承包人有权提出价格调整要求，或者解除合同。解除合同的，按照第16.1.3项</w:t>
      </w:r>
      <w:r>
        <w:rPr>
          <w:rFonts w:hint="eastAsia"/>
        </w:rPr>
        <w:t>〔</w:t>
      </w:r>
      <w:r>
        <w:t>因发包人违约解除合同</w:t>
      </w:r>
      <w:r>
        <w:rPr>
          <w:rFonts w:hint="eastAsia"/>
        </w:rPr>
        <w:t>〕</w:t>
      </w:r>
      <w:r>
        <w:t>执行。</w:t>
      </w:r>
    </w:p>
    <w:p>
      <w:r>
        <w:t>7.8.7 暂停施工期间的工程照管</w:t>
      </w:r>
    </w:p>
    <w:p>
      <w:r>
        <w:t>暂停施工期间，承包人应负责妥善照管工程并提供安全保障，由此增加的费用由责任方承担。</w:t>
      </w:r>
    </w:p>
    <w:p>
      <w:r>
        <w:t>7.8.8 暂停施工的措施</w:t>
      </w:r>
    </w:p>
    <w:p>
      <w:r>
        <w:t>暂停施工期间，发包人和承包人均应采取必要的措施确保工程质量及安全，防止因暂停施工扩大损失。</w:t>
      </w:r>
    </w:p>
    <w:p>
      <w:bookmarkStart w:id="862" w:name="_Toc351203551"/>
      <w:r>
        <w:t>7.9提前竣工</w:t>
      </w:r>
      <w:bookmarkEnd w:id="862"/>
    </w:p>
    <w:p>
      <w: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w:t>
      </w:r>
      <w:r>
        <w:rPr>
          <w:rFonts w:hint="eastAsia"/>
        </w:rPr>
        <w:t>承包人认为提前竣工指示无法执行的，应向监理人和发包人提出书面异议，发包人和监理人应在收到异议后7天内予以答复。任何情况下，发包人不得压缩合理工期。</w:t>
      </w:r>
    </w:p>
    <w:p>
      <w:r>
        <w:t>7.9.2 发包人要求承包人提前竣工，或承包人提出提前竣工的建议能够给发包人带来效益的，合同当事人可以在专用合同条款中约定提前竣工的奖励。</w:t>
      </w:r>
    </w:p>
    <w:p>
      <w:bookmarkStart w:id="863" w:name="_Toc351203552"/>
      <w:r>
        <w:t>8</w:t>
      </w:r>
      <w:bookmarkStart w:id="864" w:name="_Toc296503058"/>
      <w:bookmarkStart w:id="865" w:name="_Toc296346559"/>
      <w:bookmarkStart w:id="866" w:name="_Toc337558776"/>
      <w:r>
        <w:t>. 材料与设备</w:t>
      </w:r>
      <w:bookmarkEnd w:id="863"/>
    </w:p>
    <w:bookmarkEnd w:id="864"/>
    <w:bookmarkEnd w:id="865"/>
    <w:bookmarkEnd w:id="866"/>
    <w:p>
      <w:bookmarkStart w:id="867" w:name="_Toc351203553"/>
      <w:r>
        <w:t>8</w:t>
      </w:r>
      <w:bookmarkStart w:id="868" w:name="_Toc296346560"/>
      <w:bookmarkStart w:id="869" w:name="_Toc296503059"/>
      <w:bookmarkStart w:id="870" w:name="_Toc337558777"/>
      <w:bookmarkStart w:id="871" w:name="_Toc468936960"/>
      <w:r>
        <w:t>.1发包人供应材料与工程设备</w:t>
      </w:r>
      <w:bookmarkEnd w:id="867"/>
    </w:p>
    <w:bookmarkEnd w:id="868"/>
    <w:bookmarkEnd w:id="869"/>
    <w:bookmarkEnd w:id="870"/>
    <w:p>
      <w:r>
        <w:t>发包人自行供应材料、工程设备的，应在签订合同时在专用合同条款的附件《发包人供应材料设备一览表》中明确材料、工程设备的品种、规格、型号、数量、单价、质量等级和送达地点。</w:t>
      </w:r>
    </w:p>
    <w:p>
      <w:r>
        <w:t>承包人应提前30天通过监理人以书面形式通知发包人供应材料与工程设备进场。承包人按照第7.2.2项</w:t>
      </w:r>
      <w:r>
        <w:rPr>
          <w:rFonts w:hint="eastAsia"/>
        </w:rPr>
        <w:t>〔</w:t>
      </w:r>
      <w:r>
        <w:t>施工进度计划的修订</w:t>
      </w:r>
      <w:r>
        <w:rPr>
          <w:rFonts w:hint="eastAsia"/>
        </w:rPr>
        <w:t>〕</w:t>
      </w:r>
      <w:r>
        <w:t>约定修订施工进度计划时，需同时提交经修订后的发包人供应材料与工程设备的进场计划。</w:t>
      </w:r>
    </w:p>
    <w:p>
      <w:bookmarkStart w:id="872" w:name="_Toc351203554"/>
      <w:r>
        <w:t>8</w:t>
      </w:r>
      <w:bookmarkStart w:id="873" w:name="_Toc296503060"/>
      <w:bookmarkStart w:id="874" w:name="_Toc296346561"/>
      <w:bookmarkStart w:id="875" w:name="_Toc337558778"/>
      <w:r>
        <w:t>.2承包人采购材料与工程设备</w:t>
      </w:r>
      <w:bookmarkEnd w:id="872"/>
    </w:p>
    <w:bookmarkEnd w:id="873"/>
    <w:bookmarkEnd w:id="874"/>
    <w:bookmarkEnd w:id="875"/>
    <w:p>
      <w: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w:t>
      </w:r>
      <w:r>
        <w:rPr>
          <w:rFonts w:hint="eastAsia"/>
        </w:rPr>
        <w:t>相应责任</w:t>
      </w:r>
      <w:r>
        <w:t>。</w:t>
      </w:r>
    </w:p>
    <w:p>
      <w:bookmarkStart w:id="876" w:name="_Toc351203555"/>
      <w:r>
        <w:t>8</w:t>
      </w:r>
      <w:bookmarkStart w:id="877" w:name="_Toc337558779"/>
      <w:bookmarkStart w:id="878" w:name="_Toc296503061"/>
      <w:bookmarkStart w:id="879" w:name="_Toc296346562"/>
      <w:r>
        <w:t>.3材料与工程设备的接收与拒收</w:t>
      </w:r>
      <w:bookmarkEnd w:id="876"/>
    </w:p>
    <w:bookmarkEnd w:id="877"/>
    <w:bookmarkEnd w:id="878"/>
    <w:bookmarkEnd w:id="879"/>
    <w:p>
      <w: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r>
        <w:t>发包人提供的材料和工程设备的规格、数量或质量不符合合同约定的，或因发包人原因导致交货日期延误或交货地点变更等情况的，按照第16.1款</w:t>
      </w:r>
      <w:r>
        <w:rPr>
          <w:rFonts w:hint="eastAsia"/>
        </w:rPr>
        <w:t>〔</w:t>
      </w:r>
      <w:r>
        <w:t>发包人违约</w:t>
      </w:r>
      <w:r>
        <w:rPr>
          <w:rFonts w:hint="eastAsia"/>
        </w:rPr>
        <w:t>〕</w:t>
      </w:r>
      <w:r>
        <w:t>约定办理。</w:t>
      </w:r>
    </w:p>
    <w:p>
      <w:r>
        <w:t>8.3.2 承包人采购的材料和工程设备，应保证产品质量合格，承包人应在材料和工程设备到货前24小时通知监理人检验。承</w:t>
      </w:r>
      <w:bookmarkStart w:id="880" w:name="_Toc250655469"/>
      <w:r>
        <w:t>包人进行永久设备、材料的制造和生产的，应符合相关质量标准，并向监理人提交材料的样本以及有关资料，并应在使用该材料或工程设备之前获得监理人同意。</w:t>
      </w:r>
    </w:p>
    <w:bookmarkEnd w:id="880"/>
    <w:p>
      <w: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bookmarkStart w:id="881" w:name="_Toc351203556"/>
      <w:r>
        <w:t>8</w:t>
      </w:r>
      <w:bookmarkStart w:id="882" w:name="_Toc296346563"/>
      <w:bookmarkStart w:id="883" w:name="_Toc296503062"/>
      <w:bookmarkStart w:id="884" w:name="_Toc337558780"/>
      <w:r>
        <w:t>.4材料与工程设备的保管与使用</w:t>
      </w:r>
      <w:bookmarkEnd w:id="881"/>
    </w:p>
    <w:bookmarkEnd w:id="882"/>
    <w:bookmarkEnd w:id="883"/>
    <w:bookmarkEnd w:id="884"/>
    <w:p>
      <w:r>
        <w:t>8.4.1 发包人供应材料与工程设备的保管与使用</w:t>
      </w:r>
    </w:p>
    <w:p>
      <w: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r>
        <w:t>发包人供应的材料和工程设备使用前，由承包人负责检验，检验费用由发包人承担，不合格的不得使用。</w:t>
      </w:r>
    </w:p>
    <w:p>
      <w:r>
        <w:t>8.4.2 承包人采购材料与工程设备的保管与使用</w:t>
      </w:r>
    </w:p>
    <w:p>
      <w: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r>
        <w:t>发包人或监理人发现承包人使用不符合设计或有关标准要求的材料和工程设备时，有权要求承包人进行修复、拆除或重新采购，由此增加的费用和（或）延误的工期，由承包人承担。</w:t>
      </w:r>
    </w:p>
    <w:p>
      <w:bookmarkStart w:id="885" w:name="_Toc351203557"/>
      <w:r>
        <w:t>8.5禁止使用不合格的材料和工程设备</w:t>
      </w:r>
      <w:bookmarkEnd w:id="885"/>
    </w:p>
    <w:p>
      <w:r>
        <w:t>8.5.1 监理人有权拒绝承包人提供的不合格材料或工程设备，并要求承包人立即进行更换。监理人应在更换后再次进行检查和检验，由此增加的费用和（或）延误的工期由承包人承担。</w:t>
      </w:r>
    </w:p>
    <w:p>
      <w:r>
        <w:t>8.5.2 监理人发现承包人使用了不合格的材料和工程设备，承包人应按照监理人的指示立即改正，并禁止在工程中继续使用不合格的材料和工程设备。</w:t>
      </w:r>
    </w:p>
    <w:p>
      <w:r>
        <w:t>8.5.3 发包人提供的材料或工程设备不符合合同要求的，承包人有权拒绝，并可要求发包人更换，由此增加的费用和（或）延误的工期由发包人承担</w:t>
      </w:r>
      <w:r>
        <w:rPr>
          <w:rFonts w:hint="eastAsia"/>
        </w:rPr>
        <w:t>，并支付承包人合理的利润</w:t>
      </w:r>
      <w:r>
        <w:t>。</w:t>
      </w:r>
    </w:p>
    <w:p>
      <w:bookmarkStart w:id="886" w:name="_Toc351203558"/>
      <w:r>
        <w:t>8.6 样品</w:t>
      </w:r>
      <w:bookmarkEnd w:id="886"/>
    </w:p>
    <w:p>
      <w:r>
        <w:t>8.6.1</w:t>
      </w:r>
      <w:r>
        <w:tab/>
      </w:r>
      <w:r>
        <w:t>样品的报送</w:t>
      </w:r>
      <w:r>
        <w:rPr>
          <w:rFonts w:hint="eastAsia"/>
        </w:rPr>
        <w:t>与封存</w:t>
      </w:r>
    </w:p>
    <w:p>
      <w:r>
        <w:t>需要承包人报送样品的材料或工程设备，样品的种类、名称、规格、数量等要求均应在专用合同条款中约定。样品的报送程序如下：</w:t>
      </w:r>
    </w:p>
    <w:p>
      <w:r>
        <w:t>（1）承包人应在计划采购前28天向监理人报送样品。承包人报送的样品均应来自供应材料的实际生产地，且提供的样品的规格、数量足以表明材料或工程设备的质量、型号、颜色、表面处理、质地、误差和其他要求的特征。</w:t>
      </w:r>
    </w:p>
    <w:p>
      <w: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r>
        <w:t>（3）经发包人和监理人审批确认的样品</w:t>
      </w:r>
      <w:r>
        <w:rPr>
          <w:rFonts w:hint="eastAsia"/>
        </w:rPr>
        <w:t>应按约定的方法封样，封存的样品</w:t>
      </w:r>
      <w:r>
        <w:t>作为检验工程相关部分的标准之一。承包人在施工过程中不得使用与样品不符的材料或工程设备。</w:t>
      </w:r>
    </w:p>
    <w:p>
      <w:r>
        <w:t>（4）发包人和监理人对样品的审批确认仅为确认相关材料或工程设备的特征或用途，不得被理解为对合同的修改或改变，也并不减轻或免除承包人任何的责任和义务。</w:t>
      </w:r>
      <w:r>
        <w:rPr>
          <w:rFonts w:hint="eastAsia"/>
        </w:rPr>
        <w:t>如果封存的样品修改或改变了合同约定，合同当事人应当以书面协议予以确认。</w:t>
      </w:r>
    </w:p>
    <w:p>
      <w:r>
        <w:t>8.6.2 样品的保管</w:t>
      </w:r>
    </w:p>
    <w:p>
      <w:r>
        <w:t>经批准的样品应由监理人负责封存于现场，承包人应在现场为保存样品提供适当和固定的场所并保持适当和良好的存储环境条件。</w:t>
      </w:r>
    </w:p>
    <w:p>
      <w:bookmarkStart w:id="887" w:name="_Toc351203559"/>
      <w:r>
        <w:t>8.7材料与工程设备的替代</w:t>
      </w:r>
      <w:bookmarkEnd w:id="887"/>
    </w:p>
    <w:p>
      <w:r>
        <w:t>8.7.1 出现下列情况需要使用替代材料和工程设备的，承包人应按照第8.7.2项约定的程序执行：</w:t>
      </w:r>
    </w:p>
    <w:p>
      <w:r>
        <w:t>（1）基准日</w:t>
      </w:r>
      <w:r>
        <w:rPr>
          <w:rFonts w:hint="eastAsia"/>
        </w:rPr>
        <w:t>期</w:t>
      </w:r>
      <w:r>
        <w:t>后生效的法律规定禁止使用的；</w:t>
      </w:r>
    </w:p>
    <w:p>
      <w:r>
        <w:t>（2）发包人要求使用替代品的；</w:t>
      </w:r>
    </w:p>
    <w:p>
      <w:r>
        <w:t>（3）因其他原因必须使用替代品的。</w:t>
      </w:r>
    </w:p>
    <w:p>
      <w:r>
        <w:t>8.7.2 承包人应在使用替代材料和工程设备28天前书面通知监理人，并附下列文件：</w:t>
      </w:r>
    </w:p>
    <w:p>
      <w:r>
        <w:t>（1）被替代的材料和工程设备的名称、数量、规格、型号、品牌、性能、价格及其他相关资料；</w:t>
      </w:r>
    </w:p>
    <w:p>
      <w:r>
        <w:t>（2）替代品的名称、数量、规格、型号、品牌、性能、价格及其他相关资料；</w:t>
      </w:r>
    </w:p>
    <w:p>
      <w:r>
        <w:t>（3）替代品与被替代产品之间的差异以及使用替代品可能对工程产生的影响；</w:t>
      </w:r>
    </w:p>
    <w:p>
      <w:r>
        <w:t>（4）替代品与被替代产品的价格差异；</w:t>
      </w:r>
    </w:p>
    <w:p>
      <w:r>
        <w:t>（5）使用替代品的理由和原因说明；</w:t>
      </w:r>
    </w:p>
    <w:p>
      <w:r>
        <w:t>（6）监理人要求的其他文件。</w:t>
      </w:r>
    </w:p>
    <w:p>
      <w:r>
        <w:t>监理人应在收到通知后14天内向承包人发出经发包人签认的书面指示；监理人逾期发出书面指示的，视为发包人和监理人同意使用替代品。</w:t>
      </w:r>
    </w:p>
    <w:p>
      <w:r>
        <w:t>8.7.3 发包人认可使用替代材料和工程设备的，替代材料和工程设备的价格，按照已标价工程量清单或预算书相同项目的价格认定；无相同项目的，参考相似项目价格认定；</w:t>
      </w:r>
      <w:r>
        <w:rPr>
          <w:rFonts w:hint="eastAsia"/>
        </w:rPr>
        <w:t>既无</w:t>
      </w:r>
      <w:r>
        <w:t>相同项目</w:t>
      </w:r>
      <w:r>
        <w:rPr>
          <w:rFonts w:hint="eastAsia"/>
        </w:rPr>
        <w:t>也</w:t>
      </w:r>
      <w:r>
        <w:t>无相似项目的，</w:t>
      </w:r>
      <w:r>
        <w:rPr>
          <w:rFonts w:hint="eastAsia"/>
        </w:rPr>
        <w:t>按照合理的成本与利润构成的原则，</w:t>
      </w:r>
      <w:r>
        <w:t>由合同当事人按照第4.4款</w:t>
      </w:r>
      <w:r>
        <w:rPr>
          <w:rFonts w:hint="eastAsia"/>
        </w:rPr>
        <w:t>〔</w:t>
      </w:r>
      <w:r>
        <w:t>商定或确定</w:t>
      </w:r>
      <w:r>
        <w:rPr>
          <w:rFonts w:hint="eastAsia"/>
        </w:rPr>
        <w:t>〕</w:t>
      </w:r>
      <w:r>
        <w:t>确定价格。</w:t>
      </w:r>
    </w:p>
    <w:p>
      <w:bookmarkStart w:id="888" w:name="_Toc351203560"/>
      <w:r>
        <w:t>8.8施工设备和临时设施</w:t>
      </w:r>
      <w:bookmarkEnd w:id="888"/>
    </w:p>
    <w:p>
      <w:r>
        <w:t>8.8.1 承包人提供的施工设备和临时设施</w:t>
      </w:r>
    </w:p>
    <w:p>
      <w:r>
        <w:t>承包人应按合同进度计划的要求，及时配置施工设备和修建临时设施。进入施工场地的承包人设备需经监理人核查后才能投入使用。承包人更换合同约定的承包人设备的，应报监理人批准。</w:t>
      </w:r>
    </w:p>
    <w:p>
      <w:r>
        <w:t>除专用合同条款另有约定外，承包人应自行承担修建临时设施的费用，需要临时占地的，应由发包人办理申请手续并承担相应费用。</w:t>
      </w:r>
    </w:p>
    <w:p>
      <w:r>
        <w:t>8.8.2发包人提供的施工设备和临时设施</w:t>
      </w:r>
    </w:p>
    <w:p>
      <w:r>
        <w:t>发包人提供的施工设备或临时设施在专用合同条款中约定。</w:t>
      </w:r>
    </w:p>
    <w:p>
      <w:r>
        <w:t>8.8.3要求承包人增加或更换施工设备</w:t>
      </w:r>
    </w:p>
    <w:p>
      <w:r>
        <w:t>承包人使用的施工设备不能满足合同进度计划和（或）质量要求时，监理人有权要求承包人增加或更换施工设备，承包人应及时增加或更换，由此增加的费用和（或）延误的工期由承包人承担。</w:t>
      </w:r>
    </w:p>
    <w:p>
      <w:bookmarkStart w:id="889" w:name="_Toc351203561"/>
      <w:r>
        <w:t>8</w:t>
      </w:r>
      <w:bookmarkStart w:id="890" w:name="_Toc296346564"/>
      <w:bookmarkStart w:id="891" w:name="_Toc337558781"/>
      <w:bookmarkStart w:id="892" w:name="_Toc296503063"/>
      <w:r>
        <w:t>.9材料与设备专用</w:t>
      </w:r>
      <w:bookmarkEnd w:id="889"/>
      <w:r>
        <w:rPr>
          <w:rFonts w:hint="eastAsia"/>
        </w:rPr>
        <w:t>要求</w:t>
      </w:r>
    </w:p>
    <w:bookmarkEnd w:id="890"/>
    <w:bookmarkEnd w:id="891"/>
    <w:bookmarkEnd w:id="892"/>
    <w:p>
      <w:r>
        <w:t>承包人运入施工现场的材料、工程设备、施工设备以及在施工场地建设的临时设施，包括备品备件、安装工具与资料，必须专用于工程。未经发包人批准，承包人不得运出施工现场或挪作他用；</w:t>
      </w:r>
      <w:bookmarkEnd w:id="871"/>
      <w:r>
        <w:t>经发包人批准，承包人可以根据施工进度计划撤走闲置的施工设备和其他物品。</w:t>
      </w:r>
    </w:p>
    <w:p>
      <w:bookmarkStart w:id="893" w:name="_Toc351203562"/>
      <w:r>
        <w:t>9</w:t>
      </w:r>
      <w:bookmarkStart w:id="894" w:name="_Toc337558782"/>
      <w:bookmarkStart w:id="895" w:name="_Toc296346584"/>
      <w:bookmarkStart w:id="896" w:name="_Toc296503083"/>
      <w:r>
        <w:t>. 试验与检验</w:t>
      </w:r>
      <w:bookmarkEnd w:id="893"/>
    </w:p>
    <w:bookmarkEnd w:id="894"/>
    <w:p>
      <w:bookmarkStart w:id="897" w:name="_Toc351203563"/>
      <w:r>
        <w:t>9</w:t>
      </w:r>
      <w:bookmarkStart w:id="898" w:name="_Toc337558783"/>
      <w:r>
        <w:t>.1试验设备与试验人员</w:t>
      </w:r>
      <w:bookmarkEnd w:id="897"/>
    </w:p>
    <w:bookmarkEnd w:id="898"/>
    <w:p>
      <w: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r>
        <w:t>9.1.2 承包人应按专用合同条款的约定提供试验设备、取样装置、试验场所和试验条件，并向监理人提交相应进场计划表。</w:t>
      </w:r>
    </w:p>
    <w:p>
      <w:r>
        <w:t>承包人配置的试验设备要符合相应试验规程的要求并经过具有资质的检测单位检测，且在正式使用该试验设备前，需要经过监理人与承包人共同校定。</w:t>
      </w:r>
    </w:p>
    <w:p>
      <w:r>
        <w:t>9.1.3 承包人应向监理人提交试验人员的名单及其岗位、资格等证明资料，试验人员必须能够熟练进行相应的检测试验，承包人对试验人员的试验程序和试验结果的正确性负责。</w:t>
      </w:r>
    </w:p>
    <w:p>
      <w:bookmarkStart w:id="899" w:name="_Toc351203564"/>
      <w:r>
        <w:t>9</w:t>
      </w:r>
      <w:bookmarkStart w:id="900" w:name="_Toc337558784"/>
      <w:r>
        <w:t>.2取样</w:t>
      </w:r>
      <w:bookmarkEnd w:id="899"/>
    </w:p>
    <w:bookmarkEnd w:id="900"/>
    <w:p>
      <w:r>
        <w:t>试验属于自检性质的，承包人可以单独取样。试验属于监理人抽检性质的，可由监理人取样，也可由承包人的试验人员在监理人的监督下取样。</w:t>
      </w:r>
    </w:p>
    <w:p>
      <w:bookmarkStart w:id="901" w:name="_Toc351203565"/>
      <w:r>
        <w:t>9</w:t>
      </w:r>
      <w:bookmarkStart w:id="902" w:name="_Toc337558785"/>
      <w:r>
        <w:t>.3材料、工程设备和工程的试验和检验</w:t>
      </w:r>
      <w:bookmarkEnd w:id="901"/>
    </w:p>
    <w:bookmarkEnd w:id="902"/>
    <w:p>
      <w: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bookmarkStart w:id="903" w:name="_Toc351203566"/>
      <w:r>
        <w:t>9</w:t>
      </w:r>
      <w:bookmarkStart w:id="904" w:name="_Toc337558786"/>
      <w:r>
        <w:t>.4现场工艺试验</w:t>
      </w:r>
      <w:bookmarkEnd w:id="903"/>
    </w:p>
    <w:bookmarkEnd w:id="904"/>
    <w:p>
      <w:r>
        <w:t>承包人应按合同约定或监理人指示进行现场工艺试验。对大型的现场工艺试验，监理人认为必要时，承包人应根据监理人提出的工艺试验要求，编制工艺试验措施计划，报送监理人审查。</w:t>
      </w:r>
    </w:p>
    <w:p>
      <w:bookmarkStart w:id="905" w:name="_Toc351203567"/>
      <w:r>
        <w:t>1</w:t>
      </w:r>
      <w:bookmarkStart w:id="906" w:name="_Toc337558787"/>
      <w:r>
        <w:t>0. 变更</w:t>
      </w:r>
      <w:bookmarkEnd w:id="895"/>
      <w:bookmarkEnd w:id="896"/>
      <w:bookmarkEnd w:id="905"/>
    </w:p>
    <w:bookmarkEnd w:id="906"/>
    <w:p>
      <w:bookmarkStart w:id="907" w:name="_Toc351203568"/>
      <w:r>
        <w:t>1</w:t>
      </w:r>
      <w:bookmarkStart w:id="908" w:name="_Toc296346585"/>
      <w:bookmarkStart w:id="909" w:name="_Toc296503084"/>
      <w:bookmarkStart w:id="910" w:name="_Toc337558788"/>
      <w:r>
        <w:t>0.1变更的范围</w:t>
      </w:r>
      <w:bookmarkEnd w:id="907"/>
    </w:p>
    <w:bookmarkEnd w:id="908"/>
    <w:bookmarkEnd w:id="909"/>
    <w:bookmarkEnd w:id="910"/>
    <w:p>
      <w:r>
        <w:t>除专用合同条款另有约定外，合同履行过程中发生以下情形的，应按照本条约定进行变更：</w:t>
      </w:r>
    </w:p>
    <w:p>
      <w:r>
        <w:t>（1）增加或减少合同中任何工作，或追加额外的工作；</w:t>
      </w:r>
    </w:p>
    <w:p>
      <w:r>
        <w:t>（2）取消合同中任何工作，但转由他人实施的工作除外；</w:t>
      </w:r>
    </w:p>
    <w:p>
      <w:r>
        <w:t>（3）改变合同中任何工作的质量标准或其他特性；</w:t>
      </w:r>
    </w:p>
    <w:p>
      <w:r>
        <w:t>（4）改变工程的基线、标高、位置和尺寸；</w:t>
      </w:r>
    </w:p>
    <w:p>
      <w:r>
        <w:t>（5）改变工程的时间安排或实施顺序。</w:t>
      </w:r>
    </w:p>
    <w:p>
      <w:bookmarkStart w:id="911" w:name="_Toc351203569"/>
      <w:r>
        <w:t>1</w:t>
      </w:r>
      <w:bookmarkStart w:id="912" w:name="_Toc296346586"/>
      <w:bookmarkStart w:id="913" w:name="_Toc337558789"/>
      <w:bookmarkStart w:id="914" w:name="_Toc296503085"/>
      <w:r>
        <w:t>0.2变更权</w:t>
      </w:r>
      <w:bookmarkEnd w:id="911"/>
    </w:p>
    <w:bookmarkEnd w:id="912"/>
    <w:bookmarkEnd w:id="913"/>
    <w:bookmarkEnd w:id="914"/>
    <w:p>
      <w: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r>
        <w:t>涉及设计变更的，应由设计人提供变更后的图纸和说明。如变更超过原设计标准或批准的建设规模时，发包人应及时办理规划、设计变更</w:t>
      </w:r>
      <w:r>
        <w:rPr>
          <w:rFonts w:hint="eastAsia"/>
        </w:rPr>
        <w:t>等</w:t>
      </w:r>
      <w:r>
        <w:t>审批手续。</w:t>
      </w:r>
    </w:p>
    <w:p>
      <w:bookmarkStart w:id="915" w:name="_Toc351203570"/>
      <w:r>
        <w:t>1</w:t>
      </w:r>
      <w:bookmarkStart w:id="916" w:name="_Toc296346587"/>
      <w:bookmarkStart w:id="917" w:name="_Toc337558790"/>
      <w:bookmarkStart w:id="918" w:name="_Toc296503086"/>
      <w:r>
        <w:t>0.3变更程序</w:t>
      </w:r>
      <w:bookmarkEnd w:id="915"/>
    </w:p>
    <w:bookmarkEnd w:id="916"/>
    <w:bookmarkEnd w:id="917"/>
    <w:bookmarkEnd w:id="918"/>
    <w:p>
      <w:r>
        <w:t>10.3.1 发包人提出变更</w:t>
      </w:r>
    </w:p>
    <w:p>
      <w:r>
        <w:t>发包人提出变更的，应通过监理人向承包人发出变更指示，变更指示应说明计划变更的工程范围和变更的内容。</w:t>
      </w:r>
    </w:p>
    <w:p>
      <w:r>
        <w:t>10.3.2 监理人提出变更建议</w:t>
      </w:r>
    </w:p>
    <w:p>
      <w: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r>
        <w:rPr>
          <w:rFonts w:hint="eastAsia"/>
        </w:rPr>
        <w:t>10.3.3 变更执行</w:t>
      </w:r>
    </w:p>
    <w:p>
      <w:r>
        <w:t>承包人收到监理人下达的变更指示后，</w:t>
      </w:r>
      <w:r>
        <w:rPr>
          <w:rFonts w:hint="eastAsia"/>
        </w:rPr>
        <w:t>认为不能执行，应立即</w:t>
      </w:r>
      <w:r>
        <w:t>提出不能执行该变更指示的理由。承包人</w:t>
      </w:r>
      <w:r>
        <w:rPr>
          <w:rFonts w:hint="eastAsia"/>
        </w:rPr>
        <w:t>认为可以</w:t>
      </w:r>
      <w:r>
        <w:t>执行变更的，</w:t>
      </w:r>
      <w:r>
        <w:rPr>
          <w:rFonts w:hint="eastAsia"/>
        </w:rPr>
        <w:t>应当书面说明实施该变更指示对合同价格和工期的影响，且合同当事人应当按照第10.4款〔变更估价〕约定确定变更估价</w:t>
      </w:r>
      <w:r>
        <w:t>。</w:t>
      </w:r>
    </w:p>
    <w:p>
      <w:bookmarkStart w:id="919" w:name="_Toc351203571"/>
      <w:r>
        <w:t>1</w:t>
      </w:r>
      <w:bookmarkStart w:id="920" w:name="_Toc337558791"/>
      <w:bookmarkStart w:id="921" w:name="_Toc296503087"/>
      <w:bookmarkStart w:id="922" w:name="_Toc296346588"/>
      <w:r>
        <w:t>0.4变更估价</w:t>
      </w:r>
      <w:bookmarkEnd w:id="919"/>
    </w:p>
    <w:bookmarkEnd w:id="920"/>
    <w:bookmarkEnd w:id="921"/>
    <w:bookmarkEnd w:id="922"/>
    <w:p>
      <w:r>
        <w:rPr>
          <w:rFonts w:hint="eastAsia"/>
        </w:rPr>
        <w:t>10.4.1 变更估价原则</w:t>
      </w:r>
    </w:p>
    <w:p>
      <w:r>
        <w:t>除专用合同条款另有约定外，变更估价按照本款约定处理：</w:t>
      </w:r>
    </w:p>
    <w:p>
      <w:r>
        <w:t>（1）已标价工程量清单或预算书有相同项目的，按照相同项目单价认定；</w:t>
      </w:r>
    </w:p>
    <w:p>
      <w:r>
        <w:t>（2）已标价工程量清单或预算书中无相同项目，但有类似项目的，参照类似项目的单价认定；</w:t>
      </w:r>
    </w:p>
    <w:p>
      <w: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w:t>
      </w:r>
      <w:r>
        <w:rPr>
          <w:rFonts w:hint="eastAsia"/>
        </w:rPr>
        <w:t>〔</w:t>
      </w:r>
      <w:r>
        <w:t>商定或确定</w:t>
      </w:r>
      <w:r>
        <w:rPr>
          <w:rFonts w:hint="eastAsia"/>
        </w:rPr>
        <w:t>〕</w:t>
      </w:r>
      <w:r>
        <w:t>确定变更工作的单价。</w:t>
      </w:r>
    </w:p>
    <w:p>
      <w:r>
        <w:rPr>
          <w:rFonts w:hint="eastAsia"/>
        </w:rPr>
        <w:t>10.4.2 变更估价程序</w:t>
      </w:r>
    </w:p>
    <w:p>
      <w:r>
        <w:rPr>
          <w:rFonts w:hint="eastAsia"/>
        </w:rPr>
        <w:t>承包人应在收到变更指示后14天内，向监理人提交变更估价申请。监理人应在收到承包人提交的变更估价申请后7天内审查完毕并报送发包人，监理人对变更估价申请有异议</w:t>
      </w:r>
      <w:r>
        <w:t>，通知承包人</w:t>
      </w:r>
      <w:r>
        <w:rPr>
          <w:rFonts w:hint="eastAsia"/>
        </w:rPr>
        <w:t>修</w:t>
      </w:r>
      <w:r>
        <w:t>改</w:t>
      </w:r>
      <w:r>
        <w:rPr>
          <w:rFonts w:hint="eastAsia"/>
        </w:rPr>
        <w:t>后重新提交</w:t>
      </w:r>
      <w:r>
        <w:t>。发包人应在</w:t>
      </w:r>
      <w:r>
        <w:rPr>
          <w:rFonts w:hint="eastAsia"/>
        </w:rPr>
        <w:t>承包人提交变更估价申请</w:t>
      </w:r>
      <w:r>
        <w:t>后</w:t>
      </w:r>
      <w:r>
        <w:rPr>
          <w:rFonts w:hint="eastAsia"/>
        </w:rPr>
        <w:t>14</w:t>
      </w:r>
      <w:r>
        <w:t>天内审批完毕。</w:t>
      </w:r>
      <w:r>
        <w:rPr>
          <w:rFonts w:hint="eastAsia"/>
        </w:rPr>
        <w:t>发包人逾期未完成审批或未提出异议的，视为认可承包人提交的变更估价申请。</w:t>
      </w:r>
    </w:p>
    <w:p>
      <w:r>
        <w:t>因变更引起的价格调整应计入最近一期的进度款中支付。</w:t>
      </w:r>
    </w:p>
    <w:p>
      <w:bookmarkStart w:id="923" w:name="_Toc351203572"/>
      <w:r>
        <w:t>1</w:t>
      </w:r>
      <w:bookmarkStart w:id="924" w:name="_Toc296346595"/>
      <w:bookmarkStart w:id="925" w:name="_Toc296503094"/>
      <w:bookmarkStart w:id="926" w:name="_Toc337558792"/>
      <w:r>
        <w:t>0.5承包人的合理化建议</w:t>
      </w:r>
      <w:bookmarkEnd w:id="923"/>
    </w:p>
    <w:bookmarkEnd w:id="924"/>
    <w:bookmarkEnd w:id="925"/>
    <w:bookmarkEnd w:id="926"/>
    <w:p>
      <w:r>
        <w:t>承包人提出合理化建议的，应向监理人提交合理化建议说明，说明建议的内容和理由，以及实施该建议对合同价格和工期的影响。</w:t>
      </w:r>
    </w:p>
    <w:p>
      <w: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w:t>
      </w:r>
      <w:r>
        <w:rPr>
          <w:rFonts w:hint="eastAsia"/>
        </w:rPr>
        <w:t>〔</w:t>
      </w:r>
      <w:r>
        <w:t>变更估价</w:t>
      </w:r>
      <w:r>
        <w:rPr>
          <w:rFonts w:hint="eastAsia"/>
        </w:rPr>
        <w:t>〕</w:t>
      </w:r>
      <w:r>
        <w:t>约定执行。发包人不同意变更的，监理人应书面通知承包人。</w:t>
      </w:r>
    </w:p>
    <w:p>
      <w:r>
        <w:t>合理化建议降低了合同价格或者提高了工程经济效益的，发包人可对承包人给予奖励，奖励的方法和金额在专用合同条款中约定。</w:t>
      </w:r>
    </w:p>
    <w:p>
      <w:bookmarkStart w:id="927" w:name="_Toc351203573"/>
      <w:r>
        <w:t>1</w:t>
      </w:r>
      <w:bookmarkStart w:id="928" w:name="_Toc337558793"/>
      <w:r>
        <w:t>0.6变更引起的工期调整</w:t>
      </w:r>
      <w:bookmarkEnd w:id="927"/>
      <w:r>
        <w:t xml:space="preserve"> </w:t>
      </w:r>
      <w:bookmarkEnd w:id="928"/>
      <w:r>
        <w:t xml:space="preserve">  </w:t>
      </w:r>
    </w:p>
    <w:p>
      <w:r>
        <w:t>因变更引起工期变化的，合同当事人均可要求调整合同工期，由合同当事人按照第4.4款</w:t>
      </w:r>
      <w:r>
        <w:rPr>
          <w:rFonts w:hint="eastAsia"/>
        </w:rPr>
        <w:t>〔</w:t>
      </w:r>
      <w:r>
        <w:t>商定或确定</w:t>
      </w:r>
      <w:r>
        <w:rPr>
          <w:rFonts w:hint="eastAsia"/>
        </w:rPr>
        <w:t>〕</w:t>
      </w:r>
      <w:r>
        <w:t>并参考工程所在地的工期定额标准确定增减工期天数。</w:t>
      </w:r>
    </w:p>
    <w:p>
      <w:bookmarkStart w:id="929" w:name="_Toc351203574"/>
      <w:r>
        <w:t>10.7暂估价</w:t>
      </w:r>
      <w:bookmarkEnd w:id="929"/>
    </w:p>
    <w:p>
      <w:r>
        <w:t>暂估价专业分包工程、</w:t>
      </w:r>
      <w:r>
        <w:rPr>
          <w:rFonts w:hint="eastAsia"/>
        </w:rPr>
        <w:t>服务、</w:t>
      </w:r>
      <w:r>
        <w:t>材料和工程设备的明细由合同当事人在专用合同条款中约定。</w:t>
      </w:r>
    </w:p>
    <w:p>
      <w:r>
        <w:t>10.7.1 依法必须招标的暂估价项目</w:t>
      </w:r>
    </w:p>
    <w:p>
      <w:r>
        <w:t>对于依法必须招标的暂估价项目，采取以下第1种方式确定</w:t>
      </w:r>
      <w:r>
        <w:rPr>
          <w:rFonts w:hint="eastAsia"/>
        </w:rPr>
        <w:t>。合同当事人也可以在</w:t>
      </w:r>
      <w:r>
        <w:t>专用合同条款</w:t>
      </w:r>
      <w:r>
        <w:rPr>
          <w:rFonts w:hint="eastAsia"/>
        </w:rPr>
        <w:t>中选择其他招标方式。</w:t>
      </w:r>
    </w:p>
    <w:p>
      <w:r>
        <w:t>第1种方式：对于依法必须招标的暂估价项目，由承包人招标，对该暂估价项目的确认和批准按照以下约定执行：</w:t>
      </w:r>
    </w:p>
    <w:p>
      <w: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r>
        <w:t>（2）承包人应当根据施工进度计划，提前14天将招标文件通过监理人报送发包人审批，发包人应当在收到承包人报送的相关文件后7天内完成审批或提出修改意见；发包人有权确定招标控制价</w:t>
      </w:r>
      <w:r>
        <w:rPr>
          <w:rFonts w:hint="eastAsia"/>
        </w:rPr>
        <w:t>并按照法律规定参加评标</w:t>
      </w:r>
      <w:r>
        <w:t>；</w:t>
      </w:r>
    </w:p>
    <w:p>
      <w: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r>
        <w:t>10.7.2不属于依法必须招标的暂估价项目</w:t>
      </w:r>
    </w:p>
    <w:p>
      <w:r>
        <w:t>除专用合同条款另有约定外，对于不属于依法必须招标的暂估价项目，采取以下第1种方式确定：</w:t>
      </w:r>
      <w:r>
        <w:rPr>
          <w:rFonts w:hint="eastAsia"/>
        </w:rPr>
        <w:t xml:space="preserve"> </w:t>
      </w:r>
    </w:p>
    <w:p>
      <w:r>
        <w:t>第1种方式：对于不属于依法必须招标的暂估价项目，按本项约定确认和批准：</w:t>
      </w:r>
    </w:p>
    <w:p>
      <w: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r>
        <w:t>（2）发包人认为承包人确定的供应商、分包人无法满足工程质量或合同要求的，发包人可以要求承包人重新确定暂估价项目的供应商、分包人;</w:t>
      </w:r>
    </w:p>
    <w:p>
      <w:r>
        <w:t>（3）承包人应当在签订暂估价合同后7天内，将暂估价合同副本报送发包人留存。</w:t>
      </w:r>
    </w:p>
    <w:p>
      <w:r>
        <w:t>第2种方式：承包人按照第10.7.1项</w:t>
      </w:r>
      <w:r>
        <w:rPr>
          <w:rFonts w:hint="eastAsia"/>
        </w:rPr>
        <w:t>〔</w:t>
      </w:r>
      <w:r>
        <w:t>依法必须招标的暂估价项目</w:t>
      </w:r>
      <w:r>
        <w:rPr>
          <w:rFonts w:hint="eastAsia"/>
        </w:rPr>
        <w:t>〕</w:t>
      </w:r>
      <w:r>
        <w:t>约定的第1种方式确定暂估价项目。</w:t>
      </w:r>
    </w:p>
    <w:p>
      <w:r>
        <w:t>第3种方式：承包人直接实施的暂估价项目</w:t>
      </w:r>
    </w:p>
    <w:p>
      <w:r>
        <w:t>承包人具备实施暂估价项目的资格和条件的，经发包人和承包人协商一致后，可由承包人自行实施暂估价项目，合同当事人可以在专用合同条款约定具体事项。</w:t>
      </w:r>
    </w:p>
    <w:p>
      <w: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bookmarkStart w:id="930" w:name="_Toc351203575"/>
      <w:r>
        <w:t>1</w:t>
      </w:r>
      <w:bookmarkStart w:id="931" w:name="_Toc337558794"/>
      <w:bookmarkStart w:id="932" w:name="_Toc296346591"/>
      <w:bookmarkStart w:id="933" w:name="_Toc296503090"/>
      <w:bookmarkStart w:id="934" w:name="_Toc322522561"/>
      <w:r>
        <w:t>0.8暂列金额</w:t>
      </w:r>
      <w:bookmarkEnd w:id="930"/>
    </w:p>
    <w:bookmarkEnd w:id="931"/>
    <w:p>
      <w:r>
        <w:t>暂列金额应按照发包人的要求使用，发包人的要求应通过监理人发出。</w:t>
      </w:r>
      <w:r>
        <w:rPr>
          <w:rFonts w:hint="eastAsia"/>
        </w:rPr>
        <w:t>合同当事人可以在专用合同条款中协商确定有关事项。</w:t>
      </w:r>
    </w:p>
    <w:bookmarkEnd w:id="932"/>
    <w:bookmarkEnd w:id="933"/>
    <w:bookmarkEnd w:id="934"/>
    <w:p>
      <w:bookmarkStart w:id="935" w:name="_Toc351203576"/>
      <w:r>
        <w:t>1</w:t>
      </w:r>
      <w:bookmarkStart w:id="936" w:name="_Toc296503091"/>
      <w:bookmarkStart w:id="937" w:name="_Toc296346592"/>
      <w:bookmarkStart w:id="938" w:name="_Toc337558796"/>
      <w:r>
        <w:t>0.9计日工</w:t>
      </w:r>
      <w:bookmarkEnd w:id="935"/>
      <w:r>
        <w:t xml:space="preserve"> </w:t>
      </w:r>
      <w:bookmarkEnd w:id="936"/>
      <w:bookmarkEnd w:id="937"/>
      <w:bookmarkEnd w:id="938"/>
    </w:p>
    <w:p>
      <w:r>
        <w:rPr>
          <w:rFonts w:hint="eastAsia"/>
        </w:rPr>
        <w:t>需要采用计日工方式的，经发包人同意后</w:t>
      </w:r>
      <w:r>
        <w:t>，由监理人通知承包人以计日工计价方式实施</w:t>
      </w:r>
      <w:r>
        <w:rPr>
          <w:rFonts w:hint="eastAsia"/>
        </w:rPr>
        <w:t>相应</w:t>
      </w:r>
      <w:r>
        <w:t>的工作，其价款按列入已标价工程量清单或预算书中的计日工计价项目及其单价进行计算；已标价工程量清单或预算书中无相应的计日工单价的，按照合理的成本与利润构成的原则，由合同当事人按照第4.4款</w:t>
      </w:r>
      <w:r>
        <w:rPr>
          <w:rFonts w:hint="eastAsia"/>
        </w:rPr>
        <w:t>〔</w:t>
      </w:r>
      <w:r>
        <w:t>商定或确定</w:t>
      </w:r>
      <w:r>
        <w:rPr>
          <w:rFonts w:hint="eastAsia"/>
        </w:rPr>
        <w:t>〕</w:t>
      </w:r>
      <w:r>
        <w:t>确定</w:t>
      </w:r>
      <w:r>
        <w:rPr>
          <w:rFonts w:hint="eastAsia"/>
        </w:rPr>
        <w:t>计日工</w:t>
      </w:r>
      <w:r>
        <w:t>的单价。</w:t>
      </w:r>
    </w:p>
    <w:p>
      <w:r>
        <w:t>采用计日工计价的任何一项工作，承包人应在该项工作实施过程中，每天提交以下报表和有关凭证报送监理人审查：</w:t>
      </w:r>
    </w:p>
    <w:p>
      <w:r>
        <w:t>（1）工作名称、内容和数量；</w:t>
      </w:r>
    </w:p>
    <w:p>
      <w:r>
        <w:t>（2）投入该工作的所有人员的姓名、专业、工种、级别和耗用工时；</w:t>
      </w:r>
    </w:p>
    <w:p>
      <w:r>
        <w:t>（3）投入该工作的材料类别和数量；</w:t>
      </w:r>
    </w:p>
    <w:p>
      <w:r>
        <w:t>（4）投入该工作的施工设备型号、台数和耗用台时；</w:t>
      </w:r>
    </w:p>
    <w:p>
      <w:r>
        <w:t>（5）其他有关资料和凭证。</w:t>
      </w:r>
    </w:p>
    <w:p>
      <w:r>
        <w:t xml:space="preserve"> 计日工由承包人汇总后，列入最近一期进度付款申请单，由监理人审查并经发包人批准后列入进度付款。</w:t>
      </w:r>
    </w:p>
    <w:p>
      <w:bookmarkStart w:id="939" w:name="_Toc351203577"/>
      <w:r>
        <w:t>11. 价格调整</w:t>
      </w:r>
      <w:bookmarkEnd w:id="939"/>
    </w:p>
    <w:p>
      <w:bookmarkStart w:id="940" w:name="_Toc351203578"/>
      <w:bookmarkStart w:id="941" w:name="_Toc337558797"/>
      <w:bookmarkStart w:id="942" w:name="_Toc296503092"/>
      <w:bookmarkStart w:id="943" w:name="_Toc296346593"/>
      <w:r>
        <w:t>11.1市场价格波动引起的调整</w:t>
      </w:r>
      <w:bookmarkEnd w:id="940"/>
    </w:p>
    <w:bookmarkEnd w:id="941"/>
    <w:bookmarkEnd w:id="942"/>
    <w:bookmarkEnd w:id="943"/>
    <w:p>
      <w:r>
        <w:t>除专用合同条款另有约定外，市场价格波动超过合同当事人约定的范围，合同价格应当调整。合同当事人可以在专用合同条款中约定选择以下一种方式对合同价格进行调整：</w:t>
      </w:r>
    </w:p>
    <w:p>
      <w:r>
        <w:t>第1种方式：采用价格指数</w:t>
      </w:r>
      <w:r>
        <w:rPr>
          <w:rFonts w:hint="eastAsia"/>
        </w:rPr>
        <w:t>进行价格</w:t>
      </w:r>
      <w:r>
        <w:t>调整。</w:t>
      </w:r>
    </w:p>
    <w:p>
      <w:r>
        <w:t>（1）价格调整公式</w:t>
      </w:r>
    </w:p>
    <w:p>
      <w:r>
        <w:t>因人工、材料和设备等价格波动影响合同价格时，根据专用合同条款中约定的数据，按以下公式计算差额并调整合同价格：</w:t>
      </w:r>
    </w:p>
    <w:p>
      <w:r>
        <w:object>
          <v:shape id="_x0000_i1025" o:spt="75" type="#_x0000_t75" style="height:46.5pt;width:360pt;" o:ole="t" filled="f" o:preferrelative="t" stroked="f" coordsize="21600,21600">
            <v:path/>
            <v:fill on="f" focussize="0,0"/>
            <v:stroke on="f" joinstyle="miter"/>
            <v:imagedata r:id="rId16" o:title=""/>
            <o:lock v:ext="edit" aspectratio="t"/>
            <w10:wrap type="none"/>
            <w10:anchorlock/>
          </v:shape>
          <o:OLEObject Type="Embed" ProgID="Equation.3" ShapeID="_x0000_i1025" DrawAspect="Content" ObjectID="_1468075725" r:id="rId15">
            <o:LockedField>false</o:LockedField>
          </o:OLEObject>
        </w:object>
      </w:r>
    </w:p>
    <w:p>
      <w:r>
        <w:t>公式中：ΔP——需调整的价格差额；</w:t>
      </w:r>
    </w:p>
    <w:p>
      <w:r>
        <w:object>
          <v:shape id="_x0000_i1026" o:spt="75" type="#_x0000_t75" style="height:18pt;width:18pt;" o:ole="t" filled="f" o:preferrelative="t" stroked="f" coordsize="21600,21600">
            <v:path/>
            <v:fill on="f" focussize="0,0"/>
            <v:stroke on="f" joinstyle="miter"/>
            <v:imagedata r:id="rId18" o:title=""/>
            <o:lock v:ext="edit" aspectratio="t"/>
            <w10:wrap type="none"/>
            <w10:anchorlock/>
          </v:shape>
          <o:OLEObject Type="Embed" ProgID="Equation.3" ShapeID="_x0000_i1026" DrawAspect="Content" ObjectID="_1468075726" r:id="rId17">
            <o:LockedField>false</o:LockedField>
          </o:OLEObject>
        </w:object>
      </w:r>
      <w:r>
        <w:t>——约定的付款证书中承包人应得到的已完成工程量的金额。此项金额应不包括价格调整、不计质量保证金的扣留和支付、预付款的支付和扣回。约定的变更及其他金额已按现行价格计价的，也不计在内；</w:t>
      </w:r>
    </w:p>
    <w:p>
      <w:r>
        <w:t>A——定值权重（即不调部分的权重）；</w:t>
      </w:r>
    </w:p>
    <w:p>
      <w:r>
        <w:object>
          <v:shape id="_x0000_i1027" o:spt="75" type="#_x0000_t75" style="height:22.5pt;width:102pt;" o:ole="t" filled="f" o:preferrelative="t" stroked="f" coordsize="21600,21600">
            <v:path/>
            <v:fill on="f" focussize="0,0"/>
            <v:stroke on="f" joinstyle="miter"/>
            <v:imagedata r:id="rId20" o:title=""/>
            <o:lock v:ext="edit" aspectratio="t"/>
            <w10:wrap type="none"/>
            <w10:anchorlock/>
          </v:shape>
          <o:OLEObject Type="Embed" ProgID="Equation.3" ShapeID="_x0000_i1027" DrawAspect="Content" ObjectID="_1468075727" r:id="rId19">
            <o:LockedField>false</o:LockedField>
          </o:OLEObject>
        </w:object>
      </w:r>
      <w:r>
        <w:t>——各可调因子的变值权重（即可调部分的权重），为各可调因子在签约合同价中所占的比例；</w:t>
      </w:r>
    </w:p>
    <w:p>
      <w:r>
        <w:object>
          <v:shape id="_x0000_i1028" o:spt="75" type="#_x0000_t75" style="height:18pt;width:102.05pt;" o:ole="t" filled="f" o:preferrelative="t" stroked="f" coordsize="21600,21600">
            <v:path/>
            <v:fill on="f" focussize="0,0"/>
            <v:stroke on="f" joinstyle="miter"/>
            <v:imagedata r:id="rId22" o:title=""/>
            <o:lock v:ext="edit" aspectratio="t"/>
            <w10:wrap type="none"/>
            <w10:anchorlock/>
          </v:shape>
          <o:OLEObject Type="Embed" ProgID="Equation.3" ShapeID="_x0000_i1028" DrawAspect="Content" ObjectID="_1468075728" r:id="rId21">
            <o:LockedField>false</o:LockedField>
          </o:OLEObject>
        </w:object>
      </w:r>
      <w:r>
        <w:t>——各可调因子的现行价格指数，指约定的付款证书相关周期最后一天的前42天的各可调因子的价格指数；</w:t>
      </w:r>
    </w:p>
    <w:p>
      <w:r>
        <w:object>
          <v:shape id="_x0000_i1029" o:spt="75" type="#_x0000_t75" style="height:18pt;width:111pt;" o:ole="t" filled="f" o:preferrelative="t" stroked="f" coordsize="21600,21600">
            <v:path/>
            <v:fill on="f" focussize="0,0"/>
            <v:stroke on="f" joinstyle="miter"/>
            <v:imagedata r:id="rId24" o:title=""/>
            <o:lock v:ext="edit" aspectratio="t"/>
            <w10:wrap type="none"/>
            <w10:anchorlock/>
          </v:shape>
          <o:OLEObject Type="Embed" ProgID="Equation.3" ShapeID="_x0000_i1029" DrawAspect="Content" ObjectID="_1468075729" r:id="rId23">
            <o:LockedField>false</o:LockedField>
          </o:OLEObject>
        </w:object>
      </w:r>
      <w:r>
        <w:t>——各可调因子的基本价格指数，指基准日期的各可调因子的价格指数。</w:t>
      </w:r>
    </w:p>
    <w:p>
      <w: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r>
        <w:t>（2）暂时确定调整差额</w:t>
      </w:r>
    </w:p>
    <w:p>
      <w:r>
        <w:t>在计算调整差额时无现行价格指数的，合同当事人同意暂用前次价格指数计算。实际价格指数有调整的，合同当事人进行相应调整。</w:t>
      </w:r>
    </w:p>
    <w:p>
      <w:r>
        <w:t>（3）权重的调整</w:t>
      </w:r>
    </w:p>
    <w:p>
      <w:r>
        <w:t>因变更导致合同约定的权重不合理时，按照第4.4款</w:t>
      </w:r>
      <w:r>
        <w:rPr>
          <w:rFonts w:hint="eastAsia"/>
        </w:rPr>
        <w:t>〔</w:t>
      </w:r>
      <w:r>
        <w:t>商定或确定</w:t>
      </w:r>
      <w:r>
        <w:rPr>
          <w:rFonts w:hint="eastAsia"/>
        </w:rPr>
        <w:t>〕</w:t>
      </w:r>
      <w:r>
        <w:t>执行。</w:t>
      </w:r>
    </w:p>
    <w:p>
      <w:r>
        <w:t>（4）因承包人原因工期延误后的价格调整</w:t>
      </w:r>
    </w:p>
    <w:p>
      <w:r>
        <w:t>因承包人原因未按期竣工的，对合同约定的竣工日期后继续施工的工程，在使用价格调整公式时，应采用计划竣工日期与实际竣工日期的两个价格指数中较低的一个作为现行价格指数。</w:t>
      </w:r>
    </w:p>
    <w:p>
      <w:r>
        <w:t>第2种方式：采用造价信息</w:t>
      </w:r>
      <w:r>
        <w:rPr>
          <w:rFonts w:hint="eastAsia"/>
        </w:rPr>
        <w:t>进行价格</w:t>
      </w:r>
      <w:r>
        <w:t>调整。</w:t>
      </w:r>
    </w:p>
    <w:p>
      <w: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w:t>
      </w:r>
      <w:r>
        <w:rPr>
          <w:rFonts w:hint="eastAsia"/>
        </w:rPr>
        <w:t>量</w:t>
      </w:r>
      <w:r>
        <w:t>应由发包人审批，发包人确认需调整的材料单价及数量，作为调整合同价格的依据。</w:t>
      </w:r>
    </w:p>
    <w:p>
      <w: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r>
        <w:t>（2）材料、工程设备价格变化的价款调整按照发包人提供的基准价格，按以下风险范围规定执行:</w:t>
      </w:r>
    </w:p>
    <w:p>
      <w:r>
        <w:rPr>
          <w:rFonts w:hint="eastAsia"/>
        </w:rPr>
        <w:t>①</w:t>
      </w:r>
      <w:r>
        <w:t>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r>
        <w:rPr>
          <w:rFonts w:hint="eastAsia"/>
        </w:rPr>
        <w:t>②</w:t>
      </w:r>
      <w:r>
        <w:t>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r>
        <w:rPr>
          <w:rFonts w:hint="eastAsia"/>
        </w:rPr>
        <w:t>③</w:t>
      </w:r>
      <w:r>
        <w:t>承包人在已标价工程量清单或预算书中载明材料单价等于基准价格的：除专用合同条款另有约定外，合同履行期间材料单价涨跌幅以基准价格为基础超过±5%时，其超过部分据实调整。</w:t>
      </w:r>
    </w:p>
    <w:p>
      <w:r>
        <w:rPr>
          <w:rFonts w:hint="eastAsia"/>
        </w:rPr>
        <w:t>④</w:t>
      </w:r>
      <w:r>
        <w:t>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r>
        <w:t>前述基准价格是指由发包人在招标文件或专用合同条款中给定的材料、工程设备的价格，该价格原则上应当按照省级或行业建设主管部门或其授权的工程造价管理机构发布的信息价编制。</w:t>
      </w:r>
    </w:p>
    <w:p>
      <w:r>
        <w:t>（3）施工机械台班单价或施工机械使用费发生变化超过省级或行业建设主管部门或其授权的工程造价管理机构规定的范围时，按规定调整合同价格。</w:t>
      </w:r>
    </w:p>
    <w:p>
      <w:r>
        <w:t>第3种方式：专用合同条款约定的其他方式。</w:t>
      </w:r>
    </w:p>
    <w:p>
      <w:bookmarkStart w:id="944" w:name="_Toc351203579"/>
      <w:bookmarkStart w:id="945" w:name="_Toc337558798"/>
      <w:bookmarkStart w:id="946" w:name="_Toc296346594"/>
      <w:bookmarkStart w:id="947" w:name="_Toc296503093"/>
      <w:r>
        <w:t>11.2法律变化引起的调整</w:t>
      </w:r>
      <w:bookmarkEnd w:id="944"/>
    </w:p>
    <w:bookmarkEnd w:id="945"/>
    <w:bookmarkEnd w:id="946"/>
    <w:bookmarkEnd w:id="947"/>
    <w:p>
      <w:r>
        <w:t>基准日</w:t>
      </w:r>
      <w:r>
        <w:rPr>
          <w:rFonts w:hint="eastAsia"/>
        </w:rPr>
        <w:t>期</w:t>
      </w:r>
      <w:r>
        <w:t>后，法律变化</w:t>
      </w:r>
      <w:r>
        <w:rPr>
          <w:rFonts w:hint="eastAsia"/>
        </w:rPr>
        <w:t>导致承包人在合同履行过程中所需要的费用发生除第11.1款〔市场价格波动引起的调整〕约定以外的增加时，由发包人承担由此增加的费用；减少时，应从合同价格中予以扣减。</w:t>
      </w:r>
      <w:r>
        <w:t>基准日</w:t>
      </w:r>
      <w:r>
        <w:rPr>
          <w:rFonts w:hint="eastAsia"/>
        </w:rPr>
        <w:t>期</w:t>
      </w:r>
      <w:r>
        <w:t>后，</w:t>
      </w:r>
      <w:r>
        <w:rPr>
          <w:rFonts w:hint="eastAsia"/>
        </w:rPr>
        <w:t>因</w:t>
      </w:r>
      <w:r>
        <w:t>法律变化</w:t>
      </w:r>
      <w:r>
        <w:rPr>
          <w:rFonts w:hint="eastAsia"/>
        </w:rPr>
        <w:t>造成工期延误时，工期应予以顺延。</w:t>
      </w:r>
    </w:p>
    <w:p>
      <w:r>
        <w:rPr>
          <w:rFonts w:hint="eastAsia"/>
        </w:rPr>
        <w:t>因法律变化引起的合同价格和工期调整，合同当事人无法达成一致的，由总监理工程师按第4.4款〔商定或确定〕的约定处理。</w:t>
      </w:r>
    </w:p>
    <w:p>
      <w:r>
        <w:t>因承包人原因造成工期延误，在工期延误期间出现法律变化的，由此增加的费用和（或）延误的工期由承包人承担。</w:t>
      </w:r>
    </w:p>
    <w:p>
      <w:bookmarkStart w:id="948" w:name="_Toc351203580"/>
      <w:bookmarkStart w:id="949" w:name="_Toc337558799"/>
      <w:bookmarkStart w:id="950" w:name="_Toc296346597"/>
      <w:bookmarkStart w:id="951" w:name="_Toc296503096"/>
      <w:r>
        <w:t>12. 合同价格、计量与支付</w:t>
      </w:r>
      <w:bookmarkEnd w:id="948"/>
    </w:p>
    <w:bookmarkEnd w:id="949"/>
    <w:p>
      <w:bookmarkStart w:id="952" w:name="_Toc351203581"/>
      <w:bookmarkStart w:id="953" w:name="_Toc337558800"/>
      <w:r>
        <w:t>12.1 合同价</w:t>
      </w:r>
      <w:bookmarkEnd w:id="950"/>
      <w:bookmarkEnd w:id="951"/>
      <w:r>
        <w:t>格形式</w:t>
      </w:r>
      <w:bookmarkEnd w:id="952"/>
    </w:p>
    <w:bookmarkEnd w:id="953"/>
    <w:p>
      <w:r>
        <w:t>发包人和承包人应在合同协议书中</w:t>
      </w:r>
      <w:r>
        <w:rPr>
          <w:rFonts w:hint="eastAsia"/>
        </w:rPr>
        <w:t>选择</w:t>
      </w:r>
      <w:r>
        <w:t xml:space="preserve">下列一种合同价格形式： </w:t>
      </w:r>
    </w:p>
    <w:p>
      <w:r>
        <w:t>1</w:t>
      </w:r>
      <w:r>
        <w:rPr>
          <w:rFonts w:hint="eastAsia"/>
        </w:rPr>
        <w:t>.</w:t>
      </w:r>
      <w:r>
        <w:t>单价合同</w:t>
      </w:r>
    </w:p>
    <w:p>
      <w: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w:t>
      </w:r>
      <w:r>
        <w:rPr>
          <w:rFonts w:hint="eastAsia"/>
        </w:rPr>
        <w:t>〔</w:t>
      </w:r>
      <w:r>
        <w:t>市场价格波动引起的调整</w:t>
      </w:r>
      <w:r>
        <w:rPr>
          <w:rFonts w:hint="eastAsia"/>
        </w:rPr>
        <w:t>〕</w:t>
      </w:r>
      <w:r>
        <w:t>约定执行。</w:t>
      </w:r>
    </w:p>
    <w:p>
      <w:r>
        <w:t>2</w:t>
      </w:r>
      <w:r>
        <w:rPr>
          <w:rFonts w:hint="eastAsia"/>
        </w:rPr>
        <w:t>.</w:t>
      </w:r>
      <w:r>
        <w:t>总价合同</w:t>
      </w:r>
    </w:p>
    <w:p>
      <w: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w:t>
      </w:r>
      <w:r>
        <w:rPr>
          <w:rFonts w:hint="eastAsia"/>
        </w:rPr>
        <w:t>〔</w:t>
      </w:r>
      <w:r>
        <w:t>市场价格波动引起的调整</w:t>
      </w:r>
      <w:r>
        <w:rPr>
          <w:rFonts w:hint="eastAsia"/>
        </w:rPr>
        <w:t>〕</w:t>
      </w:r>
      <w:r>
        <w:t>、因法律变化引起的调整按第11.2款</w:t>
      </w:r>
      <w:r>
        <w:rPr>
          <w:rFonts w:hint="eastAsia"/>
        </w:rPr>
        <w:t>〔</w:t>
      </w:r>
      <w:r>
        <w:t>法律变化引起的调整</w:t>
      </w:r>
      <w:r>
        <w:rPr>
          <w:rFonts w:hint="eastAsia"/>
        </w:rPr>
        <w:t>〕</w:t>
      </w:r>
      <w:r>
        <w:t>约定执行。</w:t>
      </w:r>
    </w:p>
    <w:p>
      <w:r>
        <w:t>3</w:t>
      </w:r>
      <w:r>
        <w:rPr>
          <w:rFonts w:hint="eastAsia"/>
        </w:rPr>
        <w:t>.</w:t>
      </w:r>
      <w:r>
        <w:t>其它价格形式</w:t>
      </w:r>
    </w:p>
    <w:p>
      <w:r>
        <w:t>合同当事人可在专用合同条款中约定其他合同价格形式。</w:t>
      </w:r>
    </w:p>
    <w:p>
      <w:bookmarkStart w:id="954" w:name="_Toc296503097"/>
      <w:bookmarkStart w:id="955" w:name="_Toc296346598"/>
      <w:bookmarkStart w:id="956" w:name="_Toc351203582"/>
      <w:bookmarkStart w:id="957" w:name="_Toc337558801"/>
      <w:r>
        <w:t>12.2预</w:t>
      </w:r>
      <w:bookmarkEnd w:id="954"/>
      <w:bookmarkEnd w:id="955"/>
      <w:bookmarkStart w:id="958" w:name="_Toc296346601"/>
      <w:bookmarkStart w:id="959" w:name="_Toc296503100"/>
      <w:r>
        <w:t>付款</w:t>
      </w:r>
      <w:bookmarkEnd w:id="956"/>
    </w:p>
    <w:bookmarkEnd w:id="957"/>
    <w:bookmarkEnd w:id="958"/>
    <w:bookmarkEnd w:id="959"/>
    <w:p>
      <w:r>
        <w:t>12.2.1预付款的支付</w:t>
      </w:r>
    </w:p>
    <w:p>
      <w:r>
        <w:t>预付款的支付按照专用合同条款约定执行，但至迟应在开工通知载明的开工日期7天前支付。预付款应当用于材料、工程设备、施工设备的采购及修建临时工程、组织施工队伍进场等。</w:t>
      </w:r>
    </w:p>
    <w:p>
      <w:r>
        <w:t>除专用合同条款另有约定外，预付款在进度付款中同比例扣回。在颁发工程接收证书前，提前解除合同的，尚未扣完的预付款应与合同价款一并结算。</w:t>
      </w:r>
    </w:p>
    <w:p>
      <w:r>
        <w:t>发包人逾期支付预付款超过7天的，承包人有权向发包人发出要求预付的催告通知，发包人收到通知后7天内仍未支付的，承包人有权暂停施工，并按第16.1.1项</w:t>
      </w:r>
      <w:r>
        <w:rPr>
          <w:rFonts w:hint="eastAsia"/>
        </w:rPr>
        <w:t>〔</w:t>
      </w:r>
      <w:r>
        <w:t>发包人违约的情形</w:t>
      </w:r>
      <w:r>
        <w:rPr>
          <w:rFonts w:hint="eastAsia"/>
        </w:rPr>
        <w:t>〕</w:t>
      </w:r>
      <w:r>
        <w:t>执行。</w:t>
      </w:r>
    </w:p>
    <w:p>
      <w:r>
        <w:t>12.2.2 预付款担保</w:t>
      </w:r>
    </w:p>
    <w:p>
      <w:r>
        <w:rPr>
          <w:rFonts w:hint="eastAsia"/>
        </w:rPr>
        <w:t>发包人要求承包人提供预付款担保的</w:t>
      </w:r>
      <w:r>
        <w:t>，承包人应在发包人支付预付款7天前提供预付款担保</w:t>
      </w:r>
      <w:r>
        <w:rPr>
          <w:rFonts w:hint="eastAsia"/>
        </w:rPr>
        <w:t>，</w:t>
      </w:r>
      <w:r>
        <w:t>专用合同条款另有约定</w:t>
      </w:r>
      <w:r>
        <w:rPr>
          <w:rFonts w:hint="eastAsia"/>
        </w:rPr>
        <w:t>除</w:t>
      </w:r>
      <w:r>
        <w:t>外。预付款担保可采用银行保函、担保公司担保等形式，具体由合同当事人在专用合同条款中约定。在预付款完全扣回之前，承包人应保证预付款担保持续有效。</w:t>
      </w:r>
    </w:p>
    <w:p>
      <w:r>
        <w:t>发包人在工程款中逐期扣回预付款后，预付款担保额度应相应减少，但剩余的预付款担保金额不得低于未被扣回的预付款金额。</w:t>
      </w:r>
    </w:p>
    <w:p>
      <w:bookmarkStart w:id="960" w:name="_Toc351203583"/>
      <w:bookmarkStart w:id="961" w:name="_Toc337558802"/>
      <w:r>
        <w:t>12.3计量</w:t>
      </w:r>
      <w:bookmarkEnd w:id="960"/>
    </w:p>
    <w:bookmarkEnd w:id="961"/>
    <w:p>
      <w:r>
        <w:t>12.3.1 计量原则</w:t>
      </w:r>
    </w:p>
    <w:p>
      <w:r>
        <w:t>工程量计量按照合同约定的工程量计算规则、图纸及变更指示</w:t>
      </w:r>
      <w:r>
        <w:rPr>
          <w:rFonts w:hint="eastAsia"/>
        </w:rPr>
        <w:t>等</w:t>
      </w:r>
      <w:r>
        <w:t>进行计量。工程量计算规则应以相关的国家标准、行业标准</w:t>
      </w:r>
      <w:r>
        <w:rPr>
          <w:rFonts w:hint="eastAsia"/>
        </w:rPr>
        <w:t>等</w:t>
      </w:r>
      <w:r>
        <w:t>为依据，由合同当事人在专用合同条款中约定。</w:t>
      </w:r>
    </w:p>
    <w:p>
      <w:r>
        <w:t>12.3.2 计量周期</w:t>
      </w:r>
    </w:p>
    <w:p>
      <w:r>
        <w:t>除专用合同条款另有约定外，工程量的计量按月进行。</w:t>
      </w:r>
    </w:p>
    <w:p>
      <w:r>
        <w:t>12.3.3 单价合同的计量</w:t>
      </w:r>
    </w:p>
    <w:p>
      <w:r>
        <w:t>除专用合同条款另有约定外，单价合同的计量按照本项约定执行：</w:t>
      </w:r>
    </w:p>
    <w:p>
      <w:r>
        <w:t>（1）承包人应于每月25日向监理人报送上月20日至当月19日已完成的工程量报告，并附具进度付款申请单、已完成工程量报表和有关资料。</w:t>
      </w:r>
    </w:p>
    <w:p>
      <w: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r>
        <w:t>（3）监理人未在收到承包人提交的工程量报表后的7天内完成审核的，承包人报送的工程量报告中的工程量视为承包人实际完成的工程量，据此计算工程价款。</w:t>
      </w:r>
    </w:p>
    <w:p>
      <w:r>
        <w:t>12.3.4 总价合同的计量</w:t>
      </w:r>
    </w:p>
    <w:p>
      <w:r>
        <w:t>除专用合同条款另有约定外，按</w:t>
      </w:r>
      <w:r>
        <w:rPr>
          <w:rFonts w:hint="eastAsia"/>
        </w:rPr>
        <w:t>月计量支付</w:t>
      </w:r>
      <w:r>
        <w:t>的总价合同，按照本项约定执行：</w:t>
      </w:r>
    </w:p>
    <w:p>
      <w:r>
        <w:t>（1）承包人应于每月25日向监理人报送上月20日至当月19日已完成的工程量报告，并附具进度付款申请单、已完成工程量报表和有关资料。</w:t>
      </w:r>
    </w:p>
    <w:p>
      <w: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r>
        <w:t>（3）监理人未在收到承包人提交的工程量报表后的7天内完成复核的，承包人提交的工程量报告中的工程量视为承包人实际完成的工程量。</w:t>
      </w:r>
    </w:p>
    <w:p>
      <w:r>
        <w:t>12.3.5 总价合同采用支付分解表计量支付的，可以按照第12.3.4项</w:t>
      </w:r>
      <w:r>
        <w:rPr>
          <w:rFonts w:hint="eastAsia"/>
        </w:rPr>
        <w:t>〔</w:t>
      </w:r>
      <w:r>
        <w:t>总价合同的计量</w:t>
      </w:r>
      <w:r>
        <w:rPr>
          <w:rFonts w:hint="eastAsia"/>
        </w:rPr>
        <w:t>〕</w:t>
      </w:r>
      <w:r>
        <w:t>约定进行计量，但合同价款按照支付分解表进行支付。</w:t>
      </w:r>
    </w:p>
    <w:p>
      <w:r>
        <w:t>12.3.6 其他价格形式合同的计量</w:t>
      </w:r>
    </w:p>
    <w:p>
      <w:r>
        <w:t>合同当事人可在专用合同条款中约定其他价格形式合同的计量方式和程序。</w:t>
      </w:r>
    </w:p>
    <w:p>
      <w:bookmarkStart w:id="962" w:name="_Toc296346602"/>
      <w:bookmarkStart w:id="963" w:name="_Toc296503101"/>
      <w:bookmarkStart w:id="964" w:name="_Toc351203584"/>
      <w:bookmarkStart w:id="965" w:name="_Toc337558803"/>
      <w:r>
        <w:t>12.4工程进度款支</w:t>
      </w:r>
      <w:bookmarkEnd w:id="962"/>
      <w:bookmarkEnd w:id="963"/>
      <w:r>
        <w:t>付</w:t>
      </w:r>
      <w:bookmarkEnd w:id="964"/>
    </w:p>
    <w:bookmarkEnd w:id="965"/>
    <w:p>
      <w:bookmarkStart w:id="966" w:name="_Toc3900426"/>
      <w:r>
        <w:t>12.4.1 付款周期</w:t>
      </w:r>
      <w:bookmarkEnd w:id="966"/>
    </w:p>
    <w:p>
      <w:r>
        <w:t>除专用合同条款另有约定外，付款周期应按照第12.3.2</w:t>
      </w:r>
      <w:r>
        <w:rPr>
          <w:rFonts w:hint="eastAsia"/>
        </w:rPr>
        <w:t>项〔</w:t>
      </w:r>
      <w:r>
        <w:t>计量周期</w:t>
      </w:r>
      <w:r>
        <w:rPr>
          <w:rFonts w:hint="eastAsia"/>
        </w:rPr>
        <w:t>〕</w:t>
      </w:r>
      <w:r>
        <w:t>的约定与计量周期保持一致。</w:t>
      </w:r>
    </w:p>
    <w:p>
      <w:r>
        <w:t>12.4.2 进度付款申请单的编制</w:t>
      </w:r>
    </w:p>
    <w:p>
      <w:r>
        <w:t>除专用合同条款另有约定外，进度付款申请单应包括下列内容：</w:t>
      </w:r>
    </w:p>
    <w:p>
      <w:r>
        <w:t>（1）截至本次付款周期已完成工作对应的金额；</w:t>
      </w:r>
    </w:p>
    <w:p>
      <w:r>
        <w:t>（2）根据第10条</w:t>
      </w:r>
      <w:r>
        <w:rPr>
          <w:rFonts w:hint="eastAsia"/>
        </w:rPr>
        <w:t>〔</w:t>
      </w:r>
      <w:r>
        <w:t>变更</w:t>
      </w:r>
      <w:r>
        <w:rPr>
          <w:rFonts w:hint="eastAsia"/>
        </w:rPr>
        <w:t>〕</w:t>
      </w:r>
      <w:r>
        <w:t>应增加和扣减的变更金额；</w:t>
      </w:r>
    </w:p>
    <w:p>
      <w:r>
        <w:t>（3）根据第12.2款</w:t>
      </w:r>
      <w:r>
        <w:rPr>
          <w:rFonts w:hint="eastAsia"/>
        </w:rPr>
        <w:t>〔</w:t>
      </w:r>
      <w:r>
        <w:t>预付款</w:t>
      </w:r>
      <w:r>
        <w:rPr>
          <w:rFonts w:hint="eastAsia"/>
        </w:rPr>
        <w:t>〕</w:t>
      </w:r>
      <w:r>
        <w:t>约定应支付的预付款和扣减的返还预付款；</w:t>
      </w:r>
    </w:p>
    <w:p>
      <w:r>
        <w:t>（4）根据第15.3款</w:t>
      </w:r>
      <w:r>
        <w:rPr>
          <w:rFonts w:hint="eastAsia"/>
        </w:rPr>
        <w:t>〔</w:t>
      </w:r>
      <w:r>
        <w:t>质量保证金</w:t>
      </w:r>
      <w:r>
        <w:rPr>
          <w:rFonts w:hint="eastAsia"/>
        </w:rPr>
        <w:t>〕</w:t>
      </w:r>
      <w:r>
        <w:t>约定应扣减的质量保证金；</w:t>
      </w:r>
    </w:p>
    <w:p>
      <w:r>
        <w:t>（5）根据第19条</w:t>
      </w:r>
      <w:r>
        <w:rPr>
          <w:rFonts w:hint="eastAsia"/>
        </w:rPr>
        <w:t>〔</w:t>
      </w:r>
      <w:r>
        <w:t>索赔</w:t>
      </w:r>
      <w:r>
        <w:rPr>
          <w:rFonts w:hint="eastAsia"/>
        </w:rPr>
        <w:t>〕</w:t>
      </w:r>
      <w:r>
        <w:t>应增加和扣减的索赔金额；</w:t>
      </w:r>
    </w:p>
    <w:p>
      <w:r>
        <w:t>（6）对已签发的进度款支付证书中出现错误的修正，应在本次进度付款中支付或扣除的金额；</w:t>
      </w:r>
    </w:p>
    <w:p>
      <w:r>
        <w:t>（7）根据合同约定应增加和扣减的其他金额。</w:t>
      </w:r>
    </w:p>
    <w:p>
      <w:bookmarkStart w:id="967" w:name="_Toc3900427"/>
      <w:r>
        <w:t>12.4.3 进度付款申请单的提交</w:t>
      </w:r>
      <w:bookmarkEnd w:id="967"/>
    </w:p>
    <w:p>
      <w:r>
        <w:t>（1）单价合同进度付款申请单的提交</w:t>
      </w:r>
    </w:p>
    <w:p>
      <w:r>
        <w:t>单价合同的进度付款申请单，按照第12.3.3项</w:t>
      </w:r>
      <w:r>
        <w:rPr>
          <w:rFonts w:hint="eastAsia"/>
        </w:rPr>
        <w:t>〔</w:t>
      </w:r>
      <w:r>
        <w:t>单价合同的计量</w:t>
      </w:r>
      <w:r>
        <w:rPr>
          <w:rFonts w:hint="eastAsia"/>
        </w:rPr>
        <w:t>〕</w:t>
      </w:r>
      <w:r>
        <w:t>约定的时间按月向监理人提交，并附上已完成工程量报表和有关资料。单价合同中的总价项目按月进行支付分解，并汇总列入当期进度付款申请单。</w:t>
      </w:r>
    </w:p>
    <w:p>
      <w:r>
        <w:t>（2）总价合同进度付款申请单的提交</w:t>
      </w:r>
    </w:p>
    <w:p>
      <w:r>
        <w:t>总价合同按</w:t>
      </w:r>
      <w:r>
        <w:rPr>
          <w:rFonts w:hint="eastAsia"/>
        </w:rPr>
        <w:t>月计量支付的</w:t>
      </w:r>
      <w:r>
        <w:t>，承包人按照第12.3.4项</w:t>
      </w:r>
      <w:r>
        <w:rPr>
          <w:rFonts w:hint="eastAsia"/>
        </w:rPr>
        <w:t>〔</w:t>
      </w:r>
      <w:r>
        <w:t>总价合同的计量</w:t>
      </w:r>
      <w:r>
        <w:rPr>
          <w:rFonts w:hint="eastAsia"/>
        </w:rPr>
        <w:t>〕</w:t>
      </w:r>
      <w:r>
        <w:t>约定的时间按月向监理人提交进度付款申请单，并附上已完成工程量报表和有关资料。</w:t>
      </w:r>
    </w:p>
    <w:p>
      <w:r>
        <w:t>总价合同按支付分解表支付的，承包人应按照第12.4.6项</w:t>
      </w:r>
      <w:r>
        <w:rPr>
          <w:rFonts w:hint="eastAsia"/>
        </w:rPr>
        <w:t>〔</w:t>
      </w:r>
      <w:r>
        <w:t>支付分解表</w:t>
      </w:r>
      <w:r>
        <w:rPr>
          <w:rFonts w:hint="eastAsia"/>
        </w:rPr>
        <w:t>〕</w:t>
      </w:r>
      <w:r>
        <w:t>及第12.4.2项</w:t>
      </w:r>
      <w:r>
        <w:rPr>
          <w:rFonts w:hint="eastAsia"/>
        </w:rPr>
        <w:t>〔</w:t>
      </w:r>
      <w:r>
        <w:t>进度付款申请单的编制</w:t>
      </w:r>
      <w:r>
        <w:rPr>
          <w:rFonts w:hint="eastAsia"/>
        </w:rPr>
        <w:t>〕</w:t>
      </w:r>
      <w:r>
        <w:t>的约定向监理人提交进度付款申请单。</w:t>
      </w:r>
    </w:p>
    <w:p>
      <w:r>
        <w:t>（3）其他价格形式合同的进度付款申请单的提交</w:t>
      </w:r>
    </w:p>
    <w:p>
      <w:r>
        <w:t>合同当事人可在专用合同条款中约定其他价格形式合同的进度付款申请单的编制和提交程序。</w:t>
      </w:r>
    </w:p>
    <w:p>
      <w:r>
        <w:t>12.4.4 进度款审核和支付</w:t>
      </w:r>
    </w:p>
    <w:p>
      <w:r>
        <w:t>（1）除专用合同条款另有约定外，监理人应在收到承包人进度付款申请单以及相关资料后7天内完成审查并报送发包人，发包人应在收到后7天内完成审批并签发进度款支付证书。发包人逾期未完成</w:t>
      </w:r>
      <w:r>
        <w:rPr>
          <w:rFonts w:hint="eastAsia"/>
        </w:rPr>
        <w:t>审批</w:t>
      </w:r>
      <w:r>
        <w:t>且未提出异议的，视为已签发进度款支付证书。</w:t>
      </w:r>
    </w:p>
    <w:p>
      <w: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w:t>
      </w:r>
      <w:r>
        <w:rPr>
          <w:rFonts w:hint="eastAsia"/>
        </w:rPr>
        <w:t>〔</w:t>
      </w:r>
      <w:r>
        <w:t>争议解决</w:t>
      </w:r>
      <w:r>
        <w:rPr>
          <w:rFonts w:hint="eastAsia"/>
        </w:rPr>
        <w:t>〕</w:t>
      </w:r>
      <w:r>
        <w:t>的约定处理。</w:t>
      </w:r>
    </w:p>
    <w:p>
      <w:r>
        <w:t>（2）除专用合同条款另有约定外，发包人应在进度款支付证书或临时进度款支付证书签发后14天内完成支付，发包人逾期支付进度款的，应按照中国人民银行发布的同期同类贷款基准利率支付违约金。</w:t>
      </w:r>
    </w:p>
    <w:p>
      <w:r>
        <w:t>（3）发包人签发进度款支付证书或临时进度款支付证书，不表明发包人已同意、批准或接受了承包人完成的相应部分的工作。</w:t>
      </w:r>
    </w:p>
    <w:p>
      <w:r>
        <w:t>12.4.5 进度付款的修正</w:t>
      </w:r>
    </w:p>
    <w:p>
      <w:r>
        <w:t>在对已签发的进度款支付证书进行阶段汇总和复核中发现错误、遗漏或重复的，发包人和承包人均有权提出修正申请。经发包人和承包人同意的修正，应在下期进度付款中支付或扣除。</w:t>
      </w:r>
    </w:p>
    <w:p>
      <w:r>
        <w:t>12.4.6 支付分解表</w:t>
      </w:r>
    </w:p>
    <w:p>
      <w:r>
        <w:t>1</w:t>
      </w:r>
      <w:r>
        <w:rPr>
          <w:rFonts w:hint="eastAsia"/>
        </w:rPr>
        <w:t>.</w:t>
      </w:r>
      <w:r>
        <w:t>支付分解表的编制要求</w:t>
      </w:r>
    </w:p>
    <w:p>
      <w:r>
        <w:t>（1）支付分解表中所列的每期付款金额，应为第12.4.2项</w:t>
      </w:r>
      <w:r>
        <w:rPr>
          <w:rFonts w:hint="eastAsia"/>
        </w:rPr>
        <w:t>〔</w:t>
      </w:r>
      <w:r>
        <w:t>进度付款申请单的编制</w:t>
      </w:r>
      <w:r>
        <w:rPr>
          <w:rFonts w:hint="eastAsia"/>
        </w:rPr>
        <w:t>〕</w:t>
      </w:r>
      <w:r>
        <w:t>第（1）</w:t>
      </w:r>
      <w:r>
        <w:rPr>
          <w:rFonts w:hint="eastAsia"/>
        </w:rPr>
        <w:t>目</w:t>
      </w:r>
      <w:r>
        <w:t>的估算金额；</w:t>
      </w:r>
    </w:p>
    <w:p>
      <w:r>
        <w:t>（2）实际进度与施工进度计划不一致的，合同当事人可按照第4.4款</w:t>
      </w:r>
      <w:r>
        <w:rPr>
          <w:rFonts w:hint="eastAsia"/>
        </w:rPr>
        <w:t>〔</w:t>
      </w:r>
      <w:r>
        <w:t>商定或确定</w:t>
      </w:r>
      <w:r>
        <w:rPr>
          <w:rFonts w:hint="eastAsia"/>
        </w:rPr>
        <w:t>〕</w:t>
      </w:r>
      <w:r>
        <w:t>修改支付分解表；</w:t>
      </w:r>
    </w:p>
    <w:p>
      <w:r>
        <w:t>（3）不采用支付分解表的，承包人应向发包人和监理人提交按季度编制的支付估算分解表，用于支付参考。</w:t>
      </w:r>
    </w:p>
    <w:p>
      <w:r>
        <w:t>2</w:t>
      </w:r>
      <w:r>
        <w:rPr>
          <w:rFonts w:hint="eastAsia"/>
        </w:rPr>
        <w:t>.</w:t>
      </w:r>
      <w:r>
        <w:t>总价合同支付分解表的编制与审批</w:t>
      </w:r>
    </w:p>
    <w:p>
      <w:r>
        <w:t>（1）除专用合同条款另有约定外，承包人应根据第7.2款</w:t>
      </w:r>
      <w:r>
        <w:rPr>
          <w:rFonts w:hint="eastAsia"/>
        </w:rPr>
        <w:t>〔</w:t>
      </w:r>
      <w:r>
        <w:t>施工进度计划</w:t>
      </w:r>
      <w:r>
        <w:rPr>
          <w:rFonts w:hint="eastAsia"/>
        </w:rPr>
        <w:t>〕</w:t>
      </w:r>
      <w:r>
        <w:t>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r>
        <w:t>（2）监理人应在收到支付分解表后7天内完成审核并报送发包人。发包人应在收到经监理人审核的支付分解表后7天内完成审批，经发包人批准的支付分解表为有约束力的支付分解表。</w:t>
      </w:r>
    </w:p>
    <w:p>
      <w:r>
        <w:t xml:space="preserve">    （3）发包人逾期未完成支付分解表</w:t>
      </w:r>
      <w:r>
        <w:rPr>
          <w:rFonts w:hint="eastAsia"/>
        </w:rPr>
        <w:t>审批</w:t>
      </w:r>
      <w:r>
        <w:t>的，也未及时要求承包人进行修正和提供补充资料的，则承包人提交的支付分解表视为已经获得发包人批准。</w:t>
      </w:r>
    </w:p>
    <w:p>
      <w:r>
        <w:t>3</w:t>
      </w:r>
      <w:r>
        <w:rPr>
          <w:rFonts w:hint="eastAsia"/>
        </w:rPr>
        <w:t>.</w:t>
      </w:r>
      <w:r>
        <w:t>单价合同的总价项目支付分解表的编制与审批</w:t>
      </w:r>
    </w:p>
    <w:p>
      <w: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bookmarkStart w:id="968" w:name="_Toc351203585"/>
      <w:r>
        <w:t>12.5支付账户</w:t>
      </w:r>
      <w:bookmarkEnd w:id="968"/>
    </w:p>
    <w:p>
      <w:r>
        <w:t>发包人应将合同价款支付至合同协议书中约定的承包人账户。</w:t>
      </w:r>
    </w:p>
    <w:p>
      <w:bookmarkStart w:id="969" w:name="_Toc351203586"/>
      <w:bookmarkStart w:id="970" w:name="_Toc337558804"/>
      <w:bookmarkStart w:id="971" w:name="_Toc322522574"/>
      <w:bookmarkStart w:id="972" w:name="_Toc296346607"/>
      <w:bookmarkStart w:id="973" w:name="_Toc296503106"/>
      <w:r>
        <w:t>13. 验收和工程试车</w:t>
      </w:r>
      <w:bookmarkEnd w:id="969"/>
    </w:p>
    <w:bookmarkEnd w:id="970"/>
    <w:bookmarkEnd w:id="971"/>
    <w:bookmarkEnd w:id="972"/>
    <w:bookmarkEnd w:id="973"/>
    <w:p>
      <w:bookmarkStart w:id="974" w:name="_Toc351203587"/>
      <w:bookmarkStart w:id="975" w:name="_Toc337558805"/>
      <w:bookmarkStart w:id="976" w:name="_Toc296503110"/>
      <w:bookmarkStart w:id="977" w:name="_Toc296346611"/>
      <w:r>
        <w:t>13.1分部分项工程验收</w:t>
      </w:r>
      <w:bookmarkEnd w:id="974"/>
    </w:p>
    <w:bookmarkEnd w:id="975"/>
    <w:p>
      <w:r>
        <w:t>13.1.1 分部分项工程质量应符合国家有关工程施工验收规范、标准及合同约定，承包人应按照施工组织设计的要求完成分部分项工程施工。</w:t>
      </w:r>
    </w:p>
    <w:p>
      <w: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r>
        <w:t>分部分项工程的验收资料应当作为竣工资料的组成部分。</w:t>
      </w:r>
    </w:p>
    <w:p>
      <w:bookmarkStart w:id="978" w:name="_Toc351203588"/>
      <w:bookmarkStart w:id="979" w:name="_Toc337558806"/>
      <w:r>
        <w:t>13.2竣工验收</w:t>
      </w:r>
      <w:bookmarkEnd w:id="978"/>
    </w:p>
    <w:bookmarkEnd w:id="976"/>
    <w:bookmarkEnd w:id="977"/>
    <w:bookmarkEnd w:id="979"/>
    <w:p>
      <w:r>
        <w:t>13.2.1竣工验收条件</w:t>
      </w:r>
    </w:p>
    <w:p>
      <w:r>
        <w:t>工程具备以下条件的，承包人可以申请竣工验收：</w:t>
      </w:r>
    </w:p>
    <w:p>
      <w:r>
        <w:t>（1）除发包人同意的甩项</w:t>
      </w:r>
      <w:r>
        <w:rPr>
          <w:rFonts w:hint="eastAsia"/>
        </w:rPr>
        <w:t>工作</w:t>
      </w:r>
      <w:r>
        <w:t>和缺陷修补工作外，合同范围内的全部工程以及有关工作，包括合同要求的试验、试运行以及检验均已完成，并符合合同要求；</w:t>
      </w:r>
    </w:p>
    <w:p>
      <w:r>
        <w:t>（2）已按合同约定编制了甩项</w:t>
      </w:r>
      <w:r>
        <w:rPr>
          <w:rFonts w:hint="eastAsia"/>
        </w:rPr>
        <w:t>工作</w:t>
      </w:r>
      <w:r>
        <w:t>和缺陷修补工作清单以及相应的施工计划；</w:t>
      </w:r>
    </w:p>
    <w:p>
      <w:r>
        <w:t>（3）已按合同约定的内容和份数备齐竣工资料。</w:t>
      </w:r>
    </w:p>
    <w:p>
      <w:r>
        <w:t>13.2.2竣工验收程序</w:t>
      </w:r>
    </w:p>
    <w:p>
      <w:r>
        <w:t>除专用合同条款另有约定外，承包人申请竣工验收的，应当按照以下程序进行：</w:t>
      </w:r>
    </w:p>
    <w:p>
      <w: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r>
        <w:t>（2）监理人审查后认为已具备竣工验收条件的，应将竣工验收申请报告提交发包人，发包人应在收到</w:t>
      </w:r>
      <w:r>
        <w:rPr>
          <w:rFonts w:hint="eastAsia"/>
        </w:rPr>
        <w:t>经</w:t>
      </w:r>
      <w:r>
        <w:t>监理人审核的竣工验收申请报告后28天内</w:t>
      </w:r>
      <w:r>
        <w:rPr>
          <w:rFonts w:hint="eastAsia"/>
        </w:rPr>
        <w:t>审批</w:t>
      </w:r>
      <w:r>
        <w:t>完毕并组织监理人、承包人、设计人等相关单位完成竣工验收。</w:t>
      </w:r>
    </w:p>
    <w:p>
      <w:r>
        <w:t>（3）竣工验收合格的，发包人应在验收合格后14天内向承包人签发工程接收证书。发包人无正当理由逾期不颁发工程接收证书的，自验收合格后第15天起视为已颁发工程接收证书。</w:t>
      </w:r>
    </w:p>
    <w:p>
      <w: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r>
        <w:t>（5）工程未经验收或验收不合格，发包人擅自使用的，应在转移占有工程后7天内向承包人颁发工程接收证书；发包人无正当理由逾期不颁发工程接收证书的，自转移占有后第15天起视为已颁发工程接收证书。</w:t>
      </w:r>
    </w:p>
    <w:p>
      <w:r>
        <w:t>除专用合同条款另有约定外，发包人不按照本项约定组织竣工验收、颁发工程接收证书的，每逾期一天，应以签约合同价为基数，按照中国人民银行发布的同期同类贷款基准利率支付违约金。</w:t>
      </w:r>
    </w:p>
    <w:p>
      <w:r>
        <w:t>13.2.3竣工日期</w:t>
      </w:r>
    </w:p>
    <w:p>
      <w:r>
        <w:t>工程经竣工验收合格的，以承包人提交竣工验收申请报告之日为实际竣工日期，并在工程接收证书中载明；因发包人原因，未在监理人收到承包人提交的竣工验收申请报告42天内完成</w:t>
      </w:r>
      <w:r>
        <w:rPr>
          <w:rFonts w:hint="eastAsia"/>
        </w:rPr>
        <w:t>竣工</w:t>
      </w:r>
      <w:r>
        <w:t>验收</w:t>
      </w:r>
      <w:r>
        <w:rPr>
          <w:rFonts w:hint="eastAsia"/>
        </w:rPr>
        <w:t>，或完成竣工验收不予签发工程接收证书</w:t>
      </w:r>
      <w:r>
        <w:t>的，以提交竣工验</w:t>
      </w:r>
      <w:bookmarkStart w:id="980" w:name="#go14"/>
      <w:bookmarkEnd w:id="980"/>
      <w:r>
        <w:t>收申请报告的日期为实际竣工日期；工程未经竣工验收，发包人擅自使用的，以转移占有工程之日为实际竣工日期。</w:t>
      </w:r>
    </w:p>
    <w:p>
      <w:bookmarkStart w:id="981" w:name="_Toc3900428"/>
      <w:r>
        <w:t>13.2.4 拒绝接收全部或部分工程</w:t>
      </w:r>
      <w:bookmarkEnd w:id="981"/>
    </w:p>
    <w:p>
      <w:r>
        <w:t>对于竣工验收不合格的工程，承包人完成整改后，</w:t>
      </w:r>
      <w:r>
        <w:rPr>
          <w:rFonts w:hint="eastAsia"/>
        </w:rPr>
        <w:t>应当</w:t>
      </w:r>
      <w:r>
        <w:t>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r>
        <w:t>13.2.5 移交、接收全部与部分工程</w:t>
      </w:r>
    </w:p>
    <w:p>
      <w:r>
        <w:rPr>
          <w:rFonts w:hint="eastAsia"/>
        </w:rPr>
        <w:t>除专用合同条款另有约定外，</w:t>
      </w:r>
      <w:r>
        <w:t>合同当事人应当在颁发工程接收证书</w:t>
      </w:r>
      <w:r>
        <w:rPr>
          <w:rFonts w:hint="eastAsia"/>
        </w:rPr>
        <w:t>后7天内</w:t>
      </w:r>
      <w:r>
        <w:t>完成工程的移交。</w:t>
      </w:r>
    </w:p>
    <w:p>
      <w:r>
        <w:t>发包人无正当理由不接收工程的，发包人自</w:t>
      </w:r>
      <w:r>
        <w:rPr>
          <w:rFonts w:hint="eastAsia"/>
        </w:rPr>
        <w:t>应当接收工程</w:t>
      </w:r>
      <w:r>
        <w:t>之日起，承担工程照管、成品保护、保管等与工程有关的各项费用</w:t>
      </w:r>
      <w:r>
        <w:rPr>
          <w:rFonts w:hint="eastAsia"/>
        </w:rPr>
        <w:t>，合同当事人可以在专用合同条款中另行约定发包人逾期接收工程的违约责任</w:t>
      </w:r>
      <w:r>
        <w:t>。</w:t>
      </w:r>
    </w:p>
    <w:p>
      <w:r>
        <w:t>承包人无正当理由不移交工程的，</w:t>
      </w:r>
      <w:r>
        <w:rPr>
          <w:rFonts w:hint="eastAsia"/>
        </w:rPr>
        <w:t>承包人应承担</w:t>
      </w:r>
      <w:r>
        <w:t>工程照管、成品保护、保管等与工程有关的各项费用</w:t>
      </w:r>
      <w:r>
        <w:rPr>
          <w:rFonts w:hint="eastAsia"/>
        </w:rPr>
        <w:t>，合同当事人可以在专用合同条款中另行约定承包人无正当理由不移交工程的违约责任</w:t>
      </w:r>
      <w:r>
        <w:t>。</w:t>
      </w:r>
    </w:p>
    <w:p>
      <w:bookmarkStart w:id="982" w:name="_Toc351203589"/>
      <w:bookmarkStart w:id="983" w:name="_Toc337558807"/>
      <w:bookmarkStart w:id="984" w:name="_Toc296346612"/>
      <w:bookmarkStart w:id="985" w:name="_Toc296503111"/>
      <w:r>
        <w:t>13.3工程试车</w:t>
      </w:r>
      <w:bookmarkEnd w:id="982"/>
    </w:p>
    <w:bookmarkEnd w:id="983"/>
    <w:bookmarkEnd w:id="984"/>
    <w:bookmarkEnd w:id="985"/>
    <w:p>
      <w:r>
        <w:t>13.3.1试车程序</w:t>
      </w:r>
    </w:p>
    <w:p>
      <w:r>
        <w:t>工程需要试车的，除专用合同条款另有约定外，试车内容应与承包人承包范围相一致，试车费用由承包人承担。工程试车应按如下程序进行：</w:t>
      </w:r>
    </w:p>
    <w:p>
      <w: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r>
        <w:t>13.3.2 试车中的责任</w:t>
      </w:r>
    </w:p>
    <w:p>
      <w: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r>
        <w:t>13.3.3 投料试车</w:t>
      </w:r>
    </w:p>
    <w:p>
      <w:r>
        <w:rPr>
          <w:rFonts w:hint="eastAsia"/>
        </w:rPr>
        <w:t>如需进行投料试车的，</w:t>
      </w:r>
      <w:r>
        <w:t>发包人</w:t>
      </w:r>
      <w:r>
        <w:rPr>
          <w:rFonts w:hint="eastAsia"/>
        </w:rPr>
        <w:t>应在</w:t>
      </w:r>
      <w:r>
        <w:t>工程竣工验收后</w:t>
      </w:r>
      <w:r>
        <w:rPr>
          <w:rFonts w:hint="eastAsia"/>
        </w:rPr>
        <w:t>组织</w:t>
      </w:r>
      <w:r>
        <w:t>投料试车</w:t>
      </w:r>
      <w:r>
        <w:rPr>
          <w:rFonts w:hint="eastAsia"/>
        </w:rPr>
        <w:t>。</w:t>
      </w:r>
      <w:r>
        <w:t>发包人要求在工程竣工验收前进行或需要承包人配合时，应征得承包人同意</w:t>
      </w:r>
      <w:r>
        <w:rPr>
          <w:rFonts w:hint="eastAsia"/>
        </w:rPr>
        <w:t>，并在专用合同条款中约定有关事项</w:t>
      </w:r>
      <w:r>
        <w:t>。</w:t>
      </w:r>
    </w:p>
    <w:p>
      <w:r>
        <w:t>投料试车合格的，费用由发包人承担；因承包人原因造成投料试车不合格的，承包人应按照发包人要求进行整改，由此产生的整改费用由承包人承担；非因承包人原因导致投料试车不合格的，</w:t>
      </w:r>
      <w:r>
        <w:rPr>
          <w:rFonts w:hint="eastAsia"/>
        </w:rPr>
        <w:t>如</w:t>
      </w:r>
      <w:r>
        <w:t>发包人要求承包人进行整改</w:t>
      </w:r>
      <w:r>
        <w:rPr>
          <w:rFonts w:hint="eastAsia"/>
        </w:rPr>
        <w:t>的</w:t>
      </w:r>
      <w:r>
        <w:t>，由此产生的费用由发包人承担。</w:t>
      </w:r>
    </w:p>
    <w:p>
      <w:bookmarkStart w:id="986" w:name="_Toc351203590"/>
      <w:bookmarkStart w:id="987" w:name="_Toc337558808"/>
      <w:r>
        <w:t xml:space="preserve">   13.4提前交付单位工程的验收</w:t>
      </w:r>
      <w:bookmarkEnd w:id="986"/>
    </w:p>
    <w:bookmarkEnd w:id="987"/>
    <w:p>
      <w:r>
        <w:t>13.4.1 发包人需要在工程竣工前使用单位工程的，或承包人提出提前交付已经竣工的单位工程且经发包人同意的，可进行单位工程验收，验收的程序按照第13.2款</w:t>
      </w:r>
      <w:r>
        <w:rPr>
          <w:rFonts w:hint="eastAsia"/>
        </w:rPr>
        <w:t>〔</w:t>
      </w:r>
      <w:r>
        <w:t>竣工验收</w:t>
      </w:r>
      <w:r>
        <w:rPr>
          <w:rFonts w:hint="eastAsia"/>
        </w:rPr>
        <w:t>〕</w:t>
      </w:r>
      <w:r>
        <w:t>的约定进行。</w:t>
      </w:r>
    </w:p>
    <w:p>
      <w:r>
        <w:t>验收合格后，由监理人向承包人出具经发包人签认的单位工程接收证书。已签发单位工程接收证书的单位工程由发包人负责照管。单位工程的验收成果和结论作为整体工程竣工验收申请报告的附件。</w:t>
      </w:r>
    </w:p>
    <w:p>
      <w:r>
        <w:t>13.4.2 发包人要求在工程竣工前交付单位工程，由此导致承包人费用增加和（或）工期延误的，由发包人承担由此增加的费用和（或）延误的工期，并支付承包人合理的利润。</w:t>
      </w:r>
    </w:p>
    <w:p>
      <w:bookmarkStart w:id="988" w:name="_Toc351203591"/>
      <w:r>
        <w:t>13.5 施工期运行</w:t>
      </w:r>
      <w:bookmarkEnd w:id="988"/>
    </w:p>
    <w:p>
      <w:r>
        <w:t>13.5.1 施工期运行是指合同工程尚未全部竣工，其中某项或某几项单位工程或工程设备安装已竣工，根据专用合同条款约定，需要投入施工期运行的，经发包人按第13.4款</w:t>
      </w:r>
      <w:r>
        <w:rPr>
          <w:rFonts w:hint="eastAsia"/>
        </w:rPr>
        <w:t>〔</w:t>
      </w:r>
      <w:r>
        <w:t>提前交付单位工程的验收</w:t>
      </w:r>
      <w:r>
        <w:rPr>
          <w:rFonts w:hint="eastAsia"/>
        </w:rPr>
        <w:t>〕</w:t>
      </w:r>
      <w:r>
        <w:t>的约定验收合格，证明能确保安全后，才能在施工期投入运行。</w:t>
      </w:r>
    </w:p>
    <w:p>
      <w:r>
        <w:t>13.5.2 在施工期运行中发现工程或工程设备损坏或存在缺陷的，由承包人按第15.2款</w:t>
      </w:r>
      <w:r>
        <w:rPr>
          <w:rFonts w:hint="eastAsia"/>
        </w:rPr>
        <w:t>〔</w:t>
      </w:r>
      <w:r>
        <w:t>缺陷责任期</w:t>
      </w:r>
      <w:r>
        <w:rPr>
          <w:rFonts w:hint="eastAsia"/>
        </w:rPr>
        <w:t>〕</w:t>
      </w:r>
      <w:r>
        <w:t>约定进行修复。</w:t>
      </w:r>
    </w:p>
    <w:p>
      <w:bookmarkStart w:id="989" w:name="_Toc296503112"/>
      <w:bookmarkStart w:id="990" w:name="_Toc296346613"/>
      <w:bookmarkStart w:id="991" w:name="_Toc351203592"/>
      <w:bookmarkStart w:id="992" w:name="_Toc337558809"/>
      <w:r>
        <w:t>13.6 竣工退</w:t>
      </w:r>
      <w:bookmarkEnd w:id="989"/>
      <w:bookmarkEnd w:id="990"/>
      <w:r>
        <w:t>场</w:t>
      </w:r>
      <w:bookmarkEnd w:id="991"/>
    </w:p>
    <w:bookmarkEnd w:id="992"/>
    <w:p>
      <w:r>
        <w:t>13.6.1 竣工退场</w:t>
      </w:r>
    </w:p>
    <w:p>
      <w:r>
        <w:t>颁发工程接收证书后，承包人应按以下要求对施工现场进行清理：</w:t>
      </w:r>
    </w:p>
    <w:p>
      <w:r>
        <w:t>（1）施工现场内残留的垃圾已全部清除出场；</w:t>
      </w:r>
    </w:p>
    <w:p>
      <w:r>
        <w:t>（2）临时工程已拆除，场地已进行清理、平整或复原；</w:t>
      </w:r>
    </w:p>
    <w:p>
      <w:r>
        <w:t>（3）按合同约定应撤离的人员、承包人施工设备和剩余的材料，包括废弃的施工设备和材料，已按计划撤离施工现场；</w:t>
      </w:r>
    </w:p>
    <w:p>
      <w:r>
        <w:t>（4）施工现场周边及其附近道路、河道的施工堆积物，已全部清理；</w:t>
      </w:r>
    </w:p>
    <w:p>
      <w:r>
        <w:t>（5）施工现场其他场地清理工作已全部完成。</w:t>
      </w:r>
    </w:p>
    <w:p>
      <w: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r>
        <w:t>13.6.2 地表还原</w:t>
      </w:r>
    </w:p>
    <w:p>
      <w:r>
        <w:t>承包人应按发包人要求恢复临时占地及清理场地，承包人未按发包人的要求恢复临时占地，或者场地清理未达到合同约定要求的，发包人有权委托其他人恢复或清理，所发生的费用由承包人承担。</w:t>
      </w:r>
    </w:p>
    <w:p>
      <w:bookmarkStart w:id="993" w:name="_Toc351203593"/>
      <w:bookmarkStart w:id="994" w:name="_Toc337558810"/>
      <w:bookmarkStart w:id="995" w:name="_Toc296503113"/>
      <w:bookmarkStart w:id="996" w:name="_Toc296346614"/>
      <w:r>
        <w:t>14. 竣工结算</w:t>
      </w:r>
      <w:bookmarkEnd w:id="993"/>
    </w:p>
    <w:bookmarkEnd w:id="994"/>
    <w:p>
      <w:bookmarkStart w:id="997" w:name="_Toc351203594"/>
      <w:bookmarkStart w:id="998" w:name="_Toc337558811"/>
      <w:r>
        <w:t>14.1 竣工结算申请</w:t>
      </w:r>
      <w:bookmarkEnd w:id="997"/>
    </w:p>
    <w:bookmarkEnd w:id="998"/>
    <w:p>
      <w:r>
        <w:t>除专用合同条款另有约定外，承包人应在工程竣工验收合格后28天内向发包人和监理人提交竣工结算申请单，并提交完整的结算资料，</w:t>
      </w:r>
      <w:r>
        <w:rPr>
          <w:rFonts w:hint="eastAsia"/>
        </w:rPr>
        <w:t>有关</w:t>
      </w:r>
      <w:r>
        <w:t>竣工结算申请单</w:t>
      </w:r>
      <w:r>
        <w:rPr>
          <w:rFonts w:hint="eastAsia"/>
        </w:rPr>
        <w:t>的资料清单和</w:t>
      </w:r>
      <w:r>
        <w:t>份数</w:t>
      </w:r>
      <w:r>
        <w:rPr>
          <w:rFonts w:hint="eastAsia"/>
        </w:rPr>
        <w:t>等要求</w:t>
      </w:r>
      <w:r>
        <w:t>由合同当事人在专用合同条款中约定。</w:t>
      </w:r>
    </w:p>
    <w:p>
      <w:r>
        <w:t>除专用合同条款另有约定外，竣工结算申请单应包括以下内容：</w:t>
      </w:r>
    </w:p>
    <w:p>
      <w:r>
        <w:t>（1）竣工结算合同价格；</w:t>
      </w:r>
    </w:p>
    <w:p>
      <w:r>
        <w:t>（2）发包人已支付承包人的款项；</w:t>
      </w:r>
    </w:p>
    <w:p>
      <w:r>
        <w:t>（3）应扣留的质量保证金</w:t>
      </w:r>
      <w:r>
        <w:rPr>
          <w:rFonts w:hint="eastAsia"/>
        </w:rPr>
        <w:t>。已缴纳履约保证金的或提供其他工程质量担保方式的除外</w:t>
      </w:r>
      <w:r>
        <w:t xml:space="preserve">； </w:t>
      </w:r>
    </w:p>
    <w:p>
      <w:r>
        <w:t>（4）发包人应支付承包人的合同价款。</w:t>
      </w:r>
    </w:p>
    <w:p>
      <w:bookmarkStart w:id="999" w:name="_Toc351203595"/>
      <w:bookmarkStart w:id="1000" w:name="_Toc337558812"/>
      <w:r>
        <w:t>14.2 竣工结算审核</w:t>
      </w:r>
      <w:bookmarkEnd w:id="999"/>
    </w:p>
    <w:bookmarkEnd w:id="1000"/>
    <w:p>
      <w:r>
        <w:t>（1）除专用合同条款另有约定外，监理人应在收到竣工结算申请单后14天内完成核查并报送发包人。发包人应在收到监理人提交的经审核的竣工结算申请单后14天内完成</w:t>
      </w:r>
      <w:r>
        <w:rPr>
          <w:rFonts w:hint="eastAsia"/>
        </w:rPr>
        <w:t>审批</w:t>
      </w:r>
      <w:r>
        <w:t>，并由监理人向承包人签发经发包人签认的竣工付款证书。监理人或发包人对竣工结算申请单有异议的，有权要求承包人进行修正和提供补充资料，承包人应提交修正后的竣工结算申请单。</w:t>
      </w:r>
    </w:p>
    <w:p>
      <w:r>
        <w:t>发包人在收到承包人提交竣工结算申请书后28天</w:t>
      </w:r>
      <w:r>
        <w:rPr>
          <w:rFonts w:hint="eastAsia"/>
        </w:rPr>
        <w:t>内</w:t>
      </w:r>
      <w:r>
        <w:t>未完成</w:t>
      </w:r>
      <w:r>
        <w:rPr>
          <w:rFonts w:hint="eastAsia"/>
        </w:rPr>
        <w:t>审批</w:t>
      </w:r>
      <w:r>
        <w:t>且未提出异议的，视为发包人认可承包人提交的竣工结算申请单，并自发包人收到承包人提交的竣工结算申请单后第29天起视为已签发竣工付款证书。</w:t>
      </w:r>
    </w:p>
    <w:p>
      <w: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r>
        <w:t>（3）承包人对发包人签认的竣工付款证书有异议的，对于有异议部分应在收到发包人签认的竣工付款证书后7天内提出异议，并由合同当事人按照专用合同条款约定</w:t>
      </w:r>
      <w:r>
        <w:rPr>
          <w:rFonts w:hint="eastAsia"/>
        </w:rPr>
        <w:t>的方式和程序</w:t>
      </w:r>
      <w:r>
        <w:t>进行复核，或按照第20条</w:t>
      </w:r>
      <w:r>
        <w:rPr>
          <w:rFonts w:hint="eastAsia"/>
        </w:rPr>
        <w:t>〔</w:t>
      </w:r>
      <w:r>
        <w:t>争议解决</w:t>
      </w:r>
      <w:r>
        <w:rPr>
          <w:rFonts w:hint="eastAsia"/>
        </w:rPr>
        <w:t>〕</w:t>
      </w:r>
      <w:r>
        <w:t>约定处理。对于无异议部分，发包人应签发临时竣工付款证书，并按本款第（2）项完成付款</w:t>
      </w:r>
      <w:r>
        <w:rPr>
          <w:rFonts w:hint="eastAsia"/>
        </w:rPr>
        <w:t>。</w:t>
      </w:r>
      <w:r>
        <w:t>承包人逾期未提出异议的，视为认可发包人的</w:t>
      </w:r>
      <w:r>
        <w:rPr>
          <w:rFonts w:hint="eastAsia"/>
        </w:rPr>
        <w:t>审批</w:t>
      </w:r>
      <w:r>
        <w:t>结果。</w:t>
      </w:r>
    </w:p>
    <w:p>
      <w:bookmarkStart w:id="1001" w:name="_Toc351203596"/>
      <w:bookmarkStart w:id="1002" w:name="_Toc337558813"/>
      <w:r>
        <w:t>14.3 甩项竣工协议</w:t>
      </w:r>
      <w:bookmarkEnd w:id="1001"/>
    </w:p>
    <w:bookmarkEnd w:id="1002"/>
    <w:p>
      <w:r>
        <w:t>发包人要求甩项竣工的，合同当事人应签订甩项竣工协议。在甩项竣工协议中应明确，合同当事人按照第14.1款</w:t>
      </w:r>
      <w:r>
        <w:rPr>
          <w:rFonts w:hint="eastAsia"/>
        </w:rPr>
        <w:t>〔</w:t>
      </w:r>
      <w:r>
        <w:t>竣工</w:t>
      </w:r>
      <w:r>
        <w:rPr>
          <w:rFonts w:hint="eastAsia"/>
        </w:rPr>
        <w:t>结算</w:t>
      </w:r>
      <w:r>
        <w:t>申请</w:t>
      </w:r>
      <w:r>
        <w:rPr>
          <w:rFonts w:hint="eastAsia"/>
        </w:rPr>
        <w:t>〕</w:t>
      </w:r>
      <w:r>
        <w:t>及14.2款</w:t>
      </w:r>
      <w:r>
        <w:rPr>
          <w:rFonts w:hint="eastAsia"/>
        </w:rPr>
        <w:t>〔</w:t>
      </w:r>
      <w:r>
        <w:t>竣工结算审核</w:t>
      </w:r>
      <w:r>
        <w:rPr>
          <w:rFonts w:hint="eastAsia"/>
        </w:rPr>
        <w:t>〕</w:t>
      </w:r>
      <w:r>
        <w:t>的约定，</w:t>
      </w:r>
      <w:r>
        <w:rPr>
          <w:rFonts w:hint="eastAsia"/>
        </w:rPr>
        <w:t>对已</w:t>
      </w:r>
      <w:r>
        <w:t>完合格工程</w:t>
      </w:r>
      <w:r>
        <w:rPr>
          <w:rFonts w:hint="eastAsia"/>
        </w:rPr>
        <w:t>进行</w:t>
      </w:r>
      <w:r>
        <w:t>结算，并支付相应</w:t>
      </w:r>
      <w:r>
        <w:rPr>
          <w:rFonts w:hint="eastAsia"/>
        </w:rPr>
        <w:t>合同</w:t>
      </w:r>
      <w:r>
        <w:t>价款。</w:t>
      </w:r>
    </w:p>
    <w:p>
      <w:bookmarkStart w:id="1003" w:name="_Toc351203597"/>
      <w:bookmarkStart w:id="1004" w:name="_Toc337558814"/>
      <w:r>
        <w:t>14.4 最终结清</w:t>
      </w:r>
      <w:bookmarkEnd w:id="1003"/>
    </w:p>
    <w:bookmarkEnd w:id="1004"/>
    <w:p>
      <w:r>
        <w:t>14.4.1 最终结清申请单</w:t>
      </w:r>
    </w:p>
    <w:p>
      <w:r>
        <w:t>（1）除专用合同条款另有约定外，承包人应在缺陷责任期终止证书颁发后7天内，按专用合同条款约定的份数向发包人提交最终结清申请单，并提供相关证明材料。</w:t>
      </w:r>
    </w:p>
    <w:p>
      <w:r>
        <w:t>除专用合同条款另有约定外，最终结清申请单应列明质量保证金、应扣除的质量保证金、缺陷责任期内发生的增减费用。</w:t>
      </w:r>
    </w:p>
    <w:p>
      <w:r>
        <w:t>（2）发包人对最终结清申请单内容有异议的，有权要求承包人进行修正和提供补充资料，承包人应向发包人提交修正后的最终结清申请单。</w:t>
      </w:r>
    </w:p>
    <w:p>
      <w:r>
        <w:t>14.4.2 最终结清证书和支付</w:t>
      </w:r>
    </w:p>
    <w:p>
      <w:r>
        <w:t>（1）除专用合同条款另有约定外，发包人应在收到承包人提交的最终结清申请单后14天内完成审批并向承包人颁发最终结清证书。发包人逾期未完成</w:t>
      </w:r>
      <w:r>
        <w:rPr>
          <w:rFonts w:hint="eastAsia"/>
        </w:rPr>
        <w:t>审批</w:t>
      </w:r>
      <w:r>
        <w:t>，又未提出修改意见的，视为发包人同意承包人提交的最终结清申请单，且自发包人收到承包人提交的最终结清申请单后15天起视为已颁发最终结清证书。</w:t>
      </w:r>
    </w:p>
    <w:p>
      <w: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r>
        <w:t>（3）承包人对发包人颁发的最终结清证书有异议的，按第20条</w:t>
      </w:r>
      <w:r>
        <w:rPr>
          <w:rFonts w:hint="eastAsia"/>
        </w:rPr>
        <w:t>〔</w:t>
      </w:r>
      <w:r>
        <w:t>争议解决</w:t>
      </w:r>
      <w:r>
        <w:rPr>
          <w:rFonts w:hint="eastAsia"/>
        </w:rPr>
        <w:t>〕</w:t>
      </w:r>
      <w:r>
        <w:t>的约定办理。</w:t>
      </w:r>
    </w:p>
    <w:p>
      <w:bookmarkStart w:id="1005" w:name="_Toc351203598"/>
      <w:bookmarkStart w:id="1006" w:name="_Toc337558815"/>
      <w:r>
        <w:t>15. 缺陷责任与保修</w:t>
      </w:r>
      <w:bookmarkEnd w:id="1005"/>
    </w:p>
    <w:bookmarkEnd w:id="995"/>
    <w:bookmarkEnd w:id="996"/>
    <w:bookmarkEnd w:id="1006"/>
    <w:p>
      <w:bookmarkStart w:id="1007" w:name="_Toc351203599"/>
      <w:bookmarkStart w:id="1008" w:name="_Toc337558816"/>
      <w:bookmarkStart w:id="1009" w:name="_Toc296503114"/>
      <w:bookmarkStart w:id="1010" w:name="_Toc296346615"/>
      <w:r>
        <w:t>15.1 工程保修的原则</w:t>
      </w:r>
      <w:bookmarkEnd w:id="1007"/>
    </w:p>
    <w:bookmarkEnd w:id="1008"/>
    <w:p>
      <w:r>
        <w:t>在工程移交发包人后，因承包人原因产生的质量缺陷，承包人应承担质量缺陷责任和保修义务。缺陷责任期届满，承包人仍应按合同约定的工程各部位保修年限承担保修义务。</w:t>
      </w:r>
    </w:p>
    <w:p>
      <w:bookmarkStart w:id="1011" w:name="_Toc351203600"/>
      <w:bookmarkStart w:id="1012" w:name="_Toc337558817"/>
      <w:r>
        <w:t>15.2 缺陷责任期</w:t>
      </w:r>
      <w:bookmarkEnd w:id="1009"/>
      <w:bookmarkEnd w:id="1010"/>
      <w:bookmarkEnd w:id="1011"/>
    </w:p>
    <w:bookmarkEnd w:id="1012"/>
    <w:p>
      <w:r>
        <w:t>15.2.1 缺陷责任期</w:t>
      </w:r>
      <w:r>
        <w:rPr>
          <w:rFonts w:hint="eastAsia"/>
        </w:rPr>
        <w:t>从工程通过竣工验收之日</w:t>
      </w:r>
      <w:r>
        <w:t>起计算，合同当事人应在专用合同条款约定缺陷责任期的具体期限，但该期限最长不超过24个月。</w:t>
      </w:r>
    </w:p>
    <w:p>
      <w:r>
        <w:t>单位工程先于全部工程进行验收，经验收合格并交付使用的，该单位工程缺陷责任期自单位工程验收合格之日起算。</w:t>
      </w:r>
      <w:r>
        <w:rPr>
          <w:rFonts w:hint="eastAsia"/>
        </w:rPr>
        <w:t>因承包人原因导致工程无法按合同约定期限进行竣工验收的，缺陷责任期从实际通过竣工验收之日起计算。</w:t>
      </w:r>
      <w:r>
        <w:t>因发包人原因导致工程无法按合同约定期限进行竣工验收的，</w:t>
      </w:r>
      <w:r>
        <w:rPr>
          <w:rFonts w:hint="eastAsia"/>
        </w:rPr>
        <w:t>在承包人提交竣工验收报告90天后，工程自动进入缺陷责任期</w:t>
      </w:r>
      <w:r>
        <w:t>；发包人未经竣工验收擅自使用工程的，缺陷责任期自工程转移占有之日起开始计算。</w:t>
      </w:r>
    </w:p>
    <w:p>
      <w:r>
        <w:t>15.2.2</w:t>
      </w:r>
      <w:r>
        <w:rPr>
          <w:rFonts w:hint="eastAsia"/>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t>发包人有权要求承包人延长缺陷责任期，并应在原缺陷责任期届满前发出延长通知</w:t>
      </w:r>
      <w:r>
        <w:rPr>
          <w:rFonts w:hint="eastAsia"/>
        </w:rPr>
        <w:t>。</w:t>
      </w:r>
      <w:r>
        <w:t>但缺陷责任期</w:t>
      </w:r>
      <w:r>
        <w:rPr>
          <w:rFonts w:hint="eastAsia"/>
        </w:rPr>
        <w:t>（含延长部分）</w:t>
      </w:r>
      <w:r>
        <w:t>最长不能超过24个月。</w:t>
      </w:r>
    </w:p>
    <w:p>
      <w:r>
        <w:rPr>
          <w:rFonts w:hint="eastAsia"/>
        </w:rPr>
        <w:t>由他人原因造成的缺陷，发包人负责组织维修，承包人不承担费用，且发包人不得从保证金中扣除费用。</w:t>
      </w:r>
    </w:p>
    <w:p>
      <w:r>
        <w:t>15.2.3 任何一项缺陷或损坏修复后，经检查证明其影响了工程或工程设备的使用性能，承包人应重新进行合同约定的试验和试运行，试验和试运行的全部费用应由责任方承担。</w:t>
      </w:r>
    </w:p>
    <w:p>
      <w:r>
        <w:t>15.2.4</w:t>
      </w:r>
      <w:r>
        <w:rPr>
          <w:rFonts w:hint="eastAsia"/>
        </w:rPr>
        <w:t xml:space="preserve"> </w:t>
      </w:r>
      <w:r>
        <w:t>除专用合同条款另有约定外，承包人应于缺陷责任期届满后7天内向发包人发出缺陷责任期</w:t>
      </w:r>
      <w:r>
        <w:rPr>
          <w:rFonts w:hint="eastAsia"/>
        </w:rPr>
        <w:t>届</w:t>
      </w:r>
      <w:r>
        <w:t>满通知，发包人应在</w:t>
      </w:r>
      <w:r>
        <w:rPr>
          <w:rFonts w:hint="eastAsia"/>
        </w:rPr>
        <w:t>收</w:t>
      </w:r>
      <w:r>
        <w:t>到缺陷责任期满通知后14天内核实承包人是否履行缺陷</w:t>
      </w:r>
      <w:r>
        <w:rPr>
          <w:rFonts w:hint="eastAsia"/>
        </w:rPr>
        <w:t>修复</w:t>
      </w:r>
      <w:r>
        <w:t>义务，承包人未能履行缺陷</w:t>
      </w:r>
      <w:r>
        <w:rPr>
          <w:rFonts w:hint="eastAsia"/>
        </w:rPr>
        <w:t>修复</w:t>
      </w:r>
      <w:r>
        <w:t>义务的，发包人有权扣除相应金额的维修费用。发包人应在</w:t>
      </w:r>
      <w:r>
        <w:rPr>
          <w:rFonts w:hint="eastAsia"/>
        </w:rPr>
        <w:t>收到</w:t>
      </w:r>
      <w:r>
        <w:t>缺陷责任期</w:t>
      </w:r>
      <w:r>
        <w:rPr>
          <w:rFonts w:hint="eastAsia"/>
        </w:rPr>
        <w:t>届</w:t>
      </w:r>
      <w:r>
        <w:t>满</w:t>
      </w:r>
      <w:r>
        <w:rPr>
          <w:rFonts w:hint="eastAsia"/>
        </w:rPr>
        <w:t>通知后</w:t>
      </w:r>
      <w:r>
        <w:t>14天内，向承包人颁发缺陷责任期终止证</w:t>
      </w:r>
      <w:r>
        <w:rPr>
          <w:rFonts w:hint="eastAsia"/>
        </w:rPr>
        <w:t>书</w:t>
      </w:r>
      <w:r>
        <w:t>。</w:t>
      </w:r>
    </w:p>
    <w:p>
      <w:bookmarkStart w:id="1013" w:name="_Toc351203601"/>
      <w:bookmarkStart w:id="1014" w:name="_Toc337558818"/>
      <w:bookmarkStart w:id="1015" w:name="_Toc296346616"/>
      <w:bookmarkStart w:id="1016" w:name="_Toc296503115"/>
      <w:r>
        <w:t>15.3 质量保证金</w:t>
      </w:r>
      <w:bookmarkEnd w:id="1013"/>
    </w:p>
    <w:bookmarkEnd w:id="1014"/>
    <w:p>
      <w:r>
        <w:rPr>
          <w:rFonts w:hint="eastAsia"/>
        </w:rPr>
        <w:t>经合同当事人协商一致扣留质量保证金的，应在专用合同条款中予以明确。</w:t>
      </w:r>
    </w:p>
    <w:p>
      <w:r>
        <w:rPr>
          <w:rFonts w:hint="eastAsia"/>
        </w:rPr>
        <w:t>在工程项目竣工前，承包人已经提供履约担保的，发包人不得同时预留工程质量保证金。</w:t>
      </w:r>
    </w:p>
    <w:p/>
    <w:p>
      <w:r>
        <w:t xml:space="preserve">15.3.1 </w:t>
      </w:r>
      <w:r>
        <w:rPr>
          <w:rFonts w:hint="eastAsia"/>
        </w:rPr>
        <w:t>承包人提供</w:t>
      </w:r>
      <w:r>
        <w:t>质量保证金的</w:t>
      </w:r>
      <w:r>
        <w:rPr>
          <w:rFonts w:hint="eastAsia"/>
        </w:rPr>
        <w:t>方</w:t>
      </w:r>
      <w:r>
        <w:t>式</w:t>
      </w:r>
    </w:p>
    <w:p>
      <w:r>
        <w:rPr>
          <w:rFonts w:hint="eastAsia"/>
        </w:rPr>
        <w:t>承包人提供</w:t>
      </w:r>
      <w:r>
        <w:t>质量保证金</w:t>
      </w:r>
      <w:r>
        <w:rPr>
          <w:rFonts w:hint="eastAsia"/>
        </w:rPr>
        <w:t>有</w:t>
      </w:r>
      <w:r>
        <w:t>以下</w:t>
      </w:r>
      <w:r>
        <w:rPr>
          <w:rFonts w:hint="eastAsia"/>
        </w:rPr>
        <w:t>三种方</w:t>
      </w:r>
      <w:r>
        <w:t>式：</w:t>
      </w:r>
    </w:p>
    <w:p>
      <w:r>
        <w:t xml:space="preserve">（1）质量保证金保函； </w:t>
      </w:r>
    </w:p>
    <w:p>
      <w:r>
        <w:rPr>
          <w:rFonts w:hint="eastAsia"/>
        </w:rPr>
        <w:t>（</w:t>
      </w:r>
      <w:r>
        <w:t>2）相应比例的工程款；</w:t>
      </w:r>
    </w:p>
    <w:p>
      <w:r>
        <w:t>（3）双方约定的其他</w:t>
      </w:r>
      <w:r>
        <w:rPr>
          <w:rFonts w:hint="eastAsia"/>
        </w:rPr>
        <w:t>方</w:t>
      </w:r>
      <w:r>
        <w:t>式。</w:t>
      </w:r>
    </w:p>
    <w:p>
      <w:r>
        <w:t>除专用合同条款另有约定外，质量保证金</w:t>
      </w:r>
      <w:r>
        <w:rPr>
          <w:rFonts w:hint="eastAsia"/>
        </w:rPr>
        <w:t>原则上</w:t>
      </w:r>
      <w:r>
        <w:t>采</w:t>
      </w:r>
      <w:r>
        <w:rPr>
          <w:rFonts w:hint="eastAsia"/>
        </w:rPr>
        <w:t>用上述</w:t>
      </w:r>
      <w:r>
        <w:t>第（1）种</w:t>
      </w:r>
      <w:r>
        <w:rPr>
          <w:rFonts w:hint="eastAsia"/>
        </w:rPr>
        <w:t>方式。</w:t>
      </w:r>
    </w:p>
    <w:p>
      <w:r>
        <w:t>15.3.2 质量保证金的扣留</w:t>
      </w:r>
    </w:p>
    <w:p>
      <w:r>
        <w:t>质量保证金</w:t>
      </w:r>
      <w:r>
        <w:rPr>
          <w:rFonts w:hint="eastAsia"/>
        </w:rPr>
        <w:t>的</w:t>
      </w:r>
      <w:r>
        <w:t>扣留</w:t>
      </w:r>
      <w:r>
        <w:rPr>
          <w:rFonts w:hint="eastAsia"/>
        </w:rPr>
        <w:t>有</w:t>
      </w:r>
      <w:r>
        <w:t>以下</w:t>
      </w:r>
      <w:r>
        <w:rPr>
          <w:rFonts w:hint="eastAsia"/>
        </w:rPr>
        <w:t>三</w:t>
      </w:r>
      <w:r>
        <w:t>种</w:t>
      </w:r>
      <w:r>
        <w:rPr>
          <w:rFonts w:hint="eastAsia"/>
        </w:rPr>
        <w:t>方式</w:t>
      </w:r>
      <w:r>
        <w:t>：</w:t>
      </w:r>
    </w:p>
    <w:p>
      <w:r>
        <w:t>（1）在支付工程进度款时逐次扣留，在此情形下，质量保证金的计算基数不包括预付款的支付、扣回以及价格调整的金额；</w:t>
      </w:r>
    </w:p>
    <w:p>
      <w:r>
        <w:t>（2）工</w:t>
      </w:r>
      <w:bookmarkStart w:id="1017" w:name="#go6"/>
      <w:bookmarkEnd w:id="1017"/>
      <w:r>
        <w:t>程竣工结算时一次性扣留质量保证金；</w:t>
      </w:r>
    </w:p>
    <w:p>
      <w:r>
        <w:t>（3）双方约定的其他扣留方式。</w:t>
      </w:r>
    </w:p>
    <w:p>
      <w:r>
        <w:t>除专用合同条款另有约定外，质量保证金</w:t>
      </w:r>
      <w:r>
        <w:rPr>
          <w:rFonts w:hint="eastAsia"/>
        </w:rPr>
        <w:t>的</w:t>
      </w:r>
      <w:r>
        <w:t>扣留</w:t>
      </w:r>
      <w:r>
        <w:rPr>
          <w:rFonts w:hint="eastAsia"/>
        </w:rPr>
        <w:t>原则上</w:t>
      </w:r>
      <w:r>
        <w:t>采</w:t>
      </w:r>
      <w:r>
        <w:rPr>
          <w:rFonts w:hint="eastAsia"/>
        </w:rPr>
        <w:t>用上述</w:t>
      </w:r>
      <w:r>
        <w:t>第（1）种方式</w:t>
      </w:r>
      <w:r>
        <w:rPr>
          <w:rFonts w:hint="eastAsia"/>
        </w:rPr>
        <w:t>。</w:t>
      </w:r>
    </w:p>
    <w:p>
      <w:r>
        <w:t>发</w:t>
      </w:r>
      <w:bookmarkStart w:id="1018" w:name="#go4"/>
      <w:bookmarkEnd w:id="1018"/>
      <w:r>
        <w:t>包人累计扣留的质量保证金不得超过</w:t>
      </w:r>
      <w:r>
        <w:rPr>
          <w:rFonts w:hint="eastAsia"/>
        </w:rPr>
        <w:t>工程价款结算总额</w:t>
      </w:r>
      <w:r>
        <w:t>的3%</w:t>
      </w:r>
      <w:r>
        <w:rPr>
          <w:rFonts w:hint="eastAsia"/>
        </w:rPr>
        <w:t>。如</w:t>
      </w:r>
      <w:r>
        <w:t>承包人在发包人签发竣工付款证书后28天内提交质量保证金保函，发包人应同时退还扣留的作为质量保证金的工程价款</w:t>
      </w:r>
      <w:r>
        <w:rPr>
          <w:rFonts w:hint="eastAsia"/>
        </w:rPr>
        <w:t>；保函金额不得超过工程价款结算总额的3%</w:t>
      </w:r>
      <w:r>
        <w:t>。</w:t>
      </w:r>
    </w:p>
    <w:p>
      <w:r>
        <w:rPr>
          <w:rFonts w:hint="eastAsia"/>
        </w:rPr>
        <w:t>发包人在退还质量保证金的同时</w:t>
      </w:r>
      <w:r>
        <w:t>按照中国人民银行发布的同期同类贷款基准利率支付</w:t>
      </w:r>
      <w:r>
        <w:rPr>
          <w:rFonts w:hint="eastAsia"/>
        </w:rPr>
        <w:t>利息。</w:t>
      </w:r>
    </w:p>
    <w:p>
      <w:r>
        <w:t>15.3.3 质量保证金的退还</w:t>
      </w:r>
    </w:p>
    <w:p>
      <w:r>
        <w:rPr>
          <w:rFonts w:hint="eastAsia"/>
        </w:rPr>
        <w:t>缺陷责任期内，承包人认真履行合同约定的责任，到期后，承包人可向发包人申请返还保证金。</w:t>
      </w:r>
    </w:p>
    <w:p>
      <w:r>
        <w:rPr>
          <w:rFonts w:hint="eastAsia"/>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r>
        <w:rPr>
          <w:rFonts w:hint="eastAsia"/>
        </w:rPr>
        <w:t>发包人和承包人对保证金预留、返还以及工程维修质量、费用有争议的，按本合同第20条约定的争议和纠纷解决程序处理</w:t>
      </w:r>
      <w:r>
        <w:t>。</w:t>
      </w:r>
    </w:p>
    <w:p>
      <w:bookmarkStart w:id="1019" w:name="_Toc351203602"/>
      <w:bookmarkStart w:id="1020" w:name="_Toc337558819"/>
      <w:r>
        <w:t>15.4 保修</w:t>
      </w:r>
      <w:bookmarkEnd w:id="1019"/>
    </w:p>
    <w:bookmarkEnd w:id="1015"/>
    <w:bookmarkEnd w:id="1016"/>
    <w:bookmarkEnd w:id="1020"/>
    <w:p>
      <w:r>
        <w:t>15.4.1保修责任</w:t>
      </w:r>
    </w:p>
    <w:p>
      <w: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r>
        <w:t>发包人未经竣工验收擅自使用工程的，保修期自转移占有之日起算。</w:t>
      </w:r>
    </w:p>
    <w:p>
      <w:r>
        <w:t>15.4.2 修复费用</w:t>
      </w:r>
    </w:p>
    <w:p>
      <w:r>
        <w:t>保修期内，修复的费用按照以下约定处理：</w:t>
      </w:r>
    </w:p>
    <w:p>
      <w:r>
        <w:t>（1）保修期内，因承包人原因造成工程的缺陷、损坏，承包人应负责修复，并承担修复的费用以及因工程的缺陷、损坏造成的人身伤害和财产损失；</w:t>
      </w:r>
    </w:p>
    <w:p>
      <w:r>
        <w:t>（2）保修期内，因发包人使用不当造成工程的缺陷、损坏，可以委托承包人修复，但发包人应承担修复的费用，并支付承包人合理利润；</w:t>
      </w:r>
    </w:p>
    <w:p>
      <w:r>
        <w:t>（3）因其他原因造成工程的缺陷、损坏，可以委托承包人修复，发包人应承担修复的费用，并支付承包人合理的利润，因工程的缺陷、损坏造成的人身伤害和财产损失由责任方承担。</w:t>
      </w:r>
    </w:p>
    <w:p>
      <w:r>
        <w:t>15.4.3 修复通知</w:t>
      </w:r>
    </w:p>
    <w:p>
      <w: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r>
        <w:t>15.4.4 未能修复</w:t>
      </w:r>
    </w:p>
    <w:p>
      <w:r>
        <w:t>因承包人原因造成工程的缺陷或损坏，承包人拒绝维修或未能在合理期限内修复缺陷或损坏，且经发包人书面催告后仍未修复的，发包人有权自行修复或委托第三方修复，所需费用由承包人承担。</w:t>
      </w:r>
      <w:r>
        <w:rPr>
          <w:rFonts w:hint="eastAsia"/>
        </w:rPr>
        <w:t>但修复范围超出缺陷或损坏范围的，超出范围部分的修复费用由发包人承担。</w:t>
      </w:r>
    </w:p>
    <w:p>
      <w:r>
        <w:t>15.4.5 承包人出入权</w:t>
      </w:r>
    </w:p>
    <w:p>
      <w: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bookmarkStart w:id="1021" w:name="_Toc351203603"/>
      <w:bookmarkStart w:id="1022" w:name="_Toc337558820"/>
      <w:r>
        <w:t>16. 违约</w:t>
      </w:r>
      <w:bookmarkEnd w:id="1021"/>
    </w:p>
    <w:bookmarkEnd w:id="1022"/>
    <w:p>
      <w:bookmarkStart w:id="1023" w:name="_Toc296346630"/>
      <w:bookmarkStart w:id="1024" w:name="_Toc296503129"/>
      <w:bookmarkStart w:id="1025" w:name="_Toc351203604"/>
      <w:bookmarkStart w:id="1026" w:name="_Toc337558821"/>
      <w:r>
        <w:t>16.1 发</w:t>
      </w:r>
      <w:bookmarkEnd w:id="1023"/>
      <w:bookmarkEnd w:id="1024"/>
      <w:r>
        <w:t>包人违约</w:t>
      </w:r>
      <w:bookmarkEnd w:id="1025"/>
    </w:p>
    <w:bookmarkEnd w:id="1026"/>
    <w:p>
      <w:r>
        <w:t>16.1.1 发包人违约的情形</w:t>
      </w:r>
    </w:p>
    <w:p>
      <w:r>
        <w:t>在合同履行过程中发生的下列情形，属于发包人违约：</w:t>
      </w:r>
    </w:p>
    <w:p>
      <w:r>
        <w:t>（1）因发包人原因未能在计划开工日期前7天内下达开工通知的；</w:t>
      </w:r>
    </w:p>
    <w:p>
      <w:r>
        <w:t>（2）因发包人原因未能按合同约定支付合同价款的；</w:t>
      </w:r>
    </w:p>
    <w:p>
      <w:r>
        <w:t>（3）发包人违反第10.1款</w:t>
      </w:r>
      <w:r>
        <w:rPr>
          <w:rFonts w:hint="eastAsia"/>
        </w:rPr>
        <w:t>〔</w:t>
      </w:r>
      <w:r>
        <w:t>变更的范围</w:t>
      </w:r>
      <w:r>
        <w:rPr>
          <w:rFonts w:hint="eastAsia"/>
        </w:rPr>
        <w:t>〕</w:t>
      </w:r>
      <w:r>
        <w:t>第（2）项约定，自行实施被取消的工作或转由他人实施的；</w:t>
      </w:r>
    </w:p>
    <w:p>
      <w:r>
        <w:t>（4）发包人提供的材料、工程设备的规格、数量或质量不符合合同约定，或因发包人原因导致交货日期延误或交货地点变更等情况的；</w:t>
      </w:r>
    </w:p>
    <w:p>
      <w:r>
        <w:t>（5）因发包人违反合同约定造成暂停施工的；</w:t>
      </w:r>
    </w:p>
    <w:p>
      <w:r>
        <w:t>（6）发包人无正当理由没有在约定期限内发出复工指示，导致承包人无法复工的；</w:t>
      </w:r>
    </w:p>
    <w:p>
      <w:r>
        <w:t>（7）发包人明确表示或者以其行为表明不履行合同主要义务的；</w:t>
      </w:r>
    </w:p>
    <w:p>
      <w:r>
        <w:t>（8）发包人未能按照合同约定履行其他义务的。</w:t>
      </w:r>
    </w:p>
    <w:p>
      <w: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r>
        <w:t>16.1.2 发包人违约的责任</w:t>
      </w:r>
    </w:p>
    <w:p>
      <w:r>
        <w:t>发包人应承担因其违约给承包人增加的费用和（或）延误的工期，并支付承包人合理的利润。此外，合同当事人可在专用合同条款中另行约定发包人违约责任的承担方式和计算方法。</w:t>
      </w:r>
    </w:p>
    <w:p>
      <w:r>
        <w:t>16.1.3 因发包人违约解除合同</w:t>
      </w:r>
    </w:p>
    <w:p>
      <w:r>
        <w:t>除专用合同条款另有约定外，承包人按第16.1.1项</w:t>
      </w:r>
      <w:r>
        <w:rPr>
          <w:rFonts w:hint="eastAsia"/>
        </w:rPr>
        <w:t>〔</w:t>
      </w:r>
      <w:r>
        <w:t>发包人违约的情形</w:t>
      </w:r>
      <w:r>
        <w:rPr>
          <w:rFonts w:hint="eastAsia"/>
        </w:rPr>
        <w:t>〕</w:t>
      </w:r>
      <w:r>
        <w:t>约定暂停施工满28天后</w:t>
      </w:r>
      <w:r>
        <w:rPr>
          <w:rFonts w:hint="eastAsia"/>
        </w:rPr>
        <w:t>，</w:t>
      </w:r>
      <w:r>
        <w:t>发包人仍不纠正其违约行为并致使合同目的不能实现的，</w:t>
      </w:r>
      <w:r>
        <w:rPr>
          <w:rFonts w:hint="eastAsia"/>
        </w:rPr>
        <w:t>或</w:t>
      </w:r>
      <w:r>
        <w:t>出现第16.1.1项</w:t>
      </w:r>
      <w:r>
        <w:rPr>
          <w:rFonts w:hint="eastAsia"/>
        </w:rPr>
        <w:t>〔</w:t>
      </w:r>
      <w:r>
        <w:t>发包人违约的情形</w:t>
      </w:r>
      <w:r>
        <w:rPr>
          <w:rFonts w:hint="eastAsia"/>
        </w:rPr>
        <w:t>〕</w:t>
      </w:r>
      <w:r>
        <w:t>第（7）目约定的违约情况，承包人有权解除合同，发包人应承担由此增加的费用，并支付承包人合理的利润。</w:t>
      </w:r>
    </w:p>
    <w:p>
      <w:r>
        <w:t>16.1.4 因发包人违约解除合同后的付款</w:t>
      </w:r>
    </w:p>
    <w:p>
      <w:r>
        <w:t>承包人按照本款约定解除合同的，发包人应在解除合同后28天内支付下列款项，并解除履约担保：</w:t>
      </w:r>
    </w:p>
    <w:p>
      <w:r>
        <w:t>（1）合同解除前所完成工作的价款；</w:t>
      </w:r>
    </w:p>
    <w:p>
      <w:r>
        <w:t>（2）承包人为工程施工订购并已付款的材料、工程设备和其他物品的价款；</w:t>
      </w:r>
    </w:p>
    <w:p>
      <w:r>
        <w:t>（3）承包人撤离施工现场以及遣散承包人人员的款项；</w:t>
      </w:r>
    </w:p>
    <w:p>
      <w:r>
        <w:t>（4）按照合同约定在合同解除前应支付的违约金；</w:t>
      </w:r>
    </w:p>
    <w:p>
      <w:r>
        <w:t>（5）按照合同约定应当支付给承包人的其他款项；</w:t>
      </w:r>
    </w:p>
    <w:p>
      <w:r>
        <w:t>（6）按照合同约定应退还的质量保证金；</w:t>
      </w:r>
    </w:p>
    <w:p>
      <w:r>
        <w:t>（7）因解除合同给承包人造成的损失。</w:t>
      </w:r>
    </w:p>
    <w:p>
      <w:r>
        <w:t>合同当事人未能就解除合同后的结清达成一致的，按照第20条</w:t>
      </w:r>
      <w:r>
        <w:rPr>
          <w:rFonts w:hint="eastAsia"/>
        </w:rPr>
        <w:t>〔</w:t>
      </w:r>
      <w:r>
        <w:t>争议解决</w:t>
      </w:r>
      <w:r>
        <w:rPr>
          <w:rFonts w:hint="eastAsia"/>
        </w:rPr>
        <w:t>〕</w:t>
      </w:r>
      <w:r>
        <w:t>的约定处理。</w:t>
      </w:r>
    </w:p>
    <w:p>
      <w:r>
        <w:t>承包人应妥善做好已完工程和与工程有关的已购材料、工程设备的保护和移交工作，并将施工设备和人员撤出施工现场，发包人应为承包人撤出提供必要条件。</w:t>
      </w:r>
    </w:p>
    <w:p>
      <w:bookmarkStart w:id="1027" w:name="_Toc351203605"/>
      <w:bookmarkStart w:id="1028" w:name="_Toc296346632"/>
      <w:bookmarkStart w:id="1029" w:name="_Toc296503131"/>
      <w:bookmarkStart w:id="1030" w:name="_Toc337558822"/>
      <w:r>
        <w:t>16.2 承包人违约</w:t>
      </w:r>
      <w:bookmarkEnd w:id="1027"/>
    </w:p>
    <w:bookmarkEnd w:id="1028"/>
    <w:bookmarkEnd w:id="1029"/>
    <w:bookmarkEnd w:id="1030"/>
    <w:p>
      <w:r>
        <w:t>16.2.1 承包人违约的情形</w:t>
      </w:r>
    </w:p>
    <w:p>
      <w:r>
        <w:t>在合同履行过程中发生的下列情形，属于承包人违约：</w:t>
      </w:r>
    </w:p>
    <w:p>
      <w:r>
        <w:t>（1）承包人违反合同约定进行转包或违法分包的；</w:t>
      </w:r>
    </w:p>
    <w:p>
      <w:r>
        <w:t>（2）承包人违反合同约定采购和使用不合格的材料和工程设备的；</w:t>
      </w:r>
    </w:p>
    <w:p>
      <w:r>
        <w:t xml:space="preserve">（3）因承包人原因导致工程质量不符合合同要求的； </w:t>
      </w:r>
    </w:p>
    <w:p>
      <w:r>
        <w:t>（4）承包人违反第8.9款</w:t>
      </w:r>
      <w:r>
        <w:rPr>
          <w:rFonts w:hint="eastAsia"/>
        </w:rPr>
        <w:t>〔</w:t>
      </w:r>
      <w:r>
        <w:t>材料与设备专用</w:t>
      </w:r>
      <w:r>
        <w:rPr>
          <w:rFonts w:hint="eastAsia"/>
        </w:rPr>
        <w:t>要求〕</w:t>
      </w:r>
      <w:r>
        <w:t>的约定，未经批准，私自将已按照合同约定进入施工现场的材料或设备撤离施工现场的；</w:t>
      </w:r>
    </w:p>
    <w:p>
      <w:r>
        <w:t>（5）承包人未能按施工进度计划及时完成合同约定的工作，造成工期延误的；</w:t>
      </w:r>
    </w:p>
    <w:p>
      <w:r>
        <w:t>（6）承包人在缺陷责任期及保修期内，未能在合理期限对工程缺陷进行修复，或拒绝按发包人要求进行修复的；</w:t>
      </w:r>
    </w:p>
    <w:p>
      <w:r>
        <w:t>（7）承包人明确表示或者以其行为表明不履行合同主要义务的；</w:t>
      </w:r>
    </w:p>
    <w:p>
      <w:r>
        <w:t>（8）承包人未能按照合同约定履行其他义务的。</w:t>
      </w:r>
    </w:p>
    <w:p>
      <w:r>
        <w:t>承包人发生除本项第（7）目约定以外的其他违约情况时，监理人可向承包人发出整改通知，要求其在指定的期限内改正。</w:t>
      </w:r>
    </w:p>
    <w:p>
      <w:r>
        <w:t>16.2.2 承包人违约的责任</w:t>
      </w:r>
    </w:p>
    <w:p>
      <w:r>
        <w:t>承包人应承担因其违约行为而增加的费用</w:t>
      </w:r>
      <w:r>
        <w:rPr>
          <w:rFonts w:hint="eastAsia"/>
        </w:rPr>
        <w:t>和（或）延误的</w:t>
      </w:r>
      <w:r>
        <w:t>工期。此外，合同当事人可在专用合同条款中另行约定承包人违约责任的承担方式和计算方法。</w:t>
      </w:r>
    </w:p>
    <w:p>
      <w:r>
        <w:t>16.2.3 因承包人违约解除合同</w:t>
      </w:r>
    </w:p>
    <w:p>
      <w:r>
        <w:t>除专用合同条款另有约定外，出现第16.2.1项</w:t>
      </w:r>
      <w:r>
        <w:rPr>
          <w:rFonts w:hint="eastAsia"/>
        </w:rPr>
        <w:t>〔</w:t>
      </w:r>
      <w:r>
        <w:t>承包人违约的情形</w:t>
      </w:r>
      <w:r>
        <w:rPr>
          <w:rFonts w:hint="eastAsia"/>
        </w:rPr>
        <w:t>〕</w:t>
      </w:r>
      <w:r>
        <w:t>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w:t>
      </w:r>
      <w:r>
        <w:rPr>
          <w:rFonts w:hint="eastAsia"/>
        </w:rPr>
        <w:t>合同当事人应在专用合同条款约定相应费用的承担方式。</w:t>
      </w:r>
      <w:r>
        <w:t>发包人</w:t>
      </w:r>
      <w:r>
        <w:rPr>
          <w:rFonts w:hint="eastAsia"/>
        </w:rPr>
        <w:t>继续使用的</w:t>
      </w:r>
      <w:r>
        <w:t>行为不免除或减轻承包人应承担的违约责任。</w:t>
      </w:r>
    </w:p>
    <w:p>
      <w:r>
        <w:t>16.2.4因承包人违约解除合同后的处理</w:t>
      </w:r>
    </w:p>
    <w:p>
      <w:r>
        <w:t>因承包人原因导致合同解除的，则合同当事人应在合同解除后28天内完成估价、付款和清算，并按以下约定执行：</w:t>
      </w:r>
    </w:p>
    <w:p>
      <w:r>
        <w:t>（1）合同解除后，按第4.4款</w:t>
      </w:r>
      <w:r>
        <w:rPr>
          <w:rFonts w:hint="eastAsia"/>
        </w:rPr>
        <w:t>〔</w:t>
      </w:r>
      <w:r>
        <w:t>商定或确定</w:t>
      </w:r>
      <w:r>
        <w:rPr>
          <w:rFonts w:hint="eastAsia"/>
        </w:rPr>
        <w:t>〕</w:t>
      </w:r>
      <w:r>
        <w:t>商定或确定承包人实际完成工作对应的合同价款，以及承包人已提供的材料、工程设备、施工设备和临时工程等的价值；</w:t>
      </w:r>
    </w:p>
    <w:p>
      <w:r>
        <w:t>（2）合同解除后，承包人应支付的违约金；</w:t>
      </w:r>
    </w:p>
    <w:p>
      <w:r>
        <w:t>（3）合同解除后，因解除合同给发包人造成的损失；</w:t>
      </w:r>
    </w:p>
    <w:p>
      <w:r>
        <w:t>（4）合同解除后，承包人应按照发包人要求和监理人的指示完成现场的清理和撤离；</w:t>
      </w:r>
    </w:p>
    <w:p>
      <w:r>
        <w:t>（5）发包人和承包人应在合同解除后进行清算，出具最终结清付款证书，结清全部款项。</w:t>
      </w:r>
    </w:p>
    <w:p>
      <w:r>
        <w:rPr>
          <w:rFonts w:hint="eastAsia"/>
        </w:rPr>
        <w:t>因承包人违约解除合同的，</w:t>
      </w:r>
      <w:r>
        <w:t>发包人有权暂停对承包人的付款，查清各项付款和已扣款项。发包人和承包人未能就合同解除后的清算和款项支付达成一致的，按照第20条</w:t>
      </w:r>
      <w:r>
        <w:rPr>
          <w:rFonts w:hint="eastAsia"/>
        </w:rPr>
        <w:t>〔</w:t>
      </w:r>
      <w:r>
        <w:t>争议解决</w:t>
      </w:r>
      <w:r>
        <w:rPr>
          <w:rFonts w:hint="eastAsia"/>
        </w:rPr>
        <w:t>〕</w:t>
      </w:r>
      <w:r>
        <w:t>的约定处理。</w:t>
      </w:r>
    </w:p>
    <w:p>
      <w:r>
        <w:t>16.2.5采购合同权益转让</w:t>
      </w:r>
    </w:p>
    <w:p>
      <w: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bookmarkStart w:id="1031" w:name="_Toc351203606"/>
      <w:r>
        <w:t>16.3 第三人造成的违约</w:t>
      </w:r>
      <w:bookmarkEnd w:id="1031"/>
    </w:p>
    <w:p>
      <w:r>
        <w:t>在履行合同过程中，一方当事人因第三人的原因造成违约的，应当向对方当事人承担违约责任。一方当事人和第三人之间的纠纷，依照法律规定或者按照约定解决。</w:t>
      </w:r>
    </w:p>
    <w:p>
      <w:bookmarkStart w:id="1032" w:name="_Toc351203607"/>
      <w:bookmarkStart w:id="1033" w:name="_Toc337558823"/>
      <w:bookmarkStart w:id="1034" w:name="_Toc296503116"/>
      <w:bookmarkStart w:id="1035" w:name="_Toc296346617"/>
      <w:r>
        <w:t>17. 不可抗力</w:t>
      </w:r>
      <w:bookmarkEnd w:id="1032"/>
      <w:r>
        <w:t xml:space="preserve"> </w:t>
      </w:r>
      <w:bookmarkEnd w:id="1033"/>
      <w:bookmarkEnd w:id="1034"/>
      <w:bookmarkEnd w:id="1035"/>
    </w:p>
    <w:p>
      <w:bookmarkStart w:id="1036" w:name="_Toc351203608"/>
      <w:bookmarkStart w:id="1037" w:name="_Toc296503117"/>
      <w:bookmarkStart w:id="1038" w:name="_Toc337558824"/>
      <w:bookmarkStart w:id="1039" w:name="_Toc296346618"/>
      <w:r>
        <w:t>17.1 不可抗力的确认</w:t>
      </w:r>
      <w:bookmarkEnd w:id="1036"/>
    </w:p>
    <w:bookmarkEnd w:id="1037"/>
    <w:bookmarkEnd w:id="1038"/>
    <w:bookmarkEnd w:id="1039"/>
    <w:p>
      <w:r>
        <w:t>不可抗力是指合同当事人在签订合同时不可预见，在合同履行过程中不可避免且不能克服的自然灾害和社会性突发事件，如地震、海啸、瘟疫、骚乱、戒严、暴动、战争和专用合同条款中约定的其他情形。</w:t>
      </w:r>
    </w:p>
    <w:p>
      <w:r>
        <w:t>不可抗力发生后，发包人和承包人应收集证明不可抗力发生及不可抗力造成损失的证据，并及时认真统计所造成的损失。合同当事人对是否属于不可抗力或其损失的意见不一致的，由监理人按第4.4款</w:t>
      </w:r>
      <w:r>
        <w:rPr>
          <w:rFonts w:hint="eastAsia"/>
        </w:rPr>
        <w:t>〔</w:t>
      </w:r>
      <w:r>
        <w:t>商定或确定</w:t>
      </w:r>
      <w:r>
        <w:rPr>
          <w:rFonts w:hint="eastAsia"/>
        </w:rPr>
        <w:t>〕</w:t>
      </w:r>
      <w:r>
        <w:t>的约定处理。发生争议时，按第20条</w:t>
      </w:r>
      <w:r>
        <w:rPr>
          <w:rFonts w:hint="eastAsia"/>
        </w:rPr>
        <w:t>〔</w:t>
      </w:r>
      <w:r>
        <w:t>争议解决</w:t>
      </w:r>
      <w:r>
        <w:rPr>
          <w:rFonts w:hint="eastAsia"/>
        </w:rPr>
        <w:t>〕</w:t>
      </w:r>
      <w:r>
        <w:t>的约定处理。</w:t>
      </w:r>
    </w:p>
    <w:p>
      <w:bookmarkStart w:id="1040" w:name="_Toc351203609"/>
      <w:bookmarkStart w:id="1041" w:name="_Toc296346619"/>
      <w:bookmarkStart w:id="1042" w:name="_Toc337558825"/>
      <w:bookmarkStart w:id="1043" w:name="_Toc296503118"/>
      <w:r>
        <w:t>17.2 不可抗力的通知</w:t>
      </w:r>
      <w:bookmarkEnd w:id="1040"/>
    </w:p>
    <w:bookmarkEnd w:id="1041"/>
    <w:bookmarkEnd w:id="1042"/>
    <w:bookmarkEnd w:id="1043"/>
    <w:p>
      <w:r>
        <w:rPr>
          <w:rFonts w:hint="eastAsia"/>
        </w:rPr>
        <w:t>合同</w:t>
      </w:r>
      <w:r>
        <w:t>一方当事人遇到不可抗力事件，使其履行合同义务受到阻碍时，应立即通知合同另一方当事人和监理人，书面说明不可抗力和受阻碍的详细情况，并提供必要的证明。</w:t>
      </w:r>
    </w:p>
    <w:p>
      <w:r>
        <w:t>不可抗力持续发生的，合同一方当事人应及时向合同另一方当事人和监理人提交中间报告，说明不可抗力和履行合同受阻的情况，并于不可抗力事件结束后28天内提交最终报告及有关资料。</w:t>
      </w:r>
    </w:p>
    <w:p>
      <w:bookmarkStart w:id="1044" w:name="_Toc351203610"/>
      <w:bookmarkStart w:id="1045" w:name="_Toc296503119"/>
      <w:bookmarkStart w:id="1046" w:name="_Toc296346620"/>
      <w:bookmarkStart w:id="1047" w:name="_Toc337558826"/>
      <w:r>
        <w:t>17.3 不可抗力后果的承担</w:t>
      </w:r>
      <w:bookmarkEnd w:id="1044"/>
    </w:p>
    <w:bookmarkEnd w:id="1045"/>
    <w:bookmarkEnd w:id="1046"/>
    <w:bookmarkEnd w:id="1047"/>
    <w:p>
      <w:r>
        <w:t xml:space="preserve">17.3.1 </w:t>
      </w:r>
      <w:r>
        <w:rPr>
          <w:rFonts w:hint="eastAsia"/>
        </w:rPr>
        <w:t>不可抗力引起的后果及造成的损失由合同当事人按照法律规定及合同约定各自承担。</w:t>
      </w:r>
      <w:r>
        <w:t>不可抗力发生前已完</w:t>
      </w:r>
      <w:r>
        <w:rPr>
          <w:rFonts w:hint="eastAsia"/>
        </w:rPr>
        <w:t>成的</w:t>
      </w:r>
      <w:r>
        <w:t>工程应当按照合同约定进行计量</w:t>
      </w:r>
      <w:r>
        <w:rPr>
          <w:rFonts w:hint="eastAsia"/>
        </w:rPr>
        <w:t>支付</w:t>
      </w:r>
      <w:r>
        <w:t>。</w:t>
      </w:r>
    </w:p>
    <w:p>
      <w:r>
        <w:t>17.3.2 不可抗力导致的人员伤亡、财产损失、费用增加和（或）工期延误等后果，由合同当事人按以下原则承担：</w:t>
      </w:r>
    </w:p>
    <w:p>
      <w:r>
        <w:t>（1）永久工程、已运至施工现场的材料和工程设备的损坏，以及因工程损坏造成的第三人人员伤亡和财产损失由发包人承担；</w:t>
      </w:r>
    </w:p>
    <w:p>
      <w:r>
        <w:t>（2）承包人施工设备的损坏由承包人承担；</w:t>
      </w:r>
    </w:p>
    <w:p>
      <w:r>
        <w:t>（3）发包人和承包人承担各自人员伤亡和财产的损失；</w:t>
      </w:r>
    </w:p>
    <w:p>
      <w:r>
        <w:t>（4）因不可抗力影响承包人履行合同约定的义务，已经引起或将引起工期延误的，应当顺延工期，由此导致承包人停工的费用损失由发包人和承包人合理分担，停工期间必须支付的工人工资由发包人承担；</w:t>
      </w:r>
    </w:p>
    <w:p>
      <w:r>
        <w:t>（5）因不可抗力引起或将引起工期延误，发包人要求赶工的，由此增加的赶工费用由发包人承担；</w:t>
      </w:r>
    </w:p>
    <w:p>
      <w:r>
        <w:t>（6）承包人在停工期间按照发包人要求照管、清理和修复工程的费用由发包人承担。</w:t>
      </w:r>
    </w:p>
    <w:p>
      <w:r>
        <w:t>不可抗力发生后，合同当事人均应采取措施尽量避免和减少损失的扩大，任何一方当事人没有采取有效措施导致损失扩大的，应对扩大的损失承担责任。</w:t>
      </w:r>
    </w:p>
    <w:p>
      <w:r>
        <w:t>因合同一方迟延履行合同义务，在迟延履行期间遭遇不可抗力的，不免除其违约责任。</w:t>
      </w:r>
    </w:p>
    <w:p>
      <w:bookmarkStart w:id="1048" w:name="_Toc351203611"/>
      <w:bookmarkStart w:id="1049" w:name="_Toc337558827"/>
      <w:r>
        <w:t>17.4 因不可抗力解除合同</w:t>
      </w:r>
      <w:bookmarkEnd w:id="1048"/>
    </w:p>
    <w:bookmarkEnd w:id="1049"/>
    <w:p>
      <w:r>
        <w:t>因不可抗力导致合同无法履行连续超过84天或累计超过140天的，发包人和承包人均有权解除合同。合同解除后，由双方当事人按照第4.4款</w:t>
      </w:r>
      <w:r>
        <w:rPr>
          <w:rFonts w:hint="eastAsia"/>
        </w:rPr>
        <w:t>〔</w:t>
      </w:r>
      <w:r>
        <w:t>商定或确定</w:t>
      </w:r>
      <w:r>
        <w:rPr>
          <w:rFonts w:hint="eastAsia"/>
        </w:rPr>
        <w:t>〕</w:t>
      </w:r>
      <w:r>
        <w:t>商定或确定发包人应支付的款项，该款项包括：</w:t>
      </w:r>
    </w:p>
    <w:p>
      <w:r>
        <w:t>（1）合同解除前承包人已完成工作的价款；</w:t>
      </w:r>
    </w:p>
    <w:p>
      <w:r>
        <w:t>（2）承包人为工程订购的并已交付给承包人，或承包人有责任接受交付的材料、工程设备和其他物品的价款；</w:t>
      </w:r>
    </w:p>
    <w:p>
      <w:r>
        <w:t>（3）发包人要求承包人退货或解除订货合同而产生的费用，或因不能退货或解除合同而产生的损失；</w:t>
      </w:r>
    </w:p>
    <w:p>
      <w:r>
        <w:t>（4）承包人撤离施工现场以及遣散承包人人员的费用；</w:t>
      </w:r>
    </w:p>
    <w:p>
      <w:r>
        <w:t>（5）按照合同约定在合同解除前应支付给承包人的其他款项；</w:t>
      </w:r>
    </w:p>
    <w:p>
      <w:r>
        <w:t>（6）扣减承包人按照合同约定应向发包人支付的款项；</w:t>
      </w:r>
    </w:p>
    <w:p>
      <w:r>
        <w:t>（7）双方商定或确定的其他款项。</w:t>
      </w:r>
    </w:p>
    <w:p>
      <w:r>
        <w:t>除专用合同条款另有约定外，合同解除后，发包人应在商定或确定上述款项后28天内完成上述款项的支付。</w:t>
      </w:r>
    </w:p>
    <w:p>
      <w:bookmarkStart w:id="1050" w:name="_Toc351203612"/>
      <w:bookmarkStart w:id="1051" w:name="_Toc296503120"/>
      <w:bookmarkStart w:id="1052" w:name="_Toc296346621"/>
      <w:bookmarkStart w:id="1053" w:name="_Toc337558828"/>
      <w:r>
        <w:t>18. 保险</w:t>
      </w:r>
      <w:bookmarkEnd w:id="1050"/>
    </w:p>
    <w:bookmarkEnd w:id="1051"/>
    <w:bookmarkEnd w:id="1052"/>
    <w:bookmarkEnd w:id="1053"/>
    <w:p>
      <w:bookmarkStart w:id="1054" w:name="_Toc351203613"/>
      <w:bookmarkStart w:id="1055" w:name="_Toc296503121"/>
      <w:bookmarkStart w:id="1056" w:name="_Toc296346622"/>
      <w:bookmarkStart w:id="1057" w:name="_Toc337558829"/>
      <w:r>
        <w:t>18.1 工程保险</w:t>
      </w:r>
      <w:bookmarkEnd w:id="1054"/>
    </w:p>
    <w:bookmarkEnd w:id="1055"/>
    <w:bookmarkEnd w:id="1056"/>
    <w:bookmarkEnd w:id="1057"/>
    <w:p>
      <w:r>
        <w:t>除专用合同条款另有约定外，发包人应投保建筑工程一切险或安装工程一切险；发包人委托承包人投保的，因投保产生的保险费和其他相关费用由发包人承担。</w:t>
      </w:r>
    </w:p>
    <w:p>
      <w:bookmarkStart w:id="1058" w:name="_Toc351203614"/>
      <w:bookmarkStart w:id="1059" w:name="_Toc296346623"/>
      <w:bookmarkStart w:id="1060" w:name="_Toc337558830"/>
      <w:bookmarkStart w:id="1061" w:name="_Toc296503122"/>
      <w:r>
        <w:t>18.2 工伤保险</w:t>
      </w:r>
      <w:bookmarkEnd w:id="1058"/>
    </w:p>
    <w:bookmarkEnd w:id="1059"/>
    <w:bookmarkEnd w:id="1060"/>
    <w:bookmarkEnd w:id="1061"/>
    <w:p>
      <w:r>
        <w:t>18.2.1 发包人应依照法律规定参加工伤保险，并为在施工现场的全部员工办理工伤保险，缴纳工伤保险费，并要求监理人及由发包人为履行合同聘请的第三方依法参加工伤保险。</w:t>
      </w:r>
    </w:p>
    <w:p>
      <w:r>
        <w:t>18.2.2 承包人应依照法律规定参加工伤保险，并为其履行合同的全部员工办理工伤保险，缴纳工伤保险费，并要求分包人及由承包人为履行合同聘请的第三方依法参加工伤保险。</w:t>
      </w:r>
    </w:p>
    <w:p>
      <w:bookmarkStart w:id="1062" w:name="_Toc351203615"/>
      <w:bookmarkStart w:id="1063" w:name="_Toc296503125"/>
      <w:bookmarkStart w:id="1064" w:name="_Toc337558831"/>
      <w:bookmarkStart w:id="1065" w:name="_Toc296346626"/>
      <w:r>
        <w:t>18.3其他保险</w:t>
      </w:r>
      <w:bookmarkEnd w:id="1062"/>
    </w:p>
    <w:bookmarkEnd w:id="1063"/>
    <w:bookmarkEnd w:id="1064"/>
    <w:bookmarkEnd w:id="1065"/>
    <w:p>
      <w:r>
        <w:t>发包人和承包人可以为其施工现场的全部人员办理意外伤害保险并支付保险费，包括其员工及为履行合同聘请的第三方的人员，具体事项由合同当事人在专用合同条款约定。</w:t>
      </w:r>
    </w:p>
    <w:p>
      <w:r>
        <w:t>除专用合同条款另有约定外，承包人应为其施工设备等办理财产保险。</w:t>
      </w:r>
    </w:p>
    <w:p>
      <w:bookmarkStart w:id="1066" w:name="_Toc351203616"/>
      <w:r>
        <w:t>18.4持续保险</w:t>
      </w:r>
      <w:bookmarkEnd w:id="1066"/>
    </w:p>
    <w:p>
      <w:r>
        <w:t>合同当事人应与保险人保持联系，使保险人能够随时了解工程实施中的变动，并确保按保险合同条款要求持续保险。</w:t>
      </w:r>
    </w:p>
    <w:p>
      <w:bookmarkStart w:id="1067" w:name="_Toc351203617"/>
      <w:bookmarkStart w:id="1068" w:name="_Toc337558832"/>
      <w:bookmarkStart w:id="1069" w:name="_Toc296346627"/>
      <w:bookmarkStart w:id="1070" w:name="_Toc296503126"/>
      <w:r>
        <w:t>18.5 保险凭证</w:t>
      </w:r>
      <w:bookmarkEnd w:id="1067"/>
    </w:p>
    <w:bookmarkEnd w:id="1068"/>
    <w:bookmarkEnd w:id="1069"/>
    <w:bookmarkEnd w:id="1070"/>
    <w:p>
      <w:r>
        <w:t>合同当事人应及时向另一方当事人提交其已投保的各项保险的凭证和保险单复印件。</w:t>
      </w:r>
    </w:p>
    <w:p>
      <w:bookmarkStart w:id="1071" w:name="_Toc351203618"/>
      <w:bookmarkStart w:id="1072" w:name="_Toc296346628"/>
      <w:bookmarkStart w:id="1073" w:name="_Toc296503127"/>
      <w:bookmarkStart w:id="1074" w:name="_Toc337558833"/>
      <w:r>
        <w:t>18.6 未按约定投保的补救</w:t>
      </w:r>
      <w:bookmarkEnd w:id="1071"/>
    </w:p>
    <w:bookmarkEnd w:id="1072"/>
    <w:bookmarkEnd w:id="1073"/>
    <w:bookmarkEnd w:id="1074"/>
    <w:p>
      <w:r>
        <w:t>18.6.1发包人未按合同约定办理保险，或未能使保险持续有效的，则承包人可代为办理，所需费用由发包人承担。发包人未按合同约定办理保险，导致未能得到足额赔偿的，由发包人负责补足。</w:t>
      </w:r>
    </w:p>
    <w:p>
      <w:r>
        <w:t>18.6.2承包人未按合同约定办理保险，或未能使保险持续有效的，则发包人可代为办理，所需费用由承包人承担。承包人未按合同约定办理保险，导致未能得到足额赔偿的，由承包人负责补足。</w:t>
      </w:r>
    </w:p>
    <w:p>
      <w:bookmarkStart w:id="1075" w:name="_Toc351203619"/>
      <w:bookmarkStart w:id="1076" w:name="_Toc337558834"/>
      <w:r>
        <w:t>18.7 通知义务</w:t>
      </w:r>
      <w:bookmarkEnd w:id="1075"/>
    </w:p>
    <w:bookmarkEnd w:id="1076"/>
    <w:p>
      <w:r>
        <w:t>除专用合同条款另有约定外，发包人变更除工伤保险之外的保险合同时，应事先征得承包人同意，并通知监理人；承包人变更除工伤保险之外的保险合同时，应事先征得发包人同意，并通知监理人。</w:t>
      </w:r>
    </w:p>
    <w:p>
      <w:r>
        <w:t>保险事故发生时，投保人应按照保险合同规定的条件和期限及时向保险人报告。发包人和承包人应当在知道保险事故发生后及时通知对方。</w:t>
      </w:r>
    </w:p>
    <w:p>
      <w:bookmarkStart w:id="1077" w:name="_Toc351203620"/>
      <w:bookmarkStart w:id="1078" w:name="_Toc337558835"/>
      <w:bookmarkStart w:id="1079" w:name="_Toc296503140"/>
      <w:bookmarkStart w:id="1080" w:name="_Toc296346641"/>
      <w:r>
        <w:t>19. 索赔</w:t>
      </w:r>
      <w:bookmarkEnd w:id="1077"/>
    </w:p>
    <w:bookmarkEnd w:id="1078"/>
    <w:bookmarkEnd w:id="1079"/>
    <w:bookmarkEnd w:id="1080"/>
    <w:p>
      <w:bookmarkStart w:id="1081" w:name="_Toc351203621"/>
      <w:bookmarkStart w:id="1082" w:name="_Toc296346642"/>
      <w:bookmarkStart w:id="1083" w:name="_Toc337558836"/>
      <w:bookmarkStart w:id="1084" w:name="_Toc296503141"/>
      <w:r>
        <w:t>19.1承包人的索赔</w:t>
      </w:r>
      <w:bookmarkEnd w:id="1081"/>
    </w:p>
    <w:bookmarkEnd w:id="1082"/>
    <w:bookmarkEnd w:id="1083"/>
    <w:bookmarkEnd w:id="1084"/>
    <w:p>
      <w:r>
        <w:t>根据合同约定，承包人认为有权得到追加付款和（或）延长工期的，应按以下程序向</w:t>
      </w:r>
      <w:r>
        <w:rPr>
          <w:rFonts w:hint="eastAsia"/>
        </w:rPr>
        <w:t>发包</w:t>
      </w:r>
      <w:r>
        <w:t>人提出索赔：</w:t>
      </w:r>
    </w:p>
    <w:p>
      <w:r>
        <w:t>（1）承包人应在知道或应当知道索赔事件发生后28天内，向监理人递交索赔意向通知书，并说明发生索赔事件的事由；承包人未在前述28天内发出索赔意向通知书的，丧失要求追加付款和（或）延长工期的权利；</w:t>
      </w:r>
    </w:p>
    <w:p>
      <w:r>
        <w:t>（2）承包人应在发出索赔意向通知书后28天内，向监理人正式递交索赔报告；索赔报告应详细说明索赔理由以及要求追加的付款金额和（或）延长的工期，并附必要的记录和证明材料；</w:t>
      </w:r>
    </w:p>
    <w:p>
      <w:r>
        <w:t>（3）索赔事件具有持续影响的，承包人应按合理时间间隔继续递交延续索赔通知，说明持续影响的实际情况和记录，列出累计的追加付款金额和（或）工期延长天数；</w:t>
      </w:r>
    </w:p>
    <w:p>
      <w:r>
        <w:t>（4）在索赔事件影响结束后28天内，承包人应向监理人递交最终索赔报告，说明最终要求索赔的追加付款金额和（或）延长的工期，并附必要的记录和证明材料。</w:t>
      </w:r>
    </w:p>
    <w:p>
      <w:bookmarkStart w:id="1085" w:name="_Toc351203622"/>
      <w:bookmarkStart w:id="1086" w:name="_Toc296503142"/>
      <w:bookmarkStart w:id="1087" w:name="_Toc337558837"/>
      <w:bookmarkStart w:id="1088" w:name="_Toc296346643"/>
      <w:r>
        <w:t>19.2 对承包人索赔的处理</w:t>
      </w:r>
      <w:bookmarkEnd w:id="1085"/>
    </w:p>
    <w:bookmarkEnd w:id="1086"/>
    <w:bookmarkEnd w:id="1087"/>
    <w:bookmarkEnd w:id="1088"/>
    <w:p>
      <w:r>
        <w:t>对承包人索赔的处理如下：</w:t>
      </w:r>
    </w:p>
    <w:p>
      <w:r>
        <w:t>（1）监理人应在收到索赔报告后14天内完成审查并报送发包人。监理人对索赔报告存在异议的，有权要求承包人提交全部原始记录副本；</w:t>
      </w:r>
    </w:p>
    <w:p>
      <w:r>
        <w:t>（2）发包人应在监理人收到索赔报告或有关索赔的进一步证明材料后的28天内，由监理人向承包人出具经发包人签认的索赔处理结果。发包人逾期答复的，则视为认可承包人的索赔要求；</w:t>
      </w:r>
    </w:p>
    <w:p>
      <w:r>
        <w:t>（3）承包人接受索赔处理结果的，索赔款项在当期进度款中进行支付；承包人不接受索赔处理结果的，按照第20条</w:t>
      </w:r>
      <w:r>
        <w:rPr>
          <w:rFonts w:hint="eastAsia"/>
        </w:rPr>
        <w:t>〔</w:t>
      </w:r>
      <w:r>
        <w:t>争议解决</w:t>
      </w:r>
      <w:r>
        <w:rPr>
          <w:rFonts w:hint="eastAsia"/>
        </w:rPr>
        <w:t>〕</w:t>
      </w:r>
      <w:r>
        <w:t>约定处理。</w:t>
      </w:r>
    </w:p>
    <w:p>
      <w:bookmarkStart w:id="1089" w:name="_Toc351203623"/>
      <w:bookmarkStart w:id="1090" w:name="_Toc337558838"/>
      <w:bookmarkStart w:id="1091" w:name="_Toc296346644"/>
      <w:bookmarkStart w:id="1092" w:name="_Toc296503143"/>
      <w:r>
        <w:t>19.3发包人的索赔</w:t>
      </w:r>
      <w:bookmarkEnd w:id="1089"/>
    </w:p>
    <w:bookmarkEnd w:id="1090"/>
    <w:bookmarkEnd w:id="1091"/>
    <w:bookmarkEnd w:id="1092"/>
    <w:p>
      <w:r>
        <w:t>根据合同约定，发包人认为有权得到赔付金额和（或）延长缺陷责任期的，监理人应向承包人发出通知并附有详细的证明。</w:t>
      </w:r>
    </w:p>
    <w:p>
      <w: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bookmarkStart w:id="1093" w:name="_Toc351203624"/>
      <w:bookmarkStart w:id="1094" w:name="_Toc296503144"/>
      <w:bookmarkStart w:id="1095" w:name="_Toc296346645"/>
      <w:bookmarkStart w:id="1096" w:name="_Toc337558839"/>
      <w:r>
        <w:t>19.4 对发包人索赔的处理</w:t>
      </w:r>
      <w:bookmarkEnd w:id="1093"/>
    </w:p>
    <w:bookmarkEnd w:id="1094"/>
    <w:bookmarkEnd w:id="1095"/>
    <w:bookmarkEnd w:id="1096"/>
    <w:p>
      <w:r>
        <w:t>对发包人索赔的处理如下：</w:t>
      </w:r>
    </w:p>
    <w:p>
      <w:r>
        <w:t>（1）承包人收到发包人提交的索赔报告后，应及时审查索赔报告的内容、查验发包人证明材料；</w:t>
      </w:r>
    </w:p>
    <w:p>
      <w:r>
        <w:t>（2）承包人应在收到索赔报告或有关索赔的进一步证明材料后28天内，将索赔处理结果答复发包人。如果承包人未在上述期限内作出答复的，则视为对发包人索赔要求的认可；</w:t>
      </w:r>
    </w:p>
    <w:p>
      <w:r>
        <w:t>（3）承包人接受索赔处理结果的，发包人可从应支付给承包人的合同价款中扣除赔付的金额或延长缺陷责任期；发包人不接受索赔处理结果的，按第20条</w:t>
      </w:r>
      <w:r>
        <w:rPr>
          <w:rFonts w:hint="eastAsia"/>
        </w:rPr>
        <w:t>〔</w:t>
      </w:r>
      <w:r>
        <w:t>争议解决</w:t>
      </w:r>
      <w:r>
        <w:rPr>
          <w:rFonts w:hint="eastAsia"/>
        </w:rPr>
        <w:t>〕</w:t>
      </w:r>
      <w:r>
        <w:t>约定处理。</w:t>
      </w:r>
    </w:p>
    <w:p>
      <w:bookmarkStart w:id="1097" w:name="_Toc351203625"/>
      <w:r>
        <w:t>19.5 提出索赔的期限</w:t>
      </w:r>
      <w:bookmarkEnd w:id="1097"/>
    </w:p>
    <w:p>
      <w:r>
        <w:t>（1）承包人按第14.2款</w:t>
      </w:r>
      <w:r>
        <w:rPr>
          <w:rFonts w:hint="eastAsia"/>
        </w:rPr>
        <w:t>〔</w:t>
      </w:r>
      <w:r>
        <w:t>竣工结算审核</w:t>
      </w:r>
      <w:r>
        <w:rPr>
          <w:rFonts w:hint="eastAsia"/>
        </w:rPr>
        <w:t>〕</w:t>
      </w:r>
      <w:r>
        <w:t>约定接收竣工付款证书后，应被视为已无权再提出在工程接收证书颁发前所发生的任何索赔。</w:t>
      </w:r>
    </w:p>
    <w:p>
      <w:r>
        <w:t>（2）承包人按第14.4款</w:t>
      </w:r>
      <w:r>
        <w:rPr>
          <w:rFonts w:hint="eastAsia"/>
        </w:rPr>
        <w:t>〔</w:t>
      </w:r>
      <w:r>
        <w:t>最终结清</w:t>
      </w:r>
      <w:r>
        <w:rPr>
          <w:rFonts w:hint="eastAsia"/>
        </w:rPr>
        <w:t>〕</w:t>
      </w:r>
      <w:r>
        <w:t>提交的最终结清申请单中，只限于提出工程接收证书颁发后发生的索赔。提出索赔的期限自接受最终结清证书时终止。</w:t>
      </w:r>
    </w:p>
    <w:p>
      <w:bookmarkStart w:id="1098" w:name="_Toc351203626"/>
      <w:r>
        <w:t>20</w:t>
      </w:r>
      <w:bookmarkStart w:id="1099" w:name="_Toc296503146"/>
      <w:bookmarkStart w:id="1100" w:name="_Toc337558840"/>
      <w:bookmarkStart w:id="1101" w:name="_Toc296346647"/>
      <w:r>
        <w:t>. 争议解决</w:t>
      </w:r>
      <w:bookmarkEnd w:id="1098"/>
    </w:p>
    <w:bookmarkEnd w:id="1099"/>
    <w:bookmarkEnd w:id="1100"/>
    <w:bookmarkEnd w:id="1101"/>
    <w:p>
      <w:bookmarkStart w:id="1102" w:name="_Toc351203627"/>
      <w:bookmarkStart w:id="1103" w:name="_Toc296503147"/>
      <w:bookmarkStart w:id="1104" w:name="_Toc337558841"/>
      <w:bookmarkStart w:id="1105" w:name="_Toc296346648"/>
      <w:r>
        <w:t>20.1和解</w:t>
      </w:r>
      <w:bookmarkEnd w:id="1102"/>
    </w:p>
    <w:bookmarkEnd w:id="1103"/>
    <w:bookmarkEnd w:id="1104"/>
    <w:bookmarkEnd w:id="1105"/>
    <w:p>
      <w:r>
        <w:t>合同当事人可以就争议自行和解，自行和解达成协议的经双方签字并盖章后作为合同补充文件，双方均应遵照执行。</w:t>
      </w:r>
    </w:p>
    <w:p>
      <w:bookmarkStart w:id="1106" w:name="_Toc351203628"/>
      <w:r>
        <w:t>20</w:t>
      </w:r>
      <w:bookmarkStart w:id="1107" w:name="_Toc296503148"/>
      <w:bookmarkStart w:id="1108" w:name="_Toc337558842"/>
      <w:bookmarkStart w:id="1109" w:name="_Toc296346649"/>
      <w:r>
        <w:t>.2调解</w:t>
      </w:r>
      <w:bookmarkEnd w:id="1106"/>
    </w:p>
    <w:bookmarkEnd w:id="1107"/>
    <w:bookmarkEnd w:id="1108"/>
    <w:bookmarkEnd w:id="1109"/>
    <w:p>
      <w:r>
        <w:t>合同当事人可以就争议请求建设行政主管部门</w:t>
      </w:r>
      <w:r>
        <w:rPr>
          <w:rFonts w:hint="eastAsia"/>
        </w:rPr>
        <w:t>、行业协会</w:t>
      </w:r>
      <w:r>
        <w:t>或</w:t>
      </w:r>
      <w:r>
        <w:rPr>
          <w:rFonts w:hint="eastAsia"/>
        </w:rPr>
        <w:t>其他</w:t>
      </w:r>
      <w:r>
        <w:t>第三方进行调解，调解达成协议的，经双方签字并盖章后作为合同补充文件，双方均应遵照执行。</w:t>
      </w:r>
    </w:p>
    <w:p>
      <w:bookmarkStart w:id="1110" w:name="_Toc351203629"/>
      <w:bookmarkStart w:id="1111" w:name="_Toc296346650"/>
      <w:bookmarkStart w:id="1112" w:name="_Toc296503149"/>
      <w:bookmarkStart w:id="1113" w:name="_Toc337558843"/>
      <w:r>
        <w:t>20.3争议评审</w:t>
      </w:r>
      <w:bookmarkEnd w:id="1110"/>
    </w:p>
    <w:bookmarkEnd w:id="1111"/>
    <w:bookmarkEnd w:id="1112"/>
    <w:bookmarkEnd w:id="1113"/>
    <w:p>
      <w:r>
        <w:t>合同当事人在专用合同条款中约定采取争议评审方式解决争议</w:t>
      </w:r>
      <w:r>
        <w:rPr>
          <w:rFonts w:hint="eastAsia"/>
        </w:rPr>
        <w:t>以及评审规则，并</w:t>
      </w:r>
      <w:r>
        <w:t xml:space="preserve">按下列约定执行： </w:t>
      </w:r>
    </w:p>
    <w:p>
      <w:r>
        <w:t>20.3.1 争议评审小组的确定</w:t>
      </w:r>
    </w:p>
    <w:p>
      <w:r>
        <w:t>合同当事人可以共同选择一名或三名争议评审员，组成争议评审小组。除专用合同条款另有约定外，合同当事人应当自合同签订后28天内，或者争议发生后14天内，选定争议评审员。</w:t>
      </w:r>
    </w:p>
    <w:p>
      <w: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w:t>
      </w:r>
      <w:r>
        <w:rPr>
          <w:rFonts w:hint="eastAsia"/>
        </w:rPr>
        <w:t>评审</w:t>
      </w:r>
      <w:r>
        <w:t xml:space="preserve">机构指定第三名首席争议评审员。 </w:t>
      </w:r>
    </w:p>
    <w:p>
      <w:r>
        <w:t>除专用合同条款另有约定外，评审员报酬由发包人和承包人各承担一半。</w:t>
      </w:r>
    </w:p>
    <w:p>
      <w:r>
        <w:t>20.3.2 争议评审小组的决定</w:t>
      </w:r>
    </w:p>
    <w:p>
      <w: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r>
        <w:t>20.3.3 争议评审小组决定的效力</w:t>
      </w:r>
    </w:p>
    <w:p>
      <w:r>
        <w:t>争议评审小组作出的书面决定经合同当事人签字确认后，对双方具有约束力，双方应遵照执行。</w:t>
      </w:r>
    </w:p>
    <w:p>
      <w:r>
        <w:t>任何一方当事人不接受争议评审小组决定</w:t>
      </w:r>
      <w:r>
        <w:rPr>
          <w:rFonts w:hint="eastAsia"/>
        </w:rPr>
        <w:t>或不履行争议评审小组决定的</w:t>
      </w:r>
      <w:r>
        <w:t>，双方可选择采用其他争议解决方式。</w:t>
      </w:r>
    </w:p>
    <w:p>
      <w:bookmarkStart w:id="1114" w:name="_Toc351203630"/>
      <w:bookmarkStart w:id="1115" w:name="_Toc337558844"/>
      <w:bookmarkStart w:id="1116" w:name="_Toc296346651"/>
      <w:bookmarkStart w:id="1117" w:name="_Toc296503150"/>
      <w:r>
        <w:t>20.4仲裁或诉讼</w:t>
      </w:r>
      <w:bookmarkEnd w:id="1114"/>
    </w:p>
    <w:bookmarkEnd w:id="1115"/>
    <w:bookmarkEnd w:id="1116"/>
    <w:bookmarkEnd w:id="1117"/>
    <w:p>
      <w:r>
        <w:t>因合同及合同有关事项产生的争议，合同当事人可以在专用合同条款中约定以下一种方式解决争议：</w:t>
      </w:r>
    </w:p>
    <w:p>
      <w:r>
        <w:t>（1）向约定的仲裁委员会申请仲裁；</w:t>
      </w:r>
    </w:p>
    <w:p>
      <w:r>
        <w:t>（2）向有管辖权的人民法院起诉。</w:t>
      </w:r>
    </w:p>
    <w:p>
      <w:bookmarkStart w:id="1118" w:name="_Toc351203631"/>
      <w:bookmarkStart w:id="1119" w:name="_Toc337558845"/>
      <w:bookmarkStart w:id="1120" w:name="_Toc296503152"/>
      <w:bookmarkStart w:id="1121" w:name="_Toc296346653"/>
      <w:r>
        <w:t>20.5争议解决条款效力</w:t>
      </w:r>
      <w:bookmarkEnd w:id="1118"/>
    </w:p>
    <w:bookmarkEnd w:id="1119"/>
    <w:bookmarkEnd w:id="1120"/>
    <w:bookmarkEnd w:id="1121"/>
    <w:p>
      <w:r>
        <w:t xml:space="preserve">合同有关争议解决的条款独立存在，合同的变更、解除、终止、无效或者被撤销均不影响其效力。 </w:t>
      </w:r>
    </w:p>
    <w:p>
      <w:r>
        <w:br w:type="page"/>
      </w:r>
    </w:p>
    <w:p>
      <w:bookmarkStart w:id="1122" w:name="_Toc478125603"/>
      <w:bookmarkStart w:id="1123" w:name="_Toc72340037"/>
      <w:bookmarkStart w:id="1124" w:name="_Toc72339172"/>
      <w:bookmarkStart w:id="1125" w:name="_Toc351203632"/>
      <w:r>
        <w:rPr>
          <w:rFonts w:hint="eastAsia"/>
        </w:rPr>
        <w:t>第三部分 专用合同条款</w:t>
      </w:r>
      <w:bookmarkEnd w:id="1122"/>
      <w:bookmarkEnd w:id="1123"/>
      <w:bookmarkEnd w:id="1124"/>
      <w:bookmarkEnd w:id="1125"/>
    </w:p>
    <w:p>
      <w:bookmarkStart w:id="1126" w:name="_Toc351203633"/>
      <w:r>
        <w:t>1</w:t>
      </w:r>
      <w:bookmarkStart w:id="1127" w:name="_Toc292559361"/>
      <w:bookmarkStart w:id="1128" w:name="_Toc296346657"/>
      <w:bookmarkStart w:id="1129" w:name="_Toc292559866"/>
      <w:bookmarkStart w:id="1130" w:name="_Toc296891196"/>
      <w:bookmarkStart w:id="1131" w:name="_Toc296503156"/>
      <w:bookmarkStart w:id="1132" w:name="_Toc296347155"/>
      <w:bookmarkStart w:id="1133" w:name="_Toc296944495"/>
      <w:bookmarkStart w:id="1134" w:name="_Toc297120456"/>
      <w:bookmarkStart w:id="1135" w:name="_Toc296890984"/>
      <w:bookmarkStart w:id="1136" w:name="_Toc297048342"/>
      <w:r>
        <w:t>. 一般约定</w:t>
      </w:r>
      <w:bookmarkEnd w:id="1126"/>
    </w:p>
    <w:bookmarkEnd w:id="1127"/>
    <w:bookmarkEnd w:id="1128"/>
    <w:bookmarkEnd w:id="1129"/>
    <w:bookmarkEnd w:id="1130"/>
    <w:bookmarkEnd w:id="1131"/>
    <w:bookmarkEnd w:id="1132"/>
    <w:bookmarkEnd w:id="1133"/>
    <w:bookmarkEnd w:id="1134"/>
    <w:bookmarkEnd w:id="1135"/>
    <w:bookmarkEnd w:id="1136"/>
    <w:p>
      <w:bookmarkStart w:id="1137" w:name="_Toc3900430"/>
      <w:r>
        <w:t>1.1 词语定义</w:t>
      </w:r>
      <w:bookmarkEnd w:id="1137"/>
    </w:p>
    <w:p>
      <w:r>
        <w:t>1.1.1合同</w:t>
      </w:r>
    </w:p>
    <w:p>
      <w:r>
        <w:t>1.1.1.10其他合同文件包括：</w:t>
      </w:r>
      <w:r>
        <w:rPr>
          <w:rFonts w:hint="eastAsia"/>
        </w:rPr>
        <w:t xml:space="preserve"> 无</w:t>
      </w:r>
      <w:r>
        <w:t xml:space="preserve">  。</w:t>
      </w:r>
    </w:p>
    <w:p>
      <w:r>
        <w:t>1.1.3 工程和设备</w:t>
      </w:r>
    </w:p>
    <w:p>
      <w:r>
        <w:t>1.1.3.7 作为施工现场组成部分的其他场所包括：</w:t>
      </w:r>
      <w:r>
        <w:rPr>
          <w:rFonts w:hint="eastAsia"/>
        </w:rPr>
        <w:t xml:space="preserve">        /          </w:t>
      </w:r>
      <w:r>
        <w:t>。</w:t>
      </w:r>
    </w:p>
    <w:p>
      <w:r>
        <w:t xml:space="preserve">1.1.3.9 永久占地包括：  </w:t>
      </w:r>
      <w:r>
        <w:rPr>
          <w:rFonts w:hint="eastAsia"/>
        </w:rPr>
        <w:t>工程规划红线范围内的土地</w:t>
      </w:r>
      <w:r>
        <w:t>。</w:t>
      </w:r>
    </w:p>
    <w:p>
      <w:r>
        <w:t xml:space="preserve">1.1.3.10 临时占地包括：  </w:t>
      </w:r>
      <w:r>
        <w:rPr>
          <w:rFonts w:hint="eastAsia"/>
        </w:rPr>
        <w:t>如承包人为实施本工程而须临时占用本工程规划红线范围外的土地，所使用的场地必须报请发包人批准。如对发包人校园现有设施造成破坏的，由承包人做好场地复原工作</w:t>
      </w:r>
      <w:r>
        <w:t>。</w:t>
      </w:r>
    </w:p>
    <w:p>
      <w:r>
        <w:t xml:space="preserve">1.3法律 </w:t>
      </w:r>
    </w:p>
    <w:p>
      <w:r>
        <w:t xml:space="preserve">适用于合同的其他规范性文件：             </w:t>
      </w:r>
      <w:r>
        <w:rPr>
          <w:rFonts w:hint="eastAsia"/>
        </w:rPr>
        <w:t>/</w:t>
      </w:r>
      <w:r>
        <w:t xml:space="preserve">            </w:t>
      </w:r>
      <w:r>
        <w:rPr>
          <w:rFonts w:hint="eastAsia"/>
        </w:rPr>
        <w:t xml:space="preserve">  </w:t>
      </w:r>
      <w:r>
        <w:t xml:space="preserve"> 。</w:t>
      </w:r>
    </w:p>
    <w:p>
      <w:r>
        <w:t>1.4 标准和规范</w:t>
      </w:r>
    </w:p>
    <w:p>
      <w:r>
        <w:t>1.4.1适用于工程的标准规范包括：</w:t>
      </w:r>
      <w:r>
        <w:rPr>
          <w:rFonts w:hint="eastAsia"/>
        </w:rPr>
        <w:t>参见招标文件要求</w:t>
      </w:r>
      <w:r>
        <w:rPr>
          <w:rFonts w:hint="eastAsia"/>
          <w:lang w:eastAsia="zh-CN"/>
        </w:rPr>
        <w:t>、</w:t>
      </w:r>
      <w:r>
        <w:rPr>
          <w:rFonts w:hint="eastAsia"/>
        </w:rPr>
        <w:t>技术标准等要求</w:t>
      </w:r>
      <w:r>
        <w:t>。</w:t>
      </w:r>
    </w:p>
    <w:p>
      <w:bookmarkStart w:id="1138" w:name="_Toc3900431"/>
      <w:r>
        <w:t>1.4.2 发包人提供国外标准、规范的名称：          /          ；</w:t>
      </w:r>
      <w:bookmarkEnd w:id="1138"/>
    </w:p>
    <w:p>
      <w:r>
        <w:t xml:space="preserve">发包人提供国外标准、规范的份数：     </w:t>
      </w:r>
      <w:r>
        <w:rPr>
          <w:rFonts w:hint="eastAsia"/>
        </w:rPr>
        <w:t xml:space="preserve">  </w:t>
      </w:r>
      <w:r>
        <w:t xml:space="preserve"> </w:t>
      </w:r>
      <w:r>
        <w:rPr>
          <w:rFonts w:hint="eastAsia"/>
        </w:rPr>
        <w:t xml:space="preserve">  /</w:t>
      </w:r>
      <w:r>
        <w:t xml:space="preserve">           ；</w:t>
      </w:r>
    </w:p>
    <w:p>
      <w:r>
        <w:t xml:space="preserve">发包人提供国外标准、规范的名称：   </w:t>
      </w:r>
      <w:r>
        <w:rPr>
          <w:rFonts w:hint="eastAsia"/>
        </w:rPr>
        <w:t xml:space="preserve">  </w:t>
      </w:r>
      <w:r>
        <w:t xml:space="preserve">  </w:t>
      </w:r>
      <w:r>
        <w:rPr>
          <w:rFonts w:hint="eastAsia"/>
        </w:rPr>
        <w:t xml:space="preserve"> </w:t>
      </w:r>
      <w:r>
        <w:t xml:space="preserve">  </w:t>
      </w:r>
      <w:r>
        <w:rPr>
          <w:rFonts w:hint="eastAsia"/>
        </w:rPr>
        <w:t>/</w:t>
      </w:r>
      <w:r>
        <w:t xml:space="preserve"> </w:t>
      </w:r>
      <w:r>
        <w:rPr>
          <w:rFonts w:hint="eastAsia"/>
        </w:rPr>
        <w:t xml:space="preserve">   </w:t>
      </w:r>
      <w:r>
        <w:t xml:space="preserve">       。</w:t>
      </w:r>
    </w:p>
    <w:p>
      <w:r>
        <w:t>1.4.3发包人对工程的技术标准和功能要求的特殊要求：</w:t>
      </w:r>
      <w:r>
        <w:rPr>
          <w:rFonts w:hint="eastAsia"/>
        </w:rPr>
        <w:t xml:space="preserve">     </w:t>
      </w:r>
      <w:r>
        <w:t xml:space="preserve"> </w:t>
      </w:r>
      <w:r>
        <w:rPr>
          <w:rFonts w:hint="eastAsia"/>
        </w:rPr>
        <w:t xml:space="preserve"> /</w:t>
      </w:r>
      <w:r>
        <w:t xml:space="preserve">       。</w:t>
      </w:r>
    </w:p>
    <w:p>
      <w:bookmarkStart w:id="1139" w:name="_Toc3900432"/>
      <w:r>
        <w:t>1.5 合同文件的优先顺序</w:t>
      </w:r>
      <w:bookmarkEnd w:id="1139"/>
    </w:p>
    <w:p>
      <w:r>
        <w:t>合同文件组成及优先顺序为：</w:t>
      </w:r>
      <w:r>
        <w:rPr>
          <w:rFonts w:hint="eastAsia"/>
        </w:rPr>
        <w:t>（1）合同协议书；（2）成交通知书；（3）投标函及投标函附录；（4）合同条款专用部分；（5）合同条款通用部分；（6）已标价工程量清单；（7）技术标准和要求；（</w:t>
      </w:r>
      <w:r>
        <w:rPr>
          <w:rFonts w:hint="eastAsia"/>
          <w:lang w:val="en-US" w:eastAsia="zh-CN"/>
        </w:rPr>
        <w:t>8</w:t>
      </w:r>
      <w:r>
        <w:rPr>
          <w:rFonts w:hint="eastAsia"/>
        </w:rPr>
        <w:t xml:space="preserve">）其他合同文件 </w:t>
      </w:r>
      <w:r>
        <w:t>。</w:t>
      </w:r>
    </w:p>
    <w:p>
      <w:bookmarkStart w:id="1140" w:name="_Toc3900433"/>
      <w:r>
        <w:t>1.6 图纸和承包人文件</w:t>
      </w:r>
      <w:bookmarkEnd w:id="1140"/>
      <w:r>
        <w:tab/>
      </w:r>
    </w:p>
    <w:p>
      <w:r>
        <w:t>1.6.1 图纸的提供</w:t>
      </w:r>
    </w:p>
    <w:p>
      <w:r>
        <w:t>发包人向承包人提供图纸的期限：</w:t>
      </w:r>
      <w:r>
        <w:rPr>
          <w:rFonts w:hint="eastAsia"/>
          <w:lang w:val="en-US" w:eastAsia="zh-CN"/>
        </w:rPr>
        <w:t xml:space="preserve">               </w:t>
      </w:r>
      <w:r>
        <w:t>；</w:t>
      </w:r>
    </w:p>
    <w:p>
      <w:r>
        <w:t>发包人向承包人提供图纸的数量：</w:t>
      </w:r>
      <w:r>
        <w:rPr>
          <w:rFonts w:hint="eastAsia"/>
          <w:lang w:val="en-US" w:eastAsia="zh-CN"/>
        </w:rPr>
        <w:t xml:space="preserve">                 </w:t>
      </w:r>
      <w:r>
        <w:t>；</w:t>
      </w:r>
    </w:p>
    <w:p>
      <w:r>
        <w:t>发包人向承包人提供图纸的内容：</w:t>
      </w:r>
      <w:r>
        <w:rPr>
          <w:rFonts w:hint="eastAsia"/>
          <w:lang w:val="en-US" w:eastAsia="zh-CN"/>
        </w:rPr>
        <w:t xml:space="preserve">                </w:t>
      </w:r>
      <w:r>
        <w:t>。</w:t>
      </w:r>
    </w:p>
    <w:p>
      <w:r>
        <w:t>1.6.4 承包人文件</w:t>
      </w:r>
    </w:p>
    <w:p>
      <w:r>
        <w:t>需要由承包人提供的文件，包括：</w:t>
      </w:r>
      <w:r>
        <w:rPr>
          <w:rFonts w:hint="eastAsia"/>
        </w:rPr>
        <w:t>工程竣工图、工程验收资料等监理人及发包人认为必要的资料：承包人应当按照工程技术规范的相关要求需要制作加工图、大样图、安装图、深化图、协调配合图等图纸；按照合同文件要求提交施工组织设计、进度报表等文件</w:t>
      </w:r>
      <w:r>
        <w:t>；</w:t>
      </w:r>
    </w:p>
    <w:p>
      <w:r>
        <w:t>承包人提供的文件的期限为：</w:t>
      </w:r>
      <w:r>
        <w:rPr>
          <w:rFonts w:hint="eastAsia"/>
          <w:lang w:val="en-US" w:eastAsia="zh-CN"/>
        </w:rPr>
        <w:t xml:space="preserve">    </w:t>
      </w:r>
      <w:r>
        <w:t>；</w:t>
      </w:r>
    </w:p>
    <w:p>
      <w:r>
        <w:t xml:space="preserve">承包人提供的文件的数量为： </w:t>
      </w:r>
      <w:r>
        <w:rPr>
          <w:rFonts w:hint="eastAsia"/>
        </w:rPr>
        <w:t xml:space="preserve">  </w:t>
      </w:r>
      <w:r>
        <w:t>；</w:t>
      </w:r>
    </w:p>
    <w:p>
      <w:r>
        <w:t>承包人提供的文件的形式为： ；</w:t>
      </w:r>
    </w:p>
    <w:p>
      <w:r>
        <w:t>发包人</w:t>
      </w:r>
      <w:r>
        <w:rPr>
          <w:rFonts w:hint="eastAsia"/>
        </w:rPr>
        <w:t>审批</w:t>
      </w:r>
      <w:r>
        <w:t>承包人文件的期限：</w:t>
      </w:r>
      <w:r>
        <w:rPr>
          <w:rFonts w:hint="eastAsia"/>
        </w:rPr>
        <w:t>收到承包人提供的文件后</w:t>
      </w:r>
      <w:r>
        <w:rPr>
          <w:rFonts w:hint="eastAsia"/>
          <w:lang w:val="en-US" w:eastAsia="zh-CN"/>
        </w:rPr>
        <w:t xml:space="preserve">    </w:t>
      </w:r>
      <w:r>
        <w:rPr>
          <w:rFonts w:hint="eastAsia"/>
        </w:rPr>
        <w:t>天内（监理人批复的文件仅用于施工，商务问题以合同约定为准）</w:t>
      </w:r>
      <w:r>
        <w:t>。</w:t>
      </w:r>
    </w:p>
    <w:p>
      <w:r>
        <w:t>1.6.5 现场图纸准备</w:t>
      </w:r>
    </w:p>
    <w:p>
      <w:r>
        <w:t>关于现场图纸准备的约定：   </w:t>
      </w:r>
      <w:r>
        <w:rPr>
          <w:rFonts w:hint="eastAsia"/>
        </w:rPr>
        <w:t xml:space="preserve">/   </w:t>
      </w:r>
      <w:r>
        <w:t></w:t>
      </w:r>
      <w:r>
        <w:rPr>
          <w:rFonts w:hint="eastAsia"/>
        </w:rPr>
        <w:t xml:space="preserve"> </w:t>
      </w:r>
      <w:r>
        <w:t>。</w:t>
      </w:r>
    </w:p>
    <w:p>
      <w:bookmarkStart w:id="1141" w:name="_Toc3900434"/>
      <w:r>
        <w:t>1.7 联络</w:t>
      </w:r>
      <w:bookmarkEnd w:id="1141"/>
    </w:p>
    <w:p>
      <w:r>
        <w:t>1.7.1发包人和承包人应当在</w:t>
      </w:r>
      <w:r>
        <w:rPr>
          <w:rFonts w:hint="eastAsia"/>
        </w:rPr>
        <w:t>3</w:t>
      </w:r>
      <w:r>
        <w:t xml:space="preserve">  天内将与合同有关的通知、批准、证明、证书、指示、指令、要求、请求、同意、意见、确定和决定等书面函件送达对方当事人</w:t>
      </w:r>
      <w:r>
        <w:rPr>
          <w:rFonts w:hint="eastAsia"/>
        </w:rPr>
        <w:t>。</w:t>
      </w:r>
    </w:p>
    <w:p>
      <w:r>
        <w:t>1.7.2 发包人接收文件的地点：</w:t>
      </w:r>
      <w:r>
        <w:rPr>
          <w:rFonts w:hint="eastAsia"/>
        </w:rPr>
        <w:t xml:space="preserve"> </w:t>
      </w:r>
      <w:r>
        <w:t xml:space="preserve">       </w:t>
      </w:r>
      <w:r>
        <w:rPr>
          <w:rFonts w:hint="eastAsia"/>
        </w:rPr>
        <w:t xml:space="preserve">   </w:t>
      </w:r>
      <w:r>
        <w:t></w:t>
      </w:r>
      <w:r>
        <w:rPr>
          <w:rFonts w:hint="eastAsia"/>
        </w:rPr>
        <w:t xml:space="preserve"> </w:t>
      </w:r>
      <w:r>
        <w:t>；</w:t>
      </w:r>
    </w:p>
    <w:p>
      <w:r>
        <w:t>发包人指定的接收人为： </w:t>
      </w:r>
      <w:r>
        <w:rPr>
          <w:rFonts w:hint="eastAsia"/>
        </w:rPr>
        <w:t xml:space="preserve">      </w:t>
      </w:r>
      <w:r>
        <w:t></w:t>
      </w:r>
      <w:r>
        <w:rPr>
          <w:rFonts w:hint="eastAsia"/>
        </w:rPr>
        <w:t xml:space="preserve">   </w:t>
      </w:r>
      <w:r>
        <w:t></w:t>
      </w:r>
      <w:r>
        <w:rPr>
          <w:rFonts w:hint="eastAsia"/>
        </w:rPr>
        <w:t xml:space="preserve">     </w:t>
      </w:r>
      <w:r>
        <w:t>。</w:t>
      </w:r>
    </w:p>
    <w:p>
      <w:r>
        <w:t>承包人接收文件的地点： </w:t>
      </w:r>
      <w:r>
        <w:rPr>
          <w:rFonts w:hint="eastAsia"/>
        </w:rPr>
        <w:t xml:space="preserve">            </w:t>
      </w:r>
      <w:r>
        <w:t>；</w:t>
      </w:r>
    </w:p>
    <w:p>
      <w:r>
        <w:t>承包人指定的接收人为： </w:t>
      </w:r>
      <w:r>
        <w:rPr>
          <w:rFonts w:hint="eastAsia"/>
        </w:rPr>
        <w:t xml:space="preserve">            </w:t>
      </w:r>
      <w:r>
        <w:t>。</w:t>
      </w:r>
    </w:p>
    <w:p>
      <w:r>
        <w:t>监理人接收文件的地点： </w:t>
      </w:r>
      <w:r>
        <w:rPr>
          <w:rFonts w:hint="eastAsia"/>
        </w:rPr>
        <w:t xml:space="preserve">        </w:t>
      </w:r>
      <w:r>
        <w:t></w:t>
      </w:r>
      <w:r>
        <w:rPr>
          <w:rFonts w:hint="eastAsia"/>
        </w:rPr>
        <w:t xml:space="preserve">   </w:t>
      </w:r>
      <w:r>
        <w:t>；</w:t>
      </w:r>
    </w:p>
    <w:p>
      <w:r>
        <w:t>监理人指定的接收人为： </w:t>
      </w:r>
      <w:r>
        <w:rPr>
          <w:rFonts w:hint="eastAsia"/>
        </w:rPr>
        <w:t xml:space="preserve">         </w:t>
      </w:r>
      <w:r>
        <w:t></w:t>
      </w:r>
      <w:r>
        <w:rPr>
          <w:rFonts w:hint="eastAsia"/>
        </w:rPr>
        <w:t xml:space="preserve">  </w:t>
      </w:r>
      <w:r>
        <w:t>。</w:t>
      </w:r>
    </w:p>
    <w:p>
      <w:bookmarkStart w:id="1142" w:name="_Toc3900435"/>
      <w:r>
        <w:t>1.10 交通运输</w:t>
      </w:r>
      <w:bookmarkEnd w:id="1142"/>
    </w:p>
    <w:p>
      <w:bookmarkStart w:id="1143" w:name="_Toc3900436"/>
      <w:r>
        <w:t>1</w:t>
      </w:r>
      <w:bookmarkStart w:id="1144" w:name="_Toc312677986"/>
      <w:bookmarkStart w:id="1145" w:name="_Toc304295521"/>
      <w:bookmarkStart w:id="1146" w:name="_Toc318581155"/>
      <w:bookmarkStart w:id="1147" w:name="_Toc303539100"/>
      <w:bookmarkStart w:id="1148" w:name="_Toc300934943"/>
      <w:r>
        <w:t>.10.1 出入现场的权利</w:t>
      </w:r>
      <w:bookmarkEnd w:id="1143"/>
    </w:p>
    <w:p>
      <w:r>
        <w:t>关于出入现场的权利的约定： </w:t>
      </w:r>
      <w:r>
        <w:rPr>
          <w:rFonts w:hint="eastAsia"/>
        </w:rPr>
        <w:t xml:space="preserve">/ </w:t>
      </w:r>
      <w:r>
        <w:t></w:t>
      </w:r>
      <w:r>
        <w:rPr>
          <w:rFonts w:hint="eastAsia"/>
        </w:rPr>
        <w:t xml:space="preserve">  </w:t>
      </w:r>
      <w:r>
        <w:t></w:t>
      </w:r>
      <w:r>
        <w:rPr>
          <w:rFonts w:hint="eastAsia"/>
        </w:rPr>
        <w:t xml:space="preserve">   </w:t>
      </w:r>
      <w:r>
        <w:t>。</w:t>
      </w:r>
    </w:p>
    <w:bookmarkEnd w:id="1144"/>
    <w:bookmarkEnd w:id="1145"/>
    <w:bookmarkEnd w:id="1146"/>
    <w:bookmarkEnd w:id="1147"/>
    <w:bookmarkEnd w:id="1148"/>
    <w:p>
      <w:bookmarkStart w:id="1149" w:name="_Toc3900437"/>
      <w:r>
        <w:t>1</w:t>
      </w:r>
      <w:bookmarkStart w:id="1150" w:name="_Toc304295522"/>
      <w:bookmarkStart w:id="1151" w:name="_Toc300934944"/>
      <w:bookmarkStart w:id="1152" w:name="_Toc318581156"/>
      <w:bookmarkStart w:id="1153" w:name="_Toc312677987"/>
      <w:bookmarkStart w:id="1154" w:name="_Toc303539101"/>
      <w:r>
        <w:t>.10.3 场内交通</w:t>
      </w:r>
      <w:bookmarkEnd w:id="1149"/>
    </w:p>
    <w:p>
      <w:r>
        <w:t>关于场外交通和场内交通的边界的约定：  </w:t>
      </w:r>
      <w:r>
        <w:rPr>
          <w:rFonts w:hint="eastAsia"/>
        </w:rPr>
        <w:t xml:space="preserve">  / </w:t>
      </w:r>
      <w:r>
        <w:t xml:space="preserve">   </w:t>
      </w:r>
      <w:r>
        <w:rPr>
          <w:rFonts w:hint="eastAsia"/>
        </w:rPr>
        <w:t xml:space="preserve">     </w:t>
      </w:r>
      <w:r>
        <w:t>。</w:t>
      </w:r>
    </w:p>
    <w:p>
      <w:r>
        <w:t>关于发包人向承包人免费提供满足工程施工需要的场内道路和交通设施的约定：  /      </w:t>
      </w:r>
      <w:r>
        <w:rPr>
          <w:rFonts w:hint="eastAsia"/>
        </w:rPr>
        <w:t xml:space="preserve"> </w:t>
      </w:r>
      <w:r>
        <w:t>。</w:t>
      </w:r>
      <w:bookmarkEnd w:id="1150"/>
      <w:bookmarkEnd w:id="1151"/>
      <w:bookmarkEnd w:id="1152"/>
      <w:bookmarkEnd w:id="1153"/>
      <w:bookmarkEnd w:id="1154"/>
      <w:r>
        <w:t xml:space="preserve">  </w:t>
      </w:r>
      <w:bookmarkStart w:id="1155" w:name="_Toc318581157"/>
    </w:p>
    <w:p>
      <w:r>
        <w:t>1.10.4超大件和超重件的运输</w:t>
      </w:r>
    </w:p>
    <w:p>
      <w:r>
        <w:t>运输超大件或超重件所需的道路和桥梁临时加固改造费用和其他有关费用由</w:t>
      </w:r>
      <w:r>
        <w:rPr>
          <w:rFonts w:hint="eastAsia"/>
        </w:rPr>
        <w:t>承包人</w:t>
      </w:r>
      <w:r>
        <w:t>承担。</w:t>
      </w:r>
    </w:p>
    <w:bookmarkEnd w:id="1155"/>
    <w:p>
      <w:bookmarkStart w:id="1156" w:name="_Toc3900438"/>
      <w:r>
        <w:t>1.11 知识产权</w:t>
      </w:r>
      <w:bookmarkEnd w:id="1156"/>
    </w:p>
    <w:p>
      <w:r>
        <w:t>1.11.1关于发包人为实施工程自行编制或委托编制的技术规范以及反映发包人关于合同要求或其他类似性质的文件的著作权的归属</w:t>
      </w:r>
      <w:r>
        <w:rPr>
          <w:rFonts w:hint="eastAsia"/>
        </w:rPr>
        <w:t>：发包人对上述文件享有完整的著作权</w:t>
      </w:r>
      <w:r>
        <w:t>。</w:t>
      </w:r>
    </w:p>
    <w:p>
      <w:r>
        <w:t>关于发包人提供的上述文件的使用限制的要求：</w:t>
      </w:r>
      <w:r>
        <w:rPr>
          <w:rFonts w:hint="eastAsia"/>
        </w:rPr>
        <w:t>承包人未经发包人同意，不可使用上述文件申报奖项或者公开推广宣传</w:t>
      </w:r>
      <w:r>
        <w:t>。</w:t>
      </w:r>
    </w:p>
    <w:p>
      <w:bookmarkStart w:id="1157" w:name="_Toc3900439"/>
      <w:r>
        <w:t>1.11.2 关于承包人为实施工程所编制文件的著作权的归属：</w:t>
      </w:r>
      <w:r>
        <w:rPr>
          <w:rFonts w:hint="eastAsia"/>
        </w:rPr>
        <w:t>除署名权以外，承包人对于上述文件享有著作权的其他权利</w:t>
      </w:r>
      <w:r>
        <w:t>。</w:t>
      </w:r>
      <w:bookmarkEnd w:id="1157"/>
    </w:p>
    <w:p>
      <w:r>
        <w:t>关于承包人提供的上述文件的使用限制的要求：</w:t>
      </w:r>
      <w:r>
        <w:rPr>
          <w:rFonts w:hint="eastAsia"/>
        </w:rPr>
        <w:t>发包人未经承包人同意，不可使用上述文件申报奖项或者公开推广宣传</w:t>
      </w:r>
      <w:r>
        <w:t>。</w:t>
      </w:r>
    </w:p>
    <w:p>
      <w:bookmarkStart w:id="1158" w:name="_Toc3900440"/>
      <w:r>
        <w:t>1.11.4 承包人在施工过程中所采用的专利、专有技术、技术秘密的使用费的承担方式：</w:t>
      </w:r>
      <w:r>
        <w:rPr>
          <w:rFonts w:hint="eastAsia"/>
        </w:rPr>
        <w:t>承包人承担</w:t>
      </w:r>
      <w:r>
        <w:t>。</w:t>
      </w:r>
      <w:bookmarkEnd w:id="1158"/>
    </w:p>
    <w:p>
      <w:r>
        <w:t>1.13工程量清单错误的修正</w:t>
      </w:r>
    </w:p>
    <w:p>
      <w:r>
        <w:rPr>
          <w:rFonts w:hint="eastAsia"/>
        </w:rPr>
        <w:t>出现工程量清单错误时，是否调整合同价格：调整合同价格</w:t>
      </w:r>
      <w:r>
        <w:t>。</w:t>
      </w:r>
    </w:p>
    <w:p>
      <w:r>
        <w:t>允许调整合同价格的工程量偏差范围：</w:t>
      </w:r>
      <w:r>
        <w:rPr>
          <w:rFonts w:hint="eastAsia"/>
        </w:rPr>
        <w:t>实际工程的实体工程量变化幅度≥±15%且工程量变化费用占分部分项工程总价款≥±1‰时，调整合同综合单价。调整方法为：当工程量增加≥15%时，其增加的工程量的综合单价予以调低，调低后的综合单价为原综合单价的95%；当工程量减少≥15%时，执行原综合单价。</w:t>
      </w:r>
    </w:p>
    <w:p>
      <w:bookmarkStart w:id="1159" w:name="_Toc351203634"/>
      <w:r>
        <w:t>2</w:t>
      </w:r>
      <w:bookmarkStart w:id="1160" w:name="_Toc296346658"/>
      <w:bookmarkStart w:id="1161" w:name="_Toc292559867"/>
      <w:bookmarkStart w:id="1162" w:name="_Toc296890985"/>
      <w:bookmarkStart w:id="1163" w:name="_Toc297048343"/>
      <w:bookmarkStart w:id="1164" w:name="_Toc297120457"/>
      <w:bookmarkStart w:id="1165" w:name="_Toc296347156"/>
      <w:bookmarkStart w:id="1166" w:name="_Toc292559362"/>
      <w:bookmarkStart w:id="1167" w:name="_Toc296891197"/>
      <w:bookmarkStart w:id="1168" w:name="_Toc296503157"/>
      <w:bookmarkStart w:id="1169" w:name="_Toc296944496"/>
      <w:r>
        <w:t>. 发包人</w:t>
      </w:r>
      <w:bookmarkEnd w:id="1159"/>
    </w:p>
    <w:bookmarkEnd w:id="1160"/>
    <w:bookmarkEnd w:id="1161"/>
    <w:bookmarkEnd w:id="1162"/>
    <w:bookmarkEnd w:id="1163"/>
    <w:bookmarkEnd w:id="1164"/>
    <w:bookmarkEnd w:id="1165"/>
    <w:bookmarkEnd w:id="1166"/>
    <w:bookmarkEnd w:id="1167"/>
    <w:bookmarkEnd w:id="1168"/>
    <w:bookmarkEnd w:id="1169"/>
    <w:p>
      <w:bookmarkStart w:id="1170" w:name="_Toc3900441"/>
      <w:r>
        <w:t>2.2 发包人代表</w:t>
      </w:r>
      <w:bookmarkEnd w:id="1170"/>
    </w:p>
    <w:p>
      <w:r>
        <w:t>发包人代表：</w:t>
      </w:r>
    </w:p>
    <w:p>
      <w:r>
        <w:t xml:space="preserve">姓    名：  </w:t>
      </w:r>
      <w:r>
        <w:rPr>
          <w:rFonts w:hint="eastAsia"/>
        </w:rPr>
        <w:t xml:space="preserve">  </w:t>
      </w:r>
      <w:r>
        <w:t> ；</w:t>
      </w:r>
    </w:p>
    <w:p>
      <w:r>
        <w:t>联系电话：   </w:t>
      </w:r>
      <w:r>
        <w:rPr>
          <w:rFonts w:hint="eastAsia"/>
        </w:rPr>
        <w:t xml:space="preserve"> </w:t>
      </w:r>
      <w:r>
        <w:t> ；</w:t>
      </w:r>
    </w:p>
    <w:p>
      <w:r>
        <w:t>通信地址：</w:t>
      </w:r>
      <w:r>
        <w:rPr>
          <w:rFonts w:hint="eastAsia"/>
        </w:rPr>
        <w:t xml:space="preserve">  </w:t>
      </w:r>
      <w:r>
        <w:t xml:space="preserve">  。</w:t>
      </w:r>
    </w:p>
    <w:p>
      <w:r>
        <w:t>发包人对发包人代表的授权范围如下：</w:t>
      </w:r>
      <w:r>
        <w:rPr>
          <w:rFonts w:hint="eastAsia"/>
        </w:rPr>
        <w:t xml:space="preserve">在授权范围内处理施工过程中的一切事务  </w:t>
      </w:r>
      <w:r>
        <w:t>。</w:t>
      </w:r>
    </w:p>
    <w:p>
      <w:bookmarkStart w:id="1171" w:name="_Toc3900442"/>
      <w:r>
        <w:t>2.4 施工现场、施工条件和基础资料的提供</w:t>
      </w:r>
      <w:bookmarkEnd w:id="1171"/>
    </w:p>
    <w:p>
      <w:r>
        <w:t>2.4.1 提供施工现场</w:t>
      </w:r>
    </w:p>
    <w:p>
      <w:r>
        <w:t>关于发包人移交施工现场的期限要求：</w:t>
      </w:r>
      <w:r>
        <w:rPr>
          <w:rFonts w:hint="eastAsia"/>
        </w:rPr>
        <w:t>施工场地应当在监理人发出的开工通知中载明的开工日期5天前移交给承包人</w:t>
      </w:r>
      <w:r>
        <w:t>。</w:t>
      </w:r>
    </w:p>
    <w:p>
      <w:r>
        <w:t>2.4.2 提供施工条件</w:t>
      </w:r>
    </w:p>
    <w:p>
      <w:r>
        <w:t>关于发包人应负责提供施工</w:t>
      </w:r>
      <w:r>
        <w:rPr>
          <w:rFonts w:hint="eastAsia"/>
        </w:rPr>
        <w:t>所需要的条件，</w:t>
      </w:r>
      <w:r>
        <w:t xml:space="preserve">包括： </w:t>
      </w:r>
      <w:r>
        <w:rPr>
          <w:rFonts w:hint="eastAsia"/>
        </w:rPr>
        <w:t>提供水电接驳点，但费用承包人自理</w:t>
      </w:r>
      <w:r>
        <w:t xml:space="preserve">  。</w:t>
      </w:r>
    </w:p>
    <w:p>
      <w:bookmarkStart w:id="1172" w:name="_Toc3900443"/>
      <w:r>
        <w:t>2.5 资金来源证明及支付担保</w:t>
      </w:r>
      <w:bookmarkEnd w:id="1172"/>
    </w:p>
    <w:p>
      <w:r>
        <w:t xml:space="preserve">发包人提供资金来源证明的期限要求：  </w:t>
      </w:r>
      <w:r>
        <w:rPr>
          <w:rFonts w:hint="eastAsia"/>
        </w:rPr>
        <w:t xml:space="preserve">  </w:t>
      </w:r>
      <w:r>
        <w:t xml:space="preserve"> </w:t>
      </w:r>
      <w:r>
        <w:rPr>
          <w:rFonts w:hint="eastAsia"/>
        </w:rPr>
        <w:t>/</w:t>
      </w:r>
      <w:r>
        <w:t xml:space="preserve">          。</w:t>
      </w:r>
    </w:p>
    <w:p>
      <w:r>
        <w:t xml:space="preserve">发包人是否提供支付担保：          </w:t>
      </w:r>
      <w:r>
        <w:rPr>
          <w:rFonts w:hint="eastAsia"/>
        </w:rPr>
        <w:t>/</w:t>
      </w:r>
      <w:r>
        <w:t xml:space="preserve">  </w:t>
      </w:r>
      <w:r>
        <w:rPr>
          <w:rFonts w:hint="eastAsia"/>
        </w:rPr>
        <w:t xml:space="preserve">  </w:t>
      </w:r>
      <w:r>
        <w:t xml:space="preserve">       。</w:t>
      </w:r>
    </w:p>
    <w:p>
      <w:r>
        <w:t xml:space="preserve">发包人提供支付担保的形式：         </w:t>
      </w:r>
      <w:r>
        <w:rPr>
          <w:rFonts w:hint="eastAsia"/>
        </w:rPr>
        <w:t xml:space="preserve">/  </w:t>
      </w:r>
      <w:r>
        <w:t xml:space="preserve">    </w:t>
      </w:r>
      <w:r>
        <w:rPr>
          <w:rFonts w:hint="eastAsia"/>
        </w:rPr>
        <w:t xml:space="preserve"> </w:t>
      </w:r>
      <w:r>
        <w:t xml:space="preserve">     。</w:t>
      </w:r>
    </w:p>
    <w:p>
      <w:bookmarkStart w:id="1173" w:name="_Toc351203635"/>
      <w:r>
        <w:t>3</w:t>
      </w:r>
      <w:bookmarkStart w:id="1174" w:name="_Toc296503158"/>
      <w:bookmarkStart w:id="1175" w:name="_Toc296944497"/>
      <w:bookmarkStart w:id="1176" w:name="_Toc296891198"/>
      <w:bookmarkStart w:id="1177" w:name="_Toc292559868"/>
      <w:bookmarkStart w:id="1178" w:name="_Toc296890986"/>
      <w:bookmarkStart w:id="1179" w:name="_Toc296347157"/>
      <w:bookmarkStart w:id="1180" w:name="_Toc297048344"/>
      <w:bookmarkStart w:id="1181" w:name="_Toc292559363"/>
      <w:bookmarkStart w:id="1182" w:name="_Toc296346659"/>
      <w:bookmarkStart w:id="1183" w:name="_Toc297120458"/>
      <w:r>
        <w:t>. 承包人</w:t>
      </w:r>
      <w:bookmarkEnd w:id="1173"/>
    </w:p>
    <w:bookmarkEnd w:id="1174"/>
    <w:bookmarkEnd w:id="1175"/>
    <w:bookmarkEnd w:id="1176"/>
    <w:bookmarkEnd w:id="1177"/>
    <w:bookmarkEnd w:id="1178"/>
    <w:bookmarkEnd w:id="1179"/>
    <w:bookmarkEnd w:id="1180"/>
    <w:bookmarkEnd w:id="1181"/>
    <w:bookmarkEnd w:id="1182"/>
    <w:bookmarkEnd w:id="1183"/>
    <w:p>
      <w:r>
        <w:t>3.1 承包人的一般义务</w:t>
      </w:r>
    </w:p>
    <w:p>
      <w:r>
        <w:t>（</w:t>
      </w:r>
      <w:r>
        <w:rPr>
          <w:rFonts w:hint="eastAsia"/>
        </w:rPr>
        <w:t>9</w:t>
      </w:r>
      <w:r>
        <w:t>）承包人提交的竣工资料的内容：</w:t>
      </w:r>
      <w:r>
        <w:rPr>
          <w:rFonts w:hint="eastAsia"/>
        </w:rPr>
        <w:t>应当符合工程所在地建设行政主管部门和（或）城市建设档案管理机构有关施工资料的要求</w:t>
      </w:r>
      <w:r>
        <w:t>。</w:t>
      </w:r>
    </w:p>
    <w:p>
      <w:r>
        <w:t>承包人需要提交的竣工资料套数：</w:t>
      </w:r>
      <w:r>
        <w:rPr>
          <w:rFonts w:hint="eastAsia"/>
          <w:lang w:val="en-US" w:eastAsia="zh-CN"/>
        </w:rPr>
        <w:t xml:space="preserve">     </w:t>
      </w:r>
      <w:r>
        <w:t>。</w:t>
      </w:r>
    </w:p>
    <w:p>
      <w:r>
        <w:t>承包人提交的竣工资料的费用承担：</w:t>
      </w:r>
      <w:r>
        <w:rPr>
          <w:rFonts w:hint="eastAsia"/>
          <w:lang w:val="en-US" w:eastAsia="zh-CN"/>
        </w:rPr>
        <w:t xml:space="preserve">    </w:t>
      </w:r>
      <w:r>
        <w:t>。</w:t>
      </w:r>
    </w:p>
    <w:p>
      <w:r>
        <w:t>承包人提交的竣工资料移交时间：</w:t>
      </w:r>
      <w:r>
        <w:rPr>
          <w:rFonts w:hint="eastAsia"/>
          <w:lang w:val="en-US" w:eastAsia="zh-CN"/>
        </w:rPr>
        <w:t xml:space="preserve">     </w:t>
      </w:r>
      <w:r>
        <w:t>。</w:t>
      </w:r>
    </w:p>
    <w:p>
      <w:r>
        <w:t>承包人提交的竣工资料形式要求：</w:t>
      </w:r>
      <w:r>
        <w:rPr>
          <w:rFonts w:hint="eastAsia"/>
          <w:lang w:val="en-US" w:eastAsia="zh-CN"/>
        </w:rPr>
        <w:t xml:space="preserve">       </w:t>
      </w:r>
      <w:r>
        <w:t>。</w:t>
      </w:r>
    </w:p>
    <w:p>
      <w:r>
        <w:t>（</w:t>
      </w:r>
      <w:r>
        <w:rPr>
          <w:rFonts w:hint="eastAsia"/>
        </w:rPr>
        <w:t>10</w:t>
      </w:r>
      <w:r>
        <w:t>）承包人应履行的其他义务：</w:t>
      </w:r>
    </w:p>
    <w:p>
      <w:r>
        <w:rPr>
          <w:rFonts w:hint="eastAsia"/>
        </w:rPr>
        <w:t>严格执行建筑节能相关法律法规，在施工过程中节约资源，杜绝浪费</w:t>
      </w:r>
      <w:r>
        <w:t>。</w:t>
      </w:r>
    </w:p>
    <w:p>
      <w:r>
        <w:rPr>
          <w:rFonts w:hint="eastAsia"/>
        </w:rPr>
        <w:t>在施工过程中，如遇沙尘、大风、重度雾霾、连续性强降雨等自然灾害或者各类重要会议或其他事件（如中考、高考、两会等）时，承包人应按北京市政府的要求暂停施工，并应考虑该类事件可能造成的工期和费用等风险，该风险和相关费用已包含在合同价款内。对此，发包人将不给予承包人任何费用和工期的补偿。</w:t>
      </w:r>
    </w:p>
    <w:p>
      <w:r>
        <w:rPr>
          <w:rFonts w:hint="eastAsia"/>
        </w:rPr>
        <w:t>承包人在投标报价中自行考虑持续性降雨等恶劣天气产生的措施费用、窝工费等相关费用，结算时不作调整。</w:t>
      </w:r>
    </w:p>
    <w:p>
      <w:r>
        <w:rPr>
          <w:rFonts w:hint="eastAsia"/>
        </w:rPr>
        <w:t>承包人应在施工期间加强环保意识、保持工地清洁、控制扬尘、杜绝漏洒材料，使得施工现场及周围无扬尘污染，因环保问题造成建设单位处罚的，相关费用由承包单位承担。</w:t>
      </w:r>
    </w:p>
    <w:p>
      <w:r>
        <w:t>3.2 项目经理</w:t>
      </w:r>
    </w:p>
    <w:p>
      <w:r>
        <w:t>3.2.1 项目经理：</w:t>
      </w:r>
    </w:p>
    <w:p>
      <w:r>
        <w:t>姓    名：  </w:t>
      </w:r>
      <w:r>
        <w:rPr>
          <w:rFonts w:hint="eastAsia"/>
        </w:rPr>
        <w:t xml:space="preserve">      </w:t>
      </w:r>
      <w:r>
        <w:t> ；</w:t>
      </w:r>
    </w:p>
    <w:p>
      <w:r>
        <w:t>身份证号：  </w:t>
      </w:r>
      <w:r>
        <w:rPr>
          <w:rFonts w:hint="eastAsia"/>
        </w:rPr>
        <w:t xml:space="preserve">      </w:t>
      </w:r>
      <w:r>
        <w:t> ；</w:t>
      </w:r>
    </w:p>
    <w:p>
      <w:r>
        <w:t>建造师执业资格等级：   ；</w:t>
      </w:r>
    </w:p>
    <w:p>
      <w:r>
        <w:t>建造师注册证书号： ；</w:t>
      </w:r>
    </w:p>
    <w:p>
      <w:r>
        <w:t>建造师执业印章号： ；</w:t>
      </w:r>
    </w:p>
    <w:p>
      <w:r>
        <w:t>安全生产考核合格证书号： ；</w:t>
      </w:r>
    </w:p>
    <w:p>
      <w:r>
        <w:t>联系电话：  </w:t>
      </w:r>
      <w:r>
        <w:rPr>
          <w:rFonts w:hint="eastAsia"/>
        </w:rPr>
        <w:t xml:space="preserve">      </w:t>
      </w:r>
      <w:r>
        <w:t> ；</w:t>
      </w:r>
    </w:p>
    <w:p>
      <w:r>
        <w:t xml:space="preserve">电子信箱：  </w:t>
      </w:r>
      <w:r>
        <w:rPr>
          <w:rFonts w:hint="eastAsia"/>
        </w:rPr>
        <w:t xml:space="preserve">      </w:t>
      </w:r>
      <w:r>
        <w:t> ；</w:t>
      </w:r>
    </w:p>
    <w:p>
      <w:r>
        <w:t xml:space="preserve">通信地址：  </w:t>
      </w:r>
      <w:r>
        <w:rPr>
          <w:rFonts w:hint="eastAsia"/>
        </w:rPr>
        <w:t xml:space="preserve">      </w:t>
      </w:r>
      <w:r>
        <w:t> ；</w:t>
      </w:r>
    </w:p>
    <w:p>
      <w:r>
        <w:t>承包人对项目经理的授权范围如下：</w:t>
      </w:r>
      <w:r>
        <w:rPr>
          <w:rFonts w:hint="eastAsia"/>
        </w:rPr>
        <w:t xml:space="preserve">                        </w:t>
      </w:r>
      <w:r>
        <w:t>。</w:t>
      </w:r>
    </w:p>
    <w:p>
      <w:r>
        <w:rPr>
          <w:rFonts w:hint="eastAsia"/>
        </w:rPr>
        <w:t>承包人未提交劳动合同，以及没有为项目经理缴纳社会保险证明的违约责任：承包人需在收到监理人提交要求后，</w:t>
      </w:r>
      <w:r>
        <w:t>3日内补交完毕，</w:t>
      </w:r>
      <w:r>
        <w:rPr>
          <w:rFonts w:hint="eastAsia"/>
        </w:rPr>
        <w:t>并承担违约金1万元；3日内不能补交的，发包人有权要求承包人更换项目经理，并承担违约金3万元。由此增加的费用和延误的工期由承包人承担。</w:t>
      </w:r>
    </w:p>
    <w:p>
      <w:r>
        <w:rPr>
          <w:rFonts w:hint="eastAsia"/>
        </w:rPr>
        <w:t>关于项目经理每月在施工现场的时间要求：承包人项目经理应常驻施工现场，原则上每周在施工现场时间不得少于5天。不排除发包人要求承包人项目经理和主要管理人员每日到施工现场打卡。项目经理不得同时担任其他项目的项目经理。详见项目经理履约承诺书。</w:t>
      </w:r>
    </w:p>
    <w:p>
      <w:r>
        <w:rPr>
          <w:rFonts w:hint="eastAsia"/>
        </w:rPr>
        <w:t>项目经理未经批准，擅自离开施工现场的违约责任：项目经理确需离开施工现场超过连续2天（含）时，需提前3天向发包人及监理提出书面申请，工作交接至同等能力级别（或优于）的项目经理，并取得发包人的书面同意。</w:t>
      </w:r>
    </w:p>
    <w:p>
      <w:r>
        <w:rPr>
          <w:rFonts w:hint="eastAsia"/>
        </w:rPr>
        <w:t>如承包人未取得发包人书面同意，应承担违约责任，承包人应按项目经理缺勤天数以1万元/天为计算标准向发包人支付违约金，上不封顶。发包人有权要求承包人更换项目经理。由此增加的费用和延误的工期由承包人承担。</w:t>
      </w:r>
    </w:p>
    <w:p>
      <w:r>
        <w:t xml:space="preserve">3.2.3 </w:t>
      </w:r>
      <w:r>
        <w:rPr>
          <w:rFonts w:hint="eastAsia"/>
        </w:rPr>
        <w:t>承包人擅自更换项目经理的违约责任：未经发包人书面同意，承包人不得擅自更换项目经理。承包人更换项目经理时，应提前</w:t>
      </w:r>
      <w:r>
        <w:t>14</w:t>
      </w:r>
      <w:r>
        <w:rPr>
          <w:rFonts w:hint="eastAsia"/>
        </w:rPr>
        <w:t>天向发包人及监理提出书面申请，并征得发包人书面同意。承包人提交的书面更换申请中应当载明继任人员的注册执业资格、管理经验等资料。</w:t>
      </w:r>
    </w:p>
    <w:p>
      <w:r>
        <w:rPr>
          <w:rFonts w:hint="eastAsia"/>
        </w:rPr>
        <w:t xml:space="preserve">经发包人核实，原项目经理如能够继续履行职责的，监理人应责令承包人撤销其更换决定，承包人应承担违约金1万元；如经发包人核实，原项目经理客观上已经无法继续履行职责的，发包人有权要求审核确认承包人更换的项目经理，承包人应承担违约金3万元。由此增加的费用和延误的工期由承包人承担。 </w:t>
      </w:r>
      <w:r>
        <w:t xml:space="preserve">  </w:t>
      </w:r>
    </w:p>
    <w:p>
      <w:bookmarkStart w:id="1184" w:name="_Toc3900444"/>
      <w:r>
        <w:t xml:space="preserve">3.2.4 </w:t>
      </w:r>
      <w:bookmarkEnd w:id="1184"/>
      <w:r>
        <w:rPr>
          <w:rFonts w:hint="eastAsia"/>
        </w:rPr>
        <w:t>承包人无正当理由拒绝更换</w:t>
      </w:r>
      <w:bookmarkStart w:id="1185" w:name="_Hlk65504130"/>
      <w:r>
        <w:rPr>
          <w:rFonts w:hint="eastAsia"/>
        </w:rPr>
        <w:t>项目经理</w:t>
      </w:r>
      <w:bookmarkEnd w:id="1185"/>
      <w:r>
        <w:rPr>
          <w:rFonts w:hint="eastAsia"/>
        </w:rPr>
        <w:t>的违约责任：发包人有权书面通知承包人更换项目经理。承包人应在接到更换通知后，按要求将新任命的项目经理的执业证书、人员社保、主要业绩等资料书面提交发包人。继任项目经理继续履行合同约定的职责。</w:t>
      </w:r>
    </w:p>
    <w:p>
      <w:r>
        <w:rPr>
          <w:rFonts w:hint="eastAsia"/>
        </w:rPr>
        <w:t>承包人无正当理由拒绝更换项目经理的，发包人有权停工，由于停工给发包人和承包人造成的全部损失均由承包人自行承担。</w:t>
      </w:r>
    </w:p>
    <w:p>
      <w:r>
        <w:t>3.3 承包人人员</w:t>
      </w:r>
    </w:p>
    <w:p>
      <w:r>
        <w:rPr>
          <w:rFonts w:hint="eastAsia"/>
        </w:rPr>
        <w:t>3.3.1 承包人提交项目管理机构及施工现场管理人员安排报告的期限：  /   。</w:t>
      </w:r>
    </w:p>
    <w:p>
      <w:r>
        <w:rPr>
          <w:rFonts w:hint="eastAsia"/>
        </w:rPr>
        <w:t>3.3.3 承包人无正当理由拒绝撤换主要施工管理人员的违约责任：发包人有权书面通知承包人更换主要施工管理人员。承包人应在接到更换通知后7天内进行更换，并将新任命的主要施工管理人员的执业证书、人员社保、主要业绩等资料书面提交发包人。继任主要施工管理人员继续履行合同约定的职责。</w:t>
      </w:r>
    </w:p>
    <w:p>
      <w:r>
        <w:rPr>
          <w:rFonts w:hint="eastAsia"/>
        </w:rPr>
        <w:t>承包人无正当理由拒绝更换主要施工管理人员的，发包人有权停工，由于停工给发包人和承包人造成的全部损失均由承包人自行承担。</w:t>
      </w:r>
    </w:p>
    <w:p>
      <w:r>
        <w:rPr>
          <w:rFonts w:hint="eastAsia"/>
        </w:rPr>
        <w:t>3.3.4 承包人主要施工管理人员擅自离开施工现场的违约责任：承包人派驻到施工现场的主要施工管理人员应相对稳定并与投标文件一致。主要施工管理人员确需离开施工现场超过连续2天（含）、或每月累计超过</w:t>
      </w:r>
      <w:r>
        <w:t>5天（含）的，</w:t>
      </w:r>
      <w:r>
        <w:rPr>
          <w:rFonts w:hint="eastAsia"/>
        </w:rPr>
        <w:t>需提前3天向发包人及监理提出书面申请，工作交接至同等能力级别（或优于）的施工管理人员，并取得发包人的书面同意。</w:t>
      </w:r>
    </w:p>
    <w:p>
      <w:r>
        <w:rPr>
          <w:rFonts w:hint="eastAsia"/>
        </w:rPr>
        <w:t>如承包人未取得发包人书面同意，应承担违约责任，承包人应按主要施工管理人员缺勤天数以1万元/人/天为计算标准向发包人支付违约金，上不封顶。发包人有权要求承包人更换主要施工管理人员。由此增加的费用和延误的工期由承包人承担。</w:t>
      </w:r>
    </w:p>
    <w:p>
      <w:r>
        <w:rPr>
          <w:rFonts w:hint="eastAsia"/>
        </w:rPr>
        <w:t>3.3.5承包人擅自更换主要施工管理人员的违约责任：承包人更换主要施工管理人员时，应提前7天向发包人及监理提出书面申请，并征得发包人书面同意。承包人提交的书面更换通知中应当载明继任人员的注册执业资格、管理经验等资料。</w:t>
      </w:r>
    </w:p>
    <w:p>
      <w:r>
        <w:rPr>
          <w:rFonts w:hint="eastAsia"/>
        </w:rPr>
        <w:t>经发包人核实，原管理人员如能够继续履行职责的，监理人应责令承包人撤销其更换决定，承包人应承担违约金5000元整；如经发包人核实，原管理人员客观上已经无法继续履行职责的，监理人有权要求审核确认承包人更换的管理人员，承包人应承担违约金1万元整。由此增加的费用和延误的工期由承包人承担。</w:t>
      </w:r>
    </w:p>
    <w:p>
      <w:r>
        <w:t>3</w:t>
      </w:r>
      <w:bookmarkStart w:id="1186" w:name="_Toc292559869"/>
      <w:bookmarkStart w:id="1187" w:name="_Toc297048345"/>
      <w:bookmarkStart w:id="1188" w:name="_Toc296891199"/>
      <w:bookmarkStart w:id="1189" w:name="_Toc303539102"/>
      <w:bookmarkStart w:id="1190" w:name="_Toc300934945"/>
      <w:bookmarkStart w:id="1191" w:name="_Toc292559364"/>
      <w:bookmarkStart w:id="1192" w:name="_Toc296944498"/>
      <w:bookmarkStart w:id="1193" w:name="_Toc297123492"/>
      <w:bookmarkStart w:id="1194" w:name="_Toc312677988"/>
      <w:bookmarkStart w:id="1195" w:name="_Toc297216151"/>
      <w:bookmarkStart w:id="1196" w:name="_Toc296890987"/>
      <w:bookmarkStart w:id="1197" w:name="_Toc296346660"/>
      <w:bookmarkStart w:id="1198" w:name="_Toc297120459"/>
      <w:bookmarkStart w:id="1199" w:name="_Toc296503159"/>
      <w:bookmarkStart w:id="1200" w:name="_Toc304295523"/>
      <w:bookmarkStart w:id="1201" w:name="_Toc296347158"/>
      <w:r>
        <w:t>.5 分包</w:t>
      </w:r>
    </w:p>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r>
        <w:t>3</w:t>
      </w:r>
      <w:bookmarkStart w:id="1202" w:name="_Toc292559870"/>
      <w:bookmarkStart w:id="1203" w:name="_Toc303539103"/>
      <w:bookmarkStart w:id="1204" w:name="_Toc296347159"/>
      <w:bookmarkStart w:id="1205" w:name="_Toc296891200"/>
      <w:bookmarkStart w:id="1206" w:name="_Toc297216152"/>
      <w:bookmarkStart w:id="1207" w:name="_Toc292559365"/>
      <w:bookmarkStart w:id="1208" w:name="_Toc297123493"/>
      <w:bookmarkStart w:id="1209" w:name="_Toc304295524"/>
      <w:bookmarkStart w:id="1210" w:name="_Toc296944499"/>
      <w:bookmarkStart w:id="1211" w:name="_Toc297048346"/>
      <w:bookmarkStart w:id="1212" w:name="_Toc297120460"/>
      <w:bookmarkStart w:id="1213" w:name="_Toc300934946"/>
      <w:bookmarkStart w:id="1214" w:name="_Toc296503160"/>
      <w:bookmarkStart w:id="1215" w:name="_Toc296890988"/>
      <w:bookmarkStart w:id="1216" w:name="_Toc296346661"/>
      <w:bookmarkStart w:id="1217" w:name="_Toc318581158"/>
      <w:bookmarkStart w:id="1218" w:name="_Toc312677989"/>
      <w:r>
        <w:t>.5.1 分包的一般约定</w:t>
      </w:r>
    </w:p>
    <w:p>
      <w:r>
        <w:t>禁止分包的工程包括：</w:t>
      </w:r>
      <w:r>
        <w:rPr>
          <w:rFonts w:hint="eastAsia"/>
        </w:rPr>
        <w:t>本工程禁止分包</w:t>
      </w:r>
      <w:r>
        <w:t xml:space="preserve">    。</w:t>
      </w:r>
    </w:p>
    <w:p>
      <w:r>
        <w:t xml:space="preserve">主体结构、关键性工作的范围：  </w:t>
      </w:r>
      <w:r>
        <w:rPr>
          <w:rFonts w:hint="eastAsia"/>
        </w:rPr>
        <w:t xml:space="preserve">     /           </w:t>
      </w:r>
      <w:r>
        <w:t xml:space="preserve">  。</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Start w:id="1219" w:name="_Toc303539104"/>
      <w:bookmarkStart w:id="1220" w:name="_Toc296890989"/>
      <w:bookmarkStart w:id="1221" w:name="_Toc297048347"/>
      <w:bookmarkStart w:id="1222" w:name="_Toc296944500"/>
      <w:bookmarkStart w:id="1223" w:name="_Toc296891201"/>
      <w:bookmarkStart w:id="1224" w:name="_Toc297120461"/>
      <w:bookmarkStart w:id="1225" w:name="_Toc296346662"/>
      <w:bookmarkStart w:id="1226" w:name="_Toc296347160"/>
      <w:bookmarkStart w:id="1227" w:name="_Toc296503161"/>
      <w:bookmarkStart w:id="1228" w:name="_Toc300934947"/>
      <w:bookmarkStart w:id="1229" w:name="_Toc297123494"/>
      <w:bookmarkStart w:id="1230" w:name="_Toc297216153"/>
      <w:bookmarkStart w:id="1231" w:name="_Toc304295525"/>
    </w:p>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r>
        <w:t xml:space="preserve">    3</w:t>
      </w:r>
      <w:bookmarkStart w:id="1232" w:name="_Toc312677990"/>
      <w:bookmarkStart w:id="1233" w:name="_Toc318581159"/>
      <w:r>
        <w:t>.5.2分包的确定</w:t>
      </w:r>
    </w:p>
    <w:p>
      <w:r>
        <w:t xml:space="preserve">允许分包的专业工程包括：        </w:t>
      </w:r>
      <w:r>
        <w:rPr>
          <w:rFonts w:hint="eastAsia"/>
        </w:rPr>
        <w:t xml:space="preserve">  /</w:t>
      </w:r>
      <w:r>
        <w:t xml:space="preserve">              。</w:t>
      </w:r>
    </w:p>
    <w:p>
      <w:r>
        <w:t xml:space="preserve">其他关于分包的约定：        </w:t>
      </w:r>
      <w:r>
        <w:rPr>
          <w:rFonts w:hint="eastAsia"/>
        </w:rPr>
        <w:t xml:space="preserve">        /            </w:t>
      </w:r>
      <w:r>
        <w:t xml:space="preserve">    。</w:t>
      </w:r>
    </w:p>
    <w:p>
      <w:r>
        <w:t>3.5.4 分包合同价款</w:t>
      </w:r>
    </w:p>
    <w:p>
      <w:r>
        <w:t>关于分包合同价款支付的约定：       /        。</w:t>
      </w:r>
    </w:p>
    <w:bookmarkEnd w:id="1232"/>
    <w:bookmarkEnd w:id="1233"/>
    <w:p>
      <w:r>
        <w:t>3.6 工程照管与成品、半成品保护</w:t>
      </w:r>
    </w:p>
    <w:p>
      <w:r>
        <w:t xml:space="preserve">承包人负责照管工程及工程相关的材料、工程设备的起始时间：      </w:t>
      </w:r>
      <w:r>
        <w:rPr>
          <w:rFonts w:hint="eastAsia"/>
        </w:rPr>
        <w:t>/</w:t>
      </w:r>
      <w:r>
        <w:t xml:space="preserve">      。</w:t>
      </w:r>
    </w:p>
    <w:p>
      <w:r>
        <w:t>3.7 履约担保</w:t>
      </w:r>
    </w:p>
    <w:p>
      <w:r>
        <w:rPr>
          <w:rFonts w:hint="eastAsia"/>
        </w:rPr>
        <w:t>承包人是否提供履约担保：</w:t>
      </w:r>
      <w:r>
        <w:t xml:space="preserve">   </w:t>
      </w:r>
      <w:r>
        <w:rPr>
          <w:rFonts w:hint="eastAsia"/>
        </w:rPr>
        <w:t>否</w:t>
      </w:r>
      <w:r>
        <w:t xml:space="preserve">   。</w:t>
      </w:r>
    </w:p>
    <w:p>
      <w:r>
        <w:t>承包人提供履约担保的形式</w:t>
      </w:r>
      <w:r>
        <w:rPr>
          <w:rFonts w:hint="eastAsia"/>
        </w:rPr>
        <w:t>、金额及期限的</w:t>
      </w:r>
      <w:r>
        <w:t>：</w:t>
      </w:r>
      <w:r>
        <w:rPr>
          <w:rFonts w:hint="eastAsia"/>
        </w:rPr>
        <w:t xml:space="preserve">       /   </w:t>
      </w:r>
      <w:r>
        <w:t>。</w:t>
      </w:r>
    </w:p>
    <w:p>
      <w:bookmarkStart w:id="1234" w:name="_Toc351203636"/>
      <w:r>
        <w:t>4</w:t>
      </w:r>
      <w:bookmarkStart w:id="1235" w:name="_Toc296347161"/>
      <w:bookmarkStart w:id="1236" w:name="_Toc296346663"/>
      <w:bookmarkStart w:id="1237" w:name="_Toc292559871"/>
      <w:bookmarkStart w:id="1238" w:name="_Toc297048348"/>
      <w:bookmarkStart w:id="1239" w:name="_Toc296503162"/>
      <w:bookmarkStart w:id="1240" w:name="_Toc292559366"/>
      <w:bookmarkStart w:id="1241" w:name="_Toc296891202"/>
      <w:bookmarkStart w:id="1242" w:name="_Toc297120462"/>
      <w:bookmarkStart w:id="1243" w:name="_Toc296890990"/>
      <w:bookmarkStart w:id="1244" w:name="_Toc296944501"/>
      <w:bookmarkStart w:id="1245" w:name="_Toc267251413"/>
      <w:r>
        <w:t>. 监</w:t>
      </w:r>
      <w:bookmarkEnd w:id="1235"/>
      <w:bookmarkEnd w:id="1236"/>
      <w:bookmarkEnd w:id="1237"/>
      <w:bookmarkEnd w:id="1238"/>
      <w:bookmarkEnd w:id="1239"/>
      <w:bookmarkEnd w:id="1240"/>
      <w:bookmarkEnd w:id="1241"/>
      <w:bookmarkEnd w:id="1242"/>
      <w:bookmarkEnd w:id="1243"/>
      <w:bookmarkEnd w:id="1244"/>
      <w:bookmarkEnd w:id="1245"/>
      <w:r>
        <w:t>理人</w:t>
      </w:r>
      <w:bookmarkEnd w:id="1234"/>
    </w:p>
    <w:p>
      <w:r>
        <w:t>4.1监理人的一般规定</w:t>
      </w:r>
    </w:p>
    <w:p>
      <w:r>
        <w:t>关于监理人的监理内容：</w:t>
      </w:r>
      <w:r>
        <w:rPr>
          <w:rFonts w:hint="eastAsia"/>
        </w:rPr>
        <w:t>见《建设工程监理委托合同》</w:t>
      </w:r>
      <w:r>
        <w:t xml:space="preserve"> 。</w:t>
      </w:r>
    </w:p>
    <w:p>
      <w:r>
        <w:t>关于监理人的监理权限：</w:t>
      </w:r>
      <w:r>
        <w:rPr>
          <w:rFonts w:hint="eastAsia"/>
        </w:rPr>
        <w:t>见《建设工程监理委托合同》</w:t>
      </w:r>
      <w:r>
        <w:t xml:space="preserve">。 </w:t>
      </w:r>
    </w:p>
    <w:p>
      <w:r>
        <w:t>关于监理人在施工现场的办公场所、生活场所的提供和费用承担的约定：</w:t>
      </w:r>
      <w:r>
        <w:rPr>
          <w:rFonts w:hint="eastAsia"/>
        </w:rPr>
        <w:t>见《建设工程监理委托合同》</w:t>
      </w:r>
      <w:r>
        <w:t>。</w:t>
      </w:r>
    </w:p>
    <w:p>
      <w:r>
        <w:t>4.2 监理人员</w:t>
      </w:r>
    </w:p>
    <w:p>
      <w:r>
        <w:t>总监理工程师：</w:t>
      </w:r>
    </w:p>
    <w:p>
      <w:r>
        <w:t>姓    名：   ；</w:t>
      </w:r>
    </w:p>
    <w:p>
      <w:r>
        <w:t>职    务：   ；</w:t>
      </w:r>
    </w:p>
    <w:p>
      <w:r>
        <w:t>监理工程师执业资格证书号： ；</w:t>
      </w:r>
    </w:p>
    <w:p>
      <w:r>
        <w:t>联系电话：   ；</w:t>
      </w:r>
    </w:p>
    <w:p>
      <w:r>
        <w:t>电子信箱：   ；</w:t>
      </w:r>
    </w:p>
    <w:p>
      <w:r>
        <w:t>通信地址：   ；</w:t>
      </w:r>
    </w:p>
    <w:p>
      <w:r>
        <w:t>关于监理人的其他约定：   。</w:t>
      </w:r>
    </w:p>
    <w:p>
      <w:r>
        <w:t>4.4 商定或确定</w:t>
      </w:r>
    </w:p>
    <w:p>
      <w:bookmarkStart w:id="1246" w:name="_Toc267251418"/>
      <w:r>
        <w:t>在发包人和承包人不能通过协商达成一致意见时，发包人授权监理人对以下事项进行确定：</w:t>
      </w:r>
    </w:p>
    <w:p>
      <w:r>
        <w:t xml:space="preserve">（1）                          </w:t>
      </w:r>
      <w:r>
        <w:rPr>
          <w:rFonts w:hint="eastAsia"/>
        </w:rPr>
        <w:t xml:space="preserve"> </w:t>
      </w:r>
      <w:r>
        <w:t xml:space="preserve">        ；</w:t>
      </w:r>
    </w:p>
    <w:p>
      <w:r>
        <w:t xml:space="preserve">（2）                          </w:t>
      </w:r>
      <w:r>
        <w:rPr>
          <w:rFonts w:hint="eastAsia"/>
        </w:rPr>
        <w:t xml:space="preserve"> </w:t>
      </w:r>
      <w:r>
        <w:t xml:space="preserve">        ；</w:t>
      </w:r>
    </w:p>
    <w:p>
      <w:r>
        <w:t xml:space="preserve">（3）                         </w:t>
      </w:r>
      <w:r>
        <w:rPr>
          <w:rFonts w:hint="eastAsia"/>
        </w:rPr>
        <w:t xml:space="preserve"> </w:t>
      </w:r>
      <w:r>
        <w:t xml:space="preserve">         。</w:t>
      </w:r>
    </w:p>
    <w:p>
      <w:bookmarkStart w:id="1247" w:name="_Toc351203637"/>
      <w:r>
        <w:t>5</w:t>
      </w:r>
      <w:bookmarkEnd w:id="1246"/>
      <w:bookmarkStart w:id="1248" w:name="_Toc296891203"/>
      <w:bookmarkStart w:id="1249" w:name="_Toc296890991"/>
      <w:bookmarkStart w:id="1250" w:name="_Toc296347162"/>
      <w:bookmarkStart w:id="1251" w:name="_Toc296944502"/>
      <w:bookmarkStart w:id="1252" w:name="_Toc297120463"/>
      <w:bookmarkStart w:id="1253" w:name="_Toc292559872"/>
      <w:bookmarkStart w:id="1254" w:name="_Toc297048349"/>
      <w:bookmarkStart w:id="1255" w:name="_Toc292559367"/>
      <w:bookmarkStart w:id="1256" w:name="_Toc296503163"/>
      <w:bookmarkStart w:id="1257" w:name="_Toc296346664"/>
      <w:r>
        <w:t>. 工程质量</w:t>
      </w:r>
      <w:bookmarkEnd w:id="1247"/>
    </w:p>
    <w:p>
      <w:bookmarkStart w:id="1258" w:name="_Toc3900445"/>
      <w:r>
        <w:t>5.1 质量要求</w:t>
      </w:r>
      <w:bookmarkEnd w:id="1258"/>
    </w:p>
    <w:p>
      <w:r>
        <w:t>5</w:t>
      </w:r>
      <w:bookmarkStart w:id="1259" w:name="_Toc300934949"/>
      <w:bookmarkStart w:id="1260" w:name="_Toc318581164"/>
      <w:bookmarkStart w:id="1261" w:name="_Toc312677997"/>
      <w:bookmarkStart w:id="1262" w:name="_Toc297123496"/>
      <w:bookmarkStart w:id="1263" w:name="_Toc303539106"/>
      <w:bookmarkStart w:id="1264" w:name="_Toc297216155"/>
      <w:bookmarkStart w:id="1265" w:name="_Toc304295527"/>
      <w:r>
        <w:t>.1.1 特殊质量标准和要求：</w:t>
      </w:r>
      <w:r>
        <w:rPr>
          <w:rFonts w:hint="eastAsia"/>
        </w:rPr>
        <w:t>质量合格</w:t>
      </w:r>
      <w:r>
        <w:t>。</w:t>
      </w:r>
    </w:p>
    <w:p>
      <w:r>
        <w:t>关于工程奖项的约定：        /</w:t>
      </w:r>
      <w:r>
        <w:rPr>
          <w:rFonts w:hint="eastAsia"/>
        </w:rPr>
        <w:t xml:space="preserve"> </w:t>
      </w:r>
      <w:r>
        <w:t xml:space="preserve"> </w:t>
      </w:r>
      <w:r>
        <w:rPr>
          <w:rFonts w:hint="eastAsia"/>
        </w:rPr>
        <w:t xml:space="preserve">  </w:t>
      </w:r>
      <w:r>
        <w:t xml:space="preserve">      。</w:t>
      </w:r>
    </w:p>
    <w:p>
      <w:bookmarkStart w:id="1266" w:name="_Toc3900446"/>
      <w:r>
        <w:t>5.3 隐蔽工程检查</w:t>
      </w:r>
      <w:bookmarkEnd w:id="1266"/>
    </w:p>
    <w:p>
      <w:r>
        <w:t>5.3.2承包人提前通知监理人隐蔽工程检查的期限的约定：</w:t>
      </w:r>
      <w:r>
        <w:rPr>
          <w:rFonts w:hint="eastAsia"/>
        </w:rPr>
        <w:t>在被覆盖、包装或隐蔽之前</w:t>
      </w:r>
      <w:r>
        <w:t>。</w:t>
      </w:r>
    </w:p>
    <w:p>
      <w:r>
        <w:t xml:space="preserve">监理人不能按时进行检查时，应提前 </w:t>
      </w:r>
      <w:r>
        <w:rPr>
          <w:rFonts w:hint="eastAsia"/>
          <w:lang w:val="en-US" w:eastAsia="zh-CN"/>
        </w:rPr>
        <w:t xml:space="preserve">    </w:t>
      </w:r>
      <w:r>
        <w:t xml:space="preserve">   小时提交书面延期要求。</w:t>
      </w:r>
    </w:p>
    <w:p>
      <w:r>
        <w:t xml:space="preserve">关于延期最长不得超过：  </w:t>
      </w:r>
      <w:r>
        <w:rPr>
          <w:rFonts w:hint="eastAsia"/>
          <w:lang w:val="en-US" w:eastAsia="zh-CN"/>
        </w:rPr>
        <w:t xml:space="preserve">    </w:t>
      </w:r>
      <w:r>
        <w:t xml:space="preserve"> 小时。</w:t>
      </w:r>
    </w:p>
    <w:p>
      <w:bookmarkStart w:id="1267" w:name="_Toc351203638"/>
      <w:r>
        <w:t>6. 安全生产标准化与环境保护</w:t>
      </w:r>
      <w:bookmarkEnd w:id="1267"/>
    </w:p>
    <w:p>
      <w:r>
        <w:t>6.1安全生产标准化</w:t>
      </w:r>
    </w:p>
    <w:p>
      <w:r>
        <w:t>6.1.1 项目安全生产的达标目标及相应事项的约定：</w:t>
      </w:r>
      <w:r>
        <w:rPr>
          <w:rFonts w:hint="eastAsia"/>
        </w:rPr>
        <w:t>不得低于达标（合格）标准</w:t>
      </w:r>
      <w:r>
        <w:t>。</w:t>
      </w:r>
    </w:p>
    <w:p>
      <w:r>
        <w:t>6.1.4 关于治安保卫的特别约定：</w:t>
      </w:r>
      <w:r>
        <w:rPr>
          <w:rFonts w:hint="eastAsia"/>
        </w:rPr>
        <w:t>承包人应按建设行政管理部门和相关部门的要求，自费承担这些工作：临时设施(含警卫）和提供相应设施(如护板、围栏、标志等），以保护公共安全，并提供方便。如因承包人原因未履行条款中约定义务造成工程财产损失，由承包人承担责任和损失。若有事故发生，需立即上报，同时在24小时内如实填报文字说明报告</w:t>
      </w:r>
      <w:r>
        <w:t>。</w:t>
      </w:r>
    </w:p>
    <w:p>
      <w:r>
        <w:t>关于编制施工场地治安管理计划的约定：</w:t>
      </w:r>
      <w:r>
        <w:rPr>
          <w:rFonts w:hint="eastAsia"/>
        </w:rPr>
        <w:t xml:space="preserve">          /           </w:t>
      </w:r>
      <w:r>
        <w:t xml:space="preserve">     。</w:t>
      </w:r>
    </w:p>
    <w:p>
      <w:r>
        <w:rPr>
          <w:rFonts w:hint="eastAsia"/>
        </w:rPr>
        <w:t>6.1.5 文明施工</w:t>
      </w:r>
    </w:p>
    <w:p>
      <w:r>
        <w:rPr>
          <w:rFonts w:hint="eastAsia"/>
        </w:rPr>
        <w:t>合同当事人对文明施工的要求：</w:t>
      </w:r>
    </w:p>
    <w:p>
      <w:r>
        <w:rPr>
          <w:rFonts w:hint="eastAsia"/>
        </w:rPr>
        <w:t>1）需承包人办理有关施工现场的交通、环保和施工噪音管理等手续，由承包人负责办理有关手续。</w:t>
      </w:r>
    </w:p>
    <w:p>
      <w:r>
        <w:rPr>
          <w:rFonts w:hint="eastAsia"/>
        </w:rPr>
        <w:t>2）已完工程成品保护的特殊要求及费用承担：本工程在竣工验收前，由承包人负责采取措施保护。且，承包人需对发包人场地原有成品进行保护，承包人施工期间若使用发包人原有场地成品，施工完成后应保证原有成品无损。保护费用已包括在承包人的投标报价中。</w:t>
      </w:r>
    </w:p>
    <w:p>
      <w:r>
        <w:rPr>
          <w:rFonts w:hint="eastAsia"/>
        </w:rPr>
        <w:t>3）施工现场清洁卫生的要求：承包人负责整体工程内(含各专业工程）的清洁卫生，按照建设行政主管部门和相关部门的规定办理。所需费用由承包人承担。</w:t>
      </w:r>
    </w:p>
    <w:p>
      <w:r>
        <w:rPr>
          <w:rFonts w:hint="eastAsia"/>
        </w:rPr>
        <w:t>4）施工图纸未标明，但明显属于使用功能需要的、施工(相关）规范有要求的或明显影响美观效果的，承包人有责任和义务报监理变更审批后自行完善。费用由承包人承担。</w:t>
      </w:r>
    </w:p>
    <w:p>
      <w:r>
        <w:rPr>
          <w:rFonts w:hint="eastAsia"/>
        </w:rPr>
        <w:t>5）施工图中出现错误或明显不合理的情况，应及时通知发包人，并提出相应的处理方案，经发包人同意后实施。</w:t>
      </w:r>
    </w:p>
    <w:p>
      <w:r>
        <w:rPr>
          <w:rFonts w:hint="eastAsia"/>
        </w:rPr>
        <w:t>6）承包人应当为踏勘目的进入项目现场，但承包人不得因此使发包人承担有关的责任和蒙受损失。承包人应承担踏勘现场的责任和风险。承包人应先到项目所在地尽职详细踏勘，以充分了解项目位置、地质地貌、气候与水文条件、交通状况、电力、上、下水等市政基础设施及任何其它足以影响其施工安全性、施工方案的可实现性，以及对环保、社区或相邻环境及对相关方相邻权的影响。任何因承包人忽视、误解及/或未尽力确证项目相关情况，而使发包人及/或第三方在项目实施过程中蒙受损失，将由承包人独立承担全部赔偿责任。</w:t>
      </w:r>
    </w:p>
    <w:p>
      <w:r>
        <w:rPr>
          <w:rFonts w:hint="eastAsia"/>
        </w:rPr>
        <w:t>7）本工程由于场地有限，发包人不为承包人提供为完成本工程所建设的生活和生产用临时设施的场地。承包人应根据本工程地处的位置自行解决临时生活和办公问题，由此发生的所有相关费用均由承包人自行承担。承包人在投标报价中应考虑此部分费用。</w:t>
      </w:r>
    </w:p>
    <w:p>
      <w:r>
        <w:rPr>
          <w:rFonts w:hint="eastAsia"/>
        </w:rPr>
        <w:t>8)遵守政府有关主管部门对施工场地交通、环卫、土方(含渣土）消纳、施工噪音以及环境保护和安全文明生产等的管理规定，按规定办理有关手续，并承担由此发生的费用。</w:t>
      </w:r>
    </w:p>
    <w:p>
      <w:r>
        <w:rPr>
          <w:rFonts w:hint="eastAsia"/>
        </w:rPr>
        <w:t>9)由承包人负责处理施工扰民和民扰问题。</w:t>
      </w:r>
    </w:p>
    <w:p>
      <w:r>
        <w:rPr>
          <w:rFonts w:hint="eastAsia"/>
        </w:rPr>
        <w:t>10)承包人应承担在施工中发生的材料及物件的倒运、机械二次进场等所造成的损失，双方另有约定的除外。</w:t>
      </w:r>
    </w:p>
    <w:p>
      <w:r>
        <w:rPr>
          <w:rFonts w:hint="eastAsia"/>
        </w:rPr>
        <w:t>11)承包人应对整个现场的施工组织和施工方案的适用性、稳定性和安全性负全面责任。同时根据施工现场的实际情况建立健全各项管理体系。</w:t>
      </w:r>
    </w:p>
    <w:p>
      <w:r>
        <w:rPr>
          <w:rFonts w:hint="eastAsia"/>
        </w:rPr>
        <w:t>12)承包人应保证工程各部分的位置、标高、尺寸和基准线的正确性；监理对放线和标高的检查，绝不意味着解除承包人对放线定位的责任。</w:t>
      </w:r>
    </w:p>
    <w:p>
      <w:r>
        <w:rPr>
          <w:rFonts w:hint="eastAsia"/>
        </w:rPr>
        <w:t>13)承包人在工程施工中拖延工期，监理工程师认为工程进度过慢，无法确保工程按规定的时间完成时，监理工程师向承包人发出要求加快进度的通知，承包人应立即采取必要的措施，加快工程进度，确保工程按期完成，承包人无权因采取此种措施而获得任何追加款项。</w:t>
      </w:r>
    </w:p>
    <w:p>
      <w:r>
        <w:rPr>
          <w:rFonts w:hint="eastAsia"/>
        </w:rPr>
        <w:t>14)承包人承诺按有关规定按时支付农民工工资。为保证资金监管和农民工工资支付，承包人在接到中标通知后14日内，必须按发包人要求设立针对本工程的专项账户。承包人应当加强工程款管理，做到专款专用，不得拖欠分包人的工程款、材料、设备货款、农民工和工人工资等费用；监理工程师或发包人对工程款使用情况进行监督检查时，承包人应当积极配合，不得阻扰和拒绝。</w:t>
      </w:r>
    </w:p>
    <w:p>
      <w:r>
        <w:rPr>
          <w:rFonts w:hint="eastAsia"/>
        </w:rPr>
        <w:t>15)明确竣工清理以及竣工资料移交费用含在合同总价中。</w:t>
      </w:r>
    </w:p>
    <w:p>
      <w:r>
        <w:rPr>
          <w:rFonts w:hint="eastAsia"/>
        </w:rPr>
        <w:t>16)承包人承诺不因变更价格(包括不限于设计变更、治商、清单缺漏项、新增项等）的审批而影响本工程施工生产的正常开展，无论何种情况，承包人一旦收到发包人的指令，则必须立即执行，而不得以价格未确定或未达成一致等情况而拒绝或拖延施工，否则</w:t>
      </w:r>
      <w:bookmarkStart w:id="1268" w:name="_Hlk154423841"/>
      <w:r>
        <w:rPr>
          <w:rFonts w:hint="eastAsia"/>
        </w:rPr>
        <w:t>承包人须全额赔偿给发包人造成的损失</w:t>
      </w:r>
      <w:bookmarkEnd w:id="1268"/>
      <w:r>
        <w:rPr>
          <w:rFonts w:hint="eastAsia"/>
        </w:rPr>
        <w:t>。</w:t>
      </w:r>
    </w:p>
    <w:p>
      <w:r>
        <w:rPr>
          <w:rFonts w:hint="eastAsia"/>
        </w:rPr>
        <w:t>17）施工过程中，如需与总包单位配合施工，投标报价中应自行考虑总包配合费，总包配合费不单独列项。</w:t>
      </w:r>
    </w:p>
    <w:p>
      <w:r>
        <w:t>18</w:t>
      </w:r>
      <w:r>
        <w:rPr>
          <w:rFonts w:hint="eastAsia"/>
        </w:rPr>
        <w:t>）根据国家有关部门及属地要求，履行疫情防控有关责任，费用包含在响应报价中。</w:t>
      </w:r>
    </w:p>
    <w:p>
      <w:r>
        <w:rPr>
          <w:rFonts w:hint="eastAsia"/>
        </w:rPr>
        <w:t>1</w:t>
      </w:r>
      <w:r>
        <w:t>9</w:t>
      </w:r>
      <w:r>
        <w:rPr>
          <w:rFonts w:hint="eastAsia"/>
        </w:rPr>
        <w:t>）承包人自行安装水表、电表计量，准备连接电缆及必要的配电保护设备等，其费用及施工用水、用电费用包含在响应报价中，发包人不再另行支付；施工期间发生的水费、电费在项目竣工验收后七日内，承包人向发包人支付，再由发包人代缴。</w:t>
      </w:r>
    </w:p>
    <w:p>
      <w:r>
        <w:rPr>
          <w:rFonts w:hint="eastAsia"/>
        </w:rPr>
        <w:t>注：</w:t>
      </w:r>
    </w:p>
    <w:p>
      <w:r>
        <w:rPr>
          <w:rFonts w:hint="eastAsia"/>
        </w:rPr>
        <w:t>（1）承包人未严格履行上述各项义务，承包人应当以3万元/次为计算标准向发包人支付违约金。</w:t>
      </w:r>
    </w:p>
    <w:p>
      <w:r>
        <w:rPr>
          <w:rFonts w:hint="eastAsia"/>
        </w:rPr>
        <w:t>（2）承包人进场前，需按学校物业规定办理施工前相关手续。项目完工后，学校物业对施工区域外的已有装修或其他物品验收是否有损坏情况，同时承包人应缴清水电费。承包人应该及时维修由承包人损坏的装修或者物品，学校物业就损坏的装修或者物品通知承包人三天后承包人仍未维修，物业有权对承包人进行处罚。</w:t>
      </w:r>
    </w:p>
    <w:p>
      <w:r>
        <w:rPr>
          <w:rFonts w:hint="eastAsia"/>
        </w:rPr>
        <w:t>（3）承包人应于工程验收合格后15天内，将发包人提供的施工临建场地恢复原貌，运走施工设备，包括但不限于拆除临建、垃圾清运等。若承包人工程验收合格后15天内，未将发包人提供的施工临建场地恢复原貌，则视为放弃临建场地恢复。发包人有权利禁止承包人以恢复临建场地为由进入校内，且发包人代为拆除临建、清运垃圾等所有产生费用，从承包人结算款中扣除。</w:t>
      </w:r>
    </w:p>
    <w:p>
      <w:r>
        <w:t>6.1.6 关于安全生产标准化措施费支付比例和支付期限的约定：</w:t>
      </w:r>
      <w:r>
        <w:rPr>
          <w:rFonts w:hint="eastAsia"/>
        </w:rPr>
        <w:t>在第一次支付预付款时包含支付全部安全生产标准化措施费。</w:t>
      </w:r>
    </w:p>
    <w:bookmarkEnd w:id="1259"/>
    <w:bookmarkEnd w:id="1260"/>
    <w:bookmarkEnd w:id="1261"/>
    <w:bookmarkEnd w:id="1262"/>
    <w:bookmarkEnd w:id="1263"/>
    <w:bookmarkEnd w:id="1264"/>
    <w:bookmarkEnd w:id="1265"/>
    <w:p>
      <w:bookmarkStart w:id="1269" w:name="_Toc351203639"/>
      <w:r>
        <w:t>7. 工期和进度</w:t>
      </w:r>
      <w:bookmarkEnd w:id="1269"/>
    </w:p>
    <w:p>
      <w:r>
        <w:t>7.1 施工组织设计</w:t>
      </w:r>
    </w:p>
    <w:p>
      <w:r>
        <w:t>7.1.</w:t>
      </w:r>
      <w:r>
        <w:rPr>
          <w:rFonts w:hint="eastAsia"/>
        </w:rPr>
        <w:t>1 合同当事人约定的</w:t>
      </w:r>
      <w:r>
        <w:t>施工组织设计</w:t>
      </w:r>
      <w:r>
        <w:rPr>
          <w:rFonts w:hint="eastAsia"/>
        </w:rPr>
        <w:t>应包括的其他内容</w:t>
      </w:r>
      <w:r>
        <w:t xml:space="preserve">：  </w:t>
      </w:r>
      <w:r>
        <w:rPr>
          <w:rFonts w:hint="eastAsia"/>
        </w:rPr>
        <w:t xml:space="preserve">    /    </w:t>
      </w:r>
      <w:r>
        <w:t xml:space="preserve">  。</w:t>
      </w:r>
    </w:p>
    <w:p>
      <w:r>
        <w:t>7.1.2 施工组织设计的提交和修改</w:t>
      </w:r>
    </w:p>
    <w:p>
      <w:r>
        <w:t>承包人提交详细施工组织设计的期限的约定：</w:t>
      </w:r>
      <w:r>
        <w:rPr>
          <w:rFonts w:hint="eastAsia"/>
        </w:rPr>
        <w:t>在开工前7天提供施工组织设计（含施工进度计划）</w:t>
      </w:r>
      <w:r>
        <w:t>。</w:t>
      </w:r>
    </w:p>
    <w:p>
      <w:r>
        <w:t>发包人和监理人在收到</w:t>
      </w:r>
      <w:r>
        <w:rPr>
          <w:rFonts w:hint="eastAsia"/>
        </w:rPr>
        <w:t>详细的施工组织设计</w:t>
      </w:r>
      <w:r>
        <w:t>后确认或提出修改意见的期限：</w:t>
      </w:r>
      <w:r>
        <w:rPr>
          <w:rFonts w:hint="eastAsia"/>
        </w:rPr>
        <w:t>收到后7天内</w:t>
      </w:r>
      <w:r>
        <w:t>。</w:t>
      </w:r>
    </w:p>
    <w:p>
      <w:r>
        <w:t>7</w:t>
      </w:r>
      <w:bookmarkStart w:id="1270" w:name="_Toc304295541"/>
      <w:bookmarkStart w:id="1271" w:name="_Toc297123514"/>
      <w:bookmarkStart w:id="1272" w:name="_Toc303539123"/>
      <w:bookmarkStart w:id="1273" w:name="_Toc312677479"/>
      <w:bookmarkStart w:id="1274" w:name="_Toc297216173"/>
      <w:bookmarkStart w:id="1275" w:name="_Toc300934966"/>
      <w:bookmarkStart w:id="1276" w:name="_Toc312678005"/>
      <w:r>
        <w:t>.2 施工进度计划</w:t>
      </w:r>
    </w:p>
    <w:p>
      <w:r>
        <w:t>7.2.2 施工进度计划的修订</w:t>
      </w:r>
    </w:p>
    <w:p>
      <w:r>
        <w:t>发包人和监理人在收到修订的施工进度计划后确认或提出修改意见的期限：</w:t>
      </w:r>
      <w:r>
        <w:rPr>
          <w:rFonts w:hint="eastAsia"/>
        </w:rPr>
        <w:t>收到后7天内</w:t>
      </w:r>
      <w:r>
        <w:t>。</w:t>
      </w:r>
    </w:p>
    <w:p>
      <w:r>
        <w:t>7.3 开工</w:t>
      </w:r>
    </w:p>
    <w:p>
      <w:r>
        <w:t>7.3.1 开工准备</w:t>
      </w:r>
    </w:p>
    <w:p>
      <w:r>
        <w:t xml:space="preserve">关于承包人提交工程开工报审表的期限：          </w:t>
      </w:r>
      <w:r>
        <w:rPr>
          <w:rFonts w:hint="eastAsia"/>
        </w:rPr>
        <w:t>/</w:t>
      </w:r>
      <w:r>
        <w:t xml:space="preserve">     </w:t>
      </w:r>
      <w:r>
        <w:rPr>
          <w:rFonts w:hint="eastAsia"/>
        </w:rPr>
        <w:t xml:space="preserve"> </w:t>
      </w:r>
      <w:r>
        <w:t xml:space="preserve"> 。</w:t>
      </w:r>
    </w:p>
    <w:p>
      <w:r>
        <w:t>关于发包人应完成的其他开工准备工作及期限：</w:t>
      </w:r>
      <w:r>
        <w:rPr>
          <w:rFonts w:hint="eastAsia"/>
        </w:rPr>
        <w:t xml:space="preserve">     </w:t>
      </w:r>
      <w:r>
        <w:t xml:space="preserve"> </w:t>
      </w:r>
      <w:r>
        <w:rPr>
          <w:rFonts w:hint="eastAsia"/>
        </w:rPr>
        <w:t xml:space="preserve">/ </w:t>
      </w:r>
      <w:r>
        <w:t xml:space="preserve">    。</w:t>
      </w:r>
    </w:p>
    <w:p>
      <w:r>
        <w:t xml:space="preserve">关于承包人应完成的其他开工准备工作及期限：       </w:t>
      </w:r>
      <w:r>
        <w:rPr>
          <w:rFonts w:hint="eastAsia"/>
        </w:rPr>
        <w:t xml:space="preserve">/     </w:t>
      </w:r>
      <w:r>
        <w:t>。</w:t>
      </w:r>
    </w:p>
    <w:p>
      <w:r>
        <w:t>7.3.2开工通知</w:t>
      </w:r>
    </w:p>
    <w:p>
      <w:r>
        <w:t xml:space="preserve">因发包人原因造成监理人未能在计划开工日期之日起   </w:t>
      </w:r>
      <w:r>
        <w:rPr>
          <w:rFonts w:hint="eastAsia"/>
        </w:rPr>
        <w:t>/</w:t>
      </w:r>
      <w:r>
        <w:t xml:space="preserve">  天内发出开工通知的，承包人有权提出价格调整要求，或者解除合同。</w:t>
      </w:r>
    </w:p>
    <w:bookmarkEnd w:id="1270"/>
    <w:bookmarkEnd w:id="1271"/>
    <w:bookmarkEnd w:id="1272"/>
    <w:bookmarkEnd w:id="1273"/>
    <w:bookmarkEnd w:id="1274"/>
    <w:bookmarkEnd w:id="1275"/>
    <w:bookmarkEnd w:id="1276"/>
    <w:p>
      <w:r>
        <w:t>7.4 测量放线</w:t>
      </w:r>
    </w:p>
    <w:p>
      <w:r>
        <w:t>7.4.1发包人通过监理人向承包人提供测量基准点、基准线和水准点及其书面资料的期限：</w:t>
      </w:r>
      <w:r>
        <w:rPr>
          <w:rFonts w:hint="eastAsia"/>
        </w:rPr>
        <w:t>合同签订后7天内</w:t>
      </w:r>
      <w:r>
        <w:t>。</w:t>
      </w:r>
    </w:p>
    <w:p>
      <w:r>
        <w:t>7</w:t>
      </w:r>
      <w:bookmarkStart w:id="1277" w:name="_Toc297123516"/>
      <w:bookmarkStart w:id="1278" w:name="_Toc303539125"/>
      <w:bookmarkStart w:id="1279" w:name="_Toc312678010"/>
      <w:bookmarkStart w:id="1280" w:name="_Toc304295546"/>
      <w:bookmarkStart w:id="1281" w:name="_Toc297216175"/>
      <w:bookmarkStart w:id="1282" w:name="_Toc312677484"/>
      <w:bookmarkStart w:id="1283" w:name="_Toc300934968"/>
      <w:r>
        <w:t>.5 工期延误</w:t>
      </w:r>
    </w:p>
    <w:bookmarkEnd w:id="1277"/>
    <w:bookmarkEnd w:id="1278"/>
    <w:bookmarkEnd w:id="1279"/>
    <w:bookmarkEnd w:id="1280"/>
    <w:bookmarkEnd w:id="1281"/>
    <w:bookmarkEnd w:id="1282"/>
    <w:bookmarkEnd w:id="1283"/>
    <w:p>
      <w:r>
        <w:t>7.5.1 因发包人原因导致工期延误</w:t>
      </w:r>
    </w:p>
    <w:p>
      <w:r>
        <w:t xml:space="preserve">（7）因发包人原因导致工期延误的其他情形：     </w:t>
      </w:r>
      <w:r>
        <w:rPr>
          <w:rFonts w:hint="eastAsia"/>
        </w:rPr>
        <w:t>/</w:t>
      </w:r>
      <w:r>
        <w:t xml:space="preserve">     。</w:t>
      </w:r>
    </w:p>
    <w:p>
      <w:r>
        <w:t>7</w:t>
      </w:r>
      <w:bookmarkStart w:id="1284" w:name="_Toc297216177"/>
      <w:bookmarkStart w:id="1285" w:name="_Toc303539127"/>
      <w:bookmarkStart w:id="1286" w:name="_Toc300934970"/>
      <w:bookmarkStart w:id="1287" w:name="_Toc304295548"/>
      <w:bookmarkStart w:id="1288" w:name="_Toc318581169"/>
      <w:bookmarkStart w:id="1289" w:name="_Toc312677486"/>
      <w:bookmarkStart w:id="1290" w:name="_Toc297123518"/>
      <w:bookmarkStart w:id="1291" w:name="_Toc312678012"/>
      <w:r>
        <w:t>.5.2 因承包人原因导致工期延误</w:t>
      </w:r>
    </w:p>
    <w:bookmarkEnd w:id="1284"/>
    <w:bookmarkEnd w:id="1285"/>
    <w:bookmarkEnd w:id="1286"/>
    <w:bookmarkEnd w:id="1287"/>
    <w:bookmarkEnd w:id="1288"/>
    <w:bookmarkEnd w:id="1289"/>
    <w:bookmarkEnd w:id="1290"/>
    <w:bookmarkEnd w:id="1291"/>
    <w:p>
      <w:r>
        <w:rPr>
          <w:rFonts w:hint="eastAsia"/>
        </w:rPr>
        <w:t>因承包人原因造成工期延误，逾期竣工违约金的计算方法为：逾期天数×结算价款的千分之二</w:t>
      </w:r>
      <w:r>
        <w:t>/天，其中：逾期天数=实际工期-合同工期-发包人同意延长的工期。</w:t>
      </w:r>
    </w:p>
    <w:p>
      <w:r>
        <w:rPr>
          <w:rFonts w:hint="eastAsia"/>
        </w:rPr>
        <w:t>承包人应提前考虑疫情等综合因素，提前采购施工材料等。承包人需满足发包人人员管理进场要求，如向发包人出示进场施工人员核酸检测报告等，具体以发包人所规定进场人员要求为准。因承包人原因造成工期延误，逾期竣工违约金的上限：不超过结算价款的</w:t>
      </w:r>
      <w:r>
        <w:t>20%。</w:t>
      </w:r>
    </w:p>
    <w:p>
      <w:r>
        <w:rPr>
          <w:rFonts w:hint="eastAsia"/>
        </w:rPr>
        <w:t>因发包人原因造成的工期延误，只延工期，不予补偿承包人费用。</w:t>
      </w:r>
    </w:p>
    <w:p>
      <w:r>
        <w:t>7</w:t>
      </w:r>
      <w:bookmarkStart w:id="1292" w:name="_Toc300934971"/>
      <w:bookmarkStart w:id="1293" w:name="_Toc297216178"/>
      <w:bookmarkStart w:id="1294" w:name="_Toc312678015"/>
      <w:bookmarkStart w:id="1295" w:name="_Toc297123519"/>
      <w:bookmarkStart w:id="1296" w:name="_Toc303539128"/>
      <w:bookmarkStart w:id="1297" w:name="_Toc304295549"/>
      <w:r>
        <w:t>.6 不</w:t>
      </w:r>
      <w:bookmarkEnd w:id="1292"/>
      <w:bookmarkEnd w:id="1293"/>
      <w:bookmarkEnd w:id="1294"/>
      <w:bookmarkEnd w:id="1295"/>
      <w:bookmarkEnd w:id="1296"/>
      <w:bookmarkEnd w:id="1297"/>
      <w:r>
        <w:t>利物质条件</w:t>
      </w:r>
    </w:p>
    <w:p>
      <w:bookmarkStart w:id="1298" w:name="_Toc318581172"/>
      <w:bookmarkStart w:id="1299" w:name="_Toc297216179"/>
      <w:bookmarkStart w:id="1300" w:name="_Toc300934972"/>
      <w:bookmarkStart w:id="1301" w:name="_Toc312678016"/>
      <w:bookmarkStart w:id="1302" w:name="_Toc297123520"/>
      <w:bookmarkStart w:id="1303" w:name="_Toc304295550"/>
      <w:bookmarkStart w:id="1304" w:name="_Toc303539129"/>
      <w:r>
        <w:t xml:space="preserve">不利物质条件的其他情形和有关约定：    </w:t>
      </w:r>
      <w:r>
        <w:rPr>
          <w:rFonts w:hint="eastAsia"/>
        </w:rPr>
        <w:t xml:space="preserve">  </w:t>
      </w:r>
      <w:r>
        <w:t xml:space="preserve">  </w:t>
      </w:r>
      <w:r>
        <w:rPr>
          <w:rFonts w:hint="eastAsia"/>
        </w:rPr>
        <w:t xml:space="preserve">/    </w:t>
      </w:r>
      <w:r>
        <w:t xml:space="preserve">   。</w:t>
      </w:r>
    </w:p>
    <w:bookmarkEnd w:id="1298"/>
    <w:bookmarkEnd w:id="1299"/>
    <w:bookmarkEnd w:id="1300"/>
    <w:bookmarkEnd w:id="1301"/>
    <w:bookmarkEnd w:id="1302"/>
    <w:bookmarkEnd w:id="1303"/>
    <w:bookmarkEnd w:id="1304"/>
    <w:p>
      <w:r>
        <w:t>7</w:t>
      </w:r>
      <w:bookmarkStart w:id="1305" w:name="_Toc297123521"/>
      <w:bookmarkStart w:id="1306" w:name="_Toc312678017"/>
      <w:bookmarkStart w:id="1307" w:name="_Toc297216180"/>
      <w:bookmarkStart w:id="1308" w:name="_Toc304295551"/>
      <w:bookmarkStart w:id="1309" w:name="_Toc303539130"/>
      <w:bookmarkStart w:id="1310" w:name="_Toc300934973"/>
      <w:r>
        <w:t>.7异常恶劣的气候条件</w:t>
      </w:r>
    </w:p>
    <w:bookmarkEnd w:id="1305"/>
    <w:bookmarkEnd w:id="1306"/>
    <w:bookmarkEnd w:id="1307"/>
    <w:bookmarkEnd w:id="1308"/>
    <w:bookmarkEnd w:id="1309"/>
    <w:bookmarkEnd w:id="1310"/>
    <w:p>
      <w:r>
        <w:t>发包人和承包人同意以下情形视为异常恶劣的气候条件：</w:t>
      </w:r>
    </w:p>
    <w:p>
      <w:r>
        <w:t>（1）</w:t>
      </w:r>
      <w:r>
        <w:rPr>
          <w:rFonts w:hint="eastAsia"/>
        </w:rPr>
        <w:t>六级(不含)以上大风</w:t>
      </w:r>
      <w:r>
        <w:t>；</w:t>
      </w:r>
    </w:p>
    <w:p>
      <w:r>
        <w:t>（2）</w:t>
      </w:r>
      <w:r>
        <w:rPr>
          <w:rFonts w:hint="eastAsia"/>
        </w:rPr>
        <w:t>六级以上地震</w:t>
      </w:r>
      <w:r>
        <w:t>；</w:t>
      </w:r>
    </w:p>
    <w:p>
      <w:r>
        <w:t>（3）</w:t>
      </w:r>
      <w:r>
        <w:rPr>
          <w:rFonts w:hint="eastAsia"/>
        </w:rPr>
        <w:t>一日内降雨量达200mm(不含)以上的暴雨</w:t>
      </w:r>
      <w:r>
        <w:t>。</w:t>
      </w:r>
    </w:p>
    <w:p>
      <w:bookmarkStart w:id="1311" w:name="_Toc3900447"/>
      <w:r>
        <w:t>7.9 提前竣工的奖励</w:t>
      </w:r>
      <w:bookmarkEnd w:id="1311"/>
    </w:p>
    <w:p>
      <w:r>
        <w:t xml:space="preserve">7.9.2提前竣工的奖励：              /           </w:t>
      </w:r>
      <w:r>
        <w:rPr>
          <w:rFonts w:hint="eastAsia"/>
        </w:rPr>
        <w:t xml:space="preserve"> </w:t>
      </w:r>
      <w:r>
        <w:t xml:space="preserve">   </w:t>
      </w:r>
      <w:r>
        <w:rPr>
          <w:rFonts w:hint="eastAsia"/>
        </w:rPr>
        <w:t xml:space="preserve"> </w:t>
      </w:r>
      <w:r>
        <w:t xml:space="preserve">   。</w:t>
      </w:r>
    </w:p>
    <w:p>
      <w:bookmarkStart w:id="1312" w:name="_Toc351203640"/>
      <w:r>
        <w:t>8. 材料与设备</w:t>
      </w:r>
      <w:bookmarkEnd w:id="1312"/>
    </w:p>
    <w:bookmarkEnd w:id="1248"/>
    <w:bookmarkEnd w:id="1249"/>
    <w:bookmarkEnd w:id="1250"/>
    <w:bookmarkEnd w:id="1251"/>
    <w:bookmarkEnd w:id="1252"/>
    <w:bookmarkEnd w:id="1253"/>
    <w:bookmarkEnd w:id="1254"/>
    <w:bookmarkEnd w:id="1255"/>
    <w:bookmarkEnd w:id="1256"/>
    <w:bookmarkEnd w:id="1257"/>
    <w:p>
      <w:r>
        <w:t>8</w:t>
      </w:r>
      <w:bookmarkStart w:id="1313" w:name="_Toc297120467"/>
      <w:bookmarkStart w:id="1314" w:name="_Toc312677493"/>
      <w:bookmarkStart w:id="1315" w:name="_Toc303539136"/>
      <w:bookmarkStart w:id="1316" w:name="_Toc297216186"/>
      <w:bookmarkStart w:id="1317" w:name="_Toc292559372"/>
      <w:bookmarkStart w:id="1318" w:name="_Toc300934979"/>
      <w:bookmarkStart w:id="1319" w:name="_Toc297123527"/>
      <w:bookmarkStart w:id="1320" w:name="_Toc297048353"/>
      <w:bookmarkStart w:id="1321" w:name="_Toc296891207"/>
      <w:bookmarkStart w:id="1322" w:name="_Toc296347166"/>
      <w:bookmarkStart w:id="1323" w:name="_Toc280868654"/>
      <w:bookmarkStart w:id="1324" w:name="_Toc312678019"/>
      <w:bookmarkStart w:id="1325" w:name="_Toc292559877"/>
      <w:bookmarkStart w:id="1326" w:name="_Toc296503167"/>
      <w:bookmarkStart w:id="1327" w:name="_Toc296890995"/>
      <w:bookmarkStart w:id="1328" w:name="_Toc296944506"/>
      <w:bookmarkStart w:id="1329" w:name="_Toc296346668"/>
      <w:bookmarkStart w:id="1330" w:name="_Toc304295556"/>
      <w:bookmarkStart w:id="1331" w:name="_Toc280868656"/>
      <w:bookmarkStart w:id="1332" w:name="_Toc280868655"/>
      <w:bookmarkStart w:id="1333" w:name="_Toc267251424"/>
      <w:r>
        <w:t>.4材料与工程设备的保管与使用</w:t>
      </w:r>
    </w:p>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r>
        <w:t>8</w:t>
      </w:r>
      <w:bookmarkStart w:id="1334" w:name="_Toc292559373"/>
      <w:bookmarkStart w:id="1335" w:name="_Toc292559878"/>
      <w:bookmarkStart w:id="1336" w:name="_Toc303539137"/>
      <w:bookmarkStart w:id="1337" w:name="_Toc297120468"/>
      <w:bookmarkStart w:id="1338" w:name="_Toc300934980"/>
      <w:bookmarkStart w:id="1339" w:name="_Toc296347167"/>
      <w:bookmarkStart w:id="1340" w:name="_Toc297048354"/>
      <w:bookmarkStart w:id="1341" w:name="_Toc297216187"/>
      <w:bookmarkStart w:id="1342" w:name="_Toc312677494"/>
      <w:bookmarkStart w:id="1343" w:name="_Toc318581173"/>
      <w:bookmarkStart w:id="1344" w:name="_Toc296891208"/>
      <w:bookmarkStart w:id="1345" w:name="_Toc297123528"/>
      <w:bookmarkStart w:id="1346" w:name="_Toc312678020"/>
      <w:bookmarkStart w:id="1347" w:name="_Toc296503168"/>
      <w:bookmarkStart w:id="1348" w:name="_Toc304295557"/>
      <w:bookmarkStart w:id="1349" w:name="_Toc296944507"/>
      <w:bookmarkStart w:id="1350" w:name="_Toc296890996"/>
      <w:bookmarkStart w:id="1351" w:name="_Toc296346669"/>
      <w:r>
        <w:t>.4.1发包人供应的材料设备的保管费用的承担：</w:t>
      </w:r>
      <w:r>
        <w:rPr>
          <w:rFonts w:hint="eastAsia"/>
        </w:rPr>
        <w:t>承包人承担</w:t>
      </w:r>
      <w:r>
        <w:t>。</w:t>
      </w:r>
      <w:bookmarkEnd w:id="1334"/>
      <w:bookmarkEnd w:id="1335"/>
    </w:p>
    <w:p>
      <w:bookmarkStart w:id="1352" w:name="_Toc3900448"/>
      <w:r>
        <w:t>8.6 样品</w:t>
      </w:r>
      <w:bookmarkEnd w:id="1352"/>
    </w:p>
    <w:p>
      <w:r>
        <w:t>8.6.1</w:t>
      </w:r>
      <w:r>
        <w:tab/>
      </w:r>
      <w:r>
        <w:t>样品的报送</w:t>
      </w:r>
      <w:r>
        <w:rPr>
          <w:rFonts w:hint="eastAsia"/>
        </w:rPr>
        <w:t>与封存</w:t>
      </w:r>
    </w:p>
    <w:p>
      <w:r>
        <w:t>需要承包人报送样品的材料或工程设备，样品的种类、名称、规格、数量要求：</w:t>
      </w:r>
      <w:r>
        <w:rPr>
          <w:rFonts w:hint="eastAsia"/>
        </w:rPr>
        <w:t xml:space="preserve"> /</w:t>
      </w:r>
      <w:r>
        <w:t>。</w:t>
      </w:r>
    </w:p>
    <w:p>
      <w:bookmarkStart w:id="1353" w:name="_Toc3900449"/>
      <w:r>
        <w:t>8.8 施工设备和临时设施</w:t>
      </w:r>
      <w:bookmarkEnd w:id="1353"/>
    </w:p>
    <w:p>
      <w:r>
        <w:t>8.8.1 承包人提供的施工设备和临时设施</w:t>
      </w:r>
    </w:p>
    <w:p>
      <w:r>
        <w:t>关于修建临时设施费用承担的约定：</w:t>
      </w:r>
      <w:r>
        <w:rPr>
          <w:rFonts w:hint="eastAsia"/>
        </w:rPr>
        <w:t>承包人承担</w:t>
      </w:r>
      <w:r>
        <w:t>。</w:t>
      </w:r>
    </w:p>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bookmarkStart w:id="1354" w:name="_Toc351203641"/>
      <w:r>
        <w:t>9</w:t>
      </w:r>
      <w:bookmarkEnd w:id="1331"/>
      <w:bookmarkEnd w:id="1332"/>
      <w:bookmarkEnd w:id="1333"/>
      <w:bookmarkStart w:id="1355" w:name="_Toc304295559"/>
      <w:bookmarkStart w:id="1356" w:name="_Toc297216192"/>
      <w:bookmarkStart w:id="1357" w:name="_Toc312677495"/>
      <w:bookmarkStart w:id="1358" w:name="_Toc297123533"/>
      <w:bookmarkStart w:id="1359" w:name="_Toc303539139"/>
      <w:bookmarkStart w:id="1360" w:name="_Toc312678021"/>
      <w:bookmarkStart w:id="1361" w:name="_Toc300934982"/>
      <w:bookmarkStart w:id="1362" w:name="_Toc296944512"/>
      <w:bookmarkStart w:id="1363" w:name="_Toc296346674"/>
      <w:bookmarkStart w:id="1364" w:name="_Toc296891213"/>
      <w:bookmarkStart w:id="1365" w:name="_Toc297120473"/>
      <w:bookmarkStart w:id="1366" w:name="_Toc296891001"/>
      <w:bookmarkStart w:id="1367" w:name="_Toc296503173"/>
      <w:bookmarkStart w:id="1368" w:name="_Toc292559378"/>
      <w:bookmarkStart w:id="1369" w:name="_Toc267251427"/>
      <w:bookmarkStart w:id="1370" w:name="_Toc296347172"/>
      <w:bookmarkStart w:id="1371" w:name="_Toc292559883"/>
      <w:bookmarkStart w:id="1372" w:name="_Toc267251428"/>
      <w:bookmarkStart w:id="1373" w:name="_Toc297048359"/>
      <w:r>
        <w:t>. 试验与检验</w:t>
      </w:r>
      <w:bookmarkEnd w:id="1354"/>
    </w:p>
    <w:bookmarkEnd w:id="1355"/>
    <w:bookmarkEnd w:id="1356"/>
    <w:bookmarkEnd w:id="1357"/>
    <w:bookmarkEnd w:id="1358"/>
    <w:bookmarkEnd w:id="1359"/>
    <w:bookmarkEnd w:id="1360"/>
    <w:bookmarkEnd w:id="1361"/>
    <w:p>
      <w:r>
        <w:t>9</w:t>
      </w:r>
      <w:bookmarkStart w:id="1374" w:name="_Toc297216193"/>
      <w:bookmarkStart w:id="1375" w:name="_Toc312678022"/>
      <w:bookmarkStart w:id="1376" w:name="_Toc300934983"/>
      <w:bookmarkStart w:id="1377" w:name="_Toc312677496"/>
      <w:bookmarkStart w:id="1378" w:name="_Toc303539140"/>
      <w:bookmarkStart w:id="1379" w:name="_Toc304295560"/>
      <w:bookmarkStart w:id="1380" w:name="_Toc297123534"/>
      <w:r>
        <w:t>.1试验设备与试验人员</w:t>
      </w:r>
    </w:p>
    <w:bookmarkEnd w:id="1374"/>
    <w:bookmarkEnd w:id="1375"/>
    <w:bookmarkEnd w:id="1376"/>
    <w:bookmarkEnd w:id="1377"/>
    <w:bookmarkEnd w:id="1378"/>
    <w:bookmarkEnd w:id="1379"/>
    <w:bookmarkEnd w:id="1380"/>
    <w:p>
      <w:r>
        <w:t>9</w:t>
      </w:r>
      <w:bookmarkStart w:id="1381" w:name="_Toc312678023"/>
      <w:bookmarkStart w:id="1382" w:name="_Toc303539141"/>
      <w:bookmarkStart w:id="1383" w:name="_Toc312677497"/>
      <w:bookmarkStart w:id="1384" w:name="_Toc297123535"/>
      <w:bookmarkStart w:id="1385" w:name="_Toc300934984"/>
      <w:bookmarkStart w:id="1386" w:name="_Toc297216194"/>
      <w:bookmarkStart w:id="1387" w:name="_Toc304295561"/>
      <w:bookmarkStart w:id="1388" w:name="_Toc318581174"/>
      <w:r>
        <w:t>.1.2 试验设备</w:t>
      </w:r>
    </w:p>
    <w:p>
      <w:r>
        <w:t>施工现场需要配置的试验场所：</w:t>
      </w:r>
      <w:bookmarkEnd w:id="1381"/>
      <w:bookmarkEnd w:id="1382"/>
      <w:bookmarkEnd w:id="1383"/>
      <w:bookmarkEnd w:id="1384"/>
      <w:bookmarkEnd w:id="1385"/>
      <w:bookmarkEnd w:id="1386"/>
      <w:bookmarkEnd w:id="1387"/>
      <w:bookmarkStart w:id="1389" w:name="_Toc300934985"/>
      <w:bookmarkStart w:id="1390" w:name="_Toc303539142"/>
      <w:bookmarkStart w:id="1391" w:name="_Toc312677498"/>
      <w:bookmarkStart w:id="1392" w:name="_Toc312678024"/>
      <w:bookmarkStart w:id="1393" w:name="_Toc304295562"/>
      <w:bookmarkStart w:id="1394" w:name="_Toc297216195"/>
      <w:bookmarkStart w:id="1395" w:name="_Toc297123536"/>
      <w:r>
        <w:rPr>
          <w:rFonts w:hint="eastAsia"/>
        </w:rPr>
        <w:t xml:space="preserve">            </w:t>
      </w:r>
      <w:r>
        <w:t>/</w:t>
      </w:r>
      <w:r>
        <w:rPr>
          <w:rFonts w:hint="eastAsia"/>
        </w:rPr>
        <w:t xml:space="preserve">             </w:t>
      </w:r>
      <w:r>
        <w:t xml:space="preserve">  。</w:t>
      </w:r>
      <w:r>
        <w:rPr>
          <w:rFonts w:hint="eastAsia"/>
        </w:rPr>
        <w:t xml:space="preserve"> </w:t>
      </w:r>
    </w:p>
    <w:p>
      <w:r>
        <w:t>施工现场需要配备的试验设备：</w:t>
      </w:r>
      <w:r>
        <w:rPr>
          <w:rFonts w:hint="eastAsia"/>
        </w:rPr>
        <w:t xml:space="preserve">            </w:t>
      </w:r>
      <w:r>
        <w:t>/</w:t>
      </w:r>
      <w:r>
        <w:rPr>
          <w:rFonts w:hint="eastAsia"/>
        </w:rPr>
        <w:t xml:space="preserve">              </w:t>
      </w:r>
      <w:r>
        <w:t xml:space="preserve"> 。</w:t>
      </w:r>
    </w:p>
    <w:p>
      <w:r>
        <w:t xml:space="preserve">施工现场需要具备的其他试验条件：         /     </w:t>
      </w:r>
      <w:r>
        <w:rPr>
          <w:rFonts w:hint="eastAsia"/>
        </w:rPr>
        <w:t xml:space="preserve"> </w:t>
      </w:r>
      <w:r>
        <w:t xml:space="preserve"> </w:t>
      </w:r>
      <w:r>
        <w:rPr>
          <w:rFonts w:hint="eastAsia"/>
        </w:rPr>
        <w:t xml:space="preserve"> </w:t>
      </w:r>
      <w:r>
        <w:t xml:space="preserve">      。</w:t>
      </w:r>
    </w:p>
    <w:p>
      <w:bookmarkStart w:id="1396" w:name="_Toc3900450"/>
      <w:r>
        <w:t>9.4 现场工艺试验</w:t>
      </w:r>
      <w:bookmarkEnd w:id="1396"/>
      <w:r>
        <w:rPr>
          <w:rFonts w:hint="eastAsia"/>
        </w:rPr>
        <w:t xml:space="preserve"> </w:t>
      </w:r>
    </w:p>
    <w:p>
      <w:r>
        <w:t xml:space="preserve">现场工艺试验的有关约定：             / </w:t>
      </w:r>
      <w:r>
        <w:rPr>
          <w:rFonts w:hint="eastAsia"/>
        </w:rPr>
        <w:t xml:space="preserve">         </w:t>
      </w:r>
      <w:r>
        <w:t xml:space="preserve">       。</w:t>
      </w:r>
    </w:p>
    <w:bookmarkEnd w:id="1388"/>
    <w:bookmarkEnd w:id="1389"/>
    <w:bookmarkEnd w:id="1390"/>
    <w:bookmarkEnd w:id="1391"/>
    <w:bookmarkEnd w:id="1392"/>
    <w:bookmarkEnd w:id="1393"/>
    <w:bookmarkEnd w:id="1394"/>
    <w:bookmarkEnd w:id="1395"/>
    <w:p>
      <w:bookmarkStart w:id="1397" w:name="_Toc351203642"/>
      <w:r>
        <w:t>1</w:t>
      </w:r>
      <w:bookmarkEnd w:id="1362"/>
      <w:bookmarkEnd w:id="1363"/>
      <w:bookmarkEnd w:id="1364"/>
      <w:bookmarkEnd w:id="1365"/>
      <w:bookmarkEnd w:id="1366"/>
      <w:bookmarkEnd w:id="1367"/>
      <w:bookmarkEnd w:id="1368"/>
      <w:bookmarkEnd w:id="1369"/>
      <w:bookmarkEnd w:id="1370"/>
      <w:bookmarkEnd w:id="1371"/>
      <w:bookmarkEnd w:id="1372"/>
      <w:bookmarkEnd w:id="1373"/>
      <w:bookmarkStart w:id="1398" w:name="_Toc296347192"/>
      <w:bookmarkStart w:id="1399" w:name="_Toc303539146"/>
      <w:bookmarkStart w:id="1400" w:name="_Toc296891233"/>
      <w:bookmarkStart w:id="1401" w:name="_Toc296503193"/>
      <w:bookmarkStart w:id="1402" w:name="_Toc297216199"/>
      <w:bookmarkStart w:id="1403" w:name="_Toc297120493"/>
      <w:bookmarkStart w:id="1404" w:name="_Toc304295566"/>
      <w:bookmarkStart w:id="1405" w:name="_Toc296346694"/>
      <w:bookmarkStart w:id="1406" w:name="_Toc300934989"/>
      <w:bookmarkStart w:id="1407" w:name="_Toc297048379"/>
      <w:bookmarkStart w:id="1408" w:name="_Toc292559398"/>
      <w:bookmarkStart w:id="1409" w:name="_Toc296891021"/>
      <w:bookmarkStart w:id="1410" w:name="_Toc297123540"/>
      <w:bookmarkStart w:id="1411" w:name="_Toc296944532"/>
      <w:bookmarkStart w:id="1412" w:name="_Toc292559903"/>
      <w:bookmarkStart w:id="1413" w:name="_Toc312678025"/>
      <w:bookmarkStart w:id="1414" w:name="_Toc312677499"/>
      <w:bookmarkStart w:id="1415" w:name="_Toc267251439"/>
      <w:bookmarkStart w:id="1416" w:name="_Toc267251437"/>
      <w:bookmarkStart w:id="1417" w:name="_Toc267251435"/>
      <w:bookmarkStart w:id="1418" w:name="_Toc267251440"/>
      <w:bookmarkStart w:id="1419" w:name="_Toc267251433"/>
      <w:bookmarkStart w:id="1420" w:name="_Toc267251441"/>
      <w:bookmarkStart w:id="1421" w:name="_Toc267251442"/>
      <w:r>
        <w:t>0. 变更</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bookmarkEnd w:id="1413"/>
    <w:bookmarkEnd w:id="1414"/>
    <w:p>
      <w:r>
        <w:t>1</w:t>
      </w:r>
      <w:bookmarkStart w:id="1422" w:name="_Toc312677500"/>
      <w:bookmarkStart w:id="1423" w:name="_Toc303539147"/>
      <w:bookmarkStart w:id="1424" w:name="_Toc296347193"/>
      <w:bookmarkStart w:id="1425" w:name="_Toc297048380"/>
      <w:bookmarkStart w:id="1426" w:name="_Toc296503194"/>
      <w:bookmarkStart w:id="1427" w:name="_Toc297216200"/>
      <w:bookmarkStart w:id="1428" w:name="_Toc296891022"/>
      <w:bookmarkStart w:id="1429" w:name="_Toc304295567"/>
      <w:bookmarkStart w:id="1430" w:name="_Toc296891234"/>
      <w:bookmarkStart w:id="1431" w:name="_Toc300934990"/>
      <w:bookmarkStart w:id="1432" w:name="_Toc312678026"/>
      <w:bookmarkStart w:id="1433" w:name="_Toc297120494"/>
      <w:bookmarkStart w:id="1434" w:name="_Toc292559399"/>
      <w:bookmarkStart w:id="1435" w:name="_Toc292559904"/>
      <w:bookmarkStart w:id="1436" w:name="_Toc296944533"/>
      <w:bookmarkStart w:id="1437" w:name="_Toc296346695"/>
      <w:bookmarkStart w:id="1438" w:name="_Toc297123541"/>
      <w:r>
        <w:t>0.1变更的范围</w:t>
      </w:r>
    </w:p>
    <w:p>
      <w:r>
        <w:t xml:space="preserve">关于变更的范围的约定： </w:t>
      </w:r>
      <w:r>
        <w:rPr>
          <w:rFonts w:hint="eastAsia"/>
        </w:rPr>
        <w:t>按照发包人需求可对施工范围内或与施工有关的配套、影响工程使用的相关标准或内容进行变更</w:t>
      </w:r>
      <w:r>
        <w:t xml:space="preserve"> 。</w:t>
      </w:r>
    </w:p>
    <w:p>
      <w:bookmarkStart w:id="1439" w:name="_Toc3900451"/>
      <w:r>
        <w:t>10.4 变更估价</w:t>
      </w:r>
      <w:bookmarkEnd w:id="1439"/>
    </w:p>
    <w:p>
      <w:r>
        <w:rPr>
          <w:rFonts w:hint="eastAsia"/>
        </w:rPr>
        <w:t>10.4.1 变更估价原则</w:t>
      </w:r>
    </w:p>
    <w:p>
      <w:r>
        <w:t xml:space="preserve">关于变更估价的约定: </w:t>
      </w:r>
      <w:r>
        <w:rPr>
          <w:rFonts w:hint="eastAsia"/>
        </w:rPr>
        <w:t>（1）已标价工程量清单中有适用于变更工作的子目的，采用该子目的单价。（2）已标价工程量清单中无适用于变更工作的子目，但有类似子目的，可在合理范围内参照类似子目的单价，由监理人商定或确定变更工作的单价。（3）已标价工程量清单中无适用或类似子目的单价，可按照北京市《房屋修缮工程工程量计算标准》（DB11/T 638-2023）、2021年《北京市建设工程计价依据——预算消耗量标准》和《北京市房屋修缮工程计价依据——预算消耗量标准》的有关规定执行，材料价格参考施工期的《北京工程造价息》，造价信息价格缺项时，应以发包人、承包人共同确认的市场价格为依据确定。（4）变更若无法按图纸计算，应及时办理现场签证，三方确认工程量，以避免结算无法确认工程造价。如无工程量确认单，则结算不予调整</w:t>
      </w:r>
      <w:r>
        <w:t>。</w:t>
      </w:r>
    </w:p>
    <w:p>
      <w:r>
        <w:t>1</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Start w:id="1440" w:name="_Toc297120497"/>
      <w:bookmarkStart w:id="1441" w:name="_Toc292559907"/>
      <w:bookmarkStart w:id="1442" w:name="_Toc296891025"/>
      <w:bookmarkStart w:id="1443" w:name="_Toc292559402"/>
      <w:bookmarkStart w:id="1444" w:name="_Toc297048383"/>
      <w:bookmarkStart w:id="1445" w:name="_Toc300934993"/>
      <w:bookmarkStart w:id="1446" w:name="_Toc296503197"/>
      <w:bookmarkStart w:id="1447" w:name="_Toc303539150"/>
      <w:bookmarkStart w:id="1448" w:name="_Toc297216203"/>
      <w:bookmarkStart w:id="1449" w:name="_Toc296347196"/>
      <w:bookmarkStart w:id="1450" w:name="_Toc296346698"/>
      <w:bookmarkStart w:id="1451" w:name="_Toc296891237"/>
      <w:bookmarkStart w:id="1452" w:name="_Toc296944536"/>
      <w:bookmarkStart w:id="1453" w:name="_Toc297123544"/>
      <w:bookmarkStart w:id="1454" w:name="_Toc304295570"/>
      <w:bookmarkStart w:id="1455" w:name="_Toc312678029"/>
      <w:bookmarkStart w:id="1456" w:name="_Toc312677503"/>
      <w:r>
        <w:t>0.5承</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Start w:id="1457" w:name="_Toc297120503"/>
      <w:bookmarkStart w:id="1458" w:name="_Toc292559913"/>
      <w:bookmarkStart w:id="1459" w:name="_Toc297216204"/>
      <w:bookmarkStart w:id="1460" w:name="_Toc296503203"/>
      <w:bookmarkStart w:id="1461" w:name="_Toc296891031"/>
      <w:bookmarkStart w:id="1462" w:name="_Toc300934994"/>
      <w:bookmarkStart w:id="1463" w:name="_Toc303539151"/>
      <w:bookmarkStart w:id="1464" w:name="_Toc292559408"/>
      <w:bookmarkStart w:id="1465" w:name="_Toc297123545"/>
      <w:bookmarkStart w:id="1466" w:name="_Toc296346704"/>
      <w:bookmarkStart w:id="1467" w:name="_Toc296944542"/>
      <w:bookmarkStart w:id="1468" w:name="_Toc296891243"/>
      <w:bookmarkStart w:id="1469" w:name="_Toc297048389"/>
      <w:bookmarkStart w:id="1470" w:name="_Toc296347202"/>
      <w:r>
        <w:t>包人的合理化建议</w:t>
      </w:r>
    </w:p>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r>
        <w:t xml:space="preserve">监理人审查承包人合理化建议的期限：     </w:t>
      </w:r>
      <w:r>
        <w:rPr>
          <w:rFonts w:hint="eastAsia"/>
        </w:rPr>
        <w:t xml:space="preserve"> </w:t>
      </w:r>
      <w:r>
        <w:t xml:space="preserve">    / </w:t>
      </w:r>
      <w:r>
        <w:rPr>
          <w:rFonts w:hint="eastAsia"/>
        </w:rPr>
        <w:t xml:space="preserve">  </w:t>
      </w:r>
      <w:r>
        <w:t xml:space="preserve"> </w:t>
      </w:r>
      <w:r>
        <w:rPr>
          <w:rFonts w:hint="eastAsia"/>
        </w:rPr>
        <w:t xml:space="preserve"> </w:t>
      </w:r>
      <w:r>
        <w:t xml:space="preserve">     。</w:t>
      </w:r>
    </w:p>
    <w:p>
      <w:r>
        <w:t xml:space="preserve">发包人审批承包人合理化建议的期限：     </w:t>
      </w:r>
      <w:r>
        <w:rPr>
          <w:rFonts w:hint="eastAsia"/>
        </w:rPr>
        <w:t xml:space="preserve">  </w:t>
      </w:r>
      <w:r>
        <w:t xml:space="preserve">   /  </w:t>
      </w:r>
      <w:r>
        <w:rPr>
          <w:rFonts w:hint="eastAsia"/>
        </w:rPr>
        <w:t xml:space="preserve">  </w:t>
      </w:r>
      <w:r>
        <w:t xml:space="preserve">      。</w:t>
      </w:r>
    </w:p>
    <w:p>
      <w:r>
        <w:t>承</w:t>
      </w:r>
      <w:bookmarkStart w:id="1471" w:name="_Toc297216205"/>
      <w:bookmarkStart w:id="1472" w:name="_Toc303539152"/>
      <w:bookmarkStart w:id="1473" w:name="_Toc296891244"/>
      <w:bookmarkStart w:id="1474" w:name="_Toc297120504"/>
      <w:bookmarkStart w:id="1475" w:name="_Toc292559914"/>
      <w:bookmarkStart w:id="1476" w:name="_Toc296944543"/>
      <w:bookmarkStart w:id="1477" w:name="_Toc297048390"/>
      <w:bookmarkStart w:id="1478" w:name="_Toc296503204"/>
      <w:bookmarkStart w:id="1479" w:name="_Toc297123546"/>
      <w:bookmarkStart w:id="1480" w:name="_Toc318581175"/>
      <w:bookmarkStart w:id="1481" w:name="_Toc312677504"/>
      <w:bookmarkStart w:id="1482" w:name="_Toc300934995"/>
      <w:bookmarkStart w:id="1483" w:name="_Toc312678030"/>
      <w:bookmarkStart w:id="1484" w:name="_Toc296346705"/>
      <w:bookmarkStart w:id="1485" w:name="_Toc304295571"/>
      <w:bookmarkStart w:id="1486" w:name="_Toc292559409"/>
      <w:bookmarkStart w:id="1487" w:name="_Toc296891032"/>
      <w:bookmarkStart w:id="1488" w:name="_Toc296347203"/>
      <w:r>
        <w:t>包人提出的合理化建议降低了合同价格或者提高了工程经济效益的奖励的方法和金额为：</w:t>
      </w:r>
      <w:r>
        <w:rPr>
          <w:rFonts w:hint="eastAsia"/>
        </w:rPr>
        <w:t>无</w:t>
      </w:r>
      <w:r>
        <w:t xml:space="preserve"> 。</w:t>
      </w:r>
    </w:p>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bookmarkStart w:id="1489" w:name="_Toc3900452"/>
      <w:r>
        <w:t>1</w:t>
      </w:r>
      <w:bookmarkStart w:id="1490" w:name="_Toc303539154"/>
      <w:bookmarkStart w:id="1491" w:name="_Toc296891239"/>
      <w:bookmarkStart w:id="1492" w:name="_Toc312678033"/>
      <w:bookmarkStart w:id="1493" w:name="_Toc292559404"/>
      <w:bookmarkStart w:id="1494" w:name="_Toc297216207"/>
      <w:bookmarkStart w:id="1495" w:name="_Toc296944538"/>
      <w:bookmarkStart w:id="1496" w:name="_Toc312677507"/>
      <w:bookmarkStart w:id="1497" w:name="_Toc292559909"/>
      <w:bookmarkStart w:id="1498" w:name="_Toc300934997"/>
      <w:bookmarkStart w:id="1499" w:name="_Toc296891027"/>
      <w:bookmarkStart w:id="1500" w:name="_Toc296503199"/>
      <w:bookmarkStart w:id="1501" w:name="_Toc296346700"/>
      <w:bookmarkStart w:id="1502" w:name="_Toc297048385"/>
      <w:bookmarkStart w:id="1503" w:name="_Toc297123548"/>
      <w:bookmarkStart w:id="1504" w:name="_Toc297120499"/>
      <w:bookmarkStart w:id="1505" w:name="_Toc304295574"/>
      <w:bookmarkStart w:id="1506" w:name="_Toc296347198"/>
      <w:r>
        <w:t>0.7 暂估价</w:t>
      </w:r>
      <w:bookmarkEnd w:id="1489"/>
    </w:p>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r>
        <w:t>1</w:t>
      </w:r>
      <w:bookmarkStart w:id="1507" w:name="_Toc312678035"/>
      <w:bookmarkStart w:id="1508" w:name="_Toc318581177"/>
      <w:bookmarkStart w:id="1509" w:name="_Toc312677509"/>
      <w:r>
        <w:t>0.7.1 依法必须招标的暂估价项目</w:t>
      </w:r>
    </w:p>
    <w:bookmarkEnd w:id="1507"/>
    <w:bookmarkEnd w:id="1508"/>
    <w:bookmarkEnd w:id="1509"/>
    <w:p>
      <w:r>
        <w:t xml:space="preserve">对于依法必须招标的暂估价项目的确认和批准采取第  </w:t>
      </w:r>
      <w:r>
        <w:rPr>
          <w:rFonts w:hint="eastAsia"/>
        </w:rPr>
        <w:t>/</w:t>
      </w:r>
      <w:r>
        <w:t xml:space="preserve">  种方式确定。</w:t>
      </w:r>
    </w:p>
    <w:p>
      <w:r>
        <w:t>10.7.2 不属于依法必须招标的暂估价项目</w:t>
      </w:r>
    </w:p>
    <w:p>
      <w:r>
        <w:t xml:space="preserve">对于不属于依法必须招标的暂估价项目的确认和批准采取第  </w:t>
      </w:r>
      <w:r>
        <w:rPr>
          <w:rFonts w:hint="eastAsia"/>
        </w:rPr>
        <w:t>/</w:t>
      </w:r>
      <w:r>
        <w:t xml:space="preserve">  种方式确定。</w:t>
      </w:r>
    </w:p>
    <w:p>
      <w:r>
        <w:t>第3种方式：承包人直接实施的暂估价项目</w:t>
      </w:r>
    </w:p>
    <w:p>
      <w:r>
        <w:t xml:space="preserve">承包人直接实施的暂估价项目的约定：         </w:t>
      </w:r>
      <w:r>
        <w:rPr>
          <w:rFonts w:hint="eastAsia"/>
        </w:rPr>
        <w:t>/</w:t>
      </w:r>
      <w:r>
        <w:t xml:space="preserve">            。</w:t>
      </w:r>
    </w:p>
    <w:p>
      <w:r>
        <w:t>10.8 暂列金额</w:t>
      </w:r>
    </w:p>
    <w:p>
      <w:r>
        <w:rPr>
          <w:rFonts w:hint="eastAsia"/>
        </w:rPr>
        <w:t>合同当事人关于暂列金额使用的约定：</w:t>
      </w:r>
      <w:r>
        <w:t xml:space="preserve">         </w:t>
      </w:r>
      <w:r>
        <w:rPr>
          <w:rFonts w:hint="eastAsia"/>
        </w:rPr>
        <w:t>/</w:t>
      </w:r>
      <w:r>
        <w:t xml:space="preserve">      </w:t>
      </w:r>
      <w:r>
        <w:rPr>
          <w:rFonts w:hint="eastAsia"/>
        </w:rPr>
        <w:t xml:space="preserve">      。</w:t>
      </w:r>
    </w:p>
    <w:p>
      <w:bookmarkStart w:id="1510" w:name="_Toc351203643"/>
      <w:r>
        <w:t>11. 价格调整</w:t>
      </w:r>
      <w:bookmarkEnd w:id="1510"/>
    </w:p>
    <w:p>
      <w:bookmarkStart w:id="1511" w:name="_Toc296346702"/>
      <w:bookmarkStart w:id="1512" w:name="_Toc297120501"/>
      <w:bookmarkStart w:id="1513" w:name="_Toc292559406"/>
      <w:bookmarkStart w:id="1514" w:name="_Toc296891241"/>
      <w:bookmarkStart w:id="1515" w:name="_Toc312678039"/>
      <w:bookmarkStart w:id="1516" w:name="_Toc304295577"/>
      <w:bookmarkStart w:id="1517" w:name="_Toc303539157"/>
      <w:bookmarkStart w:id="1518" w:name="_Toc296891029"/>
      <w:bookmarkStart w:id="1519" w:name="_Toc296503201"/>
      <w:bookmarkStart w:id="1520" w:name="_Toc292559911"/>
      <w:bookmarkStart w:id="1521" w:name="_Toc297048387"/>
      <w:bookmarkStart w:id="1522" w:name="_Toc297123550"/>
      <w:bookmarkStart w:id="1523" w:name="_Toc297216209"/>
      <w:bookmarkStart w:id="1524" w:name="_Toc296944540"/>
      <w:bookmarkStart w:id="1525" w:name="_Toc296347200"/>
      <w:bookmarkStart w:id="1526" w:name="_Toc300935000"/>
      <w:r>
        <w:t>11.1 市场价格波动引起的调整</w:t>
      </w:r>
    </w:p>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r>
        <w:t xml:space="preserve">市场价格波动是否调整合同价格的约定：     </w:t>
      </w:r>
      <w:r>
        <w:rPr>
          <w:rFonts w:hint="eastAsia"/>
        </w:rPr>
        <w:t>否</w:t>
      </w:r>
      <w:r>
        <w:t xml:space="preserve">    。</w:t>
      </w:r>
    </w:p>
    <w:p>
      <w:r>
        <w:t xml:space="preserve">因市场价格波动调整合同价格，采用以下第 </w:t>
      </w:r>
      <w:r>
        <w:rPr>
          <w:rFonts w:hint="eastAsia"/>
        </w:rPr>
        <w:t>/</w:t>
      </w:r>
      <w:r>
        <w:t xml:space="preserve">  种方式对合同价格进行调整：</w:t>
      </w:r>
    </w:p>
    <w:p>
      <w:r>
        <w:t>第1种方式：采用价格指数</w:t>
      </w:r>
      <w:r>
        <w:rPr>
          <w:rFonts w:hint="eastAsia"/>
        </w:rPr>
        <w:t>进行价格</w:t>
      </w:r>
      <w:r>
        <w:t>调整。</w:t>
      </w:r>
    </w:p>
    <w:p>
      <w:r>
        <w:t xml:space="preserve">关于各可调因子、定值和变值权重，以及基本价格指数及其来源的约定：        </w:t>
      </w:r>
      <w:r>
        <w:rPr>
          <w:rFonts w:hint="eastAsia"/>
        </w:rPr>
        <w:t>/</w:t>
      </w:r>
      <w:r>
        <w:t xml:space="preserve">       ；  </w:t>
      </w:r>
    </w:p>
    <w:p>
      <w:r>
        <w:t>第2种方式：采用造价信息</w:t>
      </w:r>
      <w:r>
        <w:rPr>
          <w:rFonts w:hint="eastAsia"/>
        </w:rPr>
        <w:t>进行价格</w:t>
      </w:r>
      <w:r>
        <w:t>调整。</w:t>
      </w:r>
    </w:p>
    <w:p>
      <w:r>
        <w:t xml:space="preserve">（2）关于基准价格的约定：        </w:t>
      </w:r>
      <w:r>
        <w:rPr>
          <w:rFonts w:hint="eastAsia"/>
        </w:rPr>
        <w:t>/</w:t>
      </w:r>
      <w:r>
        <w:t xml:space="preserve">          。</w:t>
      </w:r>
    </w:p>
    <w:p>
      <w:r>
        <w:t>专用合同条款</w:t>
      </w:r>
      <w:r>
        <w:rPr>
          <w:rFonts w:hint="eastAsia"/>
        </w:rPr>
        <w:t>①</w:t>
      </w:r>
      <w:r>
        <w:t>承包人在已标价工程量清单或预算书中载明的材料单价低于基准价格的：专用合同条款合同履行期间材料单价涨幅以基准价格为基础超过 /  %时，或材料单价跌幅以已标价工程量清单或预算书中载明材料单价为基础超过 /  %时，其超过部分据实调整。</w:t>
      </w:r>
    </w:p>
    <w:p>
      <w:r>
        <w:rPr>
          <w:rFonts w:hint="eastAsia"/>
        </w:rPr>
        <w:t>②</w:t>
      </w:r>
      <w:r>
        <w:t>承包人在已标价工程量清单或预算书中载明的材料单价高于基准价格的：专用合同条款合同履行期间材料单价跌幅以基准价格为基础超过  / %时，材料单价涨幅以已标价工程量清单或预算书中载明材料单价为基础超过 /  %时，其超过部分据实调整。</w:t>
      </w:r>
    </w:p>
    <w:p>
      <w:r>
        <w:rPr>
          <w:rFonts w:hint="eastAsia"/>
        </w:rPr>
        <w:t>③</w:t>
      </w:r>
      <w:r>
        <w:t>承包人在已标价工程量清单或预算书中载明的材料单价等于基准单价的：专用合同条款合同履行期间材料单价涨跌幅以基准单价为基础超过± /  %时，其超过部分据实调整。</w:t>
      </w:r>
    </w:p>
    <w:p>
      <w:r>
        <w:t xml:space="preserve">第3种方式：其他价格调整方式：       </w:t>
      </w:r>
      <w:r>
        <w:rPr>
          <w:rFonts w:hint="eastAsia"/>
        </w:rPr>
        <w:t>/</w:t>
      </w:r>
      <w:r>
        <w:t xml:space="preserve">          。</w:t>
      </w:r>
    </w:p>
    <w:bookmarkEnd w:id="1415"/>
    <w:bookmarkEnd w:id="1416"/>
    <w:bookmarkEnd w:id="1417"/>
    <w:bookmarkEnd w:id="1418"/>
    <w:bookmarkEnd w:id="1419"/>
    <w:bookmarkEnd w:id="1420"/>
    <w:p>
      <w:bookmarkStart w:id="1527" w:name="_Toc297048391"/>
      <w:bookmarkStart w:id="1528" w:name="_Toc292559410"/>
      <w:bookmarkStart w:id="1529" w:name="_Toc292559915"/>
      <w:bookmarkStart w:id="1530" w:name="_Toc296891245"/>
      <w:bookmarkStart w:id="1531" w:name="_Toc296891033"/>
      <w:bookmarkStart w:id="1532" w:name="_Toc296944544"/>
      <w:bookmarkStart w:id="1533" w:name="_Toc297120505"/>
      <w:bookmarkStart w:id="1534" w:name="_Toc296347204"/>
      <w:bookmarkStart w:id="1535" w:name="_Toc296346706"/>
      <w:bookmarkStart w:id="1536" w:name="_Toc296503205"/>
      <w:bookmarkStart w:id="1537" w:name="_Toc351203644"/>
      <w:bookmarkStart w:id="1538" w:name="_Toc300935002"/>
      <w:bookmarkStart w:id="1539" w:name="_Toc312678040"/>
      <w:bookmarkStart w:id="1540" w:name="_Toc303539159"/>
      <w:bookmarkStart w:id="1541" w:name="_Toc297123552"/>
      <w:bookmarkStart w:id="1542" w:name="_Toc304295579"/>
      <w:bookmarkStart w:id="1543" w:name="_Toc297216211"/>
      <w:r>
        <w:t xml:space="preserve">12. </w:t>
      </w:r>
      <w:bookmarkEnd w:id="1527"/>
      <w:bookmarkEnd w:id="1528"/>
      <w:bookmarkEnd w:id="1529"/>
      <w:bookmarkEnd w:id="1530"/>
      <w:bookmarkEnd w:id="1531"/>
      <w:bookmarkEnd w:id="1532"/>
      <w:bookmarkEnd w:id="1533"/>
      <w:bookmarkEnd w:id="1534"/>
      <w:bookmarkEnd w:id="1535"/>
      <w:bookmarkEnd w:id="1536"/>
      <w:r>
        <w:t>合同价格、计量与支付</w:t>
      </w:r>
      <w:bookmarkEnd w:id="1537"/>
    </w:p>
    <w:bookmarkEnd w:id="1538"/>
    <w:bookmarkEnd w:id="1539"/>
    <w:bookmarkEnd w:id="1540"/>
    <w:bookmarkEnd w:id="1541"/>
    <w:bookmarkEnd w:id="1542"/>
    <w:bookmarkEnd w:id="1543"/>
    <w:p>
      <w:bookmarkStart w:id="1544" w:name="_Toc267251461"/>
      <w:bookmarkStart w:id="1545" w:name="_Toc292559916"/>
      <w:bookmarkStart w:id="1546" w:name="_Toc292559411"/>
      <w:bookmarkStart w:id="1547" w:name="_Toc296503206"/>
      <w:bookmarkStart w:id="1548" w:name="_Toc296346707"/>
      <w:bookmarkStart w:id="1549" w:name="_Toc296891246"/>
      <w:bookmarkStart w:id="1550" w:name="_Toc297120506"/>
      <w:bookmarkStart w:id="1551" w:name="_Toc297048392"/>
      <w:bookmarkStart w:id="1552" w:name="_Toc296891034"/>
      <w:bookmarkStart w:id="1553" w:name="_Toc296944545"/>
      <w:bookmarkStart w:id="1554" w:name="_Toc296347205"/>
      <w:bookmarkStart w:id="1555" w:name="_Toc297216212"/>
      <w:bookmarkStart w:id="1556" w:name="_Toc304295580"/>
      <w:bookmarkStart w:id="1557" w:name="_Toc303539160"/>
      <w:bookmarkStart w:id="1558" w:name="_Toc297123553"/>
      <w:bookmarkStart w:id="1559" w:name="_Toc312678041"/>
      <w:bookmarkStart w:id="1560" w:name="_Toc300935003"/>
      <w:r>
        <w:t>12.1 合</w:t>
      </w:r>
      <w:bookmarkEnd w:id="1544"/>
      <w:bookmarkEnd w:id="1545"/>
      <w:bookmarkEnd w:id="1546"/>
      <w:r>
        <w:t>同价</w:t>
      </w:r>
      <w:bookmarkEnd w:id="1547"/>
      <w:bookmarkEnd w:id="1548"/>
      <w:bookmarkEnd w:id="1549"/>
      <w:bookmarkEnd w:id="1550"/>
      <w:bookmarkEnd w:id="1551"/>
      <w:bookmarkEnd w:id="1552"/>
      <w:bookmarkEnd w:id="1553"/>
      <w:bookmarkEnd w:id="1554"/>
      <w:r>
        <w:t>格形式</w:t>
      </w:r>
    </w:p>
    <w:bookmarkEnd w:id="1555"/>
    <w:bookmarkEnd w:id="1556"/>
    <w:bookmarkEnd w:id="1557"/>
    <w:bookmarkEnd w:id="1558"/>
    <w:bookmarkEnd w:id="1559"/>
    <w:bookmarkEnd w:id="1560"/>
    <w:p>
      <w:r>
        <w:t>1、单价合同。</w:t>
      </w:r>
    </w:p>
    <w:p>
      <w:r>
        <w:t>综合单价包含的风险范围：               /                。</w:t>
      </w:r>
    </w:p>
    <w:p>
      <w:r>
        <w:t xml:space="preserve">风险费用的计算方法：                   /             </w:t>
      </w:r>
      <w:r>
        <w:rPr>
          <w:rFonts w:hint="eastAsia"/>
        </w:rPr>
        <w:t xml:space="preserve"> </w:t>
      </w:r>
      <w:r>
        <w:t xml:space="preserve">  。</w:t>
      </w:r>
    </w:p>
    <w:p>
      <w:r>
        <w:t>风险范围以外合同价格的调整方法：          /             。</w:t>
      </w:r>
    </w:p>
    <w:p>
      <w:r>
        <w:t>2、总价合同。</w:t>
      </w:r>
    </w:p>
    <w:p>
      <w:r>
        <w:t>总价包含的风险范围：                /                   。</w:t>
      </w:r>
    </w:p>
    <w:p>
      <w:r>
        <w:t xml:space="preserve">风险费用的计算方法：                /      </w:t>
      </w:r>
      <w:r>
        <w:rPr>
          <w:rFonts w:hint="eastAsia"/>
        </w:rPr>
        <w:t xml:space="preserve">     </w:t>
      </w:r>
      <w:r>
        <w:t xml:space="preserve">        。</w:t>
      </w:r>
    </w:p>
    <w:p>
      <w:r>
        <w:t xml:space="preserve">风险范围以外合同价格的调整方法：         /             </w:t>
      </w:r>
      <w:r>
        <w:rPr>
          <w:rFonts w:hint="eastAsia"/>
        </w:rPr>
        <w:t xml:space="preserve"> </w:t>
      </w:r>
      <w:r>
        <w:t>。</w:t>
      </w:r>
    </w:p>
    <w:p>
      <w:r>
        <w:t xml:space="preserve">3、其他价格方式：                    /                 </w:t>
      </w:r>
      <w:r>
        <w:rPr>
          <w:rFonts w:hint="eastAsia"/>
        </w:rPr>
        <w:t xml:space="preserve"> </w:t>
      </w:r>
      <w:r>
        <w:t>。</w:t>
      </w:r>
    </w:p>
    <w:p>
      <w:bookmarkStart w:id="1561" w:name="_Toc312678042"/>
      <w:bookmarkStart w:id="1562" w:name="_Toc303539161"/>
      <w:bookmarkStart w:id="1563" w:name="_Toc297123554"/>
      <w:bookmarkStart w:id="1564" w:name="_Toc297216213"/>
      <w:bookmarkStart w:id="1565" w:name="_Toc304295581"/>
      <w:bookmarkStart w:id="1566" w:name="_Toc300935004"/>
      <w:bookmarkStart w:id="1567" w:name="_Toc292559412"/>
      <w:bookmarkStart w:id="1568" w:name="_Toc296944546"/>
      <w:bookmarkStart w:id="1569" w:name="_Toc297048393"/>
      <w:bookmarkStart w:id="1570" w:name="_Toc297120507"/>
      <w:bookmarkStart w:id="1571" w:name="_Toc296891247"/>
      <w:bookmarkStart w:id="1572" w:name="_Toc296347206"/>
      <w:bookmarkStart w:id="1573" w:name="_Toc296891035"/>
      <w:bookmarkStart w:id="1574" w:name="_Toc292559917"/>
      <w:bookmarkStart w:id="1575" w:name="_Toc296503207"/>
      <w:bookmarkStart w:id="1576" w:name="_Toc296346708"/>
      <w:r>
        <w:t>12.2 预付款</w:t>
      </w:r>
    </w:p>
    <w:bookmarkEnd w:id="1561"/>
    <w:bookmarkEnd w:id="1562"/>
    <w:bookmarkEnd w:id="1563"/>
    <w:bookmarkEnd w:id="1564"/>
    <w:bookmarkEnd w:id="1565"/>
    <w:bookmarkEnd w:id="1566"/>
    <w:p>
      <w:r>
        <w:t>12.2.1 预付款的支付</w:t>
      </w:r>
    </w:p>
    <w:p>
      <w:r>
        <w:t>预付款支付比例或金额：</w:t>
      </w:r>
    </w:p>
    <w:p>
      <w:r>
        <w:rPr>
          <w:rFonts w:hint="eastAsia"/>
        </w:rPr>
        <w:t>预付款额度:签约合同价的3</w:t>
      </w:r>
      <w:r>
        <w:t>0</w:t>
      </w:r>
      <w:r>
        <w:rPr>
          <w:rFonts w:hint="eastAsia"/>
        </w:rPr>
        <w:t>%</w:t>
      </w:r>
    </w:p>
    <w:p>
      <w:r>
        <w:rPr>
          <w:rFonts w:hint="eastAsia"/>
        </w:rPr>
        <w:t>其中:农民工工伤保险费总额的100%，安全生产标准化措施费的100%。</w:t>
      </w:r>
    </w:p>
    <w:p>
      <w:r>
        <w:t>预付款支付期限：</w:t>
      </w:r>
      <w:r>
        <w:rPr>
          <w:rFonts w:hint="eastAsia"/>
        </w:rPr>
        <w:t>本合同签署生效、发包人在收到承包人提交的正式发票后7个工作日内采用转账支票或电汇的方式一次性向承包人支付预付款</w:t>
      </w:r>
      <w:r>
        <w:t>。</w:t>
      </w:r>
    </w:p>
    <w:p>
      <w:pPr>
        <w:rPr>
          <w:color w:val="0000FF"/>
        </w:rPr>
      </w:pPr>
      <w:r>
        <w:t>预付款扣回的方式：</w:t>
      </w:r>
      <w:r>
        <w:rPr>
          <w:rFonts w:hint="eastAsia"/>
        </w:rPr>
        <w:t>本项目预付款不扣回</w:t>
      </w:r>
      <w:r>
        <w:t>。</w:t>
      </w:r>
    </w:p>
    <w:p>
      <w:r>
        <w:t>12.2.2 预付款担保</w:t>
      </w:r>
    </w:p>
    <w:p>
      <w:r>
        <w:t xml:space="preserve">承包人提交预付款担保的期限：          </w:t>
      </w:r>
      <w:r>
        <w:rPr>
          <w:rFonts w:hint="eastAsia"/>
        </w:rPr>
        <w:t xml:space="preserve"> /         </w:t>
      </w:r>
      <w:r>
        <w:t xml:space="preserve">      。</w:t>
      </w:r>
    </w:p>
    <w:p>
      <w:r>
        <w:t xml:space="preserve">预付款担保的形式为：                   </w:t>
      </w:r>
      <w:r>
        <w:rPr>
          <w:rFonts w:hint="eastAsia"/>
        </w:rPr>
        <w:t>/</w:t>
      </w:r>
      <w:r>
        <w:t xml:space="preserve"> </w:t>
      </w:r>
      <w:r>
        <w:rPr>
          <w:rFonts w:hint="eastAsia"/>
        </w:rPr>
        <w:t xml:space="preserve">          </w:t>
      </w:r>
      <w:r>
        <w:t xml:space="preserve">    。</w:t>
      </w:r>
    </w:p>
    <w:bookmarkEnd w:id="1567"/>
    <w:bookmarkEnd w:id="1568"/>
    <w:bookmarkEnd w:id="1569"/>
    <w:bookmarkEnd w:id="1570"/>
    <w:bookmarkEnd w:id="1571"/>
    <w:bookmarkEnd w:id="1572"/>
    <w:bookmarkEnd w:id="1573"/>
    <w:bookmarkEnd w:id="1574"/>
    <w:bookmarkEnd w:id="1575"/>
    <w:bookmarkEnd w:id="1576"/>
    <w:p>
      <w:r>
        <w:t>12.3 计量</w:t>
      </w:r>
    </w:p>
    <w:p>
      <w:r>
        <w:t>12.3.1 计量原则</w:t>
      </w:r>
    </w:p>
    <w:p>
      <w:r>
        <w:t>工程量计算规则：</w:t>
      </w:r>
      <w:r>
        <w:rPr>
          <w:rFonts w:hint="eastAsia"/>
        </w:rPr>
        <w:t>执行北京市《房屋修缮工程工程量计算标准》（DB11/T 638-2023）或其适用的修订版本</w:t>
      </w:r>
      <w:r>
        <w:t>。</w:t>
      </w:r>
    </w:p>
    <w:p>
      <w:r>
        <w:t>12.3.2 计量周期</w:t>
      </w:r>
    </w:p>
    <w:p>
      <w:r>
        <w:t xml:space="preserve">关于计量周期的约定：             </w:t>
      </w:r>
      <w:r>
        <w:rPr>
          <w:rFonts w:hint="eastAsia"/>
        </w:rPr>
        <w:t xml:space="preserve"> </w:t>
      </w:r>
      <w:r>
        <w:t xml:space="preserve">   </w:t>
      </w:r>
      <w:r>
        <w:rPr>
          <w:rFonts w:hint="eastAsia"/>
        </w:rPr>
        <w:t>/</w:t>
      </w:r>
      <w:r>
        <w:t xml:space="preserve">    </w:t>
      </w:r>
      <w:r>
        <w:rPr>
          <w:rFonts w:hint="eastAsia"/>
        </w:rPr>
        <w:t xml:space="preserve">       </w:t>
      </w:r>
      <w:r>
        <w:t xml:space="preserve">      。</w:t>
      </w:r>
    </w:p>
    <w:p>
      <w:r>
        <w:t>12.3.3 单价合同的计量</w:t>
      </w:r>
    </w:p>
    <w:p>
      <w:r>
        <w:t xml:space="preserve">关于单价合同计量的约定：              </w:t>
      </w:r>
      <w:r>
        <w:rPr>
          <w:rFonts w:hint="eastAsia"/>
        </w:rPr>
        <w:t>/</w:t>
      </w:r>
      <w:r>
        <w:t xml:space="preserve"> </w:t>
      </w:r>
      <w:r>
        <w:rPr>
          <w:rFonts w:hint="eastAsia"/>
        </w:rPr>
        <w:t xml:space="preserve">       </w:t>
      </w:r>
      <w:r>
        <w:t xml:space="preserve">        。</w:t>
      </w:r>
    </w:p>
    <w:p>
      <w:r>
        <w:t>12.3.4 总价合同的计量</w:t>
      </w:r>
    </w:p>
    <w:p>
      <w:r>
        <w:t xml:space="preserve">关于总价合同计量的约定：             </w:t>
      </w:r>
      <w:r>
        <w:rPr>
          <w:rFonts w:hint="eastAsia"/>
        </w:rPr>
        <w:t>/</w:t>
      </w:r>
      <w:r>
        <w:t xml:space="preserve"> </w:t>
      </w:r>
      <w:r>
        <w:rPr>
          <w:rFonts w:hint="eastAsia"/>
        </w:rPr>
        <w:t xml:space="preserve">       </w:t>
      </w:r>
      <w:r>
        <w:t xml:space="preserve">         。</w:t>
      </w:r>
    </w:p>
    <w:p>
      <w:r>
        <w:t>12.3.5总价合同采用支付分解表计量支付的，是否适用第12.3.4 项</w:t>
      </w:r>
      <w:r>
        <w:rPr>
          <w:rFonts w:hint="eastAsia"/>
        </w:rPr>
        <w:t>〔</w:t>
      </w:r>
      <w:r>
        <w:t>总价合同的计量</w:t>
      </w:r>
      <w:r>
        <w:rPr>
          <w:rFonts w:hint="eastAsia"/>
        </w:rPr>
        <w:t>〕</w:t>
      </w:r>
      <w:r>
        <w:t>约定</w:t>
      </w:r>
      <w:r>
        <w:rPr>
          <w:rFonts w:hint="eastAsia"/>
        </w:rPr>
        <w:t>进行计量：</w:t>
      </w:r>
      <w:r>
        <w:t xml:space="preserve">        </w:t>
      </w:r>
      <w:r>
        <w:rPr>
          <w:rFonts w:hint="eastAsia"/>
        </w:rPr>
        <w:t xml:space="preserve">  </w:t>
      </w:r>
      <w:r>
        <w:t>/</w:t>
      </w:r>
      <w:r>
        <w:rPr>
          <w:rFonts w:hint="eastAsia"/>
        </w:rPr>
        <w:t xml:space="preserve">           </w:t>
      </w:r>
      <w:r>
        <w:t>。</w:t>
      </w:r>
    </w:p>
    <w:p>
      <w:r>
        <w:t>12.3.6 其他价格形式合同的计量</w:t>
      </w:r>
    </w:p>
    <w:p>
      <w:r>
        <w:t xml:space="preserve">其他价格形式的计量方式和程序：           /        </w:t>
      </w:r>
      <w:r>
        <w:rPr>
          <w:rFonts w:hint="eastAsia"/>
        </w:rPr>
        <w:t xml:space="preserve">  </w:t>
      </w:r>
      <w:r>
        <w:t xml:space="preserve">    。</w:t>
      </w:r>
    </w:p>
    <w:p>
      <w:r>
        <w:t>12.4 工程进度款支付</w:t>
      </w:r>
    </w:p>
    <w:p>
      <w:bookmarkStart w:id="1577" w:name="_Toc296503211"/>
      <w:bookmarkStart w:id="1578" w:name="_Toc296891039"/>
      <w:bookmarkStart w:id="1579" w:name="_Toc297048397"/>
      <w:bookmarkStart w:id="1580" w:name="_Toc296891251"/>
      <w:bookmarkStart w:id="1581" w:name="_Toc297123556"/>
      <w:bookmarkStart w:id="1582" w:name="_Toc292559921"/>
      <w:bookmarkStart w:id="1583" w:name="_Toc296347210"/>
      <w:bookmarkStart w:id="1584" w:name="_Toc300935006"/>
      <w:bookmarkStart w:id="1585" w:name="_Toc296944550"/>
      <w:bookmarkStart w:id="1586" w:name="_Toc297120511"/>
      <w:bookmarkStart w:id="1587" w:name="_Toc303539163"/>
      <w:bookmarkStart w:id="1588" w:name="_Toc297216215"/>
      <w:bookmarkStart w:id="1589" w:name="_Toc292559416"/>
      <w:bookmarkStart w:id="1590" w:name="_Toc296346712"/>
      <w:r>
        <w:t>12.4.1 付款周期</w:t>
      </w:r>
    </w:p>
    <w:p>
      <w:r>
        <w:t>关于付款周期的约定：</w:t>
      </w:r>
    </w:p>
    <w:p>
      <w:r>
        <w:rPr>
          <w:rFonts w:hint="eastAsia"/>
        </w:rPr>
        <w:t>（1）本合同签署生效、发包人在收到承包人提交的正式发票后</w:t>
      </w:r>
      <w:r>
        <w:rPr>
          <w:rFonts w:hint="eastAsia"/>
          <w:lang w:val="en-US" w:eastAsia="zh-CN"/>
        </w:rPr>
        <w:t>15</w:t>
      </w:r>
      <w:r>
        <w:rPr>
          <w:rFonts w:hint="eastAsia"/>
        </w:rPr>
        <w:t>日内采用转账支票或电汇的方式一次性向承包人支付预付款，即合同总价的30%；</w:t>
      </w:r>
    </w:p>
    <w:p>
      <w:pPr>
        <w:rPr>
          <w:highlight w:val="yellow"/>
        </w:rPr>
      </w:pPr>
      <w:r>
        <w:rPr>
          <w:rFonts w:hint="eastAsia"/>
          <w:highlight w:val="none"/>
        </w:rPr>
        <w:t>（2）本工程按节点支付工程款，当工程竣工验收合格后，发包人向承包人支付</w:t>
      </w:r>
      <w:r>
        <w:rPr>
          <w:rFonts w:hint="eastAsia"/>
          <w:highlight w:val="none"/>
          <w:lang w:val="en-US" w:eastAsia="zh-CN"/>
        </w:rPr>
        <w:t>合同总价的60%</w:t>
      </w:r>
      <w:r>
        <w:rPr>
          <w:rFonts w:hint="eastAsia"/>
          <w:highlight w:val="none"/>
        </w:rPr>
        <w:t>。工程竣工结算审核完成后，发包人支付剩余工程款。承包人申请每期款项时，同步开具等额合法有效发票。双方配合接受审计，审计结论作为工程最终结算依据。</w:t>
      </w:r>
    </w:p>
    <w:p>
      <w:r>
        <w:rPr>
          <w:rFonts w:hint="eastAsia"/>
        </w:rPr>
        <w:t>（3）质量保证金形式： 由承包人在收到预付款前向发包人支付签约合同价的</w:t>
      </w:r>
      <w:r>
        <w:rPr>
          <w:rFonts w:hint="eastAsia"/>
          <w:lang w:val="en-US" w:eastAsia="zh-CN"/>
        </w:rPr>
        <w:t>5</w:t>
      </w:r>
      <w:r>
        <w:rPr>
          <w:rFonts w:hint="eastAsia"/>
        </w:rPr>
        <w:t>%作为质量保证金。缺陷责任期满无质量问题</w:t>
      </w:r>
      <w:r>
        <w:rPr>
          <w:rFonts w:hint="eastAsia"/>
          <w:lang w:val="en-US" w:eastAsia="zh-CN"/>
        </w:rPr>
        <w:t>且验收合格后</w:t>
      </w:r>
      <w:r>
        <w:rPr>
          <w:rFonts w:hint="eastAsia"/>
        </w:rPr>
        <w:t>，30日内一次性无息支付质量保证金给承包人。承包人不完全履行保修义务的，发包人有权另行委托第三方，所需费用自承包人质保金中扣除，不足以扣除的，承包人另行支付。</w:t>
      </w:r>
    </w:p>
    <w:p>
      <w:r>
        <w:rPr>
          <w:rFonts w:hint="eastAsia"/>
        </w:rPr>
        <w:t>本协议约定的付款期限及付款方式、付款额度等以发包人获得财政审批为准，因财政未及时审批及拨款的不视为发包人违约。</w:t>
      </w:r>
    </w:p>
    <w:p>
      <w:r>
        <w:t>12.4.2 进度付款申请单的编制</w:t>
      </w:r>
    </w:p>
    <w:p>
      <w:r>
        <w:t>关于进度付款申请单编制的约定：</w:t>
      </w:r>
      <w:r>
        <w:rPr>
          <w:rFonts w:hint="eastAsia"/>
        </w:rPr>
        <w:t>承包人应按监理人、发包人要求的格式，时间要求，每月 25 日前向监理人、发包人提交一式三份的月度请款单，说明承包人认为自己在该付款周期内有权得到的款项，同时提交包括进度款报告在内的任何必要的计算书、清单或其他证明文件</w:t>
      </w:r>
      <w:r>
        <w:t>。</w:t>
      </w:r>
    </w:p>
    <w:p>
      <w:r>
        <w:t>1</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r>
        <w:t>2.4.3 进度付款申请单的提交</w:t>
      </w:r>
    </w:p>
    <w:p>
      <w:r>
        <w:t>（1）单价合同进度付款申请单提交的约定</w:t>
      </w:r>
      <w:r>
        <w:rPr>
          <w:rFonts w:hint="eastAsia"/>
        </w:rPr>
        <w:t>：</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t>/</w:t>
      </w:r>
      <w:r>
        <w:rPr>
          <w:rFonts w:hint="eastAsia"/>
        </w:rPr>
        <w:t xml:space="preserve">              </w:t>
      </w:r>
      <w:r>
        <w:t xml:space="preserve">  。</w:t>
      </w:r>
    </w:p>
    <w:p>
      <w:r>
        <w:t>（2）总价合同进度付款申请单提交的约定</w:t>
      </w:r>
      <w:r>
        <w:rPr>
          <w:rFonts w:hint="eastAsia"/>
        </w:rPr>
        <w:t>：</w:t>
      </w:r>
      <w:r>
        <w:t xml:space="preserve">   </w:t>
      </w:r>
      <w:r>
        <w:rPr>
          <w:rFonts w:hint="eastAsia"/>
        </w:rPr>
        <w:t xml:space="preserve">/ </w:t>
      </w:r>
      <w:r>
        <w:t xml:space="preserve">  。</w:t>
      </w:r>
    </w:p>
    <w:p>
      <w:r>
        <w:t xml:space="preserve">（3）其他价格形式合同进度付款申请单提交的约定：    </w:t>
      </w:r>
      <w:r>
        <w:rPr>
          <w:rFonts w:hint="eastAsia"/>
        </w:rPr>
        <w:t xml:space="preserve">      </w:t>
      </w:r>
      <w:r>
        <w:t>/</w:t>
      </w:r>
      <w:r>
        <w:rPr>
          <w:rFonts w:hint="eastAsia"/>
        </w:rPr>
        <w:t xml:space="preserve">          </w:t>
      </w:r>
      <w:r>
        <w:t xml:space="preserve">   。</w:t>
      </w:r>
    </w:p>
    <w:p>
      <w:r>
        <w:t>12.4.4 进度款审核和支付</w:t>
      </w:r>
    </w:p>
    <w:p>
      <w:r>
        <w:t xml:space="preserve">（1）监理人审查并报送发包人的期限：     </w:t>
      </w:r>
      <w:r>
        <w:rPr>
          <w:rFonts w:hint="eastAsia"/>
        </w:rPr>
        <w:t xml:space="preserve">按照发包人要求提供     </w:t>
      </w:r>
      <w:r>
        <w:t>。</w:t>
      </w:r>
    </w:p>
    <w:p>
      <w:r>
        <w:t xml:space="preserve">发包人完成审批并签发进度款支付证书的期限：   </w:t>
      </w:r>
      <w:r>
        <w:rPr>
          <w:rFonts w:hint="eastAsia"/>
        </w:rPr>
        <w:t xml:space="preserve">按照发包人要求提供   </w:t>
      </w:r>
      <w:r>
        <w:t xml:space="preserve">  。</w:t>
      </w:r>
    </w:p>
    <w:p>
      <w:r>
        <w:t xml:space="preserve">（2）发包人支付进度款的期限：    </w:t>
      </w:r>
      <w:r>
        <w:rPr>
          <w:rFonts w:hint="eastAsia"/>
        </w:rPr>
        <w:t xml:space="preserve">按照发包人要求提供  </w:t>
      </w:r>
      <w:r>
        <w:t xml:space="preserve">     。</w:t>
      </w:r>
    </w:p>
    <w:p>
      <w:r>
        <w:t xml:space="preserve">发包人逾期支付进度款的违约金的计算方式：      </w:t>
      </w:r>
      <w:r>
        <w:rPr>
          <w:rFonts w:hint="eastAsia"/>
        </w:rPr>
        <w:t xml:space="preserve">    </w:t>
      </w:r>
      <w:r>
        <w:t>/</w:t>
      </w:r>
      <w:r>
        <w:rPr>
          <w:rFonts w:hint="eastAsia"/>
        </w:rPr>
        <w:t xml:space="preserve">                  </w:t>
      </w:r>
      <w:r>
        <w:t>。</w:t>
      </w:r>
    </w:p>
    <w:p>
      <w:r>
        <w:t>12.4.6 支付分解表的编制</w:t>
      </w:r>
    </w:p>
    <w:p>
      <w:r>
        <w:t xml:space="preserve">2、总价合同支付分解表的编制与审批：            </w:t>
      </w:r>
      <w:r>
        <w:rPr>
          <w:rFonts w:hint="eastAsia"/>
        </w:rPr>
        <w:t xml:space="preserve">    </w:t>
      </w:r>
      <w:r>
        <w:t>/</w:t>
      </w:r>
      <w:r>
        <w:rPr>
          <w:rFonts w:hint="eastAsia"/>
        </w:rPr>
        <w:t xml:space="preserve">            </w:t>
      </w:r>
      <w:r>
        <w:t xml:space="preserve">      。</w:t>
      </w:r>
    </w:p>
    <w:p>
      <w:r>
        <w:t xml:space="preserve">3、单价合同的总价项目支付分解表的编制与审批：         </w:t>
      </w:r>
      <w:r>
        <w:rPr>
          <w:rFonts w:hint="eastAsia"/>
        </w:rPr>
        <w:t xml:space="preserve"> </w:t>
      </w:r>
      <w:r>
        <w:t>/</w:t>
      </w:r>
      <w:r>
        <w:rPr>
          <w:rFonts w:hint="eastAsia"/>
        </w:rPr>
        <w:t xml:space="preserve">        </w:t>
      </w:r>
      <w:r>
        <w:t xml:space="preserve">  </w:t>
      </w:r>
      <w:r>
        <w:rPr>
          <w:rFonts w:hint="eastAsia"/>
        </w:rPr>
        <w:t xml:space="preserve"> </w:t>
      </w:r>
      <w:r>
        <w:t xml:space="preserve">    。</w:t>
      </w:r>
    </w:p>
    <w:bookmarkEnd w:id="1421"/>
    <w:p>
      <w:bookmarkStart w:id="1591" w:name="_Toc351203645"/>
      <w:bookmarkStart w:id="1592" w:name="_Toc296503219"/>
      <w:bookmarkStart w:id="1593" w:name="_Toc297120519"/>
      <w:bookmarkStart w:id="1594" w:name="_Toc297216223"/>
      <w:bookmarkStart w:id="1595" w:name="_Toc292559929"/>
      <w:bookmarkStart w:id="1596" w:name="_Toc297123564"/>
      <w:bookmarkStart w:id="1597" w:name="_Toc296944558"/>
      <w:bookmarkStart w:id="1598" w:name="_Toc296891047"/>
      <w:bookmarkStart w:id="1599" w:name="_Toc296891259"/>
      <w:bookmarkStart w:id="1600" w:name="_Toc297048405"/>
      <w:bookmarkStart w:id="1601" w:name="_Toc304295593"/>
      <w:bookmarkStart w:id="1602" w:name="_Toc312678053"/>
      <w:bookmarkStart w:id="1603" w:name="_Toc303539172"/>
      <w:bookmarkStart w:id="1604" w:name="_Toc300935015"/>
      <w:bookmarkStart w:id="1605" w:name="_Toc296347218"/>
      <w:bookmarkStart w:id="1606" w:name="_Toc292559424"/>
      <w:bookmarkStart w:id="1607" w:name="_Toc296346720"/>
      <w:r>
        <w:t>13.</w:t>
      </w:r>
      <w:r>
        <w:rPr>
          <w:rFonts w:hint="eastAsia"/>
        </w:rPr>
        <w:t xml:space="preserve"> </w:t>
      </w:r>
      <w:r>
        <w:t>验收和工程试车</w:t>
      </w:r>
      <w:bookmarkEnd w:id="1591"/>
    </w:p>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r>
        <w:t>13.1 分部分项工程验收</w:t>
      </w:r>
    </w:p>
    <w:p>
      <w:r>
        <w:t xml:space="preserve">13.1.2监理人不能按时进行验收时，应提前  </w:t>
      </w:r>
      <w:r>
        <w:rPr>
          <w:rFonts w:hint="eastAsia"/>
        </w:rPr>
        <w:t>24</w:t>
      </w:r>
      <w:r>
        <w:t xml:space="preserve">   小时提交书面延期要求。</w:t>
      </w:r>
    </w:p>
    <w:p>
      <w:r>
        <w:t xml:space="preserve">关于延期最长不得超过：    </w:t>
      </w:r>
      <w:r>
        <w:rPr>
          <w:rFonts w:hint="eastAsia"/>
        </w:rPr>
        <w:t>48</w:t>
      </w:r>
      <w:r>
        <w:t xml:space="preserve">   小时。</w:t>
      </w:r>
    </w:p>
    <w:p>
      <w:bookmarkStart w:id="1608" w:name="_Toc297120523"/>
      <w:bookmarkStart w:id="1609" w:name="_Toc296346724"/>
      <w:bookmarkStart w:id="1610" w:name="_Toc296347222"/>
      <w:bookmarkStart w:id="1611" w:name="_Toc297123565"/>
      <w:bookmarkStart w:id="1612" w:name="_Toc292559933"/>
      <w:bookmarkStart w:id="1613" w:name="_Toc297216224"/>
      <w:bookmarkStart w:id="1614" w:name="_Toc292559428"/>
      <w:bookmarkStart w:id="1615" w:name="_Toc303539173"/>
      <w:bookmarkStart w:id="1616" w:name="_Toc300935016"/>
      <w:bookmarkStart w:id="1617" w:name="_Toc296891263"/>
      <w:bookmarkStart w:id="1618" w:name="_Toc296944562"/>
      <w:bookmarkStart w:id="1619" w:name="_Toc297048409"/>
      <w:bookmarkStart w:id="1620" w:name="_Toc296503223"/>
      <w:bookmarkStart w:id="1621" w:name="_Toc296891051"/>
      <w:bookmarkStart w:id="1622" w:name="_Toc304295596"/>
      <w:bookmarkStart w:id="1623" w:name="_Toc312678056"/>
      <w:bookmarkStart w:id="1624" w:name="_Toc267251474"/>
      <w:bookmarkStart w:id="1625" w:name="_Toc267251470"/>
      <w:bookmarkStart w:id="1626" w:name="_Toc267251472"/>
      <w:bookmarkStart w:id="1627" w:name="_Toc267251471"/>
      <w:bookmarkStart w:id="1628" w:name="_Toc267251475"/>
      <w:bookmarkStart w:id="1629" w:name="_Toc267251473"/>
      <w:bookmarkStart w:id="1630" w:name="_Toc267251476"/>
      <w:r>
        <w:t>13.2 竣工验收</w:t>
      </w:r>
    </w:p>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bookmarkStart w:id="1631" w:name="_Toc280868704"/>
      <w:bookmarkStart w:id="1632" w:name="_Toc280868705"/>
      <w:bookmarkStart w:id="1633" w:name="_Toc280868706"/>
      <w:bookmarkStart w:id="1634" w:name="_Toc280868707"/>
      <w:bookmarkStart w:id="1635" w:name="_Toc280868708"/>
      <w:bookmarkStart w:id="1636" w:name="_Toc280868709"/>
      <w:r>
        <w:t>13.2.2竣工验收程序</w:t>
      </w:r>
    </w:p>
    <w:bookmarkEnd w:id="1631"/>
    <w:p>
      <w:r>
        <w:t>关于竣工验收程序的约定：              /                。</w:t>
      </w:r>
    </w:p>
    <w:p>
      <w:r>
        <w:t xml:space="preserve">发包人不按照本项约定组织竣工验收、颁发工程接收证书的违约金的计算方法：     </w:t>
      </w:r>
      <w:r>
        <w:rPr>
          <w:rFonts w:hint="eastAsia"/>
        </w:rPr>
        <w:t>/</w:t>
      </w:r>
      <w:r>
        <w:t xml:space="preserve">    。</w:t>
      </w:r>
    </w:p>
    <w:bookmarkEnd w:id="1632"/>
    <w:p>
      <w:r>
        <w:t>13.2.5移交、接收全部与部分工程</w:t>
      </w:r>
    </w:p>
    <w:bookmarkEnd w:id="1633"/>
    <w:p>
      <w:r>
        <w:rPr>
          <w:rFonts w:hint="eastAsia"/>
        </w:rPr>
        <w:t>承包人向发包人移交工程的期限：工程竣工验收合格后5日内。</w:t>
      </w:r>
    </w:p>
    <w:p>
      <w:r>
        <w:t>发包人未按本合同约定接收全部或部分工程的，违约金的计算方法为：     /    。</w:t>
      </w:r>
    </w:p>
    <w:bookmarkEnd w:id="1634"/>
    <w:p>
      <w:r>
        <w:t>承包人未按时移交工程的，违约金的计算方法为：</w:t>
      </w:r>
      <w:r>
        <w:rPr>
          <w:rFonts w:hint="eastAsia"/>
        </w:rPr>
        <w:t>每延期一天处罚合同金额的</w:t>
      </w:r>
      <w:r>
        <w:t>2</w:t>
      </w:r>
      <w:r>
        <w:rPr>
          <w:rFonts w:hint="eastAsia"/>
        </w:rPr>
        <w:t>‰，最高不超过合同金额的</w:t>
      </w:r>
      <w:r>
        <w:t>20</w:t>
      </w:r>
      <w:r>
        <w:rPr>
          <w:rFonts w:hint="eastAsia"/>
        </w:rPr>
        <w:t>%</w:t>
      </w:r>
      <w:r>
        <w:t>。</w:t>
      </w:r>
    </w:p>
    <w:p>
      <w:r>
        <w:t>13.3 工程试车</w:t>
      </w:r>
    </w:p>
    <w:bookmarkEnd w:id="1635"/>
    <w:p>
      <w:r>
        <w:t>13.3.1 试车程序</w:t>
      </w:r>
    </w:p>
    <w:p>
      <w:r>
        <w:t xml:space="preserve">工程试车内容：            </w:t>
      </w:r>
      <w:r>
        <w:rPr>
          <w:rFonts w:hint="eastAsia"/>
        </w:rPr>
        <w:t xml:space="preserve">/         </w:t>
      </w:r>
      <w:r>
        <w:t xml:space="preserve">  。</w:t>
      </w:r>
    </w:p>
    <w:p>
      <w:r>
        <w:t xml:space="preserve">（1）单机无负荷试车费用由          </w:t>
      </w:r>
      <w:r>
        <w:rPr>
          <w:rFonts w:hint="eastAsia"/>
        </w:rPr>
        <w:t>/</w:t>
      </w:r>
      <w:r>
        <w:t xml:space="preserve">           承担；</w:t>
      </w:r>
    </w:p>
    <w:p>
      <w:r>
        <w:t xml:space="preserve">（2）无负荷联动试车费用由          </w:t>
      </w:r>
      <w:r>
        <w:rPr>
          <w:rFonts w:hint="eastAsia"/>
        </w:rPr>
        <w:t>/</w:t>
      </w:r>
      <w:r>
        <w:t xml:space="preserve">           承担。</w:t>
      </w:r>
    </w:p>
    <w:p>
      <w:r>
        <w:t>13.3.3 投料试车</w:t>
      </w:r>
    </w:p>
    <w:p>
      <w:r>
        <w:rPr>
          <w:rFonts w:hint="eastAsia"/>
        </w:rPr>
        <w:t xml:space="preserve">关于投料试车相关事项的约定：           /         </w:t>
      </w:r>
      <w:r>
        <w:t xml:space="preserve">  。</w:t>
      </w:r>
    </w:p>
    <w:p>
      <w:bookmarkStart w:id="1637" w:name="_Toc3900453"/>
      <w:r>
        <w:t>13.6 竣工退场</w:t>
      </w:r>
      <w:bookmarkEnd w:id="1637"/>
    </w:p>
    <w:p>
      <w:r>
        <w:t>13.6.1 竣工退场</w:t>
      </w:r>
    </w:p>
    <w:p>
      <w:r>
        <w:t>承包人完成竣工退场的期限：</w:t>
      </w:r>
      <w:r>
        <w:rPr>
          <w:rFonts w:hint="eastAsia"/>
        </w:rPr>
        <w:t>颁发工程接收证书后14日内</w:t>
      </w:r>
      <w:r>
        <w:t>。</w:t>
      </w:r>
    </w:p>
    <w:p>
      <w:bookmarkStart w:id="1638" w:name="_Toc351203646"/>
      <w:r>
        <w:t>14. 竣工结算</w:t>
      </w:r>
      <w:bookmarkEnd w:id="1638"/>
    </w:p>
    <w:p>
      <w:r>
        <w:t>14.1 竣工</w:t>
      </w:r>
      <w:r>
        <w:rPr>
          <w:rFonts w:hint="eastAsia"/>
        </w:rPr>
        <w:t>结算</w:t>
      </w:r>
      <w:r>
        <w:t>申请</w:t>
      </w:r>
    </w:p>
    <w:p>
      <w:r>
        <w:t>承包人提交竣工</w:t>
      </w:r>
      <w:r>
        <w:rPr>
          <w:rFonts w:hint="eastAsia"/>
        </w:rPr>
        <w:t>结算</w:t>
      </w:r>
      <w:r>
        <w:t>申请单的期限：</w:t>
      </w:r>
      <w:r>
        <w:rPr>
          <w:rFonts w:hint="eastAsia"/>
        </w:rPr>
        <w:t>在工程接收证书颁发后14天内</w:t>
      </w:r>
      <w:r>
        <w:t>。</w:t>
      </w:r>
    </w:p>
    <w:p>
      <w:r>
        <w:t>竣工</w:t>
      </w:r>
      <w:r>
        <w:rPr>
          <w:rFonts w:hint="eastAsia"/>
        </w:rPr>
        <w:t>结算</w:t>
      </w:r>
      <w:r>
        <w:t>申请单应包括的内容：</w:t>
      </w:r>
      <w:r>
        <w:rPr>
          <w:rFonts w:hint="eastAsia"/>
        </w:rPr>
        <w:t>竣工结算总价、已支付的工程价款、应扣回的预付款、应扣留的质量保证金、应支付的竣工付款金额等</w:t>
      </w:r>
      <w:r>
        <w:t>。</w:t>
      </w:r>
    </w:p>
    <w:p>
      <w:bookmarkStart w:id="1639" w:name="_Toc3900454"/>
      <w:r>
        <w:t>14.2 竣工结算审核</w:t>
      </w:r>
      <w:bookmarkEnd w:id="1639"/>
    </w:p>
    <w:p>
      <w:r>
        <w:t>发包人</w:t>
      </w:r>
      <w:r>
        <w:rPr>
          <w:rFonts w:hint="eastAsia"/>
        </w:rPr>
        <w:t>审批</w:t>
      </w:r>
      <w:r>
        <w:t xml:space="preserve">竣工付款申请单的期限：           /  </w:t>
      </w:r>
      <w:r>
        <w:rPr>
          <w:rFonts w:hint="eastAsia"/>
        </w:rPr>
        <w:t xml:space="preserve"> </w:t>
      </w:r>
      <w:r>
        <w:t xml:space="preserve"> </w:t>
      </w:r>
      <w:r>
        <w:rPr>
          <w:rFonts w:hint="eastAsia"/>
        </w:rPr>
        <w:t xml:space="preserve">   </w:t>
      </w:r>
      <w:r>
        <w:t xml:space="preserve">    。</w:t>
      </w:r>
    </w:p>
    <w:p>
      <w:r>
        <w:t xml:space="preserve">发包人完成竣工付款的期限：             /      </w:t>
      </w:r>
      <w:r>
        <w:rPr>
          <w:rFonts w:hint="eastAsia"/>
        </w:rPr>
        <w:t xml:space="preserve"> </w:t>
      </w:r>
      <w:r>
        <w:t xml:space="preserve">  </w:t>
      </w:r>
      <w:r>
        <w:rPr>
          <w:rFonts w:hint="eastAsia"/>
        </w:rPr>
        <w:t xml:space="preserve">   </w:t>
      </w:r>
      <w:r>
        <w:t xml:space="preserve">   。</w:t>
      </w:r>
    </w:p>
    <w:p>
      <w:r>
        <w:rPr>
          <w:rFonts w:hint="eastAsia"/>
        </w:rPr>
        <w:t>关于竣工付款证书异议部分复核的方式和程序：</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t>。</w:t>
      </w:r>
    </w:p>
    <w:p>
      <w:r>
        <w:t>14.4 最终结清</w:t>
      </w:r>
    </w:p>
    <w:p>
      <w:r>
        <w:t>14.4.1 最终结清申请单</w:t>
      </w:r>
    </w:p>
    <w:p>
      <w:r>
        <w:t xml:space="preserve">承包人提交最终结清申请单的份数：          /   </w:t>
      </w:r>
      <w:r>
        <w:rPr>
          <w:rFonts w:hint="eastAsia"/>
        </w:rPr>
        <w:t xml:space="preserve"> </w:t>
      </w:r>
      <w:r>
        <w:t xml:space="preserve"> </w:t>
      </w:r>
      <w:r>
        <w:rPr>
          <w:rFonts w:hint="eastAsia"/>
        </w:rPr>
        <w:t xml:space="preserve"> </w:t>
      </w:r>
      <w:r>
        <w:t xml:space="preserve">    。</w:t>
      </w:r>
    </w:p>
    <w:p>
      <w:r>
        <w:t xml:space="preserve">承包人提交最终结算申请单的期限：          /  </w:t>
      </w:r>
      <w:r>
        <w:rPr>
          <w:rFonts w:hint="eastAsia"/>
        </w:rPr>
        <w:t xml:space="preserve"> </w:t>
      </w:r>
      <w:r>
        <w:t xml:space="preserve"> </w:t>
      </w:r>
      <w:r>
        <w:rPr>
          <w:rFonts w:hint="eastAsia"/>
        </w:rPr>
        <w:t xml:space="preserve"> </w:t>
      </w:r>
      <w:r>
        <w:t xml:space="preserve">     。 </w:t>
      </w:r>
    </w:p>
    <w:p>
      <w:r>
        <w:t>14.4.2 最终结清证书和支付</w:t>
      </w:r>
    </w:p>
    <w:p>
      <w:r>
        <w:t>（1）发包人完成最终结清申请单的</w:t>
      </w:r>
      <w:r>
        <w:rPr>
          <w:rFonts w:hint="eastAsia"/>
        </w:rPr>
        <w:t>审批</w:t>
      </w:r>
      <w:r>
        <w:t xml:space="preserve">并颁发最终结清证书的期限：   / </w:t>
      </w:r>
      <w:r>
        <w:rPr>
          <w:rFonts w:hint="eastAsia"/>
        </w:rPr>
        <w:t xml:space="preserve">   </w:t>
      </w:r>
      <w:r>
        <w:t xml:space="preserve"> 。</w:t>
      </w:r>
    </w:p>
    <w:p>
      <w:r>
        <w:t xml:space="preserve">（2）发包人完成支付的期限：          </w:t>
      </w:r>
      <w:r>
        <w:rPr>
          <w:rFonts w:hint="eastAsia"/>
        </w:rPr>
        <w:t xml:space="preserve">  </w:t>
      </w:r>
      <w:r>
        <w:t>/</w:t>
      </w:r>
      <w:r>
        <w:rPr>
          <w:rFonts w:hint="eastAsia"/>
        </w:rPr>
        <w:t xml:space="preserve">  </w:t>
      </w:r>
      <w:r>
        <w:t xml:space="preserve">    </w:t>
      </w:r>
      <w:r>
        <w:rPr>
          <w:rFonts w:hint="eastAsia"/>
        </w:rPr>
        <w:t xml:space="preserve">   </w:t>
      </w:r>
      <w:r>
        <w:t xml:space="preserve">    。</w:t>
      </w:r>
    </w:p>
    <w:bookmarkEnd w:id="1624"/>
    <w:bookmarkEnd w:id="1625"/>
    <w:bookmarkEnd w:id="1626"/>
    <w:bookmarkEnd w:id="1627"/>
    <w:bookmarkEnd w:id="1628"/>
    <w:bookmarkEnd w:id="1629"/>
    <w:bookmarkEnd w:id="1630"/>
    <w:bookmarkEnd w:id="1636"/>
    <w:p>
      <w:bookmarkStart w:id="1640" w:name="_Toc351203647"/>
      <w:bookmarkStart w:id="1641" w:name="_Toc267251483"/>
      <w:bookmarkStart w:id="1642" w:name="_Toc267251484"/>
      <w:bookmarkStart w:id="1643" w:name="_Toc267251482"/>
      <w:bookmarkStart w:id="1644" w:name="_Toc267251485"/>
      <w:bookmarkStart w:id="1645" w:name="_Toc267251486"/>
      <w:bookmarkStart w:id="1646" w:name="_Toc267251489"/>
      <w:bookmarkStart w:id="1647" w:name="_Toc267251488"/>
      <w:bookmarkStart w:id="1648" w:name="_Toc267251490"/>
      <w:bookmarkStart w:id="1649" w:name="_Toc267251492"/>
      <w:bookmarkStart w:id="1650" w:name="_Toc267251503"/>
      <w:bookmarkStart w:id="1651" w:name="_Toc267251499"/>
      <w:bookmarkStart w:id="1652" w:name="_Toc267251497"/>
      <w:bookmarkStart w:id="1653" w:name="_Toc267251493"/>
      <w:bookmarkStart w:id="1654" w:name="_Toc267251501"/>
      <w:bookmarkStart w:id="1655" w:name="_Toc267251502"/>
      <w:bookmarkStart w:id="1656" w:name="_Toc267251498"/>
      <w:bookmarkStart w:id="1657" w:name="_Toc267251491"/>
      <w:bookmarkStart w:id="1658" w:name="_Toc267251496"/>
      <w:bookmarkStart w:id="1659" w:name="_Toc267251494"/>
      <w:bookmarkStart w:id="1660" w:name="_Toc267251495"/>
      <w:bookmarkStart w:id="1661" w:name="_Toc267251506"/>
      <w:bookmarkStart w:id="1662" w:name="_Toc267251504"/>
      <w:bookmarkStart w:id="1663" w:name="_Toc267251507"/>
      <w:bookmarkStart w:id="1664" w:name="_Toc267251508"/>
      <w:bookmarkStart w:id="1665" w:name="_Toc267251509"/>
      <w:bookmarkStart w:id="1666" w:name="_Toc267251511"/>
      <w:bookmarkStart w:id="1667" w:name="_Toc267251514"/>
      <w:bookmarkStart w:id="1668" w:name="_Toc267251515"/>
      <w:bookmarkStart w:id="1669" w:name="_Toc267251513"/>
      <w:bookmarkStart w:id="1670" w:name="_Toc267251510"/>
      <w:r>
        <w:t>15. 缺陷责任期与保修</w:t>
      </w:r>
      <w:bookmarkEnd w:id="1640"/>
    </w:p>
    <w:p>
      <w:r>
        <w:t>15.2缺陷责任期</w:t>
      </w:r>
      <w:bookmarkEnd w:id="1641"/>
    </w:p>
    <w:p>
      <w:r>
        <w:t>缺陷责任期的具体期限：</w:t>
      </w:r>
      <w:r>
        <w:rPr>
          <w:rFonts w:hint="eastAsia"/>
        </w:rPr>
        <w:t>2年</w:t>
      </w:r>
      <w:r>
        <w:t>。</w:t>
      </w:r>
    </w:p>
    <w:p>
      <w:bookmarkStart w:id="1671" w:name="_Toc3900455"/>
      <w:r>
        <w:t>15.3 质量保证金</w:t>
      </w:r>
      <w:bookmarkEnd w:id="1671"/>
    </w:p>
    <w:p>
      <w:r>
        <w:rPr>
          <w:rFonts w:hint="eastAsia"/>
        </w:rPr>
        <w:t>关于是否扣留质量保证金的约定：是</w:t>
      </w:r>
      <w:r>
        <w:t>。</w:t>
      </w:r>
      <w:r>
        <w:rPr>
          <w:rFonts w:hint="eastAsia"/>
        </w:rPr>
        <w:t>在工程项目竣工前，承包人按专用合同条款第3.7条提供履约担保的，发包人不得同时预留工程质量保证金。</w:t>
      </w:r>
    </w:p>
    <w:p>
      <w:bookmarkStart w:id="1672" w:name="_Toc3900456"/>
      <w:r>
        <w:t xml:space="preserve">15.3.1 </w:t>
      </w:r>
      <w:r>
        <w:rPr>
          <w:rFonts w:hint="eastAsia"/>
        </w:rPr>
        <w:t>承包人提供</w:t>
      </w:r>
      <w:r>
        <w:t>质量保证金的</w:t>
      </w:r>
      <w:r>
        <w:rPr>
          <w:rFonts w:hint="eastAsia"/>
        </w:rPr>
        <w:t>方</w:t>
      </w:r>
      <w:r>
        <w:t>式</w:t>
      </w:r>
      <w:bookmarkEnd w:id="1672"/>
    </w:p>
    <w:p>
      <w:r>
        <w:t xml:space="preserve">质量保证金采用以下第 </w:t>
      </w:r>
      <w:r>
        <w:rPr>
          <w:rFonts w:hint="eastAsia"/>
        </w:rPr>
        <w:t>3</w:t>
      </w:r>
      <w:r>
        <w:t xml:space="preserve"> 种方式：</w:t>
      </w:r>
    </w:p>
    <w:p>
      <w:r>
        <w:t xml:space="preserve">（1）质量保证金保函，保证金额为：   </w:t>
      </w:r>
      <w:r>
        <w:rPr>
          <w:rFonts w:hint="eastAsia"/>
        </w:rPr>
        <w:t xml:space="preserve">    /    </w:t>
      </w:r>
      <w:r>
        <w:t xml:space="preserve">    ； </w:t>
      </w:r>
    </w:p>
    <w:p>
      <w:r>
        <w:t xml:space="preserve">（2）   </w:t>
      </w:r>
      <w:r>
        <w:rPr>
          <w:rFonts w:hint="eastAsia"/>
        </w:rPr>
        <w:t>/</w:t>
      </w:r>
      <w:r>
        <w:t xml:space="preserve">   %的工程款；</w:t>
      </w:r>
    </w:p>
    <w:p>
      <w:r>
        <w:t>（3）其他</w:t>
      </w:r>
      <w:r>
        <w:rPr>
          <w:rFonts w:hint="eastAsia"/>
        </w:rPr>
        <w:t>方</w:t>
      </w:r>
      <w:r>
        <w:t>式:</w:t>
      </w:r>
      <w:r>
        <w:rPr>
          <w:rFonts w:hint="eastAsia"/>
        </w:rPr>
        <w:t xml:space="preserve">承包人向发包人支付工程结算金额的3%作为质量保证金 </w:t>
      </w:r>
      <w:r>
        <w:t>。</w:t>
      </w:r>
    </w:p>
    <w:p>
      <w:bookmarkStart w:id="1673" w:name="_Toc3900457"/>
      <w:r>
        <w:t>15.3.2 质量保证金的扣留</w:t>
      </w:r>
      <w:bookmarkEnd w:id="1673"/>
      <w:r>
        <w:t xml:space="preserve"> </w:t>
      </w:r>
    </w:p>
    <w:p>
      <w:r>
        <w:t xml:space="preserve">质量保证金的扣留采取以下第 </w:t>
      </w:r>
      <w:r>
        <w:rPr>
          <w:rFonts w:hint="eastAsia"/>
        </w:rPr>
        <w:t xml:space="preserve"> （3） </w:t>
      </w:r>
      <w:r>
        <w:t xml:space="preserve">  种方式：</w:t>
      </w:r>
    </w:p>
    <w:p>
      <w:r>
        <w:t>（1）在支付工程进度款时逐次扣留，在此情形下，质量保证金的计算基数不包括预付款的支付、扣回以及价格调整的金额；</w:t>
      </w:r>
    </w:p>
    <w:p>
      <w:bookmarkStart w:id="1674" w:name="_Toc3900458"/>
      <w:r>
        <w:t>（2）工程竣工结算时一次性扣留质量保证金；</w:t>
      </w:r>
      <w:bookmarkEnd w:id="1674"/>
    </w:p>
    <w:p>
      <w:r>
        <w:t xml:space="preserve">（3）其他扣留方式:   </w:t>
      </w:r>
      <w:r>
        <w:rPr>
          <w:rFonts w:hint="eastAsia"/>
        </w:rPr>
        <w:t>承包人向发包人支付工程结算金额的3%作为质量保证金</w:t>
      </w:r>
      <w:r>
        <w:t xml:space="preserve">  。</w:t>
      </w:r>
    </w:p>
    <w:p>
      <w:r>
        <w:t>关于质量保证金的补充约定：</w:t>
      </w:r>
      <w:r>
        <w:rPr>
          <w:rFonts w:hint="eastAsia"/>
        </w:rPr>
        <w:t>缺陷责任期结束后,工程质量无纠纷，发包人无息退还质量保证金</w:t>
      </w:r>
      <w:r>
        <w:t>。</w:t>
      </w:r>
    </w:p>
    <w:bookmarkEnd w:id="1642"/>
    <w:bookmarkEnd w:id="1643"/>
    <w:p>
      <w:r>
        <w:t>15.4保修</w:t>
      </w:r>
    </w:p>
    <w:bookmarkEnd w:id="1644"/>
    <w:p>
      <w:r>
        <w:t>15.4.1 保修责任</w:t>
      </w:r>
    </w:p>
    <w:p>
      <w:r>
        <w:t>工程保修期为：</w:t>
      </w:r>
      <w:r>
        <w:rPr>
          <w:rFonts w:hint="eastAsia"/>
        </w:rPr>
        <w:t>执行《建设工程质量管理条例》相关规定，详见《工程质量保修书》</w:t>
      </w:r>
      <w:r>
        <w:t>。</w:t>
      </w:r>
    </w:p>
    <w:p>
      <w:r>
        <w:t>15.4.3 修复通知</w:t>
      </w:r>
    </w:p>
    <w:p>
      <w:r>
        <w:t>承包人收到保修通知并到达工程现场的合理时间：</w:t>
      </w:r>
      <w:r>
        <w:rPr>
          <w:rFonts w:hint="eastAsia"/>
        </w:rPr>
        <w:t>12小时以内</w:t>
      </w:r>
      <w:r>
        <w:t>。</w:t>
      </w:r>
    </w:p>
    <w:bookmarkEnd w:id="1645"/>
    <w:bookmarkEnd w:id="1646"/>
    <w:bookmarkEnd w:id="1647"/>
    <w:bookmarkEnd w:id="1648"/>
    <w:p>
      <w:bookmarkStart w:id="1675" w:name="_Toc351203648"/>
      <w:bookmarkStart w:id="1676" w:name="_Toc280868717"/>
      <w:bookmarkStart w:id="1677" w:name="_Toc280868718"/>
      <w:r>
        <w:t>16. 违约</w:t>
      </w:r>
      <w:bookmarkEnd w:id="1675"/>
    </w:p>
    <w:p>
      <w:bookmarkStart w:id="1678" w:name="_Toc3900459"/>
      <w:r>
        <w:t>16.1 发包人违约</w:t>
      </w:r>
      <w:bookmarkEnd w:id="1678"/>
    </w:p>
    <w:p>
      <w:r>
        <w:t>16.1.1发包人违约的情形</w:t>
      </w:r>
    </w:p>
    <w:p>
      <w:r>
        <w:t xml:space="preserve">发包人违约的其他情形：               </w:t>
      </w:r>
      <w:r>
        <w:rPr>
          <w:rFonts w:hint="eastAsia"/>
        </w:rPr>
        <w:t>/</w:t>
      </w:r>
      <w:r>
        <w:t xml:space="preserve">                 。</w:t>
      </w:r>
    </w:p>
    <w:p>
      <w:r>
        <w:t xml:space="preserve">    16.1.2 发包人违约的责任</w:t>
      </w:r>
    </w:p>
    <w:p>
      <w:r>
        <w:t>发包人违约责任的承担方式和计算方法：</w:t>
      </w:r>
    </w:p>
    <w:p>
      <w:r>
        <w:t>（1）因发包人原因未能在计划开工日期前7天内下达开工通知的违约责任：  /   。</w:t>
      </w:r>
    </w:p>
    <w:p>
      <w:r>
        <w:t xml:space="preserve">（2）因发包人原因未能按合同约定支付合同价款的违约责任：        /  </w:t>
      </w:r>
      <w:r>
        <w:rPr>
          <w:rFonts w:hint="eastAsia"/>
        </w:rPr>
        <w:t xml:space="preserve">      </w:t>
      </w:r>
      <w:r>
        <w:t>。</w:t>
      </w:r>
    </w:p>
    <w:p>
      <w:r>
        <w:t>（3）发包人违反第10.1款</w:t>
      </w:r>
      <w:r>
        <w:rPr>
          <w:rFonts w:hint="eastAsia"/>
        </w:rPr>
        <w:t>〔</w:t>
      </w:r>
      <w:r>
        <w:t>变更的范围</w:t>
      </w:r>
      <w:r>
        <w:rPr>
          <w:rFonts w:hint="eastAsia"/>
        </w:rPr>
        <w:t>〕</w:t>
      </w:r>
      <w:r>
        <w:t xml:space="preserve">第（2）项约定，自行实施被取消的工作或转由他人实施的违约责任：      </w:t>
      </w:r>
      <w:r>
        <w:rPr>
          <w:rFonts w:hint="eastAsia"/>
        </w:rPr>
        <w:t xml:space="preserve">   </w:t>
      </w:r>
      <w:r>
        <w:t>/</w:t>
      </w:r>
      <w:r>
        <w:rPr>
          <w:rFonts w:hint="eastAsia"/>
        </w:rPr>
        <w:t xml:space="preserve">          </w:t>
      </w:r>
      <w:r>
        <w:t>。</w:t>
      </w:r>
    </w:p>
    <w:p>
      <w:r>
        <w:t xml:space="preserve">（4）发包人提供的材料、工程设备的规格、数量或质量不符合合同约定，或因发包人原因导致交货日期延误或交货地点变更等情况的违约责任：       / </w:t>
      </w:r>
      <w:r>
        <w:rPr>
          <w:rFonts w:hint="eastAsia"/>
        </w:rPr>
        <w:t xml:space="preserve">      </w:t>
      </w:r>
      <w:r>
        <w:t>。</w:t>
      </w:r>
    </w:p>
    <w:p>
      <w:r>
        <w:t xml:space="preserve">（5）因发包人违反合同约定造成暂停施工的违约责任：     </w:t>
      </w:r>
      <w:r>
        <w:rPr>
          <w:rFonts w:hint="eastAsia"/>
        </w:rPr>
        <w:t xml:space="preserve">   </w:t>
      </w:r>
      <w:r>
        <w:t>/</w:t>
      </w:r>
      <w:r>
        <w:rPr>
          <w:rFonts w:hint="eastAsia"/>
        </w:rPr>
        <w:t xml:space="preserve">       </w:t>
      </w:r>
      <w:r>
        <w:t xml:space="preserve"> 。</w:t>
      </w:r>
    </w:p>
    <w:p>
      <w:r>
        <w:t xml:space="preserve">（6）发包人无正当理由没有在约定期限内发出复工指示，导致承包人无法复工的违约责任：               </w:t>
      </w:r>
      <w:r>
        <w:rPr>
          <w:rFonts w:hint="eastAsia"/>
        </w:rPr>
        <w:t xml:space="preserve"> </w:t>
      </w:r>
      <w:r>
        <w:t>/</w:t>
      </w:r>
      <w:r>
        <w:rPr>
          <w:rFonts w:hint="eastAsia"/>
        </w:rPr>
        <w:t xml:space="preserve">     </w:t>
      </w:r>
      <w:r>
        <w:t xml:space="preserve">    </w:t>
      </w:r>
      <w:r>
        <w:rPr>
          <w:rFonts w:hint="eastAsia"/>
        </w:rPr>
        <w:t xml:space="preserve">  </w:t>
      </w:r>
      <w:r>
        <w:t xml:space="preserve">     。</w:t>
      </w:r>
    </w:p>
    <w:p>
      <w:r>
        <w:t>（7）</w:t>
      </w:r>
      <w:r>
        <w:rPr>
          <w:rFonts w:hint="eastAsia"/>
        </w:rPr>
        <w:t>其他：</w:t>
      </w:r>
      <w:r>
        <w:t xml:space="preserve">                     /      </w:t>
      </w:r>
      <w:r>
        <w:rPr>
          <w:rFonts w:hint="eastAsia"/>
        </w:rPr>
        <w:t xml:space="preserve">      </w:t>
      </w:r>
      <w:r>
        <w:t xml:space="preserve">       </w:t>
      </w:r>
      <w:r>
        <w:rPr>
          <w:rFonts w:hint="eastAsia"/>
        </w:rPr>
        <w:t xml:space="preserve">  </w:t>
      </w:r>
      <w:r>
        <w:t>。</w:t>
      </w:r>
    </w:p>
    <w:p>
      <w:r>
        <w:t>16.1.3 因发包人违约解除合同</w:t>
      </w:r>
    </w:p>
    <w:p>
      <w:r>
        <w:t>承包人按16.1.1项</w:t>
      </w:r>
      <w:r>
        <w:rPr>
          <w:rFonts w:hint="eastAsia"/>
        </w:rPr>
        <w:t>〔</w:t>
      </w:r>
      <w:r>
        <w:t>发包人违约的情形</w:t>
      </w:r>
      <w:r>
        <w:rPr>
          <w:rFonts w:hint="eastAsia"/>
        </w:rPr>
        <w:t>〕</w:t>
      </w:r>
      <w:r>
        <w:t>约定暂停施工满  /  天后发包人仍不纠正其违约行为并致使合同目的不能实现的，承包人有权解除合同。</w:t>
      </w:r>
    </w:p>
    <w:p>
      <w:bookmarkStart w:id="1679" w:name="_Toc3900460"/>
      <w:r>
        <w:t>16.2 承包人违约</w:t>
      </w:r>
      <w:bookmarkEnd w:id="1679"/>
    </w:p>
    <w:p>
      <w:r>
        <w:t>16.2.1 承包人违约的情形</w:t>
      </w:r>
    </w:p>
    <w:p>
      <w:r>
        <w:t>承包人违约的其他情形：              /                  。</w:t>
      </w:r>
    </w:p>
    <w:p>
      <w:r>
        <w:t>16.2.2承包人违约的责任</w:t>
      </w:r>
    </w:p>
    <w:p>
      <w:r>
        <w:t xml:space="preserve">承包人违约责任的承担方式和计算方法：       /          。    </w:t>
      </w:r>
    </w:p>
    <w:p>
      <w:r>
        <w:t>16.2.3 因承包人违约解除合同</w:t>
      </w:r>
    </w:p>
    <w:p>
      <w:r>
        <w:t xml:space="preserve">关于承包人违约解除合同的特别约定：        </w:t>
      </w:r>
      <w:r>
        <w:rPr>
          <w:rFonts w:hint="eastAsia"/>
        </w:rPr>
        <w:t xml:space="preserve"> </w:t>
      </w:r>
      <w:r>
        <w:t>/</w:t>
      </w:r>
      <w:r>
        <w:rPr>
          <w:rFonts w:hint="eastAsia"/>
        </w:rPr>
        <w:t xml:space="preserve">      </w:t>
      </w:r>
      <w:r>
        <w:t xml:space="preserve">     。</w:t>
      </w:r>
    </w:p>
    <w:p>
      <w:r>
        <w:t>发包人</w:t>
      </w:r>
      <w:r>
        <w:rPr>
          <w:rFonts w:hint="eastAsia"/>
        </w:rPr>
        <w:t>继续</w:t>
      </w:r>
      <w:r>
        <w:t>使用承包人在施工现场的材料、设备、临时工程、承包人文件和由承包人或以其名义编制的其他文件</w:t>
      </w:r>
      <w:r>
        <w:rPr>
          <w:rFonts w:hint="eastAsia"/>
        </w:rPr>
        <w:t>的费用承担方式</w:t>
      </w:r>
      <w:r>
        <w:t xml:space="preserve">：    </w:t>
      </w:r>
      <w:r>
        <w:rPr>
          <w:rFonts w:hint="eastAsia"/>
        </w:rPr>
        <w:t xml:space="preserve">      </w:t>
      </w:r>
      <w:r>
        <w:t>/</w:t>
      </w:r>
      <w:r>
        <w:rPr>
          <w:rFonts w:hint="eastAsia"/>
        </w:rPr>
        <w:t xml:space="preserve">            。</w:t>
      </w:r>
    </w:p>
    <w:p>
      <w:bookmarkStart w:id="1680" w:name="_Toc351203649"/>
      <w:r>
        <w:t>17. 不可抗力</w:t>
      </w:r>
      <w:bookmarkEnd w:id="1680"/>
      <w:r>
        <w:t xml:space="preserve"> </w:t>
      </w:r>
      <w:bookmarkEnd w:id="1676"/>
    </w:p>
    <w:p>
      <w:r>
        <w:t>17.1 不可抗力的确认</w:t>
      </w:r>
    </w:p>
    <w:p>
      <w:r>
        <w:t>除通用合同条款约定的不可抗力事件之外，视为不可抗力的其他情形：    /     。</w:t>
      </w:r>
    </w:p>
    <w:p>
      <w:bookmarkStart w:id="1681" w:name="_Toc3900461"/>
      <w:r>
        <w:t>17.4 因不可抗力解除合同</w:t>
      </w:r>
      <w:bookmarkEnd w:id="1681"/>
    </w:p>
    <w:p>
      <w:r>
        <w:t>合同解除后，发包人应在商定或确定发包人应支付款项后  /  天内完成款项的支付。</w:t>
      </w:r>
    </w:p>
    <w:p>
      <w:bookmarkStart w:id="1682" w:name="_Toc351203650"/>
      <w:r>
        <w:t>18. 保险</w:t>
      </w:r>
      <w:bookmarkEnd w:id="1682"/>
    </w:p>
    <w:bookmarkEnd w:id="1677"/>
    <w:p>
      <w:r>
        <w:t>18.1 工程保险</w:t>
      </w:r>
    </w:p>
    <w:p>
      <w:r>
        <w:t xml:space="preserve">关于工程保险的特别约定：           </w:t>
      </w:r>
      <w:r>
        <w:rPr>
          <w:rFonts w:hint="eastAsia"/>
        </w:rPr>
        <w:t xml:space="preserve">  /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t xml:space="preserve">   。</w:t>
      </w:r>
    </w:p>
    <w:p>
      <w:bookmarkStart w:id="1683" w:name="_Toc3900462"/>
      <w:r>
        <w:t>18.3 其他保险</w:t>
      </w:r>
      <w:bookmarkEnd w:id="1683"/>
    </w:p>
    <w:p>
      <w:r>
        <w:t xml:space="preserve">关于其他保险的约定：                </w:t>
      </w:r>
      <w:r>
        <w:rPr>
          <w:rFonts w:hint="eastAsia"/>
        </w:rPr>
        <w:t xml:space="preserve">/      </w:t>
      </w:r>
      <w:r>
        <w:t xml:space="preserve">      </w:t>
      </w:r>
      <w:r>
        <w:rPr>
          <w:rFonts w:hint="eastAsia"/>
        </w:rPr>
        <w:t xml:space="preserve"> </w:t>
      </w:r>
      <w:r>
        <w:t xml:space="preserve">   </w:t>
      </w:r>
      <w:r>
        <w:rPr>
          <w:rFonts w:hint="eastAsia"/>
        </w:rPr>
        <w:t xml:space="preserve">  </w:t>
      </w:r>
      <w:r>
        <w:t xml:space="preserve">  。</w:t>
      </w:r>
    </w:p>
    <w:p>
      <w:r>
        <w:t>承包人是否应为其施工设备等办理财产保险：</w:t>
      </w:r>
      <w:r>
        <w:rPr>
          <w:rFonts w:hint="eastAsia"/>
        </w:rPr>
        <w:t>应当办理</w:t>
      </w:r>
      <w:r>
        <w:t>。</w:t>
      </w:r>
    </w:p>
    <w:p>
      <w:r>
        <w:t>18.7 通知义务</w:t>
      </w:r>
    </w:p>
    <w:p>
      <w:r>
        <w:t xml:space="preserve">关于变更保险合同时的通知义务的约定：         /  </w:t>
      </w:r>
      <w:r>
        <w:rPr>
          <w:rFonts w:hint="eastAsia"/>
        </w:rPr>
        <w:t xml:space="preserve"> </w:t>
      </w:r>
      <w:r>
        <w:t xml:space="preserve"> </w:t>
      </w:r>
      <w:r>
        <w:rPr>
          <w:rFonts w:hint="eastAsia"/>
        </w:rPr>
        <w:t xml:space="preserve">         </w:t>
      </w:r>
      <w:r>
        <w:t>。</w:t>
      </w:r>
    </w:p>
    <w:bookmarkEnd w:id="1649"/>
    <w:bookmarkEnd w:id="1650"/>
    <w:bookmarkEnd w:id="1651"/>
    <w:bookmarkEnd w:id="1652"/>
    <w:bookmarkEnd w:id="1653"/>
    <w:bookmarkEnd w:id="1654"/>
    <w:bookmarkEnd w:id="1655"/>
    <w:bookmarkEnd w:id="1656"/>
    <w:bookmarkEnd w:id="1657"/>
    <w:bookmarkEnd w:id="1658"/>
    <w:bookmarkEnd w:id="1659"/>
    <w:bookmarkEnd w:id="1660"/>
    <w:p>
      <w:bookmarkStart w:id="1684" w:name="_Toc351203651"/>
      <w:r>
        <w:t>20. 争议解决</w:t>
      </w:r>
      <w:bookmarkEnd w:id="1684"/>
    </w:p>
    <w:bookmarkEnd w:id="1661"/>
    <w:bookmarkEnd w:id="1662"/>
    <w:p>
      <w:bookmarkStart w:id="1685" w:name="_Toc3900463"/>
      <w:r>
        <w:t>20.3 争</w:t>
      </w:r>
      <w:bookmarkEnd w:id="1663"/>
      <w:r>
        <w:t>议评审</w:t>
      </w:r>
      <w:bookmarkEnd w:id="1685"/>
    </w:p>
    <w:p>
      <w:r>
        <w:t>合同当事人是否同意将工程争议提交争议评审小组决</w:t>
      </w:r>
      <w:r>
        <w:rPr>
          <w:rFonts w:hint="eastAsia"/>
        </w:rPr>
        <w:t xml:space="preserve">定：   否    。  </w:t>
      </w:r>
    </w:p>
    <w:p>
      <w:bookmarkStart w:id="1686" w:name="_Toc3900464"/>
      <w:r>
        <w:t>20.3.1 争议评审小组的确定</w:t>
      </w:r>
      <w:bookmarkEnd w:id="1686"/>
    </w:p>
    <w:p>
      <w:r>
        <w:t xml:space="preserve">争议评审小组成员的确定：               /      </w:t>
      </w:r>
      <w:r>
        <w:rPr>
          <w:rFonts w:hint="eastAsia"/>
        </w:rPr>
        <w:t xml:space="preserve">    </w:t>
      </w:r>
      <w:r>
        <w:t xml:space="preserve">    。</w:t>
      </w:r>
    </w:p>
    <w:p>
      <w:r>
        <w:t xml:space="preserve">选定争议评审员的期限：                 /    </w:t>
      </w:r>
      <w:r>
        <w:rPr>
          <w:rFonts w:hint="eastAsia"/>
        </w:rPr>
        <w:t xml:space="preserve">    </w:t>
      </w:r>
      <w:r>
        <w:t xml:space="preserve">      。</w:t>
      </w:r>
    </w:p>
    <w:p>
      <w:r>
        <w:t xml:space="preserve">争议评审小组成员的报酬承担方式：       /    </w:t>
      </w:r>
      <w:r>
        <w:rPr>
          <w:rFonts w:hint="eastAsia"/>
        </w:rPr>
        <w:t xml:space="preserve">    </w:t>
      </w:r>
      <w:r>
        <w:t xml:space="preserve">      。</w:t>
      </w:r>
    </w:p>
    <w:p>
      <w:r>
        <w:t xml:space="preserve">其他事项的约定：                    /      </w:t>
      </w:r>
      <w:r>
        <w:rPr>
          <w:rFonts w:hint="eastAsia"/>
        </w:rPr>
        <w:t xml:space="preserve">    </w:t>
      </w:r>
      <w:r>
        <w:t xml:space="preserve">       。</w:t>
      </w:r>
    </w:p>
    <w:p>
      <w:bookmarkStart w:id="1687" w:name="_Toc3900465"/>
      <w:r>
        <w:t>20.3.2 争议评审小组的决定</w:t>
      </w:r>
      <w:bookmarkEnd w:id="1687"/>
    </w:p>
    <w:p>
      <w:r>
        <w:t xml:space="preserve">合同当事人关于本项的约定：          /            </w:t>
      </w:r>
      <w:r>
        <w:rPr>
          <w:rFonts w:hint="eastAsia"/>
        </w:rPr>
        <w:t xml:space="preserve">   </w:t>
      </w:r>
      <w:r>
        <w:t xml:space="preserve">  。</w:t>
      </w:r>
    </w:p>
    <w:p>
      <w:bookmarkStart w:id="1688" w:name="_Toc3900466"/>
      <w:r>
        <w:t>20.4仲裁或诉讼</w:t>
      </w:r>
      <w:bookmarkEnd w:id="1664"/>
      <w:bookmarkEnd w:id="1688"/>
    </w:p>
    <w:p>
      <w:r>
        <w:t xml:space="preserve">因合同及合同有关事项发生的争议，按下列第  </w:t>
      </w:r>
      <w:r>
        <w:rPr>
          <w:rFonts w:hint="eastAsia"/>
        </w:rPr>
        <w:t>（2）</w:t>
      </w:r>
      <w:r>
        <w:t xml:space="preserve">   种方式</w:t>
      </w:r>
      <w:r>
        <w:rPr>
          <w:rFonts w:hint="eastAsia"/>
        </w:rPr>
        <w:t>解</w:t>
      </w:r>
      <w:r>
        <w:t>决：</w:t>
      </w:r>
    </w:p>
    <w:p>
      <w:r>
        <w:t xml:space="preserve">（1）向            </w:t>
      </w:r>
      <w:r>
        <w:rPr>
          <w:rFonts w:hint="eastAsia"/>
        </w:rPr>
        <w:t>/</w:t>
      </w:r>
      <w:r>
        <w:t xml:space="preserve">         仲裁委员会申请仲裁；</w:t>
      </w:r>
    </w:p>
    <w:p>
      <w:r>
        <w:t xml:space="preserve">（2）向   </w:t>
      </w:r>
      <w:r>
        <w:rPr>
          <w:rFonts w:hint="eastAsia"/>
        </w:rPr>
        <w:t>发包人所在地</w:t>
      </w:r>
      <w:r>
        <w:t xml:space="preserve">   人民法院起诉。</w:t>
      </w:r>
      <w:bookmarkEnd w:id="1665"/>
      <w:bookmarkEnd w:id="1666"/>
      <w:bookmarkEnd w:id="1667"/>
      <w:bookmarkEnd w:id="1668"/>
      <w:bookmarkEnd w:id="1669"/>
      <w:bookmarkEnd w:id="1670"/>
    </w:p>
    <w:p>
      <w:r>
        <w:t>21.其他要求</w:t>
      </w:r>
    </w:p>
    <w:p>
      <w:r>
        <w:t>21.1施工完成后，承包人对现场进行开荒保洁后移交发包人，相关费用已包括在合同总价中。</w:t>
      </w:r>
    </w:p>
    <w:p>
      <w:r>
        <w:t>21.2根据发包人实际需求，发包人可以将招标清单中的一个或者多个子项减项，可以酌定减少一个或多个子项的工程量，并且不对承包人进行任何赔偿，承包人应无条件同意。</w:t>
      </w:r>
    </w:p>
    <w:p>
      <w:r>
        <w:rPr>
          <w:rFonts w:hint="eastAsia"/>
        </w:rPr>
        <w:t>21.3施工原材料按照规范进行见证取样试验，相关费用含在工程造价中。</w:t>
      </w:r>
    </w:p>
    <w:p/>
    <w:p/>
    <w:p/>
    <w:p>
      <w:r>
        <w:t>附件</w:t>
      </w:r>
    </w:p>
    <w:p>
      <w:r>
        <w:t>附件</w:t>
      </w:r>
      <w:r>
        <w:rPr>
          <w:rFonts w:hint="eastAsia"/>
        </w:rPr>
        <w:t>1</w:t>
      </w:r>
      <w:r>
        <w:t>：工程质量保修书</w:t>
      </w:r>
    </w:p>
    <w:p>
      <w:r>
        <w:rPr>
          <w:rFonts w:hint="eastAsia"/>
        </w:rPr>
        <w:t>附件2：廉政责任书格式</w:t>
      </w:r>
    </w:p>
    <w:p/>
    <w:p>
      <w:pPr>
        <w:rPr>
          <w:rFonts w:hint="eastAsia"/>
        </w:rPr>
      </w:pPr>
    </w:p>
    <w:p>
      <w:pPr>
        <w:rPr>
          <w:rFonts w:hint="eastAsia"/>
        </w:rPr>
      </w:pPr>
    </w:p>
    <w:p>
      <w:r>
        <w:rPr>
          <w:rFonts w:hint="eastAsia"/>
        </w:rPr>
        <w:t>附件1：工程质量保修书</w:t>
      </w:r>
    </w:p>
    <w:p>
      <w:r>
        <w:t>工程质量保修书</w:t>
      </w:r>
    </w:p>
    <w:p>
      <w:r>
        <w:t xml:space="preserve">发包人（全称）：                                 </w:t>
      </w:r>
    </w:p>
    <w:p>
      <w:r>
        <w:t xml:space="preserve">　　承包人（全称）：                                 </w:t>
      </w:r>
    </w:p>
    <w:p/>
    <w:p>
      <w:r>
        <w:t>　　发包人和承包人根据《中华人民共和国建筑法》和《建设工程质量管理条例》，经协商一致就                （工程全称）签订工程质量保修书。</w:t>
      </w:r>
    </w:p>
    <w:p>
      <w:r>
        <w:t>　　</w:t>
      </w:r>
      <w:bookmarkStart w:id="1689" w:name="_Toc3900467"/>
      <w:r>
        <w:t>一、工程质量保修范围和内容</w:t>
      </w:r>
      <w:bookmarkEnd w:id="1689"/>
    </w:p>
    <w:p>
      <w:r>
        <w:t>　　承包人在质量保修期内，按照有关法律规定和合同约定，承担工程质量保修责任。</w:t>
      </w:r>
    </w:p>
    <w:p>
      <w: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
        <w:t xml:space="preserve">                                                                        。</w:t>
      </w:r>
    </w:p>
    <w:p>
      <w:r>
        <w:t>　　</w:t>
      </w:r>
      <w:bookmarkStart w:id="1690" w:name="_Toc3900468"/>
      <w:r>
        <w:t>二、质量保修期</w:t>
      </w:r>
      <w:bookmarkEnd w:id="1690"/>
    </w:p>
    <w:p>
      <w:r>
        <w:t>根据《建设工程质量管理条例》及有关规定，工程的质量保修期如下：</w:t>
      </w:r>
    </w:p>
    <w:p>
      <w:r>
        <w:rPr>
          <w:rFonts w:hint="eastAsia"/>
        </w:rPr>
        <w:t>1．地基基础工程和主体结构工程为设计文件规定的工程合理使用年限；</w:t>
      </w:r>
    </w:p>
    <w:p>
      <w:r>
        <w:rPr>
          <w:rFonts w:hint="eastAsia"/>
        </w:rPr>
        <w:t>2．</w:t>
      </w:r>
      <w:r>
        <w:t>屋面防水工程、有防水要求的卫生间、房间和外墙面的防渗</w:t>
      </w:r>
      <w:r>
        <w:rPr>
          <w:rFonts w:hint="eastAsia"/>
        </w:rPr>
        <w:t xml:space="preserve">为   </w:t>
      </w:r>
      <w:r>
        <w:rPr>
          <w:rFonts w:hint="eastAsia"/>
          <w:lang w:val="en-US" w:eastAsia="zh-CN"/>
        </w:rPr>
        <w:t xml:space="preserve"> </w:t>
      </w:r>
      <w:r>
        <w:rPr>
          <w:rFonts w:hint="eastAsia"/>
        </w:rPr>
        <w:t xml:space="preserve">   </w:t>
      </w:r>
      <w:r>
        <w:t>年；</w:t>
      </w:r>
    </w:p>
    <w:p>
      <w:r>
        <w:rPr>
          <w:rFonts w:hint="eastAsia"/>
        </w:rPr>
        <w:t>3．</w:t>
      </w:r>
      <w:r>
        <w:t>装修工程为      年；</w:t>
      </w:r>
    </w:p>
    <w:p>
      <w:r>
        <w:rPr>
          <w:rFonts w:hint="eastAsia"/>
        </w:rPr>
        <w:t>4．</w:t>
      </w:r>
      <w:r>
        <w:t>电气管线、给排水管道、设备安装工程为      年；</w:t>
      </w:r>
    </w:p>
    <w:p>
      <w:r>
        <w:rPr>
          <w:rFonts w:hint="eastAsia"/>
        </w:rPr>
        <w:t>5．</w:t>
      </w:r>
      <w:r>
        <w:t xml:space="preserve">供热与供冷系统为  </w:t>
      </w:r>
      <w:r>
        <w:rPr>
          <w:rFonts w:hint="eastAsia"/>
        </w:rPr>
        <w:t xml:space="preserve"> </w:t>
      </w:r>
      <w:r>
        <w:t xml:space="preserve">   个采暖期、供冷期；</w:t>
      </w:r>
    </w:p>
    <w:p>
      <w:r>
        <w:rPr>
          <w:rFonts w:hint="eastAsia"/>
        </w:rPr>
        <w:t>6．</w:t>
      </w:r>
      <w:r>
        <w:t>住宅小区内的给排水设施、道路等配套工程为       年；</w:t>
      </w:r>
    </w:p>
    <w:p>
      <w:r>
        <w:rPr>
          <w:rFonts w:hint="eastAsia"/>
        </w:rPr>
        <w:t>7．</w:t>
      </w:r>
      <w:r>
        <w:t>其他项目保修期限约定如下：</w:t>
      </w:r>
      <w:r>
        <w:rPr>
          <w:rFonts w:hint="eastAsia"/>
        </w:rPr>
        <w:t xml:space="preserve">         年</w:t>
      </w:r>
      <w:r>
        <w:t>。</w:t>
      </w:r>
    </w:p>
    <w:p>
      <w:r>
        <w:t>　　质量保修期自工程竣工验收合格之日起计算。</w:t>
      </w:r>
    </w:p>
    <w:p>
      <w:bookmarkStart w:id="1691" w:name="_Toc3900469"/>
      <w:r>
        <w:t>三、缺陷责任期</w:t>
      </w:r>
      <w:bookmarkEnd w:id="1691"/>
    </w:p>
    <w:p>
      <w:r>
        <w:t xml:space="preserve">工程缺陷责任期为 </w:t>
      </w:r>
      <w:r>
        <w:rPr>
          <w:rFonts w:hint="eastAsia"/>
          <w:lang w:val="en-US" w:eastAsia="zh-CN"/>
        </w:rPr>
        <w:t xml:space="preserve">  </w:t>
      </w:r>
      <w:r>
        <w:t>个月，缺陷责任期自工程</w:t>
      </w:r>
      <w:r>
        <w:rPr>
          <w:rFonts w:hint="eastAsia"/>
        </w:rPr>
        <w:t>通过竣工验收</w:t>
      </w:r>
      <w:r>
        <w:t>之日起计算。单位工程先于全部工程进行验收，单位工程缺陷责任期自单位工程验收合格之日起算。</w:t>
      </w:r>
    </w:p>
    <w:p>
      <w:r>
        <w:t>缺陷责任期终止后，发包人应退还剩余的质量保证金。</w:t>
      </w:r>
    </w:p>
    <w:p>
      <w:r>
        <w:t xml:space="preserve">    </w:t>
      </w:r>
      <w:bookmarkStart w:id="1692" w:name="_Toc3900470"/>
      <w:r>
        <w:t>四、质量保修责任</w:t>
      </w:r>
      <w:bookmarkEnd w:id="1692"/>
    </w:p>
    <w:p>
      <w:r>
        <w:rPr>
          <w:rFonts w:hint="eastAsia"/>
        </w:rPr>
        <w:t>1．</w:t>
      </w:r>
      <w:r>
        <w:t>属于保修范围、内容的项目，承包人应当在接到保修通知之日起</w:t>
      </w:r>
      <w:r>
        <w:rPr>
          <w:rFonts w:hint="eastAsia"/>
        </w:rPr>
        <w:t>12小时</w:t>
      </w:r>
      <w:r>
        <w:t>内派人保修。承包人不在约定期限内派人保修的，发包人可以委托他人修理。</w:t>
      </w:r>
    </w:p>
    <w:p>
      <w:r>
        <w:rPr>
          <w:rFonts w:hint="eastAsia"/>
        </w:rPr>
        <w:t>2．</w:t>
      </w:r>
      <w:r>
        <w:t>发生紧急事故需抢修的，承包人在接到事故通知后，应当立即到达事故现场抢修。</w:t>
      </w:r>
    </w:p>
    <w:p>
      <w:r>
        <w:rPr>
          <w:rFonts w:hint="eastAsia"/>
        </w:rPr>
        <w:t>3．</w:t>
      </w:r>
      <w: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
        <w:rPr>
          <w:rFonts w:hint="eastAsia"/>
        </w:rPr>
        <w:t>4．</w:t>
      </w:r>
      <w:r>
        <w:t>质量保修完成后，由发包人组织验收。</w:t>
      </w:r>
    </w:p>
    <w:p>
      <w:r>
        <w:t>　　</w:t>
      </w:r>
      <w:bookmarkStart w:id="1693" w:name="_Toc3900471"/>
      <w:r>
        <w:t>五、保修费用</w:t>
      </w:r>
      <w:bookmarkEnd w:id="1693"/>
    </w:p>
    <w:p>
      <w:r>
        <w:t>　　保修费用由造成质量缺陷的责任方承担。</w:t>
      </w:r>
    </w:p>
    <w:p>
      <w:bookmarkStart w:id="1694" w:name="_Toc3900472"/>
      <w:r>
        <w:t>六、双方约定的其他工程质量保修事项：</w:t>
      </w:r>
      <w:bookmarkEnd w:id="1694"/>
      <w:r>
        <w:t xml:space="preserve">          </w:t>
      </w:r>
      <w:r>
        <w:rPr>
          <w:rFonts w:hint="eastAsia"/>
        </w:rPr>
        <w:t xml:space="preserve">  </w:t>
      </w:r>
      <w:r>
        <w:t>。</w:t>
      </w:r>
    </w:p>
    <w:p>
      <w:r>
        <w:t>工程质量保修书由发包人、承包人在工程竣工验收前共同签署，作为施工合同附件，其有效期限至保修期满。</w:t>
      </w:r>
    </w:p>
    <w:p/>
    <w:p>
      <w:r>
        <w:t xml:space="preserve">发包人(公章)：         </w:t>
      </w:r>
      <w:r>
        <w:rPr>
          <w:rFonts w:hint="eastAsia"/>
        </w:rPr>
        <w:t xml:space="preserve">             </w:t>
      </w:r>
      <w:r>
        <w:t>承包人(公章)：</w:t>
      </w:r>
      <w:r>
        <w:rPr>
          <w:rFonts w:hint="eastAsia"/>
        </w:rPr>
        <w:t xml:space="preserve">          </w:t>
      </w:r>
      <w:r>
        <w:t xml:space="preserve"> </w:t>
      </w:r>
    </w:p>
    <w:p>
      <w:r>
        <w:t xml:space="preserve">地  址：     </w:t>
      </w:r>
      <w:r>
        <w:rPr>
          <w:rFonts w:hint="eastAsia"/>
        </w:rPr>
        <w:t xml:space="preserve">               </w:t>
      </w:r>
      <w:r>
        <w:t>地  址：</w:t>
      </w:r>
      <w:r>
        <w:rPr>
          <w:rFonts w:hint="eastAsia"/>
        </w:rPr>
        <w:t xml:space="preserve"> </w:t>
      </w:r>
      <w:r>
        <w:t xml:space="preserve"> </w:t>
      </w:r>
      <w:r>
        <w:rPr>
          <w:rFonts w:hint="eastAsia"/>
        </w:rPr>
        <w:t xml:space="preserve"> </w:t>
      </w:r>
      <w:r>
        <w:t xml:space="preserve">    </w:t>
      </w:r>
    </w:p>
    <w:p>
      <w:r>
        <w:t>法定代表人(签字)：</w:t>
      </w:r>
      <w:r>
        <w:rPr>
          <w:rFonts w:hint="eastAsia"/>
        </w:rPr>
        <w:t xml:space="preserve">    </w:t>
      </w:r>
      <w:r>
        <w:t xml:space="preserve">   </w:t>
      </w:r>
      <w:r>
        <w:rPr>
          <w:rFonts w:hint="eastAsia"/>
        </w:rPr>
        <w:t xml:space="preserve">             </w:t>
      </w:r>
      <w:r>
        <w:t>法定代表人(签字)：</w:t>
      </w:r>
      <w:r>
        <w:rPr>
          <w:rFonts w:hint="eastAsia"/>
        </w:rPr>
        <w:t xml:space="preserve">      </w:t>
      </w:r>
      <w:r>
        <w:t xml:space="preserve"> </w:t>
      </w:r>
    </w:p>
    <w:p>
      <w:r>
        <w:t xml:space="preserve">委托代理人(签字)：       </w:t>
      </w:r>
      <w:r>
        <w:rPr>
          <w:rFonts w:hint="eastAsia"/>
        </w:rPr>
        <w:t xml:space="preserve">             </w:t>
      </w:r>
      <w:r>
        <w:t xml:space="preserve">委托代理人(签字)：  </w:t>
      </w:r>
      <w:r>
        <w:rPr>
          <w:rFonts w:hint="eastAsia"/>
        </w:rPr>
        <w:t xml:space="preserve"> </w:t>
      </w:r>
      <w:r>
        <w:t xml:space="preserve">    </w:t>
      </w:r>
    </w:p>
    <w:p>
      <w:r>
        <w:t xml:space="preserve">电  话：    </w:t>
      </w:r>
      <w:r>
        <w:rPr>
          <w:rFonts w:hint="eastAsia"/>
        </w:rPr>
        <w:t xml:space="preserve">              </w:t>
      </w:r>
      <w:r>
        <w:t>电  话：</w:t>
      </w:r>
      <w:r>
        <w:rPr>
          <w:rFonts w:hint="eastAsia"/>
        </w:rPr>
        <w:t xml:space="preserve">  </w:t>
      </w:r>
      <w:r>
        <w:t xml:space="preserve">   </w:t>
      </w:r>
    </w:p>
    <w:p>
      <w:r>
        <w:t xml:space="preserve">传  真：    </w:t>
      </w:r>
      <w:r>
        <w:rPr>
          <w:rFonts w:hint="eastAsia"/>
        </w:rPr>
        <w:t xml:space="preserve">              </w:t>
      </w:r>
      <w:r>
        <w:t>传  真：</w:t>
      </w:r>
      <w:r>
        <w:rPr>
          <w:rFonts w:hint="eastAsia"/>
        </w:rPr>
        <w:t xml:space="preserve">  </w:t>
      </w:r>
      <w:r>
        <w:t xml:space="preserve">   </w:t>
      </w:r>
    </w:p>
    <w:p>
      <w:r>
        <w:t xml:space="preserve">开户银行：    </w:t>
      </w:r>
      <w:r>
        <w:rPr>
          <w:rFonts w:hint="eastAsia"/>
        </w:rPr>
        <w:t xml:space="preserve">              </w:t>
      </w:r>
      <w:r>
        <w:t xml:space="preserve">开户银行：   </w:t>
      </w:r>
    </w:p>
    <w:p>
      <w:r>
        <w:t xml:space="preserve">账  号：       </w:t>
      </w:r>
      <w:r>
        <w:rPr>
          <w:rFonts w:hint="eastAsia"/>
        </w:rPr>
        <w:t xml:space="preserve">               </w:t>
      </w:r>
      <w:r>
        <w:t>账</w:t>
      </w:r>
      <w:r>
        <w:rPr>
          <w:rFonts w:hint="eastAsia"/>
        </w:rPr>
        <w:t xml:space="preserve"> </w:t>
      </w:r>
      <w:r>
        <w:t xml:space="preserve"> 号：</w:t>
      </w:r>
      <w:r>
        <w:rPr>
          <w:rFonts w:hint="eastAsia"/>
        </w:rPr>
        <w:t xml:space="preserve">  </w:t>
      </w:r>
      <w:r>
        <w:t xml:space="preserve">  </w:t>
      </w:r>
      <w:r>
        <w:rPr>
          <w:rFonts w:hint="eastAsia"/>
        </w:rPr>
        <w:t xml:space="preserve"> </w:t>
      </w:r>
    </w:p>
    <w:p>
      <w:r>
        <w:t xml:space="preserve">邮政编码：      </w:t>
      </w:r>
      <w:r>
        <w:rPr>
          <w:rFonts w:hint="eastAsia"/>
        </w:rPr>
        <w:t xml:space="preserve">              </w:t>
      </w:r>
      <w:r>
        <w:t xml:space="preserve">邮政编码：   </w:t>
      </w:r>
    </w:p>
    <w:p/>
    <w:p/>
    <w:p>
      <w:r>
        <w:rPr>
          <w:rFonts w:hint="eastAsia"/>
        </w:rPr>
        <w:t>附件</w:t>
      </w:r>
      <w:r>
        <w:t>2</w:t>
      </w:r>
      <w:r>
        <w:rPr>
          <w:rFonts w:hint="eastAsia"/>
        </w:rPr>
        <w:t>：廉政责任书格式</w:t>
      </w:r>
    </w:p>
    <w:p>
      <w:r>
        <w:rPr>
          <w:rFonts w:hint="eastAsia"/>
        </w:rPr>
        <w:t>建设工程廉政责任书</w:t>
      </w:r>
    </w:p>
    <w:p/>
    <w:p>
      <w:r>
        <w:rPr>
          <w:rFonts w:hint="eastAsia"/>
        </w:rPr>
        <w:t xml:space="preserve">发包人：                                        </w:t>
      </w:r>
    </w:p>
    <w:p>
      <w:r>
        <w:rPr>
          <w:rFonts w:hint="eastAsia"/>
        </w:rPr>
        <w:t xml:space="preserve">承包人：                                        </w:t>
      </w:r>
    </w:p>
    <w:p/>
    <w:p>
      <w:r>
        <w:t>为加强建设工程廉政建设，规范</w:t>
      </w:r>
      <w:r>
        <w:rPr>
          <w:rFonts w:hint="eastAsia"/>
        </w:rPr>
        <w:t>建设工程</w:t>
      </w:r>
      <w:r>
        <w:t>各项活动</w:t>
      </w:r>
      <w:r>
        <w:rPr>
          <w:rFonts w:hint="eastAsia"/>
        </w:rPr>
        <w:t>中发包人承包人双方的行为</w:t>
      </w:r>
      <w:r>
        <w:t>，防止谋取不正当利益的违法违纪</w:t>
      </w:r>
      <w:r>
        <w:rPr>
          <w:rFonts w:hint="eastAsia"/>
        </w:rPr>
        <w:t>现象的</w:t>
      </w:r>
      <w:r>
        <w:t>发生，保护国家、集体和当事人的合法权益，根据国家有关工程建设的法律法规和廉政建设</w:t>
      </w:r>
      <w:r>
        <w:rPr>
          <w:rFonts w:hint="eastAsia"/>
        </w:rPr>
        <w:t>的有关规定</w:t>
      </w:r>
      <w:r>
        <w:t>，订立本廉政责任书。</w:t>
      </w:r>
    </w:p>
    <w:p>
      <w:bookmarkStart w:id="1695" w:name="_Toc468103299"/>
      <w:bookmarkStart w:id="1696" w:name="_Toc111445504"/>
      <w:r>
        <w:rPr>
          <w:rFonts w:hint="eastAsia"/>
        </w:rPr>
        <w:t>一、双方的责任</w:t>
      </w:r>
      <w:bookmarkEnd w:id="1695"/>
      <w:bookmarkEnd w:id="1696"/>
    </w:p>
    <w:p>
      <w:r>
        <w:rPr>
          <w:rFonts w:hint="eastAsia"/>
        </w:rPr>
        <w:t>1</w:t>
      </w:r>
      <w:r>
        <w:t>.1</w:t>
      </w:r>
      <w:r>
        <w:rPr>
          <w:rFonts w:hint="eastAsia"/>
        </w:rPr>
        <w:t xml:space="preserve"> </w:t>
      </w:r>
      <w:r>
        <w:t>应严格遵守国家关于</w:t>
      </w:r>
      <w:r>
        <w:rPr>
          <w:rFonts w:hint="eastAsia"/>
        </w:rPr>
        <w:t>建设工程</w:t>
      </w:r>
      <w:r>
        <w:t>的有关法律、法规，相关政策，以及廉政建设的各项规定。</w:t>
      </w:r>
    </w:p>
    <w:p>
      <w:r>
        <w:rPr>
          <w:rFonts w:hint="eastAsia"/>
        </w:rPr>
        <w:t>1</w:t>
      </w:r>
      <w:r>
        <w:t>.</w:t>
      </w:r>
      <w:r>
        <w:rPr>
          <w:rFonts w:hint="eastAsia"/>
        </w:rPr>
        <w:t xml:space="preserve">2 </w:t>
      </w:r>
      <w:r>
        <w:t>严格执行建设工程合同文件，自觉按合同办事。</w:t>
      </w:r>
    </w:p>
    <w:p>
      <w:r>
        <w:rPr>
          <w:rFonts w:hint="eastAsia"/>
        </w:rPr>
        <w:t>1</w:t>
      </w:r>
      <w:r>
        <w:t>.</w:t>
      </w:r>
      <w:r>
        <w:rPr>
          <w:rFonts w:hint="eastAsia"/>
        </w:rPr>
        <w:t>3 各项</w:t>
      </w:r>
      <w:r>
        <w:t>活动必须坚持公开、公平、公正、诚信、透明的原则（除法律法规另有规定者外），不得为获取不正当的利益，损害国家、集体和对方利益，不得违反建设工程管理的规章制度。</w:t>
      </w:r>
    </w:p>
    <w:p>
      <w:r>
        <w:rPr>
          <w:rFonts w:hint="eastAsia"/>
        </w:rPr>
        <w:t>1</w:t>
      </w:r>
      <w:r>
        <w:t>.</w:t>
      </w:r>
      <w:r>
        <w:rPr>
          <w:rFonts w:hint="eastAsia"/>
        </w:rPr>
        <w:t xml:space="preserve">4 </w:t>
      </w:r>
      <w:r>
        <w:t>发现对方在业务活动中有违规、违纪、违法行为的，应及时提醒对方，情节严重的，应向其上级主管部门或纪检监察、司法等有关机关举报。</w:t>
      </w:r>
    </w:p>
    <w:p>
      <w:bookmarkStart w:id="1697" w:name="_Toc468103300"/>
      <w:bookmarkStart w:id="1698" w:name="_Toc111445505"/>
      <w:r>
        <w:rPr>
          <w:rFonts w:hint="eastAsia"/>
        </w:rPr>
        <w:t>二、发包人责任</w:t>
      </w:r>
      <w:bookmarkEnd w:id="1697"/>
      <w:bookmarkEnd w:id="1698"/>
    </w:p>
    <w:p>
      <w:r>
        <w:t>发包人的领导和从事该建设工程项目的工作人员，在工程建设的事前、事中、事后应遵守以下规定：</w:t>
      </w:r>
    </w:p>
    <w:p>
      <w:r>
        <w:rPr>
          <w:rFonts w:hint="eastAsia"/>
        </w:rPr>
        <w:t>2</w:t>
      </w:r>
      <w:r>
        <w:t>.</w:t>
      </w:r>
      <w:r>
        <w:rPr>
          <w:rFonts w:hint="eastAsia"/>
        </w:rPr>
        <w:t>1</w:t>
      </w:r>
      <w:r>
        <w:t>不得向承包人和相关单位索要或接受回扣、礼金、有价证券、贵重物品和好处费、感谢费等。</w:t>
      </w:r>
    </w:p>
    <w:p>
      <w:bookmarkStart w:id="1699" w:name="_Toc468103301"/>
      <w:r>
        <w:rPr>
          <w:rFonts w:hint="eastAsia"/>
        </w:rPr>
        <w:t>2</w:t>
      </w:r>
      <w:r>
        <w:t>.</w:t>
      </w:r>
      <w:r>
        <w:rPr>
          <w:rFonts w:hint="eastAsia"/>
        </w:rPr>
        <w:t xml:space="preserve">2 </w:t>
      </w:r>
      <w:r>
        <w:t>不得在承包人和相关单位报销任何应由发包人或个人支付的费用。</w:t>
      </w:r>
      <w:bookmarkEnd w:id="1699"/>
    </w:p>
    <w:p>
      <w:r>
        <w:rPr>
          <w:rFonts w:hint="eastAsia"/>
        </w:rPr>
        <w:t>2</w:t>
      </w:r>
      <w:r>
        <w:t>.</w:t>
      </w:r>
      <w:r>
        <w:rPr>
          <w:rFonts w:hint="eastAsia"/>
        </w:rPr>
        <w:t xml:space="preserve">3 </w:t>
      </w:r>
      <w:r>
        <w:t>不得要求、暗示或接受承包人和相关单位为个人装修住房、婚丧嫁娶、配偶子女的工作安排以及出国（境）、旅游等提供方便。</w:t>
      </w:r>
    </w:p>
    <w:p>
      <w:r>
        <w:rPr>
          <w:rFonts w:hint="eastAsia"/>
        </w:rPr>
        <w:t>2</w:t>
      </w:r>
      <w:r>
        <w:t>.</w:t>
      </w:r>
      <w:r>
        <w:rPr>
          <w:rFonts w:hint="eastAsia"/>
        </w:rPr>
        <w:t xml:space="preserve">4 </w:t>
      </w:r>
      <w:r>
        <w:t>不得参加有可能影响公正执行公务的承包人和相关单位的宴请、健身、娱乐等活动。</w:t>
      </w:r>
    </w:p>
    <w:p>
      <w:r>
        <w:rPr>
          <w:rFonts w:hint="eastAsia"/>
        </w:rPr>
        <w:t>2</w:t>
      </w:r>
      <w:r>
        <w:t>.</w:t>
      </w:r>
      <w:r>
        <w:rPr>
          <w:rFonts w:hint="eastAsia"/>
        </w:rPr>
        <w:t xml:space="preserve">5 </w:t>
      </w:r>
      <w:r>
        <w:t>不得向承包人和相关单位介绍或为配偶、子女、亲属参与同发包人</w:t>
      </w:r>
      <w:r>
        <w:rPr>
          <w:rFonts w:hint="eastAsia"/>
        </w:rPr>
        <w:t>工程建设管理</w:t>
      </w:r>
      <w:r>
        <w:t>合同有关的业务活动</w:t>
      </w:r>
      <w:r>
        <w:rPr>
          <w:rFonts w:hint="eastAsia"/>
        </w:rPr>
        <w:t>；</w:t>
      </w:r>
      <w:r>
        <w:t>不得以任何理由要求承包人和相关单位使用某种产品、材料和设备。</w:t>
      </w:r>
    </w:p>
    <w:p>
      <w:bookmarkStart w:id="1700" w:name="_Toc468103302"/>
      <w:bookmarkStart w:id="1701" w:name="_Toc111445506"/>
      <w:r>
        <w:rPr>
          <w:rFonts w:hint="eastAsia"/>
        </w:rPr>
        <w:t>三、承包人责任</w:t>
      </w:r>
      <w:bookmarkEnd w:id="1700"/>
      <w:bookmarkEnd w:id="1701"/>
    </w:p>
    <w:p>
      <w:r>
        <w:t>应与发包人保持正常的业务交往，按照有关法律法规和程序开展业务工作，严格执行工程建设的有关方针、政策，</w:t>
      </w:r>
      <w:r>
        <w:rPr>
          <w:rFonts w:hint="eastAsia"/>
        </w:rPr>
        <w:t>执行工程建设</w:t>
      </w:r>
      <w:r>
        <w:t>强制性标准，并遵守以下规定：</w:t>
      </w:r>
    </w:p>
    <w:p>
      <w:r>
        <w:rPr>
          <w:rFonts w:hint="eastAsia"/>
        </w:rPr>
        <w:t>3</w:t>
      </w:r>
      <w:r>
        <w:t>.</w:t>
      </w:r>
      <w:r>
        <w:rPr>
          <w:rFonts w:hint="eastAsia"/>
        </w:rPr>
        <w:t xml:space="preserve">1 </w:t>
      </w:r>
      <w:r>
        <w:t>不得以任何理由向发包人及其工作人员索要、接受或赠送礼金、有价证券、贵重物品及回扣、好处费、感谢费等。</w:t>
      </w:r>
    </w:p>
    <w:p>
      <w:r>
        <w:rPr>
          <w:rFonts w:hint="eastAsia"/>
        </w:rPr>
        <w:t>3</w:t>
      </w:r>
      <w:r>
        <w:t>.</w:t>
      </w:r>
      <w:r>
        <w:rPr>
          <w:rFonts w:hint="eastAsia"/>
        </w:rPr>
        <w:t>2</w:t>
      </w:r>
      <w:r>
        <w:t>不得以任何理由为发包人和相关单位报销应由对方或个人支付的费用。</w:t>
      </w:r>
    </w:p>
    <w:p>
      <w:r>
        <w:rPr>
          <w:rFonts w:hint="eastAsia"/>
        </w:rPr>
        <w:t>3</w:t>
      </w:r>
      <w:r>
        <w:t>.</w:t>
      </w:r>
      <w:r>
        <w:rPr>
          <w:rFonts w:hint="eastAsia"/>
        </w:rPr>
        <w:t>3</w:t>
      </w:r>
      <w:r>
        <w:t>不得接受或暗示为发包人、相关单位或个人装修住房、婚丧嫁娶、配偶子女的工作安排以及出国（境）、旅游等提供方便。</w:t>
      </w:r>
    </w:p>
    <w:p>
      <w:r>
        <w:rPr>
          <w:rFonts w:hint="eastAsia"/>
        </w:rPr>
        <w:t>3</w:t>
      </w:r>
      <w:r>
        <w:t>.</w:t>
      </w:r>
      <w:r>
        <w:rPr>
          <w:rFonts w:hint="eastAsia"/>
        </w:rPr>
        <w:t>4</w:t>
      </w:r>
      <w:r>
        <w:t>不得以任何理由为发包人、相关单位或个人组织有可能影响公正执行公务的宴请、健身、娱乐等活动。</w:t>
      </w:r>
    </w:p>
    <w:p>
      <w:bookmarkStart w:id="1702" w:name="_Toc111445507"/>
      <w:bookmarkStart w:id="1703" w:name="_Toc468103303"/>
      <w:r>
        <w:rPr>
          <w:rFonts w:hint="eastAsia"/>
        </w:rPr>
        <w:t>四、违约责任</w:t>
      </w:r>
      <w:bookmarkEnd w:id="1702"/>
      <w:bookmarkEnd w:id="1703"/>
    </w:p>
    <w:p>
      <w:r>
        <w:rPr>
          <w:rFonts w:hint="eastAsia"/>
        </w:rPr>
        <w:t>4</w:t>
      </w:r>
      <w:r>
        <w:t>.</w:t>
      </w:r>
      <w:r>
        <w:rPr>
          <w:rFonts w:hint="eastAsia"/>
        </w:rPr>
        <w:t>1</w:t>
      </w:r>
      <w:r>
        <w:t>发包人工作人员有违反本责任书第一、二条责任行为的，依据有关法律</w:t>
      </w:r>
      <w:r>
        <w:rPr>
          <w:rFonts w:hint="eastAsia"/>
        </w:rPr>
        <w:t>、</w:t>
      </w:r>
      <w:r>
        <w:t>法规给予处理；涉嫌犯罪的，移交司法机关追究刑事责任；给承包人单位造成经济损失的，应予以赔偿。</w:t>
      </w:r>
    </w:p>
    <w:p>
      <w:r>
        <w:rPr>
          <w:rFonts w:hint="eastAsia"/>
        </w:rPr>
        <w:t>4</w:t>
      </w:r>
      <w:r>
        <w:t>.</w:t>
      </w:r>
      <w:r>
        <w:rPr>
          <w:rFonts w:hint="eastAsia"/>
        </w:rPr>
        <w:t xml:space="preserve">2 </w:t>
      </w:r>
      <w:r>
        <w:t>承包人工作人员有违反本责任书第一、三条责任行为的，依据有关法律法规处理；涉嫌犯罪的，移交司法机关追究刑事责任；给发包人单位造成经济损失的，应予以赔偿。</w:t>
      </w:r>
    </w:p>
    <w:p>
      <w:r>
        <w:rPr>
          <w:rFonts w:hint="eastAsia"/>
        </w:rPr>
        <w:t>4</w:t>
      </w:r>
      <w:r>
        <w:t>.</w:t>
      </w:r>
      <w:r>
        <w:rPr>
          <w:rFonts w:hint="eastAsia"/>
        </w:rPr>
        <w:t xml:space="preserve">3 </w:t>
      </w:r>
      <w:r>
        <w:t>本责任书作为</w:t>
      </w:r>
      <w:r>
        <w:rPr>
          <w:rFonts w:hint="eastAsia"/>
        </w:rPr>
        <w:t>建设</w:t>
      </w:r>
      <w:r>
        <w:t>工程合同的</w:t>
      </w:r>
      <w:r>
        <w:rPr>
          <w:rFonts w:hint="eastAsia"/>
        </w:rPr>
        <w:t>组成部分</w:t>
      </w:r>
      <w:r>
        <w:t>，与</w:t>
      </w:r>
      <w:r>
        <w:rPr>
          <w:rFonts w:hint="eastAsia"/>
        </w:rPr>
        <w:t>建设</w:t>
      </w:r>
      <w:r>
        <w:t>工程合同具有同等法律效力。经双方签署后立即生效。</w:t>
      </w:r>
    </w:p>
    <w:p>
      <w:bookmarkStart w:id="1704" w:name="_Toc468103304"/>
      <w:bookmarkStart w:id="1705" w:name="_Toc111445508"/>
      <w:r>
        <w:rPr>
          <w:rFonts w:hint="eastAsia"/>
        </w:rPr>
        <w:t>五、责任书有效期</w:t>
      </w:r>
      <w:bookmarkEnd w:id="1704"/>
      <w:bookmarkEnd w:id="1705"/>
    </w:p>
    <w:p>
      <w:r>
        <w:t>本责任书的有效期为双方签署之日起至该工程项目竣工验收合格时止。</w:t>
      </w:r>
    </w:p>
    <w:p>
      <w:bookmarkStart w:id="1706" w:name="_Toc111445509"/>
      <w:bookmarkStart w:id="1707" w:name="_Toc468103305"/>
      <w:r>
        <w:rPr>
          <w:rFonts w:hint="eastAsia"/>
        </w:rPr>
        <w:t>六、责任书份数</w:t>
      </w:r>
      <w:bookmarkEnd w:id="1706"/>
      <w:bookmarkEnd w:id="1707"/>
    </w:p>
    <w:p>
      <w:r>
        <w:rPr>
          <w:rFonts w:hint="eastAsia"/>
        </w:rPr>
        <w:t>本责任书一式     份，均具有同等法律效力，发包人执     份，承包人执     份。</w:t>
      </w:r>
    </w:p>
    <w:p/>
    <w:p>
      <w:r>
        <w:rPr>
          <w:rFonts w:hint="eastAsia"/>
        </w:rPr>
        <w:t>发包人：                  （公章）</w:t>
      </w:r>
      <w:r>
        <w:rPr>
          <w:rFonts w:hint="eastAsia"/>
        </w:rPr>
        <w:tab/>
      </w:r>
      <w:r>
        <w:rPr>
          <w:rFonts w:hint="eastAsia"/>
        </w:rPr>
        <w:t xml:space="preserve"> 承包人：                  （公章） </w:t>
      </w:r>
    </w:p>
    <w:p>
      <w:r>
        <w:rPr>
          <w:rFonts w:hint="eastAsia"/>
        </w:rPr>
        <w:t xml:space="preserve">法定地址：                </w:t>
      </w:r>
      <w:r>
        <w:rPr>
          <w:rFonts w:hint="eastAsia"/>
        </w:rPr>
        <w:tab/>
      </w:r>
      <w:r>
        <w:rPr>
          <w:rFonts w:hint="eastAsia"/>
        </w:rPr>
        <w:t xml:space="preserve">法定地址：                </w:t>
      </w:r>
    </w:p>
    <w:p>
      <w:r>
        <w:rPr>
          <w:rFonts w:hint="eastAsia"/>
        </w:rPr>
        <w:t>法定代表人或其                       法定代表人或其</w:t>
      </w:r>
    </w:p>
    <w:p>
      <w:r>
        <w:rPr>
          <w:rFonts w:hint="eastAsia"/>
        </w:rPr>
        <w:t>委托代理人：              （签字）</w:t>
      </w:r>
      <w:r>
        <w:rPr>
          <w:rFonts w:hint="eastAsia"/>
        </w:rPr>
        <w:tab/>
      </w:r>
      <w:r>
        <w:rPr>
          <w:rFonts w:hint="eastAsia"/>
        </w:rPr>
        <w:t>委托代理人：              （签字）</w:t>
      </w:r>
    </w:p>
    <w:p>
      <w:r>
        <w:rPr>
          <w:rFonts w:hint="eastAsia"/>
        </w:rPr>
        <w:t xml:space="preserve">电话：                     </w:t>
      </w:r>
      <w:r>
        <w:rPr>
          <w:rFonts w:hint="eastAsia"/>
        </w:rPr>
        <w:tab/>
      </w:r>
      <w:r>
        <w:rPr>
          <w:rFonts w:hint="eastAsia"/>
        </w:rPr>
        <w:t xml:space="preserve">电话：                    </w:t>
      </w:r>
    </w:p>
    <w:p>
      <w:r>
        <w:rPr>
          <w:rFonts w:hint="eastAsia"/>
        </w:rPr>
        <w:t xml:space="preserve">传真：                     </w:t>
      </w:r>
      <w:r>
        <w:rPr>
          <w:rFonts w:hint="eastAsia"/>
        </w:rPr>
        <w:tab/>
      </w:r>
      <w:r>
        <w:rPr>
          <w:rFonts w:hint="eastAsia"/>
        </w:rPr>
        <w:t xml:space="preserve">传真：                    </w:t>
      </w:r>
    </w:p>
    <w:p>
      <w:r>
        <w:rPr>
          <w:rFonts w:hint="eastAsia"/>
        </w:rPr>
        <w:t xml:space="preserve">电子邮箱：                           电子邮箱：                </w:t>
      </w:r>
    </w:p>
    <w:p>
      <w:r>
        <w:rPr>
          <w:rFonts w:hint="eastAsia"/>
        </w:rPr>
        <w:t xml:space="preserve">开户银行：                 </w:t>
      </w:r>
      <w:r>
        <w:rPr>
          <w:rFonts w:hint="eastAsia"/>
        </w:rPr>
        <w:tab/>
      </w:r>
      <w:r>
        <w:rPr>
          <w:rFonts w:hint="eastAsia"/>
        </w:rPr>
        <w:t xml:space="preserve">开户银行：                </w:t>
      </w:r>
    </w:p>
    <w:p>
      <w:r>
        <w:rPr>
          <w:rFonts w:hint="eastAsia"/>
        </w:rPr>
        <w:t xml:space="preserve">帐号：                     </w:t>
      </w:r>
      <w:r>
        <w:rPr>
          <w:rFonts w:hint="eastAsia"/>
        </w:rPr>
        <w:tab/>
      </w:r>
      <w:r>
        <w:rPr>
          <w:rFonts w:hint="eastAsia"/>
        </w:rPr>
        <w:t xml:space="preserve">帐号：                    </w:t>
      </w:r>
    </w:p>
    <w:p>
      <w:r>
        <w:rPr>
          <w:rFonts w:hint="eastAsia"/>
        </w:rPr>
        <w:t xml:space="preserve">邮政编码：                       邮政编码：                </w:t>
      </w:r>
    </w:p>
    <w:p>
      <w:pPr>
        <w:spacing w:line="360" w:lineRule="auto"/>
        <w:rPr>
          <w:rFonts w:ascii="宋体" w:hAnsi="宋体" w:eastAsia="宋体" w:cs="宋体"/>
          <w:sz w:val="21"/>
          <w:szCs w:val="21"/>
        </w:rPr>
      </w:pPr>
      <w:r>
        <w:rPr>
          <w:rFonts w:hint="eastAsia"/>
        </w:rPr>
        <w:t>监督单位：                  （盖章）  监督单位：                 （盖章）</w:t>
      </w:r>
    </w:p>
    <w:p>
      <w:pPr>
        <w:spacing w:line="360" w:lineRule="exact"/>
        <w:rPr>
          <w:rFonts w:hint="eastAsia" w:ascii="宋体" w:hAnsi="宋体" w:eastAsia="宋体" w:cs="宋体"/>
          <w:color w:val="000000"/>
          <w:sz w:val="28"/>
          <w:szCs w:val="28"/>
        </w:rPr>
      </w:pPr>
    </w:p>
    <w:p>
      <w:pPr>
        <w:spacing w:line="360" w:lineRule="auto"/>
        <w:jc w:val="center"/>
        <w:outlineLvl w:val="0"/>
        <w:rPr>
          <w:rFonts w:hint="eastAsia" w:ascii="宋体" w:hAnsi="宋体" w:eastAsia="宋体" w:cs="宋体"/>
          <w:b/>
          <w:color w:val="auto"/>
          <w:sz w:val="36"/>
          <w:szCs w:val="36"/>
        </w:rPr>
      </w:pPr>
    </w:p>
    <w:p>
      <w:pPr>
        <w:spacing w:line="360" w:lineRule="auto"/>
        <w:jc w:val="center"/>
        <w:outlineLvl w:val="0"/>
        <w:rPr>
          <w:rFonts w:hint="eastAsia" w:ascii="宋体" w:hAnsi="宋体" w:eastAsia="宋体" w:cs="宋体"/>
          <w:b/>
          <w:color w:val="auto"/>
          <w:sz w:val="36"/>
          <w:szCs w:val="36"/>
        </w:rPr>
      </w:pPr>
    </w:p>
    <w:p>
      <w:pPr>
        <w:pStyle w:val="62"/>
        <w:rPr>
          <w:rFonts w:hint="eastAsia" w:ascii="宋体" w:hAnsi="宋体" w:eastAsia="宋体" w:cs="宋体"/>
          <w:color w:val="000000"/>
          <w:sz w:val="28"/>
          <w:szCs w:val="28"/>
        </w:rPr>
      </w:pPr>
    </w:p>
    <w:p>
      <w:pPr>
        <w:pStyle w:val="62"/>
        <w:rPr>
          <w:rFonts w:hint="eastAsia" w:ascii="宋体" w:hAnsi="宋体" w:eastAsia="宋体" w:cs="宋体"/>
          <w:color w:val="000000"/>
          <w:sz w:val="28"/>
          <w:szCs w:val="28"/>
        </w:rPr>
      </w:pPr>
    </w:p>
    <w:p>
      <w:pPr>
        <w:spacing w:line="360" w:lineRule="exact"/>
        <w:rPr>
          <w:rFonts w:hint="eastAsia" w:ascii="宋体" w:hAnsi="宋体" w:eastAsia="宋体" w:cs="宋体"/>
          <w:color w:val="000000"/>
          <w:sz w:val="28"/>
          <w:szCs w:val="28"/>
        </w:rPr>
      </w:pPr>
    </w:p>
    <w:p>
      <w:pPr>
        <w:spacing w:line="360" w:lineRule="exact"/>
        <w:rPr>
          <w:rFonts w:hint="eastAsia" w:ascii="宋体" w:hAnsi="宋体" w:eastAsia="宋体" w:cs="宋体"/>
          <w:color w:val="000000"/>
          <w:sz w:val="28"/>
          <w:szCs w:val="28"/>
        </w:rPr>
      </w:pPr>
    </w:p>
    <w:p>
      <w:pPr>
        <w:spacing w:line="360" w:lineRule="auto"/>
        <w:jc w:val="center"/>
        <w:outlineLvl w:val="0"/>
        <w:rPr>
          <w:rFonts w:asciiTheme="minorEastAsia" w:hAnsiTheme="minorEastAsia" w:eastAsiaTheme="minorEastAsia"/>
          <w:b/>
          <w:color w:val="auto"/>
          <w:sz w:val="36"/>
          <w:szCs w:val="36"/>
        </w:rPr>
      </w:pPr>
      <w:bookmarkStart w:id="1708" w:name="_Toc184912286"/>
    </w:p>
    <w:p>
      <w:pPr>
        <w:spacing w:line="360" w:lineRule="auto"/>
        <w:jc w:val="center"/>
        <w:outlineLvl w:val="0"/>
        <w:rPr>
          <w:rFonts w:asciiTheme="minorEastAsia" w:hAnsiTheme="minorEastAsia" w:eastAsiaTheme="minorEastAsia"/>
          <w:b/>
          <w:color w:val="auto"/>
          <w:sz w:val="36"/>
          <w:szCs w:val="36"/>
        </w:rPr>
      </w:pPr>
    </w:p>
    <w:p>
      <w:pPr>
        <w:spacing w:line="360" w:lineRule="auto"/>
        <w:jc w:val="center"/>
        <w:outlineLvl w:val="0"/>
        <w:rPr>
          <w:rFonts w:asciiTheme="minorEastAsia" w:hAnsiTheme="minorEastAsia" w:eastAsiaTheme="minorEastAsia"/>
          <w:b/>
          <w:color w:val="auto"/>
          <w:sz w:val="36"/>
          <w:szCs w:val="36"/>
        </w:rPr>
      </w:pPr>
    </w:p>
    <w:p>
      <w:pPr>
        <w:spacing w:line="360" w:lineRule="auto"/>
        <w:jc w:val="center"/>
        <w:outlineLvl w:val="0"/>
        <w:rPr>
          <w:rFonts w:asciiTheme="minorEastAsia" w:hAnsiTheme="minorEastAsia" w:eastAsiaTheme="minorEastAsia"/>
          <w:b/>
          <w:color w:val="auto"/>
          <w:sz w:val="36"/>
          <w:szCs w:val="36"/>
        </w:rPr>
      </w:pPr>
    </w:p>
    <w:p>
      <w:pPr>
        <w:spacing w:line="360" w:lineRule="auto"/>
        <w:jc w:val="center"/>
        <w:outlineLvl w:val="0"/>
        <w:rPr>
          <w:rFonts w:asciiTheme="minorEastAsia" w:hAnsiTheme="minorEastAsia" w:eastAsiaTheme="minorEastAsia"/>
          <w:b/>
          <w:color w:val="auto"/>
          <w:sz w:val="36"/>
          <w:szCs w:val="36"/>
        </w:rPr>
      </w:pPr>
    </w:p>
    <w:p>
      <w:pPr>
        <w:spacing w:line="360" w:lineRule="auto"/>
        <w:jc w:val="center"/>
        <w:outlineLvl w:val="0"/>
        <w:rPr>
          <w:rFonts w:asciiTheme="minorEastAsia" w:hAnsiTheme="minorEastAsia" w:eastAsiaTheme="minorEastAsia"/>
          <w:b/>
          <w:color w:val="auto"/>
          <w:sz w:val="36"/>
          <w:szCs w:val="36"/>
        </w:rPr>
      </w:pPr>
    </w:p>
    <w:p>
      <w:pPr>
        <w:spacing w:line="360" w:lineRule="auto"/>
        <w:jc w:val="center"/>
        <w:outlineLvl w:val="0"/>
        <w:rPr>
          <w:rFonts w:asciiTheme="minorEastAsia" w:hAnsiTheme="minorEastAsia" w:eastAsiaTheme="minorEastAsia"/>
          <w:b/>
          <w:color w:val="auto"/>
          <w:sz w:val="36"/>
          <w:szCs w:val="36"/>
        </w:rPr>
      </w:pPr>
    </w:p>
    <w:p>
      <w:pPr>
        <w:spacing w:line="360" w:lineRule="auto"/>
        <w:jc w:val="center"/>
        <w:outlineLvl w:val="0"/>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第六章</w:t>
      </w:r>
      <w:bookmarkStart w:id="1709" w:name="_Hlk102135587"/>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响应文件格式</w:t>
      </w:r>
      <w:bookmarkEnd w:id="1708"/>
    </w:p>
    <w:p>
      <w:pPr>
        <w:widowControl/>
        <w:spacing w:line="360" w:lineRule="auto"/>
        <w:jc w:val="left"/>
        <w:rPr>
          <w:rFonts w:asciiTheme="minorEastAsia" w:hAnsiTheme="minorEastAsia" w:eastAsiaTheme="minorEastAsia"/>
          <w:b/>
          <w:color w:val="auto"/>
          <w:sz w:val="24"/>
        </w:rPr>
      </w:pPr>
    </w:p>
    <w:p>
      <w:pPr>
        <w:tabs>
          <w:tab w:val="left" w:pos="900"/>
          <w:tab w:val="left" w:pos="1980"/>
        </w:tabs>
        <w:snapToGrid w:val="0"/>
        <w:spacing w:line="360" w:lineRule="auto"/>
        <w:ind w:left="142"/>
        <w:rPr>
          <w:rFonts w:asciiTheme="minorEastAsia" w:hAnsiTheme="minorEastAsia" w:eastAsiaTheme="minorEastAsia"/>
          <w:b/>
          <w:color w:val="auto"/>
          <w:kern w:val="0"/>
          <w:sz w:val="24"/>
        </w:rPr>
      </w:pPr>
      <w:r>
        <w:rPr>
          <w:rFonts w:hint="eastAsia" w:asciiTheme="minorEastAsia" w:hAnsiTheme="minorEastAsia" w:eastAsiaTheme="minorEastAsia"/>
          <w:b/>
          <w:color w:val="auto"/>
          <w:kern w:val="0"/>
          <w:sz w:val="24"/>
        </w:rPr>
        <w:t>供应商编制文件须知</w:t>
      </w:r>
    </w:p>
    <w:p>
      <w:pPr>
        <w:tabs>
          <w:tab w:val="left" w:pos="900"/>
          <w:tab w:val="left" w:pos="1980"/>
        </w:tabs>
        <w:snapToGrid w:val="0"/>
        <w:spacing w:line="360" w:lineRule="auto"/>
        <w:ind w:left="142"/>
        <w:rPr>
          <w:rFonts w:asciiTheme="minorEastAsia" w:hAnsiTheme="minorEastAsia" w:eastAsiaTheme="minorEastAsia"/>
          <w:color w:val="auto"/>
          <w:sz w:val="24"/>
        </w:rPr>
      </w:pPr>
      <w:r>
        <w:rPr>
          <w:rFonts w:asciiTheme="minorEastAsia" w:hAnsiTheme="minorEastAsia" w:eastAsiaTheme="minorEastAsia"/>
          <w:color w:val="auto"/>
          <w:sz w:val="24"/>
        </w:rPr>
        <w:t>1、供应商按照本部分的顺序编制响应文件，编制中涉及格式资料的，应按照本部分提供的内容和格式（所有表格的格式可扩展）填写提交。</w:t>
      </w:r>
    </w:p>
    <w:p>
      <w:pPr>
        <w:tabs>
          <w:tab w:val="left" w:pos="900"/>
          <w:tab w:val="left" w:pos="1980"/>
        </w:tabs>
        <w:snapToGrid w:val="0"/>
        <w:spacing w:line="360" w:lineRule="auto"/>
        <w:ind w:left="142"/>
        <w:rPr>
          <w:rFonts w:asciiTheme="minorEastAsia" w:hAnsiTheme="minorEastAsia" w:eastAsiaTheme="minorEastAsia"/>
          <w:color w:val="auto"/>
          <w:kern w:val="0"/>
          <w:sz w:val="24"/>
        </w:rPr>
      </w:pPr>
      <w:r>
        <w:rPr>
          <w:rFonts w:asciiTheme="minorEastAsia" w:hAnsiTheme="minorEastAsia" w:eastAsiaTheme="minorEastAsia"/>
          <w:color w:val="auto"/>
          <w:sz w:val="24"/>
        </w:rPr>
        <w:t>2、</w:t>
      </w:r>
      <w:r>
        <w:rPr>
          <w:rFonts w:asciiTheme="minorEastAsia" w:hAnsiTheme="minorEastAsia" w:eastAsiaTheme="minorEastAsia"/>
          <w:color w:val="auto"/>
          <w:kern w:val="0"/>
          <w:sz w:val="24"/>
        </w:rPr>
        <w:t>对于竞争性磋商文件中标记了“实质性格式”文件的，供应商</w:t>
      </w:r>
      <w:r>
        <w:rPr>
          <w:rFonts w:asciiTheme="minorEastAsia" w:hAnsiTheme="minorEastAsia" w:eastAsiaTheme="minorEastAsia"/>
          <w:color w:val="auto"/>
          <w:sz w:val="24"/>
        </w:rPr>
        <w:t>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b/>
          <w:color w:val="auto"/>
          <w:kern w:val="0"/>
          <w:sz w:val="24"/>
        </w:rPr>
        <w:t>否则响应无效</w:t>
      </w:r>
      <w:r>
        <w:rPr>
          <w:rFonts w:asciiTheme="minorEastAsia" w:hAnsiTheme="minorEastAsia" w:eastAsiaTheme="minorEastAsia"/>
          <w:color w:val="auto"/>
          <w:kern w:val="0"/>
          <w:sz w:val="24"/>
        </w:rPr>
        <w:t>。未标记“实质性格式”的文件和竞争性磋商文件未提供格式的内容，可由供应商自行编写。</w:t>
      </w:r>
    </w:p>
    <w:p>
      <w:pPr>
        <w:tabs>
          <w:tab w:val="left" w:pos="900"/>
          <w:tab w:val="left" w:pos="1980"/>
        </w:tabs>
        <w:snapToGrid w:val="0"/>
        <w:spacing w:line="360" w:lineRule="auto"/>
        <w:ind w:left="142"/>
        <w:rPr>
          <w:rFonts w:asciiTheme="minorEastAsia" w:hAnsiTheme="minorEastAsia" w:eastAsiaTheme="minorEastAsia"/>
          <w:color w:val="auto"/>
          <w:sz w:val="24"/>
        </w:rPr>
      </w:pPr>
      <w:r>
        <w:rPr>
          <w:rFonts w:asciiTheme="minorEastAsia" w:hAnsiTheme="minorEastAsia" w:eastAsiaTheme="minorEastAsia"/>
          <w:color w:val="auto"/>
          <w:sz w:val="24"/>
        </w:rPr>
        <w:t>3、全部声明和问题的回答及所附材料必须是真实的、准确的和完整的。</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1709"/>
    <w:p>
      <w:pPr>
        <w:keepNext/>
        <w:keepLines/>
        <w:autoSpaceDE w:val="0"/>
        <w:autoSpaceDN w:val="0"/>
        <w:adjustRightInd w:val="0"/>
        <w:spacing w:before="120" w:line="300" w:lineRule="auto"/>
        <w:jc w:val="left"/>
        <w:outlineLvl w:val="1"/>
        <w:rPr>
          <w:rFonts w:hint="eastAsia" w:asciiTheme="minorEastAsia" w:hAnsiTheme="minorEastAsia" w:eastAsiaTheme="minorEastAsia"/>
          <w:b/>
          <w:color w:val="auto"/>
          <w:spacing w:val="20"/>
          <w:sz w:val="24"/>
        </w:rPr>
      </w:pPr>
      <w:bookmarkStart w:id="1710" w:name="_Hlk104913430"/>
      <w:bookmarkStart w:id="1711" w:name="OLE_LINK26"/>
      <w:bookmarkStart w:id="1712" w:name="OLE_LINK25"/>
    </w:p>
    <w:p>
      <w:pPr>
        <w:keepNext/>
        <w:keepLines/>
        <w:autoSpaceDE w:val="0"/>
        <w:autoSpaceDN w:val="0"/>
        <w:adjustRightInd w:val="0"/>
        <w:spacing w:before="120" w:line="300" w:lineRule="auto"/>
        <w:jc w:val="left"/>
        <w:outlineLvl w:val="1"/>
        <w:rPr>
          <w:rFonts w:asciiTheme="minorEastAsia" w:hAnsiTheme="minorEastAsia" w:eastAsiaTheme="minorEastAsia"/>
          <w:b/>
          <w:color w:val="auto"/>
          <w:sz w:val="24"/>
        </w:rPr>
      </w:pPr>
      <w:r>
        <w:rPr>
          <w:rFonts w:hint="eastAsia" w:asciiTheme="minorEastAsia" w:hAnsiTheme="minorEastAsia" w:eastAsiaTheme="minorEastAsia"/>
          <w:b/>
          <w:color w:val="auto"/>
          <w:spacing w:val="20"/>
          <w:sz w:val="24"/>
        </w:rPr>
        <w:t>响应</w:t>
      </w:r>
      <w:r>
        <w:rPr>
          <w:rFonts w:asciiTheme="minorEastAsia" w:hAnsiTheme="minorEastAsia" w:eastAsiaTheme="minorEastAsia"/>
          <w:b/>
          <w:color w:val="auto"/>
          <w:spacing w:val="20"/>
          <w:sz w:val="24"/>
        </w:rPr>
        <w:t>文件封面（非实质性格式）</w:t>
      </w:r>
    </w:p>
    <w:p>
      <w:pPr>
        <w:jc w:val="center"/>
        <w:rPr>
          <w:rFonts w:asciiTheme="minorEastAsia" w:hAnsiTheme="minorEastAsia" w:eastAsiaTheme="minorEastAsia"/>
          <w:color w:val="auto"/>
          <w:szCs w:val="21"/>
        </w:rPr>
      </w:pPr>
    </w:p>
    <w:p>
      <w:pPr>
        <w:spacing w:line="360" w:lineRule="auto"/>
        <w:jc w:val="center"/>
        <w:rPr>
          <w:rFonts w:asciiTheme="minorEastAsia" w:hAnsiTheme="minorEastAsia" w:eastAsiaTheme="minorEastAsia"/>
          <w:b/>
          <w:color w:val="auto"/>
          <w:spacing w:val="60"/>
          <w:sz w:val="84"/>
          <w:szCs w:val="84"/>
        </w:rPr>
      </w:pPr>
      <w:r>
        <w:rPr>
          <w:rFonts w:asciiTheme="minorEastAsia" w:hAnsiTheme="minorEastAsia" w:eastAsiaTheme="minorEastAsia"/>
          <w:b/>
          <w:color w:val="auto"/>
          <w:spacing w:val="60"/>
          <w:sz w:val="84"/>
          <w:szCs w:val="84"/>
        </w:rPr>
        <w:t>响</w:t>
      </w:r>
      <w:r>
        <w:rPr>
          <w:rFonts w:hint="eastAsia" w:asciiTheme="minorEastAsia" w:hAnsiTheme="minorEastAsia" w:eastAsiaTheme="minorEastAsia"/>
          <w:b/>
          <w:color w:val="auto"/>
          <w:spacing w:val="60"/>
          <w:sz w:val="84"/>
          <w:szCs w:val="84"/>
        </w:rPr>
        <w:t xml:space="preserve"> </w:t>
      </w:r>
      <w:r>
        <w:rPr>
          <w:rFonts w:asciiTheme="minorEastAsia" w:hAnsiTheme="minorEastAsia" w:eastAsiaTheme="minorEastAsia"/>
          <w:b/>
          <w:color w:val="auto"/>
          <w:spacing w:val="60"/>
          <w:sz w:val="84"/>
          <w:szCs w:val="84"/>
        </w:rPr>
        <w:t>应</w:t>
      </w:r>
      <w:r>
        <w:rPr>
          <w:rFonts w:hint="eastAsia" w:asciiTheme="minorEastAsia" w:hAnsiTheme="minorEastAsia" w:eastAsiaTheme="minorEastAsia"/>
          <w:b/>
          <w:color w:val="auto"/>
          <w:spacing w:val="60"/>
          <w:sz w:val="84"/>
          <w:szCs w:val="84"/>
        </w:rPr>
        <w:t xml:space="preserve"> </w:t>
      </w:r>
      <w:r>
        <w:rPr>
          <w:rFonts w:asciiTheme="minorEastAsia" w:hAnsiTheme="minorEastAsia" w:eastAsiaTheme="minorEastAsia"/>
          <w:b/>
          <w:color w:val="auto"/>
          <w:spacing w:val="60"/>
          <w:sz w:val="84"/>
          <w:szCs w:val="84"/>
        </w:rPr>
        <w:t>文</w:t>
      </w:r>
      <w:r>
        <w:rPr>
          <w:rFonts w:hint="eastAsia" w:asciiTheme="minorEastAsia" w:hAnsiTheme="minorEastAsia" w:eastAsiaTheme="minorEastAsia"/>
          <w:b/>
          <w:color w:val="auto"/>
          <w:spacing w:val="60"/>
          <w:sz w:val="84"/>
          <w:szCs w:val="84"/>
        </w:rPr>
        <w:t xml:space="preserve"> </w:t>
      </w:r>
      <w:r>
        <w:rPr>
          <w:rFonts w:asciiTheme="minorEastAsia" w:hAnsiTheme="minorEastAsia" w:eastAsiaTheme="minorEastAsia"/>
          <w:b/>
          <w:color w:val="auto"/>
          <w:spacing w:val="60"/>
          <w:sz w:val="84"/>
          <w:szCs w:val="84"/>
        </w:rPr>
        <w:t>件</w:t>
      </w:r>
    </w:p>
    <w:p>
      <w:pPr>
        <w:spacing w:line="360" w:lineRule="auto"/>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r>
        <w:rPr>
          <w:rFonts w:asciiTheme="minorEastAsia" w:hAnsiTheme="minorEastAsia" w:eastAsiaTheme="minorEastAsia"/>
          <w:b/>
          <w:color w:val="auto"/>
          <w:spacing w:val="20"/>
          <w:sz w:val="32"/>
          <w:szCs w:val="32"/>
        </w:rPr>
        <w:t>项目名称:</w:t>
      </w: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r>
        <w:rPr>
          <w:rFonts w:asciiTheme="minorEastAsia" w:hAnsiTheme="minorEastAsia" w:eastAsiaTheme="minorEastAsia"/>
          <w:b/>
          <w:color w:val="auto"/>
          <w:spacing w:val="20"/>
          <w:sz w:val="32"/>
          <w:szCs w:val="32"/>
        </w:rPr>
        <w:t>项目编号/包号：</w:t>
      </w: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p>
    <w:p>
      <w:pPr>
        <w:jc w:val="center"/>
        <w:rPr>
          <w:rFonts w:asciiTheme="minorEastAsia" w:hAnsiTheme="minorEastAsia" w:eastAsiaTheme="minorEastAsia"/>
          <w:b/>
          <w:color w:val="auto"/>
          <w:sz w:val="32"/>
          <w:szCs w:val="32"/>
        </w:rPr>
      </w:pPr>
    </w:p>
    <w:p>
      <w:pPr>
        <w:jc w:val="center"/>
        <w:rPr>
          <w:rFonts w:asciiTheme="minorEastAsia" w:hAnsiTheme="minorEastAsia" w:eastAsiaTheme="minorEastAsia"/>
          <w:b/>
          <w:color w:val="auto"/>
          <w:sz w:val="32"/>
          <w:szCs w:val="32"/>
        </w:rPr>
      </w:pPr>
    </w:p>
    <w:p>
      <w:pPr>
        <w:spacing w:line="360" w:lineRule="auto"/>
        <w:ind w:firstLine="1445" w:firstLineChars="400"/>
        <w:jc w:val="left"/>
        <w:rPr>
          <w:rFonts w:asciiTheme="minorEastAsia" w:hAnsiTheme="minorEastAsia" w:eastAsiaTheme="minorEastAsia"/>
          <w:b/>
          <w:color w:val="auto"/>
          <w:spacing w:val="20"/>
          <w:sz w:val="32"/>
          <w:szCs w:val="32"/>
        </w:rPr>
      </w:pPr>
      <w:r>
        <w:rPr>
          <w:rFonts w:asciiTheme="minorEastAsia" w:hAnsiTheme="minorEastAsia" w:eastAsiaTheme="minorEastAsia"/>
          <w:b/>
          <w:color w:val="auto"/>
          <w:spacing w:val="20"/>
          <w:sz w:val="32"/>
          <w:szCs w:val="32"/>
        </w:rPr>
        <w:t>供应商名称：</w:t>
      </w:r>
    </w:p>
    <w:p>
      <w:pPr>
        <w:jc w:val="center"/>
        <w:rPr>
          <w:rFonts w:asciiTheme="minorEastAsia" w:hAnsiTheme="minorEastAsia" w:eastAsiaTheme="minorEastAsia"/>
          <w:b/>
          <w:color w:val="auto"/>
          <w:sz w:val="32"/>
          <w:szCs w:val="32"/>
        </w:rPr>
      </w:pPr>
    </w:p>
    <w:p>
      <w:pPr>
        <w:rPr>
          <w:rFonts w:asciiTheme="minorEastAsia" w:hAnsiTheme="minorEastAsia" w:eastAsiaTheme="minorEastAsia"/>
          <w:b/>
          <w:color w:val="auto"/>
        </w:rPr>
      </w:pPr>
    </w:p>
    <w:p>
      <w:pPr>
        <w:tabs>
          <w:tab w:val="left" w:pos="900"/>
          <w:tab w:val="left" w:pos="1980"/>
        </w:tabs>
        <w:snapToGrid w:val="0"/>
        <w:spacing w:line="360" w:lineRule="auto"/>
        <w:ind w:left="142"/>
        <w:rPr>
          <w:rFonts w:asciiTheme="minorEastAsia" w:hAnsiTheme="minorEastAsia" w:eastAsiaTheme="minorEastAsia"/>
          <w:color w:val="auto"/>
          <w:sz w:val="24"/>
        </w:rPr>
      </w:pPr>
      <w:r>
        <w:rPr>
          <w:rFonts w:asciiTheme="minorEastAsia" w:hAnsiTheme="minorEastAsia" w:eastAsiaTheme="minorEastAsia"/>
          <w:color w:val="auto"/>
          <w:sz w:val="24"/>
        </w:rPr>
        <w:br w:type="page"/>
      </w:r>
    </w:p>
    <w:p>
      <w:pPr>
        <w:tabs>
          <w:tab w:val="left" w:pos="360"/>
        </w:tabs>
        <w:snapToGrid w:val="0"/>
        <w:spacing w:line="360" w:lineRule="auto"/>
        <w:outlineLvl w:val="1"/>
        <w:rPr>
          <w:rFonts w:asciiTheme="minorEastAsia" w:hAnsiTheme="minorEastAsia" w:eastAsiaTheme="minorEastAsia"/>
          <w:color w:val="auto"/>
          <w:sz w:val="24"/>
        </w:rPr>
      </w:pPr>
      <w:r>
        <w:rPr>
          <w:rFonts w:asciiTheme="minorEastAsia" w:hAnsiTheme="minorEastAsia" w:eastAsiaTheme="minorEastAsia"/>
          <w:color w:val="auto"/>
          <w:sz w:val="24"/>
        </w:rPr>
        <w:t>1满足《中华人民共和国政府采购法》第二十二条</w:t>
      </w:r>
      <w:r>
        <w:rPr>
          <w:rFonts w:hint="eastAsia" w:asciiTheme="minorEastAsia" w:hAnsiTheme="minorEastAsia" w:eastAsiaTheme="minorEastAsia"/>
          <w:color w:val="auto"/>
          <w:sz w:val="24"/>
        </w:rPr>
        <w:t>规定</w:t>
      </w:r>
    </w:p>
    <w:p>
      <w:pPr>
        <w:spacing w:line="360" w:lineRule="auto"/>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1-1营业执照等证明文件</w:t>
      </w:r>
    </w:p>
    <w:p>
      <w:pPr>
        <w:spacing w:line="360" w:lineRule="auto"/>
        <w:rPr>
          <w:rFonts w:asciiTheme="minorEastAsia" w:hAnsiTheme="minorEastAsia" w:eastAsiaTheme="minorEastAsia"/>
          <w:color w:val="auto"/>
          <w:sz w:val="24"/>
        </w:rPr>
      </w:pPr>
      <w:r>
        <w:rPr>
          <w:rFonts w:hint="eastAsia" w:asciiTheme="minorEastAsia" w:hAnsiTheme="minorEastAsia" w:eastAsiaTheme="minorEastAsia"/>
          <w:color w:val="auto"/>
          <w:sz w:val="24"/>
        </w:rPr>
        <w:t>1-</w:t>
      </w:r>
      <w:r>
        <w:rPr>
          <w:rFonts w:asciiTheme="minorEastAsia" w:hAnsiTheme="minorEastAsia" w:eastAsiaTheme="minorEastAsia"/>
          <w:color w:val="auto"/>
          <w:sz w:val="24"/>
        </w:rPr>
        <w:t>2供应商资格声明书</w:t>
      </w:r>
    </w:p>
    <w:p>
      <w:pPr>
        <w:jc w:val="center"/>
        <w:rPr>
          <w:rFonts w:asciiTheme="minorEastAsia" w:hAnsiTheme="minorEastAsia" w:eastAsiaTheme="minorEastAsia"/>
          <w:b/>
          <w:color w:val="auto"/>
          <w:sz w:val="36"/>
          <w:szCs w:val="36"/>
        </w:rPr>
      </w:pPr>
      <w:r>
        <w:rPr>
          <w:rFonts w:hint="eastAsia" w:asciiTheme="minorEastAsia" w:hAnsiTheme="minorEastAsia" w:eastAsiaTheme="minorEastAsia"/>
          <w:b/>
          <w:color w:val="auto"/>
          <w:sz w:val="36"/>
          <w:szCs w:val="36"/>
        </w:rPr>
        <w:t>供应商资格声明书</w:t>
      </w:r>
    </w:p>
    <w:p>
      <w:pPr>
        <w:tabs>
          <w:tab w:val="left" w:pos="5580"/>
        </w:tabs>
        <w:spacing w:line="360" w:lineRule="auto"/>
        <w:rPr>
          <w:rFonts w:asciiTheme="minorEastAsia" w:hAnsiTheme="minorEastAsia" w:eastAsiaTheme="minorEastAsia"/>
          <w:color w:val="auto"/>
          <w:sz w:val="24"/>
        </w:rPr>
      </w:pP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致：</w:t>
      </w:r>
      <w:r>
        <w:rPr>
          <w:rFonts w:asciiTheme="minorEastAsia" w:hAnsiTheme="minorEastAsia" w:eastAsiaTheme="minorEastAsia"/>
          <w:color w:val="auto"/>
          <w:sz w:val="24"/>
          <w:u w:val="single"/>
        </w:rPr>
        <w:t>采购人或采购代理机构</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在参与本次项目磋商中，我单位承诺：</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具有良好的商业信誉和健全的财务会计制度；</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具有履行合同所必需的设备和专业技术能力；</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有依法缴纳税收和社会保障资金的良好记录；</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我单位不属于政府采购法律、行政法规规定的公益一类事业单位、或使用事业编制且由财政拨款保障的群团组织（仅适用于政府购买服务项目）；</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我单位不存在为采购项目提供整体设计、规范编制或者项目管理、监理、检测等服务后，再参加该采购项目的其他采购活动的情形（单一来源采购项目除外）；</w:t>
      </w:r>
    </w:p>
    <w:p>
      <w:pPr>
        <w:numPr>
          <w:ilvl w:val="0"/>
          <w:numId w:val="73"/>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与我单位存在“单位负责人为同一人或者存在直接控股、管理关系”的其他法人单位信息如下（如有，不论其是否参加同一合同项下的政府采购活动均须填写）：</w:t>
      </w:r>
    </w:p>
    <w:tbl>
      <w:tblPr>
        <w:tblStyle w:val="108"/>
        <w:tblW w:w="864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31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序号</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单位名称</w:t>
            </w: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2</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r>
    </w:tbl>
    <w:p>
      <w:pPr>
        <w:rPr>
          <w:rFonts w:asciiTheme="minorEastAsia" w:hAnsiTheme="minorEastAsia" w:eastAsiaTheme="minorEastAsia"/>
          <w:color w:val="auto"/>
        </w:rPr>
      </w:pPr>
    </w:p>
    <w:p>
      <w:pPr>
        <w:ind w:firstLine="480" w:firstLineChars="200"/>
        <w:rPr>
          <w:rFonts w:asciiTheme="minorEastAsia" w:hAnsiTheme="minorEastAsia" w:eastAsiaTheme="minorEastAsia"/>
          <w:color w:val="auto"/>
          <w:sz w:val="24"/>
          <w:szCs w:val="22"/>
        </w:rPr>
      </w:pPr>
      <w:r>
        <w:rPr>
          <w:rFonts w:asciiTheme="minorEastAsia" w:hAnsiTheme="minorEastAsia" w:eastAsiaTheme="minorEastAsia"/>
          <w:color w:val="auto"/>
          <w:sz w:val="24"/>
        </w:rPr>
        <w:t>上述声明真实有效，否则我方负全部责任。</w:t>
      </w:r>
    </w:p>
    <w:p>
      <w:pPr>
        <w:spacing w:line="360" w:lineRule="auto"/>
        <w:rPr>
          <w:rFonts w:asciiTheme="minorEastAsia" w:hAnsiTheme="minorEastAsia" w:eastAsiaTheme="minorEastAsia"/>
          <w:color w:val="auto"/>
          <w:sz w:val="24"/>
        </w:rPr>
      </w:pPr>
    </w:p>
    <w:p>
      <w:pPr>
        <w:autoSpaceDE w:val="0"/>
        <w:autoSpaceDN w:val="0"/>
        <w:adjustRightInd w:val="0"/>
        <w:snapToGrid w:val="0"/>
        <w:spacing w:before="25" w:after="25" w:line="360" w:lineRule="auto"/>
        <w:ind w:right="120"/>
        <w:jc w:val="right"/>
        <w:rPr>
          <w:rFonts w:asciiTheme="minorEastAsia" w:hAnsiTheme="minorEastAsia" w:eastAsiaTheme="minorEastAsia"/>
          <w:color w:val="auto"/>
          <w:sz w:val="24"/>
          <w:lang w:val="zh-CN"/>
        </w:rPr>
      </w:pP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spacing w:line="360" w:lineRule="auto"/>
        <w:ind w:right="120" w:firstLine="480"/>
        <w:jc w:val="right"/>
        <w:rPr>
          <w:rFonts w:asciiTheme="minorEastAsia" w:hAnsiTheme="minorEastAsia" w:eastAsiaTheme="minorEastAsia"/>
          <w:color w:val="auto"/>
          <w:sz w:val="24"/>
        </w:rPr>
      </w:pPr>
      <w:r>
        <w:rPr>
          <w:rFonts w:hint="eastAsia" w:asciiTheme="minorEastAsia" w:hAnsiTheme="minorEastAsia" w:eastAsiaTheme="minorEastAsia"/>
          <w:color w:val="auto"/>
          <w:sz w:val="24"/>
          <w:szCs w:val="20"/>
        </w:rPr>
        <w:t xml:space="preserve"> </w:t>
      </w:r>
      <w:r>
        <w:rPr>
          <w:rFonts w:asciiTheme="minorEastAsia" w:hAnsiTheme="minorEastAsia" w:eastAsiaTheme="minorEastAsia"/>
          <w:color w:val="auto"/>
          <w:sz w:val="24"/>
          <w:szCs w:val="20"/>
        </w:rPr>
        <w:t>日期：____年____月____日</w:t>
      </w:r>
    </w:p>
    <w:p>
      <w:pPr>
        <w:spacing w:line="360" w:lineRule="auto"/>
        <w:rPr>
          <w:rFonts w:asciiTheme="minorEastAsia" w:hAnsiTheme="minorEastAsia" w:eastAsiaTheme="minorEastAsia"/>
          <w:color w:val="auto"/>
          <w:sz w:val="24"/>
        </w:rPr>
      </w:pPr>
      <w:r>
        <w:rPr>
          <w:rFonts w:hint="eastAsia" w:asciiTheme="minorEastAsia" w:hAnsiTheme="minorEastAsia" w:eastAsiaTheme="minorEastAsia"/>
          <w:color w:val="auto"/>
          <w:sz w:val="24"/>
        </w:rPr>
        <w:t>说明：供应商承诺不实的，依据《政府采购法》第七十七条“提供虚假材料谋取中标、成交的”有关规定予以处理。</w:t>
      </w:r>
    </w:p>
    <w:p>
      <w:pPr>
        <w:tabs>
          <w:tab w:val="left" w:pos="360"/>
        </w:tabs>
        <w:snapToGrid w:val="0"/>
        <w:spacing w:line="360" w:lineRule="auto"/>
        <w:outlineLvl w:val="1"/>
        <w:rPr>
          <w:rFonts w:asciiTheme="minorEastAsia" w:hAnsiTheme="minorEastAsia" w:eastAsiaTheme="minorEastAsia"/>
          <w:color w:val="auto"/>
          <w:sz w:val="24"/>
        </w:rPr>
      </w:pPr>
      <w:r>
        <w:rPr>
          <w:rFonts w:hint="eastAsia" w:asciiTheme="minorEastAsia" w:hAnsiTheme="minorEastAsia" w:eastAsiaTheme="minorEastAsia"/>
          <w:color w:val="auto"/>
          <w:sz w:val="24"/>
        </w:rPr>
        <w:t>2</w:t>
      </w:r>
      <w:r>
        <w:rPr>
          <w:rFonts w:asciiTheme="minorEastAsia" w:hAnsiTheme="minorEastAsia" w:eastAsiaTheme="minorEastAsia"/>
          <w:color w:val="auto"/>
          <w:sz w:val="24"/>
        </w:rPr>
        <w:t>落实政府采购政策需满足的资格要求</w:t>
      </w:r>
    </w:p>
    <w:p>
      <w:pPr>
        <w:spacing w:line="360" w:lineRule="auto"/>
        <w:rPr>
          <w:rFonts w:asciiTheme="minorEastAsia" w:hAnsiTheme="minorEastAsia" w:eastAsiaTheme="minorEastAsia"/>
          <w:color w:val="auto"/>
          <w:sz w:val="24"/>
        </w:rPr>
      </w:pPr>
      <w:r>
        <w:rPr>
          <w:rFonts w:hint="eastAsia" w:asciiTheme="minorEastAsia" w:hAnsiTheme="minorEastAsia" w:eastAsiaTheme="minorEastAsia"/>
          <w:color w:val="auto"/>
          <w:sz w:val="24"/>
        </w:rPr>
        <w:t>2</w:t>
      </w:r>
      <w:r>
        <w:rPr>
          <w:rFonts w:asciiTheme="minorEastAsia" w:hAnsiTheme="minorEastAsia" w:eastAsiaTheme="minorEastAsia"/>
          <w:color w:val="auto"/>
          <w:sz w:val="24"/>
        </w:rPr>
        <w:t>-1</w:t>
      </w:r>
      <w:r>
        <w:rPr>
          <w:rFonts w:hint="eastAsia" w:asciiTheme="minorEastAsia" w:hAnsiTheme="minorEastAsia" w:eastAsiaTheme="minorEastAsia"/>
          <w:color w:val="auto"/>
          <w:sz w:val="24"/>
        </w:rPr>
        <w:t>中小企业证明文件</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说明：</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（1）</w:t>
      </w:r>
      <w:r>
        <w:rPr>
          <w:rFonts w:hint="eastAsia" w:asciiTheme="minorEastAsia" w:hAnsiTheme="minorEastAsia" w:eastAsiaTheme="minorEastAsia"/>
          <w:color w:val="auto"/>
          <w:sz w:val="24"/>
        </w:rPr>
        <w:t>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（2）</w:t>
      </w:r>
      <w:r>
        <w:rPr>
          <w:rFonts w:hint="eastAsia" w:asciiTheme="minorEastAsia" w:hAnsiTheme="minorEastAsia" w:eastAsiaTheme="minorEastAsia"/>
          <w:color w:val="auto"/>
          <w:sz w:val="24"/>
        </w:rPr>
        <w:t>如本项目（包）专门面向中小企业采购，响应文件中须提供《中小企业声明函》或《残疾人福利性单位声明函》，或提供由省级以上监狱管理局、戒毒管理局（含新疆生产建设兵团）出具的属于监狱企业的证明文件</w:t>
      </w:r>
      <w:r>
        <w:rPr>
          <w:rFonts w:asciiTheme="minorEastAsia" w:hAnsiTheme="minorEastAsia" w:eastAsiaTheme="minorEastAsia"/>
          <w:color w:val="auto"/>
          <w:sz w:val="24"/>
        </w:rPr>
        <w:t>。</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（3）</w:t>
      </w:r>
      <w:r>
        <w:rPr>
          <w:rFonts w:hint="eastAsia" w:asciiTheme="minorEastAsia" w:hAnsiTheme="minorEastAsia" w:eastAsiaTheme="minorEastAsia"/>
          <w:color w:val="auto"/>
          <w:sz w:val="24"/>
        </w:rPr>
        <w:t>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r>
        <w:rPr>
          <w:rFonts w:asciiTheme="minorEastAsia" w:hAnsiTheme="minorEastAsia" w:eastAsiaTheme="minorEastAsia"/>
          <w:color w:val="auto"/>
          <w:sz w:val="24"/>
        </w:rPr>
        <w:t>。</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（4）</w:t>
      </w:r>
      <w:r>
        <w:rPr>
          <w:rFonts w:hint="eastAsia" w:asciiTheme="minorEastAsia" w:hAnsiTheme="minorEastAsia" w:eastAsiaTheme="minorEastAsia"/>
          <w:color w:val="auto"/>
          <w:sz w:val="24"/>
        </w:rPr>
        <w:t>中小企业声明函填写注意事项</w:t>
      </w:r>
    </w:p>
    <w:p>
      <w:pPr>
        <w:tabs>
          <w:tab w:val="left" w:pos="5580"/>
        </w:tabs>
        <w:spacing w:line="360" w:lineRule="auto"/>
        <w:rPr>
          <w:rFonts w:asciiTheme="minorEastAsia" w:hAnsiTheme="minorEastAsia" w:eastAsiaTheme="minorEastAsia"/>
          <w:color w:val="auto"/>
          <w:sz w:val="24"/>
        </w:rPr>
      </w:pPr>
      <w:r>
        <w:rPr>
          <w:rFonts w:hint="eastAsia" w:asciiTheme="minorEastAsia" w:hAnsiTheme="minorEastAsia" w:eastAsiaTheme="minorEastAsia"/>
          <w:color w:val="auto"/>
          <w:sz w:val="24"/>
        </w:rPr>
        <w:t>1）《中小企业声明函》由参加政府采购活动的供应商出具。联合体参与的，《中小企业声明函》可由牵头人出具</w:t>
      </w:r>
      <w:r>
        <w:rPr>
          <w:rFonts w:asciiTheme="minorEastAsia" w:hAnsiTheme="minorEastAsia" w:eastAsiaTheme="minorEastAsia"/>
          <w:color w:val="auto"/>
          <w:sz w:val="24"/>
        </w:rPr>
        <w:t>。</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2）对于联合体中由中小企业承担的部分，或者分包给中小企业的部分，必须全部由中小企业制造、承建或者承接。供应商应当在声明函“项目名称”部分标明联合体中中小企业承担的具体内容或者中小企业的具体分包内容。</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3）对于多标的的采购项目，供应商应充分、准确地了解所投产品制造企业信息。对相关情况了解不清楚的，不建议填报本声明函。</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（5）温</w:t>
      </w:r>
      <w:r>
        <w:rPr>
          <w:rFonts w:hint="eastAsia" w:asciiTheme="minorEastAsia" w:hAnsiTheme="minorEastAsia" w:eastAsiaTheme="minorEastAsia"/>
          <w:color w:val="auto"/>
          <w:sz w:val="24"/>
        </w:rPr>
        <w:t>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本项目文件规定的中小企业划分标准所属行业执行</w:t>
      </w:r>
      <w:r>
        <w:rPr>
          <w:rFonts w:asciiTheme="minorEastAsia" w:hAnsiTheme="minorEastAsia" w:eastAsiaTheme="minorEastAsia"/>
          <w:color w:val="auto"/>
          <w:sz w:val="24"/>
        </w:rPr>
        <w:t>。</w:t>
      </w:r>
    </w:p>
    <w:p>
      <w:pPr>
        <w:spacing w:before="240" w:beforeLines="100" w:after="240" w:afterLines="100" w:line="360" w:lineRule="auto"/>
        <w:jc w:val="left"/>
        <w:rPr>
          <w:rFonts w:asciiTheme="minorEastAsia" w:hAnsiTheme="minorEastAsia" w:eastAsiaTheme="minorEastAsia"/>
          <w:color w:val="auto"/>
          <w:sz w:val="24"/>
        </w:rPr>
      </w:pPr>
      <w:r>
        <w:rPr>
          <w:rFonts w:asciiTheme="minorEastAsia" w:hAnsiTheme="minorEastAsia" w:eastAsiaTheme="minorEastAsia"/>
          <w:color w:val="auto"/>
          <w:sz w:val="24"/>
        </w:rPr>
        <w:t>2-1-1中小企业</w:t>
      </w:r>
      <w:r>
        <w:rPr>
          <w:rFonts w:hint="eastAsia" w:asciiTheme="minorEastAsia" w:hAnsiTheme="minorEastAsia" w:eastAsiaTheme="minorEastAsia"/>
          <w:color w:val="auto"/>
          <w:sz w:val="24"/>
        </w:rPr>
        <w:t>证明文件</w:t>
      </w:r>
    </w:p>
    <w:p>
      <w:pPr>
        <w:spacing w:before="240" w:beforeLines="100" w:after="240" w:afterLines="100" w:line="360" w:lineRule="auto"/>
        <w:jc w:val="center"/>
        <w:rPr>
          <w:rFonts w:asciiTheme="minorEastAsia" w:hAnsiTheme="minorEastAsia" w:eastAsiaTheme="minorEastAsia"/>
          <w:b/>
          <w:bCs/>
          <w:color w:val="auto"/>
          <w:sz w:val="36"/>
          <w:szCs w:val="36"/>
        </w:rPr>
      </w:pPr>
      <w:r>
        <w:rPr>
          <w:rFonts w:asciiTheme="minorEastAsia" w:hAnsiTheme="minorEastAsia" w:eastAsiaTheme="minorEastAsia"/>
          <w:b/>
          <w:bCs/>
          <w:color w:val="auto"/>
          <w:sz w:val="36"/>
          <w:szCs w:val="36"/>
        </w:rPr>
        <w:t>中小企业声明函（</w:t>
      </w:r>
      <w:r>
        <w:rPr>
          <w:b/>
          <w:bCs/>
          <w:spacing w:val="8"/>
          <w:sz w:val="35"/>
          <w:szCs w:val="35"/>
        </w:rPr>
        <w:t>工程、</w:t>
      </w:r>
      <w:r>
        <w:rPr>
          <w:rFonts w:asciiTheme="minorEastAsia" w:hAnsiTheme="minorEastAsia" w:eastAsiaTheme="minorEastAsia"/>
          <w:b/>
          <w:bCs/>
          <w:color w:val="auto"/>
          <w:sz w:val="36"/>
          <w:szCs w:val="36"/>
        </w:rPr>
        <w:t>服务）格式</w:t>
      </w:r>
    </w:p>
    <w:p>
      <w:pPr>
        <w:pStyle w:val="19"/>
        <w:spacing w:before="103" w:line="360" w:lineRule="auto"/>
        <w:ind w:left="110" w:firstLine="505"/>
        <w:rPr>
          <w:rFonts w:hint="eastAsia" w:cs="宋体"/>
        </w:rPr>
      </w:pPr>
      <w:r>
        <w:rPr>
          <w:rFonts w:hint="eastAsia" w:cs="宋体"/>
          <w:spacing w:val="4"/>
        </w:rPr>
        <w:t>本公司（联合体）郑重声明，根据《政府采购促进中小企业发展管理办法》（财</w:t>
      </w:r>
      <w:r>
        <w:rPr>
          <w:rFonts w:hint="eastAsia" w:cs="宋体"/>
          <w:spacing w:val="6"/>
        </w:rPr>
        <w:t xml:space="preserve">  </w:t>
      </w:r>
      <w:r>
        <w:rPr>
          <w:rFonts w:hint="eastAsia" w:cs="宋体"/>
          <w:spacing w:val="7"/>
        </w:rPr>
        <w:t>库</w:t>
      </w:r>
      <w:r>
        <w:rPr>
          <w:rFonts w:hint="eastAsia" w:cs="宋体"/>
          <w:spacing w:val="-45"/>
        </w:rPr>
        <w:t xml:space="preserve"> </w:t>
      </w:r>
      <w:r>
        <w:rPr>
          <w:rFonts w:hint="eastAsia" w:cs="宋体"/>
          <w:spacing w:val="7"/>
        </w:rPr>
        <w:t>﹝</w:t>
      </w:r>
      <w:r>
        <w:rPr>
          <w:rFonts w:hint="eastAsia" w:cs="宋体"/>
          <w:spacing w:val="-48"/>
        </w:rPr>
        <w:t xml:space="preserve"> </w:t>
      </w:r>
      <w:r>
        <w:rPr>
          <w:rFonts w:hint="eastAsia" w:cs="宋体"/>
          <w:spacing w:val="7"/>
        </w:rPr>
        <w:t>2020﹞</w:t>
      </w:r>
      <w:r>
        <w:rPr>
          <w:rFonts w:hint="eastAsia" w:cs="宋体"/>
          <w:spacing w:val="-33"/>
        </w:rPr>
        <w:t xml:space="preserve"> </w:t>
      </w:r>
      <w:r>
        <w:rPr>
          <w:rFonts w:hint="eastAsia" w:cs="宋体"/>
          <w:spacing w:val="7"/>
        </w:rPr>
        <w:t>46 号 ）的规定，本公</w:t>
      </w:r>
      <w:r>
        <w:rPr>
          <w:rFonts w:hint="eastAsia" w:cs="宋体"/>
          <w:spacing w:val="6"/>
        </w:rPr>
        <w:t>司（联合体）参加（单位名称）的（项目名称）</w:t>
      </w:r>
      <w:r>
        <w:rPr>
          <w:rFonts w:hint="eastAsia" w:cs="宋体"/>
        </w:rPr>
        <w:t xml:space="preserve"> </w:t>
      </w:r>
      <w:r>
        <w:rPr>
          <w:rFonts w:hint="eastAsia" w:cs="宋体"/>
          <w:spacing w:val="8"/>
        </w:rPr>
        <w:t>采购活动，工程的施工单位全部为符合政策要求的中小企业（或者</w:t>
      </w:r>
      <w:r>
        <w:rPr>
          <w:rFonts w:hint="eastAsia" w:cs="宋体"/>
          <w:spacing w:val="-14"/>
        </w:rPr>
        <w:t xml:space="preserve"> </w:t>
      </w:r>
      <w:r>
        <w:rPr>
          <w:rFonts w:hint="eastAsia" w:cs="宋体"/>
          <w:spacing w:val="8"/>
        </w:rPr>
        <w:t>：服务全部由符</w:t>
      </w:r>
      <w:r>
        <w:rPr>
          <w:rFonts w:hint="eastAsia" w:cs="宋体"/>
          <w:spacing w:val="5"/>
        </w:rPr>
        <w:t>合政策要求的中小企业承接）。相关企业（含联合体中的中小企业</w:t>
      </w:r>
      <w:r>
        <w:rPr>
          <w:rFonts w:hint="eastAsia" w:cs="宋体"/>
          <w:spacing w:val="4"/>
        </w:rPr>
        <w:t>、签订分包意向协</w:t>
      </w:r>
      <w:r>
        <w:rPr>
          <w:rFonts w:hint="eastAsia" w:cs="宋体"/>
          <w:spacing w:val="7"/>
        </w:rPr>
        <w:t>议的中小企业）</w:t>
      </w:r>
      <w:r>
        <w:rPr>
          <w:rFonts w:hint="eastAsia" w:cs="宋体"/>
          <w:spacing w:val="-23"/>
        </w:rPr>
        <w:t xml:space="preserve"> </w:t>
      </w:r>
      <w:r>
        <w:rPr>
          <w:rFonts w:hint="eastAsia" w:cs="宋体"/>
          <w:spacing w:val="7"/>
        </w:rPr>
        <w:t>的具体情况如下：</w:t>
      </w:r>
    </w:p>
    <w:p>
      <w:pPr>
        <w:pStyle w:val="19"/>
        <w:tabs>
          <w:tab w:val="left" w:pos="9172"/>
          <w:tab w:val="clear" w:pos="567"/>
        </w:tabs>
        <w:spacing w:before="20" w:line="360" w:lineRule="auto"/>
        <w:ind w:left="114" w:right="79" w:firstLine="524"/>
        <w:rPr>
          <w:rFonts w:hint="eastAsia" w:cs="宋体"/>
        </w:rPr>
      </w:pPr>
      <w:r>
        <w:rPr>
          <w:rFonts w:hint="eastAsia" w:cs="宋体"/>
          <w:spacing w:val="5"/>
        </w:rPr>
        <w:t>1</w:t>
      </w:r>
      <w:r>
        <w:rPr>
          <w:rFonts w:hint="eastAsia" w:cs="宋体"/>
          <w:spacing w:val="-34"/>
        </w:rPr>
        <w:t xml:space="preserve"> </w:t>
      </w:r>
      <w:r>
        <w:rPr>
          <w:rFonts w:hint="eastAsia" w:cs="宋体"/>
          <w:spacing w:val="5"/>
        </w:rPr>
        <w:t>.</w:t>
      </w:r>
      <w:r>
        <w:rPr>
          <w:rFonts w:hint="eastAsia" w:cs="宋体"/>
          <w:spacing w:val="5"/>
          <w:u w:val="single"/>
        </w:rPr>
        <w:t>（标的名称</w:t>
      </w:r>
      <w:r>
        <w:rPr>
          <w:rFonts w:hint="eastAsia" w:cs="宋体"/>
          <w:spacing w:val="-44"/>
          <w:u w:val="single"/>
        </w:rPr>
        <w:t>）</w:t>
      </w:r>
      <w:r>
        <w:rPr>
          <w:rFonts w:hint="eastAsia" w:cs="宋体"/>
          <w:spacing w:val="-44"/>
        </w:rPr>
        <w:t>，</w:t>
      </w:r>
      <w:r>
        <w:rPr>
          <w:rFonts w:hint="eastAsia" w:cs="宋体"/>
          <w:spacing w:val="5"/>
        </w:rPr>
        <w:t>属于</w:t>
      </w:r>
      <w:r>
        <w:rPr>
          <w:rFonts w:hint="eastAsia" w:cs="宋体"/>
          <w:spacing w:val="5"/>
          <w:u w:val="single"/>
        </w:rPr>
        <w:t>（采购文件中明确的所属行业）</w:t>
      </w:r>
      <w:r>
        <w:rPr>
          <w:rFonts w:hint="eastAsia" w:cs="宋体"/>
          <w:spacing w:val="5"/>
        </w:rPr>
        <w:t>行业</w:t>
      </w:r>
      <w:r>
        <w:rPr>
          <w:rFonts w:hint="eastAsia" w:cs="宋体"/>
          <w:spacing w:val="-15"/>
        </w:rPr>
        <w:t xml:space="preserve"> </w:t>
      </w:r>
      <w:r>
        <w:rPr>
          <w:rFonts w:hint="eastAsia" w:cs="宋体"/>
          <w:spacing w:val="5"/>
        </w:rPr>
        <w:t>；承建（承接）企业</w:t>
      </w:r>
      <w:r>
        <w:rPr>
          <w:rFonts w:hint="eastAsia" w:cs="宋体"/>
        </w:rPr>
        <w:t xml:space="preserve"> </w:t>
      </w:r>
      <w:r>
        <w:rPr>
          <w:rFonts w:hint="eastAsia" w:cs="宋体"/>
          <w:spacing w:val="9"/>
        </w:rPr>
        <w:t>为</w:t>
      </w:r>
      <w:r>
        <w:rPr>
          <w:rFonts w:hint="eastAsia" w:cs="宋体"/>
          <w:spacing w:val="9"/>
          <w:u w:val="single"/>
        </w:rPr>
        <w:t xml:space="preserve">（企业名称 </w:t>
      </w:r>
      <w:r>
        <w:rPr>
          <w:rFonts w:hint="eastAsia" w:cs="宋体"/>
          <w:spacing w:val="-53"/>
          <w:w w:val="93"/>
          <w:u w:val="single"/>
        </w:rPr>
        <w:t>）</w:t>
      </w:r>
      <w:r>
        <w:rPr>
          <w:rFonts w:hint="eastAsia" w:cs="宋体"/>
          <w:spacing w:val="-53"/>
          <w:w w:val="93"/>
        </w:rPr>
        <w:t>，</w:t>
      </w:r>
      <w:r>
        <w:rPr>
          <w:rFonts w:hint="eastAsia" w:cs="宋体"/>
          <w:spacing w:val="9"/>
        </w:rPr>
        <w:t>从业人员</w:t>
      </w:r>
      <w:r>
        <w:rPr>
          <w:rFonts w:hint="eastAsia" w:cs="宋体"/>
          <w:spacing w:val="-52"/>
        </w:rPr>
        <w:t xml:space="preserve"> </w:t>
      </w:r>
      <w:r>
        <w:rPr>
          <w:rFonts w:hint="eastAsia" w:cs="宋体"/>
          <w:spacing w:val="4"/>
          <w:u w:val="single"/>
        </w:rPr>
        <w:t xml:space="preserve">          </w:t>
      </w:r>
      <w:r>
        <w:rPr>
          <w:rFonts w:hint="eastAsia" w:cs="宋体"/>
          <w:spacing w:val="-55"/>
        </w:rPr>
        <w:t xml:space="preserve"> </w:t>
      </w:r>
      <w:r>
        <w:rPr>
          <w:rFonts w:hint="eastAsia" w:cs="宋体"/>
          <w:spacing w:val="9"/>
        </w:rPr>
        <w:t>人，</w:t>
      </w:r>
      <w:r>
        <w:rPr>
          <w:rFonts w:hint="eastAsia" w:cs="宋体"/>
          <w:spacing w:val="-44"/>
        </w:rPr>
        <w:t xml:space="preserve"> </w:t>
      </w:r>
      <w:r>
        <w:rPr>
          <w:rFonts w:hint="eastAsia" w:cs="宋体"/>
          <w:spacing w:val="9"/>
        </w:rPr>
        <w:t>营业收入为</w:t>
      </w:r>
      <w:r>
        <w:rPr>
          <w:rFonts w:hint="eastAsia" w:cs="宋体"/>
          <w:spacing w:val="-59"/>
        </w:rPr>
        <w:t xml:space="preserve"> </w:t>
      </w:r>
      <w:r>
        <w:rPr>
          <w:rFonts w:hint="eastAsia" w:cs="宋体"/>
          <w:spacing w:val="4"/>
          <w:u w:val="single"/>
        </w:rPr>
        <w:t xml:space="preserve">          </w:t>
      </w:r>
      <w:r>
        <w:rPr>
          <w:rFonts w:hint="eastAsia" w:cs="宋体"/>
          <w:spacing w:val="-53"/>
        </w:rPr>
        <w:t xml:space="preserve"> </w:t>
      </w:r>
      <w:r>
        <w:rPr>
          <w:rFonts w:hint="eastAsia" w:cs="宋体"/>
          <w:spacing w:val="9"/>
        </w:rPr>
        <w:t>万元</w:t>
      </w:r>
      <w:r>
        <w:rPr>
          <w:rFonts w:hint="eastAsia" w:cs="宋体"/>
          <w:spacing w:val="-12"/>
        </w:rPr>
        <w:t xml:space="preserve"> </w:t>
      </w:r>
      <w:r>
        <w:rPr>
          <w:rFonts w:hint="eastAsia" w:cs="宋体"/>
          <w:spacing w:val="9"/>
        </w:rPr>
        <w:t>，</w:t>
      </w:r>
      <w:r>
        <w:rPr>
          <w:rFonts w:hint="eastAsia" w:cs="宋体"/>
          <w:spacing w:val="8"/>
        </w:rPr>
        <w:t>资产总额为</w:t>
      </w:r>
      <w:r>
        <w:rPr>
          <w:rFonts w:hint="eastAsia" w:cs="宋体"/>
          <w:spacing w:val="4"/>
          <w:u w:val="single"/>
        </w:rPr>
        <w:t xml:space="preserve">          </w:t>
      </w:r>
      <w:r>
        <w:rPr>
          <w:rFonts w:hint="eastAsia" w:cs="宋体"/>
          <w:spacing w:val="-53"/>
        </w:rPr>
        <w:t xml:space="preserve"> </w:t>
      </w:r>
      <w:r>
        <w:rPr>
          <w:rFonts w:hint="eastAsia" w:cs="宋体"/>
          <w:spacing w:val="1"/>
        </w:rPr>
        <w:t>万元</w:t>
      </w:r>
      <w:r>
        <w:rPr>
          <w:rFonts w:hint="eastAsia" w:cs="宋体"/>
          <w:spacing w:val="22"/>
        </w:rPr>
        <w:t xml:space="preserve"> </w:t>
      </w:r>
      <w:r>
        <w:rPr>
          <w:rFonts w:hint="eastAsia" w:cs="宋体"/>
          <w:spacing w:val="1"/>
          <w:position w:val="6"/>
        </w:rPr>
        <w:t xml:space="preserve">1 </w:t>
      </w:r>
      <w:r>
        <w:rPr>
          <w:rFonts w:hint="eastAsia" w:cs="宋体"/>
          <w:spacing w:val="1"/>
        </w:rPr>
        <w:t>，属于</w:t>
      </w:r>
      <w:r>
        <w:rPr>
          <w:rFonts w:hint="eastAsia" w:cs="宋体"/>
          <w:spacing w:val="1"/>
          <w:u w:val="single"/>
        </w:rPr>
        <w:t>（ 中型企业</w:t>
      </w:r>
      <w:r>
        <w:rPr>
          <w:rFonts w:hint="eastAsia" w:cs="宋体"/>
          <w:spacing w:val="-33"/>
          <w:u w:val="single"/>
        </w:rPr>
        <w:t xml:space="preserve"> </w:t>
      </w:r>
      <w:r>
        <w:rPr>
          <w:rFonts w:hint="eastAsia" w:cs="宋体"/>
          <w:spacing w:val="1"/>
          <w:u w:val="single"/>
        </w:rPr>
        <w:t>、小型企业</w:t>
      </w:r>
      <w:r>
        <w:rPr>
          <w:rFonts w:hint="eastAsia" w:cs="宋体"/>
          <w:spacing w:val="-33"/>
          <w:u w:val="single"/>
        </w:rPr>
        <w:t xml:space="preserve"> </w:t>
      </w:r>
      <w:r>
        <w:rPr>
          <w:rFonts w:hint="eastAsia" w:cs="宋体"/>
          <w:spacing w:val="1"/>
          <w:u w:val="single"/>
        </w:rPr>
        <w:t>、微型企业</w:t>
      </w:r>
      <w:r>
        <w:rPr>
          <w:rFonts w:hint="eastAsia" w:cs="宋体"/>
          <w:spacing w:val="-49"/>
          <w:u w:val="single"/>
        </w:rPr>
        <w:t>）</w:t>
      </w:r>
      <w:r>
        <w:rPr>
          <w:rFonts w:hint="eastAsia" w:cs="宋体"/>
          <w:spacing w:val="-49"/>
        </w:rPr>
        <w:t>；</w:t>
      </w:r>
    </w:p>
    <w:p>
      <w:pPr>
        <w:pStyle w:val="19"/>
        <w:tabs>
          <w:tab w:val="left" w:pos="9172"/>
          <w:tab w:val="clear" w:pos="567"/>
        </w:tabs>
        <w:spacing w:before="20" w:line="360" w:lineRule="auto"/>
        <w:ind w:left="114" w:right="79" w:firstLine="515"/>
        <w:rPr>
          <w:rFonts w:hint="eastAsia" w:cs="宋体"/>
        </w:rPr>
      </w:pPr>
      <w:r>
        <w:rPr>
          <w:rFonts w:hint="eastAsia" w:cs="宋体"/>
          <w:spacing w:val="7"/>
        </w:rPr>
        <w:t>2.</w:t>
      </w:r>
      <w:r>
        <w:rPr>
          <w:rFonts w:hint="eastAsia" w:cs="宋体"/>
          <w:spacing w:val="7"/>
          <w:u w:val="single"/>
        </w:rPr>
        <w:t>（标的名称</w:t>
      </w:r>
      <w:r>
        <w:rPr>
          <w:rFonts w:hint="eastAsia" w:cs="宋体"/>
          <w:spacing w:val="-50"/>
          <w:u w:val="single"/>
        </w:rPr>
        <w:t>）</w:t>
      </w:r>
      <w:r>
        <w:rPr>
          <w:rFonts w:hint="eastAsia" w:cs="宋体"/>
          <w:spacing w:val="-50"/>
        </w:rPr>
        <w:t>，</w:t>
      </w:r>
      <w:r>
        <w:rPr>
          <w:rFonts w:hint="eastAsia" w:cs="宋体"/>
          <w:spacing w:val="7"/>
        </w:rPr>
        <w:t>属于</w:t>
      </w:r>
      <w:r>
        <w:rPr>
          <w:rFonts w:hint="eastAsia" w:cs="宋体"/>
          <w:spacing w:val="7"/>
          <w:u w:val="single"/>
        </w:rPr>
        <w:t>（采购文件中明确的所</w:t>
      </w:r>
      <w:r>
        <w:rPr>
          <w:rFonts w:hint="eastAsia" w:cs="宋体"/>
          <w:spacing w:val="6"/>
          <w:u w:val="single"/>
        </w:rPr>
        <w:t>属行业）</w:t>
      </w:r>
      <w:r>
        <w:rPr>
          <w:rFonts w:hint="eastAsia" w:cs="宋体"/>
          <w:spacing w:val="6"/>
        </w:rPr>
        <w:t>行业</w:t>
      </w:r>
      <w:r>
        <w:rPr>
          <w:rFonts w:hint="eastAsia" w:cs="宋体"/>
          <w:spacing w:val="-15"/>
        </w:rPr>
        <w:t xml:space="preserve"> </w:t>
      </w:r>
      <w:r>
        <w:rPr>
          <w:rFonts w:hint="eastAsia" w:cs="宋体"/>
          <w:spacing w:val="6"/>
        </w:rPr>
        <w:t>；承建（承接）企业</w:t>
      </w:r>
      <w:r>
        <w:rPr>
          <w:rFonts w:hint="eastAsia" w:cs="宋体"/>
        </w:rPr>
        <w:t xml:space="preserve"> </w:t>
      </w:r>
      <w:r>
        <w:rPr>
          <w:rFonts w:hint="eastAsia" w:cs="宋体"/>
          <w:spacing w:val="9"/>
        </w:rPr>
        <w:t>为</w:t>
      </w:r>
      <w:r>
        <w:rPr>
          <w:rFonts w:hint="eastAsia" w:cs="宋体"/>
          <w:spacing w:val="9"/>
          <w:u w:val="single"/>
        </w:rPr>
        <w:t xml:space="preserve">（企业名称 </w:t>
      </w:r>
      <w:r>
        <w:rPr>
          <w:rFonts w:hint="eastAsia" w:cs="宋体"/>
          <w:spacing w:val="-53"/>
          <w:w w:val="93"/>
          <w:u w:val="single"/>
        </w:rPr>
        <w:t>）</w:t>
      </w:r>
      <w:r>
        <w:rPr>
          <w:rFonts w:hint="eastAsia" w:cs="宋体"/>
          <w:spacing w:val="-53"/>
          <w:w w:val="93"/>
        </w:rPr>
        <w:t>，</w:t>
      </w:r>
      <w:r>
        <w:rPr>
          <w:rFonts w:hint="eastAsia" w:cs="宋体"/>
          <w:spacing w:val="9"/>
        </w:rPr>
        <w:t>从业人员</w:t>
      </w:r>
      <w:r>
        <w:rPr>
          <w:rFonts w:hint="eastAsia" w:cs="宋体"/>
          <w:spacing w:val="-52"/>
        </w:rPr>
        <w:t xml:space="preserve"> </w:t>
      </w:r>
      <w:r>
        <w:rPr>
          <w:rFonts w:hint="eastAsia" w:cs="宋体"/>
          <w:spacing w:val="4"/>
          <w:u w:val="single"/>
        </w:rPr>
        <w:t xml:space="preserve">          </w:t>
      </w:r>
      <w:r>
        <w:rPr>
          <w:rFonts w:hint="eastAsia" w:cs="宋体"/>
          <w:spacing w:val="-55"/>
        </w:rPr>
        <w:t xml:space="preserve"> </w:t>
      </w:r>
      <w:r>
        <w:rPr>
          <w:rFonts w:hint="eastAsia" w:cs="宋体"/>
          <w:spacing w:val="9"/>
        </w:rPr>
        <w:t>人，</w:t>
      </w:r>
      <w:r>
        <w:rPr>
          <w:rFonts w:hint="eastAsia" w:cs="宋体"/>
          <w:spacing w:val="-44"/>
        </w:rPr>
        <w:t xml:space="preserve"> </w:t>
      </w:r>
      <w:r>
        <w:rPr>
          <w:rFonts w:hint="eastAsia" w:cs="宋体"/>
          <w:spacing w:val="9"/>
        </w:rPr>
        <w:t>营业收入为</w:t>
      </w:r>
      <w:r>
        <w:rPr>
          <w:rFonts w:hint="eastAsia" w:cs="宋体"/>
          <w:spacing w:val="-59"/>
        </w:rPr>
        <w:t xml:space="preserve"> </w:t>
      </w:r>
      <w:r>
        <w:rPr>
          <w:rFonts w:hint="eastAsia" w:cs="宋体"/>
          <w:spacing w:val="4"/>
          <w:u w:val="single"/>
        </w:rPr>
        <w:t xml:space="preserve">          </w:t>
      </w:r>
      <w:r>
        <w:rPr>
          <w:rFonts w:hint="eastAsia" w:cs="宋体"/>
          <w:spacing w:val="-53"/>
        </w:rPr>
        <w:t xml:space="preserve"> </w:t>
      </w:r>
      <w:r>
        <w:rPr>
          <w:rFonts w:hint="eastAsia" w:cs="宋体"/>
          <w:spacing w:val="9"/>
        </w:rPr>
        <w:t>万元</w:t>
      </w:r>
      <w:r>
        <w:rPr>
          <w:rFonts w:hint="eastAsia" w:cs="宋体"/>
          <w:spacing w:val="-12"/>
        </w:rPr>
        <w:t xml:space="preserve"> </w:t>
      </w:r>
      <w:r>
        <w:rPr>
          <w:rFonts w:hint="eastAsia" w:cs="宋体"/>
          <w:spacing w:val="9"/>
        </w:rPr>
        <w:t>，</w:t>
      </w:r>
      <w:r>
        <w:rPr>
          <w:rFonts w:hint="eastAsia" w:cs="宋体"/>
          <w:spacing w:val="8"/>
        </w:rPr>
        <w:t>资产总额为</w:t>
      </w:r>
      <w:r>
        <w:rPr>
          <w:rFonts w:hint="eastAsia" w:cs="宋体"/>
          <w:spacing w:val="-58"/>
        </w:rPr>
        <w:t xml:space="preserve"> </w:t>
      </w:r>
      <w:r>
        <w:rPr>
          <w:rFonts w:hint="eastAsia" w:cs="宋体"/>
          <w:spacing w:val="4"/>
          <w:u w:val="single"/>
        </w:rPr>
        <w:t xml:space="preserve">          </w:t>
      </w:r>
      <w:r>
        <w:rPr>
          <w:rFonts w:hint="eastAsia" w:cs="宋体"/>
          <w:spacing w:val="-53"/>
        </w:rPr>
        <w:t xml:space="preserve"> </w:t>
      </w:r>
      <w:r>
        <w:rPr>
          <w:rFonts w:hint="eastAsia" w:cs="宋体"/>
          <w:spacing w:val="1"/>
        </w:rPr>
        <w:t>万元</w:t>
      </w:r>
      <w:r>
        <w:rPr>
          <w:rFonts w:hint="eastAsia" w:cs="宋体"/>
          <w:spacing w:val="-16"/>
        </w:rPr>
        <w:t xml:space="preserve"> </w:t>
      </w:r>
      <w:r>
        <w:rPr>
          <w:rFonts w:hint="eastAsia" w:cs="宋体"/>
          <w:spacing w:val="1"/>
        </w:rPr>
        <w:t>，属于</w:t>
      </w:r>
      <w:r>
        <w:rPr>
          <w:rFonts w:hint="eastAsia" w:cs="宋体"/>
          <w:spacing w:val="1"/>
          <w:u w:val="single"/>
        </w:rPr>
        <w:t>（ 中型企业</w:t>
      </w:r>
      <w:r>
        <w:rPr>
          <w:rFonts w:hint="eastAsia" w:cs="宋体"/>
          <w:spacing w:val="-33"/>
          <w:u w:val="single"/>
        </w:rPr>
        <w:t xml:space="preserve"> </w:t>
      </w:r>
      <w:r>
        <w:rPr>
          <w:rFonts w:hint="eastAsia" w:cs="宋体"/>
          <w:spacing w:val="1"/>
          <w:u w:val="single"/>
        </w:rPr>
        <w:t>、小型企业</w:t>
      </w:r>
      <w:r>
        <w:rPr>
          <w:rFonts w:hint="eastAsia" w:cs="宋体"/>
          <w:spacing w:val="-33"/>
          <w:u w:val="single"/>
        </w:rPr>
        <w:t xml:space="preserve"> </w:t>
      </w:r>
      <w:r>
        <w:rPr>
          <w:rFonts w:hint="eastAsia" w:cs="宋体"/>
          <w:spacing w:val="1"/>
          <w:u w:val="single"/>
        </w:rPr>
        <w:t>、微型</w:t>
      </w:r>
      <w:r>
        <w:rPr>
          <w:rFonts w:hint="eastAsia" w:cs="宋体"/>
          <w:u w:val="single"/>
        </w:rPr>
        <w:t>企业</w:t>
      </w:r>
      <w:r>
        <w:rPr>
          <w:rFonts w:hint="eastAsia" w:cs="宋体"/>
          <w:spacing w:val="-49"/>
          <w:u w:val="single"/>
        </w:rPr>
        <w:t>）</w:t>
      </w:r>
      <w:r>
        <w:rPr>
          <w:rFonts w:hint="eastAsia" w:cs="宋体"/>
          <w:spacing w:val="-49"/>
        </w:rPr>
        <w:t>；</w:t>
      </w:r>
    </w:p>
    <w:p>
      <w:pPr>
        <w:spacing w:line="360" w:lineRule="auto"/>
        <w:rPr>
          <w:rFonts w:hint="eastAsia" w:ascii="宋体" w:hAnsi="宋体" w:cs="宋体"/>
          <w:sz w:val="24"/>
        </w:rPr>
      </w:pPr>
    </w:p>
    <w:p>
      <w:pPr>
        <w:spacing w:line="360" w:lineRule="auto"/>
        <w:rPr>
          <w:rFonts w:hint="eastAsia" w:ascii="宋体" w:hAnsi="宋体" w:cs="宋体"/>
          <w:sz w:val="24"/>
        </w:rPr>
      </w:pPr>
    </w:p>
    <w:p>
      <w:pPr>
        <w:spacing w:before="70" w:line="360" w:lineRule="auto"/>
        <w:ind w:left="640"/>
        <w:rPr>
          <w:rFonts w:hint="eastAsia" w:ascii="宋体" w:hAnsi="宋体" w:cs="宋体"/>
          <w:sz w:val="24"/>
        </w:rPr>
      </w:pPr>
      <w:r>
        <w:rPr>
          <w:rFonts w:hint="eastAsia" w:ascii="宋体" w:hAnsi="宋体" w:cs="宋体"/>
          <w:spacing w:val="2"/>
          <w:position w:val="1"/>
          <w:sz w:val="24"/>
        </w:rPr>
        <w:t>……</w:t>
      </w:r>
    </w:p>
    <w:p>
      <w:pPr>
        <w:pStyle w:val="19"/>
        <w:spacing w:before="185" w:line="360" w:lineRule="auto"/>
        <w:ind w:left="110" w:right="84" w:firstLine="526"/>
        <w:rPr>
          <w:rFonts w:hint="eastAsia" w:cs="宋体"/>
        </w:rPr>
      </w:pPr>
      <w:r>
        <w:rPr>
          <w:rFonts w:hint="eastAsia" w:cs="宋体"/>
          <w:spacing w:val="6"/>
        </w:rPr>
        <w:t>以上企业</w:t>
      </w:r>
      <w:r>
        <w:rPr>
          <w:rFonts w:hint="eastAsia" w:cs="宋体"/>
          <w:spacing w:val="-13"/>
        </w:rPr>
        <w:t xml:space="preserve"> </w:t>
      </w:r>
      <w:r>
        <w:rPr>
          <w:rFonts w:hint="eastAsia" w:cs="宋体"/>
          <w:spacing w:val="6"/>
        </w:rPr>
        <w:t>，不属于大企业的分支机构</w:t>
      </w:r>
      <w:r>
        <w:rPr>
          <w:rFonts w:hint="eastAsia" w:cs="宋体"/>
          <w:spacing w:val="-17"/>
        </w:rPr>
        <w:t xml:space="preserve"> </w:t>
      </w:r>
      <w:r>
        <w:rPr>
          <w:rFonts w:hint="eastAsia" w:cs="宋体"/>
          <w:spacing w:val="6"/>
        </w:rPr>
        <w:t>，不存在控股股东为大企业的情形</w:t>
      </w:r>
      <w:r>
        <w:rPr>
          <w:rFonts w:hint="eastAsia" w:cs="宋体"/>
          <w:spacing w:val="-17"/>
        </w:rPr>
        <w:t xml:space="preserve"> </w:t>
      </w:r>
      <w:r>
        <w:rPr>
          <w:rFonts w:hint="eastAsia" w:cs="宋体"/>
          <w:spacing w:val="6"/>
        </w:rPr>
        <w:t>，也不</w:t>
      </w:r>
      <w:r>
        <w:rPr>
          <w:rFonts w:hint="eastAsia" w:cs="宋体"/>
        </w:rPr>
        <w:t xml:space="preserve"> </w:t>
      </w:r>
      <w:r>
        <w:rPr>
          <w:rFonts w:hint="eastAsia" w:cs="宋体"/>
          <w:spacing w:val="11"/>
        </w:rPr>
        <w:t>存在与大企业的负责人为同一人的情形。</w:t>
      </w:r>
    </w:p>
    <w:p>
      <w:pPr>
        <w:pStyle w:val="19"/>
        <w:spacing w:before="11" w:line="360" w:lineRule="auto"/>
        <w:ind w:left="616"/>
        <w:rPr>
          <w:rFonts w:hint="eastAsia" w:cs="宋体"/>
        </w:rPr>
      </w:pPr>
      <w:r>
        <w:rPr>
          <w:rFonts w:hint="eastAsia" w:cs="宋体"/>
          <w:spacing w:val="9"/>
        </w:rPr>
        <w:t>本企业对上述声明内容的真实性负责</w:t>
      </w:r>
      <w:r>
        <w:rPr>
          <w:rFonts w:hint="eastAsia" w:cs="宋体"/>
          <w:spacing w:val="-31"/>
        </w:rPr>
        <w:t xml:space="preserve"> </w:t>
      </w:r>
      <w:r>
        <w:rPr>
          <w:rFonts w:hint="eastAsia" w:cs="宋体"/>
          <w:spacing w:val="9"/>
        </w:rPr>
        <w:t>。如有虚假</w:t>
      </w:r>
      <w:r>
        <w:rPr>
          <w:rFonts w:hint="eastAsia" w:cs="宋体"/>
          <w:spacing w:val="-17"/>
        </w:rPr>
        <w:t xml:space="preserve"> </w:t>
      </w:r>
      <w:r>
        <w:rPr>
          <w:rFonts w:hint="eastAsia" w:cs="宋体"/>
          <w:spacing w:val="9"/>
        </w:rPr>
        <w:t>，将依法承担相应</w:t>
      </w:r>
      <w:r>
        <w:rPr>
          <w:rFonts w:hint="eastAsia" w:cs="宋体"/>
          <w:spacing w:val="8"/>
        </w:rPr>
        <w:t>责任。</w:t>
      </w:r>
    </w:p>
    <w:p>
      <w:pPr>
        <w:spacing w:line="360" w:lineRule="auto"/>
        <w:rPr>
          <w:rFonts w:hint="eastAsia" w:ascii="宋体" w:hAnsi="宋体" w:cs="宋体"/>
          <w:sz w:val="24"/>
        </w:rPr>
      </w:pPr>
    </w:p>
    <w:p>
      <w:pPr>
        <w:spacing w:line="360" w:lineRule="auto"/>
        <w:rPr>
          <w:rFonts w:hint="eastAsia" w:ascii="宋体" w:hAnsi="宋体" w:cs="宋体"/>
          <w:sz w:val="24"/>
        </w:rPr>
      </w:pPr>
    </w:p>
    <w:p>
      <w:pPr>
        <w:pStyle w:val="19"/>
        <w:spacing w:before="103" w:line="360" w:lineRule="auto"/>
        <w:ind w:left="5825"/>
        <w:rPr>
          <w:rFonts w:hint="eastAsia" w:cs="宋体"/>
        </w:rPr>
      </w:pPr>
      <w:r>
        <w:rPr>
          <w:rFonts w:hint="eastAsia" w:cs="宋体"/>
          <w:spacing w:val="-1"/>
        </w:rPr>
        <w:t>企业名称（盖章</w:t>
      </w:r>
      <w:r>
        <w:rPr>
          <w:rFonts w:hint="eastAsia" w:cs="宋体"/>
          <w:spacing w:val="-61"/>
        </w:rPr>
        <w:t>）：</w:t>
      </w:r>
      <w:r>
        <w:rPr>
          <w:rFonts w:hint="eastAsia" w:cs="宋体"/>
          <w:u w:val="single"/>
        </w:rPr>
        <w:t xml:space="preserve">              </w:t>
      </w:r>
    </w:p>
    <w:p>
      <w:pPr>
        <w:spacing w:line="360" w:lineRule="auto"/>
        <w:ind w:right="360" w:firstLine="480"/>
        <w:jc w:val="center"/>
        <w:rPr>
          <w:rFonts w:asciiTheme="minorEastAsia" w:hAnsiTheme="minorEastAsia" w:eastAsiaTheme="minorEastAsia"/>
          <w:color w:val="auto"/>
          <w:sz w:val="24"/>
        </w:rPr>
      </w:pPr>
      <w:r>
        <w:rPr>
          <w:rFonts w:hint="eastAsia" w:cs="宋体"/>
          <w:spacing w:val="20"/>
          <w:lang w:val="en-US" w:eastAsia="zh-CN"/>
        </w:rPr>
        <w:t xml:space="preserve">                        </w:t>
      </w:r>
      <w:r>
        <w:rPr>
          <w:rFonts w:hint="eastAsia" w:cs="宋体"/>
          <w:spacing w:val="20"/>
        </w:rPr>
        <w:t>日期：</w:t>
      </w:r>
      <w:r>
        <w:rPr>
          <w:rFonts w:hint="eastAsia" w:cs="宋体"/>
          <w:u w:val="single"/>
        </w:rPr>
        <w:t xml:space="preserve">            </w:t>
      </w:r>
    </w:p>
    <w:p>
      <w:pPr>
        <w:adjustRightInd w:val="0"/>
        <w:snapToGrid w:val="0"/>
        <w:jc w:val="left"/>
        <w:rPr>
          <w:rFonts w:asciiTheme="minorEastAsia" w:hAnsiTheme="minorEastAsia" w:eastAsiaTheme="minorEastAsia"/>
          <w:color w:val="auto"/>
          <w:sz w:val="24"/>
          <w:szCs w:val="21"/>
        </w:rPr>
      </w:pPr>
    </w:p>
    <w:p>
      <w:pPr>
        <w:adjustRightInd w:val="0"/>
        <w:snapToGrid w:val="0"/>
        <w:jc w:val="left"/>
        <w:rPr>
          <w:rFonts w:asciiTheme="minorEastAsia" w:hAnsiTheme="minorEastAsia" w:eastAsiaTheme="minorEastAsia"/>
          <w:color w:val="auto"/>
          <w:sz w:val="24"/>
          <w:szCs w:val="21"/>
        </w:rPr>
      </w:pPr>
    </w:p>
    <w:tbl>
      <w:tblPr>
        <w:tblStyle w:val="108"/>
        <w:tblW w:w="8946"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Cs w:val="21"/>
              </w:rPr>
            </w:pPr>
            <w:r>
              <w:rPr>
                <w:rFonts w:hint="default" w:asciiTheme="minorEastAsia" w:hAnsiTheme="minorEastAsia" w:eastAsiaTheme="minorEastAsia"/>
                <w:color w:val="auto"/>
                <w:szCs w:val="21"/>
                <w:vertAlign w:val="superscript"/>
              </w:rPr>
              <w:t>1</w:t>
            </w:r>
            <w:r>
              <w:rPr>
                <w:rFonts w:hint="default" w:asciiTheme="minorEastAsia" w:hAnsiTheme="minorEastAsia" w:eastAsiaTheme="minorEastAsia"/>
                <w:color w:val="auto"/>
                <w:szCs w:val="21"/>
              </w:rPr>
              <w:t>从业人员、营业收入、资产总额填报上一年度数据，无上一年度数据的新成立企业可不填报。</w:t>
            </w:r>
          </w:p>
        </w:tc>
      </w:tr>
    </w:tbl>
    <w:p>
      <w:pPr>
        <w:adjustRightInd w:val="0"/>
        <w:snapToGrid w:val="0"/>
        <w:jc w:val="left"/>
        <w:rPr>
          <w:rFonts w:asciiTheme="minorEastAsia" w:hAnsiTheme="minorEastAsia" w:eastAsiaTheme="minorEastAsia"/>
          <w:color w:val="auto"/>
          <w:szCs w:val="21"/>
          <w:vertAlign w:val="superscript"/>
        </w:rPr>
      </w:pPr>
    </w:p>
    <w:p>
      <w:pPr>
        <w:spacing w:line="360" w:lineRule="auto"/>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br w:type="page"/>
      </w:r>
    </w:p>
    <w:p>
      <w:pPr>
        <w:spacing w:before="240" w:beforeLines="100" w:after="240" w:afterLines="100"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bCs/>
          <w:color w:val="auto"/>
          <w:sz w:val="36"/>
          <w:szCs w:val="36"/>
        </w:rPr>
        <w:t>残疾人福利性单位声明函格式</w:t>
      </w:r>
    </w:p>
    <w:p>
      <w:pPr>
        <w:spacing w:line="588" w:lineRule="exact"/>
        <w:ind w:firstLine="504"/>
        <w:rPr>
          <w:rFonts w:asciiTheme="minorEastAsia" w:hAnsiTheme="minorEastAsia" w:eastAsiaTheme="minorEastAsia"/>
          <w:color w:val="auto"/>
          <w:spacing w:val="6"/>
          <w:sz w:val="24"/>
        </w:rPr>
      </w:pPr>
      <w:r>
        <w:rPr>
          <w:rFonts w:asciiTheme="minorEastAsia" w:hAnsiTheme="minorEastAsia" w:eastAsiaTheme="minorEastAsia"/>
          <w:color w:val="auto"/>
          <w:spacing w:val="6"/>
          <w:sz w:val="24"/>
        </w:rPr>
        <w:t>本单位郑重声明，根据《财政部民政部中国残疾人联合会关于促进残疾人就业政府采购政策的通知》（财库</w:t>
      </w:r>
      <w:r>
        <w:rPr>
          <w:rFonts w:asciiTheme="minorEastAsia" w:hAnsiTheme="minorEastAsia" w:eastAsiaTheme="minorEastAsia"/>
          <w:color w:val="auto"/>
          <w:sz w:val="24"/>
        </w:rPr>
        <w:t>〔2017〕141</w:t>
      </w:r>
      <w:r>
        <w:rPr>
          <w:rFonts w:asciiTheme="minorEastAsia" w:hAnsiTheme="minorEastAsia" w:eastAsiaTheme="minorEastAsia"/>
          <w:color w:val="auto"/>
          <w:spacing w:val="6"/>
          <w:sz w:val="24"/>
        </w:rPr>
        <w:t>号）的规定，本单位</w:t>
      </w:r>
      <w:r>
        <w:rPr>
          <w:rFonts w:asciiTheme="minorEastAsia" w:hAnsiTheme="minorEastAsia" w:eastAsiaTheme="minorEastAsia"/>
          <w:b/>
          <w:color w:val="auto"/>
          <w:sz w:val="24"/>
        </w:rPr>
        <w:t>（请进行勾选）</w:t>
      </w:r>
      <w:r>
        <w:rPr>
          <w:rFonts w:asciiTheme="minorEastAsia" w:hAnsiTheme="minorEastAsia" w:eastAsiaTheme="minorEastAsia"/>
          <w:color w:val="auto"/>
          <w:spacing w:val="6"/>
          <w:sz w:val="24"/>
        </w:rPr>
        <w:t>：</w:t>
      </w:r>
    </w:p>
    <w:p>
      <w:pPr>
        <w:spacing w:line="588" w:lineRule="exact"/>
        <w:ind w:firstLine="482"/>
        <w:rPr>
          <w:rFonts w:asciiTheme="minorEastAsia" w:hAnsiTheme="minorEastAsia" w:eastAsiaTheme="minorEastAsia"/>
          <w:b/>
          <w:color w:val="auto"/>
          <w:spacing w:val="6"/>
          <w:sz w:val="24"/>
        </w:rPr>
      </w:pPr>
      <w:r>
        <w:rPr>
          <w:rFonts w:asciiTheme="minorEastAsia" w:hAnsiTheme="minorEastAsia" w:eastAsiaTheme="minorEastAsia"/>
          <w:b/>
          <w:color w:val="auto"/>
          <w:sz w:val="24"/>
        </w:rPr>
        <w:t>□</w:t>
      </w:r>
      <w:r>
        <w:rPr>
          <w:rFonts w:asciiTheme="minorEastAsia" w:hAnsiTheme="minorEastAsia" w:eastAsiaTheme="minorEastAsia"/>
          <w:b/>
          <w:color w:val="auto"/>
          <w:spacing w:val="6"/>
          <w:sz w:val="24"/>
        </w:rPr>
        <w:t>不属于符合条件的残疾人福利性单位。</w:t>
      </w:r>
    </w:p>
    <w:p>
      <w:pPr>
        <w:spacing w:line="588" w:lineRule="exact"/>
        <w:ind w:firstLine="482"/>
        <w:rPr>
          <w:rFonts w:asciiTheme="minorEastAsia" w:hAnsiTheme="minorEastAsia" w:eastAsiaTheme="minorEastAsia"/>
          <w:color w:val="auto"/>
          <w:spacing w:val="6"/>
          <w:sz w:val="24"/>
        </w:rPr>
      </w:pPr>
      <w:r>
        <w:rPr>
          <w:rFonts w:asciiTheme="minorEastAsia" w:hAnsiTheme="minorEastAsia" w:eastAsiaTheme="minorEastAsia"/>
          <w:b/>
          <w:color w:val="auto"/>
          <w:sz w:val="24"/>
        </w:rPr>
        <w:t>□</w:t>
      </w:r>
      <w:r>
        <w:rPr>
          <w:rFonts w:asciiTheme="minorEastAsia" w:hAnsiTheme="minorEastAsia" w:eastAsiaTheme="minorEastAsia"/>
          <w:b/>
          <w:color w:val="auto"/>
          <w:spacing w:val="6"/>
          <w:sz w:val="24"/>
        </w:rPr>
        <w:t>属于符合条件的残疾人福利性单位，</w:t>
      </w:r>
      <w:r>
        <w:rPr>
          <w:rFonts w:asciiTheme="minorEastAsia" w:hAnsiTheme="minorEastAsia" w:eastAsiaTheme="minorEastAsia"/>
          <w:color w:val="auto"/>
          <w:spacing w:val="6"/>
          <w:sz w:val="24"/>
        </w:rPr>
        <w:t>且本单位参加</w:t>
      </w:r>
      <w:r>
        <w:rPr>
          <w:rFonts w:asciiTheme="minorEastAsia" w:hAnsiTheme="minorEastAsia" w:eastAsiaTheme="minorEastAsia"/>
          <w:color w:val="auto"/>
          <w:sz w:val="24"/>
        </w:rPr>
        <w:t>______</w:t>
      </w:r>
      <w:r>
        <w:rPr>
          <w:rFonts w:asciiTheme="minorEastAsia" w:hAnsiTheme="minorEastAsia" w:eastAsiaTheme="minorEastAsia"/>
          <w:color w:val="auto"/>
          <w:spacing w:val="6"/>
          <w:sz w:val="24"/>
        </w:rPr>
        <w:t>单位的</w:t>
      </w:r>
      <w:r>
        <w:rPr>
          <w:rFonts w:asciiTheme="minorEastAsia" w:hAnsiTheme="minorEastAsia" w:eastAsiaTheme="minorEastAsia"/>
          <w:color w:val="auto"/>
          <w:sz w:val="24"/>
        </w:rPr>
        <w:t>______</w:t>
      </w:r>
      <w:r>
        <w:rPr>
          <w:rFonts w:asciiTheme="minorEastAsia" w:hAnsiTheme="minorEastAsia" w:eastAsiaTheme="minorEastAsia"/>
          <w:color w:val="auto"/>
          <w:spacing w:val="6"/>
          <w:sz w:val="24"/>
        </w:rPr>
        <w:t>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rFonts w:asciiTheme="minorEastAsia" w:hAnsiTheme="minorEastAsia" w:eastAsiaTheme="minorEastAsia"/>
          <w:color w:val="auto"/>
          <w:spacing w:val="6"/>
          <w:sz w:val="24"/>
        </w:rPr>
      </w:pPr>
      <w:r>
        <w:rPr>
          <w:rFonts w:asciiTheme="minorEastAsia" w:hAnsiTheme="minorEastAsia" w:eastAsiaTheme="minorEastAsia"/>
          <w:b/>
          <w:color w:val="auto"/>
          <w:spacing w:val="6"/>
          <w:sz w:val="24"/>
        </w:rPr>
        <w:t>本单位对上述声明的真实性负责。如有虚假，将依法承担相应责任。</w:t>
      </w:r>
    </w:p>
    <w:p>
      <w:pPr>
        <w:spacing w:line="588" w:lineRule="exact"/>
        <w:ind w:firstLine="504" w:firstLineChars="200"/>
        <w:rPr>
          <w:rFonts w:asciiTheme="minorEastAsia" w:hAnsiTheme="minorEastAsia" w:eastAsiaTheme="minorEastAsia"/>
          <w:color w:val="auto"/>
          <w:spacing w:val="6"/>
          <w:sz w:val="24"/>
        </w:rPr>
      </w:pPr>
    </w:p>
    <w:p>
      <w:pPr>
        <w:spacing w:line="588" w:lineRule="exact"/>
        <w:ind w:firstLine="504" w:firstLineChars="200"/>
        <w:rPr>
          <w:rFonts w:asciiTheme="minorEastAsia" w:hAnsiTheme="minorEastAsia" w:eastAsiaTheme="minorEastAsia"/>
          <w:color w:val="auto"/>
          <w:spacing w:val="6"/>
          <w:sz w:val="24"/>
        </w:rPr>
      </w:pPr>
    </w:p>
    <w:p>
      <w:pPr>
        <w:tabs>
          <w:tab w:val="left" w:pos="4860"/>
        </w:tabs>
        <w:spacing w:line="588" w:lineRule="exact"/>
        <w:ind w:right="1560" w:firstLine="504" w:firstLineChars="200"/>
        <w:jc w:val="right"/>
        <w:rPr>
          <w:rFonts w:asciiTheme="minorEastAsia" w:hAnsiTheme="minorEastAsia" w:eastAsiaTheme="minorEastAsia"/>
          <w:color w:val="auto"/>
          <w:spacing w:val="6"/>
          <w:sz w:val="24"/>
        </w:rPr>
      </w:pPr>
      <w:r>
        <w:rPr>
          <w:rFonts w:asciiTheme="minorEastAsia" w:hAnsiTheme="minorEastAsia" w:eastAsiaTheme="minorEastAsia"/>
          <w:color w:val="auto"/>
          <w:spacing w:val="6"/>
          <w:sz w:val="24"/>
        </w:rPr>
        <w:t>单位名称（盖章）：</w:t>
      </w:r>
      <w:r>
        <w:rPr>
          <w:rFonts w:asciiTheme="minorEastAsia" w:hAnsiTheme="minorEastAsia" w:eastAsiaTheme="minorEastAsia"/>
          <w:color w:val="auto"/>
          <w:sz w:val="24"/>
        </w:rPr>
        <w:t>______</w:t>
      </w:r>
    </w:p>
    <w:p>
      <w:pPr>
        <w:tabs>
          <w:tab w:val="left" w:pos="4860"/>
        </w:tabs>
        <w:spacing w:line="588" w:lineRule="exact"/>
        <w:ind w:right="1560" w:firstLine="504" w:firstLineChars="200"/>
        <w:jc w:val="right"/>
        <w:rPr>
          <w:rFonts w:asciiTheme="minorEastAsia" w:hAnsiTheme="minorEastAsia" w:eastAsiaTheme="minorEastAsia"/>
          <w:color w:val="auto"/>
          <w:spacing w:val="6"/>
          <w:sz w:val="24"/>
        </w:rPr>
      </w:pPr>
      <w:r>
        <w:rPr>
          <w:rFonts w:asciiTheme="minorEastAsia" w:hAnsiTheme="minorEastAsia" w:eastAsiaTheme="minorEastAsia"/>
          <w:color w:val="auto"/>
          <w:spacing w:val="6"/>
          <w:sz w:val="24"/>
        </w:rPr>
        <w:t>日期：</w:t>
      </w:r>
      <w:r>
        <w:rPr>
          <w:rFonts w:asciiTheme="minorEastAsia" w:hAnsiTheme="minorEastAsia" w:eastAsiaTheme="minorEastAsia"/>
          <w:color w:val="auto"/>
          <w:sz w:val="24"/>
        </w:rPr>
        <w:t>______</w:t>
      </w:r>
    </w:p>
    <w:p>
      <w:pPr>
        <w:pStyle w:val="477"/>
        <w:ind w:firstLine="480"/>
        <w:rPr>
          <w:rFonts w:asciiTheme="minorEastAsia" w:hAnsiTheme="minorEastAsia" w:eastAsiaTheme="minorEastAsia"/>
          <w:color w:val="auto"/>
        </w:rPr>
      </w:pPr>
    </w:p>
    <w:p>
      <w:pPr>
        <w:tabs>
          <w:tab w:val="left" w:pos="8280"/>
        </w:tabs>
        <w:spacing w:line="360" w:lineRule="auto"/>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3 本项目的特定资格要求（</w:t>
      </w:r>
      <w:r>
        <w:rPr>
          <w:rFonts w:hint="eastAsia" w:asciiTheme="minorEastAsia" w:hAnsiTheme="minorEastAsia" w:eastAsiaTheme="minorEastAsia"/>
          <w:color w:val="auto"/>
          <w:sz w:val="24"/>
          <w:lang w:eastAsia="zh-CN"/>
        </w:rPr>
        <w:t>提供相关证明材料并加盖供应商公章</w:t>
      </w:r>
      <w:r>
        <w:rPr>
          <w:rFonts w:hint="eastAsia" w:asciiTheme="minorEastAsia" w:hAnsiTheme="minorEastAsia" w:eastAsiaTheme="minorEastAsia"/>
          <w:color w:val="auto"/>
          <w:sz w:val="24"/>
        </w:rPr>
        <w:t>）</w:t>
      </w:r>
    </w:p>
    <w:p>
      <w:pPr>
        <w:pStyle w:val="2"/>
        <w:rPr>
          <w:rFonts w:hint="eastAsia" w:asciiTheme="minorEastAsia" w:hAnsiTheme="minorEastAsia" w:eastAsiaTheme="minorEastAsia"/>
          <w:color w:val="auto"/>
          <w:sz w:val="24"/>
        </w:rPr>
      </w:pPr>
    </w:p>
    <w:p>
      <w:pPr>
        <w:pStyle w:val="2"/>
        <w:keepNext w:val="0"/>
        <w:keepLines w:val="0"/>
        <w:pageBreakBefore w:val="0"/>
        <w:widowControl w:val="0"/>
        <w:kinsoku/>
        <w:wordWrap/>
        <w:overflowPunct/>
        <w:topLinePunct w:val="0"/>
        <w:autoSpaceDE/>
        <w:autoSpaceDN/>
        <w:bidi w:val="0"/>
        <w:adjustRightInd w:val="0"/>
        <w:snapToGrid/>
        <w:spacing w:line="360" w:lineRule="auto"/>
        <w:ind w:right="0" w:rightChars="0"/>
        <w:jc w:val="both"/>
        <w:textAlignment w:val="auto"/>
        <w:outlineLvl w:val="9"/>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3-1供应商须具备机电安装工程专业承包叁级（含）以上资质或输变电工程专业承包叁级（含）以上资质，并且具备有效期内的安全生产许可证；</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3-2供应商至少具备一个近三年内100万以上类似业绩。需提供合同关键页，包含合同的甲乙双方，合同详细标的和双方签字盖章及生效时间；</w:t>
      </w:r>
    </w:p>
    <w:p>
      <w:pPr>
        <w:pStyle w:val="2"/>
        <w:keepNext w:val="0"/>
        <w:keepLines w:val="0"/>
        <w:pageBreakBefore w:val="0"/>
        <w:widowControl w:val="0"/>
        <w:kinsoku/>
        <w:wordWrap/>
        <w:overflowPunct/>
        <w:topLinePunct w:val="0"/>
        <w:autoSpaceDE/>
        <w:autoSpaceDN/>
        <w:bidi w:val="0"/>
        <w:adjustRightInd w:val="0"/>
        <w:snapToGrid/>
        <w:spacing w:line="360" w:lineRule="auto"/>
        <w:ind w:right="0" w:right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供应商拟派项目负责人（项目经理）必须在供应商本单位注册，具有机电工程专业贰级及以上注册建造师执业资格并取得“安全生产考核合格证书”（简称B本），且在确定成交供应商时不得担任其他在建工程的项目经理；</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3-4供应商拟派施工人员中具备特种工作操作证（低压电工作证）的人员不得少于2人。</w:t>
      </w:r>
    </w:p>
    <w:p>
      <w:pPr>
        <w:sectPr>
          <w:pgSz w:w="11907" w:h="16840"/>
          <w:pgMar w:top="1418" w:right="1134" w:bottom="1418" w:left="1701" w:header="851" w:footer="851" w:gutter="0"/>
          <w:pgNumType w:fmt="decimal"/>
          <w:cols w:space="720" w:num="1"/>
          <w:docGrid w:linePitch="462" w:charSpace="0"/>
        </w:sectPr>
      </w:pPr>
    </w:p>
    <w:bookmarkEnd w:id="1710"/>
    <w:p>
      <w:pPr>
        <w:tabs>
          <w:tab w:val="left" w:pos="360"/>
        </w:tabs>
        <w:snapToGrid w:val="0"/>
        <w:spacing w:line="360" w:lineRule="auto"/>
        <w:outlineLvl w:val="1"/>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4</w:t>
      </w:r>
      <w:r>
        <w:rPr>
          <w:rFonts w:asciiTheme="minorEastAsia" w:hAnsiTheme="minorEastAsia" w:eastAsiaTheme="minorEastAsia"/>
          <w:color w:val="auto"/>
          <w:sz w:val="24"/>
        </w:rPr>
        <w:t>响应书</w:t>
      </w:r>
      <w:r>
        <w:rPr>
          <w:rFonts w:hint="eastAsia" w:asciiTheme="minorEastAsia" w:hAnsiTheme="minorEastAsia" w:eastAsiaTheme="minorEastAsia"/>
          <w:color w:val="auto"/>
          <w:sz w:val="24"/>
        </w:rPr>
        <w:t>（实质性格式）</w:t>
      </w:r>
    </w:p>
    <w:p>
      <w:pPr>
        <w:tabs>
          <w:tab w:val="left" w:pos="5580"/>
        </w:tabs>
        <w:spacing w:line="360" w:lineRule="auto"/>
        <w:rPr>
          <w:rFonts w:asciiTheme="minorEastAsia" w:hAnsiTheme="minorEastAsia" w:eastAsiaTheme="minorEastAsia"/>
          <w:color w:val="auto"/>
          <w:sz w:val="24"/>
        </w:rPr>
      </w:pPr>
    </w:p>
    <w:p>
      <w:pPr>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响应书</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致：</w:t>
      </w:r>
      <w:r>
        <w:rPr>
          <w:rFonts w:asciiTheme="minorEastAsia" w:hAnsiTheme="minorEastAsia" w:eastAsiaTheme="minorEastAsia"/>
          <w:color w:val="auto"/>
          <w:sz w:val="24"/>
          <w:u w:val="single"/>
        </w:rPr>
        <w:t>（采购人或采购代理机构）</w:t>
      </w:r>
    </w:p>
    <w:p>
      <w:pPr>
        <w:tabs>
          <w:tab w:val="left" w:pos="5580"/>
        </w:tabs>
        <w:spacing w:line="360" w:lineRule="auto"/>
        <w:rPr>
          <w:rFonts w:asciiTheme="minorEastAsia" w:hAnsiTheme="minorEastAsia" w:eastAsiaTheme="minorEastAsia"/>
          <w:color w:val="auto"/>
          <w:sz w:val="24"/>
          <w:szCs w:val="20"/>
        </w:rPr>
      </w:pPr>
    </w:p>
    <w:p>
      <w:pPr>
        <w:tabs>
          <w:tab w:val="left" w:pos="5580"/>
        </w:tabs>
        <w:spacing w:line="360" w:lineRule="auto"/>
        <w:ind w:firstLine="408"/>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我方参加你方就</w:t>
      </w:r>
      <w:r>
        <w:rPr>
          <w:rFonts w:asciiTheme="minorEastAsia" w:hAnsiTheme="minorEastAsia" w:eastAsiaTheme="minorEastAsia"/>
          <w:color w:val="auto"/>
          <w:sz w:val="24"/>
        </w:rPr>
        <w:t>______</w:t>
      </w:r>
      <w:r>
        <w:rPr>
          <w:rFonts w:asciiTheme="minorEastAsia" w:hAnsiTheme="minorEastAsia" w:eastAsiaTheme="minorEastAsia"/>
          <w:color w:val="auto"/>
          <w:sz w:val="24"/>
          <w:szCs w:val="20"/>
        </w:rPr>
        <w:t>（项目名称，项目编号/包号）组织的采购活动，并对此项目进行磋商。</w:t>
      </w:r>
    </w:p>
    <w:p>
      <w:pPr>
        <w:tabs>
          <w:tab w:val="left" w:pos="5580"/>
        </w:tabs>
        <w:spacing w:line="360" w:lineRule="auto"/>
        <w:ind w:firstLine="408"/>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1.我方</w:t>
      </w:r>
      <w:r>
        <w:rPr>
          <w:rFonts w:asciiTheme="minorEastAsia" w:hAnsiTheme="minorEastAsia" w:eastAsiaTheme="minorEastAsia"/>
          <w:color w:val="auto"/>
          <w:sz w:val="24"/>
        </w:rPr>
        <w:t>已详细审查全部竞争性磋商文件</w:t>
      </w:r>
      <w:r>
        <w:rPr>
          <w:rFonts w:asciiTheme="minorEastAsia" w:hAnsiTheme="minorEastAsia" w:eastAsiaTheme="minorEastAsia"/>
          <w:color w:val="auto"/>
          <w:sz w:val="24"/>
          <w:szCs w:val="20"/>
        </w:rPr>
        <w:t>，自愿参与磋商并承诺如下：</w:t>
      </w:r>
    </w:p>
    <w:p>
      <w:pPr>
        <w:tabs>
          <w:tab w:val="left" w:pos="720"/>
          <w:tab w:val="left" w:pos="900"/>
        </w:tabs>
        <w:spacing w:line="360" w:lineRule="auto"/>
        <w:ind w:left="360" w:firstLine="72" w:firstLineChars="3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（1）本响应有效期为自提交响应文件的截止之日起</w:t>
      </w:r>
      <w:r>
        <w:rPr>
          <w:rFonts w:asciiTheme="minorEastAsia" w:hAnsiTheme="minorEastAsia" w:eastAsiaTheme="minorEastAsia"/>
          <w:color w:val="auto"/>
          <w:sz w:val="24"/>
        </w:rPr>
        <w:t>______</w:t>
      </w:r>
      <w:r>
        <w:rPr>
          <w:rFonts w:asciiTheme="minorEastAsia" w:hAnsiTheme="minorEastAsia" w:eastAsiaTheme="minorEastAsia"/>
          <w:color w:val="auto"/>
          <w:sz w:val="24"/>
          <w:szCs w:val="20"/>
        </w:rPr>
        <w:t>个日历日。</w:t>
      </w:r>
    </w:p>
    <w:p>
      <w:pPr>
        <w:tabs>
          <w:tab w:val="left" w:pos="720"/>
          <w:tab w:val="left" w:pos="900"/>
        </w:tabs>
        <w:spacing w:line="360" w:lineRule="auto"/>
        <w:ind w:left="360" w:firstLine="72" w:firstLineChars="3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（2）除合同条款及采购需求偏离表列出的偏离外，我方响应竞争性磋商文件的全部要求。</w:t>
      </w:r>
    </w:p>
    <w:p>
      <w:pPr>
        <w:tabs>
          <w:tab w:val="left" w:pos="5580"/>
        </w:tabs>
        <w:spacing w:line="360" w:lineRule="auto"/>
        <w:ind w:firstLine="420" w:firstLineChars="175"/>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（3）我方已提供的全部文件资料是真实、准确的，并对此承担一切法律后果。</w:t>
      </w:r>
    </w:p>
    <w:p>
      <w:pPr>
        <w:tabs>
          <w:tab w:val="left" w:pos="5580"/>
        </w:tabs>
        <w:spacing w:line="360" w:lineRule="auto"/>
        <w:ind w:firstLine="420" w:firstLineChars="175"/>
        <w:rPr>
          <w:rFonts w:asciiTheme="minorEastAsia" w:hAnsiTheme="minorEastAsia" w:eastAsiaTheme="minorEastAsia"/>
          <w:color w:val="auto"/>
          <w:sz w:val="24"/>
        </w:rPr>
      </w:pPr>
      <w:r>
        <w:rPr>
          <w:rFonts w:asciiTheme="minorEastAsia" w:hAnsiTheme="minorEastAsia" w:eastAsiaTheme="minorEastAsia"/>
          <w:color w:val="auto"/>
          <w:sz w:val="24"/>
          <w:szCs w:val="20"/>
        </w:rPr>
        <w:t>（4）如我方成交，我方将在法律规定的期限内与你方签订合同，按照竞争性磋商文件要求提交履约保证金，并在合同约定的期限内完成合同规定的全部义务。</w:t>
      </w:r>
    </w:p>
    <w:p>
      <w:pPr>
        <w:spacing w:line="360" w:lineRule="auto"/>
        <w:ind w:left="420"/>
        <w:rPr>
          <w:rFonts w:asciiTheme="minorEastAsia" w:hAnsiTheme="minorEastAsia" w:eastAsiaTheme="minorEastAsia"/>
          <w:color w:val="auto"/>
          <w:sz w:val="24"/>
        </w:rPr>
      </w:pPr>
      <w:r>
        <w:rPr>
          <w:rFonts w:asciiTheme="minorEastAsia" w:hAnsiTheme="minorEastAsia" w:eastAsiaTheme="minorEastAsia"/>
          <w:color w:val="auto"/>
          <w:sz w:val="24"/>
        </w:rPr>
        <w:t>2.其他补充条款（如有）：______。</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与本磋商有关的一切正式往来信函请寄：</w:t>
      </w:r>
    </w:p>
    <w:p>
      <w:pPr>
        <w:tabs>
          <w:tab w:val="left" w:pos="5580"/>
        </w:tabs>
        <w:spacing w:line="360" w:lineRule="auto"/>
        <w:ind w:left="420"/>
        <w:rPr>
          <w:rFonts w:asciiTheme="minorEastAsia" w:hAnsiTheme="minorEastAsia" w:eastAsiaTheme="minorEastAsia"/>
          <w:color w:val="auto"/>
          <w:sz w:val="24"/>
          <w:szCs w:val="20"/>
        </w:rPr>
      </w:pPr>
    </w:p>
    <w:p>
      <w:pPr>
        <w:tabs>
          <w:tab w:val="left" w:pos="5580"/>
        </w:tabs>
        <w:spacing w:line="360" w:lineRule="auto"/>
        <w:ind w:left="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地址</w:t>
      </w:r>
      <w:r>
        <w:rPr>
          <w:rFonts w:asciiTheme="minorEastAsia" w:hAnsiTheme="minorEastAsia" w:eastAsiaTheme="minorEastAsia"/>
          <w:bCs/>
          <w:color w:val="auto"/>
          <w:sz w:val="24"/>
        </w:rPr>
        <w:t xml:space="preserve">_________________________      </w:t>
      </w:r>
      <w:r>
        <w:rPr>
          <w:rFonts w:asciiTheme="minorEastAsia" w:hAnsiTheme="minorEastAsia" w:eastAsiaTheme="minorEastAsia"/>
          <w:color w:val="auto"/>
          <w:sz w:val="24"/>
          <w:szCs w:val="20"/>
        </w:rPr>
        <w:t>传真</w:t>
      </w:r>
      <w:r>
        <w:rPr>
          <w:rFonts w:asciiTheme="minorEastAsia" w:hAnsiTheme="minorEastAsia" w:eastAsiaTheme="minorEastAsia"/>
          <w:bCs/>
          <w:color w:val="auto"/>
          <w:sz w:val="24"/>
        </w:rPr>
        <w:t>_________________________</w:t>
      </w:r>
    </w:p>
    <w:p>
      <w:pPr>
        <w:tabs>
          <w:tab w:val="left" w:pos="5580"/>
        </w:tabs>
        <w:spacing w:line="360" w:lineRule="auto"/>
        <w:ind w:left="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电话</w:t>
      </w:r>
      <w:r>
        <w:rPr>
          <w:rFonts w:asciiTheme="minorEastAsia" w:hAnsiTheme="minorEastAsia" w:eastAsiaTheme="minorEastAsia"/>
          <w:bCs/>
          <w:color w:val="auto"/>
          <w:sz w:val="24"/>
        </w:rPr>
        <w:t xml:space="preserve">_________________________      </w:t>
      </w:r>
      <w:r>
        <w:rPr>
          <w:rFonts w:asciiTheme="minorEastAsia" w:hAnsiTheme="minorEastAsia" w:eastAsiaTheme="minorEastAsia"/>
          <w:color w:val="auto"/>
          <w:sz w:val="24"/>
          <w:szCs w:val="20"/>
        </w:rPr>
        <w:t>电子函件</w:t>
      </w:r>
      <w:r>
        <w:rPr>
          <w:rFonts w:asciiTheme="minorEastAsia" w:hAnsiTheme="minorEastAsia" w:eastAsiaTheme="minorEastAsia"/>
          <w:bCs/>
          <w:color w:val="auto"/>
          <w:sz w:val="24"/>
        </w:rPr>
        <w:t>_________________________</w:t>
      </w:r>
    </w:p>
    <w:p>
      <w:pPr>
        <w:tabs>
          <w:tab w:val="left" w:pos="5580"/>
        </w:tabs>
        <w:spacing w:line="360" w:lineRule="auto"/>
        <w:ind w:left="420"/>
        <w:rPr>
          <w:rFonts w:asciiTheme="minorEastAsia" w:hAnsiTheme="minorEastAsia" w:eastAsiaTheme="minorEastAsia"/>
          <w:color w:val="auto"/>
          <w:sz w:val="24"/>
          <w:szCs w:val="20"/>
        </w:rPr>
      </w:pPr>
    </w:p>
    <w:p>
      <w:pPr>
        <w:tabs>
          <w:tab w:val="left" w:pos="5580"/>
        </w:tabs>
        <w:spacing w:line="360" w:lineRule="auto"/>
        <w:ind w:left="420"/>
        <w:rPr>
          <w:rFonts w:asciiTheme="minorEastAsia" w:hAnsiTheme="minorEastAsia" w:eastAsiaTheme="minorEastAsia"/>
          <w:color w:val="auto"/>
          <w:sz w:val="24"/>
          <w:szCs w:val="20"/>
        </w:rPr>
      </w:pPr>
    </w:p>
    <w:p>
      <w:pPr>
        <w:tabs>
          <w:tab w:val="left" w:pos="5580"/>
        </w:tabs>
        <w:spacing w:line="360" w:lineRule="auto"/>
        <w:ind w:left="420"/>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ind w:right="360" w:firstLine="360" w:firstLineChars="150"/>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tabs>
          <w:tab w:val="left" w:pos="5580"/>
        </w:tabs>
        <w:spacing w:line="360" w:lineRule="auto"/>
        <w:ind w:firstLine="360" w:firstLineChars="15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日期：____年____月____日</w:t>
      </w:r>
    </w:p>
    <w:p>
      <w:pPr>
        <w:widowControl/>
        <w:jc w:val="left"/>
        <w:rPr>
          <w:rFonts w:asciiTheme="minorEastAsia" w:hAnsiTheme="minorEastAsia" w:eastAsiaTheme="minorEastAsia"/>
          <w:color w:val="auto"/>
          <w:sz w:val="24"/>
        </w:rPr>
      </w:pPr>
    </w:p>
    <w:p>
      <w:pPr>
        <w:rPr>
          <w:rFonts w:asciiTheme="minorEastAsia" w:hAnsiTheme="minorEastAsia" w:eastAsiaTheme="minorEastAsia"/>
          <w:b/>
          <w:color w:val="auto"/>
          <w:spacing w:val="60"/>
          <w:sz w:val="84"/>
          <w:szCs w:val="84"/>
        </w:rPr>
        <w:sectPr>
          <w:pgSz w:w="11907" w:h="16840"/>
          <w:pgMar w:top="1418" w:right="1134" w:bottom="1418" w:left="1701" w:header="851" w:footer="851" w:gutter="0"/>
          <w:pgNumType w:fmt="decimal"/>
          <w:cols w:space="720" w:num="1"/>
          <w:docGrid w:linePitch="462" w:charSpace="0"/>
        </w:sectPr>
      </w:pPr>
    </w:p>
    <w:p>
      <w:pPr>
        <w:tabs>
          <w:tab w:val="left" w:pos="360"/>
        </w:tabs>
        <w:snapToGrid w:val="0"/>
        <w:spacing w:line="360" w:lineRule="auto"/>
        <w:outlineLvl w:val="1"/>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5</w:t>
      </w:r>
      <w:r>
        <w:rPr>
          <w:rFonts w:asciiTheme="minorEastAsia" w:hAnsiTheme="minorEastAsia" w:eastAsiaTheme="minorEastAsia"/>
          <w:color w:val="auto"/>
          <w:sz w:val="24"/>
        </w:rPr>
        <w:t>授权委托书</w:t>
      </w:r>
      <w:r>
        <w:rPr>
          <w:rFonts w:hint="eastAsia" w:asciiTheme="minorEastAsia" w:hAnsiTheme="minorEastAsia" w:eastAsiaTheme="minorEastAsia"/>
          <w:color w:val="auto"/>
          <w:sz w:val="24"/>
        </w:rPr>
        <w:t>（实质性格式）</w:t>
      </w:r>
    </w:p>
    <w:p>
      <w:pPr>
        <w:autoSpaceDE w:val="0"/>
        <w:autoSpaceDN w:val="0"/>
        <w:adjustRightInd w:val="0"/>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授权委托书</w:t>
      </w:r>
    </w:p>
    <w:p>
      <w:pPr>
        <w:spacing w:line="360" w:lineRule="auto"/>
        <w:ind w:firstLine="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本人____（姓名）系____（供应商名称）的法定代表人（单位负责人），现委托_____（姓名）为我方代理人。代理人根据授权，以我方名义签署、澄清确认、递交、撤回、修改____（项目名称）响应文件和处理有关事宜，其法律后果由我方承担。</w:t>
      </w:r>
    </w:p>
    <w:p>
      <w:pPr>
        <w:spacing w:line="360" w:lineRule="auto"/>
        <w:ind w:firstLine="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委托期限：自本授权委托书签署之日起至响应有效期届满之日止。</w:t>
      </w:r>
    </w:p>
    <w:p>
      <w:pPr>
        <w:spacing w:line="360" w:lineRule="auto"/>
        <w:ind w:firstLine="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代理人无转委托权。</w:t>
      </w:r>
      <w:r>
        <w:rPr>
          <w:rFonts w:asciiTheme="minorEastAsia" w:hAnsiTheme="minorEastAsia" w:eastAsiaTheme="minorEastAsia"/>
          <w:color w:val="auto"/>
          <w:sz w:val="24"/>
          <w:szCs w:val="20"/>
        </w:rPr>
        <w:cr/>
      </w:r>
    </w:p>
    <w:p>
      <w:pPr>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szCs w:val="20"/>
        </w:rPr>
        <w:t>______________</w:t>
      </w:r>
    </w:p>
    <w:p>
      <w:pPr>
        <w:spacing w:line="360" w:lineRule="auto"/>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法定代表人（单位负责人）（签字</w:t>
      </w:r>
      <w:r>
        <w:rPr>
          <w:rFonts w:hint="eastAsia" w:asciiTheme="minorEastAsia" w:hAnsiTheme="minorEastAsia" w:eastAsiaTheme="minorEastAsia"/>
          <w:color w:val="auto"/>
          <w:sz w:val="24"/>
          <w:szCs w:val="20"/>
        </w:rPr>
        <w:t>或</w:t>
      </w:r>
      <w:r>
        <w:rPr>
          <w:rFonts w:asciiTheme="minorEastAsia" w:hAnsiTheme="minorEastAsia" w:eastAsiaTheme="minorEastAsia"/>
          <w:color w:val="auto"/>
          <w:sz w:val="24"/>
          <w:szCs w:val="20"/>
        </w:rPr>
        <w:t>签章）：______________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委托代理人（签字</w:t>
      </w:r>
      <w:r>
        <w:rPr>
          <w:rFonts w:hint="eastAsia" w:asciiTheme="minorEastAsia" w:hAnsiTheme="minorEastAsia" w:eastAsiaTheme="minorEastAsia"/>
          <w:color w:val="auto"/>
          <w:sz w:val="24"/>
          <w:szCs w:val="20"/>
        </w:rPr>
        <w:t>或</w:t>
      </w:r>
      <w:r>
        <w:rPr>
          <w:rFonts w:asciiTheme="minorEastAsia" w:hAnsiTheme="minorEastAsia" w:eastAsiaTheme="minorEastAsia"/>
          <w:color w:val="auto"/>
          <w:sz w:val="24"/>
          <w:szCs w:val="20"/>
        </w:rPr>
        <w:t>签章</w:t>
      </w:r>
      <w:r>
        <w:rPr>
          <w:rFonts w:asciiTheme="minorEastAsia" w:hAnsiTheme="minorEastAsia" w:eastAsiaTheme="minorEastAsia"/>
          <w:color w:val="auto"/>
          <w:sz w:val="24"/>
        </w:rPr>
        <w:t>）：</w:t>
      </w:r>
      <w:r>
        <w:rPr>
          <w:rFonts w:asciiTheme="minorEastAsia" w:hAnsiTheme="minorEastAsia" w:eastAsiaTheme="minorEastAsia"/>
          <w:color w:val="auto"/>
          <w:sz w:val="24"/>
          <w:szCs w:val="20"/>
        </w:rPr>
        <w:t>______________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日期：</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年</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月</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日</w:t>
      </w:r>
    </w:p>
    <w:p>
      <w:pPr>
        <w:tabs>
          <w:tab w:val="left" w:pos="5580"/>
        </w:tabs>
        <w:spacing w:line="360" w:lineRule="auto"/>
        <w:ind w:firstLine="480" w:firstLineChars="200"/>
        <w:rPr>
          <w:rFonts w:asciiTheme="minorEastAsia" w:hAnsiTheme="minorEastAsia" w:eastAsiaTheme="minorEastAsia"/>
          <w:color w:val="auto"/>
          <w:sz w:val="24"/>
          <w:szCs w:val="20"/>
        </w:rPr>
      </w:pPr>
    </w:p>
    <w:p>
      <w:pPr>
        <w:tabs>
          <w:tab w:val="left" w:pos="5580"/>
        </w:tabs>
        <w:spacing w:line="360" w:lineRule="auto"/>
        <w:jc w:val="left"/>
        <w:rPr>
          <w:rFonts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附：法定代表人（单位负责人）及委托代理人身份证明文件电子件</w:t>
      </w:r>
      <w:r>
        <w:rPr>
          <w:rFonts w:asciiTheme="minorEastAsia" w:hAnsiTheme="minorEastAsia" w:eastAsiaTheme="minorEastAsia"/>
          <w:color w:val="auto"/>
          <w:sz w:val="24"/>
          <w:szCs w:val="20"/>
        </w:rPr>
        <w:t>：</w:t>
      </w:r>
    </w:p>
    <w:p>
      <w:pPr>
        <w:pStyle w:val="7"/>
        <w:rPr>
          <w:rFonts w:asciiTheme="minorEastAsia" w:hAnsiTheme="minorEastAsia" w:eastAsiaTheme="minorEastAsia"/>
          <w:color w:val="auto"/>
        </w:rPr>
      </w:pPr>
    </w:p>
    <w:p>
      <w:pPr>
        <w:pStyle w:val="7"/>
        <w:rPr>
          <w:rFonts w:asciiTheme="minorEastAsia" w:hAnsiTheme="minorEastAsia" w:eastAsiaTheme="minorEastAsia"/>
          <w:color w:val="auto"/>
        </w:rPr>
      </w:pPr>
    </w:p>
    <w:p>
      <w:pPr>
        <w:pStyle w:val="7"/>
        <w:rPr>
          <w:rFonts w:asciiTheme="minorEastAsia" w:hAnsiTheme="minorEastAsia" w:eastAsiaTheme="minorEastAsia"/>
          <w:color w:val="auto"/>
        </w:rPr>
      </w:pPr>
    </w:p>
    <w:p>
      <w:pPr>
        <w:pStyle w:val="7"/>
        <w:rPr>
          <w:rFonts w:asciiTheme="minorEastAsia" w:hAnsiTheme="minorEastAsia" w:eastAsiaTheme="minorEastAsia"/>
          <w:color w:val="auto"/>
        </w:rPr>
      </w:pPr>
    </w:p>
    <w:p>
      <w:pPr>
        <w:pStyle w:val="7"/>
        <w:ind w:firstLine="0"/>
        <w:rPr>
          <w:rFonts w:asciiTheme="minorEastAsia" w:hAnsiTheme="minorEastAsia" w:eastAsiaTheme="minorEastAsia"/>
          <w:color w:val="auto"/>
        </w:rPr>
      </w:pPr>
    </w:p>
    <w:p>
      <w:pPr>
        <w:pStyle w:val="7"/>
        <w:rPr>
          <w:rFonts w:asciiTheme="minorEastAsia" w:hAnsiTheme="minorEastAsia" w:eastAsiaTheme="minorEastAsia"/>
          <w:color w:val="auto"/>
        </w:rPr>
      </w:pPr>
    </w:p>
    <w:p>
      <w:pPr>
        <w:pStyle w:val="7"/>
        <w:rPr>
          <w:rFonts w:asciiTheme="minorEastAsia" w:hAnsiTheme="minorEastAsia" w:eastAsiaTheme="minorEastAsia"/>
          <w:color w:val="auto"/>
        </w:rPr>
      </w:pP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说明：</w:t>
      </w: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1.</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sz w:val="24"/>
          <w:szCs w:val="20"/>
        </w:rPr>
        <w:t>若供应商为事业单位或其他组织或分支机构，则法定代表人（单位负责人）处的签署人可为单位负责人</w:t>
      </w:r>
      <w:r>
        <w:rPr>
          <w:rFonts w:asciiTheme="minorEastAsia" w:hAnsiTheme="minorEastAsia" w:eastAsiaTheme="minorEastAsia"/>
          <w:color w:val="auto"/>
          <w:sz w:val="24"/>
          <w:szCs w:val="20"/>
        </w:rPr>
        <w:t>。</w:t>
      </w: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2.</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sz w:val="24"/>
          <w:szCs w:val="20"/>
        </w:rPr>
        <w:t>若响应文件中签字之处均为法定代表人（单位负责人）本人签署，则可不提供本《授权委托书》，但须提供《法定代表人（单位负责人）身份证明》；否则，不需要提供《法定代表人（单位负责人）身份证明》</w:t>
      </w:r>
      <w:r>
        <w:rPr>
          <w:rFonts w:asciiTheme="minorEastAsia" w:hAnsiTheme="minorEastAsia" w:eastAsiaTheme="minorEastAsia"/>
          <w:color w:val="auto"/>
          <w:sz w:val="24"/>
          <w:szCs w:val="20"/>
        </w:rPr>
        <w:t>。</w:t>
      </w: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3.供应商为自然人的情形，可不提供本《授权委托书》。</w:t>
      </w:r>
    </w:p>
    <w:p>
      <w:pPr>
        <w:tabs>
          <w:tab w:val="left" w:pos="5580"/>
        </w:tabs>
        <w:spacing w:line="360" w:lineRule="auto"/>
        <w:jc w:val="left"/>
        <w:rPr>
          <w:rFonts w:asciiTheme="minorEastAsia" w:hAnsiTheme="minorEastAsia" w:eastAsiaTheme="minorEastAsia"/>
          <w:b/>
          <w:color w:val="auto"/>
          <w:sz w:val="36"/>
          <w:szCs w:val="36"/>
        </w:rPr>
      </w:pPr>
      <w:r>
        <w:rPr>
          <w:rFonts w:asciiTheme="minorEastAsia" w:hAnsiTheme="minorEastAsia" w:eastAsiaTheme="minorEastAsia"/>
          <w:color w:val="auto"/>
          <w:sz w:val="24"/>
          <w:szCs w:val="20"/>
        </w:rPr>
        <w:t>4.</w:t>
      </w:r>
      <w:r>
        <w:rPr>
          <w:rFonts w:asciiTheme="minorEastAsia" w:hAnsiTheme="minorEastAsia" w:eastAsiaTheme="minorEastAsia"/>
          <w:color w:val="auto"/>
        </w:rPr>
        <w:t xml:space="preserve"> </w:t>
      </w:r>
      <w:r>
        <w:rPr>
          <w:rFonts w:asciiTheme="minorEastAsia" w:hAnsiTheme="minorEastAsia" w:eastAsiaTheme="minorEastAsia"/>
          <w:color w:val="auto"/>
          <w:sz w:val="24"/>
          <w:szCs w:val="20"/>
        </w:rPr>
        <w:t>供应商应随本《授权委托书》同时提供法定代表人（单位负责人）及委托代理人的有效的身份证或护照等身份证明文件电子件。提供身份证的，应同时提供身份证</w:t>
      </w:r>
      <w:r>
        <w:rPr>
          <w:rFonts w:asciiTheme="minorEastAsia" w:hAnsiTheme="minorEastAsia" w:eastAsiaTheme="minorEastAsia"/>
          <w:b/>
          <w:bCs/>
          <w:color w:val="auto"/>
          <w:sz w:val="24"/>
          <w:szCs w:val="20"/>
        </w:rPr>
        <w:t>双面</w:t>
      </w:r>
      <w:r>
        <w:rPr>
          <w:rFonts w:asciiTheme="minorEastAsia" w:hAnsiTheme="minorEastAsia" w:eastAsiaTheme="minorEastAsia"/>
          <w:color w:val="auto"/>
          <w:sz w:val="24"/>
          <w:szCs w:val="20"/>
        </w:rPr>
        <w:t>电子</w:t>
      </w:r>
      <w:r>
        <w:rPr>
          <w:rFonts w:hint="eastAsia" w:asciiTheme="minorEastAsia" w:hAnsiTheme="minorEastAsia" w:eastAsiaTheme="minorEastAsia"/>
          <w:color w:val="auto"/>
          <w:sz w:val="24"/>
          <w:szCs w:val="20"/>
        </w:rPr>
        <w:t>件</w:t>
      </w:r>
      <w:r>
        <w:rPr>
          <w:rFonts w:asciiTheme="minorEastAsia" w:hAnsiTheme="minorEastAsia" w:eastAsiaTheme="minorEastAsia"/>
          <w:color w:val="auto"/>
          <w:sz w:val="24"/>
          <w:szCs w:val="20"/>
        </w:rPr>
        <w:t>。</w:t>
      </w:r>
    </w:p>
    <w:p>
      <w:pPr>
        <w:pStyle w:val="7"/>
        <w:rPr>
          <w:rFonts w:asciiTheme="minorEastAsia" w:hAnsiTheme="minorEastAsia" w:eastAsiaTheme="minorEastAsia"/>
          <w:color w:val="auto"/>
        </w:rPr>
        <w:sectPr>
          <w:pgSz w:w="11907" w:h="16840"/>
          <w:pgMar w:top="1418" w:right="1134" w:bottom="1418" w:left="1701" w:header="851" w:footer="851" w:gutter="0"/>
          <w:pgNumType w:fmt="decimal"/>
          <w:cols w:space="720" w:num="1"/>
          <w:docGrid w:linePitch="462" w:charSpace="0"/>
        </w:sectPr>
      </w:pPr>
    </w:p>
    <w:p>
      <w:pPr>
        <w:autoSpaceDE w:val="0"/>
        <w:autoSpaceDN w:val="0"/>
        <w:adjustRightInd w:val="0"/>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附：法定代表人（单位负责人）身份证明</w:t>
      </w:r>
    </w:p>
    <w:p>
      <w:pPr>
        <w:kinsoku w:val="0"/>
        <w:overflowPunct w:val="0"/>
        <w:spacing w:line="200" w:lineRule="exact"/>
        <w:rPr>
          <w:rFonts w:asciiTheme="minorEastAsia" w:hAnsiTheme="minorEastAsia" w:eastAsiaTheme="minorEastAsia"/>
          <w:color w:val="auto"/>
          <w:sz w:val="20"/>
          <w:szCs w:val="20"/>
        </w:rPr>
      </w:pP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致：</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（采购人或采购代理机构）</w:t>
      </w:r>
    </w:p>
    <w:p>
      <w:pPr>
        <w:pStyle w:val="19"/>
        <w:tabs>
          <w:tab w:val="left" w:pos="2412"/>
          <w:tab w:val="left" w:pos="3883"/>
          <w:tab w:val="left" w:pos="5352"/>
          <w:tab w:val="left" w:pos="6821"/>
        </w:tabs>
        <w:kinsoku w:val="0"/>
        <w:overflowPunct w:val="0"/>
        <w:spacing w:line="335" w:lineRule="exact"/>
        <w:ind w:firstLine="480" w:firstLineChars="200"/>
        <w:rPr>
          <w:rFonts w:asciiTheme="minorEastAsia" w:hAnsiTheme="minorEastAsia" w:eastAsiaTheme="minorEastAsia"/>
          <w:color w:val="auto"/>
        </w:rPr>
      </w:pPr>
      <w:r>
        <w:rPr>
          <w:rFonts w:asciiTheme="minorEastAsia" w:hAnsiTheme="minorEastAsia" w:eastAsiaTheme="minorEastAsia"/>
          <w:color w:val="auto"/>
        </w:rPr>
        <w:t>兹证明，</w:t>
      </w:r>
    </w:p>
    <w:p>
      <w:pPr>
        <w:pStyle w:val="19"/>
        <w:tabs>
          <w:tab w:val="left" w:pos="1690"/>
          <w:tab w:val="left" w:pos="3400"/>
          <w:tab w:val="left" w:pos="5110"/>
          <w:tab w:val="left" w:pos="6821"/>
        </w:tabs>
        <w:kinsoku w:val="0"/>
        <w:overflowPunct w:val="0"/>
        <w:spacing w:line="335" w:lineRule="exact"/>
        <w:rPr>
          <w:rFonts w:asciiTheme="minorEastAsia" w:hAnsiTheme="minorEastAsia" w:eastAsiaTheme="minorEastAsia"/>
          <w:color w:val="auto"/>
        </w:rPr>
      </w:pPr>
      <w:r>
        <w:rPr>
          <w:rFonts w:asciiTheme="minorEastAsia" w:hAnsiTheme="minorEastAsia" w:eastAsiaTheme="minorEastAsia"/>
          <w:color w:val="auto"/>
        </w:rPr>
        <w:t>姓名：</w:t>
      </w:r>
      <w:r>
        <w:rPr>
          <w:rFonts w:asciiTheme="minorEastAsia" w:hAnsiTheme="minorEastAsia" w:eastAsiaTheme="minorEastAsia"/>
          <w:color w:val="auto"/>
          <w:szCs w:val="20"/>
        </w:rPr>
        <w:t>____</w:t>
      </w:r>
      <w:r>
        <w:rPr>
          <w:rFonts w:asciiTheme="minorEastAsia" w:hAnsiTheme="minorEastAsia" w:eastAsiaTheme="minorEastAsia"/>
          <w:color w:val="auto"/>
        </w:rPr>
        <w:t>性别：</w:t>
      </w:r>
      <w:r>
        <w:rPr>
          <w:rFonts w:asciiTheme="minorEastAsia" w:hAnsiTheme="minorEastAsia" w:eastAsiaTheme="minorEastAsia"/>
          <w:color w:val="auto"/>
          <w:szCs w:val="20"/>
        </w:rPr>
        <w:t>____</w:t>
      </w:r>
      <w:r>
        <w:rPr>
          <w:rFonts w:asciiTheme="minorEastAsia" w:hAnsiTheme="minorEastAsia" w:eastAsiaTheme="minorEastAsia"/>
          <w:color w:val="auto"/>
        </w:rPr>
        <w:t>年龄：</w:t>
      </w:r>
      <w:r>
        <w:rPr>
          <w:rFonts w:asciiTheme="minorEastAsia" w:hAnsiTheme="minorEastAsia" w:eastAsiaTheme="minorEastAsia"/>
          <w:color w:val="auto"/>
          <w:szCs w:val="20"/>
        </w:rPr>
        <w:t>____</w:t>
      </w:r>
      <w:r>
        <w:rPr>
          <w:rFonts w:asciiTheme="minorEastAsia" w:hAnsiTheme="minorEastAsia" w:eastAsiaTheme="minorEastAsia"/>
          <w:color w:val="auto"/>
        </w:rPr>
        <w:t>职务：</w:t>
      </w:r>
      <w:r>
        <w:rPr>
          <w:rFonts w:asciiTheme="minorEastAsia" w:hAnsiTheme="minorEastAsia" w:eastAsiaTheme="minorEastAsia"/>
          <w:color w:val="auto"/>
          <w:szCs w:val="20"/>
        </w:rPr>
        <w:t>____</w:t>
      </w:r>
    </w:p>
    <w:p>
      <w:pPr>
        <w:pStyle w:val="19"/>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19"/>
        <w:tabs>
          <w:tab w:val="left" w:pos="2250"/>
          <w:tab w:val="left" w:pos="2412"/>
          <w:tab w:val="left" w:pos="3883"/>
          <w:tab w:val="left" w:pos="5352"/>
          <w:tab w:val="left" w:pos="6821"/>
          <w:tab w:val="clear" w:pos="567"/>
        </w:tabs>
        <w:kinsoku w:val="0"/>
        <w:overflowPunct w:val="0"/>
        <w:spacing w:line="335" w:lineRule="exact"/>
        <w:rPr>
          <w:rFonts w:asciiTheme="minorEastAsia" w:hAnsiTheme="minorEastAsia" w:eastAsiaTheme="minorEastAsia"/>
          <w:color w:val="auto"/>
        </w:rPr>
      </w:pPr>
      <w:r>
        <w:rPr>
          <w:rFonts w:asciiTheme="minorEastAsia" w:hAnsiTheme="minorEastAsia" w:eastAsiaTheme="minorEastAsia"/>
          <w:color w:val="auto"/>
        </w:rPr>
        <w:t>系</w:t>
      </w:r>
      <w:r>
        <w:rPr>
          <w:rFonts w:asciiTheme="minorEastAsia" w:hAnsiTheme="minorEastAsia" w:eastAsiaTheme="minorEastAsia"/>
          <w:color w:val="auto"/>
          <w:szCs w:val="20"/>
        </w:rPr>
        <w:t>__________</w:t>
      </w:r>
      <w:r>
        <w:rPr>
          <w:rFonts w:asciiTheme="minorEastAsia" w:hAnsiTheme="minorEastAsia" w:eastAsiaTheme="minorEastAsia"/>
          <w:color w:val="auto"/>
        </w:rPr>
        <w:t>（供应商名称）的法定代表人（单位负责人）。</w:t>
      </w:r>
    </w:p>
    <w:p>
      <w:pPr>
        <w:pStyle w:val="19"/>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19"/>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19"/>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19"/>
        <w:kinsoku w:val="0"/>
        <w:overflowPunct w:val="0"/>
        <w:spacing w:line="583" w:lineRule="auto"/>
        <w:ind w:right="-46"/>
        <w:rPr>
          <w:rFonts w:asciiTheme="minorEastAsia" w:hAnsiTheme="minorEastAsia" w:eastAsiaTheme="minorEastAsia"/>
          <w:color w:val="auto"/>
          <w:spacing w:val="-3"/>
        </w:rPr>
      </w:pPr>
      <w:r>
        <w:rPr>
          <w:rFonts w:asciiTheme="minorEastAsia" w:hAnsiTheme="minorEastAsia" w:eastAsiaTheme="minorEastAsia"/>
          <w:color w:val="auto"/>
        </w:rPr>
        <w:t>附：</w:t>
      </w:r>
      <w:r>
        <w:rPr>
          <w:rFonts w:hint="eastAsia" w:asciiTheme="minorEastAsia" w:hAnsiTheme="minorEastAsia" w:eastAsiaTheme="minorEastAsia"/>
          <w:color w:val="auto"/>
          <w:spacing w:val="-3"/>
        </w:rPr>
        <w:t>法定代表人（单位负责人）身份证或护照等身份证明文件电子件：</w:t>
      </w:r>
    </w:p>
    <w:p>
      <w:pPr>
        <w:pStyle w:val="19"/>
        <w:kinsoku w:val="0"/>
        <w:overflowPunct w:val="0"/>
        <w:spacing w:line="583" w:lineRule="auto"/>
        <w:ind w:right="4305"/>
        <w:rPr>
          <w:rFonts w:asciiTheme="minorEastAsia" w:hAnsiTheme="minorEastAsia" w:eastAsiaTheme="minorEastAsia"/>
          <w:color w:val="auto"/>
          <w:spacing w:val="-3"/>
        </w:rPr>
      </w:pPr>
    </w:p>
    <w:p>
      <w:pPr>
        <w:pStyle w:val="19"/>
        <w:kinsoku w:val="0"/>
        <w:overflowPunct w:val="0"/>
        <w:spacing w:line="583" w:lineRule="auto"/>
        <w:ind w:right="4305"/>
        <w:rPr>
          <w:rFonts w:asciiTheme="minorEastAsia" w:hAnsiTheme="minorEastAsia" w:eastAsiaTheme="minorEastAsia"/>
          <w:color w:val="auto"/>
          <w:spacing w:val="-3"/>
        </w:rPr>
      </w:pPr>
    </w:p>
    <w:p>
      <w:pPr>
        <w:pStyle w:val="19"/>
        <w:kinsoku w:val="0"/>
        <w:overflowPunct w:val="0"/>
        <w:spacing w:line="583" w:lineRule="auto"/>
        <w:ind w:right="4305"/>
        <w:rPr>
          <w:rFonts w:asciiTheme="minorEastAsia" w:hAnsiTheme="minorEastAsia" w:eastAsiaTheme="minorEastAsia"/>
          <w:color w:val="auto"/>
          <w:spacing w:val="-3"/>
        </w:rPr>
      </w:pP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pacing w:val="-3"/>
          <w:sz w:val="24"/>
        </w:rPr>
        <w:t>法定代表人（</w:t>
      </w:r>
      <w:r>
        <w:rPr>
          <w:rFonts w:asciiTheme="minorEastAsia" w:hAnsiTheme="minorEastAsia" w:eastAsiaTheme="minorEastAsia"/>
          <w:color w:val="auto"/>
          <w:sz w:val="24"/>
        </w:rPr>
        <w:t>单位负责人</w:t>
      </w:r>
      <w:r>
        <w:rPr>
          <w:rFonts w:asciiTheme="minorEastAsia" w:hAnsiTheme="minorEastAsia" w:eastAsiaTheme="minorEastAsia"/>
          <w:color w:val="auto"/>
          <w:spacing w:val="-3"/>
          <w:sz w:val="24"/>
        </w:rPr>
        <w:t>）（签字或</w:t>
      </w:r>
      <w:r>
        <w:rPr>
          <w:rFonts w:asciiTheme="minorEastAsia" w:hAnsiTheme="minorEastAsia" w:eastAsiaTheme="minorEastAsia"/>
          <w:color w:val="auto"/>
          <w:sz w:val="24"/>
          <w:szCs w:val="20"/>
        </w:rPr>
        <w:t>签章</w:t>
      </w:r>
      <w:r>
        <w:rPr>
          <w:rFonts w:asciiTheme="minorEastAsia" w:hAnsiTheme="minorEastAsia" w:eastAsiaTheme="minorEastAsia"/>
          <w:color w:val="auto"/>
          <w:spacing w:val="-3"/>
          <w:sz w:val="24"/>
        </w:rPr>
        <w:t>）：</w:t>
      </w:r>
      <w:r>
        <w:rPr>
          <w:rFonts w:asciiTheme="minorEastAsia" w:hAnsiTheme="minorEastAsia" w:eastAsiaTheme="minorEastAsia"/>
          <w:color w:val="auto"/>
          <w:sz w:val="24"/>
        </w:rPr>
        <w:t>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日期：</w:t>
      </w:r>
      <w:r>
        <w:rPr>
          <w:rFonts w:asciiTheme="minorEastAsia" w:hAnsiTheme="minorEastAsia" w:eastAsiaTheme="minorEastAsia"/>
          <w:color w:val="auto"/>
          <w:sz w:val="24"/>
          <w:szCs w:val="20"/>
        </w:rPr>
        <w:t>____年____月____日</w:t>
      </w:r>
    </w:p>
    <w:p>
      <w:pPr>
        <w:tabs>
          <w:tab w:val="left" w:pos="1785"/>
          <w:tab w:val="left" w:pos="4305"/>
          <w:tab w:val="left" w:pos="4780"/>
        </w:tabs>
        <w:spacing w:before="58" w:line="400" w:lineRule="exact"/>
        <w:ind w:left="567" w:right="2665"/>
        <w:rPr>
          <w:rFonts w:asciiTheme="minorEastAsia" w:hAnsiTheme="minorEastAsia" w:eastAsiaTheme="minorEastAsia"/>
          <w:color w:val="auto"/>
          <w:sz w:val="24"/>
        </w:rPr>
        <w:sectPr>
          <w:pgSz w:w="11907" w:h="16840"/>
          <w:pgMar w:top="1418" w:right="1134" w:bottom="1418" w:left="1701" w:header="851" w:footer="851" w:gutter="0"/>
          <w:pgNumType w:fmt="decimal"/>
          <w:cols w:space="720" w:num="1"/>
          <w:docGrid w:linePitch="462" w:charSpace="0"/>
        </w:sectPr>
      </w:pPr>
    </w:p>
    <w:p>
      <w:pPr>
        <w:tabs>
          <w:tab w:val="left" w:pos="360"/>
        </w:tabs>
        <w:snapToGrid w:val="0"/>
        <w:spacing w:line="360" w:lineRule="auto"/>
        <w:outlineLvl w:val="1"/>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6</w:t>
      </w:r>
      <w:r>
        <w:rPr>
          <w:rFonts w:asciiTheme="minorEastAsia" w:hAnsiTheme="minorEastAsia" w:eastAsiaTheme="minorEastAsia"/>
          <w:color w:val="auto"/>
          <w:sz w:val="24"/>
        </w:rPr>
        <w:t>报价一览表</w:t>
      </w:r>
    </w:p>
    <w:p>
      <w:pPr>
        <w:spacing w:before="120" w:beforeLines="50" w:line="360" w:lineRule="exact"/>
        <w:jc w:val="center"/>
        <w:rPr>
          <w:rFonts w:asciiTheme="minorEastAsia" w:hAnsiTheme="minorEastAsia" w:eastAsiaTheme="minorEastAsia"/>
          <w:b/>
          <w:color w:val="auto"/>
          <w:sz w:val="36"/>
          <w:szCs w:val="36"/>
        </w:rPr>
      </w:pPr>
      <w:bookmarkStart w:id="1713" w:name="_Toc305158826"/>
      <w:bookmarkStart w:id="1714" w:name="_Toc226965748"/>
      <w:bookmarkStart w:id="1715" w:name="_Toc195842923"/>
      <w:bookmarkStart w:id="1716" w:name="_Toc226965831"/>
      <w:bookmarkStart w:id="1717" w:name="_Toc305158900"/>
      <w:bookmarkStart w:id="1718" w:name="_Toc226309802"/>
      <w:bookmarkStart w:id="1719" w:name="_Toc264969248"/>
      <w:bookmarkStart w:id="1720" w:name="_Toc164608672"/>
      <w:bookmarkStart w:id="1721" w:name="_Toc265228396"/>
      <w:bookmarkStart w:id="1722" w:name="_Toc226337254"/>
      <w:bookmarkStart w:id="1723" w:name="_Toc164608827"/>
      <w:r>
        <w:rPr>
          <w:rFonts w:asciiTheme="minorEastAsia" w:hAnsiTheme="minorEastAsia" w:eastAsiaTheme="minorEastAsia"/>
          <w:b/>
          <w:color w:val="auto"/>
          <w:sz w:val="36"/>
          <w:szCs w:val="36"/>
        </w:rPr>
        <w:t>报价一览表</w:t>
      </w:r>
      <w:bookmarkEnd w:id="1713"/>
      <w:bookmarkEnd w:id="1714"/>
      <w:bookmarkEnd w:id="1715"/>
      <w:bookmarkEnd w:id="1716"/>
      <w:bookmarkEnd w:id="1717"/>
      <w:bookmarkEnd w:id="1718"/>
      <w:bookmarkEnd w:id="1719"/>
      <w:bookmarkEnd w:id="1720"/>
      <w:bookmarkEnd w:id="1721"/>
      <w:bookmarkEnd w:id="1722"/>
      <w:bookmarkEnd w:id="1723"/>
    </w:p>
    <w:p>
      <w:pPr>
        <w:tabs>
          <w:tab w:val="left" w:pos="1800"/>
          <w:tab w:val="left" w:pos="5580"/>
        </w:tabs>
        <w:spacing w:line="360" w:lineRule="auto"/>
        <w:jc w:val="left"/>
        <w:rPr>
          <w:rFonts w:asciiTheme="minorEastAsia" w:hAnsiTheme="minorEastAsia" w:eastAsiaTheme="minorEastAsia"/>
          <w:color w:val="auto"/>
          <w:sz w:val="24"/>
        </w:rPr>
      </w:pPr>
    </w:p>
    <w:p>
      <w:pPr>
        <w:tabs>
          <w:tab w:val="left" w:pos="1800"/>
          <w:tab w:val="left" w:pos="5580"/>
        </w:tabs>
        <w:spacing w:line="360" w:lineRule="auto"/>
        <w:ind w:firstLine="240" w:firstLineChars="100"/>
        <w:jc w:val="left"/>
        <w:rPr>
          <w:rFonts w:asciiTheme="minorEastAsia" w:hAnsiTheme="minorEastAsia" w:eastAsiaTheme="minorEastAsia"/>
          <w:color w:val="auto"/>
          <w:sz w:val="24"/>
          <w:u w:val="single"/>
        </w:rPr>
      </w:pPr>
      <w:r>
        <w:rPr>
          <w:rFonts w:asciiTheme="minorEastAsia" w:hAnsiTheme="minorEastAsia" w:eastAsiaTheme="minorEastAsia"/>
          <w:color w:val="auto"/>
          <w:sz w:val="24"/>
        </w:rPr>
        <w:t>项目编号：___________             项目名称：___________</w:t>
      </w:r>
    </w:p>
    <w:tbl>
      <w:tblPr>
        <w:tblStyle w:val="108"/>
        <w:tblW w:w="91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3"/>
        <w:gridCol w:w="2369"/>
        <w:gridCol w:w="2000"/>
        <w:gridCol w:w="2001"/>
        <w:gridCol w:w="2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1" w:hRule="atLeast"/>
          <w:jc w:val="center"/>
        </w:trPr>
        <w:tc>
          <w:tcPr>
            <w:tcW w:w="593"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lang w:eastAsia="zh-CN"/>
              </w:rPr>
              <w:t>包</w:t>
            </w:r>
            <w:r>
              <w:rPr>
                <w:rFonts w:hint="default" w:asciiTheme="minorEastAsia" w:hAnsiTheme="minorEastAsia" w:eastAsiaTheme="minorEastAsia"/>
                <w:b/>
                <w:color w:val="auto"/>
                <w:sz w:val="24"/>
              </w:rPr>
              <w:t>号</w:t>
            </w:r>
          </w:p>
        </w:tc>
        <w:tc>
          <w:tcPr>
            <w:tcW w:w="236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供应商名称</w:t>
            </w:r>
          </w:p>
        </w:tc>
        <w:tc>
          <w:tcPr>
            <w:tcW w:w="400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报价</w:t>
            </w:r>
          </w:p>
        </w:tc>
        <w:tc>
          <w:tcPr>
            <w:tcW w:w="2143" w:type="dxa"/>
            <w:vMerge w:val="restart"/>
            <w:tcBorders>
              <w:top w:val="single" w:color="auto" w:sz="4" w:space="0"/>
              <w:left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rPr>
              <w:t>合同履行期限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4" w:hRule="atLeast"/>
          <w:jc w:val="center"/>
        </w:trPr>
        <w:tc>
          <w:tcPr>
            <w:tcW w:w="5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heme="minorEastAsia" w:hAnsiTheme="minorEastAsia" w:eastAsiaTheme="minorEastAsia"/>
                <w:b/>
                <w:color w:val="auto"/>
                <w:sz w:val="24"/>
              </w:rPr>
            </w:pPr>
          </w:p>
        </w:tc>
        <w:tc>
          <w:tcPr>
            <w:tcW w:w="236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heme="minorEastAsia" w:hAnsiTheme="minorEastAsia" w:eastAsiaTheme="minorEastAsia"/>
                <w:b/>
                <w:color w:val="auto"/>
                <w:sz w:val="24"/>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大写</w:t>
            </w:r>
          </w:p>
        </w:tc>
        <w:tc>
          <w:tcPr>
            <w:tcW w:w="20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小写</w:t>
            </w:r>
          </w:p>
        </w:tc>
        <w:tc>
          <w:tcPr>
            <w:tcW w:w="2143" w:type="dxa"/>
            <w:vMerge w:val="continue"/>
            <w:tcBorders>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6"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36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0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14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r>
    </w:tbl>
    <w:p>
      <w:pPr>
        <w:autoSpaceDE w:val="0"/>
        <w:autoSpaceDN w:val="0"/>
        <w:adjustRightInd w:val="0"/>
        <w:jc w:val="left"/>
        <w:rPr>
          <w:rFonts w:asciiTheme="minorEastAsia" w:hAnsiTheme="minorEastAsia" w:eastAsiaTheme="minorEastAsia"/>
          <w:color w:val="auto"/>
          <w:kern w:val="0"/>
          <w:sz w:val="24"/>
        </w:rPr>
      </w:pPr>
    </w:p>
    <w:p>
      <w:pPr>
        <w:autoSpaceDE w:val="0"/>
        <w:autoSpaceDN w:val="0"/>
        <w:adjustRightInd w:val="0"/>
        <w:jc w:val="left"/>
        <w:rPr>
          <w:rFonts w:asciiTheme="minorEastAsia" w:hAnsiTheme="minorEastAsia" w:eastAsiaTheme="minorEastAsia"/>
          <w:color w:val="auto"/>
          <w:sz w:val="24"/>
          <w:szCs w:val="20"/>
        </w:rPr>
      </w:pPr>
      <w:r>
        <w:rPr>
          <w:rFonts w:asciiTheme="minorEastAsia" w:hAnsiTheme="minorEastAsia" w:eastAsiaTheme="minorEastAsia"/>
          <w:color w:val="auto"/>
          <w:kern w:val="0"/>
          <w:sz w:val="24"/>
        </w:rPr>
        <w:t>注：1</w:t>
      </w:r>
      <w:r>
        <w:rPr>
          <w:rFonts w:asciiTheme="minorEastAsia" w:hAnsiTheme="minorEastAsia" w:eastAsiaTheme="minorEastAsia"/>
          <w:color w:val="auto"/>
          <w:sz w:val="24"/>
          <w:szCs w:val="20"/>
        </w:rPr>
        <w:t>.此表中，每包的报价应和《分项报价表》中的总价相一致。</w:t>
      </w:r>
    </w:p>
    <w:p>
      <w:pPr>
        <w:tabs>
          <w:tab w:val="left" w:pos="5580"/>
        </w:tabs>
        <w:ind w:firstLine="480" w:firstLineChars="20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2.本表必须按包分别填写。</w:t>
      </w:r>
    </w:p>
    <w:p>
      <w:pPr>
        <w:tabs>
          <w:tab w:val="left" w:pos="5580"/>
        </w:tabs>
        <w:ind w:firstLine="480" w:firstLineChars="200"/>
        <w:rPr>
          <w:rFonts w:asciiTheme="minorEastAsia" w:hAnsiTheme="minorEastAsia" w:eastAsiaTheme="minorEastAsia"/>
          <w:color w:val="auto"/>
          <w:sz w:val="24"/>
          <w:szCs w:val="20"/>
        </w:rPr>
      </w:pPr>
    </w:p>
    <w:p>
      <w:pPr>
        <w:tabs>
          <w:tab w:val="left" w:pos="5580"/>
        </w:tabs>
        <w:ind w:firstLine="480" w:firstLineChars="200"/>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日期：</w:t>
      </w:r>
      <w:r>
        <w:rPr>
          <w:rFonts w:asciiTheme="minorEastAsia" w:hAnsiTheme="minorEastAsia" w:eastAsiaTheme="minorEastAsia"/>
          <w:color w:val="auto"/>
          <w:sz w:val="24"/>
          <w:szCs w:val="20"/>
        </w:rPr>
        <w:t>____年____月____日</w:t>
      </w: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p>
    <w:p>
      <w:pPr>
        <w:widowControl/>
        <w:jc w:val="left"/>
        <w:rPr>
          <w:rFonts w:asciiTheme="minorEastAsia" w:hAnsiTheme="minorEastAsia" w:eastAsiaTheme="minorEastAsia"/>
          <w:color w:val="auto"/>
          <w:sz w:val="24"/>
          <w:szCs w:val="20"/>
        </w:rPr>
      </w:pPr>
      <w:bookmarkStart w:id="1724" w:name="_Toc226965832"/>
      <w:bookmarkStart w:id="1725" w:name="_Toc150774763"/>
      <w:bookmarkStart w:id="1726" w:name="_Toc226337255"/>
      <w:bookmarkStart w:id="1727" w:name="_Toc264969249"/>
      <w:bookmarkStart w:id="1728" w:name="_Toc150480796"/>
      <w:bookmarkStart w:id="1729" w:name="_Toc142311060"/>
      <w:bookmarkStart w:id="1730" w:name="_Toc127151558"/>
      <w:bookmarkStart w:id="1731" w:name="_Toc305158827"/>
      <w:bookmarkStart w:id="1732" w:name="_Toc195842924"/>
      <w:bookmarkStart w:id="1733" w:name="_Toc226965749"/>
      <w:bookmarkStart w:id="1734" w:name="_Toc226309803"/>
      <w:bookmarkStart w:id="1735" w:name="_Toc265228397"/>
      <w:bookmarkStart w:id="1736" w:name="_Toc305158901"/>
      <w:r>
        <w:rPr>
          <w:rFonts w:asciiTheme="minorEastAsia" w:hAnsiTheme="minorEastAsia" w:eastAsiaTheme="minorEastAsia"/>
          <w:color w:val="auto"/>
          <w:sz w:val="24"/>
          <w:szCs w:val="20"/>
        </w:rPr>
        <w:br w:type="page"/>
      </w:r>
    </w:p>
    <w:p>
      <w:pPr>
        <w:tabs>
          <w:tab w:val="left" w:pos="360"/>
        </w:tabs>
        <w:snapToGrid w:val="0"/>
        <w:spacing w:line="360" w:lineRule="auto"/>
        <w:outlineLvl w:val="1"/>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7</w:t>
      </w:r>
      <w:r>
        <w:rPr>
          <w:rFonts w:asciiTheme="minorEastAsia" w:hAnsiTheme="minorEastAsia" w:eastAsiaTheme="minorEastAsia"/>
          <w:color w:val="auto"/>
          <w:sz w:val="24"/>
        </w:rPr>
        <w:t>分项报价表</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spacing w:before="240" w:beforeLines="100" w:line="360" w:lineRule="exact"/>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分项报价表</w:t>
      </w:r>
    </w:p>
    <w:p>
      <w:pPr>
        <w:pStyle w:val="2"/>
      </w:pPr>
    </w:p>
    <w:p>
      <w:pPr>
        <w:spacing w:line="260" w:lineRule="exact"/>
        <w:jc w:val="center"/>
        <w:rPr>
          <w:rFonts w:asciiTheme="minorEastAsia" w:hAnsiTheme="minorEastAsia" w:eastAsiaTheme="minorEastAsia"/>
          <w:color w:val="auto"/>
          <w:sz w:val="36"/>
          <w:szCs w:val="36"/>
        </w:rPr>
      </w:pPr>
    </w:p>
    <w:p>
      <w:pPr>
        <w:tabs>
          <w:tab w:val="left" w:pos="1800"/>
          <w:tab w:val="left" w:pos="5580"/>
        </w:tabs>
        <w:spacing w:after="120" w:afterLines="50"/>
        <w:rPr>
          <w:rFonts w:asciiTheme="minorEastAsia" w:hAnsiTheme="minorEastAsia" w:eastAsiaTheme="minorEastAsia"/>
          <w:color w:val="auto"/>
          <w:sz w:val="24"/>
        </w:rPr>
      </w:pPr>
      <w:r>
        <w:rPr>
          <w:rFonts w:asciiTheme="minorEastAsia" w:hAnsiTheme="minorEastAsia" w:eastAsiaTheme="minorEastAsia"/>
          <w:color w:val="auto"/>
          <w:sz w:val="24"/>
        </w:rPr>
        <w:t>项目编号/包号：_________项目名称：_________</w:t>
      </w:r>
      <w:r>
        <w:rPr>
          <w:rFonts w:hint="eastAsia" w:asciiTheme="minorEastAsia" w:hAnsiTheme="minorEastAsia" w:eastAsiaTheme="minorEastAsia"/>
          <w:color w:val="auto"/>
          <w:sz w:val="24"/>
          <w:lang w:val="en-US" w:eastAsia="zh-CN"/>
        </w:rPr>
        <w:t xml:space="preserve"> </w:t>
      </w:r>
      <w:r>
        <w:rPr>
          <w:rFonts w:asciiTheme="minorEastAsia" w:hAnsiTheme="minorEastAsia" w:eastAsiaTheme="minorEastAsia"/>
          <w:color w:val="auto"/>
          <w:sz w:val="24"/>
        </w:rPr>
        <w:t>报价单位：人民币元</w:t>
      </w:r>
    </w:p>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p>
    <w:p>
      <w:pPr>
        <w:pStyle w:val="2"/>
      </w:pPr>
    </w:p>
    <w:p>
      <w:pPr>
        <w:tabs>
          <w:tab w:val="left" w:pos="1800"/>
          <w:tab w:val="left" w:pos="5580"/>
        </w:tabs>
        <w:jc w:val="left"/>
        <w:rPr>
          <w:rFonts w:hint="eastAsia"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r>
        <w:rPr>
          <w:rFonts w:hint="eastAsia" w:asciiTheme="minorEastAsia" w:hAnsiTheme="minorEastAsia" w:eastAsiaTheme="minorEastAsia"/>
          <w:color w:val="auto"/>
          <w:sz w:val="24"/>
        </w:rPr>
        <w:t>（采用工程量清单计价方式的采购项目，应在本部分放置清单计价表格）</w:t>
      </w:r>
    </w:p>
    <w:p>
      <w:pPr>
        <w:tabs>
          <w:tab w:val="left" w:pos="1800"/>
          <w:tab w:val="left" w:pos="5580"/>
        </w:tabs>
        <w:ind w:firstLine="480" w:firstLineChars="200"/>
        <w:jc w:val="left"/>
        <w:rPr>
          <w:rFonts w:asciiTheme="minorEastAsia" w:hAnsiTheme="minorEastAsia" w:eastAsiaTheme="minorEastAsia"/>
          <w:color w:val="auto"/>
          <w:sz w:val="24"/>
        </w:rPr>
      </w:pPr>
    </w:p>
    <w:p>
      <w:pPr>
        <w:autoSpaceDE w:val="0"/>
        <w:autoSpaceDN w:val="0"/>
        <w:adjustRightInd w:val="0"/>
        <w:snapToGrid w:val="0"/>
        <w:spacing w:before="25" w:after="25" w:line="360" w:lineRule="auto"/>
        <w:rPr>
          <w:rFonts w:asciiTheme="minorEastAsia" w:hAnsiTheme="minorEastAsia" w:eastAsiaTheme="minorEastAsia"/>
          <w:color w:val="auto"/>
          <w:sz w:val="24"/>
        </w:rPr>
      </w:pPr>
    </w:p>
    <w:p>
      <w:pPr>
        <w:autoSpaceDE w:val="0"/>
        <w:autoSpaceDN w:val="0"/>
        <w:adjustRightInd w:val="0"/>
        <w:snapToGrid w:val="0"/>
        <w:spacing w:before="25" w:after="25" w:line="360" w:lineRule="auto"/>
        <w:rPr>
          <w:rFonts w:asciiTheme="minorEastAsia" w:hAnsiTheme="minorEastAsia" w:eastAsiaTheme="minorEastAsia"/>
          <w:color w:val="auto"/>
          <w:sz w:val="24"/>
        </w:rPr>
      </w:pPr>
    </w:p>
    <w:p>
      <w:pPr>
        <w:pStyle w:val="2"/>
      </w:pPr>
    </w:p>
    <w:p>
      <w:pPr>
        <w:pStyle w:val="2"/>
        <w:rPr>
          <w:rFonts w:asciiTheme="minorEastAsia" w:hAnsiTheme="minorEastAsia" w:eastAsiaTheme="minorEastAsia"/>
          <w:color w:val="auto"/>
          <w:sz w:val="24"/>
        </w:rPr>
      </w:pPr>
    </w:p>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szCs w:val="20"/>
        </w:rPr>
        <w:t>日期：____年____月____日</w:t>
      </w:r>
    </w:p>
    <w:p>
      <w:pPr>
        <w:tabs>
          <w:tab w:val="left" w:pos="360"/>
        </w:tabs>
        <w:snapToGrid w:val="0"/>
        <w:spacing w:line="360" w:lineRule="auto"/>
        <w:outlineLvl w:val="1"/>
        <w:rPr>
          <w:rFonts w:asciiTheme="minorEastAsia" w:hAnsiTheme="minorEastAsia" w:eastAsiaTheme="minorEastAsia"/>
          <w:color w:val="auto"/>
          <w:sz w:val="24"/>
        </w:rPr>
      </w:pPr>
      <w:r>
        <w:rPr>
          <w:rFonts w:asciiTheme="minorEastAsia" w:hAnsiTheme="minorEastAsia" w:eastAsiaTheme="minorEastAsia"/>
          <w:color w:val="auto"/>
          <w:sz w:val="24"/>
          <w:szCs w:val="20"/>
        </w:rPr>
        <w:br w:type="page"/>
      </w:r>
      <w:r>
        <w:rPr>
          <w:rFonts w:hint="eastAsia" w:asciiTheme="minorEastAsia" w:hAnsiTheme="minorEastAsia" w:eastAsiaTheme="minorEastAsia"/>
          <w:color w:val="auto"/>
          <w:sz w:val="24"/>
          <w:lang w:val="en-US" w:eastAsia="zh-CN"/>
        </w:rPr>
        <w:t>8</w:t>
      </w:r>
      <w:r>
        <w:rPr>
          <w:rFonts w:asciiTheme="minorEastAsia" w:hAnsiTheme="minorEastAsia" w:eastAsiaTheme="minorEastAsia"/>
          <w:color w:val="auto"/>
          <w:sz w:val="24"/>
        </w:rPr>
        <w:t>合同条款偏离表</w:t>
      </w:r>
      <w:r>
        <w:rPr>
          <w:rFonts w:hint="eastAsia" w:asciiTheme="minorEastAsia" w:hAnsiTheme="minorEastAsia" w:eastAsiaTheme="minorEastAsia"/>
          <w:color w:val="auto"/>
          <w:sz w:val="24"/>
        </w:rPr>
        <w:t>（实质性格式）</w:t>
      </w:r>
    </w:p>
    <w:p>
      <w:pPr>
        <w:spacing w:line="360" w:lineRule="auto"/>
        <w:rPr>
          <w:rFonts w:asciiTheme="minorEastAsia" w:hAnsiTheme="minorEastAsia" w:eastAsiaTheme="minorEastAsia"/>
          <w:color w:val="auto"/>
          <w:sz w:val="24"/>
          <w:szCs w:val="20"/>
        </w:rPr>
      </w:pPr>
    </w:p>
    <w:p>
      <w:pPr>
        <w:tabs>
          <w:tab w:val="left" w:pos="2775"/>
          <w:tab w:val="center" w:pos="4153"/>
        </w:tabs>
        <w:autoSpaceDE w:val="0"/>
        <w:autoSpaceDN w:val="0"/>
        <w:adjustRightInd w:val="0"/>
        <w:spacing w:line="360" w:lineRule="auto"/>
        <w:jc w:val="left"/>
        <w:rPr>
          <w:rFonts w:asciiTheme="minorEastAsia" w:hAnsiTheme="minorEastAsia" w:eastAsiaTheme="minorEastAsia"/>
          <w:b/>
          <w:color w:val="auto"/>
          <w:sz w:val="36"/>
          <w:szCs w:val="36"/>
        </w:rPr>
      </w:pPr>
      <w:r>
        <w:rPr>
          <w:rFonts w:asciiTheme="minorEastAsia" w:hAnsiTheme="minorEastAsia" w:eastAsiaTheme="minorEastAsia"/>
          <w:color w:val="auto"/>
          <w:sz w:val="36"/>
          <w:szCs w:val="36"/>
        </w:rPr>
        <w:tab/>
      </w:r>
      <w:r>
        <w:rPr>
          <w:rFonts w:asciiTheme="minorEastAsia" w:hAnsiTheme="minorEastAsia" w:eastAsiaTheme="minorEastAsia"/>
          <w:b/>
          <w:color w:val="auto"/>
          <w:sz w:val="36"/>
          <w:szCs w:val="36"/>
        </w:rPr>
        <w:tab/>
      </w:r>
      <w:r>
        <w:rPr>
          <w:rFonts w:asciiTheme="minorEastAsia" w:hAnsiTheme="minorEastAsia" w:eastAsiaTheme="minorEastAsia"/>
          <w:b/>
          <w:color w:val="auto"/>
          <w:sz w:val="36"/>
          <w:szCs w:val="36"/>
        </w:rPr>
        <w:t>合同条款偏离表</w:t>
      </w:r>
    </w:p>
    <w:p>
      <w:pPr>
        <w:spacing w:line="360" w:lineRule="auto"/>
        <w:rPr>
          <w:rFonts w:asciiTheme="minorEastAsia" w:hAnsiTheme="minorEastAsia" w:eastAsiaTheme="minorEastAsia"/>
          <w:color w:val="auto"/>
          <w:sz w:val="24"/>
          <w:szCs w:val="20"/>
        </w:rPr>
      </w:pPr>
    </w:p>
    <w:p>
      <w:pPr>
        <w:tabs>
          <w:tab w:val="left" w:pos="1800"/>
          <w:tab w:val="left" w:pos="5580"/>
        </w:tabs>
        <w:spacing w:line="360" w:lineRule="auto"/>
        <w:jc w:val="left"/>
        <w:rPr>
          <w:rFonts w:asciiTheme="minorEastAsia" w:hAnsiTheme="minorEastAsia" w:eastAsiaTheme="minorEastAsia"/>
          <w:color w:val="auto"/>
          <w:sz w:val="24"/>
        </w:rPr>
      </w:pPr>
      <w:r>
        <w:rPr>
          <w:rFonts w:asciiTheme="minorEastAsia" w:hAnsiTheme="minorEastAsia" w:eastAsiaTheme="minorEastAsia"/>
          <w:color w:val="auto"/>
          <w:sz w:val="24"/>
        </w:rPr>
        <w:t>项目编号/包号：_______________项目名称：_______________</w:t>
      </w:r>
    </w:p>
    <w:tbl>
      <w:tblPr>
        <w:tblStyle w:val="108"/>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90"/>
        <w:gridCol w:w="1580"/>
        <w:gridCol w:w="1981"/>
        <w:gridCol w:w="2427"/>
        <w:gridCol w:w="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序号</w:t>
            </w: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szCs w:val="21"/>
              </w:rPr>
              <w:t>竞争性磋商文件</w:t>
            </w:r>
            <w:r>
              <w:rPr>
                <w:rFonts w:hint="default" w:asciiTheme="minorEastAsia" w:hAnsiTheme="minorEastAsia" w:eastAsiaTheme="minorEastAsia"/>
                <w:color w:val="auto"/>
                <w:sz w:val="24"/>
              </w:rPr>
              <w:t>条目号</w:t>
            </w:r>
          </w:p>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（页码）</w:t>
            </w: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szCs w:val="21"/>
              </w:rPr>
              <w:t>竞争性磋商文件</w:t>
            </w:r>
            <w:r>
              <w:rPr>
                <w:rFonts w:hint="default" w:asciiTheme="minorEastAsia" w:hAnsiTheme="minorEastAsia" w:eastAsiaTheme="minorEastAsia"/>
                <w:color w:val="auto"/>
                <w:sz w:val="24"/>
              </w:rPr>
              <w:t>要求</w:t>
            </w: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响应文件内容</w:t>
            </w: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偏离情况</w:t>
            </w:r>
          </w:p>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（据实填写）</w:t>
            </w: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9288" w:type="dxa"/>
            <w:gridSpan w:val="6"/>
            <w:vAlign w:val="center"/>
          </w:tcPr>
          <w:p>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szCs w:val="21"/>
              </w:rPr>
            </w:pPr>
            <w:r>
              <w:rPr>
                <w:rFonts w:hint="default" w:asciiTheme="minorEastAsia" w:hAnsiTheme="minorEastAsia" w:eastAsiaTheme="minorEastAsia"/>
                <w:b/>
                <w:color w:val="auto"/>
                <w:sz w:val="24"/>
                <w:szCs w:val="21"/>
              </w:rPr>
              <w:t>对本项目合同条款的偏离情况</w:t>
            </w:r>
            <w:r>
              <w:rPr>
                <w:rFonts w:hint="default" w:asciiTheme="minorEastAsia" w:hAnsiTheme="minorEastAsia" w:eastAsiaTheme="minorEastAsia"/>
                <w:color w:val="auto"/>
                <w:sz w:val="24"/>
                <w:szCs w:val="21"/>
              </w:rPr>
              <w:t>（应进行选择，未选择</w:t>
            </w:r>
            <w:r>
              <w:rPr>
                <w:rFonts w:hint="default" w:asciiTheme="minorEastAsia" w:hAnsiTheme="minorEastAsia" w:eastAsiaTheme="minorEastAsia"/>
                <w:b/>
                <w:color w:val="auto"/>
                <w:sz w:val="24"/>
                <w:szCs w:val="21"/>
              </w:rPr>
              <w:t>响应无效</w:t>
            </w:r>
            <w:r>
              <w:rPr>
                <w:rFonts w:hint="default" w:asciiTheme="minorEastAsia" w:hAnsiTheme="minorEastAsia" w:eastAsiaTheme="minorEastAsia"/>
                <w:color w:val="auto"/>
                <w:sz w:val="24"/>
                <w:szCs w:val="21"/>
              </w:rPr>
              <w:t>）：</w:t>
            </w:r>
          </w:p>
          <w:p>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szCs w:val="21"/>
              </w:rPr>
            </w:pPr>
            <w:r>
              <w:rPr>
                <w:rFonts w:hint="default" w:asciiTheme="minorEastAsia" w:hAnsiTheme="minorEastAsia" w:eastAsiaTheme="minorEastAsia"/>
                <w:b/>
                <w:color w:val="auto"/>
                <w:sz w:val="24"/>
              </w:rPr>
              <w:t>□无偏离</w:t>
            </w:r>
            <w:r>
              <w:rPr>
                <w:rFonts w:hint="default" w:asciiTheme="minorEastAsia" w:hAnsiTheme="minorEastAsia" w:eastAsiaTheme="minorEastAsia"/>
                <w:color w:val="auto"/>
                <w:sz w:val="24"/>
              </w:rPr>
              <w:t>（</w:t>
            </w:r>
            <w:r>
              <w:rPr>
                <w:rFonts w:hint="eastAsia" w:asciiTheme="minorEastAsia" w:hAnsiTheme="minorEastAsia" w:eastAsiaTheme="minorEastAsia"/>
                <w:color w:val="auto"/>
                <w:sz w:val="24"/>
                <w:szCs w:val="21"/>
              </w:rPr>
              <w:t>（如无偏离，仅选择无偏离即可；无偏离即为对合同条款中的所有要求，均视作供应商已对之理解和响应。）</w:t>
            </w:r>
          </w:p>
          <w:p>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□有偏离</w:t>
            </w:r>
            <w:r>
              <w:rPr>
                <w:rFonts w:hint="default" w:asciiTheme="minorEastAsia" w:hAnsiTheme="minorEastAsia" w:eastAsiaTheme="minorEastAsia"/>
                <w:color w:val="auto"/>
                <w:sz w:val="24"/>
              </w:rPr>
              <w:t>（</w:t>
            </w:r>
            <w:r>
              <w:rPr>
                <w:rFonts w:hint="default" w:asciiTheme="minorEastAsia" w:hAnsiTheme="minorEastAsia" w:eastAsiaTheme="minorEastAsia"/>
                <w:color w:val="auto"/>
                <w:sz w:val="24"/>
                <w:szCs w:val="21"/>
              </w:rPr>
              <w:t>如有偏离，则应在本表中对负偏离项逐一列明，否则</w:t>
            </w:r>
            <w:r>
              <w:rPr>
                <w:rFonts w:hint="default" w:asciiTheme="minorEastAsia" w:hAnsiTheme="minorEastAsia" w:eastAsiaTheme="minorEastAsia"/>
                <w:b/>
                <w:color w:val="auto"/>
                <w:sz w:val="24"/>
                <w:szCs w:val="21"/>
              </w:rPr>
              <w:t>响应无效</w:t>
            </w:r>
            <w:r>
              <w:rPr>
                <w:rFonts w:hint="default" w:asciiTheme="minorEastAsia" w:hAnsiTheme="minorEastAsia" w:eastAsiaTheme="minorEastAsia"/>
                <w:color w:val="auto"/>
                <w:sz w:val="24"/>
                <w:szCs w:val="21"/>
              </w:rPr>
              <w:t>；对合同条款中的所有要求，除本表列明的偏离外，均视作供应商已对之理解和响应</w:t>
            </w:r>
            <w:r>
              <w:rPr>
                <w:rFonts w:hint="default" w:asciiTheme="minorEastAsia" w:hAnsiTheme="minorEastAsia" w:eastAsiaTheme="minorEastAsia"/>
                <w:color w:val="auto"/>
              </w:rPr>
              <w:t>。</w:t>
            </w:r>
            <w:r>
              <w:rPr>
                <w:rFonts w:hint="default"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bl>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注：“偏离情况”列应据实填写“正偏离”或“负偏离”。</w:t>
      </w:r>
    </w:p>
    <w:p>
      <w:pPr>
        <w:pStyle w:val="7"/>
        <w:rPr>
          <w:rFonts w:asciiTheme="minorEastAsia" w:hAnsiTheme="minorEastAsia" w:eastAsiaTheme="minorEastAsia"/>
          <w:color w:val="auto"/>
        </w:rPr>
      </w:pPr>
    </w:p>
    <w:p>
      <w:pPr>
        <w:pStyle w:val="7"/>
        <w:rPr>
          <w:rFonts w:asciiTheme="minorEastAsia" w:hAnsiTheme="minorEastAsia" w:eastAsiaTheme="minorEastAsia"/>
          <w:color w:val="auto"/>
        </w:rPr>
      </w:pPr>
    </w:p>
    <w:p>
      <w:pPr>
        <w:spacing w:line="360" w:lineRule="auto"/>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_______________</w:t>
      </w: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szCs w:val="20"/>
        </w:rPr>
        <w:t>日期：____年____月____日</w:t>
      </w:r>
    </w:p>
    <w:p>
      <w:pPr>
        <w:tabs>
          <w:tab w:val="left" w:pos="360"/>
        </w:tabs>
        <w:snapToGrid w:val="0"/>
        <w:spacing w:line="360" w:lineRule="auto"/>
        <w:outlineLvl w:val="1"/>
        <w:rPr>
          <w:rFonts w:asciiTheme="minorEastAsia" w:hAnsiTheme="minorEastAsia" w:eastAsiaTheme="minorEastAsia"/>
          <w:color w:val="auto"/>
          <w:sz w:val="24"/>
        </w:rPr>
      </w:pPr>
      <w:r>
        <w:rPr>
          <w:rFonts w:asciiTheme="minorEastAsia" w:hAnsiTheme="minorEastAsia" w:eastAsiaTheme="minorEastAsia"/>
          <w:color w:val="auto"/>
          <w:sz w:val="24"/>
          <w:szCs w:val="20"/>
        </w:rPr>
        <w:br w:type="page"/>
      </w:r>
      <w:r>
        <w:rPr>
          <w:rFonts w:hint="eastAsia" w:asciiTheme="minorEastAsia" w:hAnsiTheme="minorEastAsia" w:eastAsiaTheme="minorEastAsia"/>
          <w:color w:val="auto"/>
          <w:sz w:val="24"/>
          <w:lang w:val="en-US" w:eastAsia="zh-CN"/>
        </w:rPr>
        <w:t>9</w:t>
      </w:r>
      <w:r>
        <w:rPr>
          <w:rFonts w:asciiTheme="minorEastAsia" w:hAnsiTheme="minorEastAsia" w:eastAsiaTheme="minorEastAsia"/>
          <w:color w:val="auto"/>
          <w:sz w:val="24"/>
        </w:rPr>
        <w:t>采购需求偏离表</w:t>
      </w:r>
      <w:r>
        <w:rPr>
          <w:rFonts w:hint="eastAsia" w:asciiTheme="minorEastAsia" w:hAnsiTheme="minorEastAsia" w:eastAsiaTheme="minorEastAsia"/>
          <w:color w:val="auto"/>
          <w:sz w:val="24"/>
        </w:rPr>
        <w:t>（实质性格式）</w:t>
      </w:r>
    </w:p>
    <w:p>
      <w:pPr>
        <w:autoSpaceDE w:val="0"/>
        <w:autoSpaceDN w:val="0"/>
        <w:adjustRightInd w:val="0"/>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采购需求偏离表</w:t>
      </w:r>
    </w:p>
    <w:p>
      <w:pPr>
        <w:tabs>
          <w:tab w:val="left" w:pos="1800"/>
          <w:tab w:val="left" w:pos="5580"/>
        </w:tabs>
        <w:spacing w:line="360" w:lineRule="auto"/>
        <w:ind w:firstLine="360" w:firstLineChars="150"/>
        <w:jc w:val="left"/>
        <w:rPr>
          <w:rFonts w:asciiTheme="minorEastAsia" w:hAnsiTheme="minorEastAsia" w:eastAsiaTheme="minorEastAsia"/>
          <w:color w:val="auto"/>
          <w:sz w:val="24"/>
        </w:rPr>
      </w:pPr>
      <w:r>
        <w:rPr>
          <w:rFonts w:asciiTheme="minorEastAsia" w:hAnsiTheme="minorEastAsia" w:eastAsiaTheme="minorEastAsia"/>
          <w:color w:val="auto"/>
          <w:sz w:val="24"/>
        </w:rPr>
        <w:t>项目编号/包号：_______________项目名称：_______________</w:t>
      </w:r>
    </w:p>
    <w:tbl>
      <w:tblPr>
        <w:tblStyle w:val="108"/>
        <w:tblW w:w="96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序号</w:t>
            </w: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竞争性磋商文件条目号(页码)</w:t>
            </w: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竞争性磋商文件要求</w:t>
            </w: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响应内容</w:t>
            </w: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偏离情况</w:t>
            </w: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bl>
    <w:p>
      <w:pPr>
        <w:tabs>
          <w:tab w:val="left" w:pos="1800"/>
          <w:tab w:val="left" w:pos="5580"/>
        </w:tabs>
        <w:spacing w:line="360" w:lineRule="auto"/>
        <w:ind w:firstLine="360" w:firstLineChars="150"/>
        <w:jc w:val="left"/>
        <w:rPr>
          <w:rFonts w:asciiTheme="minorEastAsia" w:hAnsiTheme="minorEastAsia" w:eastAsiaTheme="minorEastAsia"/>
          <w:color w:val="auto"/>
          <w:sz w:val="24"/>
          <w:u w:val="single"/>
        </w:rPr>
      </w:pPr>
    </w:p>
    <w:p>
      <w:pPr>
        <w:tabs>
          <w:tab w:val="left" w:pos="1800"/>
          <w:tab w:val="left" w:pos="5580"/>
        </w:tabs>
        <w:spacing w:line="360" w:lineRule="auto"/>
        <w:ind w:firstLine="360" w:firstLineChars="150"/>
        <w:jc w:val="left"/>
        <w:rPr>
          <w:rFonts w:asciiTheme="minorEastAsia" w:hAnsiTheme="minorEastAsia" w:eastAsiaTheme="minorEastAsia"/>
          <w:color w:val="auto"/>
          <w:sz w:val="24"/>
          <w:u w:val="single"/>
        </w:rPr>
      </w:pP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注：</w:t>
      </w: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1.对竞争性磋商文件中的所有商务、技术要求，除本表所列明的所有偏离外，均视作供应商已对之理解和响应。此表中若无任何文字说明，内容为空白的</w:t>
      </w:r>
      <w:r>
        <w:rPr>
          <w:rFonts w:hint="eastAsia" w:asciiTheme="minorEastAsia" w:hAnsiTheme="minorEastAsia" w:eastAsiaTheme="minorEastAsia"/>
          <w:color w:val="auto"/>
          <w:sz w:val="24"/>
        </w:rPr>
        <w:t>，</w:t>
      </w:r>
      <w:r>
        <w:rPr>
          <w:rFonts w:asciiTheme="minorEastAsia" w:hAnsiTheme="minorEastAsia" w:eastAsiaTheme="minorEastAsia"/>
          <w:b/>
          <w:color w:val="auto"/>
          <w:sz w:val="24"/>
        </w:rPr>
        <w:t>响应无效</w:t>
      </w:r>
      <w:r>
        <w:rPr>
          <w:rFonts w:asciiTheme="minorEastAsia" w:hAnsiTheme="minorEastAsia" w:eastAsiaTheme="minorEastAsia"/>
          <w:color w:val="auto"/>
          <w:sz w:val="24"/>
        </w:rPr>
        <w:t>。</w:t>
      </w: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2.“偏离情况”列应据实填写“</w:t>
      </w:r>
      <w:r>
        <w:rPr>
          <w:rFonts w:hint="eastAsia" w:asciiTheme="minorEastAsia" w:hAnsiTheme="minorEastAsia" w:eastAsiaTheme="minorEastAsia"/>
          <w:color w:val="auto"/>
          <w:sz w:val="24"/>
        </w:rPr>
        <w:t>无</w:t>
      </w:r>
      <w:r>
        <w:rPr>
          <w:rFonts w:asciiTheme="minorEastAsia" w:hAnsiTheme="minorEastAsia" w:eastAsiaTheme="minorEastAsia"/>
          <w:color w:val="auto"/>
          <w:sz w:val="24"/>
        </w:rPr>
        <w:t>偏离”</w:t>
      </w:r>
      <w:r>
        <w:rPr>
          <w:rFonts w:hint="eastAsia" w:asciiTheme="minorEastAsia" w:hAnsiTheme="minorEastAsia" w:eastAsiaTheme="minorEastAsia"/>
          <w:color w:val="auto"/>
          <w:sz w:val="24"/>
        </w:rPr>
        <w:t>或</w:t>
      </w:r>
      <w:r>
        <w:rPr>
          <w:rFonts w:asciiTheme="minorEastAsia" w:hAnsiTheme="minorEastAsia" w:eastAsiaTheme="minorEastAsia"/>
          <w:color w:val="auto"/>
          <w:sz w:val="24"/>
        </w:rPr>
        <w:t>“正偏离”或“负偏离”。</w:t>
      </w:r>
    </w:p>
    <w:p>
      <w:pPr>
        <w:tabs>
          <w:tab w:val="left" w:pos="1800"/>
          <w:tab w:val="left" w:pos="5580"/>
        </w:tabs>
        <w:jc w:val="left"/>
        <w:rPr>
          <w:rFonts w:asciiTheme="minorEastAsia" w:hAnsiTheme="minorEastAsia" w:eastAsiaTheme="minorEastAsia"/>
          <w:color w:val="auto"/>
          <w:sz w:val="24"/>
        </w:rPr>
      </w:pPr>
    </w:p>
    <w:p>
      <w:pPr>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日期：____年____月____日</w:t>
      </w:r>
    </w:p>
    <w:p>
      <w:pPr>
        <w:tabs>
          <w:tab w:val="left" w:pos="360"/>
        </w:tabs>
        <w:snapToGrid w:val="0"/>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szCs w:val="20"/>
        </w:rPr>
        <w:br w:type="page"/>
      </w:r>
    </w:p>
    <w:p>
      <w:pPr>
        <w:tabs>
          <w:tab w:val="left" w:pos="360"/>
        </w:tabs>
        <w:snapToGrid w:val="0"/>
        <w:spacing w:line="360" w:lineRule="auto"/>
        <w:outlineLvl w:val="1"/>
        <w:rPr>
          <w:color w:val="FF0000"/>
          <w:sz w:val="24"/>
          <w:szCs w:val="20"/>
        </w:rPr>
      </w:pPr>
      <w:r>
        <w:rPr>
          <w:rFonts w:eastAsiaTheme="minorEastAsia"/>
          <w:sz w:val="24"/>
        </w:rPr>
        <w:t>1</w:t>
      </w:r>
      <w:r>
        <w:rPr>
          <w:rFonts w:hint="eastAsia" w:eastAsiaTheme="minorEastAsia"/>
          <w:sz w:val="24"/>
          <w:lang w:val="en-US" w:eastAsia="zh-CN"/>
        </w:rPr>
        <w:t>0</w:t>
      </w:r>
      <w:r>
        <w:rPr>
          <w:rFonts w:eastAsiaTheme="minorEastAsia"/>
          <w:sz w:val="24"/>
        </w:rPr>
        <w:t xml:space="preserve">  </w:t>
      </w:r>
      <w:r>
        <w:rPr>
          <w:rFonts w:hint="eastAsia"/>
          <w:color w:val="000000"/>
          <w:sz w:val="24"/>
          <w:szCs w:val="20"/>
        </w:rPr>
        <w:t>本国产品标准证明文件</w:t>
      </w:r>
      <w:r>
        <w:rPr>
          <w:rFonts w:hint="eastAsia"/>
          <w:color w:val="FF0000"/>
          <w:sz w:val="24"/>
          <w:szCs w:val="20"/>
          <w:lang w:eastAsia="zh-CN"/>
        </w:rPr>
        <w:t>（</w:t>
      </w:r>
      <w:r>
        <w:rPr>
          <w:rFonts w:hint="eastAsia"/>
          <w:color w:val="FF0000"/>
          <w:sz w:val="24"/>
          <w:szCs w:val="20"/>
        </w:rPr>
        <w:t>本国产品标准适用于货物，包括政府采购货物项目和服务项目中涉及的货物</w:t>
      </w:r>
      <w:r>
        <w:rPr>
          <w:rFonts w:hint="eastAsia"/>
          <w:color w:val="FF0000"/>
          <w:sz w:val="24"/>
          <w:szCs w:val="20"/>
          <w:lang w:eastAsia="zh-CN"/>
        </w:rPr>
        <w:t>）</w:t>
      </w:r>
    </w:p>
    <w:p>
      <w:pPr>
        <w:pStyle w:val="86"/>
        <w:shd w:val="clear" w:color="auto" w:fill="FFFFFF"/>
        <w:spacing w:before="30" w:beforeAutospacing="0" w:after="30" w:afterAutospacing="0"/>
        <w:jc w:val="center"/>
        <w:rPr>
          <w:color w:val="333333"/>
          <w:sz w:val="36"/>
          <w:szCs w:val="36"/>
        </w:rPr>
      </w:pPr>
      <w:r>
        <w:rPr>
          <w:rStyle w:val="91"/>
          <w:rFonts w:hint="eastAsia"/>
          <w:color w:val="333333"/>
          <w:sz w:val="36"/>
          <w:szCs w:val="36"/>
          <w:shd w:val="clear" w:color="auto" w:fill="FFFFFF"/>
        </w:rPr>
        <w:t>关于符合本国产品标准的声明函</w:t>
      </w:r>
    </w:p>
    <w:p>
      <w:pPr>
        <w:pStyle w:val="86"/>
        <w:shd w:val="clear" w:color="auto" w:fill="FFFFFF"/>
        <w:spacing w:before="30" w:beforeAutospacing="0" w:after="30" w:afterAutospacing="0"/>
        <w:ind w:firstLine="420"/>
        <w:rPr>
          <w:color w:val="333333"/>
        </w:rPr>
      </w:pPr>
    </w:p>
    <w:p>
      <w:pPr>
        <w:pStyle w:val="86"/>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86"/>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95"/>
          <w:rFonts w:hint="eastAsia"/>
          <w:color w:val="333333"/>
          <w:u w:val="single"/>
          <w:shd w:val="clear" w:color="auto" w:fill="FFFFFF"/>
        </w:rPr>
        <w:t>（产品名称1）</w:t>
      </w:r>
      <w:r>
        <w:rPr>
          <w:rStyle w:val="95"/>
          <w:rFonts w:hint="eastAsia"/>
          <w:color w:val="333333"/>
          <w:shd w:val="clear" w:color="auto" w:fill="FFFFFF"/>
          <w:vertAlign w:val="superscript"/>
        </w:rPr>
        <w:t>1</w:t>
      </w:r>
      <w:r>
        <w:rPr>
          <w:rFonts w:hint="eastAsia"/>
          <w:color w:val="333333"/>
          <w:shd w:val="clear" w:color="auto" w:fill="FFFFFF"/>
        </w:rPr>
        <w:t>，生产厂为</w:t>
      </w:r>
      <w:r>
        <w:rPr>
          <w:rStyle w:val="95"/>
          <w:rFonts w:hint="eastAsia"/>
          <w:color w:val="333333"/>
          <w:u w:val="single"/>
          <w:shd w:val="clear" w:color="auto" w:fill="FFFFFF"/>
        </w:rPr>
        <w:t>（厂名）</w:t>
      </w:r>
      <w:r>
        <w:rPr>
          <w:rStyle w:val="95"/>
          <w:rFonts w:hint="eastAsia"/>
          <w:color w:val="333333"/>
          <w:shd w:val="clear" w:color="auto" w:fill="FFFFFF"/>
          <w:vertAlign w:val="superscript"/>
        </w:rPr>
        <w:t>2</w:t>
      </w:r>
      <w:r>
        <w:rPr>
          <w:rFonts w:hint="eastAsia"/>
          <w:color w:val="333333"/>
          <w:shd w:val="clear" w:color="auto" w:fill="FFFFFF"/>
        </w:rPr>
        <w:t>，厂址为</w:t>
      </w:r>
      <w:r>
        <w:rPr>
          <w:rStyle w:val="95"/>
          <w:rFonts w:hint="eastAsia"/>
          <w:color w:val="333333"/>
          <w:u w:val="single"/>
          <w:shd w:val="clear" w:color="auto" w:fill="FFFFFF"/>
        </w:rPr>
        <w:t>（生产厂址）</w:t>
      </w:r>
      <w:r>
        <w:rPr>
          <w:rFonts w:hint="eastAsia"/>
          <w:color w:val="333333"/>
          <w:shd w:val="clear" w:color="auto" w:fill="FFFFFF"/>
        </w:rPr>
        <w:t>。</w:t>
      </w:r>
      <w:r>
        <w:rPr>
          <w:rStyle w:val="95"/>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95"/>
          <w:rFonts w:hint="eastAsia"/>
          <w:color w:val="333333"/>
          <w:u w:val="single"/>
          <w:shd w:val="clear" w:color="auto" w:fill="FFFFFF"/>
        </w:rPr>
        <w:t>（规定比例）</w:t>
      </w:r>
      <w:r>
        <w:rPr>
          <w:rStyle w:val="95"/>
          <w:rFonts w:hint="eastAsia"/>
          <w:color w:val="333333"/>
          <w:shd w:val="clear" w:color="auto" w:fill="FFFFFF"/>
          <w:vertAlign w:val="superscript"/>
        </w:rPr>
        <w:t>3</w:t>
      </w:r>
      <w:r>
        <w:rPr>
          <w:rFonts w:hint="eastAsia"/>
          <w:color w:val="333333"/>
          <w:shd w:val="clear" w:color="auto" w:fill="FFFFFF"/>
        </w:rPr>
        <w:t>。</w:t>
      </w:r>
      <w:r>
        <w:rPr>
          <w:rStyle w:val="95"/>
          <w:rFonts w:hint="eastAsia"/>
          <w:color w:val="333333"/>
          <w:u w:val="single"/>
          <w:shd w:val="clear" w:color="auto" w:fill="FFFFFF"/>
        </w:rPr>
        <w:t>（产品名称1）</w:t>
      </w:r>
      <w:r>
        <w:rPr>
          <w:rFonts w:hint="eastAsia"/>
          <w:color w:val="333333"/>
          <w:shd w:val="clear" w:color="auto" w:fill="FFFFFF"/>
        </w:rPr>
        <w:t>的</w:t>
      </w:r>
      <w:r>
        <w:rPr>
          <w:rStyle w:val="95"/>
          <w:rFonts w:hint="eastAsia"/>
          <w:color w:val="333333"/>
          <w:u w:val="single"/>
          <w:shd w:val="clear" w:color="auto" w:fill="FFFFFF"/>
        </w:rPr>
        <w:t>（关键组件）</w:t>
      </w:r>
      <w:r>
        <w:rPr>
          <w:rStyle w:val="95"/>
          <w:rFonts w:hint="eastAsia"/>
          <w:color w:val="333333"/>
          <w:shd w:val="clear" w:color="auto" w:fill="FFFFFF"/>
          <w:vertAlign w:val="superscript"/>
        </w:rPr>
        <w:t>4</w:t>
      </w:r>
      <w:r>
        <w:rPr>
          <w:rFonts w:hint="eastAsia"/>
          <w:color w:val="333333"/>
          <w:shd w:val="clear" w:color="auto" w:fill="FFFFFF"/>
        </w:rPr>
        <w:t>在中国境内生产。</w:t>
      </w:r>
      <w:r>
        <w:rPr>
          <w:rStyle w:val="95"/>
          <w:rFonts w:hint="eastAsia"/>
          <w:color w:val="333333"/>
          <w:u w:val="single"/>
          <w:shd w:val="clear" w:color="auto" w:fill="FFFFFF"/>
        </w:rPr>
        <w:t>（产品名称1）</w:t>
      </w:r>
      <w:r>
        <w:rPr>
          <w:rFonts w:hint="eastAsia"/>
          <w:color w:val="333333"/>
          <w:shd w:val="clear" w:color="auto" w:fill="FFFFFF"/>
        </w:rPr>
        <w:t>的</w:t>
      </w:r>
      <w:r>
        <w:rPr>
          <w:rStyle w:val="95"/>
          <w:rFonts w:hint="eastAsia"/>
          <w:color w:val="333333"/>
          <w:u w:val="single"/>
          <w:shd w:val="clear" w:color="auto" w:fill="FFFFFF"/>
        </w:rPr>
        <w:t>（关键工序）</w:t>
      </w:r>
      <w:r>
        <w:rPr>
          <w:rStyle w:val="95"/>
          <w:rFonts w:hint="eastAsia"/>
          <w:color w:val="333333"/>
          <w:shd w:val="clear" w:color="auto" w:fill="FFFFFF"/>
          <w:vertAlign w:val="superscript"/>
        </w:rPr>
        <w:t>5</w:t>
      </w:r>
      <w:r>
        <w:rPr>
          <w:rFonts w:hint="eastAsia"/>
          <w:color w:val="333333"/>
          <w:shd w:val="clear" w:color="auto" w:fill="FFFFFF"/>
        </w:rPr>
        <w:t>在中国境内完成。</w:t>
      </w:r>
    </w:p>
    <w:p>
      <w:pPr>
        <w:pStyle w:val="86"/>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95"/>
          <w:rFonts w:hint="eastAsia"/>
          <w:color w:val="333333"/>
          <w:u w:val="single"/>
          <w:shd w:val="clear" w:color="auto" w:fill="FFFFFF"/>
        </w:rPr>
        <w:t>（产品名称2）</w:t>
      </w:r>
      <w:r>
        <w:rPr>
          <w:rFonts w:hint="eastAsia"/>
          <w:color w:val="333333"/>
          <w:shd w:val="clear" w:color="auto" w:fill="FFFFFF"/>
        </w:rPr>
        <w:t>，生产厂为</w:t>
      </w:r>
      <w:r>
        <w:rPr>
          <w:rStyle w:val="95"/>
          <w:rFonts w:hint="eastAsia"/>
          <w:color w:val="333333"/>
          <w:u w:val="single"/>
          <w:shd w:val="clear" w:color="auto" w:fill="FFFFFF"/>
        </w:rPr>
        <w:t>（厂名）</w:t>
      </w:r>
      <w:r>
        <w:rPr>
          <w:rFonts w:hint="eastAsia"/>
          <w:color w:val="333333"/>
          <w:shd w:val="clear" w:color="auto" w:fill="FFFFFF"/>
        </w:rPr>
        <w:t>，厂址为</w:t>
      </w:r>
      <w:r>
        <w:rPr>
          <w:rStyle w:val="95"/>
          <w:rFonts w:hint="eastAsia"/>
          <w:color w:val="333333"/>
          <w:u w:val="single"/>
          <w:shd w:val="clear" w:color="auto" w:fill="FFFFFF"/>
        </w:rPr>
        <w:t>（生产厂址）</w:t>
      </w:r>
      <w:r>
        <w:rPr>
          <w:rFonts w:hint="eastAsia"/>
          <w:color w:val="333333"/>
          <w:shd w:val="clear" w:color="auto" w:fill="FFFFFF"/>
        </w:rPr>
        <w:t>。</w:t>
      </w:r>
      <w:r>
        <w:rPr>
          <w:rStyle w:val="95"/>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95"/>
          <w:rFonts w:hint="eastAsia"/>
          <w:color w:val="333333"/>
          <w:u w:val="single"/>
          <w:shd w:val="clear" w:color="auto" w:fill="FFFFFF"/>
        </w:rPr>
        <w:t>（规定比例）</w:t>
      </w:r>
      <w:r>
        <w:rPr>
          <w:rFonts w:hint="eastAsia"/>
          <w:color w:val="333333"/>
          <w:shd w:val="clear" w:color="auto" w:fill="FFFFFF"/>
        </w:rPr>
        <w:t>。</w:t>
      </w:r>
      <w:r>
        <w:rPr>
          <w:rStyle w:val="95"/>
          <w:rFonts w:hint="eastAsia"/>
          <w:color w:val="333333"/>
          <w:u w:val="single"/>
          <w:shd w:val="clear" w:color="auto" w:fill="FFFFFF"/>
        </w:rPr>
        <w:t>（产品名称2）</w:t>
      </w:r>
      <w:r>
        <w:rPr>
          <w:rFonts w:hint="eastAsia"/>
          <w:color w:val="333333"/>
          <w:shd w:val="clear" w:color="auto" w:fill="FFFFFF"/>
        </w:rPr>
        <w:t>的</w:t>
      </w:r>
      <w:r>
        <w:rPr>
          <w:rStyle w:val="95"/>
          <w:rFonts w:hint="eastAsia"/>
          <w:color w:val="333333"/>
          <w:u w:val="single"/>
          <w:shd w:val="clear" w:color="auto" w:fill="FFFFFF"/>
        </w:rPr>
        <w:t>（关键组件）</w:t>
      </w:r>
      <w:r>
        <w:rPr>
          <w:rFonts w:hint="eastAsia"/>
          <w:color w:val="333333"/>
          <w:shd w:val="clear" w:color="auto" w:fill="FFFFFF"/>
        </w:rPr>
        <w:t>在中国境内生产。</w:t>
      </w:r>
      <w:r>
        <w:rPr>
          <w:rStyle w:val="95"/>
          <w:rFonts w:hint="eastAsia"/>
          <w:color w:val="333333"/>
          <w:u w:val="single"/>
          <w:shd w:val="clear" w:color="auto" w:fill="FFFFFF"/>
        </w:rPr>
        <w:t>（产品名称2）</w:t>
      </w:r>
      <w:r>
        <w:rPr>
          <w:rFonts w:hint="eastAsia"/>
          <w:color w:val="333333"/>
          <w:shd w:val="clear" w:color="auto" w:fill="FFFFFF"/>
        </w:rPr>
        <w:t>的</w:t>
      </w:r>
      <w:r>
        <w:rPr>
          <w:rStyle w:val="95"/>
          <w:rFonts w:hint="eastAsia"/>
          <w:color w:val="333333"/>
          <w:u w:val="single"/>
          <w:shd w:val="clear" w:color="auto" w:fill="FFFFFF"/>
        </w:rPr>
        <w:t>（关键工序）</w:t>
      </w:r>
      <w:r>
        <w:rPr>
          <w:rFonts w:hint="eastAsia"/>
          <w:color w:val="333333"/>
          <w:shd w:val="clear" w:color="auto" w:fill="FFFFFF"/>
        </w:rPr>
        <w:t>在中国境内完成。</w:t>
      </w:r>
    </w:p>
    <w:p>
      <w:pPr>
        <w:pStyle w:val="86"/>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pPr>
        <w:pStyle w:val="86"/>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pPr>
        <w:pStyle w:val="86"/>
        <w:shd w:val="clear" w:color="auto" w:fill="FFFFFF"/>
        <w:spacing w:before="0" w:beforeAutospacing="0" w:after="0" w:afterAutospacing="0" w:line="360" w:lineRule="auto"/>
        <w:rPr>
          <w:color w:val="333333"/>
        </w:rPr>
      </w:pPr>
    </w:p>
    <w:p>
      <w:pPr>
        <w:pStyle w:val="86"/>
        <w:shd w:val="clear" w:color="auto" w:fill="FFFFFF"/>
        <w:spacing w:before="0" w:beforeAutospacing="0" w:after="0" w:afterAutospacing="0" w:line="360" w:lineRule="auto"/>
        <w:jc w:val="right"/>
        <w:rPr>
          <w:color w:val="333333"/>
          <w:shd w:val="clear" w:color="auto" w:fill="FFFFFF"/>
        </w:rPr>
      </w:pPr>
    </w:p>
    <w:p>
      <w:pPr>
        <w:pStyle w:val="86"/>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pStyle w:val="86"/>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pPr>
        <w:pStyle w:val="86"/>
        <w:shd w:val="clear" w:color="auto" w:fill="FFFFFF"/>
        <w:spacing w:before="0" w:beforeAutospacing="0" w:after="0" w:afterAutospacing="0" w:line="360" w:lineRule="auto"/>
        <w:rPr>
          <w:color w:val="333333"/>
          <w:shd w:val="clear" w:color="auto" w:fill="FFFFFF"/>
        </w:rPr>
      </w:pPr>
    </w:p>
    <w:p>
      <w:pPr>
        <w:pStyle w:val="86"/>
        <w:shd w:val="clear" w:color="auto" w:fill="FFFFFF"/>
        <w:spacing w:before="0" w:beforeAutospacing="0" w:after="0" w:afterAutospacing="0" w:line="360" w:lineRule="auto"/>
        <w:rPr>
          <w:color w:val="333333"/>
          <w:shd w:val="clear" w:color="auto" w:fill="FFFFFF"/>
        </w:rPr>
      </w:pPr>
    </w:p>
    <w:p>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rFonts w:hint="eastAsia"/>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pPr>
        <w:pStyle w:val="62"/>
        <w:rPr>
          <w:rFonts w:hint="eastAsia"/>
          <w:color w:val="333333"/>
          <w:szCs w:val="21"/>
          <w:shd w:val="clear" w:color="auto" w:fill="FFFFFF"/>
        </w:rPr>
      </w:pPr>
    </w:p>
    <w:p>
      <w:pPr>
        <w:pStyle w:val="86"/>
        <w:shd w:val="clear" w:color="auto" w:fill="FFFFFF"/>
        <w:spacing w:before="30" w:beforeAutospacing="0" w:after="30" w:afterAutospacing="0"/>
        <w:jc w:val="center"/>
        <w:rPr>
          <w:rStyle w:val="91"/>
          <w:rFonts w:hint="eastAsia"/>
          <w:sz w:val="36"/>
          <w:szCs w:val="36"/>
        </w:rPr>
      </w:pPr>
    </w:p>
    <w:p>
      <w:pPr>
        <w:pStyle w:val="86"/>
        <w:shd w:val="clear" w:color="auto" w:fill="FFFFFF"/>
        <w:spacing w:before="30" w:beforeAutospacing="0" w:after="30" w:afterAutospacing="0"/>
        <w:jc w:val="center"/>
        <w:rPr>
          <w:rStyle w:val="91"/>
          <w:sz w:val="36"/>
          <w:szCs w:val="36"/>
        </w:rPr>
      </w:pPr>
      <w:r>
        <w:rPr>
          <w:rStyle w:val="91"/>
          <w:rFonts w:hint="eastAsia"/>
          <w:sz w:val="36"/>
          <w:szCs w:val="36"/>
        </w:rPr>
        <w:t>产品成本占比承诺函</w:t>
      </w:r>
    </w:p>
    <w:p>
      <w:pPr>
        <w:pStyle w:val="86"/>
        <w:shd w:val="clear" w:color="auto" w:fill="FFFFFF"/>
        <w:spacing w:before="30" w:beforeAutospacing="0" w:after="30" w:afterAutospacing="0"/>
        <w:rPr>
          <w:rStyle w:val="91"/>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86"/>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pStyle w:val="62"/>
        <w:ind w:left="0" w:leftChars="0" w:firstLine="0" w:firstLineChars="0"/>
        <w:rPr>
          <w:rFonts w:hint="eastAsia"/>
          <w:color w:val="333333"/>
          <w:szCs w:val="21"/>
          <w:shd w:val="clear" w:color="auto" w:fill="FFFFFF"/>
        </w:rPr>
      </w:pPr>
    </w:p>
    <w:p>
      <w:pPr>
        <w:tabs>
          <w:tab w:val="left" w:pos="360"/>
        </w:tabs>
        <w:snapToGrid w:val="0"/>
        <w:spacing w:line="360" w:lineRule="auto"/>
        <w:outlineLvl w:val="1"/>
        <w:rPr>
          <w:rFonts w:asciiTheme="minorEastAsia" w:hAnsiTheme="minorEastAsia" w:eastAsiaTheme="minorEastAsia"/>
          <w:color w:val="auto"/>
          <w:sz w:val="24"/>
        </w:rPr>
      </w:pPr>
    </w:p>
    <w:p>
      <w:pPr>
        <w:tabs>
          <w:tab w:val="left" w:pos="360"/>
        </w:tabs>
        <w:snapToGrid w:val="0"/>
        <w:spacing w:line="360" w:lineRule="auto"/>
        <w:outlineLvl w:val="1"/>
        <w:rPr>
          <w:rFonts w:asciiTheme="minorEastAsia" w:hAnsiTheme="minorEastAsia" w:eastAsiaTheme="minorEastAsia"/>
          <w:color w:val="auto"/>
          <w:sz w:val="24"/>
          <w:szCs w:val="20"/>
        </w:rPr>
      </w:pPr>
      <w:r>
        <w:rPr>
          <w:rFonts w:asciiTheme="minorEastAsia" w:hAnsiTheme="minorEastAsia" w:eastAsiaTheme="minorEastAsia"/>
          <w:color w:val="auto"/>
          <w:sz w:val="24"/>
        </w:rPr>
        <w:t>1</w:t>
      </w:r>
      <w:r>
        <w:rPr>
          <w:rFonts w:hint="eastAsia" w:asciiTheme="minorEastAsia" w:hAnsiTheme="minorEastAsia" w:eastAsiaTheme="minorEastAsia"/>
          <w:color w:val="auto"/>
          <w:sz w:val="24"/>
          <w:lang w:val="en-US" w:eastAsia="zh-CN"/>
        </w:rPr>
        <w:t>1</w:t>
      </w:r>
      <w:r>
        <w:rPr>
          <w:rFonts w:asciiTheme="minorEastAsia" w:hAnsiTheme="minorEastAsia" w:eastAsiaTheme="minorEastAsia"/>
          <w:color w:val="auto"/>
          <w:sz w:val="24"/>
        </w:rPr>
        <w:t>竞争性磋商文件要求提供或供应商认为应附的其他材料</w:t>
      </w:r>
    </w:p>
    <w:p>
      <w:pPr>
        <w:widowControl/>
        <w:jc w:val="left"/>
        <w:rPr>
          <w:rFonts w:asciiTheme="minorEastAsia" w:hAnsiTheme="minorEastAsia" w:eastAsiaTheme="minorEastAsia"/>
          <w:color w:val="auto"/>
          <w:sz w:val="24"/>
        </w:rPr>
      </w:pPr>
      <w:r>
        <w:rPr>
          <w:rFonts w:hint="eastAsia" w:asciiTheme="minorEastAsia" w:hAnsiTheme="minorEastAsia" w:eastAsiaTheme="minorEastAsia"/>
          <w:color w:val="auto"/>
          <w:sz w:val="24"/>
        </w:rPr>
        <w:t>1</w:t>
      </w:r>
      <w:r>
        <w:rPr>
          <w:rFonts w:hint="eastAsia" w:asciiTheme="minorEastAsia" w:hAnsiTheme="minorEastAsia" w:eastAsiaTheme="minorEastAsia"/>
          <w:color w:val="auto"/>
          <w:sz w:val="24"/>
          <w:lang w:val="en-US" w:eastAsia="zh-CN"/>
        </w:rPr>
        <w:t>1</w:t>
      </w:r>
      <w:r>
        <w:rPr>
          <w:rFonts w:asciiTheme="minorEastAsia" w:hAnsiTheme="minorEastAsia" w:eastAsiaTheme="minorEastAsia"/>
          <w:color w:val="auto"/>
          <w:sz w:val="24"/>
        </w:rPr>
        <w:t>-1</w:t>
      </w:r>
      <w:r>
        <w:rPr>
          <w:rFonts w:hint="eastAsia" w:asciiTheme="minorEastAsia" w:hAnsiTheme="minorEastAsia" w:eastAsiaTheme="minorEastAsia"/>
          <w:color w:val="auto"/>
          <w:sz w:val="24"/>
        </w:rPr>
        <w:t>供应商信息采集表</w:t>
      </w:r>
    </w:p>
    <w:tbl>
      <w:tblPr>
        <w:tblStyle w:val="109"/>
        <w:tblW w:w="928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6"/>
        <w:gridCol w:w="30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r>
              <w:rPr>
                <w:rFonts w:hint="eastAsia" w:asciiTheme="minorEastAsia" w:hAnsiTheme="minorEastAsia" w:eastAsiaTheme="minorEastAsia"/>
                <w:color w:val="auto"/>
              </w:rPr>
              <w:t>供应商名称</w:t>
            </w: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r>
              <w:rPr>
                <w:rFonts w:hint="eastAsia" w:asciiTheme="minorEastAsia" w:hAnsiTheme="minorEastAsia" w:eastAsiaTheme="minorEastAsia"/>
                <w:color w:val="auto"/>
              </w:rPr>
              <w:t>供应商所属性别</w:t>
            </w: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r>
              <w:rPr>
                <w:rFonts w:hint="eastAsia" w:asciiTheme="minorEastAsia" w:hAnsiTheme="minorEastAsia" w:eastAsiaTheme="minorEastAsia"/>
                <w:color w:val="auto"/>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bl>
    <w:p>
      <w:pPr>
        <w:pStyle w:val="7"/>
        <w:ind w:firstLine="0"/>
        <w:rPr>
          <w:rFonts w:asciiTheme="minorEastAsia" w:hAnsiTheme="minorEastAsia" w:eastAsiaTheme="minorEastAsia"/>
          <w:color w:val="auto"/>
        </w:rPr>
      </w:pPr>
      <w:r>
        <w:rPr>
          <w:rFonts w:hint="eastAsia" w:asciiTheme="minorEastAsia" w:hAnsiTheme="minorEastAsia" w:eastAsiaTheme="minorEastAsia"/>
          <w:color w:val="auto"/>
        </w:rPr>
        <w:t>注：1.供应商如为联合体，则应填写联合体各成员信息。</w:t>
      </w:r>
    </w:p>
    <w:p>
      <w:pPr>
        <w:pStyle w:val="7"/>
        <w:ind w:firstLine="480" w:firstLineChars="200"/>
        <w:rPr>
          <w:rFonts w:asciiTheme="minorEastAsia" w:hAnsiTheme="minorEastAsia" w:eastAsiaTheme="minorEastAsia"/>
          <w:color w:val="auto"/>
        </w:rPr>
      </w:pPr>
      <w:r>
        <w:rPr>
          <w:rFonts w:hint="eastAsia" w:asciiTheme="minorEastAsia" w:hAnsiTheme="minorEastAsia" w:eastAsiaTheme="minorEastAsia"/>
          <w:color w:val="auto"/>
        </w:rPr>
        <w:t>2.供应商所属性别请填写“男”或“女”，指拥有供应商51%以上绝对所有权的性别；绝对所有权拥有者可以是一个人，也可以是多人合计计算。</w:t>
      </w:r>
    </w:p>
    <w:p>
      <w:pPr>
        <w:pStyle w:val="7"/>
        <w:ind w:firstLine="48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3.外商投资类型请填写“外商单独投资”、“外商部分投资”或“内资”。</w:t>
      </w:r>
    </w:p>
    <w:p>
      <w:pPr>
        <w:pStyle w:val="7"/>
        <w:ind w:firstLine="480" w:firstLineChars="200"/>
        <w:rPr>
          <w:rFonts w:hint="eastAsia" w:asciiTheme="minorEastAsia" w:hAnsiTheme="minorEastAsia" w:eastAsiaTheme="minorEastAsia"/>
          <w:color w:val="FF0000"/>
        </w:rPr>
      </w:pPr>
    </w:p>
    <w:p>
      <w:pPr>
        <w:pStyle w:val="56"/>
        <w:ind w:left="0" w:leftChars="0" w:firstLine="0" w:firstLineChars="0"/>
        <w:rPr>
          <w:rFonts w:hint="eastAsia" w:asciiTheme="minorEastAsia" w:hAnsiTheme="minorEastAsia" w:eastAsiaTheme="minorEastAsia"/>
          <w:color w:val="auto"/>
          <w:sz w:val="24"/>
          <w:szCs w:val="20"/>
          <w:lang w:val="en-US" w:eastAsia="zh-CN"/>
        </w:rPr>
      </w:pPr>
      <w:r>
        <w:rPr>
          <w:rFonts w:hint="eastAsia" w:asciiTheme="minorEastAsia" w:hAnsiTheme="minorEastAsia" w:eastAsiaTheme="minorEastAsia"/>
          <w:color w:val="auto"/>
          <w:sz w:val="24"/>
          <w:szCs w:val="24"/>
          <w:lang w:val="en-US" w:eastAsia="zh-CN"/>
        </w:rPr>
        <w:t xml:space="preserve">12 </w:t>
      </w:r>
      <w:r>
        <w:rPr>
          <w:rFonts w:hint="eastAsia" w:asciiTheme="minorEastAsia" w:hAnsiTheme="minorEastAsia" w:eastAsiaTheme="minorEastAsia"/>
          <w:color w:val="auto"/>
          <w:sz w:val="24"/>
          <w:szCs w:val="20"/>
          <w:lang w:val="en-US" w:eastAsia="zh-CN"/>
        </w:rPr>
        <w:t>供应商业绩</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证明材料需</w:t>
      </w:r>
      <w:r>
        <w:rPr>
          <w:rFonts w:hint="eastAsia" w:ascii="宋体" w:hAnsi="宋体" w:eastAsia="宋体" w:cs="宋体"/>
          <w:color w:val="auto"/>
          <w:sz w:val="24"/>
          <w:szCs w:val="24"/>
          <w:highlight w:val="none"/>
        </w:rPr>
        <w:t>提供需提供合同关键页需包含合同的甲乙双方所在页、合同详细标的页、双方签章页及生效时间</w:t>
      </w:r>
      <w:r>
        <w:rPr>
          <w:rFonts w:hint="eastAsia" w:ascii="宋体" w:hAnsi="宋体" w:eastAsia="宋体" w:cs="宋体"/>
          <w:color w:val="auto"/>
          <w:sz w:val="24"/>
          <w:szCs w:val="24"/>
          <w:highlight w:val="none"/>
          <w:lang w:eastAsia="zh-CN"/>
        </w:rPr>
        <w:t>，并加盖供应商公章</w:t>
      </w:r>
      <w:r>
        <w:rPr>
          <w:rFonts w:hint="eastAsia" w:ascii="宋体" w:hAnsi="宋体" w:eastAsia="宋体" w:cs="宋体"/>
          <w:color w:val="auto"/>
          <w:sz w:val="24"/>
          <w:szCs w:val="24"/>
          <w:highlight w:val="none"/>
        </w:rPr>
        <w:t>）</w:t>
      </w:r>
    </w:p>
    <w:p>
      <w:pPr>
        <w:pStyle w:val="56"/>
        <w:ind w:left="0" w:leftChars="0" w:firstLine="0" w:firstLineChars="0"/>
        <w:rPr>
          <w:rFonts w:hint="eastAsia" w:asciiTheme="minorEastAsia" w:hAnsiTheme="minorEastAsia" w:eastAsiaTheme="minorEastAsia"/>
          <w:color w:val="auto"/>
          <w:sz w:val="24"/>
          <w:szCs w:val="24"/>
          <w:lang w:val="en-US" w:eastAsia="zh-CN"/>
        </w:rPr>
      </w:pPr>
    </w:p>
    <w:p>
      <w:pPr>
        <w:spacing w:before="156" w:beforeLines="50" w:after="156" w:afterLines="50" w:line="360" w:lineRule="auto"/>
        <w:jc w:val="center"/>
        <w:rPr>
          <w:rFonts w:hint="eastAsia" w:ascii="宋体" w:hAnsi="宋体"/>
          <w:b/>
          <w:color w:val="auto"/>
          <w:sz w:val="24"/>
          <w:szCs w:val="24"/>
        </w:rPr>
      </w:pPr>
      <w:r>
        <w:rPr>
          <w:rFonts w:hint="eastAsia" w:ascii="宋体" w:hAnsi="宋体"/>
          <w:b/>
          <w:color w:val="auto"/>
          <w:sz w:val="24"/>
          <w:szCs w:val="24"/>
          <w:lang w:eastAsia="zh-CN"/>
        </w:rPr>
        <w:t>供应商</w:t>
      </w:r>
      <w:r>
        <w:rPr>
          <w:rFonts w:hint="eastAsia" w:ascii="宋体" w:hAnsi="宋体"/>
          <w:b/>
          <w:color w:val="auto"/>
          <w:sz w:val="24"/>
          <w:szCs w:val="24"/>
        </w:rPr>
        <w:t>相关业绩表</w:t>
      </w:r>
    </w:p>
    <w:p>
      <w:pPr>
        <w:tabs>
          <w:tab w:val="left" w:pos="1800"/>
          <w:tab w:val="left" w:pos="5580"/>
        </w:tabs>
        <w:spacing w:line="360" w:lineRule="auto"/>
        <w:ind w:firstLine="360" w:firstLineChars="150"/>
        <w:jc w:val="left"/>
        <w:rPr>
          <w:rFonts w:hint="eastAsia" w:ascii="宋体" w:hAnsi="宋体"/>
          <w:color w:val="auto"/>
          <w:sz w:val="24"/>
          <w:szCs w:val="24"/>
        </w:rPr>
      </w:pPr>
      <w:r>
        <w:rPr>
          <w:rFonts w:asciiTheme="minorEastAsia" w:hAnsiTheme="minorEastAsia" w:eastAsiaTheme="minorEastAsia"/>
          <w:color w:val="auto"/>
          <w:sz w:val="24"/>
        </w:rPr>
        <w:t>项目编号/包号：_______________项目名称：_______________</w:t>
      </w:r>
    </w:p>
    <w:tbl>
      <w:tblPr>
        <w:tblStyle w:val="108"/>
        <w:tblW w:w="83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2355"/>
        <w:gridCol w:w="1450"/>
        <w:gridCol w:w="1310"/>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序号</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甲方单位名称</w:t>
            </w: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甲方联系人</w:t>
            </w: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甲方电话</w:t>
            </w: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合同起止期限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1</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2</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49" w:type="dxa"/>
            <w:textDirection w:val="tbRl"/>
            <w:vAlign w:val="center"/>
          </w:tcPr>
          <w:p>
            <w:pPr>
              <w:keepNext w:val="0"/>
              <w:keepLines w:val="0"/>
              <w:suppressLineNumbers w:val="0"/>
              <w:snapToGrid w:val="0"/>
              <w:spacing w:before="0" w:beforeAutospacing="0" w:after="0" w:afterAutospacing="0"/>
              <w:ind w:left="113" w:right="113"/>
              <w:jc w:val="center"/>
              <w:rPr>
                <w:rFonts w:hint="eastAsia" w:ascii="宋体" w:hAnsi="宋体"/>
                <w:color w:val="auto"/>
                <w:szCs w:val="21"/>
              </w:rPr>
            </w:pPr>
            <w:r>
              <w:rPr>
                <w:rFonts w:hint="eastAsia" w:ascii="宋体" w:hAnsi="宋体"/>
                <w:color w:val="auto"/>
                <w:szCs w:val="21"/>
              </w:rPr>
              <w:t>…</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n</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r>
    </w:tbl>
    <w:p>
      <w:pPr>
        <w:spacing w:before="156" w:beforeLines="50" w:line="360" w:lineRule="auto"/>
        <w:ind w:firstLine="240" w:firstLineChars="100"/>
        <w:rPr>
          <w:rFonts w:hint="eastAsia" w:ascii="宋体" w:hAnsi="宋体"/>
          <w:color w:val="auto"/>
          <w:sz w:val="24"/>
          <w:szCs w:val="24"/>
        </w:rPr>
      </w:pPr>
      <w:r>
        <w:rPr>
          <w:rFonts w:hint="eastAsia" w:ascii="宋体" w:hAnsi="宋体"/>
          <w:color w:val="auto"/>
          <w:sz w:val="24"/>
          <w:szCs w:val="24"/>
        </w:rPr>
        <w:t>填表说明：</w:t>
      </w:r>
    </w:p>
    <w:p>
      <w:pPr>
        <w:spacing w:line="360" w:lineRule="auto"/>
        <w:ind w:left="479" w:leftChars="114" w:hanging="240" w:hangingChars="100"/>
        <w:rPr>
          <w:rFonts w:hint="eastAsia" w:ascii="宋体" w:hAnsi="宋体"/>
          <w:color w:val="auto"/>
          <w:sz w:val="24"/>
          <w:szCs w:val="24"/>
        </w:rPr>
      </w:pPr>
      <w:r>
        <w:rPr>
          <w:rFonts w:hint="eastAsia" w:ascii="宋体" w:hAnsi="宋体"/>
          <w:color w:val="auto"/>
          <w:sz w:val="24"/>
          <w:szCs w:val="24"/>
        </w:rPr>
        <w:t>1.业绩按上述表格填写；</w:t>
      </w:r>
    </w:p>
    <w:p>
      <w:pPr>
        <w:spacing w:line="360" w:lineRule="auto"/>
        <w:ind w:firstLine="240" w:firstLineChars="100"/>
        <w:rPr>
          <w:rFonts w:hint="eastAsia" w:ascii="宋体" w:hAnsi="宋体"/>
          <w:color w:val="auto"/>
          <w:sz w:val="24"/>
          <w:szCs w:val="24"/>
        </w:rPr>
      </w:pPr>
      <w:r>
        <w:rPr>
          <w:rFonts w:hint="eastAsia" w:ascii="宋体" w:hAnsi="宋体"/>
          <w:color w:val="auto"/>
          <w:sz w:val="24"/>
          <w:szCs w:val="24"/>
        </w:rPr>
        <w:t>2.证明材料请附后。</w:t>
      </w: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spacing w:line="300" w:lineRule="auto"/>
        <w:jc w:val="left"/>
        <w:rPr>
          <w:rFonts w:hint="eastAsia" w:ascii="宋体" w:hAnsi="宋体" w:eastAsia="宋体" w:cs="宋体"/>
          <w:color w:val="auto"/>
          <w:spacing w:val="-13"/>
          <w:sz w:val="24"/>
          <w:szCs w:val="24"/>
        </w:rPr>
      </w:pPr>
      <w:r>
        <w:rPr>
          <w:rFonts w:asciiTheme="minorEastAsia" w:hAnsiTheme="minorEastAsia" w:eastAsiaTheme="minorEastAsia"/>
          <w:color w:val="auto"/>
          <w:sz w:val="24"/>
          <w:szCs w:val="20"/>
        </w:rPr>
        <w:t>日期：____年____月____日</w:t>
      </w:r>
    </w:p>
    <w:p>
      <w:pPr>
        <w:pStyle w:val="56"/>
        <w:ind w:left="0" w:leftChars="0" w:firstLine="0" w:firstLineChars="0"/>
        <w:rPr>
          <w:rFonts w:asciiTheme="minorEastAsia" w:hAnsiTheme="minorEastAsia" w:eastAsiaTheme="minorEastAsia"/>
          <w:color w:val="FF0000"/>
          <w:sz w:val="24"/>
          <w:szCs w:val="20"/>
        </w:rPr>
      </w:pPr>
    </w:p>
    <w:p>
      <w:pPr>
        <w:pStyle w:val="56"/>
        <w:ind w:left="0" w:leftChars="0" w:firstLine="0" w:firstLineChars="0"/>
        <w:rPr>
          <w:rFonts w:asciiTheme="minorEastAsia" w:hAnsiTheme="minorEastAsia" w:eastAsiaTheme="minorEastAsia"/>
          <w:color w:val="FF0000"/>
          <w:sz w:val="24"/>
          <w:szCs w:val="20"/>
        </w:rPr>
      </w:pPr>
    </w:p>
    <w:p>
      <w:pPr>
        <w:spacing w:line="360" w:lineRule="auto"/>
        <w:outlineLvl w:val="2"/>
        <w:rPr>
          <w:rFonts w:hint="eastAsia" w:ascii="宋体" w:hAnsi="宋体" w:eastAsia="宋体" w:cs="宋体"/>
          <w:color w:val="auto"/>
          <w:sz w:val="24"/>
          <w:szCs w:val="24"/>
          <w:highlight w:val="none"/>
          <w:lang w:eastAsia="zh-CN"/>
        </w:rPr>
      </w:pPr>
      <w:r>
        <w:rPr>
          <w:rFonts w:hint="eastAsia" w:asciiTheme="minorEastAsia" w:hAnsiTheme="minorEastAsia" w:eastAsiaTheme="minorEastAsia"/>
          <w:color w:val="auto"/>
          <w:sz w:val="24"/>
          <w:szCs w:val="24"/>
          <w:lang w:val="en-US" w:eastAsia="zh-CN"/>
        </w:rPr>
        <w:t>13 施工方案及主要技术措施</w:t>
      </w:r>
      <w:r>
        <w:rPr>
          <w:rFonts w:hint="eastAsia" w:ascii="宋体" w:hAnsi="宋体" w:eastAsia="宋体" w:cs="宋体"/>
          <w:color w:val="auto"/>
          <w:sz w:val="24"/>
          <w:szCs w:val="24"/>
          <w:highlight w:val="none"/>
          <w:lang w:eastAsia="zh-CN"/>
        </w:rPr>
        <w:t>（按竞争性磋商文件要求提供，参照评审标准，格式自拟）</w:t>
      </w:r>
    </w:p>
    <w:p>
      <w:pPr>
        <w:pStyle w:val="56"/>
        <w:rPr>
          <w:rFonts w:hint="eastAsia" w:ascii="宋体" w:hAnsi="宋体" w:eastAsia="宋体" w:cs="宋体"/>
          <w:color w:val="auto"/>
          <w:sz w:val="24"/>
          <w:szCs w:val="24"/>
          <w:highlight w:val="none"/>
          <w:lang w:eastAsia="zh-CN"/>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pStyle w:val="56"/>
        <w:ind w:left="0" w:leftChars="0" w:firstLine="0" w:firstLineChars="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日期：____年____月____日</w:t>
      </w:r>
    </w:p>
    <w:p>
      <w:pPr>
        <w:pStyle w:val="56"/>
        <w:ind w:left="0" w:leftChars="0" w:firstLine="0" w:firstLineChars="0"/>
        <w:rPr>
          <w:rFonts w:asciiTheme="minorEastAsia" w:hAnsiTheme="minorEastAsia" w:eastAsiaTheme="minorEastAsia"/>
          <w:color w:val="auto"/>
          <w:sz w:val="24"/>
          <w:szCs w:val="20"/>
        </w:rPr>
      </w:pPr>
    </w:p>
    <w:p>
      <w:pPr>
        <w:pStyle w:val="56"/>
        <w:ind w:left="0" w:leftChars="0" w:firstLine="0" w:firstLineChars="0"/>
        <w:rPr>
          <w:rFonts w:asciiTheme="minorEastAsia" w:hAnsiTheme="minorEastAsia" w:eastAsiaTheme="minorEastAsia"/>
          <w:color w:val="auto"/>
          <w:sz w:val="24"/>
          <w:szCs w:val="20"/>
        </w:rPr>
      </w:pP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1</w:t>
      </w:r>
      <w:r>
        <w:rPr>
          <w:rFonts w:hint="eastAsia" w:asciiTheme="minorEastAsia" w:hAnsiTheme="minorEastAsia" w:eastAsiaTheme="minorEastAsia"/>
          <w:color w:val="auto"/>
          <w:sz w:val="24"/>
          <w:szCs w:val="20"/>
          <w:lang w:val="en-US" w:eastAsia="zh-CN"/>
        </w:rPr>
        <w:t>4</w:t>
      </w:r>
      <w:r>
        <w:rPr>
          <w:rFonts w:hint="eastAsia" w:asciiTheme="minorEastAsia" w:hAnsiTheme="minorEastAsia" w:eastAsiaTheme="minorEastAsia"/>
          <w:color w:val="auto"/>
          <w:sz w:val="24"/>
          <w:szCs w:val="20"/>
        </w:rPr>
        <w:t xml:space="preserve"> 与采购人的配合、协调</w:t>
      </w:r>
      <w:r>
        <w:rPr>
          <w:rFonts w:hint="eastAsia" w:asciiTheme="minorEastAsia" w:hAnsiTheme="minorEastAsia" w:eastAsiaTheme="minorEastAsia"/>
          <w:color w:val="auto"/>
          <w:sz w:val="24"/>
          <w:szCs w:val="20"/>
          <w:lang w:eastAsia="zh-CN"/>
        </w:rPr>
        <w:t>，</w:t>
      </w:r>
      <w:r>
        <w:rPr>
          <w:rFonts w:hint="eastAsia" w:asciiTheme="minorEastAsia" w:hAnsiTheme="minorEastAsia" w:eastAsiaTheme="minorEastAsia"/>
          <w:color w:val="auto"/>
          <w:sz w:val="24"/>
          <w:szCs w:val="20"/>
        </w:rPr>
        <w:t>紧急情况的处理措施和预案，抵抗风险的措施（按竞争性磋商文件要求提供，参照评审标准，格式自拟）</w:t>
      </w:r>
    </w:p>
    <w:p>
      <w:pPr>
        <w:pStyle w:val="56"/>
        <w:ind w:left="0" w:leftChars="0" w:firstLine="0" w:firstLineChars="0"/>
        <w:rPr>
          <w:rFonts w:hint="eastAsia" w:asciiTheme="minorEastAsia" w:hAnsiTheme="minorEastAsia" w:eastAsiaTheme="minorEastAsia"/>
          <w:color w:val="auto"/>
          <w:sz w:val="24"/>
          <w:szCs w:val="20"/>
        </w:rPr>
      </w:pP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供应商名称（加盖公章）：______</w:t>
      </w:r>
    </w:p>
    <w:p>
      <w:pPr>
        <w:pStyle w:val="56"/>
        <w:ind w:left="0" w:leftChars="0" w:firstLine="0" w:firstLineChars="0"/>
        <w:rPr>
          <w:rFonts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日期：____年____月____日</w:t>
      </w:r>
    </w:p>
    <w:p>
      <w:pPr>
        <w:pStyle w:val="56"/>
        <w:ind w:left="0" w:leftChars="0" w:firstLine="0" w:firstLineChars="0"/>
        <w:rPr>
          <w:rFonts w:asciiTheme="minorEastAsia" w:hAnsiTheme="minorEastAsia" w:eastAsiaTheme="minorEastAsia"/>
          <w:color w:val="auto"/>
          <w:sz w:val="24"/>
          <w:szCs w:val="20"/>
        </w:rPr>
      </w:pPr>
    </w:p>
    <w:p>
      <w:pPr>
        <w:pStyle w:val="56"/>
        <w:ind w:left="0" w:leftChars="0" w:firstLine="0" w:firstLineChars="0"/>
        <w:rPr>
          <w:rFonts w:asciiTheme="minorEastAsia" w:hAnsiTheme="minorEastAsia" w:eastAsiaTheme="minorEastAsia"/>
          <w:color w:val="auto"/>
          <w:sz w:val="24"/>
          <w:szCs w:val="20"/>
        </w:rPr>
      </w:pP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1</w:t>
      </w:r>
      <w:r>
        <w:rPr>
          <w:rFonts w:hint="eastAsia" w:asciiTheme="minorEastAsia" w:hAnsiTheme="minorEastAsia" w:eastAsiaTheme="minorEastAsia"/>
          <w:color w:val="auto"/>
          <w:sz w:val="24"/>
          <w:szCs w:val="20"/>
          <w:lang w:val="en-US" w:eastAsia="zh-CN"/>
        </w:rPr>
        <w:t>5</w:t>
      </w:r>
      <w:r>
        <w:rPr>
          <w:rFonts w:hint="eastAsia" w:asciiTheme="minorEastAsia" w:hAnsiTheme="minorEastAsia" w:eastAsiaTheme="minorEastAsia"/>
          <w:color w:val="auto"/>
          <w:sz w:val="24"/>
          <w:szCs w:val="20"/>
        </w:rPr>
        <w:t xml:space="preserve"> 施工工期、施工进度计划及工期保证措施（按竞争性磋商文件要求提供，参照评审标准，格式自拟）</w:t>
      </w:r>
    </w:p>
    <w:p>
      <w:pPr>
        <w:pStyle w:val="56"/>
        <w:ind w:left="0" w:leftChars="0" w:firstLine="0" w:firstLineChars="0"/>
        <w:rPr>
          <w:rFonts w:hint="eastAsia" w:asciiTheme="minorEastAsia" w:hAnsiTheme="minorEastAsia" w:eastAsiaTheme="minorEastAsia"/>
          <w:color w:val="auto"/>
          <w:sz w:val="24"/>
          <w:szCs w:val="20"/>
        </w:rPr>
      </w:pP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供应商名称（加盖公章）：______</w:t>
      </w: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日期：____年____月____日</w:t>
      </w:r>
    </w:p>
    <w:p>
      <w:pPr>
        <w:pStyle w:val="56"/>
        <w:ind w:left="0" w:leftChars="0" w:firstLine="0" w:firstLineChars="0"/>
        <w:rPr>
          <w:rFonts w:hint="eastAsia" w:asciiTheme="minorEastAsia" w:hAnsiTheme="minorEastAsia" w:eastAsiaTheme="minorEastAsia"/>
          <w:color w:val="auto"/>
          <w:sz w:val="24"/>
          <w:szCs w:val="20"/>
        </w:rPr>
      </w:pP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1</w:t>
      </w:r>
      <w:r>
        <w:rPr>
          <w:rFonts w:hint="eastAsia" w:asciiTheme="minorEastAsia" w:hAnsiTheme="minorEastAsia" w:eastAsiaTheme="minorEastAsia"/>
          <w:color w:val="auto"/>
          <w:sz w:val="24"/>
          <w:szCs w:val="20"/>
          <w:lang w:val="en-US" w:eastAsia="zh-CN"/>
        </w:rPr>
        <w:t>6</w:t>
      </w:r>
      <w:r>
        <w:rPr>
          <w:rFonts w:hint="eastAsia" w:asciiTheme="minorEastAsia" w:hAnsiTheme="minorEastAsia" w:eastAsiaTheme="minorEastAsia"/>
          <w:color w:val="auto"/>
          <w:sz w:val="24"/>
          <w:szCs w:val="20"/>
        </w:rPr>
        <w:t xml:space="preserve"> </w:t>
      </w:r>
      <w:r>
        <w:rPr>
          <w:rFonts w:hint="eastAsia" w:asciiTheme="minorEastAsia" w:hAnsiTheme="minorEastAsia" w:eastAsiaTheme="minorEastAsia"/>
          <w:color w:val="auto"/>
          <w:sz w:val="24"/>
          <w:szCs w:val="20"/>
          <w:lang w:eastAsia="zh-CN"/>
        </w:rPr>
        <w:t>质量目标及保证措施</w:t>
      </w:r>
      <w:r>
        <w:rPr>
          <w:rFonts w:hint="eastAsia" w:asciiTheme="minorEastAsia" w:hAnsiTheme="minorEastAsia" w:eastAsiaTheme="minorEastAsia"/>
          <w:color w:val="auto"/>
          <w:sz w:val="24"/>
          <w:szCs w:val="20"/>
        </w:rPr>
        <w:t>（按竞争性磋商文件要求提供，参照评审标准，格式自拟）</w:t>
      </w:r>
    </w:p>
    <w:p>
      <w:pPr>
        <w:pStyle w:val="56"/>
        <w:ind w:left="0" w:leftChars="0" w:firstLine="0" w:firstLineChars="0"/>
        <w:rPr>
          <w:rFonts w:hint="eastAsia" w:asciiTheme="minorEastAsia" w:hAnsiTheme="minorEastAsia" w:eastAsiaTheme="minorEastAsia"/>
          <w:color w:val="auto"/>
          <w:sz w:val="24"/>
          <w:szCs w:val="20"/>
        </w:rPr>
      </w:pP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供应商名称（加盖公章）：______</w:t>
      </w: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日期：____年____月____日</w:t>
      </w:r>
    </w:p>
    <w:p>
      <w:pPr>
        <w:pStyle w:val="56"/>
        <w:ind w:left="0" w:leftChars="0" w:firstLine="0" w:firstLineChars="0"/>
        <w:rPr>
          <w:rFonts w:hint="eastAsia" w:asciiTheme="minorEastAsia" w:hAnsiTheme="minorEastAsia" w:eastAsiaTheme="minorEastAsia"/>
          <w:color w:val="auto"/>
          <w:sz w:val="24"/>
          <w:szCs w:val="20"/>
        </w:rPr>
      </w:pP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1</w:t>
      </w:r>
      <w:r>
        <w:rPr>
          <w:rFonts w:hint="eastAsia" w:asciiTheme="minorEastAsia" w:hAnsiTheme="minorEastAsia" w:eastAsiaTheme="minorEastAsia"/>
          <w:color w:val="auto"/>
          <w:sz w:val="24"/>
          <w:szCs w:val="20"/>
          <w:lang w:val="en-US" w:eastAsia="zh-CN"/>
        </w:rPr>
        <w:t>7</w:t>
      </w:r>
      <w:r>
        <w:rPr>
          <w:rFonts w:hint="eastAsia" w:asciiTheme="minorEastAsia" w:hAnsiTheme="minorEastAsia" w:eastAsiaTheme="minorEastAsia"/>
          <w:color w:val="auto"/>
          <w:sz w:val="24"/>
          <w:szCs w:val="20"/>
        </w:rPr>
        <w:t xml:space="preserve"> </w:t>
      </w:r>
      <w:r>
        <w:rPr>
          <w:rFonts w:hint="eastAsia" w:asciiTheme="minorEastAsia" w:hAnsiTheme="minorEastAsia" w:eastAsiaTheme="minorEastAsia"/>
          <w:color w:val="auto"/>
          <w:sz w:val="24"/>
          <w:szCs w:val="20"/>
          <w:lang w:eastAsia="zh-CN"/>
        </w:rPr>
        <w:t>安全生产和文明施工措施</w:t>
      </w:r>
      <w:r>
        <w:rPr>
          <w:rFonts w:hint="eastAsia" w:asciiTheme="minorEastAsia" w:hAnsiTheme="minorEastAsia" w:eastAsiaTheme="minorEastAsia"/>
          <w:color w:val="auto"/>
          <w:sz w:val="24"/>
          <w:szCs w:val="20"/>
        </w:rPr>
        <w:t>（按竞争性磋商文件要求提供，参照评审标准，格式自拟）</w:t>
      </w:r>
    </w:p>
    <w:p>
      <w:pPr>
        <w:pStyle w:val="56"/>
        <w:ind w:left="0" w:leftChars="0" w:firstLine="0" w:firstLineChars="0"/>
        <w:rPr>
          <w:rFonts w:hint="eastAsia" w:asciiTheme="minorEastAsia" w:hAnsiTheme="minorEastAsia" w:eastAsiaTheme="minorEastAsia"/>
          <w:color w:val="auto"/>
          <w:sz w:val="24"/>
          <w:szCs w:val="20"/>
        </w:rPr>
      </w:pP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供应商名称（加盖公章）：______</w:t>
      </w: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日期：____年____月____日</w:t>
      </w:r>
    </w:p>
    <w:p>
      <w:pPr>
        <w:pStyle w:val="56"/>
        <w:ind w:left="0" w:leftChars="0" w:firstLine="0" w:firstLineChars="0"/>
        <w:rPr>
          <w:rFonts w:hint="eastAsia" w:asciiTheme="minorEastAsia" w:hAnsiTheme="minorEastAsia" w:eastAsiaTheme="minorEastAsia"/>
          <w:color w:val="auto"/>
          <w:sz w:val="24"/>
          <w:szCs w:val="20"/>
        </w:rPr>
      </w:pP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lang w:val="en-US" w:eastAsia="zh-CN"/>
        </w:rPr>
        <w:t>18 施工机械的配备和施工人员配备</w:t>
      </w:r>
      <w:r>
        <w:rPr>
          <w:rFonts w:hint="eastAsia" w:asciiTheme="minorEastAsia" w:hAnsiTheme="minorEastAsia" w:eastAsiaTheme="minorEastAsia"/>
          <w:color w:val="auto"/>
          <w:sz w:val="24"/>
          <w:szCs w:val="20"/>
        </w:rPr>
        <w:t>（按竞争性磋商文件要求提供，参照评审标准，格式自拟）</w:t>
      </w:r>
    </w:p>
    <w:p>
      <w:pPr>
        <w:pStyle w:val="56"/>
        <w:ind w:left="0" w:leftChars="0" w:firstLine="0" w:firstLineChars="0"/>
        <w:rPr>
          <w:rFonts w:hint="eastAsia" w:asciiTheme="minorEastAsia" w:hAnsiTheme="minorEastAsia" w:eastAsiaTheme="minorEastAsia"/>
          <w:color w:val="auto"/>
          <w:sz w:val="24"/>
          <w:szCs w:val="20"/>
        </w:rPr>
      </w:pP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供应商名称（加盖公章）：______</w:t>
      </w:r>
    </w:p>
    <w:p>
      <w:pPr>
        <w:pStyle w:val="56"/>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日期：____年____月____日</w:t>
      </w:r>
    </w:p>
    <w:p>
      <w:pPr>
        <w:pStyle w:val="56"/>
        <w:ind w:left="0" w:leftChars="0" w:firstLine="0" w:firstLineChars="0"/>
        <w:rPr>
          <w:rFonts w:hint="eastAsia" w:asciiTheme="minorEastAsia" w:hAnsiTheme="minorEastAsia" w:eastAsiaTheme="minorEastAsia"/>
          <w:color w:val="auto"/>
          <w:sz w:val="24"/>
          <w:szCs w:val="20"/>
        </w:rPr>
      </w:pPr>
    </w:p>
    <w:p>
      <w:pPr>
        <w:pStyle w:val="56"/>
        <w:rPr>
          <w:rFonts w:hint="eastAsia"/>
          <w:color w:val="auto"/>
        </w:rPr>
      </w:pPr>
    </w:p>
    <w:bookmarkEnd w:id="1711"/>
    <w:bookmarkEnd w:id="1712"/>
    <w:p>
      <w:pPr>
        <w:pStyle w:val="477"/>
        <w:ind w:left="0" w:leftChars="0" w:firstLine="0" w:firstLineChars="0"/>
        <w:rPr>
          <w:rFonts w:hint="eastAsia" w:ascii="宋体" w:hAnsi="宋体"/>
          <w:color w:val="auto"/>
          <w:sz w:val="24"/>
          <w:szCs w:val="24"/>
          <w:u w:val="none"/>
          <w:lang w:val="en-US" w:eastAsia="zh-CN"/>
        </w:rPr>
      </w:pPr>
      <w:r>
        <w:rPr>
          <w:rFonts w:hint="eastAsia" w:asciiTheme="minorEastAsia" w:hAnsiTheme="minorEastAsia" w:eastAsiaTheme="minorEastAsia"/>
          <w:color w:val="auto"/>
          <w:sz w:val="24"/>
          <w:szCs w:val="20"/>
          <w:lang w:val="en-US" w:eastAsia="zh-CN"/>
        </w:rPr>
        <w:t>19 供应商认为有必要提供的其他文件</w:t>
      </w:r>
      <w:r>
        <w:rPr>
          <w:rFonts w:hint="eastAsia" w:ascii="宋体" w:hAnsi="宋体"/>
          <w:color w:val="auto"/>
          <w:sz w:val="24"/>
          <w:szCs w:val="24"/>
          <w:u w:val="none"/>
          <w:lang w:val="en-US" w:eastAsia="zh-CN"/>
        </w:rPr>
        <w:t>（格式自拟）</w:t>
      </w: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pStyle w:val="477"/>
        <w:ind w:left="0" w:leftChars="0" w:firstLine="0" w:firstLineChars="0"/>
        <w:rPr>
          <w:rFonts w:asciiTheme="minorEastAsia" w:hAnsiTheme="minorEastAsia" w:eastAsiaTheme="minorEastAsia"/>
          <w:color w:val="FF0000"/>
          <w:sz w:val="24"/>
          <w:szCs w:val="20"/>
        </w:rPr>
      </w:pPr>
      <w:r>
        <w:rPr>
          <w:rFonts w:asciiTheme="minorEastAsia" w:hAnsiTheme="minorEastAsia" w:eastAsiaTheme="minorEastAsia"/>
          <w:color w:val="auto"/>
          <w:sz w:val="24"/>
          <w:szCs w:val="20"/>
        </w:rPr>
        <w:t>日期：____年____月____日</w:t>
      </w:r>
    </w:p>
    <w:p>
      <w:pPr>
        <w:pStyle w:val="477"/>
        <w:ind w:left="0" w:leftChars="0" w:firstLine="0" w:firstLineChars="0"/>
        <w:rPr>
          <w:rFonts w:hint="eastAsia" w:asciiTheme="minorEastAsia" w:hAnsiTheme="minorEastAsia" w:eastAsiaTheme="minorEastAsia"/>
          <w:color w:val="0000FF"/>
          <w:sz w:val="24"/>
          <w:szCs w:val="20"/>
          <w:lang w:val="en-US" w:eastAsia="zh-CN"/>
        </w:rPr>
      </w:pPr>
    </w:p>
    <w:p>
      <w:pPr>
        <w:spacing w:line="62" w:lineRule="exact"/>
        <w:rPr>
          <w:rFonts w:hint="eastAsia"/>
          <w:lang w:val="en-US" w:eastAsia="zh-CN"/>
        </w:rPr>
      </w:pPr>
    </w:p>
    <w:sectPr>
      <w:headerReference r:id="rId12" w:type="default"/>
      <w:footerReference r:id="rId13" w:type="default"/>
      <w:pgSz w:w="11849" w:h="16781"/>
      <w:pgMar w:top="1417" w:right="1134" w:bottom="1417" w:left="1701" w:header="0" w:footer="0"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swiss"/>
    <w:pitch w:val="default"/>
    <w:sig w:usb0="00000000" w:usb1="00000000" w:usb2="00000000" w:usb3="00000000" w:csb0="0004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auto"/>
    <w:pitch w:val="default"/>
    <w:sig w:usb0="00000000" w:usb1="0000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Century Gothic">
    <w:altName w:val="Segoe Print"/>
    <w:panose1 w:val="020B0502020202020204"/>
    <w:charset w:val="00"/>
    <w:family w:val="swiss"/>
    <w:pitch w:val="default"/>
    <w:sig w:usb0="00000000" w:usb1="00000000" w:usb2="00000000" w:usb3="00000000" w:csb0="0000009F" w:csb1="00000000"/>
  </w:font>
  <w:font w:name="Palatino Linotype">
    <w:panose1 w:val="02040502050505030304"/>
    <w:charset w:val="00"/>
    <w:family w:val="roman"/>
    <w:pitch w:val="default"/>
    <w:sig w:usb0="E0000287" w:usb1="40000013" w:usb2="00000000" w:usb3="00000000" w:csb0="2000019F" w:csb1="00000000"/>
  </w:font>
  <w:font w:name="楷体">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新宋体">
    <w:panose1 w:val="02010609030101010101"/>
    <w:charset w:val="86"/>
    <w:family w:val="modern"/>
    <w:pitch w:val="default"/>
    <w:sig w:usb0="00000003" w:usb1="288F0000" w:usb2="0000000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Garamond">
    <w:altName w:val="PMingLiU-ExtB"/>
    <w:panose1 w:val="02020404030301010803"/>
    <w:charset w:val="00"/>
    <w:family w:val="roman"/>
    <w:pitch w:val="default"/>
    <w:sig w:usb0="00000000" w:usb1="00000000" w:usb2="00000000" w:usb3="00000000" w:csb0="0000009F" w:csb1="00000000"/>
  </w:font>
  <w:font w:name="等线 Light">
    <w:altName w:val="宋体"/>
    <w:panose1 w:val="02010600030101010101"/>
    <w:charset w:val="86"/>
    <w:family w:val="auto"/>
    <w:pitch w:val="default"/>
    <w:sig w:usb0="00000000" w:usb1="00000000" w:usb2="00000016" w:usb3="00000000" w:csb0="0004000F" w:csb1="00000000"/>
  </w:font>
  <w:font w:name="Angsana New">
    <w:panose1 w:val="02020603050405020304"/>
    <w:charset w:val="DE"/>
    <w:family w:val="roman"/>
    <w:pitch w:val="default"/>
    <w:sig w:usb0="81000003" w:usb1="00000000" w:usb2="00000000" w:usb3="00000000" w:csb0="00010001" w:csb1="00000000"/>
  </w:font>
  <w:font w:name="Arial Narrow">
    <w:altName w:val="Arial"/>
    <w:panose1 w:val="020B0606020202030204"/>
    <w:charset w:val="00"/>
    <w:family w:val="swiss"/>
    <w:pitch w:val="default"/>
    <w:sig w:usb0="00000000" w:usb1="00000000" w:usb2="00000000" w:usb3="00000000" w:csb0="0000009F" w:csb1="00000000"/>
  </w:font>
  <w:font w:name="PMingLiU">
    <w:panose1 w:val="02020500000000000000"/>
    <w:charset w:val="88"/>
    <w:family w:val="auto"/>
    <w:pitch w:val="default"/>
    <w:sig w:usb0="A00002FF" w:usb1="28CFFCFA" w:usb2="00000016" w:usb3="00000000" w:csb0="00100001" w:csb1="00000000"/>
  </w:font>
  <w:font w:name="Book Antiqua">
    <w:altName w:val="Segoe Print"/>
    <w:panose1 w:val="02040602050305030304"/>
    <w:charset w:val="00"/>
    <w:family w:val="roman"/>
    <w:pitch w:val="default"/>
    <w:sig w:usb0="00000000" w:usb1="00000000" w:usb2="00000000" w:usb3="00000000" w:csb0="0000009F" w:csb1="00000000"/>
  </w:font>
  <w:font w:name="幼圆">
    <w:altName w:val="宋体"/>
    <w:panose1 w:val="02010509060101010101"/>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Century">
    <w:altName w:val="Nyala"/>
    <w:panose1 w:val="02040604050505020304"/>
    <w:charset w:val="00"/>
    <w:family w:val="roman"/>
    <w:pitch w:val="default"/>
    <w:sig w:usb0="00000000" w:usb1="00000000" w:usb2="00000000" w:usb3="00000000" w:csb0="0000009F" w:csb1="00000000"/>
  </w:font>
  <w:font w:name="MS PMincho">
    <w:panose1 w:val="02020600040205080304"/>
    <w:charset w:val="80"/>
    <w:family w:val="roman"/>
    <w:pitch w:val="default"/>
    <w:sig w:usb0="E00002FF" w:usb1="6AC7FDFB" w:usb2="00000012" w:usb3="00000000" w:csb0="4002009F" w:csb1="DFD70000"/>
  </w:font>
  <w:font w:name="Tms Rmn">
    <w:altName w:val="Segoe Print"/>
    <w:panose1 w:val="02020603040505020304"/>
    <w:charset w:val="00"/>
    <w:family w:val="roman"/>
    <w:pitch w:val="default"/>
    <w:sig w:usb0="00000000" w:usb1="00000000" w:usb2="00000000" w:usb3="00000000" w:csb0="00000001" w:csb1="00000000"/>
  </w:font>
  <w:font w:name="..">
    <w:altName w:val="黑体"/>
    <w:panose1 w:val="00000000000000000000"/>
    <w:charset w:val="86"/>
    <w:family w:val="auto"/>
    <w:pitch w:val="default"/>
    <w:sig w:usb0="00000000" w:usb1="00000000" w:usb2="00000010" w:usb3="00000000" w:csb0="00040000" w:csb1="00000000"/>
  </w:font>
  <w:font w:name="Microsoft Sans Serif">
    <w:panose1 w:val="020B0604020202020204"/>
    <w:charset w:val="00"/>
    <w:family w:val="swiss"/>
    <w:pitch w:val="default"/>
    <w:sig w:usb0="E1002AFF" w:usb1="C0000002" w:usb2="00000008" w:usb3="00000000" w:csb0="200101FF" w:csb1="20280000"/>
  </w:font>
  <w:font w:name="Palatino">
    <w:altName w:val="Palatino Linotype"/>
    <w:panose1 w:val="00000000000000000000"/>
    <w:charset w:val="00"/>
    <w:family w:val="roman"/>
    <w:pitch w:val="default"/>
    <w:sig w:usb0="00000000" w:usb1="00000000" w:usb2="00000000" w:usb3="00000000" w:csb0="00000001" w:csb1="00000000"/>
  </w:font>
  <w:font w:name="Times Nw Roman">
    <w:altName w:val="Times New Roman"/>
    <w:panose1 w:val="00000000000000000000"/>
    <w:charset w:val="00"/>
    <w:family w:val="roman"/>
    <w:pitch w:val="default"/>
    <w:sig w:usb0="00000000" w:usb1="00000000" w:usb2="00000000" w:usb3="00000000" w:csb0="00040001" w:csb1="00000000"/>
  </w:font>
  <w:font w:name="Plotter">
    <w:altName w:val="宋体"/>
    <w:panose1 w:val="00000000000000000000"/>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等线">
    <w:altName w:val="宋体"/>
    <w:panose1 w:val="02010600030101010101"/>
    <w:charset w:val="86"/>
    <w:family w:val="auto"/>
    <w:pitch w:val="default"/>
    <w:sig w:usb0="00000000" w:usb1="00000000"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DejaVuSans">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Segoe UI Symbol">
    <w:panose1 w:val="020B0502040204020203"/>
    <w:charset w:val="00"/>
    <w:family w:val="swiss"/>
    <w:pitch w:val="default"/>
    <w:sig w:usb0="8000006F" w:usb1="1200FBEF" w:usb2="0064C000" w:usb3="00000002" w:csb0="00000001" w:csb1="40000000"/>
  </w:font>
  <w:font w:name="FZSSK--GBK1-0">
    <w:altName w:val="宋体"/>
    <w:panose1 w:val="00000000000000000000"/>
    <w:charset w:val="86"/>
    <w:family w:val="auto"/>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 w:name="Nyala">
    <w:panose1 w:val="02000504070300020003"/>
    <w:charset w:val="00"/>
    <w:family w:val="auto"/>
    <w:pitch w:val="default"/>
    <w:sig w:usb0="A000006F" w:usb1="00000000" w:usb2="00000800" w:usb3="00000000" w:csb0="00000093" w:csb1="00000000"/>
  </w:font>
  <w:font w:name="FZSSK--GBK1-0">
    <w:altName w:val="Segoe Print"/>
    <w:panose1 w:val="00000000000000000000"/>
    <w:charset w:val="00"/>
    <w:family w:val="auto"/>
    <w:pitch w:val="default"/>
    <w:sig w:usb0="00000000" w:usb1="00000000" w:usb2="00000000" w:usb3="00000000" w:csb0="00000000" w:csb1="00000000"/>
  </w:font>
  <w:font w:name="Times New Toman">
    <w:altName w:val="Traditional Arabic"/>
    <w:panose1 w:val="02020603050405020304"/>
    <w:charset w:val="00"/>
    <w:family w:val="roman"/>
    <w:pitch w:val="default"/>
    <w:sig w:usb0="00000000" w:usb1="00000000" w:usb2="00000008" w:usb3="00000000" w:csb0="000001FF" w:csb1="00000000"/>
  </w:font>
  <w:font w:name="Arial">
    <w:panose1 w:val="020B0604020202020204"/>
    <w:charset w:val="86"/>
    <w:family w:val="auto"/>
    <w:pitch w:val="default"/>
    <w:sig w:usb0="E0002AFF" w:usb1="C0007843" w:usb2="00000009" w:usb3="00000000" w:csb0="400001FF" w:csb1="FFFF0000"/>
  </w:font>
  <w:font w:name="Microsoft JhengHei">
    <w:panose1 w:val="020B0604030504040204"/>
    <w:charset w:val="88"/>
    <w:family w:val="auto"/>
    <w:pitch w:val="default"/>
    <w:sig w:usb0="00000087" w:usb1="28AF4000" w:usb2="00000016" w:usb3="00000000" w:csb0="00100009" w:csb1="00000000"/>
  </w:font>
  <w:font w:name="Traditional Arabic">
    <w:panose1 w:val="02020603050405020304"/>
    <w:charset w:val="00"/>
    <w:family w:val="auto"/>
    <w:pitch w:val="default"/>
    <w:sig w:usb0="00006003" w:usb1="80000000" w:usb2="00000008" w:usb3="00000000" w:csb0="00000041" w:csb1="20080000"/>
  </w:font>
  <w:font w:name="Arial Unicode MS">
    <w:altName w:val="Arial"/>
    <w:panose1 w:val="020B0604020202020204"/>
    <w:charset w:val="00"/>
    <w:family w:val="roman"/>
    <w:pitch w:val="default"/>
    <w:sig w:usb0="00000000" w:usb1="00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华文宋体">
    <w:altName w:val="宋体"/>
    <w:panose1 w:val="02010600040101010101"/>
    <w:charset w:val="86"/>
    <w:family w:val="auto"/>
    <w:pitch w:val="default"/>
    <w:sig w:usb0="00000000" w:usb1="00000000" w:usb2="00000010" w:usb3="00000000" w:csb0="0004009F" w:csb1="00000000"/>
  </w:font>
  <w:font w:name="方正仿宋简体">
    <w:altName w:val="微软雅黑"/>
    <w:panose1 w:val="00000000000000000000"/>
    <w:charset w:val="86"/>
    <w:family w:val="auto"/>
    <w:pitch w:val="default"/>
    <w:sig w:usb0="00000000" w:usb1="0000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方正书宋_GBK">
    <w:altName w:val="微软雅黑"/>
    <w:panose1 w:val="02000000000000000000"/>
    <w:charset w:val="86"/>
    <w:family w:val="auto"/>
    <w:pitch w:val="default"/>
    <w:sig w:usb0="00000000" w:usb1="00000000" w:usb2="00000000" w:usb3="00000000" w:csb0="00040000" w:csb1="00000000"/>
  </w:font>
  <w:font w:name="方正宋体S-超大字符集">
    <w:altName w:val="宋体"/>
    <w:panose1 w:val="02000000000000000000"/>
    <w:charset w:val="86"/>
    <w:family w:val="auto"/>
    <w:pitch w:val="default"/>
    <w:sig w:usb0="00000000" w:usb1="00000000" w:usb2="00000000" w:usb3="00000000" w:csb0="00040000" w:csb1="00000000"/>
  </w:font>
  <w:font w:name="CESI黑体-GB2312">
    <w:altName w:val="黑体"/>
    <w:panose1 w:val="02000500000000000000"/>
    <w:charset w:val="86"/>
    <w:family w:val="auto"/>
    <w:pitch w:val="default"/>
    <w:sig w:usb0="00000000" w:usb1="00000000" w:usb2="00000012" w:usb3="00000000" w:csb0="0004000F" w:csb1="00000000"/>
  </w:font>
  <w:font w:name="方正仿宋_GBK">
    <w:altName w:val="微软雅黑"/>
    <w:panose1 w:val="02000000000000000000"/>
    <w:charset w:val="86"/>
    <w:family w:val="auto"/>
    <w:pitch w:val="default"/>
    <w:sig w:usb0="00000000" w:usb1="00000000" w:usb2="00000000" w:usb3="00000000" w:csb0="00040000" w:csb1="00000000"/>
  </w:font>
  <w:font w:name="Aparajita">
    <w:panose1 w:val="020B0604020202020204"/>
    <w:charset w:val="00"/>
    <w:family w:val="auto"/>
    <w:pitch w:val="default"/>
    <w:sig w:usb0="00008003" w:usb1="00000000" w:usb2="00000000" w:usb3="00000000" w:csb0="0000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Nirmala UI">
    <w:altName w:val="Segoe Print"/>
    <w:panose1 w:val="00000000000000000000"/>
    <w:charset w:val="00"/>
    <w:family w:val="auto"/>
    <w:pitch w:val="default"/>
    <w:sig w:usb0="00000000" w:usb1="00000000" w:usb2="00000000" w:usb3="00000000" w:csb0="00000000" w:csb1="00000000"/>
  </w:font>
  <w:font w:name="Leelawadee UI">
    <w:altName w:val="Leelawadee"/>
    <w:panose1 w:val="00000000000000000000"/>
    <w:charset w:val="00"/>
    <w:family w:val="auto"/>
    <w:pitch w:val="default"/>
    <w:sig w:usb0="00000000" w:usb1="00000000" w:usb2="00000000" w:usb3="00000000" w:csb0="00000000" w:csb1="00000000"/>
  </w:font>
  <w:font w:name="Leelawadee">
    <w:panose1 w:val="020B0502040204020203"/>
    <w:charset w:val="00"/>
    <w:family w:val="auto"/>
    <w:pitch w:val="default"/>
    <w:sig w:usb0="810000AF" w:usb1="4000204B" w:usb2="00000000" w:usb3="00000000" w:csb0="20010001" w:csb1="00000000"/>
  </w:font>
  <w:font w:name="Cambria Math">
    <w:panose1 w:val="02040503050406030204"/>
    <w:charset w:val="00"/>
    <w:family w:val="roman"/>
    <w:pitch w:val="default"/>
    <w:sig w:usb0="E00002FF" w:usb1="420024FF" w:usb2="00000000" w:usb3="00000000" w:csb0="2000019F" w:csb1="00000000"/>
  </w:font>
  <w:font w:name="瀹嬩綋">
    <w:altName w:val="宋体"/>
    <w:panose1 w:val="00000000000000000000"/>
    <w:charset w:val="86"/>
    <w:family w:val="auto"/>
    <w:pitch w:val="default"/>
    <w:sig w:usb0="00000000" w:usb1="00000000" w:usb2="00000010" w:usb3="00000000" w:csb0="00040000" w:csb1="00000000"/>
  </w:font>
  <w:font w:name="time">
    <w:altName w:val="微软雅黑"/>
    <w:panose1 w:val="00000000000000000000"/>
    <w:charset w:val="00"/>
    <w:family w:val="auto"/>
    <w:pitch w:val="default"/>
    <w:sig w:usb0="00000000" w:usb1="00000000" w:usb2="00000000" w:usb3="00000000" w:csb0="00040001" w:csb1="00000000"/>
  </w:font>
  <w:font w:name="等线">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FontAwesome">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KaiTi_GB2312">
    <w:altName w:val="楷体"/>
    <w:panose1 w:val="02010609030101010101"/>
    <w:charset w:val="86"/>
    <w:family w:val="modern"/>
    <w:pitch w:val="default"/>
    <w:sig w:usb0="00000000" w:usb1="00000000" w:usb2="00000000" w:usb3="00000000" w:csb0="00040000" w:csb1="00000000"/>
  </w:font>
  <w:font w:name="FangSong_GB2312">
    <w:altName w:val="仿宋"/>
    <w:panose1 w:val="00000000000000000000"/>
    <w:charset w:val="86"/>
    <w:family w:val="modern"/>
    <w:pitch w:val="default"/>
    <w:sig w:usb0="00000000" w:usb1="00000000"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Tw Cen MT">
    <w:altName w:val="Segoe Print"/>
    <w:panose1 w:val="00000000000000000000"/>
    <w:charset w:val="00"/>
    <w:family w:val="swiss"/>
    <w:pitch w:val="default"/>
    <w:sig w:usb0="00000000" w:usb1="00000000" w:usb2="00000000" w:usb3="00000000" w:csb0="00000003" w:csb1="00000000"/>
  </w:font>
  <w:font w:name="DengXian">
    <w:altName w:val="宋体"/>
    <w:panose1 w:val="02010600030101010101"/>
    <w:charset w:val="86"/>
    <w:family w:val="auto"/>
    <w:pitch w:val="default"/>
    <w:sig w:usb0="00000000" w:usb1="00000000" w:usb2="00000016" w:usb3="00000000" w:csb0="0004000F" w:csb1="00000000"/>
  </w:font>
  <w:font w:name="DengXian Light">
    <w:altName w:val="宋体"/>
    <w:panose1 w:val="00000000000000000000"/>
    <w:charset w:val="86"/>
    <w:family w:val="auto"/>
    <w:pitch w:val="default"/>
    <w:sig w:usb0="00000000" w:usb1="00000000" w:usb2="00000016" w:usb3="00000000" w:csb0="0004000F" w:csb1="00000000"/>
  </w:font>
  <w:font w:name="华文隶书">
    <w:altName w:val="微软雅黑"/>
    <w:panose1 w:val="02010800040101010101"/>
    <w:charset w:val="86"/>
    <w:family w:val="auto"/>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40001" w:csb1="00000000"/>
  </w:font>
  <w:font w:name="五">
    <w:altName w:val="黑体"/>
    <w:panose1 w:val="00000000000000000000"/>
    <w:charset w:val="86"/>
    <w:family w:val="auto"/>
    <w:pitch w:val="default"/>
    <w:sig w:usb0="00000000" w:usb1="00000000" w:usb2="00000010" w:usb3="00000000" w:csb0="00040000" w:csb1="00000000"/>
  </w:font>
  <w:font w:name="长城楷体">
    <w:altName w:val="宋体"/>
    <w:panose1 w:val="02010609000101010101"/>
    <w:charset w:val="86"/>
    <w:family w:val="modern"/>
    <w:pitch w:val="default"/>
    <w:sig w:usb0="00000000" w:usb1="00000000" w:usb2="00000010" w:usb3="00000000" w:csb0="00040000" w:csb1="00000000"/>
  </w:font>
  <w:font w:name="Trebuchet MS">
    <w:panose1 w:val="020B0603020202020204"/>
    <w:charset w:val="00"/>
    <w:family w:val="swiss"/>
    <w:pitch w:val="default"/>
    <w:sig w:usb0="00000287" w:usb1="00000000" w:usb2="00000000" w:usb3="00000000" w:csb0="2000009F" w:csb1="00000000"/>
  </w:font>
  <w:font w:name="Helvetica-Light">
    <w:altName w:val="Malgun Gothic"/>
    <w:panose1 w:val="020B0403020202020204"/>
    <w:charset w:val="00"/>
    <w:family w:val="swiss"/>
    <w:pitch w:val="default"/>
    <w:sig w:usb0="00000000" w:usb1="00000000" w:usb2="00000000" w:usb3="00000000" w:csb0="00000001" w:csb1="00000000"/>
  </w:font>
  <w:font w:name="EtGsHeiBold">
    <w:altName w:val="黑体"/>
    <w:panose1 w:val="00000000000000000000"/>
    <w:charset w:val="86"/>
    <w:family w:val="auto"/>
    <w:pitch w:val="default"/>
    <w:sig w:usb0="00000000" w:usb1="00000000" w:usb2="00000010" w:usb3="00000000" w:csb0="00040000" w:csb1="00000000"/>
  </w:font>
  <w:font w:name="PingFang SC">
    <w:altName w:val="宋体"/>
    <w:panose1 w:val="020B0400000000000000"/>
    <w:charset w:val="86"/>
    <w:family w:val="swiss"/>
    <w:pitch w:val="default"/>
    <w:sig w:usb0="00000000" w:usb1="00000000" w:usb2="00000017" w:usb3="00000000" w:csb0="00040001" w:csb1="00000000"/>
  </w:font>
  <w:font w:name="ヒラギノ角ゴ Pro W3">
    <w:altName w:val="MS UI Gothic"/>
    <w:panose1 w:val="020B0300000000000000"/>
    <w:charset w:val="80"/>
    <w:family w:val="swiss"/>
    <w:pitch w:val="default"/>
    <w:sig w:usb0="00000000" w:usb1="00000000" w:usb2="00000012" w:usb3="00000000" w:csb0="0002000D" w:csb1="00000000"/>
  </w:font>
  <w:font w:name="Arial,Bold">
    <w:altName w:val="Arial"/>
    <w:panose1 w:val="00000000000000000000"/>
    <w:charset w:val="00"/>
    <w:family w:val="swiss"/>
    <w:pitch w:val="default"/>
    <w:sig w:usb0="00000000" w:usb1="00000000" w:usb2="00000000" w:usb3="00000000" w:csb0="00000001" w:csb1="00000000"/>
  </w:font>
  <w:font w:name="Microsoft YaHei UI">
    <w:altName w:val="宋体"/>
    <w:panose1 w:val="020B0503020204020204"/>
    <w:charset w:val="86"/>
    <w:family w:val="swiss"/>
    <w:pitch w:val="default"/>
    <w:sig w:usb0="00000000" w:usb1="00000000" w:usb2="00000016" w:usb3="00000000" w:csb0="0004001F" w:csb1="00000000"/>
  </w:font>
  <w:font w:name="UMWEKG+»ªÎÄÏ¸ºÚ">
    <w:altName w:val="微软雅黑"/>
    <w:panose1 w:val="00000000000000000000"/>
    <w:charset w:val="01"/>
    <w:family w:val="auto"/>
    <w:pitch w:val="default"/>
    <w:sig w:usb0="00000000" w:usb1="00000000" w:usb2="00000000" w:usb3="00000000" w:csb0="0004009F" w:csb1="DFD70000"/>
  </w:font>
  <w:font w:name="方正楷体简体">
    <w:altName w:val="宋体"/>
    <w:panose1 w:val="00000000000000000000"/>
    <w:charset w:val="86"/>
    <w:family w:val="auto"/>
    <w:pitch w:val="default"/>
    <w:sig w:usb0="00000000" w:usb1="00000000" w:usb2="00000000" w:usb3="00000000" w:csb0="00040000" w:csb1="00000000"/>
  </w:font>
  <w:font w:name="Songti SC Regular">
    <w:altName w:val="微软雅黑"/>
    <w:panose1 w:val="02010600040101010101"/>
    <w:charset w:val="86"/>
    <w:family w:val="auto"/>
    <w:pitch w:val="default"/>
    <w:sig w:usb0="00000000" w:usb1="00000000" w:usb2="00000000" w:usb3="00000000" w:csb0="00160000" w:csb1="00000000"/>
  </w:font>
  <w:font w:name="Malgun Gothic">
    <w:panose1 w:val="020B0503020000020004"/>
    <w:charset w:val="81"/>
    <w:family w:val="auto"/>
    <w:pitch w:val="default"/>
    <w:sig w:usb0="900002AF" w:usb1="01D77CFB" w:usb2="00000012" w:usb3="00000000" w:csb0="00080001" w:csb1="00000000"/>
  </w:font>
  <w:font w:name="MS UI Gothic">
    <w:panose1 w:val="020B0600070205080204"/>
    <w:charset w:val="80"/>
    <w:family w:val="auto"/>
    <w:pitch w:val="default"/>
    <w:sig w:usb0="E00002FF" w:usb1="6AC7FDFB" w:usb2="00000012" w:usb3="00000000" w:csb0="4002009F" w:csb1="DFD70000"/>
  </w:font>
  <w:font w:name="Lucida Sans Unicode">
    <w:panose1 w:val="020B0602030504020204"/>
    <w:charset w:val="00"/>
    <w:family w:val="swiss"/>
    <w:pitch w:val="default"/>
    <w:sig w:usb0="80001AFF" w:usb1="0000396B" w:usb2="00000000" w:usb3="00000000" w:csb0="200000BF" w:csb1="D7F70000"/>
  </w:font>
  <w:font w:name="serif">
    <w:altName w:val="Segoe Print"/>
    <w:panose1 w:val="00000000000000000000"/>
    <w:charset w:val="00"/>
    <w:family w:val="auto"/>
    <w:pitch w:val="default"/>
    <w:sig w:usb0="00000000" w:usb1="00000000" w:usb2="00000000" w:usb3="00000000" w:csb0="00040001" w:csb1="00000000"/>
  </w:font>
  <w:font w:name="zjaf">
    <w:altName w:val="Times New Roman"/>
    <w:panose1 w:val="00000000000000000000"/>
    <w:charset w:val="00"/>
    <w:family w:val="roman"/>
    <w:pitch w:val="default"/>
    <w:sig w:usb0="00000000" w:usb1="00000000" w:usb2="00000000" w:usb3="00000000" w:csb0="00040001" w:csb1="00000000"/>
  </w:font>
  <w:font w:name="Segoe UI">
    <w:panose1 w:val="020B0502040204020203"/>
    <w:charset w:val="00"/>
    <w:family w:val="auto"/>
    <w:pitch w:val="default"/>
    <w:sig w:usb0="E10022FF" w:usb1="C000E47F" w:usb2="00000029" w:usb3="00000000" w:csb0="200001DF" w:csb1="20000000"/>
  </w:font>
  <w:font w:name="DejaVu Sans">
    <w:altName w:val="Segoe Print"/>
    <w:panose1 w:val="020B0603030804020204"/>
    <w:charset w:val="00"/>
    <w:family w:val="auto"/>
    <w:pitch w:val="default"/>
    <w:sig w:usb0="00000000" w:usb1="00000000" w:usb2="0A246029" w:usb3="0400200C" w:csb0="600001FF" w:csb1="DFFF0000"/>
  </w:font>
  <w:font w:name="方正黑体_GBK">
    <w:altName w:val="微软雅黑"/>
    <w:panose1 w:val="02000000000000000000"/>
    <w:charset w:val="86"/>
    <w:family w:val="auto"/>
    <w:pitch w:val="default"/>
    <w:sig w:usb0="00000000" w:usb1="00000000" w:usb2="00000000" w:usb3="00000000" w:csb0="00040000" w:csb1="00000000"/>
  </w:font>
  <w:font w:name="Noto Sans Syriac Eastern">
    <w:altName w:val="宋体"/>
    <w:panose1 w:val="02040503050306020203"/>
    <w:charset w:val="86"/>
    <w:family w:val="auto"/>
    <w:pitch w:val="default"/>
    <w:sig w:usb0="00000000" w:usb1="00000000" w:usb2="00000080" w:usb3="00000000" w:csb0="203E0161" w:csb1="D7FF0000"/>
  </w:font>
  <w:font w:name="方正楷体_GBK">
    <w:altName w:val="微软雅黑"/>
    <w:panose1 w:val="02000000000000000000"/>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 w:name="Microsoft JhengHei Light">
    <w:altName w:val="Microsoft JhengHei"/>
    <w:panose1 w:val="020B0304030504040204"/>
    <w:charset w:val="88"/>
    <w:family w:val="swiss"/>
    <w:pitch w:val="default"/>
    <w:sig w:usb0="00000000" w:usb1="00000000" w:usb2="00000016" w:usb3="00000000" w:csb0="00100009" w:csb1="00000000"/>
  </w:font>
  <w:font w:name="东文宋体">
    <w:altName w:val="宋体"/>
    <w:panose1 w:val="00000000000000000000"/>
    <w:charset w:val="00"/>
    <w:family w:val="auto"/>
    <w:pitch w:val="default"/>
    <w:sig w:usb0="00000000" w:usb1="00000000" w:usb2="00000000" w:usb3="00000000" w:csb0="00000000" w:csb1="00000000"/>
  </w:font>
  <w:font w:name="??">
    <w:altName w:val="微软雅黑"/>
    <w:panose1 w:val="00000000000000000000"/>
    <w:charset w:val="86"/>
    <w:family w:val="roman"/>
    <w:pitch w:val="default"/>
    <w:sig w:usb0="00000000" w:usb1="00000000" w:usb2="00000010" w:usb3="00000000" w:csb0="00040001" w:csb1="00000000"/>
  </w:font>
  <w:font w:name="Futura Bk">
    <w:altName w:val="Times New Roman"/>
    <w:panose1 w:val="00000000000000000000"/>
    <w:charset w:val="00"/>
    <w:family w:val="swiss"/>
    <w:pitch w:val="default"/>
    <w:sig w:usb0="00000000" w:usb1="00000000" w:usb2="00000000" w:usb3="00000000" w:csb0="0000009F" w:csb1="00000000"/>
  </w:font>
  <w:font w:name="Futura Hv">
    <w:altName w:val="Times New Roman"/>
    <w:panose1 w:val="00000000000000000000"/>
    <w:charset w:val="00"/>
    <w:family w:val="swiss"/>
    <w:pitch w:val="default"/>
    <w:sig w:usb0="00000000" w:usb1="00000000" w:usb2="00000000" w:usb3="00000000" w:csb0="0000009F" w:csb1="00000000"/>
  </w:font>
  <w:font w:name="FZDaHei-B02S">
    <w:altName w:val="宋体"/>
    <w:panose1 w:val="00000000000000000000"/>
    <w:charset w:val="86"/>
    <w:family w:val="swiss"/>
    <w:pitch w:val="default"/>
    <w:sig w:usb0="00000000" w:usb1="00000000" w:usb2="00000010" w:usb3="00000000" w:csb0="00040000" w:csb1="00000000"/>
  </w:font>
  <w:font w:name="Museo Sans For Dell">
    <w:altName w:val="Segoe Print"/>
    <w:panose1 w:val="00000000000000000000"/>
    <w:charset w:val="00"/>
    <w:family w:val="auto"/>
    <w:pitch w:val="default"/>
    <w:sig w:usb0="00000000" w:usb1="00000000" w:usb2="00000000" w:usb3="00000000" w:csb0="00000093" w:csb1="00000000"/>
  </w:font>
  <w:font w:name="@华文细黑">
    <w:altName w:val="黑体"/>
    <w:panose1 w:val="00000000000000000000"/>
    <w:charset w:val="86"/>
    <w:family w:val="auto"/>
    <w:pitch w:val="default"/>
    <w:sig w:usb0="00000000" w:usb1="00000000" w:usb2="00000010" w:usb3="00000000" w:csb0="0004009F" w:csb1="00000000"/>
  </w:font>
  <w:font w:name="DejaVu Serif">
    <w:altName w:val="MS Mincho"/>
    <w:panose1 w:val="00000000000000000000"/>
    <w:charset w:val="80"/>
    <w:family w:val="roman"/>
    <w:pitch w:val="default"/>
    <w:sig w:usb0="00000000" w:usb1="00000000" w:usb2="00000000" w:usb3="00000000" w:csb0="00000000" w:csb1="00000000"/>
  </w:font>
  <w:font w:name="文泉驿正黑">
    <w:altName w:val="黑体"/>
    <w:panose1 w:val="00000000000000000000"/>
    <w:charset w:val="80"/>
    <w:family w:val="auto"/>
    <w:pitch w:val="default"/>
    <w:sig w:usb0="00000000" w:usb1="00000000" w:usb2="00000000" w:usb3="00000000" w:csb0="00000000" w:csb1="00000000"/>
  </w:font>
  <w:font w:name="昆仑楷体">
    <w:altName w:val="宋体"/>
    <w:panose1 w:val="00000000000000000000"/>
    <w:charset w:val="86"/>
    <w:family w:val="modern"/>
    <w:pitch w:val="default"/>
    <w:sig w:usb0="00000000" w:usb1="00000000" w:usb2="00000010" w:usb3="00000000" w:csb0="00040000" w:csb1="00000000"/>
  </w:font>
  <w:font w:name="Futura Lt">
    <w:altName w:val="Times New Roman"/>
    <w:panose1 w:val="00000000000000000000"/>
    <w:charset w:val="00"/>
    <w:family w:val="swiss"/>
    <w:pitch w:val="default"/>
    <w:sig w:usb0="00000000" w:usb1="00000000" w:usb2="00000000" w:usb3="00000000" w:csb0="0000009F" w:csb1="00000000"/>
  </w:font>
  <w:font w:name="Futura-Book">
    <w:altName w:val="Segoe Print"/>
    <w:panose1 w:val="00000000000000000000"/>
    <w:charset w:val="00"/>
    <w:family w:val="swiss"/>
    <w:pitch w:val="default"/>
    <w:sig w:usb0="00000000" w:usb1="00000000" w:usb2="00000000" w:usb3="00000000" w:csb0="00000001" w:csb1="00000000"/>
  </w:font>
  <w:font w:name="Futura-Heavy">
    <w:altName w:val="Segoe Print"/>
    <w:panose1 w:val="00000000000000000000"/>
    <w:charset w:val="00"/>
    <w:family w:val="swiss"/>
    <w:pitch w:val="default"/>
    <w:sig w:usb0="00000000" w:usb1="00000000" w:usb2="00000000" w:usb3="00000000" w:csb0="00000001" w:csb1="00000000"/>
  </w:font>
  <w:font w:name="永中宋体">
    <w:altName w:val="宋体"/>
    <w:panose1 w:val="00000000000000000000"/>
    <w:charset w:val="86"/>
    <w:family w:val="auto"/>
    <w:pitch w:val="default"/>
    <w:sig w:usb0="00000000" w:usb1="00000000" w:usb2="00000010" w:usb3="00000000" w:csb0="00040001" w:csb1="00000000"/>
  </w:font>
  <w:font w:name="ITCCenturyBookT">
    <w:altName w:val="Segoe Print"/>
    <w:panose1 w:val="00000000000000000000"/>
    <w:charset w:val="00"/>
    <w:family w:val="auto"/>
    <w:pitch w:val="default"/>
    <w:sig w:usb0="00000000" w:usb1="00000000" w:usb2="00000000" w:usb3="00000000" w:csb0="00000001" w:csb1="00000000"/>
  </w:font>
  <w:font w:name="ITCCenturyLightT">
    <w:altName w:val="Segoe Print"/>
    <w:panose1 w:val="00000000000000000000"/>
    <w:charset w:val="00"/>
    <w:family w:val="auto"/>
    <w:pitch w:val="default"/>
    <w:sig w:usb0="00000000" w:usb1="00000000" w:usb2="00000000" w:usb3="00000000" w:csb0="00000001" w:csb1="00000000"/>
  </w:font>
  <w:font w:name="Univers Condensed">
    <w:altName w:val="Segoe Print"/>
    <w:panose1 w:val="00000000000000000000"/>
    <w:charset w:val="00"/>
    <w:family w:val="swiss"/>
    <w:pitch w:val="default"/>
    <w:sig w:usb0="00000000" w:usb1="00000000" w:usb2="00000000" w:usb3="00000000" w:csb0="0000000F" w:csb1="00000000"/>
  </w:font>
  <w:font w:name="Futura">
    <w:altName w:val="宋体"/>
    <w:panose1 w:val="00000000000000000000"/>
    <w:charset w:val="86"/>
    <w:family w:val="auto"/>
    <w:pitch w:val="default"/>
    <w:sig w:usb0="00000000" w:usb1="00000000" w:usb2="00000010" w:usb3="00000000" w:csb0="00040000" w:csb1="00000000"/>
  </w:font>
  <w:font w:name="Tahoma-Bold">
    <w:altName w:val="Segoe Print"/>
    <w:panose1 w:val="00000000000000000000"/>
    <w:charset w:val="00"/>
    <w:family w:val="swiss"/>
    <w:pitch w:val="default"/>
    <w:sig w:usb0="00000000" w:usb1="00000000" w:usb2="00000000" w:usb3="00000000" w:csb0="00000001" w:csb1="00000000"/>
  </w:font>
  <w:font w:name="Futura Lt BT">
    <w:altName w:val="Segoe Print"/>
    <w:panose1 w:val="00000000000000000000"/>
    <w:charset w:val="00"/>
    <w:family w:val="swiss"/>
    <w:pitch w:val="default"/>
    <w:sig w:usb0="00000000" w:usb1="00000000" w:usb2="00000000" w:usb3="00000000" w:csb0="00000011" w:csb1="00000000"/>
  </w:font>
  <w:font w:name="CG Times">
    <w:altName w:val="Segoe Print"/>
    <w:panose1 w:val="00000000000000000000"/>
    <w:charset w:val="00"/>
    <w:family w:val="roman"/>
    <w:pitch w:val="default"/>
    <w:sig w:usb0="00000000" w:usb1="00000000" w:usb2="00000000" w:usb3="00000000" w:csb0="00000001" w:csb1="00000000"/>
  </w:font>
  <w:font w:name="宋体-方正超大字符集">
    <w:altName w:val="宋体"/>
    <w:panose1 w:val="00000000000000000000"/>
    <w:charset w:val="86"/>
    <w:family w:val="script"/>
    <w:pitch w:val="default"/>
    <w:sig w:usb0="00000000" w:usb1="00000000" w:usb2="00000010" w:usb3="00000000" w:csb0="00040000" w:csb1="00000000"/>
  </w:font>
  <w:font w:name="'宋体">
    <w:altName w:val="宋体"/>
    <w:panose1 w:val="00000000000000000000"/>
    <w:charset w:val="86"/>
    <w:family w:val="swiss"/>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华文中宋">
    <w:altName w:val="宋体"/>
    <w:panose1 w:val="00000000000000000000"/>
    <w:charset w:val="00"/>
    <w:family w:val="auto"/>
    <w:pitch w:val="default"/>
    <w:sig w:usb0="00000000" w:usb1="00000000" w:usb2="00000000" w:usb3="00000000" w:csb0="00000000" w:csb1="00000000"/>
  </w:font>
  <w:font w:name="Noto Music">
    <w:altName w:val="Segoe Print"/>
    <w:panose1 w:val="020B0502040504020204"/>
    <w:charset w:val="00"/>
    <w:family w:val="auto"/>
    <w:pitch w:val="default"/>
    <w:sig w:usb0="00000000" w:usb1="00000000" w:usb2="01000000" w:usb3="00000000" w:csb0="00000001" w:csb1="00000000"/>
  </w:font>
  <w:font w:name="方正舒体">
    <w:altName w:val="宋体"/>
    <w:panose1 w:val="02010601030101010101"/>
    <w:charset w:val="86"/>
    <w:family w:val="auto"/>
    <w:pitch w:val="default"/>
    <w:sig w:usb0="00000000" w:usb1="00000000" w:usb2="00000000" w:usb3="00000000" w:csb0="00040000" w:csb1="00000000"/>
  </w:font>
  <w:font w:name="KSOFBE25B2F9">
    <w:altName w:val="宋体"/>
    <w:panose1 w:val="02000000000000000000"/>
    <w:charset w:val="86"/>
    <w:family w:val="auto"/>
    <w:pitch w:val="default"/>
    <w:sig w:usb0="00000000" w:usb1="00000000" w:usb2="00000000" w:usb3="00000000" w:csb0="00040001" w:csb1="00000000"/>
  </w:font>
  <w:font w:name="NanumGothic">
    <w:altName w:val="Malgun Gothic"/>
    <w:panose1 w:val="020D0604000000000000"/>
    <w:charset w:val="81"/>
    <w:family w:val="auto"/>
    <w:pitch w:val="default"/>
    <w:sig w:usb0="00000000" w:usb1="00000000" w:usb2="00000010" w:usb3="00000000" w:csb0="00080001" w:csb1="00000000"/>
  </w:font>
  <w:font w:name="Noto Sans">
    <w:altName w:val="Segoe Print"/>
    <w:panose1 w:val="020B0502040504020204"/>
    <w:charset w:val="00"/>
    <w:family w:val="auto"/>
    <w:pitch w:val="default"/>
    <w:sig w:usb0="00000000" w:usb1="00000000" w:usb2="08000029" w:usb3="00100000" w:csb0="0000019F" w:csb1="00000000"/>
  </w:font>
  <w:font w:name="思源宋体">
    <w:altName w:val="宋体"/>
    <w:panose1 w:val="02020500000000000000"/>
    <w:charset w:val="86"/>
    <w:family w:val="auto"/>
    <w:pitch w:val="default"/>
    <w:sig w:usb0="00000000" w:usb1="00000000" w:usb2="00000016" w:usb3="00000000" w:csb0="602E0107" w:csb1="00000000"/>
  </w:font>
  <w:font w:name="ksdb">
    <w:altName w:val="Vrinda"/>
    <w:panose1 w:val="02000500000000000000"/>
    <w:charset w:val="00"/>
    <w:family w:val="auto"/>
    <w:pitch w:val="default"/>
    <w:sig w:usb0="00000000" w:usb1="00000000" w:usb2="00000000" w:usb3="00000000" w:csb0="00000001" w:csb1="00000000"/>
  </w:font>
  <w:font w:name="汉仪君黑-35简">
    <w:altName w:val="黑体"/>
    <w:panose1 w:val="020B0604020202020204"/>
    <w:charset w:val="86"/>
    <w:family w:val="auto"/>
    <w:pitch w:val="default"/>
    <w:sig w:usb0="00000000" w:usb1="00000000" w:usb2="00000016" w:usb3="00000000" w:csb0="2004000F" w:csb1="00000000"/>
  </w:font>
  <w:font w:name="Adobe 宋体 Std L">
    <w:altName w:val="宋体"/>
    <w:panose1 w:val="00000000000000000000"/>
    <w:charset w:val="00"/>
    <w:family w:val="roman"/>
    <w:pitch w:val="default"/>
    <w:sig w:usb0="00000000" w:usb1="00000000" w:usb2="00000016" w:usb3="00000000" w:csb0="00060007" w:csb1="00000000"/>
  </w:font>
  <w:font w:name="楷体_GB2312">
    <w:altName w:val="楷体"/>
    <w:panose1 w:val="00000000000000000000"/>
    <w:charset w:val="00"/>
    <w:family w:val="auto"/>
    <w:pitch w:val="default"/>
    <w:sig w:usb0="00000000" w:usb1="00000000" w:usb2="00000000" w:usb3="00000000" w:csb0="00000000" w:csb1="00000000"/>
  </w:font>
  <w:font w:name="Vrinda">
    <w:panose1 w:val="020B0502040204020203"/>
    <w:charset w:val="00"/>
    <w:family w:val="auto"/>
    <w:pitch w:val="default"/>
    <w:sig w:usb0="00010003" w:usb1="00000000" w:usb2="00000000" w:usb3="00000000" w:csb0="00000001" w:csb1="00000000"/>
  </w:font>
  <w:font w:name="方正仿宋_GB2312">
    <w:altName w:val="仿宋"/>
    <w:panose1 w:val="02000000000000000000"/>
    <w:charset w:val="00"/>
    <w:family w:val="auto"/>
    <w:pitch w:val="default"/>
    <w:sig w:usb0="00000000" w:usb1="00000000" w:usb2="00000012" w:usb3="00000000" w:csb0="00040001" w:csb1="00000000"/>
  </w:font>
  <w:font w:name="Noto Sans Buginese">
    <w:altName w:val="Segoe Print"/>
    <w:panose1 w:val="020B0502040504020204"/>
    <w:charset w:val="00"/>
    <w:family w:val="auto"/>
    <w:pitch w:val="default"/>
    <w:sig w:usb0="00000000" w:usb1="00000000" w:usb2="00000000" w:usb3="00000001" w:csb0="00000001" w:csb1="00000000"/>
  </w:font>
  <w:font w:name="Wingdings 2">
    <w:altName w:val="Wingdings"/>
    <w:panose1 w:val="00000000000000000000"/>
    <w:charset w:val="00"/>
    <w:family w:val="auto"/>
    <w:pitch w:val="default"/>
    <w:sig w:usb0="00000000" w:usb1="00000000" w:usb2="00000000" w:usb3="00000000" w:csb0="00000000" w:csb1="00000000"/>
  </w:font>
  <w:font w:name="WPSEMBED17">
    <w:altName w:val="宋体"/>
    <w:panose1 w:val="02010600040101010101"/>
    <w:charset w:val="86"/>
    <w:family w:val="auto"/>
    <w:pitch w:val="default"/>
    <w:sig w:usb0="00000000" w:usb1="00000000" w:usb2="00000000" w:usb3="00000000" w:csb0="0004009F" w:csb1="DFD70000"/>
  </w:font>
  <w:font w:name="WPSEMBED18">
    <w:altName w:val="Segoe Print"/>
    <w:panose1 w:val="05020102010507070707"/>
    <w:charset w:val="00"/>
    <w:family w:val="auto"/>
    <w:pitch w:val="default"/>
    <w:sig w:usb0="00000000" w:usb1="00000000" w:usb2="00000000" w:usb3="00000000" w:csb0="80000000" w:csb1="00000000"/>
  </w:font>
  <w:font w:name="WPSEMBED19">
    <w:altName w:val="宋体"/>
    <w:panose1 w:val="02010609030101010101"/>
    <w:charset w:val="86"/>
    <w:family w:val="auto"/>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jc w:val="center"/>
      <w:rPr>
        <w:rFonts w:ascii="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jc w:val="center"/>
      <w:rPr>
        <w:rFonts w:ascii="Times New Roma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5</w:t>
                          </w:r>
                          <w:r>
                            <w:rPr>
                              <w:rFonts w:ascii="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6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5</w:t>
                    </w:r>
                    <w:r>
                      <w:rPr>
                        <w:rFonts w:ascii="Times New Roma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
                            <w:jc w:val="center"/>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60"/>
                      <w:jc w:val="center"/>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Bdr>
        <w:bottom w:val="single" w:color="auto" w:sz="4" w:space="1"/>
      </w:pBd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0" type="#_x0000_t75" style="width:80px;height:80px" o:bullet="t">
        <v:imagedata r:id="rId1" o:title=""/>
      </v:shape>
    </w:pict>
  </w:numPicBullet>
  <w:abstractNum w:abstractNumId="0">
    <w:nsid w:val="FFFFFF7D"/>
    <w:multiLevelType w:val="singleLevel"/>
    <w:tmpl w:val="FFFFFF7D"/>
    <w:lvl w:ilvl="0" w:tentative="0">
      <w:start w:val="1"/>
      <w:numFmt w:val="decimal"/>
      <w:pStyle w:val="52"/>
      <w:lvlText w:val="%1."/>
      <w:lvlJc w:val="left"/>
      <w:pPr>
        <w:tabs>
          <w:tab w:val="left" w:pos="-81"/>
        </w:tabs>
        <w:ind w:left="-81" w:hanging="360"/>
      </w:pPr>
    </w:lvl>
  </w:abstractNum>
  <w:abstractNum w:abstractNumId="1">
    <w:nsid w:val="FFFFFF7F"/>
    <w:multiLevelType w:val="singleLevel"/>
    <w:tmpl w:val="FFFFFF7F"/>
    <w:lvl w:ilvl="0" w:tentative="0">
      <w:start w:val="1"/>
      <w:numFmt w:val="decimal"/>
      <w:pStyle w:val="21"/>
      <w:lvlText w:val="%1."/>
      <w:lvlJc w:val="left"/>
      <w:pPr>
        <w:tabs>
          <w:tab w:val="left" w:pos="780"/>
        </w:tabs>
        <w:ind w:left="780" w:hanging="360"/>
      </w:pPr>
    </w:lvl>
  </w:abstractNum>
  <w:abstractNum w:abstractNumId="2">
    <w:nsid w:val="FFFFFF80"/>
    <w:multiLevelType w:val="singleLevel"/>
    <w:tmpl w:val="FFFFFF80"/>
    <w:lvl w:ilvl="0" w:tentative="0">
      <w:start w:val="1"/>
      <w:numFmt w:val="bullet"/>
      <w:pStyle w:val="51"/>
      <w:lvlText w:val=""/>
      <w:lvlJc w:val="left"/>
      <w:pPr>
        <w:tabs>
          <w:tab w:val="left" w:pos="2040"/>
        </w:tabs>
        <w:ind w:left="2040" w:hanging="360"/>
      </w:pPr>
      <w:rPr>
        <w:rFonts w:hint="default" w:ascii="Wingdings" w:hAnsi="Wingdings"/>
      </w:rPr>
    </w:lvl>
  </w:abstractNum>
  <w:abstractNum w:abstractNumId="3">
    <w:nsid w:val="FFFFFF81"/>
    <w:multiLevelType w:val="singleLevel"/>
    <w:tmpl w:val="FFFFFF81"/>
    <w:lvl w:ilvl="0" w:tentative="0">
      <w:start w:val="1"/>
      <w:numFmt w:val="bullet"/>
      <w:pStyle w:val="25"/>
      <w:lvlText w:val=""/>
      <w:lvlJc w:val="left"/>
      <w:pPr>
        <w:tabs>
          <w:tab w:val="left" w:pos="1620"/>
        </w:tabs>
        <w:ind w:left="1620" w:hanging="360"/>
      </w:pPr>
      <w:rPr>
        <w:rFonts w:hint="default" w:ascii="Wingdings" w:hAnsi="Wingdings"/>
      </w:rPr>
    </w:lvl>
  </w:abstractNum>
  <w:abstractNum w:abstractNumId="4">
    <w:nsid w:val="FFFFFF88"/>
    <w:multiLevelType w:val="singleLevel"/>
    <w:tmpl w:val="FFFFFF88"/>
    <w:lvl w:ilvl="0" w:tentative="0">
      <w:start w:val="1"/>
      <w:numFmt w:val="decimal"/>
      <w:pStyle w:val="28"/>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53"/>
      <w:lvlText w:val=""/>
      <w:lvlJc w:val="left"/>
      <w:pPr>
        <w:tabs>
          <w:tab w:val="left" w:pos="360"/>
        </w:tabs>
        <w:ind w:left="360" w:hanging="360"/>
      </w:pPr>
      <w:rPr>
        <w:rFonts w:hint="default" w:ascii="Wingdings" w:hAnsi="Wingdings"/>
      </w:rPr>
    </w:lvl>
  </w:abstractNum>
  <w:abstractNum w:abstractNumId="6">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7">
    <w:nsid w:val="0000001D"/>
    <w:multiLevelType w:val="multilevel"/>
    <w:tmpl w:val="0000001D"/>
    <w:lvl w:ilvl="0" w:tentative="0">
      <w:start w:val="1"/>
      <w:numFmt w:val="decimal"/>
      <w:suff w:val="space"/>
      <w:lvlText w:val="%1"/>
      <w:lvlJc w:val="left"/>
      <w:pPr>
        <w:ind w:left="425" w:hanging="425"/>
      </w:pPr>
      <w:rPr>
        <w:b w:val="0"/>
        <w:bCs w:val="0"/>
        <w:i w:val="0"/>
        <w:iCs w:val="0"/>
        <w:caps w:val="0"/>
        <w:smallCaps w:val="0"/>
        <w:strike w:val="0"/>
        <w:dstrike w:val="0"/>
        <w:vanish w:val="0"/>
        <w:color w:val="000000"/>
        <w:spacing w:val="0"/>
        <w:position w:val="0"/>
        <w:u w:val="none"/>
        <w:vertAlign w:val="baseline"/>
      </w:rPr>
    </w:lvl>
    <w:lvl w:ilvl="1" w:tentative="0">
      <w:start w:val="1"/>
      <w:numFmt w:val="decimal"/>
      <w:pStyle w:val="1291"/>
      <w:suff w:val="space"/>
      <w:lvlText w:val="%1.%2"/>
      <w:lvlJc w:val="left"/>
      <w:pPr>
        <w:ind w:left="425" w:hanging="425"/>
      </w:pPr>
      <w:rPr>
        <w:rFonts w:hint="default" w:ascii="Times New Roman" w:hAnsi="Times New Roman"/>
        <w:b/>
        <w:i w:val="0"/>
      </w:rPr>
    </w:lvl>
    <w:lvl w:ilvl="2" w:tentative="0">
      <w:start w:val="1"/>
      <w:numFmt w:val="decimal"/>
      <w:pStyle w:val="1179"/>
      <w:suff w:val="space"/>
      <w:lvlText w:val="%1.%2.%3"/>
      <w:lvlJc w:val="left"/>
      <w:pPr>
        <w:ind w:left="425" w:hanging="425"/>
      </w:pPr>
      <w:rPr>
        <w:rFonts w:hint="default" w:ascii="Times New Roman" w:hAnsi="Times New Roman"/>
        <w:b/>
        <w:i w:val="0"/>
      </w:rPr>
    </w:lvl>
    <w:lvl w:ilvl="3" w:tentative="0">
      <w:start w:val="1"/>
      <w:numFmt w:val="decimal"/>
      <w:suff w:val="space"/>
      <w:lvlText w:val="%1.%2.%3.%4"/>
      <w:lvlJc w:val="left"/>
      <w:pPr>
        <w:ind w:left="425" w:hanging="425"/>
      </w:pPr>
      <w:rPr>
        <w:b w:val="0"/>
        <w:bCs w:val="0"/>
        <w:i w:val="0"/>
        <w:iCs w:val="0"/>
        <w:caps w:val="0"/>
        <w:smallCaps w:val="0"/>
        <w:strike w:val="0"/>
        <w:dstrike w:val="0"/>
        <w:vanish w:val="0"/>
        <w:color w:val="000000"/>
        <w:spacing w:val="0"/>
        <w:position w:val="0"/>
        <w:u w:val="none"/>
        <w:vertAlign w:val="baseline"/>
      </w:rPr>
    </w:lvl>
    <w:lvl w:ilvl="4" w:tentative="0">
      <w:start w:val="1"/>
      <w:numFmt w:val="decimal"/>
      <w:suff w:val="space"/>
      <w:lvlText w:val="%1.%2.%3.%4.%5"/>
      <w:lvlJc w:val="left"/>
      <w:pPr>
        <w:ind w:left="425" w:hanging="425"/>
      </w:pPr>
      <w:rPr>
        <w:rFonts w:hint="default" w:ascii="Times New Roman" w:hAnsi="Times New Roman"/>
        <w:b/>
        <w:i w:val="0"/>
      </w:rPr>
    </w:lvl>
    <w:lvl w:ilvl="5" w:tentative="0">
      <w:start w:val="1"/>
      <w:numFmt w:val="decimal"/>
      <w:lvlText w:val="%1.%2.%3.%4.%5.%6"/>
      <w:lvlJc w:val="left"/>
      <w:pPr>
        <w:tabs>
          <w:tab w:val="left" w:pos="-3990"/>
        </w:tabs>
        <w:ind w:left="425" w:hanging="425"/>
      </w:pPr>
      <w:rPr>
        <w:rFonts w:hint="eastAsia"/>
      </w:rPr>
    </w:lvl>
    <w:lvl w:ilvl="6" w:tentative="0">
      <w:start w:val="1"/>
      <w:numFmt w:val="decimal"/>
      <w:lvlText w:val="%1.%2.%3.%4.%5.%6.%7"/>
      <w:lvlJc w:val="left"/>
      <w:pPr>
        <w:tabs>
          <w:tab w:val="left" w:pos="-3990"/>
        </w:tabs>
        <w:ind w:left="425" w:hanging="425"/>
      </w:pPr>
      <w:rPr>
        <w:rFonts w:hint="eastAsia"/>
      </w:rPr>
    </w:lvl>
    <w:lvl w:ilvl="7" w:tentative="0">
      <w:start w:val="1"/>
      <w:numFmt w:val="decimal"/>
      <w:lvlText w:val="%1.%2.%3.%4.%5.%6.%7.%8"/>
      <w:lvlJc w:val="left"/>
      <w:pPr>
        <w:tabs>
          <w:tab w:val="left" w:pos="-3990"/>
        </w:tabs>
        <w:ind w:left="425" w:hanging="425"/>
      </w:pPr>
      <w:rPr>
        <w:rFonts w:hint="eastAsia"/>
      </w:rPr>
    </w:lvl>
    <w:lvl w:ilvl="8" w:tentative="0">
      <w:start w:val="1"/>
      <w:numFmt w:val="decimal"/>
      <w:lvlText w:val="%1.%2.%3.%4.%5.%6.%7.%8.%9"/>
      <w:lvlJc w:val="left"/>
      <w:pPr>
        <w:tabs>
          <w:tab w:val="left" w:pos="-3990"/>
        </w:tabs>
        <w:ind w:left="425" w:hanging="425"/>
      </w:pPr>
      <w:rPr>
        <w:rFonts w:hint="eastAsia"/>
      </w:rPr>
    </w:lvl>
  </w:abstractNum>
  <w:abstractNum w:abstractNumId="8">
    <w:nsid w:val="0000001E"/>
    <w:multiLevelType w:val="multilevel"/>
    <w:tmpl w:val="0000001E"/>
    <w:lvl w:ilvl="0" w:tentative="0">
      <w:start w:val="1"/>
      <w:numFmt w:val="taiwaneseCountingThousand"/>
      <w:pStyle w:val="1272"/>
      <w:lvlText w:val="（%1）"/>
      <w:lvlJc w:val="left"/>
      <w:pPr>
        <w:tabs>
          <w:tab w:val="left" w:pos="1560"/>
        </w:tabs>
        <w:ind w:left="-80" w:firstLine="560"/>
      </w:pPr>
      <w:rPr>
        <w:rFonts w:hint="default"/>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21"/>
    <w:multiLevelType w:val="multilevel"/>
    <w:tmpl w:val="00000021"/>
    <w:lvl w:ilvl="0" w:tentative="0">
      <w:start w:val="1"/>
      <w:numFmt w:val="decimal"/>
      <w:lvlText w:val="第%1章."/>
      <w:lvlJc w:val="left"/>
      <w:pPr>
        <w:ind w:left="420" w:hanging="420"/>
      </w:pPr>
      <w:rPr>
        <w:rFonts w:hint="eastAsia"/>
        <w:b/>
        <w:i w:val="0"/>
      </w:rPr>
    </w:lvl>
    <w:lvl w:ilvl="1" w:tentative="0">
      <w:start w:val="1"/>
      <w:numFmt w:val="decimal"/>
      <w:pStyle w:val="1207"/>
      <w:suff w:val="space"/>
      <w:lvlText w:val="%1.%2"/>
      <w:lvlJc w:val="left"/>
      <w:pPr>
        <w:ind w:left="425" w:hanging="425"/>
      </w:pPr>
      <w:rPr>
        <w:rFonts w:hint="default" w:ascii="Times New Roman" w:hAnsi="Times New Roman"/>
        <w:b/>
        <w:i w:val="0"/>
      </w:rPr>
    </w:lvl>
    <w:lvl w:ilvl="2" w:tentative="0">
      <w:start w:val="1"/>
      <w:numFmt w:val="decimal"/>
      <w:suff w:val="space"/>
      <w:lvlText w:val="%1.%2.%3"/>
      <w:lvlJc w:val="left"/>
      <w:pPr>
        <w:ind w:left="425" w:hanging="425"/>
      </w:pPr>
      <w:rPr>
        <w:rFonts w:hint="default" w:ascii="Times New Roman" w:hAnsi="Times New Roman"/>
        <w:b/>
        <w:i w:val="0"/>
      </w:rPr>
    </w:lvl>
    <w:lvl w:ilvl="3" w:tentative="0">
      <w:start w:val="1"/>
      <w:numFmt w:val="decimal"/>
      <w:suff w:val="space"/>
      <w:lvlText w:val="%1.%2.%3.%4"/>
      <w:lvlJc w:val="left"/>
      <w:pPr>
        <w:ind w:left="425" w:hanging="425"/>
      </w:pPr>
      <w:rPr>
        <w:rFonts w:hint="default" w:ascii="Times New Roman" w:hAnsi="Times New Roman"/>
        <w:b/>
        <w:i w:val="0"/>
      </w:rPr>
    </w:lvl>
    <w:lvl w:ilvl="4" w:tentative="0">
      <w:start w:val="1"/>
      <w:numFmt w:val="decimal"/>
      <w:suff w:val="space"/>
      <w:lvlText w:val="%1.%2.%3.%4.%5"/>
      <w:lvlJc w:val="left"/>
      <w:pPr>
        <w:ind w:left="425" w:hanging="425"/>
      </w:pPr>
      <w:rPr>
        <w:rFonts w:hint="default" w:ascii="Times New Roman" w:hAnsi="Times New Roman"/>
        <w:b/>
        <w:i w:val="0"/>
      </w:rPr>
    </w:lvl>
    <w:lvl w:ilvl="5" w:tentative="0">
      <w:start w:val="1"/>
      <w:numFmt w:val="decimal"/>
      <w:lvlText w:val="%1.%2.%3.%4.%5.%6"/>
      <w:lvlJc w:val="left"/>
      <w:pPr>
        <w:tabs>
          <w:tab w:val="left" w:pos="-3990"/>
        </w:tabs>
        <w:ind w:left="425" w:hanging="425"/>
      </w:pPr>
      <w:rPr>
        <w:rFonts w:hint="eastAsia"/>
      </w:rPr>
    </w:lvl>
    <w:lvl w:ilvl="6" w:tentative="0">
      <w:start w:val="1"/>
      <w:numFmt w:val="decimal"/>
      <w:lvlText w:val="%1.%2.%3.%4.%5.%6.%7"/>
      <w:lvlJc w:val="left"/>
      <w:pPr>
        <w:tabs>
          <w:tab w:val="left" w:pos="-3990"/>
        </w:tabs>
        <w:ind w:left="425" w:hanging="425"/>
      </w:pPr>
      <w:rPr>
        <w:rFonts w:hint="eastAsia"/>
      </w:rPr>
    </w:lvl>
    <w:lvl w:ilvl="7" w:tentative="0">
      <w:start w:val="1"/>
      <w:numFmt w:val="decimal"/>
      <w:lvlText w:val="%1.%2.%3.%4.%5.%6.%7.%8"/>
      <w:lvlJc w:val="left"/>
      <w:pPr>
        <w:tabs>
          <w:tab w:val="left" w:pos="-3990"/>
        </w:tabs>
        <w:ind w:left="425" w:hanging="425"/>
      </w:pPr>
      <w:rPr>
        <w:rFonts w:hint="eastAsia"/>
      </w:rPr>
    </w:lvl>
    <w:lvl w:ilvl="8" w:tentative="0">
      <w:start w:val="1"/>
      <w:numFmt w:val="decimal"/>
      <w:lvlText w:val="%1.%2.%3.%4.%5.%6.%7.%8.%9"/>
      <w:lvlJc w:val="left"/>
      <w:pPr>
        <w:tabs>
          <w:tab w:val="left" w:pos="-3990"/>
        </w:tabs>
        <w:ind w:left="425" w:hanging="425"/>
      </w:pPr>
      <w:rPr>
        <w:rFonts w:hint="eastAsia"/>
      </w:rPr>
    </w:lvl>
  </w:abstractNum>
  <w:abstractNum w:abstractNumId="10">
    <w:nsid w:val="00000028"/>
    <w:multiLevelType w:val="multilevel"/>
    <w:tmpl w:val="00000028"/>
    <w:lvl w:ilvl="0" w:tentative="0">
      <w:start w:val="1"/>
      <w:numFmt w:val="none"/>
      <w:pStyle w:val="1066"/>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00000032"/>
    <w:multiLevelType w:val="multilevel"/>
    <w:tmpl w:val="00000032"/>
    <w:lvl w:ilvl="0" w:tentative="0">
      <w:start w:val="1"/>
      <w:numFmt w:val="decimal"/>
      <w:pStyle w:val="119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0000036"/>
    <w:multiLevelType w:val="multilevel"/>
    <w:tmpl w:val="00000036"/>
    <w:lvl w:ilvl="0" w:tentative="0">
      <w:start w:val="1"/>
      <w:numFmt w:val="decimal"/>
      <w:pStyle w:val="1449"/>
      <w:lvlText w:val="%1)"/>
      <w:lvlJc w:val="left"/>
      <w:pPr>
        <w:tabs>
          <w:tab w:val="left" w:pos="620"/>
        </w:tabs>
        <w:ind w:left="620" w:hanging="420"/>
      </w:pPr>
    </w:lvl>
    <w:lvl w:ilvl="1" w:tentative="0">
      <w:start w:val="1"/>
      <w:numFmt w:val="lowerLetter"/>
      <w:lvlText w:val="%2)"/>
      <w:lvlJc w:val="left"/>
      <w:pPr>
        <w:tabs>
          <w:tab w:val="left" w:pos="1040"/>
        </w:tabs>
        <w:ind w:left="1040" w:hanging="420"/>
      </w:pPr>
    </w:lvl>
    <w:lvl w:ilvl="2" w:tentative="0">
      <w:start w:val="1"/>
      <w:numFmt w:val="lowerRoman"/>
      <w:lvlText w:val="%3."/>
      <w:lvlJc w:val="right"/>
      <w:pPr>
        <w:tabs>
          <w:tab w:val="left" w:pos="1460"/>
        </w:tabs>
        <w:ind w:left="1460" w:hanging="420"/>
      </w:pPr>
    </w:lvl>
    <w:lvl w:ilvl="3" w:tentative="0">
      <w:start w:val="1"/>
      <w:numFmt w:val="decimal"/>
      <w:lvlText w:val="%4."/>
      <w:lvlJc w:val="left"/>
      <w:pPr>
        <w:tabs>
          <w:tab w:val="left" w:pos="1880"/>
        </w:tabs>
        <w:ind w:left="1880" w:hanging="420"/>
      </w:pPr>
    </w:lvl>
    <w:lvl w:ilvl="4" w:tentative="0">
      <w:start w:val="1"/>
      <w:numFmt w:val="lowerLetter"/>
      <w:lvlText w:val="%5)"/>
      <w:lvlJc w:val="left"/>
      <w:pPr>
        <w:tabs>
          <w:tab w:val="left" w:pos="2300"/>
        </w:tabs>
        <w:ind w:left="2300" w:hanging="420"/>
      </w:pPr>
    </w:lvl>
    <w:lvl w:ilvl="5" w:tentative="0">
      <w:start w:val="1"/>
      <w:numFmt w:val="lowerRoman"/>
      <w:lvlText w:val="%6."/>
      <w:lvlJc w:val="right"/>
      <w:pPr>
        <w:tabs>
          <w:tab w:val="left" w:pos="2720"/>
        </w:tabs>
        <w:ind w:left="2720" w:hanging="420"/>
      </w:p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14">
    <w:nsid w:val="0000003C"/>
    <w:multiLevelType w:val="multilevel"/>
    <w:tmpl w:val="0000003C"/>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712"/>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945" w:firstLine="0"/>
      </w:pPr>
      <w:rPr>
        <w:rFonts w:hint="eastAsia" w:ascii="黑体" w:hAnsi="Times New Roman" w:eastAsia="黑体"/>
        <w:b w:val="0"/>
        <w:i w:val="0"/>
        <w:sz w:val="21"/>
      </w:rPr>
    </w:lvl>
    <w:lvl w:ilvl="4" w:tentative="0">
      <w:start w:val="1"/>
      <w:numFmt w:val="decimal"/>
      <w:pStyle w:val="1700"/>
      <w:suff w:val="nothing"/>
      <w:lvlText w:val="%1%2.%3.%4.%5　"/>
      <w:lvlJc w:val="left"/>
      <w:pPr>
        <w:ind w:left="0" w:firstLine="0"/>
      </w:pPr>
      <w:rPr>
        <w:rFonts w:hint="eastAsia" w:ascii="黑体" w:hAnsi="Times New Roman" w:eastAsia="黑体"/>
        <w:b w:val="0"/>
        <w:i w:val="0"/>
        <w:sz w:val="21"/>
      </w:rPr>
    </w:lvl>
    <w:lvl w:ilvl="5" w:tentative="0">
      <w:start w:val="1"/>
      <w:numFmt w:val="decimal"/>
      <w:pStyle w:val="1842"/>
      <w:suff w:val="nothing"/>
      <w:lvlText w:val="%1%2.%3.%4.%5.%6　"/>
      <w:lvlJc w:val="left"/>
      <w:pPr>
        <w:ind w:left="0" w:firstLine="0"/>
      </w:pPr>
      <w:rPr>
        <w:rFonts w:hint="eastAsia" w:ascii="黑体" w:hAnsi="Times New Roman" w:eastAsia="黑体"/>
        <w:b w:val="0"/>
        <w:i w:val="0"/>
        <w:sz w:val="21"/>
      </w:rPr>
    </w:lvl>
    <w:lvl w:ilvl="6" w:tentative="0">
      <w:start w:val="1"/>
      <w:numFmt w:val="decimal"/>
      <w:pStyle w:val="133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00000045"/>
    <w:multiLevelType w:val="multilevel"/>
    <w:tmpl w:val="00000045"/>
    <w:lvl w:ilvl="0" w:tentative="0">
      <w:start w:val="1"/>
      <w:numFmt w:val="none"/>
      <w:pStyle w:val="1683"/>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5C"/>
    <w:multiLevelType w:val="multilevel"/>
    <w:tmpl w:val="0000005C"/>
    <w:lvl w:ilvl="0" w:tentative="0">
      <w:start w:val="1"/>
      <w:numFmt w:val="bullet"/>
      <w:pStyle w:val="1740"/>
      <w:lvlText w:val=""/>
      <w:lvlJc w:val="left"/>
      <w:pPr>
        <w:tabs>
          <w:tab w:val="left" w:pos="1070"/>
        </w:tabs>
        <w:ind w:left="1070" w:hanging="510"/>
      </w:pPr>
      <w:rPr>
        <w:rFonts w:hint="default" w:ascii="Symbol" w:hAnsi="Symbol"/>
        <w:sz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5D"/>
    <w:multiLevelType w:val="multilevel"/>
    <w:tmpl w:val="0000005D"/>
    <w:lvl w:ilvl="0" w:tentative="0">
      <w:start w:val="1"/>
      <w:numFmt w:val="decimal"/>
      <w:pStyle w:val="1590"/>
      <w:lvlText w:val="%1"/>
      <w:lvlJc w:val="left"/>
      <w:pPr>
        <w:tabs>
          <w:tab w:val="left" w:pos="360"/>
        </w:tabs>
        <w:ind w:left="-426" w:firstLine="426"/>
      </w:pPr>
      <w:rPr>
        <w:rFonts w:hint="eastAsia"/>
      </w:rPr>
    </w:lvl>
    <w:lvl w:ilvl="1" w:tentative="0">
      <w:start w:val="1"/>
      <w:numFmt w:val="decimal"/>
      <w:pStyle w:val="1682"/>
      <w:lvlText w:val="%1.%2"/>
      <w:lvlJc w:val="left"/>
      <w:pPr>
        <w:tabs>
          <w:tab w:val="left" w:pos="720"/>
        </w:tabs>
        <w:ind w:left="141" w:hanging="141"/>
      </w:pPr>
      <w:rPr>
        <w:rFonts w:hint="eastAsia"/>
      </w:rPr>
    </w:lvl>
    <w:lvl w:ilvl="2" w:tentative="0">
      <w:start w:val="1"/>
      <w:numFmt w:val="decimal"/>
      <w:pStyle w:val="1455"/>
      <w:lvlText w:val="%1.%2.%3"/>
      <w:lvlJc w:val="left"/>
      <w:pPr>
        <w:tabs>
          <w:tab w:val="left" w:pos="1080"/>
        </w:tabs>
        <w:ind w:left="567" w:hanging="567"/>
      </w:pPr>
      <w:rPr>
        <w:rFonts w:hint="eastAsia"/>
      </w:rPr>
    </w:lvl>
    <w:lvl w:ilvl="3" w:tentative="0">
      <w:start w:val="1"/>
      <w:numFmt w:val="decimal"/>
      <w:pStyle w:val="1149"/>
      <w:lvlText w:val="%1.%2.%3.%4"/>
      <w:lvlJc w:val="left"/>
      <w:pPr>
        <w:tabs>
          <w:tab w:val="left" w:pos="1865"/>
        </w:tabs>
        <w:ind w:left="1133" w:hanging="708"/>
      </w:pPr>
      <w:rPr>
        <w:rFonts w:hint="eastAsia"/>
      </w:rPr>
    </w:lvl>
    <w:lvl w:ilvl="4" w:tentative="0">
      <w:start w:val="1"/>
      <w:numFmt w:val="decimal"/>
      <w:pStyle w:val="1143"/>
      <w:lvlText w:val="%1.%2.%3.%4.%5"/>
      <w:lvlJc w:val="left"/>
      <w:pPr>
        <w:tabs>
          <w:tab w:val="left" w:pos="1700"/>
        </w:tabs>
        <w:ind w:left="1700" w:hanging="850"/>
      </w:pPr>
      <w:rPr>
        <w:rFonts w:hint="eastAsia"/>
      </w:rPr>
    </w:lvl>
    <w:lvl w:ilvl="5" w:tentative="0">
      <w:start w:val="1"/>
      <w:numFmt w:val="decimal"/>
      <w:lvlText w:val="%1.%2.%3.%4.%5.%6"/>
      <w:lvlJc w:val="left"/>
      <w:pPr>
        <w:tabs>
          <w:tab w:val="left" w:pos="2409"/>
        </w:tabs>
        <w:ind w:left="2409" w:hanging="1134"/>
      </w:pPr>
      <w:rPr>
        <w:rFonts w:hint="eastAsia"/>
      </w:rPr>
    </w:lvl>
    <w:lvl w:ilvl="6" w:tentative="0">
      <w:start w:val="1"/>
      <w:numFmt w:val="decimal"/>
      <w:lvlText w:val="%1.%2.%3.%4.%5.%6.%7"/>
      <w:lvlJc w:val="left"/>
      <w:pPr>
        <w:tabs>
          <w:tab w:val="left" w:pos="2976"/>
        </w:tabs>
        <w:ind w:left="2976" w:hanging="1276"/>
      </w:pPr>
      <w:rPr>
        <w:rFonts w:hint="eastAsia"/>
      </w:rPr>
    </w:lvl>
    <w:lvl w:ilvl="7" w:tentative="0">
      <w:start w:val="1"/>
      <w:numFmt w:val="decimal"/>
      <w:lvlText w:val="%1.%2.%3.%4.%5.%6.%7.%8"/>
      <w:lvlJc w:val="left"/>
      <w:pPr>
        <w:tabs>
          <w:tab w:val="left" w:pos="3543"/>
        </w:tabs>
        <w:ind w:left="3543" w:hanging="1418"/>
      </w:pPr>
      <w:rPr>
        <w:rFonts w:hint="eastAsia"/>
      </w:rPr>
    </w:lvl>
    <w:lvl w:ilvl="8" w:tentative="0">
      <w:start w:val="1"/>
      <w:numFmt w:val="decimal"/>
      <w:lvlText w:val="%1.%2.%3.%4.%5.%6.%7.%8.%9"/>
      <w:lvlJc w:val="left"/>
      <w:pPr>
        <w:tabs>
          <w:tab w:val="left" w:pos="4251"/>
        </w:tabs>
        <w:ind w:left="4251" w:hanging="1700"/>
      </w:pPr>
      <w:rPr>
        <w:rFonts w:hint="eastAsia"/>
      </w:rPr>
    </w:lvl>
  </w:abstractNum>
  <w:abstractNum w:abstractNumId="18">
    <w:nsid w:val="00000061"/>
    <w:multiLevelType w:val="multilevel"/>
    <w:tmpl w:val="00000061"/>
    <w:lvl w:ilvl="0" w:tentative="0">
      <w:start w:val="1"/>
      <w:numFmt w:val="none"/>
      <w:pStyle w:val="1517"/>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9">
    <w:nsid w:val="00000064"/>
    <w:multiLevelType w:val="multilevel"/>
    <w:tmpl w:val="00000064"/>
    <w:lvl w:ilvl="0" w:tentative="0">
      <w:start w:val="1"/>
      <w:numFmt w:val="none"/>
      <w:pStyle w:val="1081"/>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00000066"/>
    <w:multiLevelType w:val="multilevel"/>
    <w:tmpl w:val="00000066"/>
    <w:lvl w:ilvl="0" w:tentative="0">
      <w:start w:val="1"/>
      <w:numFmt w:val="decimal"/>
      <w:pStyle w:val="1170"/>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0000006A"/>
    <w:multiLevelType w:val="multilevel"/>
    <w:tmpl w:val="0000006A"/>
    <w:lvl w:ilvl="0" w:tentative="0">
      <w:start w:val="1"/>
      <w:numFmt w:val="decimal"/>
      <w:pStyle w:val="1237"/>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2">
    <w:nsid w:val="00000070"/>
    <w:multiLevelType w:val="multilevel"/>
    <w:tmpl w:val="00000070"/>
    <w:lvl w:ilvl="0" w:tentative="0">
      <w:start w:val="1"/>
      <w:numFmt w:val="upperLetter"/>
      <w:suff w:val="nothing"/>
      <w:lvlText w:val="附　录　%1"/>
      <w:lvlJc w:val="left"/>
      <w:pPr>
        <w:ind w:left="0" w:firstLine="0"/>
      </w:pPr>
      <w:rPr>
        <w:rFonts w:hint="eastAsia" w:ascii="黑体" w:hAnsi="Times New Roman" w:eastAsia="黑体"/>
        <w:b w:val="0"/>
        <w:i w:val="0"/>
        <w:sz w:val="21"/>
      </w:rPr>
    </w:lvl>
    <w:lvl w:ilvl="1" w:tentative="0">
      <w:start w:val="1"/>
      <w:numFmt w:val="decimal"/>
      <w:pStyle w:val="1089"/>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88"/>
      <w:suff w:val="nothing"/>
      <w:lvlText w:val="%1.%2.%3　"/>
      <w:lvlJc w:val="left"/>
      <w:pPr>
        <w:ind w:left="0" w:firstLine="0"/>
      </w:pPr>
      <w:rPr>
        <w:rFonts w:hint="eastAsia" w:ascii="黑体" w:hAnsi="Times New Roman" w:eastAsia="黑体"/>
        <w:b w:val="0"/>
        <w:i w:val="0"/>
        <w:sz w:val="21"/>
      </w:rPr>
    </w:lvl>
    <w:lvl w:ilvl="3" w:tentative="0">
      <w:start w:val="1"/>
      <w:numFmt w:val="decimal"/>
      <w:pStyle w:val="1087"/>
      <w:suff w:val="nothing"/>
      <w:lvlText w:val="%1.%2.%3.%4　"/>
      <w:lvlJc w:val="left"/>
      <w:pPr>
        <w:ind w:left="0" w:firstLine="0"/>
      </w:pPr>
      <w:rPr>
        <w:rFonts w:hint="eastAsia" w:ascii="黑体" w:hAnsi="Times New Roman" w:eastAsia="黑体"/>
        <w:b w:val="0"/>
        <w:i w:val="0"/>
        <w:sz w:val="21"/>
      </w:rPr>
    </w:lvl>
    <w:lvl w:ilvl="4" w:tentative="0">
      <w:start w:val="1"/>
      <w:numFmt w:val="decimal"/>
      <w:pStyle w:val="1086"/>
      <w:suff w:val="nothing"/>
      <w:lvlText w:val="%1.%2.%3.%4.%5　"/>
      <w:lvlJc w:val="left"/>
      <w:pPr>
        <w:ind w:left="0" w:firstLine="0"/>
      </w:pPr>
      <w:rPr>
        <w:rFonts w:hint="eastAsia" w:ascii="黑体" w:hAnsi="Times New Roman" w:eastAsia="黑体"/>
        <w:b w:val="0"/>
        <w:i w:val="0"/>
        <w:sz w:val="21"/>
      </w:rPr>
    </w:lvl>
    <w:lvl w:ilvl="5" w:tentative="0">
      <w:start w:val="1"/>
      <w:numFmt w:val="decimal"/>
      <w:pStyle w:val="1140"/>
      <w:suff w:val="nothing"/>
      <w:lvlText w:val="%1.%2.%3.%4.%5.%6　"/>
      <w:lvlJc w:val="left"/>
      <w:pPr>
        <w:ind w:left="0" w:firstLine="0"/>
      </w:pPr>
      <w:rPr>
        <w:rFonts w:hint="eastAsia" w:ascii="黑体" w:hAnsi="Times New Roman" w:eastAsia="黑体"/>
        <w:b w:val="0"/>
        <w:i w:val="0"/>
        <w:sz w:val="21"/>
      </w:rPr>
    </w:lvl>
    <w:lvl w:ilvl="6" w:tentative="0">
      <w:start w:val="1"/>
      <w:numFmt w:val="decimal"/>
      <w:pStyle w:val="153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3">
    <w:nsid w:val="00000074"/>
    <w:multiLevelType w:val="multilevel"/>
    <w:tmpl w:val="00000074"/>
    <w:lvl w:ilvl="0" w:tentative="0">
      <w:start w:val="1"/>
      <w:numFmt w:val="none"/>
      <w:pStyle w:val="1003"/>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2367B29"/>
    <w:multiLevelType w:val="multilevel"/>
    <w:tmpl w:val="02367B29"/>
    <w:lvl w:ilvl="0" w:tentative="0">
      <w:start w:val="1"/>
      <w:numFmt w:val="decimal"/>
      <w:pStyle w:val="408"/>
      <w:lvlText w:val="%1."/>
      <w:lvlJc w:val="left"/>
      <w:pPr>
        <w:tabs>
          <w:tab w:val="left" w:pos="1701"/>
        </w:tabs>
        <w:ind w:left="1701" w:hanging="425"/>
      </w:pPr>
      <w:rPr>
        <w:rFonts w:hint="eastAsia"/>
      </w:rPr>
    </w:lvl>
    <w:lvl w:ilvl="1" w:tentative="0">
      <w:start w:val="1"/>
      <w:numFmt w:val="decimal"/>
      <w:pStyle w:val="407"/>
      <w:lvlText w:val="%1.%2."/>
      <w:lvlJc w:val="left"/>
      <w:pPr>
        <w:tabs>
          <w:tab w:val="left" w:pos="1843"/>
        </w:tabs>
        <w:ind w:left="1843" w:hanging="567"/>
      </w:pPr>
      <w:rPr>
        <w:rFonts w:hint="eastAsia"/>
      </w:rPr>
    </w:lvl>
    <w:lvl w:ilvl="2" w:tentative="0">
      <w:start w:val="1"/>
      <w:numFmt w:val="decimal"/>
      <w:pStyle w:val="1711"/>
      <w:lvlText w:val="%3."/>
      <w:lvlJc w:val="left"/>
      <w:pPr>
        <w:tabs>
          <w:tab w:val="left" w:pos="709"/>
        </w:tabs>
        <w:ind w:left="709" w:hanging="709"/>
      </w:pPr>
      <w:rPr>
        <w:rFonts w:hint="eastAsia"/>
      </w:rPr>
    </w:lvl>
    <w:lvl w:ilvl="3" w:tentative="0">
      <w:start w:val="1"/>
      <w:numFmt w:val="decimal"/>
      <w:pStyle w:val="1072"/>
      <w:lvlText w:val="%3.%4."/>
      <w:lvlJc w:val="left"/>
      <w:pPr>
        <w:tabs>
          <w:tab w:val="left" w:pos="709"/>
        </w:tabs>
        <w:ind w:left="709" w:hanging="709"/>
      </w:pPr>
      <w:rPr>
        <w:rFonts w:hint="eastAsia"/>
      </w:rPr>
    </w:lvl>
    <w:lvl w:ilvl="4" w:tentative="0">
      <w:start w:val="1"/>
      <w:numFmt w:val="decimal"/>
      <w:pStyle w:val="785"/>
      <w:lvlText w:val="%3.%4.%5."/>
      <w:lvlJc w:val="left"/>
      <w:pPr>
        <w:tabs>
          <w:tab w:val="left" w:pos="1419"/>
        </w:tabs>
        <w:ind w:left="1419" w:hanging="709"/>
      </w:pPr>
      <w:rPr>
        <w:rFonts w:hint="eastAsia"/>
      </w:rPr>
    </w:lvl>
    <w:lvl w:ilvl="5" w:tentative="0">
      <w:start w:val="1"/>
      <w:numFmt w:val="decimal"/>
      <w:pStyle w:val="1777"/>
      <w:lvlText w:val="%3.%4.%5.%6."/>
      <w:lvlJc w:val="left"/>
      <w:pPr>
        <w:tabs>
          <w:tab w:val="left" w:pos="709"/>
        </w:tabs>
        <w:ind w:left="709" w:hanging="709"/>
      </w:pPr>
      <w:rPr>
        <w:rFonts w:hint="eastAsia"/>
      </w:rPr>
    </w:lvl>
    <w:lvl w:ilvl="6" w:tentative="0">
      <w:start w:val="1"/>
      <w:numFmt w:val="decimal"/>
      <w:lvlText w:val="%1.%2.%3.%4.%5.%6.%7."/>
      <w:lvlJc w:val="left"/>
      <w:pPr>
        <w:tabs>
          <w:tab w:val="left" w:pos="2552"/>
        </w:tabs>
        <w:ind w:left="2552" w:hanging="1276"/>
      </w:pPr>
      <w:rPr>
        <w:rFonts w:hint="eastAsia"/>
      </w:rPr>
    </w:lvl>
    <w:lvl w:ilvl="7" w:tentative="0">
      <w:start w:val="1"/>
      <w:numFmt w:val="decimal"/>
      <w:lvlText w:val="%1.%2.%3.%4.%5.%6.%7.%8."/>
      <w:lvlJc w:val="left"/>
      <w:pPr>
        <w:tabs>
          <w:tab w:val="left" w:pos="2694"/>
        </w:tabs>
        <w:ind w:left="2694" w:hanging="1418"/>
      </w:pPr>
      <w:rPr>
        <w:rFonts w:hint="eastAsia"/>
      </w:rPr>
    </w:lvl>
    <w:lvl w:ilvl="8" w:tentative="0">
      <w:start w:val="1"/>
      <w:numFmt w:val="decimal"/>
      <w:lvlText w:val="%1.%2.%3.%4.%5.%6.%7.%8.%9."/>
      <w:lvlJc w:val="left"/>
      <w:pPr>
        <w:tabs>
          <w:tab w:val="left" w:pos="2835"/>
        </w:tabs>
        <w:ind w:left="2835" w:hanging="1559"/>
      </w:pPr>
      <w:rPr>
        <w:rFonts w:hint="eastAsia"/>
      </w:rPr>
    </w:lvl>
  </w:abstractNum>
  <w:abstractNum w:abstractNumId="25">
    <w:nsid w:val="02EC516D"/>
    <w:multiLevelType w:val="multilevel"/>
    <w:tmpl w:val="02EC516D"/>
    <w:lvl w:ilvl="0" w:tentative="0">
      <w:start w:val="1"/>
      <w:numFmt w:val="bullet"/>
      <w:pStyle w:val="1723"/>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6">
    <w:nsid w:val="03964904"/>
    <w:multiLevelType w:val="multilevel"/>
    <w:tmpl w:val="03964904"/>
    <w:lvl w:ilvl="0" w:tentative="0">
      <w:start w:val="1"/>
      <w:numFmt w:val="bullet"/>
      <w:pStyle w:val="777"/>
      <w:lvlText w:val=""/>
      <w:lvlJc w:val="left"/>
      <w:pPr>
        <w:ind w:left="420" w:hanging="420"/>
      </w:pPr>
      <w:rPr>
        <w:rFonts w:hint="default" w:ascii="Wingdings" w:hAnsi="Wingdings"/>
        <w:sz w:val="21"/>
        <w:szCs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7">
    <w:nsid w:val="05357E8B"/>
    <w:multiLevelType w:val="multilevel"/>
    <w:tmpl w:val="05357E8B"/>
    <w:lvl w:ilvl="0" w:tentative="0">
      <w:start w:val="1"/>
      <w:numFmt w:val="bullet"/>
      <w:pStyle w:val="895"/>
      <w:lvlText w:val=""/>
      <w:lvlJc w:val="left"/>
      <w:pPr>
        <w:ind w:left="420" w:hanging="420"/>
      </w:pPr>
      <w:rPr>
        <w:rFonts w:hint="default" w:ascii="Wingdings" w:hAnsi="Wingdings"/>
      </w:rPr>
    </w:lvl>
    <w:lvl w:ilvl="1" w:tentative="0">
      <w:start w:val="1"/>
      <w:numFmt w:val="bullet"/>
      <w:pStyle w:val="1935"/>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8">
    <w:nsid w:val="06E773F1"/>
    <w:multiLevelType w:val="multilevel"/>
    <w:tmpl w:val="06E773F1"/>
    <w:lvl w:ilvl="0" w:tentative="0">
      <w:start w:val="1"/>
      <w:numFmt w:val="bullet"/>
      <w:pStyle w:val="1442"/>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077" w:hanging="509"/>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1">
    <w:nsid w:val="19AA4711"/>
    <w:multiLevelType w:val="multilevel"/>
    <w:tmpl w:val="19AA4711"/>
    <w:lvl w:ilvl="0" w:tentative="0">
      <w:start w:val="1"/>
      <w:numFmt w:val="decimal"/>
      <w:pStyle w:val="1718"/>
      <w:lvlText w:val="%1."/>
      <w:lvlJc w:val="left"/>
      <w:pPr>
        <w:tabs>
          <w:tab w:val="left" w:pos="902"/>
        </w:tabs>
        <w:ind w:left="0" w:firstLine="482"/>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2">
    <w:nsid w:val="1C5177DF"/>
    <w:multiLevelType w:val="multilevel"/>
    <w:tmpl w:val="1C5177DF"/>
    <w:lvl w:ilvl="0" w:tentative="0">
      <w:start w:val="1"/>
      <w:numFmt w:val="decimal"/>
      <w:pStyle w:val="1779"/>
      <w:lvlText w:val="%1、"/>
      <w:lvlJc w:val="left"/>
      <w:pPr>
        <w:tabs>
          <w:tab w:val="left" w:pos="716"/>
        </w:tabs>
        <w:ind w:left="489" w:firstLine="231"/>
      </w:pPr>
      <w:rPr>
        <w:rFonts w:hint="default"/>
        <w:b w:val="0"/>
        <w:sz w:val="24"/>
        <w:szCs w:val="24"/>
      </w:rPr>
    </w:lvl>
    <w:lvl w:ilvl="1" w:tentative="0">
      <w:start w:val="1"/>
      <w:numFmt w:val="lowerLetter"/>
      <w:lvlText w:val="%2)"/>
      <w:lvlJc w:val="left"/>
      <w:pPr>
        <w:tabs>
          <w:tab w:val="left" w:pos="1272"/>
        </w:tabs>
        <w:ind w:left="1272" w:hanging="420"/>
      </w:pPr>
    </w:lvl>
    <w:lvl w:ilvl="2" w:tentative="0">
      <w:start w:val="1"/>
      <w:numFmt w:val="lowerRoman"/>
      <w:lvlText w:val="%3."/>
      <w:lvlJc w:val="right"/>
      <w:pPr>
        <w:tabs>
          <w:tab w:val="left" w:pos="1692"/>
        </w:tabs>
        <w:ind w:left="1692" w:hanging="420"/>
      </w:pPr>
    </w:lvl>
    <w:lvl w:ilvl="3" w:tentative="0">
      <w:start w:val="1"/>
      <w:numFmt w:val="decimal"/>
      <w:lvlText w:val="%4."/>
      <w:lvlJc w:val="left"/>
      <w:pPr>
        <w:tabs>
          <w:tab w:val="left" w:pos="2112"/>
        </w:tabs>
        <w:ind w:left="2112" w:hanging="420"/>
      </w:pPr>
    </w:lvl>
    <w:lvl w:ilvl="4" w:tentative="0">
      <w:start w:val="1"/>
      <w:numFmt w:val="lowerLetter"/>
      <w:lvlText w:val="%5)"/>
      <w:lvlJc w:val="left"/>
      <w:pPr>
        <w:tabs>
          <w:tab w:val="left" w:pos="2532"/>
        </w:tabs>
        <w:ind w:left="2532" w:hanging="420"/>
      </w:pPr>
    </w:lvl>
    <w:lvl w:ilvl="5" w:tentative="0">
      <w:start w:val="1"/>
      <w:numFmt w:val="lowerRoman"/>
      <w:lvlText w:val="%6."/>
      <w:lvlJc w:val="right"/>
      <w:pPr>
        <w:tabs>
          <w:tab w:val="left" w:pos="2952"/>
        </w:tabs>
        <w:ind w:left="2952" w:hanging="420"/>
      </w:pPr>
    </w:lvl>
    <w:lvl w:ilvl="6" w:tentative="0">
      <w:start w:val="1"/>
      <w:numFmt w:val="decimal"/>
      <w:lvlText w:val="%7."/>
      <w:lvlJc w:val="left"/>
      <w:pPr>
        <w:tabs>
          <w:tab w:val="left" w:pos="3372"/>
        </w:tabs>
        <w:ind w:left="3372" w:hanging="420"/>
      </w:pPr>
    </w:lvl>
    <w:lvl w:ilvl="7" w:tentative="0">
      <w:start w:val="1"/>
      <w:numFmt w:val="lowerLetter"/>
      <w:lvlText w:val="%8)"/>
      <w:lvlJc w:val="left"/>
      <w:pPr>
        <w:tabs>
          <w:tab w:val="left" w:pos="3792"/>
        </w:tabs>
        <w:ind w:left="3792" w:hanging="420"/>
      </w:pPr>
    </w:lvl>
    <w:lvl w:ilvl="8" w:tentative="0">
      <w:start w:val="1"/>
      <w:numFmt w:val="lowerRoman"/>
      <w:lvlText w:val="%9."/>
      <w:lvlJc w:val="right"/>
      <w:pPr>
        <w:tabs>
          <w:tab w:val="left" w:pos="4212"/>
        </w:tabs>
        <w:ind w:left="4212" w:hanging="420"/>
      </w:pPr>
    </w:lvl>
  </w:abstractNum>
  <w:abstractNum w:abstractNumId="33">
    <w:nsid w:val="2A314530"/>
    <w:multiLevelType w:val="multilevel"/>
    <w:tmpl w:val="2A314530"/>
    <w:lvl w:ilvl="0" w:tentative="0">
      <w:start w:val="1"/>
      <w:numFmt w:val="bullet"/>
      <w:pStyle w:val="600"/>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4">
    <w:nsid w:val="2BD41A91"/>
    <w:multiLevelType w:val="multilevel"/>
    <w:tmpl w:val="2BD41A91"/>
    <w:lvl w:ilvl="0" w:tentative="0">
      <w:start w:val="1"/>
      <w:numFmt w:val="decimal"/>
      <w:pStyle w:val="1616"/>
      <w:lvlText w:val="(%1)"/>
      <w:lvlJc w:val="left"/>
      <w:pPr>
        <w:tabs>
          <w:tab w:val="left" w:pos="0"/>
        </w:tabs>
        <w:ind w:left="0" w:firstLine="482"/>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2DE15224"/>
    <w:multiLevelType w:val="multilevel"/>
    <w:tmpl w:val="2DE15224"/>
    <w:lvl w:ilvl="0" w:tentative="0">
      <w:start w:val="1"/>
      <w:numFmt w:val="bullet"/>
      <w:pStyle w:val="1479"/>
      <w:lvlText w:val=""/>
      <w:lvlJc w:val="left"/>
      <w:pPr>
        <w:tabs>
          <w:tab w:val="left" w:pos="225"/>
        </w:tabs>
        <w:ind w:left="225" w:hanging="420"/>
      </w:pPr>
      <w:rPr>
        <w:rFonts w:hint="default" w:ascii="Wingdings" w:hAnsi="Wingdings"/>
      </w:rPr>
    </w:lvl>
    <w:lvl w:ilvl="1" w:tentative="0">
      <w:start w:val="1"/>
      <w:numFmt w:val="bullet"/>
      <w:lvlText w:val=""/>
      <w:lvlJc w:val="left"/>
      <w:pPr>
        <w:tabs>
          <w:tab w:val="left" w:pos="645"/>
        </w:tabs>
        <w:ind w:left="645" w:hanging="420"/>
      </w:pPr>
      <w:rPr>
        <w:rFonts w:hint="default" w:ascii="Wingdings" w:hAnsi="Wingdings"/>
      </w:rPr>
    </w:lvl>
    <w:lvl w:ilvl="2" w:tentative="0">
      <w:start w:val="1"/>
      <w:numFmt w:val="bullet"/>
      <w:lvlText w:val=""/>
      <w:lvlJc w:val="left"/>
      <w:pPr>
        <w:tabs>
          <w:tab w:val="left" w:pos="1065"/>
        </w:tabs>
        <w:ind w:left="1065" w:hanging="420"/>
      </w:pPr>
      <w:rPr>
        <w:rFonts w:hint="default" w:ascii="Wingdings" w:hAnsi="Wingdings"/>
      </w:rPr>
    </w:lvl>
    <w:lvl w:ilvl="3" w:tentative="0">
      <w:start w:val="1"/>
      <w:numFmt w:val="bullet"/>
      <w:lvlText w:val=""/>
      <w:lvlJc w:val="left"/>
      <w:pPr>
        <w:tabs>
          <w:tab w:val="left" w:pos="1485"/>
        </w:tabs>
        <w:ind w:left="1485" w:hanging="420"/>
      </w:pPr>
      <w:rPr>
        <w:rFonts w:hint="default" w:ascii="Wingdings" w:hAnsi="Wingdings"/>
      </w:rPr>
    </w:lvl>
    <w:lvl w:ilvl="4" w:tentative="0">
      <w:start w:val="1"/>
      <w:numFmt w:val="bullet"/>
      <w:lvlText w:val=""/>
      <w:lvlJc w:val="left"/>
      <w:pPr>
        <w:tabs>
          <w:tab w:val="left" w:pos="1905"/>
        </w:tabs>
        <w:ind w:left="1905" w:hanging="420"/>
      </w:pPr>
      <w:rPr>
        <w:rFonts w:hint="default" w:ascii="Wingdings" w:hAnsi="Wingdings"/>
      </w:rPr>
    </w:lvl>
    <w:lvl w:ilvl="5" w:tentative="0">
      <w:start w:val="1"/>
      <w:numFmt w:val="bullet"/>
      <w:lvlText w:val=""/>
      <w:lvlJc w:val="left"/>
      <w:pPr>
        <w:tabs>
          <w:tab w:val="left" w:pos="2325"/>
        </w:tabs>
        <w:ind w:left="2325" w:hanging="420"/>
      </w:pPr>
      <w:rPr>
        <w:rFonts w:hint="default" w:ascii="Wingdings" w:hAnsi="Wingdings"/>
      </w:rPr>
    </w:lvl>
    <w:lvl w:ilvl="6" w:tentative="0">
      <w:start w:val="1"/>
      <w:numFmt w:val="bullet"/>
      <w:lvlText w:val=""/>
      <w:lvlJc w:val="left"/>
      <w:pPr>
        <w:tabs>
          <w:tab w:val="left" w:pos="2745"/>
        </w:tabs>
        <w:ind w:left="2745" w:hanging="420"/>
      </w:pPr>
      <w:rPr>
        <w:rFonts w:hint="default" w:ascii="Wingdings" w:hAnsi="Wingdings"/>
      </w:rPr>
    </w:lvl>
    <w:lvl w:ilvl="7" w:tentative="0">
      <w:start w:val="1"/>
      <w:numFmt w:val="bullet"/>
      <w:lvlText w:val=""/>
      <w:lvlJc w:val="left"/>
      <w:pPr>
        <w:tabs>
          <w:tab w:val="left" w:pos="3165"/>
        </w:tabs>
        <w:ind w:left="3165" w:hanging="420"/>
      </w:pPr>
      <w:rPr>
        <w:rFonts w:hint="default" w:ascii="Wingdings" w:hAnsi="Wingdings"/>
      </w:rPr>
    </w:lvl>
    <w:lvl w:ilvl="8" w:tentative="0">
      <w:start w:val="1"/>
      <w:numFmt w:val="bullet"/>
      <w:lvlText w:val=""/>
      <w:lvlJc w:val="left"/>
      <w:pPr>
        <w:tabs>
          <w:tab w:val="left" w:pos="3585"/>
        </w:tabs>
        <w:ind w:left="3585" w:hanging="420"/>
      </w:pPr>
      <w:rPr>
        <w:rFonts w:hint="default" w:ascii="Wingdings" w:hAnsi="Wingdings"/>
      </w:rPr>
    </w:lvl>
  </w:abstractNum>
  <w:abstractNum w:abstractNumId="36">
    <w:nsid w:val="2F645A9D"/>
    <w:multiLevelType w:val="multilevel"/>
    <w:tmpl w:val="2F645A9D"/>
    <w:lvl w:ilvl="0" w:tentative="0">
      <w:start w:val="1"/>
      <w:numFmt w:val="bullet"/>
      <w:pStyle w:val="1899"/>
      <w:lvlText w:val=""/>
      <w:lvlJc w:val="left"/>
      <w:pPr>
        <w:tabs>
          <w:tab w:val="left" w:pos="1418"/>
        </w:tabs>
        <w:ind w:left="1418" w:hanging="284"/>
      </w:pPr>
      <w:rPr>
        <w:rFonts w:hint="default" w:ascii="Wingdings" w:hAnsi="Wingdings"/>
        <w:caps w:val="0"/>
        <w:strike w:val="0"/>
        <w:dstrike w:val="0"/>
        <w:vanish w:val="0"/>
        <w:color w:val="auto"/>
        <w:sz w:val="13"/>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7">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8">
    <w:nsid w:val="31221F3A"/>
    <w:multiLevelType w:val="multilevel"/>
    <w:tmpl w:val="31221F3A"/>
    <w:lvl w:ilvl="0" w:tentative="0">
      <w:start w:val="1"/>
      <w:numFmt w:val="chineseCountingThousand"/>
      <w:pStyle w:val="827"/>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9">
    <w:nsid w:val="349B4EEE"/>
    <w:multiLevelType w:val="multilevel"/>
    <w:tmpl w:val="349B4EEE"/>
    <w:lvl w:ilvl="0" w:tentative="0">
      <w:start w:val="1"/>
      <w:numFmt w:val="upperLetter"/>
      <w:lvlText w:val="%1."/>
      <w:lvlJc w:val="left"/>
      <w:pPr>
        <w:tabs>
          <w:tab w:val="left" w:pos="360"/>
        </w:tabs>
        <w:ind w:left="360" w:hanging="360"/>
      </w:pPr>
      <w:rPr>
        <w:rFonts w:hint="eastAsia"/>
      </w:rPr>
    </w:lvl>
    <w:lvl w:ilvl="1" w:tentative="0">
      <w:start w:val="4"/>
      <w:numFmt w:val="decimal"/>
      <w:pStyle w:val="1559"/>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35D5779D"/>
    <w:multiLevelType w:val="multilevel"/>
    <w:tmpl w:val="35D5779D"/>
    <w:lvl w:ilvl="0" w:tentative="0">
      <w:start w:val="1"/>
      <w:numFmt w:val="chineseCountingThousand"/>
      <w:suff w:val="nothing"/>
      <w:lvlText w:val="第%1章"/>
      <w:lvlJc w:val="left"/>
      <w:pPr>
        <w:ind w:left="1272" w:firstLine="0"/>
      </w:pPr>
      <w:rPr>
        <w:rFonts w:hint="eastAsia"/>
      </w:rPr>
    </w:lvl>
    <w:lvl w:ilvl="1" w:tentative="0">
      <w:start w:val="1"/>
      <w:numFmt w:val="decimal"/>
      <w:suff w:val="nothing"/>
      <w:lvlText w:val="%2"/>
      <w:lvlJc w:val="left"/>
      <w:pPr>
        <w:ind w:left="1272" w:firstLine="0"/>
      </w:pPr>
      <w:rPr>
        <w:rFonts w:hint="eastAsia"/>
      </w:rPr>
    </w:lvl>
    <w:lvl w:ilvl="2" w:tentative="0">
      <w:start w:val="1"/>
      <w:numFmt w:val="decimal"/>
      <w:pStyle w:val="1133"/>
      <w:suff w:val="nothing"/>
      <w:lvlText w:val="%2.%3"/>
      <w:lvlJc w:val="left"/>
      <w:pPr>
        <w:ind w:left="1272" w:firstLine="0"/>
      </w:pPr>
      <w:rPr>
        <w:rFonts w:hint="eastAsia"/>
      </w:rPr>
    </w:lvl>
    <w:lvl w:ilvl="3" w:tentative="0">
      <w:start w:val="1"/>
      <w:numFmt w:val="none"/>
      <w:suff w:val="nothing"/>
      <w:lvlText w:val=""/>
      <w:lvlJc w:val="left"/>
      <w:pPr>
        <w:ind w:left="1272" w:firstLine="0"/>
      </w:pPr>
      <w:rPr>
        <w:rFonts w:hint="eastAsia"/>
      </w:rPr>
    </w:lvl>
    <w:lvl w:ilvl="4" w:tentative="0">
      <w:start w:val="1"/>
      <w:numFmt w:val="none"/>
      <w:suff w:val="nothing"/>
      <w:lvlText w:val=""/>
      <w:lvlJc w:val="left"/>
      <w:pPr>
        <w:ind w:left="1272" w:firstLine="0"/>
      </w:pPr>
      <w:rPr>
        <w:rFonts w:hint="eastAsia"/>
      </w:rPr>
    </w:lvl>
    <w:lvl w:ilvl="5" w:tentative="0">
      <w:start w:val="1"/>
      <w:numFmt w:val="none"/>
      <w:suff w:val="nothing"/>
      <w:lvlText w:val=""/>
      <w:lvlJc w:val="left"/>
      <w:pPr>
        <w:ind w:left="1272" w:firstLine="0"/>
      </w:pPr>
      <w:rPr>
        <w:rFonts w:hint="eastAsia"/>
      </w:rPr>
    </w:lvl>
    <w:lvl w:ilvl="6" w:tentative="0">
      <w:start w:val="1"/>
      <w:numFmt w:val="none"/>
      <w:suff w:val="nothing"/>
      <w:lvlText w:val=""/>
      <w:lvlJc w:val="left"/>
      <w:pPr>
        <w:ind w:left="1272" w:firstLine="0"/>
      </w:pPr>
      <w:rPr>
        <w:rFonts w:hint="eastAsia"/>
      </w:rPr>
    </w:lvl>
    <w:lvl w:ilvl="7" w:tentative="0">
      <w:start w:val="1"/>
      <w:numFmt w:val="none"/>
      <w:suff w:val="nothing"/>
      <w:lvlText w:val=""/>
      <w:lvlJc w:val="left"/>
      <w:pPr>
        <w:ind w:left="1272" w:firstLine="0"/>
      </w:pPr>
      <w:rPr>
        <w:rFonts w:hint="eastAsia"/>
      </w:rPr>
    </w:lvl>
    <w:lvl w:ilvl="8" w:tentative="0">
      <w:start w:val="1"/>
      <w:numFmt w:val="none"/>
      <w:suff w:val="nothing"/>
      <w:lvlText w:val=""/>
      <w:lvlJc w:val="left"/>
      <w:pPr>
        <w:ind w:left="1272" w:firstLine="0"/>
      </w:pPr>
      <w:rPr>
        <w:rFonts w:hint="eastAsia"/>
      </w:rPr>
    </w:lvl>
  </w:abstractNum>
  <w:abstractNum w:abstractNumId="41">
    <w:nsid w:val="38625360"/>
    <w:multiLevelType w:val="multilevel"/>
    <w:tmpl w:val="38625360"/>
    <w:lvl w:ilvl="0" w:tentative="0">
      <w:start w:val="1"/>
      <w:numFmt w:val="decimal"/>
      <w:pStyle w:val="1397"/>
      <w:lvlText w:val="(%1)"/>
      <w:lvlJc w:val="left"/>
      <w:pPr>
        <w:tabs>
          <w:tab w:val="left" w:pos="902"/>
        </w:tabs>
        <w:ind w:left="902" w:hanging="702"/>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pStyle w:val="1194"/>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1258"/>
      <w:lvlText w:val="%9."/>
      <w:lvlJc w:val="right"/>
      <w:pPr>
        <w:tabs>
          <w:tab w:val="left" w:pos="3780"/>
        </w:tabs>
        <w:ind w:left="3780" w:hanging="420"/>
      </w:pPr>
    </w:lvl>
  </w:abstractNum>
  <w:abstractNum w:abstractNumId="42">
    <w:nsid w:val="388B7C1C"/>
    <w:multiLevelType w:val="multilevel"/>
    <w:tmpl w:val="388B7C1C"/>
    <w:lvl w:ilvl="0" w:tentative="0">
      <w:start w:val="1"/>
      <w:numFmt w:val="none"/>
      <w:pStyle w:val="1884"/>
      <w:suff w:val="nothing"/>
      <w:lvlText w:val=""/>
      <w:lvlJc w:val="left"/>
      <w:pPr>
        <w:ind w:left="0" w:firstLine="0"/>
      </w:pPr>
      <w:rPr>
        <w:rFonts w:hint="eastAsia"/>
      </w:rPr>
    </w:lvl>
    <w:lvl w:ilvl="1" w:tentative="0">
      <w:start w:val="1"/>
      <w:numFmt w:val="decimal"/>
      <w:suff w:val="nothing"/>
      <w:lvlText w:val="%2第１章"/>
      <w:lvlJc w:val="left"/>
      <w:pPr>
        <w:ind w:left="0" w:firstLine="0"/>
      </w:pPr>
      <w:rPr>
        <w:rFonts w:hint="eastAsia"/>
      </w:rPr>
    </w:lvl>
    <w:lvl w:ilvl="2" w:tentative="0">
      <w:start w:val="1"/>
      <w:numFmt w:val="decimal"/>
      <w:suff w:val="nothing"/>
      <w:lvlText w:val="图%2－%3"/>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3">
    <w:nsid w:val="3A6E3BF8"/>
    <w:multiLevelType w:val="multilevel"/>
    <w:tmpl w:val="3A6E3BF8"/>
    <w:lvl w:ilvl="0" w:tentative="0">
      <w:start w:val="1"/>
      <w:numFmt w:val="bullet"/>
      <w:pStyle w:val="1888"/>
      <w:lvlText w:val=""/>
      <w:lvlPicBulletId w:val="0"/>
      <w:lvlJc w:val="left"/>
      <w:pPr>
        <w:tabs>
          <w:tab w:val="left" w:pos="255"/>
        </w:tabs>
        <w:ind w:left="255" w:hanging="255"/>
      </w:pPr>
      <w:rPr>
        <w:rFonts w:hint="default" w:ascii="Symbol" w:hAnsi="Symbol"/>
        <w:color w:val="auto"/>
        <w:position w:val="-2"/>
        <w:sz w:val="18"/>
        <w:szCs w:val="18"/>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4">
    <w:nsid w:val="3B8B14D7"/>
    <w:multiLevelType w:val="multilevel"/>
    <w:tmpl w:val="3B8B14D7"/>
    <w:lvl w:ilvl="0" w:tentative="0">
      <w:start w:val="1"/>
      <w:numFmt w:val="chineseCountingThousand"/>
      <w:lvlText w:val="%1、"/>
      <w:lvlJc w:val="left"/>
      <w:pPr>
        <w:tabs>
          <w:tab w:val="left" w:pos="510"/>
        </w:tabs>
        <w:ind w:left="510" w:hanging="510"/>
      </w:pPr>
      <w:rPr>
        <w:rFonts w:hint="eastAsia" w:cs="Times New Roman"/>
        <w:b/>
        <w:i w:val="0"/>
        <w:caps w:val="0"/>
        <w:strike w:val="0"/>
        <w:dstrike w:val="0"/>
        <w:vanish w:val="0"/>
        <w:color w:val="000000"/>
        <w:sz w:val="28"/>
        <w:szCs w:val="28"/>
        <w:vertAlign w:val="baseline"/>
      </w:rPr>
    </w:lvl>
    <w:lvl w:ilvl="1" w:tentative="0">
      <w:start w:val="1"/>
      <w:numFmt w:val="decimal"/>
      <w:pStyle w:val="1663"/>
      <w:isLgl/>
      <w:lvlText w:val="%1.%2"/>
      <w:lvlJc w:val="left"/>
      <w:pPr>
        <w:tabs>
          <w:tab w:val="left" w:pos="576"/>
        </w:tabs>
        <w:ind w:left="576" w:hanging="576"/>
      </w:pPr>
      <w:rPr>
        <w:rFonts w:hint="eastAsia" w:eastAsia="仿宋_GB2312" w:cs="Times New Roman"/>
        <w:b w:val="0"/>
        <w:color w:val="auto"/>
        <w:sz w:val="24"/>
        <w:szCs w:val="24"/>
      </w:rPr>
    </w:lvl>
    <w:lvl w:ilvl="2" w:tentative="0">
      <w:start w:val="1"/>
      <w:numFmt w:val="decimal"/>
      <w:isLgl/>
      <w:lvlText w:val="%1.%2.%3"/>
      <w:lvlJc w:val="left"/>
      <w:pPr>
        <w:tabs>
          <w:tab w:val="left" w:pos="1260"/>
        </w:tabs>
        <w:ind w:left="1260" w:hanging="720"/>
      </w:pPr>
      <w:rPr>
        <w:rFonts w:hint="eastAsia" w:eastAsia="仿宋_GB2312" w:cs="Times New Roman"/>
        <w:sz w:val="24"/>
        <w:szCs w:val="24"/>
      </w:rPr>
    </w:lvl>
    <w:lvl w:ilvl="3" w:tentative="0">
      <w:start w:val="1"/>
      <w:numFmt w:val="decimal"/>
      <w:isLgl/>
      <w:lvlText w:val="%1.%2.%3.%4"/>
      <w:lvlJc w:val="left"/>
      <w:pPr>
        <w:tabs>
          <w:tab w:val="left" w:pos="864"/>
        </w:tabs>
        <w:ind w:left="864" w:hanging="864"/>
      </w:pPr>
      <w:rPr>
        <w:rFonts w:hint="eastAsia" w:cs="Times New Roman"/>
      </w:rPr>
    </w:lvl>
    <w:lvl w:ilvl="4" w:tentative="0">
      <w:start w:val="1"/>
      <w:numFmt w:val="decimal"/>
      <w:isLgl/>
      <w:lvlText w:val="%1.%2.%3.%4.%5"/>
      <w:lvlJc w:val="left"/>
      <w:pPr>
        <w:tabs>
          <w:tab w:val="left" w:pos="1008"/>
        </w:tabs>
        <w:ind w:left="1008" w:hanging="1008"/>
      </w:pPr>
      <w:rPr>
        <w:rFonts w:hint="eastAsia" w:cs="Times New Roman"/>
      </w:rPr>
    </w:lvl>
    <w:lvl w:ilvl="5" w:tentative="0">
      <w:start w:val="1"/>
      <w:numFmt w:val="decimal"/>
      <w:isLgl/>
      <w:lvlText w:val="%1.%2.%3.%4.%5.%6"/>
      <w:lvlJc w:val="left"/>
      <w:pPr>
        <w:tabs>
          <w:tab w:val="left" w:pos="1152"/>
        </w:tabs>
        <w:ind w:left="1152" w:hanging="1152"/>
      </w:pPr>
      <w:rPr>
        <w:rFonts w:hint="eastAsia" w:cs="Times New Roman"/>
      </w:rPr>
    </w:lvl>
    <w:lvl w:ilvl="6" w:tentative="0">
      <w:start w:val="1"/>
      <w:numFmt w:val="decimal"/>
      <w:isLgl/>
      <w:lvlText w:val="%1.%2.%3.%4.%5.%6.%7"/>
      <w:lvlJc w:val="left"/>
      <w:pPr>
        <w:tabs>
          <w:tab w:val="left" w:pos="1296"/>
        </w:tabs>
        <w:ind w:left="1296" w:hanging="1296"/>
      </w:pPr>
      <w:rPr>
        <w:rFonts w:hint="eastAsia" w:cs="Times New Roman"/>
      </w:rPr>
    </w:lvl>
    <w:lvl w:ilvl="7" w:tentative="0">
      <w:start w:val="1"/>
      <w:numFmt w:val="decimal"/>
      <w:isLgl/>
      <w:lvlText w:val="%1.%2.%3.%4.%5.%6.%7.%8"/>
      <w:lvlJc w:val="left"/>
      <w:pPr>
        <w:tabs>
          <w:tab w:val="left" w:pos="1440"/>
        </w:tabs>
        <w:ind w:left="1440" w:hanging="1440"/>
      </w:pPr>
      <w:rPr>
        <w:rFonts w:hint="eastAsia" w:cs="Times New Roman"/>
      </w:rPr>
    </w:lvl>
    <w:lvl w:ilvl="8" w:tentative="0">
      <w:start w:val="1"/>
      <w:numFmt w:val="decimal"/>
      <w:isLgl/>
      <w:lvlText w:val="%1.%2.%3.%4.%5.%6.%7.%8.%9"/>
      <w:lvlJc w:val="left"/>
      <w:pPr>
        <w:tabs>
          <w:tab w:val="left" w:pos="1584"/>
        </w:tabs>
        <w:ind w:left="1584" w:hanging="1584"/>
      </w:pPr>
      <w:rPr>
        <w:rFonts w:hint="eastAsia" w:cs="Times New Roman"/>
      </w:rPr>
    </w:lvl>
  </w:abstractNum>
  <w:abstractNum w:abstractNumId="45">
    <w:nsid w:val="3EBB3C91"/>
    <w:multiLevelType w:val="multilevel"/>
    <w:tmpl w:val="3EBB3C91"/>
    <w:lvl w:ilvl="0" w:tentative="0">
      <w:start w:val="1"/>
      <w:numFmt w:val="decimal"/>
      <w:lvlText w:val="2.%1  "/>
      <w:lvlJc w:val="left"/>
      <w:pPr>
        <w:ind w:left="420" w:hanging="420"/>
      </w:pPr>
      <w:rPr>
        <w:rFonts w:hint="eastAsia"/>
      </w:rPr>
    </w:lvl>
    <w:lvl w:ilvl="1" w:tentative="0">
      <w:start w:val="1"/>
      <w:numFmt w:val="decimal"/>
      <w:pStyle w:val="1688"/>
      <w:isLgl/>
      <w:suff w:val="space"/>
      <w:lvlText w:val="%1.%2 "/>
      <w:lvlJc w:val="left"/>
      <w:pPr>
        <w:ind w:left="794" w:hanging="794"/>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2" w:tentative="0">
      <w:start w:val="1"/>
      <w:numFmt w:val="decimal"/>
      <w:pStyle w:val="1671"/>
      <w:isLgl/>
      <w:suff w:val="space"/>
      <w:lvlText w:val="%1.%2.%3 "/>
      <w:lvlJc w:val="left"/>
      <w:pPr>
        <w:ind w:left="1759" w:hanging="907"/>
      </w:pPr>
      <w:rPr>
        <w:rFonts w:hint="eastAsia"/>
      </w:rPr>
    </w:lvl>
    <w:lvl w:ilvl="3" w:tentative="0">
      <w:start w:val="1"/>
      <w:numFmt w:val="decimal"/>
      <w:pStyle w:val="1696"/>
      <w:isLgl/>
      <w:suff w:val="space"/>
      <w:lvlText w:val="%1.%2.%3.%4 "/>
      <w:lvlJc w:val="left"/>
      <w:pPr>
        <w:ind w:left="1021" w:hanging="1021"/>
      </w:pPr>
      <w:rPr>
        <w:rFonts w:hint="eastAsia"/>
      </w:rPr>
    </w:lvl>
    <w:lvl w:ilvl="4" w:tentative="0">
      <w:start w:val="1"/>
      <w:numFmt w:val="decimal"/>
      <w:pStyle w:val="1491"/>
      <w:isLgl/>
      <w:suff w:val="space"/>
      <w:lvlText w:val="%1.%2.%3.%4.%5 "/>
      <w:lvlJc w:val="left"/>
      <w:pPr>
        <w:ind w:left="1134" w:hanging="1134"/>
      </w:pPr>
      <w:rPr>
        <w:rFonts w:hint="eastAsia"/>
      </w:rPr>
    </w:lvl>
    <w:lvl w:ilvl="5" w:tentative="0">
      <w:start w:val="1"/>
      <w:numFmt w:val="decimal"/>
      <w:pStyle w:val="1183"/>
      <w:isLgl/>
      <w:suff w:val="space"/>
      <w:lvlText w:val="%1.%2.%3.%4.%5.%6 "/>
      <w:lvlJc w:val="left"/>
      <w:pPr>
        <w:ind w:left="1247" w:hanging="1247"/>
      </w:pPr>
      <w:rPr>
        <w:rFonts w:hint="eastAsia"/>
      </w:rPr>
    </w:lvl>
    <w:lvl w:ilvl="6" w:tentative="0">
      <w:start w:val="1"/>
      <w:numFmt w:val="decimal"/>
      <w:lvlRestart w:val="1"/>
      <w:pStyle w:val="986"/>
      <w:isLgl/>
      <w:suff w:val="space"/>
      <w:lvlText w:val="图 %1.%7 "/>
      <w:lvlJc w:val="left"/>
      <w:pPr>
        <w:ind w:left="0" w:firstLine="0"/>
      </w:pPr>
      <w:rPr>
        <w:rFonts w:hint="eastAsia"/>
      </w:rPr>
    </w:lvl>
    <w:lvl w:ilvl="7" w:tentative="0">
      <w:start w:val="1"/>
      <w:numFmt w:val="decimal"/>
      <w:lvlRestart w:val="1"/>
      <w:pStyle w:val="1097"/>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6">
    <w:nsid w:val="410064CA"/>
    <w:multiLevelType w:val="multilevel"/>
    <w:tmpl w:val="410064CA"/>
    <w:lvl w:ilvl="0" w:tentative="0">
      <w:start w:val="1"/>
      <w:numFmt w:val="bullet"/>
      <w:pStyle w:val="1377"/>
      <w:lvlText w:val=""/>
      <w:lvlJc w:val="left"/>
      <w:pPr>
        <w:tabs>
          <w:tab w:val="left" w:pos="587"/>
        </w:tabs>
        <w:ind w:left="0" w:firstLine="22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7">
    <w:nsid w:val="41081A2C"/>
    <w:multiLevelType w:val="multilevel"/>
    <w:tmpl w:val="41081A2C"/>
    <w:lvl w:ilvl="0" w:tentative="0">
      <w:start w:val="1"/>
      <w:numFmt w:val="chineseCountingThousand"/>
      <w:lvlText w:val="%1、"/>
      <w:lvlJc w:val="left"/>
      <w:pPr>
        <w:tabs>
          <w:tab w:val="left" w:pos="1680"/>
        </w:tabs>
        <w:ind w:left="1680" w:hanging="420"/>
      </w:pPr>
      <w:rPr>
        <w:rFonts w:hint="eastAsia"/>
      </w:rPr>
    </w:lvl>
    <w:lvl w:ilvl="1" w:tentative="0">
      <w:start w:val="1"/>
      <w:numFmt w:val="decimal"/>
      <w:lvlText w:val="%2."/>
      <w:lvlJc w:val="left"/>
      <w:pPr>
        <w:tabs>
          <w:tab w:val="left" w:pos="1230"/>
        </w:tabs>
        <w:ind w:left="1514" w:hanging="267"/>
      </w:pPr>
      <w:rPr>
        <w:rFonts w:hint="eastAsia"/>
      </w:rPr>
    </w:lvl>
    <w:lvl w:ilvl="2" w:tentative="0">
      <w:start w:val="1"/>
      <w:numFmt w:val="none"/>
      <w:lvlText w:val="1）"/>
      <w:lvlJc w:val="left"/>
      <w:pPr>
        <w:tabs>
          <w:tab w:val="left" w:pos="2405"/>
        </w:tabs>
        <w:ind w:left="2405" w:hanging="425"/>
      </w:pPr>
      <w:rPr>
        <w:rFonts w:hint="eastAsia"/>
      </w:rPr>
    </w:lvl>
    <w:lvl w:ilvl="3" w:tentative="0">
      <w:start w:val="1"/>
      <w:numFmt w:val="bullet"/>
      <w:lvlText w:val=""/>
      <w:lvlJc w:val="left"/>
      <w:pPr>
        <w:tabs>
          <w:tab w:val="left" w:pos="780"/>
        </w:tabs>
        <w:ind w:left="780" w:hanging="420"/>
      </w:pPr>
      <w:rPr>
        <w:rFonts w:hint="default" w:ascii="Wingdings" w:hAnsi="Wingdings"/>
      </w:rPr>
    </w:lvl>
    <w:lvl w:ilvl="4" w:tentative="0">
      <w:start w:val="1"/>
      <w:numFmt w:val="decimal"/>
      <w:pStyle w:val="1928"/>
      <w:lvlText w:val="%5）"/>
      <w:lvlJc w:val="left"/>
      <w:pPr>
        <w:tabs>
          <w:tab w:val="left" w:pos="1265"/>
        </w:tabs>
        <w:ind w:left="1265" w:hanging="425"/>
      </w:pPr>
      <w:rPr>
        <w:rFonts w:hint="eastAsia"/>
      </w:rPr>
    </w:lvl>
    <w:lvl w:ilvl="5" w:tentative="0">
      <w:start w:val="1"/>
      <w:numFmt w:val="decimal"/>
      <w:lvlText w:val="%6."/>
      <w:lvlJc w:val="left"/>
      <w:pPr>
        <w:tabs>
          <w:tab w:val="left" w:pos="2725"/>
        </w:tabs>
        <w:ind w:left="2725" w:hanging="425"/>
      </w:pPr>
      <w:rPr>
        <w:rFonts w:hint="eastAsia"/>
      </w:r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48">
    <w:nsid w:val="47CD47D7"/>
    <w:multiLevelType w:val="multilevel"/>
    <w:tmpl w:val="47CD47D7"/>
    <w:lvl w:ilvl="0" w:tentative="0">
      <w:start w:val="1"/>
      <w:numFmt w:val="chineseCountingThousand"/>
      <w:pStyle w:val="1927"/>
      <w:suff w:val="space"/>
      <w:lvlText w:val="%1."/>
      <w:lvlJc w:val="left"/>
      <w:pPr>
        <w:ind w:left="425" w:hanging="425"/>
      </w:pPr>
      <w:rPr>
        <w:rFonts w:hint="eastAsia"/>
      </w:rPr>
    </w:lvl>
    <w:lvl w:ilvl="1" w:tentative="0">
      <w:start w:val="1"/>
      <w:numFmt w:val="decimal"/>
      <w:isLgl/>
      <w:lvlText w:val="%1.%2."/>
      <w:lvlJc w:val="left"/>
      <w:pPr>
        <w:tabs>
          <w:tab w:val="left" w:pos="567"/>
        </w:tabs>
        <w:ind w:left="567" w:hanging="567"/>
      </w:pPr>
      <w:rPr>
        <w:rFonts w:hint="eastAsia"/>
      </w:rPr>
    </w:lvl>
    <w:lvl w:ilvl="2" w:tentative="0">
      <w:start w:val="1"/>
      <w:numFmt w:val="decimal"/>
      <w:isLgl/>
      <w:lvlText w:val="%1.%2.%3."/>
      <w:lvlJc w:val="left"/>
      <w:pPr>
        <w:tabs>
          <w:tab w:val="left" w:pos="709"/>
        </w:tabs>
        <w:ind w:left="709" w:hanging="709"/>
      </w:pPr>
      <w:rPr>
        <w:rFonts w:hint="eastAsia"/>
      </w:rPr>
    </w:lvl>
    <w:lvl w:ilvl="3" w:tentative="0">
      <w:start w:val="1"/>
      <w:numFmt w:val="decimal"/>
      <w:isLgl/>
      <w:lvlText w:val="%1.%2.%3.%4."/>
      <w:lvlJc w:val="left"/>
      <w:pPr>
        <w:tabs>
          <w:tab w:val="left" w:pos="851"/>
        </w:tabs>
        <w:ind w:left="851" w:hanging="851"/>
      </w:pPr>
      <w:rPr>
        <w:rFonts w:hint="eastAsia"/>
      </w:rPr>
    </w:lvl>
    <w:lvl w:ilvl="4" w:tentative="0">
      <w:start w:val="1"/>
      <w:numFmt w:val="decimal"/>
      <w:isLgl/>
      <w:lvlText w:val="%1.%2.%3.%4.%5."/>
      <w:lvlJc w:val="left"/>
      <w:pPr>
        <w:tabs>
          <w:tab w:val="left" w:pos="992"/>
        </w:tabs>
        <w:ind w:left="992" w:hanging="992"/>
      </w:pPr>
      <w:rPr>
        <w:rFonts w:hint="eastAsia"/>
      </w:rPr>
    </w:lvl>
    <w:lvl w:ilvl="5" w:tentative="0">
      <w:start w:val="1"/>
      <w:numFmt w:val="decimal"/>
      <w:isLgl/>
      <w:lvlText w:val="%1.%2.%3.%4.%5.%6."/>
      <w:lvlJc w:val="left"/>
      <w:pPr>
        <w:tabs>
          <w:tab w:val="left" w:pos="1134"/>
        </w:tabs>
        <w:ind w:left="1134" w:hanging="1134"/>
      </w:pPr>
      <w:rPr>
        <w:rFonts w:hint="eastAsia"/>
      </w:rPr>
    </w:lvl>
    <w:lvl w:ilvl="6" w:tentative="0">
      <w:start w:val="1"/>
      <w:numFmt w:val="decimal"/>
      <w:isLgl/>
      <w:lvlText w:val="%1.%2.%3.%4.%5.%6.%7."/>
      <w:lvlJc w:val="left"/>
      <w:pPr>
        <w:tabs>
          <w:tab w:val="left" w:pos="1276"/>
        </w:tabs>
        <w:ind w:left="1276" w:hanging="1276"/>
      </w:pPr>
      <w:rPr>
        <w:rFonts w:hint="eastAsia"/>
      </w:rPr>
    </w:lvl>
    <w:lvl w:ilvl="7" w:tentative="0">
      <w:start w:val="1"/>
      <w:numFmt w:val="decimal"/>
      <w:isLgl/>
      <w:lvlText w:val="%1.%2.%3.%4.%5.%6.%7.%8."/>
      <w:lvlJc w:val="left"/>
      <w:pPr>
        <w:tabs>
          <w:tab w:val="left" w:pos="1418"/>
        </w:tabs>
        <w:ind w:left="1418" w:hanging="1418"/>
      </w:pPr>
      <w:rPr>
        <w:rFonts w:hint="eastAsia"/>
      </w:rPr>
    </w:lvl>
    <w:lvl w:ilvl="8" w:tentative="0">
      <w:start w:val="1"/>
      <w:numFmt w:val="decimal"/>
      <w:isLgl/>
      <w:lvlText w:val="%1.%2.%3.%4.%5.%6.%7.%8.%9."/>
      <w:lvlJc w:val="left"/>
      <w:pPr>
        <w:tabs>
          <w:tab w:val="left" w:pos="1559"/>
        </w:tabs>
        <w:ind w:left="1559" w:hanging="1559"/>
      </w:pPr>
      <w:rPr>
        <w:rFonts w:hint="eastAsia"/>
      </w:rPr>
    </w:lvl>
  </w:abstractNum>
  <w:abstractNum w:abstractNumId="49">
    <w:nsid w:val="48C20454"/>
    <w:multiLevelType w:val="multilevel"/>
    <w:tmpl w:val="48C20454"/>
    <w:lvl w:ilvl="0" w:tentative="0">
      <w:start w:val="1"/>
      <w:numFmt w:val="decimal"/>
      <w:pStyle w:val="1749"/>
      <w:lvlText w:val="表%1."/>
      <w:lvlJc w:val="left"/>
      <w:pPr>
        <w:tabs>
          <w:tab w:val="left" w:pos="800"/>
        </w:tabs>
        <w:ind w:left="800" w:hanging="80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0">
    <w:nsid w:val="4A625655"/>
    <w:multiLevelType w:val="multilevel"/>
    <w:tmpl w:val="4A625655"/>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pStyle w:val="1033"/>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51">
    <w:nsid w:val="51975963"/>
    <w:multiLevelType w:val="multilevel"/>
    <w:tmpl w:val="51975963"/>
    <w:lvl w:ilvl="0" w:tentative="0">
      <w:start w:val="1"/>
      <w:numFmt w:val="decimal"/>
      <w:pStyle w:val="553"/>
      <w:lvlText w:val="%1. "/>
      <w:lvlJc w:val="left"/>
      <w:pPr>
        <w:tabs>
          <w:tab w:val="left" w:pos="879"/>
        </w:tabs>
        <w:ind w:left="879" w:hanging="397"/>
      </w:pPr>
      <w:rPr>
        <w:rFonts w:hint="eastAsia"/>
      </w:rPr>
    </w:lvl>
    <w:lvl w:ilvl="1" w:tentative="0">
      <w:start w:val="1"/>
      <w:numFmt w:val="bullet"/>
      <w:pStyle w:val="1174"/>
      <w:lvlText w:val=""/>
      <w:lvlJc w:val="left"/>
      <w:pPr>
        <w:tabs>
          <w:tab w:val="left" w:pos="1281"/>
        </w:tabs>
        <w:ind w:left="1281" w:hanging="402"/>
      </w:pPr>
      <w:rPr>
        <w:rFonts w:hint="default" w:ascii="Wingdings" w:hAnsi="Wingdings"/>
      </w:rPr>
    </w:lvl>
    <w:lvl w:ilvl="2" w:tentative="0">
      <w:start w:val="1"/>
      <w:numFmt w:val="bullet"/>
      <w:pStyle w:val="1145"/>
      <w:lvlText w:val=""/>
      <w:lvlJc w:val="left"/>
      <w:pPr>
        <w:tabs>
          <w:tab w:val="left" w:pos="1678"/>
        </w:tabs>
        <w:ind w:left="1678" w:hanging="397"/>
      </w:pPr>
      <w:rPr>
        <w:rFonts w:hint="default" w:ascii="Symbol" w:hAnsi="Symbol"/>
        <w:color w:val="auto"/>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2">
    <w:nsid w:val="520429AF"/>
    <w:multiLevelType w:val="multilevel"/>
    <w:tmpl w:val="520429AF"/>
    <w:lvl w:ilvl="0" w:tentative="0">
      <w:start w:val="1"/>
      <w:numFmt w:val="decimal"/>
      <w:pStyle w:val="1512"/>
      <w:lvlText w:val="(%1)"/>
      <w:lvlJc w:val="left"/>
      <w:pPr>
        <w:tabs>
          <w:tab w:val="left" w:pos="720"/>
        </w:tabs>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3">
    <w:nsid w:val="57DC4EDD"/>
    <w:multiLevelType w:val="multilevel"/>
    <w:tmpl w:val="57DC4EDD"/>
    <w:lvl w:ilvl="0" w:tentative="0">
      <w:start w:val="1"/>
      <w:numFmt w:val="decimal"/>
      <w:pStyle w:val="1729"/>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4">
    <w:nsid w:val="58E8074C"/>
    <w:multiLevelType w:val="multilevel"/>
    <w:tmpl w:val="58E8074C"/>
    <w:lvl w:ilvl="0" w:tentative="0">
      <w:start w:val="1"/>
      <w:numFmt w:val="decimal"/>
      <w:pStyle w:val="1575"/>
      <w:lvlText w:val="%1)"/>
      <w:lvlJc w:val="left"/>
      <w:pPr>
        <w:ind w:left="420" w:hanging="420"/>
      </w:pPr>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55">
    <w:nsid w:val="5AC15A66"/>
    <w:multiLevelType w:val="multilevel"/>
    <w:tmpl w:val="5AC15A66"/>
    <w:lvl w:ilvl="0" w:tentative="0">
      <w:start w:val="1"/>
      <w:numFmt w:val="decimal"/>
      <w:lvlText w:val="%1."/>
      <w:lvlJc w:val="left"/>
      <w:pPr>
        <w:tabs>
          <w:tab w:val="left" w:pos="420"/>
        </w:tabs>
        <w:ind w:left="420" w:hanging="420"/>
      </w:pPr>
      <w:rPr>
        <w:rFonts w:hint="default"/>
      </w:rPr>
    </w:lvl>
    <w:lvl w:ilvl="1" w:tentative="0">
      <w:start w:val="1"/>
      <w:numFmt w:val="bullet"/>
      <w:pStyle w:val="905"/>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56">
    <w:nsid w:val="5E77574B"/>
    <w:multiLevelType w:val="multilevel"/>
    <w:tmpl w:val="5E77574B"/>
    <w:lvl w:ilvl="0" w:tentative="0">
      <w:start w:val="1"/>
      <w:numFmt w:val="decimal"/>
      <w:pStyle w:val="1573"/>
      <w:lvlText w:val="%1."/>
      <w:lvlJc w:val="left"/>
      <w:pPr>
        <w:tabs>
          <w:tab w:val="left" w:pos="425"/>
        </w:tabs>
        <w:ind w:left="425" w:hanging="425"/>
      </w:pPr>
      <w:rPr>
        <w:rFonts w:hint="default" w:ascii="Times New Roman" w:hAnsi="Times New Roman" w:eastAsia="宋体"/>
      </w:rPr>
    </w:lvl>
    <w:lvl w:ilvl="1" w:tentative="0">
      <w:start w:val="1"/>
      <w:numFmt w:val="decimal"/>
      <w:pStyle w:val="1267"/>
      <w:suff w:val="space"/>
      <w:lvlText w:val="%1.%2."/>
      <w:lvlJc w:val="left"/>
      <w:pPr>
        <w:ind w:left="0" w:firstLine="0"/>
      </w:pPr>
      <w:rPr>
        <w:rFonts w:hint="default" w:ascii="Times New Roman" w:hAnsi="Times New Roman"/>
        <w:sz w:val="32"/>
        <w:szCs w:val="32"/>
      </w:rPr>
    </w:lvl>
    <w:lvl w:ilvl="2" w:tentative="0">
      <w:start w:val="1"/>
      <w:numFmt w:val="decimal"/>
      <w:pStyle w:val="723"/>
      <w:lvlText w:val="%1.%2.%3."/>
      <w:lvlJc w:val="left"/>
      <w:pPr>
        <w:tabs>
          <w:tab w:val="left" w:pos="709"/>
        </w:tabs>
        <w:ind w:left="709" w:hanging="709"/>
      </w:pPr>
      <w:rPr>
        <w:rFonts w:hint="default" w:ascii="Times New Roman" w:hAnsi="Times New Roman" w:eastAsia="宋体"/>
        <w:b/>
        <w:i w:val="0"/>
        <w:sz w:val="32"/>
        <w:szCs w:val="32"/>
      </w:rPr>
    </w:lvl>
    <w:lvl w:ilvl="3" w:tentative="0">
      <w:start w:val="1"/>
      <w:numFmt w:val="decimal"/>
      <w:lvlText w:val="%1.%2.%3.%4."/>
      <w:lvlJc w:val="left"/>
      <w:pPr>
        <w:tabs>
          <w:tab w:val="left" w:pos="851"/>
        </w:tabs>
        <w:ind w:left="851" w:hanging="851"/>
      </w:pPr>
      <w:rPr>
        <w:rFonts w:hint="default" w:ascii="Times New Roman" w:hAnsi="Times New Roman"/>
      </w:rPr>
    </w:lvl>
    <w:lvl w:ilvl="4" w:tentative="0">
      <w:start w:val="1"/>
      <w:numFmt w:val="decimal"/>
      <w:pStyle w:val="1498"/>
      <w:lvlText w:val="%1.%2.%3.%4.%5."/>
      <w:lvlJc w:val="left"/>
      <w:pPr>
        <w:tabs>
          <w:tab w:val="left" w:pos="992"/>
        </w:tabs>
        <w:ind w:left="992" w:hanging="992"/>
      </w:pPr>
      <w:rPr>
        <w:rFonts w:hint="eastAsia"/>
      </w:rPr>
    </w:lvl>
    <w:lvl w:ilvl="5" w:tentative="0">
      <w:start w:val="1"/>
      <w:numFmt w:val="decimal"/>
      <w:pStyle w:val="1482"/>
      <w:lvlText w:val="%1.%2.%3.%4.%5.%6."/>
      <w:lvlJc w:val="left"/>
      <w:pPr>
        <w:tabs>
          <w:tab w:val="left" w:pos="1134"/>
        </w:tabs>
        <w:ind w:left="1134" w:hanging="1134"/>
      </w:pPr>
      <w:rPr>
        <w:rFonts w:hint="default" w:ascii="Times New Roman" w:hAnsi="Times New Roman"/>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7">
    <w:nsid w:val="5F26077A"/>
    <w:multiLevelType w:val="multilevel"/>
    <w:tmpl w:val="5F26077A"/>
    <w:lvl w:ilvl="0" w:tentative="0">
      <w:start w:val="1"/>
      <w:numFmt w:val="bullet"/>
      <w:pStyle w:val="775"/>
      <w:lvlText w:val=""/>
      <w:lvlJc w:val="left"/>
      <w:pPr>
        <w:tabs>
          <w:tab w:val="left" w:pos="1259"/>
        </w:tabs>
        <w:ind w:left="1259" w:hanging="420"/>
      </w:pPr>
      <w:rPr>
        <w:rFonts w:hint="default" w:ascii="Wingdings" w:hAnsi="Wingdings"/>
      </w:rPr>
    </w:lvl>
    <w:lvl w:ilvl="1" w:tentative="0">
      <w:start w:val="1"/>
      <w:numFmt w:val="bullet"/>
      <w:lvlText w:val=""/>
      <w:lvlJc w:val="left"/>
      <w:pPr>
        <w:tabs>
          <w:tab w:val="left" w:pos="1679"/>
        </w:tabs>
        <w:ind w:left="1679" w:hanging="420"/>
      </w:pPr>
      <w:rPr>
        <w:rFonts w:hint="default" w:ascii="Wingdings" w:hAnsi="Wingdings"/>
      </w:rPr>
    </w:lvl>
    <w:lvl w:ilvl="2" w:tentative="0">
      <w:start w:val="1"/>
      <w:numFmt w:val="bullet"/>
      <w:lvlText w:val=""/>
      <w:lvlJc w:val="left"/>
      <w:pPr>
        <w:tabs>
          <w:tab w:val="left" w:pos="2099"/>
        </w:tabs>
        <w:ind w:left="2099" w:hanging="420"/>
      </w:pPr>
      <w:rPr>
        <w:rFonts w:hint="default" w:ascii="Wingdings" w:hAnsi="Wingdings"/>
      </w:rPr>
    </w:lvl>
    <w:lvl w:ilvl="3" w:tentative="0">
      <w:start w:val="1"/>
      <w:numFmt w:val="bullet"/>
      <w:lvlText w:val=""/>
      <w:lvlJc w:val="left"/>
      <w:pPr>
        <w:tabs>
          <w:tab w:val="left" w:pos="2519"/>
        </w:tabs>
        <w:ind w:left="2519" w:hanging="420"/>
      </w:pPr>
      <w:rPr>
        <w:rFonts w:hint="default" w:ascii="Wingdings" w:hAnsi="Wingdings"/>
      </w:rPr>
    </w:lvl>
    <w:lvl w:ilvl="4" w:tentative="0">
      <w:start w:val="1"/>
      <w:numFmt w:val="bullet"/>
      <w:lvlText w:val=""/>
      <w:lvlJc w:val="left"/>
      <w:pPr>
        <w:tabs>
          <w:tab w:val="left" w:pos="2939"/>
        </w:tabs>
        <w:ind w:left="2939" w:hanging="420"/>
      </w:pPr>
      <w:rPr>
        <w:rFonts w:hint="default" w:ascii="Wingdings" w:hAnsi="Wingdings"/>
      </w:rPr>
    </w:lvl>
    <w:lvl w:ilvl="5" w:tentative="0">
      <w:start w:val="1"/>
      <w:numFmt w:val="bullet"/>
      <w:lvlText w:val=""/>
      <w:lvlJc w:val="left"/>
      <w:pPr>
        <w:tabs>
          <w:tab w:val="left" w:pos="3359"/>
        </w:tabs>
        <w:ind w:left="3359" w:hanging="420"/>
      </w:pPr>
      <w:rPr>
        <w:rFonts w:hint="default" w:ascii="Wingdings" w:hAnsi="Wingdings"/>
      </w:rPr>
    </w:lvl>
    <w:lvl w:ilvl="6" w:tentative="0">
      <w:start w:val="1"/>
      <w:numFmt w:val="bullet"/>
      <w:lvlText w:val=""/>
      <w:lvlJc w:val="left"/>
      <w:pPr>
        <w:tabs>
          <w:tab w:val="left" w:pos="3779"/>
        </w:tabs>
        <w:ind w:left="3779" w:hanging="420"/>
      </w:pPr>
      <w:rPr>
        <w:rFonts w:hint="default" w:ascii="Wingdings" w:hAnsi="Wingdings"/>
      </w:rPr>
    </w:lvl>
    <w:lvl w:ilvl="7" w:tentative="0">
      <w:start w:val="1"/>
      <w:numFmt w:val="bullet"/>
      <w:lvlText w:val=""/>
      <w:lvlJc w:val="left"/>
      <w:pPr>
        <w:tabs>
          <w:tab w:val="left" w:pos="4199"/>
        </w:tabs>
        <w:ind w:left="4199" w:hanging="420"/>
      </w:pPr>
      <w:rPr>
        <w:rFonts w:hint="default" w:ascii="Wingdings" w:hAnsi="Wingdings"/>
      </w:rPr>
    </w:lvl>
    <w:lvl w:ilvl="8" w:tentative="0">
      <w:start w:val="1"/>
      <w:numFmt w:val="bullet"/>
      <w:lvlText w:val=""/>
      <w:lvlJc w:val="left"/>
      <w:pPr>
        <w:tabs>
          <w:tab w:val="left" w:pos="4619"/>
        </w:tabs>
        <w:ind w:left="4619" w:hanging="420"/>
      </w:pPr>
      <w:rPr>
        <w:rFonts w:hint="default" w:ascii="Wingdings" w:hAnsi="Wingdings"/>
      </w:rPr>
    </w:lvl>
  </w:abstractNum>
  <w:abstractNum w:abstractNumId="58">
    <w:nsid w:val="609A3336"/>
    <w:multiLevelType w:val="multilevel"/>
    <w:tmpl w:val="609A3336"/>
    <w:lvl w:ilvl="0" w:tentative="0">
      <w:start w:val="1"/>
      <w:numFmt w:val="decimal"/>
      <w:pStyle w:val="1263"/>
      <w:lvlText w:val="%1."/>
      <w:lvlJc w:val="left"/>
      <w:pPr>
        <w:tabs>
          <w:tab w:val="left" w:pos="0"/>
        </w:tabs>
        <w:ind w:left="0" w:firstLine="0"/>
      </w:pPr>
      <w:rPr>
        <w:rFonts w:hint="default" w:ascii="Times New Roman" w:hAnsi="Times New Roman" w:eastAsia="宋体"/>
        <w:b w:val="0"/>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9">
    <w:nsid w:val="6ABB48A8"/>
    <w:multiLevelType w:val="singleLevel"/>
    <w:tmpl w:val="6ABB48A8"/>
    <w:lvl w:ilvl="0" w:tentative="0">
      <w:start w:val="3"/>
      <w:numFmt w:val="chineseCounting"/>
      <w:suff w:val="nothing"/>
      <w:lvlText w:val="%1、"/>
      <w:lvlJc w:val="left"/>
    </w:lvl>
  </w:abstractNum>
  <w:abstractNum w:abstractNumId="60">
    <w:nsid w:val="6ABB4A72"/>
    <w:multiLevelType w:val="singleLevel"/>
    <w:tmpl w:val="6ABB4A72"/>
    <w:lvl w:ilvl="0" w:tentative="0">
      <w:start w:val="1"/>
      <w:numFmt w:val="decimal"/>
      <w:suff w:val="nothing"/>
      <w:lvlText w:val="（%1）"/>
      <w:lvlJc w:val="left"/>
    </w:lvl>
  </w:abstractNum>
  <w:abstractNum w:abstractNumId="61">
    <w:nsid w:val="6ABC64E6"/>
    <w:multiLevelType w:val="singleLevel"/>
    <w:tmpl w:val="6ABC64E6"/>
    <w:lvl w:ilvl="0" w:tentative="0">
      <w:start w:val="1"/>
      <w:numFmt w:val="chineseCounting"/>
      <w:suff w:val="nothing"/>
      <w:lvlText w:val="%1、"/>
      <w:lvlJc w:val="left"/>
    </w:lvl>
  </w:abstractNum>
  <w:abstractNum w:abstractNumId="62">
    <w:nsid w:val="6ABC7518"/>
    <w:multiLevelType w:val="singleLevel"/>
    <w:tmpl w:val="6ABC7518"/>
    <w:lvl w:ilvl="0" w:tentative="0">
      <w:start w:val="3"/>
      <w:numFmt w:val="decimal"/>
      <w:suff w:val="nothing"/>
      <w:lvlText w:val="%1、"/>
      <w:lvlJc w:val="left"/>
    </w:lvl>
  </w:abstractNum>
  <w:abstractNum w:abstractNumId="63">
    <w:nsid w:val="6ABC762E"/>
    <w:multiLevelType w:val="singleLevel"/>
    <w:tmpl w:val="6ABC762E"/>
    <w:lvl w:ilvl="0" w:tentative="0">
      <w:start w:val="5"/>
      <w:numFmt w:val="decimal"/>
      <w:suff w:val="nothing"/>
      <w:lvlText w:val="%1、"/>
      <w:lvlJc w:val="left"/>
    </w:lvl>
  </w:abstractNum>
  <w:abstractNum w:abstractNumId="64">
    <w:nsid w:val="6B5860A9"/>
    <w:multiLevelType w:val="multilevel"/>
    <w:tmpl w:val="6B5860A9"/>
    <w:lvl w:ilvl="0" w:tentative="0">
      <w:start w:val="1"/>
      <w:numFmt w:val="bullet"/>
      <w:lvlText w:val=""/>
      <w:lvlJc w:val="left"/>
      <w:pPr>
        <w:tabs>
          <w:tab w:val="left" w:pos="1021"/>
        </w:tabs>
        <w:ind w:left="1021" w:hanging="454"/>
      </w:pPr>
      <w:rPr>
        <w:rFonts w:hint="default" w:ascii="Wingdings" w:hAnsi="Wingdings"/>
      </w:rPr>
    </w:lvl>
    <w:lvl w:ilvl="1" w:tentative="0">
      <w:start w:val="1"/>
      <w:numFmt w:val="bullet"/>
      <w:lvlText w:val=""/>
      <w:lvlJc w:val="left"/>
      <w:pPr>
        <w:tabs>
          <w:tab w:val="left" w:pos="150"/>
        </w:tabs>
        <w:ind w:left="150" w:hanging="420"/>
      </w:pPr>
      <w:rPr>
        <w:rFonts w:hint="default" w:ascii="Wingdings" w:hAnsi="Wingdings"/>
      </w:rPr>
    </w:lvl>
    <w:lvl w:ilvl="2" w:tentative="0">
      <w:start w:val="1"/>
      <w:numFmt w:val="bullet"/>
      <w:lvlText w:val=""/>
      <w:lvlJc w:val="left"/>
      <w:pPr>
        <w:tabs>
          <w:tab w:val="left" w:pos="570"/>
        </w:tabs>
        <w:ind w:left="570" w:hanging="420"/>
      </w:pPr>
      <w:rPr>
        <w:rFonts w:hint="default" w:ascii="Wingdings" w:hAnsi="Wingdings"/>
      </w:rPr>
    </w:lvl>
    <w:lvl w:ilvl="3" w:tentative="0">
      <w:start w:val="1"/>
      <w:numFmt w:val="bullet"/>
      <w:pStyle w:val="1913"/>
      <w:lvlText w:val=""/>
      <w:lvlJc w:val="left"/>
      <w:pPr>
        <w:tabs>
          <w:tab w:val="left" w:pos="964"/>
        </w:tabs>
        <w:ind w:left="964" w:hanging="510"/>
      </w:pPr>
      <w:rPr>
        <w:rFonts w:hint="default" w:ascii="Wingdings" w:hAnsi="Wingdings"/>
      </w:rPr>
    </w:lvl>
    <w:lvl w:ilvl="4" w:tentative="0">
      <w:start w:val="1"/>
      <w:numFmt w:val="chineseCountingThousand"/>
      <w:lvlText w:val="第%5章"/>
      <w:lvlJc w:val="right"/>
      <w:pPr>
        <w:tabs>
          <w:tab w:val="left" w:pos="1410"/>
        </w:tabs>
        <w:ind w:left="1410" w:hanging="420"/>
      </w:pPr>
      <w:rPr>
        <w:rFonts w:hint="eastAsia"/>
      </w:rPr>
    </w:lvl>
    <w:lvl w:ilvl="5" w:tentative="0">
      <w:start w:val="1"/>
      <w:numFmt w:val="bullet"/>
      <w:lvlText w:val=""/>
      <w:lvlJc w:val="left"/>
      <w:pPr>
        <w:tabs>
          <w:tab w:val="left" w:pos="1830"/>
        </w:tabs>
        <w:ind w:left="1830" w:hanging="420"/>
      </w:pPr>
      <w:rPr>
        <w:rFonts w:hint="default" w:ascii="Wingdings" w:hAnsi="Wingdings"/>
      </w:rPr>
    </w:lvl>
    <w:lvl w:ilvl="6" w:tentative="0">
      <w:start w:val="1"/>
      <w:numFmt w:val="bullet"/>
      <w:lvlText w:val=""/>
      <w:lvlJc w:val="left"/>
      <w:pPr>
        <w:tabs>
          <w:tab w:val="left" w:pos="2250"/>
        </w:tabs>
        <w:ind w:left="2250" w:hanging="420"/>
      </w:pPr>
      <w:rPr>
        <w:rFonts w:hint="default" w:ascii="Wingdings" w:hAnsi="Wingdings"/>
      </w:rPr>
    </w:lvl>
    <w:lvl w:ilvl="7" w:tentative="0">
      <w:start w:val="1"/>
      <w:numFmt w:val="bullet"/>
      <w:lvlText w:val=""/>
      <w:lvlJc w:val="left"/>
      <w:pPr>
        <w:tabs>
          <w:tab w:val="left" w:pos="2670"/>
        </w:tabs>
        <w:ind w:left="2670" w:hanging="420"/>
      </w:pPr>
      <w:rPr>
        <w:rFonts w:hint="default" w:ascii="Wingdings" w:hAnsi="Wingdings"/>
      </w:rPr>
    </w:lvl>
    <w:lvl w:ilvl="8" w:tentative="0">
      <w:start w:val="1"/>
      <w:numFmt w:val="bullet"/>
      <w:lvlText w:val=""/>
      <w:lvlJc w:val="left"/>
      <w:pPr>
        <w:tabs>
          <w:tab w:val="left" w:pos="3090"/>
        </w:tabs>
        <w:ind w:left="3090" w:hanging="420"/>
      </w:pPr>
      <w:rPr>
        <w:rFonts w:hint="default" w:ascii="Wingdings" w:hAnsi="Wingdings"/>
      </w:rPr>
    </w:lvl>
  </w:abstractNum>
  <w:abstractNum w:abstractNumId="65">
    <w:nsid w:val="6C76272F"/>
    <w:multiLevelType w:val="multilevel"/>
    <w:tmpl w:val="6C76272F"/>
    <w:lvl w:ilvl="0" w:tentative="0">
      <w:start w:val="1"/>
      <w:numFmt w:val="bullet"/>
      <w:pStyle w:val="1797"/>
      <w:lvlText w:val=""/>
      <w:lvlJc w:val="left"/>
      <w:pPr>
        <w:tabs>
          <w:tab w:val="left" w:pos="902"/>
        </w:tabs>
        <w:ind w:left="902" w:hanging="420"/>
      </w:pPr>
      <w:rPr>
        <w:rFonts w:hint="default" w:ascii="Wingdings" w:hAnsi="Wingdings"/>
      </w:rPr>
    </w:lvl>
    <w:lvl w:ilvl="1" w:tentative="0">
      <w:start w:val="1"/>
      <w:numFmt w:val="bullet"/>
      <w:lvlText w:val=""/>
      <w:lvlJc w:val="left"/>
      <w:pPr>
        <w:tabs>
          <w:tab w:val="left" w:pos="1322"/>
        </w:tabs>
        <w:ind w:left="1322" w:hanging="420"/>
      </w:pPr>
      <w:rPr>
        <w:rFonts w:hint="default" w:ascii="Wingdings" w:hAnsi="Wingdings"/>
      </w:rPr>
    </w:lvl>
    <w:lvl w:ilvl="2" w:tentative="0">
      <w:start w:val="1"/>
      <w:numFmt w:val="bullet"/>
      <w:lvlText w:val=""/>
      <w:lvlJc w:val="left"/>
      <w:pPr>
        <w:tabs>
          <w:tab w:val="left" w:pos="1742"/>
        </w:tabs>
        <w:ind w:left="1742" w:hanging="420"/>
      </w:pPr>
      <w:rPr>
        <w:rFonts w:hint="default" w:ascii="Wingdings" w:hAnsi="Wingdings"/>
      </w:rPr>
    </w:lvl>
    <w:lvl w:ilvl="3" w:tentative="0">
      <w:start w:val="1"/>
      <w:numFmt w:val="bullet"/>
      <w:lvlText w:val=""/>
      <w:lvlJc w:val="left"/>
      <w:pPr>
        <w:tabs>
          <w:tab w:val="left" w:pos="2162"/>
        </w:tabs>
        <w:ind w:left="2162" w:hanging="420"/>
      </w:pPr>
      <w:rPr>
        <w:rFonts w:hint="default" w:ascii="Wingdings" w:hAnsi="Wingdings"/>
      </w:rPr>
    </w:lvl>
    <w:lvl w:ilvl="4" w:tentative="0">
      <w:start w:val="1"/>
      <w:numFmt w:val="bullet"/>
      <w:lvlText w:val=""/>
      <w:lvlJc w:val="left"/>
      <w:pPr>
        <w:tabs>
          <w:tab w:val="left" w:pos="2582"/>
        </w:tabs>
        <w:ind w:left="2582" w:hanging="420"/>
      </w:pPr>
      <w:rPr>
        <w:rFonts w:hint="default" w:ascii="Wingdings" w:hAnsi="Wingdings"/>
      </w:rPr>
    </w:lvl>
    <w:lvl w:ilvl="5" w:tentative="0">
      <w:start w:val="1"/>
      <w:numFmt w:val="bullet"/>
      <w:lvlText w:val=""/>
      <w:lvlJc w:val="left"/>
      <w:pPr>
        <w:tabs>
          <w:tab w:val="left" w:pos="3002"/>
        </w:tabs>
        <w:ind w:left="3002" w:hanging="420"/>
      </w:pPr>
      <w:rPr>
        <w:rFonts w:hint="default" w:ascii="Wingdings" w:hAnsi="Wingdings"/>
      </w:rPr>
    </w:lvl>
    <w:lvl w:ilvl="6" w:tentative="0">
      <w:start w:val="1"/>
      <w:numFmt w:val="bullet"/>
      <w:lvlText w:val=""/>
      <w:lvlJc w:val="left"/>
      <w:pPr>
        <w:tabs>
          <w:tab w:val="left" w:pos="3422"/>
        </w:tabs>
        <w:ind w:left="3422" w:hanging="420"/>
      </w:pPr>
      <w:rPr>
        <w:rFonts w:hint="default" w:ascii="Wingdings" w:hAnsi="Wingdings"/>
      </w:rPr>
    </w:lvl>
    <w:lvl w:ilvl="7" w:tentative="0">
      <w:start w:val="1"/>
      <w:numFmt w:val="bullet"/>
      <w:lvlText w:val=""/>
      <w:lvlJc w:val="left"/>
      <w:pPr>
        <w:tabs>
          <w:tab w:val="left" w:pos="3842"/>
        </w:tabs>
        <w:ind w:left="3842" w:hanging="420"/>
      </w:pPr>
      <w:rPr>
        <w:rFonts w:hint="default" w:ascii="Wingdings" w:hAnsi="Wingdings"/>
      </w:rPr>
    </w:lvl>
    <w:lvl w:ilvl="8" w:tentative="0">
      <w:start w:val="1"/>
      <w:numFmt w:val="bullet"/>
      <w:lvlText w:val=""/>
      <w:lvlJc w:val="left"/>
      <w:pPr>
        <w:tabs>
          <w:tab w:val="left" w:pos="4262"/>
        </w:tabs>
        <w:ind w:left="4262" w:hanging="420"/>
      </w:pPr>
      <w:rPr>
        <w:rFonts w:hint="default" w:ascii="Wingdings" w:hAnsi="Wingdings"/>
      </w:rPr>
    </w:lvl>
  </w:abstractNum>
  <w:abstractNum w:abstractNumId="66">
    <w:nsid w:val="705F2CAA"/>
    <w:multiLevelType w:val="multilevel"/>
    <w:tmpl w:val="705F2CAA"/>
    <w:lvl w:ilvl="0" w:tentative="0">
      <w:start w:val="1"/>
      <w:numFmt w:val="decimal"/>
      <w:pStyle w:val="202"/>
      <w:lvlText w:val="%1"/>
      <w:lvlJc w:val="left"/>
      <w:pPr>
        <w:tabs>
          <w:tab w:val="left" w:pos="0"/>
        </w:tabs>
        <w:ind w:left="432" w:hanging="432"/>
      </w:pPr>
      <w:rPr>
        <w:rFonts w:hint="eastAsia"/>
      </w:rPr>
    </w:lvl>
    <w:lvl w:ilvl="1" w:tentative="0">
      <w:start w:val="1"/>
      <w:numFmt w:val="decimal"/>
      <w:pStyle w:val="201"/>
      <w:lvlText w:val="%1.%2"/>
      <w:lvlJc w:val="left"/>
      <w:pPr>
        <w:tabs>
          <w:tab w:val="left" w:pos="0"/>
        </w:tabs>
        <w:ind w:left="576" w:hanging="576"/>
      </w:pPr>
      <w:rPr>
        <w:rFonts w:hint="eastAsia"/>
      </w:rPr>
    </w:lvl>
    <w:lvl w:ilvl="2" w:tentative="0">
      <w:start w:val="1"/>
      <w:numFmt w:val="decimal"/>
      <w:lvlText w:val="%1.%2.%3"/>
      <w:lvlJc w:val="left"/>
      <w:pPr>
        <w:tabs>
          <w:tab w:val="left" w:pos="0"/>
        </w:tabs>
        <w:ind w:left="720" w:hanging="720"/>
      </w:pPr>
      <w:rPr>
        <w:rFonts w:hint="eastAsia"/>
      </w:rPr>
    </w:lvl>
    <w:lvl w:ilvl="3" w:tentative="0">
      <w:start w:val="1"/>
      <w:numFmt w:val="decimal"/>
      <w:pStyle w:val="238"/>
      <w:lvlText w:val="%1.%2.%3.%4"/>
      <w:lvlJc w:val="left"/>
      <w:pPr>
        <w:tabs>
          <w:tab w:val="left" w:pos="0"/>
        </w:tabs>
        <w:ind w:left="864" w:hanging="864"/>
      </w:pPr>
      <w:rPr>
        <w:rFonts w:hint="eastAsia"/>
      </w:rPr>
    </w:lvl>
    <w:lvl w:ilvl="4" w:tentative="0">
      <w:start w:val="1"/>
      <w:numFmt w:val="decimal"/>
      <w:pStyle w:val="237"/>
      <w:lvlText w:val="%1.%2.%3.%4.%5"/>
      <w:lvlJc w:val="left"/>
      <w:pPr>
        <w:tabs>
          <w:tab w:val="left" w:pos="0"/>
        </w:tabs>
        <w:ind w:left="1008" w:hanging="1008"/>
      </w:pPr>
      <w:rPr>
        <w:rFonts w:hint="eastAsia"/>
      </w:rPr>
    </w:lvl>
    <w:lvl w:ilvl="5" w:tentative="0">
      <w:start w:val="1"/>
      <w:numFmt w:val="decimal"/>
      <w:pStyle w:val="246"/>
      <w:suff w:val="space"/>
      <w:lvlText w:val="%1.%2.%3.%4.%5.%6"/>
      <w:lvlJc w:val="left"/>
      <w:pPr>
        <w:ind w:left="425" w:hanging="425"/>
      </w:pPr>
      <w:rPr>
        <w:rFonts w:hint="eastAsia"/>
      </w:rPr>
    </w:lvl>
    <w:lvl w:ilvl="6" w:tentative="0">
      <w:start w:val="1"/>
      <w:numFmt w:val="decimal"/>
      <w:pStyle w:val="259"/>
      <w:suff w:val="space"/>
      <w:lvlText w:val="%1.%2.%3.%4.%5.%6.%7"/>
      <w:lvlJc w:val="left"/>
      <w:pPr>
        <w:ind w:left="425" w:hanging="425"/>
      </w:pPr>
      <w:rPr>
        <w:rFonts w:hint="eastAsia"/>
      </w:rPr>
    </w:lvl>
    <w:lvl w:ilvl="7" w:tentative="0">
      <w:start w:val="1"/>
      <w:numFmt w:val="decimal"/>
      <w:pStyle w:val="222"/>
      <w:suff w:val="space"/>
      <w:lvlText w:val="%1.%2.%3.%4.%5.%6.%7.%8"/>
      <w:lvlJc w:val="left"/>
      <w:pPr>
        <w:ind w:left="425" w:hanging="425"/>
      </w:pPr>
      <w:rPr>
        <w:rFonts w:hint="eastAsia"/>
      </w:rPr>
    </w:lvl>
    <w:lvl w:ilvl="8" w:tentative="0">
      <w:start w:val="1"/>
      <w:numFmt w:val="decimal"/>
      <w:lvlText w:val="%1.%2.%3.%4.%5.%6.%7.%8.%9"/>
      <w:lvlJc w:val="left"/>
      <w:pPr>
        <w:tabs>
          <w:tab w:val="left" w:pos="0"/>
        </w:tabs>
        <w:ind w:left="1584" w:hanging="1584"/>
      </w:pPr>
      <w:rPr>
        <w:rFonts w:hint="eastAsia"/>
      </w:rPr>
    </w:lvl>
  </w:abstractNum>
  <w:abstractNum w:abstractNumId="67">
    <w:nsid w:val="71DB2577"/>
    <w:multiLevelType w:val="multilevel"/>
    <w:tmpl w:val="71DB2577"/>
    <w:lvl w:ilvl="0" w:tentative="0">
      <w:start w:val="1"/>
      <w:numFmt w:val="bullet"/>
      <w:pStyle w:val="1903"/>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8">
    <w:nsid w:val="74510DF3"/>
    <w:multiLevelType w:val="multilevel"/>
    <w:tmpl w:val="74510DF3"/>
    <w:lvl w:ilvl="0" w:tentative="0">
      <w:start w:val="1"/>
      <w:numFmt w:val="decimal"/>
      <w:pStyle w:val="1172"/>
      <w:lvlText w:val="表%1"/>
      <w:lvlJc w:val="left"/>
      <w:pPr>
        <w:tabs>
          <w:tab w:val="left" w:pos="1202"/>
        </w:tabs>
        <w:ind w:left="482" w:firstLine="0"/>
      </w:pPr>
      <w:rPr>
        <w:rFonts w:hint="eastAsia"/>
      </w:rPr>
    </w:lvl>
    <w:lvl w:ilvl="1" w:tentative="0">
      <w:start w:val="1"/>
      <w:numFmt w:val="none"/>
      <w:suff w:val="nothing"/>
      <w:lvlText w:val=""/>
      <w:lvlJc w:val="left"/>
      <w:pPr>
        <w:ind w:left="482" w:firstLine="0"/>
      </w:pPr>
      <w:rPr>
        <w:rFonts w:hint="eastAsia"/>
      </w:rPr>
    </w:lvl>
    <w:lvl w:ilvl="2" w:tentative="0">
      <w:start w:val="1"/>
      <w:numFmt w:val="none"/>
      <w:suff w:val="nothing"/>
      <w:lvlText w:val=""/>
      <w:lvlJc w:val="left"/>
      <w:pPr>
        <w:ind w:left="482" w:firstLine="0"/>
      </w:pPr>
      <w:rPr>
        <w:rFonts w:hint="eastAsia"/>
      </w:rPr>
    </w:lvl>
    <w:lvl w:ilvl="3" w:tentative="0">
      <w:start w:val="1"/>
      <w:numFmt w:val="none"/>
      <w:suff w:val="nothing"/>
      <w:lvlText w:val=""/>
      <w:lvlJc w:val="left"/>
      <w:pPr>
        <w:ind w:left="482" w:firstLine="0"/>
      </w:pPr>
      <w:rPr>
        <w:rFonts w:hint="eastAsia"/>
      </w:rPr>
    </w:lvl>
    <w:lvl w:ilvl="4" w:tentative="0">
      <w:start w:val="1"/>
      <w:numFmt w:val="none"/>
      <w:suff w:val="nothing"/>
      <w:lvlText w:val=""/>
      <w:lvlJc w:val="left"/>
      <w:pPr>
        <w:ind w:left="482" w:firstLine="0"/>
      </w:pPr>
      <w:rPr>
        <w:rFonts w:hint="eastAsia"/>
      </w:rPr>
    </w:lvl>
    <w:lvl w:ilvl="5" w:tentative="0">
      <w:start w:val="1"/>
      <w:numFmt w:val="none"/>
      <w:suff w:val="nothing"/>
      <w:lvlText w:val=""/>
      <w:lvlJc w:val="left"/>
      <w:pPr>
        <w:ind w:left="482" w:firstLine="0"/>
      </w:pPr>
      <w:rPr>
        <w:rFonts w:hint="eastAsia"/>
      </w:rPr>
    </w:lvl>
    <w:lvl w:ilvl="6" w:tentative="0">
      <w:start w:val="1"/>
      <w:numFmt w:val="none"/>
      <w:suff w:val="nothing"/>
      <w:lvlText w:val=""/>
      <w:lvlJc w:val="left"/>
      <w:pPr>
        <w:ind w:left="482" w:firstLine="0"/>
      </w:pPr>
      <w:rPr>
        <w:rFonts w:hint="eastAsia"/>
      </w:rPr>
    </w:lvl>
    <w:lvl w:ilvl="7" w:tentative="0">
      <w:start w:val="1"/>
      <w:numFmt w:val="none"/>
      <w:suff w:val="nothing"/>
      <w:lvlText w:val=""/>
      <w:lvlJc w:val="left"/>
      <w:pPr>
        <w:ind w:left="482" w:firstLine="0"/>
      </w:pPr>
      <w:rPr>
        <w:rFonts w:hint="eastAsia"/>
      </w:rPr>
    </w:lvl>
    <w:lvl w:ilvl="8" w:tentative="0">
      <w:start w:val="1"/>
      <w:numFmt w:val="none"/>
      <w:suff w:val="nothing"/>
      <w:lvlText w:val=""/>
      <w:lvlJc w:val="left"/>
      <w:pPr>
        <w:ind w:left="482" w:firstLine="0"/>
      </w:pPr>
      <w:rPr>
        <w:rFonts w:hint="eastAsia"/>
      </w:rPr>
    </w:lvl>
  </w:abstractNum>
  <w:abstractNum w:abstractNumId="69">
    <w:nsid w:val="768F13BF"/>
    <w:multiLevelType w:val="multilevel"/>
    <w:tmpl w:val="768F13BF"/>
    <w:lvl w:ilvl="0" w:tentative="0">
      <w:start w:val="1"/>
      <w:numFmt w:val="bullet"/>
      <w:pStyle w:val="1051"/>
      <w:lvlText w:val=""/>
      <w:lvlJc w:val="left"/>
      <w:pPr>
        <w:tabs>
          <w:tab w:val="left" w:pos="780"/>
        </w:tabs>
        <w:ind w:left="704" w:hanging="284"/>
      </w:pPr>
      <w:rPr>
        <w:rFonts w:hint="default" w:ascii="Wingdings" w:hAnsi="Wingdings"/>
        <w:sz w:val="21"/>
      </w:rPr>
    </w:lvl>
    <w:lvl w:ilvl="1" w:tentative="0">
      <w:start w:val="1"/>
      <w:numFmt w:val="bullet"/>
      <w:lvlText w:val=""/>
      <w:lvlJc w:val="left"/>
      <w:pPr>
        <w:tabs>
          <w:tab w:val="left" w:pos="415"/>
        </w:tabs>
        <w:ind w:left="415" w:hanging="420"/>
      </w:pPr>
      <w:rPr>
        <w:rFonts w:hint="default" w:ascii="Wingdings" w:hAnsi="Wingdings"/>
      </w:rPr>
    </w:lvl>
    <w:lvl w:ilvl="2" w:tentative="0">
      <w:start w:val="1"/>
      <w:numFmt w:val="bullet"/>
      <w:lvlText w:val=""/>
      <w:lvlJc w:val="left"/>
      <w:pPr>
        <w:tabs>
          <w:tab w:val="left" w:pos="835"/>
        </w:tabs>
        <w:ind w:left="835" w:hanging="420"/>
      </w:pPr>
      <w:rPr>
        <w:rFonts w:hint="default" w:ascii="Wingdings" w:hAnsi="Wingdings"/>
      </w:rPr>
    </w:lvl>
    <w:lvl w:ilvl="3" w:tentative="0">
      <w:start w:val="1"/>
      <w:numFmt w:val="bullet"/>
      <w:lvlText w:val=""/>
      <w:lvlJc w:val="left"/>
      <w:pPr>
        <w:tabs>
          <w:tab w:val="left" w:pos="1255"/>
        </w:tabs>
        <w:ind w:left="1255" w:hanging="420"/>
      </w:pPr>
      <w:rPr>
        <w:rFonts w:hint="default" w:ascii="Wingdings" w:hAnsi="Wingdings"/>
      </w:rPr>
    </w:lvl>
    <w:lvl w:ilvl="4" w:tentative="0">
      <w:start w:val="1"/>
      <w:numFmt w:val="bullet"/>
      <w:lvlText w:val=""/>
      <w:lvlJc w:val="left"/>
      <w:pPr>
        <w:tabs>
          <w:tab w:val="left" w:pos="1675"/>
        </w:tabs>
        <w:ind w:left="1675" w:hanging="420"/>
      </w:pPr>
      <w:rPr>
        <w:rFonts w:hint="default" w:ascii="Wingdings" w:hAnsi="Wingdings"/>
      </w:rPr>
    </w:lvl>
    <w:lvl w:ilvl="5" w:tentative="0">
      <w:start w:val="1"/>
      <w:numFmt w:val="bullet"/>
      <w:lvlText w:val=""/>
      <w:lvlJc w:val="left"/>
      <w:pPr>
        <w:tabs>
          <w:tab w:val="left" w:pos="2095"/>
        </w:tabs>
        <w:ind w:left="2095" w:hanging="420"/>
      </w:pPr>
      <w:rPr>
        <w:rFonts w:hint="default" w:ascii="Wingdings" w:hAnsi="Wingdings"/>
      </w:rPr>
    </w:lvl>
    <w:lvl w:ilvl="6" w:tentative="0">
      <w:start w:val="1"/>
      <w:numFmt w:val="bullet"/>
      <w:lvlText w:val=""/>
      <w:lvlJc w:val="left"/>
      <w:pPr>
        <w:tabs>
          <w:tab w:val="left" w:pos="2515"/>
        </w:tabs>
        <w:ind w:left="2515" w:hanging="420"/>
      </w:pPr>
      <w:rPr>
        <w:rFonts w:hint="default" w:ascii="Wingdings" w:hAnsi="Wingdings"/>
      </w:rPr>
    </w:lvl>
    <w:lvl w:ilvl="7" w:tentative="0">
      <w:start w:val="1"/>
      <w:numFmt w:val="bullet"/>
      <w:lvlText w:val=""/>
      <w:lvlJc w:val="left"/>
      <w:pPr>
        <w:tabs>
          <w:tab w:val="left" w:pos="2935"/>
        </w:tabs>
        <w:ind w:left="2935" w:hanging="420"/>
      </w:pPr>
      <w:rPr>
        <w:rFonts w:hint="default" w:ascii="Wingdings" w:hAnsi="Wingdings"/>
      </w:rPr>
    </w:lvl>
    <w:lvl w:ilvl="8" w:tentative="0">
      <w:start w:val="1"/>
      <w:numFmt w:val="bullet"/>
      <w:lvlText w:val=""/>
      <w:lvlJc w:val="left"/>
      <w:pPr>
        <w:tabs>
          <w:tab w:val="left" w:pos="3355"/>
        </w:tabs>
        <w:ind w:left="3355" w:hanging="420"/>
      </w:pPr>
      <w:rPr>
        <w:rFonts w:hint="default" w:ascii="Wingdings" w:hAnsi="Wingdings"/>
      </w:rPr>
    </w:lvl>
  </w:abstractNum>
  <w:abstractNum w:abstractNumId="70">
    <w:nsid w:val="79503FED"/>
    <w:multiLevelType w:val="singleLevel"/>
    <w:tmpl w:val="79503FED"/>
    <w:lvl w:ilvl="0" w:tentative="0">
      <w:start w:val="1"/>
      <w:numFmt w:val="bullet"/>
      <w:pStyle w:val="1305"/>
      <w:lvlText w:val=""/>
      <w:lvlJc w:val="left"/>
      <w:pPr>
        <w:tabs>
          <w:tab w:val="left" w:pos="425"/>
        </w:tabs>
        <w:ind w:left="425" w:hanging="425"/>
      </w:pPr>
      <w:rPr>
        <w:rFonts w:hint="default" w:ascii="Wingdings" w:hAnsi="Wingdings"/>
      </w:rPr>
    </w:lvl>
  </w:abstractNum>
  <w:abstractNum w:abstractNumId="71">
    <w:nsid w:val="7A026210"/>
    <w:multiLevelType w:val="multilevel"/>
    <w:tmpl w:val="7A026210"/>
    <w:lvl w:ilvl="0" w:tentative="0">
      <w:start w:val="1"/>
      <w:numFmt w:val="decimal"/>
      <w:pStyle w:val="1190"/>
      <w:lvlText w:val="%1)"/>
      <w:lvlJc w:val="left"/>
      <w:pPr>
        <w:tabs>
          <w:tab w:val="left" w:pos="620"/>
        </w:tabs>
        <w:ind w:left="620" w:hanging="420"/>
      </w:pPr>
    </w:lvl>
    <w:lvl w:ilvl="1" w:tentative="0">
      <w:start w:val="1"/>
      <w:numFmt w:val="lowerLetter"/>
      <w:lvlText w:val="%2)"/>
      <w:lvlJc w:val="left"/>
      <w:pPr>
        <w:tabs>
          <w:tab w:val="left" w:pos="1040"/>
        </w:tabs>
        <w:ind w:left="1040" w:hanging="420"/>
      </w:pPr>
    </w:lvl>
    <w:lvl w:ilvl="2" w:tentative="0">
      <w:start w:val="1"/>
      <w:numFmt w:val="lowerRoman"/>
      <w:lvlText w:val="%3."/>
      <w:lvlJc w:val="right"/>
      <w:pPr>
        <w:tabs>
          <w:tab w:val="left" w:pos="1460"/>
        </w:tabs>
        <w:ind w:left="1460" w:hanging="420"/>
      </w:pPr>
    </w:lvl>
    <w:lvl w:ilvl="3" w:tentative="0">
      <w:start w:val="1"/>
      <w:numFmt w:val="decimal"/>
      <w:lvlText w:val="%4."/>
      <w:lvlJc w:val="left"/>
      <w:pPr>
        <w:tabs>
          <w:tab w:val="left" w:pos="1880"/>
        </w:tabs>
        <w:ind w:left="1880" w:hanging="420"/>
      </w:pPr>
    </w:lvl>
    <w:lvl w:ilvl="4" w:tentative="0">
      <w:start w:val="1"/>
      <w:numFmt w:val="lowerLetter"/>
      <w:lvlText w:val="%5)"/>
      <w:lvlJc w:val="left"/>
      <w:pPr>
        <w:tabs>
          <w:tab w:val="left" w:pos="2300"/>
        </w:tabs>
        <w:ind w:left="2300" w:hanging="420"/>
      </w:pPr>
    </w:lvl>
    <w:lvl w:ilvl="5" w:tentative="0">
      <w:start w:val="1"/>
      <w:numFmt w:val="lowerRoman"/>
      <w:lvlText w:val="%6."/>
      <w:lvlJc w:val="right"/>
      <w:pPr>
        <w:tabs>
          <w:tab w:val="left" w:pos="2720"/>
        </w:tabs>
        <w:ind w:left="2720" w:hanging="420"/>
      </w:p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72">
    <w:nsid w:val="7C187AA0"/>
    <w:multiLevelType w:val="multilevel"/>
    <w:tmpl w:val="7C187AA0"/>
    <w:lvl w:ilvl="0" w:tentative="0">
      <w:start w:val="1"/>
      <w:numFmt w:val="bullet"/>
      <w:pStyle w:val="1475"/>
      <w:lvlText w:val=""/>
      <w:lvlJc w:val="left"/>
      <w:pPr>
        <w:tabs>
          <w:tab w:val="left" w:pos="1040"/>
        </w:tabs>
        <w:ind w:left="0" w:firstLine="68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3"/>
  </w:num>
  <w:num w:numId="3">
    <w:abstractNumId w:val="4"/>
  </w:num>
  <w:num w:numId="4">
    <w:abstractNumId w:val="2"/>
  </w:num>
  <w:num w:numId="5">
    <w:abstractNumId w:val="0"/>
  </w:num>
  <w:num w:numId="6">
    <w:abstractNumId w:val="66"/>
  </w:num>
  <w:num w:numId="7">
    <w:abstractNumId w:val="5"/>
  </w:num>
  <w:num w:numId="8">
    <w:abstractNumId w:val="24"/>
  </w:num>
  <w:num w:numId="9">
    <w:abstractNumId w:val="51"/>
  </w:num>
  <w:num w:numId="10">
    <w:abstractNumId w:val="33"/>
  </w:num>
  <w:num w:numId="11">
    <w:abstractNumId w:val="56"/>
  </w:num>
  <w:num w:numId="12">
    <w:abstractNumId w:val="57"/>
  </w:num>
  <w:num w:numId="13">
    <w:abstractNumId w:val="26"/>
  </w:num>
  <w:num w:numId="14">
    <w:abstractNumId w:val="38"/>
  </w:num>
  <w:num w:numId="15">
    <w:abstractNumId w:val="27"/>
  </w:num>
  <w:num w:numId="16">
    <w:abstractNumId w:val="55"/>
  </w:num>
  <w:num w:numId="17">
    <w:abstractNumId w:val="45"/>
  </w:num>
  <w:num w:numId="18">
    <w:abstractNumId w:val="23"/>
  </w:num>
  <w:num w:numId="19">
    <w:abstractNumId w:val="50"/>
  </w:num>
  <w:num w:numId="20">
    <w:abstractNumId w:val="69"/>
  </w:num>
  <w:num w:numId="21">
    <w:abstractNumId w:val="10"/>
  </w:num>
  <w:num w:numId="22">
    <w:abstractNumId w:val="19"/>
  </w:num>
  <w:num w:numId="23">
    <w:abstractNumId w:val="22"/>
  </w:num>
  <w:num w:numId="24">
    <w:abstractNumId w:val="40"/>
  </w:num>
  <w:num w:numId="25">
    <w:abstractNumId w:val="17"/>
  </w:num>
  <w:num w:numId="26">
    <w:abstractNumId w:val="20"/>
  </w:num>
  <w:num w:numId="27">
    <w:abstractNumId w:val="68"/>
  </w:num>
  <w:num w:numId="28">
    <w:abstractNumId w:val="7"/>
  </w:num>
  <w:num w:numId="29">
    <w:abstractNumId w:val="71"/>
  </w:num>
  <w:num w:numId="30">
    <w:abstractNumId w:val="12"/>
  </w:num>
  <w:num w:numId="31">
    <w:abstractNumId w:val="41"/>
  </w:num>
  <w:num w:numId="32">
    <w:abstractNumId w:val="9"/>
  </w:num>
  <w:num w:numId="33">
    <w:abstractNumId w:val="21"/>
  </w:num>
  <w:num w:numId="34">
    <w:abstractNumId w:val="58"/>
  </w:num>
  <w:num w:numId="35">
    <w:abstractNumId w:val="8"/>
  </w:num>
  <w:num w:numId="36">
    <w:abstractNumId w:val="70"/>
  </w:num>
  <w:num w:numId="37">
    <w:abstractNumId w:val="14"/>
  </w:num>
  <w:num w:numId="38">
    <w:abstractNumId w:val="46"/>
  </w:num>
  <w:num w:numId="39">
    <w:abstractNumId w:val="28"/>
  </w:num>
  <w:num w:numId="40">
    <w:abstractNumId w:val="13"/>
  </w:num>
  <w:num w:numId="41">
    <w:abstractNumId w:val="72"/>
  </w:num>
  <w:num w:numId="42">
    <w:abstractNumId w:val="35"/>
  </w:num>
  <w:num w:numId="43">
    <w:abstractNumId w:val="52"/>
  </w:num>
  <w:num w:numId="44">
    <w:abstractNumId w:val="18"/>
  </w:num>
  <w:num w:numId="45">
    <w:abstractNumId w:val="39"/>
  </w:num>
  <w:num w:numId="46">
    <w:abstractNumId w:val="54"/>
  </w:num>
  <w:num w:numId="47">
    <w:abstractNumId w:val="34"/>
  </w:num>
  <w:num w:numId="48">
    <w:abstractNumId w:val="44"/>
  </w:num>
  <w:num w:numId="49">
    <w:abstractNumId w:val="15"/>
  </w:num>
  <w:num w:numId="50">
    <w:abstractNumId w:val="31"/>
  </w:num>
  <w:num w:numId="51">
    <w:abstractNumId w:val="25"/>
  </w:num>
  <w:num w:numId="52">
    <w:abstractNumId w:val="53"/>
  </w:num>
  <w:num w:numId="53">
    <w:abstractNumId w:val="16"/>
  </w:num>
  <w:num w:numId="54">
    <w:abstractNumId w:val="49"/>
  </w:num>
  <w:num w:numId="55">
    <w:abstractNumId w:val="32"/>
  </w:num>
  <w:num w:numId="56">
    <w:abstractNumId w:val="65"/>
  </w:num>
  <w:num w:numId="57">
    <w:abstractNumId w:val="42"/>
  </w:num>
  <w:num w:numId="58">
    <w:abstractNumId w:val="43"/>
  </w:num>
  <w:num w:numId="59">
    <w:abstractNumId w:val="36"/>
  </w:num>
  <w:num w:numId="60">
    <w:abstractNumId w:val="67"/>
  </w:num>
  <w:num w:numId="61">
    <w:abstractNumId w:val="64"/>
  </w:num>
  <w:num w:numId="62">
    <w:abstractNumId w:val="48"/>
  </w:num>
  <w:num w:numId="63">
    <w:abstractNumId w:val="47"/>
  </w:num>
  <w:num w:numId="64">
    <w:abstractNumId w:val="11"/>
  </w:num>
  <w:num w:numId="65">
    <w:abstractNumId w:val="30"/>
  </w:num>
  <w:num w:numId="66">
    <w:abstractNumId w:val="6"/>
  </w:num>
  <w:num w:numId="67">
    <w:abstractNumId w:val="29"/>
  </w:num>
  <w:num w:numId="68">
    <w:abstractNumId w:val="61"/>
  </w:num>
  <w:num w:numId="69">
    <w:abstractNumId w:val="59"/>
  </w:num>
  <w:num w:numId="70">
    <w:abstractNumId w:val="60"/>
  </w:num>
  <w:num w:numId="71">
    <w:abstractNumId w:val="62"/>
  </w:num>
  <w:num w:numId="72">
    <w:abstractNumId w:val="63"/>
  </w:num>
  <w:num w:numId="7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NDAxNmZmOTgwMDEyOGE4MmI1MzU0Zjg2ZGRhYTM3NTA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92A"/>
    <w:rsid w:val="00004A22"/>
    <w:rsid w:val="00004C44"/>
    <w:rsid w:val="00004D13"/>
    <w:rsid w:val="00004E70"/>
    <w:rsid w:val="0000508D"/>
    <w:rsid w:val="000051DC"/>
    <w:rsid w:val="00005232"/>
    <w:rsid w:val="000053B4"/>
    <w:rsid w:val="00005407"/>
    <w:rsid w:val="00005905"/>
    <w:rsid w:val="00005A31"/>
    <w:rsid w:val="00005AF1"/>
    <w:rsid w:val="00005B25"/>
    <w:rsid w:val="00005DF0"/>
    <w:rsid w:val="00005EC8"/>
    <w:rsid w:val="00005F46"/>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98B"/>
    <w:rsid w:val="00010DB9"/>
    <w:rsid w:val="00010E8F"/>
    <w:rsid w:val="0001107B"/>
    <w:rsid w:val="0001121F"/>
    <w:rsid w:val="0001127B"/>
    <w:rsid w:val="000112A5"/>
    <w:rsid w:val="00011565"/>
    <w:rsid w:val="00011793"/>
    <w:rsid w:val="000118AD"/>
    <w:rsid w:val="00011AFF"/>
    <w:rsid w:val="00011BD5"/>
    <w:rsid w:val="00011DA9"/>
    <w:rsid w:val="00011ED3"/>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5F0"/>
    <w:rsid w:val="00014851"/>
    <w:rsid w:val="000149E0"/>
    <w:rsid w:val="00014D98"/>
    <w:rsid w:val="00014E43"/>
    <w:rsid w:val="00015030"/>
    <w:rsid w:val="00015094"/>
    <w:rsid w:val="0001518B"/>
    <w:rsid w:val="000151D7"/>
    <w:rsid w:val="00015316"/>
    <w:rsid w:val="000154B9"/>
    <w:rsid w:val="00015645"/>
    <w:rsid w:val="000156A3"/>
    <w:rsid w:val="0001576D"/>
    <w:rsid w:val="000157C2"/>
    <w:rsid w:val="00015AE4"/>
    <w:rsid w:val="00015C1D"/>
    <w:rsid w:val="00015D20"/>
    <w:rsid w:val="00015D38"/>
    <w:rsid w:val="00015E57"/>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50"/>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77"/>
    <w:rsid w:val="00022BE1"/>
    <w:rsid w:val="00022C7A"/>
    <w:rsid w:val="00022D53"/>
    <w:rsid w:val="00022F7D"/>
    <w:rsid w:val="0002328F"/>
    <w:rsid w:val="00023342"/>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582"/>
    <w:rsid w:val="00030640"/>
    <w:rsid w:val="0003072E"/>
    <w:rsid w:val="000307A8"/>
    <w:rsid w:val="00030887"/>
    <w:rsid w:val="00030993"/>
    <w:rsid w:val="00030D81"/>
    <w:rsid w:val="00030EDC"/>
    <w:rsid w:val="00031069"/>
    <w:rsid w:val="000313A2"/>
    <w:rsid w:val="000313C2"/>
    <w:rsid w:val="00031442"/>
    <w:rsid w:val="0003146F"/>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9CB"/>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1F3"/>
    <w:rsid w:val="000403CA"/>
    <w:rsid w:val="0004042F"/>
    <w:rsid w:val="0004060C"/>
    <w:rsid w:val="0004076D"/>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99"/>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482"/>
    <w:rsid w:val="00045514"/>
    <w:rsid w:val="00045678"/>
    <w:rsid w:val="0004567A"/>
    <w:rsid w:val="000456B3"/>
    <w:rsid w:val="00045730"/>
    <w:rsid w:val="0004576A"/>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C5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436"/>
    <w:rsid w:val="00052978"/>
    <w:rsid w:val="00052D2A"/>
    <w:rsid w:val="00052FD2"/>
    <w:rsid w:val="00053251"/>
    <w:rsid w:val="000535E6"/>
    <w:rsid w:val="00053890"/>
    <w:rsid w:val="000539CC"/>
    <w:rsid w:val="00053AC5"/>
    <w:rsid w:val="00053B80"/>
    <w:rsid w:val="00053E3D"/>
    <w:rsid w:val="00054265"/>
    <w:rsid w:val="0005434F"/>
    <w:rsid w:val="0005473C"/>
    <w:rsid w:val="000547F3"/>
    <w:rsid w:val="000548B1"/>
    <w:rsid w:val="00054A1D"/>
    <w:rsid w:val="00054B62"/>
    <w:rsid w:val="00054BB5"/>
    <w:rsid w:val="00054CED"/>
    <w:rsid w:val="00054E53"/>
    <w:rsid w:val="00054E6E"/>
    <w:rsid w:val="00055046"/>
    <w:rsid w:val="00055165"/>
    <w:rsid w:val="00055298"/>
    <w:rsid w:val="000553C0"/>
    <w:rsid w:val="00055594"/>
    <w:rsid w:val="000555BE"/>
    <w:rsid w:val="00055637"/>
    <w:rsid w:val="0005569F"/>
    <w:rsid w:val="00055AA6"/>
    <w:rsid w:val="00055B14"/>
    <w:rsid w:val="00055DD7"/>
    <w:rsid w:val="00055F08"/>
    <w:rsid w:val="00055F19"/>
    <w:rsid w:val="00056003"/>
    <w:rsid w:val="000560E2"/>
    <w:rsid w:val="0005626D"/>
    <w:rsid w:val="000562AB"/>
    <w:rsid w:val="000563FA"/>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2C63"/>
    <w:rsid w:val="000630BA"/>
    <w:rsid w:val="0006314D"/>
    <w:rsid w:val="0006336F"/>
    <w:rsid w:val="000633D6"/>
    <w:rsid w:val="000634A5"/>
    <w:rsid w:val="00063593"/>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91"/>
    <w:rsid w:val="00065FDC"/>
    <w:rsid w:val="00066242"/>
    <w:rsid w:val="000665A0"/>
    <w:rsid w:val="000666C4"/>
    <w:rsid w:val="000668C9"/>
    <w:rsid w:val="000668D7"/>
    <w:rsid w:val="000668EB"/>
    <w:rsid w:val="00066C16"/>
    <w:rsid w:val="00066E01"/>
    <w:rsid w:val="0006751D"/>
    <w:rsid w:val="00067529"/>
    <w:rsid w:val="00067802"/>
    <w:rsid w:val="000679C4"/>
    <w:rsid w:val="00067D43"/>
    <w:rsid w:val="00067DE9"/>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E84"/>
    <w:rsid w:val="00072F0B"/>
    <w:rsid w:val="000730C3"/>
    <w:rsid w:val="0007344E"/>
    <w:rsid w:val="00073590"/>
    <w:rsid w:val="0007376E"/>
    <w:rsid w:val="0007378B"/>
    <w:rsid w:val="00073C70"/>
    <w:rsid w:val="00074113"/>
    <w:rsid w:val="00074147"/>
    <w:rsid w:val="00074252"/>
    <w:rsid w:val="0007464A"/>
    <w:rsid w:val="00074670"/>
    <w:rsid w:val="00074690"/>
    <w:rsid w:val="00074780"/>
    <w:rsid w:val="00074786"/>
    <w:rsid w:val="00074C28"/>
    <w:rsid w:val="00074FC7"/>
    <w:rsid w:val="000752FF"/>
    <w:rsid w:val="000756AC"/>
    <w:rsid w:val="00075879"/>
    <w:rsid w:val="00075941"/>
    <w:rsid w:val="00075AFF"/>
    <w:rsid w:val="00075BC6"/>
    <w:rsid w:val="00075C77"/>
    <w:rsid w:val="00076259"/>
    <w:rsid w:val="0007659E"/>
    <w:rsid w:val="0007662D"/>
    <w:rsid w:val="000768C5"/>
    <w:rsid w:val="000769FB"/>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030"/>
    <w:rsid w:val="00081713"/>
    <w:rsid w:val="000817A1"/>
    <w:rsid w:val="00081948"/>
    <w:rsid w:val="00082322"/>
    <w:rsid w:val="0008234E"/>
    <w:rsid w:val="00082377"/>
    <w:rsid w:val="00082994"/>
    <w:rsid w:val="00082B0F"/>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4D5"/>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15"/>
    <w:rsid w:val="00091D7F"/>
    <w:rsid w:val="00091DCF"/>
    <w:rsid w:val="00091E0A"/>
    <w:rsid w:val="00091EBC"/>
    <w:rsid w:val="0009202E"/>
    <w:rsid w:val="0009206B"/>
    <w:rsid w:val="0009213E"/>
    <w:rsid w:val="00092413"/>
    <w:rsid w:val="000925EE"/>
    <w:rsid w:val="000927C4"/>
    <w:rsid w:val="00092C18"/>
    <w:rsid w:val="00092EA1"/>
    <w:rsid w:val="00093073"/>
    <w:rsid w:val="000931CE"/>
    <w:rsid w:val="000933D9"/>
    <w:rsid w:val="00093464"/>
    <w:rsid w:val="000935DA"/>
    <w:rsid w:val="00093680"/>
    <w:rsid w:val="00093B6D"/>
    <w:rsid w:val="00093C20"/>
    <w:rsid w:val="00093DF7"/>
    <w:rsid w:val="00093EE8"/>
    <w:rsid w:val="00093F0B"/>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89"/>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A07"/>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5D6"/>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2F"/>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7A1"/>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1BA"/>
    <w:rsid w:val="000C1275"/>
    <w:rsid w:val="000C15B8"/>
    <w:rsid w:val="000C1698"/>
    <w:rsid w:val="000C1890"/>
    <w:rsid w:val="000C196B"/>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884"/>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B8B"/>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3FC"/>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1"/>
    <w:rsid w:val="000D21FE"/>
    <w:rsid w:val="000D248C"/>
    <w:rsid w:val="000D25C5"/>
    <w:rsid w:val="000D25DD"/>
    <w:rsid w:val="000D26A3"/>
    <w:rsid w:val="000D26C9"/>
    <w:rsid w:val="000D279E"/>
    <w:rsid w:val="000D281B"/>
    <w:rsid w:val="000D2828"/>
    <w:rsid w:val="000D298A"/>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3D5"/>
    <w:rsid w:val="000D45CE"/>
    <w:rsid w:val="000D47A9"/>
    <w:rsid w:val="000D4985"/>
    <w:rsid w:val="000D4A1B"/>
    <w:rsid w:val="000D4BAD"/>
    <w:rsid w:val="000D4CDB"/>
    <w:rsid w:val="000D4EA5"/>
    <w:rsid w:val="000D4F97"/>
    <w:rsid w:val="000D51C0"/>
    <w:rsid w:val="000D524E"/>
    <w:rsid w:val="000D54BA"/>
    <w:rsid w:val="000D5666"/>
    <w:rsid w:val="000D5B64"/>
    <w:rsid w:val="000D5C3A"/>
    <w:rsid w:val="000D6209"/>
    <w:rsid w:val="000D643C"/>
    <w:rsid w:val="000D64DD"/>
    <w:rsid w:val="000D6AEB"/>
    <w:rsid w:val="000D6C0B"/>
    <w:rsid w:val="000D6C2E"/>
    <w:rsid w:val="000D6E59"/>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4EEC"/>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3EA"/>
    <w:rsid w:val="000F240D"/>
    <w:rsid w:val="000F2592"/>
    <w:rsid w:val="000F2CA6"/>
    <w:rsid w:val="000F37A3"/>
    <w:rsid w:val="000F3843"/>
    <w:rsid w:val="000F385E"/>
    <w:rsid w:val="000F3C91"/>
    <w:rsid w:val="000F3D72"/>
    <w:rsid w:val="000F42A6"/>
    <w:rsid w:val="000F4378"/>
    <w:rsid w:val="000F43EF"/>
    <w:rsid w:val="000F44ED"/>
    <w:rsid w:val="000F470E"/>
    <w:rsid w:val="000F4813"/>
    <w:rsid w:val="000F499A"/>
    <w:rsid w:val="000F4AC2"/>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535"/>
    <w:rsid w:val="0010063E"/>
    <w:rsid w:val="001006D6"/>
    <w:rsid w:val="001006F0"/>
    <w:rsid w:val="001008FB"/>
    <w:rsid w:val="00100A6E"/>
    <w:rsid w:val="00100CF1"/>
    <w:rsid w:val="00100DBC"/>
    <w:rsid w:val="00100EF3"/>
    <w:rsid w:val="00100FA0"/>
    <w:rsid w:val="00101087"/>
    <w:rsid w:val="001011B1"/>
    <w:rsid w:val="00101254"/>
    <w:rsid w:val="0010166A"/>
    <w:rsid w:val="001016B3"/>
    <w:rsid w:val="00101C2D"/>
    <w:rsid w:val="00101CD7"/>
    <w:rsid w:val="00101E70"/>
    <w:rsid w:val="0010209B"/>
    <w:rsid w:val="00102313"/>
    <w:rsid w:val="0010234F"/>
    <w:rsid w:val="00102653"/>
    <w:rsid w:val="0010270C"/>
    <w:rsid w:val="00102833"/>
    <w:rsid w:val="00102AF8"/>
    <w:rsid w:val="00102BA9"/>
    <w:rsid w:val="00102F8E"/>
    <w:rsid w:val="001033C4"/>
    <w:rsid w:val="001034B8"/>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3B"/>
    <w:rsid w:val="00104AC6"/>
    <w:rsid w:val="00104C7F"/>
    <w:rsid w:val="00104E4C"/>
    <w:rsid w:val="00104EA1"/>
    <w:rsid w:val="00104EE1"/>
    <w:rsid w:val="001051DA"/>
    <w:rsid w:val="00105422"/>
    <w:rsid w:val="00105502"/>
    <w:rsid w:val="00105A65"/>
    <w:rsid w:val="00106284"/>
    <w:rsid w:val="0010635B"/>
    <w:rsid w:val="00106636"/>
    <w:rsid w:val="00106A5A"/>
    <w:rsid w:val="00106D64"/>
    <w:rsid w:val="00106E02"/>
    <w:rsid w:val="00107187"/>
    <w:rsid w:val="001073A4"/>
    <w:rsid w:val="00107501"/>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8A4"/>
    <w:rsid w:val="0011199A"/>
    <w:rsid w:val="00111A5E"/>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3D5C"/>
    <w:rsid w:val="00113DF9"/>
    <w:rsid w:val="001140D4"/>
    <w:rsid w:val="001141CF"/>
    <w:rsid w:val="00114447"/>
    <w:rsid w:val="001146A0"/>
    <w:rsid w:val="0011490F"/>
    <w:rsid w:val="00114978"/>
    <w:rsid w:val="00114A55"/>
    <w:rsid w:val="00114A83"/>
    <w:rsid w:val="00114D97"/>
    <w:rsid w:val="00114FDE"/>
    <w:rsid w:val="001151F2"/>
    <w:rsid w:val="00115203"/>
    <w:rsid w:val="00115763"/>
    <w:rsid w:val="0011593B"/>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515"/>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2F67"/>
    <w:rsid w:val="0012309F"/>
    <w:rsid w:val="001233F3"/>
    <w:rsid w:val="0012341B"/>
    <w:rsid w:val="00123451"/>
    <w:rsid w:val="001234FD"/>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7F"/>
    <w:rsid w:val="001251E2"/>
    <w:rsid w:val="00125286"/>
    <w:rsid w:val="00125301"/>
    <w:rsid w:val="00125355"/>
    <w:rsid w:val="0012535E"/>
    <w:rsid w:val="00125402"/>
    <w:rsid w:val="0012550F"/>
    <w:rsid w:val="00125659"/>
    <w:rsid w:val="00125686"/>
    <w:rsid w:val="001257EB"/>
    <w:rsid w:val="0012582F"/>
    <w:rsid w:val="001258C0"/>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337"/>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03A"/>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6C"/>
    <w:rsid w:val="001361CD"/>
    <w:rsid w:val="001361D6"/>
    <w:rsid w:val="0013624E"/>
    <w:rsid w:val="001363BC"/>
    <w:rsid w:val="001363EF"/>
    <w:rsid w:val="0013654A"/>
    <w:rsid w:val="001371D4"/>
    <w:rsid w:val="001371DC"/>
    <w:rsid w:val="001378D1"/>
    <w:rsid w:val="001379B7"/>
    <w:rsid w:val="00137A98"/>
    <w:rsid w:val="00137CF5"/>
    <w:rsid w:val="00137DD9"/>
    <w:rsid w:val="00137F03"/>
    <w:rsid w:val="0014004B"/>
    <w:rsid w:val="001400A0"/>
    <w:rsid w:val="001404E9"/>
    <w:rsid w:val="00140656"/>
    <w:rsid w:val="00140C98"/>
    <w:rsid w:val="00140CC4"/>
    <w:rsid w:val="00140CD0"/>
    <w:rsid w:val="00140E02"/>
    <w:rsid w:val="00141657"/>
    <w:rsid w:val="001416C8"/>
    <w:rsid w:val="00141C91"/>
    <w:rsid w:val="00141DF4"/>
    <w:rsid w:val="00141FEF"/>
    <w:rsid w:val="00142005"/>
    <w:rsid w:val="001421FC"/>
    <w:rsid w:val="001423BC"/>
    <w:rsid w:val="0014245E"/>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68"/>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BF6"/>
    <w:rsid w:val="00147FCF"/>
    <w:rsid w:val="00147FEA"/>
    <w:rsid w:val="001501D5"/>
    <w:rsid w:val="001503BE"/>
    <w:rsid w:val="00150506"/>
    <w:rsid w:val="00150747"/>
    <w:rsid w:val="001507E8"/>
    <w:rsid w:val="001508A9"/>
    <w:rsid w:val="001509F7"/>
    <w:rsid w:val="00150A8E"/>
    <w:rsid w:val="00150B20"/>
    <w:rsid w:val="00150B66"/>
    <w:rsid w:val="00150CBA"/>
    <w:rsid w:val="00150F62"/>
    <w:rsid w:val="00151323"/>
    <w:rsid w:val="0015145C"/>
    <w:rsid w:val="0015147A"/>
    <w:rsid w:val="001514AF"/>
    <w:rsid w:val="0015152B"/>
    <w:rsid w:val="001516F0"/>
    <w:rsid w:val="00151747"/>
    <w:rsid w:val="001518CA"/>
    <w:rsid w:val="001519E7"/>
    <w:rsid w:val="00151A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CF9"/>
    <w:rsid w:val="00153F15"/>
    <w:rsid w:val="00154401"/>
    <w:rsid w:val="001545AD"/>
    <w:rsid w:val="00154682"/>
    <w:rsid w:val="001547EA"/>
    <w:rsid w:val="001547F6"/>
    <w:rsid w:val="00154E2A"/>
    <w:rsid w:val="00154E60"/>
    <w:rsid w:val="001551F1"/>
    <w:rsid w:val="00155202"/>
    <w:rsid w:val="0015538F"/>
    <w:rsid w:val="00155434"/>
    <w:rsid w:val="00155597"/>
    <w:rsid w:val="00155982"/>
    <w:rsid w:val="001563CA"/>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AC0"/>
    <w:rsid w:val="00160C89"/>
    <w:rsid w:val="0016104C"/>
    <w:rsid w:val="00161307"/>
    <w:rsid w:val="0016143E"/>
    <w:rsid w:val="00161539"/>
    <w:rsid w:val="00161555"/>
    <w:rsid w:val="00161574"/>
    <w:rsid w:val="001615D5"/>
    <w:rsid w:val="001618DB"/>
    <w:rsid w:val="00161A84"/>
    <w:rsid w:val="00161AF3"/>
    <w:rsid w:val="001620A0"/>
    <w:rsid w:val="001620E1"/>
    <w:rsid w:val="0016216F"/>
    <w:rsid w:val="0016223A"/>
    <w:rsid w:val="0016235F"/>
    <w:rsid w:val="001623B5"/>
    <w:rsid w:val="001624B5"/>
    <w:rsid w:val="001627F3"/>
    <w:rsid w:val="0016284C"/>
    <w:rsid w:val="00162877"/>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4F"/>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C93"/>
    <w:rsid w:val="00166E60"/>
    <w:rsid w:val="00166EBE"/>
    <w:rsid w:val="00166F3F"/>
    <w:rsid w:val="001670EA"/>
    <w:rsid w:val="00167270"/>
    <w:rsid w:val="001674A5"/>
    <w:rsid w:val="0016784B"/>
    <w:rsid w:val="001679B2"/>
    <w:rsid w:val="00167A55"/>
    <w:rsid w:val="00167AB6"/>
    <w:rsid w:val="00167EBA"/>
    <w:rsid w:val="00167FB2"/>
    <w:rsid w:val="00167FD9"/>
    <w:rsid w:val="001700A5"/>
    <w:rsid w:val="001703B4"/>
    <w:rsid w:val="001705E4"/>
    <w:rsid w:val="00170D89"/>
    <w:rsid w:val="00170F53"/>
    <w:rsid w:val="00170FF3"/>
    <w:rsid w:val="0017116A"/>
    <w:rsid w:val="001711DB"/>
    <w:rsid w:val="001712A1"/>
    <w:rsid w:val="001712C4"/>
    <w:rsid w:val="00171325"/>
    <w:rsid w:val="00171451"/>
    <w:rsid w:val="00171482"/>
    <w:rsid w:val="0017195D"/>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793"/>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6FF"/>
    <w:rsid w:val="00181919"/>
    <w:rsid w:val="00181A20"/>
    <w:rsid w:val="00181C43"/>
    <w:rsid w:val="00181C75"/>
    <w:rsid w:val="00181D48"/>
    <w:rsid w:val="00181D5F"/>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48"/>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87E44"/>
    <w:rsid w:val="00190143"/>
    <w:rsid w:val="0019015C"/>
    <w:rsid w:val="00190335"/>
    <w:rsid w:val="00190396"/>
    <w:rsid w:val="001907E2"/>
    <w:rsid w:val="00190CEE"/>
    <w:rsid w:val="001914A6"/>
    <w:rsid w:val="00191517"/>
    <w:rsid w:val="00191935"/>
    <w:rsid w:val="00191ABB"/>
    <w:rsid w:val="00191D08"/>
    <w:rsid w:val="00191D95"/>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312"/>
    <w:rsid w:val="00195427"/>
    <w:rsid w:val="001954DF"/>
    <w:rsid w:val="00195515"/>
    <w:rsid w:val="0019580B"/>
    <w:rsid w:val="001958C9"/>
    <w:rsid w:val="00195951"/>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88"/>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8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00"/>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1F1"/>
    <w:rsid w:val="001B1C0B"/>
    <w:rsid w:val="001B1D06"/>
    <w:rsid w:val="001B1F85"/>
    <w:rsid w:val="001B2015"/>
    <w:rsid w:val="001B2049"/>
    <w:rsid w:val="001B2067"/>
    <w:rsid w:val="001B2322"/>
    <w:rsid w:val="001B24FF"/>
    <w:rsid w:val="001B28F9"/>
    <w:rsid w:val="001B2A06"/>
    <w:rsid w:val="001B2B5E"/>
    <w:rsid w:val="001B2C25"/>
    <w:rsid w:val="001B2CC2"/>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AFE"/>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597"/>
    <w:rsid w:val="001C2695"/>
    <w:rsid w:val="001C273C"/>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CCA"/>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D30"/>
    <w:rsid w:val="001D309E"/>
    <w:rsid w:val="001D321F"/>
    <w:rsid w:val="001D35DA"/>
    <w:rsid w:val="001D3766"/>
    <w:rsid w:val="001D3B44"/>
    <w:rsid w:val="001D3BFA"/>
    <w:rsid w:val="001D3F50"/>
    <w:rsid w:val="001D4067"/>
    <w:rsid w:val="001D4254"/>
    <w:rsid w:val="001D42B2"/>
    <w:rsid w:val="001D4345"/>
    <w:rsid w:val="001D4456"/>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7E4"/>
    <w:rsid w:val="001E080E"/>
    <w:rsid w:val="001E09DD"/>
    <w:rsid w:val="001E0B3E"/>
    <w:rsid w:val="001E0B9A"/>
    <w:rsid w:val="001E0C8D"/>
    <w:rsid w:val="001E0D6F"/>
    <w:rsid w:val="001E0FFD"/>
    <w:rsid w:val="001E1087"/>
    <w:rsid w:val="001E10CD"/>
    <w:rsid w:val="001E141A"/>
    <w:rsid w:val="001E14CF"/>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555"/>
    <w:rsid w:val="001E461A"/>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121"/>
    <w:rsid w:val="001F02AC"/>
    <w:rsid w:val="001F0615"/>
    <w:rsid w:val="001F07D6"/>
    <w:rsid w:val="001F07F7"/>
    <w:rsid w:val="001F08D7"/>
    <w:rsid w:val="001F0958"/>
    <w:rsid w:val="001F0C50"/>
    <w:rsid w:val="001F0C63"/>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AB8"/>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05C"/>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2F3"/>
    <w:rsid w:val="00204574"/>
    <w:rsid w:val="00204728"/>
    <w:rsid w:val="00204761"/>
    <w:rsid w:val="002047C4"/>
    <w:rsid w:val="00204865"/>
    <w:rsid w:val="00204960"/>
    <w:rsid w:val="00204D86"/>
    <w:rsid w:val="00204E72"/>
    <w:rsid w:val="00204FA5"/>
    <w:rsid w:val="002055CB"/>
    <w:rsid w:val="002057C1"/>
    <w:rsid w:val="00205CED"/>
    <w:rsid w:val="00205D16"/>
    <w:rsid w:val="00205F4E"/>
    <w:rsid w:val="00206410"/>
    <w:rsid w:val="00206722"/>
    <w:rsid w:val="002067CB"/>
    <w:rsid w:val="00206A04"/>
    <w:rsid w:val="00206BE4"/>
    <w:rsid w:val="00206D3E"/>
    <w:rsid w:val="00206D5B"/>
    <w:rsid w:val="002074D2"/>
    <w:rsid w:val="0020761E"/>
    <w:rsid w:val="002076B0"/>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69A"/>
    <w:rsid w:val="00211BE3"/>
    <w:rsid w:val="00211CF4"/>
    <w:rsid w:val="00211DA3"/>
    <w:rsid w:val="00211E81"/>
    <w:rsid w:val="00212379"/>
    <w:rsid w:val="002124C1"/>
    <w:rsid w:val="002125D6"/>
    <w:rsid w:val="00212B72"/>
    <w:rsid w:val="00212BA8"/>
    <w:rsid w:val="00212CA0"/>
    <w:rsid w:val="002130DE"/>
    <w:rsid w:val="002131C5"/>
    <w:rsid w:val="002135BC"/>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579A"/>
    <w:rsid w:val="0021618E"/>
    <w:rsid w:val="002161B4"/>
    <w:rsid w:val="0021627C"/>
    <w:rsid w:val="00216642"/>
    <w:rsid w:val="002166AF"/>
    <w:rsid w:val="00216706"/>
    <w:rsid w:val="002167D9"/>
    <w:rsid w:val="00216A22"/>
    <w:rsid w:val="00216EEC"/>
    <w:rsid w:val="00216F78"/>
    <w:rsid w:val="00217445"/>
    <w:rsid w:val="002178F7"/>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8EE"/>
    <w:rsid w:val="00231E6F"/>
    <w:rsid w:val="00231F45"/>
    <w:rsid w:val="00231F9E"/>
    <w:rsid w:val="00231FFD"/>
    <w:rsid w:val="00232100"/>
    <w:rsid w:val="0023249D"/>
    <w:rsid w:val="002324FB"/>
    <w:rsid w:val="0023250D"/>
    <w:rsid w:val="00232659"/>
    <w:rsid w:val="00232793"/>
    <w:rsid w:val="002327DD"/>
    <w:rsid w:val="0023295E"/>
    <w:rsid w:val="00232AC0"/>
    <w:rsid w:val="00232CDE"/>
    <w:rsid w:val="00232EAF"/>
    <w:rsid w:val="0023302F"/>
    <w:rsid w:val="002332CE"/>
    <w:rsid w:val="00233389"/>
    <w:rsid w:val="002334AF"/>
    <w:rsid w:val="002335F7"/>
    <w:rsid w:val="0023385B"/>
    <w:rsid w:val="002339B5"/>
    <w:rsid w:val="00233BE4"/>
    <w:rsid w:val="00233CFD"/>
    <w:rsid w:val="00233DA6"/>
    <w:rsid w:val="00234295"/>
    <w:rsid w:val="00234528"/>
    <w:rsid w:val="00234910"/>
    <w:rsid w:val="002349F9"/>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0DC"/>
    <w:rsid w:val="00241185"/>
    <w:rsid w:val="00241190"/>
    <w:rsid w:val="002412B5"/>
    <w:rsid w:val="002412CB"/>
    <w:rsid w:val="002412F8"/>
    <w:rsid w:val="00241447"/>
    <w:rsid w:val="0024168E"/>
    <w:rsid w:val="00241690"/>
    <w:rsid w:val="0024172C"/>
    <w:rsid w:val="00241803"/>
    <w:rsid w:val="00241A6C"/>
    <w:rsid w:val="00241B38"/>
    <w:rsid w:val="00241C11"/>
    <w:rsid w:val="00241EB1"/>
    <w:rsid w:val="00241EF7"/>
    <w:rsid w:val="00241FBF"/>
    <w:rsid w:val="002421DA"/>
    <w:rsid w:val="00242324"/>
    <w:rsid w:val="00242A12"/>
    <w:rsid w:val="00242ACF"/>
    <w:rsid w:val="00242B42"/>
    <w:rsid w:val="00242B47"/>
    <w:rsid w:val="00242BD7"/>
    <w:rsid w:val="00242BF6"/>
    <w:rsid w:val="00242BFB"/>
    <w:rsid w:val="00242C2F"/>
    <w:rsid w:val="00242D52"/>
    <w:rsid w:val="00242E43"/>
    <w:rsid w:val="002431D2"/>
    <w:rsid w:val="002431E3"/>
    <w:rsid w:val="00243352"/>
    <w:rsid w:val="00243380"/>
    <w:rsid w:val="0024345C"/>
    <w:rsid w:val="002435BF"/>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5F6E"/>
    <w:rsid w:val="002460FE"/>
    <w:rsid w:val="00246133"/>
    <w:rsid w:val="0024623F"/>
    <w:rsid w:val="00246812"/>
    <w:rsid w:val="00246930"/>
    <w:rsid w:val="002469F5"/>
    <w:rsid w:val="00246BC6"/>
    <w:rsid w:val="00246C6D"/>
    <w:rsid w:val="00246D51"/>
    <w:rsid w:val="00246E3E"/>
    <w:rsid w:val="00246FBC"/>
    <w:rsid w:val="0024701C"/>
    <w:rsid w:val="0024706D"/>
    <w:rsid w:val="0024767B"/>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47C"/>
    <w:rsid w:val="002515FE"/>
    <w:rsid w:val="0025169F"/>
    <w:rsid w:val="00251844"/>
    <w:rsid w:val="002518B2"/>
    <w:rsid w:val="00251A07"/>
    <w:rsid w:val="00251B30"/>
    <w:rsid w:val="00251D5A"/>
    <w:rsid w:val="00251E19"/>
    <w:rsid w:val="00251FDC"/>
    <w:rsid w:val="002522D3"/>
    <w:rsid w:val="0025234D"/>
    <w:rsid w:val="00252427"/>
    <w:rsid w:val="002525FE"/>
    <w:rsid w:val="002527A2"/>
    <w:rsid w:val="002527B3"/>
    <w:rsid w:val="0025295C"/>
    <w:rsid w:val="0025298E"/>
    <w:rsid w:val="00252B94"/>
    <w:rsid w:val="00252DF4"/>
    <w:rsid w:val="00252E4C"/>
    <w:rsid w:val="00252F1B"/>
    <w:rsid w:val="00252F1D"/>
    <w:rsid w:val="002531AA"/>
    <w:rsid w:val="0025371C"/>
    <w:rsid w:val="0025374F"/>
    <w:rsid w:val="00253AA7"/>
    <w:rsid w:val="00253CA5"/>
    <w:rsid w:val="00253F9B"/>
    <w:rsid w:val="002540B5"/>
    <w:rsid w:val="002543A7"/>
    <w:rsid w:val="00254481"/>
    <w:rsid w:val="0025456E"/>
    <w:rsid w:val="00254A03"/>
    <w:rsid w:val="00254AEF"/>
    <w:rsid w:val="00254DFD"/>
    <w:rsid w:val="00254E22"/>
    <w:rsid w:val="00254EFD"/>
    <w:rsid w:val="0025510B"/>
    <w:rsid w:val="002553A1"/>
    <w:rsid w:val="00255507"/>
    <w:rsid w:val="002557F8"/>
    <w:rsid w:val="002558CE"/>
    <w:rsid w:val="00255909"/>
    <w:rsid w:val="00255AFF"/>
    <w:rsid w:val="00255B27"/>
    <w:rsid w:val="00255C30"/>
    <w:rsid w:val="00255DB7"/>
    <w:rsid w:val="00256234"/>
    <w:rsid w:val="00256587"/>
    <w:rsid w:val="002565FB"/>
    <w:rsid w:val="0025662A"/>
    <w:rsid w:val="00256B21"/>
    <w:rsid w:val="00256DC3"/>
    <w:rsid w:val="00256FCA"/>
    <w:rsid w:val="002570CA"/>
    <w:rsid w:val="0025735E"/>
    <w:rsid w:val="00257615"/>
    <w:rsid w:val="0025784D"/>
    <w:rsid w:val="002578E1"/>
    <w:rsid w:val="0025796D"/>
    <w:rsid w:val="00257BBD"/>
    <w:rsid w:val="00257EAF"/>
    <w:rsid w:val="00257EC6"/>
    <w:rsid w:val="00257ED6"/>
    <w:rsid w:val="002601B4"/>
    <w:rsid w:val="00260201"/>
    <w:rsid w:val="0026037B"/>
    <w:rsid w:val="002604FD"/>
    <w:rsid w:val="002605E4"/>
    <w:rsid w:val="00260B01"/>
    <w:rsid w:val="00260BAE"/>
    <w:rsid w:val="00260C7F"/>
    <w:rsid w:val="00260CD6"/>
    <w:rsid w:val="0026110D"/>
    <w:rsid w:val="00261482"/>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3E13"/>
    <w:rsid w:val="00264261"/>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12C"/>
    <w:rsid w:val="00267217"/>
    <w:rsid w:val="00267471"/>
    <w:rsid w:val="00267485"/>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12"/>
    <w:rsid w:val="00272537"/>
    <w:rsid w:val="00272769"/>
    <w:rsid w:val="00272E7F"/>
    <w:rsid w:val="00272E80"/>
    <w:rsid w:val="00273108"/>
    <w:rsid w:val="002731C8"/>
    <w:rsid w:val="0027386E"/>
    <w:rsid w:val="002739CA"/>
    <w:rsid w:val="002739ED"/>
    <w:rsid w:val="00273A94"/>
    <w:rsid w:val="00273E7D"/>
    <w:rsid w:val="00274416"/>
    <w:rsid w:val="002745F8"/>
    <w:rsid w:val="002746C7"/>
    <w:rsid w:val="00274798"/>
    <w:rsid w:val="00274816"/>
    <w:rsid w:val="002748DF"/>
    <w:rsid w:val="0027490A"/>
    <w:rsid w:val="00274969"/>
    <w:rsid w:val="00274991"/>
    <w:rsid w:val="00274A08"/>
    <w:rsid w:val="00274A8E"/>
    <w:rsid w:val="00274B8B"/>
    <w:rsid w:val="00274C67"/>
    <w:rsid w:val="00274FAE"/>
    <w:rsid w:val="002751B0"/>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BE6"/>
    <w:rsid w:val="00276D90"/>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9F6"/>
    <w:rsid w:val="00282F4A"/>
    <w:rsid w:val="00283031"/>
    <w:rsid w:val="002832A6"/>
    <w:rsid w:val="002834E4"/>
    <w:rsid w:val="002837B1"/>
    <w:rsid w:val="00283AA1"/>
    <w:rsid w:val="00283C48"/>
    <w:rsid w:val="00283D5E"/>
    <w:rsid w:val="00283E2E"/>
    <w:rsid w:val="00283ED2"/>
    <w:rsid w:val="00283FC0"/>
    <w:rsid w:val="00284662"/>
    <w:rsid w:val="002846A1"/>
    <w:rsid w:val="00284859"/>
    <w:rsid w:val="00284905"/>
    <w:rsid w:val="00284C10"/>
    <w:rsid w:val="00284F69"/>
    <w:rsid w:val="00285306"/>
    <w:rsid w:val="00285314"/>
    <w:rsid w:val="00285658"/>
    <w:rsid w:val="002856BE"/>
    <w:rsid w:val="00285712"/>
    <w:rsid w:val="0028577F"/>
    <w:rsid w:val="0028584C"/>
    <w:rsid w:val="0028596A"/>
    <w:rsid w:val="00285A13"/>
    <w:rsid w:val="00285BE6"/>
    <w:rsid w:val="00285C35"/>
    <w:rsid w:val="00285C7E"/>
    <w:rsid w:val="002860FB"/>
    <w:rsid w:val="002864B2"/>
    <w:rsid w:val="0028658C"/>
    <w:rsid w:val="002865ED"/>
    <w:rsid w:val="00286725"/>
    <w:rsid w:val="0028686B"/>
    <w:rsid w:val="00286D41"/>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106"/>
    <w:rsid w:val="00292293"/>
    <w:rsid w:val="00292359"/>
    <w:rsid w:val="002923D5"/>
    <w:rsid w:val="00292ACA"/>
    <w:rsid w:val="00292C09"/>
    <w:rsid w:val="00292D49"/>
    <w:rsid w:val="00292E74"/>
    <w:rsid w:val="00293012"/>
    <w:rsid w:val="00293497"/>
    <w:rsid w:val="00293919"/>
    <w:rsid w:val="002939AF"/>
    <w:rsid w:val="00293BA4"/>
    <w:rsid w:val="00293BCF"/>
    <w:rsid w:val="00293D57"/>
    <w:rsid w:val="00293E63"/>
    <w:rsid w:val="00293EED"/>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AF4"/>
    <w:rsid w:val="00297B6E"/>
    <w:rsid w:val="00297C57"/>
    <w:rsid w:val="00297D32"/>
    <w:rsid w:val="002A00A1"/>
    <w:rsid w:val="002A01EE"/>
    <w:rsid w:val="002A0456"/>
    <w:rsid w:val="002A066E"/>
    <w:rsid w:val="002A06B2"/>
    <w:rsid w:val="002A09EF"/>
    <w:rsid w:val="002A0A6E"/>
    <w:rsid w:val="002A0D43"/>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EA9"/>
    <w:rsid w:val="002A7F5B"/>
    <w:rsid w:val="002B00E2"/>
    <w:rsid w:val="002B02F2"/>
    <w:rsid w:val="002B04FD"/>
    <w:rsid w:val="002B05CF"/>
    <w:rsid w:val="002B0621"/>
    <w:rsid w:val="002B066E"/>
    <w:rsid w:val="002B06F7"/>
    <w:rsid w:val="002B073A"/>
    <w:rsid w:val="002B087D"/>
    <w:rsid w:val="002B0D06"/>
    <w:rsid w:val="002B0E5C"/>
    <w:rsid w:val="002B0FF8"/>
    <w:rsid w:val="002B10A5"/>
    <w:rsid w:val="002B10CA"/>
    <w:rsid w:val="002B1700"/>
    <w:rsid w:val="002B1C7E"/>
    <w:rsid w:val="002B1CD3"/>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4A1"/>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32D"/>
    <w:rsid w:val="002C067A"/>
    <w:rsid w:val="002C0957"/>
    <w:rsid w:val="002C09AB"/>
    <w:rsid w:val="002C0BC7"/>
    <w:rsid w:val="002C0C93"/>
    <w:rsid w:val="002C0D61"/>
    <w:rsid w:val="002C0DAA"/>
    <w:rsid w:val="002C0EB8"/>
    <w:rsid w:val="002C0EF3"/>
    <w:rsid w:val="002C12E0"/>
    <w:rsid w:val="002C1363"/>
    <w:rsid w:val="002C1515"/>
    <w:rsid w:val="002C191E"/>
    <w:rsid w:val="002C1984"/>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D4A"/>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C81"/>
    <w:rsid w:val="002C6EB7"/>
    <w:rsid w:val="002C7061"/>
    <w:rsid w:val="002C7161"/>
    <w:rsid w:val="002C7612"/>
    <w:rsid w:val="002C7638"/>
    <w:rsid w:val="002C77F9"/>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45"/>
    <w:rsid w:val="002D0993"/>
    <w:rsid w:val="002D09CD"/>
    <w:rsid w:val="002D0AE2"/>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7D6"/>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B55"/>
    <w:rsid w:val="002E3C7B"/>
    <w:rsid w:val="002E3DDA"/>
    <w:rsid w:val="002E421F"/>
    <w:rsid w:val="002E4257"/>
    <w:rsid w:val="002E45EC"/>
    <w:rsid w:val="002E4721"/>
    <w:rsid w:val="002E4723"/>
    <w:rsid w:val="002E4E06"/>
    <w:rsid w:val="002E4F75"/>
    <w:rsid w:val="002E51A3"/>
    <w:rsid w:val="002E54A1"/>
    <w:rsid w:val="002E5586"/>
    <w:rsid w:val="002E5700"/>
    <w:rsid w:val="002E5875"/>
    <w:rsid w:val="002E58BE"/>
    <w:rsid w:val="002E59B7"/>
    <w:rsid w:val="002E6163"/>
    <w:rsid w:val="002E61AA"/>
    <w:rsid w:val="002E622F"/>
    <w:rsid w:val="002E62DD"/>
    <w:rsid w:val="002E6383"/>
    <w:rsid w:val="002E64DD"/>
    <w:rsid w:val="002E6675"/>
    <w:rsid w:val="002E6B03"/>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1C"/>
    <w:rsid w:val="002F0332"/>
    <w:rsid w:val="002F0A22"/>
    <w:rsid w:val="002F0B08"/>
    <w:rsid w:val="002F0C1C"/>
    <w:rsid w:val="002F0C94"/>
    <w:rsid w:val="002F0D4F"/>
    <w:rsid w:val="002F0DBD"/>
    <w:rsid w:val="002F0E94"/>
    <w:rsid w:val="002F1269"/>
    <w:rsid w:val="002F1290"/>
    <w:rsid w:val="002F138D"/>
    <w:rsid w:val="002F1408"/>
    <w:rsid w:val="002F1560"/>
    <w:rsid w:val="002F1573"/>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1F5"/>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2FA"/>
    <w:rsid w:val="003013BA"/>
    <w:rsid w:val="003013BF"/>
    <w:rsid w:val="003013F3"/>
    <w:rsid w:val="003014BD"/>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75"/>
    <w:rsid w:val="00302E86"/>
    <w:rsid w:val="00302EE2"/>
    <w:rsid w:val="003030DF"/>
    <w:rsid w:val="003032C7"/>
    <w:rsid w:val="003034FA"/>
    <w:rsid w:val="0030370E"/>
    <w:rsid w:val="003037A4"/>
    <w:rsid w:val="003039BE"/>
    <w:rsid w:val="003039E6"/>
    <w:rsid w:val="00303A19"/>
    <w:rsid w:val="00303A1D"/>
    <w:rsid w:val="00303AB7"/>
    <w:rsid w:val="00303C7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8D0"/>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F6"/>
    <w:rsid w:val="0031161C"/>
    <w:rsid w:val="0031186E"/>
    <w:rsid w:val="00311B0A"/>
    <w:rsid w:val="00311CF6"/>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811"/>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CAF"/>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5F8"/>
    <w:rsid w:val="00323658"/>
    <w:rsid w:val="00323AA8"/>
    <w:rsid w:val="003240F3"/>
    <w:rsid w:val="0032410B"/>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84"/>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59"/>
    <w:rsid w:val="00334A6A"/>
    <w:rsid w:val="00334DD2"/>
    <w:rsid w:val="00334E9D"/>
    <w:rsid w:val="00334FC3"/>
    <w:rsid w:val="0033524C"/>
    <w:rsid w:val="00335337"/>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58D"/>
    <w:rsid w:val="00337785"/>
    <w:rsid w:val="00337934"/>
    <w:rsid w:val="00337B5A"/>
    <w:rsid w:val="00337C7B"/>
    <w:rsid w:val="00337D1D"/>
    <w:rsid w:val="00337FC4"/>
    <w:rsid w:val="00340014"/>
    <w:rsid w:val="00340245"/>
    <w:rsid w:val="00340517"/>
    <w:rsid w:val="0034060B"/>
    <w:rsid w:val="0034065D"/>
    <w:rsid w:val="00340718"/>
    <w:rsid w:val="00340888"/>
    <w:rsid w:val="00340B47"/>
    <w:rsid w:val="00340BDC"/>
    <w:rsid w:val="00340F1F"/>
    <w:rsid w:val="00341185"/>
    <w:rsid w:val="0034179B"/>
    <w:rsid w:val="00341A17"/>
    <w:rsid w:val="00341A8B"/>
    <w:rsid w:val="00341B40"/>
    <w:rsid w:val="00341CFB"/>
    <w:rsid w:val="00341E81"/>
    <w:rsid w:val="00342094"/>
    <w:rsid w:val="003421D1"/>
    <w:rsid w:val="003421D9"/>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4C"/>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BD4"/>
    <w:rsid w:val="00347D36"/>
    <w:rsid w:val="00347D5F"/>
    <w:rsid w:val="00347FF3"/>
    <w:rsid w:val="003500E9"/>
    <w:rsid w:val="00350101"/>
    <w:rsid w:val="0035013B"/>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6E4"/>
    <w:rsid w:val="00351939"/>
    <w:rsid w:val="00351986"/>
    <w:rsid w:val="00351F38"/>
    <w:rsid w:val="0035202E"/>
    <w:rsid w:val="0035203A"/>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73"/>
    <w:rsid w:val="003539D4"/>
    <w:rsid w:val="00353B20"/>
    <w:rsid w:val="00353B47"/>
    <w:rsid w:val="00353BBB"/>
    <w:rsid w:val="00353E92"/>
    <w:rsid w:val="00353FA0"/>
    <w:rsid w:val="00353FCF"/>
    <w:rsid w:val="00354029"/>
    <w:rsid w:val="00354272"/>
    <w:rsid w:val="00354532"/>
    <w:rsid w:val="00354759"/>
    <w:rsid w:val="003550CA"/>
    <w:rsid w:val="00355184"/>
    <w:rsid w:val="003552A4"/>
    <w:rsid w:val="003555A7"/>
    <w:rsid w:val="003557A6"/>
    <w:rsid w:val="003557E3"/>
    <w:rsid w:val="003558D7"/>
    <w:rsid w:val="00355968"/>
    <w:rsid w:val="00355E4E"/>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8A1"/>
    <w:rsid w:val="00362BEA"/>
    <w:rsid w:val="00362D7C"/>
    <w:rsid w:val="00362DBD"/>
    <w:rsid w:val="00362F4E"/>
    <w:rsid w:val="00362F81"/>
    <w:rsid w:val="0036303C"/>
    <w:rsid w:val="00363098"/>
    <w:rsid w:val="0036320F"/>
    <w:rsid w:val="0036324A"/>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1DE"/>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03"/>
    <w:rsid w:val="00370B54"/>
    <w:rsid w:val="00370BE7"/>
    <w:rsid w:val="00370C4B"/>
    <w:rsid w:val="00370C72"/>
    <w:rsid w:val="00370C76"/>
    <w:rsid w:val="00371116"/>
    <w:rsid w:val="00371152"/>
    <w:rsid w:val="003713A7"/>
    <w:rsid w:val="00371426"/>
    <w:rsid w:val="003714BA"/>
    <w:rsid w:val="00371680"/>
    <w:rsid w:val="00371863"/>
    <w:rsid w:val="003718C3"/>
    <w:rsid w:val="00371B1B"/>
    <w:rsid w:val="00371B5B"/>
    <w:rsid w:val="00371BB8"/>
    <w:rsid w:val="00371DE5"/>
    <w:rsid w:val="00371E3E"/>
    <w:rsid w:val="00371EF8"/>
    <w:rsid w:val="003720D2"/>
    <w:rsid w:val="00372165"/>
    <w:rsid w:val="003723CB"/>
    <w:rsid w:val="0037249A"/>
    <w:rsid w:val="003725BC"/>
    <w:rsid w:val="003729BC"/>
    <w:rsid w:val="00372A01"/>
    <w:rsid w:val="00373214"/>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4FCA"/>
    <w:rsid w:val="0038520A"/>
    <w:rsid w:val="00385227"/>
    <w:rsid w:val="00385392"/>
    <w:rsid w:val="0038560D"/>
    <w:rsid w:val="00385718"/>
    <w:rsid w:val="00385720"/>
    <w:rsid w:val="00385BE1"/>
    <w:rsid w:val="00385C05"/>
    <w:rsid w:val="00385E0E"/>
    <w:rsid w:val="00385F94"/>
    <w:rsid w:val="0038613F"/>
    <w:rsid w:val="00386197"/>
    <w:rsid w:val="00386411"/>
    <w:rsid w:val="00386444"/>
    <w:rsid w:val="003865C2"/>
    <w:rsid w:val="003866A7"/>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928"/>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735"/>
    <w:rsid w:val="003A0AB9"/>
    <w:rsid w:val="003A0AD7"/>
    <w:rsid w:val="003A0C60"/>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94"/>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CDB"/>
    <w:rsid w:val="003A6FA2"/>
    <w:rsid w:val="003A719D"/>
    <w:rsid w:val="003A73EB"/>
    <w:rsid w:val="003A745D"/>
    <w:rsid w:val="003A753E"/>
    <w:rsid w:val="003A7605"/>
    <w:rsid w:val="003A78C5"/>
    <w:rsid w:val="003A7AA7"/>
    <w:rsid w:val="003A7C53"/>
    <w:rsid w:val="003A7D05"/>
    <w:rsid w:val="003A7D64"/>
    <w:rsid w:val="003B00AE"/>
    <w:rsid w:val="003B0306"/>
    <w:rsid w:val="003B0365"/>
    <w:rsid w:val="003B071C"/>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22A"/>
    <w:rsid w:val="003B341F"/>
    <w:rsid w:val="003B3BCD"/>
    <w:rsid w:val="003B3E4A"/>
    <w:rsid w:val="003B480C"/>
    <w:rsid w:val="003B4823"/>
    <w:rsid w:val="003B486E"/>
    <w:rsid w:val="003B48F2"/>
    <w:rsid w:val="003B4956"/>
    <w:rsid w:val="003B497D"/>
    <w:rsid w:val="003B4AA6"/>
    <w:rsid w:val="003B4E1F"/>
    <w:rsid w:val="003B4E60"/>
    <w:rsid w:val="003B5128"/>
    <w:rsid w:val="003B51D7"/>
    <w:rsid w:val="003B5268"/>
    <w:rsid w:val="003B5445"/>
    <w:rsid w:val="003B5675"/>
    <w:rsid w:val="003B58A1"/>
    <w:rsid w:val="003B5AE5"/>
    <w:rsid w:val="003B5B4D"/>
    <w:rsid w:val="003B60FB"/>
    <w:rsid w:val="003B6A23"/>
    <w:rsid w:val="003B6C76"/>
    <w:rsid w:val="003B6E88"/>
    <w:rsid w:val="003B6F92"/>
    <w:rsid w:val="003B7140"/>
    <w:rsid w:val="003B73D7"/>
    <w:rsid w:val="003B76B3"/>
    <w:rsid w:val="003B778E"/>
    <w:rsid w:val="003B7982"/>
    <w:rsid w:val="003B7A48"/>
    <w:rsid w:val="003B7B10"/>
    <w:rsid w:val="003B7C00"/>
    <w:rsid w:val="003B7C13"/>
    <w:rsid w:val="003B7FC9"/>
    <w:rsid w:val="003C00AA"/>
    <w:rsid w:val="003C00E2"/>
    <w:rsid w:val="003C02EC"/>
    <w:rsid w:val="003C04AB"/>
    <w:rsid w:val="003C04B8"/>
    <w:rsid w:val="003C052A"/>
    <w:rsid w:val="003C0915"/>
    <w:rsid w:val="003C0D7F"/>
    <w:rsid w:val="003C0E4E"/>
    <w:rsid w:val="003C12A0"/>
    <w:rsid w:val="003C12DC"/>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DC6"/>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50E"/>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6B"/>
    <w:rsid w:val="003D488D"/>
    <w:rsid w:val="003D4906"/>
    <w:rsid w:val="003D4A70"/>
    <w:rsid w:val="003D4A82"/>
    <w:rsid w:val="003D4B0B"/>
    <w:rsid w:val="003D4BAB"/>
    <w:rsid w:val="003D4CFB"/>
    <w:rsid w:val="003D4E5F"/>
    <w:rsid w:val="003D51E5"/>
    <w:rsid w:val="003D52F9"/>
    <w:rsid w:val="003D53D6"/>
    <w:rsid w:val="003D5731"/>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2C"/>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6F7"/>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22"/>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1F68"/>
    <w:rsid w:val="00402436"/>
    <w:rsid w:val="004027F9"/>
    <w:rsid w:val="004029DF"/>
    <w:rsid w:val="004029EC"/>
    <w:rsid w:val="00402ABC"/>
    <w:rsid w:val="00402B02"/>
    <w:rsid w:val="00402B36"/>
    <w:rsid w:val="00402C70"/>
    <w:rsid w:val="00402D0A"/>
    <w:rsid w:val="00402FE5"/>
    <w:rsid w:val="0040303D"/>
    <w:rsid w:val="004031A5"/>
    <w:rsid w:val="004032E4"/>
    <w:rsid w:val="00403574"/>
    <w:rsid w:val="004037EE"/>
    <w:rsid w:val="00403820"/>
    <w:rsid w:val="00403C92"/>
    <w:rsid w:val="00403D62"/>
    <w:rsid w:val="00403EDA"/>
    <w:rsid w:val="004040A9"/>
    <w:rsid w:val="00404198"/>
    <w:rsid w:val="00404311"/>
    <w:rsid w:val="00404353"/>
    <w:rsid w:val="004043B8"/>
    <w:rsid w:val="00404485"/>
    <w:rsid w:val="0040448E"/>
    <w:rsid w:val="00404538"/>
    <w:rsid w:val="0040453F"/>
    <w:rsid w:val="00404553"/>
    <w:rsid w:val="004046A0"/>
    <w:rsid w:val="004046AC"/>
    <w:rsid w:val="004047F7"/>
    <w:rsid w:val="00404AD6"/>
    <w:rsid w:val="00404BC7"/>
    <w:rsid w:val="00404F39"/>
    <w:rsid w:val="004050B1"/>
    <w:rsid w:val="004051B4"/>
    <w:rsid w:val="00405368"/>
    <w:rsid w:val="0040567F"/>
    <w:rsid w:val="004056C1"/>
    <w:rsid w:val="00405789"/>
    <w:rsid w:val="004058BA"/>
    <w:rsid w:val="00405940"/>
    <w:rsid w:val="00405BB1"/>
    <w:rsid w:val="00405C17"/>
    <w:rsid w:val="00405C81"/>
    <w:rsid w:val="00405CFC"/>
    <w:rsid w:val="0040667F"/>
    <w:rsid w:val="004066DC"/>
    <w:rsid w:val="004067F2"/>
    <w:rsid w:val="004068D6"/>
    <w:rsid w:val="00406A31"/>
    <w:rsid w:val="00406AC6"/>
    <w:rsid w:val="00406C82"/>
    <w:rsid w:val="00406D6D"/>
    <w:rsid w:val="00406DB3"/>
    <w:rsid w:val="00406E82"/>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AD8"/>
    <w:rsid w:val="00413CEA"/>
    <w:rsid w:val="00413FF3"/>
    <w:rsid w:val="0041402C"/>
    <w:rsid w:val="00414511"/>
    <w:rsid w:val="004149C7"/>
    <w:rsid w:val="00414A6F"/>
    <w:rsid w:val="00414AEE"/>
    <w:rsid w:val="00414C26"/>
    <w:rsid w:val="00414E8E"/>
    <w:rsid w:val="00415122"/>
    <w:rsid w:val="004153BF"/>
    <w:rsid w:val="0041569A"/>
    <w:rsid w:val="004159FC"/>
    <w:rsid w:val="00415A6D"/>
    <w:rsid w:val="00415A87"/>
    <w:rsid w:val="00415FF4"/>
    <w:rsid w:val="0041631F"/>
    <w:rsid w:val="0041661F"/>
    <w:rsid w:val="00416640"/>
    <w:rsid w:val="00416669"/>
    <w:rsid w:val="004167EC"/>
    <w:rsid w:val="004167F8"/>
    <w:rsid w:val="0041689B"/>
    <w:rsid w:val="00416D95"/>
    <w:rsid w:val="00416DCB"/>
    <w:rsid w:val="0041700F"/>
    <w:rsid w:val="00417323"/>
    <w:rsid w:val="0041744C"/>
    <w:rsid w:val="0041748D"/>
    <w:rsid w:val="004178B4"/>
    <w:rsid w:val="004179B4"/>
    <w:rsid w:val="00417A97"/>
    <w:rsid w:val="00417CB1"/>
    <w:rsid w:val="00417E6C"/>
    <w:rsid w:val="00417F1F"/>
    <w:rsid w:val="00417F67"/>
    <w:rsid w:val="004201A9"/>
    <w:rsid w:val="00420342"/>
    <w:rsid w:val="0042034F"/>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2DE5"/>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31"/>
    <w:rsid w:val="004304C5"/>
    <w:rsid w:val="004305CC"/>
    <w:rsid w:val="004306C8"/>
    <w:rsid w:val="004306F8"/>
    <w:rsid w:val="00430815"/>
    <w:rsid w:val="00430A3E"/>
    <w:rsid w:val="00430BC1"/>
    <w:rsid w:val="00430BDB"/>
    <w:rsid w:val="00430DE2"/>
    <w:rsid w:val="004310D4"/>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8F"/>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37"/>
    <w:rsid w:val="00440DD7"/>
    <w:rsid w:val="00440DED"/>
    <w:rsid w:val="00440EC0"/>
    <w:rsid w:val="00440F5D"/>
    <w:rsid w:val="00441030"/>
    <w:rsid w:val="00441405"/>
    <w:rsid w:val="00441490"/>
    <w:rsid w:val="00441612"/>
    <w:rsid w:val="00441AAC"/>
    <w:rsid w:val="00441B3D"/>
    <w:rsid w:val="00441B52"/>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8"/>
    <w:rsid w:val="00443B9B"/>
    <w:rsid w:val="00443BD1"/>
    <w:rsid w:val="0044423E"/>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01A"/>
    <w:rsid w:val="00446100"/>
    <w:rsid w:val="004461DB"/>
    <w:rsid w:val="00446268"/>
    <w:rsid w:val="00446335"/>
    <w:rsid w:val="00446474"/>
    <w:rsid w:val="00446497"/>
    <w:rsid w:val="004464FA"/>
    <w:rsid w:val="004466E4"/>
    <w:rsid w:val="00446A37"/>
    <w:rsid w:val="00446A85"/>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808"/>
    <w:rsid w:val="0045586A"/>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3C5"/>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3D6"/>
    <w:rsid w:val="00462C10"/>
    <w:rsid w:val="00462CDF"/>
    <w:rsid w:val="00462F1C"/>
    <w:rsid w:val="00462F92"/>
    <w:rsid w:val="004632F6"/>
    <w:rsid w:val="0046349B"/>
    <w:rsid w:val="00463507"/>
    <w:rsid w:val="004635E0"/>
    <w:rsid w:val="0046378F"/>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3F"/>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FC6"/>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0A"/>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54C"/>
    <w:rsid w:val="004728DE"/>
    <w:rsid w:val="0047297D"/>
    <w:rsid w:val="00472C48"/>
    <w:rsid w:val="00472EB7"/>
    <w:rsid w:val="00472EF7"/>
    <w:rsid w:val="004730D6"/>
    <w:rsid w:val="0047351A"/>
    <w:rsid w:val="004736AF"/>
    <w:rsid w:val="0047397A"/>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4E8"/>
    <w:rsid w:val="00476816"/>
    <w:rsid w:val="00476822"/>
    <w:rsid w:val="004768A1"/>
    <w:rsid w:val="004769D3"/>
    <w:rsid w:val="004769D5"/>
    <w:rsid w:val="00477938"/>
    <w:rsid w:val="00477A6A"/>
    <w:rsid w:val="00477B54"/>
    <w:rsid w:val="00477B57"/>
    <w:rsid w:val="00480096"/>
    <w:rsid w:val="004802F4"/>
    <w:rsid w:val="004807A8"/>
    <w:rsid w:val="0048093B"/>
    <w:rsid w:val="004809A3"/>
    <w:rsid w:val="00480DF8"/>
    <w:rsid w:val="00480F1D"/>
    <w:rsid w:val="00480F9E"/>
    <w:rsid w:val="0048102F"/>
    <w:rsid w:val="00481091"/>
    <w:rsid w:val="0048109C"/>
    <w:rsid w:val="004813CF"/>
    <w:rsid w:val="0048165B"/>
    <w:rsid w:val="004816DB"/>
    <w:rsid w:val="00481743"/>
    <w:rsid w:val="004817F7"/>
    <w:rsid w:val="004818F2"/>
    <w:rsid w:val="00481907"/>
    <w:rsid w:val="0048195F"/>
    <w:rsid w:val="00481A6E"/>
    <w:rsid w:val="00481D59"/>
    <w:rsid w:val="00481EF9"/>
    <w:rsid w:val="00482100"/>
    <w:rsid w:val="00482239"/>
    <w:rsid w:val="004822D8"/>
    <w:rsid w:val="00482903"/>
    <w:rsid w:val="00482B33"/>
    <w:rsid w:val="00482D22"/>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319"/>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D7B"/>
    <w:rsid w:val="00485E19"/>
    <w:rsid w:val="004860C5"/>
    <w:rsid w:val="0048613E"/>
    <w:rsid w:val="00486215"/>
    <w:rsid w:val="00486672"/>
    <w:rsid w:val="0048667E"/>
    <w:rsid w:val="00486A3E"/>
    <w:rsid w:val="00486AC4"/>
    <w:rsid w:val="00486BB9"/>
    <w:rsid w:val="00486EC6"/>
    <w:rsid w:val="0048706C"/>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A6"/>
    <w:rsid w:val="00490AEE"/>
    <w:rsid w:val="00490B65"/>
    <w:rsid w:val="00490CE2"/>
    <w:rsid w:val="00490F7C"/>
    <w:rsid w:val="004910E9"/>
    <w:rsid w:val="004910F0"/>
    <w:rsid w:val="00491173"/>
    <w:rsid w:val="00491443"/>
    <w:rsid w:val="004915BF"/>
    <w:rsid w:val="00491711"/>
    <w:rsid w:val="00491735"/>
    <w:rsid w:val="004919B7"/>
    <w:rsid w:val="00491A90"/>
    <w:rsid w:val="00491AB9"/>
    <w:rsid w:val="00491AD3"/>
    <w:rsid w:val="00491BAB"/>
    <w:rsid w:val="00491BD0"/>
    <w:rsid w:val="00491CCC"/>
    <w:rsid w:val="00491D30"/>
    <w:rsid w:val="00491F97"/>
    <w:rsid w:val="00491FAE"/>
    <w:rsid w:val="004920F3"/>
    <w:rsid w:val="004922E7"/>
    <w:rsid w:val="00492408"/>
    <w:rsid w:val="00492674"/>
    <w:rsid w:val="004928AB"/>
    <w:rsid w:val="00492C7F"/>
    <w:rsid w:val="00492CBA"/>
    <w:rsid w:val="00492E55"/>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4F71"/>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5E7"/>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423"/>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60"/>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D3D"/>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B00A9"/>
    <w:rsid w:val="004B0420"/>
    <w:rsid w:val="004B0461"/>
    <w:rsid w:val="004B0495"/>
    <w:rsid w:val="004B0575"/>
    <w:rsid w:val="004B07E2"/>
    <w:rsid w:val="004B0983"/>
    <w:rsid w:val="004B0A52"/>
    <w:rsid w:val="004B0BD6"/>
    <w:rsid w:val="004B0FCE"/>
    <w:rsid w:val="004B1124"/>
    <w:rsid w:val="004B1186"/>
    <w:rsid w:val="004B14FA"/>
    <w:rsid w:val="004B1565"/>
    <w:rsid w:val="004B1687"/>
    <w:rsid w:val="004B1937"/>
    <w:rsid w:val="004B1D68"/>
    <w:rsid w:val="004B1FD7"/>
    <w:rsid w:val="004B2764"/>
    <w:rsid w:val="004B2C16"/>
    <w:rsid w:val="004B2C7A"/>
    <w:rsid w:val="004B2EF7"/>
    <w:rsid w:val="004B2FC6"/>
    <w:rsid w:val="004B350E"/>
    <w:rsid w:val="004B3626"/>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08D"/>
    <w:rsid w:val="004B5240"/>
    <w:rsid w:val="004B5274"/>
    <w:rsid w:val="004B5524"/>
    <w:rsid w:val="004B5553"/>
    <w:rsid w:val="004B5658"/>
    <w:rsid w:val="004B5761"/>
    <w:rsid w:val="004B578D"/>
    <w:rsid w:val="004B5969"/>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D70"/>
    <w:rsid w:val="004C1F3B"/>
    <w:rsid w:val="004C2112"/>
    <w:rsid w:val="004C2120"/>
    <w:rsid w:val="004C228C"/>
    <w:rsid w:val="004C22D4"/>
    <w:rsid w:val="004C22FC"/>
    <w:rsid w:val="004C2840"/>
    <w:rsid w:val="004C288A"/>
    <w:rsid w:val="004C2BB5"/>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462"/>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D01C5"/>
    <w:rsid w:val="004D03CC"/>
    <w:rsid w:val="004D053C"/>
    <w:rsid w:val="004D05FF"/>
    <w:rsid w:val="004D074C"/>
    <w:rsid w:val="004D0872"/>
    <w:rsid w:val="004D0AB1"/>
    <w:rsid w:val="004D0C2E"/>
    <w:rsid w:val="004D0CF5"/>
    <w:rsid w:val="004D0E23"/>
    <w:rsid w:val="004D0FEC"/>
    <w:rsid w:val="004D102F"/>
    <w:rsid w:val="004D10AC"/>
    <w:rsid w:val="004D10FD"/>
    <w:rsid w:val="004D1154"/>
    <w:rsid w:val="004D1191"/>
    <w:rsid w:val="004D14D0"/>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7A6"/>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D65"/>
    <w:rsid w:val="004E4F1C"/>
    <w:rsid w:val="004E5271"/>
    <w:rsid w:val="004E5312"/>
    <w:rsid w:val="004E5403"/>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272"/>
    <w:rsid w:val="004F0319"/>
    <w:rsid w:val="004F0731"/>
    <w:rsid w:val="004F0747"/>
    <w:rsid w:val="004F0ACD"/>
    <w:rsid w:val="004F0DC1"/>
    <w:rsid w:val="004F0E5A"/>
    <w:rsid w:val="004F0F71"/>
    <w:rsid w:val="004F0FD2"/>
    <w:rsid w:val="004F104B"/>
    <w:rsid w:val="004F1073"/>
    <w:rsid w:val="004F128F"/>
    <w:rsid w:val="004F1420"/>
    <w:rsid w:val="004F15DE"/>
    <w:rsid w:val="004F18C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0FB"/>
    <w:rsid w:val="004F535D"/>
    <w:rsid w:val="004F54BD"/>
    <w:rsid w:val="004F55EA"/>
    <w:rsid w:val="004F599C"/>
    <w:rsid w:val="004F59E9"/>
    <w:rsid w:val="004F6066"/>
    <w:rsid w:val="004F61E3"/>
    <w:rsid w:val="004F6349"/>
    <w:rsid w:val="004F639C"/>
    <w:rsid w:val="004F6435"/>
    <w:rsid w:val="004F66C8"/>
    <w:rsid w:val="004F670B"/>
    <w:rsid w:val="004F68E3"/>
    <w:rsid w:val="004F6B36"/>
    <w:rsid w:val="004F6DC6"/>
    <w:rsid w:val="004F6E02"/>
    <w:rsid w:val="004F6E67"/>
    <w:rsid w:val="004F70B5"/>
    <w:rsid w:val="004F7573"/>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7AB"/>
    <w:rsid w:val="00502A38"/>
    <w:rsid w:val="00502DA6"/>
    <w:rsid w:val="00502FD4"/>
    <w:rsid w:val="0050319D"/>
    <w:rsid w:val="005031B4"/>
    <w:rsid w:val="00503228"/>
    <w:rsid w:val="00503246"/>
    <w:rsid w:val="00503327"/>
    <w:rsid w:val="005034A0"/>
    <w:rsid w:val="005035D6"/>
    <w:rsid w:val="00503948"/>
    <w:rsid w:val="005039DD"/>
    <w:rsid w:val="00503A0B"/>
    <w:rsid w:val="00503B0C"/>
    <w:rsid w:val="00503B29"/>
    <w:rsid w:val="00503C1F"/>
    <w:rsid w:val="00503EEF"/>
    <w:rsid w:val="0050416A"/>
    <w:rsid w:val="0050431F"/>
    <w:rsid w:val="00504367"/>
    <w:rsid w:val="00504877"/>
    <w:rsid w:val="00504B11"/>
    <w:rsid w:val="00504E78"/>
    <w:rsid w:val="00504F60"/>
    <w:rsid w:val="00504FDF"/>
    <w:rsid w:val="0050573F"/>
    <w:rsid w:val="0050579B"/>
    <w:rsid w:val="005058CA"/>
    <w:rsid w:val="00505928"/>
    <w:rsid w:val="00505A38"/>
    <w:rsid w:val="00505A79"/>
    <w:rsid w:val="00505AA5"/>
    <w:rsid w:val="00505B78"/>
    <w:rsid w:val="00505D60"/>
    <w:rsid w:val="00505DE9"/>
    <w:rsid w:val="00505FD1"/>
    <w:rsid w:val="00506015"/>
    <w:rsid w:val="00506167"/>
    <w:rsid w:val="005061B4"/>
    <w:rsid w:val="005063C6"/>
    <w:rsid w:val="005064D8"/>
    <w:rsid w:val="0050664C"/>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D9"/>
    <w:rsid w:val="005104C5"/>
    <w:rsid w:val="0051058D"/>
    <w:rsid w:val="0051066B"/>
    <w:rsid w:val="00510766"/>
    <w:rsid w:val="005107AE"/>
    <w:rsid w:val="0051082E"/>
    <w:rsid w:val="00510C64"/>
    <w:rsid w:val="005110C6"/>
    <w:rsid w:val="00511373"/>
    <w:rsid w:val="0051152D"/>
    <w:rsid w:val="00511773"/>
    <w:rsid w:val="00511991"/>
    <w:rsid w:val="00511B2D"/>
    <w:rsid w:val="00511BAD"/>
    <w:rsid w:val="00511C30"/>
    <w:rsid w:val="00511F0E"/>
    <w:rsid w:val="005120CB"/>
    <w:rsid w:val="005121C7"/>
    <w:rsid w:val="0051249E"/>
    <w:rsid w:val="00512545"/>
    <w:rsid w:val="00512594"/>
    <w:rsid w:val="00512649"/>
    <w:rsid w:val="005126EA"/>
    <w:rsid w:val="0051286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75"/>
    <w:rsid w:val="00515A8D"/>
    <w:rsid w:val="00515DEB"/>
    <w:rsid w:val="00515E1A"/>
    <w:rsid w:val="005161C1"/>
    <w:rsid w:val="005167F0"/>
    <w:rsid w:val="0051687D"/>
    <w:rsid w:val="005169B6"/>
    <w:rsid w:val="00516B04"/>
    <w:rsid w:val="00516F93"/>
    <w:rsid w:val="00517139"/>
    <w:rsid w:val="0051713F"/>
    <w:rsid w:val="00517258"/>
    <w:rsid w:val="00517299"/>
    <w:rsid w:val="00517441"/>
    <w:rsid w:val="005176F7"/>
    <w:rsid w:val="005177DB"/>
    <w:rsid w:val="00517871"/>
    <w:rsid w:val="005178F0"/>
    <w:rsid w:val="00517A3D"/>
    <w:rsid w:val="00517A74"/>
    <w:rsid w:val="00517E51"/>
    <w:rsid w:val="00517EE4"/>
    <w:rsid w:val="00517F52"/>
    <w:rsid w:val="0052017B"/>
    <w:rsid w:val="0052052D"/>
    <w:rsid w:val="005205B6"/>
    <w:rsid w:val="00520949"/>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10"/>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45A"/>
    <w:rsid w:val="005315AC"/>
    <w:rsid w:val="005315F7"/>
    <w:rsid w:val="00531660"/>
    <w:rsid w:val="00531696"/>
    <w:rsid w:val="00531746"/>
    <w:rsid w:val="00531919"/>
    <w:rsid w:val="00531A60"/>
    <w:rsid w:val="00531AA2"/>
    <w:rsid w:val="00531CAC"/>
    <w:rsid w:val="00531D5E"/>
    <w:rsid w:val="00532033"/>
    <w:rsid w:val="005320B8"/>
    <w:rsid w:val="00532370"/>
    <w:rsid w:val="005325FC"/>
    <w:rsid w:val="00532654"/>
    <w:rsid w:val="005326F2"/>
    <w:rsid w:val="005327D2"/>
    <w:rsid w:val="005327E8"/>
    <w:rsid w:val="005328F9"/>
    <w:rsid w:val="00532BE3"/>
    <w:rsid w:val="00532E4F"/>
    <w:rsid w:val="00532E86"/>
    <w:rsid w:val="00533152"/>
    <w:rsid w:val="005333B5"/>
    <w:rsid w:val="00533529"/>
    <w:rsid w:val="00533568"/>
    <w:rsid w:val="005335C9"/>
    <w:rsid w:val="005338EA"/>
    <w:rsid w:val="00533912"/>
    <w:rsid w:val="00533BDB"/>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04C"/>
    <w:rsid w:val="005361BB"/>
    <w:rsid w:val="005362B0"/>
    <w:rsid w:val="00536577"/>
    <w:rsid w:val="0053657F"/>
    <w:rsid w:val="0053666E"/>
    <w:rsid w:val="005366D3"/>
    <w:rsid w:val="00536793"/>
    <w:rsid w:val="00536836"/>
    <w:rsid w:val="005369DF"/>
    <w:rsid w:val="00536DA3"/>
    <w:rsid w:val="00536F86"/>
    <w:rsid w:val="005375E9"/>
    <w:rsid w:val="00537651"/>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ECB"/>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84C"/>
    <w:rsid w:val="00543983"/>
    <w:rsid w:val="00543AC9"/>
    <w:rsid w:val="00543AE6"/>
    <w:rsid w:val="00543B25"/>
    <w:rsid w:val="00543BCD"/>
    <w:rsid w:val="00543DE6"/>
    <w:rsid w:val="00543DF4"/>
    <w:rsid w:val="00543F80"/>
    <w:rsid w:val="0054402D"/>
    <w:rsid w:val="00544325"/>
    <w:rsid w:val="00544586"/>
    <w:rsid w:val="005446DB"/>
    <w:rsid w:val="0054492F"/>
    <w:rsid w:val="00544BD5"/>
    <w:rsid w:val="00544C4D"/>
    <w:rsid w:val="00544E0B"/>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92A"/>
    <w:rsid w:val="00547F9C"/>
    <w:rsid w:val="005501FB"/>
    <w:rsid w:val="00550327"/>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2E"/>
    <w:rsid w:val="00551B4D"/>
    <w:rsid w:val="00551C85"/>
    <w:rsid w:val="00551F80"/>
    <w:rsid w:val="00551FF2"/>
    <w:rsid w:val="005520ED"/>
    <w:rsid w:val="005522D2"/>
    <w:rsid w:val="005525B7"/>
    <w:rsid w:val="005526FA"/>
    <w:rsid w:val="00552768"/>
    <w:rsid w:val="00552896"/>
    <w:rsid w:val="0055293A"/>
    <w:rsid w:val="00552CB0"/>
    <w:rsid w:val="005530A1"/>
    <w:rsid w:val="00553143"/>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ADE"/>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57A"/>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EEB"/>
    <w:rsid w:val="00562F79"/>
    <w:rsid w:val="00562FBC"/>
    <w:rsid w:val="00563140"/>
    <w:rsid w:val="005631F6"/>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47D"/>
    <w:rsid w:val="00565577"/>
    <w:rsid w:val="0056585F"/>
    <w:rsid w:val="005658E6"/>
    <w:rsid w:val="00565904"/>
    <w:rsid w:val="00565AB3"/>
    <w:rsid w:val="00565D95"/>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8D9"/>
    <w:rsid w:val="00567C2A"/>
    <w:rsid w:val="00567C4F"/>
    <w:rsid w:val="00567DAA"/>
    <w:rsid w:val="00567EDB"/>
    <w:rsid w:val="00567F2D"/>
    <w:rsid w:val="00570154"/>
    <w:rsid w:val="00570707"/>
    <w:rsid w:val="00570896"/>
    <w:rsid w:val="005708B3"/>
    <w:rsid w:val="00570AF9"/>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88F"/>
    <w:rsid w:val="00576ADB"/>
    <w:rsid w:val="00576BA6"/>
    <w:rsid w:val="00576CBE"/>
    <w:rsid w:val="00576F8C"/>
    <w:rsid w:val="00576F91"/>
    <w:rsid w:val="005770B2"/>
    <w:rsid w:val="00577375"/>
    <w:rsid w:val="005773C7"/>
    <w:rsid w:val="00577659"/>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2B5"/>
    <w:rsid w:val="00581413"/>
    <w:rsid w:val="00581442"/>
    <w:rsid w:val="00581498"/>
    <w:rsid w:val="0058159C"/>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81E"/>
    <w:rsid w:val="005839EF"/>
    <w:rsid w:val="00583CC0"/>
    <w:rsid w:val="00583CDB"/>
    <w:rsid w:val="00583E24"/>
    <w:rsid w:val="00584267"/>
    <w:rsid w:val="00584368"/>
    <w:rsid w:val="005845B8"/>
    <w:rsid w:val="005845EF"/>
    <w:rsid w:val="00584698"/>
    <w:rsid w:val="00584865"/>
    <w:rsid w:val="005848F2"/>
    <w:rsid w:val="00584D9D"/>
    <w:rsid w:val="00584E82"/>
    <w:rsid w:val="00584EAC"/>
    <w:rsid w:val="00585427"/>
    <w:rsid w:val="0058555E"/>
    <w:rsid w:val="0058561C"/>
    <w:rsid w:val="00585649"/>
    <w:rsid w:val="00585846"/>
    <w:rsid w:val="00585CE1"/>
    <w:rsid w:val="00585D4C"/>
    <w:rsid w:val="00585D87"/>
    <w:rsid w:val="00585DE7"/>
    <w:rsid w:val="00585ECD"/>
    <w:rsid w:val="005862A6"/>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F"/>
    <w:rsid w:val="00593C7C"/>
    <w:rsid w:val="00593D33"/>
    <w:rsid w:val="0059405A"/>
    <w:rsid w:val="00594208"/>
    <w:rsid w:val="00594285"/>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7D"/>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34"/>
    <w:rsid w:val="005A36BC"/>
    <w:rsid w:val="005A3739"/>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C5B"/>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94"/>
    <w:rsid w:val="005B02E6"/>
    <w:rsid w:val="005B03D8"/>
    <w:rsid w:val="005B0464"/>
    <w:rsid w:val="005B0730"/>
    <w:rsid w:val="005B0789"/>
    <w:rsid w:val="005B0DC3"/>
    <w:rsid w:val="005B0EA7"/>
    <w:rsid w:val="005B11F1"/>
    <w:rsid w:val="005B180E"/>
    <w:rsid w:val="005B1BBF"/>
    <w:rsid w:val="005B1ECB"/>
    <w:rsid w:val="005B1FD2"/>
    <w:rsid w:val="005B20D5"/>
    <w:rsid w:val="005B225B"/>
    <w:rsid w:val="005B2331"/>
    <w:rsid w:val="005B27BD"/>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C77"/>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B7F75"/>
    <w:rsid w:val="005C0398"/>
    <w:rsid w:val="005C04C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1F8F"/>
    <w:rsid w:val="005D23E7"/>
    <w:rsid w:val="005D24D1"/>
    <w:rsid w:val="005D2975"/>
    <w:rsid w:val="005D2AB7"/>
    <w:rsid w:val="005D2C36"/>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4D3E"/>
    <w:rsid w:val="005D4EDF"/>
    <w:rsid w:val="005D4FB5"/>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A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56A"/>
    <w:rsid w:val="005E0B26"/>
    <w:rsid w:val="005E1590"/>
    <w:rsid w:val="005E1749"/>
    <w:rsid w:val="005E1848"/>
    <w:rsid w:val="005E1921"/>
    <w:rsid w:val="005E1C8A"/>
    <w:rsid w:val="005E1DA5"/>
    <w:rsid w:val="005E202B"/>
    <w:rsid w:val="005E222A"/>
    <w:rsid w:val="005E23B5"/>
    <w:rsid w:val="005E23E1"/>
    <w:rsid w:val="005E291A"/>
    <w:rsid w:val="005E2AFA"/>
    <w:rsid w:val="005E2B37"/>
    <w:rsid w:val="005E33C3"/>
    <w:rsid w:val="005E3679"/>
    <w:rsid w:val="005E38EA"/>
    <w:rsid w:val="005E38EB"/>
    <w:rsid w:val="005E3A8C"/>
    <w:rsid w:val="005E3DB2"/>
    <w:rsid w:val="005E4759"/>
    <w:rsid w:val="005E47C2"/>
    <w:rsid w:val="005E4A56"/>
    <w:rsid w:val="005E4BD8"/>
    <w:rsid w:val="005E4F07"/>
    <w:rsid w:val="005E4F2D"/>
    <w:rsid w:val="005E4FE1"/>
    <w:rsid w:val="005E5327"/>
    <w:rsid w:val="005E5605"/>
    <w:rsid w:val="005E57A8"/>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29"/>
    <w:rsid w:val="005F72F4"/>
    <w:rsid w:val="005F741B"/>
    <w:rsid w:val="005F7428"/>
    <w:rsid w:val="005F74FA"/>
    <w:rsid w:val="005F7602"/>
    <w:rsid w:val="005F7682"/>
    <w:rsid w:val="005F7CBF"/>
    <w:rsid w:val="005F7E87"/>
    <w:rsid w:val="005F7E9E"/>
    <w:rsid w:val="005F7ED5"/>
    <w:rsid w:val="00600076"/>
    <w:rsid w:val="00600132"/>
    <w:rsid w:val="00600220"/>
    <w:rsid w:val="006002C0"/>
    <w:rsid w:val="00600305"/>
    <w:rsid w:val="00600574"/>
    <w:rsid w:val="00600A27"/>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322"/>
    <w:rsid w:val="00602768"/>
    <w:rsid w:val="00602B23"/>
    <w:rsid w:val="00602C9A"/>
    <w:rsid w:val="00602E2A"/>
    <w:rsid w:val="00602EDC"/>
    <w:rsid w:val="00602F1C"/>
    <w:rsid w:val="0060305E"/>
    <w:rsid w:val="00603072"/>
    <w:rsid w:val="00603113"/>
    <w:rsid w:val="006032B0"/>
    <w:rsid w:val="00603366"/>
    <w:rsid w:val="006034D6"/>
    <w:rsid w:val="0060376B"/>
    <w:rsid w:val="006037D6"/>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68"/>
    <w:rsid w:val="00605ECA"/>
    <w:rsid w:val="00606291"/>
    <w:rsid w:val="006062CD"/>
    <w:rsid w:val="006064E1"/>
    <w:rsid w:val="006068A4"/>
    <w:rsid w:val="006069C7"/>
    <w:rsid w:val="00606A30"/>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27A"/>
    <w:rsid w:val="00613310"/>
    <w:rsid w:val="006133E4"/>
    <w:rsid w:val="0061362E"/>
    <w:rsid w:val="00613A1D"/>
    <w:rsid w:val="00613EB1"/>
    <w:rsid w:val="00613ED8"/>
    <w:rsid w:val="006140D2"/>
    <w:rsid w:val="0061413F"/>
    <w:rsid w:val="00614486"/>
    <w:rsid w:val="00614664"/>
    <w:rsid w:val="0061466C"/>
    <w:rsid w:val="0061492F"/>
    <w:rsid w:val="0061495C"/>
    <w:rsid w:val="00614BB6"/>
    <w:rsid w:val="00614C1A"/>
    <w:rsid w:val="00614C57"/>
    <w:rsid w:val="00614FDD"/>
    <w:rsid w:val="0061573D"/>
    <w:rsid w:val="006157B1"/>
    <w:rsid w:val="00615B17"/>
    <w:rsid w:val="00615D9C"/>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4E1"/>
    <w:rsid w:val="006236F1"/>
    <w:rsid w:val="00623A37"/>
    <w:rsid w:val="00623B86"/>
    <w:rsid w:val="00623E9D"/>
    <w:rsid w:val="00624010"/>
    <w:rsid w:val="006242E3"/>
    <w:rsid w:val="006242F5"/>
    <w:rsid w:val="006247DF"/>
    <w:rsid w:val="00624804"/>
    <w:rsid w:val="00624919"/>
    <w:rsid w:val="006249AF"/>
    <w:rsid w:val="00624A21"/>
    <w:rsid w:val="00624AAA"/>
    <w:rsid w:val="00624B9C"/>
    <w:rsid w:val="00624BC5"/>
    <w:rsid w:val="00624DA4"/>
    <w:rsid w:val="0062528A"/>
    <w:rsid w:val="006252D0"/>
    <w:rsid w:val="00625701"/>
    <w:rsid w:val="006257CD"/>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A3E"/>
    <w:rsid w:val="00627D8F"/>
    <w:rsid w:val="00627E72"/>
    <w:rsid w:val="00627EA6"/>
    <w:rsid w:val="00627F09"/>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B86"/>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4D0C"/>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739"/>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00"/>
    <w:rsid w:val="006448CC"/>
    <w:rsid w:val="00644CBB"/>
    <w:rsid w:val="00644D6E"/>
    <w:rsid w:val="00644EBD"/>
    <w:rsid w:val="00645218"/>
    <w:rsid w:val="0064573F"/>
    <w:rsid w:val="00645AE4"/>
    <w:rsid w:val="0064623C"/>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450"/>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14C"/>
    <w:rsid w:val="00651223"/>
    <w:rsid w:val="0065133D"/>
    <w:rsid w:val="00651373"/>
    <w:rsid w:val="00651490"/>
    <w:rsid w:val="006514DB"/>
    <w:rsid w:val="00651918"/>
    <w:rsid w:val="00651A5C"/>
    <w:rsid w:val="00651A60"/>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172"/>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5B8"/>
    <w:rsid w:val="00660722"/>
    <w:rsid w:val="00660807"/>
    <w:rsid w:val="0066093C"/>
    <w:rsid w:val="00660947"/>
    <w:rsid w:val="00660A11"/>
    <w:rsid w:val="00660A2B"/>
    <w:rsid w:val="00660B0B"/>
    <w:rsid w:val="00660C01"/>
    <w:rsid w:val="00660C30"/>
    <w:rsid w:val="00660C46"/>
    <w:rsid w:val="00660D8D"/>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816"/>
    <w:rsid w:val="00663955"/>
    <w:rsid w:val="00663B3C"/>
    <w:rsid w:val="00663BD1"/>
    <w:rsid w:val="00663FA2"/>
    <w:rsid w:val="00663FAD"/>
    <w:rsid w:val="0066401C"/>
    <w:rsid w:val="00664192"/>
    <w:rsid w:val="006642CA"/>
    <w:rsid w:val="006644F2"/>
    <w:rsid w:val="006645FE"/>
    <w:rsid w:val="0066462C"/>
    <w:rsid w:val="00664CA5"/>
    <w:rsid w:val="00665170"/>
    <w:rsid w:val="006654B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B0F"/>
    <w:rsid w:val="00670C2C"/>
    <w:rsid w:val="00670DCD"/>
    <w:rsid w:val="00670E7B"/>
    <w:rsid w:val="00671152"/>
    <w:rsid w:val="00671194"/>
    <w:rsid w:val="006713DA"/>
    <w:rsid w:val="00671824"/>
    <w:rsid w:val="00671A0D"/>
    <w:rsid w:val="00671AEA"/>
    <w:rsid w:val="00671C19"/>
    <w:rsid w:val="00671DF8"/>
    <w:rsid w:val="006722AE"/>
    <w:rsid w:val="006723AC"/>
    <w:rsid w:val="006724BA"/>
    <w:rsid w:val="00672639"/>
    <w:rsid w:val="0067267B"/>
    <w:rsid w:val="0067288A"/>
    <w:rsid w:val="00672D2B"/>
    <w:rsid w:val="00672D84"/>
    <w:rsid w:val="00673024"/>
    <w:rsid w:val="00673170"/>
    <w:rsid w:val="00673288"/>
    <w:rsid w:val="006733C6"/>
    <w:rsid w:val="00673687"/>
    <w:rsid w:val="006739BF"/>
    <w:rsid w:val="00673BA1"/>
    <w:rsid w:val="00673BE3"/>
    <w:rsid w:val="00673D2F"/>
    <w:rsid w:val="00673E19"/>
    <w:rsid w:val="00674596"/>
    <w:rsid w:val="006747E7"/>
    <w:rsid w:val="00674BD5"/>
    <w:rsid w:val="00674DAE"/>
    <w:rsid w:val="00674F95"/>
    <w:rsid w:val="0067505B"/>
    <w:rsid w:val="00675379"/>
    <w:rsid w:val="0067561D"/>
    <w:rsid w:val="00675628"/>
    <w:rsid w:val="00675B79"/>
    <w:rsid w:val="00675C31"/>
    <w:rsid w:val="00675CE0"/>
    <w:rsid w:val="00676065"/>
    <w:rsid w:val="00676184"/>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634"/>
    <w:rsid w:val="00677761"/>
    <w:rsid w:val="00677785"/>
    <w:rsid w:val="00677C82"/>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8B5"/>
    <w:rsid w:val="006839F5"/>
    <w:rsid w:val="00683A0F"/>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62A"/>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441"/>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93F"/>
    <w:rsid w:val="006A0D1A"/>
    <w:rsid w:val="006A121A"/>
    <w:rsid w:val="006A14B6"/>
    <w:rsid w:val="006A15AB"/>
    <w:rsid w:val="006A16DA"/>
    <w:rsid w:val="006A1BDA"/>
    <w:rsid w:val="006A1D19"/>
    <w:rsid w:val="006A1EFD"/>
    <w:rsid w:val="006A1FFE"/>
    <w:rsid w:val="006A203D"/>
    <w:rsid w:val="006A20EF"/>
    <w:rsid w:val="006A2248"/>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478"/>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2EA"/>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6B9"/>
    <w:rsid w:val="006B37B0"/>
    <w:rsid w:val="006B3809"/>
    <w:rsid w:val="006B398D"/>
    <w:rsid w:val="006B3B6C"/>
    <w:rsid w:val="006B3D55"/>
    <w:rsid w:val="006B3F75"/>
    <w:rsid w:val="006B4499"/>
    <w:rsid w:val="006B459B"/>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7F9"/>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AE"/>
    <w:rsid w:val="006C24B5"/>
    <w:rsid w:val="006C267A"/>
    <w:rsid w:val="006C280A"/>
    <w:rsid w:val="006C2986"/>
    <w:rsid w:val="006C2A0D"/>
    <w:rsid w:val="006C2AF2"/>
    <w:rsid w:val="006C2D2F"/>
    <w:rsid w:val="006C32F8"/>
    <w:rsid w:val="006C335A"/>
    <w:rsid w:val="006C363F"/>
    <w:rsid w:val="006C3ACC"/>
    <w:rsid w:val="006C3D37"/>
    <w:rsid w:val="006C3ED5"/>
    <w:rsid w:val="006C3FCF"/>
    <w:rsid w:val="006C3FE5"/>
    <w:rsid w:val="006C42C2"/>
    <w:rsid w:val="006C44AB"/>
    <w:rsid w:val="006C44F0"/>
    <w:rsid w:val="006C453E"/>
    <w:rsid w:val="006C4872"/>
    <w:rsid w:val="006C48BF"/>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7E2"/>
    <w:rsid w:val="006D38A5"/>
    <w:rsid w:val="006D38A7"/>
    <w:rsid w:val="006D3A97"/>
    <w:rsid w:val="006D3B23"/>
    <w:rsid w:val="006D3BF5"/>
    <w:rsid w:val="006D3CA6"/>
    <w:rsid w:val="006D42C5"/>
    <w:rsid w:val="006D455A"/>
    <w:rsid w:val="006D4588"/>
    <w:rsid w:val="006D476E"/>
    <w:rsid w:val="006D4A83"/>
    <w:rsid w:val="006D4DD2"/>
    <w:rsid w:val="006D4E72"/>
    <w:rsid w:val="006D4E86"/>
    <w:rsid w:val="006D4F78"/>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0CA"/>
    <w:rsid w:val="006D71CE"/>
    <w:rsid w:val="006D720A"/>
    <w:rsid w:val="006D72C2"/>
    <w:rsid w:val="006D74CC"/>
    <w:rsid w:val="006D74EF"/>
    <w:rsid w:val="006D760C"/>
    <w:rsid w:val="006D7914"/>
    <w:rsid w:val="006D7B05"/>
    <w:rsid w:val="006D7B43"/>
    <w:rsid w:val="006D7C8A"/>
    <w:rsid w:val="006D7E46"/>
    <w:rsid w:val="006D7FD0"/>
    <w:rsid w:val="006E00FA"/>
    <w:rsid w:val="006E0388"/>
    <w:rsid w:val="006E03F6"/>
    <w:rsid w:val="006E0413"/>
    <w:rsid w:val="006E046F"/>
    <w:rsid w:val="006E056A"/>
    <w:rsid w:val="006E05F2"/>
    <w:rsid w:val="006E080B"/>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33F"/>
    <w:rsid w:val="006E24AB"/>
    <w:rsid w:val="006E2649"/>
    <w:rsid w:val="006E27AC"/>
    <w:rsid w:val="006E2B6F"/>
    <w:rsid w:val="006E2E36"/>
    <w:rsid w:val="006E3029"/>
    <w:rsid w:val="006E316F"/>
    <w:rsid w:val="006E32BB"/>
    <w:rsid w:val="006E3340"/>
    <w:rsid w:val="006E33DD"/>
    <w:rsid w:val="006E3413"/>
    <w:rsid w:val="006E35C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FE1"/>
    <w:rsid w:val="006F003B"/>
    <w:rsid w:val="006F00E8"/>
    <w:rsid w:val="006F0106"/>
    <w:rsid w:val="006F0193"/>
    <w:rsid w:val="006F0427"/>
    <w:rsid w:val="006F075E"/>
    <w:rsid w:val="006F087C"/>
    <w:rsid w:val="006F0AB6"/>
    <w:rsid w:val="006F0CF8"/>
    <w:rsid w:val="006F0D0B"/>
    <w:rsid w:val="006F0E75"/>
    <w:rsid w:val="006F1055"/>
    <w:rsid w:val="006F1345"/>
    <w:rsid w:val="006F137D"/>
    <w:rsid w:val="006F185B"/>
    <w:rsid w:val="006F1866"/>
    <w:rsid w:val="006F186C"/>
    <w:rsid w:val="006F1933"/>
    <w:rsid w:val="006F199F"/>
    <w:rsid w:val="006F1BB3"/>
    <w:rsid w:val="006F1C77"/>
    <w:rsid w:val="006F1D00"/>
    <w:rsid w:val="006F1D24"/>
    <w:rsid w:val="006F219C"/>
    <w:rsid w:val="006F220D"/>
    <w:rsid w:val="006F276D"/>
    <w:rsid w:val="006F2962"/>
    <w:rsid w:val="006F296E"/>
    <w:rsid w:val="006F2A88"/>
    <w:rsid w:val="006F2DB7"/>
    <w:rsid w:val="006F2E05"/>
    <w:rsid w:val="006F2EB4"/>
    <w:rsid w:val="006F3349"/>
    <w:rsid w:val="006F3826"/>
    <w:rsid w:val="006F38DB"/>
    <w:rsid w:val="006F3AAE"/>
    <w:rsid w:val="006F3CB4"/>
    <w:rsid w:val="006F3FE5"/>
    <w:rsid w:val="006F417F"/>
    <w:rsid w:val="006F431D"/>
    <w:rsid w:val="006F436F"/>
    <w:rsid w:val="006F449A"/>
    <w:rsid w:val="006F4576"/>
    <w:rsid w:val="006F464B"/>
    <w:rsid w:val="006F4A1B"/>
    <w:rsid w:val="006F4BBD"/>
    <w:rsid w:val="006F4CB7"/>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DE5"/>
    <w:rsid w:val="006F6EFC"/>
    <w:rsid w:val="006F725F"/>
    <w:rsid w:val="006F7365"/>
    <w:rsid w:val="006F7423"/>
    <w:rsid w:val="006F7586"/>
    <w:rsid w:val="006F772D"/>
    <w:rsid w:val="006F7815"/>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1931"/>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792"/>
    <w:rsid w:val="007049F8"/>
    <w:rsid w:val="00704A5A"/>
    <w:rsid w:val="00704D75"/>
    <w:rsid w:val="00704FDF"/>
    <w:rsid w:val="007052A4"/>
    <w:rsid w:val="00705312"/>
    <w:rsid w:val="0070538F"/>
    <w:rsid w:val="00705549"/>
    <w:rsid w:val="00705675"/>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13"/>
    <w:rsid w:val="007074C8"/>
    <w:rsid w:val="00707507"/>
    <w:rsid w:val="00707731"/>
    <w:rsid w:val="007077E2"/>
    <w:rsid w:val="00707938"/>
    <w:rsid w:val="00707976"/>
    <w:rsid w:val="00707A6D"/>
    <w:rsid w:val="00707AA6"/>
    <w:rsid w:val="00707B6A"/>
    <w:rsid w:val="00707CFC"/>
    <w:rsid w:val="00707D64"/>
    <w:rsid w:val="0071004F"/>
    <w:rsid w:val="0071039F"/>
    <w:rsid w:val="0071053D"/>
    <w:rsid w:val="00710731"/>
    <w:rsid w:val="00710797"/>
    <w:rsid w:val="00710DF6"/>
    <w:rsid w:val="00710E55"/>
    <w:rsid w:val="00711167"/>
    <w:rsid w:val="0071144C"/>
    <w:rsid w:val="0071164F"/>
    <w:rsid w:val="007117E0"/>
    <w:rsid w:val="0071185C"/>
    <w:rsid w:val="00711DE3"/>
    <w:rsid w:val="00712139"/>
    <w:rsid w:val="007123E6"/>
    <w:rsid w:val="00712646"/>
    <w:rsid w:val="0071286D"/>
    <w:rsid w:val="00712958"/>
    <w:rsid w:val="007129E1"/>
    <w:rsid w:val="00712B26"/>
    <w:rsid w:val="00712C92"/>
    <w:rsid w:val="00712D21"/>
    <w:rsid w:val="00712ECA"/>
    <w:rsid w:val="00712EDE"/>
    <w:rsid w:val="0071356C"/>
    <w:rsid w:val="00713704"/>
    <w:rsid w:val="007137A2"/>
    <w:rsid w:val="00713962"/>
    <w:rsid w:val="0071398F"/>
    <w:rsid w:val="00713D24"/>
    <w:rsid w:val="00713DC1"/>
    <w:rsid w:val="00713DEE"/>
    <w:rsid w:val="0071410C"/>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B95"/>
    <w:rsid w:val="00716F81"/>
    <w:rsid w:val="007173E4"/>
    <w:rsid w:val="00717492"/>
    <w:rsid w:val="00717662"/>
    <w:rsid w:val="007177B9"/>
    <w:rsid w:val="00717B54"/>
    <w:rsid w:val="00717C56"/>
    <w:rsid w:val="00717E0D"/>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C43"/>
    <w:rsid w:val="00721C65"/>
    <w:rsid w:val="0072231C"/>
    <w:rsid w:val="0072236A"/>
    <w:rsid w:val="00722838"/>
    <w:rsid w:val="00722864"/>
    <w:rsid w:val="00722BB4"/>
    <w:rsid w:val="00722BBD"/>
    <w:rsid w:val="00722CBA"/>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CD"/>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DC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545"/>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1FE5"/>
    <w:rsid w:val="0073221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A58"/>
    <w:rsid w:val="00734B38"/>
    <w:rsid w:val="00734B51"/>
    <w:rsid w:val="00734CDA"/>
    <w:rsid w:val="00734EE0"/>
    <w:rsid w:val="00735030"/>
    <w:rsid w:val="00735455"/>
    <w:rsid w:val="00735530"/>
    <w:rsid w:val="0073572B"/>
    <w:rsid w:val="00735A94"/>
    <w:rsid w:val="00735E0B"/>
    <w:rsid w:val="00735EA0"/>
    <w:rsid w:val="00735F71"/>
    <w:rsid w:val="00736083"/>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AE"/>
    <w:rsid w:val="007401F8"/>
    <w:rsid w:val="00740308"/>
    <w:rsid w:val="007405E1"/>
    <w:rsid w:val="007406E9"/>
    <w:rsid w:val="0074088B"/>
    <w:rsid w:val="00740A2B"/>
    <w:rsid w:val="00740A8B"/>
    <w:rsid w:val="00740F1F"/>
    <w:rsid w:val="00740F28"/>
    <w:rsid w:val="00741013"/>
    <w:rsid w:val="007413EA"/>
    <w:rsid w:val="007419AB"/>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6A"/>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0C"/>
    <w:rsid w:val="007500D3"/>
    <w:rsid w:val="00750376"/>
    <w:rsid w:val="00750408"/>
    <w:rsid w:val="00750915"/>
    <w:rsid w:val="00750B42"/>
    <w:rsid w:val="00750DB3"/>
    <w:rsid w:val="00750E44"/>
    <w:rsid w:val="00750EA6"/>
    <w:rsid w:val="00750EC3"/>
    <w:rsid w:val="00751199"/>
    <w:rsid w:val="00751311"/>
    <w:rsid w:val="007515BE"/>
    <w:rsid w:val="0075161A"/>
    <w:rsid w:val="00751695"/>
    <w:rsid w:val="00751BB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7B9"/>
    <w:rsid w:val="007539A9"/>
    <w:rsid w:val="00753A77"/>
    <w:rsid w:val="00753AC1"/>
    <w:rsid w:val="00753B72"/>
    <w:rsid w:val="00753BBC"/>
    <w:rsid w:val="00754347"/>
    <w:rsid w:val="00754769"/>
    <w:rsid w:val="007548A7"/>
    <w:rsid w:val="00754DC4"/>
    <w:rsid w:val="00754FD0"/>
    <w:rsid w:val="007550BB"/>
    <w:rsid w:val="00755113"/>
    <w:rsid w:val="007551D4"/>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60008"/>
    <w:rsid w:val="007600FB"/>
    <w:rsid w:val="00760258"/>
    <w:rsid w:val="007602C9"/>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7C"/>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3A97"/>
    <w:rsid w:val="00763D6C"/>
    <w:rsid w:val="00764027"/>
    <w:rsid w:val="00764095"/>
    <w:rsid w:val="00764200"/>
    <w:rsid w:val="00764235"/>
    <w:rsid w:val="00764241"/>
    <w:rsid w:val="007643DD"/>
    <w:rsid w:val="007648C5"/>
    <w:rsid w:val="00764BAB"/>
    <w:rsid w:val="00764BF4"/>
    <w:rsid w:val="00764CD3"/>
    <w:rsid w:val="00764D59"/>
    <w:rsid w:val="00764D8E"/>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95E"/>
    <w:rsid w:val="00766AD4"/>
    <w:rsid w:val="00766F8B"/>
    <w:rsid w:val="00767563"/>
    <w:rsid w:val="007677FF"/>
    <w:rsid w:val="00767818"/>
    <w:rsid w:val="00767B17"/>
    <w:rsid w:val="00767C00"/>
    <w:rsid w:val="00767C58"/>
    <w:rsid w:val="00767CCF"/>
    <w:rsid w:val="00767D09"/>
    <w:rsid w:val="0077016F"/>
    <w:rsid w:val="00770319"/>
    <w:rsid w:val="0077041B"/>
    <w:rsid w:val="007705C5"/>
    <w:rsid w:val="00770725"/>
    <w:rsid w:val="0077084B"/>
    <w:rsid w:val="007708BE"/>
    <w:rsid w:val="00770927"/>
    <w:rsid w:val="00770AC4"/>
    <w:rsid w:val="00770BC7"/>
    <w:rsid w:val="00770CBA"/>
    <w:rsid w:val="00770F07"/>
    <w:rsid w:val="00770FA9"/>
    <w:rsid w:val="0077110C"/>
    <w:rsid w:val="007712FD"/>
    <w:rsid w:val="00771694"/>
    <w:rsid w:val="00771A53"/>
    <w:rsid w:val="00771AAB"/>
    <w:rsid w:val="00771CDE"/>
    <w:rsid w:val="00772046"/>
    <w:rsid w:val="007723D6"/>
    <w:rsid w:val="0077248E"/>
    <w:rsid w:val="007728B1"/>
    <w:rsid w:val="007729F5"/>
    <w:rsid w:val="00772A24"/>
    <w:rsid w:val="00772A52"/>
    <w:rsid w:val="00772F4A"/>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7CA"/>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6FD6"/>
    <w:rsid w:val="00787357"/>
    <w:rsid w:val="007873C1"/>
    <w:rsid w:val="007873C3"/>
    <w:rsid w:val="007873E3"/>
    <w:rsid w:val="0078751C"/>
    <w:rsid w:val="007877A9"/>
    <w:rsid w:val="00787886"/>
    <w:rsid w:val="00787BBF"/>
    <w:rsid w:val="00787BD0"/>
    <w:rsid w:val="00787E5B"/>
    <w:rsid w:val="00787EEB"/>
    <w:rsid w:val="00790089"/>
    <w:rsid w:val="00790124"/>
    <w:rsid w:val="007901A4"/>
    <w:rsid w:val="007901B0"/>
    <w:rsid w:val="0079038E"/>
    <w:rsid w:val="00790664"/>
    <w:rsid w:val="0079084B"/>
    <w:rsid w:val="0079092E"/>
    <w:rsid w:val="0079098E"/>
    <w:rsid w:val="00790A77"/>
    <w:rsid w:val="00790AE0"/>
    <w:rsid w:val="00790B72"/>
    <w:rsid w:val="00790CC5"/>
    <w:rsid w:val="00790CEA"/>
    <w:rsid w:val="00790E54"/>
    <w:rsid w:val="00790EDE"/>
    <w:rsid w:val="00790F9B"/>
    <w:rsid w:val="00790FCA"/>
    <w:rsid w:val="00791637"/>
    <w:rsid w:val="007917BA"/>
    <w:rsid w:val="00791B18"/>
    <w:rsid w:val="00791C41"/>
    <w:rsid w:val="00791C47"/>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4F45"/>
    <w:rsid w:val="0079504B"/>
    <w:rsid w:val="00795104"/>
    <w:rsid w:val="007955F7"/>
    <w:rsid w:val="0079571B"/>
    <w:rsid w:val="007957DE"/>
    <w:rsid w:val="007958CE"/>
    <w:rsid w:val="00795905"/>
    <w:rsid w:val="007959D6"/>
    <w:rsid w:val="00795A58"/>
    <w:rsid w:val="00795EE5"/>
    <w:rsid w:val="00795F87"/>
    <w:rsid w:val="00795FD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9D2"/>
    <w:rsid w:val="00797A33"/>
    <w:rsid w:val="00797C4B"/>
    <w:rsid w:val="00797DF7"/>
    <w:rsid w:val="007A019B"/>
    <w:rsid w:val="007A019C"/>
    <w:rsid w:val="007A0367"/>
    <w:rsid w:val="007A04BC"/>
    <w:rsid w:val="007A0599"/>
    <w:rsid w:val="007A082D"/>
    <w:rsid w:val="007A08DE"/>
    <w:rsid w:val="007A0D87"/>
    <w:rsid w:val="007A0DC0"/>
    <w:rsid w:val="007A0FD5"/>
    <w:rsid w:val="007A1527"/>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B75"/>
    <w:rsid w:val="007A2C36"/>
    <w:rsid w:val="007A2C72"/>
    <w:rsid w:val="007A2D17"/>
    <w:rsid w:val="007A2ECA"/>
    <w:rsid w:val="007A3003"/>
    <w:rsid w:val="007A3986"/>
    <w:rsid w:val="007A3A19"/>
    <w:rsid w:val="007A3AC9"/>
    <w:rsid w:val="007A3ACB"/>
    <w:rsid w:val="007A3D54"/>
    <w:rsid w:val="007A3DE6"/>
    <w:rsid w:val="007A3F2B"/>
    <w:rsid w:val="007A447C"/>
    <w:rsid w:val="007A46FC"/>
    <w:rsid w:val="007A4A11"/>
    <w:rsid w:val="007A4A2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81C"/>
    <w:rsid w:val="007A6848"/>
    <w:rsid w:val="007A6B54"/>
    <w:rsid w:val="007A6C2B"/>
    <w:rsid w:val="007A70AB"/>
    <w:rsid w:val="007A70C1"/>
    <w:rsid w:val="007A7128"/>
    <w:rsid w:val="007A736E"/>
    <w:rsid w:val="007A743B"/>
    <w:rsid w:val="007A74E1"/>
    <w:rsid w:val="007A7BB8"/>
    <w:rsid w:val="007A7CFC"/>
    <w:rsid w:val="007A7DF6"/>
    <w:rsid w:val="007A7ED7"/>
    <w:rsid w:val="007A7EF0"/>
    <w:rsid w:val="007B0082"/>
    <w:rsid w:val="007B023C"/>
    <w:rsid w:val="007B0350"/>
    <w:rsid w:val="007B0371"/>
    <w:rsid w:val="007B0434"/>
    <w:rsid w:val="007B04B3"/>
    <w:rsid w:val="007B0564"/>
    <w:rsid w:val="007B05F1"/>
    <w:rsid w:val="007B07F9"/>
    <w:rsid w:val="007B081C"/>
    <w:rsid w:val="007B1048"/>
    <w:rsid w:val="007B1053"/>
    <w:rsid w:val="007B1284"/>
    <w:rsid w:val="007B14CF"/>
    <w:rsid w:val="007B1B00"/>
    <w:rsid w:val="007B1F40"/>
    <w:rsid w:val="007B20E8"/>
    <w:rsid w:val="007B2795"/>
    <w:rsid w:val="007B28C6"/>
    <w:rsid w:val="007B2924"/>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98"/>
    <w:rsid w:val="007B68D6"/>
    <w:rsid w:val="007B6B07"/>
    <w:rsid w:val="007B6B90"/>
    <w:rsid w:val="007B6BEF"/>
    <w:rsid w:val="007B6C3E"/>
    <w:rsid w:val="007B6D68"/>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521"/>
    <w:rsid w:val="007C3571"/>
    <w:rsid w:val="007C3636"/>
    <w:rsid w:val="007C36C5"/>
    <w:rsid w:val="007C3896"/>
    <w:rsid w:val="007C3935"/>
    <w:rsid w:val="007C3C52"/>
    <w:rsid w:val="007C3C9E"/>
    <w:rsid w:val="007C3CF7"/>
    <w:rsid w:val="007C3E4E"/>
    <w:rsid w:val="007C3E51"/>
    <w:rsid w:val="007C3F32"/>
    <w:rsid w:val="007C3FBD"/>
    <w:rsid w:val="007C3FEA"/>
    <w:rsid w:val="007C4052"/>
    <w:rsid w:val="007C40FE"/>
    <w:rsid w:val="007C41F3"/>
    <w:rsid w:val="007C4266"/>
    <w:rsid w:val="007C4628"/>
    <w:rsid w:val="007C4654"/>
    <w:rsid w:val="007C4864"/>
    <w:rsid w:val="007C49D2"/>
    <w:rsid w:val="007C4D9C"/>
    <w:rsid w:val="007C4DFD"/>
    <w:rsid w:val="007C50A8"/>
    <w:rsid w:val="007C51A4"/>
    <w:rsid w:val="007C51FA"/>
    <w:rsid w:val="007C5514"/>
    <w:rsid w:val="007C55C2"/>
    <w:rsid w:val="007C59E7"/>
    <w:rsid w:val="007C5B04"/>
    <w:rsid w:val="007C5D1D"/>
    <w:rsid w:val="007C5DE1"/>
    <w:rsid w:val="007C5F5F"/>
    <w:rsid w:val="007C63F3"/>
    <w:rsid w:val="007C6407"/>
    <w:rsid w:val="007C6835"/>
    <w:rsid w:val="007C688F"/>
    <w:rsid w:val="007C68D6"/>
    <w:rsid w:val="007C6A7C"/>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63D"/>
    <w:rsid w:val="007D480B"/>
    <w:rsid w:val="007D4867"/>
    <w:rsid w:val="007D48A9"/>
    <w:rsid w:val="007D492B"/>
    <w:rsid w:val="007D4983"/>
    <w:rsid w:val="007D4B5C"/>
    <w:rsid w:val="007D4B9E"/>
    <w:rsid w:val="007D4FF0"/>
    <w:rsid w:val="007D5206"/>
    <w:rsid w:val="007D5212"/>
    <w:rsid w:val="007D52F2"/>
    <w:rsid w:val="007D5516"/>
    <w:rsid w:val="007D55D6"/>
    <w:rsid w:val="007D5742"/>
    <w:rsid w:val="007D57F1"/>
    <w:rsid w:val="007D59E9"/>
    <w:rsid w:val="007D6076"/>
    <w:rsid w:val="007D619D"/>
    <w:rsid w:val="007D61CD"/>
    <w:rsid w:val="007D67D4"/>
    <w:rsid w:val="007D67D5"/>
    <w:rsid w:val="007D6A25"/>
    <w:rsid w:val="007D6ADF"/>
    <w:rsid w:val="007D6EB6"/>
    <w:rsid w:val="007D7001"/>
    <w:rsid w:val="007D76B6"/>
    <w:rsid w:val="007D7717"/>
    <w:rsid w:val="007D7A89"/>
    <w:rsid w:val="007D7B16"/>
    <w:rsid w:val="007D7C51"/>
    <w:rsid w:val="007D7C69"/>
    <w:rsid w:val="007D7D39"/>
    <w:rsid w:val="007E0381"/>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E43"/>
    <w:rsid w:val="007E2F04"/>
    <w:rsid w:val="007E2F42"/>
    <w:rsid w:val="007E332A"/>
    <w:rsid w:val="007E3479"/>
    <w:rsid w:val="007E35AB"/>
    <w:rsid w:val="007E3767"/>
    <w:rsid w:val="007E3D0C"/>
    <w:rsid w:val="007E40D9"/>
    <w:rsid w:val="007E4740"/>
    <w:rsid w:val="007E4760"/>
    <w:rsid w:val="007E4853"/>
    <w:rsid w:val="007E4AAA"/>
    <w:rsid w:val="007E4F14"/>
    <w:rsid w:val="007E5284"/>
    <w:rsid w:val="007E53A0"/>
    <w:rsid w:val="007E5E24"/>
    <w:rsid w:val="007E5F1A"/>
    <w:rsid w:val="007E60DE"/>
    <w:rsid w:val="007E6261"/>
    <w:rsid w:val="007E63F7"/>
    <w:rsid w:val="007E6814"/>
    <w:rsid w:val="007E69B0"/>
    <w:rsid w:val="007E6A2A"/>
    <w:rsid w:val="007E6D4F"/>
    <w:rsid w:val="007E6DC1"/>
    <w:rsid w:val="007E6DCC"/>
    <w:rsid w:val="007E6DD5"/>
    <w:rsid w:val="007E6F84"/>
    <w:rsid w:val="007E6F9A"/>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22"/>
    <w:rsid w:val="007F7080"/>
    <w:rsid w:val="007F70A1"/>
    <w:rsid w:val="007F72CE"/>
    <w:rsid w:val="007F74F9"/>
    <w:rsid w:val="007F7528"/>
    <w:rsid w:val="007F7D1B"/>
    <w:rsid w:val="0080016C"/>
    <w:rsid w:val="008001CE"/>
    <w:rsid w:val="00800249"/>
    <w:rsid w:val="00800280"/>
    <w:rsid w:val="008007AD"/>
    <w:rsid w:val="00800904"/>
    <w:rsid w:val="00800919"/>
    <w:rsid w:val="00800A8E"/>
    <w:rsid w:val="00800C4E"/>
    <w:rsid w:val="00800D8E"/>
    <w:rsid w:val="00800DEE"/>
    <w:rsid w:val="00800E4F"/>
    <w:rsid w:val="0080104C"/>
    <w:rsid w:val="008014CF"/>
    <w:rsid w:val="00801630"/>
    <w:rsid w:val="00801A4B"/>
    <w:rsid w:val="00801A51"/>
    <w:rsid w:val="00802339"/>
    <w:rsid w:val="008026A4"/>
    <w:rsid w:val="00802830"/>
    <w:rsid w:val="008029A1"/>
    <w:rsid w:val="00802B8B"/>
    <w:rsid w:val="00802CA9"/>
    <w:rsid w:val="0080325D"/>
    <w:rsid w:val="0080334E"/>
    <w:rsid w:val="008036A0"/>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22A"/>
    <w:rsid w:val="00810315"/>
    <w:rsid w:val="008104D7"/>
    <w:rsid w:val="008105FC"/>
    <w:rsid w:val="008107E3"/>
    <w:rsid w:val="0081080D"/>
    <w:rsid w:val="0081085C"/>
    <w:rsid w:val="00810866"/>
    <w:rsid w:val="008108B4"/>
    <w:rsid w:val="00810B04"/>
    <w:rsid w:val="00810DA6"/>
    <w:rsid w:val="00810E17"/>
    <w:rsid w:val="00810E1B"/>
    <w:rsid w:val="00810EC1"/>
    <w:rsid w:val="00810F98"/>
    <w:rsid w:val="00811002"/>
    <w:rsid w:val="00811055"/>
    <w:rsid w:val="008110A2"/>
    <w:rsid w:val="008114DE"/>
    <w:rsid w:val="0081165B"/>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4D"/>
    <w:rsid w:val="00813756"/>
    <w:rsid w:val="008137B4"/>
    <w:rsid w:val="00813BE7"/>
    <w:rsid w:val="00813C24"/>
    <w:rsid w:val="00813F08"/>
    <w:rsid w:val="00813F36"/>
    <w:rsid w:val="008142FD"/>
    <w:rsid w:val="0081462B"/>
    <w:rsid w:val="00814660"/>
    <w:rsid w:val="0081475E"/>
    <w:rsid w:val="00814A73"/>
    <w:rsid w:val="00814C38"/>
    <w:rsid w:val="00815112"/>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1C"/>
    <w:rsid w:val="00816A26"/>
    <w:rsid w:val="00816BFB"/>
    <w:rsid w:val="00816C22"/>
    <w:rsid w:val="00816E17"/>
    <w:rsid w:val="0081721F"/>
    <w:rsid w:val="008172C2"/>
    <w:rsid w:val="0081733D"/>
    <w:rsid w:val="0081746B"/>
    <w:rsid w:val="00817D68"/>
    <w:rsid w:val="00817D77"/>
    <w:rsid w:val="00817EEC"/>
    <w:rsid w:val="00820288"/>
    <w:rsid w:val="008206CD"/>
    <w:rsid w:val="00820981"/>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A0D"/>
    <w:rsid w:val="00824C43"/>
    <w:rsid w:val="00824CC9"/>
    <w:rsid w:val="0082521D"/>
    <w:rsid w:val="00825508"/>
    <w:rsid w:val="0082553A"/>
    <w:rsid w:val="008255BB"/>
    <w:rsid w:val="008256BC"/>
    <w:rsid w:val="00825BC1"/>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C2B"/>
    <w:rsid w:val="0083123C"/>
    <w:rsid w:val="008312B0"/>
    <w:rsid w:val="008313E5"/>
    <w:rsid w:val="008314A1"/>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D87"/>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75A"/>
    <w:rsid w:val="0084089A"/>
    <w:rsid w:val="00840E81"/>
    <w:rsid w:val="00840FB1"/>
    <w:rsid w:val="008410E4"/>
    <w:rsid w:val="008411A0"/>
    <w:rsid w:val="0084158E"/>
    <w:rsid w:val="008416D9"/>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2BB"/>
    <w:rsid w:val="008433FD"/>
    <w:rsid w:val="008434E0"/>
    <w:rsid w:val="00843564"/>
    <w:rsid w:val="008436DB"/>
    <w:rsid w:val="008437BE"/>
    <w:rsid w:val="00843C1B"/>
    <w:rsid w:val="00843FB9"/>
    <w:rsid w:val="0084415C"/>
    <w:rsid w:val="00844428"/>
    <w:rsid w:val="0084469F"/>
    <w:rsid w:val="0084476C"/>
    <w:rsid w:val="00844A39"/>
    <w:rsid w:val="0084509D"/>
    <w:rsid w:val="0084534E"/>
    <w:rsid w:val="00845604"/>
    <w:rsid w:val="008459D7"/>
    <w:rsid w:val="00845C18"/>
    <w:rsid w:val="00845CDF"/>
    <w:rsid w:val="00845D51"/>
    <w:rsid w:val="00845D5A"/>
    <w:rsid w:val="008462D7"/>
    <w:rsid w:val="008462E8"/>
    <w:rsid w:val="00846701"/>
    <w:rsid w:val="00846875"/>
    <w:rsid w:val="00846B32"/>
    <w:rsid w:val="00846CE9"/>
    <w:rsid w:val="00846DE3"/>
    <w:rsid w:val="00846E5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1D"/>
    <w:rsid w:val="008540C6"/>
    <w:rsid w:val="0085416E"/>
    <w:rsid w:val="008541C5"/>
    <w:rsid w:val="008542C8"/>
    <w:rsid w:val="00854341"/>
    <w:rsid w:val="0085449C"/>
    <w:rsid w:val="008544F4"/>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5E5D"/>
    <w:rsid w:val="00856039"/>
    <w:rsid w:val="00856261"/>
    <w:rsid w:val="00856445"/>
    <w:rsid w:val="008564A8"/>
    <w:rsid w:val="00856753"/>
    <w:rsid w:val="008567CA"/>
    <w:rsid w:val="008568E5"/>
    <w:rsid w:val="00856A89"/>
    <w:rsid w:val="0085742E"/>
    <w:rsid w:val="00857690"/>
    <w:rsid w:val="00857749"/>
    <w:rsid w:val="00857882"/>
    <w:rsid w:val="00857889"/>
    <w:rsid w:val="0085793E"/>
    <w:rsid w:val="00857AF5"/>
    <w:rsid w:val="008600D4"/>
    <w:rsid w:val="00860211"/>
    <w:rsid w:val="00860418"/>
    <w:rsid w:val="008604D4"/>
    <w:rsid w:val="00860614"/>
    <w:rsid w:val="008607BF"/>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ADF"/>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5E4"/>
    <w:rsid w:val="00867712"/>
    <w:rsid w:val="00867B19"/>
    <w:rsid w:val="00867D83"/>
    <w:rsid w:val="00867E81"/>
    <w:rsid w:val="00870274"/>
    <w:rsid w:val="0087029B"/>
    <w:rsid w:val="008703F6"/>
    <w:rsid w:val="00870639"/>
    <w:rsid w:val="008707D3"/>
    <w:rsid w:val="008707DA"/>
    <w:rsid w:val="00870A44"/>
    <w:rsid w:val="00870A4A"/>
    <w:rsid w:val="00870A5B"/>
    <w:rsid w:val="00870AAE"/>
    <w:rsid w:val="00870C9E"/>
    <w:rsid w:val="00870DD2"/>
    <w:rsid w:val="0087125E"/>
    <w:rsid w:val="0087146D"/>
    <w:rsid w:val="00871528"/>
    <w:rsid w:val="0087189E"/>
    <w:rsid w:val="00871A32"/>
    <w:rsid w:val="00871D4E"/>
    <w:rsid w:val="00871D7D"/>
    <w:rsid w:val="00871E1B"/>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4B5"/>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1B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930"/>
    <w:rsid w:val="00886C65"/>
    <w:rsid w:val="00886EFB"/>
    <w:rsid w:val="00886F3E"/>
    <w:rsid w:val="00886F5F"/>
    <w:rsid w:val="00886F8F"/>
    <w:rsid w:val="00887092"/>
    <w:rsid w:val="008871A1"/>
    <w:rsid w:val="008873F0"/>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800"/>
    <w:rsid w:val="0089394D"/>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170"/>
    <w:rsid w:val="008A0463"/>
    <w:rsid w:val="008A069D"/>
    <w:rsid w:val="008A0767"/>
    <w:rsid w:val="008A0B3C"/>
    <w:rsid w:val="008A0F40"/>
    <w:rsid w:val="008A198E"/>
    <w:rsid w:val="008A1BAB"/>
    <w:rsid w:val="008A1CC1"/>
    <w:rsid w:val="008A1D3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C4B"/>
    <w:rsid w:val="008B1E99"/>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40"/>
    <w:rsid w:val="008B3586"/>
    <w:rsid w:val="008B3CD3"/>
    <w:rsid w:val="008B3EB4"/>
    <w:rsid w:val="008B3EE8"/>
    <w:rsid w:val="008B400F"/>
    <w:rsid w:val="008B4139"/>
    <w:rsid w:val="008B41F0"/>
    <w:rsid w:val="008B42B2"/>
    <w:rsid w:val="008B446D"/>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09"/>
    <w:rsid w:val="008C48F3"/>
    <w:rsid w:val="008C4953"/>
    <w:rsid w:val="008C4AD1"/>
    <w:rsid w:val="008C4B33"/>
    <w:rsid w:val="008C4C4E"/>
    <w:rsid w:val="008C4E7A"/>
    <w:rsid w:val="008C4FA1"/>
    <w:rsid w:val="008C50A1"/>
    <w:rsid w:val="008C5429"/>
    <w:rsid w:val="008C5551"/>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C7ECA"/>
    <w:rsid w:val="008D00D3"/>
    <w:rsid w:val="008D026A"/>
    <w:rsid w:val="008D07E6"/>
    <w:rsid w:val="008D0BE9"/>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04"/>
    <w:rsid w:val="008D4C14"/>
    <w:rsid w:val="008D4C2C"/>
    <w:rsid w:val="008D4D0E"/>
    <w:rsid w:val="008D5301"/>
    <w:rsid w:val="008D5435"/>
    <w:rsid w:val="008D57EE"/>
    <w:rsid w:val="008D590C"/>
    <w:rsid w:val="008D5A3E"/>
    <w:rsid w:val="008D5B1F"/>
    <w:rsid w:val="008D5D7C"/>
    <w:rsid w:val="008D5D9C"/>
    <w:rsid w:val="008D5E11"/>
    <w:rsid w:val="008D5F81"/>
    <w:rsid w:val="008D6146"/>
    <w:rsid w:val="008D621A"/>
    <w:rsid w:val="008D6760"/>
    <w:rsid w:val="008D6830"/>
    <w:rsid w:val="008D68BD"/>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CE2"/>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9E"/>
    <w:rsid w:val="008E20F0"/>
    <w:rsid w:val="008E20FC"/>
    <w:rsid w:val="008E218C"/>
    <w:rsid w:val="008E28A5"/>
    <w:rsid w:val="008E298E"/>
    <w:rsid w:val="008E2DEF"/>
    <w:rsid w:val="008E2EA9"/>
    <w:rsid w:val="008E2F78"/>
    <w:rsid w:val="008E2FB9"/>
    <w:rsid w:val="008E308B"/>
    <w:rsid w:val="008E3292"/>
    <w:rsid w:val="008E3B5B"/>
    <w:rsid w:val="008E3C89"/>
    <w:rsid w:val="008E3CA1"/>
    <w:rsid w:val="008E3CEB"/>
    <w:rsid w:val="008E3CF9"/>
    <w:rsid w:val="008E3D68"/>
    <w:rsid w:val="008E4046"/>
    <w:rsid w:val="008E4122"/>
    <w:rsid w:val="008E41CA"/>
    <w:rsid w:val="008E4234"/>
    <w:rsid w:val="008E4366"/>
    <w:rsid w:val="008E43BE"/>
    <w:rsid w:val="008E4482"/>
    <w:rsid w:val="008E4484"/>
    <w:rsid w:val="008E44B7"/>
    <w:rsid w:val="008E4606"/>
    <w:rsid w:val="008E46E1"/>
    <w:rsid w:val="008E4817"/>
    <w:rsid w:val="008E4D5F"/>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7E1"/>
    <w:rsid w:val="008E69A1"/>
    <w:rsid w:val="008E6A88"/>
    <w:rsid w:val="008E6ACE"/>
    <w:rsid w:val="008E6AF8"/>
    <w:rsid w:val="008E6D24"/>
    <w:rsid w:val="008E6DA9"/>
    <w:rsid w:val="008E6FB9"/>
    <w:rsid w:val="008E7545"/>
    <w:rsid w:val="008E78E3"/>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12"/>
    <w:rsid w:val="008F245D"/>
    <w:rsid w:val="008F24D9"/>
    <w:rsid w:val="008F2700"/>
    <w:rsid w:val="008F2982"/>
    <w:rsid w:val="008F298A"/>
    <w:rsid w:val="008F2A75"/>
    <w:rsid w:val="008F2AB2"/>
    <w:rsid w:val="008F2DCE"/>
    <w:rsid w:val="008F2F30"/>
    <w:rsid w:val="008F334F"/>
    <w:rsid w:val="008F3A24"/>
    <w:rsid w:val="008F3CB2"/>
    <w:rsid w:val="008F3DCB"/>
    <w:rsid w:val="008F40F9"/>
    <w:rsid w:val="008F431C"/>
    <w:rsid w:val="008F4501"/>
    <w:rsid w:val="008F475C"/>
    <w:rsid w:val="008F47BE"/>
    <w:rsid w:val="008F4820"/>
    <w:rsid w:val="008F4B11"/>
    <w:rsid w:val="008F5119"/>
    <w:rsid w:val="008F53AA"/>
    <w:rsid w:val="008F550E"/>
    <w:rsid w:val="008F5678"/>
    <w:rsid w:val="008F5726"/>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0D"/>
    <w:rsid w:val="009036B3"/>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5F3"/>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53C"/>
    <w:rsid w:val="00910647"/>
    <w:rsid w:val="0091081D"/>
    <w:rsid w:val="00910933"/>
    <w:rsid w:val="00910B75"/>
    <w:rsid w:val="00910CD7"/>
    <w:rsid w:val="00910D1F"/>
    <w:rsid w:val="00910D9D"/>
    <w:rsid w:val="00910E48"/>
    <w:rsid w:val="00910EB3"/>
    <w:rsid w:val="00910ECD"/>
    <w:rsid w:val="00910F42"/>
    <w:rsid w:val="009114CB"/>
    <w:rsid w:val="00911563"/>
    <w:rsid w:val="009115D8"/>
    <w:rsid w:val="0091173A"/>
    <w:rsid w:val="009118CD"/>
    <w:rsid w:val="009118D6"/>
    <w:rsid w:val="00911920"/>
    <w:rsid w:val="00911944"/>
    <w:rsid w:val="009119E4"/>
    <w:rsid w:val="00911B5B"/>
    <w:rsid w:val="00911C67"/>
    <w:rsid w:val="00911DB0"/>
    <w:rsid w:val="00911E9A"/>
    <w:rsid w:val="00911F43"/>
    <w:rsid w:val="009121A7"/>
    <w:rsid w:val="00912218"/>
    <w:rsid w:val="009125E8"/>
    <w:rsid w:val="0091271A"/>
    <w:rsid w:val="0091285C"/>
    <w:rsid w:val="00912BED"/>
    <w:rsid w:val="00912C4A"/>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B6"/>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E57"/>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1F81"/>
    <w:rsid w:val="00922054"/>
    <w:rsid w:val="009224A4"/>
    <w:rsid w:val="009225AB"/>
    <w:rsid w:val="0092263B"/>
    <w:rsid w:val="009226DE"/>
    <w:rsid w:val="009227DC"/>
    <w:rsid w:val="009228FA"/>
    <w:rsid w:val="00922A06"/>
    <w:rsid w:val="00922A94"/>
    <w:rsid w:val="00922AA6"/>
    <w:rsid w:val="00922BE5"/>
    <w:rsid w:val="00922C9F"/>
    <w:rsid w:val="00922E20"/>
    <w:rsid w:val="00923034"/>
    <w:rsid w:val="009231DA"/>
    <w:rsid w:val="00923234"/>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27"/>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2F"/>
    <w:rsid w:val="0093407C"/>
    <w:rsid w:val="0093422D"/>
    <w:rsid w:val="0093429E"/>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37FE2"/>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59B"/>
    <w:rsid w:val="00941795"/>
    <w:rsid w:val="00941BB2"/>
    <w:rsid w:val="00941D0F"/>
    <w:rsid w:val="00942284"/>
    <w:rsid w:val="009425D3"/>
    <w:rsid w:val="009426FB"/>
    <w:rsid w:val="009427D6"/>
    <w:rsid w:val="00942A0D"/>
    <w:rsid w:val="00943170"/>
    <w:rsid w:val="009431E8"/>
    <w:rsid w:val="00943325"/>
    <w:rsid w:val="009436D4"/>
    <w:rsid w:val="0094371D"/>
    <w:rsid w:val="00943A66"/>
    <w:rsid w:val="009442C4"/>
    <w:rsid w:val="00944482"/>
    <w:rsid w:val="0094449E"/>
    <w:rsid w:val="00944710"/>
    <w:rsid w:val="009447AE"/>
    <w:rsid w:val="00944A5E"/>
    <w:rsid w:val="00944AC7"/>
    <w:rsid w:val="00944B82"/>
    <w:rsid w:val="00944CA6"/>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7B0"/>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80"/>
    <w:rsid w:val="00950AAC"/>
    <w:rsid w:val="00950AB4"/>
    <w:rsid w:val="00951531"/>
    <w:rsid w:val="00951758"/>
    <w:rsid w:val="009517B8"/>
    <w:rsid w:val="009519F3"/>
    <w:rsid w:val="00951A27"/>
    <w:rsid w:val="00951D15"/>
    <w:rsid w:val="00951D82"/>
    <w:rsid w:val="00951DE6"/>
    <w:rsid w:val="00952277"/>
    <w:rsid w:val="0095251F"/>
    <w:rsid w:val="009525DB"/>
    <w:rsid w:val="00952604"/>
    <w:rsid w:val="00952779"/>
    <w:rsid w:val="00952801"/>
    <w:rsid w:val="00952846"/>
    <w:rsid w:val="00952860"/>
    <w:rsid w:val="0095293C"/>
    <w:rsid w:val="00952AF8"/>
    <w:rsid w:val="00952B63"/>
    <w:rsid w:val="00952BCC"/>
    <w:rsid w:val="00952DF4"/>
    <w:rsid w:val="00952F68"/>
    <w:rsid w:val="00952FDE"/>
    <w:rsid w:val="00952FF7"/>
    <w:rsid w:val="00953284"/>
    <w:rsid w:val="009533F0"/>
    <w:rsid w:val="0095370F"/>
    <w:rsid w:val="00953740"/>
    <w:rsid w:val="00953896"/>
    <w:rsid w:val="009538E8"/>
    <w:rsid w:val="00953904"/>
    <w:rsid w:val="00953A28"/>
    <w:rsid w:val="00953C20"/>
    <w:rsid w:val="00953EB0"/>
    <w:rsid w:val="009540A7"/>
    <w:rsid w:val="00954128"/>
    <w:rsid w:val="009547A7"/>
    <w:rsid w:val="00954DB9"/>
    <w:rsid w:val="00954F12"/>
    <w:rsid w:val="0095502C"/>
    <w:rsid w:val="009552E8"/>
    <w:rsid w:val="00955BBB"/>
    <w:rsid w:val="00955C13"/>
    <w:rsid w:val="00955C77"/>
    <w:rsid w:val="00955D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84A"/>
    <w:rsid w:val="00960981"/>
    <w:rsid w:val="009609AF"/>
    <w:rsid w:val="009609D0"/>
    <w:rsid w:val="00960C9C"/>
    <w:rsid w:val="00960E19"/>
    <w:rsid w:val="00960E79"/>
    <w:rsid w:val="00960E85"/>
    <w:rsid w:val="00960EF2"/>
    <w:rsid w:val="00960F82"/>
    <w:rsid w:val="009610BE"/>
    <w:rsid w:val="0096114D"/>
    <w:rsid w:val="00961307"/>
    <w:rsid w:val="0096138C"/>
    <w:rsid w:val="009614A4"/>
    <w:rsid w:val="009615D5"/>
    <w:rsid w:val="009618FA"/>
    <w:rsid w:val="0096191D"/>
    <w:rsid w:val="00961935"/>
    <w:rsid w:val="00961E94"/>
    <w:rsid w:val="0096204D"/>
    <w:rsid w:val="009620AB"/>
    <w:rsid w:val="00962328"/>
    <w:rsid w:val="009623CA"/>
    <w:rsid w:val="009624A8"/>
    <w:rsid w:val="0096292A"/>
    <w:rsid w:val="00962995"/>
    <w:rsid w:val="0096299A"/>
    <w:rsid w:val="00962B1A"/>
    <w:rsid w:val="00962B51"/>
    <w:rsid w:val="0096311D"/>
    <w:rsid w:val="009632EE"/>
    <w:rsid w:val="009634DD"/>
    <w:rsid w:val="00963547"/>
    <w:rsid w:val="009636E9"/>
    <w:rsid w:val="00963710"/>
    <w:rsid w:val="009637A9"/>
    <w:rsid w:val="00963872"/>
    <w:rsid w:val="00963C5A"/>
    <w:rsid w:val="00963F36"/>
    <w:rsid w:val="00964197"/>
    <w:rsid w:val="00964293"/>
    <w:rsid w:val="00964858"/>
    <w:rsid w:val="00964A43"/>
    <w:rsid w:val="00964B95"/>
    <w:rsid w:val="00964C01"/>
    <w:rsid w:val="00964C61"/>
    <w:rsid w:val="00964C79"/>
    <w:rsid w:val="00964CEF"/>
    <w:rsid w:val="00964DC8"/>
    <w:rsid w:val="00964F8C"/>
    <w:rsid w:val="0096555E"/>
    <w:rsid w:val="0096572F"/>
    <w:rsid w:val="00965818"/>
    <w:rsid w:val="00965B06"/>
    <w:rsid w:val="00965CB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2FD2"/>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5E78"/>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BC0"/>
    <w:rsid w:val="00977C73"/>
    <w:rsid w:val="00977DA2"/>
    <w:rsid w:val="00977DEC"/>
    <w:rsid w:val="00977E80"/>
    <w:rsid w:val="0098013E"/>
    <w:rsid w:val="00980202"/>
    <w:rsid w:val="00980522"/>
    <w:rsid w:val="00980556"/>
    <w:rsid w:val="0098057B"/>
    <w:rsid w:val="0098059E"/>
    <w:rsid w:val="009805BA"/>
    <w:rsid w:val="00980649"/>
    <w:rsid w:val="009808AF"/>
    <w:rsid w:val="009809EA"/>
    <w:rsid w:val="00980A46"/>
    <w:rsid w:val="00980AEB"/>
    <w:rsid w:val="00980B8F"/>
    <w:rsid w:val="00980EC9"/>
    <w:rsid w:val="00981009"/>
    <w:rsid w:val="00981129"/>
    <w:rsid w:val="009811A4"/>
    <w:rsid w:val="0098138D"/>
    <w:rsid w:val="0098165B"/>
    <w:rsid w:val="00981AD1"/>
    <w:rsid w:val="00981D34"/>
    <w:rsid w:val="00981DCC"/>
    <w:rsid w:val="00981EB4"/>
    <w:rsid w:val="009820D0"/>
    <w:rsid w:val="0098229E"/>
    <w:rsid w:val="00982649"/>
    <w:rsid w:val="009827D6"/>
    <w:rsid w:val="009828C1"/>
    <w:rsid w:val="00982AB7"/>
    <w:rsid w:val="00982C2F"/>
    <w:rsid w:val="00982E88"/>
    <w:rsid w:val="00982EDC"/>
    <w:rsid w:val="009836AB"/>
    <w:rsid w:val="009836F3"/>
    <w:rsid w:val="00983903"/>
    <w:rsid w:val="009839ED"/>
    <w:rsid w:val="00983DF4"/>
    <w:rsid w:val="009840B2"/>
    <w:rsid w:val="009841EB"/>
    <w:rsid w:val="0098446D"/>
    <w:rsid w:val="009846CB"/>
    <w:rsid w:val="00984798"/>
    <w:rsid w:val="00984B72"/>
    <w:rsid w:val="00984D78"/>
    <w:rsid w:val="00984DB4"/>
    <w:rsid w:val="009850BE"/>
    <w:rsid w:val="0098566D"/>
    <w:rsid w:val="00985747"/>
    <w:rsid w:val="00985935"/>
    <w:rsid w:val="009859F8"/>
    <w:rsid w:val="00985CDA"/>
    <w:rsid w:val="00986336"/>
    <w:rsid w:val="009864E8"/>
    <w:rsid w:val="00986759"/>
    <w:rsid w:val="0098676A"/>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329"/>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8B1"/>
    <w:rsid w:val="009A1919"/>
    <w:rsid w:val="009A199D"/>
    <w:rsid w:val="009A1ADC"/>
    <w:rsid w:val="009A1BF5"/>
    <w:rsid w:val="009A1E5C"/>
    <w:rsid w:val="009A1F26"/>
    <w:rsid w:val="009A2147"/>
    <w:rsid w:val="009A23B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3DE"/>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027"/>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AE8"/>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5D"/>
    <w:rsid w:val="009B6B70"/>
    <w:rsid w:val="009B6B99"/>
    <w:rsid w:val="009B6CDC"/>
    <w:rsid w:val="009B6DB4"/>
    <w:rsid w:val="009B6F01"/>
    <w:rsid w:val="009B7077"/>
    <w:rsid w:val="009B720E"/>
    <w:rsid w:val="009B7285"/>
    <w:rsid w:val="009B7610"/>
    <w:rsid w:val="009B7765"/>
    <w:rsid w:val="009B7834"/>
    <w:rsid w:val="009B79E6"/>
    <w:rsid w:val="009B7B9E"/>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5E"/>
    <w:rsid w:val="009C45C5"/>
    <w:rsid w:val="009C45EF"/>
    <w:rsid w:val="009C49DA"/>
    <w:rsid w:val="009C4B2A"/>
    <w:rsid w:val="009C4BAC"/>
    <w:rsid w:val="009C4C3A"/>
    <w:rsid w:val="009C4CA4"/>
    <w:rsid w:val="009C504B"/>
    <w:rsid w:val="009C51B7"/>
    <w:rsid w:val="009C51EC"/>
    <w:rsid w:val="009C5292"/>
    <w:rsid w:val="009C5545"/>
    <w:rsid w:val="009C56FA"/>
    <w:rsid w:val="009C5A5E"/>
    <w:rsid w:val="009C5A96"/>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76A"/>
    <w:rsid w:val="009D08D0"/>
    <w:rsid w:val="009D0A7F"/>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6ED"/>
    <w:rsid w:val="009D3A8D"/>
    <w:rsid w:val="009D3B84"/>
    <w:rsid w:val="009D3C33"/>
    <w:rsid w:val="009D3CE6"/>
    <w:rsid w:val="009D3F41"/>
    <w:rsid w:val="009D403B"/>
    <w:rsid w:val="009D43D8"/>
    <w:rsid w:val="009D459C"/>
    <w:rsid w:val="009D470F"/>
    <w:rsid w:val="009D4A13"/>
    <w:rsid w:val="009D4BC6"/>
    <w:rsid w:val="009D4CB8"/>
    <w:rsid w:val="009D4DB0"/>
    <w:rsid w:val="009D4F6B"/>
    <w:rsid w:val="009D5015"/>
    <w:rsid w:val="009D53F1"/>
    <w:rsid w:val="009D5717"/>
    <w:rsid w:val="009D5827"/>
    <w:rsid w:val="009D5BB3"/>
    <w:rsid w:val="009D5CDC"/>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533"/>
    <w:rsid w:val="009E25AA"/>
    <w:rsid w:val="009E267A"/>
    <w:rsid w:val="009E2709"/>
    <w:rsid w:val="009E271E"/>
    <w:rsid w:val="009E28FB"/>
    <w:rsid w:val="009E302B"/>
    <w:rsid w:val="009E3533"/>
    <w:rsid w:val="009E3936"/>
    <w:rsid w:val="009E398D"/>
    <w:rsid w:val="009E39AA"/>
    <w:rsid w:val="009E4A6A"/>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AB4"/>
    <w:rsid w:val="009E6B2A"/>
    <w:rsid w:val="009E6C6E"/>
    <w:rsid w:val="009E6F1A"/>
    <w:rsid w:val="009E7A72"/>
    <w:rsid w:val="009E7EC0"/>
    <w:rsid w:val="009F0011"/>
    <w:rsid w:val="009F062E"/>
    <w:rsid w:val="009F066D"/>
    <w:rsid w:val="009F06A9"/>
    <w:rsid w:val="009F0D6F"/>
    <w:rsid w:val="009F0DE6"/>
    <w:rsid w:val="009F0FFD"/>
    <w:rsid w:val="009F12A3"/>
    <w:rsid w:val="009F1428"/>
    <w:rsid w:val="009F152C"/>
    <w:rsid w:val="009F178C"/>
    <w:rsid w:val="009F19FC"/>
    <w:rsid w:val="009F1AAB"/>
    <w:rsid w:val="009F1AF0"/>
    <w:rsid w:val="009F1B6E"/>
    <w:rsid w:val="009F1E22"/>
    <w:rsid w:val="009F2076"/>
    <w:rsid w:val="009F2295"/>
    <w:rsid w:val="009F2467"/>
    <w:rsid w:val="009F297A"/>
    <w:rsid w:val="009F2B85"/>
    <w:rsid w:val="009F2CF7"/>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C88"/>
    <w:rsid w:val="009F6DF8"/>
    <w:rsid w:val="009F6E76"/>
    <w:rsid w:val="009F7088"/>
    <w:rsid w:val="009F713F"/>
    <w:rsid w:val="009F727D"/>
    <w:rsid w:val="009F736A"/>
    <w:rsid w:val="009F761D"/>
    <w:rsid w:val="009F7866"/>
    <w:rsid w:val="009F7902"/>
    <w:rsid w:val="009F7F66"/>
    <w:rsid w:val="00A00029"/>
    <w:rsid w:val="00A000E8"/>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471"/>
    <w:rsid w:val="00A035AA"/>
    <w:rsid w:val="00A03D06"/>
    <w:rsid w:val="00A042A2"/>
    <w:rsid w:val="00A0438C"/>
    <w:rsid w:val="00A045F5"/>
    <w:rsid w:val="00A04A3E"/>
    <w:rsid w:val="00A04C50"/>
    <w:rsid w:val="00A05026"/>
    <w:rsid w:val="00A0511E"/>
    <w:rsid w:val="00A052ED"/>
    <w:rsid w:val="00A05371"/>
    <w:rsid w:val="00A054C9"/>
    <w:rsid w:val="00A05AC6"/>
    <w:rsid w:val="00A060B4"/>
    <w:rsid w:val="00A060EB"/>
    <w:rsid w:val="00A0636B"/>
    <w:rsid w:val="00A06A4C"/>
    <w:rsid w:val="00A06CF7"/>
    <w:rsid w:val="00A06D47"/>
    <w:rsid w:val="00A06D88"/>
    <w:rsid w:val="00A06E6F"/>
    <w:rsid w:val="00A070DD"/>
    <w:rsid w:val="00A07365"/>
    <w:rsid w:val="00A07514"/>
    <w:rsid w:val="00A07542"/>
    <w:rsid w:val="00A07558"/>
    <w:rsid w:val="00A078AB"/>
    <w:rsid w:val="00A102D1"/>
    <w:rsid w:val="00A1031F"/>
    <w:rsid w:val="00A108F7"/>
    <w:rsid w:val="00A10914"/>
    <w:rsid w:val="00A10A9E"/>
    <w:rsid w:val="00A10CD3"/>
    <w:rsid w:val="00A10D24"/>
    <w:rsid w:val="00A10DA1"/>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31C"/>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6E0"/>
    <w:rsid w:val="00A17926"/>
    <w:rsid w:val="00A17D36"/>
    <w:rsid w:val="00A17D8D"/>
    <w:rsid w:val="00A17D96"/>
    <w:rsid w:val="00A17E73"/>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ABE"/>
    <w:rsid w:val="00A22DDE"/>
    <w:rsid w:val="00A22DF1"/>
    <w:rsid w:val="00A22EDB"/>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6F8C"/>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6B"/>
    <w:rsid w:val="00A31C94"/>
    <w:rsid w:val="00A31CB4"/>
    <w:rsid w:val="00A31D41"/>
    <w:rsid w:val="00A31F12"/>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3F2C"/>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2D9"/>
    <w:rsid w:val="00A40405"/>
    <w:rsid w:val="00A40430"/>
    <w:rsid w:val="00A404E3"/>
    <w:rsid w:val="00A40558"/>
    <w:rsid w:val="00A40943"/>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4E80"/>
    <w:rsid w:val="00A452EA"/>
    <w:rsid w:val="00A453E8"/>
    <w:rsid w:val="00A45516"/>
    <w:rsid w:val="00A45549"/>
    <w:rsid w:val="00A45848"/>
    <w:rsid w:val="00A45AF7"/>
    <w:rsid w:val="00A45B2D"/>
    <w:rsid w:val="00A45B3C"/>
    <w:rsid w:val="00A45C14"/>
    <w:rsid w:val="00A45CA8"/>
    <w:rsid w:val="00A45CE0"/>
    <w:rsid w:val="00A46144"/>
    <w:rsid w:val="00A4616A"/>
    <w:rsid w:val="00A46623"/>
    <w:rsid w:val="00A46754"/>
    <w:rsid w:val="00A468BE"/>
    <w:rsid w:val="00A46E9B"/>
    <w:rsid w:val="00A46EDD"/>
    <w:rsid w:val="00A47495"/>
    <w:rsid w:val="00A474D3"/>
    <w:rsid w:val="00A47686"/>
    <w:rsid w:val="00A476AE"/>
    <w:rsid w:val="00A47A11"/>
    <w:rsid w:val="00A47B20"/>
    <w:rsid w:val="00A47B50"/>
    <w:rsid w:val="00A5013A"/>
    <w:rsid w:val="00A5018B"/>
    <w:rsid w:val="00A50442"/>
    <w:rsid w:val="00A504F7"/>
    <w:rsid w:val="00A505EB"/>
    <w:rsid w:val="00A5083B"/>
    <w:rsid w:val="00A50851"/>
    <w:rsid w:val="00A50B6E"/>
    <w:rsid w:val="00A50BEE"/>
    <w:rsid w:val="00A50C46"/>
    <w:rsid w:val="00A50F5C"/>
    <w:rsid w:val="00A50FC2"/>
    <w:rsid w:val="00A51148"/>
    <w:rsid w:val="00A514E9"/>
    <w:rsid w:val="00A5162C"/>
    <w:rsid w:val="00A51DA9"/>
    <w:rsid w:val="00A51DB4"/>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25"/>
    <w:rsid w:val="00A5443B"/>
    <w:rsid w:val="00A545D5"/>
    <w:rsid w:val="00A546C5"/>
    <w:rsid w:val="00A548B4"/>
    <w:rsid w:val="00A54B2F"/>
    <w:rsid w:val="00A54C74"/>
    <w:rsid w:val="00A54D26"/>
    <w:rsid w:val="00A54D4F"/>
    <w:rsid w:val="00A54E86"/>
    <w:rsid w:val="00A54FEE"/>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15"/>
    <w:rsid w:val="00A648EF"/>
    <w:rsid w:val="00A64924"/>
    <w:rsid w:val="00A6493F"/>
    <w:rsid w:val="00A6499E"/>
    <w:rsid w:val="00A64A40"/>
    <w:rsid w:val="00A64CA7"/>
    <w:rsid w:val="00A64DC9"/>
    <w:rsid w:val="00A65026"/>
    <w:rsid w:val="00A65065"/>
    <w:rsid w:val="00A6508E"/>
    <w:rsid w:val="00A651B7"/>
    <w:rsid w:val="00A651C2"/>
    <w:rsid w:val="00A65237"/>
    <w:rsid w:val="00A65329"/>
    <w:rsid w:val="00A6550C"/>
    <w:rsid w:val="00A6590E"/>
    <w:rsid w:val="00A65CCC"/>
    <w:rsid w:val="00A660E4"/>
    <w:rsid w:val="00A6650F"/>
    <w:rsid w:val="00A66596"/>
    <w:rsid w:val="00A666C2"/>
    <w:rsid w:val="00A666FC"/>
    <w:rsid w:val="00A66B88"/>
    <w:rsid w:val="00A66CB2"/>
    <w:rsid w:val="00A66DDD"/>
    <w:rsid w:val="00A66EB4"/>
    <w:rsid w:val="00A66FA5"/>
    <w:rsid w:val="00A67120"/>
    <w:rsid w:val="00A6739E"/>
    <w:rsid w:val="00A676A8"/>
    <w:rsid w:val="00A67883"/>
    <w:rsid w:val="00A67886"/>
    <w:rsid w:val="00A678A4"/>
    <w:rsid w:val="00A6790D"/>
    <w:rsid w:val="00A67C35"/>
    <w:rsid w:val="00A67E33"/>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346"/>
    <w:rsid w:val="00A725D9"/>
    <w:rsid w:val="00A72707"/>
    <w:rsid w:val="00A72774"/>
    <w:rsid w:val="00A72840"/>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C0"/>
    <w:rsid w:val="00A77784"/>
    <w:rsid w:val="00A77807"/>
    <w:rsid w:val="00A77993"/>
    <w:rsid w:val="00A80272"/>
    <w:rsid w:val="00A804D4"/>
    <w:rsid w:val="00A805DE"/>
    <w:rsid w:val="00A80976"/>
    <w:rsid w:val="00A809FD"/>
    <w:rsid w:val="00A80D5E"/>
    <w:rsid w:val="00A80D6F"/>
    <w:rsid w:val="00A81039"/>
    <w:rsid w:val="00A81355"/>
    <w:rsid w:val="00A8147F"/>
    <w:rsid w:val="00A81590"/>
    <w:rsid w:val="00A81693"/>
    <w:rsid w:val="00A816DA"/>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A45"/>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31"/>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BBC"/>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C35"/>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D8B"/>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B42"/>
    <w:rsid w:val="00AA1C95"/>
    <w:rsid w:val="00AA2140"/>
    <w:rsid w:val="00AA2597"/>
    <w:rsid w:val="00AA25A4"/>
    <w:rsid w:val="00AA2694"/>
    <w:rsid w:val="00AA2836"/>
    <w:rsid w:val="00AA2A28"/>
    <w:rsid w:val="00AA2BE3"/>
    <w:rsid w:val="00AA30CD"/>
    <w:rsid w:val="00AA312C"/>
    <w:rsid w:val="00AA31AB"/>
    <w:rsid w:val="00AA31DF"/>
    <w:rsid w:val="00AA3263"/>
    <w:rsid w:val="00AA3367"/>
    <w:rsid w:val="00AA36C0"/>
    <w:rsid w:val="00AA3863"/>
    <w:rsid w:val="00AA3896"/>
    <w:rsid w:val="00AA3909"/>
    <w:rsid w:val="00AA3C06"/>
    <w:rsid w:val="00AA3C9A"/>
    <w:rsid w:val="00AA3E77"/>
    <w:rsid w:val="00AA3F07"/>
    <w:rsid w:val="00AA4003"/>
    <w:rsid w:val="00AA436A"/>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302"/>
    <w:rsid w:val="00AA7944"/>
    <w:rsid w:val="00AA7B1B"/>
    <w:rsid w:val="00AA7BC6"/>
    <w:rsid w:val="00AB017E"/>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0B3"/>
    <w:rsid w:val="00AB2222"/>
    <w:rsid w:val="00AB26B5"/>
    <w:rsid w:val="00AB2DCE"/>
    <w:rsid w:val="00AB2E6E"/>
    <w:rsid w:val="00AB2EC7"/>
    <w:rsid w:val="00AB2FA7"/>
    <w:rsid w:val="00AB303F"/>
    <w:rsid w:val="00AB3097"/>
    <w:rsid w:val="00AB3119"/>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E87"/>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6F09"/>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20F"/>
    <w:rsid w:val="00AC33F1"/>
    <w:rsid w:val="00AC3577"/>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44"/>
    <w:rsid w:val="00AC64A3"/>
    <w:rsid w:val="00AC652D"/>
    <w:rsid w:val="00AC6845"/>
    <w:rsid w:val="00AC6A5A"/>
    <w:rsid w:val="00AC6A9B"/>
    <w:rsid w:val="00AC6CA4"/>
    <w:rsid w:val="00AC6F2E"/>
    <w:rsid w:val="00AC7115"/>
    <w:rsid w:val="00AC736F"/>
    <w:rsid w:val="00AC756F"/>
    <w:rsid w:val="00AC75C2"/>
    <w:rsid w:val="00AC7694"/>
    <w:rsid w:val="00AC7D08"/>
    <w:rsid w:val="00AC7DAA"/>
    <w:rsid w:val="00AD0099"/>
    <w:rsid w:val="00AD0135"/>
    <w:rsid w:val="00AD06E3"/>
    <w:rsid w:val="00AD0AF2"/>
    <w:rsid w:val="00AD0CB9"/>
    <w:rsid w:val="00AD0D6E"/>
    <w:rsid w:val="00AD0F8B"/>
    <w:rsid w:val="00AD1124"/>
    <w:rsid w:val="00AD1174"/>
    <w:rsid w:val="00AD176A"/>
    <w:rsid w:val="00AD1808"/>
    <w:rsid w:val="00AD1994"/>
    <w:rsid w:val="00AD19BD"/>
    <w:rsid w:val="00AD1AFF"/>
    <w:rsid w:val="00AD209C"/>
    <w:rsid w:val="00AD235D"/>
    <w:rsid w:val="00AD253A"/>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43"/>
    <w:rsid w:val="00AD486A"/>
    <w:rsid w:val="00AD4CA9"/>
    <w:rsid w:val="00AD4DDC"/>
    <w:rsid w:val="00AD4E56"/>
    <w:rsid w:val="00AD50EA"/>
    <w:rsid w:val="00AD50FB"/>
    <w:rsid w:val="00AD5813"/>
    <w:rsid w:val="00AD59D6"/>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4EB"/>
    <w:rsid w:val="00AE262B"/>
    <w:rsid w:val="00AE27F4"/>
    <w:rsid w:val="00AE27F9"/>
    <w:rsid w:val="00AE2C2B"/>
    <w:rsid w:val="00AE3058"/>
    <w:rsid w:val="00AE3310"/>
    <w:rsid w:val="00AE354F"/>
    <w:rsid w:val="00AE37A1"/>
    <w:rsid w:val="00AE3956"/>
    <w:rsid w:val="00AE3A4F"/>
    <w:rsid w:val="00AE3D5E"/>
    <w:rsid w:val="00AE3D85"/>
    <w:rsid w:val="00AE41EF"/>
    <w:rsid w:val="00AE4421"/>
    <w:rsid w:val="00AE4703"/>
    <w:rsid w:val="00AE4BF3"/>
    <w:rsid w:val="00AE4FE2"/>
    <w:rsid w:val="00AE516D"/>
    <w:rsid w:val="00AE517E"/>
    <w:rsid w:val="00AE5246"/>
    <w:rsid w:val="00AE5292"/>
    <w:rsid w:val="00AE52B4"/>
    <w:rsid w:val="00AE549D"/>
    <w:rsid w:val="00AE55A6"/>
    <w:rsid w:val="00AE56A2"/>
    <w:rsid w:val="00AE56C7"/>
    <w:rsid w:val="00AE586E"/>
    <w:rsid w:val="00AE58C5"/>
    <w:rsid w:val="00AE5993"/>
    <w:rsid w:val="00AE5B55"/>
    <w:rsid w:val="00AE5BF8"/>
    <w:rsid w:val="00AE5F51"/>
    <w:rsid w:val="00AE6070"/>
    <w:rsid w:val="00AE6119"/>
    <w:rsid w:val="00AE6127"/>
    <w:rsid w:val="00AE619F"/>
    <w:rsid w:val="00AE6919"/>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BC4"/>
    <w:rsid w:val="00AF0C0E"/>
    <w:rsid w:val="00AF0F53"/>
    <w:rsid w:val="00AF15AF"/>
    <w:rsid w:val="00AF1672"/>
    <w:rsid w:val="00AF1CF7"/>
    <w:rsid w:val="00AF1EB2"/>
    <w:rsid w:val="00AF20A6"/>
    <w:rsid w:val="00AF2164"/>
    <w:rsid w:val="00AF225C"/>
    <w:rsid w:val="00AF2325"/>
    <w:rsid w:val="00AF23C9"/>
    <w:rsid w:val="00AF2572"/>
    <w:rsid w:val="00AF276D"/>
    <w:rsid w:val="00AF284F"/>
    <w:rsid w:val="00AF2D28"/>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5E6"/>
    <w:rsid w:val="00AF66DE"/>
    <w:rsid w:val="00AF6A8A"/>
    <w:rsid w:val="00AF6B26"/>
    <w:rsid w:val="00AF6BDB"/>
    <w:rsid w:val="00AF6DB3"/>
    <w:rsid w:val="00AF6DD6"/>
    <w:rsid w:val="00AF6F80"/>
    <w:rsid w:val="00AF70CB"/>
    <w:rsid w:val="00AF7535"/>
    <w:rsid w:val="00AF766F"/>
    <w:rsid w:val="00AF799C"/>
    <w:rsid w:val="00AF7CE3"/>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704"/>
    <w:rsid w:val="00B03895"/>
    <w:rsid w:val="00B03904"/>
    <w:rsid w:val="00B03A5D"/>
    <w:rsid w:val="00B03AC9"/>
    <w:rsid w:val="00B03B4C"/>
    <w:rsid w:val="00B03B56"/>
    <w:rsid w:val="00B03B9A"/>
    <w:rsid w:val="00B03E85"/>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B30"/>
    <w:rsid w:val="00B12DED"/>
    <w:rsid w:val="00B13046"/>
    <w:rsid w:val="00B131F1"/>
    <w:rsid w:val="00B13222"/>
    <w:rsid w:val="00B1388B"/>
    <w:rsid w:val="00B138BE"/>
    <w:rsid w:val="00B13AB7"/>
    <w:rsid w:val="00B13BCC"/>
    <w:rsid w:val="00B13C6B"/>
    <w:rsid w:val="00B13D36"/>
    <w:rsid w:val="00B13DDF"/>
    <w:rsid w:val="00B14018"/>
    <w:rsid w:val="00B1410B"/>
    <w:rsid w:val="00B143D6"/>
    <w:rsid w:val="00B14457"/>
    <w:rsid w:val="00B14596"/>
    <w:rsid w:val="00B147F7"/>
    <w:rsid w:val="00B14EA4"/>
    <w:rsid w:val="00B14EA9"/>
    <w:rsid w:val="00B1504B"/>
    <w:rsid w:val="00B150C9"/>
    <w:rsid w:val="00B154E4"/>
    <w:rsid w:val="00B1571F"/>
    <w:rsid w:val="00B15897"/>
    <w:rsid w:val="00B159C1"/>
    <w:rsid w:val="00B15A26"/>
    <w:rsid w:val="00B15B78"/>
    <w:rsid w:val="00B15BD7"/>
    <w:rsid w:val="00B15D1D"/>
    <w:rsid w:val="00B15E9E"/>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92E"/>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C96"/>
    <w:rsid w:val="00B22FC1"/>
    <w:rsid w:val="00B230D3"/>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5EC"/>
    <w:rsid w:val="00B257ED"/>
    <w:rsid w:val="00B258F6"/>
    <w:rsid w:val="00B25950"/>
    <w:rsid w:val="00B25A65"/>
    <w:rsid w:val="00B25B7D"/>
    <w:rsid w:val="00B25D02"/>
    <w:rsid w:val="00B25DA4"/>
    <w:rsid w:val="00B262F8"/>
    <w:rsid w:val="00B26523"/>
    <w:rsid w:val="00B2660F"/>
    <w:rsid w:val="00B2681A"/>
    <w:rsid w:val="00B268AA"/>
    <w:rsid w:val="00B26ADC"/>
    <w:rsid w:val="00B26C56"/>
    <w:rsid w:val="00B26F80"/>
    <w:rsid w:val="00B27011"/>
    <w:rsid w:val="00B27180"/>
    <w:rsid w:val="00B27219"/>
    <w:rsid w:val="00B27349"/>
    <w:rsid w:val="00B27586"/>
    <w:rsid w:val="00B2775D"/>
    <w:rsid w:val="00B2779A"/>
    <w:rsid w:val="00B27885"/>
    <w:rsid w:val="00B2788C"/>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98"/>
    <w:rsid w:val="00B314AB"/>
    <w:rsid w:val="00B31566"/>
    <w:rsid w:val="00B31581"/>
    <w:rsid w:val="00B31651"/>
    <w:rsid w:val="00B31982"/>
    <w:rsid w:val="00B319BB"/>
    <w:rsid w:val="00B31A2B"/>
    <w:rsid w:val="00B31A5C"/>
    <w:rsid w:val="00B31FDF"/>
    <w:rsid w:val="00B3227B"/>
    <w:rsid w:val="00B322F9"/>
    <w:rsid w:val="00B3235B"/>
    <w:rsid w:val="00B3261B"/>
    <w:rsid w:val="00B3265A"/>
    <w:rsid w:val="00B3269A"/>
    <w:rsid w:val="00B32BB0"/>
    <w:rsid w:val="00B33185"/>
    <w:rsid w:val="00B33196"/>
    <w:rsid w:val="00B331B4"/>
    <w:rsid w:val="00B3334F"/>
    <w:rsid w:val="00B333C6"/>
    <w:rsid w:val="00B33FE2"/>
    <w:rsid w:val="00B34035"/>
    <w:rsid w:val="00B341E3"/>
    <w:rsid w:val="00B3449D"/>
    <w:rsid w:val="00B34511"/>
    <w:rsid w:val="00B34768"/>
    <w:rsid w:val="00B34929"/>
    <w:rsid w:val="00B34B78"/>
    <w:rsid w:val="00B34BD6"/>
    <w:rsid w:val="00B34D6A"/>
    <w:rsid w:val="00B34DD7"/>
    <w:rsid w:val="00B34F23"/>
    <w:rsid w:val="00B34F3A"/>
    <w:rsid w:val="00B35083"/>
    <w:rsid w:val="00B35799"/>
    <w:rsid w:val="00B357D5"/>
    <w:rsid w:val="00B357EA"/>
    <w:rsid w:val="00B35A02"/>
    <w:rsid w:val="00B35B3C"/>
    <w:rsid w:val="00B35C09"/>
    <w:rsid w:val="00B35FBF"/>
    <w:rsid w:val="00B36604"/>
    <w:rsid w:val="00B36817"/>
    <w:rsid w:val="00B36A04"/>
    <w:rsid w:val="00B36D32"/>
    <w:rsid w:val="00B36E21"/>
    <w:rsid w:val="00B3722B"/>
    <w:rsid w:val="00B3733A"/>
    <w:rsid w:val="00B373A4"/>
    <w:rsid w:val="00B373B1"/>
    <w:rsid w:val="00B3755F"/>
    <w:rsid w:val="00B3763C"/>
    <w:rsid w:val="00B37640"/>
    <w:rsid w:val="00B37769"/>
    <w:rsid w:val="00B378BB"/>
    <w:rsid w:val="00B37A70"/>
    <w:rsid w:val="00B37C5E"/>
    <w:rsid w:val="00B37D52"/>
    <w:rsid w:val="00B4009E"/>
    <w:rsid w:val="00B4013A"/>
    <w:rsid w:val="00B4031E"/>
    <w:rsid w:val="00B403E5"/>
    <w:rsid w:val="00B407C0"/>
    <w:rsid w:val="00B4099A"/>
    <w:rsid w:val="00B409D6"/>
    <w:rsid w:val="00B40A31"/>
    <w:rsid w:val="00B40A47"/>
    <w:rsid w:val="00B40A7F"/>
    <w:rsid w:val="00B40BAA"/>
    <w:rsid w:val="00B40F34"/>
    <w:rsid w:val="00B40F4F"/>
    <w:rsid w:val="00B412AB"/>
    <w:rsid w:val="00B416B0"/>
    <w:rsid w:val="00B41865"/>
    <w:rsid w:val="00B41960"/>
    <w:rsid w:val="00B4198D"/>
    <w:rsid w:val="00B41992"/>
    <w:rsid w:val="00B41A10"/>
    <w:rsid w:val="00B41B42"/>
    <w:rsid w:val="00B41D4E"/>
    <w:rsid w:val="00B42000"/>
    <w:rsid w:val="00B420CA"/>
    <w:rsid w:val="00B42163"/>
    <w:rsid w:val="00B42231"/>
    <w:rsid w:val="00B422A6"/>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50E"/>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0ED8"/>
    <w:rsid w:val="00B5149E"/>
    <w:rsid w:val="00B517F8"/>
    <w:rsid w:val="00B5183F"/>
    <w:rsid w:val="00B51979"/>
    <w:rsid w:val="00B51A65"/>
    <w:rsid w:val="00B51A6A"/>
    <w:rsid w:val="00B51DBB"/>
    <w:rsid w:val="00B51FF2"/>
    <w:rsid w:val="00B521D0"/>
    <w:rsid w:val="00B5233E"/>
    <w:rsid w:val="00B52520"/>
    <w:rsid w:val="00B5261A"/>
    <w:rsid w:val="00B52684"/>
    <w:rsid w:val="00B528F3"/>
    <w:rsid w:val="00B52A02"/>
    <w:rsid w:val="00B52BCE"/>
    <w:rsid w:val="00B52F7E"/>
    <w:rsid w:val="00B53165"/>
    <w:rsid w:val="00B53566"/>
    <w:rsid w:val="00B5362D"/>
    <w:rsid w:val="00B536F5"/>
    <w:rsid w:val="00B53E40"/>
    <w:rsid w:val="00B53F1C"/>
    <w:rsid w:val="00B53FAF"/>
    <w:rsid w:val="00B53FD0"/>
    <w:rsid w:val="00B5401E"/>
    <w:rsid w:val="00B541B5"/>
    <w:rsid w:val="00B542EB"/>
    <w:rsid w:val="00B54566"/>
    <w:rsid w:val="00B54633"/>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7"/>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20"/>
    <w:rsid w:val="00B615B0"/>
    <w:rsid w:val="00B6161C"/>
    <w:rsid w:val="00B61741"/>
    <w:rsid w:val="00B61C14"/>
    <w:rsid w:val="00B61D46"/>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9"/>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3B"/>
    <w:rsid w:val="00B663DD"/>
    <w:rsid w:val="00B6647A"/>
    <w:rsid w:val="00B66852"/>
    <w:rsid w:val="00B6687A"/>
    <w:rsid w:val="00B66C15"/>
    <w:rsid w:val="00B66F68"/>
    <w:rsid w:val="00B67187"/>
    <w:rsid w:val="00B6733A"/>
    <w:rsid w:val="00B67483"/>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D3F"/>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5D5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F5"/>
    <w:rsid w:val="00B819DA"/>
    <w:rsid w:val="00B81AED"/>
    <w:rsid w:val="00B81D5F"/>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4B9"/>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C68"/>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EE8"/>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8AD"/>
    <w:rsid w:val="00B9699F"/>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66E"/>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1FD"/>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4F2"/>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232"/>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40"/>
    <w:rsid w:val="00BC7AE1"/>
    <w:rsid w:val="00BC7E8F"/>
    <w:rsid w:val="00BC7EA1"/>
    <w:rsid w:val="00BC7EC1"/>
    <w:rsid w:val="00BD0056"/>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73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628"/>
    <w:rsid w:val="00BD5C3F"/>
    <w:rsid w:val="00BD5CEA"/>
    <w:rsid w:val="00BD5E45"/>
    <w:rsid w:val="00BD5FDF"/>
    <w:rsid w:val="00BD64AF"/>
    <w:rsid w:val="00BD6552"/>
    <w:rsid w:val="00BD65DA"/>
    <w:rsid w:val="00BD66D6"/>
    <w:rsid w:val="00BD68EA"/>
    <w:rsid w:val="00BD6CD9"/>
    <w:rsid w:val="00BD6D6D"/>
    <w:rsid w:val="00BD7023"/>
    <w:rsid w:val="00BD7202"/>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D4D"/>
    <w:rsid w:val="00BE5DE7"/>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1F9A"/>
    <w:rsid w:val="00BF225C"/>
    <w:rsid w:val="00BF26BE"/>
    <w:rsid w:val="00BF26C3"/>
    <w:rsid w:val="00BF2803"/>
    <w:rsid w:val="00BF2D63"/>
    <w:rsid w:val="00BF2EF4"/>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60F"/>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6C0"/>
    <w:rsid w:val="00C0277E"/>
    <w:rsid w:val="00C029EA"/>
    <w:rsid w:val="00C02A20"/>
    <w:rsid w:val="00C02B39"/>
    <w:rsid w:val="00C02B4F"/>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D5E"/>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A8"/>
    <w:rsid w:val="00C178E6"/>
    <w:rsid w:val="00C179EB"/>
    <w:rsid w:val="00C17EA5"/>
    <w:rsid w:val="00C17FC3"/>
    <w:rsid w:val="00C2012B"/>
    <w:rsid w:val="00C203E8"/>
    <w:rsid w:val="00C206A9"/>
    <w:rsid w:val="00C20794"/>
    <w:rsid w:val="00C2081E"/>
    <w:rsid w:val="00C20C68"/>
    <w:rsid w:val="00C20D4D"/>
    <w:rsid w:val="00C20D90"/>
    <w:rsid w:val="00C2107D"/>
    <w:rsid w:val="00C2123D"/>
    <w:rsid w:val="00C2156B"/>
    <w:rsid w:val="00C21875"/>
    <w:rsid w:val="00C21B0A"/>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5F9"/>
    <w:rsid w:val="00C24672"/>
    <w:rsid w:val="00C246EA"/>
    <w:rsid w:val="00C247C0"/>
    <w:rsid w:val="00C248A8"/>
    <w:rsid w:val="00C24FF6"/>
    <w:rsid w:val="00C250CC"/>
    <w:rsid w:val="00C253D2"/>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BE6"/>
    <w:rsid w:val="00C27E1F"/>
    <w:rsid w:val="00C301EE"/>
    <w:rsid w:val="00C30210"/>
    <w:rsid w:val="00C302AB"/>
    <w:rsid w:val="00C3036C"/>
    <w:rsid w:val="00C3060C"/>
    <w:rsid w:val="00C308C7"/>
    <w:rsid w:val="00C309F2"/>
    <w:rsid w:val="00C30A20"/>
    <w:rsid w:val="00C30AE7"/>
    <w:rsid w:val="00C30BB2"/>
    <w:rsid w:val="00C30BE3"/>
    <w:rsid w:val="00C30C25"/>
    <w:rsid w:val="00C30D7D"/>
    <w:rsid w:val="00C30DE6"/>
    <w:rsid w:val="00C31173"/>
    <w:rsid w:val="00C312DF"/>
    <w:rsid w:val="00C31501"/>
    <w:rsid w:val="00C315AB"/>
    <w:rsid w:val="00C316DD"/>
    <w:rsid w:val="00C31CD6"/>
    <w:rsid w:val="00C31DE7"/>
    <w:rsid w:val="00C31E10"/>
    <w:rsid w:val="00C31FEB"/>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96D"/>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313"/>
    <w:rsid w:val="00C428B6"/>
    <w:rsid w:val="00C429B4"/>
    <w:rsid w:val="00C429EF"/>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47"/>
    <w:rsid w:val="00C47F81"/>
    <w:rsid w:val="00C50321"/>
    <w:rsid w:val="00C5072A"/>
    <w:rsid w:val="00C508B4"/>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73"/>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7EF"/>
    <w:rsid w:val="00C5797D"/>
    <w:rsid w:val="00C57BE1"/>
    <w:rsid w:val="00C57F1F"/>
    <w:rsid w:val="00C60013"/>
    <w:rsid w:val="00C60015"/>
    <w:rsid w:val="00C60042"/>
    <w:rsid w:val="00C60671"/>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78C"/>
    <w:rsid w:val="00C638E0"/>
    <w:rsid w:val="00C63D71"/>
    <w:rsid w:val="00C63DEE"/>
    <w:rsid w:val="00C63EE7"/>
    <w:rsid w:val="00C63F9C"/>
    <w:rsid w:val="00C64232"/>
    <w:rsid w:val="00C6452E"/>
    <w:rsid w:val="00C645FE"/>
    <w:rsid w:val="00C64970"/>
    <w:rsid w:val="00C64994"/>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9F"/>
    <w:rsid w:val="00C678F6"/>
    <w:rsid w:val="00C67E1C"/>
    <w:rsid w:val="00C67E40"/>
    <w:rsid w:val="00C67F10"/>
    <w:rsid w:val="00C70100"/>
    <w:rsid w:val="00C702E2"/>
    <w:rsid w:val="00C70519"/>
    <w:rsid w:val="00C70599"/>
    <w:rsid w:val="00C705D0"/>
    <w:rsid w:val="00C7067C"/>
    <w:rsid w:val="00C707A1"/>
    <w:rsid w:val="00C707B4"/>
    <w:rsid w:val="00C70B23"/>
    <w:rsid w:val="00C70CD7"/>
    <w:rsid w:val="00C70CDD"/>
    <w:rsid w:val="00C7115C"/>
    <w:rsid w:val="00C71227"/>
    <w:rsid w:val="00C7147D"/>
    <w:rsid w:val="00C715D6"/>
    <w:rsid w:val="00C71727"/>
    <w:rsid w:val="00C718E3"/>
    <w:rsid w:val="00C71909"/>
    <w:rsid w:val="00C71B91"/>
    <w:rsid w:val="00C71D14"/>
    <w:rsid w:val="00C7207A"/>
    <w:rsid w:val="00C72281"/>
    <w:rsid w:val="00C7237B"/>
    <w:rsid w:val="00C72411"/>
    <w:rsid w:val="00C724D7"/>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9DE"/>
    <w:rsid w:val="00C77AA1"/>
    <w:rsid w:val="00C77CA0"/>
    <w:rsid w:val="00C77EAA"/>
    <w:rsid w:val="00C80530"/>
    <w:rsid w:val="00C8053D"/>
    <w:rsid w:val="00C805B9"/>
    <w:rsid w:val="00C80612"/>
    <w:rsid w:val="00C80766"/>
    <w:rsid w:val="00C80796"/>
    <w:rsid w:val="00C80A18"/>
    <w:rsid w:val="00C80A98"/>
    <w:rsid w:val="00C80DE5"/>
    <w:rsid w:val="00C8116B"/>
    <w:rsid w:val="00C813CD"/>
    <w:rsid w:val="00C81487"/>
    <w:rsid w:val="00C81CC0"/>
    <w:rsid w:val="00C81E70"/>
    <w:rsid w:val="00C8207F"/>
    <w:rsid w:val="00C8272D"/>
    <w:rsid w:val="00C82922"/>
    <w:rsid w:val="00C82968"/>
    <w:rsid w:val="00C82CC0"/>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5FE2"/>
    <w:rsid w:val="00C8602D"/>
    <w:rsid w:val="00C8609E"/>
    <w:rsid w:val="00C860A9"/>
    <w:rsid w:val="00C86277"/>
    <w:rsid w:val="00C862C8"/>
    <w:rsid w:val="00C863DC"/>
    <w:rsid w:val="00C865DF"/>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745"/>
    <w:rsid w:val="00C9186A"/>
    <w:rsid w:val="00C919AB"/>
    <w:rsid w:val="00C91A57"/>
    <w:rsid w:val="00C91B20"/>
    <w:rsid w:val="00C91C40"/>
    <w:rsid w:val="00C91EFF"/>
    <w:rsid w:val="00C92143"/>
    <w:rsid w:val="00C921CC"/>
    <w:rsid w:val="00C923BD"/>
    <w:rsid w:val="00C92928"/>
    <w:rsid w:val="00C929FE"/>
    <w:rsid w:val="00C92AB4"/>
    <w:rsid w:val="00C92B19"/>
    <w:rsid w:val="00C92CA4"/>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D45"/>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3DF6"/>
    <w:rsid w:val="00CA3F2B"/>
    <w:rsid w:val="00CA4020"/>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60"/>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06A"/>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42C"/>
    <w:rsid w:val="00CB758D"/>
    <w:rsid w:val="00CB75A1"/>
    <w:rsid w:val="00CB7A89"/>
    <w:rsid w:val="00CB7E6B"/>
    <w:rsid w:val="00CC002D"/>
    <w:rsid w:val="00CC03A6"/>
    <w:rsid w:val="00CC0565"/>
    <w:rsid w:val="00CC07C1"/>
    <w:rsid w:val="00CC07C7"/>
    <w:rsid w:val="00CC07CB"/>
    <w:rsid w:val="00CC08D3"/>
    <w:rsid w:val="00CC0908"/>
    <w:rsid w:val="00CC0930"/>
    <w:rsid w:val="00CC0EB8"/>
    <w:rsid w:val="00CC102B"/>
    <w:rsid w:val="00CC11C7"/>
    <w:rsid w:val="00CC11D8"/>
    <w:rsid w:val="00CC1212"/>
    <w:rsid w:val="00CC1293"/>
    <w:rsid w:val="00CC15FC"/>
    <w:rsid w:val="00CC176E"/>
    <w:rsid w:val="00CC18DD"/>
    <w:rsid w:val="00CC1B39"/>
    <w:rsid w:val="00CC1BA4"/>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24"/>
    <w:rsid w:val="00CC3237"/>
    <w:rsid w:val="00CC32E7"/>
    <w:rsid w:val="00CC35A9"/>
    <w:rsid w:val="00CC36DC"/>
    <w:rsid w:val="00CC3B57"/>
    <w:rsid w:val="00CC3CF5"/>
    <w:rsid w:val="00CC4179"/>
    <w:rsid w:val="00CC429D"/>
    <w:rsid w:val="00CC43EA"/>
    <w:rsid w:val="00CC4426"/>
    <w:rsid w:val="00CC48EF"/>
    <w:rsid w:val="00CC4B34"/>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81B"/>
    <w:rsid w:val="00CD0989"/>
    <w:rsid w:val="00CD0AEA"/>
    <w:rsid w:val="00CD0DB4"/>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556"/>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C4C"/>
    <w:rsid w:val="00CE0DCA"/>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C0"/>
    <w:rsid w:val="00CE4281"/>
    <w:rsid w:val="00CE4747"/>
    <w:rsid w:val="00CE4793"/>
    <w:rsid w:val="00CE486E"/>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E7F26"/>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3ECA"/>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56"/>
    <w:rsid w:val="00CF74E3"/>
    <w:rsid w:val="00CF76C2"/>
    <w:rsid w:val="00CF7AFF"/>
    <w:rsid w:val="00CF7CDC"/>
    <w:rsid w:val="00CF7E65"/>
    <w:rsid w:val="00D0041B"/>
    <w:rsid w:val="00D00C21"/>
    <w:rsid w:val="00D00FD7"/>
    <w:rsid w:val="00D012CB"/>
    <w:rsid w:val="00D0137F"/>
    <w:rsid w:val="00D01517"/>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1DF"/>
    <w:rsid w:val="00D054F5"/>
    <w:rsid w:val="00D05C42"/>
    <w:rsid w:val="00D05C71"/>
    <w:rsid w:val="00D05CC7"/>
    <w:rsid w:val="00D05EF2"/>
    <w:rsid w:val="00D05FFF"/>
    <w:rsid w:val="00D06012"/>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A08"/>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1F8"/>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D21"/>
    <w:rsid w:val="00D17E70"/>
    <w:rsid w:val="00D17F1B"/>
    <w:rsid w:val="00D200DF"/>
    <w:rsid w:val="00D201F4"/>
    <w:rsid w:val="00D2024B"/>
    <w:rsid w:val="00D205E9"/>
    <w:rsid w:val="00D2088D"/>
    <w:rsid w:val="00D20A57"/>
    <w:rsid w:val="00D20B6B"/>
    <w:rsid w:val="00D20DEF"/>
    <w:rsid w:val="00D20F98"/>
    <w:rsid w:val="00D2119C"/>
    <w:rsid w:val="00D21543"/>
    <w:rsid w:val="00D21602"/>
    <w:rsid w:val="00D2162E"/>
    <w:rsid w:val="00D2196D"/>
    <w:rsid w:val="00D219EC"/>
    <w:rsid w:val="00D21B2C"/>
    <w:rsid w:val="00D21F98"/>
    <w:rsid w:val="00D220D9"/>
    <w:rsid w:val="00D221F3"/>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7E9"/>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207"/>
    <w:rsid w:val="00D27362"/>
    <w:rsid w:val="00D27423"/>
    <w:rsid w:val="00D27428"/>
    <w:rsid w:val="00D274B4"/>
    <w:rsid w:val="00D27533"/>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004"/>
    <w:rsid w:val="00D310B1"/>
    <w:rsid w:val="00D3130C"/>
    <w:rsid w:val="00D3136C"/>
    <w:rsid w:val="00D3153D"/>
    <w:rsid w:val="00D316E5"/>
    <w:rsid w:val="00D31A9A"/>
    <w:rsid w:val="00D31B26"/>
    <w:rsid w:val="00D31BE0"/>
    <w:rsid w:val="00D31F6F"/>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9F4"/>
    <w:rsid w:val="00D35D1E"/>
    <w:rsid w:val="00D35D53"/>
    <w:rsid w:val="00D35D9C"/>
    <w:rsid w:val="00D35E78"/>
    <w:rsid w:val="00D3648B"/>
    <w:rsid w:val="00D36624"/>
    <w:rsid w:val="00D36ADB"/>
    <w:rsid w:val="00D36DF4"/>
    <w:rsid w:val="00D36E5C"/>
    <w:rsid w:val="00D36F82"/>
    <w:rsid w:val="00D3727B"/>
    <w:rsid w:val="00D373F2"/>
    <w:rsid w:val="00D376B7"/>
    <w:rsid w:val="00D377B9"/>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8BD"/>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1A6"/>
    <w:rsid w:val="00D464F3"/>
    <w:rsid w:val="00D4661C"/>
    <w:rsid w:val="00D466C6"/>
    <w:rsid w:val="00D46875"/>
    <w:rsid w:val="00D46AF0"/>
    <w:rsid w:val="00D46C04"/>
    <w:rsid w:val="00D46C89"/>
    <w:rsid w:val="00D47101"/>
    <w:rsid w:val="00D47494"/>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62A"/>
    <w:rsid w:val="00D51E5C"/>
    <w:rsid w:val="00D5201B"/>
    <w:rsid w:val="00D520B1"/>
    <w:rsid w:val="00D52174"/>
    <w:rsid w:val="00D522C6"/>
    <w:rsid w:val="00D522EC"/>
    <w:rsid w:val="00D5240E"/>
    <w:rsid w:val="00D52643"/>
    <w:rsid w:val="00D5269C"/>
    <w:rsid w:val="00D5290C"/>
    <w:rsid w:val="00D52B21"/>
    <w:rsid w:val="00D52EC1"/>
    <w:rsid w:val="00D5311C"/>
    <w:rsid w:val="00D533C3"/>
    <w:rsid w:val="00D534A9"/>
    <w:rsid w:val="00D53605"/>
    <w:rsid w:val="00D536B9"/>
    <w:rsid w:val="00D53823"/>
    <w:rsid w:val="00D5393A"/>
    <w:rsid w:val="00D5396A"/>
    <w:rsid w:val="00D53D08"/>
    <w:rsid w:val="00D53E7F"/>
    <w:rsid w:val="00D53F02"/>
    <w:rsid w:val="00D5400C"/>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295"/>
    <w:rsid w:val="00D554A8"/>
    <w:rsid w:val="00D55619"/>
    <w:rsid w:val="00D5577E"/>
    <w:rsid w:val="00D5580B"/>
    <w:rsid w:val="00D559C0"/>
    <w:rsid w:val="00D55A7D"/>
    <w:rsid w:val="00D55AB5"/>
    <w:rsid w:val="00D55AD0"/>
    <w:rsid w:val="00D55D5A"/>
    <w:rsid w:val="00D55DAA"/>
    <w:rsid w:val="00D55EC2"/>
    <w:rsid w:val="00D56104"/>
    <w:rsid w:val="00D562E4"/>
    <w:rsid w:val="00D5632D"/>
    <w:rsid w:val="00D56668"/>
    <w:rsid w:val="00D56DC8"/>
    <w:rsid w:val="00D56F93"/>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BE9"/>
    <w:rsid w:val="00D60BF2"/>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B19"/>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97F"/>
    <w:rsid w:val="00D66EE3"/>
    <w:rsid w:val="00D67254"/>
    <w:rsid w:val="00D67324"/>
    <w:rsid w:val="00D673EA"/>
    <w:rsid w:val="00D67939"/>
    <w:rsid w:val="00D679A2"/>
    <w:rsid w:val="00D67D9D"/>
    <w:rsid w:val="00D67E6A"/>
    <w:rsid w:val="00D70254"/>
    <w:rsid w:val="00D70287"/>
    <w:rsid w:val="00D70507"/>
    <w:rsid w:val="00D7059D"/>
    <w:rsid w:val="00D7073F"/>
    <w:rsid w:val="00D70A11"/>
    <w:rsid w:val="00D70C62"/>
    <w:rsid w:val="00D70D2E"/>
    <w:rsid w:val="00D70E26"/>
    <w:rsid w:val="00D70EC0"/>
    <w:rsid w:val="00D70F94"/>
    <w:rsid w:val="00D713AE"/>
    <w:rsid w:val="00D713E9"/>
    <w:rsid w:val="00D71417"/>
    <w:rsid w:val="00D714F6"/>
    <w:rsid w:val="00D7152E"/>
    <w:rsid w:val="00D718D0"/>
    <w:rsid w:val="00D71BB0"/>
    <w:rsid w:val="00D71C4C"/>
    <w:rsid w:val="00D71D10"/>
    <w:rsid w:val="00D71F28"/>
    <w:rsid w:val="00D72069"/>
    <w:rsid w:val="00D720C6"/>
    <w:rsid w:val="00D720E8"/>
    <w:rsid w:val="00D72112"/>
    <w:rsid w:val="00D722D1"/>
    <w:rsid w:val="00D723F5"/>
    <w:rsid w:val="00D724CE"/>
    <w:rsid w:val="00D72561"/>
    <w:rsid w:val="00D725A3"/>
    <w:rsid w:val="00D725D7"/>
    <w:rsid w:val="00D727AF"/>
    <w:rsid w:val="00D72B7F"/>
    <w:rsid w:val="00D72BDE"/>
    <w:rsid w:val="00D72CD7"/>
    <w:rsid w:val="00D73015"/>
    <w:rsid w:val="00D7308C"/>
    <w:rsid w:val="00D731D6"/>
    <w:rsid w:val="00D73444"/>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9DE"/>
    <w:rsid w:val="00D74A16"/>
    <w:rsid w:val="00D74A8C"/>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46"/>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2CC"/>
    <w:rsid w:val="00D8183C"/>
    <w:rsid w:val="00D818A4"/>
    <w:rsid w:val="00D81E12"/>
    <w:rsid w:val="00D8242C"/>
    <w:rsid w:val="00D827D1"/>
    <w:rsid w:val="00D827F2"/>
    <w:rsid w:val="00D828A6"/>
    <w:rsid w:val="00D82D9C"/>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14"/>
    <w:rsid w:val="00D84CF0"/>
    <w:rsid w:val="00D84D6A"/>
    <w:rsid w:val="00D84DD6"/>
    <w:rsid w:val="00D8533B"/>
    <w:rsid w:val="00D855CF"/>
    <w:rsid w:val="00D8575F"/>
    <w:rsid w:val="00D85876"/>
    <w:rsid w:val="00D85942"/>
    <w:rsid w:val="00D85CB6"/>
    <w:rsid w:val="00D8615E"/>
    <w:rsid w:val="00D86240"/>
    <w:rsid w:val="00D8627B"/>
    <w:rsid w:val="00D8632C"/>
    <w:rsid w:val="00D8653D"/>
    <w:rsid w:val="00D86588"/>
    <w:rsid w:val="00D86907"/>
    <w:rsid w:val="00D86A8A"/>
    <w:rsid w:val="00D86D62"/>
    <w:rsid w:val="00D86EC6"/>
    <w:rsid w:val="00D86FFA"/>
    <w:rsid w:val="00D870D2"/>
    <w:rsid w:val="00D871D5"/>
    <w:rsid w:val="00D87219"/>
    <w:rsid w:val="00D8736B"/>
    <w:rsid w:val="00D87463"/>
    <w:rsid w:val="00D879FB"/>
    <w:rsid w:val="00D87BB6"/>
    <w:rsid w:val="00D87CC8"/>
    <w:rsid w:val="00D87CCC"/>
    <w:rsid w:val="00D87DEA"/>
    <w:rsid w:val="00D87F46"/>
    <w:rsid w:val="00D900B9"/>
    <w:rsid w:val="00D901A8"/>
    <w:rsid w:val="00D902C3"/>
    <w:rsid w:val="00D902D3"/>
    <w:rsid w:val="00D9051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42D"/>
    <w:rsid w:val="00D93719"/>
    <w:rsid w:val="00D939FD"/>
    <w:rsid w:val="00D93A3A"/>
    <w:rsid w:val="00D93B11"/>
    <w:rsid w:val="00D93B53"/>
    <w:rsid w:val="00D93C24"/>
    <w:rsid w:val="00D94234"/>
    <w:rsid w:val="00D94251"/>
    <w:rsid w:val="00D94689"/>
    <w:rsid w:val="00D948A7"/>
    <w:rsid w:val="00D94B94"/>
    <w:rsid w:val="00D94DE7"/>
    <w:rsid w:val="00D950A6"/>
    <w:rsid w:val="00D952DD"/>
    <w:rsid w:val="00D95787"/>
    <w:rsid w:val="00D9585A"/>
    <w:rsid w:val="00D958DF"/>
    <w:rsid w:val="00D9591B"/>
    <w:rsid w:val="00D95956"/>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97ECD"/>
    <w:rsid w:val="00DA0078"/>
    <w:rsid w:val="00DA018D"/>
    <w:rsid w:val="00DA0259"/>
    <w:rsid w:val="00DA0451"/>
    <w:rsid w:val="00DA0C2C"/>
    <w:rsid w:val="00DA0F44"/>
    <w:rsid w:val="00DA10E1"/>
    <w:rsid w:val="00DA12B1"/>
    <w:rsid w:val="00DA1766"/>
    <w:rsid w:val="00DA19D4"/>
    <w:rsid w:val="00DA1A57"/>
    <w:rsid w:val="00DA1DB2"/>
    <w:rsid w:val="00DA1EB9"/>
    <w:rsid w:val="00DA1F46"/>
    <w:rsid w:val="00DA2835"/>
    <w:rsid w:val="00DA2B9E"/>
    <w:rsid w:val="00DA2D8E"/>
    <w:rsid w:val="00DA2E17"/>
    <w:rsid w:val="00DA2E2C"/>
    <w:rsid w:val="00DA304D"/>
    <w:rsid w:val="00DA3065"/>
    <w:rsid w:val="00DA3095"/>
    <w:rsid w:val="00DA3211"/>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56"/>
    <w:rsid w:val="00DA5A6E"/>
    <w:rsid w:val="00DA5D0A"/>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1F4"/>
    <w:rsid w:val="00DB0609"/>
    <w:rsid w:val="00DB0CA8"/>
    <w:rsid w:val="00DB0CDD"/>
    <w:rsid w:val="00DB0D50"/>
    <w:rsid w:val="00DB0D8F"/>
    <w:rsid w:val="00DB1192"/>
    <w:rsid w:val="00DB12C2"/>
    <w:rsid w:val="00DB13ED"/>
    <w:rsid w:val="00DB13F3"/>
    <w:rsid w:val="00DB1666"/>
    <w:rsid w:val="00DB17C8"/>
    <w:rsid w:val="00DB1B8E"/>
    <w:rsid w:val="00DB1C7C"/>
    <w:rsid w:val="00DB1CF8"/>
    <w:rsid w:val="00DB1D67"/>
    <w:rsid w:val="00DB1D97"/>
    <w:rsid w:val="00DB1F48"/>
    <w:rsid w:val="00DB2021"/>
    <w:rsid w:val="00DB21EB"/>
    <w:rsid w:val="00DB2247"/>
    <w:rsid w:val="00DB243C"/>
    <w:rsid w:val="00DB25EC"/>
    <w:rsid w:val="00DB2686"/>
    <w:rsid w:val="00DB2B33"/>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0BD3"/>
    <w:rsid w:val="00DC11E0"/>
    <w:rsid w:val="00DC130E"/>
    <w:rsid w:val="00DC13BF"/>
    <w:rsid w:val="00DC145A"/>
    <w:rsid w:val="00DC1562"/>
    <w:rsid w:val="00DC16F9"/>
    <w:rsid w:val="00DC1732"/>
    <w:rsid w:val="00DC18BA"/>
    <w:rsid w:val="00DC18C8"/>
    <w:rsid w:val="00DC18DB"/>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097"/>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ABE"/>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8E"/>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7A8"/>
    <w:rsid w:val="00DD6A2A"/>
    <w:rsid w:val="00DD6CFF"/>
    <w:rsid w:val="00DD735E"/>
    <w:rsid w:val="00DD7362"/>
    <w:rsid w:val="00DD739E"/>
    <w:rsid w:val="00DD74C3"/>
    <w:rsid w:val="00DD7674"/>
    <w:rsid w:val="00DD7775"/>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A1"/>
    <w:rsid w:val="00DE10E3"/>
    <w:rsid w:val="00DE10F5"/>
    <w:rsid w:val="00DE1692"/>
    <w:rsid w:val="00DE18EC"/>
    <w:rsid w:val="00DE1C22"/>
    <w:rsid w:val="00DE23FF"/>
    <w:rsid w:val="00DE249D"/>
    <w:rsid w:val="00DE2804"/>
    <w:rsid w:val="00DE2AC1"/>
    <w:rsid w:val="00DE2CEF"/>
    <w:rsid w:val="00DE2D73"/>
    <w:rsid w:val="00DE2D7A"/>
    <w:rsid w:val="00DE2F65"/>
    <w:rsid w:val="00DE31EA"/>
    <w:rsid w:val="00DE3265"/>
    <w:rsid w:val="00DE35D3"/>
    <w:rsid w:val="00DE36D4"/>
    <w:rsid w:val="00DE38E4"/>
    <w:rsid w:val="00DE3A0B"/>
    <w:rsid w:val="00DE3F06"/>
    <w:rsid w:val="00DE43FD"/>
    <w:rsid w:val="00DE4552"/>
    <w:rsid w:val="00DE4720"/>
    <w:rsid w:val="00DE48A4"/>
    <w:rsid w:val="00DE4B9F"/>
    <w:rsid w:val="00DE4C0C"/>
    <w:rsid w:val="00DE4EA3"/>
    <w:rsid w:val="00DE502D"/>
    <w:rsid w:val="00DE5388"/>
    <w:rsid w:val="00DE55E0"/>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964"/>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15"/>
    <w:rsid w:val="00DF4065"/>
    <w:rsid w:val="00DF40E0"/>
    <w:rsid w:val="00DF4192"/>
    <w:rsid w:val="00DF41CC"/>
    <w:rsid w:val="00DF430A"/>
    <w:rsid w:val="00DF45C8"/>
    <w:rsid w:val="00DF4902"/>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DF7DD4"/>
    <w:rsid w:val="00E000F4"/>
    <w:rsid w:val="00E001E5"/>
    <w:rsid w:val="00E0084F"/>
    <w:rsid w:val="00E00A8A"/>
    <w:rsid w:val="00E00ACA"/>
    <w:rsid w:val="00E00B5B"/>
    <w:rsid w:val="00E00CB6"/>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BD2"/>
    <w:rsid w:val="00E03F34"/>
    <w:rsid w:val="00E045C3"/>
    <w:rsid w:val="00E048FF"/>
    <w:rsid w:val="00E04AB7"/>
    <w:rsid w:val="00E05064"/>
    <w:rsid w:val="00E050EF"/>
    <w:rsid w:val="00E05400"/>
    <w:rsid w:val="00E0556C"/>
    <w:rsid w:val="00E05789"/>
    <w:rsid w:val="00E05A4D"/>
    <w:rsid w:val="00E05AC4"/>
    <w:rsid w:val="00E05C91"/>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4EC"/>
    <w:rsid w:val="00E1056D"/>
    <w:rsid w:val="00E10788"/>
    <w:rsid w:val="00E109C4"/>
    <w:rsid w:val="00E10C6A"/>
    <w:rsid w:val="00E10D28"/>
    <w:rsid w:val="00E10F98"/>
    <w:rsid w:val="00E110A4"/>
    <w:rsid w:val="00E11213"/>
    <w:rsid w:val="00E115D7"/>
    <w:rsid w:val="00E11835"/>
    <w:rsid w:val="00E11877"/>
    <w:rsid w:val="00E1189A"/>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B77"/>
    <w:rsid w:val="00E13C9E"/>
    <w:rsid w:val="00E13DFD"/>
    <w:rsid w:val="00E13E06"/>
    <w:rsid w:val="00E140C2"/>
    <w:rsid w:val="00E14237"/>
    <w:rsid w:val="00E1428C"/>
    <w:rsid w:val="00E14756"/>
    <w:rsid w:val="00E14C91"/>
    <w:rsid w:val="00E14F41"/>
    <w:rsid w:val="00E1562D"/>
    <w:rsid w:val="00E1598D"/>
    <w:rsid w:val="00E159AC"/>
    <w:rsid w:val="00E15CFF"/>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550"/>
    <w:rsid w:val="00E20650"/>
    <w:rsid w:val="00E206C6"/>
    <w:rsid w:val="00E20787"/>
    <w:rsid w:val="00E20A9C"/>
    <w:rsid w:val="00E20D0A"/>
    <w:rsid w:val="00E210A3"/>
    <w:rsid w:val="00E211FB"/>
    <w:rsid w:val="00E21467"/>
    <w:rsid w:val="00E2162E"/>
    <w:rsid w:val="00E219AB"/>
    <w:rsid w:val="00E21BB5"/>
    <w:rsid w:val="00E21D2F"/>
    <w:rsid w:val="00E21DA1"/>
    <w:rsid w:val="00E21F0E"/>
    <w:rsid w:val="00E22052"/>
    <w:rsid w:val="00E222A0"/>
    <w:rsid w:val="00E222FD"/>
    <w:rsid w:val="00E225C4"/>
    <w:rsid w:val="00E22624"/>
    <w:rsid w:val="00E229B2"/>
    <w:rsid w:val="00E22FEC"/>
    <w:rsid w:val="00E2326C"/>
    <w:rsid w:val="00E232DE"/>
    <w:rsid w:val="00E233C7"/>
    <w:rsid w:val="00E2340C"/>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A94"/>
    <w:rsid w:val="00E26CA9"/>
    <w:rsid w:val="00E270D0"/>
    <w:rsid w:val="00E2718A"/>
    <w:rsid w:val="00E271A7"/>
    <w:rsid w:val="00E27289"/>
    <w:rsid w:val="00E27383"/>
    <w:rsid w:val="00E276B7"/>
    <w:rsid w:val="00E27705"/>
    <w:rsid w:val="00E277D4"/>
    <w:rsid w:val="00E27B37"/>
    <w:rsid w:val="00E27BE4"/>
    <w:rsid w:val="00E27C6C"/>
    <w:rsid w:val="00E27D57"/>
    <w:rsid w:val="00E27DF1"/>
    <w:rsid w:val="00E27F45"/>
    <w:rsid w:val="00E27FD1"/>
    <w:rsid w:val="00E3018C"/>
    <w:rsid w:val="00E3071A"/>
    <w:rsid w:val="00E307DD"/>
    <w:rsid w:val="00E3084D"/>
    <w:rsid w:val="00E30867"/>
    <w:rsid w:val="00E30890"/>
    <w:rsid w:val="00E30965"/>
    <w:rsid w:val="00E309DB"/>
    <w:rsid w:val="00E30A14"/>
    <w:rsid w:val="00E30A35"/>
    <w:rsid w:val="00E30B56"/>
    <w:rsid w:val="00E30CCD"/>
    <w:rsid w:val="00E30D14"/>
    <w:rsid w:val="00E30F5C"/>
    <w:rsid w:val="00E3120E"/>
    <w:rsid w:val="00E312F5"/>
    <w:rsid w:val="00E31342"/>
    <w:rsid w:val="00E315F7"/>
    <w:rsid w:val="00E31665"/>
    <w:rsid w:val="00E318F4"/>
    <w:rsid w:val="00E318F9"/>
    <w:rsid w:val="00E3198C"/>
    <w:rsid w:val="00E31995"/>
    <w:rsid w:val="00E319AE"/>
    <w:rsid w:val="00E31DAA"/>
    <w:rsid w:val="00E31DD4"/>
    <w:rsid w:val="00E326A7"/>
    <w:rsid w:val="00E3275F"/>
    <w:rsid w:val="00E3279C"/>
    <w:rsid w:val="00E327F0"/>
    <w:rsid w:val="00E32B0C"/>
    <w:rsid w:val="00E32B43"/>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C7F"/>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7049"/>
    <w:rsid w:val="00E372B6"/>
    <w:rsid w:val="00E374BF"/>
    <w:rsid w:val="00E3754A"/>
    <w:rsid w:val="00E3754C"/>
    <w:rsid w:val="00E37B1A"/>
    <w:rsid w:val="00E37B6D"/>
    <w:rsid w:val="00E37D0A"/>
    <w:rsid w:val="00E37F8B"/>
    <w:rsid w:val="00E37FD7"/>
    <w:rsid w:val="00E4006C"/>
    <w:rsid w:val="00E400DC"/>
    <w:rsid w:val="00E4011E"/>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584"/>
    <w:rsid w:val="00E428B1"/>
    <w:rsid w:val="00E42971"/>
    <w:rsid w:val="00E42C3F"/>
    <w:rsid w:val="00E42CA9"/>
    <w:rsid w:val="00E42CF4"/>
    <w:rsid w:val="00E42E09"/>
    <w:rsid w:val="00E42FB7"/>
    <w:rsid w:val="00E430C6"/>
    <w:rsid w:val="00E43475"/>
    <w:rsid w:val="00E4362C"/>
    <w:rsid w:val="00E43637"/>
    <w:rsid w:val="00E43686"/>
    <w:rsid w:val="00E436CB"/>
    <w:rsid w:val="00E43729"/>
    <w:rsid w:val="00E4376E"/>
    <w:rsid w:val="00E437BD"/>
    <w:rsid w:val="00E43819"/>
    <w:rsid w:val="00E43A01"/>
    <w:rsid w:val="00E43BE1"/>
    <w:rsid w:val="00E43D20"/>
    <w:rsid w:val="00E43D34"/>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5C7"/>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0F0"/>
    <w:rsid w:val="00E50193"/>
    <w:rsid w:val="00E50297"/>
    <w:rsid w:val="00E50376"/>
    <w:rsid w:val="00E50450"/>
    <w:rsid w:val="00E50554"/>
    <w:rsid w:val="00E506A1"/>
    <w:rsid w:val="00E50709"/>
    <w:rsid w:val="00E5076B"/>
    <w:rsid w:val="00E507C5"/>
    <w:rsid w:val="00E507CF"/>
    <w:rsid w:val="00E50918"/>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D7A"/>
    <w:rsid w:val="00E52F5A"/>
    <w:rsid w:val="00E52FC4"/>
    <w:rsid w:val="00E53067"/>
    <w:rsid w:val="00E5332F"/>
    <w:rsid w:val="00E533A1"/>
    <w:rsid w:val="00E5341E"/>
    <w:rsid w:val="00E5358C"/>
    <w:rsid w:val="00E53624"/>
    <w:rsid w:val="00E536AF"/>
    <w:rsid w:val="00E537B5"/>
    <w:rsid w:val="00E538FA"/>
    <w:rsid w:val="00E53BDB"/>
    <w:rsid w:val="00E53C8C"/>
    <w:rsid w:val="00E53E1A"/>
    <w:rsid w:val="00E53E9C"/>
    <w:rsid w:val="00E54308"/>
    <w:rsid w:val="00E54498"/>
    <w:rsid w:val="00E5456F"/>
    <w:rsid w:val="00E5468D"/>
    <w:rsid w:val="00E546B4"/>
    <w:rsid w:val="00E54756"/>
    <w:rsid w:val="00E549D3"/>
    <w:rsid w:val="00E54A9B"/>
    <w:rsid w:val="00E54E0A"/>
    <w:rsid w:val="00E55056"/>
    <w:rsid w:val="00E55079"/>
    <w:rsid w:val="00E556E9"/>
    <w:rsid w:val="00E557A0"/>
    <w:rsid w:val="00E557B2"/>
    <w:rsid w:val="00E5589A"/>
    <w:rsid w:val="00E55AA5"/>
    <w:rsid w:val="00E561FF"/>
    <w:rsid w:val="00E562E2"/>
    <w:rsid w:val="00E563B7"/>
    <w:rsid w:val="00E564EC"/>
    <w:rsid w:val="00E5659C"/>
    <w:rsid w:val="00E56687"/>
    <w:rsid w:val="00E566AF"/>
    <w:rsid w:val="00E568D0"/>
    <w:rsid w:val="00E56965"/>
    <w:rsid w:val="00E56C14"/>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322"/>
    <w:rsid w:val="00E60417"/>
    <w:rsid w:val="00E6053D"/>
    <w:rsid w:val="00E60810"/>
    <w:rsid w:val="00E6088E"/>
    <w:rsid w:val="00E60942"/>
    <w:rsid w:val="00E60C7D"/>
    <w:rsid w:val="00E60F5A"/>
    <w:rsid w:val="00E60F8F"/>
    <w:rsid w:val="00E60FC4"/>
    <w:rsid w:val="00E6103C"/>
    <w:rsid w:val="00E611E1"/>
    <w:rsid w:val="00E6138E"/>
    <w:rsid w:val="00E61419"/>
    <w:rsid w:val="00E614BD"/>
    <w:rsid w:val="00E61658"/>
    <w:rsid w:val="00E6182F"/>
    <w:rsid w:val="00E61DC9"/>
    <w:rsid w:val="00E62006"/>
    <w:rsid w:val="00E62015"/>
    <w:rsid w:val="00E62336"/>
    <w:rsid w:val="00E6236B"/>
    <w:rsid w:val="00E624C5"/>
    <w:rsid w:val="00E6257B"/>
    <w:rsid w:val="00E625B8"/>
    <w:rsid w:val="00E626ED"/>
    <w:rsid w:val="00E627B2"/>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DF6"/>
    <w:rsid w:val="00E64FEE"/>
    <w:rsid w:val="00E65220"/>
    <w:rsid w:val="00E6537E"/>
    <w:rsid w:val="00E65702"/>
    <w:rsid w:val="00E65E3D"/>
    <w:rsid w:val="00E65EF6"/>
    <w:rsid w:val="00E65EFA"/>
    <w:rsid w:val="00E65EFE"/>
    <w:rsid w:val="00E65FFE"/>
    <w:rsid w:val="00E66064"/>
    <w:rsid w:val="00E66293"/>
    <w:rsid w:val="00E66479"/>
    <w:rsid w:val="00E6659D"/>
    <w:rsid w:val="00E667E3"/>
    <w:rsid w:val="00E668CE"/>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417"/>
    <w:rsid w:val="00E71561"/>
    <w:rsid w:val="00E715EF"/>
    <w:rsid w:val="00E716A0"/>
    <w:rsid w:val="00E7171C"/>
    <w:rsid w:val="00E7185C"/>
    <w:rsid w:val="00E71873"/>
    <w:rsid w:val="00E71A42"/>
    <w:rsid w:val="00E71AFB"/>
    <w:rsid w:val="00E71B5E"/>
    <w:rsid w:val="00E71C6B"/>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DB2"/>
    <w:rsid w:val="00E74DCD"/>
    <w:rsid w:val="00E74E3A"/>
    <w:rsid w:val="00E74F94"/>
    <w:rsid w:val="00E7514D"/>
    <w:rsid w:val="00E751CF"/>
    <w:rsid w:val="00E75387"/>
    <w:rsid w:val="00E754BC"/>
    <w:rsid w:val="00E755B3"/>
    <w:rsid w:val="00E75872"/>
    <w:rsid w:val="00E7596F"/>
    <w:rsid w:val="00E75ADC"/>
    <w:rsid w:val="00E75D06"/>
    <w:rsid w:val="00E75D9B"/>
    <w:rsid w:val="00E7608A"/>
    <w:rsid w:val="00E7621E"/>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F0"/>
    <w:rsid w:val="00E80C1B"/>
    <w:rsid w:val="00E80D88"/>
    <w:rsid w:val="00E80EA1"/>
    <w:rsid w:val="00E80F72"/>
    <w:rsid w:val="00E81056"/>
    <w:rsid w:val="00E810B2"/>
    <w:rsid w:val="00E8118B"/>
    <w:rsid w:val="00E81272"/>
    <w:rsid w:val="00E814FD"/>
    <w:rsid w:val="00E81877"/>
    <w:rsid w:val="00E81D81"/>
    <w:rsid w:val="00E81D92"/>
    <w:rsid w:val="00E81DD5"/>
    <w:rsid w:val="00E81EAC"/>
    <w:rsid w:val="00E821B9"/>
    <w:rsid w:val="00E8232B"/>
    <w:rsid w:val="00E823BD"/>
    <w:rsid w:val="00E82453"/>
    <w:rsid w:val="00E8246D"/>
    <w:rsid w:val="00E828A3"/>
    <w:rsid w:val="00E82CEB"/>
    <w:rsid w:val="00E82D51"/>
    <w:rsid w:val="00E82DDF"/>
    <w:rsid w:val="00E830C4"/>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245"/>
    <w:rsid w:val="00E85376"/>
    <w:rsid w:val="00E853FC"/>
    <w:rsid w:val="00E8546B"/>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A4"/>
    <w:rsid w:val="00E87571"/>
    <w:rsid w:val="00E87686"/>
    <w:rsid w:val="00E8793E"/>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2D"/>
    <w:rsid w:val="00E9383F"/>
    <w:rsid w:val="00E93848"/>
    <w:rsid w:val="00E93881"/>
    <w:rsid w:val="00E939BA"/>
    <w:rsid w:val="00E939E2"/>
    <w:rsid w:val="00E93A30"/>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7"/>
    <w:rsid w:val="00E95B1C"/>
    <w:rsid w:val="00E95BA3"/>
    <w:rsid w:val="00E95CF4"/>
    <w:rsid w:val="00E95E85"/>
    <w:rsid w:val="00E962AA"/>
    <w:rsid w:val="00E964AA"/>
    <w:rsid w:val="00E96896"/>
    <w:rsid w:val="00E968F5"/>
    <w:rsid w:val="00E9692F"/>
    <w:rsid w:val="00E96949"/>
    <w:rsid w:val="00E96B09"/>
    <w:rsid w:val="00E96BF2"/>
    <w:rsid w:val="00E96FCA"/>
    <w:rsid w:val="00E9700B"/>
    <w:rsid w:val="00E9702D"/>
    <w:rsid w:val="00E970F0"/>
    <w:rsid w:val="00E972FC"/>
    <w:rsid w:val="00E97449"/>
    <w:rsid w:val="00E975C5"/>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636"/>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C20"/>
    <w:rsid w:val="00EA7F07"/>
    <w:rsid w:val="00EA7FC3"/>
    <w:rsid w:val="00EB0065"/>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A16"/>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B7EE3"/>
    <w:rsid w:val="00EC002D"/>
    <w:rsid w:val="00EC00C7"/>
    <w:rsid w:val="00EC01E9"/>
    <w:rsid w:val="00EC0525"/>
    <w:rsid w:val="00EC066F"/>
    <w:rsid w:val="00EC06A4"/>
    <w:rsid w:val="00EC077E"/>
    <w:rsid w:val="00EC0801"/>
    <w:rsid w:val="00EC1046"/>
    <w:rsid w:val="00EC1067"/>
    <w:rsid w:val="00EC10C6"/>
    <w:rsid w:val="00EC10E0"/>
    <w:rsid w:val="00EC1172"/>
    <w:rsid w:val="00EC12CB"/>
    <w:rsid w:val="00EC1494"/>
    <w:rsid w:val="00EC1572"/>
    <w:rsid w:val="00EC158A"/>
    <w:rsid w:val="00EC1743"/>
    <w:rsid w:val="00EC17D1"/>
    <w:rsid w:val="00EC1993"/>
    <w:rsid w:val="00EC19AE"/>
    <w:rsid w:val="00EC2027"/>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BBA"/>
    <w:rsid w:val="00EC3C0B"/>
    <w:rsid w:val="00EC3D70"/>
    <w:rsid w:val="00EC3D86"/>
    <w:rsid w:val="00EC4425"/>
    <w:rsid w:val="00EC458F"/>
    <w:rsid w:val="00EC477D"/>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1BA"/>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7EE"/>
    <w:rsid w:val="00ED187E"/>
    <w:rsid w:val="00ED19A1"/>
    <w:rsid w:val="00ED2146"/>
    <w:rsid w:val="00ED21DF"/>
    <w:rsid w:val="00ED23DD"/>
    <w:rsid w:val="00ED2759"/>
    <w:rsid w:val="00ED2DCB"/>
    <w:rsid w:val="00ED3131"/>
    <w:rsid w:val="00ED34D6"/>
    <w:rsid w:val="00ED3555"/>
    <w:rsid w:val="00ED3658"/>
    <w:rsid w:val="00ED36CB"/>
    <w:rsid w:val="00ED386C"/>
    <w:rsid w:val="00ED388D"/>
    <w:rsid w:val="00ED3F2C"/>
    <w:rsid w:val="00ED441B"/>
    <w:rsid w:val="00ED444C"/>
    <w:rsid w:val="00ED46BE"/>
    <w:rsid w:val="00ED4813"/>
    <w:rsid w:val="00ED4861"/>
    <w:rsid w:val="00ED48C7"/>
    <w:rsid w:val="00ED498A"/>
    <w:rsid w:val="00ED4AD4"/>
    <w:rsid w:val="00ED4E49"/>
    <w:rsid w:val="00ED5054"/>
    <w:rsid w:val="00ED527B"/>
    <w:rsid w:val="00ED531F"/>
    <w:rsid w:val="00ED5489"/>
    <w:rsid w:val="00ED5619"/>
    <w:rsid w:val="00ED5799"/>
    <w:rsid w:val="00ED58A4"/>
    <w:rsid w:val="00ED5955"/>
    <w:rsid w:val="00ED5C2E"/>
    <w:rsid w:val="00ED5FBD"/>
    <w:rsid w:val="00ED6057"/>
    <w:rsid w:val="00ED6102"/>
    <w:rsid w:val="00ED612A"/>
    <w:rsid w:val="00ED64C8"/>
    <w:rsid w:val="00ED66D4"/>
    <w:rsid w:val="00ED67AC"/>
    <w:rsid w:val="00ED67D5"/>
    <w:rsid w:val="00ED68E4"/>
    <w:rsid w:val="00ED6A48"/>
    <w:rsid w:val="00ED6E81"/>
    <w:rsid w:val="00ED7019"/>
    <w:rsid w:val="00ED7599"/>
    <w:rsid w:val="00ED7626"/>
    <w:rsid w:val="00ED76E7"/>
    <w:rsid w:val="00ED7B25"/>
    <w:rsid w:val="00ED7B82"/>
    <w:rsid w:val="00ED7E8F"/>
    <w:rsid w:val="00ED7ED4"/>
    <w:rsid w:val="00ED7F19"/>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5E9"/>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0B2"/>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C8E"/>
    <w:rsid w:val="00EE71D1"/>
    <w:rsid w:val="00EE7277"/>
    <w:rsid w:val="00EE765D"/>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8F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1EAA"/>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6DF"/>
    <w:rsid w:val="00F04703"/>
    <w:rsid w:val="00F049DD"/>
    <w:rsid w:val="00F04B5B"/>
    <w:rsid w:val="00F04CE1"/>
    <w:rsid w:val="00F0507E"/>
    <w:rsid w:val="00F050A7"/>
    <w:rsid w:val="00F05190"/>
    <w:rsid w:val="00F054D8"/>
    <w:rsid w:val="00F0559B"/>
    <w:rsid w:val="00F0561B"/>
    <w:rsid w:val="00F05755"/>
    <w:rsid w:val="00F05789"/>
    <w:rsid w:val="00F05AEC"/>
    <w:rsid w:val="00F05BA9"/>
    <w:rsid w:val="00F06199"/>
    <w:rsid w:val="00F06692"/>
    <w:rsid w:val="00F06919"/>
    <w:rsid w:val="00F06A73"/>
    <w:rsid w:val="00F06B95"/>
    <w:rsid w:val="00F06C2C"/>
    <w:rsid w:val="00F06DA4"/>
    <w:rsid w:val="00F07D1D"/>
    <w:rsid w:val="00F07D4F"/>
    <w:rsid w:val="00F07DC2"/>
    <w:rsid w:val="00F07F24"/>
    <w:rsid w:val="00F07F33"/>
    <w:rsid w:val="00F10609"/>
    <w:rsid w:val="00F10634"/>
    <w:rsid w:val="00F1063C"/>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742"/>
    <w:rsid w:val="00F1282A"/>
    <w:rsid w:val="00F128EA"/>
    <w:rsid w:val="00F129B9"/>
    <w:rsid w:val="00F12AD0"/>
    <w:rsid w:val="00F12D67"/>
    <w:rsid w:val="00F12FEA"/>
    <w:rsid w:val="00F1326D"/>
    <w:rsid w:val="00F136C1"/>
    <w:rsid w:val="00F13765"/>
    <w:rsid w:val="00F13806"/>
    <w:rsid w:val="00F139DC"/>
    <w:rsid w:val="00F13C24"/>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13"/>
    <w:rsid w:val="00F20577"/>
    <w:rsid w:val="00F205EC"/>
    <w:rsid w:val="00F2074D"/>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C35"/>
    <w:rsid w:val="00F23EB1"/>
    <w:rsid w:val="00F242C5"/>
    <w:rsid w:val="00F245D5"/>
    <w:rsid w:val="00F24667"/>
    <w:rsid w:val="00F2478B"/>
    <w:rsid w:val="00F249AD"/>
    <w:rsid w:val="00F24A05"/>
    <w:rsid w:val="00F24B3F"/>
    <w:rsid w:val="00F24E55"/>
    <w:rsid w:val="00F24EF4"/>
    <w:rsid w:val="00F25063"/>
    <w:rsid w:val="00F250A4"/>
    <w:rsid w:val="00F25172"/>
    <w:rsid w:val="00F251F3"/>
    <w:rsid w:val="00F2536A"/>
    <w:rsid w:val="00F2537F"/>
    <w:rsid w:val="00F25486"/>
    <w:rsid w:val="00F26066"/>
    <w:rsid w:val="00F26125"/>
    <w:rsid w:val="00F261FB"/>
    <w:rsid w:val="00F2622B"/>
    <w:rsid w:val="00F262C1"/>
    <w:rsid w:val="00F2650D"/>
    <w:rsid w:val="00F26A49"/>
    <w:rsid w:val="00F26CF1"/>
    <w:rsid w:val="00F26DEE"/>
    <w:rsid w:val="00F26F07"/>
    <w:rsid w:val="00F26FC4"/>
    <w:rsid w:val="00F272AD"/>
    <w:rsid w:val="00F2785A"/>
    <w:rsid w:val="00F279DD"/>
    <w:rsid w:val="00F27A21"/>
    <w:rsid w:val="00F27D20"/>
    <w:rsid w:val="00F27DCE"/>
    <w:rsid w:val="00F300C2"/>
    <w:rsid w:val="00F300D6"/>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9C9"/>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65"/>
    <w:rsid w:val="00F402AB"/>
    <w:rsid w:val="00F40346"/>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4E5"/>
    <w:rsid w:val="00F4356D"/>
    <w:rsid w:val="00F43581"/>
    <w:rsid w:val="00F435F9"/>
    <w:rsid w:val="00F43650"/>
    <w:rsid w:val="00F43A56"/>
    <w:rsid w:val="00F43B87"/>
    <w:rsid w:val="00F44172"/>
    <w:rsid w:val="00F44214"/>
    <w:rsid w:val="00F444FF"/>
    <w:rsid w:val="00F44521"/>
    <w:rsid w:val="00F445DC"/>
    <w:rsid w:val="00F445FB"/>
    <w:rsid w:val="00F44818"/>
    <w:rsid w:val="00F44C27"/>
    <w:rsid w:val="00F44CD6"/>
    <w:rsid w:val="00F44D4F"/>
    <w:rsid w:val="00F4528E"/>
    <w:rsid w:val="00F452C3"/>
    <w:rsid w:val="00F454A8"/>
    <w:rsid w:val="00F454C0"/>
    <w:rsid w:val="00F4568A"/>
    <w:rsid w:val="00F458A7"/>
    <w:rsid w:val="00F460E8"/>
    <w:rsid w:val="00F461BD"/>
    <w:rsid w:val="00F46492"/>
    <w:rsid w:val="00F465A7"/>
    <w:rsid w:val="00F46651"/>
    <w:rsid w:val="00F466C9"/>
    <w:rsid w:val="00F467C3"/>
    <w:rsid w:val="00F467EF"/>
    <w:rsid w:val="00F46AD7"/>
    <w:rsid w:val="00F46D21"/>
    <w:rsid w:val="00F46D23"/>
    <w:rsid w:val="00F46E73"/>
    <w:rsid w:val="00F46E8D"/>
    <w:rsid w:val="00F46EE7"/>
    <w:rsid w:val="00F46EF9"/>
    <w:rsid w:val="00F47018"/>
    <w:rsid w:val="00F474D3"/>
    <w:rsid w:val="00F478C9"/>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7F3"/>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A1A"/>
    <w:rsid w:val="00F53E43"/>
    <w:rsid w:val="00F54025"/>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3B"/>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13"/>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90"/>
    <w:rsid w:val="00F635F9"/>
    <w:rsid w:val="00F6369D"/>
    <w:rsid w:val="00F646A3"/>
    <w:rsid w:val="00F646A8"/>
    <w:rsid w:val="00F647C1"/>
    <w:rsid w:val="00F6499E"/>
    <w:rsid w:val="00F64A27"/>
    <w:rsid w:val="00F64B0B"/>
    <w:rsid w:val="00F64B9B"/>
    <w:rsid w:val="00F64C06"/>
    <w:rsid w:val="00F64CF3"/>
    <w:rsid w:val="00F65054"/>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3D1"/>
    <w:rsid w:val="00F66ED4"/>
    <w:rsid w:val="00F66FB8"/>
    <w:rsid w:val="00F67256"/>
    <w:rsid w:val="00F674DB"/>
    <w:rsid w:val="00F67590"/>
    <w:rsid w:val="00F6772B"/>
    <w:rsid w:val="00F67A31"/>
    <w:rsid w:val="00F67D86"/>
    <w:rsid w:val="00F67E1F"/>
    <w:rsid w:val="00F67E74"/>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0E1"/>
    <w:rsid w:val="00F721FA"/>
    <w:rsid w:val="00F7226B"/>
    <w:rsid w:val="00F7257C"/>
    <w:rsid w:val="00F728DC"/>
    <w:rsid w:val="00F72A45"/>
    <w:rsid w:val="00F72C7E"/>
    <w:rsid w:val="00F72E31"/>
    <w:rsid w:val="00F73078"/>
    <w:rsid w:val="00F73194"/>
    <w:rsid w:val="00F7324A"/>
    <w:rsid w:val="00F7326A"/>
    <w:rsid w:val="00F7342F"/>
    <w:rsid w:val="00F73720"/>
    <w:rsid w:val="00F737C0"/>
    <w:rsid w:val="00F7384E"/>
    <w:rsid w:val="00F738A5"/>
    <w:rsid w:val="00F73A9B"/>
    <w:rsid w:val="00F73F67"/>
    <w:rsid w:val="00F73FBA"/>
    <w:rsid w:val="00F743D0"/>
    <w:rsid w:val="00F7448A"/>
    <w:rsid w:val="00F7473A"/>
    <w:rsid w:val="00F747BE"/>
    <w:rsid w:val="00F749BA"/>
    <w:rsid w:val="00F74EFA"/>
    <w:rsid w:val="00F74FD2"/>
    <w:rsid w:val="00F754A0"/>
    <w:rsid w:val="00F75579"/>
    <w:rsid w:val="00F75737"/>
    <w:rsid w:val="00F7577D"/>
    <w:rsid w:val="00F757D2"/>
    <w:rsid w:val="00F759C3"/>
    <w:rsid w:val="00F75DBB"/>
    <w:rsid w:val="00F75EAB"/>
    <w:rsid w:val="00F75F06"/>
    <w:rsid w:val="00F76182"/>
    <w:rsid w:val="00F762BC"/>
    <w:rsid w:val="00F7665A"/>
    <w:rsid w:val="00F76928"/>
    <w:rsid w:val="00F76AAF"/>
    <w:rsid w:val="00F76E93"/>
    <w:rsid w:val="00F76F8A"/>
    <w:rsid w:val="00F773CE"/>
    <w:rsid w:val="00F77499"/>
    <w:rsid w:val="00F7756C"/>
    <w:rsid w:val="00F7762E"/>
    <w:rsid w:val="00F779C4"/>
    <w:rsid w:val="00F77A6C"/>
    <w:rsid w:val="00F77B43"/>
    <w:rsid w:val="00F77B54"/>
    <w:rsid w:val="00F77BBF"/>
    <w:rsid w:val="00F77BE1"/>
    <w:rsid w:val="00F77D85"/>
    <w:rsid w:val="00F77ED3"/>
    <w:rsid w:val="00F80287"/>
    <w:rsid w:val="00F802E1"/>
    <w:rsid w:val="00F80343"/>
    <w:rsid w:val="00F80500"/>
    <w:rsid w:val="00F80728"/>
    <w:rsid w:val="00F807B3"/>
    <w:rsid w:val="00F80922"/>
    <w:rsid w:val="00F80933"/>
    <w:rsid w:val="00F80EBF"/>
    <w:rsid w:val="00F811D4"/>
    <w:rsid w:val="00F811DC"/>
    <w:rsid w:val="00F811DF"/>
    <w:rsid w:val="00F814C5"/>
    <w:rsid w:val="00F816C7"/>
    <w:rsid w:val="00F818F5"/>
    <w:rsid w:val="00F8199A"/>
    <w:rsid w:val="00F819E8"/>
    <w:rsid w:val="00F81C01"/>
    <w:rsid w:val="00F81DE1"/>
    <w:rsid w:val="00F81E1A"/>
    <w:rsid w:val="00F82160"/>
    <w:rsid w:val="00F823BD"/>
    <w:rsid w:val="00F826F3"/>
    <w:rsid w:val="00F82788"/>
    <w:rsid w:val="00F82807"/>
    <w:rsid w:val="00F82DFD"/>
    <w:rsid w:val="00F82E66"/>
    <w:rsid w:val="00F82EE8"/>
    <w:rsid w:val="00F8301C"/>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38C"/>
    <w:rsid w:val="00F90406"/>
    <w:rsid w:val="00F9094D"/>
    <w:rsid w:val="00F90952"/>
    <w:rsid w:val="00F90B92"/>
    <w:rsid w:val="00F9127C"/>
    <w:rsid w:val="00F91315"/>
    <w:rsid w:val="00F914FA"/>
    <w:rsid w:val="00F9159D"/>
    <w:rsid w:val="00F917D3"/>
    <w:rsid w:val="00F918F5"/>
    <w:rsid w:val="00F91A25"/>
    <w:rsid w:val="00F91F72"/>
    <w:rsid w:val="00F923AD"/>
    <w:rsid w:val="00F92669"/>
    <w:rsid w:val="00F92A28"/>
    <w:rsid w:val="00F92B4C"/>
    <w:rsid w:val="00F92CDA"/>
    <w:rsid w:val="00F92E24"/>
    <w:rsid w:val="00F92ED8"/>
    <w:rsid w:val="00F934CB"/>
    <w:rsid w:val="00F93541"/>
    <w:rsid w:val="00F9354E"/>
    <w:rsid w:val="00F936A7"/>
    <w:rsid w:val="00F9389D"/>
    <w:rsid w:val="00F939D0"/>
    <w:rsid w:val="00F93C7F"/>
    <w:rsid w:val="00F94063"/>
    <w:rsid w:val="00F9410B"/>
    <w:rsid w:val="00F94214"/>
    <w:rsid w:val="00F943B5"/>
    <w:rsid w:val="00F9455B"/>
    <w:rsid w:val="00F94563"/>
    <w:rsid w:val="00F94D15"/>
    <w:rsid w:val="00F94D54"/>
    <w:rsid w:val="00F94D7B"/>
    <w:rsid w:val="00F94DD9"/>
    <w:rsid w:val="00F95443"/>
    <w:rsid w:val="00F95532"/>
    <w:rsid w:val="00F95639"/>
    <w:rsid w:val="00F9599E"/>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7FD"/>
    <w:rsid w:val="00FA181C"/>
    <w:rsid w:val="00FA1B4D"/>
    <w:rsid w:val="00FA1BDF"/>
    <w:rsid w:val="00FA1E10"/>
    <w:rsid w:val="00FA1FB6"/>
    <w:rsid w:val="00FA214F"/>
    <w:rsid w:val="00FA2254"/>
    <w:rsid w:val="00FA2333"/>
    <w:rsid w:val="00FA272F"/>
    <w:rsid w:val="00FA277C"/>
    <w:rsid w:val="00FA2A13"/>
    <w:rsid w:val="00FA2A4F"/>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CB"/>
    <w:rsid w:val="00FA7AD4"/>
    <w:rsid w:val="00FA7BB8"/>
    <w:rsid w:val="00FA7CB1"/>
    <w:rsid w:val="00FA7DEF"/>
    <w:rsid w:val="00FB03B6"/>
    <w:rsid w:val="00FB063B"/>
    <w:rsid w:val="00FB063E"/>
    <w:rsid w:val="00FB0749"/>
    <w:rsid w:val="00FB0A44"/>
    <w:rsid w:val="00FB0A96"/>
    <w:rsid w:val="00FB0C75"/>
    <w:rsid w:val="00FB0DD7"/>
    <w:rsid w:val="00FB0EBF"/>
    <w:rsid w:val="00FB0FF0"/>
    <w:rsid w:val="00FB103E"/>
    <w:rsid w:val="00FB11AF"/>
    <w:rsid w:val="00FB11E9"/>
    <w:rsid w:val="00FB128D"/>
    <w:rsid w:val="00FB14ED"/>
    <w:rsid w:val="00FB1A20"/>
    <w:rsid w:val="00FB1B4A"/>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DA9"/>
    <w:rsid w:val="00FB2F46"/>
    <w:rsid w:val="00FB30B8"/>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D23"/>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3B"/>
    <w:rsid w:val="00FB7486"/>
    <w:rsid w:val="00FB752B"/>
    <w:rsid w:val="00FB757D"/>
    <w:rsid w:val="00FB7588"/>
    <w:rsid w:val="00FB767D"/>
    <w:rsid w:val="00FB7816"/>
    <w:rsid w:val="00FB7A2B"/>
    <w:rsid w:val="00FC051D"/>
    <w:rsid w:val="00FC05D7"/>
    <w:rsid w:val="00FC0B40"/>
    <w:rsid w:val="00FC0C08"/>
    <w:rsid w:val="00FC0D68"/>
    <w:rsid w:val="00FC0E38"/>
    <w:rsid w:val="00FC0EF3"/>
    <w:rsid w:val="00FC12B0"/>
    <w:rsid w:val="00FC16BF"/>
    <w:rsid w:val="00FC1858"/>
    <w:rsid w:val="00FC1900"/>
    <w:rsid w:val="00FC1937"/>
    <w:rsid w:val="00FC1A78"/>
    <w:rsid w:val="00FC1C90"/>
    <w:rsid w:val="00FC1CC8"/>
    <w:rsid w:val="00FC1E50"/>
    <w:rsid w:val="00FC1F5E"/>
    <w:rsid w:val="00FC1F95"/>
    <w:rsid w:val="00FC20E9"/>
    <w:rsid w:val="00FC217D"/>
    <w:rsid w:val="00FC2435"/>
    <w:rsid w:val="00FC24A6"/>
    <w:rsid w:val="00FC2701"/>
    <w:rsid w:val="00FC286E"/>
    <w:rsid w:val="00FC2ECF"/>
    <w:rsid w:val="00FC2EF9"/>
    <w:rsid w:val="00FC332F"/>
    <w:rsid w:val="00FC33FF"/>
    <w:rsid w:val="00FC3488"/>
    <w:rsid w:val="00FC3617"/>
    <w:rsid w:val="00FC3661"/>
    <w:rsid w:val="00FC3A39"/>
    <w:rsid w:val="00FC3AEC"/>
    <w:rsid w:val="00FC3EB6"/>
    <w:rsid w:val="00FC3FBC"/>
    <w:rsid w:val="00FC4A36"/>
    <w:rsid w:val="00FC4AFD"/>
    <w:rsid w:val="00FC4BBC"/>
    <w:rsid w:val="00FC4C0C"/>
    <w:rsid w:val="00FC512C"/>
    <w:rsid w:val="00FC5197"/>
    <w:rsid w:val="00FC5321"/>
    <w:rsid w:val="00FC5585"/>
    <w:rsid w:val="00FC5633"/>
    <w:rsid w:val="00FC5A77"/>
    <w:rsid w:val="00FC5D16"/>
    <w:rsid w:val="00FC603E"/>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4BC"/>
    <w:rsid w:val="00FD0983"/>
    <w:rsid w:val="00FD0C03"/>
    <w:rsid w:val="00FD0E27"/>
    <w:rsid w:val="00FD0E2F"/>
    <w:rsid w:val="00FD0EF6"/>
    <w:rsid w:val="00FD1024"/>
    <w:rsid w:val="00FD1104"/>
    <w:rsid w:val="00FD11E3"/>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59C"/>
    <w:rsid w:val="00FD3958"/>
    <w:rsid w:val="00FD39F1"/>
    <w:rsid w:val="00FD435A"/>
    <w:rsid w:val="00FD45B8"/>
    <w:rsid w:val="00FD4643"/>
    <w:rsid w:val="00FD47B7"/>
    <w:rsid w:val="00FD4E0F"/>
    <w:rsid w:val="00FD4FA0"/>
    <w:rsid w:val="00FD4FDD"/>
    <w:rsid w:val="00FD5006"/>
    <w:rsid w:val="00FD51EA"/>
    <w:rsid w:val="00FD5672"/>
    <w:rsid w:val="00FD56D4"/>
    <w:rsid w:val="00FD58AE"/>
    <w:rsid w:val="00FD595D"/>
    <w:rsid w:val="00FD5982"/>
    <w:rsid w:val="00FD59F8"/>
    <w:rsid w:val="00FD5A29"/>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270"/>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72F"/>
    <w:rsid w:val="00FE2842"/>
    <w:rsid w:val="00FE2F7A"/>
    <w:rsid w:val="00FE30B6"/>
    <w:rsid w:val="00FE3109"/>
    <w:rsid w:val="00FE35FD"/>
    <w:rsid w:val="00FE3CFB"/>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0E0"/>
    <w:rsid w:val="00FE6230"/>
    <w:rsid w:val="00FE6468"/>
    <w:rsid w:val="00FE64A3"/>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2B7"/>
    <w:rsid w:val="00FF13B9"/>
    <w:rsid w:val="00FF1660"/>
    <w:rsid w:val="00FF1842"/>
    <w:rsid w:val="00FF196B"/>
    <w:rsid w:val="00FF1C8A"/>
    <w:rsid w:val="00FF21D2"/>
    <w:rsid w:val="00FF2408"/>
    <w:rsid w:val="00FF25E2"/>
    <w:rsid w:val="00FF2B84"/>
    <w:rsid w:val="00FF2C84"/>
    <w:rsid w:val="00FF313B"/>
    <w:rsid w:val="00FF31A1"/>
    <w:rsid w:val="00FF3205"/>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130"/>
    <w:rsid w:val="00FF7636"/>
    <w:rsid w:val="00FF765F"/>
    <w:rsid w:val="00FF7989"/>
    <w:rsid w:val="00FF7D03"/>
    <w:rsid w:val="0100273C"/>
    <w:rsid w:val="010B54AA"/>
    <w:rsid w:val="01162716"/>
    <w:rsid w:val="01232D83"/>
    <w:rsid w:val="016B181F"/>
    <w:rsid w:val="018F5F73"/>
    <w:rsid w:val="01B55F61"/>
    <w:rsid w:val="01BF0D3D"/>
    <w:rsid w:val="01BF10CA"/>
    <w:rsid w:val="01EE558E"/>
    <w:rsid w:val="021B5AD6"/>
    <w:rsid w:val="021E3BE7"/>
    <w:rsid w:val="02327537"/>
    <w:rsid w:val="02474F2B"/>
    <w:rsid w:val="02515F16"/>
    <w:rsid w:val="028E0157"/>
    <w:rsid w:val="02A53CD7"/>
    <w:rsid w:val="02A85645"/>
    <w:rsid w:val="02BC1499"/>
    <w:rsid w:val="02EE4346"/>
    <w:rsid w:val="02FC4CF0"/>
    <w:rsid w:val="0317096D"/>
    <w:rsid w:val="03177585"/>
    <w:rsid w:val="032B008D"/>
    <w:rsid w:val="034C72DC"/>
    <w:rsid w:val="03A50B21"/>
    <w:rsid w:val="03B87047"/>
    <w:rsid w:val="03B93F91"/>
    <w:rsid w:val="03BA7841"/>
    <w:rsid w:val="03CD04F8"/>
    <w:rsid w:val="03D12930"/>
    <w:rsid w:val="03D52EED"/>
    <w:rsid w:val="03F632C3"/>
    <w:rsid w:val="041E4CC9"/>
    <w:rsid w:val="04365D17"/>
    <w:rsid w:val="04587DB3"/>
    <w:rsid w:val="045C2B63"/>
    <w:rsid w:val="0477075E"/>
    <w:rsid w:val="04781910"/>
    <w:rsid w:val="047910E8"/>
    <w:rsid w:val="04B13120"/>
    <w:rsid w:val="04C814DC"/>
    <w:rsid w:val="04D2586C"/>
    <w:rsid w:val="050C3338"/>
    <w:rsid w:val="051955BB"/>
    <w:rsid w:val="051A0928"/>
    <w:rsid w:val="054C6624"/>
    <w:rsid w:val="054D4E9E"/>
    <w:rsid w:val="05523A48"/>
    <w:rsid w:val="055B3F15"/>
    <w:rsid w:val="05600934"/>
    <w:rsid w:val="058B1BCA"/>
    <w:rsid w:val="058F7071"/>
    <w:rsid w:val="05940207"/>
    <w:rsid w:val="05B55A81"/>
    <w:rsid w:val="05E4227E"/>
    <w:rsid w:val="06124C17"/>
    <w:rsid w:val="063E5C4F"/>
    <w:rsid w:val="065639F1"/>
    <w:rsid w:val="065B314A"/>
    <w:rsid w:val="06877E25"/>
    <w:rsid w:val="069023F8"/>
    <w:rsid w:val="06A500E2"/>
    <w:rsid w:val="06A64A51"/>
    <w:rsid w:val="06B52F3A"/>
    <w:rsid w:val="06BD2902"/>
    <w:rsid w:val="06C0064C"/>
    <w:rsid w:val="06C778AA"/>
    <w:rsid w:val="06D74AAE"/>
    <w:rsid w:val="06D978D3"/>
    <w:rsid w:val="06DD380A"/>
    <w:rsid w:val="06ED40C9"/>
    <w:rsid w:val="07125DF7"/>
    <w:rsid w:val="0716702D"/>
    <w:rsid w:val="07377CFD"/>
    <w:rsid w:val="07401A44"/>
    <w:rsid w:val="074269AD"/>
    <w:rsid w:val="074B6A60"/>
    <w:rsid w:val="07687539"/>
    <w:rsid w:val="076B4BB5"/>
    <w:rsid w:val="07775773"/>
    <w:rsid w:val="078C767B"/>
    <w:rsid w:val="079307C4"/>
    <w:rsid w:val="07BB6749"/>
    <w:rsid w:val="07D00FF5"/>
    <w:rsid w:val="07D07A47"/>
    <w:rsid w:val="07DF0C67"/>
    <w:rsid w:val="07E06F3B"/>
    <w:rsid w:val="07F35B23"/>
    <w:rsid w:val="07FE5958"/>
    <w:rsid w:val="083C7F90"/>
    <w:rsid w:val="086114E4"/>
    <w:rsid w:val="08900F21"/>
    <w:rsid w:val="0891049A"/>
    <w:rsid w:val="08A52FEB"/>
    <w:rsid w:val="08C55715"/>
    <w:rsid w:val="08E26209"/>
    <w:rsid w:val="08FD62BF"/>
    <w:rsid w:val="09006DAF"/>
    <w:rsid w:val="09071F21"/>
    <w:rsid w:val="090822D9"/>
    <w:rsid w:val="090B04F6"/>
    <w:rsid w:val="09133252"/>
    <w:rsid w:val="09142ED4"/>
    <w:rsid w:val="093922F9"/>
    <w:rsid w:val="094E0CF9"/>
    <w:rsid w:val="095B66A1"/>
    <w:rsid w:val="098B4F17"/>
    <w:rsid w:val="098E4C15"/>
    <w:rsid w:val="09AA759E"/>
    <w:rsid w:val="09BE086F"/>
    <w:rsid w:val="09BF3617"/>
    <w:rsid w:val="09D16AB6"/>
    <w:rsid w:val="09E405D4"/>
    <w:rsid w:val="09F1372D"/>
    <w:rsid w:val="0A326120"/>
    <w:rsid w:val="0A414454"/>
    <w:rsid w:val="0A4A1917"/>
    <w:rsid w:val="0A5E539C"/>
    <w:rsid w:val="0A5F33F8"/>
    <w:rsid w:val="0A8731EE"/>
    <w:rsid w:val="0AA731D8"/>
    <w:rsid w:val="0AB2035E"/>
    <w:rsid w:val="0ABF76B3"/>
    <w:rsid w:val="0B070054"/>
    <w:rsid w:val="0B2656C6"/>
    <w:rsid w:val="0B3F2DD5"/>
    <w:rsid w:val="0B4251E7"/>
    <w:rsid w:val="0B434D09"/>
    <w:rsid w:val="0B4E4677"/>
    <w:rsid w:val="0B6250D4"/>
    <w:rsid w:val="0B660C1A"/>
    <w:rsid w:val="0B692F06"/>
    <w:rsid w:val="0B810917"/>
    <w:rsid w:val="0BA5536F"/>
    <w:rsid w:val="0BBC4DDF"/>
    <w:rsid w:val="0BD036DD"/>
    <w:rsid w:val="0C4A7C4F"/>
    <w:rsid w:val="0C646C53"/>
    <w:rsid w:val="0C913047"/>
    <w:rsid w:val="0CD345E8"/>
    <w:rsid w:val="0CDA5E06"/>
    <w:rsid w:val="0D214BBF"/>
    <w:rsid w:val="0D48627A"/>
    <w:rsid w:val="0D5568B7"/>
    <w:rsid w:val="0D7A5327"/>
    <w:rsid w:val="0D9360B3"/>
    <w:rsid w:val="0D984B5C"/>
    <w:rsid w:val="0DAD29D2"/>
    <w:rsid w:val="0DAD5927"/>
    <w:rsid w:val="0DBC1DB5"/>
    <w:rsid w:val="0E6B4DE7"/>
    <w:rsid w:val="0E7355D7"/>
    <w:rsid w:val="0EBD4D25"/>
    <w:rsid w:val="0ECD6985"/>
    <w:rsid w:val="0F1F4C7E"/>
    <w:rsid w:val="0F2F51CB"/>
    <w:rsid w:val="0F3E37E5"/>
    <w:rsid w:val="0F52059E"/>
    <w:rsid w:val="0F6C2FE5"/>
    <w:rsid w:val="0F856BC1"/>
    <w:rsid w:val="0FAC4492"/>
    <w:rsid w:val="0FD85F80"/>
    <w:rsid w:val="0FE82C95"/>
    <w:rsid w:val="100C3D20"/>
    <w:rsid w:val="10115A72"/>
    <w:rsid w:val="101E5B55"/>
    <w:rsid w:val="10247667"/>
    <w:rsid w:val="107C214D"/>
    <w:rsid w:val="107F7099"/>
    <w:rsid w:val="108D1C08"/>
    <w:rsid w:val="109054A4"/>
    <w:rsid w:val="10AC18AA"/>
    <w:rsid w:val="10AC5067"/>
    <w:rsid w:val="10BB235A"/>
    <w:rsid w:val="10C46E13"/>
    <w:rsid w:val="10CB6FD6"/>
    <w:rsid w:val="10D37BA0"/>
    <w:rsid w:val="10DF2AE7"/>
    <w:rsid w:val="10FA0093"/>
    <w:rsid w:val="110D6182"/>
    <w:rsid w:val="111A7805"/>
    <w:rsid w:val="11333331"/>
    <w:rsid w:val="11366426"/>
    <w:rsid w:val="11473838"/>
    <w:rsid w:val="114E6EFA"/>
    <w:rsid w:val="11797BD4"/>
    <w:rsid w:val="11981480"/>
    <w:rsid w:val="119E3066"/>
    <w:rsid w:val="11AE2233"/>
    <w:rsid w:val="11B31A27"/>
    <w:rsid w:val="11D2584B"/>
    <w:rsid w:val="11F939B5"/>
    <w:rsid w:val="11F9423D"/>
    <w:rsid w:val="12046F1B"/>
    <w:rsid w:val="122306AE"/>
    <w:rsid w:val="1225002B"/>
    <w:rsid w:val="12274C4B"/>
    <w:rsid w:val="12310265"/>
    <w:rsid w:val="12382AC3"/>
    <w:rsid w:val="12585FFB"/>
    <w:rsid w:val="127631A0"/>
    <w:rsid w:val="12952F91"/>
    <w:rsid w:val="129C2A7E"/>
    <w:rsid w:val="12C72CB8"/>
    <w:rsid w:val="12E47BAF"/>
    <w:rsid w:val="12F064D3"/>
    <w:rsid w:val="12F83909"/>
    <w:rsid w:val="13176363"/>
    <w:rsid w:val="13236657"/>
    <w:rsid w:val="133670B9"/>
    <w:rsid w:val="134828CB"/>
    <w:rsid w:val="1359087F"/>
    <w:rsid w:val="135B50D6"/>
    <w:rsid w:val="136B5D2C"/>
    <w:rsid w:val="136E0124"/>
    <w:rsid w:val="1387610E"/>
    <w:rsid w:val="13965362"/>
    <w:rsid w:val="13A74800"/>
    <w:rsid w:val="13C9003D"/>
    <w:rsid w:val="13F21AA7"/>
    <w:rsid w:val="140E22E1"/>
    <w:rsid w:val="14317BE8"/>
    <w:rsid w:val="1462605D"/>
    <w:rsid w:val="14750780"/>
    <w:rsid w:val="147C76AA"/>
    <w:rsid w:val="147D01F8"/>
    <w:rsid w:val="148E47CA"/>
    <w:rsid w:val="14901CBF"/>
    <w:rsid w:val="14951E1C"/>
    <w:rsid w:val="14BA35FC"/>
    <w:rsid w:val="14C3414E"/>
    <w:rsid w:val="14C9108C"/>
    <w:rsid w:val="14CB7D82"/>
    <w:rsid w:val="14E341E3"/>
    <w:rsid w:val="151931F8"/>
    <w:rsid w:val="153471D9"/>
    <w:rsid w:val="156D6807"/>
    <w:rsid w:val="158450D9"/>
    <w:rsid w:val="15860FF0"/>
    <w:rsid w:val="15BA6488"/>
    <w:rsid w:val="15C37841"/>
    <w:rsid w:val="15D95574"/>
    <w:rsid w:val="15DC4E6E"/>
    <w:rsid w:val="15E56A46"/>
    <w:rsid w:val="15F30A0A"/>
    <w:rsid w:val="160D747A"/>
    <w:rsid w:val="161847B2"/>
    <w:rsid w:val="162E47AA"/>
    <w:rsid w:val="168A12A1"/>
    <w:rsid w:val="169F251C"/>
    <w:rsid w:val="16A01FD9"/>
    <w:rsid w:val="16CA548E"/>
    <w:rsid w:val="16D110AF"/>
    <w:rsid w:val="16F02338"/>
    <w:rsid w:val="16F95366"/>
    <w:rsid w:val="171254D5"/>
    <w:rsid w:val="1718035B"/>
    <w:rsid w:val="174C4D5D"/>
    <w:rsid w:val="17622B95"/>
    <w:rsid w:val="176E167C"/>
    <w:rsid w:val="178F35CD"/>
    <w:rsid w:val="17AD210B"/>
    <w:rsid w:val="17B249D2"/>
    <w:rsid w:val="17DD28B9"/>
    <w:rsid w:val="17F93E0B"/>
    <w:rsid w:val="180730F4"/>
    <w:rsid w:val="18126E24"/>
    <w:rsid w:val="18433093"/>
    <w:rsid w:val="18637BAF"/>
    <w:rsid w:val="186A78E3"/>
    <w:rsid w:val="186A7AB3"/>
    <w:rsid w:val="187E143F"/>
    <w:rsid w:val="189222FC"/>
    <w:rsid w:val="18A63B95"/>
    <w:rsid w:val="18AE2D7F"/>
    <w:rsid w:val="18C666D8"/>
    <w:rsid w:val="18FD72C2"/>
    <w:rsid w:val="1904137A"/>
    <w:rsid w:val="190E1513"/>
    <w:rsid w:val="19311490"/>
    <w:rsid w:val="194F63F8"/>
    <w:rsid w:val="19607967"/>
    <w:rsid w:val="19617248"/>
    <w:rsid w:val="19686657"/>
    <w:rsid w:val="19912FAC"/>
    <w:rsid w:val="19A7067B"/>
    <w:rsid w:val="19B43684"/>
    <w:rsid w:val="19BC177D"/>
    <w:rsid w:val="19EF72AB"/>
    <w:rsid w:val="19F450A7"/>
    <w:rsid w:val="1A252DC6"/>
    <w:rsid w:val="1A344FBF"/>
    <w:rsid w:val="1A3A27F1"/>
    <w:rsid w:val="1A467DC9"/>
    <w:rsid w:val="1A67731A"/>
    <w:rsid w:val="1A9324E8"/>
    <w:rsid w:val="1A9D700E"/>
    <w:rsid w:val="1AD6090B"/>
    <w:rsid w:val="1ADF35DA"/>
    <w:rsid w:val="1AF03F8A"/>
    <w:rsid w:val="1AF4768A"/>
    <w:rsid w:val="1B397C27"/>
    <w:rsid w:val="1B3D534D"/>
    <w:rsid w:val="1B484648"/>
    <w:rsid w:val="1B4F4E5F"/>
    <w:rsid w:val="1B5920FE"/>
    <w:rsid w:val="1B681E47"/>
    <w:rsid w:val="1B6A099E"/>
    <w:rsid w:val="1B6E483B"/>
    <w:rsid w:val="1B8A246E"/>
    <w:rsid w:val="1B8B59BE"/>
    <w:rsid w:val="1B9F639A"/>
    <w:rsid w:val="1BA522FC"/>
    <w:rsid w:val="1BCF48F6"/>
    <w:rsid w:val="1BD001AC"/>
    <w:rsid w:val="1BFC0144"/>
    <w:rsid w:val="1C290DB3"/>
    <w:rsid w:val="1C327F3C"/>
    <w:rsid w:val="1C417283"/>
    <w:rsid w:val="1C455CA5"/>
    <w:rsid w:val="1C494CBC"/>
    <w:rsid w:val="1C60449E"/>
    <w:rsid w:val="1C8143CE"/>
    <w:rsid w:val="1C9A1DAB"/>
    <w:rsid w:val="1CCB0DF4"/>
    <w:rsid w:val="1CCD1FB0"/>
    <w:rsid w:val="1CF44EA9"/>
    <w:rsid w:val="1D136A11"/>
    <w:rsid w:val="1D2C69D2"/>
    <w:rsid w:val="1D442BFD"/>
    <w:rsid w:val="1D4D549E"/>
    <w:rsid w:val="1D917F0E"/>
    <w:rsid w:val="1DC55F37"/>
    <w:rsid w:val="1DC91661"/>
    <w:rsid w:val="1DDD2A91"/>
    <w:rsid w:val="1DF025A8"/>
    <w:rsid w:val="1E08772D"/>
    <w:rsid w:val="1E417F1C"/>
    <w:rsid w:val="1E465115"/>
    <w:rsid w:val="1E4F047E"/>
    <w:rsid w:val="1E794970"/>
    <w:rsid w:val="1E7B6944"/>
    <w:rsid w:val="1E8C3479"/>
    <w:rsid w:val="1E9E14F8"/>
    <w:rsid w:val="1ED839BA"/>
    <w:rsid w:val="1EF808B5"/>
    <w:rsid w:val="1F07471A"/>
    <w:rsid w:val="1F16497C"/>
    <w:rsid w:val="1F230F99"/>
    <w:rsid w:val="1F35404B"/>
    <w:rsid w:val="1F5E6475"/>
    <w:rsid w:val="1F8943F1"/>
    <w:rsid w:val="1F915D61"/>
    <w:rsid w:val="1FBD6CC1"/>
    <w:rsid w:val="200769E8"/>
    <w:rsid w:val="204B0A9F"/>
    <w:rsid w:val="20541141"/>
    <w:rsid w:val="20590962"/>
    <w:rsid w:val="20777092"/>
    <w:rsid w:val="20A4243A"/>
    <w:rsid w:val="20AB14D6"/>
    <w:rsid w:val="20B71E21"/>
    <w:rsid w:val="20BF0BF5"/>
    <w:rsid w:val="20C33EA3"/>
    <w:rsid w:val="20E52CCE"/>
    <w:rsid w:val="20ED1815"/>
    <w:rsid w:val="210445B0"/>
    <w:rsid w:val="2128215E"/>
    <w:rsid w:val="212E2AA6"/>
    <w:rsid w:val="21655280"/>
    <w:rsid w:val="21751C9A"/>
    <w:rsid w:val="21A1207A"/>
    <w:rsid w:val="21A207AB"/>
    <w:rsid w:val="21AB3041"/>
    <w:rsid w:val="21F90EB2"/>
    <w:rsid w:val="22337288"/>
    <w:rsid w:val="223A0C8B"/>
    <w:rsid w:val="22477546"/>
    <w:rsid w:val="227C5E0F"/>
    <w:rsid w:val="22903C4B"/>
    <w:rsid w:val="229323EE"/>
    <w:rsid w:val="22A77A93"/>
    <w:rsid w:val="22F65B0C"/>
    <w:rsid w:val="23361A7C"/>
    <w:rsid w:val="235D1DF5"/>
    <w:rsid w:val="238A5004"/>
    <w:rsid w:val="23971CD5"/>
    <w:rsid w:val="239E00B4"/>
    <w:rsid w:val="23C87232"/>
    <w:rsid w:val="23D65118"/>
    <w:rsid w:val="23DC10E6"/>
    <w:rsid w:val="23E9780D"/>
    <w:rsid w:val="2414783C"/>
    <w:rsid w:val="24354ACA"/>
    <w:rsid w:val="24457250"/>
    <w:rsid w:val="244A64E3"/>
    <w:rsid w:val="24533AD0"/>
    <w:rsid w:val="24664475"/>
    <w:rsid w:val="246A7073"/>
    <w:rsid w:val="248B0FCE"/>
    <w:rsid w:val="24B7208D"/>
    <w:rsid w:val="24E802E6"/>
    <w:rsid w:val="2513146E"/>
    <w:rsid w:val="251E74A4"/>
    <w:rsid w:val="252A28C9"/>
    <w:rsid w:val="252A37BF"/>
    <w:rsid w:val="25601038"/>
    <w:rsid w:val="2572247B"/>
    <w:rsid w:val="257669EF"/>
    <w:rsid w:val="25801E37"/>
    <w:rsid w:val="258E4708"/>
    <w:rsid w:val="259375E6"/>
    <w:rsid w:val="25BA07F8"/>
    <w:rsid w:val="25E542BF"/>
    <w:rsid w:val="25ED4ECB"/>
    <w:rsid w:val="25FD1BAC"/>
    <w:rsid w:val="261141CD"/>
    <w:rsid w:val="26127A19"/>
    <w:rsid w:val="261D507E"/>
    <w:rsid w:val="262534A2"/>
    <w:rsid w:val="262D71A0"/>
    <w:rsid w:val="263D0554"/>
    <w:rsid w:val="26860725"/>
    <w:rsid w:val="268D2E29"/>
    <w:rsid w:val="269E15BE"/>
    <w:rsid w:val="26C204C5"/>
    <w:rsid w:val="27124936"/>
    <w:rsid w:val="27150DDF"/>
    <w:rsid w:val="27190E8B"/>
    <w:rsid w:val="27394382"/>
    <w:rsid w:val="27632626"/>
    <w:rsid w:val="27707B5F"/>
    <w:rsid w:val="27843CE5"/>
    <w:rsid w:val="27B230F9"/>
    <w:rsid w:val="27B546EB"/>
    <w:rsid w:val="27B76DFC"/>
    <w:rsid w:val="27BA7E40"/>
    <w:rsid w:val="27CD06B5"/>
    <w:rsid w:val="27DA3EF1"/>
    <w:rsid w:val="27F721B1"/>
    <w:rsid w:val="280776E7"/>
    <w:rsid w:val="280E59B4"/>
    <w:rsid w:val="28190DB3"/>
    <w:rsid w:val="281E180F"/>
    <w:rsid w:val="281E2451"/>
    <w:rsid w:val="28392094"/>
    <w:rsid w:val="28694327"/>
    <w:rsid w:val="28696F91"/>
    <w:rsid w:val="2874600B"/>
    <w:rsid w:val="2884616A"/>
    <w:rsid w:val="289E27CE"/>
    <w:rsid w:val="28C74AE9"/>
    <w:rsid w:val="28D5562C"/>
    <w:rsid w:val="28DE77A3"/>
    <w:rsid w:val="28F96F7B"/>
    <w:rsid w:val="29022F5F"/>
    <w:rsid w:val="29084FDF"/>
    <w:rsid w:val="293918CD"/>
    <w:rsid w:val="294855EA"/>
    <w:rsid w:val="296615A6"/>
    <w:rsid w:val="29831751"/>
    <w:rsid w:val="29874D0A"/>
    <w:rsid w:val="298D1285"/>
    <w:rsid w:val="29AD2BC6"/>
    <w:rsid w:val="29CB251D"/>
    <w:rsid w:val="29D13D32"/>
    <w:rsid w:val="29F66909"/>
    <w:rsid w:val="29FB3875"/>
    <w:rsid w:val="29FB5A54"/>
    <w:rsid w:val="2A036C23"/>
    <w:rsid w:val="2A18765E"/>
    <w:rsid w:val="2A1968D3"/>
    <w:rsid w:val="2A3E110F"/>
    <w:rsid w:val="2A5C2DD3"/>
    <w:rsid w:val="2A6E0AB2"/>
    <w:rsid w:val="2A700259"/>
    <w:rsid w:val="2A706060"/>
    <w:rsid w:val="2AAA19A7"/>
    <w:rsid w:val="2AAC0B18"/>
    <w:rsid w:val="2AB368D9"/>
    <w:rsid w:val="2AD94892"/>
    <w:rsid w:val="2AEC38C6"/>
    <w:rsid w:val="2B124596"/>
    <w:rsid w:val="2B13746D"/>
    <w:rsid w:val="2B65626F"/>
    <w:rsid w:val="2B850E5C"/>
    <w:rsid w:val="2B885182"/>
    <w:rsid w:val="2B9145E7"/>
    <w:rsid w:val="2BA942C6"/>
    <w:rsid w:val="2BED7BCB"/>
    <w:rsid w:val="2C0D1AE6"/>
    <w:rsid w:val="2C1A10A9"/>
    <w:rsid w:val="2C21104C"/>
    <w:rsid w:val="2C365995"/>
    <w:rsid w:val="2C7E4B0D"/>
    <w:rsid w:val="2C980309"/>
    <w:rsid w:val="2CE23700"/>
    <w:rsid w:val="2CFE4E6B"/>
    <w:rsid w:val="2D0552C5"/>
    <w:rsid w:val="2D0B5941"/>
    <w:rsid w:val="2D186929"/>
    <w:rsid w:val="2D1A39C5"/>
    <w:rsid w:val="2D325371"/>
    <w:rsid w:val="2D51296E"/>
    <w:rsid w:val="2D577F53"/>
    <w:rsid w:val="2D65550C"/>
    <w:rsid w:val="2D6E760C"/>
    <w:rsid w:val="2D6F2149"/>
    <w:rsid w:val="2D760D3A"/>
    <w:rsid w:val="2D7932FC"/>
    <w:rsid w:val="2DA51817"/>
    <w:rsid w:val="2DDF578B"/>
    <w:rsid w:val="2DF53153"/>
    <w:rsid w:val="2E1619B9"/>
    <w:rsid w:val="2E4F7B30"/>
    <w:rsid w:val="2E56602F"/>
    <w:rsid w:val="2EE84247"/>
    <w:rsid w:val="2EFB2E2F"/>
    <w:rsid w:val="2F00634C"/>
    <w:rsid w:val="2F077FF7"/>
    <w:rsid w:val="2F092E78"/>
    <w:rsid w:val="2F237562"/>
    <w:rsid w:val="2F326878"/>
    <w:rsid w:val="2F536C2D"/>
    <w:rsid w:val="2F614970"/>
    <w:rsid w:val="2F652008"/>
    <w:rsid w:val="2FA9470F"/>
    <w:rsid w:val="2FAA3253"/>
    <w:rsid w:val="2FC24C5D"/>
    <w:rsid w:val="2FE22723"/>
    <w:rsid w:val="30001517"/>
    <w:rsid w:val="30234F64"/>
    <w:rsid w:val="30257873"/>
    <w:rsid w:val="303C4412"/>
    <w:rsid w:val="307F268E"/>
    <w:rsid w:val="308A2FFE"/>
    <w:rsid w:val="30A05582"/>
    <w:rsid w:val="30CF4405"/>
    <w:rsid w:val="30D361BA"/>
    <w:rsid w:val="3117093F"/>
    <w:rsid w:val="315664BA"/>
    <w:rsid w:val="31577445"/>
    <w:rsid w:val="316C6B1C"/>
    <w:rsid w:val="3171025B"/>
    <w:rsid w:val="317222B3"/>
    <w:rsid w:val="31761C42"/>
    <w:rsid w:val="317D369A"/>
    <w:rsid w:val="31B42756"/>
    <w:rsid w:val="31BF0CC2"/>
    <w:rsid w:val="31CF4AC4"/>
    <w:rsid w:val="32195756"/>
    <w:rsid w:val="325D6949"/>
    <w:rsid w:val="328735A1"/>
    <w:rsid w:val="32874B20"/>
    <w:rsid w:val="329D2A57"/>
    <w:rsid w:val="32AB7737"/>
    <w:rsid w:val="32AE7AED"/>
    <w:rsid w:val="32B309C1"/>
    <w:rsid w:val="32EB653A"/>
    <w:rsid w:val="32EE7CA8"/>
    <w:rsid w:val="33166E05"/>
    <w:rsid w:val="333B6BD7"/>
    <w:rsid w:val="33630FBF"/>
    <w:rsid w:val="33676D02"/>
    <w:rsid w:val="337D5EBB"/>
    <w:rsid w:val="33A20765"/>
    <w:rsid w:val="33A6495D"/>
    <w:rsid w:val="33AE2289"/>
    <w:rsid w:val="33C667D4"/>
    <w:rsid w:val="33FE1F22"/>
    <w:rsid w:val="340B5A26"/>
    <w:rsid w:val="342A782B"/>
    <w:rsid w:val="343A0451"/>
    <w:rsid w:val="34485138"/>
    <w:rsid w:val="34573375"/>
    <w:rsid w:val="346A2D50"/>
    <w:rsid w:val="34956937"/>
    <w:rsid w:val="349D6271"/>
    <w:rsid w:val="34B03DC7"/>
    <w:rsid w:val="34BB1BDC"/>
    <w:rsid w:val="34BB3378"/>
    <w:rsid w:val="34DA4078"/>
    <w:rsid w:val="3510772A"/>
    <w:rsid w:val="35136103"/>
    <w:rsid w:val="35187F37"/>
    <w:rsid w:val="35542FA7"/>
    <w:rsid w:val="355C63F2"/>
    <w:rsid w:val="35650E19"/>
    <w:rsid w:val="357353A2"/>
    <w:rsid w:val="357B0097"/>
    <w:rsid w:val="35822E67"/>
    <w:rsid w:val="35867B9A"/>
    <w:rsid w:val="35952FC8"/>
    <w:rsid w:val="359B441A"/>
    <w:rsid w:val="35E55338"/>
    <w:rsid w:val="35FE0ED9"/>
    <w:rsid w:val="360525CC"/>
    <w:rsid w:val="36101F54"/>
    <w:rsid w:val="36204642"/>
    <w:rsid w:val="36442F68"/>
    <w:rsid w:val="3649782F"/>
    <w:rsid w:val="36532B5D"/>
    <w:rsid w:val="36567CBA"/>
    <w:rsid w:val="366F6C51"/>
    <w:rsid w:val="36726B58"/>
    <w:rsid w:val="36932AB8"/>
    <w:rsid w:val="36BD3FA3"/>
    <w:rsid w:val="36DD5714"/>
    <w:rsid w:val="36E70CE7"/>
    <w:rsid w:val="36F56AD7"/>
    <w:rsid w:val="36FF535B"/>
    <w:rsid w:val="370D27DA"/>
    <w:rsid w:val="37230795"/>
    <w:rsid w:val="37253A80"/>
    <w:rsid w:val="372C023A"/>
    <w:rsid w:val="37321E2C"/>
    <w:rsid w:val="37536A5C"/>
    <w:rsid w:val="37641FEC"/>
    <w:rsid w:val="37DA10A5"/>
    <w:rsid w:val="37DE715C"/>
    <w:rsid w:val="37F72198"/>
    <w:rsid w:val="37FD680A"/>
    <w:rsid w:val="37FF13AC"/>
    <w:rsid w:val="3829173C"/>
    <w:rsid w:val="382D2CED"/>
    <w:rsid w:val="3850763A"/>
    <w:rsid w:val="385E740B"/>
    <w:rsid w:val="38815759"/>
    <w:rsid w:val="38861A3D"/>
    <w:rsid w:val="38C21369"/>
    <w:rsid w:val="38C91720"/>
    <w:rsid w:val="38EA4541"/>
    <w:rsid w:val="39363829"/>
    <w:rsid w:val="394071CD"/>
    <w:rsid w:val="39466D9D"/>
    <w:rsid w:val="394D26D9"/>
    <w:rsid w:val="397D1CFE"/>
    <w:rsid w:val="398F037A"/>
    <w:rsid w:val="39A0289B"/>
    <w:rsid w:val="39AE3E9D"/>
    <w:rsid w:val="39B61550"/>
    <w:rsid w:val="39BC3878"/>
    <w:rsid w:val="39BE5605"/>
    <w:rsid w:val="39C378D7"/>
    <w:rsid w:val="39CF1363"/>
    <w:rsid w:val="3A037693"/>
    <w:rsid w:val="3A0D157C"/>
    <w:rsid w:val="3A0D22A8"/>
    <w:rsid w:val="3A220DC4"/>
    <w:rsid w:val="3A3A6737"/>
    <w:rsid w:val="3A445FB4"/>
    <w:rsid w:val="3AB22D0D"/>
    <w:rsid w:val="3AB81E83"/>
    <w:rsid w:val="3ABD02DA"/>
    <w:rsid w:val="3ABF6CA5"/>
    <w:rsid w:val="3AC04239"/>
    <w:rsid w:val="3AD55EFB"/>
    <w:rsid w:val="3ADC34C2"/>
    <w:rsid w:val="3AE82378"/>
    <w:rsid w:val="3AEB01AF"/>
    <w:rsid w:val="3AF02695"/>
    <w:rsid w:val="3AF8188E"/>
    <w:rsid w:val="3B2A402B"/>
    <w:rsid w:val="3B433558"/>
    <w:rsid w:val="3B485FFB"/>
    <w:rsid w:val="3B500DAE"/>
    <w:rsid w:val="3B713423"/>
    <w:rsid w:val="3B7775B0"/>
    <w:rsid w:val="3B7B09D9"/>
    <w:rsid w:val="3B8208B3"/>
    <w:rsid w:val="3B9A1E5F"/>
    <w:rsid w:val="3BCB6780"/>
    <w:rsid w:val="3BDD2B14"/>
    <w:rsid w:val="3BFF765A"/>
    <w:rsid w:val="3C0567E3"/>
    <w:rsid w:val="3C124BFC"/>
    <w:rsid w:val="3C7A5657"/>
    <w:rsid w:val="3CA02D36"/>
    <w:rsid w:val="3CAD29AD"/>
    <w:rsid w:val="3CBC6642"/>
    <w:rsid w:val="3CC87621"/>
    <w:rsid w:val="3CCC38EC"/>
    <w:rsid w:val="3CCD2364"/>
    <w:rsid w:val="3CE32D91"/>
    <w:rsid w:val="3CFA3621"/>
    <w:rsid w:val="3D085921"/>
    <w:rsid w:val="3D2713A1"/>
    <w:rsid w:val="3D347255"/>
    <w:rsid w:val="3D4B2276"/>
    <w:rsid w:val="3D570E9B"/>
    <w:rsid w:val="3D5748B1"/>
    <w:rsid w:val="3D64323D"/>
    <w:rsid w:val="3D7A2D86"/>
    <w:rsid w:val="3DAF5BF5"/>
    <w:rsid w:val="3DB9536D"/>
    <w:rsid w:val="3DB97D43"/>
    <w:rsid w:val="3DC63522"/>
    <w:rsid w:val="3DD1503D"/>
    <w:rsid w:val="3DDB2927"/>
    <w:rsid w:val="3DE10D9D"/>
    <w:rsid w:val="3E0078F3"/>
    <w:rsid w:val="3E5648C2"/>
    <w:rsid w:val="3E642A2E"/>
    <w:rsid w:val="3E764C85"/>
    <w:rsid w:val="3EA0738F"/>
    <w:rsid w:val="3EA15271"/>
    <w:rsid w:val="3EC10546"/>
    <w:rsid w:val="3ECB3919"/>
    <w:rsid w:val="3ECC214C"/>
    <w:rsid w:val="3EDA76E9"/>
    <w:rsid w:val="3EE63274"/>
    <w:rsid w:val="3F012D9A"/>
    <w:rsid w:val="3F045FCD"/>
    <w:rsid w:val="3F131F9C"/>
    <w:rsid w:val="3F1B2EF7"/>
    <w:rsid w:val="3F1F72A0"/>
    <w:rsid w:val="3F4004E3"/>
    <w:rsid w:val="3F950BAC"/>
    <w:rsid w:val="3F9A3809"/>
    <w:rsid w:val="3FB13E4E"/>
    <w:rsid w:val="3FC22942"/>
    <w:rsid w:val="3FEF62A2"/>
    <w:rsid w:val="3FF5F3AE"/>
    <w:rsid w:val="3FFE1004"/>
    <w:rsid w:val="40090BE0"/>
    <w:rsid w:val="40103189"/>
    <w:rsid w:val="40212016"/>
    <w:rsid w:val="407D192E"/>
    <w:rsid w:val="40A12995"/>
    <w:rsid w:val="40B969E5"/>
    <w:rsid w:val="40BB0130"/>
    <w:rsid w:val="40C7798B"/>
    <w:rsid w:val="40FC318F"/>
    <w:rsid w:val="410331EE"/>
    <w:rsid w:val="41035661"/>
    <w:rsid w:val="41173BCA"/>
    <w:rsid w:val="41202BCB"/>
    <w:rsid w:val="413A412B"/>
    <w:rsid w:val="4143031C"/>
    <w:rsid w:val="41647CC0"/>
    <w:rsid w:val="41BD324E"/>
    <w:rsid w:val="41C258DE"/>
    <w:rsid w:val="41C671E7"/>
    <w:rsid w:val="41D26F9A"/>
    <w:rsid w:val="41EC645B"/>
    <w:rsid w:val="41ED08D6"/>
    <w:rsid w:val="42157BC4"/>
    <w:rsid w:val="422C4202"/>
    <w:rsid w:val="42372571"/>
    <w:rsid w:val="42823EF8"/>
    <w:rsid w:val="42BB0DA0"/>
    <w:rsid w:val="42BD12B2"/>
    <w:rsid w:val="42CD0A98"/>
    <w:rsid w:val="42F9671D"/>
    <w:rsid w:val="43042F1D"/>
    <w:rsid w:val="430D0874"/>
    <w:rsid w:val="4312702E"/>
    <w:rsid w:val="431A0C09"/>
    <w:rsid w:val="432F335D"/>
    <w:rsid w:val="43397195"/>
    <w:rsid w:val="43544867"/>
    <w:rsid w:val="436D6078"/>
    <w:rsid w:val="43893298"/>
    <w:rsid w:val="43B3677B"/>
    <w:rsid w:val="43CD78D5"/>
    <w:rsid w:val="43D171DB"/>
    <w:rsid w:val="44167D8F"/>
    <w:rsid w:val="44335DD5"/>
    <w:rsid w:val="44704568"/>
    <w:rsid w:val="449A3191"/>
    <w:rsid w:val="44AE21E0"/>
    <w:rsid w:val="44BE4420"/>
    <w:rsid w:val="44C6622A"/>
    <w:rsid w:val="44D04502"/>
    <w:rsid w:val="44D94F2D"/>
    <w:rsid w:val="44EB5AFB"/>
    <w:rsid w:val="450778EB"/>
    <w:rsid w:val="450C2CCF"/>
    <w:rsid w:val="451537E3"/>
    <w:rsid w:val="451C19EF"/>
    <w:rsid w:val="45421F46"/>
    <w:rsid w:val="45525F0F"/>
    <w:rsid w:val="455D01C8"/>
    <w:rsid w:val="456A40A7"/>
    <w:rsid w:val="457909EF"/>
    <w:rsid w:val="462F0EEF"/>
    <w:rsid w:val="464A30BF"/>
    <w:rsid w:val="466957F7"/>
    <w:rsid w:val="467B507E"/>
    <w:rsid w:val="4683043F"/>
    <w:rsid w:val="4699541F"/>
    <w:rsid w:val="469A7212"/>
    <w:rsid w:val="46A87FFC"/>
    <w:rsid w:val="46D822E6"/>
    <w:rsid w:val="46E60D5E"/>
    <w:rsid w:val="47136AA5"/>
    <w:rsid w:val="472E34BF"/>
    <w:rsid w:val="47324835"/>
    <w:rsid w:val="47341CEF"/>
    <w:rsid w:val="473A0477"/>
    <w:rsid w:val="47936C85"/>
    <w:rsid w:val="479F3431"/>
    <w:rsid w:val="47AE2719"/>
    <w:rsid w:val="47EE344F"/>
    <w:rsid w:val="48011434"/>
    <w:rsid w:val="480E2158"/>
    <w:rsid w:val="481E690F"/>
    <w:rsid w:val="482E5BD7"/>
    <w:rsid w:val="48391B5E"/>
    <w:rsid w:val="483D47C4"/>
    <w:rsid w:val="4844353A"/>
    <w:rsid w:val="48583B27"/>
    <w:rsid w:val="486F0D3C"/>
    <w:rsid w:val="489005AD"/>
    <w:rsid w:val="489852A6"/>
    <w:rsid w:val="48BA274B"/>
    <w:rsid w:val="48F22E74"/>
    <w:rsid w:val="490D20E5"/>
    <w:rsid w:val="49161CB1"/>
    <w:rsid w:val="495B5F49"/>
    <w:rsid w:val="495C275A"/>
    <w:rsid w:val="498B7F5F"/>
    <w:rsid w:val="49991FB9"/>
    <w:rsid w:val="4A1F5B76"/>
    <w:rsid w:val="4A31793A"/>
    <w:rsid w:val="4A660C3A"/>
    <w:rsid w:val="4A724F27"/>
    <w:rsid w:val="4A7F2AE0"/>
    <w:rsid w:val="4A9044EC"/>
    <w:rsid w:val="4AAC6631"/>
    <w:rsid w:val="4ABE67D8"/>
    <w:rsid w:val="4AE46827"/>
    <w:rsid w:val="4AF8014D"/>
    <w:rsid w:val="4B0427E1"/>
    <w:rsid w:val="4B105FF3"/>
    <w:rsid w:val="4B107E32"/>
    <w:rsid w:val="4B1D108E"/>
    <w:rsid w:val="4B374C80"/>
    <w:rsid w:val="4B37613C"/>
    <w:rsid w:val="4B3814C1"/>
    <w:rsid w:val="4B4D5277"/>
    <w:rsid w:val="4B4E4A5C"/>
    <w:rsid w:val="4B5C0740"/>
    <w:rsid w:val="4B65373A"/>
    <w:rsid w:val="4B67753F"/>
    <w:rsid w:val="4BC83A8A"/>
    <w:rsid w:val="4BCF27BF"/>
    <w:rsid w:val="4BD470EA"/>
    <w:rsid w:val="4BF159A1"/>
    <w:rsid w:val="4BF751C0"/>
    <w:rsid w:val="4C2C51BE"/>
    <w:rsid w:val="4C3264A2"/>
    <w:rsid w:val="4C372F85"/>
    <w:rsid w:val="4C3C233D"/>
    <w:rsid w:val="4C3D6D5B"/>
    <w:rsid w:val="4C5151E4"/>
    <w:rsid w:val="4C5549CE"/>
    <w:rsid w:val="4C5B2C89"/>
    <w:rsid w:val="4C620E4D"/>
    <w:rsid w:val="4C6B4C20"/>
    <w:rsid w:val="4C87525D"/>
    <w:rsid w:val="4CA92C04"/>
    <w:rsid w:val="4CFA7DDC"/>
    <w:rsid w:val="4CFD48A5"/>
    <w:rsid w:val="4CFE6572"/>
    <w:rsid w:val="4D00163A"/>
    <w:rsid w:val="4D1511EA"/>
    <w:rsid w:val="4D270AE3"/>
    <w:rsid w:val="4D2772F9"/>
    <w:rsid w:val="4D2F0463"/>
    <w:rsid w:val="4D353B78"/>
    <w:rsid w:val="4D4A029D"/>
    <w:rsid w:val="4D684709"/>
    <w:rsid w:val="4D7576D7"/>
    <w:rsid w:val="4D7742CB"/>
    <w:rsid w:val="4D843BF1"/>
    <w:rsid w:val="4D9611F6"/>
    <w:rsid w:val="4DC40183"/>
    <w:rsid w:val="4DC66665"/>
    <w:rsid w:val="4DCC095E"/>
    <w:rsid w:val="4DDB34C0"/>
    <w:rsid w:val="4DE72EFE"/>
    <w:rsid w:val="4E070B9A"/>
    <w:rsid w:val="4E0A6E98"/>
    <w:rsid w:val="4E24511A"/>
    <w:rsid w:val="4E25264B"/>
    <w:rsid w:val="4E3317CB"/>
    <w:rsid w:val="4E361D07"/>
    <w:rsid w:val="4E475D9F"/>
    <w:rsid w:val="4E4D1642"/>
    <w:rsid w:val="4E8273AC"/>
    <w:rsid w:val="4E8F1C9B"/>
    <w:rsid w:val="4EA37F39"/>
    <w:rsid w:val="4EAD4525"/>
    <w:rsid w:val="4EC020F5"/>
    <w:rsid w:val="4ED05503"/>
    <w:rsid w:val="4EFE4074"/>
    <w:rsid w:val="4F0777CF"/>
    <w:rsid w:val="4F0F5BE3"/>
    <w:rsid w:val="4F1558D6"/>
    <w:rsid w:val="4F372CE2"/>
    <w:rsid w:val="4F3B454B"/>
    <w:rsid w:val="4F3E4D26"/>
    <w:rsid w:val="4F64249D"/>
    <w:rsid w:val="4F79728F"/>
    <w:rsid w:val="4FA20174"/>
    <w:rsid w:val="4FCF5B9F"/>
    <w:rsid w:val="50017CB0"/>
    <w:rsid w:val="500E5A2C"/>
    <w:rsid w:val="50457338"/>
    <w:rsid w:val="506002ED"/>
    <w:rsid w:val="508F42D0"/>
    <w:rsid w:val="50971DE7"/>
    <w:rsid w:val="50B37C19"/>
    <w:rsid w:val="50CD7171"/>
    <w:rsid w:val="515704B8"/>
    <w:rsid w:val="51643488"/>
    <w:rsid w:val="516F3E1A"/>
    <w:rsid w:val="518405B1"/>
    <w:rsid w:val="518C08EC"/>
    <w:rsid w:val="51940FD0"/>
    <w:rsid w:val="51D47E93"/>
    <w:rsid w:val="52374C99"/>
    <w:rsid w:val="52394FD4"/>
    <w:rsid w:val="52422029"/>
    <w:rsid w:val="52600E83"/>
    <w:rsid w:val="52951624"/>
    <w:rsid w:val="52A308CB"/>
    <w:rsid w:val="52B01BD9"/>
    <w:rsid w:val="52B90C56"/>
    <w:rsid w:val="52E1124C"/>
    <w:rsid w:val="52EE7519"/>
    <w:rsid w:val="53252A16"/>
    <w:rsid w:val="53502D38"/>
    <w:rsid w:val="535C0018"/>
    <w:rsid w:val="535D17AA"/>
    <w:rsid w:val="536D218F"/>
    <w:rsid w:val="53905817"/>
    <w:rsid w:val="53917B04"/>
    <w:rsid w:val="5392224D"/>
    <w:rsid w:val="53A64B5C"/>
    <w:rsid w:val="53A8677C"/>
    <w:rsid w:val="53B9673D"/>
    <w:rsid w:val="53BF0E8E"/>
    <w:rsid w:val="53ED440A"/>
    <w:rsid w:val="541A7FFA"/>
    <w:rsid w:val="54244B2A"/>
    <w:rsid w:val="54513EFF"/>
    <w:rsid w:val="545C5A07"/>
    <w:rsid w:val="54734184"/>
    <w:rsid w:val="54864AE0"/>
    <w:rsid w:val="54A06E0C"/>
    <w:rsid w:val="54AE5306"/>
    <w:rsid w:val="54B84FBC"/>
    <w:rsid w:val="54CB2E9B"/>
    <w:rsid w:val="54E266C3"/>
    <w:rsid w:val="54E3133E"/>
    <w:rsid w:val="55040901"/>
    <w:rsid w:val="553D2214"/>
    <w:rsid w:val="555C66D7"/>
    <w:rsid w:val="5577688A"/>
    <w:rsid w:val="558D74DD"/>
    <w:rsid w:val="55901280"/>
    <w:rsid w:val="55C54E2A"/>
    <w:rsid w:val="55CE4ABE"/>
    <w:rsid w:val="55DC5ED2"/>
    <w:rsid w:val="55E14554"/>
    <w:rsid w:val="55FF7B03"/>
    <w:rsid w:val="56041458"/>
    <w:rsid w:val="563B035A"/>
    <w:rsid w:val="56463CC3"/>
    <w:rsid w:val="565258B8"/>
    <w:rsid w:val="565622E8"/>
    <w:rsid w:val="565A51C2"/>
    <w:rsid w:val="565B6E9A"/>
    <w:rsid w:val="56792F1F"/>
    <w:rsid w:val="567A182B"/>
    <w:rsid w:val="568F59D3"/>
    <w:rsid w:val="56C061E8"/>
    <w:rsid w:val="56DF05DE"/>
    <w:rsid w:val="56E81E82"/>
    <w:rsid w:val="57067B5E"/>
    <w:rsid w:val="573C3FBF"/>
    <w:rsid w:val="57803F13"/>
    <w:rsid w:val="57895B85"/>
    <w:rsid w:val="578C25F0"/>
    <w:rsid w:val="57945BAC"/>
    <w:rsid w:val="57AC4359"/>
    <w:rsid w:val="57B85BC7"/>
    <w:rsid w:val="57DA3627"/>
    <w:rsid w:val="57FC6189"/>
    <w:rsid w:val="58131454"/>
    <w:rsid w:val="581A6048"/>
    <w:rsid w:val="581F2BAC"/>
    <w:rsid w:val="5820597C"/>
    <w:rsid w:val="582B001B"/>
    <w:rsid w:val="582D2BEE"/>
    <w:rsid w:val="585E0AB8"/>
    <w:rsid w:val="586E1FC2"/>
    <w:rsid w:val="58801F05"/>
    <w:rsid w:val="58806780"/>
    <w:rsid w:val="588735D3"/>
    <w:rsid w:val="589D2A59"/>
    <w:rsid w:val="58AD6F00"/>
    <w:rsid w:val="58E51781"/>
    <w:rsid w:val="58E7356C"/>
    <w:rsid w:val="58F00A89"/>
    <w:rsid w:val="590A5839"/>
    <w:rsid w:val="592C775F"/>
    <w:rsid w:val="5940286C"/>
    <w:rsid w:val="59403DE3"/>
    <w:rsid w:val="596A7ECD"/>
    <w:rsid w:val="59770A85"/>
    <w:rsid w:val="59824286"/>
    <w:rsid w:val="59B53991"/>
    <w:rsid w:val="59CF24DA"/>
    <w:rsid w:val="59D73F19"/>
    <w:rsid w:val="59E135EB"/>
    <w:rsid w:val="59E52E6B"/>
    <w:rsid w:val="5A1E3398"/>
    <w:rsid w:val="5A3978FF"/>
    <w:rsid w:val="5A3D1075"/>
    <w:rsid w:val="5A456F2D"/>
    <w:rsid w:val="5A6E1556"/>
    <w:rsid w:val="5A7A3484"/>
    <w:rsid w:val="5A845FF3"/>
    <w:rsid w:val="5AA146B6"/>
    <w:rsid w:val="5AD75EB8"/>
    <w:rsid w:val="5AE763B8"/>
    <w:rsid w:val="5B174ED1"/>
    <w:rsid w:val="5B5F60F2"/>
    <w:rsid w:val="5B7B05DC"/>
    <w:rsid w:val="5B97125C"/>
    <w:rsid w:val="5BA81678"/>
    <w:rsid w:val="5BB37B7A"/>
    <w:rsid w:val="5BE476D0"/>
    <w:rsid w:val="5BF81745"/>
    <w:rsid w:val="5BFB162E"/>
    <w:rsid w:val="5C050349"/>
    <w:rsid w:val="5C41169F"/>
    <w:rsid w:val="5C4D1BB1"/>
    <w:rsid w:val="5C71067C"/>
    <w:rsid w:val="5C9B2ACC"/>
    <w:rsid w:val="5CA24CCB"/>
    <w:rsid w:val="5CAF123A"/>
    <w:rsid w:val="5CDF2F06"/>
    <w:rsid w:val="5CFB2306"/>
    <w:rsid w:val="5D123343"/>
    <w:rsid w:val="5D183B88"/>
    <w:rsid w:val="5D456C25"/>
    <w:rsid w:val="5D514C94"/>
    <w:rsid w:val="5D5D7324"/>
    <w:rsid w:val="5D79117C"/>
    <w:rsid w:val="5DA85912"/>
    <w:rsid w:val="5DAD3B8C"/>
    <w:rsid w:val="5DAE2504"/>
    <w:rsid w:val="5DB93BF1"/>
    <w:rsid w:val="5DED7B09"/>
    <w:rsid w:val="5E0D4BC7"/>
    <w:rsid w:val="5E1E6E4E"/>
    <w:rsid w:val="5E386111"/>
    <w:rsid w:val="5E3B5DCE"/>
    <w:rsid w:val="5E41201C"/>
    <w:rsid w:val="5E4C796D"/>
    <w:rsid w:val="5E5E424B"/>
    <w:rsid w:val="5EA81BE7"/>
    <w:rsid w:val="5EAB7730"/>
    <w:rsid w:val="5ED920BF"/>
    <w:rsid w:val="5F073306"/>
    <w:rsid w:val="5F311F1C"/>
    <w:rsid w:val="5F386618"/>
    <w:rsid w:val="5F5F73B9"/>
    <w:rsid w:val="5F8E4BC3"/>
    <w:rsid w:val="5FC07F03"/>
    <w:rsid w:val="5FC57275"/>
    <w:rsid w:val="5FEF4939"/>
    <w:rsid w:val="5FF23521"/>
    <w:rsid w:val="601F5B5C"/>
    <w:rsid w:val="606C0DE0"/>
    <w:rsid w:val="606E3A8C"/>
    <w:rsid w:val="6079024D"/>
    <w:rsid w:val="6088307C"/>
    <w:rsid w:val="60971D35"/>
    <w:rsid w:val="60D461C6"/>
    <w:rsid w:val="60E45134"/>
    <w:rsid w:val="60E877BD"/>
    <w:rsid w:val="60F67E3B"/>
    <w:rsid w:val="610517FD"/>
    <w:rsid w:val="61253F2C"/>
    <w:rsid w:val="61325D74"/>
    <w:rsid w:val="61404135"/>
    <w:rsid w:val="61782D0F"/>
    <w:rsid w:val="61836EE5"/>
    <w:rsid w:val="61867610"/>
    <w:rsid w:val="61D34C75"/>
    <w:rsid w:val="61DB055F"/>
    <w:rsid w:val="61F76160"/>
    <w:rsid w:val="61FD04CB"/>
    <w:rsid w:val="623C11DD"/>
    <w:rsid w:val="624939FD"/>
    <w:rsid w:val="624A430E"/>
    <w:rsid w:val="628511A5"/>
    <w:rsid w:val="62973EAB"/>
    <w:rsid w:val="62A84E66"/>
    <w:rsid w:val="62F64ECE"/>
    <w:rsid w:val="63017833"/>
    <w:rsid w:val="6332738D"/>
    <w:rsid w:val="6337268F"/>
    <w:rsid w:val="633F1FCE"/>
    <w:rsid w:val="63942F28"/>
    <w:rsid w:val="639D4F5B"/>
    <w:rsid w:val="63A12E0C"/>
    <w:rsid w:val="63D444D9"/>
    <w:rsid w:val="643F713D"/>
    <w:rsid w:val="644011EB"/>
    <w:rsid w:val="64465CA2"/>
    <w:rsid w:val="6467638B"/>
    <w:rsid w:val="64727745"/>
    <w:rsid w:val="64823171"/>
    <w:rsid w:val="648733B5"/>
    <w:rsid w:val="64A4408D"/>
    <w:rsid w:val="64A75204"/>
    <w:rsid w:val="64CB770A"/>
    <w:rsid w:val="64F06222"/>
    <w:rsid w:val="65046FC2"/>
    <w:rsid w:val="650E0E7A"/>
    <w:rsid w:val="65220167"/>
    <w:rsid w:val="653A1C45"/>
    <w:rsid w:val="653E5628"/>
    <w:rsid w:val="6544724A"/>
    <w:rsid w:val="655E0B63"/>
    <w:rsid w:val="65747E43"/>
    <w:rsid w:val="658263BA"/>
    <w:rsid w:val="65C40CD0"/>
    <w:rsid w:val="65D6056A"/>
    <w:rsid w:val="65DC67C5"/>
    <w:rsid w:val="65EF1130"/>
    <w:rsid w:val="65FB2223"/>
    <w:rsid w:val="66152FF8"/>
    <w:rsid w:val="66281D31"/>
    <w:rsid w:val="662B1491"/>
    <w:rsid w:val="662F6DF7"/>
    <w:rsid w:val="66342315"/>
    <w:rsid w:val="6665055F"/>
    <w:rsid w:val="668612AB"/>
    <w:rsid w:val="66950A49"/>
    <w:rsid w:val="66977F08"/>
    <w:rsid w:val="66A94DBB"/>
    <w:rsid w:val="66B10223"/>
    <w:rsid w:val="66E44899"/>
    <w:rsid w:val="66F46C61"/>
    <w:rsid w:val="66FF6173"/>
    <w:rsid w:val="671205A2"/>
    <w:rsid w:val="671C1428"/>
    <w:rsid w:val="671E1454"/>
    <w:rsid w:val="673B09E1"/>
    <w:rsid w:val="67440ABA"/>
    <w:rsid w:val="675C5FE4"/>
    <w:rsid w:val="67804580"/>
    <w:rsid w:val="67901CB4"/>
    <w:rsid w:val="67BD6961"/>
    <w:rsid w:val="67CC177B"/>
    <w:rsid w:val="67F02956"/>
    <w:rsid w:val="67F03E42"/>
    <w:rsid w:val="67FF411A"/>
    <w:rsid w:val="68117ABB"/>
    <w:rsid w:val="68127488"/>
    <w:rsid w:val="68322095"/>
    <w:rsid w:val="6838144E"/>
    <w:rsid w:val="683F1863"/>
    <w:rsid w:val="6867140F"/>
    <w:rsid w:val="686F2147"/>
    <w:rsid w:val="68736116"/>
    <w:rsid w:val="689655D9"/>
    <w:rsid w:val="68A85BD7"/>
    <w:rsid w:val="68AA7398"/>
    <w:rsid w:val="68B90B31"/>
    <w:rsid w:val="68BA691A"/>
    <w:rsid w:val="68FE1991"/>
    <w:rsid w:val="6910783B"/>
    <w:rsid w:val="69120B08"/>
    <w:rsid w:val="69204067"/>
    <w:rsid w:val="695D3766"/>
    <w:rsid w:val="6961490A"/>
    <w:rsid w:val="696A2821"/>
    <w:rsid w:val="696B696A"/>
    <w:rsid w:val="697C7690"/>
    <w:rsid w:val="698178AE"/>
    <w:rsid w:val="69822AD4"/>
    <w:rsid w:val="698B1463"/>
    <w:rsid w:val="698B3D2A"/>
    <w:rsid w:val="69A80BA5"/>
    <w:rsid w:val="69AA3C06"/>
    <w:rsid w:val="69B72F45"/>
    <w:rsid w:val="69F27E8D"/>
    <w:rsid w:val="6A304495"/>
    <w:rsid w:val="6A3378DD"/>
    <w:rsid w:val="6A606531"/>
    <w:rsid w:val="6A672C76"/>
    <w:rsid w:val="6A9E233C"/>
    <w:rsid w:val="6AAA22CE"/>
    <w:rsid w:val="6ACF2E50"/>
    <w:rsid w:val="6AE2079C"/>
    <w:rsid w:val="6AE770D0"/>
    <w:rsid w:val="6AE85534"/>
    <w:rsid w:val="6AEE2C51"/>
    <w:rsid w:val="6B1206E5"/>
    <w:rsid w:val="6B325CB0"/>
    <w:rsid w:val="6B4B54FD"/>
    <w:rsid w:val="6B4F4675"/>
    <w:rsid w:val="6B546DD5"/>
    <w:rsid w:val="6B6001BA"/>
    <w:rsid w:val="6B6170BC"/>
    <w:rsid w:val="6B807768"/>
    <w:rsid w:val="6B994D24"/>
    <w:rsid w:val="6BA90F50"/>
    <w:rsid w:val="6BB2385B"/>
    <w:rsid w:val="6BB60889"/>
    <w:rsid w:val="6BBA0A73"/>
    <w:rsid w:val="6BE20ADF"/>
    <w:rsid w:val="6BE76E2E"/>
    <w:rsid w:val="6BEA7F71"/>
    <w:rsid w:val="6BF01A03"/>
    <w:rsid w:val="6C185EE3"/>
    <w:rsid w:val="6C48794F"/>
    <w:rsid w:val="6C6425B7"/>
    <w:rsid w:val="6C743510"/>
    <w:rsid w:val="6C9D28E2"/>
    <w:rsid w:val="6CA20DA4"/>
    <w:rsid w:val="6CAF5B5D"/>
    <w:rsid w:val="6CD65540"/>
    <w:rsid w:val="6CDF7640"/>
    <w:rsid w:val="6D000161"/>
    <w:rsid w:val="6D063A23"/>
    <w:rsid w:val="6D410822"/>
    <w:rsid w:val="6D564439"/>
    <w:rsid w:val="6D711571"/>
    <w:rsid w:val="6D9F4FE0"/>
    <w:rsid w:val="6DF2015B"/>
    <w:rsid w:val="6E121024"/>
    <w:rsid w:val="6E5B62F9"/>
    <w:rsid w:val="6E5D0104"/>
    <w:rsid w:val="6E7F2ACB"/>
    <w:rsid w:val="6EDE716E"/>
    <w:rsid w:val="6F00064F"/>
    <w:rsid w:val="6F3B5CAF"/>
    <w:rsid w:val="6F594088"/>
    <w:rsid w:val="6F69681F"/>
    <w:rsid w:val="6F6D64CE"/>
    <w:rsid w:val="6F8162A3"/>
    <w:rsid w:val="6F8455E8"/>
    <w:rsid w:val="6F8A466F"/>
    <w:rsid w:val="6FA15219"/>
    <w:rsid w:val="6FA25278"/>
    <w:rsid w:val="6FAA138A"/>
    <w:rsid w:val="6FB4205B"/>
    <w:rsid w:val="6FBF486D"/>
    <w:rsid w:val="6FC00007"/>
    <w:rsid w:val="6FC86674"/>
    <w:rsid w:val="6FE32B45"/>
    <w:rsid w:val="6FEF20B8"/>
    <w:rsid w:val="700C2F8F"/>
    <w:rsid w:val="7030619E"/>
    <w:rsid w:val="703F543F"/>
    <w:rsid w:val="705271DF"/>
    <w:rsid w:val="709F4FF3"/>
    <w:rsid w:val="70B44110"/>
    <w:rsid w:val="70BC3036"/>
    <w:rsid w:val="71073DCC"/>
    <w:rsid w:val="713E5B43"/>
    <w:rsid w:val="716B590E"/>
    <w:rsid w:val="71AD6123"/>
    <w:rsid w:val="71CF354D"/>
    <w:rsid w:val="71D87202"/>
    <w:rsid w:val="723C0BBB"/>
    <w:rsid w:val="725C766C"/>
    <w:rsid w:val="72691EEB"/>
    <w:rsid w:val="727F5C39"/>
    <w:rsid w:val="728A54CB"/>
    <w:rsid w:val="7294616E"/>
    <w:rsid w:val="729C24C2"/>
    <w:rsid w:val="72A10B78"/>
    <w:rsid w:val="72B4116D"/>
    <w:rsid w:val="72CD677A"/>
    <w:rsid w:val="730C1BAA"/>
    <w:rsid w:val="73226E99"/>
    <w:rsid w:val="73480E7F"/>
    <w:rsid w:val="738C5727"/>
    <w:rsid w:val="73A03000"/>
    <w:rsid w:val="73AE781C"/>
    <w:rsid w:val="73B815B5"/>
    <w:rsid w:val="73CD17B1"/>
    <w:rsid w:val="73D03BEB"/>
    <w:rsid w:val="73DA7370"/>
    <w:rsid w:val="73F2058B"/>
    <w:rsid w:val="740B1F54"/>
    <w:rsid w:val="742142D4"/>
    <w:rsid w:val="742C597A"/>
    <w:rsid w:val="743D5A0C"/>
    <w:rsid w:val="74551577"/>
    <w:rsid w:val="74773822"/>
    <w:rsid w:val="74814FA3"/>
    <w:rsid w:val="748211D8"/>
    <w:rsid w:val="74A523FC"/>
    <w:rsid w:val="74AD62DA"/>
    <w:rsid w:val="74D3576F"/>
    <w:rsid w:val="74D65698"/>
    <w:rsid w:val="74F67266"/>
    <w:rsid w:val="74FC293C"/>
    <w:rsid w:val="758C03F2"/>
    <w:rsid w:val="75AC1506"/>
    <w:rsid w:val="75D25C2B"/>
    <w:rsid w:val="75E1109C"/>
    <w:rsid w:val="75E97712"/>
    <w:rsid w:val="762C1DFC"/>
    <w:rsid w:val="763700C2"/>
    <w:rsid w:val="7659077F"/>
    <w:rsid w:val="76595427"/>
    <w:rsid w:val="76770CD8"/>
    <w:rsid w:val="76797286"/>
    <w:rsid w:val="767A6D49"/>
    <w:rsid w:val="767B0028"/>
    <w:rsid w:val="76901071"/>
    <w:rsid w:val="76CA3CAF"/>
    <w:rsid w:val="76D6005E"/>
    <w:rsid w:val="76E5146D"/>
    <w:rsid w:val="76FD41D8"/>
    <w:rsid w:val="7719159C"/>
    <w:rsid w:val="77250549"/>
    <w:rsid w:val="77275101"/>
    <w:rsid w:val="776D4415"/>
    <w:rsid w:val="77AB67AD"/>
    <w:rsid w:val="77C93D4B"/>
    <w:rsid w:val="77EE1CB2"/>
    <w:rsid w:val="780B5997"/>
    <w:rsid w:val="78104022"/>
    <w:rsid w:val="781838CC"/>
    <w:rsid w:val="78257F1D"/>
    <w:rsid w:val="78283BCE"/>
    <w:rsid w:val="78342AFF"/>
    <w:rsid w:val="78C066E8"/>
    <w:rsid w:val="78D066CD"/>
    <w:rsid w:val="78D66069"/>
    <w:rsid w:val="78D72D52"/>
    <w:rsid w:val="78E023C3"/>
    <w:rsid w:val="78EF4B19"/>
    <w:rsid w:val="78F56796"/>
    <w:rsid w:val="792D0F39"/>
    <w:rsid w:val="792F27AC"/>
    <w:rsid w:val="793A267E"/>
    <w:rsid w:val="79416271"/>
    <w:rsid w:val="798F3031"/>
    <w:rsid w:val="7991124B"/>
    <w:rsid w:val="7993238A"/>
    <w:rsid w:val="79BB316D"/>
    <w:rsid w:val="79BF1ACF"/>
    <w:rsid w:val="79CD78F0"/>
    <w:rsid w:val="79D63B31"/>
    <w:rsid w:val="7A0304D6"/>
    <w:rsid w:val="7A526596"/>
    <w:rsid w:val="7A5D5E58"/>
    <w:rsid w:val="7A811D58"/>
    <w:rsid w:val="7A9E7A31"/>
    <w:rsid w:val="7AA95030"/>
    <w:rsid w:val="7AB56B8D"/>
    <w:rsid w:val="7ADC202D"/>
    <w:rsid w:val="7AE73CB8"/>
    <w:rsid w:val="7AF00EBC"/>
    <w:rsid w:val="7B1B502F"/>
    <w:rsid w:val="7B2614ED"/>
    <w:rsid w:val="7B341453"/>
    <w:rsid w:val="7B5D7FDC"/>
    <w:rsid w:val="7B795AC8"/>
    <w:rsid w:val="7B855020"/>
    <w:rsid w:val="7B933781"/>
    <w:rsid w:val="7BA75911"/>
    <w:rsid w:val="7BAE1999"/>
    <w:rsid w:val="7BB2585B"/>
    <w:rsid w:val="7BE7119B"/>
    <w:rsid w:val="7C4F0963"/>
    <w:rsid w:val="7C700C1B"/>
    <w:rsid w:val="7C7E0A97"/>
    <w:rsid w:val="7C8E4B1C"/>
    <w:rsid w:val="7CB27BDB"/>
    <w:rsid w:val="7CC31E7E"/>
    <w:rsid w:val="7CC76A1C"/>
    <w:rsid w:val="7CC84CA7"/>
    <w:rsid w:val="7CE5299A"/>
    <w:rsid w:val="7D1265CA"/>
    <w:rsid w:val="7D225B74"/>
    <w:rsid w:val="7D2269EB"/>
    <w:rsid w:val="7D2620EA"/>
    <w:rsid w:val="7D370654"/>
    <w:rsid w:val="7D440C57"/>
    <w:rsid w:val="7D441AA7"/>
    <w:rsid w:val="7D8334F3"/>
    <w:rsid w:val="7D9A6A32"/>
    <w:rsid w:val="7DAC60E4"/>
    <w:rsid w:val="7DFA2E50"/>
    <w:rsid w:val="7E163D0D"/>
    <w:rsid w:val="7E1E0FAA"/>
    <w:rsid w:val="7E511C2A"/>
    <w:rsid w:val="7E6219EA"/>
    <w:rsid w:val="7E9C762B"/>
    <w:rsid w:val="7EA77CE4"/>
    <w:rsid w:val="7ED3453E"/>
    <w:rsid w:val="7EE3183B"/>
    <w:rsid w:val="7F0772AA"/>
    <w:rsid w:val="7F291817"/>
    <w:rsid w:val="7F2D372D"/>
    <w:rsid w:val="7F31561D"/>
    <w:rsid w:val="7F433F69"/>
    <w:rsid w:val="7FBC1EC1"/>
    <w:rsid w:val="7FF77CD2"/>
    <w:rsid w:val="7FFF3E14"/>
    <w:rsid w:val="D7FFB1BC"/>
    <w:rsid w:val="DF7AD8D6"/>
    <w:rsid w:val="F3EFE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99"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99" w:semiHidden="0" w:name="Body Text First Indent"/>
    <w:lsdException w:qFormat="1"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uiPriority="0" w:name="Table 3D effects 1"/>
    <w:lsdException w:uiPriority="0" w:name="Table 3D effects 2"/>
    <w:lsdException w:uiPriority="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99"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1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7"/>
    <w:link w:val="154"/>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155"/>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9">
    <w:name w:val="heading 5"/>
    <w:basedOn w:val="1"/>
    <w:next w:val="1"/>
    <w:link w:val="156"/>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157"/>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158"/>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159"/>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160"/>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90">
    <w:name w:val="Default Paragraph Font"/>
    <w:unhideWhenUsed/>
    <w:qFormat/>
    <w:uiPriority w:val="1"/>
  </w:style>
  <w:style w:type="table" w:default="1" w:styleId="10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Body Text 2"/>
    <w:basedOn w:val="1"/>
    <w:next w:val="1"/>
    <w:link w:val="382"/>
    <w:qFormat/>
    <w:uiPriority w:val="0"/>
    <w:pPr>
      <w:adjustRightInd w:val="0"/>
      <w:spacing w:line="360" w:lineRule="atLeast"/>
    </w:pPr>
    <w:rPr>
      <w:rFonts w:ascii="Arial" w:hAnsi="Arial"/>
      <w:kern w:val="0"/>
      <w:sz w:val="24"/>
      <w:szCs w:val="20"/>
    </w:rPr>
  </w:style>
  <w:style w:type="paragraph" w:customStyle="1" w:styleId="5">
    <w:name w:val="正文样式小四号"/>
    <w:qFormat/>
    <w:uiPriority w:val="0"/>
    <w:pPr>
      <w:spacing w:line="360" w:lineRule="auto"/>
      <w:ind w:firstLine="200" w:firstLineChars="200"/>
    </w:pPr>
    <w:rPr>
      <w:rFonts w:ascii="Times New Roman" w:hAnsi="Times New Roman" w:eastAsia="宋体" w:cs="Times New Roman"/>
      <w:sz w:val="24"/>
      <w:szCs w:val="24"/>
      <w:lang w:val="en-US" w:eastAsia="zh-CN" w:bidi="ar-SA"/>
    </w:rPr>
  </w:style>
  <w:style w:type="paragraph" w:styleId="7">
    <w:name w:val="Normal Indent"/>
    <w:basedOn w:val="1"/>
    <w:link w:val="152"/>
    <w:qFormat/>
    <w:uiPriority w:val="0"/>
    <w:pPr>
      <w:autoSpaceDE w:val="0"/>
      <w:autoSpaceDN w:val="0"/>
      <w:adjustRightInd w:val="0"/>
      <w:ind w:firstLine="420"/>
      <w:jc w:val="left"/>
    </w:pPr>
    <w:rPr>
      <w:rFonts w:ascii="宋体"/>
      <w:sz w:val="24"/>
    </w:rPr>
  </w:style>
  <w:style w:type="paragraph" w:styleId="14">
    <w:name w:val="List 3"/>
    <w:basedOn w:val="1"/>
    <w:qFormat/>
    <w:uiPriority w:val="0"/>
    <w:pPr>
      <w:spacing w:line="360" w:lineRule="auto"/>
      <w:ind w:left="100" w:leftChars="400" w:hanging="200" w:hangingChars="200"/>
    </w:pPr>
    <w:rPr>
      <w:rFonts w:ascii="Calibri" w:hAnsi="Calibri"/>
      <w:szCs w:val="22"/>
    </w:rPr>
  </w:style>
  <w:style w:type="paragraph" w:styleId="15">
    <w:name w:val="annotation subject"/>
    <w:basedOn w:val="16"/>
    <w:next w:val="16"/>
    <w:link w:val="175"/>
    <w:qFormat/>
    <w:uiPriority w:val="0"/>
    <w:rPr>
      <w:b/>
      <w:bCs/>
    </w:rPr>
  </w:style>
  <w:style w:type="paragraph" w:styleId="16">
    <w:name w:val="annotation text"/>
    <w:basedOn w:val="1"/>
    <w:link w:val="162"/>
    <w:qFormat/>
    <w:uiPriority w:val="0"/>
    <w:pPr>
      <w:keepNext w:val="0"/>
      <w:keepLines w:val="0"/>
      <w:widowControl w:val="0"/>
      <w:suppressLineNumbers w:val="0"/>
      <w:spacing w:after="156" w:afterLines="50" w:afterAutospacing="0" w:line="360" w:lineRule="auto"/>
      <w:ind w:firstLine="560" w:firstLineChars="200"/>
      <w:jc w:val="left"/>
    </w:pPr>
    <w:rPr>
      <w:rFonts w:hint="default" w:ascii="Calibri" w:hAnsi="Calibri" w:eastAsia="宋体" w:cs="Times New Roman"/>
      <w:kern w:val="2"/>
      <w:sz w:val="28"/>
      <w:szCs w:val="28"/>
      <w:lang w:val="en-US" w:eastAsia="zh-CN" w:bidi="ar"/>
    </w:rPr>
  </w:style>
  <w:style w:type="paragraph" w:styleId="17">
    <w:name w:val="toc 7"/>
    <w:basedOn w:val="1"/>
    <w:next w:val="1"/>
    <w:qFormat/>
    <w:uiPriority w:val="39"/>
    <w:pPr>
      <w:ind w:left="2520" w:leftChars="1200"/>
    </w:pPr>
  </w:style>
  <w:style w:type="paragraph" w:styleId="18">
    <w:name w:val="Body Text First Indent"/>
    <w:basedOn w:val="19"/>
    <w:qFormat/>
    <w:uiPriority w:val="99"/>
    <w:pPr>
      <w:tabs>
        <w:tab w:val="left" w:pos="567"/>
      </w:tabs>
      <w:spacing w:after="120"/>
      <w:ind w:firstLine="560" w:firstLineChars="200"/>
    </w:pPr>
    <w:rPr>
      <w:rFonts w:hint="eastAsia" w:ascii="仿宋_GB2312" w:hAnsi="宋体" w:eastAsia="仿宋_GB2312" w:cs="Times New Roman"/>
      <w:sz w:val="28"/>
      <w:szCs w:val="20"/>
    </w:rPr>
  </w:style>
  <w:style w:type="paragraph" w:styleId="19">
    <w:name w:val="Body Text"/>
    <w:basedOn w:val="1"/>
    <w:next w:val="20"/>
    <w:link w:val="164"/>
    <w:qFormat/>
    <w:uiPriority w:val="0"/>
    <w:pPr>
      <w:tabs>
        <w:tab w:val="left" w:pos="567"/>
      </w:tabs>
      <w:spacing w:before="120" w:line="22" w:lineRule="atLeast"/>
    </w:pPr>
    <w:rPr>
      <w:rFonts w:ascii="宋体" w:hAnsi="宋体"/>
      <w:sz w:val="24"/>
    </w:rPr>
  </w:style>
  <w:style w:type="paragraph" w:customStyle="1" w:styleId="20">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21">
    <w:name w:val="List Number 2"/>
    <w:basedOn w:val="1"/>
    <w:qFormat/>
    <w:uiPriority w:val="0"/>
    <w:pPr>
      <w:numPr>
        <w:ilvl w:val="0"/>
        <w:numId w:val="1"/>
      </w:numPr>
      <w:spacing w:line="360" w:lineRule="auto"/>
    </w:pPr>
    <w:rPr>
      <w:rFonts w:ascii="Calibri" w:hAnsi="Calibri"/>
      <w:szCs w:val="22"/>
    </w:rPr>
  </w:style>
  <w:style w:type="paragraph" w:styleId="22">
    <w:name w:val="table of authorities"/>
    <w:basedOn w:val="1"/>
    <w:next w:val="1"/>
    <w:qFormat/>
    <w:uiPriority w:val="0"/>
    <w:pPr>
      <w:ind w:left="420" w:leftChars="200"/>
    </w:pPr>
  </w:style>
  <w:style w:type="paragraph" w:styleId="23">
    <w:name w:val="macro"/>
    <w:link w:val="59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24">
    <w:name w:val="Note Heading"/>
    <w:basedOn w:val="1"/>
    <w:next w:val="1"/>
    <w:link w:val="909"/>
    <w:qFormat/>
    <w:uiPriority w:val="0"/>
    <w:pPr>
      <w:spacing w:line="360" w:lineRule="auto"/>
      <w:jc w:val="center"/>
    </w:pPr>
    <w:rPr>
      <w:szCs w:val="22"/>
    </w:rPr>
  </w:style>
  <w:style w:type="paragraph" w:styleId="25">
    <w:name w:val="List Bullet 4"/>
    <w:basedOn w:val="1"/>
    <w:qFormat/>
    <w:uiPriority w:val="0"/>
    <w:pPr>
      <w:numPr>
        <w:ilvl w:val="0"/>
        <w:numId w:val="2"/>
      </w:numPr>
      <w:spacing w:line="360" w:lineRule="auto"/>
    </w:pPr>
    <w:rPr>
      <w:rFonts w:ascii="Calibri" w:hAnsi="Calibri"/>
      <w:szCs w:val="22"/>
    </w:rPr>
  </w:style>
  <w:style w:type="paragraph" w:styleId="26">
    <w:name w:val="index 8"/>
    <w:basedOn w:val="1"/>
    <w:next w:val="1"/>
    <w:qFormat/>
    <w:uiPriority w:val="0"/>
    <w:pPr>
      <w:spacing w:line="360" w:lineRule="auto"/>
      <w:ind w:left="1400" w:leftChars="1400"/>
    </w:pPr>
    <w:rPr>
      <w:sz w:val="24"/>
    </w:rPr>
  </w:style>
  <w:style w:type="paragraph" w:styleId="27">
    <w:name w:val="E-mail Signature"/>
    <w:basedOn w:val="1"/>
    <w:link w:val="585"/>
    <w:qFormat/>
    <w:uiPriority w:val="0"/>
    <w:pPr>
      <w:spacing w:line="360" w:lineRule="auto"/>
    </w:pPr>
    <w:rPr>
      <w:szCs w:val="22"/>
    </w:rPr>
  </w:style>
  <w:style w:type="paragraph" w:styleId="28">
    <w:name w:val="List Number"/>
    <w:basedOn w:val="1"/>
    <w:qFormat/>
    <w:uiPriority w:val="0"/>
    <w:pPr>
      <w:numPr>
        <w:ilvl w:val="0"/>
        <w:numId w:val="3"/>
      </w:numPr>
      <w:spacing w:line="360" w:lineRule="auto"/>
    </w:pPr>
    <w:rPr>
      <w:rFonts w:ascii="Calibri" w:hAnsi="Calibri"/>
      <w:szCs w:val="22"/>
    </w:rPr>
  </w:style>
  <w:style w:type="paragraph" w:styleId="29">
    <w:name w:val="caption"/>
    <w:basedOn w:val="1"/>
    <w:next w:val="1"/>
    <w:link w:val="578"/>
    <w:qFormat/>
    <w:uiPriority w:val="0"/>
    <w:pPr>
      <w:spacing w:line="480" w:lineRule="auto"/>
    </w:pPr>
    <w:rPr>
      <w:rFonts w:ascii="华文中宋" w:hAnsi="华文中宋" w:eastAsia="华文中宋"/>
      <w:sz w:val="36"/>
      <w:szCs w:val="20"/>
    </w:rPr>
  </w:style>
  <w:style w:type="paragraph" w:styleId="30">
    <w:name w:val="index 5"/>
    <w:basedOn w:val="1"/>
    <w:next w:val="1"/>
    <w:qFormat/>
    <w:uiPriority w:val="0"/>
    <w:pPr>
      <w:ind w:left="800" w:leftChars="800"/>
    </w:pPr>
  </w:style>
  <w:style w:type="paragraph" w:styleId="31">
    <w:name w:val="List Bullet"/>
    <w:basedOn w:val="1"/>
    <w:next w:val="1"/>
    <w:qFormat/>
    <w:uiPriority w:val="0"/>
    <w:pPr>
      <w:tabs>
        <w:tab w:val="left" w:pos="360"/>
        <w:tab w:val="left" w:pos="1120"/>
      </w:tabs>
      <w:ind w:firstLine="400"/>
    </w:pPr>
  </w:style>
  <w:style w:type="paragraph" w:styleId="32">
    <w:name w:val="envelope address"/>
    <w:basedOn w:val="1"/>
    <w:qFormat/>
    <w:uiPriority w:val="0"/>
    <w:pPr>
      <w:framePr w:w="7920" w:h="1980" w:hRule="exact" w:hSpace="180" w:wrap="around" w:vAnchor="margin" w:hAnchor="page" w:xAlign="center" w:yAlign="bottom"/>
      <w:snapToGrid w:val="0"/>
      <w:spacing w:line="360" w:lineRule="auto"/>
      <w:ind w:left="100" w:leftChars="1400"/>
    </w:pPr>
    <w:rPr>
      <w:rFonts w:ascii="Arial" w:hAnsi="Arial" w:cs="Arial"/>
      <w:sz w:val="24"/>
    </w:rPr>
  </w:style>
  <w:style w:type="paragraph" w:styleId="33">
    <w:name w:val="Document Map"/>
    <w:basedOn w:val="1"/>
    <w:link w:val="161"/>
    <w:qFormat/>
    <w:uiPriority w:val="0"/>
    <w:pPr>
      <w:shd w:val="clear" w:color="auto" w:fill="000080"/>
    </w:pPr>
  </w:style>
  <w:style w:type="paragraph" w:styleId="34">
    <w:name w:val="toa heading"/>
    <w:basedOn w:val="1"/>
    <w:next w:val="1"/>
    <w:qFormat/>
    <w:uiPriority w:val="0"/>
    <w:pPr>
      <w:spacing w:before="120"/>
    </w:pPr>
    <w:rPr>
      <w:rFonts w:ascii="Arial" w:hAnsi="Arial"/>
      <w:b/>
      <w:bCs/>
    </w:rPr>
  </w:style>
  <w:style w:type="paragraph" w:styleId="35">
    <w:name w:val="index 6"/>
    <w:basedOn w:val="1"/>
    <w:next w:val="1"/>
    <w:qFormat/>
    <w:uiPriority w:val="0"/>
    <w:pPr>
      <w:spacing w:line="360" w:lineRule="auto"/>
      <w:ind w:left="1000" w:leftChars="1000"/>
    </w:pPr>
    <w:rPr>
      <w:sz w:val="24"/>
    </w:rPr>
  </w:style>
  <w:style w:type="paragraph" w:styleId="36">
    <w:name w:val="Salutation"/>
    <w:basedOn w:val="1"/>
    <w:next w:val="1"/>
    <w:link w:val="715"/>
    <w:qFormat/>
    <w:uiPriority w:val="0"/>
    <w:pPr>
      <w:spacing w:line="360" w:lineRule="auto"/>
    </w:pPr>
    <w:rPr>
      <w:szCs w:val="22"/>
    </w:rPr>
  </w:style>
  <w:style w:type="paragraph" w:styleId="37">
    <w:name w:val="Body Text 3"/>
    <w:basedOn w:val="1"/>
    <w:link w:val="163"/>
    <w:qFormat/>
    <w:uiPriority w:val="0"/>
    <w:pPr>
      <w:spacing w:after="120"/>
    </w:pPr>
    <w:rPr>
      <w:sz w:val="16"/>
      <w:szCs w:val="16"/>
    </w:rPr>
  </w:style>
  <w:style w:type="paragraph" w:styleId="38">
    <w:name w:val="Closing"/>
    <w:basedOn w:val="1"/>
    <w:link w:val="810"/>
    <w:qFormat/>
    <w:uiPriority w:val="0"/>
    <w:pPr>
      <w:spacing w:line="360" w:lineRule="auto"/>
      <w:ind w:left="100" w:leftChars="2100"/>
    </w:pPr>
    <w:rPr>
      <w:szCs w:val="22"/>
    </w:rPr>
  </w:style>
  <w:style w:type="paragraph" w:styleId="39">
    <w:name w:val="List Bullet 3"/>
    <w:basedOn w:val="1"/>
    <w:qFormat/>
    <w:uiPriority w:val="0"/>
    <w:pPr>
      <w:tabs>
        <w:tab w:val="left" w:pos="1200"/>
      </w:tabs>
      <w:spacing w:line="360" w:lineRule="auto"/>
      <w:ind w:left="1200" w:hanging="360"/>
    </w:pPr>
    <w:rPr>
      <w:rFonts w:ascii="Calibri" w:hAnsi="Calibri"/>
      <w:szCs w:val="22"/>
    </w:rPr>
  </w:style>
  <w:style w:type="paragraph" w:styleId="40">
    <w:name w:val="Body Text Indent"/>
    <w:basedOn w:val="1"/>
    <w:link w:val="165"/>
    <w:qFormat/>
    <w:uiPriority w:val="0"/>
    <w:pPr>
      <w:spacing w:line="360" w:lineRule="auto"/>
      <w:ind w:firstLine="570"/>
    </w:pPr>
    <w:rPr>
      <w:sz w:val="24"/>
    </w:rPr>
  </w:style>
  <w:style w:type="paragraph" w:styleId="41">
    <w:name w:val="List Number 3"/>
    <w:basedOn w:val="1"/>
    <w:qFormat/>
    <w:uiPriority w:val="0"/>
    <w:pPr>
      <w:spacing w:line="360" w:lineRule="auto"/>
    </w:pPr>
    <w:rPr>
      <w:rFonts w:ascii="Calibri" w:hAnsi="Calibri"/>
      <w:szCs w:val="22"/>
    </w:rPr>
  </w:style>
  <w:style w:type="paragraph" w:styleId="42">
    <w:name w:val="List 2"/>
    <w:basedOn w:val="1"/>
    <w:qFormat/>
    <w:uiPriority w:val="0"/>
    <w:pPr>
      <w:ind w:left="100" w:leftChars="200" w:hanging="200" w:hangingChars="200"/>
    </w:pPr>
  </w:style>
  <w:style w:type="paragraph" w:styleId="43">
    <w:name w:val="List Continue"/>
    <w:basedOn w:val="1"/>
    <w:qFormat/>
    <w:uiPriority w:val="0"/>
    <w:pPr>
      <w:spacing w:after="120" w:line="360" w:lineRule="auto"/>
      <w:ind w:left="420" w:leftChars="200"/>
    </w:pPr>
    <w:rPr>
      <w:rFonts w:ascii="Calibri" w:hAnsi="Calibri"/>
      <w:szCs w:val="22"/>
    </w:rPr>
  </w:style>
  <w:style w:type="paragraph" w:styleId="44">
    <w:name w:val="Block Text"/>
    <w:basedOn w:val="1"/>
    <w:qFormat/>
    <w:uiPriority w:val="0"/>
    <w:pPr>
      <w:widowControl/>
      <w:ind w:left="480" w:right="-341" w:firstLine="513"/>
    </w:pPr>
    <w:rPr>
      <w:kern w:val="0"/>
      <w:sz w:val="24"/>
      <w:szCs w:val="20"/>
    </w:rPr>
  </w:style>
  <w:style w:type="paragraph" w:styleId="45">
    <w:name w:val="List Bullet 2"/>
    <w:basedOn w:val="1"/>
    <w:qFormat/>
    <w:uiPriority w:val="0"/>
    <w:pPr>
      <w:tabs>
        <w:tab w:val="left" w:pos="0"/>
        <w:tab w:val="left" w:pos="780"/>
      </w:tabs>
      <w:spacing w:line="360" w:lineRule="auto"/>
      <w:ind w:left="432" w:hanging="432"/>
    </w:pPr>
    <w:rPr>
      <w:rFonts w:ascii="Calibri" w:hAnsi="Calibri"/>
      <w:szCs w:val="22"/>
    </w:rPr>
  </w:style>
  <w:style w:type="paragraph" w:styleId="46">
    <w:name w:val="HTML Address"/>
    <w:basedOn w:val="1"/>
    <w:link w:val="598"/>
    <w:qFormat/>
    <w:uiPriority w:val="0"/>
    <w:pPr>
      <w:spacing w:line="360" w:lineRule="auto"/>
    </w:pPr>
    <w:rPr>
      <w:i/>
      <w:iCs/>
      <w:szCs w:val="22"/>
    </w:rPr>
  </w:style>
  <w:style w:type="paragraph" w:styleId="47">
    <w:name w:val="index 4"/>
    <w:basedOn w:val="1"/>
    <w:next w:val="1"/>
    <w:qFormat/>
    <w:uiPriority w:val="0"/>
    <w:pPr>
      <w:spacing w:line="360" w:lineRule="auto"/>
      <w:ind w:left="600" w:leftChars="600"/>
    </w:pPr>
    <w:rPr>
      <w:sz w:val="24"/>
    </w:rPr>
  </w:style>
  <w:style w:type="paragraph" w:styleId="48">
    <w:name w:val="toc 5"/>
    <w:basedOn w:val="1"/>
    <w:next w:val="1"/>
    <w:qFormat/>
    <w:uiPriority w:val="39"/>
    <w:pPr>
      <w:ind w:left="1680" w:leftChars="800"/>
    </w:pPr>
  </w:style>
  <w:style w:type="paragraph" w:styleId="49">
    <w:name w:val="toc 3"/>
    <w:basedOn w:val="1"/>
    <w:next w:val="1"/>
    <w:qFormat/>
    <w:uiPriority w:val="39"/>
    <w:pPr>
      <w:ind w:left="840" w:leftChars="400"/>
    </w:pPr>
  </w:style>
  <w:style w:type="paragraph" w:styleId="50">
    <w:name w:val="Plain Text"/>
    <w:basedOn w:val="1"/>
    <w:link w:val="166"/>
    <w:qFormat/>
    <w:uiPriority w:val="0"/>
    <w:rPr>
      <w:rFonts w:hint="eastAsia" w:ascii="宋体" w:hAnsi="Courier New"/>
      <w:szCs w:val="20"/>
    </w:rPr>
  </w:style>
  <w:style w:type="paragraph" w:styleId="51">
    <w:name w:val="List Bullet 5"/>
    <w:basedOn w:val="1"/>
    <w:qFormat/>
    <w:uiPriority w:val="0"/>
    <w:pPr>
      <w:numPr>
        <w:ilvl w:val="0"/>
        <w:numId w:val="4"/>
      </w:numPr>
      <w:spacing w:line="360" w:lineRule="auto"/>
    </w:pPr>
    <w:rPr>
      <w:rFonts w:ascii="Calibri" w:hAnsi="Calibri"/>
      <w:szCs w:val="22"/>
    </w:rPr>
  </w:style>
  <w:style w:type="paragraph" w:styleId="52">
    <w:name w:val="List Number 4"/>
    <w:basedOn w:val="1"/>
    <w:qFormat/>
    <w:uiPriority w:val="0"/>
    <w:pPr>
      <w:numPr>
        <w:ilvl w:val="0"/>
        <w:numId w:val="5"/>
      </w:numPr>
      <w:spacing w:line="360" w:lineRule="auto"/>
    </w:pPr>
    <w:rPr>
      <w:rFonts w:ascii="Calibri" w:hAnsi="Calibri"/>
      <w:szCs w:val="22"/>
    </w:rPr>
  </w:style>
  <w:style w:type="paragraph" w:styleId="53">
    <w:name w:val="toc 8"/>
    <w:basedOn w:val="1"/>
    <w:next w:val="1"/>
    <w:qFormat/>
    <w:uiPriority w:val="39"/>
    <w:pPr>
      <w:ind w:left="2940" w:leftChars="1400"/>
    </w:pPr>
  </w:style>
  <w:style w:type="paragraph" w:styleId="54">
    <w:name w:val="index 3"/>
    <w:basedOn w:val="1"/>
    <w:next w:val="1"/>
    <w:qFormat/>
    <w:uiPriority w:val="0"/>
    <w:pPr>
      <w:spacing w:line="360" w:lineRule="auto"/>
      <w:ind w:left="400" w:leftChars="400"/>
    </w:pPr>
    <w:rPr>
      <w:sz w:val="24"/>
    </w:rPr>
  </w:style>
  <w:style w:type="paragraph" w:styleId="55">
    <w:name w:val="Date"/>
    <w:basedOn w:val="1"/>
    <w:next w:val="1"/>
    <w:link w:val="167"/>
    <w:qFormat/>
    <w:uiPriority w:val="99"/>
    <w:pPr>
      <w:ind w:left="100" w:leftChars="2500"/>
    </w:pPr>
    <w:rPr>
      <w:rFonts w:ascii="仿宋_GB2312" w:hAnsi="宋体" w:eastAsia="仿宋_GB2312"/>
      <w:color w:val="000000"/>
      <w:sz w:val="24"/>
    </w:rPr>
  </w:style>
  <w:style w:type="paragraph" w:styleId="56">
    <w:name w:val="Body Text Indent 2"/>
    <w:basedOn w:val="1"/>
    <w:link w:val="168"/>
    <w:qFormat/>
    <w:uiPriority w:val="0"/>
    <w:pPr>
      <w:ind w:firstLine="480" w:firstLineChars="200"/>
    </w:pPr>
    <w:rPr>
      <w:rFonts w:ascii="仿宋_GB2312" w:eastAsia="仿宋_GB2312"/>
      <w:sz w:val="24"/>
    </w:rPr>
  </w:style>
  <w:style w:type="paragraph" w:styleId="57">
    <w:name w:val="endnote text"/>
    <w:basedOn w:val="1"/>
    <w:link w:val="900"/>
    <w:qFormat/>
    <w:uiPriority w:val="99"/>
    <w:pPr>
      <w:snapToGrid w:val="0"/>
      <w:spacing w:line="360" w:lineRule="auto"/>
      <w:jc w:val="left"/>
    </w:pPr>
    <w:rPr>
      <w:szCs w:val="22"/>
    </w:rPr>
  </w:style>
  <w:style w:type="paragraph" w:styleId="58">
    <w:name w:val="List Continue 5"/>
    <w:basedOn w:val="1"/>
    <w:qFormat/>
    <w:uiPriority w:val="0"/>
    <w:pPr>
      <w:spacing w:after="120" w:line="360" w:lineRule="auto"/>
      <w:ind w:left="2100" w:leftChars="1000"/>
    </w:pPr>
    <w:rPr>
      <w:rFonts w:ascii="Calibri" w:hAnsi="Calibri"/>
      <w:szCs w:val="22"/>
    </w:rPr>
  </w:style>
  <w:style w:type="paragraph" w:styleId="59">
    <w:name w:val="Balloon Text"/>
    <w:basedOn w:val="1"/>
    <w:link w:val="169"/>
    <w:qFormat/>
    <w:uiPriority w:val="99"/>
    <w:rPr>
      <w:sz w:val="18"/>
      <w:szCs w:val="18"/>
    </w:rPr>
  </w:style>
  <w:style w:type="paragraph" w:styleId="60">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61">
    <w:name w:val="envelope return"/>
    <w:basedOn w:val="1"/>
    <w:qFormat/>
    <w:uiPriority w:val="0"/>
    <w:pPr>
      <w:snapToGrid w:val="0"/>
    </w:pPr>
    <w:rPr>
      <w:rFonts w:ascii="Arial" w:hAnsi="Arial"/>
      <w:szCs w:val="20"/>
    </w:rPr>
  </w:style>
  <w:style w:type="paragraph" w:styleId="62">
    <w:name w:val="Body Text First Indent 2"/>
    <w:basedOn w:val="40"/>
    <w:link w:val="2010"/>
    <w:unhideWhenUsed/>
    <w:qFormat/>
    <w:uiPriority w:val="0"/>
    <w:pPr>
      <w:spacing w:after="120" w:line="240" w:lineRule="auto"/>
      <w:ind w:left="420" w:leftChars="200" w:firstLine="420" w:firstLineChars="200"/>
    </w:pPr>
    <w:rPr>
      <w:sz w:val="21"/>
    </w:rPr>
  </w:style>
  <w:style w:type="paragraph" w:styleId="63">
    <w:name w:val="header"/>
    <w:basedOn w:val="1"/>
    <w:link w:val="171"/>
    <w:qFormat/>
    <w:uiPriority w:val="99"/>
    <w:pPr>
      <w:pBdr>
        <w:bottom w:val="single" w:color="auto" w:sz="6" w:space="1"/>
      </w:pBdr>
      <w:tabs>
        <w:tab w:val="center" w:pos="4153"/>
        <w:tab w:val="right" w:pos="8306"/>
      </w:tabs>
      <w:snapToGrid w:val="0"/>
      <w:jc w:val="center"/>
    </w:pPr>
    <w:rPr>
      <w:sz w:val="18"/>
      <w:szCs w:val="18"/>
    </w:rPr>
  </w:style>
  <w:style w:type="paragraph" w:styleId="64">
    <w:name w:val="Signature"/>
    <w:basedOn w:val="1"/>
    <w:next w:val="1"/>
    <w:link w:val="392"/>
    <w:qFormat/>
    <w:uiPriority w:val="0"/>
    <w:pPr>
      <w:adjustRightInd w:val="0"/>
      <w:spacing w:after="600" w:line="312" w:lineRule="atLeast"/>
      <w:jc w:val="center"/>
      <w:textAlignment w:val="baseline"/>
    </w:pPr>
    <w:rPr>
      <w:rFonts w:eastAsia="仿宋_GB2312"/>
      <w:kern w:val="0"/>
      <w:sz w:val="24"/>
      <w:szCs w:val="20"/>
    </w:rPr>
  </w:style>
  <w:style w:type="paragraph" w:styleId="65">
    <w:name w:val="toc 1"/>
    <w:basedOn w:val="1"/>
    <w:next w:val="1"/>
    <w:qFormat/>
    <w:uiPriority w:val="39"/>
    <w:pPr>
      <w:tabs>
        <w:tab w:val="left" w:pos="1050"/>
        <w:tab w:val="right" w:leader="dot" w:pos="8937"/>
      </w:tabs>
      <w:spacing w:line="300" w:lineRule="auto"/>
    </w:pPr>
    <w:rPr>
      <w:rFonts w:ascii="宋体" w:hAnsi="宋体"/>
      <w:b/>
      <w:sz w:val="24"/>
    </w:rPr>
  </w:style>
  <w:style w:type="paragraph" w:styleId="66">
    <w:name w:val="List Continue 4"/>
    <w:basedOn w:val="1"/>
    <w:qFormat/>
    <w:uiPriority w:val="0"/>
    <w:pPr>
      <w:spacing w:after="120" w:line="360" w:lineRule="auto"/>
      <w:ind w:left="1680" w:leftChars="800"/>
    </w:pPr>
    <w:rPr>
      <w:rFonts w:ascii="Calibri" w:hAnsi="Calibri"/>
      <w:szCs w:val="22"/>
    </w:rPr>
  </w:style>
  <w:style w:type="paragraph" w:styleId="67">
    <w:name w:val="toc 4"/>
    <w:basedOn w:val="1"/>
    <w:next w:val="1"/>
    <w:qFormat/>
    <w:uiPriority w:val="39"/>
    <w:pPr>
      <w:ind w:left="1260" w:leftChars="600"/>
    </w:pPr>
  </w:style>
  <w:style w:type="paragraph" w:styleId="68">
    <w:name w:val="index heading"/>
    <w:basedOn w:val="1"/>
    <w:next w:val="69"/>
    <w:qFormat/>
    <w:uiPriority w:val="0"/>
    <w:pPr>
      <w:spacing w:line="360" w:lineRule="auto"/>
    </w:pPr>
    <w:rPr>
      <w:rFonts w:ascii="Arial" w:hAnsi="Arial" w:cs="Arial"/>
      <w:b/>
      <w:bCs/>
      <w:sz w:val="24"/>
    </w:rPr>
  </w:style>
  <w:style w:type="paragraph" w:styleId="69">
    <w:name w:val="index 1"/>
    <w:basedOn w:val="1"/>
    <w:next w:val="1"/>
    <w:qFormat/>
    <w:uiPriority w:val="0"/>
    <w:rPr>
      <w:szCs w:val="20"/>
    </w:rPr>
  </w:style>
  <w:style w:type="paragraph" w:styleId="70">
    <w:name w:val="Subtitle"/>
    <w:basedOn w:val="1"/>
    <w:link w:val="675"/>
    <w:qFormat/>
    <w:uiPriority w:val="0"/>
    <w:pPr>
      <w:spacing w:before="240" w:after="60" w:line="312" w:lineRule="auto"/>
      <w:jc w:val="center"/>
      <w:outlineLvl w:val="1"/>
    </w:pPr>
    <w:rPr>
      <w:rFonts w:ascii="Arial" w:hAnsi="Arial" w:cs="Arial"/>
      <w:b/>
      <w:bCs/>
      <w:kern w:val="28"/>
      <w:sz w:val="32"/>
      <w:szCs w:val="32"/>
    </w:rPr>
  </w:style>
  <w:style w:type="paragraph" w:styleId="71">
    <w:name w:val="List Number 5"/>
    <w:basedOn w:val="1"/>
    <w:qFormat/>
    <w:uiPriority w:val="0"/>
    <w:pPr>
      <w:tabs>
        <w:tab w:val="left" w:pos="786"/>
        <w:tab w:val="left" w:pos="2040"/>
      </w:tabs>
      <w:spacing w:line="360" w:lineRule="auto"/>
      <w:ind w:left="786" w:hanging="360"/>
    </w:pPr>
    <w:rPr>
      <w:rFonts w:ascii="Calibri" w:hAnsi="Calibri"/>
      <w:szCs w:val="22"/>
    </w:rPr>
  </w:style>
  <w:style w:type="paragraph" w:styleId="72">
    <w:name w:val="List"/>
    <w:basedOn w:val="1"/>
    <w:next w:val="1"/>
    <w:qFormat/>
    <w:uiPriority w:val="0"/>
    <w:pPr>
      <w:spacing w:line="360" w:lineRule="auto"/>
      <w:ind w:left="420" w:hanging="420"/>
    </w:pPr>
    <w:rPr>
      <w:rFonts w:ascii="Arial" w:hAnsi="Arial" w:eastAsia="楷体_GB2312"/>
      <w:sz w:val="24"/>
      <w:szCs w:val="20"/>
    </w:rPr>
  </w:style>
  <w:style w:type="paragraph" w:styleId="73">
    <w:name w:val="footnote text"/>
    <w:basedOn w:val="1"/>
    <w:next w:val="1"/>
    <w:link w:val="400"/>
    <w:qFormat/>
    <w:uiPriority w:val="99"/>
    <w:pPr>
      <w:adjustRightInd w:val="0"/>
      <w:spacing w:line="312" w:lineRule="atLeast"/>
      <w:jc w:val="left"/>
      <w:textAlignment w:val="baseline"/>
    </w:pPr>
    <w:rPr>
      <w:kern w:val="0"/>
      <w:sz w:val="18"/>
      <w:szCs w:val="20"/>
    </w:rPr>
  </w:style>
  <w:style w:type="paragraph" w:styleId="74">
    <w:name w:val="toc 6"/>
    <w:basedOn w:val="1"/>
    <w:next w:val="1"/>
    <w:qFormat/>
    <w:uiPriority w:val="39"/>
    <w:pPr>
      <w:ind w:left="2100" w:leftChars="1000"/>
    </w:pPr>
  </w:style>
  <w:style w:type="paragraph" w:styleId="75">
    <w:name w:val="List 5"/>
    <w:basedOn w:val="1"/>
    <w:qFormat/>
    <w:uiPriority w:val="0"/>
    <w:pPr>
      <w:spacing w:line="360" w:lineRule="auto"/>
      <w:ind w:left="100" w:leftChars="800" w:hanging="200" w:hangingChars="200"/>
    </w:pPr>
    <w:rPr>
      <w:rFonts w:ascii="Calibri" w:hAnsi="Calibri"/>
      <w:szCs w:val="22"/>
    </w:rPr>
  </w:style>
  <w:style w:type="paragraph" w:styleId="76">
    <w:name w:val="Body Text Indent 3"/>
    <w:basedOn w:val="1"/>
    <w:link w:val="172"/>
    <w:qFormat/>
    <w:uiPriority w:val="99"/>
    <w:pPr>
      <w:autoSpaceDE w:val="0"/>
      <w:autoSpaceDN w:val="0"/>
      <w:adjustRightInd w:val="0"/>
      <w:spacing w:before="120" w:line="22" w:lineRule="atLeast"/>
      <w:ind w:left="720" w:firstLine="480"/>
      <w:jc w:val="left"/>
    </w:pPr>
    <w:rPr>
      <w:rFonts w:ascii="宋体"/>
      <w:kern w:val="0"/>
      <w:sz w:val="24"/>
      <w:szCs w:val="20"/>
    </w:rPr>
  </w:style>
  <w:style w:type="paragraph" w:styleId="77">
    <w:name w:val="index 7"/>
    <w:basedOn w:val="1"/>
    <w:next w:val="1"/>
    <w:qFormat/>
    <w:uiPriority w:val="0"/>
    <w:pPr>
      <w:spacing w:line="360" w:lineRule="auto"/>
      <w:ind w:left="1200" w:leftChars="1200"/>
    </w:pPr>
    <w:rPr>
      <w:sz w:val="24"/>
    </w:rPr>
  </w:style>
  <w:style w:type="paragraph" w:styleId="78">
    <w:name w:val="index 9"/>
    <w:basedOn w:val="1"/>
    <w:next w:val="1"/>
    <w:qFormat/>
    <w:uiPriority w:val="0"/>
    <w:pPr>
      <w:spacing w:line="360" w:lineRule="auto"/>
      <w:ind w:left="1600" w:leftChars="1600"/>
    </w:pPr>
    <w:rPr>
      <w:sz w:val="24"/>
    </w:rPr>
  </w:style>
  <w:style w:type="paragraph" w:styleId="79">
    <w:name w:val="table of figures"/>
    <w:basedOn w:val="1"/>
    <w:next w:val="1"/>
    <w:qFormat/>
    <w:uiPriority w:val="0"/>
    <w:pPr>
      <w:ind w:left="840" w:leftChars="200" w:hanging="420" w:hangingChars="200"/>
    </w:pPr>
  </w:style>
  <w:style w:type="paragraph" w:styleId="80">
    <w:name w:val="toc 2"/>
    <w:basedOn w:val="1"/>
    <w:next w:val="1"/>
    <w:qFormat/>
    <w:uiPriority w:val="39"/>
    <w:pPr>
      <w:tabs>
        <w:tab w:val="right" w:leader="dot" w:pos="8937"/>
      </w:tabs>
      <w:spacing w:line="312" w:lineRule="auto"/>
      <w:ind w:left="420" w:leftChars="200"/>
    </w:pPr>
  </w:style>
  <w:style w:type="paragraph" w:styleId="81">
    <w:name w:val="toc 9"/>
    <w:basedOn w:val="1"/>
    <w:next w:val="1"/>
    <w:qFormat/>
    <w:uiPriority w:val="39"/>
    <w:pPr>
      <w:ind w:left="3360" w:leftChars="1600"/>
    </w:pPr>
  </w:style>
  <w:style w:type="paragraph" w:styleId="82">
    <w:name w:val="List 4"/>
    <w:basedOn w:val="1"/>
    <w:qFormat/>
    <w:uiPriority w:val="0"/>
    <w:pPr>
      <w:spacing w:line="360" w:lineRule="auto"/>
      <w:ind w:left="100" w:leftChars="600" w:hanging="200" w:hangingChars="200"/>
    </w:pPr>
    <w:rPr>
      <w:rFonts w:ascii="Calibri" w:hAnsi="Calibri"/>
      <w:szCs w:val="22"/>
    </w:rPr>
  </w:style>
  <w:style w:type="paragraph" w:styleId="83">
    <w:name w:val="List Continue 2"/>
    <w:basedOn w:val="1"/>
    <w:qFormat/>
    <w:uiPriority w:val="0"/>
    <w:pPr>
      <w:spacing w:after="120" w:line="360" w:lineRule="auto"/>
      <w:ind w:left="840" w:leftChars="400"/>
    </w:pPr>
    <w:rPr>
      <w:rFonts w:ascii="Calibri" w:hAnsi="Calibri"/>
      <w:szCs w:val="22"/>
    </w:rPr>
  </w:style>
  <w:style w:type="paragraph" w:styleId="84">
    <w:name w:val="Message Header"/>
    <w:basedOn w:val="1"/>
    <w:next w:val="1"/>
    <w:link w:val="359"/>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kern w:val="0"/>
      <w:sz w:val="24"/>
    </w:rPr>
  </w:style>
  <w:style w:type="paragraph" w:styleId="85">
    <w:name w:val="HTML Preformatted"/>
    <w:basedOn w:val="1"/>
    <w:link w:val="17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8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87">
    <w:name w:val="List Continue 3"/>
    <w:basedOn w:val="1"/>
    <w:qFormat/>
    <w:uiPriority w:val="0"/>
    <w:pPr>
      <w:spacing w:after="120" w:line="360" w:lineRule="auto"/>
      <w:ind w:left="1260" w:leftChars="600"/>
    </w:pPr>
    <w:rPr>
      <w:rFonts w:ascii="Calibri" w:hAnsi="Calibri"/>
      <w:szCs w:val="22"/>
    </w:rPr>
  </w:style>
  <w:style w:type="paragraph" w:styleId="88">
    <w:name w:val="index 2"/>
    <w:basedOn w:val="1"/>
    <w:next w:val="1"/>
    <w:qFormat/>
    <w:uiPriority w:val="0"/>
    <w:pPr>
      <w:spacing w:line="360" w:lineRule="auto"/>
      <w:ind w:left="200" w:leftChars="200"/>
    </w:pPr>
    <w:rPr>
      <w:sz w:val="24"/>
    </w:rPr>
  </w:style>
  <w:style w:type="paragraph" w:styleId="89">
    <w:name w:val="Title"/>
    <w:basedOn w:val="1"/>
    <w:link w:val="174"/>
    <w:qFormat/>
    <w:uiPriority w:val="0"/>
    <w:pPr>
      <w:jc w:val="center"/>
      <w:outlineLvl w:val="0"/>
    </w:pPr>
    <w:rPr>
      <w:b/>
      <w:sz w:val="32"/>
      <w:szCs w:val="20"/>
    </w:rPr>
  </w:style>
  <w:style w:type="character" w:styleId="91">
    <w:name w:val="Strong"/>
    <w:qFormat/>
    <w:uiPriority w:val="22"/>
    <w:rPr>
      <w:b/>
      <w:bCs/>
    </w:rPr>
  </w:style>
  <w:style w:type="character" w:styleId="92">
    <w:name w:val="endnote reference"/>
    <w:qFormat/>
    <w:uiPriority w:val="99"/>
    <w:rPr>
      <w:vertAlign w:val="superscript"/>
    </w:rPr>
  </w:style>
  <w:style w:type="character" w:styleId="93">
    <w:name w:val="page number"/>
    <w:qFormat/>
    <w:uiPriority w:val="0"/>
  </w:style>
  <w:style w:type="character" w:styleId="94">
    <w:name w:val="FollowedHyperlink"/>
    <w:qFormat/>
    <w:uiPriority w:val="99"/>
    <w:rPr>
      <w:color w:val="800080"/>
      <w:u w:val="single"/>
    </w:rPr>
  </w:style>
  <w:style w:type="character" w:styleId="95">
    <w:name w:val="Emphasis"/>
    <w:qFormat/>
    <w:uiPriority w:val="0"/>
    <w:rPr>
      <w:color w:val="CC0033"/>
    </w:rPr>
  </w:style>
  <w:style w:type="character" w:styleId="96">
    <w:name w:val="line number"/>
    <w:qFormat/>
    <w:uiPriority w:val="0"/>
  </w:style>
  <w:style w:type="character" w:styleId="97">
    <w:name w:val="HTML Definition"/>
    <w:qFormat/>
    <w:uiPriority w:val="0"/>
    <w:rPr>
      <w:i/>
      <w:iCs/>
    </w:rPr>
  </w:style>
  <w:style w:type="character" w:styleId="98">
    <w:name w:val="HTML Typewriter"/>
    <w:qFormat/>
    <w:uiPriority w:val="0"/>
    <w:rPr>
      <w:rFonts w:ascii="Courier New" w:hAnsi="Courier New" w:cs="Courier New"/>
      <w:sz w:val="20"/>
      <w:szCs w:val="20"/>
    </w:rPr>
  </w:style>
  <w:style w:type="character" w:styleId="99">
    <w:name w:val="HTML Acronym"/>
    <w:qFormat/>
    <w:uiPriority w:val="0"/>
  </w:style>
  <w:style w:type="character" w:styleId="100">
    <w:name w:val="HTML Variable"/>
    <w:qFormat/>
    <w:uiPriority w:val="0"/>
    <w:rPr>
      <w:i/>
      <w:iCs/>
    </w:rPr>
  </w:style>
  <w:style w:type="character" w:styleId="101">
    <w:name w:val="Hyperlink"/>
    <w:qFormat/>
    <w:uiPriority w:val="99"/>
    <w:rPr>
      <w:color w:val="0000FF"/>
      <w:u w:val="single"/>
    </w:rPr>
  </w:style>
  <w:style w:type="character" w:styleId="102">
    <w:name w:val="HTML Code"/>
    <w:qFormat/>
    <w:uiPriority w:val="0"/>
    <w:rPr>
      <w:rFonts w:ascii="Courier New" w:hAnsi="Courier New" w:cs="Courier New"/>
      <w:sz w:val="20"/>
      <w:szCs w:val="20"/>
    </w:rPr>
  </w:style>
  <w:style w:type="character" w:styleId="103">
    <w:name w:val="annotation reference"/>
    <w:qFormat/>
    <w:uiPriority w:val="0"/>
    <w:rPr>
      <w:sz w:val="21"/>
      <w:szCs w:val="21"/>
    </w:rPr>
  </w:style>
  <w:style w:type="character" w:styleId="104">
    <w:name w:val="HTML Cite"/>
    <w:qFormat/>
    <w:uiPriority w:val="0"/>
    <w:rPr>
      <w:i/>
      <w:iCs/>
    </w:rPr>
  </w:style>
  <w:style w:type="character" w:styleId="105">
    <w:name w:val="footnote reference"/>
    <w:qFormat/>
    <w:uiPriority w:val="99"/>
    <w:rPr>
      <w:rFonts w:ascii="Times New Roman" w:hAnsi="Times New Roman" w:eastAsia="宋体" w:cs="Times New Roman"/>
      <w:vertAlign w:val="superscript"/>
    </w:rPr>
  </w:style>
  <w:style w:type="character" w:styleId="106">
    <w:name w:val="HTML Keyboard"/>
    <w:qFormat/>
    <w:uiPriority w:val="0"/>
    <w:rPr>
      <w:rFonts w:ascii="Courier New" w:hAnsi="Courier New" w:cs="Courier New"/>
      <w:sz w:val="20"/>
      <w:szCs w:val="20"/>
    </w:rPr>
  </w:style>
  <w:style w:type="character" w:styleId="107">
    <w:name w:val="HTML Sample"/>
    <w:qFormat/>
    <w:uiPriority w:val="0"/>
    <w:rPr>
      <w:rFonts w:ascii="Courier New" w:hAnsi="Courier New" w:cs="Courier New"/>
    </w:rPr>
  </w:style>
  <w:style w:type="table" w:styleId="109">
    <w:name w:val="Table Grid"/>
    <w:basedOn w:val="10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styleId="110">
    <w:name w:val="Table Theme"/>
    <w:basedOn w:val="108"/>
    <w:qFormat/>
    <w:uiPriority w:val="0"/>
    <w:pPr>
      <w:widowControl w:val="0"/>
      <w:spacing w:line="360" w:lineRule="auto"/>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111">
    <w:name w:val="Table Colorful 1"/>
    <w:basedOn w:val="108"/>
    <w:qFormat/>
    <w:uiPriority w:val="0"/>
    <w:pPr>
      <w:widowControl w:val="0"/>
      <w:spacing w:line="360" w:lineRule="auto"/>
      <w:jc w:val="both"/>
    </w:pPr>
    <w:rPr>
      <w:rFonts w:ascii="Calibri" w:hAnsi="Calibr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Layout w:type="fixed"/>
      <w:tblCellMar>
        <w:top w:w="0" w:type="dxa"/>
        <w:left w:w="108" w:type="dxa"/>
        <w:bottom w:w="0" w:type="dxa"/>
        <w:right w:w="108" w:type="dxa"/>
      </w:tblCellMar>
    </w:tblPr>
    <w:tcPr>
      <w:shd w:val="solid" w:color="008080" w:fill="FFFFFF"/>
    </w:tcPr>
    <w:tblStylePr w:type="firstRow">
      <w:rPr>
        <w:b/>
        <w:bCs/>
        <w:i/>
        <w:iCs/>
      </w:rPr>
      <w:tblPr>
        <w:tblLayout w:type="fixed"/>
      </w:tblPr>
      <w:tcPr>
        <w:tcBorders>
          <w:top w:val="nil"/>
          <w:left w:val="nil"/>
          <w:bottom w:val="nil"/>
          <w:right w:val="nil"/>
          <w:insideH w:val="nil"/>
          <w:insideV w:val="nil"/>
          <w:tl2br w:val="nil"/>
          <w:tr2bl w:val="nil"/>
        </w:tcBorders>
        <w:shd w:val="solid" w:color="000000" w:fill="FFFFFF"/>
      </w:tcPr>
    </w:tblStylePr>
    <w:tblStylePr w:type="firstCol">
      <w:rPr>
        <w:b/>
        <w:bCs/>
        <w:i/>
        <w:iCs/>
      </w:rPr>
      <w:tblPr>
        <w:tblLayout w:type="fixed"/>
      </w:tblPr>
      <w:tcPr>
        <w:tcBorders>
          <w:top w:val="nil"/>
          <w:left w:val="nil"/>
          <w:bottom w:val="nil"/>
          <w:right w:val="nil"/>
          <w:insideH w:val="nil"/>
          <w:insideV w:val="nil"/>
          <w:tl2br w:val="nil"/>
          <w:tr2bl w:val="nil"/>
        </w:tcBorders>
        <w:shd w:val="solid" w:color="000080" w:fill="FFFFFF"/>
      </w:tcPr>
    </w:tblStylePr>
    <w:tblStylePr w:type="nwCell">
      <w:tblPr>
        <w:tblLayout w:type="fixed"/>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blLayout w:type="fixed"/>
      </w:tblPr>
      <w:tcPr>
        <w:tcBorders>
          <w:top w:val="nil"/>
          <w:left w:val="nil"/>
          <w:bottom w:val="nil"/>
          <w:right w:val="nil"/>
          <w:insideH w:val="nil"/>
          <w:insideV w:val="nil"/>
          <w:tl2br w:val="nil"/>
          <w:tr2bl w:val="nil"/>
        </w:tcBorders>
      </w:tcPr>
    </w:tblStylePr>
  </w:style>
  <w:style w:type="table" w:styleId="112">
    <w:name w:val="Table Colorful 2"/>
    <w:basedOn w:val="108"/>
    <w:qFormat/>
    <w:uiPriority w:val="0"/>
    <w:pPr>
      <w:widowControl w:val="0"/>
      <w:spacing w:line="360" w:lineRule="auto"/>
      <w:jc w:val="both"/>
    </w:pPr>
    <w:rPr>
      <w:rFonts w:ascii="Calibri" w:hAnsi="Calibri"/>
    </w:rPr>
    <w:tblPr>
      <w:tblBorders>
        <w:bottom w:val="single" w:color="000000" w:sz="12" w:space="0"/>
      </w:tblBorders>
      <w:tblLayout w:type="fixed"/>
      <w:tblCellMar>
        <w:top w:w="0" w:type="dxa"/>
        <w:left w:w="108" w:type="dxa"/>
        <w:bottom w:w="0" w:type="dxa"/>
        <w:right w:w="108" w:type="dxa"/>
      </w:tblCellMar>
    </w:tblPr>
    <w:tcPr>
      <w:shd w:val="pct20" w:color="FFFF00" w:fill="FFFFFF"/>
    </w:tcPr>
    <w:tblStylePr w:type="firstRow">
      <w:rPr>
        <w:b/>
        <w:bCs/>
        <w:i/>
        <w:iCs/>
        <w:color w:val="FFFFFF"/>
      </w:rPr>
      <w:tblPr>
        <w:tblLayout w:type="fixed"/>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blLayout w:type="fixed"/>
      </w:tblPr>
      <w:tcPr>
        <w:tcBorders>
          <w:top w:val="nil"/>
          <w:left w:val="nil"/>
          <w:bottom w:val="nil"/>
          <w:right w:val="nil"/>
          <w:insideH w:val="nil"/>
          <w:insideV w:val="nil"/>
          <w:tl2br w:val="nil"/>
          <w:tr2bl w:val="nil"/>
        </w:tcBorders>
      </w:tcPr>
    </w:tblStylePr>
    <w:tblStylePr w:type="lastCol">
      <w:tblPr>
        <w:tblLayout w:type="fixed"/>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blLayout w:type="fixed"/>
      </w:tblPr>
      <w:tcPr>
        <w:tcBorders>
          <w:top w:val="nil"/>
          <w:left w:val="nil"/>
          <w:bottom w:val="nil"/>
          <w:right w:val="nil"/>
          <w:insideH w:val="nil"/>
          <w:insideV w:val="nil"/>
          <w:tl2br w:val="nil"/>
          <w:tr2bl w:val="nil"/>
        </w:tcBorders>
      </w:tcPr>
    </w:tblStylePr>
  </w:style>
  <w:style w:type="table" w:styleId="113">
    <w:name w:val="Table Colorful 3"/>
    <w:basedOn w:val="108"/>
    <w:qFormat/>
    <w:uiPriority w:val="0"/>
    <w:pPr>
      <w:widowControl w:val="0"/>
      <w:spacing w:line="360" w:lineRule="auto"/>
      <w:jc w:val="both"/>
    </w:pPr>
    <w:rPr>
      <w:rFonts w:ascii="Calibri" w:hAnsi="Calibri"/>
    </w:rPr>
    <w:tblPr>
      <w:tblBorders>
        <w:top w:val="single" w:color="000000" w:sz="18" w:space="0"/>
        <w:left w:val="single" w:color="000000" w:sz="18" w:space="0"/>
        <w:bottom w:val="single" w:color="000000" w:sz="18" w:space="0"/>
        <w:right w:val="single" w:color="000000" w:sz="18" w:space="0"/>
        <w:insideH w:val="single" w:color="C0C0C0" w:sz="6" w:space="0"/>
      </w:tblBorders>
      <w:tblLayout w:type="fixed"/>
      <w:tblCellMar>
        <w:top w:w="0" w:type="dxa"/>
        <w:left w:w="108" w:type="dxa"/>
        <w:bottom w:w="0" w:type="dxa"/>
        <w:right w:w="108" w:type="dxa"/>
      </w:tblCellMar>
    </w:tblPr>
    <w:tcPr>
      <w:shd w:val="pct25" w:color="008080" w:fill="FFFFFF"/>
    </w:tcPr>
    <w:tblStylePr w:type="firstRow">
      <w:tblPr>
        <w:tblLayout w:type="fixed"/>
      </w:tblPr>
      <w:tcPr>
        <w:tcBorders>
          <w:top w:val="nil"/>
          <w:left w:val="nil"/>
          <w:bottom w:val="single" w:color="000000" w:sz="6" w:space="0"/>
          <w:right w:val="nil"/>
          <w:insideH w:val="nil"/>
          <w:insideV w:val="nil"/>
          <w:tl2br w:val="nil"/>
          <w:tr2bl w:val="nil"/>
        </w:tcBorders>
        <w:shd w:val="solid" w:color="008080" w:fill="FFFFFF"/>
      </w:tcPr>
    </w:tblStylePr>
    <w:tblStylePr w:type="firstCol">
      <w:tblPr>
        <w:tblLayout w:type="fixed"/>
      </w:tblPr>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blPr>
        <w:tblLayout w:type="fixed"/>
      </w:tblPr>
      <w:tcPr>
        <w:tcBorders>
          <w:top w:val="nil"/>
          <w:left w:val="nil"/>
          <w:bottom w:val="nil"/>
          <w:right w:val="nil"/>
          <w:insideH w:val="nil"/>
          <w:insideV w:val="nil"/>
          <w:tl2br w:val="nil"/>
          <w:tr2bl w:val="nil"/>
        </w:tcBorders>
        <w:shd w:val="solid" w:color="000000" w:fill="FFFFFF"/>
      </w:tcPr>
    </w:tblStylePr>
  </w:style>
  <w:style w:type="table" w:styleId="114">
    <w:name w:val="Table Elegant"/>
    <w:basedOn w:val="108"/>
    <w:qFormat/>
    <w:uiPriority w:val="0"/>
    <w:pPr>
      <w:widowControl w:val="0"/>
      <w:spacing w:line="360" w:lineRule="auto"/>
      <w:jc w:val="both"/>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blPr>
        <w:tblLayout w:type="fixed"/>
      </w:tblPr>
      <w:tcPr>
        <w:tcBorders>
          <w:top w:val="nil"/>
          <w:left w:val="nil"/>
          <w:bottom w:val="nil"/>
          <w:right w:val="nil"/>
          <w:insideH w:val="nil"/>
          <w:insideV w:val="nil"/>
          <w:tl2br w:val="nil"/>
          <w:tr2bl w:val="nil"/>
        </w:tcBorders>
      </w:tcPr>
    </w:tblStylePr>
  </w:style>
  <w:style w:type="table" w:styleId="115">
    <w:name w:val="Table Classic 1"/>
    <w:basedOn w:val="108"/>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i/>
        <w:iCs/>
      </w:rPr>
      <w:tblPr>
        <w:tblLayout w:type="fixed"/>
      </w:tblPr>
      <w:tcPr>
        <w:tcBorders>
          <w:top w:val="nil"/>
          <w:left w:val="nil"/>
          <w:bottom w:val="single" w:color="000000" w:sz="6" w:space="0"/>
          <w:right w:val="nil"/>
          <w:insideH w:val="nil"/>
          <w:insideV w:val="nil"/>
          <w:tl2br w:val="nil"/>
          <w:tr2bl w:val="nil"/>
        </w:tcBorders>
      </w:tcPr>
    </w:tblStylePr>
    <w:tblStylePr w:type="lastRow">
      <w:rPr>
        <w:color w:val="auto"/>
      </w:rPr>
      <w:tblPr>
        <w:tblLayout w:type="fixed"/>
      </w:tblPr>
      <w:tcPr>
        <w:tcBorders>
          <w:top w:val="single" w:color="000000" w:sz="6" w:space="0"/>
          <w:left w:val="nil"/>
          <w:bottom w:val="nil"/>
          <w:right w:val="nil"/>
          <w:insideH w:val="nil"/>
          <w:insideV w:val="nil"/>
          <w:tl2br w:val="nil"/>
          <w:tr2bl w:val="nil"/>
        </w:tcBorders>
      </w:tcPr>
    </w:tblStylePr>
    <w:tblStylePr w:type="firstCol">
      <w:tblPr>
        <w:tblLayout w:type="fixed"/>
      </w:tblPr>
      <w:tcPr>
        <w:tcBorders>
          <w:top w:val="nil"/>
          <w:left w:val="nil"/>
          <w:bottom w:val="nil"/>
          <w:right w:val="single" w:color="000000" w:sz="6" w:space="0"/>
          <w:insideH w:val="nil"/>
          <w:insideV w:val="nil"/>
          <w:tl2br w:val="nil"/>
          <w:tr2bl w:val="nil"/>
        </w:tcBorders>
      </w:tcPr>
    </w:tblStylePr>
    <w:tblStylePr w:type="neCell">
      <w:rPr>
        <w:b/>
        <w:bCs/>
        <w:i w:val="0"/>
        <w:iCs w:val="0"/>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16">
    <w:name w:val="Table Classic 2"/>
    <w:basedOn w:val="108"/>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color w:val="FFFFFF"/>
      </w:rPr>
      <w:tblPr>
        <w:tblLayout w:type="fixed"/>
      </w:tblPr>
      <w:tcPr>
        <w:tcBorders>
          <w:top w:val="nil"/>
          <w:left w:val="nil"/>
          <w:bottom w:val="single" w:color="000000" w:sz="6" w:space="0"/>
          <w:right w:val="nil"/>
          <w:insideH w:val="nil"/>
          <w:insideV w:val="nil"/>
          <w:tl2br w:val="nil"/>
          <w:tr2bl w:val="nil"/>
        </w:tcBorders>
        <w:shd w:val="solid" w:color="800080" w:fill="FFFFFF"/>
      </w:tcPr>
    </w:tblStylePr>
    <w:tblStylePr w:type="lastRow">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shd w:val="solid" w:color="C0C0C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nil"/>
          <w:tr2bl w:val="nil"/>
        </w:tcBorders>
        <w:shd w:val="solid" w:color="800080" w:fill="FFFFFF"/>
      </w:tcPr>
    </w:tblStylePr>
    <w:tblStylePr w:type="swCell">
      <w:rPr>
        <w:color w:val="000080"/>
      </w:rPr>
      <w:tblPr>
        <w:tblLayout w:type="fixed"/>
      </w:tblPr>
      <w:tcPr>
        <w:tcBorders>
          <w:top w:val="nil"/>
          <w:left w:val="nil"/>
          <w:bottom w:val="nil"/>
          <w:right w:val="nil"/>
          <w:insideH w:val="nil"/>
          <w:insideV w:val="nil"/>
          <w:tl2br w:val="nil"/>
          <w:tr2bl w:val="nil"/>
        </w:tcBorders>
      </w:tcPr>
    </w:tblStylePr>
  </w:style>
  <w:style w:type="table" w:styleId="117">
    <w:name w:val="Table Classic 3"/>
    <w:basedOn w:val="108"/>
    <w:qFormat/>
    <w:uiPriority w:val="0"/>
    <w:pPr>
      <w:widowControl w:val="0"/>
      <w:spacing w:line="360" w:lineRule="auto"/>
      <w:jc w:val="both"/>
    </w:pPr>
    <w:rPr>
      <w:rFonts w:ascii="Calibri" w:hAnsi="Calibri"/>
      <w:color w:val="000080"/>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solid" w:color="C0C0C0" w:fill="FFFFFF"/>
    </w:tcPr>
    <w:tblStylePr w:type="firstRow">
      <w:rPr>
        <w:b/>
        <w:bCs/>
        <w:i/>
        <w:iCs/>
        <w:color w:val="FFFFFF"/>
      </w:rPr>
      <w:tblPr>
        <w:tblLayout w:type="fixed"/>
      </w:tbl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blPr>
        <w:tblLayout w:type="fixed"/>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blLayout w:type="fixed"/>
      </w:tblPr>
      <w:tcPr>
        <w:tcBorders>
          <w:top w:val="nil"/>
          <w:left w:val="nil"/>
          <w:bottom w:val="nil"/>
          <w:right w:val="nil"/>
          <w:insideH w:val="nil"/>
          <w:insideV w:val="nil"/>
          <w:tl2br w:val="nil"/>
          <w:tr2bl w:val="nil"/>
        </w:tcBorders>
      </w:tcPr>
    </w:tblStylePr>
  </w:style>
  <w:style w:type="table" w:styleId="118">
    <w:name w:val="Table Classic 4"/>
    <w:basedOn w:val="108"/>
    <w:qFormat/>
    <w:uiPriority w:val="0"/>
    <w:pPr>
      <w:widowControl w:val="0"/>
      <w:spacing w:line="360" w:lineRule="auto"/>
      <w:jc w:val="both"/>
    </w:pPr>
    <w:rPr>
      <w:rFonts w:ascii="Calibri" w:hAnsi="Calibri"/>
    </w:rPr>
    <w:tblPr>
      <w:tblBorders>
        <w:top w:val="single" w:color="000000" w:sz="12" w:space="0"/>
        <w:left w:val="single" w:color="000000" w:sz="6" w:space="0"/>
        <w:bottom w:val="single" w:color="000000" w:sz="12" w:space="0"/>
        <w:right w:val="single" w:color="000000" w:sz="6" w:space="0"/>
      </w:tblBorders>
      <w:tblLayout w:type="fixed"/>
      <w:tblCellMar>
        <w:top w:w="0" w:type="dxa"/>
        <w:left w:w="108" w:type="dxa"/>
        <w:bottom w:w="0" w:type="dxa"/>
        <w:right w:w="108" w:type="dxa"/>
      </w:tblCellMar>
    </w:tblPr>
    <w:tcPr>
      <w:shd w:val="clear" w:color="auto" w:fill="auto"/>
    </w:tcPr>
    <w:tblStylePr w:type="firstRow">
      <w:rPr>
        <w:b/>
        <w:bCs/>
        <w:i/>
        <w:iCs/>
        <w:color w:val="FFFFFF"/>
      </w:rPr>
      <w:tblPr>
        <w:tblLayout w:type="fixed"/>
      </w:tbl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blPr>
        <w:tblLayout w:type="fixed"/>
      </w:tbl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nwCell">
      <w:rPr>
        <w:b/>
        <w:bCs/>
      </w:rPr>
      <w:tblPr>
        <w:tblLayout w:type="fixed"/>
      </w:tblPr>
      <w:tcPr>
        <w:tcBorders>
          <w:top w:val="nil"/>
          <w:left w:val="nil"/>
          <w:bottom w:val="nil"/>
          <w:right w:val="nil"/>
          <w:insideH w:val="nil"/>
          <w:insideV w:val="nil"/>
          <w:tl2br w:val="nil"/>
          <w:tr2bl w:val="nil"/>
        </w:tcBorders>
      </w:tcPr>
    </w:tblStylePr>
    <w:tblStylePr w:type="swCell">
      <w:rPr>
        <w:color w:val="000080"/>
      </w:rPr>
      <w:tblPr>
        <w:tblLayout w:type="fixed"/>
      </w:tblPr>
      <w:tcPr>
        <w:tcBorders>
          <w:top w:val="nil"/>
          <w:left w:val="nil"/>
          <w:bottom w:val="nil"/>
          <w:right w:val="nil"/>
          <w:insideH w:val="nil"/>
          <w:insideV w:val="nil"/>
          <w:tl2br w:val="nil"/>
          <w:tr2bl w:val="nil"/>
        </w:tcBorders>
      </w:tcPr>
    </w:tblStylePr>
  </w:style>
  <w:style w:type="table" w:styleId="119">
    <w:name w:val="Table Simple 1"/>
    <w:basedOn w:val="108"/>
    <w:qFormat/>
    <w:uiPriority w:val="0"/>
    <w:pPr>
      <w:widowControl w:val="0"/>
      <w:spacing w:line="360" w:lineRule="auto"/>
      <w:jc w:val="both"/>
    </w:pPr>
    <w:rPr>
      <w:rFonts w:ascii="Calibri" w:hAnsi="Calibri"/>
    </w:r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top w:val="nil"/>
          <w:left w:val="nil"/>
          <w:bottom w:val="single" w:color="008000" w:sz="6" w:space="0"/>
          <w:right w:val="nil"/>
          <w:insideH w:val="nil"/>
          <w:insideV w:val="nil"/>
          <w:tl2br w:val="nil"/>
          <w:tr2bl w:val="nil"/>
        </w:tcBorders>
      </w:tcPr>
    </w:tblStylePr>
    <w:tblStylePr w:type="lastRow">
      <w:tblPr>
        <w:tblLayout w:type="fixed"/>
      </w:tblPr>
      <w:tcPr>
        <w:tcBorders>
          <w:top w:val="single" w:color="008000" w:sz="6" w:space="0"/>
          <w:left w:val="nil"/>
          <w:bottom w:val="nil"/>
          <w:right w:val="nil"/>
          <w:insideH w:val="nil"/>
          <w:insideV w:val="nil"/>
          <w:tl2br w:val="nil"/>
          <w:tr2bl w:val="nil"/>
        </w:tcBorders>
      </w:tcPr>
    </w:tblStylePr>
  </w:style>
  <w:style w:type="table" w:styleId="120">
    <w:name w:val="Table Simple 2"/>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blPr>
        <w:tblLayout w:type="fixed"/>
      </w:tblPr>
      <w:tcPr>
        <w:tcBorders>
          <w:top w:val="nil"/>
          <w:left w:val="nil"/>
          <w:bottom w:val="single" w:color="000000" w:sz="12" w:space="0"/>
          <w:right w:val="nil"/>
          <w:insideH w:val="nil"/>
          <w:insideV w:val="nil"/>
          <w:tl2br w:val="nil"/>
          <w:tr2bl w:val="nil"/>
        </w:tcBorders>
      </w:tcPr>
    </w:tblStylePr>
    <w:tblStylePr w:type="lastRow">
      <w:rPr>
        <w:b/>
        <w:bCs/>
        <w:color w:val="auto"/>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single" w:color="000000" w:sz="12" w:space="0"/>
          <w:insideH w:val="nil"/>
          <w:insideV w:val="nil"/>
          <w:tl2br w:val="nil"/>
          <w:tr2bl w:val="nil"/>
        </w:tcBorders>
      </w:tcPr>
    </w:tblStylePr>
    <w:tblStylePr w:type="lastCol">
      <w:rPr>
        <w:b/>
        <w:bCs/>
      </w:rPr>
      <w:tblPr>
        <w:tblLayout w:type="fixed"/>
      </w:tblPr>
      <w:tcPr>
        <w:tcBorders>
          <w:top w:val="nil"/>
          <w:left w:val="single" w:color="000000" w:sz="6" w:space="0"/>
          <w:bottom w:val="nil"/>
          <w:right w:val="nil"/>
          <w:insideH w:val="nil"/>
          <w:insideV w:val="nil"/>
          <w:tl2br w:val="nil"/>
          <w:tr2bl w:val="nil"/>
        </w:tcBorders>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1">
    <w:name w:val="Table Simple 3"/>
    <w:basedOn w:val="108"/>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clear" w:color="auto" w:fill="auto"/>
    </w:tcPr>
    <w:tblStylePr w:type="firstRow">
      <w:rPr>
        <w:b/>
        <w:bCs/>
        <w:color w:val="FFFFFF"/>
      </w:rPr>
      <w:tblPr>
        <w:tblLayout w:type="fixed"/>
      </w:tblPr>
      <w:tcPr>
        <w:tcBorders>
          <w:top w:val="nil"/>
          <w:left w:val="nil"/>
          <w:bottom w:val="nil"/>
          <w:right w:val="nil"/>
          <w:insideH w:val="nil"/>
          <w:insideV w:val="nil"/>
          <w:tl2br w:val="nil"/>
          <w:tr2bl w:val="nil"/>
        </w:tcBorders>
        <w:shd w:val="solid" w:color="000000" w:fill="FFFFFF"/>
      </w:tcPr>
    </w:tblStylePr>
  </w:style>
  <w:style w:type="table" w:styleId="122">
    <w:name w:val="Table Subtle 1"/>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tblPr>
        <w:tblLayout w:type="fixed"/>
      </w:tblPr>
      <w:tcPr>
        <w:tcBorders>
          <w:top w:val="single" w:color="000000" w:sz="6" w:space="0"/>
          <w:left w:val="nil"/>
          <w:bottom w:val="single" w:color="000000" w:sz="12" w:space="0"/>
          <w:right w:val="nil"/>
          <w:insideH w:val="nil"/>
          <w:insideV w:val="nil"/>
          <w:tl2br w:val="nil"/>
          <w:tr2bl w:val="nil"/>
        </w:tcBorders>
      </w:tcPr>
    </w:tblStylePr>
    <w:tblStylePr w:type="lastRow">
      <w:tblPr>
        <w:tblLayout w:type="fixed"/>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blLayout w:type="fixed"/>
      </w:tblPr>
      <w:tcPr>
        <w:tcBorders>
          <w:top w:val="nil"/>
          <w:left w:val="nil"/>
          <w:bottom w:val="nil"/>
          <w:right w:val="single" w:color="000000" w:sz="12" w:space="0"/>
          <w:insideH w:val="nil"/>
          <w:insideV w:val="nil"/>
          <w:tl2br w:val="nil"/>
          <w:tr2bl w:val="nil"/>
        </w:tcBorders>
      </w:tcPr>
    </w:tblStylePr>
    <w:tblStylePr w:type="lastCol">
      <w:tblPr>
        <w:tblLayout w:type="fixed"/>
      </w:tblPr>
      <w:tcPr>
        <w:tcBorders>
          <w:top w:val="nil"/>
          <w:left w:val="single" w:color="000000" w:sz="12" w:space="0"/>
          <w:bottom w:val="nil"/>
          <w:right w:val="nil"/>
          <w:insideH w:val="nil"/>
          <w:insideV w:val="nil"/>
          <w:tl2br w:val="nil"/>
          <w:tr2bl w:val="nil"/>
        </w:tcBorders>
      </w:tcPr>
    </w:tblStylePr>
    <w:tblStylePr w:type="band1Horz">
      <w:tblPr>
        <w:tblLayout w:type="fixed"/>
      </w:tblPr>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3">
    <w:name w:val="Table Subtle 2"/>
    <w:basedOn w:val="108"/>
    <w:qFormat/>
    <w:uiPriority w:val="0"/>
    <w:pPr>
      <w:widowControl w:val="0"/>
      <w:spacing w:line="360" w:lineRule="auto"/>
      <w:jc w:val="both"/>
    </w:pPr>
    <w:rPr>
      <w:rFonts w:ascii="Calibri" w:hAnsi="Calibri"/>
    </w:rPr>
    <w:tblPr>
      <w:tblBorders>
        <w:left w:val="single" w:color="000000" w:sz="6" w:space="0"/>
        <w:right w:val="single" w:color="000000" w:sz="6" w:space="0"/>
      </w:tblBorders>
      <w:tblLayout w:type="fixed"/>
      <w:tblCellMar>
        <w:top w:w="0" w:type="dxa"/>
        <w:left w:w="108" w:type="dxa"/>
        <w:bottom w:w="0" w:type="dxa"/>
        <w:right w:w="108" w:type="dxa"/>
      </w:tblCellMar>
    </w:tblPr>
    <w:tblStylePr w:type="firstRow">
      <w:tblPr>
        <w:tblLayout w:type="fixed"/>
      </w:tblPr>
      <w:tcPr>
        <w:tcBorders>
          <w:top w:val="nil"/>
          <w:left w:val="nil"/>
          <w:bottom w:val="single" w:color="000000" w:sz="12" w:space="0"/>
          <w:right w:val="nil"/>
          <w:insideH w:val="nil"/>
          <w:insideV w:val="nil"/>
          <w:tl2br w:val="nil"/>
          <w:tr2bl w:val="nil"/>
        </w:tcBorders>
      </w:tcPr>
    </w:tblStylePr>
    <w:tblStylePr w:type="lastRow">
      <w:tblPr>
        <w:tblLayout w:type="fixed"/>
      </w:tblPr>
      <w:tcPr>
        <w:tcBorders>
          <w:top w:val="single" w:color="000000" w:sz="12" w:space="0"/>
          <w:left w:val="nil"/>
          <w:bottom w:val="nil"/>
          <w:right w:val="nil"/>
          <w:insideH w:val="nil"/>
          <w:insideV w:val="nil"/>
          <w:tl2br w:val="nil"/>
          <w:tr2bl w:val="nil"/>
        </w:tcBorders>
      </w:tcPr>
    </w:tblStylePr>
    <w:tblStylePr w:type="firstCol">
      <w:tblPr>
        <w:tblLayout w:type="fixed"/>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blLayout w:type="fixed"/>
      </w:tblPr>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4">
    <w:name w:val="Table List 1"/>
    <w:basedOn w:val="108"/>
    <w:qFormat/>
    <w:uiPriority w:val="0"/>
    <w:pPr>
      <w:widowControl w:val="0"/>
      <w:spacing w:line="360" w:lineRule="auto"/>
      <w:jc w:val="both"/>
    </w:pPr>
    <w:rPr>
      <w:rFonts w:ascii="Calibri" w:hAnsi="Calibri"/>
    </w:rPr>
    <w:tblPr>
      <w:tblBorders>
        <w:top w:val="single" w:color="008080" w:sz="12" w:space="0"/>
        <w:left w:val="single" w:color="008080" w:sz="6" w:space="0"/>
        <w:bottom w:val="single" w:color="008080" w:sz="12" w:space="0"/>
        <w:right w:val="single" w:color="008080" w:sz="6" w:space="0"/>
      </w:tblBorders>
      <w:tblLayout w:type="fixed"/>
      <w:tblCellMar>
        <w:top w:w="0" w:type="dxa"/>
        <w:left w:w="108" w:type="dxa"/>
        <w:bottom w:w="0" w:type="dxa"/>
        <w:right w:w="108" w:type="dxa"/>
      </w:tblCellMar>
    </w:tblPr>
    <w:tblStylePr w:type="firstRow">
      <w:rPr>
        <w:b/>
        <w:bCs/>
        <w:i/>
        <w:iCs/>
        <w:color w:val="800000"/>
      </w:rPr>
      <w:tblPr>
        <w:tblLayout w:type="fixed"/>
      </w:tblPr>
      <w:tcPr>
        <w:tcBorders>
          <w:top w:val="nil"/>
          <w:left w:val="nil"/>
          <w:bottom w:val="single" w:color="000000" w:sz="6" w:space="0"/>
          <w:right w:val="nil"/>
          <w:insideH w:val="nil"/>
          <w:insideV w:val="nil"/>
          <w:tl2br w:val="nil"/>
          <w:tr2bl w:val="nil"/>
        </w:tcBorders>
        <w:shd w:val="solid" w:color="C0C0C0" w:fill="FFFFFF"/>
      </w:tcPr>
    </w:tblStylePr>
    <w:tblStylePr w:type="lastRow">
      <w:tblPr>
        <w:tblLayout w:type="fixed"/>
      </w:tblPr>
      <w:tcPr>
        <w:tcBorders>
          <w:top w:val="single" w:color="000000" w:sz="6" w:space="0"/>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solid" w:color="C0C0C0" w:fill="FFFFFF"/>
      </w:tcPr>
    </w:tblStylePr>
    <w:tblStylePr w:type="band2Horz">
      <w:rPr>
        <w:color w:val="auto"/>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5">
    <w:name w:val="Table List 2"/>
    <w:basedOn w:val="108"/>
    <w:qFormat/>
    <w:uiPriority w:val="0"/>
    <w:pPr>
      <w:widowControl w:val="0"/>
      <w:spacing w:line="360" w:lineRule="auto"/>
      <w:jc w:val="both"/>
    </w:pPr>
    <w:rPr>
      <w:rFonts w:ascii="Calibri" w:hAnsi="Calibri"/>
    </w:rPr>
    <w:tblPr>
      <w:tblBorders>
        <w:bottom w:val="single" w:color="808080" w:sz="12" w:space="0"/>
      </w:tblBorders>
      <w:tblLayout w:type="fixed"/>
      <w:tblCellMar>
        <w:top w:w="0" w:type="dxa"/>
        <w:left w:w="108" w:type="dxa"/>
        <w:bottom w:w="0" w:type="dxa"/>
        <w:right w:w="108" w:type="dxa"/>
      </w:tblCellMar>
    </w:tblPr>
    <w:tblStylePr w:type="firstRow">
      <w:rPr>
        <w:b/>
        <w:bCs/>
        <w:color w:val="FFFFFF"/>
      </w:rPr>
      <w:tblPr>
        <w:tblLayout w:type="fixed"/>
      </w:tblPr>
      <w:tcPr>
        <w:tcBorders>
          <w:top w:val="nil"/>
          <w:left w:val="nil"/>
          <w:bottom w:val="single" w:color="000000" w:sz="6" w:space="0"/>
          <w:right w:val="nil"/>
          <w:insideH w:val="nil"/>
          <w:insideV w:val="nil"/>
          <w:tl2br w:val="nil"/>
          <w:tr2bl w:val="nil"/>
        </w:tcBorders>
        <w:shd w:val="pct75" w:color="008080" w:fill="008000"/>
      </w:tcPr>
    </w:tblStylePr>
    <w:tblStylePr w:type="lastRow">
      <w:tblPr>
        <w:tblLayout w:type="fixed"/>
      </w:tblPr>
      <w:tcPr>
        <w:tcBorders>
          <w:top w:val="single" w:color="000000" w:sz="6" w:space="0"/>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pct20" w:color="00FF00" w:fill="FFFFFF"/>
      </w:tcPr>
    </w:tblStylePr>
    <w:tblStylePr w:type="band2Horz">
      <w:rPr>
        <w:color w:val="auto"/>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6">
    <w:name w:val="Table List 3"/>
    <w:basedOn w:val="108"/>
    <w:qFormat/>
    <w:uiPriority w:val="0"/>
    <w:pPr>
      <w:widowControl w:val="0"/>
      <w:spacing w:line="360" w:lineRule="auto"/>
      <w:jc w:val="both"/>
    </w:pPr>
    <w:rPr>
      <w:rFonts w:ascii="Calibri" w:hAnsi="Calibri"/>
    </w:rPr>
    <w:tblPr>
      <w:tblBorders>
        <w:top w:val="single" w:color="000000" w:sz="12" w:space="0"/>
        <w:bottom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000080"/>
      </w:rPr>
      <w:tblPr>
        <w:tblLayout w:type="fixed"/>
      </w:tblPr>
      <w:tcPr>
        <w:tcBorders>
          <w:top w:val="nil"/>
          <w:left w:val="nil"/>
          <w:bottom w:val="single" w:color="000000" w:sz="12" w:space="0"/>
          <w:right w:val="nil"/>
          <w:insideH w:val="nil"/>
          <w:insideV w:val="nil"/>
          <w:tl2br w:val="nil"/>
          <w:tr2bl w:val="nil"/>
        </w:tcBorders>
      </w:tcPr>
    </w:tblStylePr>
    <w:tblStylePr w:type="lastRow">
      <w:tblPr>
        <w:tblLayout w:type="fixed"/>
      </w:tblPr>
      <w:tcPr>
        <w:tcBorders>
          <w:top w:val="single" w:color="000000" w:sz="12" w:space="0"/>
          <w:left w:val="nil"/>
          <w:bottom w:val="nil"/>
          <w:right w:val="nil"/>
          <w:insideH w:val="nil"/>
          <w:insideV w:val="nil"/>
          <w:tl2br w:val="nil"/>
          <w:tr2bl w:val="nil"/>
        </w:tcBorders>
      </w:tcPr>
    </w:tblStylePr>
    <w:tblStylePr w:type="swCell">
      <w:rPr>
        <w:i/>
        <w:iCs/>
        <w:color w:val="000080"/>
      </w:rPr>
      <w:tblPr>
        <w:tblLayout w:type="fixed"/>
      </w:tblPr>
      <w:tcPr>
        <w:tcBorders>
          <w:top w:val="nil"/>
          <w:left w:val="nil"/>
          <w:bottom w:val="nil"/>
          <w:right w:val="nil"/>
          <w:insideH w:val="nil"/>
          <w:insideV w:val="nil"/>
          <w:tl2br w:val="nil"/>
          <w:tr2bl w:val="nil"/>
        </w:tcBorders>
      </w:tcPr>
    </w:tblStylePr>
  </w:style>
  <w:style w:type="table" w:styleId="127">
    <w:name w:val="Table List 4"/>
    <w:basedOn w:val="108"/>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FFFFFF"/>
      </w:rPr>
      <w:tblPr>
        <w:tblLayout w:type="fixed"/>
      </w:tblPr>
      <w:tcPr>
        <w:tcBorders>
          <w:top w:val="nil"/>
          <w:left w:val="nil"/>
          <w:bottom w:val="single" w:color="000000" w:sz="12" w:space="0"/>
          <w:right w:val="nil"/>
          <w:insideH w:val="nil"/>
          <w:insideV w:val="nil"/>
          <w:tl2br w:val="nil"/>
          <w:tr2bl w:val="nil"/>
        </w:tcBorders>
        <w:shd w:val="solid" w:color="808080" w:fill="FFFFFF"/>
      </w:tcPr>
    </w:tblStylePr>
  </w:style>
  <w:style w:type="table" w:styleId="128">
    <w:name w:val="Table List 5"/>
    <w:basedOn w:val="108"/>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rPr>
      <w:tblPr>
        <w:tblLayout w:type="fixed"/>
      </w:tblPr>
      <w:tcPr>
        <w:tcBorders>
          <w:top w:val="nil"/>
          <w:left w:val="nil"/>
          <w:bottom w:val="single" w:color="000000" w:sz="12" w:space="0"/>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style>
  <w:style w:type="table" w:styleId="129">
    <w:name w:val="Table List 6"/>
    <w:basedOn w:val="108"/>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tblBorders>
      <w:tblLayout w:type="fixed"/>
      <w:tblCellMar>
        <w:top w:w="0" w:type="dxa"/>
        <w:left w:w="108" w:type="dxa"/>
        <w:bottom w:w="0" w:type="dxa"/>
        <w:right w:w="108" w:type="dxa"/>
      </w:tblCellMar>
    </w:tblPr>
    <w:tcPr>
      <w:shd w:val="pct50" w:color="000000" w:fill="FFFFFF"/>
    </w:tcPr>
    <w:tblStylePr w:type="firstRow">
      <w:rPr>
        <w:b/>
        <w:bCs/>
      </w:rPr>
      <w:tblPr>
        <w:tblLayout w:type="fixed"/>
      </w:tblPr>
      <w:tcPr>
        <w:tcBorders>
          <w:top w:val="nil"/>
          <w:left w:val="nil"/>
          <w:bottom w:val="single" w:color="000000" w:sz="12" w:space="0"/>
          <w:right w:val="nil"/>
          <w:insideH w:val="nil"/>
          <w:insideV w:val="nil"/>
          <w:tl2br w:val="nil"/>
          <w:tr2bl w:val="nil"/>
        </w:tcBorders>
      </w:tcPr>
    </w:tblStylePr>
    <w:tblStylePr w:type="firstCol">
      <w:rPr>
        <w:b/>
        <w:bCs/>
      </w:rPr>
      <w:tblPr>
        <w:tblLayout w:type="fixed"/>
      </w:tblPr>
      <w:tcPr>
        <w:tcBorders>
          <w:top w:val="nil"/>
          <w:left w:val="nil"/>
          <w:bottom w:val="nil"/>
          <w:right w:val="single" w:color="000000" w:sz="12" w:space="0"/>
          <w:insideH w:val="nil"/>
          <w:insideV w:val="nil"/>
          <w:tl2br w:val="nil"/>
          <w:tr2bl w:val="nil"/>
        </w:tcBorders>
      </w:tcPr>
    </w:tblStylePr>
    <w:tblStylePr w:type="band1Horz">
      <w:tblPr>
        <w:tblLayout w:type="fixed"/>
      </w:tblPr>
      <w:tcPr>
        <w:tcBorders>
          <w:top w:val="nil"/>
          <w:left w:val="nil"/>
          <w:bottom w:val="nil"/>
          <w:right w:val="nil"/>
          <w:insideH w:val="nil"/>
          <w:insideV w:val="nil"/>
          <w:tl2br w:val="nil"/>
          <w:tr2bl w:val="nil"/>
        </w:tcBorders>
        <w:shd w:val="pct25" w:color="000000" w:fill="FFFFFF"/>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30">
    <w:name w:val="Table List 7"/>
    <w:basedOn w:val="108"/>
    <w:qFormat/>
    <w:uiPriority w:val="0"/>
    <w:pPr>
      <w:widowControl w:val="0"/>
      <w:spacing w:line="360" w:lineRule="auto"/>
      <w:jc w:val="both"/>
    </w:pPr>
    <w:rPr>
      <w:rFonts w:ascii="Calibri" w:hAnsi="Calibri"/>
    </w:rPr>
    <w:tblPr>
      <w:tblBorders>
        <w:top w:val="single" w:color="008000" w:sz="12" w:space="0"/>
        <w:left w:val="single" w:color="008000" w:sz="6" w:space="0"/>
        <w:bottom w:val="single" w:color="008000" w:sz="12" w:space="0"/>
        <w:right w:val="single" w:color="008000" w:sz="6" w:space="0"/>
        <w:insideH w:val="single" w:color="000000" w:sz="6" w:space="0"/>
      </w:tblBorders>
      <w:tblLayout w:type="fixed"/>
      <w:tblCellMar>
        <w:top w:w="0" w:type="dxa"/>
        <w:left w:w="108" w:type="dxa"/>
        <w:bottom w:w="0" w:type="dxa"/>
        <w:right w:w="108" w:type="dxa"/>
      </w:tblCellMar>
    </w:tblPr>
    <w:tblStylePr w:type="firstRow">
      <w:rPr>
        <w:b/>
        <w:bCs/>
      </w:rPr>
      <w:tblPr>
        <w:tblLayout w:type="fixed"/>
      </w:tbl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blPr>
        <w:tblLayout w:type="fixed"/>
      </w:tblPr>
      <w:tcPr>
        <w:tcBorders>
          <w:top w:val="single" w:color="008000" w:sz="12"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pct20" w:color="000000" w:fill="FFFFFF"/>
      </w:tcPr>
    </w:tblStylePr>
    <w:tblStylePr w:type="band2Horz">
      <w:tblPr>
        <w:tblLayout w:type="fixed"/>
      </w:tblPr>
      <w:tcPr>
        <w:tcBorders>
          <w:top w:val="nil"/>
          <w:left w:val="nil"/>
          <w:bottom w:val="nil"/>
          <w:right w:val="nil"/>
          <w:insideH w:val="nil"/>
          <w:insideV w:val="nil"/>
          <w:tl2br w:val="nil"/>
          <w:tr2bl w:val="nil"/>
        </w:tcBorders>
        <w:shd w:val="pct25" w:color="FFFF00" w:fill="FFFFFF"/>
      </w:tcPr>
    </w:tblStylePr>
  </w:style>
  <w:style w:type="table" w:styleId="131">
    <w:name w:val="Table List 8"/>
    <w:basedOn w:val="108"/>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V w:val="single" w:color="000000" w:sz="6" w:space="0"/>
      </w:tblBorders>
      <w:tblLayout w:type="fixed"/>
      <w:tblCellMar>
        <w:top w:w="0" w:type="dxa"/>
        <w:left w:w="108" w:type="dxa"/>
        <w:bottom w:w="0" w:type="dxa"/>
        <w:right w:w="108" w:type="dxa"/>
      </w:tblCellMar>
    </w:tblPr>
    <w:tblStylePr w:type="firstRow">
      <w:rPr>
        <w:b/>
        <w:bCs/>
        <w:i/>
        <w:iCs/>
      </w:rPr>
      <w:tblPr>
        <w:tblLayout w:type="fixed"/>
      </w:tbl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pct25" w:color="FFFF00" w:fill="FFFFFF"/>
      </w:tcPr>
    </w:tblStylePr>
    <w:tblStylePr w:type="band2Horz">
      <w:tblPr>
        <w:tblLayout w:type="fixed"/>
      </w:tblPr>
      <w:tcPr>
        <w:tcBorders>
          <w:top w:val="nil"/>
          <w:left w:val="nil"/>
          <w:bottom w:val="nil"/>
          <w:right w:val="nil"/>
          <w:insideH w:val="nil"/>
          <w:insideV w:val="nil"/>
          <w:tl2br w:val="nil"/>
          <w:tr2bl w:val="nil"/>
        </w:tcBorders>
        <w:shd w:val="pct50" w:color="FF0000" w:fill="FFFFFF"/>
      </w:tcPr>
    </w:tblStylePr>
    <w:tblStylePr w:type="nwCell">
      <w:tblPr>
        <w:tblLayout w:type="fixed"/>
      </w:tblPr>
      <w:tcPr>
        <w:tcBorders>
          <w:top w:val="nil"/>
          <w:left w:val="nil"/>
          <w:bottom w:val="nil"/>
          <w:right w:val="nil"/>
          <w:insideH w:val="nil"/>
          <w:insideV w:val="nil"/>
          <w:tl2br w:val="single" w:color="auto" w:sz="6" w:space="0"/>
          <w:tr2bl w:val="nil"/>
        </w:tcBorders>
      </w:tcPr>
    </w:tblStylePr>
  </w:style>
  <w:style w:type="table" w:styleId="132">
    <w:name w:val="Table Contemporary"/>
    <w:basedOn w:val="108"/>
    <w:qFormat/>
    <w:uiPriority w:val="0"/>
    <w:pPr>
      <w:widowControl w:val="0"/>
      <w:spacing w:line="360" w:lineRule="auto"/>
      <w:jc w:val="both"/>
    </w:pPr>
    <w:rPr>
      <w:rFonts w:ascii="Calibri" w:hAnsi="Calibri"/>
    </w:rPr>
    <w:tblPr>
      <w:tblBorders>
        <w:insideH w:val="single" w:color="FFFFFF" w:sz="18" w:space="0"/>
        <w:insideV w:val="single" w:color="FFFFFF" w:sz="18" w:space="0"/>
      </w:tblBorders>
      <w:tblLayout w:type="fixed"/>
      <w:tblCellMar>
        <w:top w:w="0" w:type="dxa"/>
        <w:left w:w="108" w:type="dxa"/>
        <w:bottom w:w="0" w:type="dxa"/>
        <w:right w:w="108" w:type="dxa"/>
      </w:tblCellMar>
    </w:tblPr>
    <w:tblStylePr w:type="firstRow">
      <w:rPr>
        <w:b/>
        <w:bCs/>
        <w:color w:val="auto"/>
      </w:rPr>
      <w:tblPr>
        <w:tblLayout w:type="fixed"/>
      </w:tblPr>
      <w:tcPr>
        <w:tcBorders>
          <w:top w:val="nil"/>
          <w:left w:val="nil"/>
          <w:bottom w:val="nil"/>
          <w:right w:val="nil"/>
          <w:insideH w:val="nil"/>
          <w:insideV w:val="nil"/>
          <w:tl2br w:val="nil"/>
          <w:tr2bl w:val="nil"/>
        </w:tcBorders>
        <w:shd w:val="pct20" w:color="000000" w:fill="FFFFFF"/>
      </w:tcPr>
    </w:tblStylePr>
    <w:tblStylePr w:type="band1Horz">
      <w:rPr>
        <w:color w:val="auto"/>
      </w:rPr>
      <w:tblPr>
        <w:tblLayout w:type="fixed"/>
      </w:tblPr>
      <w:tcPr>
        <w:tcBorders>
          <w:top w:val="nil"/>
          <w:left w:val="nil"/>
          <w:bottom w:val="nil"/>
          <w:right w:val="nil"/>
          <w:insideH w:val="nil"/>
          <w:insideV w:val="nil"/>
          <w:tl2br w:val="nil"/>
          <w:tr2bl w:val="nil"/>
        </w:tcBorders>
        <w:shd w:val="pct5" w:color="000000" w:fill="FFFFFF"/>
      </w:tcPr>
    </w:tblStylePr>
    <w:tblStylePr w:type="band2Horz">
      <w:rPr>
        <w:color w:val="auto"/>
      </w:rPr>
      <w:tblPr>
        <w:tblLayout w:type="fixed"/>
      </w:tblPr>
      <w:tcPr>
        <w:tcBorders>
          <w:top w:val="nil"/>
          <w:left w:val="nil"/>
          <w:bottom w:val="nil"/>
          <w:right w:val="nil"/>
          <w:insideH w:val="nil"/>
          <w:insideV w:val="nil"/>
          <w:tl2br w:val="nil"/>
          <w:tr2bl w:val="nil"/>
        </w:tcBorders>
        <w:shd w:val="pct20" w:color="000000" w:fill="FFFFFF"/>
      </w:tcPr>
    </w:tblStylePr>
  </w:style>
  <w:style w:type="table" w:styleId="133">
    <w:name w:val="Table Columns 1"/>
    <w:basedOn w:val="108"/>
    <w:qFormat/>
    <w:uiPriority w:val="0"/>
    <w:pPr>
      <w:widowControl w:val="0"/>
      <w:spacing w:line="360" w:lineRule="auto"/>
      <w:jc w:val="both"/>
    </w:pPr>
    <w:rPr>
      <w:rFonts w:ascii="Calibri" w:hAnsi="Calibri"/>
      <w:b/>
      <w:bCs/>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blStylePr w:type="firstRow">
      <w:rPr>
        <w:b w:val="0"/>
        <w:bCs w:val="0"/>
      </w:rPr>
      <w:tblPr>
        <w:tblLayout w:type="fixed"/>
      </w:tblPr>
      <w:tcPr>
        <w:tcBorders>
          <w:top w:val="nil"/>
          <w:left w:val="nil"/>
          <w:bottom w:val="double" w:color="000000" w:sz="6" w:space="0"/>
          <w:right w:val="nil"/>
          <w:insideH w:val="nil"/>
          <w:insideV w:val="nil"/>
          <w:tl2br w:val="nil"/>
          <w:tr2bl w:val="nil"/>
        </w:tcBorders>
      </w:tcPr>
    </w:tblStylePr>
    <w:tblStylePr w:type="lastRow">
      <w:rPr>
        <w:b w:val="0"/>
        <w:bCs w:val="0"/>
      </w:rPr>
      <w:tblPr>
        <w:tblLayout w:type="fixed"/>
      </w:tblPr>
      <w:tcPr>
        <w:tcBorders>
          <w:top w:val="nil"/>
          <w:left w:val="nil"/>
          <w:bottom w:val="nil"/>
          <w:right w:val="nil"/>
          <w:insideH w:val="nil"/>
          <w:insideV w:val="nil"/>
          <w:tl2br w:val="nil"/>
          <w:tr2bl w:val="nil"/>
        </w:tcBorders>
      </w:tcPr>
    </w:tblStylePr>
    <w:tblStylePr w:type="firstCol">
      <w:rPr>
        <w:b w:val="0"/>
        <w:bCs w:val="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pct25" w:color="000000" w:fill="FFFFFF"/>
      </w:tcPr>
    </w:tblStylePr>
    <w:tblStylePr w:type="band2Vert">
      <w:rPr>
        <w:color w:val="auto"/>
      </w:rPr>
      <w:tblPr>
        <w:tblLayout w:type="fixed"/>
      </w:tblPr>
      <w:tcPr>
        <w:shd w:val="pct25" w:color="FFFF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34">
    <w:name w:val="Table Columns 2"/>
    <w:basedOn w:val="108"/>
    <w:qFormat/>
    <w:uiPriority w:val="0"/>
    <w:pPr>
      <w:widowControl w:val="0"/>
      <w:spacing w:line="360" w:lineRule="auto"/>
      <w:jc w:val="both"/>
    </w:pPr>
    <w:rPr>
      <w:rFonts w:ascii="Calibri" w:hAnsi="Calibri"/>
      <w:b/>
      <w:bCs/>
    </w:rPr>
    <w:tblPr>
      <w:tblLayout w:type="fixed"/>
      <w:tblCellMar>
        <w:top w:w="0" w:type="dxa"/>
        <w:left w:w="108" w:type="dxa"/>
        <w:bottom w:w="0" w:type="dxa"/>
        <w:right w:w="108" w:type="dxa"/>
      </w:tblCellMar>
    </w:tblPr>
    <w:tblStylePr w:type="firstRow">
      <w:rPr>
        <w:color w:val="FFFFFF"/>
      </w:rPr>
      <w:tblPr>
        <w:tblLayout w:type="fixed"/>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blLayout w:type="fixed"/>
      </w:tblPr>
      <w:tcPr>
        <w:tcBorders>
          <w:top w:val="nil"/>
          <w:left w:val="nil"/>
          <w:bottom w:val="nil"/>
          <w:right w:val="nil"/>
          <w:insideH w:val="nil"/>
          <w:insideV w:val="nil"/>
          <w:tl2br w:val="nil"/>
          <w:tr2bl w:val="nil"/>
        </w:tcBorders>
      </w:tcPr>
    </w:tblStylePr>
    <w:tblStylePr w:type="firstCol">
      <w:rPr>
        <w:b w:val="0"/>
        <w:bCs w:val="0"/>
        <w:color w:val="00000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pct30" w:color="000000" w:fill="FFFFFF"/>
      </w:tcPr>
    </w:tblStylePr>
    <w:tblStylePr w:type="band2Vert">
      <w:rPr>
        <w:color w:val="auto"/>
      </w:rPr>
      <w:tblPr>
        <w:tblLayout w:type="fixed"/>
      </w:tblPr>
      <w:tcPr>
        <w:shd w:val="pct25" w:color="00FF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35">
    <w:name w:val="Table Columns 3"/>
    <w:basedOn w:val="108"/>
    <w:qFormat/>
    <w:uiPriority w:val="0"/>
    <w:pPr>
      <w:widowControl w:val="0"/>
      <w:spacing w:line="360" w:lineRule="auto"/>
      <w:jc w:val="both"/>
    </w:pPr>
    <w:rPr>
      <w:rFonts w:ascii="Calibri" w:hAnsi="Calibri"/>
      <w:b/>
      <w:bCs/>
    </w:rPr>
    <w:tblPr>
      <w:tblBorders>
        <w:top w:val="single" w:color="000080" w:sz="6" w:space="0"/>
        <w:left w:val="single" w:color="000080" w:sz="6" w:space="0"/>
        <w:bottom w:val="single" w:color="000080" w:sz="6" w:space="0"/>
        <w:right w:val="single" w:color="000080" w:sz="6" w:space="0"/>
        <w:insideV w:val="single" w:color="000080" w:sz="6" w:space="0"/>
      </w:tblBorders>
      <w:tblLayout w:type="fixed"/>
      <w:tblCellMar>
        <w:top w:w="0" w:type="dxa"/>
        <w:left w:w="108" w:type="dxa"/>
        <w:bottom w:w="0" w:type="dxa"/>
        <w:right w:w="108" w:type="dxa"/>
      </w:tblCellMar>
    </w:tblPr>
    <w:tblStylePr w:type="firstRow">
      <w:rPr>
        <w:color w:val="FFFFFF"/>
      </w:rPr>
      <w:tblPr>
        <w:tblLayout w:type="fixed"/>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blLayout w:type="fixed"/>
      </w:tblPr>
      <w:tcPr>
        <w:tcBorders>
          <w:top w:val="single" w:color="000080" w:sz="6" w:space="0"/>
          <w:left w:val="nil"/>
          <w:bottom w:val="nil"/>
          <w:right w:val="nil"/>
          <w:insideH w:val="nil"/>
          <w:insideV w:val="nil"/>
          <w:tl2br w:val="nil"/>
          <w:tr2bl w:val="nil"/>
        </w:tcBorders>
      </w:tcPr>
    </w:tblStylePr>
    <w:tblStylePr w:type="firstCol">
      <w:rPr>
        <w:b w:val="0"/>
        <w:bCs w:val="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solid" w:color="C0C0C0" w:fill="FFFFFF"/>
      </w:tcPr>
    </w:tblStylePr>
    <w:tblStylePr w:type="band2Vert">
      <w:rPr>
        <w:color w:val="auto"/>
      </w:rPr>
      <w:tblPr>
        <w:tblLayout w:type="fixed"/>
      </w:tblPr>
      <w:tcPr>
        <w:shd w:val="pct10" w:color="0000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style>
  <w:style w:type="table" w:styleId="136">
    <w:name w:val="Table Columns 4"/>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color w:val="FFFFFF"/>
      </w:rPr>
      <w:tblPr>
        <w:tblLayout w:type="fixed"/>
      </w:tblPr>
      <w:tcPr>
        <w:tcBorders>
          <w:top w:val="nil"/>
          <w:left w:val="nil"/>
          <w:bottom w:val="nil"/>
          <w:right w:val="nil"/>
          <w:insideH w:val="nil"/>
          <w:insideV w:val="nil"/>
          <w:tl2br w:val="nil"/>
          <w:tr2bl w:val="nil"/>
        </w:tcBorders>
        <w:shd w:val="solid" w:color="000000" w:fill="FFFFFF"/>
      </w:tcPr>
    </w:tblStylePr>
    <w:tblStylePr w:type="lastRow">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pct50" w:color="008080" w:fill="FFFFFF"/>
      </w:tcPr>
    </w:tblStylePr>
    <w:tblStylePr w:type="band2Vert">
      <w:rPr>
        <w:color w:val="auto"/>
      </w:rPr>
      <w:tblPr>
        <w:tblLayout w:type="fixed"/>
      </w:tblPr>
      <w:tcPr>
        <w:shd w:val="pct10" w:color="000000" w:fill="FFFFFF"/>
      </w:tcPr>
    </w:tblStylePr>
  </w:style>
  <w:style w:type="table" w:styleId="137">
    <w:name w:val="Table Columns 5"/>
    <w:basedOn w:val="108"/>
    <w:qFormat/>
    <w:uiPriority w:val="0"/>
    <w:pPr>
      <w:widowControl w:val="0"/>
      <w:spacing w:line="360" w:lineRule="auto"/>
      <w:jc w:val="both"/>
    </w:pPr>
    <w:rPr>
      <w:rFonts w:ascii="Calibri" w:hAnsi="Calibri"/>
    </w:rPr>
    <w:tblPr>
      <w:tblBorders>
        <w:top w:val="single" w:color="808080" w:sz="12" w:space="0"/>
        <w:left w:val="single" w:color="808080" w:sz="12" w:space="0"/>
        <w:bottom w:val="single" w:color="808080" w:sz="12" w:space="0"/>
        <w:right w:val="single" w:color="808080" w:sz="12" w:space="0"/>
        <w:insideV w:val="single" w:color="C0C0C0" w:sz="6" w:space="0"/>
      </w:tblBorders>
      <w:tblLayout w:type="fixed"/>
      <w:tblCellMar>
        <w:top w:w="0" w:type="dxa"/>
        <w:left w:w="108" w:type="dxa"/>
        <w:bottom w:w="0" w:type="dxa"/>
        <w:right w:w="108" w:type="dxa"/>
      </w:tblCellMar>
    </w:tblPr>
    <w:tblStylePr w:type="firstRow">
      <w:rPr>
        <w:b/>
        <w:bCs/>
        <w:i/>
        <w:iCs/>
      </w:rPr>
      <w:tblPr>
        <w:tblLayout w:type="fixed"/>
      </w:tblPr>
      <w:tcPr>
        <w:tcBorders>
          <w:top w:val="nil"/>
          <w:left w:val="nil"/>
          <w:bottom w:val="single" w:color="808080" w:sz="6" w:space="0"/>
          <w:right w:val="nil"/>
          <w:insideH w:val="nil"/>
          <w:insideV w:val="nil"/>
          <w:tl2br w:val="nil"/>
          <w:tr2bl w:val="nil"/>
        </w:tcBorders>
      </w:tcPr>
    </w:tblStylePr>
    <w:tblStylePr w:type="lastRow">
      <w:rPr>
        <w:b/>
        <w:bCs/>
      </w:rPr>
      <w:tblPr>
        <w:tblLayout w:type="fixed"/>
      </w:tblPr>
      <w:tcPr>
        <w:tcBorders>
          <w:top w:val="single" w:color="80808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solid" w:color="C0C0C0" w:fill="FFFFFF"/>
      </w:tcPr>
    </w:tblStylePr>
    <w:tblStylePr w:type="band2Vert">
      <w:rPr>
        <w:color w:val="auto"/>
      </w:rPr>
    </w:tblStylePr>
  </w:style>
  <w:style w:type="table" w:styleId="138">
    <w:name w:val="Table Grid 1"/>
    <w:basedOn w:val="108"/>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blPr>
        <w:tblLayout w:type="fixed"/>
      </w:tblPr>
      <w:tcPr>
        <w:tcBorders>
          <w:top w:val="nil"/>
          <w:left w:val="nil"/>
          <w:bottom w:val="nil"/>
          <w:right w:val="nil"/>
          <w:insideH w:val="nil"/>
          <w:insideV w:val="nil"/>
          <w:tl2br w:val="nil"/>
          <w:tr2bl w:val="nil"/>
        </w:tcBorders>
      </w:tcPr>
    </w:tblStylePr>
    <w:tblStylePr w:type="lastCol">
      <w:rPr>
        <w:i/>
        <w:i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39">
    <w:name w:val="Table Grid 2"/>
    <w:basedOn w:val="108"/>
    <w:qFormat/>
    <w:uiPriority w:val="0"/>
    <w:pPr>
      <w:widowControl w:val="0"/>
      <w:spacing w:line="360" w:lineRule="auto"/>
      <w:jc w:val="both"/>
    </w:pPr>
    <w:rPr>
      <w:rFonts w:ascii="Calibri" w:hAnsi="Calibri"/>
    </w:rPr>
    <w:tblPr>
      <w:tblBorders>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rPr>
      <w:tblPr>
        <w:tblLayout w:type="fixed"/>
      </w:tblPr>
      <w:tcPr>
        <w:tcBorders>
          <w:top w:val="nil"/>
          <w:left w:val="nil"/>
          <w:bottom w:val="nil"/>
          <w:right w:val="nil"/>
          <w:insideH w:val="nil"/>
          <w:insideV w:val="nil"/>
          <w:tl2br w:val="nil"/>
          <w:tr2bl w:val="nil"/>
        </w:tcBorders>
      </w:tcPr>
    </w:tblStylePr>
    <w:tblStylePr w:type="lastRow">
      <w:rPr>
        <w:b/>
        <w:bCs/>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style>
  <w:style w:type="table" w:styleId="140">
    <w:name w:val="Table Grid 3"/>
    <w:basedOn w:val="108"/>
    <w:qFormat/>
    <w:uiPriority w:val="0"/>
    <w:pPr>
      <w:widowControl w:val="0"/>
      <w:spacing w:line="360" w:lineRule="auto"/>
      <w:jc w:val="both"/>
    </w:pPr>
    <w:rPr>
      <w:rFonts w:ascii="Calibri" w:hAnsi="Calibri"/>
    </w:rPr>
    <w:tblPr>
      <w:tblBorders>
        <w:top w:val="single" w:color="000000" w:sz="6" w:space="0"/>
        <w:left w:val="single" w:color="000000" w:sz="12" w:space="0"/>
        <w:bottom w:val="single" w:color="000000" w:sz="6" w:space="0"/>
        <w:right w:val="single" w:color="000000" w:sz="12" w:space="0"/>
        <w:insideV w:val="single" w:color="000000" w:sz="6"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1">
    <w:name w:val="Table Grid 4"/>
    <w:basedOn w:val="108"/>
    <w:qFormat/>
    <w:uiPriority w:val="0"/>
    <w:pPr>
      <w:widowControl w:val="0"/>
      <w:spacing w:line="360" w:lineRule="auto"/>
      <w:jc w:val="both"/>
    </w:pPr>
    <w:rPr>
      <w:rFonts w:ascii="Calibri" w:hAnsi="Calibri"/>
    </w:rPr>
    <w:tblPr>
      <w:tblBorders>
        <w:left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olor w:val="auto"/>
      </w:rPr>
      <w:tblPr>
        <w:tblLayout w:type="fixed"/>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blPr>
        <w:tblLayout w:type="fixed"/>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blLayout w:type="fixed"/>
      </w:tblPr>
      <w:tcPr>
        <w:tcBorders>
          <w:top w:val="nil"/>
          <w:left w:val="nil"/>
          <w:bottom w:val="nil"/>
          <w:right w:val="nil"/>
          <w:insideH w:val="nil"/>
          <w:insideV w:val="nil"/>
          <w:tl2br w:val="nil"/>
          <w:tr2bl w:val="nil"/>
        </w:tcBorders>
      </w:tcPr>
    </w:tblStylePr>
  </w:style>
  <w:style w:type="table" w:styleId="142">
    <w:name w:val="Table Grid 5"/>
    <w:basedOn w:val="108"/>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top w:val="nil"/>
          <w:left w:val="nil"/>
          <w:bottom w:val="single" w:color="000000" w:sz="12" w:space="0"/>
          <w:right w:val="nil"/>
          <w:insideH w:val="nil"/>
          <w:insideV w:val="nil"/>
          <w:tl2br w:val="nil"/>
          <w:tr2bl w:val="nil"/>
        </w:tcBorders>
      </w:tcPr>
    </w:tblStylePr>
    <w:tblStylePr w:type="lastRow">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3">
    <w:name w:val="Table Grid 6"/>
    <w:basedOn w:val="108"/>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rPr>
      <w:tblPr>
        <w:tblLayout w:type="fixed"/>
      </w:tblPr>
      <w:tcPr>
        <w:tcBorders>
          <w:top w:val="nil"/>
          <w:left w:val="nil"/>
          <w:bottom w:val="single" w:color="000000" w:sz="6" w:space="0"/>
          <w:right w:val="nil"/>
          <w:insideH w:val="nil"/>
          <w:insideV w:val="nil"/>
          <w:tl2br w:val="nil"/>
          <w:tr2bl w:val="nil"/>
        </w:tcBorders>
      </w:tcPr>
    </w:tblStylePr>
    <w:tblStylePr w:type="lastRow">
      <w:rPr>
        <w:color w:val="auto"/>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4">
    <w:name w:val="Table Grid 7"/>
    <w:basedOn w:val="108"/>
    <w:qFormat/>
    <w:uiPriority w:val="0"/>
    <w:pPr>
      <w:widowControl w:val="0"/>
      <w:spacing w:line="360" w:lineRule="auto"/>
      <w:jc w:val="both"/>
    </w:pPr>
    <w:rPr>
      <w:rFonts w:ascii="Calibri" w:hAnsi="Calibri"/>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blPr>
        <w:tblLayout w:type="fixed"/>
      </w:tblPr>
      <w:tcPr>
        <w:tcBorders>
          <w:top w:val="nil"/>
          <w:left w:val="nil"/>
          <w:bottom w:val="single" w:color="000000" w:sz="12" w:space="0"/>
          <w:right w:val="nil"/>
          <w:insideH w:val="nil"/>
          <w:insideV w:val="nil"/>
          <w:tl2br w:val="nil"/>
          <w:tr2bl w:val="nil"/>
        </w:tcBorders>
      </w:tcPr>
    </w:tblStylePr>
    <w:tblStylePr w:type="lastRow">
      <w:rPr>
        <w:b w:val="0"/>
        <w:bCs w:val="0"/>
      </w:rPr>
      <w:tblPr>
        <w:tblLayout w:type="fixed"/>
      </w:tblPr>
      <w:tcPr>
        <w:tcBorders>
          <w:top w:val="single" w:color="000000" w:sz="6" w:space="0"/>
          <w:left w:val="nil"/>
          <w:bottom w:val="nil"/>
          <w:right w:val="nil"/>
          <w:insideH w:val="nil"/>
          <w:insideV w:val="nil"/>
          <w:tl2br w:val="nil"/>
          <w:tr2bl w:val="nil"/>
        </w:tcBorders>
      </w:tcPr>
    </w:tblStylePr>
    <w:tblStylePr w:type="firstCol">
      <w:rPr>
        <w:b w:val="0"/>
        <w:bCs w:val="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5">
    <w:name w:val="Table Grid 8"/>
    <w:basedOn w:val="108"/>
    <w:qFormat/>
    <w:uiPriority w:val="0"/>
    <w:pPr>
      <w:widowControl w:val="0"/>
      <w:spacing w:line="360" w:lineRule="auto"/>
      <w:jc w:val="both"/>
    </w:pPr>
    <w:rPr>
      <w:rFonts w:ascii="Calibri" w:hAnsi="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
    <w:tcPr>
      <w:shd w:val="clear" w:color="auto" w:fill="auto"/>
    </w:tcPr>
    <w:tblStylePr w:type="firstRow">
      <w:rPr>
        <w:b/>
        <w:bCs/>
        <w:color w:val="FFFFFF"/>
      </w:rPr>
      <w:tblPr>
        <w:tblLayout w:type="fixed"/>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blLayout w:type="fixed"/>
      </w:tblPr>
      <w:tcPr>
        <w:tcBorders>
          <w:top w:val="nil"/>
          <w:left w:val="nil"/>
          <w:bottom w:val="nil"/>
          <w:right w:val="nil"/>
          <w:insideH w:val="nil"/>
          <w:insideV w:val="nil"/>
          <w:tl2br w:val="nil"/>
          <w:tr2bl w:val="nil"/>
        </w:tcBorders>
      </w:tcPr>
    </w:tblStylePr>
    <w:tblStylePr w:type="lastCol">
      <w:rPr>
        <w:b/>
        <w:bCs/>
        <w:color w:val="auto"/>
      </w:rPr>
      <w:tblPr>
        <w:tblLayout w:type="fixed"/>
      </w:tblPr>
      <w:tcPr>
        <w:tcBorders>
          <w:top w:val="nil"/>
          <w:left w:val="nil"/>
          <w:bottom w:val="nil"/>
          <w:right w:val="nil"/>
          <w:insideH w:val="nil"/>
          <w:insideV w:val="nil"/>
          <w:tl2br w:val="nil"/>
          <w:tr2bl w:val="nil"/>
        </w:tcBorders>
      </w:tcPr>
    </w:tblStylePr>
  </w:style>
  <w:style w:type="table" w:styleId="146">
    <w:name w:val="Table Web 1"/>
    <w:basedOn w:val="108"/>
    <w:qFormat/>
    <w:uiPriority w:val="0"/>
    <w:pPr>
      <w:widowControl w:val="0"/>
      <w:spacing w:line="360" w:lineRule="auto"/>
      <w:jc w:val="both"/>
    </w:pPr>
    <w:rPr>
      <w:rFonts w:ascii="Calibri" w:hAnsi="Calibr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blPr>
        <w:tblLayout w:type="fixed"/>
      </w:tblPr>
      <w:tcPr>
        <w:tcBorders>
          <w:top w:val="nil"/>
          <w:left w:val="nil"/>
          <w:bottom w:val="nil"/>
          <w:right w:val="nil"/>
          <w:insideH w:val="nil"/>
          <w:insideV w:val="nil"/>
          <w:tl2br w:val="nil"/>
          <w:tr2bl w:val="nil"/>
        </w:tcBorders>
      </w:tcPr>
    </w:tblStylePr>
  </w:style>
  <w:style w:type="table" w:styleId="147">
    <w:name w:val="Table Web 2"/>
    <w:basedOn w:val="108"/>
    <w:qFormat/>
    <w:uiPriority w:val="0"/>
    <w:pPr>
      <w:widowControl w:val="0"/>
      <w:spacing w:line="360" w:lineRule="auto"/>
      <w:jc w:val="both"/>
    </w:pPr>
    <w:rPr>
      <w:rFonts w:ascii="Calibri" w:hAnsi="Calibr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blPr>
        <w:tblLayout w:type="fixed"/>
      </w:tblPr>
      <w:tcPr>
        <w:tcBorders>
          <w:top w:val="nil"/>
          <w:left w:val="nil"/>
          <w:bottom w:val="nil"/>
          <w:right w:val="nil"/>
          <w:insideH w:val="nil"/>
          <w:insideV w:val="nil"/>
          <w:tl2br w:val="nil"/>
          <w:tr2bl w:val="nil"/>
        </w:tcBorders>
      </w:tcPr>
    </w:tblStylePr>
  </w:style>
  <w:style w:type="table" w:styleId="148">
    <w:name w:val="Table Web 3"/>
    <w:basedOn w:val="108"/>
    <w:qFormat/>
    <w:uiPriority w:val="0"/>
    <w:pPr>
      <w:widowControl w:val="0"/>
      <w:spacing w:line="360" w:lineRule="auto"/>
      <w:jc w:val="both"/>
    </w:pPr>
    <w:rPr>
      <w:rFonts w:ascii="Calibri" w:hAnsi="Calibr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blPr>
        <w:tblLayout w:type="fixed"/>
      </w:tblPr>
      <w:tcPr>
        <w:tcBorders>
          <w:top w:val="nil"/>
          <w:left w:val="nil"/>
          <w:bottom w:val="nil"/>
          <w:right w:val="nil"/>
          <w:insideH w:val="nil"/>
          <w:insideV w:val="nil"/>
          <w:tl2br w:val="nil"/>
          <w:tr2bl w:val="nil"/>
        </w:tcBorders>
      </w:tcPr>
    </w:tblStylePr>
  </w:style>
  <w:style w:type="table" w:styleId="149">
    <w:name w:val="Table Professional"/>
    <w:basedOn w:val="108"/>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auto"/>
      </w:rPr>
      <w:tblPr>
        <w:tblLayout w:type="fixed"/>
      </w:tblPr>
      <w:tcPr>
        <w:tcBorders>
          <w:top w:val="nil"/>
          <w:left w:val="nil"/>
          <w:bottom w:val="nil"/>
          <w:right w:val="nil"/>
          <w:insideH w:val="nil"/>
          <w:insideV w:val="nil"/>
          <w:tl2br w:val="nil"/>
          <w:tr2bl w:val="nil"/>
        </w:tcBorders>
        <w:shd w:val="solid" w:color="000000" w:fill="FFFFFF"/>
      </w:tcPr>
    </w:tblStylePr>
  </w:style>
  <w:style w:type="table" w:styleId="150">
    <w:name w:val="Medium Grid 1 Accent 2"/>
    <w:basedOn w:val="108"/>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CellMar>
        <w:top w:w="0" w:type="dxa"/>
        <w:left w:w="108" w:type="dxa"/>
        <w:bottom w:w="0" w:type="dxa"/>
        <w:right w:w="108" w:type="dxa"/>
      </w:tblCellMar>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customStyle="1" w:styleId="151">
    <w:name w:val="标题 1 Char"/>
    <w:link w:val="3"/>
    <w:qFormat/>
    <w:uiPriority w:val="0"/>
    <w:rPr>
      <w:rFonts w:ascii="宋体"/>
      <w:b/>
      <w:kern w:val="44"/>
      <w:sz w:val="32"/>
    </w:rPr>
  </w:style>
  <w:style w:type="character" w:customStyle="1" w:styleId="152">
    <w:name w:val="正文缩进 Char1"/>
    <w:link w:val="7"/>
    <w:qFormat/>
    <w:uiPriority w:val="0"/>
    <w:rPr>
      <w:rFonts w:ascii="宋体" w:eastAsia="宋体"/>
      <w:kern w:val="2"/>
      <w:sz w:val="24"/>
      <w:szCs w:val="24"/>
      <w:lang w:val="en-US" w:eastAsia="zh-CN" w:bidi="ar-SA"/>
    </w:rPr>
  </w:style>
  <w:style w:type="character" w:customStyle="1" w:styleId="153">
    <w:name w:val="标题 2 Char1"/>
    <w:link w:val="4"/>
    <w:qFormat/>
    <w:uiPriority w:val="3"/>
    <w:rPr>
      <w:rFonts w:ascii="Arial" w:hAnsi="Arial" w:eastAsia="黑体"/>
      <w:b/>
      <w:sz w:val="30"/>
      <w:lang w:val="en-US" w:eastAsia="zh-CN" w:bidi="ar-SA"/>
    </w:rPr>
  </w:style>
  <w:style w:type="character" w:customStyle="1" w:styleId="154">
    <w:name w:val="标题 3 Char1"/>
    <w:link w:val="6"/>
    <w:qFormat/>
    <w:uiPriority w:val="0"/>
    <w:rPr>
      <w:rFonts w:ascii="宋体" w:eastAsia="宋体"/>
      <w:b/>
      <w:sz w:val="24"/>
      <w:u w:val="single"/>
      <w:lang w:val="en-US" w:eastAsia="zh-CN" w:bidi="ar-SA"/>
    </w:rPr>
  </w:style>
  <w:style w:type="character" w:customStyle="1" w:styleId="155">
    <w:name w:val="标题 4 Char"/>
    <w:link w:val="8"/>
    <w:qFormat/>
    <w:uiPriority w:val="9"/>
    <w:rPr>
      <w:rFonts w:ascii="Arial" w:hAnsi="Arial" w:eastAsia="黑体"/>
      <w:b/>
      <w:sz w:val="28"/>
    </w:rPr>
  </w:style>
  <w:style w:type="character" w:customStyle="1" w:styleId="156">
    <w:name w:val="标题 5 Char"/>
    <w:link w:val="9"/>
    <w:qFormat/>
    <w:uiPriority w:val="6"/>
    <w:rPr>
      <w:b/>
      <w:sz w:val="28"/>
    </w:rPr>
  </w:style>
  <w:style w:type="character" w:customStyle="1" w:styleId="157">
    <w:name w:val="标题 6 Char"/>
    <w:link w:val="10"/>
    <w:qFormat/>
    <w:uiPriority w:val="0"/>
    <w:rPr>
      <w:rFonts w:ascii="Arial" w:hAnsi="Arial" w:eastAsia="黑体"/>
      <w:b/>
      <w:sz w:val="24"/>
    </w:rPr>
  </w:style>
  <w:style w:type="character" w:customStyle="1" w:styleId="158">
    <w:name w:val="标题 7 Char"/>
    <w:link w:val="11"/>
    <w:qFormat/>
    <w:uiPriority w:val="0"/>
    <w:rPr>
      <w:b/>
      <w:sz w:val="24"/>
    </w:rPr>
  </w:style>
  <w:style w:type="character" w:customStyle="1" w:styleId="159">
    <w:name w:val="标题 8 Char"/>
    <w:link w:val="12"/>
    <w:qFormat/>
    <w:uiPriority w:val="0"/>
    <w:rPr>
      <w:rFonts w:ascii="Arial" w:hAnsi="Arial" w:eastAsia="黑体"/>
      <w:sz w:val="24"/>
    </w:rPr>
  </w:style>
  <w:style w:type="character" w:customStyle="1" w:styleId="160">
    <w:name w:val="标题 9 Char"/>
    <w:link w:val="13"/>
    <w:qFormat/>
    <w:uiPriority w:val="0"/>
    <w:rPr>
      <w:rFonts w:ascii="Arial" w:hAnsi="Arial" w:eastAsia="黑体"/>
      <w:sz w:val="21"/>
    </w:rPr>
  </w:style>
  <w:style w:type="character" w:customStyle="1" w:styleId="161">
    <w:name w:val="文档结构图 Char"/>
    <w:link w:val="33"/>
    <w:qFormat/>
    <w:uiPriority w:val="0"/>
    <w:rPr>
      <w:kern w:val="2"/>
      <w:sz w:val="21"/>
      <w:szCs w:val="24"/>
      <w:shd w:val="clear" w:color="auto" w:fill="000080"/>
    </w:rPr>
  </w:style>
  <w:style w:type="character" w:customStyle="1" w:styleId="162">
    <w:name w:val="批注文字 Char1"/>
    <w:link w:val="16"/>
    <w:qFormat/>
    <w:uiPriority w:val="0"/>
    <w:rPr>
      <w:kern w:val="2"/>
      <w:sz w:val="21"/>
      <w:szCs w:val="24"/>
    </w:rPr>
  </w:style>
  <w:style w:type="character" w:customStyle="1" w:styleId="163">
    <w:name w:val="正文文本 3 Char"/>
    <w:link w:val="37"/>
    <w:qFormat/>
    <w:uiPriority w:val="99"/>
    <w:rPr>
      <w:kern w:val="2"/>
      <w:sz w:val="16"/>
      <w:szCs w:val="16"/>
    </w:rPr>
  </w:style>
  <w:style w:type="character" w:customStyle="1" w:styleId="164">
    <w:name w:val="正文文本 Char"/>
    <w:link w:val="19"/>
    <w:qFormat/>
    <w:uiPriority w:val="0"/>
    <w:rPr>
      <w:rFonts w:ascii="宋体" w:hAnsi="宋体"/>
      <w:kern w:val="2"/>
      <w:sz w:val="24"/>
      <w:szCs w:val="24"/>
    </w:rPr>
  </w:style>
  <w:style w:type="character" w:customStyle="1" w:styleId="165">
    <w:name w:val="正文文本缩进 Char2"/>
    <w:link w:val="40"/>
    <w:qFormat/>
    <w:uiPriority w:val="0"/>
    <w:rPr>
      <w:rFonts w:eastAsia="宋体"/>
      <w:kern w:val="2"/>
      <w:sz w:val="24"/>
      <w:szCs w:val="24"/>
      <w:lang w:val="en-US" w:eastAsia="zh-CN" w:bidi="ar-SA"/>
    </w:rPr>
  </w:style>
  <w:style w:type="character" w:customStyle="1" w:styleId="166">
    <w:name w:val="纯文本 Char"/>
    <w:link w:val="50"/>
    <w:qFormat/>
    <w:uiPriority w:val="0"/>
    <w:rPr>
      <w:rFonts w:hint="eastAsia" w:ascii="宋体" w:hAnsi="Courier New" w:eastAsia="宋体" w:cs="宋体"/>
      <w:kern w:val="2"/>
      <w:sz w:val="21"/>
    </w:rPr>
  </w:style>
  <w:style w:type="character" w:customStyle="1" w:styleId="167">
    <w:name w:val="日期 Char"/>
    <w:link w:val="55"/>
    <w:qFormat/>
    <w:uiPriority w:val="99"/>
    <w:rPr>
      <w:rFonts w:ascii="仿宋_GB2312" w:hAnsi="宋体" w:eastAsia="仿宋_GB2312"/>
      <w:color w:val="000000"/>
      <w:kern w:val="2"/>
      <w:sz w:val="24"/>
      <w:szCs w:val="24"/>
    </w:rPr>
  </w:style>
  <w:style w:type="character" w:customStyle="1" w:styleId="168">
    <w:name w:val="正文文本缩进 2 Char"/>
    <w:link w:val="56"/>
    <w:qFormat/>
    <w:uiPriority w:val="0"/>
    <w:rPr>
      <w:rFonts w:ascii="仿宋_GB2312" w:eastAsia="仿宋_GB2312"/>
      <w:kern w:val="2"/>
      <w:sz w:val="24"/>
      <w:szCs w:val="24"/>
    </w:rPr>
  </w:style>
  <w:style w:type="character" w:customStyle="1" w:styleId="169">
    <w:name w:val="批注框文本 Char"/>
    <w:link w:val="59"/>
    <w:qFormat/>
    <w:uiPriority w:val="99"/>
    <w:rPr>
      <w:kern w:val="2"/>
      <w:sz w:val="18"/>
      <w:szCs w:val="18"/>
    </w:rPr>
  </w:style>
  <w:style w:type="character" w:customStyle="1" w:styleId="170">
    <w:name w:val="页脚 Char1"/>
    <w:link w:val="60"/>
    <w:qFormat/>
    <w:uiPriority w:val="0"/>
    <w:rPr>
      <w:rFonts w:ascii="宋体" w:eastAsia="宋体"/>
      <w:sz w:val="18"/>
      <w:lang w:val="en-US" w:eastAsia="zh-CN" w:bidi="ar-SA"/>
    </w:rPr>
  </w:style>
  <w:style w:type="character" w:customStyle="1" w:styleId="171">
    <w:name w:val="页眉 Char1"/>
    <w:link w:val="63"/>
    <w:qFormat/>
    <w:uiPriority w:val="0"/>
    <w:rPr>
      <w:rFonts w:eastAsia="宋体"/>
      <w:kern w:val="2"/>
      <w:sz w:val="18"/>
      <w:szCs w:val="18"/>
      <w:lang w:val="en-US" w:eastAsia="zh-CN" w:bidi="ar-SA"/>
    </w:rPr>
  </w:style>
  <w:style w:type="character" w:customStyle="1" w:styleId="172">
    <w:name w:val="正文文本缩进 3 Char"/>
    <w:link w:val="76"/>
    <w:qFormat/>
    <w:uiPriority w:val="0"/>
    <w:rPr>
      <w:rFonts w:ascii="宋体"/>
      <w:sz w:val="24"/>
    </w:rPr>
  </w:style>
  <w:style w:type="character" w:customStyle="1" w:styleId="173">
    <w:name w:val="HTML 预设格式 Char"/>
    <w:link w:val="85"/>
    <w:qFormat/>
    <w:uiPriority w:val="0"/>
    <w:rPr>
      <w:rFonts w:ascii="宋体" w:hAnsi="宋体" w:cs="宋体"/>
      <w:sz w:val="24"/>
      <w:szCs w:val="24"/>
    </w:rPr>
  </w:style>
  <w:style w:type="character" w:customStyle="1" w:styleId="174">
    <w:name w:val="标题 Char1"/>
    <w:link w:val="89"/>
    <w:qFormat/>
    <w:uiPriority w:val="10"/>
    <w:rPr>
      <w:b/>
      <w:kern w:val="2"/>
      <w:sz w:val="32"/>
    </w:rPr>
  </w:style>
  <w:style w:type="character" w:customStyle="1" w:styleId="175">
    <w:name w:val="批注主题 Char"/>
    <w:link w:val="15"/>
    <w:qFormat/>
    <w:uiPriority w:val="0"/>
    <w:rPr>
      <w:rFonts w:ascii="Times New Roman" w:hAnsi="Times New Roman" w:eastAsia="宋体" w:cs="Times New Roman"/>
      <w:b/>
      <w:bCs/>
      <w:kern w:val="2"/>
      <w:sz w:val="21"/>
      <w:szCs w:val="24"/>
      <w:lang w:val="en-US" w:eastAsia="zh-CN" w:bidi="ar-SA"/>
    </w:rPr>
  </w:style>
  <w:style w:type="character" w:customStyle="1" w:styleId="176">
    <w:name w:val="批注文字 字符"/>
    <w:qFormat/>
    <w:uiPriority w:val="0"/>
    <w:rPr>
      <w:rFonts w:ascii="Times New Roman" w:hAnsi="Times New Roman" w:eastAsia="宋体" w:cs="Times New Roman"/>
      <w:sz w:val="24"/>
      <w:lang w:val="en-US" w:eastAsia="zh-CN" w:bidi="ar-SA"/>
    </w:rPr>
  </w:style>
  <w:style w:type="paragraph" w:customStyle="1" w:styleId="177">
    <w:name w:val="正文文本首行缩进 21"/>
    <w:basedOn w:val="40"/>
    <w:link w:val="178"/>
    <w:qFormat/>
    <w:uiPriority w:val="0"/>
    <w:pPr>
      <w:spacing w:after="120" w:line="480" w:lineRule="exact"/>
      <w:ind w:left="420" w:leftChars="200" w:firstLine="420" w:firstLineChars="200"/>
    </w:pPr>
    <w:rPr>
      <w:szCs w:val="20"/>
    </w:rPr>
  </w:style>
  <w:style w:type="character" w:customStyle="1" w:styleId="178">
    <w:name w:val="正文首行缩进 2 Char"/>
    <w:link w:val="177"/>
    <w:qFormat/>
    <w:uiPriority w:val="0"/>
    <w:rPr>
      <w:rFonts w:eastAsia="宋体"/>
      <w:kern w:val="2"/>
      <w:sz w:val="24"/>
      <w:szCs w:val="24"/>
      <w:lang w:val="en-US" w:eastAsia="zh-CN" w:bidi="ar-SA"/>
    </w:rPr>
  </w:style>
  <w:style w:type="character" w:customStyle="1" w:styleId="179">
    <w:name w:val="c21"/>
    <w:qFormat/>
    <w:uiPriority w:val="0"/>
    <w:rPr>
      <w:rFonts w:hint="default" w:ascii="ˎ̥" w:hAnsi="ˎ̥"/>
      <w:color w:val="000000"/>
      <w:sz w:val="20"/>
      <w:szCs w:val="20"/>
      <w:u w:val="none"/>
    </w:rPr>
  </w:style>
  <w:style w:type="character" w:customStyle="1" w:styleId="180">
    <w:name w:val="title4"/>
    <w:qFormat/>
    <w:uiPriority w:val="0"/>
    <w:rPr>
      <w:b/>
      <w:bCs/>
      <w:color w:val="1D87B3"/>
      <w:sz w:val="15"/>
      <w:szCs w:val="15"/>
    </w:rPr>
  </w:style>
  <w:style w:type="character" w:customStyle="1" w:styleId="181">
    <w:name w:val="标题 2 Char Char"/>
    <w:qFormat/>
    <w:uiPriority w:val="0"/>
    <w:rPr>
      <w:rFonts w:ascii="Arial" w:hAnsi="Arial" w:eastAsia="黑体"/>
      <w:b/>
      <w:bCs/>
      <w:kern w:val="2"/>
      <w:sz w:val="32"/>
      <w:szCs w:val="32"/>
      <w:lang w:val="en-US" w:eastAsia="zh-CN" w:bidi="ar-SA"/>
    </w:rPr>
  </w:style>
  <w:style w:type="character" w:customStyle="1" w:styleId="182">
    <w:name w:val="black1"/>
    <w:qFormat/>
    <w:uiPriority w:val="0"/>
    <w:rPr>
      <w:color w:val="000000"/>
    </w:rPr>
  </w:style>
  <w:style w:type="character" w:customStyle="1" w:styleId="183">
    <w:name w:val="street-address"/>
    <w:qFormat/>
    <w:uiPriority w:val="0"/>
  </w:style>
  <w:style w:type="character" w:customStyle="1" w:styleId="184">
    <w:name w:val="locality"/>
    <w:qFormat/>
    <w:uiPriority w:val="0"/>
  </w:style>
  <w:style w:type="character" w:customStyle="1" w:styleId="185">
    <w:name w:val="正文文本缩进 Char1"/>
    <w:link w:val="186"/>
    <w:qFormat/>
    <w:uiPriority w:val="0"/>
    <w:rPr>
      <w:rFonts w:ascii="宋体" w:hAnsi="宋体" w:eastAsia="宋体"/>
      <w:sz w:val="24"/>
      <w:szCs w:val="24"/>
      <w:lang w:bidi="ar-SA"/>
    </w:rPr>
  </w:style>
  <w:style w:type="paragraph" w:customStyle="1" w:styleId="186">
    <w:name w:val="正文文本缩进1"/>
    <w:basedOn w:val="1"/>
    <w:link w:val="185"/>
    <w:qFormat/>
    <w:uiPriority w:val="0"/>
    <w:pPr>
      <w:spacing w:line="480" w:lineRule="exact"/>
      <w:ind w:firstLine="480" w:firstLineChars="200"/>
    </w:pPr>
    <w:rPr>
      <w:rFonts w:ascii="宋体" w:hAnsi="宋体"/>
      <w:kern w:val="0"/>
      <w:sz w:val="24"/>
    </w:rPr>
  </w:style>
  <w:style w:type="character" w:customStyle="1" w:styleId="187">
    <w:name w:val="Char Char11"/>
    <w:qFormat/>
    <w:uiPriority w:val="0"/>
    <w:rPr>
      <w:rFonts w:ascii="宋体" w:eastAsia="宋体"/>
      <w:b/>
      <w:sz w:val="24"/>
      <w:u w:val="single"/>
      <w:lang w:val="en-US" w:eastAsia="zh-CN" w:bidi="ar-SA"/>
    </w:rPr>
  </w:style>
  <w:style w:type="character" w:customStyle="1" w:styleId="188">
    <w:name w:val="txt"/>
    <w:qFormat/>
    <w:uiPriority w:val="0"/>
  </w:style>
  <w:style w:type="character" w:customStyle="1" w:styleId="189">
    <w:name w:val="正文缩进 Char Char"/>
    <w:link w:val="190"/>
    <w:qFormat/>
    <w:uiPriority w:val="0"/>
    <w:rPr>
      <w:rFonts w:ascii="宋体" w:eastAsia="宋体"/>
      <w:snapToGrid w:val="0"/>
      <w:color w:val="000000"/>
      <w:kern w:val="28"/>
      <w:sz w:val="28"/>
      <w:lang w:bidi="ar-SA"/>
    </w:rPr>
  </w:style>
  <w:style w:type="paragraph" w:customStyle="1" w:styleId="190">
    <w:name w:val="正文缩进1"/>
    <w:basedOn w:val="1"/>
    <w:link w:val="18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91">
    <w:name w:val="普通文字1 Char1"/>
    <w:qFormat/>
    <w:uiPriority w:val="0"/>
    <w:rPr>
      <w:rFonts w:ascii="宋体" w:hAnsi="Courier New" w:eastAsia="宋体"/>
      <w:kern w:val="2"/>
      <w:sz w:val="21"/>
      <w:lang w:val="en-US" w:eastAsia="zh-CN" w:bidi="ar-SA"/>
    </w:rPr>
  </w:style>
  <w:style w:type="character" w:customStyle="1" w:styleId="192">
    <w:name w:val="chanpin1"/>
    <w:qFormat/>
    <w:uiPriority w:val="0"/>
    <w:rPr>
      <w:rFonts w:hint="default" w:ascii="ˎ̥" w:hAnsi="ˎ̥"/>
      <w:color w:val="000000"/>
      <w:sz w:val="20"/>
      <w:szCs w:val="20"/>
      <w:u w:val="none"/>
    </w:rPr>
  </w:style>
  <w:style w:type="character" w:customStyle="1" w:styleId="193">
    <w:name w:val="列出段落 Char2"/>
    <w:link w:val="194"/>
    <w:qFormat/>
    <w:uiPriority w:val="34"/>
    <w:rPr>
      <w:rFonts w:ascii="Calibri" w:hAnsi="Calibri" w:eastAsia="宋体"/>
      <w:kern w:val="2"/>
      <w:sz w:val="21"/>
      <w:szCs w:val="22"/>
      <w:lang w:val="en-US" w:eastAsia="zh-CN" w:bidi="ar-SA"/>
    </w:rPr>
  </w:style>
  <w:style w:type="paragraph" w:customStyle="1" w:styleId="194">
    <w:name w:val="List Paragraph"/>
    <w:basedOn w:val="1"/>
    <w:link w:val="193"/>
    <w:qFormat/>
    <w:uiPriority w:val="0"/>
    <w:pPr>
      <w:ind w:firstLine="420" w:firstLineChars="200"/>
    </w:pPr>
    <w:rPr>
      <w:rFonts w:ascii="Calibri" w:hAnsi="Calibri"/>
      <w:szCs w:val="22"/>
    </w:rPr>
  </w:style>
  <w:style w:type="character" w:customStyle="1" w:styleId="195">
    <w:name w:val="标题 3 Char Char"/>
    <w:qFormat/>
    <w:uiPriority w:val="0"/>
    <w:rPr>
      <w:rFonts w:eastAsia="宋体"/>
      <w:b/>
      <w:bCs/>
      <w:kern w:val="2"/>
      <w:sz w:val="32"/>
      <w:szCs w:val="32"/>
      <w:lang w:val="en-US" w:eastAsia="zh-CN" w:bidi="ar-SA"/>
    </w:rPr>
  </w:style>
  <w:style w:type="character" w:customStyle="1" w:styleId="196">
    <w:name w:val="段1 Char"/>
    <w:qFormat/>
    <w:uiPriority w:val="0"/>
    <w:rPr>
      <w:rFonts w:ascii="宋体" w:eastAsia="宋体"/>
      <w:sz w:val="24"/>
      <w:lang w:val="en-US" w:eastAsia="zh-CN" w:bidi="ar-SA"/>
    </w:rPr>
  </w:style>
  <w:style w:type="character" w:customStyle="1" w:styleId="197">
    <w:name w:val="chanpin拷贝"/>
    <w:qFormat/>
    <w:uiPriority w:val="0"/>
  </w:style>
  <w:style w:type="character" w:customStyle="1" w:styleId="198">
    <w:name w:val="纯文本 Char1"/>
    <w:qFormat/>
    <w:uiPriority w:val="0"/>
    <w:rPr>
      <w:rFonts w:ascii="宋体" w:hAnsi="Courier New" w:eastAsia="宋体"/>
      <w:kern w:val="2"/>
      <w:sz w:val="21"/>
      <w:lang w:val="en-US" w:eastAsia="zh-CN" w:bidi="ar-SA"/>
    </w:rPr>
  </w:style>
  <w:style w:type="character" w:customStyle="1" w:styleId="199">
    <w:name w:val="apple-style-span"/>
    <w:qFormat/>
    <w:uiPriority w:val="0"/>
    <w:rPr>
      <w:rFonts w:cs="Times New Roman"/>
    </w:rPr>
  </w:style>
  <w:style w:type="paragraph" w:customStyle="1" w:styleId="200">
    <w:name w:val="二级条标题"/>
    <w:basedOn w:val="201"/>
    <w:next w:val="1"/>
    <w:link w:val="820"/>
    <w:qFormat/>
    <w:uiPriority w:val="0"/>
    <w:pPr>
      <w:numPr>
        <w:ilvl w:val="0"/>
        <w:numId w:val="0"/>
      </w:numPr>
      <w:tabs>
        <w:tab w:val="left" w:pos="0"/>
        <w:tab w:val="left" w:pos="360"/>
        <w:tab w:val="left" w:pos="840"/>
      </w:tabs>
      <w:ind w:hanging="840"/>
      <w:outlineLvl w:val="2"/>
    </w:pPr>
    <w:rPr>
      <w:rFonts w:ascii="宋体" w:eastAsia="宋体"/>
      <w:b w:val="0"/>
    </w:rPr>
  </w:style>
  <w:style w:type="paragraph" w:customStyle="1" w:styleId="201">
    <w:name w:val="一级条标题"/>
    <w:basedOn w:val="202"/>
    <w:next w:val="1"/>
    <w:qFormat/>
    <w:uiPriority w:val="0"/>
    <w:pPr>
      <w:numPr>
        <w:ilvl w:val="1"/>
      </w:numPr>
      <w:tabs>
        <w:tab w:val="left" w:pos="0"/>
        <w:tab w:val="left" w:pos="360"/>
        <w:tab w:val="left" w:pos="840"/>
      </w:tabs>
      <w:ind w:left="0" w:hanging="840"/>
      <w:outlineLvl w:val="1"/>
    </w:pPr>
  </w:style>
  <w:style w:type="paragraph" w:customStyle="1" w:styleId="202">
    <w:name w:val="章标题"/>
    <w:next w:val="1"/>
    <w:link w:val="485"/>
    <w:qFormat/>
    <w:uiPriority w:val="0"/>
    <w:pPr>
      <w:numPr>
        <w:ilvl w:val="0"/>
        <w:numId w:val="6"/>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20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204">
    <w:name w:val="字元 字元"/>
    <w:basedOn w:val="1"/>
    <w:qFormat/>
    <w:uiPriority w:val="0"/>
    <w:rPr>
      <w:rFonts w:ascii="Tahoma" w:hAnsi="Tahoma"/>
      <w:sz w:val="24"/>
      <w:szCs w:val="20"/>
    </w:rPr>
  </w:style>
  <w:style w:type="paragraph" w:customStyle="1" w:styleId="205">
    <w:name w:val="Char3 Char Char Char"/>
    <w:basedOn w:val="1"/>
    <w:qFormat/>
    <w:uiPriority w:val="0"/>
    <w:rPr>
      <w:rFonts w:ascii="Tahoma" w:hAnsi="Tahoma"/>
      <w:sz w:val="24"/>
      <w:szCs w:val="20"/>
    </w:rPr>
  </w:style>
  <w:style w:type="paragraph" w:customStyle="1" w:styleId="20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7">
    <w:name w:val="项目编号2"/>
    <w:basedOn w:val="208"/>
    <w:qFormat/>
    <w:uiPriority w:val="0"/>
    <w:pPr>
      <w:tabs>
        <w:tab w:val="left" w:pos="780"/>
        <w:tab w:val="left" w:pos="2040"/>
      </w:tabs>
      <w:ind w:left="2040"/>
    </w:pPr>
  </w:style>
  <w:style w:type="paragraph" w:customStyle="1" w:styleId="208">
    <w:name w:val="项目编号1"/>
    <w:basedOn w:val="1"/>
    <w:qFormat/>
    <w:uiPriority w:val="0"/>
    <w:pPr>
      <w:tabs>
        <w:tab w:val="left" w:pos="780"/>
      </w:tabs>
      <w:spacing w:before="100" w:beforeAutospacing="1" w:after="100" w:afterAutospacing="1" w:line="360" w:lineRule="auto"/>
      <w:ind w:left="780" w:hanging="360"/>
    </w:pPr>
    <w:rPr>
      <w:sz w:val="24"/>
    </w:rPr>
  </w:style>
  <w:style w:type="paragraph" w:customStyle="1" w:styleId="209">
    <w:name w:val="图中文字"/>
    <w:basedOn w:val="1"/>
    <w:qFormat/>
    <w:uiPriority w:val="0"/>
    <w:pPr>
      <w:adjustRightInd w:val="0"/>
      <w:snapToGrid w:val="0"/>
      <w:spacing w:line="0" w:lineRule="atLeast"/>
      <w:jc w:val="center"/>
    </w:pPr>
    <w:rPr>
      <w:sz w:val="24"/>
      <w:szCs w:val="20"/>
    </w:rPr>
  </w:style>
  <w:style w:type="paragraph" w:customStyle="1" w:styleId="21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1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12">
    <w:name w:val="Char2"/>
    <w:basedOn w:val="1"/>
    <w:qFormat/>
    <w:uiPriority w:val="0"/>
    <w:rPr>
      <w:rFonts w:ascii="Tahoma" w:hAnsi="Tahoma"/>
      <w:sz w:val="24"/>
      <w:szCs w:val="20"/>
    </w:rPr>
  </w:style>
  <w:style w:type="paragraph" w:customStyle="1" w:styleId="21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1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1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2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正文列项_数字"/>
    <w:basedOn w:val="1"/>
    <w:qFormat/>
    <w:uiPriority w:val="0"/>
    <w:pPr>
      <w:numPr>
        <w:ilvl w:val="7"/>
        <w:numId w:val="6"/>
      </w:numPr>
      <w:autoSpaceDE w:val="0"/>
      <w:autoSpaceDN w:val="0"/>
      <w:spacing w:line="460" w:lineRule="exact"/>
      <w:ind w:left="680" w:leftChars="530" w:hanging="150" w:hangingChars="150"/>
      <w:outlineLvl w:val="7"/>
    </w:pPr>
    <w:rPr>
      <w:rFonts w:ascii="宋体"/>
      <w:kern w:val="0"/>
      <w:sz w:val="28"/>
      <w:szCs w:val="20"/>
    </w:rPr>
  </w:style>
  <w:style w:type="paragraph" w:customStyle="1" w:styleId="22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6">
    <w:name w:val="font8"/>
    <w:basedOn w:val="1"/>
    <w:qFormat/>
    <w:uiPriority w:val="0"/>
    <w:pPr>
      <w:widowControl/>
      <w:spacing w:before="100" w:beforeAutospacing="1" w:after="100" w:afterAutospacing="1"/>
      <w:jc w:val="left"/>
    </w:pPr>
    <w:rPr>
      <w:kern w:val="0"/>
      <w:sz w:val="36"/>
      <w:szCs w:val="36"/>
    </w:rPr>
  </w:style>
  <w:style w:type="paragraph" w:customStyle="1" w:styleId="227">
    <w:name w:val="Char"/>
    <w:basedOn w:val="1"/>
    <w:qFormat/>
    <w:uiPriority w:val="0"/>
    <w:pPr>
      <w:tabs>
        <w:tab w:val="left" w:pos="360"/>
      </w:tabs>
    </w:pPr>
    <w:rPr>
      <w:sz w:val="24"/>
    </w:rPr>
  </w:style>
  <w:style w:type="paragraph" w:customStyle="1" w:styleId="22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1">
    <w:name w:val="Char Char1"/>
    <w:basedOn w:val="33"/>
    <w:qFormat/>
    <w:uiPriority w:val="0"/>
    <w:rPr>
      <w:rFonts w:ascii="Tahoma" w:hAnsi="Tahoma"/>
      <w:sz w:val="24"/>
    </w:rPr>
  </w:style>
  <w:style w:type="paragraph" w:customStyle="1" w:styleId="23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3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3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3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6">
    <w:name w:val="Char1 Char Char Char1"/>
    <w:basedOn w:val="1"/>
    <w:qFormat/>
    <w:uiPriority w:val="0"/>
    <w:rPr>
      <w:rFonts w:ascii="Tahoma" w:hAnsi="Tahoma" w:cs="仿宋_GB2312"/>
      <w:sz w:val="24"/>
      <w:szCs w:val="28"/>
    </w:rPr>
  </w:style>
  <w:style w:type="paragraph" w:customStyle="1" w:styleId="237">
    <w:name w:val="四级条标题"/>
    <w:basedOn w:val="238"/>
    <w:next w:val="1"/>
    <w:qFormat/>
    <w:uiPriority w:val="0"/>
    <w:pPr>
      <w:numPr>
        <w:ilvl w:val="4"/>
      </w:numPr>
      <w:tabs>
        <w:tab w:val="left" w:pos="0"/>
        <w:tab w:val="left" w:pos="360"/>
        <w:tab w:val="left" w:pos="840"/>
      </w:tabs>
      <w:ind w:left="0" w:hanging="840"/>
      <w:outlineLvl w:val="4"/>
    </w:pPr>
  </w:style>
  <w:style w:type="paragraph" w:customStyle="1" w:styleId="238">
    <w:name w:val="三级条标题"/>
    <w:basedOn w:val="200"/>
    <w:next w:val="1"/>
    <w:qFormat/>
    <w:uiPriority w:val="0"/>
    <w:pPr>
      <w:numPr>
        <w:ilvl w:val="3"/>
        <w:numId w:val="6"/>
      </w:numPr>
      <w:ind w:left="0" w:hanging="840"/>
      <w:outlineLvl w:val="3"/>
    </w:pPr>
  </w:style>
  <w:style w:type="paragraph" w:customStyle="1" w:styleId="23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240">
    <w:name w:val="样式 标题 2 + 宋体 五号 行距: 单倍行距"/>
    <w:basedOn w:val="4"/>
    <w:qFormat/>
    <w:uiPriority w:val="0"/>
    <w:pPr>
      <w:tabs>
        <w:tab w:val="left" w:pos="786"/>
        <w:tab w:val="left" w:pos="1188"/>
      </w:tabs>
      <w:autoSpaceDE/>
      <w:autoSpaceDN/>
      <w:spacing w:before="260" w:after="260" w:line="240" w:lineRule="auto"/>
      <w:ind w:left="786" w:hanging="360"/>
      <w:jc w:val="left"/>
      <w:textAlignment w:val="baseline"/>
    </w:pPr>
    <w:rPr>
      <w:rFonts w:ascii="宋体" w:hAnsi="宋体" w:eastAsia="宋体"/>
      <w:bCs/>
      <w:sz w:val="21"/>
    </w:rPr>
  </w:style>
  <w:style w:type="paragraph" w:customStyle="1" w:styleId="241">
    <w:name w:val="List Paragraph1"/>
    <w:basedOn w:val="1"/>
    <w:link w:val="484"/>
    <w:qFormat/>
    <w:uiPriority w:val="0"/>
    <w:pPr>
      <w:ind w:firstLine="420" w:firstLineChars="200"/>
    </w:pPr>
    <w:rPr>
      <w:rFonts w:ascii="Calibri" w:hAnsi="Calibri"/>
      <w:szCs w:val="22"/>
    </w:rPr>
  </w:style>
  <w:style w:type="paragraph" w:customStyle="1" w:styleId="242">
    <w:name w:val="项目符号1"/>
    <w:basedOn w:val="243"/>
    <w:qFormat/>
    <w:uiPriority w:val="0"/>
    <w:pPr>
      <w:ind w:left="-25" w:firstLine="0"/>
    </w:pPr>
  </w:style>
  <w:style w:type="paragraph" w:customStyle="1" w:styleId="243">
    <w:name w:val="正文文本样式"/>
    <w:basedOn w:val="1"/>
    <w:qFormat/>
    <w:uiPriority w:val="0"/>
    <w:pPr>
      <w:spacing w:line="360" w:lineRule="auto"/>
      <w:ind w:firstLine="482"/>
    </w:pPr>
    <w:rPr>
      <w:rFonts w:cs="宋体"/>
      <w:sz w:val="24"/>
      <w:szCs w:val="20"/>
    </w:rPr>
  </w:style>
  <w:style w:type="paragraph" w:customStyle="1" w:styleId="24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46">
    <w:name w:val="五级条标题"/>
    <w:basedOn w:val="237"/>
    <w:next w:val="1"/>
    <w:qFormat/>
    <w:uiPriority w:val="0"/>
    <w:pPr>
      <w:numPr>
        <w:ilvl w:val="5"/>
      </w:numPr>
      <w:ind w:left="0" w:hanging="840"/>
      <w:outlineLvl w:val="5"/>
    </w:pPr>
  </w:style>
  <w:style w:type="paragraph" w:customStyle="1" w:styleId="24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248">
    <w:name w:val="文档正文"/>
    <w:basedOn w:val="1"/>
    <w:link w:val="947"/>
    <w:qFormat/>
    <w:uiPriority w:val="0"/>
    <w:pPr>
      <w:snapToGrid w:val="0"/>
      <w:spacing w:before="120" w:after="120" w:line="180" w:lineRule="auto"/>
    </w:pPr>
    <w:rPr>
      <w:rFonts w:ascii="Arial" w:hAnsi="Arial"/>
      <w:szCs w:val="20"/>
    </w:rPr>
  </w:style>
  <w:style w:type="paragraph" w:customStyle="1" w:styleId="24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5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51">
    <w:name w:val="Char Char Char1 Char"/>
    <w:basedOn w:val="1"/>
    <w:qFormat/>
    <w:uiPriority w:val="0"/>
    <w:rPr>
      <w:rFonts w:ascii="Tahoma" w:hAnsi="Tahoma"/>
      <w:sz w:val="24"/>
      <w:szCs w:val="20"/>
    </w:rPr>
  </w:style>
  <w:style w:type="paragraph" w:customStyle="1" w:styleId="25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53">
    <w:name w:val="1名"/>
    <w:basedOn w:val="1"/>
    <w:qFormat/>
    <w:uiPriority w:val="0"/>
    <w:pPr>
      <w:numPr>
        <w:ilvl w:val="0"/>
        <w:numId w:val="7"/>
      </w:numPr>
      <w:spacing w:before="120"/>
    </w:pPr>
    <w:rPr>
      <w:rFonts w:ascii="宋体"/>
      <w:sz w:val="28"/>
      <w:szCs w:val="20"/>
    </w:rPr>
  </w:style>
  <w:style w:type="paragraph" w:customStyle="1" w:styleId="25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5">
    <w:name w:val="Char Char Char1 Char1"/>
    <w:basedOn w:val="1"/>
    <w:qFormat/>
    <w:uiPriority w:val="0"/>
    <w:rPr>
      <w:rFonts w:ascii="Tahoma" w:hAnsi="Tahoma"/>
      <w:sz w:val="24"/>
      <w:szCs w:val="20"/>
    </w:rPr>
  </w:style>
  <w:style w:type="paragraph" w:customStyle="1" w:styleId="256">
    <w:name w:val="Char Char Char Char Char Char Char Char Char Char"/>
    <w:basedOn w:val="1"/>
    <w:qFormat/>
    <w:uiPriority w:val="0"/>
  </w:style>
  <w:style w:type="paragraph" w:customStyle="1" w:styleId="25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58">
    <w:name w:val="Char1"/>
    <w:basedOn w:val="1"/>
    <w:qFormat/>
    <w:uiPriority w:val="0"/>
    <w:pPr>
      <w:tabs>
        <w:tab w:val="left" w:pos="360"/>
      </w:tabs>
    </w:pPr>
    <w:rPr>
      <w:sz w:val="24"/>
    </w:rPr>
  </w:style>
  <w:style w:type="paragraph" w:customStyle="1" w:styleId="259">
    <w:name w:val="正文列项_字母"/>
    <w:basedOn w:val="1"/>
    <w:qFormat/>
    <w:uiPriority w:val="0"/>
    <w:pPr>
      <w:numPr>
        <w:ilvl w:val="6"/>
        <w:numId w:val="6"/>
      </w:numPr>
      <w:autoSpaceDE w:val="0"/>
      <w:autoSpaceDN w:val="0"/>
      <w:spacing w:line="460" w:lineRule="exact"/>
      <w:ind w:left="480" w:leftChars="300" w:hanging="180" w:hangingChars="180"/>
      <w:outlineLvl w:val="6"/>
    </w:pPr>
    <w:rPr>
      <w:rFonts w:ascii="宋体"/>
      <w:kern w:val="0"/>
      <w:sz w:val="28"/>
      <w:szCs w:val="20"/>
    </w:rPr>
  </w:style>
  <w:style w:type="paragraph" w:customStyle="1" w:styleId="26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6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62">
    <w:name w:val="默认段落字体 Para Char Char Char Char"/>
    <w:basedOn w:val="1"/>
    <w:qFormat/>
    <w:uiPriority w:val="0"/>
    <w:rPr>
      <w:rFonts w:ascii="Arial" w:hAnsi="Arial" w:cs="Arial"/>
      <w:szCs w:val="21"/>
    </w:rPr>
  </w:style>
  <w:style w:type="paragraph" w:customStyle="1" w:styleId="26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6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66">
    <w:name w:val="Char Char Char"/>
    <w:basedOn w:val="1"/>
    <w:qFormat/>
    <w:uiPriority w:val="0"/>
    <w:rPr>
      <w:rFonts w:ascii="Tahoma" w:hAnsi="Tahoma"/>
      <w:sz w:val="24"/>
      <w:szCs w:val="20"/>
    </w:rPr>
  </w:style>
  <w:style w:type="paragraph" w:customStyle="1" w:styleId="26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Char Char Char1"/>
    <w:basedOn w:val="1"/>
    <w:qFormat/>
    <w:uiPriority w:val="0"/>
    <w:rPr>
      <w:rFonts w:ascii="Tahoma" w:hAnsi="Tahoma"/>
      <w:sz w:val="24"/>
      <w:szCs w:val="20"/>
    </w:rPr>
  </w:style>
  <w:style w:type="paragraph" w:customStyle="1" w:styleId="27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7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72">
    <w:name w:val="样式2"/>
    <w:basedOn w:val="69"/>
    <w:link w:val="590"/>
    <w:qFormat/>
    <w:uiPriority w:val="0"/>
    <w:pPr>
      <w:spacing w:line="360" w:lineRule="auto"/>
      <w:jc w:val="center"/>
    </w:pPr>
    <w:rPr>
      <w:sz w:val="24"/>
    </w:rPr>
  </w:style>
  <w:style w:type="paragraph" w:customStyle="1" w:styleId="27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75">
    <w:name w:val="正文 + 楷体_GB2312"/>
    <w:basedOn w:val="1"/>
    <w:qFormat/>
    <w:uiPriority w:val="0"/>
    <w:pPr>
      <w:widowControl/>
      <w:jc w:val="left"/>
    </w:pPr>
    <w:rPr>
      <w:rFonts w:ascii="楷体_GB2312" w:eastAsia="楷体_GB2312" w:cs="Arial"/>
      <w:kern w:val="0"/>
      <w:sz w:val="24"/>
    </w:rPr>
  </w:style>
  <w:style w:type="paragraph" w:customStyle="1" w:styleId="27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77">
    <w:name w:val="1 Char Char Char Char"/>
    <w:basedOn w:val="1"/>
    <w:qFormat/>
    <w:uiPriority w:val="0"/>
    <w:rPr>
      <w:rFonts w:ascii="Tahoma" w:hAnsi="Tahoma"/>
      <w:sz w:val="24"/>
      <w:szCs w:val="20"/>
    </w:rPr>
  </w:style>
  <w:style w:type="paragraph" w:customStyle="1" w:styleId="27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79">
    <w:name w:val="列出段落1"/>
    <w:basedOn w:val="1"/>
    <w:link w:val="2011"/>
    <w:qFormat/>
    <w:uiPriority w:val="34"/>
    <w:pPr>
      <w:ind w:firstLine="420" w:firstLineChars="200"/>
    </w:pPr>
    <w:rPr>
      <w:rFonts w:ascii="Calibri" w:hAnsi="Calibri"/>
      <w:szCs w:val="22"/>
    </w:rPr>
  </w:style>
  <w:style w:type="paragraph" w:customStyle="1" w:styleId="28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81">
    <w:name w:val="字元 字元1"/>
    <w:basedOn w:val="1"/>
    <w:qFormat/>
    <w:uiPriority w:val="0"/>
    <w:rPr>
      <w:rFonts w:ascii="Tahoma" w:hAnsi="Tahoma"/>
      <w:sz w:val="24"/>
      <w:szCs w:val="20"/>
    </w:rPr>
  </w:style>
  <w:style w:type="paragraph" w:customStyle="1" w:styleId="282">
    <w:name w:val="_Style 160"/>
    <w:qFormat/>
    <w:uiPriority w:val="0"/>
    <w:rPr>
      <w:rFonts w:ascii="Times New Roman" w:hAnsi="Times New Roman" w:eastAsia="宋体" w:cs="Times New Roman"/>
      <w:kern w:val="2"/>
      <w:sz w:val="21"/>
      <w:szCs w:val="24"/>
      <w:lang w:val="en-US" w:eastAsia="zh-CN" w:bidi="ar-SA"/>
    </w:rPr>
  </w:style>
  <w:style w:type="paragraph" w:customStyle="1" w:styleId="283">
    <w:name w:val="项目编号3"/>
    <w:basedOn w:val="243"/>
    <w:qFormat/>
    <w:uiPriority w:val="0"/>
    <w:pPr>
      <w:tabs>
        <w:tab w:val="left" w:pos="1620"/>
      </w:tabs>
      <w:ind w:left="1620" w:hanging="360"/>
    </w:pPr>
  </w:style>
  <w:style w:type="paragraph" w:customStyle="1" w:styleId="284">
    <w:name w:val="Char21"/>
    <w:basedOn w:val="1"/>
    <w:qFormat/>
    <w:uiPriority w:val="0"/>
    <w:rPr>
      <w:rFonts w:ascii="Tahoma" w:hAnsi="Tahoma"/>
      <w:sz w:val="24"/>
      <w:szCs w:val="20"/>
    </w:rPr>
  </w:style>
  <w:style w:type="paragraph" w:customStyle="1" w:styleId="285">
    <w:name w:val="表格文字"/>
    <w:basedOn w:val="40"/>
    <w:qFormat/>
    <w:uiPriority w:val="0"/>
    <w:pPr>
      <w:spacing w:before="20" w:after="20" w:line="240" w:lineRule="auto"/>
      <w:ind w:firstLine="0"/>
    </w:pPr>
    <w:rPr>
      <w:rFonts w:ascii="Century Gothic" w:hAnsi="Century Gothic"/>
      <w:sz w:val="20"/>
      <w:szCs w:val="20"/>
    </w:rPr>
  </w:style>
  <w:style w:type="paragraph" w:customStyle="1" w:styleId="286">
    <w:name w:val="Char Char Char Char Char Char Char Char Char Char1"/>
    <w:basedOn w:val="1"/>
    <w:qFormat/>
    <w:uiPriority w:val="0"/>
    <w:rPr>
      <w:rFonts w:ascii="宋体" w:hAnsi="宋体" w:cs="Courier New"/>
      <w:sz w:val="32"/>
      <w:szCs w:val="32"/>
    </w:rPr>
  </w:style>
  <w:style w:type="paragraph" w:customStyle="1" w:styleId="287">
    <w:name w:val="正文文本样式 加粗"/>
    <w:basedOn w:val="243"/>
    <w:qFormat/>
    <w:uiPriority w:val="0"/>
    <w:rPr>
      <w:b/>
    </w:rPr>
  </w:style>
  <w:style w:type="paragraph" w:customStyle="1" w:styleId="288">
    <w:name w:val="Char2 Char Char Char Char Char Char"/>
    <w:basedOn w:val="1"/>
    <w:qFormat/>
    <w:uiPriority w:val="0"/>
    <w:pPr>
      <w:widowControl/>
      <w:spacing w:line="400" w:lineRule="exact"/>
      <w:jc w:val="center"/>
    </w:pPr>
  </w:style>
  <w:style w:type="paragraph" w:customStyle="1" w:styleId="289">
    <w:name w:val="Char Char4"/>
    <w:basedOn w:val="1"/>
    <w:qFormat/>
    <w:uiPriority w:val="0"/>
    <w:pPr>
      <w:widowControl/>
      <w:spacing w:line="400" w:lineRule="exact"/>
      <w:jc w:val="center"/>
    </w:pPr>
  </w:style>
  <w:style w:type="paragraph" w:customStyle="1" w:styleId="290">
    <w:name w:val="Char3 Char Char Char1"/>
    <w:basedOn w:val="1"/>
    <w:qFormat/>
    <w:uiPriority w:val="0"/>
    <w:rPr>
      <w:rFonts w:ascii="Tahoma" w:hAnsi="Tahoma"/>
      <w:sz w:val="24"/>
      <w:szCs w:val="20"/>
    </w:rPr>
  </w:style>
  <w:style w:type="paragraph" w:customStyle="1" w:styleId="291">
    <w:name w:val="No Spacing"/>
    <w:link w:val="6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93">
    <w:name w:val="中等深浅网格 1 - 强调文字颜色 2 Char"/>
    <w:link w:val="294"/>
    <w:qFormat/>
    <w:uiPriority w:val="0"/>
    <w:rPr>
      <w:kern w:val="2"/>
      <w:sz w:val="21"/>
      <w:szCs w:val="24"/>
      <w:lang w:val="zh-CN" w:eastAsia="zh-CN"/>
    </w:rPr>
  </w:style>
  <w:style w:type="paragraph" w:customStyle="1" w:styleId="294">
    <w:name w:val="1"/>
    <w:link w:val="293"/>
    <w:qFormat/>
    <w:uiPriority w:val="0"/>
    <w:rPr>
      <w:rFonts w:ascii="Times New Roman" w:hAnsi="Times New Roman" w:eastAsia="宋体" w:cs="Times New Roman"/>
      <w:kern w:val="2"/>
      <w:sz w:val="21"/>
      <w:szCs w:val="24"/>
      <w:lang w:val="zh-CN" w:eastAsia="zh-CN" w:bidi="ar-SA"/>
    </w:rPr>
  </w:style>
  <w:style w:type="paragraph" w:customStyle="1" w:styleId="295">
    <w:name w:val="图文"/>
    <w:basedOn w:val="1"/>
    <w:qFormat/>
    <w:uiPriority w:val="0"/>
    <w:pPr>
      <w:adjustRightInd w:val="0"/>
      <w:snapToGrid w:val="0"/>
      <w:spacing w:after="50" w:line="360" w:lineRule="auto"/>
    </w:pPr>
    <w:rPr>
      <w:sz w:val="24"/>
    </w:rPr>
  </w:style>
  <w:style w:type="paragraph" w:customStyle="1" w:styleId="29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97">
    <w:name w:val="正文表格"/>
    <w:basedOn w:val="1"/>
    <w:link w:val="298"/>
    <w:qFormat/>
    <w:uiPriority w:val="0"/>
    <w:pPr>
      <w:adjustRightInd w:val="0"/>
      <w:snapToGrid w:val="0"/>
      <w:jc w:val="left"/>
    </w:pPr>
    <w:rPr>
      <w:rFonts w:ascii="宋体" w:hAnsi="宋体"/>
      <w:color w:val="000000"/>
      <w:szCs w:val="21"/>
    </w:rPr>
  </w:style>
  <w:style w:type="character" w:customStyle="1" w:styleId="298">
    <w:name w:val="正文表格 Char"/>
    <w:link w:val="297"/>
    <w:qFormat/>
    <w:uiPriority w:val="0"/>
    <w:rPr>
      <w:rFonts w:ascii="宋体" w:hAnsi="宋体"/>
      <w:color w:val="000000"/>
      <w:kern w:val="2"/>
      <w:sz w:val="21"/>
      <w:szCs w:val="21"/>
    </w:rPr>
  </w:style>
  <w:style w:type="paragraph" w:customStyle="1" w:styleId="299">
    <w:name w:val="正文重点"/>
    <w:basedOn w:val="1"/>
    <w:link w:val="300"/>
    <w:qFormat/>
    <w:uiPriority w:val="0"/>
    <w:pPr>
      <w:adjustRightInd w:val="0"/>
      <w:spacing w:line="360" w:lineRule="auto"/>
      <w:ind w:firstLine="482" w:firstLineChars="200"/>
      <w:jc w:val="left"/>
      <w:textAlignment w:val="baseline"/>
    </w:pPr>
    <w:rPr>
      <w:b/>
      <w:kern w:val="0"/>
      <w:sz w:val="24"/>
      <w:szCs w:val="20"/>
    </w:rPr>
  </w:style>
  <w:style w:type="character" w:customStyle="1" w:styleId="300">
    <w:name w:val="正文重点 Char"/>
    <w:link w:val="299"/>
    <w:qFormat/>
    <w:uiPriority w:val="0"/>
    <w:rPr>
      <w:b/>
      <w:sz w:val="24"/>
    </w:rPr>
  </w:style>
  <w:style w:type="paragraph" w:customStyle="1" w:styleId="301">
    <w:name w:val="标题1-附件"/>
    <w:basedOn w:val="3"/>
    <w:qFormat/>
    <w:uiPriority w:val="0"/>
    <w:pPr>
      <w:jc w:val="left"/>
    </w:pPr>
    <w:rPr>
      <w:sz w:val="24"/>
      <w:szCs w:val="24"/>
    </w:rPr>
  </w:style>
  <w:style w:type="paragraph" w:customStyle="1" w:styleId="302">
    <w:name w:val="正文小标题"/>
    <w:basedOn w:val="1"/>
    <w:next w:val="7"/>
    <w:link w:val="303"/>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303">
    <w:name w:val="正文小标题 Char"/>
    <w:link w:val="302"/>
    <w:qFormat/>
    <w:uiPriority w:val="0"/>
    <w:rPr>
      <w:rFonts w:ascii="宋体" w:hAnsi="宋体"/>
      <w:b/>
      <w:i/>
      <w:color w:val="FF0000"/>
      <w:kern w:val="2"/>
      <w:sz w:val="24"/>
    </w:rPr>
  </w:style>
  <w:style w:type="paragraph" w:customStyle="1" w:styleId="304">
    <w:name w:val="正文大标题"/>
    <w:basedOn w:val="302"/>
    <w:next w:val="7"/>
    <w:link w:val="305"/>
    <w:qFormat/>
    <w:uiPriority w:val="0"/>
    <w:pPr>
      <w:jc w:val="center"/>
    </w:pPr>
    <w:rPr>
      <w:i w:val="0"/>
      <w:color w:val="000000"/>
      <w:sz w:val="28"/>
      <w:szCs w:val="21"/>
    </w:rPr>
  </w:style>
  <w:style w:type="character" w:customStyle="1" w:styleId="305">
    <w:name w:val="正文大标题 Char"/>
    <w:link w:val="304"/>
    <w:qFormat/>
    <w:uiPriority w:val="0"/>
    <w:rPr>
      <w:rFonts w:ascii="宋体" w:hAnsi="宋体"/>
      <w:b/>
      <w:color w:val="000000"/>
      <w:kern w:val="2"/>
      <w:sz w:val="28"/>
      <w:szCs w:val="21"/>
    </w:rPr>
  </w:style>
  <w:style w:type="paragraph" w:customStyle="1" w:styleId="306">
    <w:name w:val="注释"/>
    <w:basedOn w:val="1"/>
    <w:link w:val="307"/>
    <w:qFormat/>
    <w:uiPriority w:val="0"/>
    <w:pPr>
      <w:adjustRightInd w:val="0"/>
      <w:snapToGrid w:val="0"/>
      <w:ind w:left="420" w:hanging="420" w:hangingChars="200"/>
      <w:jc w:val="left"/>
    </w:pPr>
    <w:rPr>
      <w:rFonts w:ascii="宋体" w:hAnsi="宋体"/>
      <w:szCs w:val="21"/>
    </w:rPr>
  </w:style>
  <w:style w:type="character" w:customStyle="1" w:styleId="307">
    <w:name w:val="注释 Char"/>
    <w:link w:val="306"/>
    <w:qFormat/>
    <w:uiPriority w:val="0"/>
    <w:rPr>
      <w:rFonts w:ascii="宋体" w:hAnsi="宋体"/>
      <w:kern w:val="2"/>
      <w:sz w:val="21"/>
      <w:szCs w:val="21"/>
    </w:rPr>
  </w:style>
  <w:style w:type="paragraph" w:customStyle="1" w:styleId="308">
    <w:name w:val="正文须知-1级"/>
    <w:basedOn w:val="1"/>
    <w:next w:val="1"/>
    <w:qFormat/>
    <w:uiPriority w:val="0"/>
    <w:pPr>
      <w:tabs>
        <w:tab w:val="left" w:pos="1200"/>
      </w:tabs>
      <w:adjustRightInd w:val="0"/>
      <w:snapToGrid w:val="0"/>
      <w:spacing w:line="300" w:lineRule="auto"/>
      <w:ind w:left="1200" w:hanging="360"/>
    </w:pPr>
    <w:rPr>
      <w:rFonts w:ascii="宋体" w:hAnsi="Calibri"/>
      <w:sz w:val="24"/>
      <w:szCs w:val="21"/>
    </w:rPr>
  </w:style>
  <w:style w:type="paragraph" w:customStyle="1" w:styleId="309">
    <w:name w:val="正文须知-2级"/>
    <w:basedOn w:val="1"/>
    <w:qFormat/>
    <w:uiPriority w:val="0"/>
    <w:pPr>
      <w:tabs>
        <w:tab w:val="left" w:pos="1200"/>
      </w:tabs>
      <w:adjustRightInd w:val="0"/>
      <w:snapToGrid w:val="0"/>
      <w:spacing w:line="300" w:lineRule="auto"/>
      <w:ind w:left="1200" w:hanging="360"/>
    </w:pPr>
    <w:rPr>
      <w:rFonts w:ascii="宋体" w:hAnsi="Calibri"/>
      <w:sz w:val="24"/>
      <w:szCs w:val="21"/>
    </w:rPr>
  </w:style>
  <w:style w:type="paragraph" w:customStyle="1" w:styleId="310">
    <w:name w:val="正文须知-3级"/>
    <w:basedOn w:val="1"/>
    <w:qFormat/>
    <w:uiPriority w:val="0"/>
    <w:pPr>
      <w:tabs>
        <w:tab w:val="left" w:pos="1200"/>
      </w:tabs>
      <w:adjustRightInd w:val="0"/>
      <w:snapToGrid w:val="0"/>
      <w:spacing w:line="300" w:lineRule="auto"/>
      <w:ind w:left="1200" w:hanging="355" w:hangingChars="355"/>
    </w:pPr>
    <w:rPr>
      <w:rFonts w:ascii="宋体" w:hAnsi="Calibri"/>
      <w:sz w:val="24"/>
      <w:szCs w:val="21"/>
    </w:rPr>
  </w:style>
  <w:style w:type="character" w:customStyle="1" w:styleId="311">
    <w:name w:val="纯文本 字符"/>
    <w:qFormat/>
    <w:uiPriority w:val="0"/>
    <w:rPr>
      <w:rFonts w:ascii="宋体" w:hAnsi="Courier New" w:eastAsia="宋体" w:cs="Times New Roman"/>
      <w:kern w:val="2"/>
      <w:sz w:val="21"/>
      <w:szCs w:val="21"/>
      <w:lang w:val="en-US" w:eastAsia="zh-CN" w:bidi="ar-SA"/>
    </w:rPr>
  </w:style>
  <w:style w:type="paragraph" w:customStyle="1" w:styleId="312">
    <w:name w:val="表格1"/>
    <w:basedOn w:val="1"/>
    <w:qFormat/>
    <w:uiPriority w:val="0"/>
    <w:pPr>
      <w:ind w:firstLine="480" w:firstLineChars="200"/>
      <w:jc w:val="center"/>
    </w:pPr>
    <w:rPr>
      <w:sz w:val="24"/>
      <w:szCs w:val="20"/>
    </w:rPr>
  </w:style>
  <w:style w:type="character" w:customStyle="1" w:styleId="313">
    <w:name w:val="纯文本 字符1"/>
    <w:qFormat/>
    <w:uiPriority w:val="0"/>
    <w:rPr>
      <w:rFonts w:ascii="宋体" w:hAnsi="Courier New"/>
    </w:rPr>
  </w:style>
  <w:style w:type="character" w:customStyle="1" w:styleId="314">
    <w:name w:val="bjh-p"/>
    <w:qFormat/>
    <w:uiPriority w:val="0"/>
  </w:style>
  <w:style w:type="paragraph" w:customStyle="1" w:styleId="315">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316">
    <w:name w:val="正文格式 Char"/>
    <w:link w:val="317"/>
    <w:qFormat/>
    <w:locked/>
    <w:uiPriority w:val="0"/>
    <w:rPr>
      <w:rFonts w:ascii="宋体" w:hAnsi="宋体"/>
      <w:sz w:val="24"/>
      <w:szCs w:val="24"/>
      <w:lang w:val="en-GB"/>
    </w:rPr>
  </w:style>
  <w:style w:type="paragraph" w:customStyle="1" w:styleId="317">
    <w:name w:val="正文格式"/>
    <w:basedOn w:val="1"/>
    <w:link w:val="316"/>
    <w:qFormat/>
    <w:uiPriority w:val="0"/>
    <w:pPr>
      <w:spacing w:beforeLines="50" w:line="360" w:lineRule="auto"/>
      <w:ind w:firstLine="480" w:firstLineChars="200"/>
    </w:pPr>
    <w:rPr>
      <w:rFonts w:ascii="宋体" w:hAnsi="宋体"/>
      <w:kern w:val="0"/>
      <w:sz w:val="24"/>
      <w:lang w:val="en-GB"/>
    </w:rPr>
  </w:style>
  <w:style w:type="character" w:customStyle="1" w:styleId="318">
    <w:name w:val="标题 3 Char"/>
    <w:qFormat/>
    <w:uiPriority w:val="0"/>
    <w:rPr>
      <w:rFonts w:ascii="宋体" w:eastAsia="宋体"/>
      <w:b/>
      <w:sz w:val="24"/>
      <w:u w:val="single"/>
      <w:lang w:val="en-US" w:eastAsia="zh-CN" w:bidi="ar-SA"/>
    </w:rPr>
  </w:style>
  <w:style w:type="character" w:customStyle="1" w:styleId="319">
    <w:name w:val="正文缩进 Char"/>
    <w:qFormat/>
    <w:uiPriority w:val="99"/>
    <w:rPr>
      <w:rFonts w:ascii="宋体" w:eastAsia="宋体"/>
      <w:kern w:val="2"/>
      <w:sz w:val="24"/>
      <w:szCs w:val="24"/>
      <w:lang w:val="en-US" w:eastAsia="zh-CN" w:bidi="ar-SA"/>
    </w:rPr>
  </w:style>
  <w:style w:type="character" w:customStyle="1" w:styleId="320">
    <w:name w:val="Char Char111"/>
    <w:qFormat/>
    <w:uiPriority w:val="0"/>
    <w:rPr>
      <w:rFonts w:ascii="宋体" w:eastAsia="宋体"/>
      <w:b/>
      <w:sz w:val="24"/>
      <w:u w:val="single"/>
      <w:lang w:val="en-US" w:eastAsia="zh-CN" w:bidi="ar-SA"/>
    </w:rPr>
  </w:style>
  <w:style w:type="character" w:customStyle="1" w:styleId="321">
    <w:name w:val="正文文本缩进 Char"/>
    <w:qFormat/>
    <w:uiPriority w:val="0"/>
    <w:rPr>
      <w:rFonts w:eastAsia="宋体"/>
      <w:kern w:val="2"/>
      <w:sz w:val="24"/>
      <w:szCs w:val="24"/>
      <w:lang w:val="en-US" w:eastAsia="zh-CN" w:bidi="ar-SA"/>
    </w:rPr>
  </w:style>
  <w:style w:type="character" w:customStyle="1" w:styleId="322">
    <w:name w:val="列出段落 Char"/>
    <w:qFormat/>
    <w:uiPriority w:val="0"/>
    <w:rPr>
      <w:rFonts w:ascii="Calibri" w:hAnsi="Calibri" w:eastAsia="宋体"/>
      <w:kern w:val="2"/>
      <w:sz w:val="21"/>
      <w:szCs w:val="22"/>
      <w:lang w:val="en-US" w:eastAsia="zh-CN" w:bidi="ar-SA"/>
    </w:rPr>
  </w:style>
  <w:style w:type="character" w:customStyle="1" w:styleId="323">
    <w:name w:val="页眉 Char"/>
    <w:qFormat/>
    <w:uiPriority w:val="99"/>
    <w:rPr>
      <w:rFonts w:eastAsia="宋体"/>
      <w:kern w:val="2"/>
      <w:sz w:val="18"/>
      <w:szCs w:val="18"/>
      <w:lang w:val="en-US" w:eastAsia="zh-CN" w:bidi="ar-SA"/>
    </w:rPr>
  </w:style>
  <w:style w:type="character" w:customStyle="1" w:styleId="324">
    <w:name w:val="标题 2 Char"/>
    <w:qFormat/>
    <w:uiPriority w:val="0"/>
    <w:rPr>
      <w:rFonts w:ascii="Arial" w:hAnsi="Arial" w:eastAsia="黑体"/>
      <w:b/>
      <w:sz w:val="30"/>
      <w:lang w:val="en-US" w:eastAsia="zh-CN" w:bidi="ar-SA"/>
    </w:rPr>
  </w:style>
  <w:style w:type="paragraph" w:customStyle="1" w:styleId="325">
    <w:name w:val="字元 字元2"/>
    <w:basedOn w:val="1"/>
    <w:qFormat/>
    <w:uiPriority w:val="0"/>
    <w:rPr>
      <w:rFonts w:ascii="Tahoma" w:hAnsi="Tahoma"/>
      <w:sz w:val="24"/>
      <w:szCs w:val="20"/>
    </w:rPr>
  </w:style>
  <w:style w:type="paragraph" w:customStyle="1" w:styleId="326">
    <w:name w:val="Char3 Char Char Char2"/>
    <w:basedOn w:val="1"/>
    <w:qFormat/>
    <w:uiPriority w:val="0"/>
    <w:rPr>
      <w:rFonts w:ascii="Tahoma" w:hAnsi="Tahoma"/>
      <w:sz w:val="24"/>
      <w:szCs w:val="20"/>
    </w:rPr>
  </w:style>
  <w:style w:type="paragraph" w:customStyle="1" w:styleId="32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328">
    <w:name w:val="Char3"/>
    <w:basedOn w:val="1"/>
    <w:qFormat/>
    <w:uiPriority w:val="0"/>
    <w:pPr>
      <w:tabs>
        <w:tab w:val="left" w:pos="360"/>
      </w:tabs>
    </w:pPr>
    <w:rPr>
      <w:sz w:val="24"/>
    </w:rPr>
  </w:style>
  <w:style w:type="paragraph" w:customStyle="1" w:styleId="32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330">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31">
    <w:name w:val="列出段落2"/>
    <w:basedOn w:val="1"/>
    <w:qFormat/>
    <w:uiPriority w:val="34"/>
    <w:pPr>
      <w:ind w:firstLine="420" w:firstLineChars="200"/>
    </w:pPr>
    <w:rPr>
      <w:rFonts w:ascii="Calibri" w:hAnsi="Calibri"/>
      <w:szCs w:val="22"/>
    </w:rPr>
  </w:style>
  <w:style w:type="paragraph" w:customStyle="1" w:styleId="332">
    <w:name w:val="Char Char Char1 Char2"/>
    <w:basedOn w:val="1"/>
    <w:qFormat/>
    <w:uiPriority w:val="0"/>
    <w:rPr>
      <w:rFonts w:ascii="Tahoma" w:hAnsi="Tahoma"/>
      <w:sz w:val="24"/>
      <w:szCs w:val="20"/>
    </w:rPr>
  </w:style>
  <w:style w:type="paragraph" w:customStyle="1" w:styleId="333">
    <w:name w:val="Char Char Char2"/>
    <w:basedOn w:val="1"/>
    <w:qFormat/>
    <w:uiPriority w:val="0"/>
    <w:rPr>
      <w:rFonts w:ascii="Tahoma" w:hAnsi="Tahoma"/>
      <w:sz w:val="24"/>
      <w:szCs w:val="20"/>
    </w:rPr>
  </w:style>
  <w:style w:type="paragraph" w:customStyle="1" w:styleId="334">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335">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336">
    <w:name w:val="修订1"/>
    <w:qFormat/>
    <w:uiPriority w:val="0"/>
    <w:rPr>
      <w:rFonts w:ascii="Times New Roman" w:hAnsi="Times New Roman" w:eastAsia="宋体" w:cs="Times New Roman"/>
      <w:kern w:val="2"/>
      <w:sz w:val="21"/>
      <w:szCs w:val="24"/>
      <w:lang w:val="en-US" w:eastAsia="zh-CN" w:bidi="ar-SA"/>
    </w:rPr>
  </w:style>
  <w:style w:type="paragraph" w:customStyle="1" w:styleId="337">
    <w:name w:val="Char22"/>
    <w:basedOn w:val="1"/>
    <w:qFormat/>
    <w:uiPriority w:val="0"/>
    <w:rPr>
      <w:rFonts w:ascii="Tahoma" w:hAnsi="Tahoma"/>
      <w:sz w:val="24"/>
      <w:szCs w:val="20"/>
    </w:rPr>
  </w:style>
  <w:style w:type="paragraph" w:customStyle="1" w:styleId="338">
    <w:name w:val="Char Char Char Char Char Char Char Char Char Char2"/>
    <w:basedOn w:val="1"/>
    <w:qFormat/>
    <w:uiPriority w:val="0"/>
    <w:rPr>
      <w:rFonts w:ascii="宋体" w:hAnsi="宋体" w:cs="Courier New"/>
      <w:sz w:val="32"/>
      <w:szCs w:val="32"/>
    </w:rPr>
  </w:style>
  <w:style w:type="paragraph" w:customStyle="1" w:styleId="339">
    <w:name w:val="Char2 Char Char Char Char Char Char1"/>
    <w:basedOn w:val="1"/>
    <w:qFormat/>
    <w:uiPriority w:val="0"/>
    <w:pPr>
      <w:widowControl/>
      <w:spacing w:line="400" w:lineRule="exact"/>
      <w:jc w:val="center"/>
    </w:pPr>
  </w:style>
  <w:style w:type="character" w:customStyle="1" w:styleId="340">
    <w:name w:val="页脚 Char"/>
    <w:qFormat/>
    <w:uiPriority w:val="99"/>
    <w:rPr>
      <w:rFonts w:ascii="宋体" w:eastAsia="宋体"/>
      <w:sz w:val="18"/>
      <w:lang w:val="en-US" w:eastAsia="zh-CN" w:bidi="ar-SA"/>
    </w:rPr>
  </w:style>
  <w:style w:type="paragraph" w:customStyle="1" w:styleId="341">
    <w:name w:val="Char Char41"/>
    <w:basedOn w:val="1"/>
    <w:qFormat/>
    <w:uiPriority w:val="0"/>
    <w:pPr>
      <w:widowControl/>
      <w:spacing w:line="400" w:lineRule="exact"/>
      <w:jc w:val="center"/>
    </w:pPr>
  </w:style>
  <w:style w:type="character" w:customStyle="1" w:styleId="342">
    <w:name w:val="批注文字 Char"/>
    <w:qFormat/>
    <w:uiPriority w:val="0"/>
    <w:rPr>
      <w:kern w:val="2"/>
      <w:sz w:val="21"/>
      <w:szCs w:val="24"/>
    </w:rPr>
  </w:style>
  <w:style w:type="character" w:customStyle="1" w:styleId="343">
    <w:name w:val="标题 Char"/>
    <w:qFormat/>
    <w:uiPriority w:val="0"/>
    <w:rPr>
      <w:b/>
      <w:kern w:val="2"/>
      <w:sz w:val="32"/>
    </w:rPr>
  </w:style>
  <w:style w:type="paragraph" w:customStyle="1" w:styleId="344">
    <w:name w:val="图例"/>
    <w:basedOn w:val="1"/>
    <w:qFormat/>
    <w:uiPriority w:val="0"/>
    <w:pPr>
      <w:spacing w:before="120" w:after="120" w:line="360" w:lineRule="auto"/>
      <w:jc w:val="center"/>
    </w:pPr>
    <w:rPr>
      <w:rFonts w:eastAsia="仿宋_GB2312"/>
      <w:b/>
      <w:sz w:val="24"/>
      <w:szCs w:val="20"/>
    </w:rPr>
  </w:style>
  <w:style w:type="paragraph" w:customStyle="1" w:styleId="345">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346">
    <w:name w:val="Table Normal"/>
    <w:qFormat/>
    <w:uiPriority w:val="2"/>
    <w:pPr>
      <w:widowControl w:val="0"/>
      <w:autoSpaceDE w:val="0"/>
      <w:autoSpaceDN w:val="0"/>
    </w:pPr>
    <w:rPr>
      <w:rFonts w:ascii="Calibri" w:hAnsi="Calibri"/>
      <w:sz w:val="22"/>
      <w:szCs w:val="22"/>
      <w:lang w:eastAsia="en-US"/>
    </w:rPr>
    <w:tblPr>
      <w:tblLayout w:type="fixed"/>
      <w:tblCellMar>
        <w:top w:w="0" w:type="dxa"/>
        <w:left w:w="0" w:type="dxa"/>
        <w:bottom w:w="0" w:type="dxa"/>
        <w:right w:w="0" w:type="dxa"/>
      </w:tblCellMar>
    </w:tblPr>
  </w:style>
  <w:style w:type="paragraph" w:customStyle="1" w:styleId="347">
    <w:name w:val="+正文"/>
    <w:basedOn w:val="1"/>
    <w:link w:val="348"/>
    <w:qFormat/>
    <w:uiPriority w:val="0"/>
    <w:pPr>
      <w:spacing w:line="360" w:lineRule="auto"/>
      <w:ind w:firstLine="200" w:firstLineChars="200"/>
    </w:pPr>
    <w:rPr>
      <w:rFonts w:ascii="Calibri" w:hAnsi="Calibri"/>
      <w:kern w:val="0"/>
      <w:sz w:val="24"/>
      <w:szCs w:val="28"/>
    </w:rPr>
  </w:style>
  <w:style w:type="character" w:customStyle="1" w:styleId="348">
    <w:name w:val="+正文 Char4"/>
    <w:link w:val="347"/>
    <w:qFormat/>
    <w:uiPriority w:val="0"/>
    <w:rPr>
      <w:rFonts w:ascii="Calibri" w:hAnsi="Calibri"/>
      <w:sz w:val="24"/>
      <w:szCs w:val="28"/>
    </w:rPr>
  </w:style>
  <w:style w:type="character" w:customStyle="1" w:styleId="349">
    <w:name w:val="标题 1 Char1"/>
    <w:qFormat/>
    <w:uiPriority w:val="99"/>
    <w:rPr>
      <w:rFonts w:ascii="Times New Roman" w:hAnsi="Times New Roman" w:eastAsia="宋体" w:cs="Times New Roman"/>
      <w:b/>
      <w:kern w:val="44"/>
      <w:sz w:val="44"/>
      <w:szCs w:val="20"/>
    </w:rPr>
  </w:style>
  <w:style w:type="character" w:customStyle="1" w:styleId="350">
    <w:name w:val="标题 4 Char1"/>
    <w:qFormat/>
    <w:uiPriority w:val="0"/>
    <w:rPr>
      <w:rFonts w:ascii="Arial" w:hAnsi="Arial" w:eastAsia="黑体" w:cs="Times New Roman"/>
      <w:b/>
      <w:sz w:val="28"/>
      <w:szCs w:val="20"/>
    </w:rPr>
  </w:style>
  <w:style w:type="character" w:customStyle="1" w:styleId="351">
    <w:name w:val="标题 5 Char1"/>
    <w:qFormat/>
    <w:uiPriority w:val="99"/>
    <w:rPr>
      <w:rFonts w:ascii="Times New Roman" w:hAnsi="Times New Roman" w:eastAsia="宋体" w:cs="Times New Roman"/>
      <w:b/>
      <w:sz w:val="28"/>
      <w:szCs w:val="20"/>
    </w:rPr>
  </w:style>
  <w:style w:type="character" w:customStyle="1" w:styleId="352">
    <w:name w:val="标题 6 Char1"/>
    <w:qFormat/>
    <w:uiPriority w:val="9"/>
    <w:rPr>
      <w:rFonts w:ascii="Arial" w:hAnsi="Arial" w:eastAsia="黑体" w:cs="Times New Roman"/>
      <w:b/>
      <w:sz w:val="24"/>
      <w:szCs w:val="20"/>
    </w:rPr>
  </w:style>
  <w:style w:type="character" w:customStyle="1" w:styleId="353">
    <w:name w:val="标题 7 Char1"/>
    <w:qFormat/>
    <w:uiPriority w:val="9"/>
    <w:rPr>
      <w:rFonts w:ascii="Times New Roman" w:hAnsi="Times New Roman" w:eastAsia="宋体" w:cs="Times New Roman"/>
      <w:b/>
      <w:sz w:val="24"/>
      <w:szCs w:val="20"/>
    </w:rPr>
  </w:style>
  <w:style w:type="character" w:customStyle="1" w:styleId="354">
    <w:name w:val="标题 8 Char1"/>
    <w:qFormat/>
    <w:uiPriority w:val="9"/>
    <w:rPr>
      <w:rFonts w:ascii="Arial" w:hAnsi="Arial" w:eastAsia="黑体" w:cs="Times New Roman"/>
      <w:sz w:val="24"/>
      <w:szCs w:val="20"/>
    </w:rPr>
  </w:style>
  <w:style w:type="character" w:customStyle="1" w:styleId="355">
    <w:name w:val="标题 9 Char1"/>
    <w:qFormat/>
    <w:uiPriority w:val="9"/>
    <w:rPr>
      <w:rFonts w:ascii="Arial" w:hAnsi="Arial" w:eastAsia="黑体" w:cs="Times New Roman"/>
      <w:sz w:val="24"/>
      <w:szCs w:val="20"/>
    </w:rPr>
  </w:style>
  <w:style w:type="character" w:customStyle="1" w:styleId="356">
    <w:name w:val="普通文字1 Char Char"/>
    <w:qFormat/>
    <w:uiPriority w:val="99"/>
    <w:rPr>
      <w:rFonts w:ascii="宋体" w:hAnsi="Courier New" w:eastAsia="宋体" w:cs="Times New Roman"/>
      <w:kern w:val="2"/>
      <w:sz w:val="21"/>
      <w:lang w:val="en-US" w:eastAsia="zh-CN" w:bidi="ar-SA"/>
    </w:rPr>
  </w:style>
  <w:style w:type="character" w:customStyle="1" w:styleId="357">
    <w:name w:val="正文文本 Char2"/>
    <w:qFormat/>
    <w:uiPriority w:val="0"/>
    <w:rPr>
      <w:rFonts w:ascii="Times New Roman" w:hAnsi="Times New Roman" w:eastAsia="宋体" w:cs="Times New Roman"/>
    </w:rPr>
  </w:style>
  <w:style w:type="character" w:customStyle="1" w:styleId="358">
    <w:name w:val="Char Char2"/>
    <w:qFormat/>
    <w:uiPriority w:val="99"/>
    <w:rPr>
      <w:rFonts w:ascii="Arial" w:hAnsi="Arial" w:eastAsia="黑体"/>
      <w:b/>
      <w:kern w:val="2"/>
      <w:sz w:val="32"/>
      <w:lang w:val="en-US" w:eastAsia="zh-CN"/>
    </w:rPr>
  </w:style>
  <w:style w:type="character" w:customStyle="1" w:styleId="359">
    <w:name w:val="信息标题 Char1"/>
    <w:link w:val="84"/>
    <w:qFormat/>
    <w:uiPriority w:val="0"/>
    <w:rPr>
      <w:rFonts w:ascii="Cambria" w:hAnsi="Cambria"/>
      <w:sz w:val="24"/>
      <w:szCs w:val="24"/>
      <w:shd w:val="pct20" w:color="auto" w:fill="auto"/>
    </w:rPr>
  </w:style>
  <w:style w:type="character" w:customStyle="1" w:styleId="360">
    <w:name w:val="信息标题 Char"/>
    <w:qFormat/>
    <w:uiPriority w:val="0"/>
    <w:rPr>
      <w:rFonts w:ascii="Cambria" w:hAnsi="Cambria" w:eastAsia="宋体" w:cs="Times New Roman"/>
      <w:kern w:val="2"/>
      <w:sz w:val="24"/>
      <w:szCs w:val="24"/>
      <w:shd w:val="pct20" w:color="auto" w:fill="auto"/>
    </w:rPr>
  </w:style>
  <w:style w:type="character" w:customStyle="1" w:styleId="361">
    <w:name w:val="9-121"/>
    <w:qFormat/>
    <w:uiPriority w:val="0"/>
    <w:rPr>
      <w:rFonts w:ascii="Times New Roman" w:hAnsi="Times New Roman" w:eastAsia="宋体" w:cs="Times New Roman"/>
      <w:sz w:val="18"/>
    </w:rPr>
  </w:style>
  <w:style w:type="character" w:customStyle="1" w:styleId="362">
    <w:name w:val="标准正文 Char"/>
    <w:link w:val="363"/>
    <w:qFormat/>
    <w:uiPriority w:val="0"/>
    <w:rPr>
      <w:sz w:val="24"/>
    </w:rPr>
  </w:style>
  <w:style w:type="paragraph" w:customStyle="1" w:styleId="363">
    <w:name w:val="标准正文"/>
    <w:basedOn w:val="40"/>
    <w:next w:val="1"/>
    <w:link w:val="362"/>
    <w:qFormat/>
    <w:uiPriority w:val="0"/>
    <w:pPr>
      <w:spacing w:before="60" w:after="60"/>
      <w:ind w:firstLine="482"/>
    </w:pPr>
    <w:rPr>
      <w:kern w:val="0"/>
      <w:szCs w:val="20"/>
    </w:rPr>
  </w:style>
  <w:style w:type="character" w:customStyle="1" w:styleId="364">
    <w:name w:val="font161"/>
    <w:qFormat/>
    <w:uiPriority w:val="99"/>
    <w:rPr>
      <w:b/>
      <w:sz w:val="32"/>
    </w:rPr>
  </w:style>
  <w:style w:type="character" w:customStyle="1" w:styleId="365">
    <w:name w:val="标准文本 Char"/>
    <w:link w:val="366"/>
    <w:qFormat/>
    <w:uiPriority w:val="99"/>
    <w:rPr>
      <w:rFonts w:cs="宋体"/>
      <w:sz w:val="24"/>
    </w:rPr>
  </w:style>
  <w:style w:type="paragraph" w:customStyle="1" w:styleId="366">
    <w:name w:val="标准文本"/>
    <w:basedOn w:val="1"/>
    <w:next w:val="1"/>
    <w:link w:val="365"/>
    <w:qFormat/>
    <w:uiPriority w:val="0"/>
    <w:pPr>
      <w:spacing w:line="360" w:lineRule="auto"/>
      <w:ind w:firstLine="480" w:firstLineChars="200"/>
    </w:pPr>
    <w:rPr>
      <w:rFonts w:cs="宋体"/>
      <w:kern w:val="0"/>
      <w:sz w:val="24"/>
      <w:szCs w:val="20"/>
    </w:rPr>
  </w:style>
  <w:style w:type="character" w:customStyle="1" w:styleId="367">
    <w:name w:val="正文格式 Char1"/>
    <w:qFormat/>
    <w:uiPriority w:val="0"/>
    <w:rPr>
      <w:rFonts w:ascii="Verdana" w:hAnsi="Verdana" w:eastAsia="宋体" w:cs="Times New Roman"/>
      <w:kern w:val="28"/>
      <w:sz w:val="24"/>
      <w:szCs w:val="24"/>
      <w:lang w:eastAsia="ar-SA"/>
    </w:rPr>
  </w:style>
  <w:style w:type="character" w:customStyle="1" w:styleId="368">
    <w:name w:val="Char Char12"/>
    <w:qFormat/>
    <w:uiPriority w:val="99"/>
    <w:rPr>
      <w:rFonts w:eastAsia="宋体"/>
      <w:kern w:val="2"/>
      <w:sz w:val="24"/>
      <w:lang w:val="en-US" w:eastAsia="zh-CN"/>
    </w:rPr>
  </w:style>
  <w:style w:type="character" w:customStyle="1" w:styleId="369">
    <w:name w:val="标题2 Char"/>
    <w:qFormat/>
    <w:uiPriority w:val="99"/>
    <w:rPr>
      <w:rFonts w:ascii="Arial" w:hAnsi="Arial" w:eastAsia="黑体" w:cs="Times New Roman"/>
      <w:b/>
      <w:kern w:val="0"/>
      <w:sz w:val="30"/>
      <w:szCs w:val="20"/>
    </w:rPr>
  </w:style>
  <w:style w:type="character" w:customStyle="1" w:styleId="370">
    <w:name w:val="正文文本缩进 2 Char1"/>
    <w:qFormat/>
    <w:locked/>
    <w:uiPriority w:val="99"/>
    <w:rPr>
      <w:rFonts w:ascii="Times New Roman" w:hAnsi="Times New Roman" w:eastAsia="宋体" w:cs="Times New Roman"/>
      <w:kern w:val="0"/>
      <w:sz w:val="24"/>
      <w:szCs w:val="24"/>
    </w:rPr>
  </w:style>
  <w:style w:type="character" w:customStyle="1" w:styleId="371">
    <w:name w:val="签名 Char1"/>
    <w:qFormat/>
    <w:uiPriority w:val="99"/>
    <w:rPr>
      <w:rFonts w:ascii="Times New Roman" w:hAnsi="Times New Roman" w:eastAsia="宋体" w:cs="Times New Roman"/>
      <w:kern w:val="2"/>
      <w:sz w:val="21"/>
    </w:rPr>
  </w:style>
  <w:style w:type="character" w:customStyle="1" w:styleId="372">
    <w:name w:val="H1 Char"/>
    <w:qFormat/>
    <w:uiPriority w:val="99"/>
    <w:rPr>
      <w:rFonts w:ascii="宋体" w:hAnsi="Times New Roman" w:eastAsia="宋体" w:cs="Times New Roman"/>
      <w:b/>
      <w:kern w:val="44"/>
      <w:sz w:val="32"/>
      <w:szCs w:val="20"/>
    </w:rPr>
  </w:style>
  <w:style w:type="character" w:customStyle="1" w:styleId="373">
    <w:name w:val="word331"/>
    <w:qFormat/>
    <w:uiPriority w:val="0"/>
    <w:rPr>
      <w:rFonts w:ascii="Times New Roman" w:hAnsi="Times New Roman" w:eastAsia="宋体" w:cs="Times New Roman"/>
      <w:b/>
      <w:bCs/>
      <w:color w:val="002A4E"/>
      <w:sz w:val="20"/>
      <w:szCs w:val="20"/>
    </w:rPr>
  </w:style>
  <w:style w:type="character" w:customStyle="1" w:styleId="374">
    <w:name w:val="文档结构图 Char1"/>
    <w:qFormat/>
    <w:uiPriority w:val="99"/>
    <w:rPr>
      <w:rFonts w:ascii="Times New Roman" w:hAnsi="Times New Roman" w:eastAsia="宋体" w:cs="Times New Roman"/>
      <w:shd w:val="clear" w:color="auto" w:fill="000080"/>
    </w:rPr>
  </w:style>
  <w:style w:type="character" w:customStyle="1" w:styleId="375">
    <w:name w:val="正文文本 3 Char1"/>
    <w:qFormat/>
    <w:locked/>
    <w:uiPriority w:val="99"/>
    <w:rPr>
      <w:sz w:val="16"/>
    </w:rPr>
  </w:style>
  <w:style w:type="character" w:customStyle="1" w:styleId="376">
    <w:name w:val="页眉 字符"/>
    <w:qFormat/>
    <w:uiPriority w:val="99"/>
    <w:rPr>
      <w:rFonts w:ascii="Times New Roman" w:hAnsi="Times New Roman" w:eastAsia="宋体" w:cs="Times New Roman"/>
      <w:kern w:val="2"/>
      <w:sz w:val="18"/>
    </w:rPr>
  </w:style>
  <w:style w:type="character" w:customStyle="1" w:styleId="377">
    <w:name w:val="彩色列表 - 着色 1 Char"/>
    <w:qFormat/>
    <w:uiPriority w:val="34"/>
    <w:rPr>
      <w:rFonts w:ascii="Times New Roman" w:hAnsi="Times New Roman" w:eastAsia="宋体" w:cs="Times New Roman"/>
      <w:kern w:val="2"/>
      <w:sz w:val="21"/>
      <w:szCs w:val="22"/>
    </w:rPr>
  </w:style>
  <w:style w:type="character" w:customStyle="1" w:styleId="378">
    <w:name w:val="正文首行缩进 Char1"/>
    <w:link w:val="379"/>
    <w:qFormat/>
    <w:uiPriority w:val="0"/>
    <w:rPr>
      <w:kern w:val="2"/>
      <w:sz w:val="21"/>
    </w:rPr>
  </w:style>
  <w:style w:type="paragraph" w:customStyle="1" w:styleId="379">
    <w:name w:val="正文文本首行缩进1"/>
    <w:basedOn w:val="19"/>
    <w:link w:val="378"/>
    <w:unhideWhenUsed/>
    <w:qFormat/>
    <w:uiPriority w:val="99"/>
    <w:pPr>
      <w:tabs>
        <w:tab w:val="clear" w:pos="567"/>
      </w:tabs>
      <w:spacing w:before="0" w:after="120" w:line="240" w:lineRule="auto"/>
      <w:ind w:firstLine="420" w:firstLineChars="100"/>
    </w:pPr>
    <w:rPr>
      <w:rFonts w:ascii="Times New Roman" w:hAnsi="Times New Roman"/>
      <w:sz w:val="21"/>
      <w:szCs w:val="20"/>
    </w:rPr>
  </w:style>
  <w:style w:type="character" w:customStyle="1" w:styleId="380">
    <w:name w:val="正文首行缩进 Char"/>
    <w:qFormat/>
    <w:uiPriority w:val="0"/>
    <w:rPr>
      <w:rFonts w:ascii="宋体" w:hAnsi="宋体"/>
      <w:kern w:val="2"/>
      <w:sz w:val="21"/>
      <w:szCs w:val="24"/>
    </w:rPr>
  </w:style>
  <w:style w:type="character" w:customStyle="1" w:styleId="381">
    <w:name w:val="apple-converted-space"/>
    <w:qFormat/>
    <w:uiPriority w:val="99"/>
    <w:rPr>
      <w:rFonts w:ascii="Times New Roman" w:hAnsi="Times New Roman" w:eastAsia="宋体" w:cs="Times New Roman"/>
    </w:rPr>
  </w:style>
  <w:style w:type="character" w:customStyle="1" w:styleId="382">
    <w:name w:val="正文文本 2 Char1"/>
    <w:link w:val="2"/>
    <w:qFormat/>
    <w:locked/>
    <w:uiPriority w:val="99"/>
    <w:rPr>
      <w:rFonts w:ascii="Arial" w:hAnsi="Arial"/>
      <w:sz w:val="24"/>
    </w:rPr>
  </w:style>
  <w:style w:type="character" w:customStyle="1" w:styleId="383">
    <w:name w:val="正文文本 2 Char"/>
    <w:qFormat/>
    <w:uiPriority w:val="0"/>
    <w:rPr>
      <w:kern w:val="2"/>
      <w:sz w:val="21"/>
      <w:szCs w:val="24"/>
    </w:rPr>
  </w:style>
  <w:style w:type="character" w:customStyle="1" w:styleId="384">
    <w:name w:val="未处理的提及1"/>
    <w:unhideWhenUsed/>
    <w:qFormat/>
    <w:uiPriority w:val="99"/>
    <w:rPr>
      <w:rFonts w:ascii="Times New Roman" w:hAnsi="Times New Roman" w:eastAsia="宋体" w:cs="Times New Roman"/>
      <w:color w:val="605E5C"/>
      <w:shd w:val="clear" w:color="auto" w:fill="E1DFDD"/>
    </w:rPr>
  </w:style>
  <w:style w:type="character" w:customStyle="1" w:styleId="385">
    <w:name w:val="页脚 字符"/>
    <w:qFormat/>
    <w:uiPriority w:val="99"/>
    <w:rPr>
      <w:rFonts w:ascii="Times New Roman" w:hAnsi="Times New Roman" w:eastAsia="宋体" w:cs="Times New Roman"/>
      <w:kern w:val="2"/>
      <w:sz w:val="18"/>
    </w:rPr>
  </w:style>
  <w:style w:type="character" w:customStyle="1" w:styleId="386">
    <w:name w:val="批注主题 Char1"/>
    <w:qFormat/>
    <w:uiPriority w:val="99"/>
    <w:rPr>
      <w:rFonts w:ascii="Times New Roman" w:hAnsi="Times New Roman" w:eastAsia="宋体" w:cs="Times New Roman"/>
      <w:b/>
    </w:rPr>
  </w:style>
  <w:style w:type="character" w:customStyle="1" w:styleId="387">
    <w:name w:val="日期 Char1"/>
    <w:qFormat/>
    <w:uiPriority w:val="99"/>
    <w:rPr>
      <w:rFonts w:ascii="Times New Roman" w:hAnsi="Times New Roman" w:eastAsia="宋体" w:cs="Times New Roman"/>
    </w:rPr>
  </w:style>
  <w:style w:type="character" w:customStyle="1" w:styleId="388">
    <w:name w:val="标题 Char2"/>
    <w:qFormat/>
    <w:uiPriority w:val="99"/>
    <w:rPr>
      <w:rFonts w:ascii="Arial" w:hAnsi="Arial"/>
      <w:b/>
      <w:bCs/>
      <w:sz w:val="32"/>
      <w:szCs w:val="32"/>
    </w:rPr>
  </w:style>
  <w:style w:type="character" w:customStyle="1" w:styleId="389">
    <w:name w:val="样式 首行缩进:  2 字符 + 宋体 Char"/>
    <w:link w:val="390"/>
    <w:qFormat/>
    <w:uiPriority w:val="0"/>
    <w:rPr>
      <w:rFonts w:ascii="宋体" w:hAnsi="宋体" w:cs="宋体"/>
      <w:sz w:val="24"/>
    </w:rPr>
  </w:style>
  <w:style w:type="paragraph" w:customStyle="1" w:styleId="390">
    <w:name w:val="样式 首行缩进:  2 字符 + 宋体"/>
    <w:basedOn w:val="1"/>
    <w:next w:val="1"/>
    <w:link w:val="389"/>
    <w:qFormat/>
    <w:uiPriority w:val="0"/>
    <w:pPr>
      <w:spacing w:line="360" w:lineRule="auto"/>
      <w:ind w:firstLine="200" w:firstLineChars="200"/>
    </w:pPr>
    <w:rPr>
      <w:rFonts w:ascii="宋体" w:hAnsi="宋体" w:cs="宋体"/>
      <w:kern w:val="0"/>
      <w:sz w:val="24"/>
      <w:szCs w:val="20"/>
    </w:rPr>
  </w:style>
  <w:style w:type="character" w:customStyle="1" w:styleId="391">
    <w:name w:val="正文文本缩进 2 Char2"/>
    <w:qFormat/>
    <w:uiPriority w:val="99"/>
    <w:rPr>
      <w:rFonts w:ascii="Times New Roman" w:hAnsi="Times New Roman" w:eastAsia="宋体" w:cs="Times New Roman"/>
    </w:rPr>
  </w:style>
  <w:style w:type="character" w:customStyle="1" w:styleId="392">
    <w:name w:val="签名 Char2"/>
    <w:link w:val="64"/>
    <w:qFormat/>
    <w:uiPriority w:val="0"/>
    <w:rPr>
      <w:rFonts w:eastAsia="仿宋_GB2312"/>
      <w:sz w:val="24"/>
    </w:rPr>
  </w:style>
  <w:style w:type="character" w:customStyle="1" w:styleId="393">
    <w:name w:val="签名 Char"/>
    <w:qFormat/>
    <w:uiPriority w:val="0"/>
    <w:rPr>
      <w:kern w:val="2"/>
      <w:sz w:val="21"/>
      <w:szCs w:val="24"/>
    </w:rPr>
  </w:style>
  <w:style w:type="character" w:customStyle="1" w:styleId="394">
    <w:name w:val="样式 粉红"/>
    <w:qFormat/>
    <w:uiPriority w:val="99"/>
    <w:rPr>
      <w:color w:val="auto"/>
      <w:u w:val="none"/>
    </w:rPr>
  </w:style>
  <w:style w:type="character" w:customStyle="1" w:styleId="395">
    <w:name w:val="批注框文本 Char1"/>
    <w:qFormat/>
    <w:uiPriority w:val="99"/>
    <w:rPr>
      <w:rFonts w:ascii="Times New Roman" w:hAnsi="Times New Roman" w:eastAsia="宋体" w:cs="Times New Roman"/>
      <w:sz w:val="18"/>
    </w:rPr>
  </w:style>
  <w:style w:type="character" w:customStyle="1" w:styleId="396">
    <w:name w:val="正文缩进 字符"/>
    <w:qFormat/>
    <w:locked/>
    <w:uiPriority w:val="0"/>
    <w:rPr>
      <w:rFonts w:ascii="宋体"/>
      <w:sz w:val="24"/>
    </w:rPr>
  </w:style>
  <w:style w:type="character" w:customStyle="1" w:styleId="397">
    <w:name w:val="正文文本缩进 3 Char1"/>
    <w:qFormat/>
    <w:uiPriority w:val="99"/>
    <w:rPr>
      <w:rFonts w:ascii="Times New Roman" w:hAnsi="Times New Roman" w:eastAsia="宋体" w:cs="Times New Roman"/>
      <w:sz w:val="16"/>
      <w:szCs w:val="16"/>
    </w:rPr>
  </w:style>
  <w:style w:type="paragraph" w:customStyle="1" w:styleId="398">
    <w:name w:val="3"/>
    <w:basedOn w:val="1"/>
    <w:next w:val="37"/>
    <w:qFormat/>
    <w:uiPriority w:val="99"/>
    <w:rPr>
      <w:rFonts w:ascii="宋体"/>
      <w:sz w:val="24"/>
      <w:szCs w:val="20"/>
    </w:rPr>
  </w:style>
  <w:style w:type="paragraph" w:customStyle="1" w:styleId="399">
    <w:name w:val="样式 标题 2 + 宋体 五号 非加粗 黑色"/>
    <w:basedOn w:val="4"/>
    <w:next w:val="1"/>
    <w:qFormat/>
    <w:uiPriority w:val="0"/>
    <w:pPr>
      <w:autoSpaceDE/>
      <w:autoSpaceDN/>
      <w:adjustRightInd/>
      <w:spacing w:before="260" w:after="260" w:line="413" w:lineRule="auto"/>
    </w:pPr>
    <w:rPr>
      <w:rFonts w:ascii="宋体" w:hAnsi="宋体" w:eastAsia="宋体"/>
      <w:b w:val="0"/>
      <w:color w:val="000000"/>
      <w:kern w:val="2"/>
      <w:sz w:val="21"/>
    </w:rPr>
  </w:style>
  <w:style w:type="character" w:customStyle="1" w:styleId="400">
    <w:name w:val="脚注文本 Char"/>
    <w:link w:val="73"/>
    <w:qFormat/>
    <w:uiPriority w:val="99"/>
    <w:rPr>
      <w:sz w:val="18"/>
    </w:rPr>
  </w:style>
  <w:style w:type="paragraph" w:customStyle="1" w:styleId="401">
    <w:name w:val="6'"/>
    <w:basedOn w:val="1"/>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402">
    <w:name w:val="wellhope正文"/>
    <w:basedOn w:val="1"/>
    <w:next w:val="1"/>
    <w:qFormat/>
    <w:uiPriority w:val="0"/>
    <w:pPr>
      <w:spacing w:before="60" w:after="60" w:line="360" w:lineRule="auto"/>
      <w:ind w:firstLine="200" w:firstLineChars="200"/>
    </w:pPr>
    <w:rPr>
      <w:sz w:val="24"/>
      <w:szCs w:val="20"/>
    </w:rPr>
  </w:style>
  <w:style w:type="paragraph" w:customStyle="1" w:styleId="403">
    <w:name w:val="TOC 标题1"/>
    <w:basedOn w:val="3"/>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404">
    <w:name w:val="xl57"/>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405">
    <w:name w:val="样式1"/>
    <w:basedOn w:val="3"/>
    <w:next w:val="1"/>
    <w:qFormat/>
    <w:uiPriority w:val="0"/>
    <w:pPr>
      <w:spacing w:line="360" w:lineRule="auto"/>
    </w:pPr>
    <w:rPr>
      <w:rFonts w:hAnsi="宋体"/>
      <w:sz w:val="24"/>
      <w:szCs w:val="24"/>
    </w:rPr>
  </w:style>
  <w:style w:type="paragraph" w:customStyle="1" w:styleId="406">
    <w:name w:val="2"/>
    <w:basedOn w:val="1"/>
    <w:next w:val="40"/>
    <w:qFormat/>
    <w:uiPriority w:val="99"/>
    <w:pPr>
      <w:ind w:left="432"/>
    </w:pPr>
    <w:rPr>
      <w:szCs w:val="20"/>
    </w:rPr>
  </w:style>
  <w:style w:type="paragraph" w:customStyle="1" w:styleId="407">
    <w:name w:val="Sub Bullets"/>
    <w:basedOn w:val="408"/>
    <w:next w:val="1"/>
    <w:qFormat/>
    <w:uiPriority w:val="0"/>
    <w:pPr>
      <w:numPr>
        <w:ilvl w:val="1"/>
      </w:numPr>
      <w:tabs>
        <w:tab w:val="left" w:pos="1701"/>
        <w:tab w:val="left" w:pos="3240"/>
        <w:tab w:val="left" w:pos="3960"/>
      </w:tabs>
      <w:spacing w:after="0"/>
      <w:ind w:left="2880"/>
    </w:pPr>
    <w:rPr>
      <w:rFonts w:ascii="Times New Roman" w:hAnsi="Times New Roman"/>
    </w:rPr>
  </w:style>
  <w:style w:type="paragraph" w:customStyle="1" w:styleId="408">
    <w:name w:val="Normal Bullets"/>
    <w:basedOn w:val="1"/>
    <w:next w:val="1"/>
    <w:qFormat/>
    <w:uiPriority w:val="0"/>
    <w:pPr>
      <w:widowControl/>
      <w:numPr>
        <w:ilvl w:val="0"/>
        <w:numId w:val="8"/>
      </w:numPr>
      <w:tabs>
        <w:tab w:val="left" w:pos="3240"/>
      </w:tabs>
      <w:spacing w:after="120"/>
      <w:jc w:val="left"/>
    </w:pPr>
    <w:rPr>
      <w:rFonts w:ascii="Palatino Linotype" w:hAnsi="Palatino Linotype"/>
      <w:kern w:val="0"/>
      <w:sz w:val="20"/>
      <w:szCs w:val="20"/>
      <w:lang w:eastAsia="en-US"/>
    </w:rPr>
  </w:style>
  <w:style w:type="paragraph" w:customStyle="1" w:styleId="409">
    <w:name w:val="正文 + 小四"/>
    <w:basedOn w:val="1"/>
    <w:next w:val="1"/>
    <w:qFormat/>
    <w:uiPriority w:val="99"/>
    <w:pPr>
      <w:spacing w:line="360" w:lineRule="auto"/>
      <w:ind w:firstLine="480" w:firstLineChars="200"/>
    </w:pPr>
    <w:rPr>
      <w:sz w:val="24"/>
    </w:rPr>
  </w:style>
  <w:style w:type="paragraph" w:customStyle="1" w:styleId="410">
    <w:name w:val="jin normal"/>
    <w:basedOn w:val="1"/>
    <w:next w:val="1"/>
    <w:qFormat/>
    <w:uiPriority w:val="0"/>
    <w:pPr>
      <w:spacing w:before="120" w:after="120" w:line="360" w:lineRule="auto"/>
      <w:ind w:firstLine="432"/>
    </w:pPr>
    <w:rPr>
      <w:rFonts w:eastAsia="楷体"/>
      <w:snapToGrid w:val="0"/>
      <w:sz w:val="24"/>
      <w:szCs w:val="20"/>
      <w:lang w:eastAsia="en-US"/>
    </w:rPr>
  </w:style>
  <w:style w:type="paragraph" w:customStyle="1" w:styleId="411">
    <w:name w:val="样式 样式 样式 标题 2 + 宋体 五号 非加粗 黑色 + 段前: 6 磅 段后: 0 磅 行距: 单倍行距 + 段前: 12..."/>
    <w:basedOn w:val="412"/>
    <w:next w:val="1"/>
    <w:qFormat/>
    <w:uiPriority w:val="0"/>
    <w:pPr>
      <w:spacing w:before="240"/>
    </w:pPr>
  </w:style>
  <w:style w:type="paragraph" w:customStyle="1" w:styleId="412">
    <w:name w:val="样式 样式 标题 2 + 宋体 五号 非加粗 黑色 + 段前: 6 磅 段后: 0 磅 行距: 单倍行距"/>
    <w:basedOn w:val="399"/>
    <w:next w:val="1"/>
    <w:qFormat/>
    <w:uiPriority w:val="0"/>
    <w:pPr>
      <w:spacing w:before="120" w:after="0" w:line="240" w:lineRule="auto"/>
    </w:pPr>
    <w:rPr>
      <w:rFonts w:ascii="Times New Roman" w:hAnsi="Times New Roman"/>
    </w:rPr>
  </w:style>
  <w:style w:type="paragraph" w:customStyle="1" w:styleId="413">
    <w:name w:val="空行"/>
    <w:basedOn w:val="1"/>
    <w:next w:val="1"/>
    <w:qFormat/>
    <w:uiPriority w:val="0"/>
    <w:pPr>
      <w:spacing w:before="312" w:beforeLines="100" w:after="312" w:afterLines="100" w:line="360" w:lineRule="auto"/>
      <w:jc w:val="center"/>
    </w:pPr>
    <w:rPr>
      <w:spacing w:val="20"/>
      <w:sz w:val="24"/>
      <w:szCs w:val="20"/>
    </w:rPr>
  </w:style>
  <w:style w:type="paragraph" w:customStyle="1" w:styleId="414">
    <w:name w:val="样式 样式 样式 样式 标题 2 + 宋体 五号 非加粗 黑色 + 段前: 6 磅 段后: 0 磅 行距: 单倍行距 + 段前:..."/>
    <w:basedOn w:val="411"/>
    <w:next w:val="1"/>
    <w:qFormat/>
    <w:uiPriority w:val="0"/>
    <w:rPr>
      <w:b/>
      <w:bCs/>
    </w:rPr>
  </w:style>
  <w:style w:type="paragraph" w:customStyle="1" w:styleId="415">
    <w:name w:val="xl55"/>
    <w:basedOn w:val="1"/>
    <w:next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18"/>
      <w:szCs w:val="20"/>
    </w:rPr>
  </w:style>
  <w:style w:type="paragraph" w:customStyle="1" w:styleId="416">
    <w:name w:val="Char Char Char Char2"/>
    <w:basedOn w:val="1"/>
    <w:qFormat/>
    <w:uiPriority w:val="0"/>
    <w:pPr>
      <w:widowControl/>
      <w:spacing w:after="160" w:line="240" w:lineRule="exact"/>
      <w:jc w:val="left"/>
    </w:pPr>
    <w:rPr>
      <w:szCs w:val="20"/>
    </w:rPr>
  </w:style>
  <w:style w:type="paragraph" w:customStyle="1" w:styleId="417">
    <w:name w:val="标题8"/>
    <w:basedOn w:val="6"/>
    <w:next w:val="1"/>
    <w:qFormat/>
    <w:uiPriority w:val="0"/>
    <w:pPr>
      <w:tabs>
        <w:tab w:val="left" w:pos="1827"/>
      </w:tabs>
      <w:autoSpaceDE/>
      <w:autoSpaceDN/>
      <w:adjustRightInd/>
      <w:spacing w:before="120" w:line="380" w:lineRule="exact"/>
      <w:ind w:left="1827" w:hanging="747"/>
      <w:jc w:val="both"/>
    </w:pPr>
    <w:rPr>
      <w:rFonts w:ascii="Times New Roman"/>
      <w:bCs/>
      <w:color w:val="000000"/>
      <w:kern w:val="2"/>
      <w:sz w:val="21"/>
      <w:szCs w:val="32"/>
      <w:u w:val="none"/>
    </w:rPr>
  </w:style>
  <w:style w:type="paragraph" w:customStyle="1" w:styleId="418">
    <w:name w:val="访问过的超链接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419">
    <w:name w:val="标题三"/>
    <w:basedOn w:val="6"/>
    <w:next w:val="8"/>
    <w:qFormat/>
    <w:uiPriority w:val="0"/>
    <w:pPr>
      <w:tabs>
        <w:tab w:val="left" w:pos="720"/>
        <w:tab w:val="left" w:pos="1080"/>
      </w:tabs>
      <w:spacing w:before="120" w:line="380" w:lineRule="exact"/>
      <w:ind w:left="1418" w:right="567" w:hanging="851"/>
    </w:pPr>
    <w:rPr>
      <w:rFonts w:ascii="Times New Roman"/>
      <w:bCs/>
      <w:kern w:val="2"/>
      <w:sz w:val="21"/>
      <w:szCs w:val="21"/>
      <w:u w:val="none"/>
    </w:rPr>
  </w:style>
  <w:style w:type="paragraph" w:customStyle="1" w:styleId="420">
    <w:name w:val="样式"/>
    <w:basedOn w:val="1"/>
    <w:next w:val="1"/>
    <w:qFormat/>
    <w:uiPriority w:val="0"/>
    <w:pPr>
      <w:autoSpaceDE w:val="0"/>
      <w:autoSpaceDN w:val="0"/>
      <w:snapToGrid w:val="0"/>
      <w:spacing w:before="120" w:after="120" w:line="360" w:lineRule="auto"/>
    </w:pPr>
    <w:rPr>
      <w:rFonts w:ascii="宋体"/>
      <w:sz w:val="24"/>
      <w:szCs w:val="20"/>
    </w:rPr>
  </w:style>
  <w:style w:type="paragraph" w:customStyle="1" w:styleId="421">
    <w:name w:val="Normal (Web)2"/>
    <w:basedOn w:val="1"/>
    <w:next w:val="1"/>
    <w:qFormat/>
    <w:uiPriority w:val="99"/>
    <w:pPr>
      <w:spacing w:before="100" w:beforeAutospacing="1" w:after="100" w:afterAutospacing="1"/>
    </w:pPr>
    <w:rPr>
      <w:rFonts w:ascii="Arial Unicode MS" w:hAnsi="Arial Unicode MS" w:eastAsia="Arial Unicode MS" w:cs="Arial Unicode MS"/>
      <w:sz w:val="24"/>
    </w:rPr>
  </w:style>
  <w:style w:type="paragraph" w:customStyle="1" w:styleId="422">
    <w:name w:val="普通 (Web)"/>
    <w:basedOn w:val="1"/>
    <w:next w:val="1"/>
    <w:qFormat/>
    <w:uiPriority w:val="0"/>
    <w:pPr>
      <w:widowControl/>
      <w:spacing w:before="100" w:after="100" w:line="360" w:lineRule="auto"/>
      <w:jc w:val="left"/>
    </w:pPr>
    <w:rPr>
      <w:rFonts w:ascii="宋体" w:hAnsi="宋体"/>
      <w:color w:val="FFFFFF"/>
      <w:kern w:val="0"/>
      <w:sz w:val="24"/>
      <w:szCs w:val="20"/>
    </w:rPr>
  </w:style>
  <w:style w:type="paragraph" w:customStyle="1" w:styleId="423">
    <w:name w:val="金安桥正文"/>
    <w:basedOn w:val="40"/>
    <w:qFormat/>
    <w:uiPriority w:val="99"/>
    <w:pPr>
      <w:adjustRightInd w:val="0"/>
      <w:spacing w:line="300" w:lineRule="auto"/>
      <w:ind w:firstLine="200" w:firstLineChars="200"/>
      <w:jc w:val="left"/>
    </w:pPr>
    <w:rPr>
      <w:kern w:val="0"/>
      <w:szCs w:val="22"/>
    </w:rPr>
  </w:style>
  <w:style w:type="paragraph" w:customStyle="1" w:styleId="424">
    <w:name w:val="Char Char Char Char"/>
    <w:basedOn w:val="1"/>
    <w:next w:val="1"/>
    <w:qFormat/>
    <w:uiPriority w:val="0"/>
    <w:pPr>
      <w:tabs>
        <w:tab w:val="left" w:pos="360"/>
      </w:tabs>
      <w:ind w:firstLine="420" w:firstLineChars="150"/>
    </w:pPr>
    <w:rPr>
      <w:szCs w:val="20"/>
    </w:rPr>
  </w:style>
  <w:style w:type="paragraph" w:customStyle="1" w:styleId="425">
    <w:name w:val="样式 标题 1 + 黑体 三号 非加粗 居中 段前: 6 磅 段后: 6 磅 行距: 固定值 20 磅"/>
    <w:basedOn w:val="3"/>
    <w:qFormat/>
    <w:uiPriority w:val="99"/>
    <w:pPr>
      <w:autoSpaceDE/>
      <w:autoSpaceDN/>
      <w:adjustRightInd/>
      <w:spacing w:before="120" w:line="400" w:lineRule="exact"/>
    </w:pPr>
    <w:rPr>
      <w:rFonts w:ascii="黑体" w:hAnsi="黑体" w:eastAsia="黑体" w:cs="宋体"/>
      <w:b w:val="0"/>
    </w:rPr>
  </w:style>
  <w:style w:type="paragraph" w:customStyle="1" w:styleId="426">
    <w:name w:val="样式 标题 2 + Times New Roman 四号 非加粗 段前: 5 磅 段后: 0 磅 行距: 固定值 20..."/>
    <w:basedOn w:val="4"/>
    <w:qFormat/>
    <w:uiPriority w:val="99"/>
    <w:pPr>
      <w:autoSpaceDE/>
      <w:autoSpaceDN/>
      <w:adjustRightInd/>
      <w:spacing w:before="260" w:beforeLines="50" w:after="260" w:afterLines="50" w:line="360" w:lineRule="auto"/>
      <w:jc w:val="both"/>
    </w:pPr>
    <w:rPr>
      <w:rFonts w:ascii="宋体" w:hAnsi="Times New Roman" w:eastAsia="宋体" w:cs="宋体"/>
      <w:b w:val="0"/>
      <w:kern w:val="2"/>
      <w:sz w:val="28"/>
    </w:rPr>
  </w:style>
  <w:style w:type="paragraph" w:customStyle="1" w:styleId="427">
    <w:name w:val="标题二"/>
    <w:basedOn w:val="4"/>
    <w:next w:val="1"/>
    <w:qFormat/>
    <w:uiPriority w:val="0"/>
    <w:pPr>
      <w:tabs>
        <w:tab w:val="left" w:pos="720"/>
        <w:tab w:val="left" w:pos="1342"/>
      </w:tabs>
      <w:spacing w:after="120" w:line="380" w:lineRule="exact"/>
      <w:ind w:left="839" w:right="227" w:hanging="612"/>
      <w:jc w:val="left"/>
    </w:pPr>
    <w:rPr>
      <w:rFonts w:ascii="宋体" w:hAnsi="Times New Roman" w:eastAsia="宋体" w:cs="宋体"/>
      <w:bCs/>
      <w:color w:val="000000"/>
      <w:sz w:val="21"/>
      <w:szCs w:val="21"/>
      <w:lang w:val="zh-CN"/>
    </w:rPr>
  </w:style>
  <w:style w:type="paragraph" w:customStyle="1" w:styleId="428">
    <w:name w:val="普通(网站)1"/>
    <w:basedOn w:val="1"/>
    <w:next w:val="1"/>
    <w:qFormat/>
    <w:uiPriority w:val="99"/>
    <w:pPr>
      <w:widowControl/>
      <w:spacing w:before="100" w:beforeAutospacing="1" w:after="100" w:afterAutospacing="1"/>
      <w:jc w:val="left"/>
    </w:pPr>
    <w:rPr>
      <w:rFonts w:ascii="宋体" w:hAnsi="宋体" w:cs="宋体"/>
      <w:kern w:val="0"/>
      <w:sz w:val="24"/>
    </w:rPr>
  </w:style>
  <w:style w:type="paragraph" w:customStyle="1" w:styleId="429">
    <w:name w:val="正文文本缩进 31"/>
    <w:basedOn w:val="1"/>
    <w:next w:val="1"/>
    <w:qFormat/>
    <w:uiPriority w:val="99"/>
    <w:pPr>
      <w:autoSpaceDE w:val="0"/>
      <w:autoSpaceDN w:val="0"/>
      <w:adjustRightInd w:val="0"/>
      <w:spacing w:before="120" w:line="22" w:lineRule="atLeast"/>
      <w:ind w:left="720" w:firstLine="480"/>
      <w:jc w:val="left"/>
    </w:pPr>
    <w:rPr>
      <w:sz w:val="16"/>
      <w:szCs w:val="16"/>
    </w:rPr>
  </w:style>
  <w:style w:type="paragraph" w:customStyle="1" w:styleId="430">
    <w:name w:val="Normal_0"/>
    <w:qFormat/>
    <w:uiPriority w:val="99"/>
    <w:pPr>
      <w:spacing w:before="120" w:after="240"/>
      <w:jc w:val="both"/>
    </w:pPr>
    <w:rPr>
      <w:rFonts w:ascii="Calibri" w:hAnsi="Calibri" w:eastAsia="宋体" w:cs="Times New Roman"/>
      <w:sz w:val="22"/>
      <w:szCs w:val="22"/>
      <w:lang w:val="ru-RU" w:eastAsia="en-US" w:bidi="ar-SA"/>
    </w:rPr>
  </w:style>
  <w:style w:type="paragraph" w:customStyle="1" w:styleId="431">
    <w:name w:val="Preformatted"/>
    <w:basedOn w:val="1"/>
    <w:next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line="360" w:lineRule="auto"/>
      <w:jc w:val="left"/>
    </w:pPr>
    <w:rPr>
      <w:rFonts w:ascii="Courier New" w:hAnsi="Courier New"/>
      <w:kern w:val="0"/>
      <w:sz w:val="20"/>
      <w:szCs w:val="20"/>
    </w:rPr>
  </w:style>
  <w:style w:type="paragraph" w:customStyle="1" w:styleId="432">
    <w:name w:val="普通文字"/>
    <w:basedOn w:val="1"/>
    <w:next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433">
    <w:name w:val="表格"/>
    <w:basedOn w:val="1"/>
    <w:link w:val="605"/>
    <w:qFormat/>
    <w:uiPriority w:val="0"/>
    <w:pPr>
      <w:jc w:val="center"/>
      <w:textAlignment w:val="center"/>
    </w:pPr>
    <w:rPr>
      <w:rFonts w:ascii="华文细黑" w:hAnsi="华文细黑"/>
      <w:kern w:val="0"/>
      <w:szCs w:val="20"/>
    </w:rPr>
  </w:style>
  <w:style w:type="paragraph" w:customStyle="1" w:styleId="434">
    <w:name w:val="默认段落字体 Para Char"/>
    <w:basedOn w:val="1"/>
    <w:next w:val="1"/>
    <w:qFormat/>
    <w:uiPriority w:val="0"/>
    <w:pPr>
      <w:adjustRightInd w:val="0"/>
      <w:spacing w:line="360" w:lineRule="auto"/>
    </w:pPr>
    <w:rPr>
      <w:kern w:val="0"/>
      <w:sz w:val="24"/>
      <w:szCs w:val="20"/>
    </w:rPr>
  </w:style>
  <w:style w:type="paragraph" w:customStyle="1" w:styleId="435">
    <w:name w:val="Char Char1 Char Char Char Char Char Char Char Char Char Char Char Char Char Char Char"/>
    <w:basedOn w:val="1"/>
    <w:next w:val="1"/>
    <w:qFormat/>
    <w:uiPriority w:val="0"/>
    <w:pPr>
      <w:widowControl/>
      <w:spacing w:after="160" w:line="240" w:lineRule="exact"/>
      <w:jc w:val="left"/>
    </w:pPr>
    <w:rPr>
      <w:rFonts w:ascii="Verdana" w:hAnsi="Verdana" w:eastAsia="楷体_GB2312"/>
      <w:kern w:val="0"/>
      <w:sz w:val="30"/>
      <w:szCs w:val="30"/>
      <w:lang w:eastAsia="en-US"/>
    </w:rPr>
  </w:style>
  <w:style w:type="paragraph" w:customStyle="1" w:styleId="436">
    <w:name w:val="p17"/>
    <w:basedOn w:val="1"/>
    <w:qFormat/>
    <w:uiPriority w:val="99"/>
    <w:pPr>
      <w:widowControl/>
    </w:pPr>
    <w:rPr>
      <w:kern w:val="0"/>
      <w:szCs w:val="21"/>
    </w:rPr>
  </w:style>
  <w:style w:type="paragraph" w:customStyle="1" w:styleId="437">
    <w:name w:val="xl56"/>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0"/>
    </w:rPr>
  </w:style>
  <w:style w:type="paragraph" w:customStyle="1" w:styleId="438">
    <w:name w:val="样式3"/>
    <w:basedOn w:val="6"/>
    <w:next w:val="6"/>
    <w:qFormat/>
    <w:uiPriority w:val="0"/>
    <w:pPr>
      <w:tabs>
        <w:tab w:val="left" w:pos="720"/>
        <w:tab w:val="left" w:pos="2069"/>
      </w:tabs>
      <w:spacing w:before="120" w:line="240" w:lineRule="exact"/>
      <w:ind w:left="709" w:right="17" w:hanging="709"/>
    </w:pPr>
    <w:rPr>
      <w:rFonts w:ascii="Times New Roman"/>
      <w:bCs/>
      <w:kern w:val="2"/>
      <w:sz w:val="21"/>
      <w:szCs w:val="21"/>
      <w:u w:val="none"/>
    </w:rPr>
  </w:style>
  <w:style w:type="paragraph" w:customStyle="1" w:styleId="439">
    <w:name w:val="正文文字缩进 2"/>
    <w:basedOn w:val="1"/>
    <w:next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440">
    <w:name w:val="Char Char Char Char1"/>
    <w:basedOn w:val="1"/>
    <w:qFormat/>
    <w:uiPriority w:val="0"/>
    <w:pPr>
      <w:widowControl/>
      <w:spacing w:after="160" w:line="240" w:lineRule="exact"/>
      <w:jc w:val="left"/>
    </w:pPr>
    <w:rPr>
      <w:szCs w:val="20"/>
    </w:rPr>
  </w:style>
  <w:style w:type="paragraph" w:customStyle="1" w:styleId="441">
    <w:name w:val="样式6"/>
    <w:basedOn w:val="1"/>
    <w:next w:val="1"/>
    <w:link w:val="615"/>
    <w:qFormat/>
    <w:uiPriority w:val="0"/>
    <w:pPr>
      <w:tabs>
        <w:tab w:val="left" w:pos="720"/>
      </w:tabs>
      <w:autoSpaceDE w:val="0"/>
      <w:autoSpaceDN w:val="0"/>
      <w:adjustRightInd w:val="0"/>
      <w:spacing w:line="380" w:lineRule="exact"/>
      <w:ind w:right="18"/>
      <w:jc w:val="left"/>
    </w:pPr>
    <w:rPr>
      <w:rFonts w:ascii="宋体" w:cs="宋体"/>
      <w:b/>
      <w:color w:val="000000"/>
      <w:kern w:val="0"/>
      <w:szCs w:val="21"/>
      <w:lang w:val="zh-CN"/>
    </w:rPr>
  </w:style>
  <w:style w:type="paragraph" w:customStyle="1" w:styleId="442">
    <w:name w:val="标题6"/>
    <w:basedOn w:val="443"/>
    <w:next w:val="1"/>
    <w:qFormat/>
    <w:uiPriority w:val="0"/>
    <w:pPr>
      <w:tabs>
        <w:tab w:val="left" w:pos="720"/>
        <w:tab w:val="left" w:pos="1107"/>
        <w:tab w:val="left" w:pos="4680"/>
      </w:tabs>
      <w:ind w:left="1021" w:right="-170" w:hanging="709"/>
    </w:pPr>
    <w:rPr>
      <w:rFonts w:ascii="Times New Roman" w:cs="Times New Roman"/>
      <w:bCs/>
      <w:szCs w:val="20"/>
    </w:rPr>
  </w:style>
  <w:style w:type="paragraph" w:customStyle="1" w:styleId="443">
    <w:name w:val="标题5"/>
    <w:basedOn w:val="6"/>
    <w:next w:val="8"/>
    <w:qFormat/>
    <w:uiPriority w:val="0"/>
    <w:pPr>
      <w:tabs>
        <w:tab w:val="left" w:pos="720"/>
        <w:tab w:val="left" w:pos="1107"/>
      </w:tabs>
      <w:spacing w:before="120" w:line="380" w:lineRule="exact"/>
    </w:pPr>
    <w:rPr>
      <w:rFonts w:cs="宋体"/>
      <w:color w:val="000000"/>
      <w:sz w:val="21"/>
      <w:szCs w:val="21"/>
      <w:u w:val="none"/>
      <w:lang w:val="zh-CN"/>
    </w:rPr>
  </w:style>
  <w:style w:type="paragraph" w:customStyle="1" w:styleId="444">
    <w:name w:val="XW正文"/>
    <w:basedOn w:val="40"/>
    <w:qFormat/>
    <w:uiPriority w:val="99"/>
    <w:pPr>
      <w:adjustRightInd w:val="0"/>
      <w:snapToGrid w:val="0"/>
      <w:spacing w:line="300" w:lineRule="auto"/>
      <w:ind w:firstLine="520" w:firstLineChars="200"/>
      <w:jc w:val="left"/>
    </w:pPr>
    <w:rPr>
      <w:kern w:val="0"/>
      <w:sz w:val="20"/>
    </w:rPr>
  </w:style>
  <w:style w:type="paragraph" w:customStyle="1" w:styleId="445">
    <w:name w:val="索引 11"/>
    <w:basedOn w:val="1"/>
    <w:next w:val="1"/>
    <w:qFormat/>
    <w:uiPriority w:val="99"/>
    <w:rPr>
      <w:szCs w:val="20"/>
    </w:rPr>
  </w:style>
  <w:style w:type="paragraph" w:customStyle="1" w:styleId="446">
    <w:name w:val="标题7"/>
    <w:basedOn w:val="6"/>
    <w:next w:val="1"/>
    <w:qFormat/>
    <w:uiPriority w:val="0"/>
    <w:pPr>
      <w:tabs>
        <w:tab w:val="left" w:pos="425"/>
        <w:tab w:val="left" w:pos="1827"/>
      </w:tabs>
      <w:autoSpaceDE/>
      <w:autoSpaceDN/>
      <w:adjustRightInd/>
      <w:spacing w:before="120" w:after="0" w:line="380" w:lineRule="exact"/>
      <w:ind w:left="425" w:right="50" w:rightChars="50" w:hanging="425"/>
    </w:pPr>
    <w:rPr>
      <w:rFonts w:ascii="Times New Roman"/>
      <w:b w:val="0"/>
      <w:bCs/>
      <w:color w:val="000000"/>
      <w:kern w:val="2"/>
      <w:sz w:val="21"/>
      <w:szCs w:val="32"/>
      <w:u w:val="none"/>
    </w:rPr>
  </w:style>
  <w:style w:type="paragraph" w:customStyle="1" w:styleId="447">
    <w:name w:val="Char1 Char Char Char Char Char Char"/>
    <w:basedOn w:val="1"/>
    <w:next w:val="1"/>
    <w:qFormat/>
    <w:uiPriority w:val="99"/>
    <w:rPr>
      <w:rFonts w:ascii="Tahoma" w:hAnsi="Tahoma"/>
      <w:sz w:val="24"/>
      <w:szCs w:val="20"/>
    </w:rPr>
  </w:style>
  <w:style w:type="paragraph" w:customStyle="1" w:styleId="448">
    <w:name w:val="样式7"/>
    <w:basedOn w:val="89"/>
    <w:next w:val="1"/>
    <w:link w:val="730"/>
    <w:qFormat/>
    <w:uiPriority w:val="0"/>
    <w:pPr>
      <w:tabs>
        <w:tab w:val="left" w:pos="992"/>
      </w:tabs>
      <w:spacing w:before="240" w:after="60" w:line="380" w:lineRule="atLeast"/>
      <w:ind w:left="-25" w:right="17"/>
    </w:pPr>
    <w:rPr>
      <w:bCs/>
      <w:szCs w:val="32"/>
    </w:rPr>
  </w:style>
  <w:style w:type="paragraph" w:customStyle="1" w:styleId="449">
    <w:name w:val="Char Char Char Char Char Char Char Char Char Char Char Char Char Char Char Char Char Char Char"/>
    <w:basedOn w:val="1"/>
    <w:next w:val="1"/>
    <w:qFormat/>
    <w:uiPriority w:val="0"/>
    <w:pPr>
      <w:widowControl/>
      <w:spacing w:before="100" w:beforeAutospacing="1" w:after="100" w:afterAutospacing="1" w:line="330" w:lineRule="atLeast"/>
      <w:ind w:left="360"/>
      <w:jc w:val="left"/>
    </w:pPr>
    <w:rPr>
      <w:rFonts w:eastAsia="仿宋_GB2312"/>
      <w:sz w:val="32"/>
      <w:szCs w:val="32"/>
    </w:rPr>
  </w:style>
  <w:style w:type="paragraph" w:customStyle="1" w:styleId="450">
    <w:name w:val="Char1 Char Char Char"/>
    <w:basedOn w:val="1"/>
    <w:next w:val="1"/>
    <w:qFormat/>
    <w:uiPriority w:val="0"/>
    <w:rPr>
      <w:rFonts w:ascii="Tahoma" w:hAnsi="Tahoma"/>
      <w:sz w:val="24"/>
      <w:szCs w:val="20"/>
    </w:rPr>
  </w:style>
  <w:style w:type="paragraph" w:customStyle="1" w:styleId="451">
    <w:name w:val="标题一"/>
    <w:basedOn w:val="3"/>
    <w:next w:val="427"/>
    <w:qFormat/>
    <w:uiPriority w:val="0"/>
    <w:pPr>
      <w:tabs>
        <w:tab w:val="left" w:pos="425"/>
      </w:tabs>
      <w:spacing w:before="120" w:line="240" w:lineRule="exact"/>
      <w:ind w:left="425" w:right="17" w:hanging="425"/>
      <w:jc w:val="left"/>
    </w:pPr>
    <w:rPr>
      <w:rFonts w:cs="宋体"/>
      <w:bCs/>
      <w:color w:val="000000"/>
      <w:kern w:val="0"/>
      <w:sz w:val="21"/>
      <w:szCs w:val="21"/>
      <w:lang w:val="zh-CN"/>
    </w:rPr>
  </w:style>
  <w:style w:type="paragraph" w:customStyle="1" w:styleId="452">
    <w:name w:val="样式4"/>
    <w:basedOn w:val="8"/>
    <w:next w:val="1"/>
    <w:qFormat/>
    <w:uiPriority w:val="0"/>
    <w:pPr>
      <w:tabs>
        <w:tab w:val="left" w:pos="864"/>
      </w:tabs>
      <w:adjustRightInd/>
      <w:snapToGrid w:val="0"/>
      <w:spacing w:before="120" w:after="120" w:line="240" w:lineRule="auto"/>
      <w:ind w:left="864" w:right="9" w:rightChars="9" w:hanging="864"/>
      <w:textAlignment w:val="auto"/>
    </w:pPr>
    <w:rPr>
      <w:b w:val="0"/>
      <w:kern w:val="2"/>
      <w:sz w:val="21"/>
    </w:rPr>
  </w:style>
  <w:style w:type="paragraph" w:customStyle="1" w:styleId="453">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54">
    <w:name w:val="WW-正文（首行缩进两字）"/>
    <w:basedOn w:val="1"/>
    <w:next w:val="1"/>
    <w:qFormat/>
    <w:uiPriority w:val="0"/>
    <w:pPr>
      <w:tabs>
        <w:tab w:val="left" w:pos="0"/>
        <w:tab w:val="left" w:pos="600"/>
      </w:tabs>
      <w:suppressAutoHyphens/>
      <w:snapToGrid w:val="0"/>
      <w:spacing w:before="156" w:beforeLines="50" w:after="50" w:line="288" w:lineRule="auto"/>
      <w:ind w:right="22" w:rightChars="9" w:firstLine="420" w:firstLineChars="375"/>
      <w:textAlignment w:val="baseline"/>
    </w:pPr>
    <w:rPr>
      <w:rFonts w:ascii="仿宋_GB2312" w:hAnsi="宋体" w:eastAsia="仿宋_GB2312" w:cs="Arial"/>
      <w:bCs/>
      <w:kern w:val="20481"/>
      <w:sz w:val="24"/>
      <w:szCs w:val="20"/>
    </w:rPr>
  </w:style>
  <w:style w:type="paragraph" w:customStyle="1" w:styleId="455">
    <w:name w:val="Char Char Char Char Char"/>
    <w:basedOn w:val="1"/>
    <w:next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56">
    <w:name w:val="xl58"/>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457">
    <w:name w:val="xl54"/>
    <w:basedOn w:val="1"/>
    <w:next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b/>
      <w:kern w:val="0"/>
      <w:sz w:val="24"/>
      <w:szCs w:val="20"/>
    </w:rPr>
  </w:style>
  <w:style w:type="paragraph" w:customStyle="1" w:styleId="458">
    <w:name w:val="标题1"/>
    <w:basedOn w:val="3"/>
    <w:next w:val="4"/>
    <w:link w:val="734"/>
    <w:qFormat/>
    <w:uiPriority w:val="0"/>
    <w:pPr>
      <w:tabs>
        <w:tab w:val="left" w:pos="605"/>
        <w:tab w:val="left" w:pos="720"/>
      </w:tabs>
      <w:spacing w:before="0" w:after="0" w:line="360" w:lineRule="auto"/>
      <w:ind w:left="605" w:right="17" w:hanging="425"/>
      <w:jc w:val="left"/>
    </w:pPr>
    <w:rPr>
      <w:rFonts w:cs="宋体"/>
      <w:bCs/>
      <w:color w:val="000000"/>
      <w:kern w:val="0"/>
      <w:szCs w:val="32"/>
      <w:lang w:val="zh-CN"/>
    </w:rPr>
  </w:style>
  <w:style w:type="paragraph" w:customStyle="1" w:styleId="459">
    <w:name w:val="样式 标题 3 + (中文) 黑体 小四 非加粗 段前: 7.8 磅 段后: 0 磅 行距: 固定值 20 磅"/>
    <w:basedOn w:val="6"/>
    <w:qFormat/>
    <w:uiPriority w:val="0"/>
    <w:pPr>
      <w:autoSpaceDE/>
      <w:autoSpaceDN/>
      <w:adjustRightInd/>
      <w:spacing w:before="260" w:beforeLines="50" w:after="260" w:afterLines="50" w:line="360" w:lineRule="auto"/>
      <w:jc w:val="both"/>
    </w:pPr>
    <w:rPr>
      <w:b w:val="0"/>
      <w:u w:val="none"/>
    </w:rPr>
  </w:style>
  <w:style w:type="paragraph" w:customStyle="1" w:styleId="460">
    <w:name w:val="正文2"/>
    <w:basedOn w:val="1"/>
    <w:next w:val="1"/>
    <w:link w:val="640"/>
    <w:qFormat/>
    <w:uiPriority w:val="0"/>
    <w:pPr>
      <w:spacing w:before="156" w:line="360" w:lineRule="auto"/>
      <w:ind w:firstLine="510" w:firstLineChars="200"/>
    </w:pPr>
    <w:rPr>
      <w:sz w:val="24"/>
      <w:szCs w:val="20"/>
    </w:rPr>
  </w:style>
  <w:style w:type="paragraph" w:customStyle="1" w:styleId="461">
    <w:name w:val="正文 New"/>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2">
    <w:name w:val="样式 样式1 + 首行缩进:  2 字符"/>
    <w:basedOn w:val="1"/>
    <w:next w:val="1"/>
    <w:qFormat/>
    <w:uiPriority w:val="0"/>
    <w:pPr>
      <w:ind w:firstLine="640" w:firstLineChars="200"/>
    </w:pPr>
    <w:rPr>
      <w:rFonts w:ascii="仿宋_GB2312" w:eastAsia="仿宋_GB2312"/>
      <w:sz w:val="28"/>
      <w:szCs w:val="20"/>
    </w:rPr>
  </w:style>
  <w:style w:type="paragraph" w:customStyle="1" w:styleId="463">
    <w:name w:val="Table"/>
    <w:next w:val="1"/>
    <w:qFormat/>
    <w:uiPriority w:val="0"/>
    <w:rPr>
      <w:rFonts w:ascii="Times New Roman" w:hAnsi="Times New Roman" w:eastAsia="宋体" w:cs="Times New Roman"/>
      <w:sz w:val="21"/>
      <w:lang w:val="en-US" w:eastAsia="en-US" w:bidi="ar-SA"/>
    </w:rPr>
  </w:style>
  <w:style w:type="paragraph" w:customStyle="1" w:styleId="464">
    <w:name w:val="_Style 14"/>
    <w:basedOn w:val="1"/>
    <w:next w:val="86"/>
    <w:qFormat/>
    <w:uiPriority w:val="0"/>
    <w:pPr>
      <w:widowControl/>
      <w:spacing w:before="100" w:beforeAutospacing="1" w:after="100" w:afterAutospacing="1"/>
      <w:jc w:val="left"/>
    </w:pPr>
    <w:rPr>
      <w:rFonts w:ascii="宋体" w:hAnsi="宋体"/>
      <w:kern w:val="0"/>
      <w:sz w:val="18"/>
      <w:szCs w:val="20"/>
    </w:rPr>
  </w:style>
  <w:style w:type="paragraph" w:customStyle="1" w:styleId="465">
    <w:name w:val="纯文本1"/>
    <w:basedOn w:val="1"/>
    <w:next w:val="1"/>
    <w:qFormat/>
    <w:uiPriority w:val="0"/>
    <w:rPr>
      <w:rFonts w:ascii="宋体" w:hAnsi="Courier New"/>
      <w:sz w:val="32"/>
      <w:szCs w:val="20"/>
    </w:rPr>
  </w:style>
  <w:style w:type="paragraph" w:customStyle="1" w:styleId="466">
    <w:name w:val="标题3"/>
    <w:basedOn w:val="6"/>
    <w:next w:val="8"/>
    <w:link w:val="906"/>
    <w:qFormat/>
    <w:uiPriority w:val="0"/>
    <w:pPr>
      <w:tabs>
        <w:tab w:val="left" w:pos="735"/>
      </w:tabs>
      <w:autoSpaceDE/>
      <w:autoSpaceDN/>
      <w:adjustRightInd/>
      <w:spacing w:before="120" w:after="156" w:afterLines="50" w:line="380" w:lineRule="exact"/>
    </w:pPr>
    <w:rPr>
      <w:rFonts w:ascii="Times New Roman"/>
      <w:bCs/>
      <w:kern w:val="2"/>
      <w:sz w:val="21"/>
      <w:szCs w:val="32"/>
      <w:u w:val="none"/>
    </w:rPr>
  </w:style>
  <w:style w:type="paragraph" w:customStyle="1" w:styleId="467">
    <w:name w:val="Blockquote"/>
    <w:basedOn w:val="1"/>
    <w:next w:val="1"/>
    <w:qFormat/>
    <w:uiPriority w:val="0"/>
    <w:pPr>
      <w:autoSpaceDE w:val="0"/>
      <w:autoSpaceDN w:val="0"/>
      <w:adjustRightInd w:val="0"/>
      <w:spacing w:before="100" w:after="100"/>
      <w:ind w:left="360" w:right="360"/>
      <w:jc w:val="left"/>
    </w:pPr>
    <w:rPr>
      <w:kern w:val="0"/>
      <w:sz w:val="24"/>
      <w:szCs w:val="20"/>
    </w:rPr>
  </w:style>
  <w:style w:type="paragraph" w:customStyle="1" w:styleId="468">
    <w:name w:val="Char12"/>
    <w:basedOn w:val="1"/>
    <w:qFormat/>
    <w:uiPriority w:val="0"/>
    <w:rPr>
      <w:rFonts w:ascii="Tahoma" w:hAnsi="Tahoma"/>
      <w:sz w:val="24"/>
      <w:szCs w:val="20"/>
    </w:rPr>
  </w:style>
  <w:style w:type="paragraph" w:customStyle="1" w:styleId="469">
    <w:name w:val="正文缩排"/>
    <w:basedOn w:val="1"/>
    <w:next w:val="1"/>
    <w:qFormat/>
    <w:uiPriority w:val="0"/>
    <w:pPr>
      <w:autoSpaceDE w:val="0"/>
      <w:autoSpaceDN w:val="0"/>
      <w:adjustRightInd w:val="0"/>
      <w:spacing w:line="600" w:lineRule="exact"/>
      <w:jc w:val="left"/>
      <w:textAlignment w:val="baseline"/>
    </w:pPr>
    <w:rPr>
      <w:rFonts w:ascii="Arial" w:hAnsi="Arial"/>
      <w:kern w:val="44"/>
      <w:sz w:val="24"/>
      <w:szCs w:val="20"/>
    </w:rPr>
  </w:style>
  <w:style w:type="paragraph" w:customStyle="1" w:styleId="470">
    <w:name w:val="p0"/>
    <w:basedOn w:val="1"/>
    <w:next w:val="1"/>
    <w:qFormat/>
    <w:uiPriority w:val="0"/>
    <w:pPr>
      <w:widowControl/>
    </w:pPr>
    <w:rPr>
      <w:kern w:val="0"/>
      <w:szCs w:val="20"/>
    </w:rPr>
  </w:style>
  <w:style w:type="paragraph" w:customStyle="1" w:styleId="471">
    <w:name w:val="content"/>
    <w:basedOn w:val="1"/>
    <w:next w:val="1"/>
    <w:qFormat/>
    <w:uiPriority w:val="0"/>
    <w:pPr>
      <w:widowControl/>
      <w:spacing w:before="100" w:beforeAutospacing="1" w:after="100" w:afterAutospacing="1"/>
      <w:jc w:val="left"/>
    </w:pPr>
    <w:rPr>
      <w:rFonts w:ascii="Arial" w:hAnsi="Arial" w:cs="Arial"/>
      <w:color w:val="333333"/>
      <w:kern w:val="0"/>
      <w:sz w:val="20"/>
      <w:szCs w:val="20"/>
    </w:rPr>
  </w:style>
  <w:style w:type="paragraph" w:customStyle="1" w:styleId="472">
    <w:name w:val="Char Char Char1 Char Char Char Char"/>
    <w:basedOn w:val="1"/>
    <w:next w:val="1"/>
    <w:qFormat/>
    <w:uiPriority w:val="99"/>
    <w:rPr>
      <w:rFonts w:ascii="Tahoma" w:hAnsi="Tahoma"/>
      <w:sz w:val="24"/>
      <w:szCs w:val="20"/>
    </w:rPr>
  </w:style>
  <w:style w:type="paragraph" w:customStyle="1" w:styleId="473">
    <w:name w:val="Char Char 字元 字元 字元 Char Char Char Char"/>
    <w:basedOn w:val="1"/>
    <w:next w:val="1"/>
    <w:qFormat/>
    <w:uiPriority w:val="0"/>
    <w:pPr>
      <w:adjustRightInd w:val="0"/>
      <w:spacing w:line="360" w:lineRule="auto"/>
    </w:pPr>
    <w:rPr>
      <w:kern w:val="0"/>
      <w:sz w:val="24"/>
      <w:szCs w:val="20"/>
    </w:rPr>
  </w:style>
  <w:style w:type="paragraph" w:customStyle="1" w:styleId="474">
    <w:name w:val="Char11"/>
    <w:basedOn w:val="1"/>
    <w:qFormat/>
    <w:uiPriority w:val="99"/>
    <w:rPr>
      <w:rFonts w:ascii="Tahoma" w:hAnsi="Tahoma"/>
      <w:sz w:val="24"/>
      <w:szCs w:val="20"/>
    </w:rPr>
  </w:style>
  <w:style w:type="paragraph" w:customStyle="1" w:styleId="475">
    <w:name w:val="小标题"/>
    <w:basedOn w:val="1"/>
    <w:next w:val="1"/>
    <w:qFormat/>
    <w:uiPriority w:val="0"/>
    <w:pPr>
      <w:spacing w:line="380" w:lineRule="exact"/>
      <w:ind w:right="18"/>
      <w:jc w:val="left"/>
    </w:pPr>
    <w:rPr>
      <w:rFonts w:ascii="宋体" w:cs="宋体"/>
      <w:b/>
      <w:color w:val="000000"/>
      <w:kern w:val="0"/>
      <w:szCs w:val="20"/>
    </w:rPr>
  </w:style>
  <w:style w:type="paragraph" w:customStyle="1" w:styleId="476">
    <w:name w:val="样式5"/>
    <w:basedOn w:val="89"/>
    <w:next w:val="1"/>
    <w:qFormat/>
    <w:uiPriority w:val="0"/>
    <w:pPr>
      <w:tabs>
        <w:tab w:val="left" w:pos="992"/>
      </w:tabs>
      <w:spacing w:before="240" w:after="60" w:line="380" w:lineRule="exact"/>
      <w:ind w:left="-25"/>
      <w:jc w:val="left"/>
    </w:pPr>
    <w:rPr>
      <w:b w:val="0"/>
      <w:bCs/>
      <w:color w:val="000000"/>
      <w:sz w:val="21"/>
      <w:szCs w:val="32"/>
    </w:rPr>
  </w:style>
  <w:style w:type="paragraph" w:customStyle="1" w:styleId="477">
    <w:name w:val="*正文"/>
    <w:basedOn w:val="1"/>
    <w:link w:val="478"/>
    <w:qFormat/>
    <w:uiPriority w:val="0"/>
    <w:pPr>
      <w:spacing w:line="360" w:lineRule="auto"/>
      <w:ind w:firstLine="200" w:firstLineChars="200"/>
    </w:pPr>
    <w:rPr>
      <w:rFonts w:ascii="Calibri" w:hAnsi="Calibri"/>
      <w:sz w:val="24"/>
      <w:szCs w:val="22"/>
    </w:rPr>
  </w:style>
  <w:style w:type="character" w:customStyle="1" w:styleId="478">
    <w:name w:val="*正文 Char"/>
    <w:link w:val="477"/>
    <w:qFormat/>
    <w:uiPriority w:val="0"/>
    <w:rPr>
      <w:rFonts w:ascii="Calibri" w:hAnsi="Calibri"/>
      <w:kern w:val="2"/>
      <w:sz w:val="24"/>
      <w:szCs w:val="22"/>
    </w:rPr>
  </w:style>
  <w:style w:type="character" w:customStyle="1" w:styleId="479">
    <w:name w:val="正文文本 Char1"/>
    <w:qFormat/>
    <w:uiPriority w:val="0"/>
    <w:rPr>
      <w:rFonts w:ascii="Times New Roman" w:hAnsi="Times New Roman" w:eastAsia="宋体" w:cs="Times New Roman"/>
      <w:szCs w:val="20"/>
    </w:rPr>
  </w:style>
  <w:style w:type="paragraph" w:customStyle="1" w:styleId="480">
    <w:name w:val="修订2"/>
    <w:qFormat/>
    <w:uiPriority w:val="99"/>
    <w:rPr>
      <w:rFonts w:ascii="Calibri" w:hAnsi="Calibri" w:eastAsia="宋体" w:cs="Times New Roman"/>
      <w:kern w:val="2"/>
      <w:sz w:val="21"/>
      <w:szCs w:val="22"/>
      <w:lang w:val="en-US" w:eastAsia="zh-CN" w:bidi="ar-SA"/>
    </w:rPr>
  </w:style>
  <w:style w:type="table" w:customStyle="1" w:styleId="481">
    <w:name w:val="彩色列表 - 着色 11"/>
    <w:basedOn w:val="108"/>
    <w:qFormat/>
    <w:uiPriority w:val="34"/>
    <w:rPr>
      <w:rFonts w:ascii="Calibri" w:hAnsi="Calibri"/>
      <w:color w:val="000000"/>
      <w:kern w:val="2"/>
      <w:sz w:val="21"/>
      <w:szCs w:val="22"/>
    </w:rPr>
    <w:tblPr>
      <w:tblLayout w:type="fixed"/>
      <w:tblCellMar>
        <w:top w:w="0" w:type="dxa"/>
        <w:left w:w="108" w:type="dxa"/>
        <w:bottom w:w="0" w:type="dxa"/>
        <w:right w:w="108" w:type="dxa"/>
      </w:tblCellMar>
    </w:tblPr>
    <w:tcPr>
      <w:shd w:val="clear" w:color="auto" w:fill="EDF2F8"/>
    </w:tcPr>
    <w:tblStylePr w:type="firstRow">
      <w:rPr>
        <w:b/>
        <w:bCs/>
        <w:color w:val="FFFFFF"/>
      </w:rPr>
      <w:tcPr>
        <w:tcBorders>
          <w:bottom w:val="single" w:color="FFFFFF" w:sz="12" w:space="0"/>
        </w:tcBorders>
        <w:shd w:val="clear" w:color="auto" w:fill="9E3A38"/>
      </w:tcPr>
    </w:tblStylePr>
    <w:tblStylePr w:type="lastRow">
      <w:rPr>
        <w:b/>
        <w:bCs/>
        <w:color w:val="9E3A38"/>
      </w:rPr>
      <w:tcPr>
        <w:tcBorders>
          <w:top w:val="single" w:color="000000" w:sz="12" w:space="0"/>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cPr>
    </w:tblStylePr>
    <w:tblStylePr w:type="band1Horz">
      <w:tcPr>
        <w:shd w:val="clear" w:color="auto" w:fill="DBE5F1"/>
      </w:tcPr>
    </w:tblStylePr>
  </w:style>
  <w:style w:type="character" w:customStyle="1" w:styleId="482">
    <w:name w:val="纯文本 字符2"/>
    <w:qFormat/>
    <w:uiPriority w:val="0"/>
    <w:rPr>
      <w:rFonts w:hint="eastAsia" w:ascii="宋体" w:hAnsi="Courier New" w:eastAsia="宋体" w:cs="宋体"/>
      <w:kern w:val="2"/>
      <w:sz w:val="21"/>
    </w:rPr>
  </w:style>
  <w:style w:type="paragraph" w:customStyle="1" w:styleId="483">
    <w:name w:val="应答"/>
    <w:basedOn w:val="1"/>
    <w:qFormat/>
    <w:uiPriority w:val="0"/>
    <w:pPr>
      <w:widowControl/>
      <w:tabs>
        <w:tab w:val="left" w:pos="620"/>
      </w:tabs>
      <w:spacing w:before="240" w:after="120" w:line="288" w:lineRule="auto"/>
      <w:ind w:left="624" w:hanging="624"/>
      <w:jc w:val="left"/>
    </w:pPr>
    <w:rPr>
      <w:rFonts w:eastAsia="黑体"/>
      <w:bCs/>
      <w:kern w:val="0"/>
    </w:rPr>
  </w:style>
  <w:style w:type="character" w:customStyle="1" w:styleId="484">
    <w:name w:val="List Paragraph Char"/>
    <w:link w:val="241"/>
    <w:qFormat/>
    <w:locked/>
    <w:uiPriority w:val="99"/>
    <w:rPr>
      <w:rFonts w:ascii="Calibri" w:hAnsi="Calibri"/>
      <w:kern w:val="2"/>
      <w:sz w:val="21"/>
      <w:szCs w:val="22"/>
    </w:rPr>
  </w:style>
  <w:style w:type="character" w:customStyle="1" w:styleId="485">
    <w:name w:val="章标题 Char"/>
    <w:link w:val="202"/>
    <w:qFormat/>
    <w:uiPriority w:val="0"/>
    <w:rPr>
      <w:rFonts w:ascii="黑体" w:eastAsia="黑体"/>
      <w:b/>
      <w:sz w:val="28"/>
    </w:rPr>
  </w:style>
  <w:style w:type="character" w:customStyle="1" w:styleId="486">
    <w:name w:val="font31"/>
    <w:qFormat/>
    <w:uiPriority w:val="0"/>
    <w:rPr>
      <w:rFonts w:hint="eastAsia" w:ascii="宋体" w:hAnsi="宋体" w:eastAsia="宋体" w:cs="宋体"/>
      <w:color w:val="000000"/>
      <w:sz w:val="21"/>
      <w:szCs w:val="21"/>
      <w:u w:val="none"/>
    </w:rPr>
  </w:style>
  <w:style w:type="character" w:customStyle="1" w:styleId="487">
    <w:name w:val="font01"/>
    <w:qFormat/>
    <w:uiPriority w:val="0"/>
    <w:rPr>
      <w:rFonts w:hint="eastAsia" w:ascii="宋体" w:hAnsi="宋体" w:eastAsia="宋体" w:cs="宋体"/>
      <w:b/>
      <w:color w:val="000000"/>
      <w:sz w:val="16"/>
      <w:szCs w:val="16"/>
      <w:u w:val="none"/>
    </w:rPr>
  </w:style>
  <w:style w:type="character" w:customStyle="1" w:styleId="488">
    <w:name w:val="正文 缩进2字符 Char"/>
    <w:link w:val="489"/>
    <w:qFormat/>
    <w:uiPriority w:val="0"/>
    <w:rPr>
      <w:rFonts w:ascii="宋体" w:hAnsi="宋体" w:cs="宋体"/>
      <w:sz w:val="28"/>
      <w:szCs w:val="28"/>
    </w:rPr>
  </w:style>
  <w:style w:type="paragraph" w:customStyle="1" w:styleId="489">
    <w:name w:val="正文 缩进2字符"/>
    <w:basedOn w:val="1"/>
    <w:link w:val="488"/>
    <w:qFormat/>
    <w:uiPriority w:val="0"/>
    <w:pPr>
      <w:spacing w:line="288" w:lineRule="auto"/>
    </w:pPr>
    <w:rPr>
      <w:rFonts w:ascii="宋体" w:hAnsi="宋体" w:cs="宋体"/>
      <w:kern w:val="0"/>
      <w:sz w:val="28"/>
      <w:szCs w:val="28"/>
    </w:rPr>
  </w:style>
  <w:style w:type="paragraph" w:customStyle="1" w:styleId="490">
    <w:name w:val="普通(网站)2"/>
    <w:basedOn w:val="1"/>
    <w:qFormat/>
    <w:uiPriority w:val="0"/>
    <w:pPr>
      <w:widowControl/>
      <w:spacing w:before="100" w:beforeAutospacing="1" w:after="100" w:afterAutospacing="1"/>
      <w:jc w:val="left"/>
    </w:pPr>
    <w:rPr>
      <w:rFonts w:ascii="宋体" w:hAnsi="宋体" w:cs="宋体"/>
      <w:kern w:val="0"/>
      <w:sz w:val="24"/>
    </w:rPr>
  </w:style>
  <w:style w:type="paragraph" w:customStyle="1" w:styleId="491">
    <w:name w:val="Char1 Char Char Char21"/>
    <w:basedOn w:val="1"/>
    <w:qFormat/>
    <w:uiPriority w:val="0"/>
    <w:rPr>
      <w:rFonts w:ascii="Tahoma" w:hAnsi="Tahoma"/>
      <w:sz w:val="24"/>
      <w:szCs w:val="20"/>
    </w:rPr>
  </w:style>
  <w:style w:type="paragraph" w:customStyle="1" w:styleId="492">
    <w:name w:val="Char Char Char Char31"/>
    <w:basedOn w:val="1"/>
    <w:qFormat/>
    <w:uiPriority w:val="0"/>
    <w:pPr>
      <w:tabs>
        <w:tab w:val="left" w:pos="360"/>
      </w:tabs>
      <w:ind w:firstLine="420" w:firstLineChars="150"/>
    </w:pPr>
    <w:rPr>
      <w:rFonts w:ascii="Calibri" w:hAnsi="Calibri"/>
      <w:szCs w:val="20"/>
    </w:rPr>
  </w:style>
  <w:style w:type="paragraph" w:customStyle="1" w:styleId="493">
    <w:name w:val="~正文"/>
    <w:basedOn w:val="1"/>
    <w:next w:val="19"/>
    <w:qFormat/>
    <w:uiPriority w:val="0"/>
    <w:pPr>
      <w:widowControl/>
      <w:spacing w:line="360" w:lineRule="auto"/>
      <w:ind w:firstLine="200" w:firstLineChars="200"/>
      <w:jc w:val="left"/>
    </w:pPr>
    <w:rPr>
      <w:kern w:val="0"/>
      <w:sz w:val="24"/>
      <w:szCs w:val="28"/>
      <w:lang w:val="zh-CN"/>
    </w:rPr>
  </w:style>
  <w:style w:type="paragraph" w:customStyle="1" w:styleId="494">
    <w:name w:val="WPSOffice手动目录 1"/>
    <w:qFormat/>
    <w:uiPriority w:val="0"/>
    <w:rPr>
      <w:rFonts w:ascii="Calibri" w:hAnsi="Calibri" w:eastAsia="宋体" w:cs="Times New Roman"/>
      <w:lang w:val="en-US" w:eastAsia="zh-CN" w:bidi="ar-SA"/>
    </w:rPr>
  </w:style>
  <w:style w:type="paragraph" w:customStyle="1" w:styleId="495">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 w:type="paragraph" w:customStyle="1" w:styleId="496">
    <w:name w:val="Char Char 字元 字元 字元 Char Char Char Char1"/>
    <w:basedOn w:val="1"/>
    <w:qFormat/>
    <w:uiPriority w:val="0"/>
    <w:pPr>
      <w:adjustRightInd w:val="0"/>
      <w:spacing w:line="360" w:lineRule="auto"/>
    </w:pPr>
    <w:rPr>
      <w:rFonts w:ascii="Calibri" w:hAnsi="Calibri"/>
      <w:kern w:val="0"/>
      <w:sz w:val="24"/>
      <w:szCs w:val="20"/>
    </w:rPr>
  </w:style>
  <w:style w:type="paragraph" w:customStyle="1" w:styleId="497">
    <w:name w:val="列出段落3"/>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498">
    <w:name w:val="Char41"/>
    <w:basedOn w:val="1"/>
    <w:qFormat/>
    <w:uiPriority w:val="0"/>
    <w:pPr>
      <w:widowControl/>
      <w:spacing w:before="312" w:beforeLines="100" w:after="160" w:line="240" w:lineRule="exact"/>
      <w:jc w:val="left"/>
    </w:pPr>
    <w:rPr>
      <w:rFonts w:ascii="Verdana" w:hAnsi="Verdana"/>
      <w:kern w:val="0"/>
      <w:sz w:val="20"/>
      <w:szCs w:val="20"/>
      <w:lang w:eastAsia="en-US"/>
    </w:rPr>
  </w:style>
  <w:style w:type="paragraph" w:customStyle="1" w:styleId="499">
    <w:name w:val="Char Char Char Char Char Char Char Char Char Char3"/>
    <w:basedOn w:val="1"/>
    <w:qFormat/>
    <w:uiPriority w:val="0"/>
    <w:pPr>
      <w:tabs>
        <w:tab w:val="left" w:pos="360"/>
      </w:tabs>
      <w:ind w:left="360" w:hanging="360" w:hangingChars="200"/>
    </w:pPr>
    <w:rPr>
      <w:rFonts w:ascii="Calibri" w:hAnsi="Calibri"/>
      <w:sz w:val="24"/>
      <w:szCs w:val="20"/>
    </w:rPr>
  </w:style>
  <w:style w:type="table" w:customStyle="1" w:styleId="500">
    <w:name w:val="Table Normal12"/>
    <w:qFormat/>
    <w:uiPriority w:val="0"/>
    <w:tblPr>
      <w:tblLayout w:type="fixed"/>
      <w:tblCellMar>
        <w:top w:w="0" w:type="dxa"/>
        <w:left w:w="0" w:type="dxa"/>
        <w:bottom w:w="0" w:type="dxa"/>
        <w:right w:w="0" w:type="dxa"/>
      </w:tblCellMar>
    </w:tblPr>
  </w:style>
  <w:style w:type="table" w:customStyle="1" w:styleId="501">
    <w:name w:val="Table Normal11"/>
    <w:qFormat/>
    <w:uiPriority w:val="0"/>
    <w:tblPr>
      <w:tblLayout w:type="fixed"/>
      <w:tblCellMar>
        <w:top w:w="0" w:type="dxa"/>
        <w:left w:w="0" w:type="dxa"/>
        <w:bottom w:w="0" w:type="dxa"/>
        <w:right w:w="0" w:type="dxa"/>
      </w:tblCellMar>
    </w:tblPr>
  </w:style>
  <w:style w:type="character" w:customStyle="1" w:styleId="502">
    <w:name w:val="正文缩进 字符1"/>
    <w:qFormat/>
    <w:uiPriority w:val="0"/>
    <w:rPr>
      <w:rFonts w:ascii="Times New Roman" w:hAnsi="Times New Roman" w:eastAsia="宋体" w:cs="Times New Roman"/>
      <w:kern w:val="2"/>
      <w:sz w:val="21"/>
    </w:rPr>
  </w:style>
  <w:style w:type="character" w:customStyle="1" w:styleId="503">
    <w:name w:val="样式 2节标题 + 楷体_GB2312 小三 加粗 自动设置 Char Char"/>
    <w:link w:val="504"/>
    <w:qFormat/>
    <w:uiPriority w:val="0"/>
    <w:rPr>
      <w:rFonts w:ascii="楷体_GB2312" w:hAnsi="楷体_GB2312" w:eastAsia="楷体_GB2312"/>
      <w:b/>
      <w:color w:val="000000"/>
      <w:kern w:val="44"/>
      <w:sz w:val="32"/>
    </w:rPr>
  </w:style>
  <w:style w:type="paragraph" w:customStyle="1" w:styleId="504">
    <w:name w:val="样式 2节标题 + 楷体_GB2312 小三 加粗 自动设置"/>
    <w:basedOn w:val="1"/>
    <w:link w:val="503"/>
    <w:qFormat/>
    <w:uiPriority w:val="0"/>
    <w:pPr>
      <w:spacing w:beforeLines="50" w:afterLines="50"/>
      <w:outlineLvl w:val="1"/>
    </w:pPr>
    <w:rPr>
      <w:rFonts w:ascii="楷体_GB2312" w:hAnsi="楷体_GB2312" w:eastAsia="楷体_GB2312"/>
      <w:b/>
      <w:color w:val="000000"/>
      <w:kern w:val="44"/>
      <w:sz w:val="32"/>
      <w:szCs w:val="20"/>
    </w:rPr>
  </w:style>
  <w:style w:type="character" w:customStyle="1" w:styleId="505">
    <w:name w:val="列表段落 字符"/>
    <w:qFormat/>
    <w:uiPriority w:val="0"/>
    <w:rPr>
      <w:rFonts w:ascii="Calibri" w:hAnsi="Calibri"/>
      <w:kern w:val="2"/>
      <w:sz w:val="21"/>
      <w:szCs w:val="22"/>
    </w:rPr>
  </w:style>
  <w:style w:type="character" w:customStyle="1" w:styleId="506">
    <w:name w:val="样式7 Char"/>
    <w:qFormat/>
    <w:uiPriority w:val="0"/>
    <w:rPr>
      <w:rFonts w:ascii="Times New Roman" w:hAnsi="Times New Roman"/>
      <w:b/>
      <w:bCs/>
      <w:kern w:val="44"/>
      <w:sz w:val="44"/>
      <w:szCs w:val="44"/>
    </w:rPr>
  </w:style>
  <w:style w:type="character" w:customStyle="1" w:styleId="507">
    <w:name w:val="zhengwen"/>
    <w:qFormat/>
    <w:uiPriority w:val="0"/>
  </w:style>
  <w:style w:type="character" w:customStyle="1" w:styleId="508">
    <w:name w:val="尾注文本 Char1"/>
    <w:semiHidden/>
    <w:qFormat/>
    <w:uiPriority w:val="99"/>
    <w:rPr>
      <w:kern w:val="2"/>
      <w:sz w:val="21"/>
      <w:szCs w:val="24"/>
    </w:rPr>
  </w:style>
  <w:style w:type="character" w:customStyle="1" w:styleId="509">
    <w:name w:val="middle1"/>
    <w:qFormat/>
    <w:uiPriority w:val="0"/>
    <w:rPr>
      <w:rFonts w:hint="default" w:ascii="Verdana" w:hAnsi="Verdana"/>
      <w:color w:val="000000"/>
      <w:sz w:val="24"/>
      <w:szCs w:val="24"/>
      <w:u w:val="none"/>
    </w:rPr>
  </w:style>
  <w:style w:type="character" w:customStyle="1" w:styleId="510">
    <w:name w:val="HTML 预设格式 字符"/>
    <w:qFormat/>
    <w:uiPriority w:val="0"/>
    <w:rPr>
      <w:rFonts w:ascii="Courier New" w:hAnsi="Courier New"/>
      <w:kern w:val="2"/>
    </w:rPr>
  </w:style>
  <w:style w:type="character" w:customStyle="1" w:styleId="511">
    <w:name w:val="default1"/>
    <w:qFormat/>
    <w:uiPriority w:val="0"/>
    <w:rPr>
      <w:rFonts w:hint="default" w:ascii="Arial" w:hAnsi="Arial" w:cs="Arial"/>
      <w:sz w:val="20"/>
      <w:szCs w:val="20"/>
    </w:rPr>
  </w:style>
  <w:style w:type="character" w:customStyle="1" w:styleId="512">
    <w:name w:val="text_darkgray1"/>
    <w:qFormat/>
    <w:uiPriority w:val="0"/>
    <w:rPr>
      <w:rFonts w:ascii="宋体" w:hAnsi="宋体" w:eastAsia="宋体"/>
      <w:color w:val="000000"/>
      <w:kern w:val="2"/>
      <w:sz w:val="23"/>
      <w:lang w:val="en-US" w:eastAsia="zh-CN"/>
    </w:rPr>
  </w:style>
  <w:style w:type="character" w:customStyle="1" w:styleId="513">
    <w:name w:val="param-name"/>
    <w:qFormat/>
    <w:uiPriority w:val="0"/>
  </w:style>
  <w:style w:type="character" w:customStyle="1" w:styleId="514">
    <w:name w:val="样式 题注 + (符号) 宋体 Char"/>
    <w:link w:val="515"/>
    <w:qFormat/>
    <w:uiPriority w:val="0"/>
    <w:rPr>
      <w:rFonts w:ascii="Arial" w:hAnsi="Arial" w:eastAsia="黑体" w:cs="Arial"/>
      <w:kern w:val="2"/>
      <w:sz w:val="21"/>
    </w:rPr>
  </w:style>
  <w:style w:type="paragraph" w:customStyle="1" w:styleId="515">
    <w:name w:val="样式 题注 + (符号) 宋体"/>
    <w:basedOn w:val="29"/>
    <w:link w:val="514"/>
    <w:qFormat/>
    <w:uiPriority w:val="0"/>
    <w:pPr>
      <w:spacing w:before="152" w:after="160" w:line="240" w:lineRule="auto"/>
      <w:jc w:val="center"/>
    </w:pPr>
    <w:rPr>
      <w:rFonts w:ascii="Arial" w:hAnsi="Arial" w:eastAsia="黑体" w:cs="Arial"/>
      <w:sz w:val="21"/>
    </w:rPr>
  </w:style>
  <w:style w:type="character" w:customStyle="1" w:styleId="516">
    <w:name w:val="样式 正文缩进 + 首行缩进:  2 字符 Char"/>
    <w:link w:val="517"/>
    <w:qFormat/>
    <w:uiPriority w:val="0"/>
    <w:rPr>
      <w:rFonts w:ascii="仿宋_GB2312" w:hAnsi="仿宋_GB2312" w:eastAsia="仿宋_GB2312" w:cs="宋体"/>
      <w:color w:val="000000"/>
      <w:sz w:val="28"/>
      <w:szCs w:val="28"/>
      <w:lang w:eastAsia="ar-SA"/>
    </w:rPr>
  </w:style>
  <w:style w:type="paragraph" w:customStyle="1" w:styleId="517">
    <w:name w:val="样式 正文缩进 + 首行缩进:  2 字符"/>
    <w:basedOn w:val="7"/>
    <w:link w:val="516"/>
    <w:qFormat/>
    <w:uiPriority w:val="0"/>
    <w:pPr>
      <w:suppressAutoHyphens/>
      <w:autoSpaceDE/>
      <w:autoSpaceDN/>
      <w:adjustRightInd/>
      <w:ind w:firstLine="720"/>
      <w:jc w:val="both"/>
    </w:pPr>
    <w:rPr>
      <w:rFonts w:ascii="仿宋_GB2312" w:hAnsi="仿宋_GB2312" w:eastAsia="仿宋_GB2312" w:cs="宋体"/>
      <w:color w:val="000000"/>
      <w:kern w:val="0"/>
      <w:sz w:val="28"/>
      <w:szCs w:val="28"/>
      <w:lang w:eastAsia="ar-SA"/>
    </w:rPr>
  </w:style>
  <w:style w:type="character" w:customStyle="1" w:styleId="518">
    <w:name w:val="正文首行缩进样式 Char"/>
    <w:link w:val="519"/>
    <w:qFormat/>
    <w:uiPriority w:val="0"/>
    <w:rPr>
      <w:kern w:val="2"/>
      <w:sz w:val="24"/>
      <w:szCs w:val="24"/>
      <w:lang w:bidi="en-US"/>
    </w:rPr>
  </w:style>
  <w:style w:type="paragraph" w:customStyle="1" w:styleId="519">
    <w:name w:val="正文首行缩进样式"/>
    <w:basedOn w:val="1"/>
    <w:link w:val="518"/>
    <w:qFormat/>
    <w:uiPriority w:val="0"/>
    <w:pPr>
      <w:widowControl/>
      <w:spacing w:line="360" w:lineRule="auto"/>
      <w:ind w:firstLine="480" w:firstLineChars="200"/>
      <w:jc w:val="left"/>
    </w:pPr>
    <w:rPr>
      <w:sz w:val="24"/>
      <w:lang w:bidi="en-US"/>
    </w:rPr>
  </w:style>
  <w:style w:type="character" w:customStyle="1" w:styleId="520">
    <w:name w:val="news-12"/>
    <w:qFormat/>
    <w:uiPriority w:val="0"/>
    <w:rPr>
      <w:rFonts w:ascii="宋体" w:hAnsi="宋体" w:eastAsia="宋体"/>
      <w:kern w:val="2"/>
      <w:sz w:val="15"/>
      <w:lang w:val="en-US" w:eastAsia="zh-CN"/>
    </w:rPr>
  </w:style>
  <w:style w:type="character" w:customStyle="1" w:styleId="521">
    <w:name w:val="编写建议 Char"/>
    <w:link w:val="522"/>
    <w:qFormat/>
    <w:locked/>
    <w:uiPriority w:val="0"/>
    <w:rPr>
      <w:i/>
      <w:iCs/>
      <w:color w:val="0000FF"/>
      <w:szCs w:val="21"/>
    </w:rPr>
  </w:style>
  <w:style w:type="paragraph" w:customStyle="1" w:styleId="522">
    <w:name w:val="编写建议"/>
    <w:basedOn w:val="1"/>
    <w:link w:val="521"/>
    <w:qFormat/>
    <w:uiPriority w:val="0"/>
    <w:pPr>
      <w:autoSpaceDE w:val="0"/>
      <w:autoSpaceDN w:val="0"/>
      <w:adjustRightInd w:val="0"/>
      <w:spacing w:line="300" w:lineRule="auto"/>
      <w:ind w:left="200" w:leftChars="200"/>
      <w:jc w:val="left"/>
    </w:pPr>
    <w:rPr>
      <w:i/>
      <w:iCs/>
      <w:color w:val="0000FF"/>
      <w:kern w:val="0"/>
      <w:sz w:val="20"/>
      <w:szCs w:val="21"/>
    </w:rPr>
  </w:style>
  <w:style w:type="character" w:customStyle="1" w:styleId="523">
    <w:name w:val="font2"/>
    <w:qFormat/>
    <w:uiPriority w:val="0"/>
    <w:rPr>
      <w:rFonts w:hint="default" w:ascii="Arial" w:hAnsi="Arial" w:eastAsia="宋体"/>
      <w:color w:val="333333"/>
      <w:kern w:val="2"/>
      <w:sz w:val="19"/>
      <w:lang w:val="en-US" w:eastAsia="zh-CN"/>
    </w:rPr>
  </w:style>
  <w:style w:type="character" w:customStyle="1" w:styleId="524">
    <w:name w:val="文字 Char"/>
    <w:link w:val="525"/>
    <w:qFormat/>
    <w:locked/>
    <w:uiPriority w:val="0"/>
    <w:rPr>
      <w:rFonts w:ascii="楷体_GB2312" w:eastAsia="楷体_GB2312"/>
      <w:kern w:val="2"/>
      <w:sz w:val="28"/>
    </w:rPr>
  </w:style>
  <w:style w:type="paragraph" w:customStyle="1" w:styleId="525">
    <w:name w:val="文字"/>
    <w:basedOn w:val="1"/>
    <w:link w:val="524"/>
    <w:qFormat/>
    <w:uiPriority w:val="0"/>
    <w:pPr>
      <w:tabs>
        <w:tab w:val="left" w:pos="8520"/>
      </w:tabs>
      <w:spacing w:line="312" w:lineRule="auto"/>
      <w:ind w:right="-210" w:firstLine="556"/>
    </w:pPr>
    <w:rPr>
      <w:rFonts w:ascii="楷体_GB2312" w:eastAsia="楷体_GB2312"/>
      <w:sz w:val="28"/>
      <w:szCs w:val="20"/>
    </w:rPr>
  </w:style>
  <w:style w:type="character" w:customStyle="1" w:styleId="526">
    <w:name w:val="point_small1"/>
    <w:qFormat/>
    <w:uiPriority w:val="0"/>
    <w:rPr>
      <w:rFonts w:hint="default" w:ascii="Arial" w:hAnsi="Arial" w:eastAsia="宋体" w:cs="Arial"/>
      <w:kern w:val="2"/>
      <w:sz w:val="18"/>
      <w:szCs w:val="18"/>
      <w:lang w:val="en-US" w:eastAsia="zh-CN" w:bidi="ar-SA"/>
    </w:rPr>
  </w:style>
  <w:style w:type="character" w:customStyle="1" w:styleId="527">
    <w:name w:val="p121"/>
    <w:qFormat/>
    <w:uiPriority w:val="0"/>
    <w:rPr>
      <w:rFonts w:ascii="Tahoma" w:hAnsi="Tahoma" w:eastAsia="宋体"/>
      <w:color w:val="000000"/>
      <w:kern w:val="2"/>
      <w:sz w:val="21"/>
      <w:szCs w:val="21"/>
      <w:u w:val="none"/>
      <w:lang w:val="en-US" w:eastAsia="zh-CN" w:bidi="ar-SA"/>
    </w:rPr>
  </w:style>
  <w:style w:type="character" w:customStyle="1" w:styleId="528">
    <w:name w:val="font9494941"/>
    <w:qFormat/>
    <w:uiPriority w:val="0"/>
    <w:rPr>
      <w:rFonts w:ascii="Verdana" w:hAnsi="Verdana" w:eastAsia="仿宋_GB2312"/>
      <w:color w:val="949494"/>
      <w:sz w:val="24"/>
      <w:lang w:val="en-US" w:eastAsia="en-US" w:bidi="ar-SA"/>
    </w:rPr>
  </w:style>
  <w:style w:type="character" w:customStyle="1" w:styleId="529">
    <w:name w:val="Char Char81"/>
    <w:qFormat/>
    <w:uiPriority w:val="0"/>
    <w:rPr>
      <w:rFonts w:ascii="宋体" w:hAnsi="Courier New" w:eastAsia="宋体" w:cs="Courier New"/>
      <w:kern w:val="2"/>
      <w:sz w:val="21"/>
      <w:szCs w:val="21"/>
      <w:lang w:val="en-US" w:eastAsia="zh-CN" w:bidi="ar-SA"/>
    </w:rPr>
  </w:style>
  <w:style w:type="character" w:customStyle="1" w:styleId="530">
    <w:name w:val="3节标题 Char"/>
    <w:link w:val="531"/>
    <w:qFormat/>
    <w:uiPriority w:val="0"/>
  </w:style>
  <w:style w:type="paragraph" w:customStyle="1" w:styleId="531">
    <w:name w:val="3节标题"/>
    <w:basedOn w:val="504"/>
    <w:link w:val="530"/>
    <w:qFormat/>
    <w:uiPriority w:val="0"/>
    <w:pPr>
      <w:tabs>
        <w:tab w:val="left" w:pos="992"/>
        <w:tab w:val="left" w:pos="4843"/>
      </w:tabs>
      <w:ind w:left="4253" w:hanging="850"/>
      <w:outlineLvl w:val="2"/>
    </w:pPr>
    <w:rPr>
      <w:rFonts w:ascii="Times New Roman" w:hAnsi="Times New Roman" w:eastAsia="宋体"/>
      <w:b w:val="0"/>
      <w:color w:val="auto"/>
      <w:kern w:val="0"/>
      <w:sz w:val="20"/>
    </w:rPr>
  </w:style>
  <w:style w:type="character" w:customStyle="1" w:styleId="532">
    <w:name w:val="项目下文字 Char"/>
    <w:link w:val="533"/>
    <w:qFormat/>
    <w:uiPriority w:val="0"/>
    <w:rPr>
      <w:rFonts w:ascii="宋体"/>
      <w:kern w:val="2"/>
      <w:sz w:val="24"/>
    </w:rPr>
  </w:style>
  <w:style w:type="paragraph" w:customStyle="1" w:styleId="533">
    <w:name w:val="项目下文字"/>
    <w:basedOn w:val="1"/>
    <w:link w:val="532"/>
    <w:qFormat/>
    <w:uiPriority w:val="0"/>
    <w:pPr>
      <w:adjustRightInd w:val="0"/>
      <w:spacing w:before="120" w:after="120" w:line="360" w:lineRule="auto"/>
      <w:jc w:val="left"/>
      <w:textAlignment w:val="baseline"/>
    </w:pPr>
    <w:rPr>
      <w:rFonts w:ascii="宋体"/>
      <w:sz w:val="24"/>
      <w:szCs w:val="20"/>
    </w:rPr>
  </w:style>
  <w:style w:type="character" w:customStyle="1" w:styleId="534">
    <w:name w:val="样式 题注 + 黑体3 Char"/>
    <w:link w:val="535"/>
    <w:qFormat/>
    <w:uiPriority w:val="0"/>
    <w:rPr>
      <w:rFonts w:ascii="黑体" w:hAnsi="黑体" w:eastAsia="黑体" w:cs="Arial"/>
      <w:kern w:val="2"/>
      <w:sz w:val="21"/>
    </w:rPr>
  </w:style>
  <w:style w:type="paragraph" w:customStyle="1" w:styleId="535">
    <w:name w:val="样式 题注 + 黑体3"/>
    <w:basedOn w:val="29"/>
    <w:link w:val="534"/>
    <w:qFormat/>
    <w:uiPriority w:val="0"/>
    <w:pPr>
      <w:spacing w:before="152" w:after="160" w:line="240" w:lineRule="auto"/>
      <w:jc w:val="center"/>
    </w:pPr>
    <w:rPr>
      <w:rFonts w:ascii="黑体" w:hAnsi="黑体" w:eastAsia="黑体" w:cs="Arial"/>
      <w:sz w:val="21"/>
    </w:rPr>
  </w:style>
  <w:style w:type="character" w:customStyle="1" w:styleId="536">
    <w:name w:val="样式5 Char"/>
    <w:qFormat/>
    <w:uiPriority w:val="0"/>
    <w:rPr>
      <w:rFonts w:ascii="黑体" w:eastAsia="黑体"/>
      <w:b/>
      <w:bCs/>
      <w:kern w:val="2"/>
      <w:sz w:val="28"/>
      <w:szCs w:val="28"/>
    </w:rPr>
  </w:style>
  <w:style w:type="character" w:customStyle="1" w:styleId="537">
    <w:name w:val="样式6 Char Char Char"/>
    <w:qFormat/>
    <w:uiPriority w:val="0"/>
    <w:rPr>
      <w:rFonts w:ascii="Times New Roman" w:hAnsi="Times New Roman"/>
      <w:b/>
      <w:bCs/>
      <w:kern w:val="2"/>
      <w:sz w:val="24"/>
      <w:szCs w:val="24"/>
    </w:rPr>
  </w:style>
  <w:style w:type="character" w:customStyle="1" w:styleId="538">
    <w:name w:val="样式 宋体 行距: 1.5 倍行距 Char Char"/>
    <w:link w:val="539"/>
    <w:qFormat/>
    <w:uiPriority w:val="0"/>
    <w:rPr>
      <w:rFonts w:ascii="宋体" w:hAnsi="宋体" w:cs="宋体"/>
      <w:kern w:val="2"/>
      <w:sz w:val="21"/>
    </w:rPr>
  </w:style>
  <w:style w:type="paragraph" w:customStyle="1" w:styleId="539">
    <w:name w:val="样式 宋体 行距: 1.5 倍行距"/>
    <w:basedOn w:val="1"/>
    <w:link w:val="538"/>
    <w:qFormat/>
    <w:uiPriority w:val="0"/>
    <w:pPr>
      <w:spacing w:line="360" w:lineRule="auto"/>
      <w:ind w:firstLine="420" w:firstLineChars="200"/>
    </w:pPr>
    <w:rPr>
      <w:rFonts w:ascii="宋体" w:hAnsi="宋体" w:cs="宋体"/>
      <w:szCs w:val="20"/>
    </w:rPr>
  </w:style>
  <w:style w:type="character" w:customStyle="1" w:styleId="540">
    <w:name w:val="font1"/>
    <w:qFormat/>
    <w:uiPriority w:val="0"/>
  </w:style>
  <w:style w:type="character" w:customStyle="1" w:styleId="541">
    <w:name w:val="文章正文 Char Char"/>
    <w:link w:val="542"/>
    <w:qFormat/>
    <w:uiPriority w:val="0"/>
    <w:rPr>
      <w:kern w:val="2"/>
      <w:sz w:val="24"/>
      <w:szCs w:val="24"/>
    </w:rPr>
  </w:style>
  <w:style w:type="paragraph" w:customStyle="1" w:styleId="542">
    <w:name w:val="文章正文"/>
    <w:basedOn w:val="1"/>
    <w:link w:val="541"/>
    <w:qFormat/>
    <w:uiPriority w:val="0"/>
    <w:pPr>
      <w:spacing w:line="360" w:lineRule="auto"/>
      <w:ind w:firstLine="420"/>
    </w:pPr>
    <w:rPr>
      <w:sz w:val="24"/>
    </w:rPr>
  </w:style>
  <w:style w:type="character" w:customStyle="1" w:styleId="543">
    <w:name w:val="Ò³Ã¼ Char Char"/>
    <w:qFormat/>
    <w:uiPriority w:val="0"/>
    <w:rPr>
      <w:rFonts w:ascii="Verdana" w:hAnsi="Verdana" w:eastAsia="宋体"/>
      <w:kern w:val="2"/>
      <w:sz w:val="18"/>
      <w:szCs w:val="18"/>
      <w:lang w:val="en-US" w:eastAsia="zh-CN" w:bidi="ar-SA"/>
    </w:rPr>
  </w:style>
  <w:style w:type="character" w:customStyle="1" w:styleId="544">
    <w:name w:val="yang"/>
    <w:semiHidden/>
    <w:qFormat/>
    <w:uiPriority w:val="0"/>
    <w:rPr>
      <w:rFonts w:ascii="Arial" w:hAnsi="Arial" w:eastAsia="宋体" w:cs="Arial"/>
      <w:color w:val="auto"/>
      <w:sz w:val="18"/>
      <w:szCs w:val="20"/>
    </w:rPr>
  </w:style>
  <w:style w:type="character" w:customStyle="1" w:styleId="545">
    <w:name w:val="para1"/>
    <w:qFormat/>
    <w:uiPriority w:val="0"/>
    <w:rPr>
      <w:rFonts w:hint="default" w:ascii="Arial" w:hAnsi="Arial" w:eastAsia="仿宋_GB2312" w:cs="Arial"/>
      <w:sz w:val="24"/>
      <w:szCs w:val="24"/>
      <w:lang w:val="en-US" w:eastAsia="en-US" w:bidi="ar-SA"/>
    </w:rPr>
  </w:style>
  <w:style w:type="character" w:customStyle="1" w:styleId="546">
    <w:name w:val="Legal Level 1.1.1.1. Char"/>
    <w:qFormat/>
    <w:uiPriority w:val="0"/>
    <w:rPr>
      <w:rFonts w:ascii="Arial" w:hAnsi="Arial" w:eastAsia="黑体"/>
      <w:kern w:val="2"/>
      <w:sz w:val="21"/>
      <w:szCs w:val="21"/>
      <w:lang w:val="en-US" w:eastAsia="zh-CN" w:bidi="ar-SA"/>
    </w:rPr>
  </w:style>
  <w:style w:type="character" w:customStyle="1" w:styleId="547">
    <w:name w:val="subtitle1"/>
    <w:qFormat/>
    <w:uiPriority w:val="0"/>
    <w:rPr>
      <w:rFonts w:hint="default" w:ascii="Georgia" w:hAnsi="Georgia"/>
      <w:b/>
      <w:bCs/>
      <w:color w:val="666666"/>
      <w:sz w:val="18"/>
      <w:szCs w:val="18"/>
    </w:rPr>
  </w:style>
  <w:style w:type="character" w:customStyle="1" w:styleId="548">
    <w:name w:val="style41"/>
    <w:qFormat/>
    <w:uiPriority w:val="0"/>
    <w:rPr>
      <w:color w:val="666666"/>
    </w:rPr>
  </w:style>
  <w:style w:type="character" w:customStyle="1" w:styleId="549">
    <w:name w:val="中文正文 Char Char Char Char Char Char Char Char Char Char"/>
    <w:qFormat/>
    <w:uiPriority w:val="0"/>
    <w:rPr>
      <w:rFonts w:ascii="仿宋_GB2312" w:hAnsi="Verdana" w:eastAsia="仿宋_GB2312"/>
      <w:kern w:val="2"/>
      <w:sz w:val="26"/>
      <w:lang w:val="en-US" w:eastAsia="zh-CN" w:bidi="ar-SA"/>
    </w:rPr>
  </w:style>
  <w:style w:type="character" w:customStyle="1" w:styleId="550">
    <w:name w:val="标题 5 字符"/>
    <w:qFormat/>
    <w:uiPriority w:val="0"/>
    <w:rPr>
      <w:b/>
      <w:bCs/>
      <w:kern w:val="2"/>
      <w:sz w:val="28"/>
      <w:szCs w:val="28"/>
    </w:rPr>
  </w:style>
  <w:style w:type="character" w:customStyle="1" w:styleId="551">
    <w:name w:val="15"/>
    <w:qFormat/>
    <w:uiPriority w:val="0"/>
  </w:style>
  <w:style w:type="character" w:customStyle="1" w:styleId="552">
    <w:name w:val="Z-数字层进 Char"/>
    <w:link w:val="553"/>
    <w:qFormat/>
    <w:uiPriority w:val="0"/>
    <w:rPr>
      <w:sz w:val="24"/>
      <w:szCs w:val="21"/>
      <w:lang w:eastAsia="en-US" w:bidi="en-US"/>
    </w:rPr>
  </w:style>
  <w:style w:type="paragraph" w:customStyle="1" w:styleId="553">
    <w:name w:val="Z-数字层进"/>
    <w:basedOn w:val="1"/>
    <w:link w:val="552"/>
    <w:qFormat/>
    <w:uiPriority w:val="0"/>
    <w:pPr>
      <w:widowControl/>
      <w:numPr>
        <w:ilvl w:val="0"/>
        <w:numId w:val="9"/>
      </w:numPr>
      <w:spacing w:line="360" w:lineRule="auto"/>
      <w:ind w:firstLine="0"/>
      <w:jc w:val="left"/>
    </w:pPr>
    <w:rPr>
      <w:kern w:val="0"/>
      <w:sz w:val="24"/>
      <w:szCs w:val="21"/>
      <w:lang w:eastAsia="en-US" w:bidi="en-US"/>
    </w:rPr>
  </w:style>
  <w:style w:type="character" w:customStyle="1" w:styleId="554">
    <w:name w:val="签名 字符"/>
    <w:qFormat/>
    <w:uiPriority w:val="0"/>
    <w:rPr>
      <w:rFonts w:ascii="Calibri" w:hAnsi="Calibri"/>
      <w:kern w:val="2"/>
      <w:sz w:val="21"/>
      <w:szCs w:val="22"/>
    </w:rPr>
  </w:style>
  <w:style w:type="character" w:customStyle="1" w:styleId="555">
    <w:name w:val="正文样式 Char"/>
    <w:link w:val="556"/>
    <w:qFormat/>
    <w:uiPriority w:val="7"/>
    <w:rPr>
      <w:kern w:val="2"/>
      <w:sz w:val="24"/>
      <w:szCs w:val="24"/>
    </w:rPr>
  </w:style>
  <w:style w:type="paragraph" w:customStyle="1" w:styleId="556">
    <w:name w:val="正文样式"/>
    <w:basedOn w:val="1"/>
    <w:link w:val="555"/>
    <w:qFormat/>
    <w:uiPriority w:val="7"/>
    <w:pPr>
      <w:spacing w:line="360" w:lineRule="auto"/>
      <w:ind w:firstLine="200" w:firstLineChars="200"/>
    </w:pPr>
    <w:rPr>
      <w:sz w:val="24"/>
    </w:rPr>
  </w:style>
  <w:style w:type="character" w:customStyle="1" w:styleId="557">
    <w:name w:val="IBM 正文 Char"/>
    <w:link w:val="558"/>
    <w:qFormat/>
    <w:uiPriority w:val="0"/>
    <w:rPr>
      <w:spacing w:val="20"/>
      <w:kern w:val="2"/>
      <w:sz w:val="24"/>
    </w:rPr>
  </w:style>
  <w:style w:type="paragraph" w:customStyle="1" w:styleId="558">
    <w:name w:val="IBM 正文"/>
    <w:basedOn w:val="1"/>
    <w:link w:val="557"/>
    <w:qFormat/>
    <w:uiPriority w:val="0"/>
    <w:pPr>
      <w:spacing w:line="400" w:lineRule="exact"/>
    </w:pPr>
    <w:rPr>
      <w:spacing w:val="20"/>
      <w:sz w:val="24"/>
      <w:szCs w:val="20"/>
    </w:rPr>
  </w:style>
  <w:style w:type="character" w:customStyle="1" w:styleId="559">
    <w:name w:val="正文文本 2 字符"/>
    <w:qFormat/>
    <w:uiPriority w:val="0"/>
    <w:rPr>
      <w:rFonts w:ascii="Arial" w:hAnsi="Arial"/>
      <w:sz w:val="24"/>
    </w:rPr>
  </w:style>
  <w:style w:type="character" w:customStyle="1" w:styleId="560">
    <w:name w:val="Table Text Char Char"/>
    <w:qFormat/>
    <w:locked/>
    <w:uiPriority w:val="0"/>
    <w:rPr>
      <w:rFonts w:ascii="Arial" w:hAnsi="Arial" w:eastAsia="宋体" w:cs="Times New Roman"/>
      <w:kern w:val="0"/>
      <w:sz w:val="18"/>
      <w:szCs w:val="20"/>
    </w:rPr>
  </w:style>
  <w:style w:type="character" w:customStyle="1" w:styleId="561">
    <w:name w:val="标题 2 字符"/>
    <w:qFormat/>
    <w:uiPriority w:val="0"/>
    <w:rPr>
      <w:rFonts w:ascii="Cambria" w:hAnsi="Cambria" w:eastAsia="宋体" w:cs="Times New Roman"/>
      <w:b/>
      <w:bCs/>
      <w:kern w:val="2"/>
      <w:sz w:val="32"/>
      <w:szCs w:val="32"/>
    </w:rPr>
  </w:style>
  <w:style w:type="character" w:customStyle="1" w:styleId="562">
    <w:name w:val="msonormal"/>
    <w:qFormat/>
    <w:uiPriority w:val="0"/>
    <w:rPr>
      <w:rFonts w:ascii="宋体" w:hAnsi="宋体" w:eastAsia="宋体"/>
      <w:kern w:val="2"/>
      <w:sz w:val="15"/>
      <w:lang w:val="en-US" w:eastAsia="zh-CN"/>
    </w:rPr>
  </w:style>
  <w:style w:type="character" w:customStyle="1" w:styleId="563">
    <w:name w:val="标准 Char Char Char Char"/>
    <w:link w:val="564"/>
    <w:qFormat/>
    <w:uiPriority w:val="0"/>
    <w:rPr>
      <w:rFonts w:ascii="宋体"/>
      <w:color w:val="000000"/>
      <w:kern w:val="2"/>
      <w:sz w:val="24"/>
    </w:rPr>
  </w:style>
  <w:style w:type="paragraph" w:customStyle="1" w:styleId="564">
    <w:name w:val="标准 Char Char Char"/>
    <w:basedOn w:val="1"/>
    <w:link w:val="563"/>
    <w:qFormat/>
    <w:uiPriority w:val="0"/>
    <w:pPr>
      <w:autoSpaceDE w:val="0"/>
      <w:autoSpaceDN w:val="0"/>
      <w:adjustRightInd w:val="0"/>
      <w:snapToGrid w:val="0"/>
      <w:spacing w:line="312" w:lineRule="atLeast"/>
      <w:ind w:right="11" w:firstLine="480"/>
      <w:textAlignment w:val="baseline"/>
    </w:pPr>
    <w:rPr>
      <w:rFonts w:ascii="宋体"/>
      <w:color w:val="000000"/>
      <w:sz w:val="24"/>
      <w:szCs w:val="20"/>
    </w:rPr>
  </w:style>
  <w:style w:type="character" w:customStyle="1" w:styleId="565">
    <w:name w:val="批注文字 字符1"/>
    <w:qFormat/>
    <w:uiPriority w:val="0"/>
    <w:rPr>
      <w:kern w:val="2"/>
      <w:sz w:val="21"/>
      <w:szCs w:val="24"/>
    </w:rPr>
  </w:style>
  <w:style w:type="character" w:customStyle="1" w:styleId="566">
    <w:name w:val="Char Char131"/>
    <w:qFormat/>
    <w:uiPriority w:val="99"/>
    <w:rPr>
      <w:b/>
      <w:kern w:val="2"/>
      <w:sz w:val="32"/>
    </w:rPr>
  </w:style>
  <w:style w:type="character" w:customStyle="1" w:styleId="567">
    <w:name w:val="样式6 Char Char Char Char"/>
    <w:qFormat/>
    <w:uiPriority w:val="0"/>
    <w:rPr>
      <w:rFonts w:ascii="Times New Roman" w:hAnsi="Times New Roman"/>
      <w:b/>
      <w:bCs/>
      <w:kern w:val="2"/>
      <w:sz w:val="24"/>
      <w:szCs w:val="24"/>
    </w:rPr>
  </w:style>
  <w:style w:type="character" w:customStyle="1" w:styleId="568">
    <w:name w:val="t1"/>
    <w:qFormat/>
    <w:uiPriority w:val="0"/>
    <w:rPr>
      <w:rFonts w:ascii="Tahoma" w:hAnsi="Tahoma" w:eastAsia="宋体"/>
      <w:color w:val="990000"/>
      <w:kern w:val="2"/>
      <w:sz w:val="36"/>
      <w:szCs w:val="36"/>
      <w:lang w:val="en-US" w:eastAsia="zh-CN" w:bidi="ar-SA"/>
    </w:rPr>
  </w:style>
  <w:style w:type="character" w:customStyle="1" w:styleId="569">
    <w:name w:val="哈哈正文 Char Char Char"/>
    <w:qFormat/>
    <w:uiPriority w:val="0"/>
    <w:rPr>
      <w:rFonts w:ascii="宋体" w:hAnsi="宋体"/>
      <w:sz w:val="24"/>
    </w:rPr>
  </w:style>
  <w:style w:type="character" w:customStyle="1" w:styleId="570">
    <w:name w:val="Figure Description Char"/>
    <w:link w:val="571"/>
    <w:qFormat/>
    <w:locked/>
    <w:uiPriority w:val="0"/>
    <w:rPr>
      <w:kern w:val="2"/>
      <w:sz w:val="21"/>
    </w:rPr>
  </w:style>
  <w:style w:type="paragraph" w:customStyle="1" w:styleId="571">
    <w:name w:val="Figure Description"/>
    <w:basedOn w:val="1"/>
    <w:link w:val="570"/>
    <w:qFormat/>
    <w:uiPriority w:val="0"/>
    <w:pPr>
      <w:ind w:left="567"/>
    </w:pPr>
    <w:rPr>
      <w:szCs w:val="20"/>
    </w:rPr>
  </w:style>
  <w:style w:type="character" w:customStyle="1" w:styleId="572">
    <w:name w:val="s011"/>
    <w:qFormat/>
    <w:uiPriority w:val="0"/>
    <w:rPr>
      <w:color w:val="525252"/>
      <w:sz w:val="24"/>
      <w:szCs w:val="24"/>
    </w:rPr>
  </w:style>
  <w:style w:type="character" w:customStyle="1" w:styleId="573">
    <w:name w:val="我的正文 Char"/>
    <w:link w:val="574"/>
    <w:qFormat/>
    <w:uiPriority w:val="0"/>
    <w:rPr>
      <w:rFonts w:ascii="Arial" w:hAnsi="Arial"/>
      <w:kern w:val="2"/>
      <w:sz w:val="24"/>
      <w:szCs w:val="18"/>
    </w:rPr>
  </w:style>
  <w:style w:type="paragraph" w:customStyle="1" w:styleId="574">
    <w:name w:val="我的正文"/>
    <w:basedOn w:val="1"/>
    <w:link w:val="573"/>
    <w:qFormat/>
    <w:uiPriority w:val="0"/>
    <w:pPr>
      <w:widowControl/>
      <w:spacing w:line="360" w:lineRule="auto"/>
      <w:ind w:firstLine="200" w:firstLineChars="200"/>
    </w:pPr>
    <w:rPr>
      <w:rFonts w:ascii="Arial" w:hAnsi="Arial"/>
      <w:sz w:val="24"/>
      <w:szCs w:val="18"/>
    </w:rPr>
  </w:style>
  <w:style w:type="character" w:customStyle="1" w:styleId="575">
    <w:name w:val="批注框文本 字符"/>
    <w:qFormat/>
    <w:uiPriority w:val="99"/>
    <w:rPr>
      <w:kern w:val="2"/>
      <w:sz w:val="18"/>
      <w:szCs w:val="18"/>
    </w:rPr>
  </w:style>
  <w:style w:type="character" w:customStyle="1" w:styleId="576">
    <w:name w:val="标题 1 字符"/>
    <w:qFormat/>
    <w:uiPriority w:val="0"/>
    <w:rPr>
      <w:rFonts w:cs="Times New Roman"/>
      <w:b/>
      <w:bCs/>
      <w:kern w:val="44"/>
      <w:sz w:val="44"/>
      <w:szCs w:val="44"/>
    </w:rPr>
  </w:style>
  <w:style w:type="character" w:customStyle="1" w:styleId="577">
    <w:name w:val="文档结构图 字符"/>
    <w:qFormat/>
    <w:uiPriority w:val="0"/>
    <w:rPr>
      <w:sz w:val="16"/>
      <w:szCs w:val="0"/>
    </w:rPr>
  </w:style>
  <w:style w:type="character" w:customStyle="1" w:styleId="578">
    <w:name w:val="题注 Char"/>
    <w:link w:val="29"/>
    <w:qFormat/>
    <w:uiPriority w:val="0"/>
    <w:rPr>
      <w:rFonts w:ascii="华文中宋" w:hAnsi="华文中宋" w:eastAsia="华文中宋"/>
      <w:kern w:val="2"/>
      <w:sz w:val="36"/>
    </w:rPr>
  </w:style>
  <w:style w:type="character" w:customStyle="1" w:styleId="579">
    <w:name w:val="表头文字样式 Char Char"/>
    <w:qFormat/>
    <w:uiPriority w:val="0"/>
    <w:rPr>
      <w:rFonts w:ascii="Times New Roman" w:hAnsi="Times New Roman"/>
      <w:b/>
      <w:kern w:val="2"/>
      <w:sz w:val="21"/>
      <w:szCs w:val="24"/>
    </w:rPr>
  </w:style>
  <w:style w:type="character" w:customStyle="1" w:styleId="580">
    <w:name w:val="param_td12"/>
    <w:qFormat/>
    <w:uiPriority w:val="0"/>
  </w:style>
  <w:style w:type="character" w:customStyle="1" w:styleId="581">
    <w:name w:val="样式 宋体 行距: 1.5 倍行距 Char Char Char Char"/>
    <w:qFormat/>
    <w:uiPriority w:val="0"/>
    <w:rPr>
      <w:rFonts w:ascii="宋体" w:hAnsi="宋体" w:eastAsia="宋体" w:cs="宋体"/>
      <w:kern w:val="2"/>
      <w:sz w:val="21"/>
      <w:lang w:val="en-US" w:eastAsia="zh-CN" w:bidi="ar-SA"/>
    </w:rPr>
  </w:style>
  <w:style w:type="character" w:customStyle="1" w:styleId="582">
    <w:name w:val="样式 标题 2H22nd levelh22Header 2HeadBHeading 2 HiddenHeadin... Char"/>
    <w:link w:val="583"/>
    <w:qFormat/>
    <w:uiPriority w:val="0"/>
    <w:rPr>
      <w:rFonts w:ascii="宋体" w:hAnsi="宋体"/>
      <w:b/>
      <w:kern w:val="2"/>
      <w:sz w:val="30"/>
    </w:rPr>
  </w:style>
  <w:style w:type="paragraph" w:customStyle="1" w:styleId="583">
    <w:name w:val="样式 标题 2H22nd levelh22Header 2HeadBHeading 2 HiddenHeadin..."/>
    <w:basedOn w:val="4"/>
    <w:link w:val="582"/>
    <w:qFormat/>
    <w:uiPriority w:val="0"/>
    <w:pPr>
      <w:tabs>
        <w:tab w:val="left" w:pos="284"/>
        <w:tab w:val="left" w:pos="567"/>
        <w:tab w:val="left" w:pos="2552"/>
      </w:tabs>
      <w:autoSpaceDE/>
      <w:autoSpaceDN/>
      <w:adjustRightInd/>
      <w:spacing w:before="260" w:after="260" w:line="360" w:lineRule="auto"/>
      <w:ind w:left="5103" w:hanging="5103"/>
      <w:jc w:val="both"/>
    </w:pPr>
    <w:rPr>
      <w:rFonts w:ascii="宋体" w:hAnsi="宋体" w:eastAsia="宋体"/>
      <w:kern w:val="2"/>
    </w:rPr>
  </w:style>
  <w:style w:type="character" w:customStyle="1" w:styleId="584">
    <w:name w:val="正文文本缩进 3 字符"/>
    <w:qFormat/>
    <w:uiPriority w:val="0"/>
    <w:rPr>
      <w:rFonts w:cs="Times New Roman"/>
      <w:kern w:val="2"/>
      <w:sz w:val="16"/>
      <w:szCs w:val="16"/>
    </w:rPr>
  </w:style>
  <w:style w:type="character" w:customStyle="1" w:styleId="585">
    <w:name w:val="电子邮件签名 Char"/>
    <w:link w:val="27"/>
    <w:qFormat/>
    <w:uiPriority w:val="0"/>
    <w:rPr>
      <w:kern w:val="2"/>
      <w:sz w:val="21"/>
      <w:szCs w:val="22"/>
    </w:rPr>
  </w:style>
  <w:style w:type="character" w:customStyle="1" w:styleId="586">
    <w:name w:val="copy1"/>
    <w:qFormat/>
    <w:uiPriority w:val="0"/>
    <w:rPr>
      <w:rFonts w:ascii="宋体" w:hAnsi="宋体" w:eastAsia="宋体"/>
      <w:kern w:val="2"/>
      <w:sz w:val="15"/>
      <w:lang w:val="en-US" w:eastAsia="zh-CN"/>
    </w:rPr>
  </w:style>
  <w:style w:type="character" w:customStyle="1" w:styleId="587">
    <w:name w:val="江西-标题四 Char"/>
    <w:link w:val="588"/>
    <w:qFormat/>
    <w:locked/>
    <w:uiPriority w:val="0"/>
    <w:rPr>
      <w:rFonts w:eastAsia="华文中宋"/>
      <w:b/>
      <w:kern w:val="2"/>
      <w:sz w:val="30"/>
      <w:szCs w:val="21"/>
    </w:rPr>
  </w:style>
  <w:style w:type="paragraph" w:customStyle="1" w:styleId="588">
    <w:name w:val="江西-标题四"/>
    <w:basedOn w:val="1"/>
    <w:link w:val="587"/>
    <w:qFormat/>
    <w:uiPriority w:val="0"/>
    <w:pPr>
      <w:tabs>
        <w:tab w:val="left" w:pos="2160"/>
      </w:tabs>
      <w:spacing w:beforeLines="50" w:afterLines="50"/>
      <w:ind w:left="425" w:hanging="425"/>
      <w:outlineLvl w:val="3"/>
    </w:pPr>
    <w:rPr>
      <w:rFonts w:eastAsia="华文中宋"/>
      <w:b/>
      <w:sz w:val="30"/>
      <w:szCs w:val="21"/>
    </w:rPr>
  </w:style>
  <w:style w:type="character" w:customStyle="1" w:styleId="589">
    <w:name w:val="Char Char10"/>
    <w:qFormat/>
    <w:uiPriority w:val="99"/>
    <w:rPr>
      <w:rFonts w:cs="Times New Roman"/>
      <w:kern w:val="2"/>
      <w:sz w:val="18"/>
      <w:szCs w:val="18"/>
    </w:rPr>
  </w:style>
  <w:style w:type="character" w:customStyle="1" w:styleId="590">
    <w:name w:val="样式2 Char"/>
    <w:link w:val="272"/>
    <w:qFormat/>
    <w:uiPriority w:val="0"/>
    <w:rPr>
      <w:kern w:val="2"/>
      <w:sz w:val="24"/>
    </w:rPr>
  </w:style>
  <w:style w:type="character" w:customStyle="1" w:styleId="591">
    <w:name w:val="正文样式 Char Char Char"/>
    <w:qFormat/>
    <w:uiPriority w:val="0"/>
    <w:rPr>
      <w:rFonts w:eastAsia="宋体"/>
      <w:kern w:val="2"/>
      <w:sz w:val="24"/>
      <w:szCs w:val="24"/>
      <w:lang w:val="en-US" w:eastAsia="zh-CN" w:bidi="ar-SA"/>
    </w:rPr>
  </w:style>
  <w:style w:type="character" w:customStyle="1" w:styleId="592">
    <w:name w:val="宏文本 Char"/>
    <w:link w:val="23"/>
    <w:qFormat/>
    <w:uiPriority w:val="0"/>
    <w:rPr>
      <w:rFonts w:ascii="Courier New" w:hAnsi="Courier New" w:cs="Courier New"/>
      <w:kern w:val="2"/>
      <w:sz w:val="24"/>
      <w:szCs w:val="24"/>
    </w:rPr>
  </w:style>
  <w:style w:type="character" w:customStyle="1" w:styleId="593">
    <w:name w:val="正文首行缩进（绿盟科技） Char"/>
    <w:link w:val="594"/>
    <w:qFormat/>
    <w:uiPriority w:val="0"/>
    <w:rPr>
      <w:rFonts w:ascii="Arial" w:hAnsi="Arial"/>
      <w:sz w:val="21"/>
      <w:szCs w:val="21"/>
    </w:rPr>
  </w:style>
  <w:style w:type="paragraph" w:customStyle="1" w:styleId="594">
    <w:name w:val="正文首行缩进（绿盟科技）"/>
    <w:basedOn w:val="1"/>
    <w:link w:val="593"/>
    <w:qFormat/>
    <w:uiPriority w:val="0"/>
    <w:pPr>
      <w:widowControl/>
      <w:spacing w:after="50" w:line="300" w:lineRule="auto"/>
      <w:ind w:firstLine="200" w:firstLineChars="200"/>
      <w:jc w:val="left"/>
    </w:pPr>
    <w:rPr>
      <w:rFonts w:ascii="Arial" w:hAnsi="Arial"/>
      <w:kern w:val="0"/>
      <w:szCs w:val="21"/>
    </w:rPr>
  </w:style>
  <w:style w:type="character" w:customStyle="1" w:styleId="595">
    <w:name w:val="line"/>
    <w:qFormat/>
    <w:uiPriority w:val="0"/>
    <w:rPr>
      <w:rFonts w:ascii="Tahoma" w:hAnsi="Tahoma" w:eastAsia="宋体"/>
      <w:kern w:val="2"/>
      <w:sz w:val="24"/>
      <w:lang w:val="en-US" w:eastAsia="zh-CN" w:bidi="ar-SA"/>
    </w:rPr>
  </w:style>
  <w:style w:type="character" w:customStyle="1" w:styleId="596">
    <w:name w:val="Javis Char Char Char Char"/>
    <w:link w:val="597"/>
    <w:qFormat/>
    <w:uiPriority w:val="0"/>
    <w:rPr>
      <w:rFonts w:ascii="宋体" w:hAnsi="宋体"/>
      <w:kern w:val="2"/>
      <w:sz w:val="21"/>
    </w:rPr>
  </w:style>
  <w:style w:type="paragraph" w:customStyle="1" w:styleId="597">
    <w:name w:val="Javis Char Char Char"/>
    <w:basedOn w:val="1"/>
    <w:link w:val="596"/>
    <w:qFormat/>
    <w:uiPriority w:val="0"/>
    <w:pPr>
      <w:spacing w:line="360" w:lineRule="auto"/>
      <w:ind w:firstLine="420" w:firstLineChars="200"/>
    </w:pPr>
    <w:rPr>
      <w:rFonts w:ascii="宋体" w:hAnsi="宋体"/>
      <w:szCs w:val="20"/>
    </w:rPr>
  </w:style>
  <w:style w:type="character" w:customStyle="1" w:styleId="598">
    <w:name w:val="HTML 地址 Char"/>
    <w:link w:val="46"/>
    <w:qFormat/>
    <w:uiPriority w:val="0"/>
    <w:rPr>
      <w:i/>
      <w:iCs/>
      <w:kern w:val="2"/>
      <w:sz w:val="21"/>
      <w:szCs w:val="22"/>
    </w:rPr>
  </w:style>
  <w:style w:type="character" w:customStyle="1" w:styleId="599">
    <w:name w:val="aaaa Char"/>
    <w:link w:val="600"/>
    <w:qFormat/>
    <w:uiPriority w:val="0"/>
    <w:rPr>
      <w:kern w:val="2"/>
      <w:sz w:val="24"/>
      <w:szCs w:val="21"/>
    </w:rPr>
  </w:style>
  <w:style w:type="paragraph" w:customStyle="1" w:styleId="600">
    <w:name w:val="aaaa"/>
    <w:basedOn w:val="194"/>
    <w:link w:val="599"/>
    <w:qFormat/>
    <w:uiPriority w:val="0"/>
    <w:pPr>
      <w:numPr>
        <w:ilvl w:val="0"/>
        <w:numId w:val="10"/>
      </w:numPr>
      <w:spacing w:before="156" w:after="156" w:line="360" w:lineRule="auto"/>
      <w:ind w:firstLine="0" w:firstLineChars="0"/>
      <w:jc w:val="left"/>
    </w:pPr>
    <w:rPr>
      <w:rFonts w:ascii="Times New Roman" w:hAnsi="Times New Roman"/>
      <w:sz w:val="24"/>
      <w:szCs w:val="21"/>
    </w:rPr>
  </w:style>
  <w:style w:type="character" w:customStyle="1" w:styleId="601">
    <w:name w:val="图号 Char"/>
    <w:link w:val="602"/>
    <w:qFormat/>
    <w:locked/>
    <w:uiPriority w:val="0"/>
    <w:rPr>
      <w:rFonts w:ascii="Arial" w:hAnsi="Arial"/>
      <w:sz w:val="18"/>
      <w:szCs w:val="18"/>
    </w:rPr>
  </w:style>
  <w:style w:type="paragraph" w:customStyle="1" w:styleId="602">
    <w:name w:val="图号"/>
    <w:basedOn w:val="1"/>
    <w:link w:val="601"/>
    <w:qFormat/>
    <w:uiPriority w:val="0"/>
    <w:pPr>
      <w:tabs>
        <w:tab w:val="left" w:pos="3840"/>
      </w:tabs>
      <w:autoSpaceDE w:val="0"/>
      <w:autoSpaceDN w:val="0"/>
      <w:adjustRightInd w:val="0"/>
      <w:spacing w:before="105" w:line="360" w:lineRule="auto"/>
      <w:ind w:left="3840" w:hanging="420"/>
      <w:jc w:val="center"/>
    </w:pPr>
    <w:rPr>
      <w:rFonts w:ascii="Arial" w:hAnsi="Arial"/>
      <w:kern w:val="0"/>
      <w:sz w:val="18"/>
      <w:szCs w:val="18"/>
    </w:rPr>
  </w:style>
  <w:style w:type="character" w:customStyle="1" w:styleId="603">
    <w:name w:val="popfont1"/>
    <w:qFormat/>
    <w:uiPriority w:val="0"/>
    <w:rPr>
      <w:rFonts w:hint="default" w:eastAsia="宋体"/>
      <w:color w:val="000000"/>
      <w:kern w:val="2"/>
      <w:sz w:val="20"/>
      <w:lang w:val="en-US" w:eastAsia="zh-CN"/>
    </w:rPr>
  </w:style>
  <w:style w:type="character" w:customStyle="1" w:styleId="604">
    <w:name w:val="正文文本 字符"/>
    <w:qFormat/>
    <w:uiPriority w:val="0"/>
    <w:rPr>
      <w:rFonts w:cs="Times New Roman"/>
      <w:kern w:val="2"/>
      <w:sz w:val="24"/>
      <w:szCs w:val="24"/>
    </w:rPr>
  </w:style>
  <w:style w:type="character" w:customStyle="1" w:styleId="605">
    <w:name w:val="表格 Char"/>
    <w:link w:val="433"/>
    <w:qFormat/>
    <w:uiPriority w:val="0"/>
    <w:rPr>
      <w:rFonts w:ascii="华文细黑" w:hAnsi="华文细黑"/>
      <w:sz w:val="21"/>
    </w:rPr>
  </w:style>
  <w:style w:type="character" w:customStyle="1" w:styleId="606">
    <w:name w:val="样式 题注 + 仿宋_GB2312 Char"/>
    <w:link w:val="607"/>
    <w:qFormat/>
    <w:uiPriority w:val="0"/>
    <w:rPr>
      <w:rFonts w:ascii="黑体" w:hAnsi="仿宋_GB2312" w:eastAsia="黑体" w:cs="Arial"/>
      <w:kern w:val="2"/>
      <w:szCs w:val="24"/>
    </w:rPr>
  </w:style>
  <w:style w:type="paragraph" w:customStyle="1" w:styleId="607">
    <w:name w:val="样式 题注 + 仿宋_GB2312"/>
    <w:basedOn w:val="29"/>
    <w:link w:val="606"/>
    <w:qFormat/>
    <w:uiPriority w:val="0"/>
    <w:pPr>
      <w:spacing w:line="240" w:lineRule="auto"/>
      <w:jc w:val="center"/>
    </w:pPr>
    <w:rPr>
      <w:rFonts w:ascii="黑体" w:hAnsi="仿宋_GB2312" w:eastAsia="黑体" w:cs="Arial"/>
      <w:sz w:val="20"/>
      <w:szCs w:val="24"/>
    </w:rPr>
  </w:style>
  <w:style w:type="character" w:customStyle="1" w:styleId="608">
    <w:name w:val="f14"/>
    <w:qFormat/>
    <w:uiPriority w:val="0"/>
  </w:style>
  <w:style w:type="character" w:customStyle="1" w:styleId="609">
    <w:name w:val="批注引用1"/>
    <w:qFormat/>
    <w:uiPriority w:val="99"/>
    <w:rPr>
      <w:rFonts w:cs="Times New Roman"/>
      <w:sz w:val="21"/>
      <w:szCs w:val="21"/>
    </w:rPr>
  </w:style>
  <w:style w:type="character" w:customStyle="1" w:styleId="610">
    <w:name w:val="style61"/>
    <w:qFormat/>
    <w:uiPriority w:val="0"/>
    <w:rPr>
      <w:sz w:val="18"/>
      <w:szCs w:val="18"/>
    </w:rPr>
  </w:style>
  <w:style w:type="character" w:customStyle="1" w:styleId="611">
    <w:name w:val="样式 题注 + 黑色 Char"/>
    <w:link w:val="612"/>
    <w:qFormat/>
    <w:uiPriority w:val="0"/>
    <w:rPr>
      <w:rFonts w:ascii="Arial" w:hAnsi="Arial" w:eastAsia="黑体" w:cs="Arial"/>
      <w:color w:val="000000"/>
      <w:kern w:val="2"/>
      <w:sz w:val="24"/>
    </w:rPr>
  </w:style>
  <w:style w:type="paragraph" w:customStyle="1" w:styleId="612">
    <w:name w:val="样式 题注 + 黑色"/>
    <w:basedOn w:val="29"/>
    <w:link w:val="611"/>
    <w:qFormat/>
    <w:uiPriority w:val="0"/>
    <w:pPr>
      <w:spacing w:before="152" w:after="160" w:line="240" w:lineRule="auto"/>
      <w:jc w:val="center"/>
    </w:pPr>
    <w:rPr>
      <w:rFonts w:ascii="Arial" w:hAnsi="Arial" w:eastAsia="黑体" w:cs="Arial"/>
      <w:color w:val="000000"/>
      <w:sz w:val="24"/>
    </w:rPr>
  </w:style>
  <w:style w:type="character" w:customStyle="1" w:styleId="613">
    <w:name w:val="首行缩进:  0.85 厘米 Char"/>
    <w:link w:val="614"/>
    <w:qFormat/>
    <w:locked/>
    <w:uiPriority w:val="0"/>
    <w:rPr>
      <w:rFonts w:cs="宋体"/>
      <w:sz w:val="24"/>
      <w:lang w:eastAsia="en-US" w:bidi="en-US"/>
    </w:rPr>
  </w:style>
  <w:style w:type="paragraph" w:customStyle="1" w:styleId="614">
    <w:name w:val="首行缩进:  0.85 厘米"/>
    <w:basedOn w:val="1"/>
    <w:link w:val="613"/>
    <w:qFormat/>
    <w:uiPriority w:val="0"/>
    <w:pPr>
      <w:widowControl/>
      <w:spacing w:after="100" w:line="360" w:lineRule="auto"/>
      <w:ind w:firstLine="482"/>
      <w:jc w:val="left"/>
    </w:pPr>
    <w:rPr>
      <w:rFonts w:cs="宋体"/>
      <w:kern w:val="0"/>
      <w:sz w:val="24"/>
      <w:szCs w:val="20"/>
      <w:lang w:eastAsia="en-US" w:bidi="en-US"/>
    </w:rPr>
  </w:style>
  <w:style w:type="character" w:customStyle="1" w:styleId="615">
    <w:name w:val="样式6 Char"/>
    <w:link w:val="441"/>
    <w:qFormat/>
    <w:uiPriority w:val="0"/>
    <w:rPr>
      <w:rFonts w:ascii="宋体" w:cs="宋体"/>
      <w:b/>
      <w:color w:val="000000"/>
      <w:sz w:val="21"/>
      <w:szCs w:val="21"/>
      <w:lang w:val="zh-CN"/>
    </w:rPr>
  </w:style>
  <w:style w:type="character" w:customStyle="1" w:styleId="616">
    <w:name w:val="unnamed31"/>
    <w:qFormat/>
    <w:uiPriority w:val="0"/>
    <w:rPr>
      <w:sz w:val="22"/>
      <w:szCs w:val="22"/>
    </w:rPr>
  </w:style>
  <w:style w:type="character" w:customStyle="1" w:styleId="617">
    <w:name w:val="标书正文 Char"/>
    <w:link w:val="618"/>
    <w:qFormat/>
    <w:uiPriority w:val="0"/>
    <w:rPr>
      <w:kern w:val="2"/>
      <w:sz w:val="21"/>
    </w:rPr>
  </w:style>
  <w:style w:type="paragraph" w:customStyle="1" w:styleId="618">
    <w:name w:val="标书正文"/>
    <w:basedOn w:val="1"/>
    <w:link w:val="617"/>
    <w:qFormat/>
    <w:uiPriority w:val="0"/>
    <w:pPr>
      <w:adjustRightInd w:val="0"/>
      <w:snapToGrid w:val="0"/>
      <w:spacing w:line="300" w:lineRule="auto"/>
      <w:ind w:left="1080" w:leftChars="1080" w:firstLine="200" w:firstLineChars="200"/>
    </w:pPr>
    <w:rPr>
      <w:szCs w:val="20"/>
    </w:rPr>
  </w:style>
  <w:style w:type="character" w:customStyle="1" w:styleId="619">
    <w:name w:val="哈哈正文 Char Char Char Char"/>
    <w:qFormat/>
    <w:uiPriority w:val="0"/>
    <w:rPr>
      <w:rFonts w:ascii="宋体" w:hAnsi="宋体"/>
      <w:sz w:val="24"/>
    </w:rPr>
  </w:style>
  <w:style w:type="character" w:customStyle="1" w:styleId="620">
    <w:name w:val="标题 3 Char Char Char"/>
    <w:qFormat/>
    <w:uiPriority w:val="0"/>
    <w:rPr>
      <w:rFonts w:eastAsia="宋体"/>
      <w:b/>
      <w:kern w:val="2"/>
      <w:sz w:val="32"/>
      <w:lang w:val="en-US" w:eastAsia="zh-CN" w:bidi="ar-SA"/>
    </w:rPr>
  </w:style>
  <w:style w:type="character" w:customStyle="1" w:styleId="621">
    <w:name w:val="p11b1"/>
    <w:qFormat/>
    <w:uiPriority w:val="0"/>
    <w:rPr>
      <w:sz w:val="21"/>
      <w:szCs w:val="21"/>
      <w:u w:val="none"/>
    </w:rPr>
  </w:style>
  <w:style w:type="character" w:customStyle="1" w:styleId="622">
    <w:name w:val="标题 8 字符"/>
    <w:qFormat/>
    <w:uiPriority w:val="0"/>
    <w:rPr>
      <w:b/>
      <w:kern w:val="2"/>
      <w:sz w:val="24"/>
      <w:szCs w:val="24"/>
    </w:rPr>
  </w:style>
  <w:style w:type="character" w:customStyle="1" w:styleId="623">
    <w:name w:val="Char Char Char Char Char Char Char Char Char"/>
    <w:qFormat/>
    <w:uiPriority w:val="0"/>
    <w:rPr>
      <w:rFonts w:eastAsia="宋体"/>
      <w:b/>
      <w:kern w:val="2"/>
      <w:sz w:val="32"/>
      <w:lang w:val="en-US" w:eastAsia="zh-CN" w:bidi="ar-SA"/>
    </w:rPr>
  </w:style>
  <w:style w:type="character" w:customStyle="1" w:styleId="624">
    <w:name w:val="myp1111"/>
    <w:qFormat/>
    <w:uiPriority w:val="0"/>
  </w:style>
  <w:style w:type="character" w:customStyle="1" w:styleId="625">
    <w:name w:val="标题 1 Char Char"/>
    <w:qFormat/>
    <w:uiPriority w:val="0"/>
    <w:rPr>
      <w:rFonts w:ascii="宋体" w:hAnsi="宋体" w:eastAsia="宋体"/>
      <w:b/>
      <w:kern w:val="44"/>
      <w:sz w:val="32"/>
      <w:lang w:val="en-US" w:eastAsia="zh-CN"/>
    </w:rPr>
  </w:style>
  <w:style w:type="character" w:customStyle="1" w:styleId="626">
    <w:name w:val="标书正文格式 Char"/>
    <w:link w:val="627"/>
    <w:qFormat/>
    <w:uiPriority w:val="0"/>
    <w:rPr>
      <w:rFonts w:eastAsia="楷体_GB2312"/>
      <w:kern w:val="2"/>
      <w:sz w:val="24"/>
      <w:szCs w:val="24"/>
    </w:rPr>
  </w:style>
  <w:style w:type="paragraph" w:customStyle="1" w:styleId="627">
    <w:name w:val="标书正文格式"/>
    <w:link w:val="626"/>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character" w:customStyle="1" w:styleId="628">
    <w:name w:val="Char Char231"/>
    <w:qFormat/>
    <w:uiPriority w:val="0"/>
    <w:rPr>
      <w:rFonts w:ascii="Arial" w:hAnsi="Arial" w:eastAsia="宋体"/>
      <w:b/>
      <w:kern w:val="2"/>
      <w:sz w:val="30"/>
      <w:lang w:val="en-US" w:eastAsia="zh-CN"/>
    </w:rPr>
  </w:style>
  <w:style w:type="character" w:customStyle="1" w:styleId="629">
    <w:name w:val="search_content1"/>
    <w:qFormat/>
    <w:uiPriority w:val="0"/>
    <w:rPr>
      <w:sz w:val="20"/>
      <w:szCs w:val="20"/>
    </w:rPr>
  </w:style>
  <w:style w:type="character" w:customStyle="1" w:styleId="630">
    <w:name w:val="aaaa Char Char"/>
    <w:qFormat/>
    <w:uiPriority w:val="0"/>
    <w:rPr>
      <w:rFonts w:ascii="Times New Roman" w:hAnsi="Times New Roman"/>
      <w:kern w:val="2"/>
      <w:sz w:val="24"/>
      <w:szCs w:val="21"/>
    </w:rPr>
  </w:style>
  <w:style w:type="character" w:customStyle="1" w:styleId="631">
    <w:name w:val="标题 7 Char2 Char"/>
    <w:qFormat/>
    <w:uiPriority w:val="0"/>
    <w:rPr>
      <w:rFonts w:ascii="Tahoma" w:hAnsi="Tahoma" w:eastAsia="宋体"/>
      <w:b/>
      <w:kern w:val="2"/>
      <w:sz w:val="24"/>
      <w:szCs w:val="36"/>
      <w:lang w:val="en-US" w:eastAsia="zh-CN" w:bidi="ar-SA"/>
    </w:rPr>
  </w:style>
  <w:style w:type="character" w:customStyle="1" w:styleId="632">
    <w:name w:val="headst1"/>
    <w:qFormat/>
    <w:uiPriority w:val="0"/>
    <w:rPr>
      <w:color w:val="526BAD"/>
    </w:rPr>
  </w:style>
  <w:style w:type="character" w:customStyle="1" w:styleId="633">
    <w:name w:val="样式 题注 + 黑体1 Char"/>
    <w:link w:val="634"/>
    <w:qFormat/>
    <w:uiPriority w:val="0"/>
    <w:rPr>
      <w:rFonts w:ascii="黑体" w:hAnsi="黑体" w:eastAsia="黑体" w:cs="Arial"/>
      <w:kern w:val="2"/>
    </w:rPr>
  </w:style>
  <w:style w:type="paragraph" w:customStyle="1" w:styleId="634">
    <w:name w:val="样式 题注 + 黑体1"/>
    <w:basedOn w:val="29"/>
    <w:link w:val="633"/>
    <w:qFormat/>
    <w:uiPriority w:val="0"/>
    <w:pPr>
      <w:spacing w:before="152" w:after="160" w:line="240" w:lineRule="auto"/>
      <w:jc w:val="center"/>
    </w:pPr>
    <w:rPr>
      <w:rFonts w:ascii="黑体" w:hAnsi="黑体" w:eastAsia="黑体" w:cs="Arial"/>
      <w:sz w:val="20"/>
    </w:rPr>
  </w:style>
  <w:style w:type="character" w:customStyle="1" w:styleId="635">
    <w:name w:val="无间隔 Char"/>
    <w:link w:val="291"/>
    <w:qFormat/>
    <w:uiPriority w:val="9"/>
    <w:rPr>
      <w:kern w:val="2"/>
      <w:sz w:val="21"/>
      <w:szCs w:val="24"/>
    </w:rPr>
  </w:style>
  <w:style w:type="character" w:customStyle="1" w:styleId="636">
    <w:name w:val="备注说明 Char Char"/>
    <w:link w:val="637"/>
    <w:qFormat/>
    <w:uiPriority w:val="0"/>
    <w:rPr>
      <w:kern w:val="2"/>
      <w:sz w:val="21"/>
      <w:szCs w:val="24"/>
    </w:rPr>
  </w:style>
  <w:style w:type="paragraph" w:customStyle="1" w:styleId="637">
    <w:name w:val="备注说明 Char"/>
    <w:basedOn w:val="72"/>
    <w:link w:val="636"/>
    <w:qFormat/>
    <w:uiPriority w:val="0"/>
    <w:pPr>
      <w:adjustRightInd w:val="0"/>
      <w:spacing w:line="312" w:lineRule="atLeast"/>
      <w:ind w:hanging="200" w:hangingChars="200"/>
      <w:textAlignment w:val="baseline"/>
    </w:pPr>
    <w:rPr>
      <w:rFonts w:ascii="Times New Roman" w:hAnsi="Times New Roman" w:eastAsia="宋体"/>
      <w:sz w:val="21"/>
      <w:szCs w:val="24"/>
    </w:rPr>
  </w:style>
  <w:style w:type="character" w:customStyle="1" w:styleId="638">
    <w:name w:val="style8"/>
    <w:qFormat/>
    <w:uiPriority w:val="0"/>
    <w:rPr>
      <w:rFonts w:ascii="Verdana" w:hAnsi="Verdana" w:eastAsia="仿宋_GB2312"/>
      <w:sz w:val="24"/>
      <w:lang w:val="en-US" w:eastAsia="en-US" w:bidi="ar-SA"/>
    </w:rPr>
  </w:style>
  <w:style w:type="character" w:customStyle="1" w:styleId="639">
    <w:name w:val="Plain Text Char"/>
    <w:qFormat/>
    <w:uiPriority w:val="0"/>
    <w:rPr>
      <w:rFonts w:ascii="宋体" w:hAnsi="Courier New" w:cs="Times New Roman"/>
      <w:kern w:val="2"/>
      <w:sz w:val="21"/>
    </w:rPr>
  </w:style>
  <w:style w:type="character" w:customStyle="1" w:styleId="640">
    <w:name w:val="正文2 Char"/>
    <w:link w:val="460"/>
    <w:qFormat/>
    <w:uiPriority w:val="0"/>
    <w:rPr>
      <w:kern w:val="2"/>
      <w:sz w:val="24"/>
    </w:rPr>
  </w:style>
  <w:style w:type="character" w:customStyle="1" w:styleId="641">
    <w:name w:val="样式 (符号) Arial 小五"/>
    <w:qFormat/>
    <w:uiPriority w:val="0"/>
    <w:rPr>
      <w:rFonts w:ascii="宋体" w:hAnsi="宋体" w:eastAsia="宋体"/>
      <w:kern w:val="24"/>
      <w:sz w:val="28"/>
      <w:lang w:val="en-US" w:eastAsia="zh-CN"/>
    </w:rPr>
  </w:style>
  <w:style w:type="character" w:customStyle="1" w:styleId="642">
    <w:name w:val="unnamed21"/>
    <w:qFormat/>
    <w:uiPriority w:val="0"/>
    <w:rPr>
      <w:rFonts w:hint="eastAsia" w:ascii="宋体" w:hAnsi="宋体" w:eastAsia="宋体"/>
      <w:sz w:val="20"/>
      <w:szCs w:val="20"/>
      <w:u w:val="none"/>
    </w:rPr>
  </w:style>
  <w:style w:type="character" w:customStyle="1" w:styleId="643">
    <w:name w:val="正文 居中 Char"/>
    <w:link w:val="644"/>
    <w:qFormat/>
    <w:uiPriority w:val="0"/>
    <w:rPr>
      <w:rFonts w:cs="宋体"/>
      <w:kern w:val="2"/>
      <w:sz w:val="24"/>
    </w:rPr>
  </w:style>
  <w:style w:type="paragraph" w:customStyle="1" w:styleId="644">
    <w:name w:val="正文 居中"/>
    <w:basedOn w:val="1"/>
    <w:link w:val="643"/>
    <w:qFormat/>
    <w:uiPriority w:val="0"/>
    <w:pPr>
      <w:spacing w:line="360" w:lineRule="auto"/>
      <w:jc w:val="center"/>
    </w:pPr>
    <w:rPr>
      <w:rFonts w:cs="宋体"/>
      <w:sz w:val="24"/>
      <w:szCs w:val="20"/>
    </w:rPr>
  </w:style>
  <w:style w:type="character" w:customStyle="1" w:styleId="645">
    <w:name w:val="正文文本缩进 Char Char1"/>
    <w:qFormat/>
    <w:uiPriority w:val="0"/>
    <w:rPr>
      <w:rFonts w:ascii="Tahoma" w:hAnsi="Tahoma" w:eastAsia="宋体"/>
      <w:kern w:val="2"/>
      <w:sz w:val="21"/>
      <w:szCs w:val="24"/>
      <w:lang w:val="en-US" w:eastAsia="zh-CN" w:bidi="ar-SA"/>
    </w:rPr>
  </w:style>
  <w:style w:type="character" w:customStyle="1" w:styleId="646">
    <w:name w:val="c9"/>
    <w:qFormat/>
    <w:uiPriority w:val="0"/>
  </w:style>
  <w:style w:type="character" w:customStyle="1" w:styleId="647">
    <w:name w:val="yellow021"/>
    <w:qFormat/>
    <w:uiPriority w:val="0"/>
    <w:rPr>
      <w:rFonts w:ascii="宋体" w:hAnsi="宋体" w:eastAsia="宋体"/>
      <w:kern w:val="2"/>
      <w:sz w:val="18"/>
      <w:lang w:val="en-US" w:eastAsia="zh-CN"/>
    </w:rPr>
  </w:style>
  <w:style w:type="character" w:customStyle="1" w:styleId="648">
    <w:name w:val="b1"/>
    <w:qFormat/>
    <w:uiPriority w:val="0"/>
    <w:rPr>
      <w:rFonts w:hint="default" w:ascii="Courier New" w:hAnsi="Courier New" w:eastAsia="宋体" w:cs="Courier New"/>
      <w:b/>
      <w:bCs/>
      <w:color w:val="FF0000"/>
      <w:kern w:val="2"/>
      <w:sz w:val="36"/>
      <w:szCs w:val="36"/>
      <w:u w:val="none"/>
      <w:lang w:val="en-US" w:eastAsia="zh-CN" w:bidi="ar-SA"/>
    </w:rPr>
  </w:style>
  <w:style w:type="character" w:customStyle="1" w:styleId="649">
    <w:name w:val="title12"/>
    <w:qFormat/>
    <w:uiPriority w:val="0"/>
  </w:style>
  <w:style w:type="character" w:customStyle="1" w:styleId="650">
    <w:name w:val="公文正文 Char Char"/>
    <w:link w:val="651"/>
    <w:qFormat/>
    <w:uiPriority w:val="0"/>
    <w:rPr>
      <w:rFonts w:ascii="仿宋_GB2312" w:eastAsia="仿宋_GB2312"/>
      <w:kern w:val="2"/>
      <w:sz w:val="24"/>
      <w:szCs w:val="24"/>
    </w:rPr>
  </w:style>
  <w:style w:type="paragraph" w:customStyle="1" w:styleId="651">
    <w:name w:val="公文正文"/>
    <w:basedOn w:val="1"/>
    <w:link w:val="650"/>
    <w:qFormat/>
    <w:uiPriority w:val="0"/>
    <w:pPr>
      <w:spacing w:before="156" w:line="360" w:lineRule="auto"/>
      <w:ind w:firstLine="360" w:firstLineChars="200"/>
    </w:pPr>
    <w:rPr>
      <w:rFonts w:ascii="仿宋_GB2312" w:eastAsia="仿宋_GB2312"/>
      <w:sz w:val="24"/>
    </w:rPr>
  </w:style>
  <w:style w:type="character" w:customStyle="1" w:styleId="652">
    <w:name w:val="p111"/>
    <w:qFormat/>
    <w:uiPriority w:val="0"/>
    <w:rPr>
      <w:rFonts w:hint="default" w:ascii="ˎ̥" w:hAnsi="ˎ̥"/>
      <w:color w:val="009FC5"/>
      <w:sz w:val="22"/>
      <w:szCs w:val="22"/>
    </w:rPr>
  </w:style>
  <w:style w:type="character" w:customStyle="1" w:styleId="653">
    <w:name w:val="正文 居中 Char Char"/>
    <w:qFormat/>
    <w:uiPriority w:val="0"/>
    <w:rPr>
      <w:rFonts w:ascii="Times New Roman" w:hAnsi="Times New Roman" w:cs="宋体"/>
      <w:kern w:val="2"/>
      <w:sz w:val="24"/>
    </w:rPr>
  </w:style>
  <w:style w:type="character" w:customStyle="1" w:styleId="654">
    <w:name w:val="style5"/>
    <w:qFormat/>
    <w:uiPriority w:val="0"/>
    <w:rPr>
      <w:rFonts w:ascii="Verdana" w:hAnsi="Verdana" w:eastAsia="仿宋_GB2312"/>
      <w:sz w:val="24"/>
      <w:lang w:val="en-US" w:eastAsia="en-US" w:bidi="ar-SA"/>
    </w:rPr>
  </w:style>
  <w:style w:type="character" w:customStyle="1" w:styleId="655">
    <w:name w:val="封面日期 Char Char"/>
    <w:qFormat/>
    <w:uiPriority w:val="0"/>
    <w:rPr>
      <w:rFonts w:ascii="宋体" w:hAnsi="Verdana" w:eastAsia="宋体"/>
      <w:sz w:val="24"/>
      <w:lang w:val="en-US" w:eastAsia="zh-CN" w:bidi="ar-SA"/>
    </w:rPr>
  </w:style>
  <w:style w:type="character" w:customStyle="1" w:styleId="656">
    <w:name w:val="pi1"/>
    <w:qFormat/>
    <w:uiPriority w:val="0"/>
    <w:rPr>
      <w:rFonts w:ascii="Tahoma" w:hAnsi="Tahoma" w:eastAsia="宋体"/>
      <w:color w:val="0000FF"/>
      <w:kern w:val="2"/>
      <w:sz w:val="36"/>
      <w:szCs w:val="36"/>
      <w:lang w:val="en-US" w:eastAsia="zh-CN" w:bidi="ar-SA"/>
    </w:rPr>
  </w:style>
  <w:style w:type="character" w:customStyle="1" w:styleId="657">
    <w:name w:val="江西-正文 Char"/>
    <w:link w:val="658"/>
    <w:qFormat/>
    <w:locked/>
    <w:uiPriority w:val="0"/>
    <w:rPr>
      <w:rFonts w:eastAsia="华文中宋"/>
      <w:kern w:val="2"/>
      <w:sz w:val="24"/>
      <w:szCs w:val="21"/>
    </w:rPr>
  </w:style>
  <w:style w:type="paragraph" w:customStyle="1" w:styleId="658">
    <w:name w:val="江西-正文"/>
    <w:basedOn w:val="1"/>
    <w:link w:val="657"/>
    <w:qFormat/>
    <w:uiPriority w:val="0"/>
    <w:pPr>
      <w:ind w:firstLine="200" w:firstLineChars="200"/>
    </w:pPr>
    <w:rPr>
      <w:rFonts w:eastAsia="华文中宋"/>
      <w:sz w:val="24"/>
      <w:szCs w:val="21"/>
    </w:rPr>
  </w:style>
  <w:style w:type="character" w:customStyle="1" w:styleId="659">
    <w:name w:val="span_paramvalue"/>
    <w:qFormat/>
    <w:uiPriority w:val="0"/>
  </w:style>
  <w:style w:type="character" w:customStyle="1" w:styleId="660">
    <w:name w:val="标二 Char"/>
    <w:qFormat/>
    <w:uiPriority w:val="0"/>
    <w:rPr>
      <w:rFonts w:ascii="宋体" w:hAnsi="宋体"/>
      <w:b/>
      <w:kern w:val="2"/>
      <w:sz w:val="30"/>
      <w:szCs w:val="30"/>
    </w:rPr>
  </w:style>
  <w:style w:type="character" w:customStyle="1" w:styleId="661">
    <w:name w:val="标题 3 字符"/>
    <w:qFormat/>
    <w:uiPriority w:val="0"/>
    <w:rPr>
      <w:rFonts w:cs="Times New Roman"/>
      <w:b/>
      <w:bCs/>
      <w:kern w:val="2"/>
      <w:sz w:val="32"/>
      <w:szCs w:val="32"/>
    </w:rPr>
  </w:style>
  <w:style w:type="character" w:customStyle="1" w:styleId="662">
    <w:name w:val="样式 题注 + 黑体2 Char"/>
    <w:link w:val="663"/>
    <w:qFormat/>
    <w:uiPriority w:val="0"/>
    <w:rPr>
      <w:rFonts w:ascii="黑体" w:hAnsi="黑体" w:eastAsia="黑体" w:cs="Arial"/>
      <w:kern w:val="2"/>
      <w:sz w:val="21"/>
    </w:rPr>
  </w:style>
  <w:style w:type="paragraph" w:customStyle="1" w:styleId="663">
    <w:name w:val="样式 题注 + 黑体2"/>
    <w:basedOn w:val="29"/>
    <w:link w:val="662"/>
    <w:qFormat/>
    <w:uiPriority w:val="0"/>
    <w:pPr>
      <w:spacing w:before="152" w:after="160" w:line="240" w:lineRule="auto"/>
      <w:jc w:val="center"/>
    </w:pPr>
    <w:rPr>
      <w:rFonts w:ascii="黑体" w:hAnsi="黑体" w:eastAsia="黑体" w:cs="Arial"/>
      <w:sz w:val="21"/>
    </w:rPr>
  </w:style>
  <w:style w:type="character" w:customStyle="1" w:styleId="664">
    <w:name w:val="Char Char8"/>
    <w:qFormat/>
    <w:uiPriority w:val="99"/>
    <w:rPr>
      <w:rFonts w:ascii="宋体" w:hAnsi="Courier New" w:eastAsia="宋体" w:cs="Courier New"/>
      <w:kern w:val="2"/>
      <w:sz w:val="21"/>
      <w:szCs w:val="21"/>
      <w:lang w:val="en-US" w:eastAsia="zh-CN" w:bidi="ar-SA"/>
    </w:rPr>
  </w:style>
  <w:style w:type="character" w:customStyle="1" w:styleId="665">
    <w:name w:val="明显引用 Char1"/>
    <w:qFormat/>
    <w:uiPriority w:val="30"/>
    <w:rPr>
      <w:b/>
      <w:bCs/>
      <w:i/>
      <w:iCs/>
      <w:color w:val="4F81BD"/>
      <w:kern w:val="2"/>
      <w:sz w:val="21"/>
      <w:szCs w:val="22"/>
    </w:rPr>
  </w:style>
  <w:style w:type="character" w:customStyle="1" w:styleId="666">
    <w:name w:val="正文 首行缩进:  2 字符 Char Char Char"/>
    <w:qFormat/>
    <w:uiPriority w:val="0"/>
    <w:rPr>
      <w:rFonts w:eastAsia="宋体" w:cs="宋体"/>
      <w:kern w:val="2"/>
      <w:sz w:val="24"/>
      <w:lang w:val="en-US" w:eastAsia="zh-CN" w:bidi="ar-SA"/>
    </w:rPr>
  </w:style>
  <w:style w:type="character" w:customStyle="1" w:styleId="667">
    <w:name w:val="正文（首行缩进2字符） Char"/>
    <w:link w:val="668"/>
    <w:qFormat/>
    <w:uiPriority w:val="0"/>
    <w:rPr>
      <w:kern w:val="2"/>
      <w:sz w:val="24"/>
    </w:rPr>
  </w:style>
  <w:style w:type="paragraph" w:customStyle="1" w:styleId="668">
    <w:name w:val="正文（首行缩进2字符）"/>
    <w:basedOn w:val="1"/>
    <w:link w:val="667"/>
    <w:qFormat/>
    <w:uiPriority w:val="0"/>
    <w:pPr>
      <w:spacing w:line="360" w:lineRule="auto"/>
      <w:ind w:firstLine="480" w:firstLineChars="200"/>
    </w:pPr>
    <w:rPr>
      <w:sz w:val="24"/>
      <w:szCs w:val="20"/>
    </w:rPr>
  </w:style>
  <w:style w:type="character" w:customStyle="1" w:styleId="669">
    <w:name w:val="text1"/>
    <w:qFormat/>
    <w:uiPriority w:val="0"/>
    <w:rPr>
      <w:rFonts w:ascii="宋体" w:hAnsi="宋体" w:eastAsia="宋体"/>
      <w:kern w:val="2"/>
      <w:sz w:val="28"/>
      <w:lang w:val="en-US" w:eastAsia="zh-CN"/>
    </w:rPr>
  </w:style>
  <w:style w:type="character" w:customStyle="1" w:styleId="670">
    <w:name w:val="哈哈改 Char"/>
    <w:link w:val="671"/>
    <w:qFormat/>
    <w:uiPriority w:val="0"/>
    <w:rPr>
      <w:rFonts w:ascii="宋体" w:hAnsi="宋体"/>
      <w:b/>
      <w:kern w:val="2"/>
      <w:sz w:val="24"/>
    </w:rPr>
  </w:style>
  <w:style w:type="paragraph" w:customStyle="1" w:styleId="671">
    <w:name w:val="哈哈改"/>
    <w:basedOn w:val="672"/>
    <w:link w:val="670"/>
    <w:qFormat/>
    <w:uiPriority w:val="0"/>
    <w:pPr>
      <w:ind w:firstLine="480"/>
      <w:jc w:val="both"/>
    </w:pPr>
    <w:rPr>
      <w:b/>
      <w:kern w:val="2"/>
    </w:rPr>
  </w:style>
  <w:style w:type="paragraph" w:customStyle="1" w:styleId="672">
    <w:name w:val="哈哈正文"/>
    <w:basedOn w:val="1"/>
    <w:link w:val="835"/>
    <w:qFormat/>
    <w:uiPriority w:val="0"/>
    <w:pPr>
      <w:spacing w:line="360" w:lineRule="auto"/>
      <w:ind w:firstLine="200" w:firstLineChars="200"/>
      <w:jc w:val="left"/>
    </w:pPr>
    <w:rPr>
      <w:rFonts w:ascii="宋体" w:hAnsi="宋体"/>
      <w:kern w:val="0"/>
      <w:sz w:val="24"/>
      <w:szCs w:val="20"/>
    </w:rPr>
  </w:style>
  <w:style w:type="character" w:customStyle="1" w:styleId="673">
    <w:name w:val="grame"/>
    <w:qFormat/>
    <w:uiPriority w:val="0"/>
    <w:rPr>
      <w:rFonts w:ascii="Verdana" w:hAnsi="Verdana" w:eastAsia="仿宋_GB2312"/>
      <w:sz w:val="24"/>
      <w:lang w:val="en-US" w:eastAsia="en-US" w:bidi="ar-SA"/>
    </w:rPr>
  </w:style>
  <w:style w:type="character" w:customStyle="1" w:styleId="674">
    <w:name w:val="sony121"/>
    <w:qFormat/>
    <w:uiPriority w:val="0"/>
    <w:rPr>
      <w:rFonts w:hint="eastAsia" w:ascii="宋体" w:hAnsi="宋体" w:eastAsia="宋体"/>
      <w:spacing w:val="480"/>
      <w:kern w:val="2"/>
      <w:sz w:val="18"/>
      <w:szCs w:val="18"/>
      <w:lang w:val="en-US" w:eastAsia="zh-CN" w:bidi="ar-SA"/>
    </w:rPr>
  </w:style>
  <w:style w:type="character" w:customStyle="1" w:styleId="675">
    <w:name w:val="副标题 Char"/>
    <w:link w:val="70"/>
    <w:qFormat/>
    <w:uiPriority w:val="0"/>
    <w:rPr>
      <w:rFonts w:ascii="Arial" w:hAnsi="Arial" w:cs="Arial"/>
      <w:b/>
      <w:bCs/>
      <w:kern w:val="28"/>
      <w:sz w:val="32"/>
      <w:szCs w:val="32"/>
    </w:rPr>
  </w:style>
  <w:style w:type="character" w:customStyle="1" w:styleId="676">
    <w:name w:val="style161"/>
    <w:qFormat/>
    <w:uiPriority w:val="0"/>
    <w:rPr>
      <w:rFonts w:ascii="Verdana" w:hAnsi="Verdana" w:eastAsia="仿宋_GB2312"/>
      <w:color w:val="586E7C"/>
      <w:sz w:val="24"/>
      <w:lang w:val="en-US" w:eastAsia="en-US" w:bidi="ar-SA"/>
    </w:rPr>
  </w:style>
  <w:style w:type="character" w:customStyle="1" w:styleId="677">
    <w:name w:val="st1"/>
    <w:qFormat/>
    <w:uiPriority w:val="0"/>
  </w:style>
  <w:style w:type="character" w:customStyle="1" w:styleId="678">
    <w:name w:val="Char Char13"/>
    <w:qFormat/>
    <w:uiPriority w:val="0"/>
    <w:rPr>
      <w:b/>
      <w:kern w:val="2"/>
      <w:sz w:val="32"/>
    </w:rPr>
  </w:style>
  <w:style w:type="character" w:customStyle="1" w:styleId="679">
    <w:name w:val="song101"/>
    <w:qFormat/>
    <w:uiPriority w:val="0"/>
    <w:rPr>
      <w:rFonts w:hint="eastAsia" w:ascii="宋体" w:hAnsi="宋体" w:eastAsia="宋体"/>
      <w:spacing w:val="360"/>
      <w:sz w:val="20"/>
      <w:szCs w:val="20"/>
    </w:rPr>
  </w:style>
  <w:style w:type="character" w:customStyle="1" w:styleId="680">
    <w:name w:val="style3"/>
    <w:qFormat/>
    <w:uiPriority w:val="0"/>
  </w:style>
  <w:style w:type="character" w:customStyle="1" w:styleId="681">
    <w:name w:val="nobr"/>
    <w:qFormat/>
    <w:uiPriority w:val="0"/>
  </w:style>
  <w:style w:type="character" w:customStyle="1" w:styleId="682">
    <w:name w:val="标题 6 字符"/>
    <w:qFormat/>
    <w:uiPriority w:val="0"/>
    <w:rPr>
      <w:b/>
      <w:bCs/>
      <w:kern w:val="2"/>
      <w:sz w:val="24"/>
      <w:szCs w:val="24"/>
    </w:rPr>
  </w:style>
  <w:style w:type="character" w:customStyle="1" w:styleId="683">
    <w:name w:val="样式91"/>
    <w:qFormat/>
    <w:uiPriority w:val="0"/>
    <w:rPr>
      <w:sz w:val="14"/>
      <w:szCs w:val="14"/>
    </w:rPr>
  </w:style>
  <w:style w:type="character" w:customStyle="1" w:styleId="684">
    <w:name w:val="斜体样式 Char Char"/>
    <w:link w:val="685"/>
    <w:qFormat/>
    <w:uiPriority w:val="0"/>
    <w:rPr>
      <w:i/>
      <w:color w:val="0000FF"/>
      <w:kern w:val="2"/>
      <w:sz w:val="21"/>
      <w:szCs w:val="24"/>
    </w:rPr>
  </w:style>
  <w:style w:type="paragraph" w:customStyle="1" w:styleId="685">
    <w:name w:val="斜体样式"/>
    <w:basedOn w:val="556"/>
    <w:link w:val="684"/>
    <w:qFormat/>
    <w:uiPriority w:val="0"/>
    <w:rPr>
      <w:i/>
      <w:color w:val="0000FF"/>
      <w:sz w:val="21"/>
    </w:rPr>
  </w:style>
  <w:style w:type="character" w:customStyle="1" w:styleId="686">
    <w:name w:val="Table Text Char"/>
    <w:link w:val="687"/>
    <w:qFormat/>
    <w:uiPriority w:val="0"/>
    <w:rPr>
      <w:sz w:val="21"/>
      <w:szCs w:val="24"/>
    </w:rPr>
  </w:style>
  <w:style w:type="paragraph" w:customStyle="1" w:styleId="687">
    <w:name w:val="Table Text"/>
    <w:basedOn w:val="1"/>
    <w:link w:val="686"/>
    <w:qFormat/>
    <w:uiPriority w:val="0"/>
    <w:pPr>
      <w:widowControl/>
      <w:spacing w:before="60" w:after="60"/>
      <w:jc w:val="left"/>
    </w:pPr>
    <w:rPr>
      <w:kern w:val="0"/>
    </w:rPr>
  </w:style>
  <w:style w:type="character" w:customStyle="1" w:styleId="688">
    <w:name w:val="样式4 Char Char Char"/>
    <w:qFormat/>
    <w:uiPriority w:val="0"/>
    <w:rPr>
      <w:rFonts w:eastAsia="宋体" w:cs="宋体"/>
      <w:color w:val="000000"/>
      <w:sz w:val="24"/>
      <w:szCs w:val="24"/>
      <w:lang w:val="en-US" w:eastAsia="zh-CN" w:bidi="ar-SA"/>
    </w:rPr>
  </w:style>
  <w:style w:type="character" w:customStyle="1" w:styleId="689">
    <w:name w:val="标题 字符"/>
    <w:qFormat/>
    <w:uiPriority w:val="0"/>
    <w:rPr>
      <w:rFonts w:ascii="Arial" w:hAnsi="Arial" w:cs="Arial"/>
      <w:b/>
      <w:bCs/>
      <w:kern w:val="2"/>
      <w:sz w:val="32"/>
      <w:szCs w:val="32"/>
    </w:rPr>
  </w:style>
  <w:style w:type="character" w:customStyle="1" w:styleId="690">
    <w:name w:val="headline-content2"/>
    <w:qFormat/>
    <w:uiPriority w:val="0"/>
  </w:style>
  <w:style w:type="character" w:customStyle="1" w:styleId="691">
    <w:name w:val="zhenwen141"/>
    <w:qFormat/>
    <w:uiPriority w:val="0"/>
    <w:rPr>
      <w:rFonts w:hint="default" w:ascii="ˎ̥" w:hAnsi="ˎ̥" w:eastAsia="宋体"/>
      <w:kern w:val="2"/>
      <w:sz w:val="24"/>
      <w:lang w:val="en-US" w:eastAsia="zh-CN"/>
    </w:rPr>
  </w:style>
  <w:style w:type="character" w:customStyle="1" w:styleId="692">
    <w:name w:val="small"/>
    <w:qFormat/>
    <w:uiPriority w:val="0"/>
    <w:rPr>
      <w:rFonts w:ascii="宋体" w:hAnsi="宋体" w:eastAsia="宋体"/>
      <w:kern w:val="2"/>
      <w:sz w:val="15"/>
      <w:lang w:val="en-US" w:eastAsia="zh-CN"/>
    </w:rPr>
  </w:style>
  <w:style w:type="character" w:customStyle="1" w:styleId="693">
    <w:name w:val="三级条标题 Char Char"/>
    <w:qFormat/>
    <w:uiPriority w:val="0"/>
    <w:rPr>
      <w:rFonts w:ascii="黑体" w:eastAsia="黑体"/>
      <w:sz w:val="21"/>
      <w:lang w:val="en-US" w:eastAsia="zh-CN" w:bidi="ar-SA"/>
    </w:rPr>
  </w:style>
  <w:style w:type="character" w:customStyle="1" w:styleId="694">
    <w:name w:val="f11"/>
    <w:qFormat/>
    <w:uiPriority w:val="0"/>
    <w:rPr>
      <w:rFonts w:ascii="宋体" w:hAnsi="宋体" w:eastAsia="宋体"/>
      <w:kern w:val="2"/>
      <w:sz w:val="21"/>
      <w:lang w:val="en-US" w:eastAsia="zh-CN"/>
    </w:rPr>
  </w:style>
  <w:style w:type="character" w:customStyle="1" w:styleId="695">
    <w:name w:val="3zw"/>
    <w:qFormat/>
    <w:uiPriority w:val="0"/>
    <w:rPr>
      <w:rFonts w:ascii="宋体" w:hAnsi="宋体" w:eastAsia="宋体"/>
      <w:kern w:val="2"/>
      <w:sz w:val="15"/>
      <w:lang w:val="en-US" w:eastAsia="zh-CN"/>
    </w:rPr>
  </w:style>
  <w:style w:type="character" w:customStyle="1" w:styleId="696">
    <w:name w:val="key"/>
    <w:qFormat/>
    <w:uiPriority w:val="0"/>
    <w:rPr>
      <w:rFonts w:ascii="宋体" w:hAnsi="宋体" w:eastAsia="宋体"/>
      <w:kern w:val="2"/>
      <w:sz w:val="15"/>
      <w:lang w:val="en-US" w:eastAsia="zh-CN"/>
    </w:rPr>
  </w:style>
  <w:style w:type="character" w:customStyle="1" w:styleId="697">
    <w:name w:val="标准正文 Char Char"/>
    <w:qFormat/>
    <w:uiPriority w:val="0"/>
    <w:rPr>
      <w:kern w:val="2"/>
      <w:sz w:val="24"/>
    </w:rPr>
  </w:style>
  <w:style w:type="character" w:customStyle="1" w:styleId="698">
    <w:name w:val="正文首行缩进 Char Char Char Char Char Char Char Char Char1 Char Char Char Char Char Char Char Char Char Char Char Char Char Char Char Char Char Char Char"/>
    <w:qFormat/>
    <w:uiPriority w:val="0"/>
    <w:rPr>
      <w:rFonts w:ascii="Arial" w:hAnsi="Arial" w:eastAsia="宋体"/>
      <w:sz w:val="21"/>
      <w:lang w:val="en-US" w:eastAsia="zh-CN" w:bidi="ar-SA"/>
    </w:rPr>
  </w:style>
  <w:style w:type="character" w:customStyle="1" w:styleId="699">
    <w:name w:val="p3"/>
    <w:qFormat/>
    <w:uiPriority w:val="0"/>
    <w:rPr>
      <w:rFonts w:ascii="Tahoma" w:hAnsi="Tahoma" w:eastAsia="宋体"/>
      <w:kern w:val="2"/>
      <w:sz w:val="24"/>
      <w:lang w:val="en-US" w:eastAsia="zh-CN" w:bidi="ar-SA"/>
    </w:rPr>
  </w:style>
  <w:style w:type="character" w:customStyle="1" w:styleId="700">
    <w:name w:val="count4"/>
    <w:qFormat/>
    <w:uiPriority w:val="0"/>
  </w:style>
  <w:style w:type="character" w:customStyle="1" w:styleId="701">
    <w:name w:val="Body Text First Indent Char"/>
    <w:semiHidden/>
    <w:qFormat/>
    <w:locked/>
    <w:uiPriority w:val="0"/>
    <w:rPr>
      <w:rFonts w:ascii="宋体" w:hAnsi="Calibri" w:eastAsia="宋体" w:cs="Times New Roman"/>
      <w:kern w:val="2"/>
      <w:sz w:val="21"/>
      <w:szCs w:val="24"/>
      <w:lang w:val="en-US" w:eastAsia="zh-CN" w:bidi="ar-SA"/>
    </w:rPr>
  </w:style>
  <w:style w:type="character" w:customStyle="1" w:styleId="702">
    <w:name w:val="Item Step Char"/>
    <w:link w:val="703"/>
    <w:qFormat/>
    <w:uiPriority w:val="0"/>
    <w:rPr>
      <w:rFonts w:ascii="宋体" w:hAnsi="宋体"/>
      <w:kern w:val="2"/>
      <w:sz w:val="21"/>
    </w:rPr>
  </w:style>
  <w:style w:type="paragraph" w:customStyle="1" w:styleId="703">
    <w:name w:val="Item Step"/>
    <w:basedOn w:val="1"/>
    <w:link w:val="702"/>
    <w:qFormat/>
    <w:uiPriority w:val="0"/>
    <w:pPr>
      <w:ind w:left="567"/>
    </w:pPr>
    <w:rPr>
      <w:rFonts w:ascii="宋体" w:hAnsi="宋体"/>
      <w:szCs w:val="20"/>
    </w:rPr>
  </w:style>
  <w:style w:type="character" w:customStyle="1" w:styleId="704">
    <w:name w:val="标题 5 Char Char Char Char Char Char Char Char Char Char Char Char Char"/>
    <w:qFormat/>
    <w:uiPriority w:val="0"/>
    <w:rPr>
      <w:rFonts w:eastAsia="宋体"/>
      <w:b/>
      <w:bCs/>
      <w:kern w:val="2"/>
      <w:sz w:val="28"/>
      <w:szCs w:val="28"/>
      <w:lang w:val="en-US" w:eastAsia="zh-CN" w:bidi="ar-SA"/>
    </w:rPr>
  </w:style>
  <w:style w:type="character" w:customStyle="1" w:styleId="705">
    <w:name w:val="location"/>
    <w:qFormat/>
    <w:uiPriority w:val="0"/>
  </w:style>
  <w:style w:type="character" w:customStyle="1" w:styleId="706">
    <w:name w:val="fontsize11"/>
    <w:qFormat/>
    <w:uiPriority w:val="0"/>
    <w:rPr>
      <w:spacing w:val="20"/>
      <w:sz w:val="18"/>
      <w:szCs w:val="18"/>
    </w:rPr>
  </w:style>
  <w:style w:type="character" w:customStyle="1" w:styleId="707">
    <w:name w:val="标题 2 + 宋体 四号 非加粗 Char Char Char Char"/>
    <w:qFormat/>
    <w:uiPriority w:val="0"/>
    <w:rPr>
      <w:rFonts w:ascii="Verdana" w:hAnsi="Verdana" w:eastAsia="宋体"/>
      <w:color w:val="000000"/>
      <w:kern w:val="2"/>
      <w:sz w:val="24"/>
      <w:szCs w:val="24"/>
      <w:lang w:val="en-US" w:eastAsia="en-US" w:bidi="ar-SA"/>
    </w:rPr>
  </w:style>
  <w:style w:type="character" w:customStyle="1" w:styleId="708">
    <w:name w:val="斜体样式 Char"/>
    <w:qFormat/>
    <w:uiPriority w:val="0"/>
    <w:rPr>
      <w:i/>
      <w:color w:val="0000FF"/>
      <w:kern w:val="2"/>
      <w:sz w:val="21"/>
      <w:szCs w:val="24"/>
    </w:rPr>
  </w:style>
  <w:style w:type="character" w:customStyle="1" w:styleId="709">
    <w:name w:val="标题 1 Char Char Char Char"/>
    <w:qFormat/>
    <w:uiPriority w:val="0"/>
    <w:rPr>
      <w:rFonts w:eastAsia="宋体"/>
      <w:b/>
      <w:bCs/>
      <w:kern w:val="44"/>
      <w:sz w:val="44"/>
      <w:szCs w:val="44"/>
      <w:lang w:val="en-US" w:eastAsia="zh-CN" w:bidi="ar-SA"/>
    </w:rPr>
  </w:style>
  <w:style w:type="character" w:customStyle="1" w:styleId="710">
    <w:name w:val="gray"/>
    <w:qFormat/>
    <w:uiPriority w:val="0"/>
    <w:rPr>
      <w:color w:val="484C48"/>
    </w:rPr>
  </w:style>
  <w:style w:type="character" w:customStyle="1" w:styleId="711">
    <w:name w:val="td21"/>
    <w:qFormat/>
    <w:uiPriority w:val="0"/>
    <w:rPr>
      <w:sz w:val="18"/>
      <w:szCs w:val="18"/>
    </w:rPr>
  </w:style>
  <w:style w:type="character" w:customStyle="1" w:styleId="712">
    <w:name w:val="Char Char23"/>
    <w:qFormat/>
    <w:uiPriority w:val="0"/>
    <w:rPr>
      <w:rFonts w:ascii="Arial" w:hAnsi="Arial" w:eastAsia="宋体"/>
      <w:b/>
      <w:kern w:val="2"/>
      <w:sz w:val="30"/>
      <w:lang w:val="en-US" w:eastAsia="zh-CN"/>
    </w:rPr>
  </w:style>
  <w:style w:type="character" w:customStyle="1" w:styleId="713">
    <w:name w:val="3char"/>
    <w:qFormat/>
    <w:uiPriority w:val="0"/>
  </w:style>
  <w:style w:type="character" w:customStyle="1" w:styleId="714">
    <w:name w:val="content1"/>
    <w:qFormat/>
    <w:uiPriority w:val="0"/>
    <w:rPr>
      <w:rFonts w:hint="default" w:ascii="Arial" w:hAnsi="Arial" w:cs="Arial"/>
      <w:color w:val="000000"/>
      <w:sz w:val="20"/>
      <w:szCs w:val="20"/>
    </w:rPr>
  </w:style>
  <w:style w:type="character" w:customStyle="1" w:styleId="715">
    <w:name w:val="称呼 Char"/>
    <w:link w:val="36"/>
    <w:qFormat/>
    <w:uiPriority w:val="0"/>
    <w:rPr>
      <w:kern w:val="2"/>
      <w:sz w:val="21"/>
      <w:szCs w:val="22"/>
    </w:rPr>
  </w:style>
  <w:style w:type="character" w:customStyle="1" w:styleId="716">
    <w:name w:val="blue1"/>
    <w:qFormat/>
    <w:uiPriority w:val="0"/>
    <w:rPr>
      <w:rFonts w:ascii="宋体" w:hAnsi="宋体" w:eastAsia="宋体"/>
      <w:color w:val="002D62"/>
      <w:kern w:val="2"/>
      <w:sz w:val="15"/>
      <w:lang w:val="en-US" w:eastAsia="zh-CN"/>
    </w:rPr>
  </w:style>
  <w:style w:type="character" w:customStyle="1" w:styleId="717">
    <w:name w:val="bei21"/>
    <w:qFormat/>
    <w:uiPriority w:val="0"/>
    <w:rPr>
      <w:color w:val="FFFFFF"/>
    </w:rPr>
  </w:style>
  <w:style w:type="character" w:customStyle="1" w:styleId="718">
    <w:name w:val="org"/>
    <w:qFormat/>
    <w:uiPriority w:val="0"/>
    <w:rPr>
      <w:color w:val="FF5500"/>
    </w:rPr>
  </w:style>
  <w:style w:type="character" w:customStyle="1" w:styleId="719">
    <w:name w:val="正文 首行缩进:  2 字符 Char Char1"/>
    <w:qFormat/>
    <w:uiPriority w:val="0"/>
    <w:rPr>
      <w:rFonts w:eastAsia="宋体" w:cs="宋体"/>
      <w:kern w:val="2"/>
      <w:sz w:val="24"/>
      <w:lang w:val="en-US" w:eastAsia="zh-CN" w:bidi="ar-SA"/>
    </w:rPr>
  </w:style>
  <w:style w:type="character" w:customStyle="1" w:styleId="720">
    <w:name w:val="样式 样式 首行缩进:  2 字符 + 首行缩进:  2 字符 Char Char Char"/>
    <w:link w:val="721"/>
    <w:qFormat/>
    <w:uiPriority w:val="0"/>
    <w:rPr>
      <w:rFonts w:cs="宋体"/>
      <w:kern w:val="2"/>
      <w:sz w:val="24"/>
    </w:rPr>
  </w:style>
  <w:style w:type="paragraph" w:customStyle="1" w:styleId="721">
    <w:name w:val="样式 样式 首行缩进:  2 字符 + 首行缩进:  2 字符 Char Char"/>
    <w:basedOn w:val="1"/>
    <w:link w:val="720"/>
    <w:qFormat/>
    <w:uiPriority w:val="0"/>
    <w:pPr>
      <w:spacing w:beforeLines="50" w:line="360" w:lineRule="auto"/>
      <w:ind w:firstLine="420" w:firstLineChars="200"/>
    </w:pPr>
    <w:rPr>
      <w:rFonts w:cs="宋体"/>
      <w:sz w:val="24"/>
      <w:szCs w:val="20"/>
    </w:rPr>
  </w:style>
  <w:style w:type="character" w:customStyle="1" w:styleId="722">
    <w:name w:val="标准标题3 Char"/>
    <w:link w:val="723"/>
    <w:qFormat/>
    <w:uiPriority w:val="0"/>
    <w:rPr>
      <w:rFonts w:ascii="黑体" w:hAnsi="黑体" w:eastAsia="黑体"/>
      <w:b/>
      <w:bCs/>
      <w:kern w:val="2"/>
      <w:sz w:val="32"/>
      <w:szCs w:val="32"/>
    </w:rPr>
  </w:style>
  <w:style w:type="paragraph" w:customStyle="1" w:styleId="723">
    <w:name w:val="标准标题3"/>
    <w:basedOn w:val="6"/>
    <w:next w:val="1"/>
    <w:link w:val="722"/>
    <w:qFormat/>
    <w:uiPriority w:val="0"/>
    <w:pPr>
      <w:numPr>
        <w:ilvl w:val="2"/>
        <w:numId w:val="11"/>
      </w:numPr>
      <w:autoSpaceDE/>
      <w:autoSpaceDN/>
      <w:adjustRightInd/>
      <w:spacing w:before="260" w:after="260" w:line="415" w:lineRule="auto"/>
      <w:jc w:val="both"/>
    </w:pPr>
    <w:rPr>
      <w:rFonts w:ascii="黑体" w:hAnsi="黑体" w:eastAsia="黑体"/>
      <w:bCs/>
      <w:kern w:val="2"/>
      <w:sz w:val="32"/>
      <w:szCs w:val="32"/>
      <w:u w:val="none"/>
    </w:rPr>
  </w:style>
  <w:style w:type="character" w:customStyle="1" w:styleId="724">
    <w:name w:val="span_param1"/>
    <w:qFormat/>
    <w:uiPriority w:val="0"/>
  </w:style>
  <w:style w:type="character" w:customStyle="1" w:styleId="725">
    <w:name w:val="ptt1"/>
    <w:qFormat/>
    <w:uiPriority w:val="0"/>
    <w:rPr>
      <w:rFonts w:hint="eastAsia" w:ascii="宋体" w:hAnsi="宋体" w:eastAsia="宋体"/>
      <w:spacing w:val="375"/>
      <w:kern w:val="2"/>
      <w:sz w:val="18"/>
      <w:szCs w:val="18"/>
      <w:lang w:val="en-US" w:eastAsia="zh-CN" w:bidi="ar-SA"/>
    </w:rPr>
  </w:style>
  <w:style w:type="character" w:customStyle="1" w:styleId="726">
    <w:name w:val="style211"/>
    <w:qFormat/>
    <w:uiPriority w:val="0"/>
    <w:rPr>
      <w:color w:val="FF6600"/>
    </w:rPr>
  </w:style>
  <w:style w:type="character" w:customStyle="1" w:styleId="727">
    <w:name w:val="#span_lineitems#"/>
    <w:qFormat/>
    <w:uiPriority w:val="0"/>
  </w:style>
  <w:style w:type="character" w:customStyle="1" w:styleId="728">
    <w:name w:val="p15"/>
    <w:qFormat/>
    <w:uiPriority w:val="0"/>
  </w:style>
  <w:style w:type="character" w:customStyle="1" w:styleId="729">
    <w:name w:val="标准 Char Char Char Char Char"/>
    <w:qFormat/>
    <w:uiPriority w:val="0"/>
    <w:rPr>
      <w:rFonts w:ascii="宋体" w:hAnsi="Tahoma" w:eastAsia="宋体"/>
      <w:color w:val="000000"/>
      <w:kern w:val="2"/>
      <w:sz w:val="24"/>
      <w:lang w:val="en-US" w:eastAsia="zh-CN" w:bidi="ar-SA"/>
    </w:rPr>
  </w:style>
  <w:style w:type="character" w:customStyle="1" w:styleId="730">
    <w:name w:val="样式7 Char Char"/>
    <w:link w:val="448"/>
    <w:qFormat/>
    <w:uiPriority w:val="0"/>
    <w:rPr>
      <w:b/>
      <w:bCs/>
      <w:kern w:val="2"/>
      <w:sz w:val="32"/>
      <w:szCs w:val="32"/>
    </w:rPr>
  </w:style>
  <w:style w:type="character" w:customStyle="1" w:styleId="731">
    <w:name w:val="哈哈标题三 Char"/>
    <w:link w:val="732"/>
    <w:qFormat/>
    <w:uiPriority w:val="0"/>
    <w:rPr>
      <w:rFonts w:ascii="宋体" w:hAnsi="宋体"/>
      <w:b/>
      <w:kern w:val="2"/>
      <w:sz w:val="30"/>
    </w:rPr>
  </w:style>
  <w:style w:type="paragraph" w:customStyle="1" w:styleId="732">
    <w:name w:val="哈哈标题三"/>
    <w:basedOn w:val="466"/>
    <w:link w:val="731"/>
    <w:qFormat/>
    <w:uiPriority w:val="0"/>
    <w:pPr>
      <w:tabs>
        <w:tab w:val="left" w:pos="360"/>
        <w:tab w:val="left" w:pos="780"/>
        <w:tab w:val="left" w:pos="1260"/>
        <w:tab w:val="left" w:pos="1620"/>
        <w:tab w:val="left" w:pos="1740"/>
        <w:tab w:val="clear" w:pos="735"/>
      </w:tabs>
      <w:spacing w:before="260" w:after="260" w:afterLines="0" w:line="480" w:lineRule="auto"/>
      <w:ind w:left="1740" w:leftChars="200" w:hanging="420" w:hangingChars="200"/>
      <w:jc w:val="both"/>
    </w:pPr>
    <w:rPr>
      <w:rFonts w:ascii="宋体" w:hAnsi="宋体"/>
      <w:bCs w:val="0"/>
      <w:sz w:val="30"/>
      <w:szCs w:val="20"/>
    </w:rPr>
  </w:style>
  <w:style w:type="character" w:customStyle="1" w:styleId="733">
    <w:name w:val="infodetail1"/>
    <w:qFormat/>
    <w:uiPriority w:val="0"/>
    <w:rPr>
      <w:rFonts w:hint="default" w:ascii="ˎ̥" w:hAnsi="ˎ̥"/>
      <w:sz w:val="18"/>
      <w:szCs w:val="18"/>
    </w:rPr>
  </w:style>
  <w:style w:type="character" w:customStyle="1" w:styleId="734">
    <w:name w:val="标题1 Char"/>
    <w:link w:val="458"/>
    <w:qFormat/>
    <w:locked/>
    <w:uiPriority w:val="0"/>
    <w:rPr>
      <w:rFonts w:ascii="宋体" w:cs="宋体"/>
      <w:b/>
      <w:bCs/>
      <w:color w:val="000000"/>
      <w:sz w:val="32"/>
      <w:szCs w:val="32"/>
      <w:lang w:val="zh-CN"/>
    </w:rPr>
  </w:style>
  <w:style w:type="character" w:customStyle="1" w:styleId="735">
    <w:name w:val="宏文本 Char1"/>
    <w:semiHidden/>
    <w:qFormat/>
    <w:uiPriority w:val="99"/>
    <w:rPr>
      <w:rFonts w:ascii="Courier New" w:hAnsi="Courier New" w:cs="Courier New"/>
      <w:kern w:val="2"/>
      <w:sz w:val="24"/>
      <w:szCs w:val="24"/>
    </w:rPr>
  </w:style>
  <w:style w:type="character" w:customStyle="1" w:styleId="736">
    <w:name w:val="word1"/>
    <w:qFormat/>
    <w:uiPriority w:val="0"/>
    <w:rPr>
      <w:rFonts w:ascii="宋体" w:hAnsi="宋体" w:eastAsia="宋体"/>
      <w:kern w:val="2"/>
      <w:sz w:val="18"/>
      <w:lang w:val="en-US" w:eastAsia="zh-CN"/>
    </w:rPr>
  </w:style>
  <w:style w:type="character" w:customStyle="1" w:styleId="737">
    <w:name w:val="普通文字 Char Char1"/>
    <w:qFormat/>
    <w:uiPriority w:val="99"/>
    <w:rPr>
      <w:rFonts w:ascii="宋体" w:hAnsi="Courier New" w:cs="Courier New"/>
      <w:kern w:val="2"/>
      <w:sz w:val="21"/>
      <w:szCs w:val="21"/>
    </w:rPr>
  </w:style>
  <w:style w:type="character" w:customStyle="1" w:styleId="738">
    <w:name w:val="Header Char"/>
    <w:qFormat/>
    <w:locked/>
    <w:uiPriority w:val="0"/>
    <w:rPr>
      <w:rFonts w:ascii="Times New Roman" w:hAnsi="Times New Roman" w:eastAsia="宋体" w:cs="Times New Roman"/>
      <w:sz w:val="18"/>
      <w:szCs w:val="18"/>
    </w:rPr>
  </w:style>
  <w:style w:type="character" w:customStyle="1" w:styleId="739">
    <w:name w:val="公文正文 Char"/>
    <w:qFormat/>
    <w:uiPriority w:val="0"/>
    <w:rPr>
      <w:rFonts w:ascii="仿宋_GB2312" w:hAnsi="宋体" w:eastAsia="仿宋_GB2312"/>
      <w:kern w:val="28"/>
      <w:sz w:val="24"/>
      <w:szCs w:val="24"/>
      <w:lang w:val="zh-CN"/>
    </w:rPr>
  </w:style>
  <w:style w:type="character" w:customStyle="1" w:styleId="740">
    <w:name w:val="已访问的超链接1"/>
    <w:unhideWhenUsed/>
    <w:qFormat/>
    <w:uiPriority w:val="99"/>
    <w:rPr>
      <w:color w:val="800080"/>
      <w:u w:val="single"/>
    </w:rPr>
  </w:style>
  <w:style w:type="character" w:customStyle="1" w:styleId="741">
    <w:name w:val="text121"/>
    <w:qFormat/>
    <w:uiPriority w:val="0"/>
    <w:rPr>
      <w:sz w:val="18"/>
      <w:szCs w:val="18"/>
    </w:rPr>
  </w:style>
  <w:style w:type="character" w:customStyle="1" w:styleId="742">
    <w:name w:val="样式 宋体 行距: 1.5 倍行距 Char Char Char"/>
    <w:qFormat/>
    <w:uiPriority w:val="0"/>
    <w:rPr>
      <w:rFonts w:ascii="宋体" w:hAnsi="宋体" w:cs="宋体"/>
      <w:kern w:val="2"/>
      <w:sz w:val="21"/>
    </w:rPr>
  </w:style>
  <w:style w:type="character" w:customStyle="1" w:styleId="743">
    <w:name w:val="正文加粗 Char"/>
    <w:link w:val="744"/>
    <w:qFormat/>
    <w:uiPriority w:val="0"/>
    <w:rPr>
      <w:rFonts w:ascii="Arial" w:hAnsi="Arial"/>
      <w:b/>
      <w:sz w:val="24"/>
    </w:rPr>
  </w:style>
  <w:style w:type="paragraph" w:customStyle="1" w:styleId="744">
    <w:name w:val="正文加粗"/>
    <w:basedOn w:val="1"/>
    <w:link w:val="743"/>
    <w:qFormat/>
    <w:uiPriority w:val="0"/>
    <w:pPr>
      <w:widowControl/>
      <w:spacing w:line="360" w:lineRule="auto"/>
      <w:ind w:firstLine="200" w:firstLineChars="200"/>
      <w:jc w:val="left"/>
    </w:pPr>
    <w:rPr>
      <w:rFonts w:ascii="Arial" w:hAnsi="Arial"/>
      <w:b/>
      <w:kern w:val="0"/>
      <w:sz w:val="24"/>
      <w:szCs w:val="20"/>
    </w:rPr>
  </w:style>
  <w:style w:type="character" w:customStyle="1" w:styleId="745">
    <w:name w:val="正文 首行缩进:  2 字符 Char Char Char Char Char Char"/>
    <w:qFormat/>
    <w:uiPriority w:val="0"/>
    <w:rPr>
      <w:rFonts w:eastAsia="宋体" w:cs="宋体"/>
      <w:kern w:val="2"/>
      <w:sz w:val="24"/>
      <w:lang w:val="en-US" w:eastAsia="zh-CN" w:bidi="ar-SA"/>
    </w:rPr>
  </w:style>
  <w:style w:type="character" w:customStyle="1" w:styleId="746">
    <w:name w:val="z-窗体底端 Char"/>
    <w:link w:val="747"/>
    <w:qFormat/>
    <w:uiPriority w:val="0"/>
    <w:rPr>
      <w:rFonts w:ascii="Arial" w:hAnsi="Arial" w:cs="Arial"/>
      <w:vanish/>
      <w:sz w:val="16"/>
      <w:szCs w:val="16"/>
    </w:rPr>
  </w:style>
  <w:style w:type="paragraph" w:customStyle="1" w:styleId="747">
    <w:name w:val="z-窗体底端1"/>
    <w:basedOn w:val="1"/>
    <w:next w:val="1"/>
    <w:link w:val="746"/>
    <w:qFormat/>
    <w:uiPriority w:val="0"/>
    <w:pPr>
      <w:widowControl/>
      <w:pBdr>
        <w:top w:val="single" w:color="auto" w:sz="6" w:space="1"/>
      </w:pBdr>
      <w:jc w:val="center"/>
    </w:pPr>
    <w:rPr>
      <w:rFonts w:ascii="Arial" w:hAnsi="Arial" w:cs="Arial"/>
      <w:vanish/>
      <w:kern w:val="0"/>
      <w:sz w:val="16"/>
      <w:szCs w:val="16"/>
    </w:rPr>
  </w:style>
  <w:style w:type="character" w:customStyle="1" w:styleId="748">
    <w:name w:val="标准文本 Char Char"/>
    <w:qFormat/>
    <w:uiPriority w:val="0"/>
    <w:rPr>
      <w:rFonts w:eastAsia="宋体" w:cs="宋体"/>
      <w:kern w:val="2"/>
      <w:sz w:val="24"/>
      <w:lang w:val="en-US" w:eastAsia="zh-CN" w:bidi="ar-SA"/>
    </w:rPr>
  </w:style>
  <w:style w:type="character" w:customStyle="1" w:styleId="749">
    <w:name w:val="项目符号：二级 Char"/>
    <w:link w:val="750"/>
    <w:qFormat/>
    <w:uiPriority w:val="0"/>
    <w:rPr>
      <w:rFonts w:ascii="Arial" w:hAnsi="Arial" w:eastAsia="新宋体"/>
      <w:bCs/>
      <w:sz w:val="24"/>
    </w:rPr>
  </w:style>
  <w:style w:type="paragraph" w:customStyle="1" w:styleId="750">
    <w:name w:val="项目符号：二级"/>
    <w:basedOn w:val="317"/>
    <w:link w:val="749"/>
    <w:qFormat/>
    <w:uiPriority w:val="0"/>
    <w:pPr>
      <w:widowControl/>
      <w:adjustRightInd w:val="0"/>
      <w:snapToGrid w:val="0"/>
      <w:spacing w:before="78" w:beforeLines="0" w:line="400" w:lineRule="exact"/>
      <w:ind w:firstLine="0" w:firstLineChars="0"/>
      <w:jc w:val="center"/>
      <w:textAlignment w:val="baseline"/>
    </w:pPr>
    <w:rPr>
      <w:rFonts w:ascii="Arial" w:hAnsi="Arial" w:eastAsia="新宋体"/>
      <w:bCs/>
      <w:szCs w:val="20"/>
      <w:lang w:val="en-US"/>
    </w:rPr>
  </w:style>
  <w:style w:type="character" w:customStyle="1" w:styleId="751">
    <w:name w:val="title_black_141"/>
    <w:qFormat/>
    <w:uiPriority w:val="0"/>
    <w:rPr>
      <w:color w:val="000000"/>
      <w:sz w:val="21"/>
      <w:szCs w:val="21"/>
      <w:u w:val="none"/>
    </w:rPr>
  </w:style>
  <w:style w:type="character" w:customStyle="1" w:styleId="752">
    <w:name w:val="三级条标题 Char"/>
    <w:qFormat/>
    <w:uiPriority w:val="0"/>
    <w:rPr>
      <w:rFonts w:ascii="黑体" w:eastAsia="黑体"/>
      <w:sz w:val="21"/>
      <w:lang w:val="en-US" w:eastAsia="zh-CN" w:bidi="ar-SA"/>
    </w:rPr>
  </w:style>
  <w:style w:type="character" w:customStyle="1" w:styleId="753">
    <w:name w:val="big1"/>
    <w:qFormat/>
    <w:uiPriority w:val="0"/>
    <w:rPr>
      <w:rFonts w:hint="default" w:ascii="ˎ̥" w:hAnsi="ˎ̥" w:eastAsia="宋体"/>
      <w:color w:val="000000"/>
      <w:kern w:val="2"/>
      <w:sz w:val="20"/>
      <w:lang w:val="en-US" w:eastAsia="zh-CN"/>
    </w:rPr>
  </w:style>
  <w:style w:type="character" w:customStyle="1" w:styleId="754">
    <w:name w:val="Plain Text Char Char"/>
    <w:qFormat/>
    <w:uiPriority w:val="0"/>
    <w:rPr>
      <w:rFonts w:ascii="宋体" w:hAnsi="Courier New" w:cs="Times New Roman"/>
      <w:kern w:val="2"/>
      <w:sz w:val="21"/>
    </w:rPr>
  </w:style>
  <w:style w:type="character" w:customStyle="1" w:styleId="755">
    <w:name w:val="样式6 Char Char"/>
    <w:qFormat/>
    <w:uiPriority w:val="0"/>
    <w:rPr>
      <w:rFonts w:ascii="Times New Roman" w:hAnsi="Times New Roman"/>
      <w:b/>
      <w:bCs/>
      <w:kern w:val="2"/>
      <w:sz w:val="24"/>
      <w:szCs w:val="24"/>
    </w:rPr>
  </w:style>
  <w:style w:type="character" w:customStyle="1" w:styleId="756">
    <w:name w:val="正文文本首行缩进 字符"/>
    <w:qFormat/>
    <w:uiPriority w:val="99"/>
    <w:rPr>
      <w:kern w:val="2"/>
      <w:sz w:val="21"/>
      <w:szCs w:val="24"/>
    </w:rPr>
  </w:style>
  <w:style w:type="character" w:customStyle="1" w:styleId="757">
    <w:name w:val="标二 Char Char"/>
    <w:link w:val="758"/>
    <w:qFormat/>
    <w:uiPriority w:val="0"/>
    <w:rPr>
      <w:rFonts w:ascii="宋体" w:hAnsi="宋体"/>
      <w:b/>
      <w:kern w:val="2"/>
      <w:sz w:val="30"/>
      <w:szCs w:val="30"/>
    </w:rPr>
  </w:style>
  <w:style w:type="paragraph" w:customStyle="1" w:styleId="758">
    <w:name w:val="标二"/>
    <w:basedOn w:val="1"/>
    <w:link w:val="757"/>
    <w:qFormat/>
    <w:uiPriority w:val="0"/>
    <w:pPr>
      <w:spacing w:before="156" w:beforeLines="50" w:after="156" w:afterLines="50" w:line="360" w:lineRule="auto"/>
      <w:jc w:val="left"/>
      <w:outlineLvl w:val="1"/>
    </w:pPr>
    <w:rPr>
      <w:rFonts w:ascii="宋体" w:hAnsi="宋体"/>
      <w:b/>
      <w:sz w:val="30"/>
      <w:szCs w:val="30"/>
    </w:rPr>
  </w:style>
  <w:style w:type="character" w:customStyle="1" w:styleId="759">
    <w:name w:val="point_normal1"/>
    <w:qFormat/>
    <w:uiPriority w:val="0"/>
    <w:rPr>
      <w:rFonts w:hint="default" w:ascii="Arial" w:hAnsi="Arial" w:cs="Arial"/>
      <w:sz w:val="18"/>
      <w:szCs w:val="18"/>
    </w:rPr>
  </w:style>
  <w:style w:type="character" w:customStyle="1" w:styleId="760">
    <w:name w:val="正文（绿盟科技） Char"/>
    <w:link w:val="761"/>
    <w:qFormat/>
    <w:uiPriority w:val="0"/>
    <w:rPr>
      <w:rFonts w:ascii="Arial" w:hAnsi="Arial"/>
      <w:sz w:val="21"/>
      <w:szCs w:val="21"/>
    </w:rPr>
  </w:style>
  <w:style w:type="paragraph" w:customStyle="1" w:styleId="761">
    <w:name w:val="正文（绿盟科技）"/>
    <w:link w:val="760"/>
    <w:qFormat/>
    <w:uiPriority w:val="0"/>
    <w:pPr>
      <w:spacing w:line="300" w:lineRule="auto"/>
    </w:pPr>
    <w:rPr>
      <w:rFonts w:ascii="Arial" w:hAnsi="Arial" w:eastAsia="宋体" w:cs="Times New Roman"/>
      <w:sz w:val="21"/>
      <w:szCs w:val="21"/>
      <w:lang w:val="en-US" w:eastAsia="zh-CN" w:bidi="ar-SA"/>
    </w:rPr>
  </w:style>
  <w:style w:type="character" w:customStyle="1" w:styleId="762">
    <w:name w:val="v151"/>
    <w:qFormat/>
    <w:uiPriority w:val="0"/>
    <w:rPr>
      <w:spacing w:val="280"/>
      <w:sz w:val="18"/>
      <w:szCs w:val="18"/>
    </w:rPr>
  </w:style>
  <w:style w:type="character" w:customStyle="1" w:styleId="763">
    <w:name w:val="text03"/>
    <w:qFormat/>
    <w:uiPriority w:val="0"/>
    <w:rPr>
      <w:rFonts w:ascii="Tahoma" w:hAnsi="Tahoma" w:eastAsia="宋体"/>
      <w:kern w:val="2"/>
      <w:sz w:val="36"/>
      <w:szCs w:val="36"/>
      <w:lang w:val="en-US" w:eastAsia="zh-CN" w:bidi="ar-SA"/>
    </w:rPr>
  </w:style>
  <w:style w:type="character" w:customStyle="1" w:styleId="764">
    <w:name w:val="2节标题 Char Char"/>
    <w:link w:val="765"/>
    <w:qFormat/>
    <w:uiPriority w:val="0"/>
    <w:rPr>
      <w:rFonts w:ascii="楷体_GB2312" w:hAnsi="宋体" w:eastAsia="楷体_GB2312"/>
      <w:color w:val="000000"/>
      <w:kern w:val="2"/>
      <w:sz w:val="28"/>
    </w:rPr>
  </w:style>
  <w:style w:type="paragraph" w:customStyle="1" w:styleId="765">
    <w:name w:val="2节标题"/>
    <w:basedOn w:val="1"/>
    <w:link w:val="764"/>
    <w:qFormat/>
    <w:uiPriority w:val="0"/>
    <w:pPr>
      <w:tabs>
        <w:tab w:val="left" w:pos="2127"/>
      </w:tabs>
      <w:spacing w:line="360" w:lineRule="auto"/>
      <w:ind w:left="2127" w:hanging="425"/>
    </w:pPr>
    <w:rPr>
      <w:rFonts w:ascii="楷体_GB2312" w:hAnsi="宋体" w:eastAsia="楷体_GB2312"/>
      <w:color w:val="000000"/>
      <w:sz w:val="28"/>
      <w:szCs w:val="20"/>
    </w:rPr>
  </w:style>
  <w:style w:type="character" w:customStyle="1" w:styleId="766">
    <w:name w:val="highlight1"/>
    <w:qFormat/>
    <w:uiPriority w:val="0"/>
    <w:rPr>
      <w:shd w:val="clear" w:color="auto" w:fill="FFFF00"/>
    </w:rPr>
  </w:style>
  <w:style w:type="character" w:customStyle="1" w:styleId="767">
    <w:name w:val="备注说明 Char Char Char Char"/>
    <w:qFormat/>
    <w:uiPriority w:val="0"/>
    <w:rPr>
      <w:rFonts w:ascii="Tahoma" w:hAnsi="Tahoma" w:eastAsia="宋体"/>
      <w:kern w:val="2"/>
      <w:sz w:val="21"/>
      <w:lang w:val="en-US" w:eastAsia="zh-CN" w:bidi="ar-SA"/>
    </w:rPr>
  </w:style>
  <w:style w:type="character" w:customStyle="1" w:styleId="768">
    <w:name w:val="text_main1"/>
    <w:qFormat/>
    <w:uiPriority w:val="0"/>
    <w:rPr>
      <w:rFonts w:hint="default" w:ascii="ˎ̥" w:hAnsi="ˎ̥" w:eastAsia="宋体"/>
      <w:color w:val="000000"/>
      <w:kern w:val="2"/>
      <w:sz w:val="22"/>
      <w:szCs w:val="22"/>
      <w:lang w:val="en-US" w:eastAsia="zh-CN" w:bidi="ar-SA"/>
    </w:rPr>
  </w:style>
  <w:style w:type="character" w:customStyle="1" w:styleId="769">
    <w:name w:val="样式4 Char Char"/>
    <w:qFormat/>
    <w:uiPriority w:val="0"/>
    <w:rPr>
      <w:rFonts w:eastAsia="宋体" w:cs="宋体"/>
      <w:color w:val="000000"/>
      <w:sz w:val="24"/>
      <w:szCs w:val="24"/>
      <w:lang w:val="en-US" w:eastAsia="zh-CN" w:bidi="ar-SA"/>
    </w:rPr>
  </w:style>
  <w:style w:type="character" w:customStyle="1" w:styleId="770">
    <w:name w:val="sony12"/>
    <w:qFormat/>
    <w:uiPriority w:val="0"/>
    <w:rPr>
      <w:rFonts w:ascii="Tahoma" w:hAnsi="Tahoma" w:eastAsia="宋体"/>
      <w:kern w:val="2"/>
      <w:sz w:val="36"/>
      <w:szCs w:val="36"/>
      <w:lang w:val="en-US" w:eastAsia="zh-CN" w:bidi="ar-SA"/>
    </w:rPr>
  </w:style>
  <w:style w:type="character" w:customStyle="1" w:styleId="771">
    <w:name w:val="正文文本首行缩进 2 字符"/>
    <w:qFormat/>
    <w:uiPriority w:val="0"/>
    <w:rPr>
      <w:rFonts w:ascii="Times New Roman" w:hAnsi="Times New Roman"/>
      <w:kern w:val="2"/>
      <w:sz w:val="21"/>
    </w:rPr>
  </w:style>
  <w:style w:type="character" w:customStyle="1" w:styleId="772">
    <w:name w:val="样式 样式4 + 加粗 首行缩进: Char Char Char Char"/>
    <w:qFormat/>
    <w:uiPriority w:val="0"/>
    <w:rPr>
      <w:rFonts w:eastAsia="宋体" w:cs="宋体"/>
      <w:b/>
      <w:bCs/>
      <w:color w:val="000000"/>
      <w:kern w:val="2"/>
      <w:sz w:val="24"/>
      <w:szCs w:val="24"/>
      <w:lang w:val="en-US" w:eastAsia="zh-CN" w:bidi="ar-SA"/>
    </w:rPr>
  </w:style>
  <w:style w:type="character" w:customStyle="1" w:styleId="773">
    <w:name w:val="location1"/>
    <w:qFormat/>
    <w:uiPriority w:val="0"/>
    <w:rPr>
      <w:rFonts w:hint="default"/>
      <w:spacing w:val="320"/>
      <w:sz w:val="18"/>
      <w:szCs w:val="18"/>
    </w:rPr>
  </w:style>
  <w:style w:type="character" w:customStyle="1" w:styleId="774">
    <w:name w:val="bianhao1 Char"/>
    <w:link w:val="775"/>
    <w:qFormat/>
    <w:uiPriority w:val="0"/>
    <w:rPr>
      <w:sz w:val="24"/>
    </w:rPr>
  </w:style>
  <w:style w:type="paragraph" w:customStyle="1" w:styleId="775">
    <w:name w:val="bianhao1"/>
    <w:basedOn w:val="1"/>
    <w:link w:val="774"/>
    <w:qFormat/>
    <w:uiPriority w:val="0"/>
    <w:pPr>
      <w:numPr>
        <w:ilvl w:val="0"/>
        <w:numId w:val="12"/>
      </w:numPr>
      <w:adjustRightInd w:val="0"/>
      <w:spacing w:line="360" w:lineRule="auto"/>
      <w:ind w:firstLine="0"/>
      <w:jc w:val="left"/>
      <w:textAlignment w:val="baseline"/>
    </w:pPr>
    <w:rPr>
      <w:kern w:val="0"/>
      <w:sz w:val="24"/>
      <w:szCs w:val="20"/>
    </w:rPr>
  </w:style>
  <w:style w:type="character" w:customStyle="1" w:styleId="776">
    <w:name w:val="样式11 Char"/>
    <w:link w:val="777"/>
    <w:qFormat/>
    <w:uiPriority w:val="0"/>
    <w:rPr>
      <w:rFonts w:ascii="宋体"/>
      <w:kern w:val="2"/>
      <w:sz w:val="24"/>
      <w:szCs w:val="22"/>
    </w:rPr>
  </w:style>
  <w:style w:type="paragraph" w:customStyle="1" w:styleId="777">
    <w:name w:val="样式11"/>
    <w:basedOn w:val="194"/>
    <w:link w:val="776"/>
    <w:qFormat/>
    <w:uiPriority w:val="0"/>
    <w:pPr>
      <w:numPr>
        <w:ilvl w:val="0"/>
        <w:numId w:val="13"/>
      </w:numPr>
      <w:spacing w:beforeLines="50" w:afterLines="50" w:line="360" w:lineRule="auto"/>
      <w:ind w:left="480" w:leftChars="200" w:firstLine="0" w:firstLineChars="0"/>
    </w:pPr>
    <w:rPr>
      <w:rFonts w:ascii="宋体" w:hAnsi="Times New Roman"/>
      <w:sz w:val="24"/>
    </w:rPr>
  </w:style>
  <w:style w:type="character" w:customStyle="1" w:styleId="778">
    <w:name w:val="Char Char7"/>
    <w:qFormat/>
    <w:uiPriority w:val="0"/>
    <w:rPr>
      <w:rFonts w:ascii="宋体" w:hAnsi="宋体" w:eastAsia="宋体"/>
      <w:kern w:val="2"/>
      <w:sz w:val="24"/>
      <w:lang w:val="en-US" w:eastAsia="zh-CN"/>
    </w:rPr>
  </w:style>
  <w:style w:type="character" w:customStyle="1" w:styleId="779">
    <w:name w:val="样式 题注 + 黑体 Char"/>
    <w:link w:val="780"/>
    <w:qFormat/>
    <w:uiPriority w:val="0"/>
    <w:rPr>
      <w:rFonts w:ascii="黑体" w:hAnsi="黑体" w:eastAsia="黑体" w:cs="Arial"/>
      <w:kern w:val="2"/>
      <w:sz w:val="21"/>
    </w:rPr>
  </w:style>
  <w:style w:type="paragraph" w:customStyle="1" w:styleId="780">
    <w:name w:val="样式 题注 + 黑体"/>
    <w:basedOn w:val="29"/>
    <w:link w:val="779"/>
    <w:qFormat/>
    <w:uiPriority w:val="0"/>
    <w:pPr>
      <w:spacing w:before="152" w:after="160" w:line="240" w:lineRule="auto"/>
      <w:jc w:val="center"/>
    </w:pPr>
    <w:rPr>
      <w:rFonts w:ascii="黑体" w:hAnsi="黑体" w:eastAsia="黑体" w:cs="Arial"/>
      <w:sz w:val="21"/>
    </w:rPr>
  </w:style>
  <w:style w:type="character" w:customStyle="1" w:styleId="781">
    <w:name w:val="明显引用 Char"/>
    <w:link w:val="782"/>
    <w:qFormat/>
    <w:uiPriority w:val="0"/>
    <w:rPr>
      <w:b/>
      <w:bCs/>
      <w:i/>
      <w:iCs/>
      <w:color w:val="4F81BD"/>
      <w:kern w:val="2"/>
      <w:sz w:val="24"/>
      <w:szCs w:val="21"/>
    </w:rPr>
  </w:style>
  <w:style w:type="paragraph" w:customStyle="1" w:styleId="782">
    <w:name w:val="Intense Quote"/>
    <w:basedOn w:val="1"/>
    <w:next w:val="1"/>
    <w:link w:val="781"/>
    <w:qFormat/>
    <w:uiPriority w:val="0"/>
    <w:pPr>
      <w:pBdr>
        <w:bottom w:val="single" w:color="4F81BD" w:sz="4" w:space="4"/>
      </w:pBdr>
      <w:spacing w:before="200" w:after="280" w:line="360" w:lineRule="auto"/>
      <w:ind w:left="936" w:right="936" w:firstLine="200" w:firstLineChars="200"/>
      <w:jc w:val="left"/>
    </w:pPr>
    <w:rPr>
      <w:b/>
      <w:bCs/>
      <w:i/>
      <w:iCs/>
      <w:color w:val="4F81BD"/>
      <w:sz w:val="24"/>
      <w:szCs w:val="21"/>
    </w:rPr>
  </w:style>
  <w:style w:type="character" w:customStyle="1" w:styleId="783">
    <w:name w:val="样式 标题 2 + 黑体 四号 非加粗 Char"/>
    <w:qFormat/>
    <w:uiPriority w:val="0"/>
    <w:rPr>
      <w:rFonts w:ascii="黑体" w:hAnsi="黑体" w:eastAsia="黑体"/>
      <w:b/>
      <w:kern w:val="2"/>
      <w:sz w:val="28"/>
      <w:szCs w:val="32"/>
    </w:rPr>
  </w:style>
  <w:style w:type="character" w:customStyle="1" w:styleId="784">
    <w:name w:val="bs标题五 Char Char"/>
    <w:link w:val="785"/>
    <w:qFormat/>
    <w:uiPriority w:val="0"/>
    <w:rPr>
      <w:b/>
      <w:sz w:val="28"/>
      <w:szCs w:val="28"/>
    </w:rPr>
  </w:style>
  <w:style w:type="paragraph" w:customStyle="1" w:styleId="785">
    <w:name w:val="bs标题五"/>
    <w:basedOn w:val="1"/>
    <w:next w:val="1"/>
    <w:link w:val="784"/>
    <w:qFormat/>
    <w:uiPriority w:val="0"/>
    <w:pPr>
      <w:numPr>
        <w:ilvl w:val="4"/>
        <w:numId w:val="8"/>
      </w:numPr>
      <w:autoSpaceDE w:val="0"/>
      <w:autoSpaceDN w:val="0"/>
      <w:adjustRightInd w:val="0"/>
      <w:spacing w:beforeLines="50" w:afterLines="50" w:line="320" w:lineRule="atLeast"/>
      <w:jc w:val="left"/>
      <w:outlineLvl w:val="4"/>
    </w:pPr>
    <w:rPr>
      <w:b/>
      <w:kern w:val="0"/>
      <w:sz w:val="28"/>
      <w:szCs w:val="28"/>
    </w:rPr>
  </w:style>
  <w:style w:type="character" w:customStyle="1" w:styleId="786">
    <w:name w:val="样式 宋体 行距: 1.5 倍行距 Char"/>
    <w:qFormat/>
    <w:uiPriority w:val="0"/>
    <w:rPr>
      <w:rFonts w:ascii="宋体" w:hAnsi="宋体" w:cs="宋体"/>
      <w:kern w:val="2"/>
      <w:sz w:val="21"/>
    </w:rPr>
  </w:style>
  <w:style w:type="character" w:customStyle="1" w:styleId="787">
    <w:name w:val="a14c"/>
    <w:qFormat/>
    <w:uiPriority w:val="0"/>
    <w:rPr>
      <w:rFonts w:ascii="宋体" w:hAnsi="宋体" w:eastAsia="宋体"/>
      <w:kern w:val="2"/>
      <w:sz w:val="15"/>
      <w:lang w:val="en-US" w:eastAsia="zh-CN"/>
    </w:rPr>
  </w:style>
  <w:style w:type="character" w:customStyle="1" w:styleId="788">
    <w:name w:val="fieldnames1"/>
    <w:qFormat/>
    <w:uiPriority w:val="0"/>
    <w:rPr>
      <w:rFonts w:hint="default" w:ascii="Helvetica" w:hAnsi="Helvetica" w:cs="Helvetica"/>
      <w:b/>
      <w:bCs/>
      <w:sz w:val="22"/>
      <w:szCs w:val="22"/>
    </w:rPr>
  </w:style>
  <w:style w:type="character" w:customStyle="1" w:styleId="789">
    <w:name w:val="样式1 Char"/>
    <w:qFormat/>
    <w:uiPriority w:val="0"/>
    <w:rPr>
      <w:rFonts w:ascii="宋体" w:hAnsi="宋体" w:eastAsia="宋体"/>
      <w:kern w:val="2"/>
      <w:sz w:val="21"/>
      <w:szCs w:val="21"/>
      <w:lang w:val="en-US" w:eastAsia="zh-CN" w:bidi="ar-SA"/>
    </w:rPr>
  </w:style>
  <w:style w:type="character" w:customStyle="1" w:styleId="790">
    <w:name w:val="Char Char14"/>
    <w:qFormat/>
    <w:uiPriority w:val="0"/>
    <w:rPr>
      <w:rFonts w:eastAsia="宋体"/>
      <w:b/>
      <w:bCs/>
      <w:kern w:val="2"/>
      <w:sz w:val="28"/>
      <w:szCs w:val="32"/>
      <w:lang w:val="en-US" w:eastAsia="zh-CN" w:bidi="ar-SA"/>
    </w:rPr>
  </w:style>
  <w:style w:type="character" w:customStyle="1" w:styleId="791">
    <w:name w:val="normalfont1"/>
    <w:qFormat/>
    <w:uiPriority w:val="0"/>
    <w:rPr>
      <w:rFonts w:hint="default" w:ascii="ˎ̥" w:hAnsi="ˎ̥"/>
      <w:sz w:val="18"/>
      <w:szCs w:val="18"/>
      <w:u w:val="none"/>
    </w:rPr>
  </w:style>
  <w:style w:type="character" w:customStyle="1" w:styleId="792">
    <w:name w:val="H2 Char Char Char Char Char Char Char"/>
    <w:qFormat/>
    <w:uiPriority w:val="0"/>
    <w:rPr>
      <w:rFonts w:ascii="Arial" w:hAnsi="Arial" w:eastAsia="黑体"/>
      <w:b/>
      <w:bCs/>
      <w:kern w:val="2"/>
      <w:sz w:val="32"/>
      <w:szCs w:val="32"/>
      <w:lang w:val="en-US" w:eastAsia="zh-CN" w:bidi="ar-SA"/>
    </w:rPr>
  </w:style>
  <w:style w:type="character" w:customStyle="1" w:styleId="793">
    <w:name w:val="style71"/>
    <w:qFormat/>
    <w:uiPriority w:val="0"/>
    <w:rPr>
      <w:b/>
      <w:bCs/>
      <w:color w:val="D70703"/>
      <w:sz w:val="21"/>
      <w:szCs w:val="21"/>
    </w:rPr>
  </w:style>
  <w:style w:type="character" w:customStyle="1" w:styleId="794">
    <w:name w:val="样式 黑体 二号 加粗"/>
    <w:qFormat/>
    <w:uiPriority w:val="0"/>
    <w:rPr>
      <w:rFonts w:ascii="黑体" w:hAnsi="黑体" w:eastAsia="黑体"/>
      <w:b/>
      <w:bCs/>
      <w:sz w:val="44"/>
    </w:rPr>
  </w:style>
  <w:style w:type="character" w:customStyle="1" w:styleId="795">
    <w:name w:val="title_emph1"/>
    <w:qFormat/>
    <w:uiPriority w:val="0"/>
    <w:rPr>
      <w:rFonts w:hint="default" w:ascii="Arial" w:hAnsi="Arial" w:eastAsia="宋体" w:cs="Arial"/>
      <w:b/>
      <w:bCs/>
      <w:kern w:val="2"/>
      <w:sz w:val="18"/>
      <w:szCs w:val="18"/>
      <w:lang w:val="en-US" w:eastAsia="zh-CN" w:bidi="ar-SA"/>
    </w:rPr>
  </w:style>
  <w:style w:type="character" w:customStyle="1" w:styleId="796">
    <w:name w:val="yel-s"/>
    <w:qFormat/>
    <w:uiPriority w:val="0"/>
  </w:style>
  <w:style w:type="character" w:customStyle="1" w:styleId="797">
    <w:name w:val="themebody1"/>
    <w:qFormat/>
    <w:uiPriority w:val="0"/>
    <w:rPr>
      <w:color w:val="FFFFFF"/>
    </w:rPr>
  </w:style>
  <w:style w:type="character" w:customStyle="1" w:styleId="798">
    <w:name w:val="px14"/>
    <w:qFormat/>
    <w:uiPriority w:val="0"/>
  </w:style>
  <w:style w:type="character" w:customStyle="1" w:styleId="799">
    <w:name w:val="blacktext"/>
    <w:qFormat/>
    <w:uiPriority w:val="0"/>
  </w:style>
  <w:style w:type="character" w:customStyle="1" w:styleId="800">
    <w:name w:val="日期 字符"/>
    <w:qFormat/>
    <w:uiPriority w:val="99"/>
    <w:rPr>
      <w:rFonts w:cs="Times New Roman"/>
      <w:kern w:val="2"/>
      <w:sz w:val="24"/>
      <w:szCs w:val="24"/>
    </w:rPr>
  </w:style>
  <w:style w:type="character" w:customStyle="1" w:styleId="801">
    <w:name w:val="pfont11"/>
    <w:qFormat/>
    <w:uiPriority w:val="0"/>
    <w:rPr>
      <w:rFonts w:ascii="Tahoma" w:hAnsi="Tahoma" w:eastAsia="宋体"/>
      <w:kern w:val="2"/>
      <w:sz w:val="18"/>
      <w:szCs w:val="18"/>
      <w:lang w:val="en-US" w:eastAsia="zh-CN" w:bidi="ar-SA"/>
    </w:rPr>
  </w:style>
  <w:style w:type="character" w:customStyle="1" w:styleId="802">
    <w:name w:val="bt_head"/>
    <w:qFormat/>
    <w:uiPriority w:val="0"/>
  </w:style>
  <w:style w:type="character" w:customStyle="1" w:styleId="803">
    <w:name w:val="正文（缩进2汉字） Char"/>
    <w:link w:val="804"/>
    <w:qFormat/>
    <w:uiPriority w:val="0"/>
    <w:rPr>
      <w:rFonts w:ascii="宋体"/>
      <w:kern w:val="2"/>
      <w:sz w:val="21"/>
      <w:szCs w:val="24"/>
    </w:rPr>
  </w:style>
  <w:style w:type="paragraph" w:customStyle="1" w:styleId="804">
    <w:name w:val="正文（缩进2汉字）"/>
    <w:basedOn w:val="1"/>
    <w:link w:val="803"/>
    <w:qFormat/>
    <w:uiPriority w:val="0"/>
    <w:pPr>
      <w:tabs>
        <w:tab w:val="left" w:pos="525"/>
      </w:tabs>
      <w:spacing w:before="100" w:beforeAutospacing="1" w:after="100" w:afterAutospacing="1"/>
      <w:ind w:left="120" w:leftChars="50" w:firstLine="494" w:firstLineChars="206"/>
    </w:pPr>
    <w:rPr>
      <w:rFonts w:ascii="宋体"/>
    </w:rPr>
  </w:style>
  <w:style w:type="character" w:customStyle="1" w:styleId="805">
    <w:name w:val="正文（缩进） Char"/>
    <w:link w:val="806"/>
    <w:qFormat/>
    <w:uiPriority w:val="0"/>
    <w:rPr>
      <w:kern w:val="2"/>
      <w:sz w:val="21"/>
    </w:rPr>
  </w:style>
  <w:style w:type="paragraph" w:customStyle="1" w:styleId="806">
    <w:name w:val="正文（缩进）"/>
    <w:basedOn w:val="1"/>
    <w:link w:val="805"/>
    <w:qFormat/>
    <w:uiPriority w:val="0"/>
    <w:pPr>
      <w:spacing w:before="156" w:after="156"/>
      <w:ind w:firstLine="480" w:firstLineChars="200"/>
    </w:pPr>
    <w:rPr>
      <w:szCs w:val="20"/>
    </w:rPr>
  </w:style>
  <w:style w:type="character" w:customStyle="1" w:styleId="807">
    <w:name w:val="样式 标题 2 + 黑体 四号 非加粗 Char Char"/>
    <w:link w:val="808"/>
    <w:qFormat/>
    <w:uiPriority w:val="0"/>
    <w:rPr>
      <w:rFonts w:ascii="黑体" w:hAnsi="黑体" w:eastAsia="黑体"/>
      <w:b/>
      <w:kern w:val="2"/>
      <w:sz w:val="28"/>
      <w:szCs w:val="32"/>
    </w:rPr>
  </w:style>
  <w:style w:type="paragraph" w:customStyle="1" w:styleId="808">
    <w:name w:val="样式 标题 2 + 黑体 四号 非加粗"/>
    <w:basedOn w:val="4"/>
    <w:link w:val="807"/>
    <w:qFormat/>
    <w:uiPriority w:val="0"/>
    <w:pPr>
      <w:tabs>
        <w:tab w:val="left" w:pos="2552"/>
      </w:tabs>
      <w:autoSpaceDE/>
      <w:autoSpaceDN/>
      <w:adjustRightInd/>
      <w:spacing w:after="120" w:line="360" w:lineRule="auto"/>
      <w:contextualSpacing/>
      <w:jc w:val="both"/>
    </w:pPr>
    <w:rPr>
      <w:rFonts w:ascii="黑体" w:hAnsi="黑体"/>
      <w:kern w:val="2"/>
      <w:sz w:val="28"/>
      <w:szCs w:val="32"/>
    </w:rPr>
  </w:style>
  <w:style w:type="character" w:customStyle="1" w:styleId="809">
    <w:name w:val="样式 仿宋_GB2312"/>
    <w:qFormat/>
    <w:uiPriority w:val="0"/>
    <w:rPr>
      <w:rFonts w:ascii="仿宋_GB2312" w:hAnsi="仿宋_GB2312" w:eastAsia="仿宋_GB2312"/>
      <w:sz w:val="28"/>
    </w:rPr>
  </w:style>
  <w:style w:type="character" w:customStyle="1" w:styleId="810">
    <w:name w:val="结束语 Char"/>
    <w:link w:val="38"/>
    <w:qFormat/>
    <w:uiPriority w:val="0"/>
    <w:rPr>
      <w:kern w:val="2"/>
      <w:sz w:val="21"/>
      <w:szCs w:val="22"/>
    </w:rPr>
  </w:style>
  <w:style w:type="character" w:customStyle="1" w:styleId="811">
    <w:name w:val="正文文本缩进 字符"/>
    <w:qFormat/>
    <w:uiPriority w:val="0"/>
    <w:rPr>
      <w:rFonts w:cs="Times New Roman"/>
      <w:kern w:val="2"/>
      <w:sz w:val="24"/>
      <w:szCs w:val="24"/>
    </w:rPr>
  </w:style>
  <w:style w:type="character" w:customStyle="1" w:styleId="812">
    <w:name w:val="样式 正文 + Char"/>
    <w:link w:val="813"/>
    <w:qFormat/>
    <w:uiPriority w:val="0"/>
    <w:rPr>
      <w:rFonts w:ascii="仿宋_GB2312" w:eastAsia="仿宋_GB2312" w:cs="宋体"/>
      <w:kern w:val="2"/>
      <w:sz w:val="28"/>
    </w:rPr>
  </w:style>
  <w:style w:type="paragraph" w:customStyle="1" w:styleId="813">
    <w:name w:val="样式 正文 +"/>
    <w:basedOn w:val="1"/>
    <w:link w:val="812"/>
    <w:qFormat/>
    <w:uiPriority w:val="0"/>
    <w:pPr>
      <w:spacing w:line="360" w:lineRule="auto"/>
      <w:jc w:val="left"/>
    </w:pPr>
    <w:rPr>
      <w:rFonts w:ascii="仿宋_GB2312" w:eastAsia="仿宋_GB2312" w:cs="宋体"/>
      <w:sz w:val="28"/>
      <w:szCs w:val="20"/>
    </w:rPr>
  </w:style>
  <w:style w:type="character" w:customStyle="1" w:styleId="814">
    <w:name w:val="正文文本缩进 2 字符"/>
    <w:qFormat/>
    <w:uiPriority w:val="0"/>
    <w:rPr>
      <w:rFonts w:cs="Times New Roman"/>
      <w:kern w:val="2"/>
      <w:sz w:val="24"/>
      <w:szCs w:val="24"/>
    </w:rPr>
  </w:style>
  <w:style w:type="character" w:customStyle="1" w:styleId="815">
    <w:name w:val="哈哈正文 Char Char"/>
    <w:qFormat/>
    <w:uiPriority w:val="0"/>
    <w:rPr>
      <w:rFonts w:ascii="宋体" w:hAnsi="宋体"/>
      <w:sz w:val="24"/>
    </w:rPr>
  </w:style>
  <w:style w:type="character" w:customStyle="1" w:styleId="816">
    <w:name w:val="ih151"/>
    <w:qFormat/>
    <w:uiPriority w:val="0"/>
    <w:rPr>
      <w:color w:val="666666"/>
      <w:sz w:val="18"/>
      <w:szCs w:val="18"/>
      <w:u w:val="none"/>
    </w:rPr>
  </w:style>
  <w:style w:type="character" w:customStyle="1" w:styleId="817">
    <w:name w:val="标题 9 字符"/>
    <w:qFormat/>
    <w:uiPriority w:val="0"/>
    <w:rPr>
      <w:rFonts w:ascii="Cambria" w:hAnsi="Cambria"/>
      <w:kern w:val="2"/>
      <w:sz w:val="21"/>
      <w:szCs w:val="21"/>
    </w:rPr>
  </w:style>
  <w:style w:type="character" w:customStyle="1" w:styleId="818">
    <w:name w:val="style1"/>
    <w:qFormat/>
    <w:uiPriority w:val="0"/>
    <w:rPr>
      <w:rFonts w:ascii="宋体" w:hAnsi="宋体" w:eastAsia="宋体"/>
      <w:kern w:val="2"/>
      <w:sz w:val="15"/>
      <w:lang w:val="en-US" w:eastAsia="zh-CN"/>
    </w:rPr>
  </w:style>
  <w:style w:type="character" w:customStyle="1" w:styleId="819">
    <w:name w:val="标题 2 Char1 Char"/>
    <w:qFormat/>
    <w:uiPriority w:val="0"/>
    <w:rPr>
      <w:rFonts w:ascii="Arial" w:hAnsi="Arial" w:eastAsia="黑体"/>
      <w:b/>
      <w:bCs/>
      <w:kern w:val="2"/>
      <w:sz w:val="32"/>
      <w:szCs w:val="32"/>
      <w:lang w:val="en-US" w:eastAsia="zh-CN" w:bidi="ar-SA"/>
    </w:rPr>
  </w:style>
  <w:style w:type="character" w:customStyle="1" w:styleId="820">
    <w:name w:val="二级条标题 Char1"/>
    <w:link w:val="200"/>
    <w:qFormat/>
    <w:uiPriority w:val="0"/>
    <w:rPr>
      <w:rFonts w:ascii="宋体"/>
      <w:sz w:val="28"/>
    </w:rPr>
  </w:style>
  <w:style w:type="character" w:customStyle="1" w:styleId="821">
    <w:name w:val="tpc_content1"/>
    <w:qFormat/>
    <w:uiPriority w:val="0"/>
    <w:rPr>
      <w:sz w:val="20"/>
      <w:szCs w:val="20"/>
    </w:rPr>
  </w:style>
  <w:style w:type="character" w:customStyle="1" w:styleId="822">
    <w:name w:val="css1"/>
    <w:qFormat/>
    <w:uiPriority w:val="0"/>
    <w:rPr>
      <w:rFonts w:hint="default" w:eastAsia="仿宋_GB2312"/>
      <w:sz w:val="20"/>
      <w:szCs w:val="20"/>
      <w:lang w:val="en-US" w:eastAsia="en-US" w:bidi="ar-SA"/>
    </w:rPr>
  </w:style>
  <w:style w:type="character" w:customStyle="1" w:styleId="823">
    <w:name w:val="Item List Char Char"/>
    <w:link w:val="824"/>
    <w:qFormat/>
    <w:locked/>
    <w:uiPriority w:val="0"/>
    <w:rPr>
      <w:rFonts w:ascii="Arial" w:hAnsi="Arial"/>
      <w:sz w:val="21"/>
      <w:szCs w:val="21"/>
      <w:shd w:val="clear" w:color="000000" w:fill="auto"/>
    </w:rPr>
  </w:style>
  <w:style w:type="paragraph" w:customStyle="1" w:styleId="824">
    <w:name w:val="Item List Char"/>
    <w:link w:val="823"/>
    <w:qFormat/>
    <w:uiPriority w:val="0"/>
    <w:pPr>
      <w:shd w:val="clear" w:color="000000" w:fill="auto"/>
      <w:tabs>
        <w:tab w:val="left" w:pos="851"/>
        <w:tab w:val="left" w:pos="1644"/>
      </w:tabs>
      <w:spacing w:line="300" w:lineRule="auto"/>
      <w:ind w:left="1644" w:hanging="510"/>
      <w:jc w:val="both"/>
    </w:pPr>
    <w:rPr>
      <w:rFonts w:ascii="Arial" w:hAnsi="Arial" w:eastAsia="宋体" w:cs="Times New Roman"/>
      <w:sz w:val="21"/>
      <w:szCs w:val="21"/>
      <w:lang w:val="en-US" w:eastAsia="zh-CN" w:bidi="ar-SA"/>
    </w:rPr>
  </w:style>
  <w:style w:type="character" w:customStyle="1" w:styleId="825">
    <w:name w:val="bold2"/>
    <w:qFormat/>
    <w:uiPriority w:val="0"/>
    <w:rPr>
      <w:b/>
      <w:bCs/>
    </w:rPr>
  </w:style>
  <w:style w:type="character" w:customStyle="1" w:styleId="826">
    <w:name w:val="东营开发区1 Char"/>
    <w:link w:val="827"/>
    <w:qFormat/>
    <w:uiPriority w:val="0"/>
    <w:rPr>
      <w:rFonts w:ascii="宋体" w:hAnsi="宋体"/>
      <w:b/>
      <w:kern w:val="2"/>
      <w:sz w:val="32"/>
      <w:szCs w:val="21"/>
    </w:rPr>
  </w:style>
  <w:style w:type="paragraph" w:customStyle="1" w:styleId="827">
    <w:name w:val="东营开发区1"/>
    <w:basedOn w:val="50"/>
    <w:link w:val="826"/>
    <w:qFormat/>
    <w:uiPriority w:val="0"/>
    <w:pPr>
      <w:numPr>
        <w:ilvl w:val="0"/>
        <w:numId w:val="14"/>
      </w:numPr>
      <w:jc w:val="left"/>
    </w:pPr>
    <w:rPr>
      <w:rFonts w:hint="default" w:hAnsi="宋体"/>
      <w:b/>
      <w:sz w:val="32"/>
      <w:szCs w:val="21"/>
    </w:rPr>
  </w:style>
  <w:style w:type="character" w:customStyle="1" w:styleId="828">
    <w:name w:val="纯文本 Char Char"/>
    <w:qFormat/>
    <w:uiPriority w:val="0"/>
    <w:rPr>
      <w:rFonts w:ascii="宋体" w:hAnsi="Courier New" w:eastAsia="宋体" w:cs="Courier New"/>
      <w:sz w:val="21"/>
      <w:szCs w:val="21"/>
      <w:u w:color="000000"/>
      <w:lang w:bidi="ar-SA"/>
    </w:rPr>
  </w:style>
  <w:style w:type="character" w:customStyle="1" w:styleId="829">
    <w:name w:val="样式8 Char Char"/>
    <w:link w:val="830"/>
    <w:qFormat/>
    <w:uiPriority w:val="0"/>
    <w:rPr>
      <w:rFonts w:ascii="宋体" w:hAnsi="宋体" w:cs="Courier New"/>
      <w:b/>
      <w:color w:val="000000"/>
      <w:kern w:val="2"/>
      <w:sz w:val="21"/>
      <w:szCs w:val="21"/>
    </w:rPr>
  </w:style>
  <w:style w:type="paragraph" w:customStyle="1" w:styleId="830">
    <w:name w:val="样式8"/>
    <w:basedOn w:val="8"/>
    <w:link w:val="829"/>
    <w:qFormat/>
    <w:uiPriority w:val="0"/>
    <w:pPr>
      <w:tabs>
        <w:tab w:val="left" w:pos="1680"/>
      </w:tabs>
      <w:adjustRightInd/>
      <w:spacing w:before="156" w:beforeLines="50" w:after="156" w:afterLines="50" w:line="240" w:lineRule="auto"/>
      <w:ind w:left="425" w:hanging="425"/>
      <w:textAlignment w:val="auto"/>
    </w:pPr>
    <w:rPr>
      <w:rFonts w:ascii="宋体" w:hAnsi="宋体" w:eastAsia="宋体" w:cs="Courier New"/>
      <w:color w:val="000000"/>
      <w:kern w:val="2"/>
      <w:sz w:val="21"/>
      <w:szCs w:val="21"/>
    </w:rPr>
  </w:style>
  <w:style w:type="character" w:customStyle="1" w:styleId="831">
    <w:name w:val="四级标题 Char"/>
    <w:link w:val="832"/>
    <w:qFormat/>
    <w:locked/>
    <w:uiPriority w:val="0"/>
    <w:rPr>
      <w:rFonts w:ascii="Arial" w:hAnsi="Arial"/>
      <w:b/>
      <w:bCs/>
      <w:kern w:val="2"/>
      <w:sz w:val="24"/>
      <w:szCs w:val="32"/>
    </w:rPr>
  </w:style>
  <w:style w:type="paragraph" w:customStyle="1" w:styleId="832">
    <w:name w:val="四级标题"/>
    <w:basedOn w:val="6"/>
    <w:link w:val="831"/>
    <w:qFormat/>
    <w:uiPriority w:val="0"/>
    <w:pPr>
      <w:widowControl/>
      <w:tabs>
        <w:tab w:val="left" w:pos="851"/>
      </w:tabs>
      <w:autoSpaceDE/>
      <w:autoSpaceDN/>
      <w:adjustRightInd/>
      <w:spacing w:before="0" w:after="0" w:line="360" w:lineRule="auto"/>
      <w:ind w:left="851" w:hanging="851"/>
    </w:pPr>
    <w:rPr>
      <w:rFonts w:ascii="Arial" w:hAnsi="Arial"/>
      <w:bCs/>
      <w:kern w:val="2"/>
      <w:szCs w:val="32"/>
      <w:u w:val="none"/>
    </w:rPr>
  </w:style>
  <w:style w:type="character" w:customStyle="1" w:styleId="833">
    <w:name w:val="正文模版 Char Char"/>
    <w:link w:val="834"/>
    <w:qFormat/>
    <w:locked/>
    <w:uiPriority w:val="0"/>
    <w:rPr>
      <w:rFonts w:ascii="宋体" w:hAnsi="宋体"/>
      <w:sz w:val="24"/>
    </w:rPr>
  </w:style>
  <w:style w:type="paragraph" w:customStyle="1" w:styleId="834">
    <w:name w:val="正文模版"/>
    <w:basedOn w:val="1"/>
    <w:link w:val="833"/>
    <w:qFormat/>
    <w:uiPriority w:val="0"/>
    <w:pPr>
      <w:spacing w:line="360" w:lineRule="auto"/>
      <w:ind w:firstLine="480" w:firstLineChars="200"/>
      <w:jc w:val="left"/>
    </w:pPr>
    <w:rPr>
      <w:rFonts w:ascii="宋体" w:hAnsi="宋体"/>
      <w:kern w:val="0"/>
      <w:sz w:val="24"/>
      <w:szCs w:val="20"/>
    </w:rPr>
  </w:style>
  <w:style w:type="character" w:customStyle="1" w:styleId="835">
    <w:name w:val="哈哈正文 Char"/>
    <w:link w:val="672"/>
    <w:qFormat/>
    <w:uiPriority w:val="0"/>
    <w:rPr>
      <w:rFonts w:ascii="宋体" w:hAnsi="宋体"/>
      <w:sz w:val="24"/>
    </w:rPr>
  </w:style>
  <w:style w:type="character" w:customStyle="1" w:styleId="836">
    <w:name w:val="段 Char Char Char Char Char Char"/>
    <w:qFormat/>
    <w:uiPriority w:val="0"/>
    <w:rPr>
      <w:rFonts w:ascii="宋体" w:eastAsia="宋体"/>
      <w:sz w:val="21"/>
      <w:lang w:val="en-US" w:eastAsia="zh-CN" w:bidi="ar-SA"/>
    </w:rPr>
  </w:style>
  <w:style w:type="character" w:customStyle="1" w:styleId="837">
    <w:name w:val="boldbodycopy1"/>
    <w:qFormat/>
    <w:uiPriority w:val="0"/>
    <w:rPr>
      <w:rFonts w:hint="default" w:ascii="Arial" w:hAnsi="Arial" w:eastAsia="宋体" w:cs="Arial"/>
      <w:b/>
      <w:bCs/>
      <w:color w:val="000000"/>
      <w:kern w:val="2"/>
      <w:sz w:val="20"/>
      <w:szCs w:val="20"/>
      <w:u w:val="none"/>
      <w:lang w:val="en-US" w:eastAsia="zh-CN" w:bidi="ar-SA"/>
    </w:rPr>
  </w:style>
  <w:style w:type="character" w:customStyle="1" w:styleId="838">
    <w:name w:val="正文首行缩进两字符 Char Char"/>
    <w:qFormat/>
    <w:uiPriority w:val="0"/>
    <w:rPr>
      <w:rFonts w:eastAsia="宋体"/>
      <w:kern w:val="2"/>
      <w:sz w:val="21"/>
      <w:szCs w:val="24"/>
      <w:lang w:val="en-US" w:eastAsia="zh-CN" w:bidi="ar-SA"/>
    </w:rPr>
  </w:style>
  <w:style w:type="character" w:customStyle="1" w:styleId="839">
    <w:name w:val="font-121"/>
    <w:qFormat/>
    <w:uiPriority w:val="0"/>
    <w:rPr>
      <w:color w:val="666666"/>
      <w:sz w:val="18"/>
      <w:szCs w:val="18"/>
      <w:u w:val="none"/>
    </w:rPr>
  </w:style>
  <w:style w:type="character" w:customStyle="1" w:styleId="840">
    <w:name w:val="tw4winMark"/>
    <w:qFormat/>
    <w:uiPriority w:val="0"/>
    <w:rPr>
      <w:rFonts w:ascii="Courier New" w:hAnsi="Courier New"/>
      <w:vanish/>
      <w:color w:val="800080"/>
      <w:vertAlign w:val="subscript"/>
    </w:rPr>
  </w:style>
  <w:style w:type="character" w:customStyle="1" w:styleId="841">
    <w:name w:val="纯文本 Char2"/>
    <w:qFormat/>
    <w:uiPriority w:val="0"/>
    <w:rPr>
      <w:rFonts w:ascii="宋体" w:hAnsi="Courier New" w:cs="Courier New"/>
      <w:kern w:val="2"/>
      <w:sz w:val="21"/>
      <w:szCs w:val="21"/>
    </w:rPr>
  </w:style>
  <w:style w:type="character" w:customStyle="1" w:styleId="842">
    <w:name w:val="style7"/>
    <w:qFormat/>
    <w:uiPriority w:val="0"/>
  </w:style>
  <w:style w:type="character" w:customStyle="1" w:styleId="843">
    <w:name w:val="正文 首行缩进:  2 字符 Char"/>
    <w:link w:val="844"/>
    <w:qFormat/>
    <w:uiPriority w:val="0"/>
    <w:rPr>
      <w:kern w:val="2"/>
      <w:sz w:val="24"/>
    </w:rPr>
  </w:style>
  <w:style w:type="paragraph" w:customStyle="1" w:styleId="844">
    <w:name w:val="正文 首行缩进:  2 字符"/>
    <w:basedOn w:val="1"/>
    <w:link w:val="843"/>
    <w:qFormat/>
    <w:uiPriority w:val="0"/>
    <w:pPr>
      <w:spacing w:line="300" w:lineRule="auto"/>
      <w:ind w:firstLine="480" w:firstLineChars="200"/>
      <w:jc w:val="left"/>
    </w:pPr>
    <w:rPr>
      <w:sz w:val="24"/>
      <w:szCs w:val="20"/>
    </w:rPr>
  </w:style>
  <w:style w:type="character" w:customStyle="1" w:styleId="845">
    <w:name w:val="a"/>
    <w:qFormat/>
    <w:uiPriority w:val="0"/>
    <w:rPr>
      <w:rFonts w:ascii="宋体" w:hAnsi="宋体" w:eastAsia="宋体"/>
      <w:kern w:val="2"/>
      <w:sz w:val="15"/>
      <w:lang w:val="en-US" w:eastAsia="zh-CN"/>
    </w:rPr>
  </w:style>
  <w:style w:type="character" w:customStyle="1" w:styleId="846">
    <w:name w:val="Char Char232"/>
    <w:qFormat/>
    <w:uiPriority w:val="0"/>
    <w:rPr>
      <w:rFonts w:ascii="Arial" w:hAnsi="Arial" w:eastAsia="宋体"/>
      <w:b/>
      <w:kern w:val="2"/>
      <w:sz w:val="30"/>
      <w:lang w:val="en-US" w:eastAsia="zh-CN"/>
    </w:rPr>
  </w:style>
  <w:style w:type="character" w:customStyle="1" w:styleId="847">
    <w:name w:val="文章正文 Char"/>
    <w:qFormat/>
    <w:uiPriority w:val="0"/>
    <w:rPr>
      <w:rFonts w:ascii="Times New Roman" w:hAnsi="Times New Roman"/>
      <w:kern w:val="2"/>
      <w:sz w:val="24"/>
      <w:szCs w:val="24"/>
    </w:rPr>
  </w:style>
  <w:style w:type="character" w:customStyle="1" w:styleId="848">
    <w:name w:val="标题  4 Char"/>
    <w:qFormat/>
    <w:uiPriority w:val="0"/>
    <w:rPr>
      <w:rFonts w:ascii="Verdana" w:hAnsi="Verdana" w:eastAsia="宋体"/>
      <w:b/>
      <w:kern w:val="2"/>
      <w:sz w:val="28"/>
      <w:lang w:val="en-US" w:eastAsia="zh-CN" w:bidi="ar-SA"/>
    </w:rPr>
  </w:style>
  <w:style w:type="character" w:customStyle="1" w:styleId="849">
    <w:name w:val="标题 11"/>
    <w:qFormat/>
    <w:uiPriority w:val="0"/>
    <w:rPr>
      <w:rFonts w:ascii="楷体_GB2312" w:hAnsi="宋体" w:eastAsia="楷体_GB2312"/>
      <w:b/>
      <w:kern w:val="44"/>
      <w:sz w:val="44"/>
      <w:lang w:val="en-US" w:eastAsia="zh-CN"/>
    </w:rPr>
  </w:style>
  <w:style w:type="character" w:customStyle="1" w:styleId="850">
    <w:name w:val="3zw1"/>
    <w:qFormat/>
    <w:uiPriority w:val="0"/>
  </w:style>
  <w:style w:type="character" w:customStyle="1" w:styleId="851">
    <w:name w:val="s061"/>
    <w:qFormat/>
    <w:uiPriority w:val="0"/>
    <w:rPr>
      <w:rFonts w:hint="default" w:ascii="Arial" w:hAnsi="Arial"/>
      <w:color w:val="160093"/>
      <w:sz w:val="24"/>
      <w:szCs w:val="24"/>
    </w:rPr>
  </w:style>
  <w:style w:type="character" w:customStyle="1" w:styleId="852">
    <w:name w:val="样式 小四 行距: 1.5 倍行距 首行缩进:  2 字符 Char"/>
    <w:link w:val="853"/>
    <w:qFormat/>
    <w:uiPriority w:val="0"/>
    <w:rPr>
      <w:rFonts w:ascii="宋体" w:hAnsi="宋体"/>
      <w:kern w:val="2"/>
      <w:sz w:val="24"/>
    </w:rPr>
  </w:style>
  <w:style w:type="paragraph" w:customStyle="1" w:styleId="853">
    <w:name w:val="样式 小四 行距: 1.5 倍行距 首行缩进:  2 字符"/>
    <w:basedOn w:val="1"/>
    <w:link w:val="852"/>
    <w:qFormat/>
    <w:uiPriority w:val="0"/>
    <w:pPr>
      <w:spacing w:line="360" w:lineRule="auto"/>
      <w:ind w:firstLine="480" w:firstLineChars="200"/>
    </w:pPr>
    <w:rPr>
      <w:rFonts w:ascii="宋体" w:hAnsi="宋体"/>
      <w:sz w:val="24"/>
      <w:szCs w:val="20"/>
    </w:rPr>
  </w:style>
  <w:style w:type="character" w:customStyle="1" w:styleId="854">
    <w:name w:val="信息标题 字符"/>
    <w:qFormat/>
    <w:uiPriority w:val="0"/>
    <w:rPr>
      <w:rFonts w:ascii="Arial" w:hAnsi="Arial" w:cs="Arial"/>
      <w:kern w:val="2"/>
      <w:sz w:val="24"/>
      <w:szCs w:val="24"/>
      <w:shd w:val="pct20" w:color="auto" w:fill="auto"/>
    </w:rPr>
  </w:style>
  <w:style w:type="character" w:customStyle="1" w:styleId="855">
    <w:name w:val="正文 首行缩进2字符 Char1"/>
    <w:link w:val="856"/>
    <w:qFormat/>
    <w:uiPriority w:val="0"/>
    <w:rPr>
      <w:kern w:val="2"/>
      <w:sz w:val="24"/>
    </w:rPr>
  </w:style>
  <w:style w:type="paragraph" w:customStyle="1" w:styleId="856">
    <w:name w:val="正文 首行缩进2字符"/>
    <w:basedOn w:val="1"/>
    <w:link w:val="855"/>
    <w:qFormat/>
    <w:uiPriority w:val="0"/>
    <w:pPr>
      <w:spacing w:line="360" w:lineRule="auto"/>
      <w:ind w:firstLine="200" w:firstLineChars="200"/>
    </w:pPr>
    <w:rPr>
      <w:sz w:val="24"/>
      <w:szCs w:val="20"/>
    </w:rPr>
  </w:style>
  <w:style w:type="character" w:customStyle="1" w:styleId="857">
    <w:name w:val="unnamed11"/>
    <w:qFormat/>
    <w:uiPriority w:val="0"/>
  </w:style>
  <w:style w:type="character" w:customStyle="1" w:styleId="858">
    <w:name w:val="批注主题 字符"/>
    <w:qFormat/>
    <w:uiPriority w:val="0"/>
    <w:rPr>
      <w:rFonts w:cs="Times New Roman"/>
      <w:b/>
      <w:bCs/>
      <w:kern w:val="2"/>
      <w:sz w:val="21"/>
      <w:szCs w:val="24"/>
    </w:rPr>
  </w:style>
  <w:style w:type="character" w:customStyle="1" w:styleId="859">
    <w:name w:val="常规 Char"/>
    <w:link w:val="860"/>
    <w:qFormat/>
    <w:uiPriority w:val="0"/>
    <w:rPr>
      <w:szCs w:val="21"/>
    </w:rPr>
  </w:style>
  <w:style w:type="paragraph" w:customStyle="1" w:styleId="860">
    <w:name w:val="常规"/>
    <w:basedOn w:val="1"/>
    <w:link w:val="859"/>
    <w:qFormat/>
    <w:uiPriority w:val="0"/>
    <w:pPr>
      <w:spacing w:before="312" w:beforeLines="100" w:after="312" w:afterLines="100"/>
      <w:ind w:left="1134"/>
    </w:pPr>
    <w:rPr>
      <w:kern w:val="0"/>
      <w:sz w:val="20"/>
      <w:szCs w:val="21"/>
    </w:rPr>
  </w:style>
  <w:style w:type="character" w:customStyle="1" w:styleId="861">
    <w:name w:val="【泰华】正文 Char"/>
    <w:link w:val="862"/>
    <w:qFormat/>
    <w:uiPriority w:val="0"/>
    <w:rPr>
      <w:rFonts w:ascii="Verdana" w:hAnsi="Verdana"/>
      <w:sz w:val="24"/>
      <w:szCs w:val="24"/>
      <w:lang w:eastAsia="en-US"/>
    </w:rPr>
  </w:style>
  <w:style w:type="paragraph" w:customStyle="1" w:styleId="862">
    <w:name w:val="【泰华】正文"/>
    <w:basedOn w:val="1"/>
    <w:link w:val="861"/>
    <w:qFormat/>
    <w:uiPriority w:val="0"/>
    <w:pPr>
      <w:widowControl/>
      <w:spacing w:line="360" w:lineRule="auto"/>
      <w:ind w:firstLine="480" w:firstLineChars="200"/>
    </w:pPr>
    <w:rPr>
      <w:rFonts w:ascii="Verdana" w:hAnsi="Verdana"/>
      <w:kern w:val="0"/>
      <w:sz w:val="24"/>
      <w:lang w:eastAsia="en-US"/>
    </w:rPr>
  </w:style>
  <w:style w:type="character" w:customStyle="1" w:styleId="863">
    <w:name w:val="m1"/>
    <w:qFormat/>
    <w:uiPriority w:val="0"/>
    <w:rPr>
      <w:rFonts w:ascii="Tahoma" w:hAnsi="Tahoma" w:eastAsia="宋体"/>
      <w:color w:val="0000FF"/>
      <w:kern w:val="2"/>
      <w:sz w:val="36"/>
      <w:szCs w:val="36"/>
      <w:lang w:val="en-US" w:eastAsia="zh-CN" w:bidi="ar-SA"/>
    </w:rPr>
  </w:style>
  <w:style w:type="character" w:customStyle="1" w:styleId="864">
    <w:name w:val="text_edit1"/>
    <w:qFormat/>
    <w:uiPriority w:val="0"/>
    <w:rPr>
      <w:color w:val="3366CC"/>
      <w:sz w:val="18"/>
      <w:szCs w:val="18"/>
    </w:rPr>
  </w:style>
  <w:style w:type="character" w:customStyle="1" w:styleId="865">
    <w:name w:val="ziti1"/>
    <w:qFormat/>
    <w:uiPriority w:val="0"/>
    <w:rPr>
      <w:rFonts w:hint="default"/>
      <w:color w:val="282726"/>
      <w:sz w:val="21"/>
      <w:szCs w:val="21"/>
      <w:u w:val="none"/>
    </w:rPr>
  </w:style>
  <w:style w:type="character" w:customStyle="1" w:styleId="866">
    <w:name w:val="文件标题1.1 Char Char"/>
    <w:link w:val="867"/>
    <w:qFormat/>
    <w:uiPriority w:val="0"/>
    <w:rPr>
      <w:b/>
      <w:kern w:val="2"/>
      <w:sz w:val="30"/>
      <w:szCs w:val="24"/>
    </w:rPr>
  </w:style>
  <w:style w:type="paragraph" w:customStyle="1" w:styleId="867">
    <w:name w:val="文件标题1.1"/>
    <w:basedOn w:val="1"/>
    <w:link w:val="866"/>
    <w:qFormat/>
    <w:uiPriority w:val="0"/>
    <w:pPr>
      <w:spacing w:beforeLines="50" w:afterLines="50" w:line="360" w:lineRule="auto"/>
      <w:jc w:val="left"/>
      <w:outlineLvl w:val="1"/>
    </w:pPr>
    <w:rPr>
      <w:b/>
      <w:sz w:val="30"/>
    </w:rPr>
  </w:style>
  <w:style w:type="character" w:customStyle="1" w:styleId="868">
    <w:name w:val="脚注文本 字符"/>
    <w:qFormat/>
    <w:uiPriority w:val="99"/>
    <w:rPr>
      <w:sz w:val="18"/>
    </w:rPr>
  </w:style>
  <w:style w:type="character" w:customStyle="1" w:styleId="869">
    <w:name w:val="pt1"/>
    <w:qFormat/>
    <w:uiPriority w:val="0"/>
    <w:rPr>
      <w:spacing w:val="270"/>
      <w:sz w:val="18"/>
      <w:szCs w:val="18"/>
    </w:rPr>
  </w:style>
  <w:style w:type="character" w:customStyle="1" w:styleId="870">
    <w:name w:val="正文样式 Char Char"/>
    <w:qFormat/>
    <w:uiPriority w:val="0"/>
    <w:rPr>
      <w:rFonts w:eastAsia="宋体"/>
      <w:kern w:val="2"/>
      <w:sz w:val="24"/>
      <w:szCs w:val="24"/>
      <w:lang w:val="en-US" w:eastAsia="zh-CN" w:bidi="ar-SA"/>
    </w:rPr>
  </w:style>
  <w:style w:type="character" w:customStyle="1" w:styleId="871">
    <w:name w:val="keywords1"/>
    <w:qFormat/>
    <w:uiPriority w:val="0"/>
    <w:rPr>
      <w:rFonts w:hint="default" w:ascii="Verdana" w:hAnsi="Verdana"/>
      <w:color w:val="FF6600"/>
      <w:sz w:val="20"/>
      <w:szCs w:val="20"/>
    </w:rPr>
  </w:style>
  <w:style w:type="character" w:customStyle="1" w:styleId="872">
    <w:name w:val="表头文字样式 Char"/>
    <w:link w:val="873"/>
    <w:qFormat/>
    <w:uiPriority w:val="0"/>
    <w:rPr>
      <w:b/>
      <w:kern w:val="2"/>
      <w:sz w:val="21"/>
      <w:szCs w:val="24"/>
    </w:rPr>
  </w:style>
  <w:style w:type="paragraph" w:customStyle="1" w:styleId="873">
    <w:name w:val="表头文字样式"/>
    <w:basedOn w:val="556"/>
    <w:link w:val="872"/>
    <w:qFormat/>
    <w:uiPriority w:val="0"/>
    <w:pPr>
      <w:ind w:firstLine="0" w:firstLineChars="0"/>
      <w:jc w:val="center"/>
    </w:pPr>
    <w:rPr>
      <w:b/>
      <w:sz w:val="21"/>
    </w:rPr>
  </w:style>
  <w:style w:type="character" w:customStyle="1" w:styleId="874">
    <w:name w:val="heading 5 Char Char"/>
    <w:qFormat/>
    <w:locked/>
    <w:uiPriority w:val="0"/>
    <w:rPr>
      <w:rFonts w:ascii="Arial" w:hAnsi="Arial" w:eastAsia="宋体" w:cs="Arial"/>
      <w:sz w:val="21"/>
      <w:szCs w:val="21"/>
      <w:lang w:val="en-US" w:eastAsia="zh-CN" w:bidi="ar-SA"/>
    </w:rPr>
  </w:style>
  <w:style w:type="character" w:customStyle="1" w:styleId="875">
    <w:name w:val="正文 首行缩进2字符 Char Char Char Char"/>
    <w:qFormat/>
    <w:uiPriority w:val="0"/>
    <w:rPr>
      <w:rFonts w:eastAsia="宋体"/>
      <w:kern w:val="2"/>
      <w:sz w:val="24"/>
      <w:szCs w:val="24"/>
      <w:lang w:val="en-US" w:eastAsia="zh-CN" w:bidi="ar-SA"/>
    </w:rPr>
  </w:style>
  <w:style w:type="character" w:customStyle="1" w:styleId="876">
    <w:name w:val="正文格式 Char Char"/>
    <w:qFormat/>
    <w:uiPriority w:val="0"/>
    <w:rPr>
      <w:rFonts w:ascii="Arial" w:hAnsi="Arial" w:eastAsia="新宋体" w:cs="Arial"/>
      <w:kern w:val="2"/>
      <w:sz w:val="24"/>
      <w:szCs w:val="24"/>
      <w:lang w:val="en-US" w:eastAsia="zh-CN" w:bidi="ar-SA"/>
    </w:rPr>
  </w:style>
  <w:style w:type="character" w:customStyle="1" w:styleId="877">
    <w:name w:val="textnorm_chn1"/>
    <w:qFormat/>
    <w:uiPriority w:val="0"/>
    <w:rPr>
      <w:rFonts w:hint="default" w:ascii="Arial" w:hAnsi="Arial" w:cs="Arial"/>
      <w:color w:val="21254A"/>
      <w:sz w:val="22"/>
      <w:szCs w:val="22"/>
    </w:rPr>
  </w:style>
  <w:style w:type="character" w:customStyle="1" w:styleId="878">
    <w:name w:val="副标题 Char1"/>
    <w:qFormat/>
    <w:uiPriority w:val="11"/>
    <w:rPr>
      <w:rFonts w:ascii="Cambria" w:hAnsi="Cambria" w:cs="Times New Roman"/>
      <w:b/>
      <w:bCs/>
      <w:kern w:val="28"/>
      <w:sz w:val="32"/>
      <w:szCs w:val="32"/>
    </w:rPr>
  </w:style>
  <w:style w:type="character" w:customStyle="1" w:styleId="879">
    <w:name w:val="concenttitle"/>
    <w:qFormat/>
    <w:uiPriority w:val="0"/>
  </w:style>
  <w:style w:type="character" w:customStyle="1" w:styleId="880">
    <w:name w:val="unnamed1"/>
    <w:qFormat/>
    <w:uiPriority w:val="0"/>
  </w:style>
  <w:style w:type="character" w:customStyle="1" w:styleId="881">
    <w:name w:val="cn_text1"/>
    <w:qFormat/>
    <w:uiPriority w:val="0"/>
    <w:rPr>
      <w:rFonts w:hint="default" w:ascii="ˎ̥" w:hAnsi="ˎ̥"/>
      <w:color w:val="003399"/>
      <w:spacing w:val="15"/>
      <w:sz w:val="18"/>
      <w:szCs w:val="18"/>
    </w:rPr>
  </w:style>
  <w:style w:type="character" w:customStyle="1" w:styleId="882">
    <w:name w:val="标题4"/>
    <w:qFormat/>
    <w:uiPriority w:val="0"/>
    <w:rPr>
      <w:rFonts w:ascii="Verdana" w:hAnsi="Verdana" w:eastAsia="仿宋_GB2312"/>
      <w:sz w:val="24"/>
      <w:lang w:val="en-US" w:eastAsia="en-US" w:bidi="ar-SA"/>
    </w:rPr>
  </w:style>
  <w:style w:type="character" w:customStyle="1" w:styleId="883">
    <w:name w:val="vxl1"/>
    <w:qFormat/>
    <w:uiPriority w:val="0"/>
    <w:rPr>
      <w:rFonts w:hint="default" w:ascii="Verdana" w:hAnsi="Verdana"/>
      <w:b/>
      <w:bCs/>
      <w:color w:val="000033"/>
      <w:sz w:val="24"/>
      <w:szCs w:val="24"/>
      <w:u w:val="none"/>
    </w:rPr>
  </w:style>
  <w:style w:type="character" w:customStyle="1" w:styleId="884">
    <w:name w:val="font51"/>
    <w:qFormat/>
    <w:uiPriority w:val="0"/>
    <w:rPr>
      <w:rFonts w:hint="default" w:ascii="Arial" w:hAnsi="Arial" w:cs="Arial"/>
      <w:color w:val="333333"/>
      <w:spacing w:val="0"/>
      <w:sz w:val="19"/>
      <w:szCs w:val="19"/>
    </w:rPr>
  </w:style>
  <w:style w:type="character" w:customStyle="1" w:styleId="885">
    <w:name w:val="font_blue1"/>
    <w:qFormat/>
    <w:uiPriority w:val="0"/>
    <w:rPr>
      <w:b/>
      <w:bCs/>
      <w:color w:val="0070BC"/>
      <w:sz w:val="18"/>
      <w:szCs w:val="18"/>
      <w:u w:val="none"/>
    </w:rPr>
  </w:style>
  <w:style w:type="character" w:customStyle="1" w:styleId="886">
    <w:name w:val="标题 7 字符"/>
    <w:qFormat/>
    <w:uiPriority w:val="0"/>
    <w:rPr>
      <w:b/>
      <w:bCs/>
      <w:kern w:val="2"/>
      <w:sz w:val="24"/>
      <w:szCs w:val="24"/>
    </w:rPr>
  </w:style>
  <w:style w:type="character" w:customStyle="1" w:styleId="887">
    <w:name w:val="正文 首行缩进2字符 Char Char Char"/>
    <w:qFormat/>
    <w:uiPriority w:val="0"/>
    <w:rPr>
      <w:rFonts w:eastAsia="宋体"/>
      <w:kern w:val="2"/>
      <w:sz w:val="24"/>
      <w:szCs w:val="24"/>
      <w:lang w:val="en-US" w:eastAsia="zh-CN" w:bidi="ar-SA"/>
    </w:rPr>
  </w:style>
  <w:style w:type="character" w:customStyle="1" w:styleId="888">
    <w:name w:val="style91"/>
    <w:qFormat/>
    <w:uiPriority w:val="0"/>
    <w:rPr>
      <w:sz w:val="28"/>
      <w:szCs w:val="28"/>
    </w:rPr>
  </w:style>
  <w:style w:type="character" w:customStyle="1" w:styleId="889">
    <w:name w:val="Char Char15"/>
    <w:qFormat/>
    <w:uiPriority w:val="0"/>
    <w:rPr>
      <w:rFonts w:eastAsia="宋体"/>
      <w:b/>
      <w:bCs/>
      <w:kern w:val="44"/>
      <w:sz w:val="36"/>
      <w:szCs w:val="44"/>
      <w:lang w:val="en-US" w:eastAsia="zh-CN" w:bidi="ar-SA"/>
    </w:rPr>
  </w:style>
  <w:style w:type="character" w:customStyle="1" w:styleId="890">
    <w:name w:val="my正文 Char Char"/>
    <w:link w:val="891"/>
    <w:qFormat/>
    <w:uiPriority w:val="0"/>
    <w:rPr>
      <w:kern w:val="2"/>
      <w:sz w:val="24"/>
    </w:rPr>
  </w:style>
  <w:style w:type="paragraph" w:customStyle="1" w:styleId="891">
    <w:name w:val="my正文"/>
    <w:basedOn w:val="1"/>
    <w:link w:val="890"/>
    <w:qFormat/>
    <w:uiPriority w:val="0"/>
    <w:pPr>
      <w:spacing w:line="360" w:lineRule="auto"/>
      <w:ind w:firstLine="480" w:firstLineChars="200"/>
    </w:pPr>
    <w:rPr>
      <w:sz w:val="24"/>
      <w:szCs w:val="20"/>
    </w:rPr>
  </w:style>
  <w:style w:type="character" w:customStyle="1" w:styleId="892">
    <w:name w:val="论文正文 Char"/>
    <w:link w:val="893"/>
    <w:qFormat/>
    <w:uiPriority w:val="0"/>
    <w:rPr>
      <w:sz w:val="24"/>
      <w:szCs w:val="24"/>
      <w:lang w:bidi="en-US"/>
    </w:rPr>
  </w:style>
  <w:style w:type="paragraph" w:customStyle="1" w:styleId="893">
    <w:name w:val="论文正文"/>
    <w:basedOn w:val="1"/>
    <w:link w:val="892"/>
    <w:qFormat/>
    <w:uiPriority w:val="0"/>
    <w:pPr>
      <w:widowControl/>
      <w:spacing w:line="400" w:lineRule="exact"/>
      <w:ind w:firstLine="200" w:firstLineChars="200"/>
      <w:jc w:val="left"/>
    </w:pPr>
    <w:rPr>
      <w:kern w:val="0"/>
      <w:sz w:val="24"/>
      <w:lang w:bidi="en-US"/>
    </w:rPr>
  </w:style>
  <w:style w:type="character" w:customStyle="1" w:styleId="894">
    <w:name w:val="列表（符号一级）（绿盟科技） Char"/>
    <w:link w:val="895"/>
    <w:qFormat/>
    <w:uiPriority w:val="0"/>
    <w:rPr>
      <w:rFonts w:ascii="Arial" w:hAnsi="Arial"/>
      <w:sz w:val="21"/>
      <w:szCs w:val="21"/>
    </w:rPr>
  </w:style>
  <w:style w:type="paragraph" w:customStyle="1" w:styleId="895">
    <w:name w:val="列表（符号一级）（绿盟科技）"/>
    <w:basedOn w:val="1"/>
    <w:link w:val="894"/>
    <w:qFormat/>
    <w:uiPriority w:val="0"/>
    <w:pPr>
      <w:widowControl/>
      <w:numPr>
        <w:ilvl w:val="0"/>
        <w:numId w:val="15"/>
      </w:numPr>
      <w:tabs>
        <w:tab w:val="left" w:pos="360"/>
      </w:tabs>
      <w:spacing w:line="300" w:lineRule="auto"/>
      <w:ind w:left="0" w:firstLine="0"/>
      <w:jc w:val="left"/>
    </w:pPr>
    <w:rPr>
      <w:rFonts w:ascii="Arial" w:hAnsi="Arial"/>
      <w:kern w:val="0"/>
      <w:szCs w:val="21"/>
    </w:rPr>
  </w:style>
  <w:style w:type="character" w:customStyle="1" w:styleId="896">
    <w:name w:val="正文样式 Char Char Char Char"/>
    <w:qFormat/>
    <w:uiPriority w:val="0"/>
    <w:rPr>
      <w:rFonts w:eastAsia="宋体"/>
      <w:kern w:val="2"/>
      <w:sz w:val="24"/>
      <w:szCs w:val="24"/>
      <w:lang w:val="en-US" w:eastAsia="zh-CN" w:bidi="ar-SA"/>
    </w:rPr>
  </w:style>
  <w:style w:type="character" w:customStyle="1" w:styleId="897">
    <w:name w:val="正文文本 3 字符"/>
    <w:qFormat/>
    <w:uiPriority w:val="0"/>
    <w:rPr>
      <w:kern w:val="2"/>
      <w:sz w:val="16"/>
    </w:rPr>
  </w:style>
  <w:style w:type="character" w:customStyle="1" w:styleId="898">
    <w:name w:val="it1"/>
    <w:qFormat/>
    <w:uiPriority w:val="0"/>
    <w:rPr>
      <w:rFonts w:hint="eastAsia" w:ascii="宋体" w:hAnsi="宋体" w:eastAsia="宋体"/>
      <w:color w:val="000000"/>
      <w:kern w:val="2"/>
      <w:sz w:val="18"/>
      <w:szCs w:val="18"/>
      <w:lang w:val="en-US" w:eastAsia="zh-CN" w:bidi="ar-SA"/>
    </w:rPr>
  </w:style>
  <w:style w:type="character" w:customStyle="1" w:styleId="899">
    <w:name w:val="huei12b1"/>
    <w:qFormat/>
    <w:uiPriority w:val="0"/>
    <w:rPr>
      <w:rFonts w:ascii="宋体" w:hAnsi="宋体" w:eastAsia="宋体"/>
      <w:b/>
      <w:color w:val="333333"/>
      <w:kern w:val="2"/>
      <w:sz w:val="18"/>
      <w:lang w:val="en-US" w:eastAsia="zh-CN"/>
    </w:rPr>
  </w:style>
  <w:style w:type="character" w:customStyle="1" w:styleId="900">
    <w:name w:val="尾注文本 Char"/>
    <w:link w:val="57"/>
    <w:qFormat/>
    <w:uiPriority w:val="99"/>
    <w:rPr>
      <w:kern w:val="2"/>
      <w:sz w:val="21"/>
      <w:szCs w:val="22"/>
    </w:rPr>
  </w:style>
  <w:style w:type="character" w:customStyle="1" w:styleId="901">
    <w:name w:val="zcl1"/>
    <w:qFormat/>
    <w:uiPriority w:val="0"/>
    <w:rPr>
      <w:rFonts w:ascii="宋体" w:hAnsi="宋体" w:eastAsia="宋体"/>
      <w:color w:val="000000"/>
      <w:kern w:val="2"/>
      <w:sz w:val="18"/>
      <w:u w:val="none"/>
      <w:lang w:val="en-US" w:eastAsia="zh-CN"/>
    </w:rPr>
  </w:style>
  <w:style w:type="character" w:customStyle="1" w:styleId="902">
    <w:name w:val="articlecontent1"/>
    <w:qFormat/>
    <w:uiPriority w:val="0"/>
    <w:rPr>
      <w:sz w:val="23"/>
      <w:szCs w:val="23"/>
    </w:rPr>
  </w:style>
  <w:style w:type="character" w:customStyle="1" w:styleId="903">
    <w:name w:val="yured21"/>
    <w:qFormat/>
    <w:uiPriority w:val="0"/>
    <w:rPr>
      <w:rFonts w:hint="default" w:ascii="Arial" w:hAnsi="Arial" w:cs="Arial"/>
      <w:color w:val="000000"/>
      <w:spacing w:val="0"/>
      <w:sz w:val="24"/>
      <w:szCs w:val="24"/>
    </w:rPr>
  </w:style>
  <w:style w:type="character" w:customStyle="1" w:styleId="904">
    <w:name w:val="Sale_Header 1 Char"/>
    <w:link w:val="905"/>
    <w:qFormat/>
    <w:uiPriority w:val="0"/>
    <w:rPr>
      <w:rFonts w:ascii="Arial" w:hAnsi="Arial"/>
      <w:b/>
      <w:i/>
      <w:iCs/>
      <w:color w:val="000000"/>
      <w:kern w:val="44"/>
      <w:sz w:val="24"/>
      <w:szCs w:val="24"/>
      <w:shd w:val="clear" w:color="auto" w:fill="FFFFFF"/>
    </w:rPr>
  </w:style>
  <w:style w:type="paragraph" w:customStyle="1" w:styleId="905">
    <w:name w:val="Sale_Header 1"/>
    <w:next w:val="1"/>
    <w:link w:val="904"/>
    <w:qFormat/>
    <w:uiPriority w:val="0"/>
    <w:pPr>
      <w:numPr>
        <w:ilvl w:val="1"/>
        <w:numId w:val="16"/>
      </w:numPr>
      <w:shd w:val="clear" w:color="auto" w:fill="FFFFFF"/>
      <w:tabs>
        <w:tab w:val="left" w:pos="1752"/>
      </w:tabs>
      <w:spacing w:line="360" w:lineRule="auto"/>
    </w:pPr>
    <w:rPr>
      <w:rFonts w:ascii="Arial" w:hAnsi="Arial" w:eastAsia="宋体" w:cs="Times New Roman"/>
      <w:b/>
      <w:i/>
      <w:iCs/>
      <w:color w:val="000000"/>
      <w:kern w:val="44"/>
      <w:sz w:val="24"/>
      <w:szCs w:val="24"/>
      <w:lang w:val="en-US" w:eastAsia="zh-CN" w:bidi="ar-SA"/>
    </w:rPr>
  </w:style>
  <w:style w:type="character" w:customStyle="1" w:styleId="906">
    <w:name w:val="标题3 Char"/>
    <w:link w:val="466"/>
    <w:qFormat/>
    <w:uiPriority w:val="0"/>
    <w:rPr>
      <w:b/>
      <w:bCs/>
      <w:kern w:val="2"/>
      <w:sz w:val="21"/>
      <w:szCs w:val="32"/>
    </w:rPr>
  </w:style>
  <w:style w:type="character" w:customStyle="1" w:styleId="907">
    <w:name w:val="标题 4 字符"/>
    <w:qFormat/>
    <w:uiPriority w:val="9"/>
    <w:rPr>
      <w:rFonts w:ascii="Arial" w:hAnsi="Arial" w:eastAsia="黑体"/>
      <w:b/>
      <w:bCs/>
      <w:kern w:val="2"/>
      <w:sz w:val="28"/>
      <w:szCs w:val="28"/>
    </w:rPr>
  </w:style>
  <w:style w:type="character" w:customStyle="1" w:styleId="908">
    <w:name w:val="font-12"/>
    <w:qFormat/>
    <w:uiPriority w:val="0"/>
  </w:style>
  <w:style w:type="character" w:customStyle="1" w:styleId="909">
    <w:name w:val="注释标题 Char"/>
    <w:link w:val="24"/>
    <w:qFormat/>
    <w:uiPriority w:val="0"/>
    <w:rPr>
      <w:kern w:val="2"/>
      <w:sz w:val="21"/>
      <w:szCs w:val="22"/>
    </w:rPr>
  </w:style>
  <w:style w:type="character" w:customStyle="1" w:styleId="910">
    <w:name w:val="Head 115 Char"/>
    <w:qFormat/>
    <w:uiPriority w:val="0"/>
    <w:rPr>
      <w:rFonts w:ascii="Verdana" w:hAnsi="Verdana" w:eastAsia="宋体"/>
      <w:b/>
      <w:kern w:val="44"/>
      <w:sz w:val="44"/>
      <w:lang w:val="en-US" w:eastAsia="zh-CN" w:bidi="ar-SA"/>
    </w:rPr>
  </w:style>
  <w:style w:type="character" w:customStyle="1" w:styleId="911">
    <w:name w:val="w031"/>
    <w:qFormat/>
    <w:uiPriority w:val="0"/>
    <w:rPr>
      <w:rFonts w:hint="eastAsia" w:ascii="宋体" w:hAnsi="宋体" w:eastAsia="宋体"/>
      <w:color w:val="666666"/>
      <w:sz w:val="24"/>
      <w:szCs w:val="24"/>
    </w:rPr>
  </w:style>
  <w:style w:type="character" w:customStyle="1" w:styleId="912">
    <w:name w:val="脚注文本 Char1"/>
    <w:semiHidden/>
    <w:qFormat/>
    <w:uiPriority w:val="99"/>
    <w:rPr>
      <w:kern w:val="2"/>
      <w:sz w:val="18"/>
      <w:szCs w:val="18"/>
    </w:rPr>
  </w:style>
  <w:style w:type="character" w:customStyle="1" w:styleId="913">
    <w:name w:val="论文正文 Char Char"/>
    <w:qFormat/>
    <w:uiPriority w:val="0"/>
    <w:rPr>
      <w:sz w:val="24"/>
      <w:szCs w:val="24"/>
      <w:lang w:bidi="en-US"/>
    </w:rPr>
  </w:style>
  <w:style w:type="character" w:customStyle="1" w:styleId="914">
    <w:name w:val="Table Heading Char"/>
    <w:link w:val="915"/>
    <w:qFormat/>
    <w:uiPriority w:val="0"/>
    <w:rPr>
      <w:rFonts w:ascii="Arial" w:hAnsi="Arial" w:eastAsia="黑体"/>
      <w:kern w:val="2"/>
      <w:sz w:val="21"/>
    </w:rPr>
  </w:style>
  <w:style w:type="paragraph" w:customStyle="1" w:styleId="915">
    <w:name w:val="Table Heading"/>
    <w:link w:val="914"/>
    <w:qFormat/>
    <w:uiPriority w:val="0"/>
    <w:pPr>
      <w:keepNext/>
      <w:snapToGrid w:val="0"/>
      <w:spacing w:before="80" w:after="80"/>
      <w:jc w:val="center"/>
    </w:pPr>
    <w:rPr>
      <w:rFonts w:ascii="Arial" w:hAnsi="Arial" w:eastAsia="黑体" w:cs="Times New Roman"/>
      <w:kern w:val="2"/>
      <w:sz w:val="21"/>
      <w:lang w:val="en-US" w:eastAsia="zh-CN" w:bidi="ar-SA"/>
    </w:rPr>
  </w:style>
  <w:style w:type="character" w:customStyle="1" w:styleId="916">
    <w:name w:val="CSS1级正文 Char"/>
    <w:link w:val="917"/>
    <w:qFormat/>
    <w:uiPriority w:val="0"/>
    <w:rPr>
      <w:kern w:val="2"/>
      <w:sz w:val="24"/>
    </w:rPr>
  </w:style>
  <w:style w:type="paragraph" w:customStyle="1" w:styleId="917">
    <w:name w:val="CSS1级正文"/>
    <w:basedOn w:val="1"/>
    <w:link w:val="916"/>
    <w:qFormat/>
    <w:uiPriority w:val="0"/>
    <w:pPr>
      <w:adjustRightInd w:val="0"/>
      <w:snapToGrid w:val="0"/>
      <w:spacing w:line="360" w:lineRule="auto"/>
      <w:ind w:firstLine="480" w:firstLineChars="200"/>
    </w:pPr>
    <w:rPr>
      <w:sz w:val="24"/>
      <w:szCs w:val="20"/>
    </w:rPr>
  </w:style>
  <w:style w:type="character" w:customStyle="1" w:styleId="918">
    <w:name w:val="（缩进4空2） Char Char"/>
    <w:qFormat/>
    <w:uiPriority w:val="0"/>
    <w:rPr>
      <w:rFonts w:ascii="Verdana" w:hAnsi="Verdana" w:eastAsia="宋体"/>
      <w:kern w:val="2"/>
      <w:sz w:val="24"/>
      <w:szCs w:val="24"/>
      <w:lang w:val="en-US" w:eastAsia="zh-CN" w:bidi="ar-SA"/>
    </w:rPr>
  </w:style>
  <w:style w:type="character" w:customStyle="1" w:styleId="919">
    <w:name w:val="页码1"/>
    <w:qFormat/>
    <w:uiPriority w:val="99"/>
    <w:rPr>
      <w:rFonts w:cs="Times New Roman"/>
    </w:rPr>
  </w:style>
  <w:style w:type="character" w:customStyle="1" w:styleId="920">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921">
    <w:name w:val="oblog_text"/>
    <w:qFormat/>
    <w:uiPriority w:val="0"/>
  </w:style>
  <w:style w:type="character" w:customStyle="1" w:styleId="922">
    <w:name w:val="12word1"/>
    <w:qFormat/>
    <w:uiPriority w:val="0"/>
    <w:rPr>
      <w:rFonts w:ascii="Tahoma" w:hAnsi="Tahoma" w:eastAsia="宋体"/>
      <w:kern w:val="2"/>
      <w:sz w:val="18"/>
      <w:szCs w:val="18"/>
      <w:lang w:val="en-US" w:eastAsia="zh-CN" w:bidi="ar-SA"/>
    </w:rPr>
  </w:style>
  <w:style w:type="character" w:customStyle="1" w:styleId="923">
    <w:name w:val="1051"/>
    <w:qFormat/>
    <w:uiPriority w:val="0"/>
    <w:rPr>
      <w:spacing w:val="300"/>
      <w:sz w:val="21"/>
      <w:szCs w:val="21"/>
    </w:rPr>
  </w:style>
  <w:style w:type="character" w:customStyle="1" w:styleId="924">
    <w:name w:val="atitle31"/>
    <w:qFormat/>
    <w:uiPriority w:val="0"/>
    <w:rPr>
      <w:rFonts w:hint="default" w:ascii="Arial" w:hAnsi="Arial" w:cs="Arial"/>
      <w:b/>
      <w:bCs/>
      <w:sz w:val="29"/>
      <w:szCs w:val="29"/>
    </w:rPr>
  </w:style>
  <w:style w:type="character" w:customStyle="1" w:styleId="925">
    <w:name w:val="heading 4 Char Char"/>
    <w:semiHidden/>
    <w:qFormat/>
    <w:locked/>
    <w:uiPriority w:val="0"/>
    <w:rPr>
      <w:rFonts w:ascii="Cambria" w:hAnsi="Cambria" w:eastAsia="宋体"/>
      <w:b/>
      <w:bCs/>
      <w:kern w:val="2"/>
      <w:sz w:val="28"/>
      <w:szCs w:val="28"/>
      <w:lang w:val="en-US" w:eastAsia="zh-CN" w:bidi="ar-SA"/>
    </w:rPr>
  </w:style>
  <w:style w:type="character" w:customStyle="1" w:styleId="926">
    <w:name w:val="style31"/>
    <w:qFormat/>
    <w:uiPriority w:val="0"/>
    <w:rPr>
      <w:sz w:val="28"/>
      <w:szCs w:val="28"/>
    </w:rPr>
  </w:style>
  <w:style w:type="character" w:customStyle="1" w:styleId="927">
    <w:name w:val="正文首行缩进两字符 Char"/>
    <w:qFormat/>
    <w:uiPriority w:val="0"/>
    <w:rPr>
      <w:rFonts w:eastAsia="宋体"/>
      <w:kern w:val="2"/>
      <w:sz w:val="21"/>
      <w:szCs w:val="24"/>
      <w:lang w:val="en-US" w:eastAsia="zh-CN" w:bidi="ar-SA"/>
    </w:rPr>
  </w:style>
  <w:style w:type="character" w:customStyle="1" w:styleId="928">
    <w:name w:val="Char Char6"/>
    <w:qFormat/>
    <w:uiPriority w:val="99"/>
    <w:rPr>
      <w:rFonts w:ascii="宋体" w:hAnsi="宋体" w:eastAsia="宋体"/>
      <w:kern w:val="2"/>
      <w:sz w:val="24"/>
      <w:lang w:val="en-US" w:eastAsia="zh-CN"/>
    </w:rPr>
  </w:style>
  <w:style w:type="character" w:customStyle="1" w:styleId="929">
    <w:name w:val="Legal Level 1.1.1. Char"/>
    <w:qFormat/>
    <w:uiPriority w:val="0"/>
    <w:rPr>
      <w:rFonts w:ascii="Arial" w:hAnsi="Arial" w:eastAsia="黑体"/>
      <w:kern w:val="2"/>
      <w:sz w:val="24"/>
      <w:szCs w:val="24"/>
      <w:lang w:val="en-US" w:eastAsia="zh-CN" w:bidi="ar-SA"/>
    </w:rPr>
  </w:style>
  <w:style w:type="character" w:customStyle="1" w:styleId="930">
    <w:name w:val="中文正文 Char Char Char Char Char"/>
    <w:qFormat/>
    <w:uiPriority w:val="0"/>
    <w:rPr>
      <w:rFonts w:ascii="仿宋_GB2312" w:hAnsi="Verdana" w:eastAsia="仿宋_GB2312"/>
      <w:kern w:val="2"/>
      <w:sz w:val="26"/>
      <w:lang w:val="en-US" w:eastAsia="zh-CN" w:bidi="ar-SA"/>
    </w:rPr>
  </w:style>
  <w:style w:type="character" w:customStyle="1" w:styleId="931">
    <w:name w:val="段 Char Char Char"/>
    <w:qFormat/>
    <w:uiPriority w:val="0"/>
    <w:rPr>
      <w:rFonts w:ascii="宋体" w:eastAsia="宋体"/>
      <w:sz w:val="21"/>
      <w:lang w:val="en-US" w:eastAsia="zh-CN" w:bidi="ar-SA"/>
    </w:rPr>
  </w:style>
  <w:style w:type="character" w:customStyle="1" w:styleId="932">
    <w:name w:val="p21"/>
    <w:qFormat/>
    <w:uiPriority w:val="0"/>
    <w:rPr>
      <w:rFonts w:hint="default" w:ascii="ˎ̥" w:hAnsi="ˎ̥"/>
      <w:sz w:val="22"/>
      <w:szCs w:val="22"/>
    </w:rPr>
  </w:style>
  <w:style w:type="character" w:customStyle="1" w:styleId="933">
    <w:name w:val="tx1"/>
    <w:qFormat/>
    <w:uiPriority w:val="0"/>
    <w:rPr>
      <w:rFonts w:ascii="Tahoma" w:hAnsi="Tahoma" w:eastAsia="宋体"/>
      <w:b/>
      <w:bCs/>
      <w:kern w:val="2"/>
      <w:sz w:val="36"/>
      <w:szCs w:val="36"/>
      <w:lang w:val="en-US" w:eastAsia="zh-CN" w:bidi="ar-SA"/>
    </w:rPr>
  </w:style>
  <w:style w:type="character" w:customStyle="1" w:styleId="934">
    <w:name w:val="样式 样式 正文缩进 + 行距: 固定值 22 磅 + 宋体 小四 Char"/>
    <w:link w:val="935"/>
    <w:qFormat/>
    <w:uiPriority w:val="0"/>
    <w:rPr>
      <w:rFonts w:ascii="宋体" w:hAnsi="宋体"/>
      <w:kern w:val="2"/>
      <w:sz w:val="24"/>
    </w:rPr>
  </w:style>
  <w:style w:type="paragraph" w:customStyle="1" w:styleId="935">
    <w:name w:val="样式 样式 正文缩进 + 行距: 固定值 22 磅 + 宋体 小四"/>
    <w:basedOn w:val="1"/>
    <w:link w:val="934"/>
    <w:qFormat/>
    <w:uiPriority w:val="0"/>
    <w:pPr>
      <w:spacing w:line="360" w:lineRule="auto"/>
      <w:ind w:firstLine="480" w:firstLineChars="200"/>
    </w:pPr>
    <w:rPr>
      <w:rFonts w:ascii="宋体" w:hAnsi="宋体"/>
      <w:sz w:val="24"/>
      <w:szCs w:val="20"/>
    </w:rPr>
  </w:style>
  <w:style w:type="character" w:customStyle="1" w:styleId="936">
    <w:name w:val="h17 Char"/>
    <w:qFormat/>
    <w:uiPriority w:val="0"/>
    <w:rPr>
      <w:rFonts w:ascii="楷体_GB2312" w:hAnsi="宋体" w:eastAsia="楷体_GB2312"/>
      <w:b/>
      <w:kern w:val="44"/>
      <w:sz w:val="44"/>
      <w:lang w:val="en-US" w:eastAsia="zh-CN"/>
    </w:rPr>
  </w:style>
  <w:style w:type="character" w:customStyle="1" w:styleId="937">
    <w:name w:val="样式81"/>
    <w:qFormat/>
    <w:uiPriority w:val="0"/>
    <w:rPr>
      <w:color w:val="FF9A00"/>
    </w:rPr>
  </w:style>
  <w:style w:type="character" w:customStyle="1" w:styleId="938">
    <w:name w:val="style101"/>
    <w:qFormat/>
    <w:uiPriority w:val="0"/>
    <w:rPr>
      <w:rFonts w:ascii="Verdana" w:hAnsi="Verdana" w:eastAsia="仿宋_GB2312"/>
      <w:sz w:val="18"/>
      <w:szCs w:val="18"/>
      <w:lang w:val="en-US" w:eastAsia="en-US" w:bidi="ar-SA"/>
    </w:rPr>
  </w:style>
  <w:style w:type="character" w:customStyle="1" w:styleId="939">
    <w:name w:val="large1"/>
    <w:qFormat/>
    <w:uiPriority w:val="0"/>
    <w:rPr>
      <w:rFonts w:ascii="宋体" w:hAnsi="宋体" w:eastAsia="宋体"/>
      <w:kern w:val="2"/>
      <w:sz w:val="24"/>
      <w:lang w:val="en-US" w:eastAsia="zh-CN"/>
    </w:rPr>
  </w:style>
  <w:style w:type="character" w:customStyle="1" w:styleId="940">
    <w:name w:val="red_31"/>
    <w:qFormat/>
    <w:uiPriority w:val="0"/>
    <w:rPr>
      <w:b/>
      <w:bCs/>
      <w:color w:val="333366"/>
      <w:sz w:val="28"/>
      <w:szCs w:val="28"/>
    </w:rPr>
  </w:style>
  <w:style w:type="character" w:customStyle="1" w:styleId="941">
    <w:name w:val="正文首行缩进 2 Char1"/>
    <w:semiHidden/>
    <w:qFormat/>
    <w:uiPriority w:val="99"/>
    <w:rPr>
      <w:kern w:val="2"/>
      <w:sz w:val="21"/>
      <w:szCs w:val="22"/>
    </w:rPr>
  </w:style>
  <w:style w:type="character" w:customStyle="1" w:styleId="942">
    <w:name w:val="h105-2"/>
    <w:qFormat/>
    <w:uiPriority w:val="0"/>
    <w:rPr>
      <w:rFonts w:ascii="Tahoma" w:hAnsi="Tahoma" w:eastAsia="宋体"/>
      <w:kern w:val="2"/>
      <w:sz w:val="36"/>
      <w:szCs w:val="36"/>
      <w:lang w:val="en-US" w:eastAsia="zh-CN" w:bidi="ar-SA"/>
    </w:rPr>
  </w:style>
  <w:style w:type="character" w:customStyle="1" w:styleId="943">
    <w:name w:val="ssss Char"/>
    <w:link w:val="944"/>
    <w:qFormat/>
    <w:uiPriority w:val="0"/>
    <w:rPr>
      <w:kern w:val="2"/>
      <w:sz w:val="24"/>
      <w:szCs w:val="24"/>
    </w:rPr>
  </w:style>
  <w:style w:type="paragraph" w:customStyle="1" w:styleId="944">
    <w:name w:val="ssss"/>
    <w:basedOn w:val="1"/>
    <w:link w:val="943"/>
    <w:qFormat/>
    <w:uiPriority w:val="0"/>
    <w:pPr>
      <w:spacing w:line="360" w:lineRule="auto"/>
    </w:pPr>
    <w:rPr>
      <w:sz w:val="24"/>
    </w:rPr>
  </w:style>
  <w:style w:type="character" w:customStyle="1" w:styleId="945">
    <w:name w:val="q1"/>
    <w:qFormat/>
    <w:uiPriority w:val="0"/>
    <w:rPr>
      <w:rFonts w:ascii="宋体" w:hAnsi="宋体" w:eastAsia="宋体"/>
      <w:kern w:val="2"/>
      <w:sz w:val="18"/>
      <w:lang w:val="en-US" w:eastAsia="zh-CN"/>
    </w:rPr>
  </w:style>
  <w:style w:type="character" w:customStyle="1" w:styleId="946">
    <w:name w:val="HTML 预设格式 Char1"/>
    <w:semiHidden/>
    <w:qFormat/>
    <w:uiPriority w:val="99"/>
    <w:rPr>
      <w:rFonts w:ascii="Courier New" w:hAnsi="Courier New" w:cs="Courier New"/>
      <w:kern w:val="2"/>
    </w:rPr>
  </w:style>
  <w:style w:type="character" w:customStyle="1" w:styleId="947">
    <w:name w:val="文档正文 Char"/>
    <w:link w:val="248"/>
    <w:qFormat/>
    <w:uiPriority w:val="0"/>
    <w:rPr>
      <w:rFonts w:ascii="Arial" w:hAnsi="Arial"/>
      <w:kern w:val="2"/>
      <w:sz w:val="21"/>
    </w:rPr>
  </w:style>
  <w:style w:type="character" w:customStyle="1" w:styleId="948">
    <w:name w:val="style311"/>
    <w:qFormat/>
    <w:uiPriority w:val="0"/>
    <w:rPr>
      <w:b/>
      <w:bCs/>
      <w:color w:val="FF6600"/>
      <w:sz w:val="21"/>
      <w:szCs w:val="21"/>
    </w:rPr>
  </w:style>
  <w:style w:type="paragraph" w:customStyle="1" w:styleId="949">
    <w:name w:val="内容标题"/>
    <w:basedOn w:val="33"/>
    <w:qFormat/>
    <w:uiPriority w:val="0"/>
    <w:rPr>
      <w:rFonts w:ascii="Tahoma" w:hAnsi="Tahoma"/>
      <w:kern w:val="0"/>
      <w:sz w:val="24"/>
    </w:rPr>
  </w:style>
  <w:style w:type="character" w:customStyle="1" w:styleId="950">
    <w:name w:val="尾注文本 字符1"/>
    <w:qFormat/>
    <w:uiPriority w:val="99"/>
    <w:rPr>
      <w:kern w:val="2"/>
      <w:sz w:val="21"/>
      <w:szCs w:val="24"/>
    </w:rPr>
  </w:style>
  <w:style w:type="character" w:customStyle="1" w:styleId="951">
    <w:name w:val="HTML 地址 字符1"/>
    <w:qFormat/>
    <w:uiPriority w:val="99"/>
    <w:rPr>
      <w:i/>
      <w:iCs/>
      <w:kern w:val="2"/>
      <w:sz w:val="21"/>
      <w:szCs w:val="24"/>
    </w:rPr>
  </w:style>
  <w:style w:type="paragraph" w:customStyle="1" w:styleId="952">
    <w:name w:val="图样式"/>
    <w:basedOn w:val="1"/>
    <w:qFormat/>
    <w:uiPriority w:val="0"/>
    <w:pPr>
      <w:widowControl/>
      <w:autoSpaceDE w:val="0"/>
      <w:autoSpaceDN w:val="0"/>
      <w:adjustRightInd w:val="0"/>
      <w:spacing w:before="80" w:after="80" w:line="360" w:lineRule="auto"/>
      <w:jc w:val="center"/>
    </w:pPr>
    <w:rPr>
      <w:kern w:val="0"/>
      <w:sz w:val="20"/>
      <w:szCs w:val="20"/>
    </w:rPr>
  </w:style>
  <w:style w:type="paragraph" w:customStyle="1" w:styleId="953">
    <w:name w:val="样式 样式 标题 2 + 段前: 1 行 段后: 1 行 + 段前: 1 行 段后: 0.5 行"/>
    <w:basedOn w:val="954"/>
    <w:qFormat/>
    <w:uiPriority w:val="0"/>
    <w:pPr>
      <w:tabs>
        <w:tab w:val="left" w:pos="-420"/>
        <w:tab w:val="left" w:pos="2552"/>
      </w:tabs>
      <w:spacing w:beforeLines="0" w:afterLines="0"/>
      <w:ind w:left="-420" w:firstLine="420"/>
    </w:pPr>
    <w:rPr>
      <w:sz w:val="24"/>
      <w:szCs w:val="24"/>
    </w:rPr>
  </w:style>
  <w:style w:type="paragraph" w:customStyle="1" w:styleId="954">
    <w:name w:val="样式 标题 2 + 段前: 1 行 段后: 1 行"/>
    <w:basedOn w:val="4"/>
    <w:qFormat/>
    <w:uiPriority w:val="0"/>
    <w:pPr>
      <w:widowControl/>
      <w:tabs>
        <w:tab w:val="left" w:pos="2552"/>
      </w:tabs>
      <w:autoSpaceDE/>
      <w:autoSpaceDN/>
      <w:adjustRightInd/>
      <w:spacing w:before="0" w:beforeLines="100" w:afterLines="50" w:line="360" w:lineRule="auto"/>
      <w:jc w:val="left"/>
    </w:pPr>
    <w:rPr>
      <w:rFonts w:cs="宋体"/>
      <w:bCs/>
      <w:kern w:val="2"/>
      <w:sz w:val="44"/>
    </w:rPr>
  </w:style>
  <w:style w:type="paragraph" w:customStyle="1" w:styleId="955">
    <w:name w:val="Char Char Char1 Char Char Char Char Char Char Char Char Char Char2"/>
    <w:basedOn w:val="1"/>
    <w:qFormat/>
    <w:uiPriority w:val="0"/>
    <w:rPr>
      <w:rFonts w:ascii="Tahoma" w:hAnsi="Tahoma"/>
      <w:sz w:val="24"/>
      <w:szCs w:val="20"/>
    </w:rPr>
  </w:style>
  <w:style w:type="character" w:customStyle="1" w:styleId="956">
    <w:name w:val="宏文本 字符1"/>
    <w:qFormat/>
    <w:uiPriority w:val="99"/>
    <w:rPr>
      <w:rFonts w:ascii="Courier New" w:hAnsi="Courier New" w:cs="Courier New"/>
      <w:kern w:val="2"/>
      <w:sz w:val="24"/>
      <w:szCs w:val="24"/>
    </w:rPr>
  </w:style>
  <w:style w:type="character" w:customStyle="1" w:styleId="957">
    <w:name w:val="结束语 字符1"/>
    <w:qFormat/>
    <w:uiPriority w:val="99"/>
    <w:rPr>
      <w:kern w:val="2"/>
      <w:sz w:val="21"/>
      <w:szCs w:val="24"/>
    </w:rPr>
  </w:style>
  <w:style w:type="character" w:customStyle="1" w:styleId="958">
    <w:name w:val="称呼 字符1"/>
    <w:qFormat/>
    <w:uiPriority w:val="99"/>
    <w:rPr>
      <w:kern w:val="2"/>
      <w:sz w:val="21"/>
      <w:szCs w:val="24"/>
    </w:rPr>
  </w:style>
  <w:style w:type="paragraph" w:customStyle="1" w:styleId="959">
    <w:name w:val="正文样式1"/>
    <w:basedOn w:val="1"/>
    <w:qFormat/>
    <w:uiPriority w:val="0"/>
    <w:pPr>
      <w:widowControl/>
      <w:spacing w:line="360" w:lineRule="auto"/>
      <w:ind w:firstLine="425"/>
      <w:jc w:val="left"/>
    </w:pPr>
    <w:rPr>
      <w:rFonts w:ascii="微软雅黑" w:hAnsi="微软雅黑" w:eastAsia="微软雅黑"/>
      <w:color w:val="000000"/>
      <w:sz w:val="24"/>
    </w:rPr>
  </w:style>
  <w:style w:type="paragraph" w:customStyle="1" w:styleId="960">
    <w:name w:val="Bullet"/>
    <w:basedOn w:val="19"/>
    <w:qFormat/>
    <w:uiPriority w:val="0"/>
    <w:pPr>
      <w:keepLines/>
      <w:widowControl/>
      <w:tabs>
        <w:tab w:val="left" w:pos="840"/>
        <w:tab w:val="clear" w:pos="567"/>
      </w:tabs>
      <w:spacing w:before="0" w:after="240" w:line="360" w:lineRule="auto"/>
      <w:ind w:left="840" w:hanging="360"/>
      <w:jc w:val="left"/>
    </w:pPr>
    <w:rPr>
      <w:rFonts w:ascii="Garamond" w:hAnsi="Garamond"/>
      <w:color w:val="000000"/>
      <w:spacing w:val="-5"/>
      <w:kern w:val="0"/>
      <w:sz w:val="21"/>
      <w:szCs w:val="20"/>
    </w:rPr>
  </w:style>
  <w:style w:type="character" w:customStyle="1" w:styleId="961">
    <w:name w:val="注释标题 字符1"/>
    <w:qFormat/>
    <w:uiPriority w:val="99"/>
    <w:rPr>
      <w:kern w:val="2"/>
      <w:sz w:val="21"/>
      <w:szCs w:val="24"/>
    </w:rPr>
  </w:style>
  <w:style w:type="paragraph" w:customStyle="1" w:styleId="962">
    <w:name w:val="Char Char3 Char Char Char Char Char Char Char Char Char Char Char Char2 Char Char Char Char"/>
    <w:basedOn w:val="1"/>
    <w:qFormat/>
    <w:uiPriority w:val="0"/>
    <w:pPr>
      <w:spacing w:line="360" w:lineRule="auto"/>
    </w:pPr>
    <w:rPr>
      <w:rFonts w:ascii="Tahoma" w:hAnsi="Tahoma"/>
      <w:sz w:val="36"/>
      <w:szCs w:val="36"/>
    </w:rPr>
  </w:style>
  <w:style w:type="character" w:customStyle="1" w:styleId="963">
    <w:name w:val="电子邮件签名 字符1"/>
    <w:qFormat/>
    <w:uiPriority w:val="99"/>
    <w:rPr>
      <w:kern w:val="2"/>
      <w:sz w:val="21"/>
      <w:szCs w:val="24"/>
    </w:rPr>
  </w:style>
  <w:style w:type="character" w:customStyle="1" w:styleId="964">
    <w:name w:val="副标题 字符1"/>
    <w:qFormat/>
    <w:uiPriority w:val="11"/>
    <w:rPr>
      <w:rFonts w:ascii="等线 Light" w:hAnsi="等线 Light" w:cs="Times New Roman"/>
      <w:b/>
      <w:bCs/>
      <w:kern w:val="28"/>
      <w:sz w:val="32"/>
      <w:szCs w:val="32"/>
    </w:rPr>
  </w:style>
  <w:style w:type="paragraph" w:customStyle="1" w:styleId="965">
    <w:name w:val="样式 目录 1 + 段前: 0.2 行 段后: 0.2 行"/>
    <w:basedOn w:val="65"/>
    <w:qFormat/>
    <w:uiPriority w:val="0"/>
    <w:pPr>
      <w:tabs>
        <w:tab w:val="clear" w:pos="1050"/>
        <w:tab w:val="clear" w:pos="8937"/>
      </w:tabs>
      <w:spacing w:before="120" w:beforeLines="40" w:after="120" w:afterLines="40"/>
      <w:jc w:val="center"/>
    </w:pPr>
    <w:rPr>
      <w:rFonts w:ascii="Times New Roman" w:hAnsi="Times New Roman" w:eastAsia="黑体" w:cs="宋体"/>
      <w:b w:val="0"/>
      <w:bCs/>
      <w:caps/>
      <w:szCs w:val="28"/>
    </w:rPr>
  </w:style>
  <w:style w:type="paragraph" w:customStyle="1" w:styleId="966">
    <w:name w:val="样式 标题 1H1章PIM 1Section Headh1l1Heading 0H11H12H111H13..."/>
    <w:basedOn w:val="3"/>
    <w:qFormat/>
    <w:uiPriority w:val="0"/>
    <w:pPr>
      <w:pageBreakBefore/>
      <w:tabs>
        <w:tab w:val="left" w:pos="432"/>
      </w:tabs>
      <w:autoSpaceDE/>
      <w:autoSpaceDN/>
      <w:adjustRightInd/>
      <w:spacing w:after="240" w:line="578" w:lineRule="auto"/>
      <w:ind w:left="432" w:hanging="432"/>
      <w:jc w:val="both"/>
    </w:pPr>
    <w:rPr>
      <w:rFonts w:ascii="黑体" w:eastAsia="黑体"/>
      <w:bCs/>
      <w:color w:val="000000"/>
      <w:sz w:val="44"/>
    </w:rPr>
  </w:style>
  <w:style w:type="paragraph" w:customStyle="1" w:styleId="967">
    <w:name w:val="xl141"/>
    <w:basedOn w:val="1"/>
    <w:qFormat/>
    <w:uiPriority w:val="0"/>
    <w:pPr>
      <w:widowControl/>
      <w:spacing w:before="100" w:beforeAutospacing="1" w:after="100" w:afterAutospacing="1"/>
      <w:jc w:val="center"/>
      <w:textAlignment w:val="center"/>
    </w:pPr>
    <w:rPr>
      <w:rFonts w:ascii="宋体" w:hAnsi="宋体"/>
      <w:kern w:val="0"/>
      <w:sz w:val="18"/>
      <w:szCs w:val="20"/>
    </w:rPr>
  </w:style>
  <w:style w:type="paragraph" w:customStyle="1" w:styleId="968">
    <w:name w:val="xl72"/>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ascii="Arial" w:hAnsi="Arial"/>
      <w:b/>
      <w:kern w:val="0"/>
      <w:sz w:val="20"/>
      <w:szCs w:val="20"/>
    </w:rPr>
  </w:style>
  <w:style w:type="paragraph" w:customStyle="1" w:styleId="969">
    <w:name w:val="中文正文 Char"/>
    <w:qFormat/>
    <w:uiPriority w:val="0"/>
    <w:pPr>
      <w:adjustRightInd w:val="0"/>
      <w:spacing w:before="60" w:after="60" w:line="360" w:lineRule="auto"/>
      <w:ind w:firstLine="540" w:firstLineChars="225"/>
      <w:textAlignment w:val="baseline"/>
    </w:pPr>
    <w:rPr>
      <w:rFonts w:ascii="仿宋_GB2312" w:hAnsi="Times New Roman" w:eastAsia="仿宋_GB2312" w:cs="Times New Roman"/>
      <w:kern w:val="2"/>
      <w:sz w:val="26"/>
      <w:lang w:val="en-US" w:eastAsia="zh-CN" w:bidi="ar-SA"/>
    </w:rPr>
  </w:style>
  <w:style w:type="paragraph" w:customStyle="1" w:styleId="970">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971">
    <w:name w:val="Char Char1 Char2"/>
    <w:basedOn w:val="1"/>
    <w:qFormat/>
    <w:uiPriority w:val="0"/>
    <w:rPr>
      <w:rFonts w:ascii="Tahoma" w:hAnsi="Tahoma"/>
      <w:sz w:val="24"/>
      <w:szCs w:val="20"/>
    </w:rPr>
  </w:style>
  <w:style w:type="paragraph" w:customStyle="1" w:styleId="972">
    <w:name w:val="批注主题1"/>
    <w:basedOn w:val="1"/>
    <w:next w:val="16"/>
    <w:qFormat/>
    <w:uiPriority w:val="99"/>
    <w:pPr>
      <w:jc w:val="left"/>
    </w:pPr>
    <w:rPr>
      <w:b/>
      <w:bCs/>
    </w:rPr>
  </w:style>
  <w:style w:type="paragraph" w:customStyle="1" w:styleId="973">
    <w:name w:val="标题-部分"/>
    <w:basedOn w:val="1"/>
    <w:qFormat/>
    <w:uiPriority w:val="0"/>
    <w:pPr>
      <w:tabs>
        <w:tab w:val="left" w:pos="1200"/>
      </w:tabs>
      <w:spacing w:line="360" w:lineRule="auto"/>
      <w:ind w:left="1200" w:leftChars="400" w:hanging="360" w:hangingChars="200"/>
    </w:pPr>
    <w:rPr>
      <w:rFonts w:ascii="楷体_GB2312" w:hAnsi="宋体" w:eastAsia="楷体_GB2312"/>
      <w:color w:val="000000"/>
      <w:sz w:val="28"/>
      <w:szCs w:val="20"/>
    </w:rPr>
  </w:style>
  <w:style w:type="paragraph" w:customStyle="1" w:styleId="974">
    <w:name w:val="Javis"/>
    <w:basedOn w:val="1"/>
    <w:qFormat/>
    <w:uiPriority w:val="0"/>
    <w:pPr>
      <w:ind w:right="100" w:rightChars="100"/>
      <w:jc w:val="center"/>
    </w:pPr>
    <w:rPr>
      <w:rFonts w:ascii="宋体" w:hAnsi="宋体"/>
      <w:sz w:val="24"/>
      <w:szCs w:val="20"/>
      <w:shd w:val="pct10" w:color="auto" w:fill="FFFFFF"/>
    </w:rPr>
  </w:style>
  <w:style w:type="paragraph" w:customStyle="1" w:styleId="975">
    <w:name w:val="哈哈序号2级"/>
    <w:basedOn w:val="672"/>
    <w:qFormat/>
    <w:uiPriority w:val="0"/>
    <w:pPr>
      <w:tabs>
        <w:tab w:val="left" w:pos="-1210"/>
        <w:tab w:val="left" w:pos="360"/>
        <w:tab w:val="left" w:pos="900"/>
      </w:tabs>
      <w:ind w:left="900" w:hanging="420" w:firstLineChars="0"/>
      <w:jc w:val="both"/>
    </w:pPr>
    <w:rPr>
      <w:b/>
      <w:kern w:val="2"/>
    </w:rPr>
  </w:style>
  <w:style w:type="paragraph" w:customStyle="1" w:styleId="976">
    <w:name w:val="Char Char Char Char Char Char Char1 Char"/>
    <w:basedOn w:val="1"/>
    <w:qFormat/>
    <w:uiPriority w:val="0"/>
    <w:rPr>
      <w:rFonts w:ascii="Tahoma" w:hAnsi="Tahoma"/>
      <w:sz w:val="24"/>
      <w:szCs w:val="20"/>
    </w:rPr>
  </w:style>
  <w:style w:type="paragraph" w:customStyle="1" w:styleId="97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978">
    <w:name w:val="xl7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979">
    <w:name w:val="样式 正文样式3 + 首行缩进:  2 字符 段前: 0.5 行 段后: 0.5 行"/>
    <w:basedOn w:val="1"/>
    <w:qFormat/>
    <w:uiPriority w:val="0"/>
    <w:pPr>
      <w:spacing w:line="300" w:lineRule="auto"/>
      <w:ind w:firstLine="200" w:firstLineChars="200"/>
    </w:pPr>
    <w:rPr>
      <w:rFonts w:cs="宋体"/>
      <w:sz w:val="24"/>
      <w:szCs w:val="20"/>
    </w:rPr>
  </w:style>
  <w:style w:type="paragraph" w:customStyle="1" w:styleId="980">
    <w:name w:val="表格字体"/>
    <w:basedOn w:val="317"/>
    <w:qFormat/>
    <w:uiPriority w:val="0"/>
    <w:pPr>
      <w:widowControl/>
      <w:adjustRightInd w:val="0"/>
      <w:snapToGrid w:val="0"/>
      <w:spacing w:before="25" w:beforeLines="0" w:line="400" w:lineRule="exact"/>
      <w:ind w:firstLine="482" w:firstLineChars="0"/>
      <w:jc w:val="center"/>
      <w:textAlignment w:val="baseline"/>
    </w:pPr>
    <w:rPr>
      <w:rFonts w:ascii="Arial" w:hAnsi="Arial" w:eastAsia="新宋体"/>
      <w:sz w:val="21"/>
      <w:szCs w:val="20"/>
      <w:lang w:val="en-US"/>
    </w:rPr>
  </w:style>
  <w:style w:type="paragraph" w:customStyle="1" w:styleId="981">
    <w:name w:val="图片居中"/>
    <w:basedOn w:val="1"/>
    <w:qFormat/>
    <w:uiPriority w:val="0"/>
    <w:pPr>
      <w:spacing w:line="360" w:lineRule="auto"/>
      <w:jc w:val="center"/>
    </w:pPr>
    <w:rPr>
      <w:rFonts w:ascii="宋体" w:hAnsi="宋体" w:cs="宋体"/>
      <w:sz w:val="24"/>
      <w:szCs w:val="20"/>
    </w:rPr>
  </w:style>
  <w:style w:type="paragraph" w:customStyle="1" w:styleId="982">
    <w:name w:val="样式 标题 3H3标题1.1节标题，三级节名二级节名Heading 3 - oldHeading 3 - old C... + ..."/>
    <w:basedOn w:val="1"/>
    <w:qFormat/>
    <w:uiPriority w:val="0"/>
    <w:pPr>
      <w:keepNext/>
      <w:keepLines/>
      <w:spacing w:before="240" w:after="260" w:line="413" w:lineRule="auto"/>
      <w:jc w:val="left"/>
      <w:outlineLvl w:val="2"/>
    </w:pPr>
    <w:rPr>
      <w:rFonts w:ascii="黑体"/>
      <w:b/>
      <w:sz w:val="32"/>
      <w:szCs w:val="20"/>
    </w:rPr>
  </w:style>
  <w:style w:type="paragraph" w:customStyle="1" w:styleId="983">
    <w:name w:val="表格内文"/>
    <w:basedOn w:val="1"/>
    <w:qFormat/>
    <w:uiPriority w:val="0"/>
    <w:pPr>
      <w:spacing w:line="400" w:lineRule="exact"/>
    </w:pPr>
    <w:rPr>
      <w:rFonts w:ascii="Arial" w:hAnsi="Arial" w:cs="宋体"/>
      <w:szCs w:val="20"/>
    </w:rPr>
  </w:style>
  <w:style w:type="paragraph" w:customStyle="1" w:styleId="984">
    <w:name w:val="正文样式2"/>
    <w:basedOn w:val="1"/>
    <w:qFormat/>
    <w:uiPriority w:val="0"/>
    <w:pPr>
      <w:spacing w:line="360" w:lineRule="auto"/>
      <w:jc w:val="center"/>
    </w:pPr>
    <w:rPr>
      <w:b/>
      <w:sz w:val="24"/>
      <w:szCs w:val="20"/>
    </w:rPr>
  </w:style>
  <w:style w:type="paragraph" w:customStyle="1" w:styleId="985">
    <w:name w:val="ST20_1"/>
    <w:basedOn w:val="1"/>
    <w:qFormat/>
    <w:uiPriority w:val="0"/>
    <w:pPr>
      <w:ind w:left="360" w:hanging="360"/>
    </w:pPr>
    <w:rPr>
      <w:b/>
      <w:sz w:val="24"/>
      <w:szCs w:val="20"/>
    </w:rPr>
  </w:style>
  <w:style w:type="paragraph" w:customStyle="1" w:styleId="986">
    <w:name w:val="插图标注（绿盟科技）"/>
    <w:next w:val="1"/>
    <w:qFormat/>
    <w:uiPriority w:val="0"/>
    <w:pPr>
      <w:numPr>
        <w:ilvl w:val="6"/>
        <w:numId w:val="17"/>
      </w:numPr>
      <w:spacing w:after="156"/>
      <w:jc w:val="center"/>
    </w:pPr>
    <w:rPr>
      <w:rFonts w:ascii="Arial" w:hAnsi="Arial" w:eastAsia="宋体" w:cs="Arial"/>
      <w:sz w:val="21"/>
      <w:szCs w:val="21"/>
      <w:lang w:val="en-US" w:eastAsia="zh-CN" w:bidi="ar-SA"/>
    </w:rPr>
  </w:style>
  <w:style w:type="paragraph" w:customStyle="1" w:styleId="987">
    <w:name w:val="Char Char1 Char Char Char Char Char Char3"/>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88">
    <w:name w:val="正文文字表格居中"/>
    <w:basedOn w:val="1"/>
    <w:next w:val="2"/>
    <w:qFormat/>
    <w:uiPriority w:val="0"/>
    <w:pPr>
      <w:spacing w:beforeLines="100" w:afterLines="50"/>
    </w:pPr>
    <w:rPr>
      <w:sz w:val="24"/>
      <w:szCs w:val="18"/>
    </w:rPr>
  </w:style>
  <w:style w:type="paragraph" w:customStyle="1" w:styleId="989">
    <w:name w:val="Char1 Char Char Char3"/>
    <w:basedOn w:val="1"/>
    <w:qFormat/>
    <w:uiPriority w:val="0"/>
    <w:rPr>
      <w:rFonts w:ascii="Tahoma" w:hAnsi="Tahoma"/>
      <w:sz w:val="24"/>
      <w:szCs w:val="20"/>
    </w:rPr>
  </w:style>
  <w:style w:type="paragraph" w:customStyle="1" w:styleId="99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991">
    <w:name w:val="themeheadera"/>
    <w:basedOn w:val="1"/>
    <w:qFormat/>
    <w:uiPriority w:val="0"/>
    <w:pPr>
      <w:widowControl/>
      <w:spacing w:before="100" w:beforeAutospacing="1" w:after="100" w:afterAutospacing="1"/>
      <w:jc w:val="left"/>
    </w:pPr>
    <w:rPr>
      <w:rFonts w:ascii="宋体" w:hAnsi="宋体" w:cs="宋体"/>
      <w:b/>
      <w:bCs/>
      <w:color w:val="FFFFFF"/>
      <w:kern w:val="0"/>
      <w:sz w:val="34"/>
      <w:szCs w:val="34"/>
    </w:rPr>
  </w:style>
  <w:style w:type="paragraph" w:customStyle="1" w:styleId="992">
    <w:name w:val="表样式"/>
    <w:basedOn w:val="1"/>
    <w:qFormat/>
    <w:uiPriority w:val="0"/>
    <w:pPr>
      <w:autoSpaceDE w:val="0"/>
      <w:autoSpaceDN w:val="0"/>
      <w:adjustRightInd w:val="0"/>
      <w:spacing w:before="90" w:after="90"/>
      <w:jc w:val="left"/>
    </w:pPr>
    <w:rPr>
      <w:rFonts w:ascii="Arial" w:hAnsi="Arial" w:cs="Arial"/>
      <w:kern w:val="0"/>
      <w:sz w:val="18"/>
      <w:szCs w:val="18"/>
    </w:rPr>
  </w:style>
  <w:style w:type="paragraph" w:customStyle="1" w:styleId="993">
    <w:name w:val="封面"/>
    <w:basedOn w:val="1"/>
    <w:qFormat/>
    <w:uiPriority w:val="0"/>
    <w:pPr>
      <w:adjustRightInd w:val="0"/>
      <w:spacing w:line="360" w:lineRule="atLeast"/>
      <w:jc w:val="right"/>
      <w:textAlignment w:val="baseline"/>
    </w:pPr>
    <w:rPr>
      <w:rFonts w:ascii="Arial" w:hAnsi="Arial"/>
      <w:kern w:val="0"/>
      <w:sz w:val="24"/>
      <w:szCs w:val="20"/>
    </w:rPr>
  </w:style>
  <w:style w:type="paragraph" w:customStyle="1" w:styleId="994">
    <w:name w:val="Char Char5 Char Char Char Char Char Char Char Char Char Char Char Char Char Char Char Char Char Char Char Char Char Char Char Char Char Char Char2"/>
    <w:basedOn w:val="1"/>
    <w:qFormat/>
    <w:uiPriority w:val="0"/>
    <w:pPr>
      <w:spacing w:line="360" w:lineRule="auto"/>
    </w:pPr>
    <w:rPr>
      <w:rFonts w:ascii="Tahoma" w:hAnsi="Tahoma"/>
      <w:sz w:val="36"/>
      <w:szCs w:val="36"/>
    </w:rPr>
  </w:style>
  <w:style w:type="paragraph" w:customStyle="1" w:styleId="995">
    <w:name w:val="样式 样式 标题 3h33rd levelH33Level 3 Headlevel_3PIM 3Heading 3 -... +..."/>
    <w:basedOn w:val="6"/>
    <w:qFormat/>
    <w:uiPriority w:val="0"/>
    <w:pPr>
      <w:tabs>
        <w:tab w:val="left" w:pos="567"/>
      </w:tabs>
      <w:autoSpaceDE/>
      <w:autoSpaceDN/>
      <w:adjustRightInd/>
      <w:spacing w:before="260" w:beforeLines="50" w:after="260" w:afterLines="50" w:line="480" w:lineRule="auto"/>
      <w:jc w:val="both"/>
    </w:pPr>
    <w:rPr>
      <w:rFonts w:ascii="Times New Roman"/>
      <w:bCs/>
      <w:kern w:val="2"/>
      <w:sz w:val="28"/>
      <w:szCs w:val="28"/>
      <w:u w:val="none"/>
    </w:rPr>
  </w:style>
  <w:style w:type="paragraph" w:customStyle="1" w:styleId="996">
    <w:name w:val="Char Char2 Char Char Char Char Char Char Char Char Char Char2"/>
    <w:basedOn w:val="1"/>
    <w:qFormat/>
    <w:uiPriority w:val="0"/>
    <w:rPr>
      <w:rFonts w:ascii="Tahoma" w:hAnsi="Tahoma"/>
      <w:sz w:val="24"/>
      <w:szCs w:val="20"/>
    </w:rPr>
  </w:style>
  <w:style w:type="paragraph" w:customStyle="1" w:styleId="997">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998">
    <w:name w:val="技术规格书标题3"/>
    <w:basedOn w:val="6"/>
    <w:qFormat/>
    <w:uiPriority w:val="0"/>
    <w:pPr>
      <w:widowControl/>
      <w:tabs>
        <w:tab w:val="left" w:pos="-180"/>
        <w:tab w:val="left" w:pos="284"/>
        <w:tab w:val="left" w:pos="7920"/>
      </w:tabs>
      <w:autoSpaceDE/>
      <w:autoSpaceDN/>
      <w:adjustRightInd/>
      <w:spacing w:before="260" w:beforeLines="50" w:after="260" w:line="480" w:lineRule="auto"/>
      <w:ind w:left="-2" w:leftChars="100" w:right="100" w:rightChars="100" w:hanging="2892"/>
      <w:jc w:val="both"/>
    </w:pPr>
    <w:rPr>
      <w:rFonts w:ascii="Times New Roman"/>
      <w:kern w:val="2"/>
      <w:u w:val="none"/>
    </w:rPr>
  </w:style>
  <w:style w:type="paragraph" w:customStyle="1" w:styleId="999">
    <w:name w:val="表文字"/>
    <w:basedOn w:val="1"/>
    <w:qFormat/>
    <w:uiPriority w:val="0"/>
    <w:pPr>
      <w:widowControl/>
      <w:overflowPunct w:val="0"/>
      <w:autoSpaceDE w:val="0"/>
      <w:autoSpaceDN w:val="0"/>
      <w:adjustRightInd w:val="0"/>
      <w:jc w:val="center"/>
      <w:textAlignment w:val="baseline"/>
    </w:pPr>
    <w:rPr>
      <w:rFonts w:cs="Angsana New"/>
      <w:b/>
      <w:bCs/>
      <w:kern w:val="0"/>
      <w:sz w:val="20"/>
      <w:szCs w:val="20"/>
      <w:lang w:val="en-GB"/>
    </w:rPr>
  </w:style>
  <w:style w:type="paragraph" w:customStyle="1" w:styleId="1000">
    <w:name w:val="正文7"/>
    <w:basedOn w:val="1"/>
    <w:qFormat/>
    <w:uiPriority w:val="0"/>
    <w:pPr>
      <w:adjustRightInd w:val="0"/>
      <w:spacing w:before="80" w:after="80" w:line="312" w:lineRule="atLeast"/>
      <w:ind w:firstLine="425"/>
      <w:textAlignment w:val="baseline"/>
    </w:pPr>
    <w:rPr>
      <w:kern w:val="0"/>
      <w:szCs w:val="20"/>
    </w:rPr>
  </w:style>
  <w:style w:type="paragraph" w:customStyle="1" w:styleId="1001">
    <w:name w:val="分类"/>
    <w:basedOn w:val="1"/>
    <w:qFormat/>
    <w:uiPriority w:val="0"/>
    <w:pPr>
      <w:ind w:left="567"/>
    </w:pPr>
    <w:rPr>
      <w:szCs w:val="20"/>
    </w:rPr>
  </w:style>
  <w:style w:type="paragraph" w:customStyle="1" w:styleId="1002">
    <w:name w:val="封面_项目建设单位"/>
    <w:basedOn w:val="50"/>
    <w:qFormat/>
    <w:uiPriority w:val="0"/>
    <w:pPr>
      <w:autoSpaceDE w:val="0"/>
      <w:autoSpaceDN w:val="0"/>
      <w:adjustRightInd w:val="0"/>
      <w:spacing w:line="240" w:lineRule="atLeast"/>
      <w:ind w:firstLine="425"/>
      <w:jc w:val="distribute"/>
    </w:pPr>
    <w:rPr>
      <w:rFonts w:hint="default" w:ascii="Arial" w:hAnsi="Arial" w:eastAsia="黑体"/>
      <w:color w:val="000000"/>
      <w:sz w:val="32"/>
    </w:rPr>
  </w:style>
  <w:style w:type="paragraph" w:customStyle="1" w:styleId="1003">
    <w:name w:val="注："/>
    <w:next w:val="453"/>
    <w:qFormat/>
    <w:uiPriority w:val="0"/>
    <w:pPr>
      <w:widowControl w:val="0"/>
      <w:numPr>
        <w:ilvl w:val="0"/>
        <w:numId w:val="18"/>
      </w:numPr>
      <w:tabs>
        <w:tab w:val="clear" w:pos="1140"/>
      </w:tabs>
      <w:autoSpaceDE w:val="0"/>
      <w:autoSpaceDN w:val="0"/>
      <w:jc w:val="both"/>
    </w:pPr>
    <w:rPr>
      <w:rFonts w:ascii="宋体" w:hAnsi="Times New Roman" w:eastAsia="宋体" w:cs="Times New Roman"/>
      <w:sz w:val="18"/>
      <w:lang w:val="en-US" w:eastAsia="zh-CN" w:bidi="ar-SA"/>
    </w:rPr>
  </w:style>
  <w:style w:type="paragraph" w:customStyle="1" w:styleId="1004">
    <w:name w:val="哈哈标题二"/>
    <w:basedOn w:val="4"/>
    <w:qFormat/>
    <w:uiPriority w:val="0"/>
    <w:pPr>
      <w:tabs>
        <w:tab w:val="left" w:pos="567"/>
        <w:tab w:val="left" w:pos="2552"/>
      </w:tabs>
      <w:autoSpaceDE/>
      <w:autoSpaceDN/>
      <w:adjustRightInd/>
      <w:spacing w:after="120" w:line="413" w:lineRule="auto"/>
      <w:ind w:left="576" w:hanging="576"/>
      <w:jc w:val="both"/>
    </w:pPr>
    <w:rPr>
      <w:rFonts w:ascii="Times New Roman" w:hAnsi="Times New Roman" w:eastAsia="宋体"/>
      <w:spacing w:val="6"/>
      <w:kern w:val="2"/>
      <w:sz w:val="32"/>
    </w:rPr>
  </w:style>
  <w:style w:type="paragraph" w:customStyle="1" w:styleId="1005">
    <w:name w:val="Char Char3"/>
    <w:basedOn w:val="1"/>
    <w:qFormat/>
    <w:uiPriority w:val="0"/>
    <w:pPr>
      <w:spacing w:line="360" w:lineRule="auto"/>
    </w:pPr>
    <w:rPr>
      <w:rFonts w:ascii="Tahoma" w:hAnsi="Tahoma"/>
      <w:sz w:val="36"/>
      <w:szCs w:val="36"/>
    </w:rPr>
  </w:style>
  <w:style w:type="paragraph" w:customStyle="1" w:styleId="1006">
    <w:name w:val="列表项"/>
    <w:basedOn w:val="1"/>
    <w:qFormat/>
    <w:uiPriority w:val="0"/>
    <w:pPr>
      <w:tabs>
        <w:tab w:val="left" w:pos="420"/>
        <w:tab w:val="left" w:pos="1020"/>
        <w:tab w:val="left" w:pos="3300"/>
      </w:tabs>
      <w:spacing w:line="400" w:lineRule="exact"/>
      <w:ind w:left="3300" w:hanging="420"/>
    </w:pPr>
    <w:rPr>
      <w:rFonts w:eastAsia="楷体_GB2312"/>
      <w:sz w:val="24"/>
    </w:rPr>
  </w:style>
  <w:style w:type="paragraph" w:customStyle="1" w:styleId="1007">
    <w:name w:val="样式 左侧:  1.5 厘米 首行缩进:  0 厘米"/>
    <w:basedOn w:val="1"/>
    <w:qFormat/>
    <w:uiPriority w:val="0"/>
    <w:pPr>
      <w:spacing w:line="360" w:lineRule="auto"/>
    </w:pPr>
    <w:rPr>
      <w:rFonts w:eastAsia="楷体_GB2312"/>
      <w:color w:val="000000"/>
      <w:sz w:val="28"/>
      <w:szCs w:val="20"/>
    </w:rPr>
  </w:style>
  <w:style w:type="paragraph" w:customStyle="1" w:styleId="1008">
    <w:name w:val="S4"/>
    <w:basedOn w:val="1"/>
    <w:qFormat/>
    <w:uiPriority w:val="0"/>
    <w:pPr>
      <w:tabs>
        <w:tab w:val="left" w:pos="425"/>
      </w:tabs>
      <w:spacing w:beforeLines="50" w:afterLines="50" w:line="360" w:lineRule="auto"/>
      <w:outlineLvl w:val="3"/>
    </w:pPr>
    <w:rPr>
      <w:rFonts w:ascii="楷体_GB2312" w:hAnsi="宋体" w:eastAsia="楷体_GB2312"/>
      <w:b/>
      <w:color w:val="000000"/>
      <w:sz w:val="30"/>
      <w:szCs w:val="20"/>
    </w:rPr>
  </w:style>
  <w:style w:type="paragraph" w:customStyle="1" w:styleId="1009">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010">
    <w:name w:val="样式 样式 宋体 四号 段前: 7.8 磅 段后: 7.8 磅 行距: 1.5 倍行距 + 首行缩进:  2 字符"/>
    <w:basedOn w:val="1"/>
    <w:qFormat/>
    <w:uiPriority w:val="0"/>
    <w:pPr>
      <w:spacing w:line="360" w:lineRule="auto"/>
      <w:ind w:firstLine="200" w:firstLineChars="200"/>
    </w:pPr>
    <w:rPr>
      <w:rFonts w:ascii="宋体" w:hAnsi="宋体"/>
      <w:sz w:val="24"/>
      <w:szCs w:val="20"/>
    </w:rPr>
  </w:style>
  <w:style w:type="paragraph" w:customStyle="1" w:styleId="1011">
    <w:name w:val="Table Description"/>
    <w:basedOn w:val="1"/>
    <w:qFormat/>
    <w:uiPriority w:val="0"/>
    <w:rPr>
      <w:szCs w:val="20"/>
    </w:rPr>
  </w:style>
  <w:style w:type="paragraph" w:customStyle="1" w:styleId="1012">
    <w:name w:val="首行缩进"/>
    <w:basedOn w:val="1"/>
    <w:qFormat/>
    <w:uiPriority w:val="0"/>
    <w:pPr>
      <w:spacing w:line="360" w:lineRule="auto"/>
      <w:ind w:firstLine="480" w:firstLineChars="200"/>
    </w:pPr>
    <w:rPr>
      <w:sz w:val="24"/>
      <w:szCs w:val="20"/>
    </w:rPr>
  </w:style>
  <w:style w:type="paragraph" w:customStyle="1" w:styleId="1013">
    <w:name w:val="Char Char3 Char Char Char Char Char Char Char Char Char Char Char Char3"/>
    <w:basedOn w:val="1"/>
    <w:qFormat/>
    <w:uiPriority w:val="0"/>
    <w:pPr>
      <w:spacing w:line="360" w:lineRule="auto"/>
    </w:pPr>
    <w:rPr>
      <w:rFonts w:ascii="Tahoma" w:hAnsi="Tahoma"/>
      <w:sz w:val="36"/>
      <w:szCs w:val="36"/>
    </w:rPr>
  </w:style>
  <w:style w:type="paragraph" w:customStyle="1" w:styleId="1014">
    <w:name w:val="正文编号内容"/>
    <w:basedOn w:val="379"/>
    <w:next w:val="379"/>
    <w:qFormat/>
    <w:uiPriority w:val="0"/>
    <w:pPr>
      <w:widowControl/>
      <w:tabs>
        <w:tab w:val="left" w:pos="1200"/>
      </w:tabs>
      <w:suppressAutoHyphens/>
      <w:spacing w:after="0" w:line="0" w:lineRule="atLeast"/>
      <w:ind w:left="1200" w:hanging="1200" w:firstLineChars="0"/>
    </w:pPr>
    <w:rPr>
      <w:rFonts w:ascii="黑体" w:hAnsi="华文细黑"/>
      <w:sz w:val="24"/>
    </w:rPr>
  </w:style>
  <w:style w:type="paragraph" w:customStyle="1" w:styleId="1015">
    <w:name w:val="CM12"/>
    <w:basedOn w:val="278"/>
    <w:next w:val="278"/>
    <w:qFormat/>
    <w:uiPriority w:val="0"/>
    <w:pPr>
      <w:spacing w:before="120" w:line="468" w:lineRule="atLeast"/>
    </w:pPr>
    <w:rPr>
      <w:rFonts w:ascii="宋体" w:hAnsi="Times New Roman" w:cs="Times New Roman"/>
      <w:color w:val="auto"/>
    </w:rPr>
  </w:style>
  <w:style w:type="paragraph" w:customStyle="1" w:styleId="1016">
    <w:name w:val="样式 段 + (符号) 宋体 四号 加粗 行距: 1.5 倍行距"/>
    <w:basedOn w:val="453"/>
    <w:qFormat/>
    <w:uiPriority w:val="0"/>
    <w:pPr>
      <w:spacing w:line="360" w:lineRule="auto"/>
      <w:ind w:firstLine="141" w:firstLineChars="50"/>
    </w:pPr>
    <w:rPr>
      <w:rFonts w:hAnsi="宋体"/>
      <w:b/>
      <w:sz w:val="30"/>
    </w:rPr>
  </w:style>
  <w:style w:type="paragraph" w:customStyle="1" w:styleId="1017">
    <w:name w:val="Char Char3 Char Char Char Char Char Char Char Char Char Char Char Char2 Char Char1"/>
    <w:basedOn w:val="1"/>
    <w:qFormat/>
    <w:uiPriority w:val="0"/>
    <w:pPr>
      <w:spacing w:line="360" w:lineRule="auto"/>
    </w:pPr>
    <w:rPr>
      <w:rFonts w:ascii="Tahoma" w:hAnsi="Tahoma"/>
      <w:sz w:val="36"/>
      <w:szCs w:val="36"/>
    </w:rPr>
  </w:style>
  <w:style w:type="paragraph" w:customStyle="1" w:styleId="1018">
    <w:name w:val="表格内容"/>
    <w:basedOn w:val="1"/>
    <w:qFormat/>
    <w:uiPriority w:val="0"/>
    <w:pPr>
      <w:spacing w:line="300" w:lineRule="auto"/>
      <w:jc w:val="center"/>
    </w:pPr>
    <w:rPr>
      <w:rFonts w:ascii="宋体" w:hAnsi="宋体"/>
      <w:szCs w:val="20"/>
    </w:rPr>
  </w:style>
  <w:style w:type="paragraph" w:customStyle="1" w:styleId="1019">
    <w:name w:val="标题 81"/>
    <w:basedOn w:val="1"/>
    <w:qFormat/>
    <w:uiPriority w:val="0"/>
    <w:pPr>
      <w:widowControl/>
      <w:tabs>
        <w:tab w:val="left" w:pos="992"/>
        <w:tab w:val="left" w:pos="1440"/>
      </w:tabs>
      <w:autoSpaceDE w:val="0"/>
      <w:autoSpaceDN w:val="0"/>
      <w:ind w:left="1440" w:hanging="1440"/>
      <w:jc w:val="left"/>
    </w:pPr>
    <w:rPr>
      <w:kern w:val="24"/>
      <w:sz w:val="20"/>
      <w:szCs w:val="20"/>
    </w:rPr>
  </w:style>
  <w:style w:type="paragraph" w:customStyle="1" w:styleId="1020">
    <w:name w:val="中文正文 Char Char Char Char Char Char"/>
    <w:qFormat/>
    <w:uiPriority w:val="0"/>
    <w:pPr>
      <w:adjustRightInd w:val="0"/>
      <w:spacing w:before="60" w:after="60" w:line="360" w:lineRule="auto"/>
      <w:ind w:firstLine="540" w:firstLineChars="225"/>
      <w:textAlignment w:val="baseline"/>
    </w:pPr>
    <w:rPr>
      <w:rFonts w:ascii="仿宋_GB2312" w:hAnsi="Times New Roman" w:eastAsia="仿宋_GB2312" w:cs="Times New Roman"/>
      <w:kern w:val="2"/>
      <w:sz w:val="26"/>
      <w:lang w:val="en-US" w:eastAsia="zh-CN" w:bidi="ar-SA"/>
    </w:rPr>
  </w:style>
  <w:style w:type="paragraph" w:customStyle="1" w:styleId="1021">
    <w:name w:val="样式 标题 2h2Level 2 Topic HeadingHD2Heading 2 HiddenHeading 2 ...1"/>
    <w:basedOn w:val="10"/>
    <w:next w:val="1022"/>
    <w:qFormat/>
    <w:uiPriority w:val="0"/>
    <w:pPr>
      <w:tabs>
        <w:tab w:val="left" w:pos="-3990"/>
      </w:tabs>
      <w:adjustRightInd/>
      <w:spacing w:line="320" w:lineRule="auto"/>
      <w:textAlignment w:val="auto"/>
    </w:pPr>
    <w:rPr>
      <w:bCs/>
      <w:color w:val="000000"/>
      <w:kern w:val="2"/>
      <w:sz w:val="28"/>
      <w:szCs w:val="28"/>
    </w:rPr>
  </w:style>
  <w:style w:type="paragraph" w:customStyle="1" w:styleId="1022">
    <w:name w:val="样式 标题 6标题 6 Char Char Char标题 6 Char1标题 6 Char Char1h6Third..."/>
    <w:basedOn w:val="10"/>
    <w:qFormat/>
    <w:uiPriority w:val="0"/>
    <w:pPr>
      <w:tabs>
        <w:tab w:val="left" w:pos="-3990"/>
        <w:tab w:val="left" w:pos="1134"/>
        <w:tab w:val="left" w:pos="1152"/>
      </w:tabs>
      <w:adjustRightInd/>
      <w:spacing w:line="320" w:lineRule="auto"/>
      <w:textAlignment w:val="auto"/>
    </w:pPr>
    <w:rPr>
      <w:rFonts w:cs="宋体"/>
      <w:bCs/>
      <w:kern w:val="2"/>
      <w:sz w:val="28"/>
    </w:rPr>
  </w:style>
  <w:style w:type="paragraph" w:customStyle="1" w:styleId="1023">
    <w:name w:val="para"/>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4">
    <w:name w:val="部分1"/>
    <w:basedOn w:val="1"/>
    <w:qFormat/>
    <w:uiPriority w:val="0"/>
    <w:pPr>
      <w:keepNext/>
      <w:pageBreakBefore/>
      <w:tabs>
        <w:tab w:val="left" w:pos="0"/>
      </w:tabs>
      <w:spacing w:line="360" w:lineRule="auto"/>
      <w:ind w:left="432" w:hanging="432"/>
      <w:jc w:val="center"/>
      <w:outlineLvl w:val="0"/>
    </w:pPr>
    <w:rPr>
      <w:rFonts w:eastAsia="黑体"/>
      <w:b/>
      <w:kern w:val="44"/>
      <w:sz w:val="36"/>
      <w:szCs w:val="20"/>
    </w:rPr>
  </w:style>
  <w:style w:type="paragraph" w:customStyle="1" w:styleId="1025">
    <w:name w:val="样式 标题 7标题 7 Char2标题 7 Char Char1标题 7 Char1 Char Char1标题 7 Ch..."/>
    <w:basedOn w:val="11"/>
    <w:qFormat/>
    <w:uiPriority w:val="0"/>
    <w:pPr>
      <w:adjustRightInd/>
      <w:spacing w:line="360" w:lineRule="auto"/>
      <w:textAlignment w:val="auto"/>
    </w:pPr>
    <w:rPr>
      <w:rFonts w:cs="宋体"/>
      <w:bCs/>
      <w:kern w:val="2"/>
      <w:sz w:val="28"/>
    </w:rPr>
  </w:style>
  <w:style w:type="paragraph" w:customStyle="1" w:styleId="1026">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027">
    <w:name w:val="正文(小四)"/>
    <w:basedOn w:val="1"/>
    <w:qFormat/>
    <w:uiPriority w:val="0"/>
    <w:pPr>
      <w:ind w:firstLine="480" w:firstLineChars="200"/>
    </w:pPr>
    <w:rPr>
      <w:sz w:val="24"/>
    </w:rPr>
  </w:style>
  <w:style w:type="paragraph" w:customStyle="1" w:styleId="1028">
    <w:name w:val="Char Char3 Char Char Char Char Char Char Char Char Char Char Char Char2 Char Char"/>
    <w:basedOn w:val="1"/>
    <w:qFormat/>
    <w:uiPriority w:val="0"/>
    <w:pPr>
      <w:spacing w:line="360" w:lineRule="auto"/>
    </w:pPr>
    <w:rPr>
      <w:rFonts w:ascii="Tahoma" w:hAnsi="Tahoma"/>
      <w:sz w:val="36"/>
      <w:szCs w:val="36"/>
    </w:rPr>
  </w:style>
  <w:style w:type="paragraph" w:customStyle="1" w:styleId="1029">
    <w:name w:val="缺省文本:1"/>
    <w:basedOn w:val="1"/>
    <w:qFormat/>
    <w:uiPriority w:val="0"/>
    <w:pPr>
      <w:autoSpaceDE w:val="0"/>
      <w:autoSpaceDN w:val="0"/>
      <w:adjustRightInd w:val="0"/>
      <w:spacing w:after="120"/>
      <w:jc w:val="left"/>
    </w:pPr>
    <w:rPr>
      <w:rFonts w:ascii="楷体_GB2312" w:eastAsia="楷体_GB2312"/>
      <w:color w:val="000000"/>
      <w:kern w:val="0"/>
      <w:sz w:val="28"/>
      <w:szCs w:val="20"/>
    </w:rPr>
  </w:style>
  <w:style w:type="paragraph" w:customStyle="1" w:styleId="1030">
    <w:name w:val="哈哈图"/>
    <w:basedOn w:val="1"/>
    <w:qFormat/>
    <w:uiPriority w:val="0"/>
    <w:pPr>
      <w:spacing w:line="360" w:lineRule="auto"/>
      <w:jc w:val="center"/>
    </w:pPr>
    <w:rPr>
      <w:sz w:val="24"/>
    </w:rPr>
  </w:style>
  <w:style w:type="paragraph" w:customStyle="1" w:styleId="1031">
    <w:name w:val="正文首行缩进两字符"/>
    <w:basedOn w:val="1"/>
    <w:qFormat/>
    <w:uiPriority w:val="0"/>
    <w:pPr>
      <w:spacing w:line="360" w:lineRule="auto"/>
      <w:ind w:firstLine="200" w:firstLineChars="200"/>
    </w:pPr>
  </w:style>
  <w:style w:type="paragraph" w:customStyle="1" w:styleId="1032">
    <w:name w:val="符号 2"/>
    <w:basedOn w:val="1033"/>
    <w:qFormat/>
    <w:uiPriority w:val="0"/>
    <w:pPr>
      <w:numPr>
        <w:ilvl w:val="0"/>
        <w:numId w:val="0"/>
      </w:numPr>
      <w:tabs>
        <w:tab w:val="left" w:pos="900"/>
        <w:tab w:val="left" w:pos="1620"/>
      </w:tabs>
      <w:ind w:left="1620" w:hanging="360"/>
    </w:pPr>
  </w:style>
  <w:style w:type="paragraph" w:customStyle="1" w:styleId="1033">
    <w:name w:val="符号 1"/>
    <w:basedOn w:val="40"/>
    <w:qFormat/>
    <w:uiPriority w:val="0"/>
    <w:pPr>
      <w:numPr>
        <w:ilvl w:val="1"/>
        <w:numId w:val="19"/>
      </w:numPr>
      <w:tabs>
        <w:tab w:val="left" w:pos="900"/>
        <w:tab w:val="clear" w:pos="1320"/>
      </w:tabs>
      <w:ind w:left="900"/>
    </w:pPr>
    <w:rPr>
      <w:kern w:val="28"/>
    </w:rPr>
  </w:style>
  <w:style w:type="paragraph" w:customStyle="1" w:styleId="1034">
    <w:name w:val="样式 正文文本缩进 + (西文) 宋体 小四 非加粗 行距: 1.5 倍行距"/>
    <w:basedOn w:val="40"/>
    <w:qFormat/>
    <w:uiPriority w:val="0"/>
    <w:pPr>
      <w:ind w:firstLine="640" w:firstLineChars="200"/>
    </w:pPr>
    <w:rPr>
      <w:rFonts w:ascii="仿宋_GB2312" w:hAnsi="宋体" w:eastAsia="仿宋_GB2312"/>
      <w:b/>
      <w:color w:val="000000"/>
      <w:sz w:val="32"/>
      <w:szCs w:val="20"/>
    </w:rPr>
  </w:style>
  <w:style w:type="paragraph" w:customStyle="1" w:styleId="1035">
    <w:name w:val="Char Char3 Char Char Char Char Char Char Char Char Char Char Char Char4"/>
    <w:basedOn w:val="1"/>
    <w:qFormat/>
    <w:uiPriority w:val="0"/>
    <w:pPr>
      <w:spacing w:line="360" w:lineRule="auto"/>
    </w:pPr>
    <w:rPr>
      <w:rFonts w:ascii="Tahoma" w:hAnsi="Tahoma"/>
      <w:sz w:val="36"/>
      <w:szCs w:val="36"/>
    </w:rPr>
  </w:style>
  <w:style w:type="paragraph" w:customStyle="1" w:styleId="1036">
    <w:name w:val="标准"/>
    <w:basedOn w:val="1"/>
    <w:qFormat/>
    <w:uiPriority w:val="0"/>
    <w:pPr>
      <w:autoSpaceDE w:val="0"/>
      <w:autoSpaceDN w:val="0"/>
      <w:adjustRightInd w:val="0"/>
      <w:snapToGrid w:val="0"/>
      <w:spacing w:line="312" w:lineRule="atLeast"/>
      <w:ind w:right="11" w:firstLine="480"/>
      <w:textAlignment w:val="baseline"/>
    </w:pPr>
    <w:rPr>
      <w:rFonts w:ascii="宋体"/>
      <w:color w:val="000000"/>
      <w:kern w:val="0"/>
      <w:sz w:val="24"/>
      <w:szCs w:val="20"/>
    </w:rPr>
  </w:style>
  <w:style w:type="paragraph" w:customStyle="1" w:styleId="1037">
    <w:name w:val="xl123"/>
    <w:basedOn w:val="1"/>
    <w:qFormat/>
    <w:uiPriority w:val="0"/>
    <w:pPr>
      <w:widowControl/>
      <w:pBdr>
        <w:left w:val="single" w:color="auto" w:sz="4" w:space="0"/>
        <w:right w:val="single" w:color="auto" w:sz="4" w:space="0"/>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1038">
    <w:name w:val="A大部分"/>
    <w:basedOn w:val="973"/>
    <w:qFormat/>
    <w:uiPriority w:val="0"/>
    <w:rPr>
      <w:b/>
      <w:sz w:val="52"/>
    </w:rPr>
  </w:style>
  <w:style w:type="paragraph" w:customStyle="1" w:styleId="1039">
    <w:name w:val="样式 (西文) Arial (中文) 仿宋_GB2312 四号 加粗 段前: 0.4 行 段后: 0.4 行 行距:..."/>
    <w:basedOn w:val="1"/>
    <w:qFormat/>
    <w:uiPriority w:val="0"/>
    <w:pPr>
      <w:spacing w:beforeLines="40" w:afterLines="40" w:line="360" w:lineRule="auto"/>
      <w:ind w:firstLine="562" w:firstLineChars="200"/>
    </w:pPr>
    <w:rPr>
      <w:rFonts w:ascii="Arial" w:hAnsi="Arial" w:cs="宋体"/>
      <w:b/>
      <w:bCs/>
      <w:sz w:val="24"/>
    </w:rPr>
  </w:style>
  <w:style w:type="paragraph" w:customStyle="1" w:styleId="1040">
    <w:name w:val="样式 样式 标题 3H3sect1.2.3BOD 0Heading 3 - oldh3l3CTLevel 3 Head... +..."/>
    <w:basedOn w:val="1041"/>
    <w:qFormat/>
    <w:uiPriority w:val="0"/>
    <w:pPr>
      <w:spacing w:before="120" w:after="120"/>
    </w:pPr>
    <w:rPr>
      <w:sz w:val="24"/>
    </w:rPr>
  </w:style>
  <w:style w:type="paragraph" w:customStyle="1" w:styleId="1041">
    <w:name w:val="样式 标题 3H3sect1.2.3BOD 0Heading 3 - oldh3l3CTLevel 3 Head..."/>
    <w:basedOn w:val="6"/>
    <w:qFormat/>
    <w:uiPriority w:val="0"/>
    <w:pPr>
      <w:autoSpaceDE/>
      <w:autoSpaceDN/>
      <w:adjustRightInd/>
      <w:spacing w:before="260" w:beforeLines="50" w:after="260" w:afterLines="50"/>
    </w:pPr>
    <w:rPr>
      <w:rFonts w:ascii="Times New Roman" w:cs="宋体"/>
      <w:bCs/>
      <w:kern w:val="2"/>
      <w:sz w:val="30"/>
      <w:u w:val="none"/>
    </w:rPr>
  </w:style>
  <w:style w:type="paragraph" w:customStyle="1" w:styleId="1042">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043">
    <w:name w:val="表头1"/>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044">
    <w:name w:val="彩色列表 - 强调文字颜色 11"/>
    <w:basedOn w:val="1"/>
    <w:qFormat/>
    <w:uiPriority w:val="0"/>
    <w:pPr>
      <w:ind w:firstLine="420" w:firstLineChars="200"/>
    </w:pPr>
    <w:rPr>
      <w:rFonts w:ascii="Calibri" w:hAnsi="Calibri"/>
      <w:szCs w:val="22"/>
    </w:rPr>
  </w:style>
  <w:style w:type="paragraph" w:customStyle="1" w:styleId="10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046">
    <w:name w:val="表格文字样式"/>
    <w:basedOn w:val="1"/>
    <w:qFormat/>
    <w:uiPriority w:val="0"/>
    <w:pPr>
      <w:spacing w:line="360" w:lineRule="auto"/>
    </w:pPr>
    <w:rPr>
      <w:szCs w:val="21"/>
    </w:rPr>
  </w:style>
  <w:style w:type="paragraph" w:customStyle="1" w:styleId="1047">
    <w:name w:val="默认段落字体 Para Char Char Char1 Char"/>
    <w:basedOn w:val="1"/>
    <w:next w:val="1"/>
    <w:qFormat/>
    <w:uiPriority w:val="0"/>
    <w:pPr>
      <w:spacing w:line="240" w:lineRule="atLeast"/>
      <w:ind w:left="420" w:firstLine="420"/>
      <w:jc w:val="left"/>
    </w:pPr>
    <w:rPr>
      <w:kern w:val="0"/>
      <w:szCs w:val="21"/>
    </w:rPr>
  </w:style>
  <w:style w:type="paragraph" w:customStyle="1" w:styleId="1048">
    <w:name w:val="CM18"/>
    <w:basedOn w:val="278"/>
    <w:next w:val="278"/>
    <w:qFormat/>
    <w:uiPriority w:val="0"/>
    <w:pPr>
      <w:spacing w:line="468" w:lineRule="atLeast"/>
    </w:pPr>
    <w:rPr>
      <w:rFonts w:ascii="楷体_GB2312" w:hAnsi="Times New Roman" w:eastAsia="楷体_GB2312" w:cs="宋体"/>
      <w:color w:val="auto"/>
      <w:sz w:val="20"/>
    </w:rPr>
  </w:style>
  <w:style w:type="paragraph" w:customStyle="1" w:styleId="1049">
    <w:name w:val="表项"/>
    <w:next w:val="1050"/>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1050">
    <w:name w:val="表身"/>
    <w:qFormat/>
    <w:uiPriority w:val="0"/>
    <w:pPr>
      <w:keepNext/>
      <w:spacing w:before="60" w:after="60" w:line="300" w:lineRule="auto"/>
      <w:jc w:val="both"/>
      <w:textAlignment w:val="center"/>
    </w:pPr>
    <w:rPr>
      <w:rFonts w:ascii="Times New Roman" w:hAnsi="Times New Roman" w:eastAsia="宋体" w:cs="Times New Roman"/>
      <w:sz w:val="18"/>
      <w:lang w:val="en-US" w:eastAsia="zh-CN" w:bidi="ar-SA"/>
    </w:rPr>
  </w:style>
  <w:style w:type="paragraph" w:customStyle="1" w:styleId="1051">
    <w:name w:val="序号正文缩进"/>
    <w:basedOn w:val="1052"/>
    <w:qFormat/>
    <w:uiPriority w:val="0"/>
    <w:pPr>
      <w:numPr>
        <w:ilvl w:val="0"/>
        <w:numId w:val="20"/>
      </w:numPr>
      <w:tabs>
        <w:tab w:val="left" w:pos="240"/>
        <w:tab w:val="left" w:pos="978"/>
        <w:tab w:val="left" w:pos="1260"/>
        <w:tab w:val="clear" w:pos="780"/>
      </w:tabs>
      <w:adjustRightInd w:val="0"/>
      <w:snapToGrid w:val="0"/>
      <w:ind w:left="1260" w:leftChars="0" w:hanging="420" w:firstLineChars="0"/>
      <w:jc w:val="left"/>
    </w:pPr>
  </w:style>
  <w:style w:type="paragraph" w:customStyle="1" w:styleId="1052">
    <w:name w:val="序号正文"/>
    <w:basedOn w:val="1"/>
    <w:qFormat/>
    <w:uiPriority w:val="0"/>
    <w:pPr>
      <w:tabs>
        <w:tab w:val="left" w:pos="780"/>
      </w:tabs>
      <w:spacing w:beforeLines="50" w:afterLines="50" w:line="300" w:lineRule="auto"/>
      <w:ind w:left="780" w:leftChars="200" w:hanging="360" w:hangingChars="200"/>
    </w:pPr>
    <w:rPr>
      <w:sz w:val="24"/>
      <w:szCs w:val="21"/>
    </w:rPr>
  </w:style>
  <w:style w:type="paragraph" w:customStyle="1" w:styleId="1053">
    <w:name w:val="样式 (西文) Arial (中文) 仿宋_GB2312 四号 段前: 0.4 行 段后: 0.4 行 行距: 1.5..."/>
    <w:basedOn w:val="1"/>
    <w:qFormat/>
    <w:uiPriority w:val="0"/>
    <w:pPr>
      <w:spacing w:beforeLines="40" w:afterLines="40" w:line="360" w:lineRule="auto"/>
      <w:ind w:firstLine="560" w:firstLineChars="200"/>
      <w:jc w:val="left"/>
    </w:pPr>
    <w:rPr>
      <w:rFonts w:ascii="Arial" w:hAnsi="Arial" w:cs="宋体"/>
      <w:sz w:val="24"/>
    </w:rPr>
  </w:style>
  <w:style w:type="paragraph" w:customStyle="1" w:styleId="1054">
    <w:name w:val="样式 小四 首行缩进:  0.29 英寸 行距: 1.5 倍行距 Char Char"/>
    <w:basedOn w:val="1"/>
    <w:qFormat/>
    <w:uiPriority w:val="0"/>
    <w:pPr>
      <w:spacing w:line="360" w:lineRule="auto"/>
      <w:ind w:firstLine="420"/>
    </w:pPr>
    <w:rPr>
      <w:sz w:val="24"/>
      <w:szCs w:val="20"/>
    </w:rPr>
  </w:style>
  <w:style w:type="paragraph" w:customStyle="1" w:styleId="1055">
    <w:name w:val="4节标题"/>
    <w:basedOn w:val="531"/>
    <w:qFormat/>
    <w:uiPriority w:val="0"/>
    <w:pPr>
      <w:tabs>
        <w:tab w:val="left" w:pos="864"/>
        <w:tab w:val="clear" w:pos="992"/>
        <w:tab w:val="clear" w:pos="4843"/>
      </w:tabs>
      <w:ind w:left="864" w:hanging="864"/>
      <w:outlineLvl w:val="3"/>
    </w:pPr>
  </w:style>
  <w:style w:type="paragraph" w:customStyle="1" w:styleId="1056">
    <w:name w:val="AAAA"/>
    <w:basedOn w:val="973"/>
    <w:qFormat/>
    <w:uiPriority w:val="0"/>
    <w:pPr>
      <w:outlineLvl w:val="0"/>
    </w:pPr>
    <w:rPr>
      <w:b/>
      <w:sz w:val="52"/>
    </w:rPr>
  </w:style>
  <w:style w:type="paragraph" w:customStyle="1" w:styleId="1057">
    <w:name w:val="flName"/>
    <w:basedOn w:val="1"/>
    <w:qFormat/>
    <w:uiPriority w:val="0"/>
    <w:pPr>
      <w:adjustRightInd w:val="0"/>
      <w:spacing w:line="113" w:lineRule="atLeast"/>
      <w:jc w:val="center"/>
      <w:textAlignment w:val="baseline"/>
    </w:pPr>
    <w:rPr>
      <w:rFonts w:eastAsia="黑体"/>
      <w:b/>
      <w:kern w:val="0"/>
      <w:sz w:val="24"/>
      <w:szCs w:val="20"/>
    </w:rPr>
  </w:style>
  <w:style w:type="paragraph" w:customStyle="1" w:styleId="1058">
    <w:name w:val="表格标题2"/>
    <w:basedOn w:val="983"/>
    <w:qFormat/>
    <w:uiPriority w:val="0"/>
    <w:rPr>
      <w:b/>
    </w:rPr>
  </w:style>
  <w:style w:type="paragraph" w:customStyle="1" w:styleId="1059">
    <w:name w:val="样式 标题 4X-标题 4 + 段前: 14 磅 段后: 14.5 磅 行距: 多倍行距 1.57 字行"/>
    <w:basedOn w:val="8"/>
    <w:qFormat/>
    <w:uiPriority w:val="0"/>
    <w:pPr>
      <w:keepNext w:val="0"/>
      <w:tabs>
        <w:tab w:val="left" w:pos="851"/>
        <w:tab w:val="left" w:pos="1680"/>
      </w:tabs>
      <w:adjustRightInd/>
      <w:spacing w:line="372" w:lineRule="auto"/>
      <w:ind w:left="1680" w:hanging="420"/>
      <w:textAlignment w:val="auto"/>
    </w:pPr>
    <w:rPr>
      <w:rFonts w:ascii="宋体" w:hAnsi="宋体" w:eastAsia="宋体" w:cs="Courier New"/>
      <w:bCs/>
      <w:color w:val="000000"/>
      <w:kern w:val="2"/>
      <w:sz w:val="21"/>
    </w:rPr>
  </w:style>
  <w:style w:type="paragraph" w:customStyle="1" w:styleId="1060">
    <w:name w:val="Date2"/>
    <w:basedOn w:val="1"/>
    <w:next w:val="1"/>
    <w:qFormat/>
    <w:uiPriority w:val="0"/>
    <w:pPr>
      <w:adjustRightInd w:val="0"/>
      <w:spacing w:line="312" w:lineRule="atLeast"/>
      <w:textAlignment w:val="baseline"/>
    </w:pPr>
    <w:rPr>
      <w:kern w:val="0"/>
      <w:sz w:val="24"/>
      <w:szCs w:val="20"/>
    </w:rPr>
  </w:style>
  <w:style w:type="paragraph" w:customStyle="1" w:styleId="1061">
    <w:name w:val="样式 标题 1 + 黑体 小三"/>
    <w:basedOn w:val="3"/>
    <w:qFormat/>
    <w:uiPriority w:val="0"/>
    <w:pPr>
      <w:tabs>
        <w:tab w:val="left" w:pos="425"/>
      </w:tabs>
      <w:autoSpaceDE/>
      <w:autoSpaceDN/>
      <w:adjustRightInd/>
      <w:spacing w:before="200" w:after="200" w:line="480" w:lineRule="auto"/>
      <w:jc w:val="both"/>
    </w:pPr>
    <w:rPr>
      <w:rFonts w:ascii="黑体" w:hAnsi="Verdana" w:eastAsia="黑体"/>
      <w:bCs/>
      <w:color w:val="000000"/>
      <w:kern w:val="2"/>
      <w:szCs w:val="32"/>
    </w:rPr>
  </w:style>
  <w:style w:type="paragraph" w:customStyle="1" w:styleId="1062">
    <w:name w:val="Graph"/>
    <w:basedOn w:val="1"/>
    <w:qFormat/>
    <w:uiPriority w:val="0"/>
    <w:pPr>
      <w:spacing w:beforeLines="50" w:afterLines="50"/>
      <w:jc w:val="center"/>
    </w:pPr>
    <w:rPr>
      <w:rFonts w:ascii="Arial Narrow" w:hAnsi="Arial Narrow" w:eastAsia="PMingLiU"/>
      <w:b/>
      <w:sz w:val="20"/>
      <w:szCs w:val="20"/>
      <w:lang w:eastAsia="zh-TW"/>
    </w:rPr>
  </w:style>
  <w:style w:type="paragraph" w:customStyle="1" w:styleId="1063">
    <w:name w:val="Char Char3 Char Char Char Char Char Char Char Char Char Char Char Char2 Char Char2"/>
    <w:basedOn w:val="1"/>
    <w:qFormat/>
    <w:uiPriority w:val="0"/>
    <w:pPr>
      <w:spacing w:line="360" w:lineRule="auto"/>
    </w:pPr>
    <w:rPr>
      <w:rFonts w:ascii="Tahoma" w:hAnsi="Tahoma"/>
      <w:sz w:val="36"/>
      <w:szCs w:val="36"/>
    </w:rPr>
  </w:style>
  <w:style w:type="paragraph" w:customStyle="1" w:styleId="1064">
    <w:name w:val="MM Topic 5"/>
    <w:basedOn w:val="9"/>
    <w:qFormat/>
    <w:uiPriority w:val="0"/>
    <w:pPr>
      <w:tabs>
        <w:tab w:val="left" w:pos="2127"/>
        <w:tab w:val="left" w:pos="2551"/>
        <w:tab w:val="left" w:pos="6946"/>
      </w:tabs>
      <w:adjustRightInd/>
      <w:spacing w:line="376" w:lineRule="auto"/>
      <w:textAlignment w:val="auto"/>
    </w:pPr>
    <w:rPr>
      <w:bCs/>
      <w:kern w:val="2"/>
      <w:szCs w:val="28"/>
    </w:rPr>
  </w:style>
  <w:style w:type="paragraph" w:customStyle="1" w:styleId="1065">
    <w:name w:val="font14"/>
    <w:basedOn w:val="1"/>
    <w:qFormat/>
    <w:uiPriority w:val="0"/>
    <w:pPr>
      <w:widowControl/>
      <w:spacing w:before="100" w:beforeAutospacing="1" w:after="100" w:afterAutospacing="1"/>
      <w:jc w:val="left"/>
    </w:pPr>
    <w:rPr>
      <w:rFonts w:ascii="宋体" w:hAnsi="宋体"/>
      <w:color w:val="000000"/>
      <w:kern w:val="0"/>
      <w:sz w:val="20"/>
      <w:szCs w:val="20"/>
    </w:rPr>
  </w:style>
  <w:style w:type="paragraph" w:customStyle="1" w:styleId="1066">
    <w:name w:val="示例"/>
    <w:next w:val="453"/>
    <w:qFormat/>
    <w:uiPriority w:val="0"/>
    <w:pPr>
      <w:numPr>
        <w:ilvl w:val="0"/>
        <w:numId w:val="21"/>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1067">
    <w:name w:val="样式 样式 正文首行缩进 + 小四 首行缩进:  1 字符 + 首行缩进:  2 字符"/>
    <w:basedOn w:val="1068"/>
    <w:qFormat/>
    <w:uiPriority w:val="0"/>
    <w:pPr>
      <w:spacing w:after="0" w:line="360" w:lineRule="auto"/>
    </w:pPr>
  </w:style>
  <w:style w:type="paragraph" w:customStyle="1" w:styleId="1068">
    <w:name w:val="样式 正文首行缩进 + 小四 首行缩进:  1 字符"/>
    <w:basedOn w:val="379"/>
    <w:qFormat/>
    <w:uiPriority w:val="0"/>
    <w:pPr>
      <w:ind w:firstLine="200" w:firstLineChars="200"/>
    </w:pPr>
    <w:rPr>
      <w:rFonts w:cs="宋体"/>
      <w:sz w:val="24"/>
    </w:rPr>
  </w:style>
  <w:style w:type="paragraph" w:customStyle="1" w:styleId="1069">
    <w:name w:val="Char Char Char Char Char Char1"/>
    <w:basedOn w:val="1"/>
    <w:qFormat/>
    <w:uiPriority w:val="0"/>
    <w:rPr>
      <w:rFonts w:ascii="Tahoma" w:hAnsi="Tahoma"/>
      <w:sz w:val="24"/>
    </w:rPr>
  </w:style>
  <w:style w:type="paragraph" w:customStyle="1" w:styleId="1070">
    <w:name w:val="段落"/>
    <w:basedOn w:val="1"/>
    <w:qFormat/>
    <w:uiPriority w:val="0"/>
    <w:pPr>
      <w:spacing w:line="480" w:lineRule="auto"/>
      <w:ind w:firstLine="540" w:firstLineChars="225"/>
    </w:pPr>
    <w:rPr>
      <w:rFonts w:ascii="宋体" w:hAnsi="宋体"/>
      <w:sz w:val="24"/>
    </w:rPr>
  </w:style>
  <w:style w:type="paragraph" w:customStyle="1" w:styleId="1071">
    <w:name w:val="样式 标题 4 + (西文) 宋体 (中文) 宋体 非加粗"/>
    <w:basedOn w:val="8"/>
    <w:qFormat/>
    <w:uiPriority w:val="0"/>
    <w:pPr>
      <w:tabs>
        <w:tab w:val="left" w:pos="1680"/>
      </w:tabs>
      <w:adjustRightInd/>
      <w:spacing w:line="240" w:lineRule="auto"/>
      <w:ind w:left="1680" w:hanging="420"/>
      <w:textAlignment w:val="auto"/>
    </w:pPr>
    <w:rPr>
      <w:rFonts w:ascii="宋体" w:hAnsi="宋体" w:eastAsia="宋体" w:cs="Courier New"/>
      <w:b w:val="0"/>
      <w:bCs/>
      <w:color w:val="000000"/>
      <w:kern w:val="2"/>
      <w:szCs w:val="21"/>
    </w:rPr>
  </w:style>
  <w:style w:type="paragraph" w:customStyle="1" w:styleId="1072">
    <w:name w:val="bs标题四"/>
    <w:basedOn w:val="1"/>
    <w:next w:val="1"/>
    <w:qFormat/>
    <w:uiPriority w:val="0"/>
    <w:pPr>
      <w:keepNext/>
      <w:keepLines/>
      <w:widowControl/>
      <w:numPr>
        <w:ilvl w:val="3"/>
        <w:numId w:val="8"/>
      </w:numPr>
      <w:spacing w:before="60" w:after="60" w:line="360" w:lineRule="auto"/>
      <w:jc w:val="left"/>
      <w:outlineLvl w:val="3"/>
    </w:pPr>
    <w:rPr>
      <w:rFonts w:eastAsia="黑体"/>
      <w:b/>
      <w:bCs/>
      <w:sz w:val="28"/>
      <w:szCs w:val="28"/>
    </w:rPr>
  </w:style>
  <w:style w:type="paragraph" w:customStyle="1" w:styleId="1073">
    <w:name w:val="样式 标题 1Heading 0PIM 1H1h1l1Head 1 (Chapter heading)Head 1...1"/>
    <w:basedOn w:val="3"/>
    <w:qFormat/>
    <w:uiPriority w:val="0"/>
    <w:pPr>
      <w:pageBreakBefore/>
      <w:tabs>
        <w:tab w:val="left" w:pos="420"/>
      </w:tabs>
      <w:autoSpaceDE/>
      <w:autoSpaceDN/>
      <w:adjustRightInd/>
      <w:spacing w:before="340" w:beforeLines="50" w:after="330" w:line="576" w:lineRule="auto"/>
      <w:ind w:left="420" w:hanging="420"/>
    </w:pPr>
    <w:rPr>
      <w:rFonts w:ascii="Times New Roman" w:eastAsia="黑体"/>
      <w:sz w:val="52"/>
    </w:rPr>
  </w:style>
  <w:style w:type="paragraph" w:customStyle="1" w:styleId="1074">
    <w:name w:val="哈哈标题4"/>
    <w:basedOn w:val="7"/>
    <w:qFormat/>
    <w:uiPriority w:val="0"/>
    <w:pPr>
      <w:keepNext/>
      <w:keepLines/>
      <w:tabs>
        <w:tab w:val="left" w:pos="360"/>
        <w:tab w:val="left" w:pos="2160"/>
      </w:tabs>
      <w:autoSpaceDE/>
      <w:autoSpaceDN/>
      <w:adjustRightInd/>
      <w:spacing w:before="280" w:after="290" w:line="372" w:lineRule="auto"/>
      <w:ind w:left="2160" w:hanging="420"/>
      <w:jc w:val="both"/>
      <w:outlineLvl w:val="3"/>
    </w:pPr>
    <w:rPr>
      <w:rFonts w:ascii="Arial" w:hAnsi="Arial"/>
      <w:b/>
      <w:sz w:val="28"/>
      <w:szCs w:val="20"/>
    </w:rPr>
  </w:style>
  <w:style w:type="paragraph" w:customStyle="1" w:styleId="1075">
    <w:name w:val="项目正文"/>
    <w:basedOn w:val="1"/>
    <w:qFormat/>
    <w:uiPriority w:val="0"/>
    <w:pPr>
      <w:tabs>
        <w:tab w:val="left" w:pos="425"/>
      </w:tabs>
      <w:spacing w:beforeLines="50" w:afterLines="50" w:line="360" w:lineRule="auto"/>
      <w:ind w:left="425" w:hanging="425"/>
    </w:pPr>
    <w:rPr>
      <w:rFonts w:ascii="Book Antiqua" w:hAnsi="Book Antiqua"/>
      <w:sz w:val="28"/>
    </w:rPr>
  </w:style>
  <w:style w:type="paragraph" w:customStyle="1" w:styleId="1076">
    <w:name w:val="Char23"/>
    <w:basedOn w:val="1"/>
    <w:qFormat/>
    <w:uiPriority w:val="0"/>
    <w:rPr>
      <w:rFonts w:ascii="Tahoma" w:hAnsi="Tahoma"/>
      <w:sz w:val="24"/>
      <w:szCs w:val="20"/>
    </w:rPr>
  </w:style>
  <w:style w:type="paragraph" w:customStyle="1" w:styleId="1077">
    <w:name w:val="Char Char Char Char Char Char Char Char Char Char Char Char 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078">
    <w:name w:val="正文首行缩进6"/>
    <w:basedOn w:val="1"/>
    <w:qFormat/>
    <w:uiPriority w:val="0"/>
    <w:pPr>
      <w:spacing w:line="360" w:lineRule="auto"/>
      <w:ind w:left="960" w:leftChars="400" w:firstLine="480" w:firstLineChars="200"/>
    </w:pPr>
    <w:rPr>
      <w:rFonts w:ascii="宋体"/>
      <w:sz w:val="24"/>
      <w:szCs w:val="20"/>
    </w:rPr>
  </w:style>
  <w:style w:type="paragraph" w:customStyle="1" w:styleId="1079">
    <w:name w:val="Char Char Char Char Char Char Char Char Char Char Char Char Char3"/>
    <w:basedOn w:val="1"/>
    <w:qFormat/>
    <w:uiPriority w:val="0"/>
    <w:pPr>
      <w:tabs>
        <w:tab w:val="left" w:pos="432"/>
      </w:tabs>
      <w:spacing w:beforeLines="50" w:afterLines="50"/>
      <w:ind w:left="432" w:hanging="432"/>
      <w:jc w:val="center"/>
    </w:pPr>
    <w:rPr>
      <w:sz w:val="24"/>
    </w:rPr>
  </w:style>
  <w:style w:type="paragraph" w:customStyle="1" w:styleId="1080">
    <w:name w:val="Char2 Char Char Char3"/>
    <w:basedOn w:val="1"/>
    <w:qFormat/>
    <w:uiPriority w:val="0"/>
    <w:rPr>
      <w:rFonts w:ascii="仿宋_GB2312"/>
      <w:b/>
      <w:sz w:val="30"/>
      <w:szCs w:val="32"/>
    </w:rPr>
  </w:style>
  <w:style w:type="paragraph" w:customStyle="1" w:styleId="1081">
    <w:name w:val="注×："/>
    <w:qFormat/>
    <w:uiPriority w:val="0"/>
    <w:pPr>
      <w:widowControl w:val="0"/>
      <w:numPr>
        <w:ilvl w:val="0"/>
        <w:numId w:val="22"/>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1082">
    <w:name w:val=".."/>
    <w:basedOn w:val="278"/>
    <w:next w:val="278"/>
    <w:qFormat/>
    <w:uiPriority w:val="0"/>
    <w:rPr>
      <w:rFonts w:ascii="幼圆" w:hAnsi="Times New Roman" w:eastAsia="幼圆" w:cs="Times New Roman"/>
      <w:color w:val="auto"/>
    </w:rPr>
  </w:style>
  <w:style w:type="paragraph" w:customStyle="1" w:styleId="1083">
    <w:name w:val="4.1.1"/>
    <w:basedOn w:val="6"/>
    <w:qFormat/>
    <w:uiPriority w:val="0"/>
    <w:pPr>
      <w:autoSpaceDE/>
      <w:autoSpaceDN/>
      <w:adjustRightInd/>
      <w:spacing w:before="260" w:after="260" w:line="360" w:lineRule="auto"/>
      <w:jc w:val="both"/>
      <w:outlineLvl w:val="1"/>
    </w:pPr>
    <w:rPr>
      <w:rFonts w:hAnsi="宋体"/>
      <w:bCs/>
      <w:color w:val="000000"/>
      <w:kern w:val="2"/>
      <w:sz w:val="28"/>
      <w:szCs w:val="32"/>
      <w:u w:val="none"/>
    </w:rPr>
  </w:style>
  <w:style w:type="paragraph" w:customStyle="1" w:styleId="1084">
    <w:name w:val="样式 标题 1H1标书1h1Level 1 Topic Heading1st levelSection Headl..."/>
    <w:basedOn w:val="3"/>
    <w:qFormat/>
    <w:uiPriority w:val="0"/>
    <w:pPr>
      <w:pageBreakBefore/>
      <w:tabs>
        <w:tab w:val="left" w:pos="360"/>
      </w:tabs>
      <w:autoSpaceDE/>
      <w:autoSpaceDN/>
      <w:adjustRightInd/>
      <w:spacing w:before="312" w:after="312" w:line="576" w:lineRule="auto"/>
      <w:ind w:left="425" w:hanging="425"/>
      <w:jc w:val="both"/>
    </w:pPr>
    <w:rPr>
      <w:rFonts w:ascii="Calibri" w:hAnsi="Calibri" w:cs="宋体"/>
      <w:bCs/>
    </w:rPr>
  </w:style>
  <w:style w:type="paragraph" w:customStyle="1" w:styleId="1085">
    <w:name w:val="CM52"/>
    <w:basedOn w:val="278"/>
    <w:next w:val="278"/>
    <w:qFormat/>
    <w:uiPriority w:val="0"/>
    <w:pPr>
      <w:spacing w:after="155"/>
    </w:pPr>
    <w:rPr>
      <w:rFonts w:ascii="黑体" w:hAnsi="Times New Roman" w:eastAsia="黑体" w:cs="Times New Roman"/>
      <w:color w:val="auto"/>
    </w:rPr>
  </w:style>
  <w:style w:type="paragraph" w:customStyle="1" w:styleId="1086">
    <w:name w:val="附录三级条标题"/>
    <w:basedOn w:val="1087"/>
    <w:next w:val="453"/>
    <w:qFormat/>
    <w:uiPriority w:val="0"/>
    <w:pPr>
      <w:numPr>
        <w:ilvl w:val="4"/>
      </w:numPr>
      <w:tabs>
        <w:tab w:val="left" w:pos="1260"/>
        <w:tab w:val="left" w:pos="1680"/>
        <w:tab w:val="left" w:pos="2100"/>
      </w:tabs>
      <w:ind w:left="2100" w:hanging="420"/>
      <w:outlineLvl w:val="4"/>
    </w:pPr>
  </w:style>
  <w:style w:type="paragraph" w:customStyle="1" w:styleId="1087">
    <w:name w:val="附录二级条标题"/>
    <w:basedOn w:val="1088"/>
    <w:next w:val="453"/>
    <w:qFormat/>
    <w:uiPriority w:val="0"/>
    <w:pPr>
      <w:numPr>
        <w:ilvl w:val="3"/>
      </w:numPr>
      <w:tabs>
        <w:tab w:val="left" w:pos="1260"/>
        <w:tab w:val="left" w:pos="1680"/>
      </w:tabs>
      <w:ind w:left="1680" w:hanging="420"/>
      <w:outlineLvl w:val="3"/>
    </w:pPr>
  </w:style>
  <w:style w:type="paragraph" w:customStyle="1" w:styleId="1088">
    <w:name w:val="附录一级条标题"/>
    <w:basedOn w:val="1089"/>
    <w:next w:val="453"/>
    <w:qFormat/>
    <w:uiPriority w:val="0"/>
    <w:pPr>
      <w:numPr>
        <w:ilvl w:val="2"/>
      </w:numPr>
      <w:tabs>
        <w:tab w:val="left" w:pos="1260"/>
      </w:tabs>
      <w:autoSpaceDN w:val="0"/>
      <w:spacing w:before="0" w:beforeLines="0" w:after="0" w:afterLines="0"/>
      <w:ind w:left="1260" w:hanging="420"/>
      <w:outlineLvl w:val="2"/>
    </w:pPr>
  </w:style>
  <w:style w:type="paragraph" w:customStyle="1" w:styleId="1089">
    <w:name w:val="附录章标题"/>
    <w:next w:val="453"/>
    <w:qFormat/>
    <w:uiPriority w:val="0"/>
    <w:pPr>
      <w:numPr>
        <w:ilvl w:val="1"/>
        <w:numId w:val="23"/>
      </w:numPr>
      <w:wordWrap w:val="0"/>
      <w:overflowPunct w:val="0"/>
      <w:autoSpaceDE w:val="0"/>
      <w:spacing w:before="156" w:beforeLines="50" w:after="156"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090">
    <w:name w:val="正文lzq"/>
    <w:basedOn w:val="1"/>
    <w:qFormat/>
    <w:uiPriority w:val="0"/>
    <w:pPr>
      <w:adjustRightInd w:val="0"/>
      <w:spacing w:line="360" w:lineRule="auto"/>
      <w:ind w:firstLine="480"/>
      <w:textAlignment w:val="baseline"/>
    </w:pPr>
    <w:rPr>
      <w:kern w:val="0"/>
      <w:sz w:val="24"/>
      <w:szCs w:val="20"/>
    </w:rPr>
  </w:style>
  <w:style w:type="paragraph" w:customStyle="1" w:styleId="1091">
    <w:name w:val="导言"/>
    <w:basedOn w:val="1"/>
    <w:qFormat/>
    <w:uiPriority w:val="0"/>
    <w:pPr>
      <w:widowControl/>
      <w:overflowPunct w:val="0"/>
      <w:autoSpaceDE w:val="0"/>
      <w:autoSpaceDN w:val="0"/>
      <w:adjustRightInd w:val="0"/>
      <w:spacing w:afterLines="20" w:line="240" w:lineRule="atLeast"/>
      <w:ind w:firstLine="480" w:firstLineChars="200"/>
      <w:jc w:val="left"/>
      <w:textAlignment w:val="baseline"/>
    </w:pPr>
    <w:rPr>
      <w:rFonts w:ascii="华文新魏" w:eastAsia="华文新魏" w:cs="Angsana New"/>
      <w:kern w:val="0"/>
      <w:sz w:val="24"/>
      <w:szCs w:val="20"/>
      <w:lang w:val="en-GB"/>
    </w:rPr>
  </w:style>
  <w:style w:type="paragraph" w:customStyle="1" w:styleId="1092">
    <w:name w:val="表格标题1"/>
    <w:basedOn w:val="1"/>
    <w:qFormat/>
    <w:uiPriority w:val="0"/>
    <w:pPr>
      <w:spacing w:line="400" w:lineRule="exact"/>
      <w:jc w:val="center"/>
    </w:pPr>
    <w:rPr>
      <w:rFonts w:ascii="Arial" w:hAnsi="Arial" w:cs="宋体"/>
      <w:b/>
      <w:bCs/>
      <w:szCs w:val="21"/>
    </w:rPr>
  </w:style>
  <w:style w:type="paragraph" w:customStyle="1" w:styleId="1093">
    <w:name w:val="标书表格字体格式"/>
    <w:next w:val="627"/>
    <w:qFormat/>
    <w:uiPriority w:val="0"/>
    <w:pPr>
      <w:spacing w:line="360" w:lineRule="exact"/>
    </w:pPr>
    <w:rPr>
      <w:rFonts w:ascii="Times New Roman" w:hAnsi="Times New Roman" w:eastAsia="宋体" w:cs="Times New Roman"/>
      <w:kern w:val="2"/>
      <w:sz w:val="28"/>
      <w:szCs w:val="28"/>
      <w:lang w:val="en-US" w:eastAsia="zh-CN" w:bidi="ar-SA"/>
    </w:rPr>
  </w:style>
  <w:style w:type="paragraph" w:customStyle="1" w:styleId="1094">
    <w:name w:val="样式 (中文) 华文细黑 黑色"/>
    <w:basedOn w:val="1"/>
    <w:qFormat/>
    <w:uiPriority w:val="0"/>
    <w:pPr>
      <w:ind w:firstLine="420" w:firstLineChars="200"/>
    </w:pPr>
    <w:rPr>
      <w:rFonts w:eastAsia="华文细黑"/>
      <w:color w:val="000000"/>
      <w:szCs w:val="20"/>
    </w:rPr>
  </w:style>
  <w:style w:type="paragraph" w:customStyle="1" w:styleId="1095">
    <w:name w:val="flNote"/>
    <w:basedOn w:val="1"/>
    <w:qFormat/>
    <w:uiPriority w:val="0"/>
    <w:pPr>
      <w:adjustRightInd w:val="0"/>
      <w:spacing w:before="567" w:line="360" w:lineRule="atLeast"/>
      <w:jc w:val="center"/>
      <w:textAlignment w:val="baseline"/>
    </w:pPr>
    <w:rPr>
      <w:rFonts w:eastAsia="黑体"/>
      <w:b/>
      <w:kern w:val="0"/>
      <w:sz w:val="24"/>
      <w:szCs w:val="20"/>
    </w:rPr>
  </w:style>
  <w:style w:type="paragraph" w:customStyle="1" w:styleId="1096">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8"/>
      <w:szCs w:val="28"/>
    </w:rPr>
  </w:style>
  <w:style w:type="paragraph" w:customStyle="1" w:styleId="1097">
    <w:name w:val="表格标注（绿盟科技）"/>
    <w:basedOn w:val="986"/>
    <w:next w:val="1"/>
    <w:qFormat/>
    <w:uiPriority w:val="0"/>
    <w:pPr>
      <w:numPr>
        <w:ilvl w:val="7"/>
      </w:numPr>
    </w:pPr>
  </w:style>
  <w:style w:type="paragraph" w:customStyle="1" w:styleId="1098">
    <w:name w:val="図"/>
    <w:basedOn w:val="19"/>
    <w:next w:val="1"/>
    <w:qFormat/>
    <w:uiPriority w:val="0"/>
    <w:pPr>
      <w:tabs>
        <w:tab w:val="clear" w:pos="567"/>
      </w:tabs>
      <w:spacing w:before="0" w:beforeLines="50" w:line="240" w:lineRule="auto"/>
      <w:jc w:val="center"/>
    </w:pPr>
    <w:rPr>
      <w:rFonts w:ascii="Century" w:hAnsi="Century" w:eastAsia="MS PMincho"/>
      <w:sz w:val="21"/>
      <w:lang w:eastAsia="ja-JP"/>
    </w:rPr>
  </w:style>
  <w:style w:type="paragraph" w:customStyle="1" w:styleId="1099">
    <w:name w:val="插图（绿盟科技）"/>
    <w:next w:val="1"/>
    <w:qFormat/>
    <w:uiPriority w:val="0"/>
    <w:pPr>
      <w:spacing w:beforeLines="25" w:afterLines="25"/>
      <w:jc w:val="center"/>
    </w:pPr>
    <w:rPr>
      <w:rFonts w:ascii="Arial" w:hAnsi="Arial" w:eastAsia="宋体" w:cs="Times New Roman"/>
      <w:sz w:val="21"/>
      <w:szCs w:val="21"/>
      <w:lang w:val="en-US" w:eastAsia="zh-CN" w:bidi="ar-SA"/>
    </w:rPr>
  </w:style>
  <w:style w:type="paragraph" w:customStyle="1" w:styleId="1100">
    <w:name w:val="MM Topic 3"/>
    <w:basedOn w:val="6"/>
    <w:qFormat/>
    <w:uiPriority w:val="0"/>
    <w:pPr>
      <w:tabs>
        <w:tab w:val="left" w:pos="1418"/>
      </w:tabs>
      <w:autoSpaceDE/>
      <w:autoSpaceDN/>
      <w:adjustRightInd/>
      <w:spacing w:before="260" w:after="260" w:line="416" w:lineRule="auto"/>
      <w:jc w:val="both"/>
    </w:pPr>
    <w:rPr>
      <w:rFonts w:ascii="Times New Roman"/>
      <w:bCs/>
      <w:kern w:val="2"/>
      <w:sz w:val="32"/>
      <w:szCs w:val="32"/>
      <w:u w:val="none"/>
    </w:rPr>
  </w:style>
  <w:style w:type="paragraph" w:customStyle="1" w:styleId="1101">
    <w:name w:val="album-div1"/>
    <w:basedOn w:val="1"/>
    <w:qFormat/>
    <w:uiPriority w:val="0"/>
    <w:pPr>
      <w:widowControl/>
      <w:shd w:val="clear" w:color="auto" w:fill="FFFFFF"/>
      <w:spacing w:beforeAutospacing="1" w:afterAutospacing="1"/>
      <w:jc w:val="left"/>
    </w:pPr>
    <w:rPr>
      <w:rFonts w:ascii="宋体" w:hAnsi="宋体" w:cs="宋体"/>
      <w:kern w:val="0"/>
      <w:sz w:val="24"/>
    </w:rPr>
  </w:style>
  <w:style w:type="paragraph" w:customStyle="1" w:styleId="1102">
    <w:name w:val="样式 正文样式 + 宋体 首行缩进:  2 字符"/>
    <w:basedOn w:val="556"/>
    <w:qFormat/>
    <w:uiPriority w:val="0"/>
    <w:pPr>
      <w:ind w:firstLine="560"/>
    </w:pPr>
    <w:rPr>
      <w:rFonts w:ascii="宋体" w:hAnsi="宋体" w:cs="宋体"/>
      <w:szCs w:val="20"/>
    </w:rPr>
  </w:style>
  <w:style w:type="paragraph" w:customStyle="1" w:styleId="1103">
    <w:name w:val="样式 标题 3H3标题1.1节标题，三级节名二级节名Heading 3 - oldHeading 3 - old C..."/>
    <w:basedOn w:val="1"/>
    <w:next w:val="1"/>
    <w:qFormat/>
    <w:uiPriority w:val="0"/>
    <w:pPr>
      <w:spacing w:line="360" w:lineRule="auto"/>
      <w:ind w:left="720" w:hanging="720"/>
    </w:pPr>
    <w:rPr>
      <w:sz w:val="32"/>
      <w:szCs w:val="20"/>
    </w:rPr>
  </w:style>
  <w:style w:type="paragraph" w:customStyle="1" w:styleId="1104">
    <w:name w:val="12册标题"/>
    <w:basedOn w:val="1"/>
    <w:next w:val="1"/>
    <w:qFormat/>
    <w:uiPriority w:val="0"/>
    <w:pPr>
      <w:spacing w:beforeLines="50" w:afterLines="50" w:line="300" w:lineRule="auto"/>
      <w:jc w:val="center"/>
      <w:outlineLvl w:val="0"/>
    </w:pPr>
    <w:rPr>
      <w:rFonts w:ascii="Arial" w:hAnsi="Arial" w:eastAsia="黑体"/>
      <w:sz w:val="44"/>
      <w:szCs w:val="20"/>
    </w:rPr>
  </w:style>
  <w:style w:type="paragraph" w:customStyle="1" w:styleId="1105">
    <w:name w:val="xl122"/>
    <w:basedOn w:val="1"/>
    <w:qFormat/>
    <w:uiPriority w:val="0"/>
    <w:pPr>
      <w:widowControl/>
      <w:pBdr>
        <w:top w:val="single" w:color="auto" w:sz="4" w:space="0"/>
        <w:left w:val="single" w:color="auto" w:sz="4" w:space="0"/>
        <w:right w:val="single" w:color="auto" w:sz="4" w:space="0"/>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1106">
    <w:name w:val="我的样式"/>
    <w:basedOn w:val="1"/>
    <w:qFormat/>
    <w:uiPriority w:val="0"/>
    <w:rPr>
      <w:b/>
      <w:sz w:val="24"/>
    </w:rPr>
  </w:style>
  <w:style w:type="paragraph" w:customStyle="1" w:styleId="1107">
    <w:name w:val="font12"/>
    <w:basedOn w:val="1"/>
    <w:qFormat/>
    <w:uiPriority w:val="0"/>
    <w:pPr>
      <w:widowControl/>
      <w:spacing w:before="100" w:beforeAutospacing="1" w:after="100" w:afterAutospacing="1"/>
      <w:jc w:val="left"/>
    </w:pPr>
    <w:rPr>
      <w:rFonts w:ascii="Arial" w:hAnsi="Arial"/>
      <w:kern w:val="0"/>
      <w:sz w:val="16"/>
      <w:szCs w:val="20"/>
    </w:rPr>
  </w:style>
  <w:style w:type="paragraph" w:customStyle="1" w:styleId="1108">
    <w:name w:val="Char Char3 Char Char Char Char Char Char Char Char Char Char Char Char13"/>
    <w:basedOn w:val="1"/>
    <w:qFormat/>
    <w:uiPriority w:val="0"/>
    <w:pPr>
      <w:spacing w:line="360" w:lineRule="auto"/>
    </w:pPr>
    <w:rPr>
      <w:rFonts w:ascii="Tahoma" w:hAnsi="Tahoma"/>
      <w:sz w:val="36"/>
      <w:szCs w:val="36"/>
    </w:rPr>
  </w:style>
  <w:style w:type="paragraph" w:customStyle="1" w:styleId="1109">
    <w:name w:val="1册标题2"/>
    <w:basedOn w:val="1"/>
    <w:next w:val="1"/>
    <w:qFormat/>
    <w:uiPriority w:val="0"/>
    <w:pPr>
      <w:adjustRightInd w:val="0"/>
      <w:spacing w:beforeLines="50" w:afterLines="50" w:line="300" w:lineRule="auto"/>
      <w:jc w:val="center"/>
      <w:outlineLvl w:val="1"/>
    </w:pPr>
    <w:rPr>
      <w:rFonts w:ascii="Arial" w:hAnsi="Arial" w:eastAsia="黑体"/>
      <w:kern w:val="0"/>
      <w:sz w:val="32"/>
      <w:szCs w:val="20"/>
    </w:rPr>
  </w:style>
  <w:style w:type="paragraph" w:customStyle="1" w:styleId="111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111">
    <w:name w:val="样式 标题 3H3标题1.1节标题，三级节名二级节名Heading 3 - oldHeading 3 - old C...2"/>
    <w:basedOn w:val="6"/>
    <w:qFormat/>
    <w:uiPriority w:val="0"/>
    <w:pPr>
      <w:tabs>
        <w:tab w:val="left" w:pos="1134"/>
        <w:tab w:val="left" w:pos="1740"/>
      </w:tabs>
      <w:autoSpaceDE/>
      <w:autoSpaceDN/>
      <w:adjustRightInd/>
      <w:spacing w:before="0" w:after="0" w:line="480" w:lineRule="auto"/>
      <w:ind w:left="1134" w:hanging="1134"/>
      <w:jc w:val="both"/>
    </w:pPr>
    <w:rPr>
      <w:rFonts w:hAnsi="宋体"/>
      <w:kern w:val="2"/>
      <w:sz w:val="30"/>
      <w:u w:val="none"/>
    </w:rPr>
  </w:style>
  <w:style w:type="paragraph" w:customStyle="1" w:styleId="1112">
    <w:name w:val="样式 标题 3H3标题1.1节标题，三级节名二级节名Heading 3 - oldHeading 3 - old C...5"/>
    <w:basedOn w:val="6"/>
    <w:qFormat/>
    <w:uiPriority w:val="0"/>
    <w:pPr>
      <w:tabs>
        <w:tab w:val="left" w:pos="709"/>
      </w:tabs>
      <w:autoSpaceDE/>
      <w:autoSpaceDN/>
      <w:adjustRightInd/>
      <w:spacing w:before="0" w:after="0" w:line="480" w:lineRule="auto"/>
      <w:jc w:val="both"/>
    </w:pPr>
    <w:rPr>
      <w:rFonts w:ascii="黑体" w:eastAsia="黑体"/>
      <w:color w:val="000000"/>
      <w:kern w:val="2"/>
      <w:sz w:val="30"/>
      <w:u w:val="none"/>
    </w:rPr>
  </w:style>
  <w:style w:type="paragraph" w:customStyle="1" w:styleId="1113">
    <w:name w:val="colorffffffbg"/>
    <w:basedOn w:val="1"/>
    <w:qFormat/>
    <w:uiPriority w:val="0"/>
    <w:pPr>
      <w:widowControl/>
      <w:shd w:val="clear" w:color="auto" w:fill="FFFFFF"/>
      <w:spacing w:before="100" w:beforeAutospacing="1" w:after="100" w:afterAutospacing="1"/>
      <w:jc w:val="left"/>
    </w:pPr>
    <w:rPr>
      <w:rFonts w:ascii="宋体" w:hAnsi="宋体" w:cs="宋体"/>
      <w:color w:val="000000"/>
      <w:kern w:val="0"/>
      <w:sz w:val="24"/>
    </w:rPr>
  </w:style>
  <w:style w:type="paragraph" w:customStyle="1" w:styleId="1114">
    <w:name w:val="Char1 Char Char Char Char Char Char2"/>
    <w:basedOn w:val="1"/>
    <w:qFormat/>
    <w:uiPriority w:val="0"/>
    <w:rPr>
      <w:rFonts w:ascii="Tahoma" w:hAnsi="Tahoma"/>
      <w:sz w:val="24"/>
      <w:szCs w:val="20"/>
    </w:rPr>
  </w:style>
  <w:style w:type="paragraph" w:customStyle="1" w:styleId="1115">
    <w:name w:val="style42"/>
    <w:basedOn w:val="1"/>
    <w:qFormat/>
    <w:uiPriority w:val="0"/>
    <w:pPr>
      <w:widowControl/>
      <w:spacing w:before="100" w:beforeAutospacing="1" w:after="100" w:afterAutospacing="1"/>
      <w:jc w:val="left"/>
    </w:pPr>
    <w:rPr>
      <w:rFonts w:ascii="宋体" w:hAnsi="宋体" w:cs="宋体"/>
      <w:color w:val="000000"/>
      <w:kern w:val="0"/>
      <w:sz w:val="15"/>
      <w:szCs w:val="15"/>
    </w:rPr>
  </w:style>
  <w:style w:type="paragraph" w:customStyle="1" w:styleId="1116">
    <w:name w:val="xl132"/>
    <w:basedOn w:val="1"/>
    <w:qFormat/>
    <w:uiPriority w:val="0"/>
    <w:pPr>
      <w:widowControl/>
      <w:pBdr>
        <w:bottom w:val="single" w:color="auto" w:sz="4" w:space="0"/>
      </w:pBdr>
      <w:spacing w:before="100" w:beforeAutospacing="1" w:after="100" w:afterAutospacing="1"/>
      <w:jc w:val="left"/>
      <w:textAlignment w:val="center"/>
    </w:pPr>
    <w:rPr>
      <w:rFonts w:ascii="宋体" w:hAnsi="宋体"/>
      <w:kern w:val="0"/>
      <w:sz w:val="18"/>
      <w:szCs w:val="20"/>
    </w:rPr>
  </w:style>
  <w:style w:type="paragraph" w:customStyle="1" w:styleId="111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118">
    <w:name w:val="小四 段落 宋体 Char Char"/>
    <w:basedOn w:val="1"/>
    <w:qFormat/>
    <w:uiPriority w:val="0"/>
    <w:pPr>
      <w:spacing w:afterLines="50" w:line="360" w:lineRule="auto"/>
      <w:ind w:firstLine="480" w:firstLineChars="200"/>
    </w:pPr>
    <w:rPr>
      <w:rFonts w:ascii="宋体" w:hAnsi="宋体"/>
      <w:sz w:val="24"/>
    </w:rPr>
  </w:style>
  <w:style w:type="paragraph" w:customStyle="1" w:styleId="1119">
    <w:name w:val="样式 标题 4h4First SubheadingH4sect 1.2.3.4Ref Heading 1rh1se..."/>
    <w:basedOn w:val="8"/>
    <w:qFormat/>
    <w:uiPriority w:val="0"/>
    <w:pPr>
      <w:tabs>
        <w:tab w:val="left" w:pos="425"/>
        <w:tab w:val="left" w:pos="720"/>
        <w:tab w:val="left" w:pos="1680"/>
      </w:tabs>
      <w:adjustRightInd/>
      <w:spacing w:line="376" w:lineRule="auto"/>
      <w:ind w:left="425" w:hanging="425"/>
      <w:textAlignment w:val="auto"/>
    </w:pPr>
    <w:rPr>
      <w:rFonts w:ascii="宋体" w:hAnsi="宋体" w:eastAsia="宋体" w:cs="Courier New"/>
      <w:color w:val="000000"/>
      <w:kern w:val="2"/>
      <w:sz w:val="32"/>
      <w:szCs w:val="21"/>
    </w:rPr>
  </w:style>
  <w:style w:type="paragraph" w:customStyle="1" w:styleId="1120">
    <w:name w:val="样式19"/>
    <w:basedOn w:val="1"/>
    <w:qFormat/>
    <w:uiPriority w:val="0"/>
    <w:pPr>
      <w:spacing w:before="156" w:beforeLines="50" w:after="156" w:afterLines="50" w:line="360" w:lineRule="auto"/>
      <w:ind w:firstLine="480" w:firstLineChars="200"/>
    </w:pPr>
    <w:rPr>
      <w:rFonts w:ascii="宋体" w:hAnsi="宋体"/>
      <w:sz w:val="24"/>
    </w:rPr>
  </w:style>
  <w:style w:type="paragraph" w:customStyle="1" w:styleId="1121">
    <w:name w:val="Plain Text1"/>
    <w:basedOn w:val="1"/>
    <w:qFormat/>
    <w:uiPriority w:val="0"/>
    <w:pPr>
      <w:autoSpaceDE w:val="0"/>
      <w:autoSpaceDN w:val="0"/>
      <w:adjustRightInd w:val="0"/>
      <w:textAlignment w:val="baseline"/>
    </w:pPr>
    <w:rPr>
      <w:rFonts w:ascii="宋体"/>
      <w:szCs w:val="20"/>
    </w:rPr>
  </w:style>
  <w:style w:type="paragraph" w:customStyle="1" w:styleId="1122">
    <w:name w:val="Chart_head"/>
    <w:qFormat/>
    <w:uiPriority w:val="0"/>
    <w:pPr>
      <w:spacing w:line="240" w:lineRule="exact"/>
    </w:pPr>
    <w:rPr>
      <w:rFonts w:ascii="Helvetica" w:hAnsi="Helvetica" w:eastAsia="宋体" w:cs="Times New Roman"/>
      <w:b/>
      <w:color w:val="002D3F"/>
      <w:sz w:val="16"/>
      <w:lang w:val="en-US" w:eastAsia="en-US" w:bidi="ar-SA"/>
    </w:rPr>
  </w:style>
  <w:style w:type="paragraph" w:customStyle="1" w:styleId="1123">
    <w:name w:val="图表标题"/>
    <w:basedOn w:val="1"/>
    <w:qFormat/>
    <w:uiPriority w:val="0"/>
    <w:pPr>
      <w:autoSpaceDE w:val="0"/>
      <w:autoSpaceDN w:val="0"/>
      <w:adjustRightInd w:val="0"/>
      <w:snapToGrid w:val="0"/>
      <w:spacing w:before="80" w:after="40" w:line="288" w:lineRule="auto"/>
      <w:jc w:val="center"/>
    </w:pPr>
    <w:rPr>
      <w:spacing w:val="10"/>
      <w:kern w:val="0"/>
      <w:sz w:val="24"/>
      <w:szCs w:val="20"/>
    </w:rPr>
  </w:style>
  <w:style w:type="paragraph" w:customStyle="1" w:styleId="1124">
    <w:name w:val="封二"/>
    <w:basedOn w:val="1"/>
    <w:qFormat/>
    <w:uiPriority w:val="0"/>
    <w:pPr>
      <w:spacing w:line="360" w:lineRule="auto"/>
      <w:ind w:firstLine="425"/>
    </w:pPr>
    <w:rPr>
      <w:rFonts w:eastAsia="幼圆"/>
      <w:sz w:val="32"/>
      <w:szCs w:val="20"/>
    </w:rPr>
  </w:style>
  <w:style w:type="paragraph" w:customStyle="1" w:styleId="1125">
    <w:name w:val="Char Char3 Char Char Char Char Char Char Char Char Char Char3"/>
    <w:basedOn w:val="1"/>
    <w:qFormat/>
    <w:uiPriority w:val="0"/>
    <w:pPr>
      <w:spacing w:line="360" w:lineRule="auto"/>
    </w:pPr>
    <w:rPr>
      <w:rFonts w:ascii="Tahoma" w:hAnsi="Tahoma"/>
      <w:sz w:val="36"/>
      <w:szCs w:val="36"/>
    </w:rPr>
  </w:style>
  <w:style w:type="paragraph" w:customStyle="1" w:styleId="1126">
    <w:name w:val="样式 标题 4H4PIM 5h4blbbPIM 44th level + 右侧:  0 厘米 行距: 1.5 倍..."/>
    <w:basedOn w:val="8"/>
    <w:qFormat/>
    <w:uiPriority w:val="0"/>
    <w:pPr>
      <w:tabs>
        <w:tab w:val="left" w:pos="1680"/>
      </w:tabs>
      <w:adjustRightInd/>
      <w:spacing w:before="0" w:after="0" w:line="360" w:lineRule="auto"/>
      <w:ind w:left="1984" w:hanging="433"/>
      <w:jc w:val="left"/>
      <w:textAlignment w:val="auto"/>
    </w:pPr>
    <w:rPr>
      <w:rFonts w:eastAsia="华文中宋" w:cs="宋体"/>
      <w:color w:val="000000"/>
      <w:kern w:val="2"/>
      <w:szCs w:val="21"/>
    </w:rPr>
  </w:style>
  <w:style w:type="paragraph" w:customStyle="1" w:styleId="1127">
    <w:name w:val="样式 目录 3 + 段前: 0.2 行 段后: 0.2 行"/>
    <w:basedOn w:val="49"/>
    <w:qFormat/>
    <w:uiPriority w:val="0"/>
    <w:pPr>
      <w:spacing w:before="62" w:after="62"/>
      <w:ind w:left="482" w:leftChars="0"/>
      <w:jc w:val="left"/>
    </w:pPr>
    <w:rPr>
      <w:rFonts w:cs="宋体"/>
      <w:iCs/>
      <w:szCs w:val="21"/>
    </w:rPr>
  </w:style>
  <w:style w:type="paragraph" w:customStyle="1" w:styleId="1128">
    <w:name w:val="XX"/>
    <w:basedOn w:val="1129"/>
    <w:qFormat/>
    <w:uiPriority w:val="0"/>
    <w:pPr>
      <w:tabs>
        <w:tab w:val="left" w:pos="567"/>
        <w:tab w:val="left" w:pos="2552"/>
      </w:tabs>
      <w:jc w:val="left"/>
    </w:pPr>
  </w:style>
  <w:style w:type="paragraph" w:customStyle="1" w:styleId="1129">
    <w:name w:val="xao-标题2"/>
    <w:basedOn w:val="4"/>
    <w:qFormat/>
    <w:uiPriority w:val="0"/>
    <w:pPr>
      <w:tabs>
        <w:tab w:val="left" w:pos="567"/>
        <w:tab w:val="left" w:pos="2552"/>
      </w:tabs>
      <w:autoSpaceDE/>
      <w:autoSpaceDN/>
      <w:adjustRightInd/>
      <w:spacing w:before="260" w:after="260" w:line="413" w:lineRule="auto"/>
      <w:jc w:val="both"/>
    </w:pPr>
    <w:rPr>
      <w:kern w:val="2"/>
      <w:sz w:val="36"/>
    </w:rPr>
  </w:style>
  <w:style w:type="paragraph" w:customStyle="1" w:styleId="1130">
    <w:name w:val="MM Title"/>
    <w:basedOn w:val="89"/>
    <w:qFormat/>
    <w:uiPriority w:val="0"/>
    <w:pPr>
      <w:spacing w:before="240" w:after="60" w:line="360" w:lineRule="auto"/>
    </w:pPr>
    <w:rPr>
      <w:rFonts w:ascii="Arial" w:hAnsi="Arial"/>
      <w:bCs/>
      <w:szCs w:val="32"/>
    </w:rPr>
  </w:style>
  <w:style w:type="paragraph" w:customStyle="1" w:styleId="113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132">
    <w:name w:val="xl11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133">
    <w:name w:val="样式 标题 5H5口口1口2heading 5Level 3 - iPIM 5h5第四层条Titre5Se..."/>
    <w:basedOn w:val="9"/>
    <w:qFormat/>
    <w:uiPriority w:val="0"/>
    <w:pPr>
      <w:numPr>
        <w:ilvl w:val="2"/>
        <w:numId w:val="24"/>
      </w:numPr>
      <w:tabs>
        <w:tab w:val="left" w:pos="2127"/>
        <w:tab w:val="left" w:pos="6946"/>
      </w:tabs>
      <w:spacing w:before="156" w:line="360" w:lineRule="auto"/>
      <w:ind w:left="0" w:right="210" w:rightChars="100"/>
    </w:pPr>
    <w:rPr>
      <w:rFonts w:ascii="黑体" w:hAnsi="宋体" w:eastAsia="黑体" w:cs="宋体"/>
      <w:b w:val="0"/>
      <w:kern w:val="2"/>
      <w:sz w:val="32"/>
    </w:rPr>
  </w:style>
  <w:style w:type="paragraph" w:customStyle="1" w:styleId="1134">
    <w:name w:val="前言、引言标题"/>
    <w:next w:val="1"/>
    <w:qFormat/>
    <w:uiPriority w:val="0"/>
    <w:pPr>
      <w:shd w:val="clear" w:color="FFFFFF" w:fill="FFFFFF"/>
      <w:tabs>
        <w:tab w:val="left" w:pos="360"/>
      </w:tabs>
      <w:spacing w:before="640" w:after="560"/>
      <w:jc w:val="center"/>
      <w:outlineLvl w:val="0"/>
    </w:pPr>
    <w:rPr>
      <w:rFonts w:ascii="黑体" w:hAnsi="Times New Roman" w:eastAsia="黑体" w:cs="Times New Roman"/>
      <w:sz w:val="32"/>
      <w:lang w:val="en-US" w:eastAsia="zh-CN" w:bidi="ar-SA"/>
    </w:rPr>
  </w:style>
  <w:style w:type="paragraph" w:customStyle="1" w:styleId="1135">
    <w:name w:val="Char1 Char Char Char Char Char Char1"/>
    <w:basedOn w:val="1"/>
    <w:qFormat/>
    <w:uiPriority w:val="0"/>
    <w:rPr>
      <w:rFonts w:ascii="Tahoma" w:hAnsi="Tahoma"/>
      <w:sz w:val="24"/>
      <w:szCs w:val="20"/>
    </w:rPr>
  </w:style>
  <w:style w:type="paragraph" w:customStyle="1" w:styleId="1136">
    <w:name w:val="Char Char Char Char Char Char Char Char Char Char Char Char Char Char Char Char Char Char"/>
    <w:basedOn w:val="1"/>
    <w:qFormat/>
    <w:uiPriority w:val="0"/>
    <w:rPr>
      <w:rFonts w:ascii="Tahoma" w:hAnsi="Tahoma"/>
      <w:sz w:val="24"/>
      <w:szCs w:val="20"/>
    </w:rPr>
  </w:style>
  <w:style w:type="paragraph" w:customStyle="1" w:styleId="1137">
    <w:name w:val="UNIDA 正文"/>
    <w:basedOn w:val="1"/>
    <w:qFormat/>
    <w:uiPriority w:val="0"/>
    <w:pPr>
      <w:spacing w:line="360" w:lineRule="auto"/>
      <w:ind w:firstLine="200" w:firstLineChars="200"/>
      <w:jc w:val="left"/>
    </w:pPr>
    <w:rPr>
      <w:rFonts w:ascii="Arial" w:hAnsi="Arial"/>
      <w:sz w:val="24"/>
      <w:szCs w:val="20"/>
    </w:rPr>
  </w:style>
  <w:style w:type="paragraph" w:customStyle="1" w:styleId="1138">
    <w:name w:val="xl118"/>
    <w:basedOn w:val="1"/>
    <w:qFormat/>
    <w:uiPriority w:val="0"/>
    <w:pPr>
      <w:widowControl/>
      <w:pBdr>
        <w:left w:val="single" w:color="auto" w:sz="4" w:space="0"/>
        <w:bottom w:val="single" w:color="auto" w:sz="4" w:space="0"/>
        <w:right w:val="single" w:color="auto" w:sz="4" w:space="0"/>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1139">
    <w:name w:val="xl124"/>
    <w:basedOn w:val="1"/>
    <w:qFormat/>
    <w:uiPriority w:val="0"/>
    <w:pPr>
      <w:widowControl/>
      <w:pBdr>
        <w:left w:val="single" w:color="auto" w:sz="4" w:space="0"/>
        <w:bottom w:val="single" w:color="auto" w:sz="4" w:space="0"/>
        <w:right w:val="single" w:color="auto" w:sz="4" w:space="0"/>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1140">
    <w:name w:val="附录四级条标题"/>
    <w:basedOn w:val="1086"/>
    <w:next w:val="453"/>
    <w:qFormat/>
    <w:uiPriority w:val="0"/>
    <w:pPr>
      <w:numPr>
        <w:ilvl w:val="5"/>
      </w:numPr>
      <w:tabs>
        <w:tab w:val="left" w:pos="2520"/>
        <w:tab w:val="clear" w:pos="2100"/>
      </w:tabs>
      <w:ind w:left="2520" w:hanging="420"/>
      <w:outlineLvl w:val="5"/>
    </w:pPr>
  </w:style>
  <w:style w:type="paragraph" w:customStyle="1" w:styleId="1141">
    <w:name w:val="a2"/>
    <w:basedOn w:val="1"/>
    <w:qFormat/>
    <w:uiPriority w:val="0"/>
    <w:pPr>
      <w:widowControl/>
      <w:spacing w:line="300" w:lineRule="atLeast"/>
      <w:jc w:val="left"/>
    </w:pPr>
    <w:rPr>
      <w:rFonts w:ascii="宋体" w:hAnsi="宋体" w:cs="宋体"/>
      <w:kern w:val="0"/>
      <w:sz w:val="18"/>
      <w:szCs w:val="18"/>
    </w:rPr>
  </w:style>
  <w:style w:type="paragraph" w:customStyle="1" w:styleId="1142">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143">
    <w:name w:val="标题5，章节第五层"/>
    <w:basedOn w:val="1"/>
    <w:next w:val="317"/>
    <w:qFormat/>
    <w:uiPriority w:val="0"/>
    <w:pPr>
      <w:numPr>
        <w:ilvl w:val="4"/>
        <w:numId w:val="25"/>
      </w:numPr>
      <w:tabs>
        <w:tab w:val="left" w:pos="1050"/>
        <w:tab w:val="clear" w:pos="1700"/>
      </w:tabs>
      <w:spacing w:before="78"/>
      <w:outlineLvl w:val="4"/>
    </w:pPr>
    <w:rPr>
      <w:rFonts w:ascii="Arial" w:hAnsi="Arial" w:eastAsia="华文细黑"/>
      <w:sz w:val="30"/>
    </w:rPr>
  </w:style>
  <w:style w:type="paragraph" w:customStyle="1" w:styleId="1144">
    <w:name w:val="2册标题1"/>
    <w:basedOn w:val="1"/>
    <w:next w:val="1"/>
    <w:qFormat/>
    <w:uiPriority w:val="0"/>
    <w:pPr>
      <w:tabs>
        <w:tab w:val="left" w:pos="2040"/>
      </w:tabs>
      <w:spacing w:beforeLines="50" w:afterLines="50" w:line="300" w:lineRule="auto"/>
      <w:ind w:left="800" w:leftChars="800" w:hanging="200" w:hangingChars="200"/>
      <w:jc w:val="center"/>
      <w:outlineLvl w:val="0"/>
    </w:pPr>
    <w:rPr>
      <w:rFonts w:ascii="Arial" w:hAnsi="Arial" w:eastAsia="黑体"/>
      <w:sz w:val="32"/>
      <w:szCs w:val="20"/>
    </w:rPr>
  </w:style>
  <w:style w:type="paragraph" w:customStyle="1" w:styleId="1145">
    <w:name w:val="NumList_3"/>
    <w:basedOn w:val="1"/>
    <w:qFormat/>
    <w:uiPriority w:val="0"/>
    <w:pPr>
      <w:widowControl/>
      <w:numPr>
        <w:ilvl w:val="2"/>
        <w:numId w:val="9"/>
      </w:numPr>
      <w:spacing w:line="360" w:lineRule="auto"/>
      <w:ind w:firstLine="0"/>
      <w:jc w:val="left"/>
    </w:pPr>
    <w:rPr>
      <w:kern w:val="0"/>
      <w:sz w:val="24"/>
      <w:szCs w:val="21"/>
      <w:lang w:eastAsia="en-US" w:bidi="en-US"/>
    </w:rPr>
  </w:style>
  <w:style w:type="paragraph" w:customStyle="1" w:styleId="1146">
    <w:name w:val="修订11"/>
    <w:qFormat/>
    <w:uiPriority w:val="99"/>
    <w:rPr>
      <w:rFonts w:ascii="Times New Roman" w:hAnsi="Times New Roman" w:eastAsia="宋体" w:cs="Times New Roman"/>
      <w:kern w:val="2"/>
      <w:sz w:val="21"/>
      <w:szCs w:val="24"/>
      <w:lang w:val="en-US" w:eastAsia="zh-CN" w:bidi="ar-SA"/>
    </w:rPr>
  </w:style>
  <w:style w:type="paragraph" w:customStyle="1" w:styleId="1147">
    <w:name w:val="Char Char Char Char6"/>
    <w:basedOn w:val="1"/>
    <w:qFormat/>
    <w:uiPriority w:val="0"/>
    <w:rPr>
      <w:rFonts w:ascii="Tahoma" w:hAnsi="Tahoma"/>
      <w:sz w:val="24"/>
      <w:szCs w:val="20"/>
    </w:rPr>
  </w:style>
  <w:style w:type="paragraph" w:customStyle="1" w:styleId="1148">
    <w:name w:val="8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9">
    <w:name w:val="标题4，章节第四层"/>
    <w:basedOn w:val="1"/>
    <w:next w:val="317"/>
    <w:qFormat/>
    <w:uiPriority w:val="0"/>
    <w:pPr>
      <w:numPr>
        <w:ilvl w:val="3"/>
        <w:numId w:val="25"/>
      </w:numPr>
      <w:tabs>
        <w:tab w:val="left" w:pos="630"/>
        <w:tab w:val="clear" w:pos="1865"/>
      </w:tabs>
      <w:outlineLvl w:val="3"/>
    </w:pPr>
    <w:rPr>
      <w:rFonts w:ascii="Arial" w:hAnsi="Arial" w:eastAsia="华文细黑"/>
      <w:sz w:val="30"/>
    </w:rPr>
  </w:style>
  <w:style w:type="paragraph" w:customStyle="1" w:styleId="1150">
    <w:name w:val="样式 首行缩进:  2 字符"/>
    <w:basedOn w:val="1"/>
    <w:qFormat/>
    <w:uiPriority w:val="0"/>
    <w:pPr>
      <w:spacing w:line="400" w:lineRule="exact"/>
      <w:ind w:firstLine="200" w:firstLineChars="200"/>
    </w:pPr>
    <w:rPr>
      <w:rFonts w:cs="宋体"/>
      <w:sz w:val="24"/>
    </w:rPr>
  </w:style>
  <w:style w:type="paragraph" w:customStyle="1" w:styleId="1151">
    <w:name w:val="正表格内容"/>
    <w:basedOn w:val="1"/>
    <w:qFormat/>
    <w:uiPriority w:val="0"/>
    <w:pPr>
      <w:tabs>
        <w:tab w:val="left" w:pos="480"/>
      </w:tabs>
      <w:autoSpaceDE w:val="0"/>
      <w:autoSpaceDN w:val="0"/>
      <w:adjustRightInd w:val="0"/>
      <w:ind w:firstLine="482"/>
      <w:jc w:val="center"/>
      <w:textAlignment w:val="baseline"/>
    </w:pPr>
    <w:rPr>
      <w:rFonts w:hAnsi="Tms Rmn"/>
      <w:b/>
      <w:kern w:val="0"/>
      <w:sz w:val="18"/>
      <w:szCs w:val="20"/>
    </w:rPr>
  </w:style>
  <w:style w:type="paragraph" w:customStyle="1" w:styleId="1152">
    <w:name w:val="xl8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153">
    <w:name w:val="数字编号"/>
    <w:basedOn w:val="1"/>
    <w:qFormat/>
    <w:uiPriority w:val="0"/>
    <w:pPr>
      <w:spacing w:line="360" w:lineRule="auto"/>
    </w:pPr>
    <w:rPr>
      <w:sz w:val="24"/>
    </w:rPr>
  </w:style>
  <w:style w:type="paragraph" w:customStyle="1" w:styleId="1154">
    <w:name w:val="Char Char3 Char Char Char Char Char Char Char Char Char Char Char Char2 Char Char Char Char2"/>
    <w:basedOn w:val="1"/>
    <w:qFormat/>
    <w:uiPriority w:val="0"/>
    <w:pPr>
      <w:spacing w:line="360" w:lineRule="auto"/>
    </w:pPr>
    <w:rPr>
      <w:rFonts w:ascii="Tahoma" w:hAnsi="Tahoma"/>
      <w:sz w:val="36"/>
      <w:szCs w:val="36"/>
    </w:rPr>
  </w:style>
  <w:style w:type="paragraph" w:customStyle="1" w:styleId="1155">
    <w:name w:val="subhead1"/>
    <w:basedOn w:val="1"/>
    <w:qFormat/>
    <w:uiPriority w:val="0"/>
    <w:pPr>
      <w:widowControl/>
      <w:spacing w:after="90" w:line="210" w:lineRule="atLeast"/>
      <w:jc w:val="left"/>
    </w:pPr>
    <w:rPr>
      <w:rFonts w:ascii="Arial" w:hAnsi="Arial" w:cs="Arial"/>
      <w:b/>
      <w:bCs/>
      <w:color w:val="333333"/>
      <w:kern w:val="0"/>
      <w:szCs w:val="21"/>
    </w:rPr>
  </w:style>
  <w:style w:type="paragraph" w:customStyle="1" w:styleId="1156">
    <w:name w:val="项目符号，二级"/>
    <w:basedOn w:val="317"/>
    <w:next w:val="317"/>
    <w:qFormat/>
    <w:uiPriority w:val="0"/>
    <w:pPr>
      <w:widowControl/>
      <w:tabs>
        <w:tab w:val="left" w:pos="420"/>
        <w:tab w:val="left" w:pos="1211"/>
      </w:tabs>
      <w:adjustRightInd w:val="0"/>
      <w:snapToGrid w:val="0"/>
      <w:spacing w:before="78" w:beforeLines="0"/>
      <w:ind w:left="420" w:right="-27" w:firstLine="0" w:firstLineChars="0"/>
      <w:jc w:val="left"/>
      <w:textAlignment w:val="baseline"/>
    </w:pPr>
    <w:rPr>
      <w:lang w:val="en-US"/>
    </w:rPr>
  </w:style>
  <w:style w:type="paragraph" w:customStyle="1" w:styleId="1157">
    <w:name w:val="Char Char3 Char Char Char Char Char Char Char Char Char Char Char Char11"/>
    <w:basedOn w:val="1"/>
    <w:qFormat/>
    <w:uiPriority w:val="0"/>
    <w:pPr>
      <w:spacing w:line="360" w:lineRule="auto"/>
    </w:pPr>
    <w:rPr>
      <w:rFonts w:ascii="Tahoma" w:hAnsi="Tahoma"/>
      <w:sz w:val="36"/>
      <w:szCs w:val="36"/>
    </w:rPr>
  </w:style>
  <w:style w:type="paragraph" w:customStyle="1" w:styleId="1158">
    <w:name w:val="1册标题3"/>
    <w:basedOn w:val="1"/>
    <w:next w:val="1"/>
    <w:qFormat/>
    <w:uiPriority w:val="0"/>
    <w:pPr>
      <w:keepNext/>
      <w:keepLines/>
      <w:adjustRightInd w:val="0"/>
      <w:spacing w:beforeLines="50" w:afterLines="50" w:line="300" w:lineRule="auto"/>
      <w:outlineLvl w:val="2"/>
    </w:pPr>
    <w:rPr>
      <w:rFonts w:ascii="Arial" w:hAnsi="Arial" w:eastAsia="黑体"/>
      <w:kern w:val="0"/>
      <w:sz w:val="30"/>
      <w:szCs w:val="20"/>
    </w:rPr>
  </w:style>
  <w:style w:type="paragraph" w:customStyle="1" w:styleId="1159">
    <w:name w:val="Char Char Char Char Char Char1 Char"/>
    <w:basedOn w:val="33"/>
    <w:qFormat/>
    <w:uiPriority w:val="0"/>
    <w:rPr>
      <w:rFonts w:ascii="Tahoma" w:hAnsi="Tahoma"/>
      <w:kern w:val="0"/>
      <w:sz w:val="24"/>
    </w:rPr>
  </w:style>
  <w:style w:type="paragraph" w:customStyle="1" w:styleId="1160">
    <w:name w:val="Char Char Char Char5"/>
    <w:basedOn w:val="1"/>
    <w:qFormat/>
    <w:uiPriority w:val="0"/>
    <w:rPr>
      <w:rFonts w:ascii="仿宋_GB2312" w:eastAsia="仿宋_GB2312"/>
      <w:b/>
      <w:sz w:val="32"/>
      <w:szCs w:val="32"/>
    </w:rPr>
  </w:style>
  <w:style w:type="paragraph" w:customStyle="1" w:styleId="1161">
    <w:name w:val="样式 正文格式 +"/>
    <w:basedOn w:val="317"/>
    <w:qFormat/>
    <w:uiPriority w:val="0"/>
    <w:pPr>
      <w:widowControl/>
      <w:adjustRightInd w:val="0"/>
      <w:snapToGrid w:val="0"/>
      <w:spacing w:beforeLines="0" w:line="300" w:lineRule="auto"/>
      <w:ind w:firstLine="0" w:firstLineChars="0"/>
      <w:jc w:val="center"/>
      <w:textAlignment w:val="baseline"/>
    </w:pPr>
    <w:rPr>
      <w:rFonts w:hAnsi="Arial"/>
      <w:kern w:val="2"/>
      <w:lang w:val="en-US"/>
    </w:rPr>
  </w:style>
  <w:style w:type="paragraph" w:customStyle="1" w:styleId="1162">
    <w:name w:val="shen样式3"/>
    <w:basedOn w:val="1"/>
    <w:qFormat/>
    <w:uiPriority w:val="0"/>
    <w:pPr>
      <w:tabs>
        <w:tab w:val="left" w:pos="2640"/>
      </w:tabs>
      <w:spacing w:line="360" w:lineRule="auto"/>
      <w:ind w:left="1650" w:hanging="810"/>
    </w:pPr>
    <w:rPr>
      <w:b/>
      <w:sz w:val="30"/>
      <w:szCs w:val="20"/>
    </w:rPr>
  </w:style>
  <w:style w:type="paragraph" w:customStyle="1" w:styleId="1163">
    <w:name w:val="正文段落"/>
    <w:basedOn w:val="1"/>
    <w:qFormat/>
    <w:uiPriority w:val="0"/>
    <w:pPr>
      <w:spacing w:line="300" w:lineRule="auto"/>
      <w:ind w:firstLine="510"/>
    </w:pPr>
    <w:rPr>
      <w:sz w:val="24"/>
      <w:szCs w:val="20"/>
    </w:rPr>
  </w:style>
  <w:style w:type="paragraph" w:customStyle="1" w:styleId="1164">
    <w:name w:val="样式 标题 3 + 宋体 小四 行距: 1.5 倍行距"/>
    <w:basedOn w:val="6"/>
    <w:qFormat/>
    <w:uiPriority w:val="99"/>
    <w:pPr>
      <w:adjustRightInd/>
      <w:spacing w:before="0" w:after="0" w:line="360" w:lineRule="auto"/>
      <w:ind w:left="709" w:hanging="709"/>
      <w:jc w:val="both"/>
    </w:pPr>
    <w:rPr>
      <w:rFonts w:ascii="Times New Roman" w:cs="宋体"/>
      <w:bCs/>
      <w:kern w:val="2"/>
      <w:szCs w:val="24"/>
      <w:u w:val="none"/>
    </w:rPr>
  </w:style>
  <w:style w:type="paragraph" w:customStyle="1" w:styleId="1165">
    <w:name w:val="格式段落1"/>
    <w:basedOn w:val="1"/>
    <w:next w:val="7"/>
    <w:qFormat/>
    <w:uiPriority w:val="0"/>
    <w:pPr>
      <w:tabs>
        <w:tab w:val="left" w:pos="360"/>
      </w:tabs>
      <w:spacing w:afterLines="50" w:line="360" w:lineRule="auto"/>
    </w:pPr>
    <w:rPr>
      <w:rFonts w:ascii="Verdana" w:hAnsi="Verdana"/>
      <w:sz w:val="24"/>
      <w:szCs w:val="20"/>
    </w:rPr>
  </w:style>
  <w:style w:type="paragraph" w:customStyle="1" w:styleId="1166">
    <w:name w:val="Char Char"/>
    <w:basedOn w:val="1"/>
    <w:qFormat/>
    <w:uiPriority w:val="0"/>
    <w:pPr>
      <w:tabs>
        <w:tab w:val="left" w:pos="0"/>
      </w:tabs>
      <w:jc w:val="left"/>
    </w:pPr>
    <w:rPr>
      <w:sz w:val="24"/>
    </w:rPr>
  </w:style>
  <w:style w:type="paragraph" w:customStyle="1" w:styleId="1167">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168">
    <w:name w:val="0"/>
    <w:basedOn w:val="1"/>
    <w:qFormat/>
    <w:uiPriority w:val="0"/>
    <w:pPr>
      <w:widowControl/>
      <w:spacing w:line="365" w:lineRule="atLeast"/>
      <w:ind w:left="1"/>
      <w:textAlignment w:val="bottom"/>
    </w:pPr>
    <w:rPr>
      <w:kern w:val="0"/>
      <w:sz w:val="20"/>
      <w:szCs w:val="20"/>
    </w:rPr>
  </w:style>
  <w:style w:type="paragraph" w:customStyle="1" w:styleId="1169">
    <w:name w:val="tableheading"/>
    <w:basedOn w:val="1"/>
    <w:qFormat/>
    <w:uiPriority w:val="0"/>
    <w:pPr>
      <w:widowControl/>
      <w:spacing w:before="100" w:beforeAutospacing="1" w:after="100" w:afterAutospacing="1"/>
      <w:jc w:val="left"/>
    </w:pPr>
    <w:rPr>
      <w:rFonts w:ascii="宋体" w:hAnsi="宋体" w:cs="宋体"/>
      <w:kern w:val="0"/>
      <w:sz w:val="24"/>
    </w:rPr>
  </w:style>
  <w:style w:type="paragraph" w:customStyle="1" w:styleId="1170">
    <w:name w:val="DOT Text"/>
    <w:basedOn w:val="1"/>
    <w:qFormat/>
    <w:uiPriority w:val="0"/>
    <w:pPr>
      <w:numPr>
        <w:ilvl w:val="0"/>
        <w:numId w:val="26"/>
      </w:numPr>
      <w:tabs>
        <w:tab w:val="left" w:pos="425"/>
        <w:tab w:val="left" w:pos="851"/>
        <w:tab w:val="left" w:pos="900"/>
        <w:tab w:val="left" w:pos="2977"/>
        <w:tab w:val="clear" w:pos="360"/>
      </w:tabs>
      <w:adjustRightInd w:val="0"/>
      <w:snapToGrid w:val="0"/>
      <w:spacing w:before="60" w:after="120"/>
    </w:pPr>
    <w:rPr>
      <w:rFonts w:ascii="Verdana" w:hAnsi="Verdana" w:eastAsia="仿宋_GB2312"/>
      <w:kern w:val="0"/>
      <w:sz w:val="24"/>
      <w:szCs w:val="20"/>
    </w:rPr>
  </w:style>
  <w:style w:type="paragraph" w:customStyle="1" w:styleId="1171">
    <w:name w:val="p2"/>
    <w:basedOn w:val="1"/>
    <w:qFormat/>
    <w:uiPriority w:val="0"/>
    <w:pPr>
      <w:widowControl/>
      <w:spacing w:before="100" w:beforeAutospacing="1" w:after="100" w:afterAutospacing="1" w:line="397" w:lineRule="atLeast"/>
      <w:jc w:val="left"/>
    </w:pPr>
    <w:rPr>
      <w:rFonts w:ascii="宋体" w:hAnsi="宋体" w:cs="宋体"/>
      <w:kern w:val="0"/>
      <w:sz w:val="24"/>
    </w:rPr>
  </w:style>
  <w:style w:type="paragraph" w:customStyle="1" w:styleId="1172">
    <w:name w:val="参考文献"/>
    <w:basedOn w:val="1"/>
    <w:qFormat/>
    <w:uiPriority w:val="0"/>
    <w:pPr>
      <w:widowControl/>
      <w:numPr>
        <w:ilvl w:val="0"/>
        <w:numId w:val="27"/>
      </w:numPr>
      <w:tabs>
        <w:tab w:val="clear" w:pos="1202"/>
      </w:tabs>
      <w:adjustRightInd w:val="0"/>
      <w:snapToGrid w:val="0"/>
      <w:spacing w:before="120" w:after="240" w:line="360" w:lineRule="atLeast"/>
      <w:ind w:left="0"/>
      <w:jc w:val="center"/>
      <w:textAlignment w:val="baseline"/>
    </w:pPr>
    <w:rPr>
      <w:rFonts w:ascii="Arial" w:hAnsi="Arial" w:eastAsia="黑体"/>
      <w:spacing w:val="120"/>
      <w:kern w:val="0"/>
      <w:sz w:val="24"/>
      <w:szCs w:val="20"/>
    </w:rPr>
  </w:style>
  <w:style w:type="paragraph" w:customStyle="1" w:styleId="1173">
    <w:name w:val="Subtitle Cover"/>
    <w:basedOn w:val="1"/>
    <w:next w:val="1"/>
    <w:qFormat/>
    <w:uiPriority w:val="0"/>
    <w:pPr>
      <w:keepNext/>
      <w:widowControl/>
      <w:pBdr>
        <w:top w:val="single" w:color="auto" w:sz="6" w:space="1"/>
      </w:pBdr>
      <w:adjustRightInd w:val="0"/>
      <w:snapToGrid w:val="0"/>
      <w:spacing w:after="5280" w:line="480" w:lineRule="exact"/>
      <w:ind w:left="-2" w:leftChars="-1"/>
      <w:jc w:val="left"/>
    </w:pPr>
    <w:rPr>
      <w:rFonts w:ascii="Garamond" w:hAnsi="Garamond" w:cs="Arial"/>
      <w:spacing w:val="-15"/>
      <w:kern w:val="28"/>
      <w:sz w:val="44"/>
      <w:szCs w:val="20"/>
    </w:rPr>
  </w:style>
  <w:style w:type="paragraph" w:customStyle="1" w:styleId="1174">
    <w:name w:val="NumList_2"/>
    <w:basedOn w:val="1"/>
    <w:qFormat/>
    <w:uiPriority w:val="0"/>
    <w:pPr>
      <w:widowControl/>
      <w:numPr>
        <w:ilvl w:val="1"/>
        <w:numId w:val="9"/>
      </w:numPr>
      <w:spacing w:line="360" w:lineRule="auto"/>
      <w:ind w:firstLine="0"/>
      <w:jc w:val="left"/>
    </w:pPr>
    <w:rPr>
      <w:kern w:val="0"/>
      <w:sz w:val="24"/>
      <w:szCs w:val="21"/>
      <w:lang w:eastAsia="en-US" w:bidi="en-US"/>
    </w:rPr>
  </w:style>
  <w:style w:type="paragraph" w:customStyle="1" w:styleId="1175">
    <w:name w:val="Char Char1 Char"/>
    <w:basedOn w:val="1"/>
    <w:qFormat/>
    <w:uiPriority w:val="0"/>
    <w:rPr>
      <w:rFonts w:ascii="Tahoma" w:hAnsi="Tahoma"/>
      <w:sz w:val="24"/>
      <w:szCs w:val="20"/>
    </w:rPr>
  </w:style>
  <w:style w:type="paragraph" w:customStyle="1" w:styleId="1176">
    <w:name w:val="列表项2，点"/>
    <w:basedOn w:val="317"/>
    <w:qFormat/>
    <w:uiPriority w:val="0"/>
    <w:pPr>
      <w:widowControl/>
      <w:tabs>
        <w:tab w:val="left" w:pos="1102"/>
      </w:tabs>
      <w:adjustRightInd w:val="0"/>
      <w:snapToGrid w:val="0"/>
      <w:spacing w:before="25" w:beforeLines="0"/>
      <w:ind w:left="720" w:leftChars="300" w:hanging="420" w:firstLineChars="0"/>
      <w:jc w:val="center"/>
      <w:textAlignment w:val="baseline"/>
    </w:pPr>
    <w:rPr>
      <w:rFonts w:ascii="Arial" w:hAnsi="Arial" w:eastAsia="新宋体"/>
      <w:i/>
      <w:szCs w:val="20"/>
      <w:lang w:val="en-US"/>
    </w:rPr>
  </w:style>
  <w:style w:type="paragraph" w:customStyle="1" w:styleId="1177">
    <w:name w:val="表头"/>
    <w:basedOn w:val="1"/>
    <w:qFormat/>
    <w:uiPriority w:val="0"/>
    <w:pPr>
      <w:tabs>
        <w:tab w:val="left" w:pos="480"/>
      </w:tabs>
      <w:autoSpaceDE w:val="0"/>
      <w:autoSpaceDN w:val="0"/>
      <w:adjustRightInd w:val="0"/>
      <w:ind w:firstLine="482"/>
      <w:jc w:val="center"/>
      <w:textAlignment w:val="baseline"/>
    </w:pPr>
    <w:rPr>
      <w:rFonts w:hAnsi="Tms Rmn"/>
      <w:b/>
      <w:kern w:val="0"/>
      <w:szCs w:val="20"/>
    </w:rPr>
  </w:style>
  <w:style w:type="paragraph" w:customStyle="1" w:styleId="1178">
    <w:name w:val="正文内容"/>
    <w:basedOn w:val="1"/>
    <w:qFormat/>
    <w:uiPriority w:val="0"/>
    <w:pPr>
      <w:spacing w:line="360" w:lineRule="auto"/>
    </w:pPr>
    <w:rPr>
      <w:sz w:val="24"/>
      <w:szCs w:val="20"/>
    </w:rPr>
  </w:style>
  <w:style w:type="paragraph" w:customStyle="1" w:styleId="1179">
    <w:name w:val="样式 标题 3Heading 3 - oldh3sect1.2.3BOD 0H3第二层条3 bulletb2..."/>
    <w:basedOn w:val="6"/>
    <w:qFormat/>
    <w:uiPriority w:val="0"/>
    <w:pPr>
      <w:widowControl/>
      <w:numPr>
        <w:ilvl w:val="2"/>
        <w:numId w:val="28"/>
      </w:numPr>
      <w:autoSpaceDE/>
      <w:autoSpaceDN/>
      <w:adjustRightInd/>
      <w:spacing w:before="240" w:line="360" w:lineRule="auto"/>
    </w:pPr>
    <w:rPr>
      <w:rFonts w:ascii="仿宋_GB2312" w:eastAsia="仿宋_GB2312" w:cs="宋体"/>
      <w:bCs/>
      <w:color w:val="000000"/>
      <w:kern w:val="2"/>
      <w:sz w:val="30"/>
      <w:u w:val="none"/>
    </w:rPr>
  </w:style>
  <w:style w:type="paragraph" w:customStyle="1" w:styleId="1180">
    <w:name w:val="样式 宋体 小四 首行缩进:  0.85 厘米 行距: 1.5 倍行距"/>
    <w:basedOn w:val="1"/>
    <w:qFormat/>
    <w:uiPriority w:val="0"/>
    <w:pPr>
      <w:spacing w:line="360" w:lineRule="auto"/>
      <w:ind w:firstLine="482"/>
    </w:pPr>
    <w:rPr>
      <w:rFonts w:ascii="宋体" w:hAnsi="宋体" w:cs="宋体"/>
      <w:sz w:val="24"/>
      <w:szCs w:val="20"/>
    </w:rPr>
  </w:style>
  <w:style w:type="paragraph" w:customStyle="1" w:styleId="1181">
    <w:name w:val="colore7e7e7bg"/>
    <w:basedOn w:val="1"/>
    <w:qFormat/>
    <w:uiPriority w:val="0"/>
    <w:pPr>
      <w:widowControl/>
      <w:shd w:val="clear" w:color="auto" w:fill="E7E7E7"/>
      <w:spacing w:before="100" w:beforeAutospacing="1" w:after="100" w:afterAutospacing="1"/>
      <w:jc w:val="left"/>
    </w:pPr>
    <w:rPr>
      <w:rFonts w:ascii="宋体" w:hAnsi="宋体" w:cs="宋体"/>
      <w:color w:val="000000"/>
      <w:kern w:val="0"/>
      <w:sz w:val="24"/>
    </w:rPr>
  </w:style>
  <w:style w:type="paragraph" w:customStyle="1" w:styleId="1182">
    <w:name w:val="样式 宋体 五号 首行缩进:  2 字符"/>
    <w:basedOn w:val="1"/>
    <w:qFormat/>
    <w:uiPriority w:val="0"/>
    <w:pPr>
      <w:ind w:firstLine="420" w:firstLineChars="200"/>
    </w:pPr>
    <w:rPr>
      <w:rFonts w:ascii="宋体" w:hAnsi="宋体" w:cs="宋体"/>
      <w:szCs w:val="20"/>
    </w:rPr>
  </w:style>
  <w:style w:type="paragraph" w:customStyle="1" w:styleId="1183">
    <w:name w:val="标题 6（有编号）（绿盟科技）"/>
    <w:basedOn w:val="1"/>
    <w:next w:val="1"/>
    <w:qFormat/>
    <w:uiPriority w:val="0"/>
    <w:pPr>
      <w:keepNext/>
      <w:keepLines/>
      <w:numPr>
        <w:ilvl w:val="5"/>
        <w:numId w:val="17"/>
      </w:numPr>
      <w:spacing w:line="319" w:lineRule="auto"/>
      <w:ind w:firstLine="0"/>
      <w:jc w:val="left"/>
      <w:outlineLvl w:val="5"/>
    </w:pPr>
    <w:rPr>
      <w:rFonts w:ascii="Arial" w:hAnsi="Arial" w:eastAsia="黑体"/>
      <w:b/>
      <w:kern w:val="0"/>
      <w:sz w:val="24"/>
    </w:rPr>
  </w:style>
  <w:style w:type="paragraph" w:customStyle="1" w:styleId="1184">
    <w:name w:val="附录表标题"/>
    <w:next w:val="453"/>
    <w:qFormat/>
    <w:uiPriority w:val="0"/>
    <w:pPr>
      <w:jc w:val="center"/>
      <w:textAlignment w:val="baseline"/>
    </w:pPr>
    <w:rPr>
      <w:rFonts w:ascii="黑体" w:hAnsi="Times New Roman" w:eastAsia="黑体" w:cs="黑体"/>
      <w:kern w:val="21"/>
      <w:sz w:val="21"/>
      <w:szCs w:val="21"/>
      <w:lang w:val="en-US" w:eastAsia="zh-CN" w:bidi="ar-SA"/>
    </w:rPr>
  </w:style>
  <w:style w:type="paragraph" w:customStyle="1" w:styleId="1185">
    <w:name w:val="表格标题"/>
    <w:basedOn w:val="1"/>
    <w:qFormat/>
    <w:uiPriority w:val="0"/>
    <w:pPr>
      <w:jc w:val="center"/>
    </w:pPr>
    <w:rPr>
      <w:b/>
      <w:sz w:val="24"/>
      <w:szCs w:val="20"/>
    </w:rPr>
  </w:style>
  <w:style w:type="paragraph" w:customStyle="1" w:styleId="1186">
    <w:name w:val="ccidsiTemplate"/>
    <w:basedOn w:val="1"/>
    <w:qFormat/>
    <w:uiPriority w:val="0"/>
    <w:pPr>
      <w:spacing w:line="360" w:lineRule="auto"/>
    </w:pPr>
    <w:rPr>
      <w:sz w:val="24"/>
      <w:szCs w:val="20"/>
    </w:rPr>
  </w:style>
  <w:style w:type="paragraph" w:customStyle="1" w:styleId="1187">
    <w:name w:val="图形"/>
    <w:basedOn w:val="7"/>
    <w:next w:val="29"/>
    <w:qFormat/>
    <w:uiPriority w:val="0"/>
    <w:pPr>
      <w:autoSpaceDE/>
      <w:autoSpaceDN/>
      <w:adjustRightInd/>
      <w:spacing w:line="240" w:lineRule="exact"/>
      <w:ind w:firstLine="540" w:firstLineChars="225"/>
      <w:jc w:val="both"/>
    </w:pPr>
    <w:rPr>
      <w:rFonts w:ascii="Times New Roman"/>
      <w:szCs w:val="20"/>
    </w:rPr>
  </w:style>
  <w:style w:type="paragraph" w:customStyle="1" w:styleId="1188">
    <w:name w:val="Char Char5 Char Char Char Char Char Char Char Char Char Char Char Char Char Char Char Char Char Char1"/>
    <w:basedOn w:val="1"/>
    <w:qFormat/>
    <w:uiPriority w:val="0"/>
    <w:pPr>
      <w:spacing w:line="360" w:lineRule="auto"/>
    </w:pPr>
    <w:rPr>
      <w:rFonts w:ascii="Tahoma" w:hAnsi="Tahoma"/>
      <w:sz w:val="36"/>
      <w:szCs w:val="36"/>
    </w:rPr>
  </w:style>
  <w:style w:type="paragraph" w:customStyle="1" w:styleId="1189">
    <w:name w:val="Sytle4"/>
    <w:basedOn w:val="9"/>
    <w:qFormat/>
    <w:uiPriority w:val="0"/>
    <w:pPr>
      <w:tabs>
        <w:tab w:val="left" w:pos="992"/>
        <w:tab w:val="left" w:pos="2127"/>
        <w:tab w:val="left" w:pos="6946"/>
      </w:tabs>
      <w:adjustRightInd/>
      <w:spacing w:beforeLines="50" w:afterLines="50" w:line="360" w:lineRule="auto"/>
      <w:textAlignment w:val="auto"/>
    </w:pPr>
    <w:rPr>
      <w:rFonts w:ascii="楷体_GB2312" w:eastAsia="楷体_GB2312"/>
      <w:b w:val="0"/>
      <w:color w:val="000000"/>
      <w:kern w:val="2"/>
    </w:rPr>
  </w:style>
  <w:style w:type="paragraph" w:customStyle="1" w:styleId="1190">
    <w:name w:val="编号样式3"/>
    <w:basedOn w:val="556"/>
    <w:qFormat/>
    <w:uiPriority w:val="0"/>
    <w:pPr>
      <w:numPr>
        <w:ilvl w:val="0"/>
        <w:numId w:val="29"/>
      </w:numPr>
      <w:ind w:left="0" w:firstLine="200"/>
    </w:pPr>
  </w:style>
  <w:style w:type="paragraph" w:customStyle="1" w:styleId="1191">
    <w:name w:val="正文（首行缩进）"/>
    <w:basedOn w:val="1"/>
    <w:qFormat/>
    <w:uiPriority w:val="0"/>
    <w:pPr>
      <w:spacing w:line="360" w:lineRule="auto"/>
      <w:ind w:firstLine="200" w:firstLineChars="200"/>
    </w:pPr>
  </w:style>
  <w:style w:type="paragraph" w:customStyle="1" w:styleId="1192">
    <w:name w:val="普通(Web)9"/>
    <w:basedOn w:val="1"/>
    <w:qFormat/>
    <w:uiPriority w:val="0"/>
    <w:pPr>
      <w:widowControl/>
      <w:jc w:val="left"/>
    </w:pPr>
    <w:rPr>
      <w:rFonts w:ascii="宋体" w:hAnsi="宋体"/>
      <w:kern w:val="0"/>
      <w:sz w:val="24"/>
    </w:rPr>
  </w:style>
  <w:style w:type="paragraph" w:customStyle="1" w:styleId="1193">
    <w:name w:val="项目符号：一级"/>
    <w:basedOn w:val="317"/>
    <w:next w:val="317"/>
    <w:qFormat/>
    <w:uiPriority w:val="0"/>
    <w:pPr>
      <w:widowControl/>
      <w:numPr>
        <w:ilvl w:val="0"/>
        <w:numId w:val="30"/>
      </w:numPr>
      <w:tabs>
        <w:tab w:val="left" w:pos="360"/>
        <w:tab w:val="left" w:pos="620"/>
      </w:tabs>
      <w:adjustRightInd w:val="0"/>
      <w:snapToGrid w:val="0"/>
      <w:spacing w:beforeLines="0"/>
      <w:ind w:left="620" w:firstLine="482" w:firstLineChars="0"/>
      <w:textAlignment w:val="baseline"/>
    </w:pPr>
    <w:rPr>
      <w:color w:val="000000"/>
      <w:lang w:val="en-US"/>
    </w:rPr>
  </w:style>
  <w:style w:type="paragraph" w:customStyle="1" w:styleId="1194">
    <w:name w:val="MM Topic 4"/>
    <w:basedOn w:val="8"/>
    <w:qFormat/>
    <w:uiPriority w:val="0"/>
    <w:pPr>
      <w:numPr>
        <w:ilvl w:val="3"/>
        <w:numId w:val="31"/>
      </w:numPr>
      <w:tabs>
        <w:tab w:val="left" w:pos="1984"/>
        <w:tab w:val="clear" w:pos="1680"/>
      </w:tabs>
      <w:adjustRightInd/>
      <w:spacing w:line="376" w:lineRule="auto"/>
      <w:textAlignment w:val="auto"/>
    </w:pPr>
    <w:rPr>
      <w:rFonts w:cs="Courier New"/>
      <w:color w:val="000000"/>
      <w:kern w:val="2"/>
      <w:szCs w:val="21"/>
    </w:rPr>
  </w:style>
  <w:style w:type="paragraph" w:customStyle="1" w:styleId="1195">
    <w:name w:val="Chart_subhead"/>
    <w:basedOn w:val="1122"/>
    <w:qFormat/>
    <w:uiPriority w:val="0"/>
    <w:pPr>
      <w:spacing w:before="60" w:after="60"/>
    </w:pPr>
    <w:rPr>
      <w:color w:val="000000"/>
    </w:rPr>
  </w:style>
  <w:style w:type="paragraph" w:customStyle="1" w:styleId="1196">
    <w:name w:val="color999999bg"/>
    <w:basedOn w:val="1"/>
    <w:qFormat/>
    <w:uiPriority w:val="0"/>
    <w:pPr>
      <w:widowControl/>
      <w:shd w:val="clear" w:color="auto" w:fill="999999"/>
      <w:spacing w:before="100" w:beforeAutospacing="1" w:after="100" w:afterAutospacing="1"/>
      <w:jc w:val="left"/>
    </w:pPr>
    <w:rPr>
      <w:rFonts w:ascii="宋体" w:hAnsi="宋体" w:cs="宋体"/>
      <w:color w:val="000000"/>
      <w:kern w:val="0"/>
      <w:sz w:val="24"/>
    </w:rPr>
  </w:style>
  <w:style w:type="paragraph" w:customStyle="1" w:styleId="1197">
    <w:name w:val="S3"/>
    <w:basedOn w:val="1198"/>
    <w:qFormat/>
    <w:uiPriority w:val="0"/>
    <w:pPr>
      <w:tabs>
        <w:tab w:val="left" w:pos="576"/>
        <w:tab w:val="left" w:pos="1620"/>
      </w:tabs>
      <w:spacing w:beforeLines="0"/>
      <w:ind w:left="1620" w:hanging="720"/>
      <w:outlineLvl w:val="2"/>
    </w:pPr>
  </w:style>
  <w:style w:type="paragraph" w:customStyle="1" w:styleId="1198">
    <w:name w:val="样式 样式 2节标题 + 楷体_GB2312 小三 加粗 自动设置 + 段前: 0.5 行 段后: 0.5 行"/>
    <w:basedOn w:val="1"/>
    <w:qFormat/>
    <w:uiPriority w:val="0"/>
    <w:pPr>
      <w:tabs>
        <w:tab w:val="left" w:pos="576"/>
      </w:tabs>
      <w:spacing w:beforeLines="100" w:afterLines="50"/>
      <w:ind w:left="576" w:hanging="576"/>
      <w:outlineLvl w:val="1"/>
    </w:pPr>
    <w:rPr>
      <w:rFonts w:ascii="楷体_GB2312" w:hAnsi="楷体_GB2312" w:eastAsia="楷体_GB2312"/>
      <w:b/>
      <w:color w:val="000000"/>
      <w:kern w:val="44"/>
      <w:sz w:val="32"/>
      <w:szCs w:val="20"/>
    </w:rPr>
  </w:style>
  <w:style w:type="paragraph" w:customStyle="1" w:styleId="1199">
    <w:name w:val="commbutton"/>
    <w:basedOn w:val="1"/>
    <w:qFormat/>
    <w:uiPriority w:val="0"/>
    <w:pPr>
      <w:widowControl/>
      <w:pBdr>
        <w:top w:val="single" w:color="FF9899" w:sz="12" w:space="0"/>
        <w:left w:val="single" w:color="FF9899" w:sz="12" w:space="0"/>
        <w:bottom w:val="single" w:color="CC0000" w:sz="12" w:space="0"/>
        <w:right w:val="single" w:color="CC0000" w:sz="12" w:space="0"/>
      </w:pBdr>
      <w:shd w:val="clear" w:color="auto" w:fill="FF0000"/>
      <w:spacing w:before="100" w:beforeAutospacing="1" w:after="100" w:afterAutospacing="1"/>
      <w:jc w:val="center"/>
    </w:pPr>
    <w:rPr>
      <w:rFonts w:ascii="Arial" w:hAnsi="Arial" w:cs="Arial"/>
      <w:b/>
      <w:bCs/>
      <w:color w:val="FFFFFF"/>
      <w:kern w:val="0"/>
      <w:sz w:val="22"/>
      <w:szCs w:val="22"/>
    </w:rPr>
  </w:style>
  <w:style w:type="paragraph" w:customStyle="1" w:styleId="1200">
    <w:name w:val="Char Char5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201">
    <w:name w:val="并列样式"/>
    <w:basedOn w:val="1"/>
    <w:qFormat/>
    <w:uiPriority w:val="0"/>
    <w:pPr>
      <w:spacing w:before="120" w:after="120" w:line="360" w:lineRule="exact"/>
    </w:pPr>
    <w:rPr>
      <w:sz w:val="24"/>
      <w:szCs w:val="20"/>
    </w:rPr>
  </w:style>
  <w:style w:type="paragraph" w:customStyle="1" w:styleId="1202">
    <w:name w:val="本文缩进"/>
    <w:basedOn w:val="1"/>
    <w:qFormat/>
    <w:uiPriority w:val="0"/>
    <w:pPr>
      <w:adjustRightInd w:val="0"/>
      <w:snapToGrid w:val="0"/>
      <w:spacing w:line="360" w:lineRule="auto"/>
      <w:ind w:left="-2" w:leftChars="-1" w:firstLine="482"/>
    </w:pPr>
    <w:rPr>
      <w:rFonts w:ascii="楷体" w:hAnsi="Arial" w:eastAsia="楷体" w:cs="Arial"/>
      <w:kern w:val="0"/>
      <w:sz w:val="24"/>
      <w:szCs w:val="20"/>
    </w:rPr>
  </w:style>
  <w:style w:type="paragraph" w:customStyle="1" w:styleId="1203">
    <w:name w:val="正文-1"/>
    <w:basedOn w:val="1"/>
    <w:qFormat/>
    <w:uiPriority w:val="0"/>
    <w:pPr>
      <w:tabs>
        <w:tab w:val="left" w:pos="-1800"/>
      </w:tabs>
      <w:adjustRightInd w:val="0"/>
      <w:snapToGrid w:val="0"/>
      <w:spacing w:line="300" w:lineRule="auto"/>
      <w:ind w:firstLine="480" w:firstLineChars="200"/>
    </w:pPr>
    <w:rPr>
      <w:rFonts w:ascii="宋体" w:eastAsia="仿宋_GB2312"/>
      <w:sz w:val="24"/>
      <w:szCs w:val="20"/>
    </w:rPr>
  </w:style>
  <w:style w:type="paragraph" w:customStyle="1" w:styleId="1204">
    <w:name w:val="样式 文档正文 + 首行缩进:  2 字符"/>
    <w:basedOn w:val="248"/>
    <w:qFormat/>
    <w:uiPriority w:val="0"/>
    <w:pPr>
      <w:snapToGrid/>
      <w:spacing w:before="0" w:after="0" w:line="360" w:lineRule="auto"/>
    </w:pPr>
    <w:rPr>
      <w:rFonts w:ascii="Times New Roman" w:hAnsi="Times New Roman" w:cs="宋体"/>
      <w:color w:val="000000"/>
      <w:sz w:val="24"/>
      <w:szCs w:val="24"/>
    </w:rPr>
  </w:style>
  <w:style w:type="paragraph" w:customStyle="1" w:styleId="1205">
    <w:name w:val="Program"/>
    <w:basedOn w:val="1"/>
    <w:qFormat/>
    <w:uiPriority w:val="0"/>
    <w:pPr>
      <w:adjustRightInd w:val="0"/>
      <w:snapToGrid w:val="0"/>
      <w:ind w:firstLine="510"/>
    </w:pPr>
    <w:rPr>
      <w:sz w:val="24"/>
      <w:szCs w:val="20"/>
    </w:rPr>
  </w:style>
  <w:style w:type="paragraph" w:customStyle="1" w:styleId="1206">
    <w:name w:val="infoblue"/>
    <w:basedOn w:val="1"/>
    <w:qFormat/>
    <w:uiPriority w:val="0"/>
    <w:pPr>
      <w:widowControl/>
      <w:spacing w:after="120" w:line="240" w:lineRule="atLeast"/>
      <w:jc w:val="left"/>
    </w:pPr>
    <w:rPr>
      <w:i/>
      <w:iCs/>
      <w:color w:val="0000FF"/>
      <w:kern w:val="0"/>
      <w:sz w:val="20"/>
      <w:szCs w:val="20"/>
    </w:rPr>
  </w:style>
  <w:style w:type="paragraph" w:customStyle="1" w:styleId="1207">
    <w:name w:val="样式 样式 标题 2H2h2sect 1.2Heading 2 HiddenHeading 2 CCBSheading 2......"/>
    <w:basedOn w:val="1"/>
    <w:qFormat/>
    <w:uiPriority w:val="0"/>
    <w:pPr>
      <w:keepNext/>
      <w:keepLines/>
      <w:numPr>
        <w:ilvl w:val="1"/>
        <w:numId w:val="32"/>
      </w:numPr>
      <w:adjustRightInd w:val="0"/>
      <w:snapToGrid w:val="0"/>
      <w:spacing w:before="360" w:after="120" w:line="360" w:lineRule="auto"/>
      <w:jc w:val="left"/>
      <w:outlineLvl w:val="1"/>
    </w:pPr>
    <w:rPr>
      <w:rFonts w:ascii="仿宋_GB2312" w:hAnsi="宋体" w:eastAsia="华文中宋" w:cs="宋体"/>
      <w:b/>
      <w:bCs/>
      <w:sz w:val="32"/>
      <w:szCs w:val="20"/>
    </w:rPr>
  </w:style>
  <w:style w:type="paragraph" w:customStyle="1" w:styleId="1208">
    <w:name w:val="纯文本11"/>
    <w:basedOn w:val="1"/>
    <w:qFormat/>
    <w:uiPriority w:val="0"/>
    <w:pPr>
      <w:adjustRightInd w:val="0"/>
    </w:pPr>
    <w:rPr>
      <w:rFonts w:ascii="宋体" w:hAnsi="Courier New"/>
      <w:szCs w:val="20"/>
    </w:rPr>
  </w:style>
  <w:style w:type="paragraph" w:customStyle="1" w:styleId="1209">
    <w:name w:val="xl114"/>
    <w:basedOn w:val="1"/>
    <w:qFormat/>
    <w:uiPriority w:val="0"/>
    <w:pPr>
      <w:widowControl/>
      <w:spacing w:before="100" w:beforeAutospacing="1" w:after="100" w:afterAutospacing="1"/>
      <w:jc w:val="left"/>
      <w:textAlignment w:val="center"/>
    </w:pPr>
    <w:rPr>
      <w:rFonts w:ascii="黑体" w:hAnsi="宋体" w:eastAsia="黑体"/>
      <w:b/>
      <w:kern w:val="0"/>
      <w:sz w:val="36"/>
      <w:szCs w:val="20"/>
    </w:rPr>
  </w:style>
  <w:style w:type="paragraph" w:customStyle="1" w:styleId="1210">
    <w:name w:val="列表标题"/>
    <w:basedOn w:val="1"/>
    <w:next w:val="1"/>
    <w:qFormat/>
    <w:uiPriority w:val="0"/>
    <w:pPr>
      <w:jc w:val="center"/>
    </w:pPr>
    <w:rPr>
      <w:sz w:val="24"/>
      <w:szCs w:val="20"/>
    </w:rPr>
  </w:style>
  <w:style w:type="character" w:customStyle="1" w:styleId="1211">
    <w:name w:val="明显引用 字符1"/>
    <w:qFormat/>
    <w:uiPriority w:val="99"/>
    <w:rPr>
      <w:i/>
      <w:iCs/>
      <w:color w:val="4472C4"/>
      <w:kern w:val="2"/>
      <w:sz w:val="21"/>
      <w:szCs w:val="24"/>
    </w:rPr>
  </w:style>
  <w:style w:type="paragraph" w:customStyle="1" w:styleId="1212">
    <w:name w:val="Char Char5 Char Char Char Char Char Char Char Char Char Char Char Char Char Char Char Char Char Char Char Char Char Char Char Char1"/>
    <w:basedOn w:val="1"/>
    <w:qFormat/>
    <w:uiPriority w:val="0"/>
    <w:pPr>
      <w:spacing w:line="360" w:lineRule="auto"/>
    </w:pPr>
    <w:rPr>
      <w:rFonts w:ascii="Tahoma" w:hAnsi="Tahoma"/>
      <w:sz w:val="36"/>
      <w:szCs w:val="36"/>
    </w:rPr>
  </w:style>
  <w:style w:type="paragraph" w:customStyle="1" w:styleId="1213">
    <w:name w:val="leveld"/>
    <w:basedOn w:val="1"/>
    <w:qFormat/>
    <w:uiPriority w:val="0"/>
    <w:pPr>
      <w:widowControl/>
      <w:pBdr>
        <w:bottom w:val="single" w:color="0066FF" w:sz="12" w:space="1"/>
      </w:pBdr>
      <w:jc w:val="left"/>
    </w:pPr>
    <w:rPr>
      <w:rFonts w:ascii="宋体" w:hAnsi="宋体" w:cs="宋体"/>
      <w:b/>
      <w:bCs/>
      <w:color w:val="000000"/>
      <w:kern w:val="0"/>
      <w:sz w:val="24"/>
    </w:rPr>
  </w:style>
  <w:style w:type="paragraph" w:customStyle="1" w:styleId="1214">
    <w:name w:val="xl62"/>
    <w:basedOn w:val="1"/>
    <w:qFormat/>
    <w:uiPriority w:val="0"/>
    <w:pPr>
      <w:widowControl/>
      <w:pBdr>
        <w:top w:val="single" w:color="auto" w:sz="4" w:space="0"/>
        <w:left w:val="single" w:color="auto" w:sz="4" w:space="0"/>
        <w:bottom w:val="single" w:color="auto" w:sz="4" w:space="0"/>
        <w:right w:val="single" w:color="auto" w:sz="8" w:space="0"/>
      </w:pBdr>
      <w:shd w:val="clear" w:color="auto" w:fill="CCFFCC"/>
      <w:spacing w:before="100" w:beforeAutospacing="1" w:after="100" w:afterAutospacing="1"/>
      <w:jc w:val="center"/>
    </w:pPr>
    <w:rPr>
      <w:rFonts w:ascii="Arial" w:hAnsi="Arial"/>
      <w:b/>
      <w:kern w:val="0"/>
      <w:sz w:val="20"/>
      <w:szCs w:val="20"/>
    </w:rPr>
  </w:style>
  <w:style w:type="paragraph" w:customStyle="1" w:styleId="1215">
    <w:name w:val="flType"/>
    <w:basedOn w:val="1057"/>
    <w:qFormat/>
    <w:uiPriority w:val="0"/>
    <w:pPr>
      <w:spacing w:after="284"/>
    </w:pPr>
    <w:rPr>
      <w:rFonts w:eastAsia="宋体"/>
      <w:b w:val="0"/>
    </w:rPr>
  </w:style>
  <w:style w:type="paragraph" w:customStyle="1" w:styleId="1216">
    <w:name w:val="themebody"/>
    <w:basedOn w:val="1"/>
    <w:qFormat/>
    <w:uiPriority w:val="0"/>
    <w:pPr>
      <w:widowControl/>
      <w:spacing w:before="100" w:beforeAutospacing="1" w:after="100" w:afterAutospacing="1"/>
      <w:jc w:val="left"/>
    </w:pPr>
    <w:rPr>
      <w:rFonts w:ascii="宋体" w:hAnsi="宋体" w:cs="宋体"/>
      <w:color w:val="FFFFFF"/>
      <w:kern w:val="0"/>
      <w:sz w:val="24"/>
    </w:rPr>
  </w:style>
  <w:style w:type="paragraph" w:customStyle="1" w:styleId="1217">
    <w:name w:val="样式 标题 3H3标题 3 CharH3 Charl3CTh3Level 3 Topic HeadingHead..."/>
    <w:basedOn w:val="11"/>
    <w:qFormat/>
    <w:uiPriority w:val="0"/>
    <w:pPr>
      <w:adjustRightInd/>
      <w:spacing w:line="320" w:lineRule="auto"/>
      <w:textAlignment w:val="auto"/>
    </w:pPr>
    <w:rPr>
      <w:rFonts w:ascii="宋体" w:hAnsi="宋体"/>
      <w:kern w:val="2"/>
    </w:rPr>
  </w:style>
  <w:style w:type="paragraph" w:customStyle="1" w:styleId="1218">
    <w:name w:val="newmarker"/>
    <w:basedOn w:val="1"/>
    <w:qFormat/>
    <w:uiPriority w:val="0"/>
    <w:pPr>
      <w:widowControl/>
      <w:spacing w:before="100" w:beforeAutospacing="1" w:after="100" w:afterAutospacing="1"/>
      <w:jc w:val="left"/>
    </w:pPr>
    <w:rPr>
      <w:rFonts w:ascii="宋体" w:hAnsi="宋体" w:cs="宋体"/>
      <w:b/>
      <w:bCs/>
      <w:color w:val="FF0000"/>
      <w:kern w:val="0"/>
      <w:sz w:val="22"/>
      <w:szCs w:val="22"/>
    </w:rPr>
  </w:style>
  <w:style w:type="paragraph" w:customStyle="1" w:styleId="1219">
    <w:name w:val="unnamed2"/>
    <w:basedOn w:val="1"/>
    <w:qFormat/>
    <w:uiPriority w:val="0"/>
    <w:pPr>
      <w:widowControl/>
      <w:spacing w:before="100" w:beforeAutospacing="1" w:after="100" w:afterAutospacing="1"/>
      <w:jc w:val="left"/>
    </w:pPr>
    <w:rPr>
      <w:color w:val="000000"/>
      <w:kern w:val="0"/>
      <w:sz w:val="28"/>
      <w:szCs w:val="28"/>
    </w:rPr>
  </w:style>
  <w:style w:type="paragraph" w:customStyle="1" w:styleId="1220">
    <w:name w:val="Char Char5 Char Char Char Char Char Char Char Char Char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221">
    <w:name w:val="Revision1"/>
    <w:qFormat/>
    <w:uiPriority w:val="99"/>
    <w:rPr>
      <w:rFonts w:ascii="Times New Roman" w:hAnsi="Times New Roman" w:eastAsia="宋体" w:cs="Times New Roman"/>
      <w:kern w:val="2"/>
      <w:sz w:val="21"/>
      <w:szCs w:val="24"/>
      <w:lang w:val="en-US" w:eastAsia="zh-CN" w:bidi="ar-SA"/>
    </w:rPr>
  </w:style>
  <w:style w:type="paragraph" w:customStyle="1" w:styleId="1222">
    <w:name w:val="标题样式"/>
    <w:basedOn w:val="1"/>
    <w:qFormat/>
    <w:uiPriority w:val="0"/>
    <w:pPr>
      <w:tabs>
        <w:tab w:val="left" w:pos="420"/>
      </w:tabs>
      <w:spacing w:line="360" w:lineRule="auto"/>
    </w:pPr>
    <w:rPr>
      <w:rFonts w:ascii="宋体" w:hAnsi="宋体"/>
      <w:sz w:val="24"/>
    </w:rPr>
  </w:style>
  <w:style w:type="paragraph" w:customStyle="1" w:styleId="1223">
    <w:name w:val="编号小标题"/>
    <w:basedOn w:val="1091"/>
    <w:qFormat/>
    <w:uiPriority w:val="0"/>
    <w:pPr>
      <w:tabs>
        <w:tab w:val="left" w:pos="1440"/>
      </w:tabs>
      <w:spacing w:afterLines="0"/>
      <w:ind w:firstLine="0" w:firstLineChars="0"/>
    </w:pPr>
    <w:rPr>
      <w:rFonts w:ascii="Times New Roman" w:eastAsia="宋体"/>
    </w:rPr>
  </w:style>
  <w:style w:type="paragraph" w:customStyle="1" w:styleId="122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8"/>
      <w:szCs w:val="28"/>
    </w:rPr>
  </w:style>
  <w:style w:type="paragraph" w:customStyle="1" w:styleId="1225">
    <w:name w:val="编号 1"/>
    <w:basedOn w:val="1"/>
    <w:qFormat/>
    <w:uiPriority w:val="0"/>
    <w:pPr>
      <w:tabs>
        <w:tab w:val="left" w:pos="1560"/>
      </w:tabs>
      <w:spacing w:before="100" w:beforeAutospacing="1" w:after="100" w:afterAutospacing="1" w:line="360" w:lineRule="auto"/>
      <w:ind w:left="-80" w:firstLine="560"/>
    </w:pPr>
    <w:rPr>
      <w:rFonts w:ascii="宋体"/>
      <w:sz w:val="24"/>
    </w:rPr>
  </w:style>
  <w:style w:type="paragraph" w:customStyle="1" w:styleId="1226">
    <w:name w:val="CM2"/>
    <w:basedOn w:val="278"/>
    <w:next w:val="278"/>
    <w:qFormat/>
    <w:uiPriority w:val="0"/>
    <w:rPr>
      <w:rFonts w:ascii="楷体_GB2312" w:hAnsi="Times New Roman" w:eastAsia="楷体_GB2312" w:cs="楷体_GB2312"/>
      <w:color w:val="auto"/>
    </w:rPr>
  </w:style>
  <w:style w:type="paragraph" w:customStyle="1" w:styleId="1227">
    <w:name w:val="Chart_body"/>
    <w:basedOn w:val="1"/>
    <w:qFormat/>
    <w:uiPriority w:val="0"/>
    <w:pPr>
      <w:widowControl/>
      <w:spacing w:after="60" w:line="240" w:lineRule="exact"/>
      <w:jc w:val="left"/>
    </w:pPr>
    <w:rPr>
      <w:rFonts w:ascii="Helvetica" w:hAnsi="Helvetica"/>
      <w:color w:val="000000"/>
      <w:kern w:val="0"/>
      <w:sz w:val="16"/>
      <w:szCs w:val="20"/>
      <w:lang w:eastAsia="en-US"/>
    </w:rPr>
  </w:style>
  <w:style w:type="paragraph" w:customStyle="1" w:styleId="1228">
    <w:name w:val="正文无缩进 Char"/>
    <w:basedOn w:val="1"/>
    <w:qFormat/>
    <w:uiPriority w:val="0"/>
    <w:pPr>
      <w:tabs>
        <w:tab w:val="left" w:pos="420"/>
      </w:tabs>
      <w:spacing w:line="360" w:lineRule="auto"/>
    </w:pPr>
    <w:rPr>
      <w:sz w:val="24"/>
    </w:rPr>
  </w:style>
  <w:style w:type="paragraph" w:customStyle="1" w:styleId="1229">
    <w:name w:val="Char Char3 Char Char Char Char Char Char Char Char Char Char Char Char"/>
    <w:basedOn w:val="1"/>
    <w:qFormat/>
    <w:uiPriority w:val="0"/>
    <w:pPr>
      <w:spacing w:line="360" w:lineRule="auto"/>
    </w:pPr>
    <w:rPr>
      <w:rFonts w:ascii="Tahoma" w:hAnsi="Tahoma"/>
      <w:sz w:val="36"/>
      <w:szCs w:val="36"/>
    </w:rPr>
  </w:style>
  <w:style w:type="paragraph" w:customStyle="1" w:styleId="1230">
    <w:name w:val="color990000"/>
    <w:basedOn w:val="1"/>
    <w:qFormat/>
    <w:uiPriority w:val="0"/>
    <w:pPr>
      <w:widowControl/>
      <w:spacing w:before="100" w:beforeAutospacing="1" w:after="100" w:afterAutospacing="1"/>
      <w:jc w:val="left"/>
    </w:pPr>
    <w:rPr>
      <w:rFonts w:ascii="宋体" w:hAnsi="宋体" w:cs="宋体"/>
      <w:color w:val="990000"/>
      <w:kern w:val="0"/>
      <w:sz w:val="24"/>
    </w:rPr>
  </w:style>
  <w:style w:type="paragraph" w:customStyle="1" w:styleId="1231">
    <w:name w:val="样式 标题 2h2Level 2 Topic HeadingHD2Heading 2 HiddenHeading 2 ..."/>
    <w:basedOn w:val="3"/>
    <w:qFormat/>
    <w:uiPriority w:val="0"/>
    <w:pPr>
      <w:pageBreakBefore/>
      <w:tabs>
        <w:tab w:val="left" w:pos="425"/>
      </w:tabs>
      <w:autoSpaceDE/>
      <w:autoSpaceDN/>
      <w:adjustRightInd/>
      <w:spacing w:before="340" w:after="330" w:line="578" w:lineRule="auto"/>
      <w:ind w:left="425" w:hanging="425"/>
      <w:jc w:val="both"/>
    </w:pPr>
    <w:rPr>
      <w:rFonts w:ascii="Times New Roman"/>
      <w:bCs/>
      <w:sz w:val="44"/>
      <w:szCs w:val="36"/>
    </w:rPr>
  </w:style>
  <w:style w:type="paragraph" w:customStyle="1" w:styleId="1232">
    <w:name w:val="编号密级"/>
    <w:basedOn w:val="1"/>
    <w:qFormat/>
    <w:uiPriority w:val="0"/>
    <w:pPr>
      <w:widowControl/>
      <w:adjustRightInd w:val="0"/>
      <w:snapToGrid w:val="0"/>
      <w:spacing w:before="200" w:after="240" w:line="480" w:lineRule="auto"/>
      <w:jc w:val="center"/>
      <w:textAlignment w:val="baseline"/>
    </w:pPr>
    <w:rPr>
      <w:rFonts w:ascii="黑体" w:hAnsi="Arial" w:eastAsia="黑体"/>
      <w:spacing w:val="6"/>
      <w:kern w:val="0"/>
      <w:sz w:val="28"/>
      <w:szCs w:val="20"/>
    </w:rPr>
  </w:style>
  <w:style w:type="paragraph" w:customStyle="1" w:styleId="1233">
    <w:name w:val="正文无缩进"/>
    <w:basedOn w:val="1"/>
    <w:qFormat/>
    <w:uiPriority w:val="0"/>
    <w:pPr>
      <w:tabs>
        <w:tab w:val="left" w:pos="420"/>
      </w:tabs>
      <w:spacing w:line="360" w:lineRule="auto"/>
      <w:ind w:right="-154"/>
    </w:pPr>
    <w:rPr>
      <w:sz w:val="24"/>
    </w:rPr>
  </w:style>
  <w:style w:type="paragraph" w:customStyle="1" w:styleId="1234">
    <w:name w:val="*4. Head 1"/>
    <w:basedOn w:val="278"/>
    <w:next w:val="278"/>
    <w:qFormat/>
    <w:uiPriority w:val="99"/>
    <w:rPr>
      <w:rFonts w:ascii="Times New Roman" w:hAnsi="Times New Roman" w:cs="Times New Roman"/>
      <w:color w:val="auto"/>
    </w:rPr>
  </w:style>
  <w:style w:type="paragraph" w:customStyle="1" w:styleId="1235">
    <w:name w:val="普通(网站)11"/>
    <w:basedOn w:val="1"/>
    <w:qFormat/>
    <w:uiPriority w:val="99"/>
    <w:pPr>
      <w:widowControl/>
      <w:spacing w:before="100" w:beforeAutospacing="1" w:after="100" w:afterAutospacing="1"/>
      <w:jc w:val="left"/>
    </w:pPr>
    <w:rPr>
      <w:rFonts w:ascii="宋体" w:hAnsi="宋体" w:cs="宋体"/>
      <w:kern w:val="0"/>
      <w:sz w:val="24"/>
    </w:rPr>
  </w:style>
  <w:style w:type="paragraph" w:customStyle="1" w:styleId="1236">
    <w:name w:val="p16"/>
    <w:basedOn w:val="1"/>
    <w:qFormat/>
    <w:uiPriority w:val="0"/>
    <w:pPr>
      <w:widowControl/>
      <w:spacing w:line="360" w:lineRule="auto"/>
      <w:ind w:firstLine="420"/>
      <w:jc w:val="left"/>
    </w:pPr>
    <w:rPr>
      <w:kern w:val="0"/>
      <w:sz w:val="24"/>
    </w:rPr>
  </w:style>
  <w:style w:type="paragraph" w:customStyle="1" w:styleId="1237">
    <w:name w:val="正文图标题"/>
    <w:next w:val="453"/>
    <w:qFormat/>
    <w:uiPriority w:val="0"/>
    <w:pPr>
      <w:numPr>
        <w:ilvl w:val="0"/>
        <w:numId w:val="33"/>
      </w:numPr>
      <w:jc w:val="center"/>
    </w:pPr>
    <w:rPr>
      <w:rFonts w:ascii="黑体" w:hAnsi="Times New Roman" w:eastAsia="黑体" w:cs="Times New Roman"/>
      <w:sz w:val="21"/>
      <w:lang w:val="en-US" w:eastAsia="zh-CN" w:bidi="ar-SA"/>
    </w:rPr>
  </w:style>
  <w:style w:type="paragraph" w:customStyle="1" w:styleId="1238">
    <w:name w:val="font13"/>
    <w:basedOn w:val="1"/>
    <w:qFormat/>
    <w:uiPriority w:val="0"/>
    <w:pPr>
      <w:widowControl/>
      <w:spacing w:before="100" w:beforeAutospacing="1" w:after="100" w:afterAutospacing="1"/>
      <w:jc w:val="left"/>
    </w:pPr>
    <w:rPr>
      <w:rFonts w:ascii="Arial" w:hAnsi="Arial"/>
      <w:color w:val="000000"/>
      <w:kern w:val="0"/>
      <w:sz w:val="20"/>
      <w:szCs w:val="20"/>
    </w:rPr>
  </w:style>
  <w:style w:type="paragraph" w:customStyle="1" w:styleId="1239">
    <w:name w:val="Char5"/>
    <w:basedOn w:val="1"/>
    <w:qFormat/>
    <w:uiPriority w:val="0"/>
    <w:rPr>
      <w:rFonts w:ascii="仿宋_GB2312" w:eastAsia="仿宋_GB2312"/>
      <w:b/>
      <w:sz w:val="32"/>
      <w:szCs w:val="32"/>
    </w:rPr>
  </w:style>
  <w:style w:type="paragraph" w:customStyle="1" w:styleId="1240">
    <w:name w:val="nomargin"/>
    <w:basedOn w:val="1"/>
    <w:qFormat/>
    <w:uiPriority w:val="0"/>
    <w:pPr>
      <w:widowControl/>
      <w:spacing w:line="195" w:lineRule="atLeast"/>
      <w:jc w:val="left"/>
    </w:pPr>
    <w:rPr>
      <w:rFonts w:ascii="Verdana" w:hAnsi="Verdana" w:cs="宋体"/>
      <w:color w:val="333333"/>
      <w:kern w:val="0"/>
      <w:sz w:val="17"/>
      <w:szCs w:val="17"/>
    </w:rPr>
  </w:style>
  <w:style w:type="paragraph" w:customStyle="1" w:styleId="1241">
    <w:name w:val="Char Char Char1 Char Char Char Char1"/>
    <w:basedOn w:val="1"/>
    <w:qFormat/>
    <w:uiPriority w:val="99"/>
    <w:rPr>
      <w:rFonts w:ascii="Tahoma" w:hAnsi="Tahoma"/>
      <w:sz w:val="24"/>
      <w:szCs w:val="20"/>
    </w:rPr>
  </w:style>
  <w:style w:type="paragraph" w:customStyle="1" w:styleId="1242">
    <w:name w:val="样式 S3 + 段前: 1 行 段后: 0.5 行"/>
    <w:basedOn w:val="1197"/>
    <w:qFormat/>
    <w:uiPriority w:val="0"/>
    <w:pPr>
      <w:tabs>
        <w:tab w:val="left" w:pos="720"/>
        <w:tab w:val="clear" w:pos="1620"/>
      </w:tabs>
      <w:spacing w:beforeLines="50" w:afterLines="75"/>
      <w:ind w:left="720"/>
    </w:pPr>
  </w:style>
  <w:style w:type="paragraph" w:customStyle="1" w:styleId="1243">
    <w:name w:val="Char Char Char Char Char Char3"/>
    <w:basedOn w:val="1"/>
    <w:qFormat/>
    <w:uiPriority w:val="0"/>
    <w:pPr>
      <w:adjustRightInd w:val="0"/>
      <w:spacing w:line="360" w:lineRule="auto"/>
    </w:pPr>
    <w:rPr>
      <w:kern w:val="0"/>
      <w:sz w:val="24"/>
      <w:szCs w:val="20"/>
    </w:rPr>
  </w:style>
  <w:style w:type="paragraph" w:customStyle="1" w:styleId="1244">
    <w:name w:val="CM86"/>
    <w:basedOn w:val="278"/>
    <w:next w:val="278"/>
    <w:qFormat/>
    <w:uiPriority w:val="0"/>
    <w:pPr>
      <w:spacing w:after="443"/>
    </w:pPr>
    <w:rPr>
      <w:rFonts w:ascii="楷体_GB2312" w:hAnsi="Times New Roman" w:eastAsia="楷体_GB2312" w:cs="楷体_GB2312"/>
      <w:color w:val="auto"/>
    </w:rPr>
  </w:style>
  <w:style w:type="paragraph" w:customStyle="1" w:styleId="1245">
    <w:name w:val="Char Char1 Char1"/>
    <w:basedOn w:val="1"/>
    <w:qFormat/>
    <w:uiPriority w:val="0"/>
    <w:rPr>
      <w:rFonts w:ascii="Tahoma" w:hAnsi="Tahoma"/>
      <w:sz w:val="24"/>
      <w:szCs w:val="20"/>
    </w:rPr>
  </w:style>
  <w:style w:type="paragraph" w:customStyle="1" w:styleId="1246">
    <w:name w:val="简单回函地址"/>
    <w:basedOn w:val="1"/>
    <w:qFormat/>
    <w:uiPriority w:val="0"/>
  </w:style>
  <w:style w:type="paragraph" w:customStyle="1" w:styleId="1247">
    <w:name w:val="xl1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248">
    <w:name w:val="样式 标题 1 + 黑体 小三 非加粗"/>
    <w:basedOn w:val="3"/>
    <w:qFormat/>
    <w:uiPriority w:val="0"/>
    <w:pPr>
      <w:tabs>
        <w:tab w:val="left" w:pos="980"/>
      </w:tabs>
      <w:autoSpaceDE/>
      <w:autoSpaceDN/>
      <w:adjustRightInd/>
      <w:spacing w:before="0" w:after="0" w:line="480" w:lineRule="auto"/>
      <w:ind w:left="980" w:hanging="420"/>
      <w:jc w:val="both"/>
    </w:pPr>
    <w:rPr>
      <w:rFonts w:ascii="黑体" w:hAnsi="黑体" w:eastAsia="黑体"/>
      <w:b w:val="0"/>
      <w:sz w:val="30"/>
      <w:szCs w:val="44"/>
    </w:rPr>
  </w:style>
  <w:style w:type="paragraph" w:customStyle="1" w:styleId="124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1250">
    <w:name w:val="德山-正文"/>
    <w:basedOn w:val="1"/>
    <w:qFormat/>
    <w:uiPriority w:val="0"/>
    <w:pPr>
      <w:spacing w:beforeLines="50" w:afterLines="50" w:line="360" w:lineRule="auto"/>
      <w:ind w:firstLine="200" w:firstLineChars="200"/>
    </w:pPr>
    <w:rPr>
      <w:rFonts w:ascii="Calibri" w:hAnsi="Calibri"/>
      <w:sz w:val="24"/>
      <w:szCs w:val="21"/>
    </w:rPr>
  </w:style>
  <w:style w:type="paragraph" w:customStyle="1" w:styleId="1251">
    <w:name w:val="red"/>
    <w:basedOn w:val="1"/>
    <w:qFormat/>
    <w:uiPriority w:val="0"/>
    <w:pPr>
      <w:widowControl/>
      <w:spacing w:before="100" w:beforeAutospacing="1" w:after="100" w:afterAutospacing="1"/>
      <w:jc w:val="left"/>
    </w:pPr>
    <w:rPr>
      <w:rFonts w:ascii="宋体" w:hAnsi="宋体"/>
      <w:color w:val="FF9933"/>
      <w:kern w:val="0"/>
      <w:sz w:val="18"/>
      <w:szCs w:val="18"/>
    </w:rPr>
  </w:style>
  <w:style w:type="paragraph" w:customStyle="1" w:styleId="1252">
    <w:name w:val="large"/>
    <w:basedOn w:val="1"/>
    <w:qFormat/>
    <w:uiPriority w:val="0"/>
    <w:pPr>
      <w:widowControl/>
      <w:spacing w:before="100" w:beforeAutospacing="1" w:after="100" w:afterAutospacing="1"/>
      <w:jc w:val="left"/>
    </w:pPr>
    <w:rPr>
      <w:rFonts w:ascii="宋体" w:hAnsi="宋体" w:cs="宋体"/>
      <w:color w:val="000000"/>
      <w:kern w:val="0"/>
      <w:sz w:val="26"/>
      <w:szCs w:val="26"/>
    </w:rPr>
  </w:style>
  <w:style w:type="paragraph" w:customStyle="1" w:styleId="1253">
    <w:name w:val="Normal (Arial)"/>
    <w:basedOn w:val="1"/>
    <w:qFormat/>
    <w:uiPriority w:val="0"/>
    <w:pPr>
      <w:widowControl/>
      <w:autoSpaceDE w:val="0"/>
      <w:autoSpaceDN w:val="0"/>
      <w:adjustRightInd w:val="0"/>
      <w:jc w:val="left"/>
    </w:pPr>
    <w:rPr>
      <w:rFonts w:ascii="Arial" w:hAnsi="Arial" w:cs="Arial"/>
      <w:kern w:val="0"/>
      <w:sz w:val="20"/>
      <w:szCs w:val="20"/>
      <w:lang w:eastAsia="en-US"/>
    </w:rPr>
  </w:style>
  <w:style w:type="paragraph" w:customStyle="1" w:styleId="1254">
    <w:name w:val="默认段落字体 Para Char Char"/>
    <w:basedOn w:val="1"/>
    <w:qFormat/>
    <w:uiPriority w:val="0"/>
  </w:style>
  <w:style w:type="paragraph" w:customStyle="1" w:styleId="1255">
    <w:name w:val="*5. Head 2"/>
    <w:basedOn w:val="278"/>
    <w:next w:val="278"/>
    <w:qFormat/>
    <w:uiPriority w:val="99"/>
    <w:rPr>
      <w:rFonts w:ascii="Times New Roman" w:hAnsi="Times New Roman" w:cs="Times New Roman"/>
      <w:color w:val="auto"/>
    </w:rPr>
  </w:style>
  <w:style w:type="paragraph" w:customStyle="1" w:styleId="1256">
    <w:name w:val="段 Char Char"/>
    <w:qFormat/>
    <w:uiPriority w:val="0"/>
    <w:pPr>
      <w:tabs>
        <w:tab w:val="left" w:pos="0"/>
      </w:tabs>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57">
    <w:name w:val="表格文本"/>
    <w:qFormat/>
    <w:uiPriority w:val="0"/>
    <w:pPr>
      <w:tabs>
        <w:tab w:val="decimal" w:pos="0"/>
      </w:tabs>
    </w:pPr>
    <w:rPr>
      <w:rFonts w:ascii="Arial" w:hAnsi="Arial" w:eastAsia="宋体" w:cs="Times New Roman"/>
      <w:sz w:val="21"/>
      <w:lang w:val="en-US" w:eastAsia="zh-CN" w:bidi="ar-SA"/>
    </w:rPr>
  </w:style>
  <w:style w:type="paragraph" w:customStyle="1" w:styleId="1258">
    <w:name w:val="MM Topic 9"/>
    <w:basedOn w:val="13"/>
    <w:qFormat/>
    <w:uiPriority w:val="0"/>
    <w:pPr>
      <w:numPr>
        <w:ilvl w:val="8"/>
        <w:numId w:val="31"/>
      </w:numPr>
      <w:tabs>
        <w:tab w:val="left" w:pos="0"/>
      </w:tabs>
      <w:adjustRightInd/>
      <w:spacing w:line="320" w:lineRule="auto"/>
      <w:ind w:left="0" w:firstLine="0"/>
      <w:textAlignment w:val="auto"/>
    </w:pPr>
    <w:rPr>
      <w:kern w:val="2"/>
      <w:szCs w:val="21"/>
    </w:rPr>
  </w:style>
  <w:style w:type="paragraph" w:customStyle="1" w:styleId="1259">
    <w:name w:val="样式 标题 2H2 + 黑体"/>
    <w:basedOn w:val="4"/>
    <w:qFormat/>
    <w:uiPriority w:val="0"/>
    <w:pPr>
      <w:widowControl/>
      <w:tabs>
        <w:tab w:val="left" w:pos="2552"/>
      </w:tabs>
      <w:autoSpaceDE/>
      <w:autoSpaceDN/>
      <w:adjustRightInd/>
      <w:spacing w:before="260" w:after="260" w:line="416" w:lineRule="auto"/>
      <w:jc w:val="left"/>
    </w:pPr>
    <w:rPr>
      <w:bCs/>
      <w:sz w:val="32"/>
    </w:rPr>
  </w:style>
  <w:style w:type="paragraph" w:customStyle="1" w:styleId="1260">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b/>
      <w:bCs/>
      <w:kern w:val="0"/>
      <w:sz w:val="28"/>
      <w:szCs w:val="28"/>
    </w:rPr>
  </w:style>
  <w:style w:type="paragraph" w:customStyle="1" w:styleId="1261">
    <w:name w:val="CM21"/>
    <w:basedOn w:val="278"/>
    <w:next w:val="278"/>
    <w:qFormat/>
    <w:uiPriority w:val="0"/>
    <w:pPr>
      <w:spacing w:line="468" w:lineRule="atLeast"/>
    </w:pPr>
    <w:rPr>
      <w:rFonts w:ascii="楷体_GB2312" w:hAnsi="Times New Roman" w:eastAsia="楷体_GB2312" w:cs="楷体_GB2312"/>
      <w:color w:val="auto"/>
    </w:rPr>
  </w:style>
  <w:style w:type="paragraph" w:customStyle="1" w:styleId="1262">
    <w:name w:val="样式 样式 首行缩进:  0.74 厘米 行距: 1.5 倍行距 + 段后: 0.5 行"/>
    <w:basedOn w:val="1"/>
    <w:qFormat/>
    <w:uiPriority w:val="0"/>
    <w:pPr>
      <w:spacing w:line="360" w:lineRule="auto"/>
      <w:ind w:firstLine="420"/>
    </w:pPr>
    <w:rPr>
      <w:rFonts w:eastAsia="楷体_GB2312"/>
      <w:color w:val="000000"/>
      <w:szCs w:val="20"/>
    </w:rPr>
  </w:style>
  <w:style w:type="paragraph" w:customStyle="1" w:styleId="1263">
    <w:name w:val="表格编号样式1"/>
    <w:basedOn w:val="1046"/>
    <w:qFormat/>
    <w:uiPriority w:val="0"/>
    <w:pPr>
      <w:numPr>
        <w:ilvl w:val="0"/>
        <w:numId w:val="34"/>
      </w:numPr>
    </w:pPr>
  </w:style>
  <w:style w:type="paragraph" w:customStyle="1" w:styleId="1264">
    <w:name w:val="Table Content"/>
    <w:basedOn w:val="1"/>
    <w:qFormat/>
    <w:uiPriority w:val="0"/>
    <w:pPr>
      <w:jc w:val="left"/>
    </w:pPr>
  </w:style>
  <w:style w:type="paragraph" w:customStyle="1" w:styleId="1265">
    <w:name w:val="标题 41"/>
    <w:basedOn w:val="1"/>
    <w:qFormat/>
    <w:uiPriority w:val="0"/>
  </w:style>
  <w:style w:type="paragraph" w:customStyle="1" w:styleId="1266">
    <w:name w:val="CM8"/>
    <w:basedOn w:val="278"/>
    <w:next w:val="278"/>
    <w:qFormat/>
    <w:uiPriority w:val="0"/>
    <w:pPr>
      <w:spacing w:line="468" w:lineRule="atLeast"/>
    </w:pPr>
    <w:rPr>
      <w:rFonts w:ascii="黑体" w:hAnsi="Times New Roman" w:eastAsia="黑体" w:cs="Times New Roman"/>
      <w:color w:val="auto"/>
    </w:rPr>
  </w:style>
  <w:style w:type="paragraph" w:customStyle="1" w:styleId="1267">
    <w:name w:val="标准标题2"/>
    <w:basedOn w:val="4"/>
    <w:next w:val="1"/>
    <w:qFormat/>
    <w:uiPriority w:val="0"/>
    <w:pPr>
      <w:numPr>
        <w:ilvl w:val="1"/>
        <w:numId w:val="11"/>
      </w:numPr>
      <w:tabs>
        <w:tab w:val="left" w:pos="360"/>
        <w:tab w:val="left" w:pos="2552"/>
      </w:tabs>
      <w:autoSpaceDE/>
      <w:autoSpaceDN/>
      <w:adjustRightInd/>
      <w:spacing w:before="260" w:after="260" w:line="416" w:lineRule="auto"/>
      <w:ind w:left="576" w:hanging="576"/>
      <w:jc w:val="both"/>
    </w:pPr>
    <w:rPr>
      <w:rFonts w:ascii="黑体" w:hAnsi="黑体" w:cs="华文中宋"/>
      <w:bCs/>
      <w:kern w:val="2"/>
      <w:sz w:val="32"/>
      <w:szCs w:val="32"/>
    </w:rPr>
  </w:style>
  <w:style w:type="paragraph" w:customStyle="1" w:styleId="1268">
    <w:name w:val="Char Char Char Char Char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1269">
    <w:name w:val="正文1"/>
    <w:qFormat/>
    <w:uiPriority w:val="99"/>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270">
    <w:name w:val="copyright"/>
    <w:basedOn w:val="1"/>
    <w:qFormat/>
    <w:uiPriority w:val="0"/>
    <w:pPr>
      <w:widowControl/>
      <w:spacing w:before="100" w:beforeAutospacing="1" w:after="100" w:afterAutospacing="1"/>
      <w:jc w:val="left"/>
    </w:pPr>
    <w:rPr>
      <w:rFonts w:ascii="宋体" w:hAnsi="宋体" w:cs="宋体"/>
      <w:color w:val="666666"/>
      <w:kern w:val="0"/>
      <w:sz w:val="22"/>
      <w:szCs w:val="22"/>
    </w:rPr>
  </w:style>
  <w:style w:type="paragraph" w:customStyle="1" w:styleId="1271">
    <w:name w:val="Char6"/>
    <w:basedOn w:val="1"/>
    <w:qFormat/>
    <w:uiPriority w:val="0"/>
    <w:rPr>
      <w:rFonts w:ascii="仿宋_GB2312" w:eastAsia="仿宋_GB2312"/>
      <w:b/>
      <w:sz w:val="32"/>
      <w:szCs w:val="32"/>
    </w:rPr>
  </w:style>
  <w:style w:type="paragraph" w:customStyle="1" w:styleId="1272">
    <w:name w:val="编号 2"/>
    <w:basedOn w:val="1"/>
    <w:qFormat/>
    <w:uiPriority w:val="0"/>
    <w:pPr>
      <w:numPr>
        <w:ilvl w:val="0"/>
        <w:numId w:val="35"/>
      </w:numPr>
      <w:spacing w:before="100" w:beforeAutospacing="1" w:after="100" w:afterAutospacing="1" w:line="360" w:lineRule="auto"/>
    </w:pPr>
    <w:rPr>
      <w:rFonts w:ascii="宋体"/>
      <w:sz w:val="24"/>
      <w:szCs w:val="20"/>
    </w:rPr>
  </w:style>
  <w:style w:type="paragraph" w:customStyle="1" w:styleId="1273">
    <w:name w:val="样式 (西文) 宋体 (复杂文种) Arial 段前: -0.32 厘米 段前: 7.8 磅 段后: 7.8 磅 首行..."/>
    <w:basedOn w:val="1"/>
    <w:qFormat/>
    <w:uiPriority w:val="0"/>
    <w:pPr>
      <w:spacing w:before="156" w:after="156" w:line="360" w:lineRule="auto"/>
      <w:ind w:left="-181" w:firstLine="560" w:firstLineChars="200"/>
    </w:pPr>
    <w:rPr>
      <w:rFonts w:ascii="宋体" w:hAnsi="宋体" w:cs="Arial"/>
      <w:sz w:val="28"/>
    </w:rPr>
  </w:style>
  <w:style w:type="paragraph" w:customStyle="1" w:styleId="1274">
    <w:name w:val="样式 正文＋仿宋3号字体 + 首行缩进:  2.5 字符 + 首行缩进:  2 字符"/>
    <w:basedOn w:val="1"/>
    <w:qFormat/>
    <w:uiPriority w:val="0"/>
    <w:pPr>
      <w:adjustRightInd w:val="0"/>
      <w:snapToGrid w:val="0"/>
      <w:spacing w:line="360" w:lineRule="auto"/>
      <w:jc w:val="center"/>
    </w:pPr>
    <w:rPr>
      <w:rFonts w:ascii="宋体" w:hAnsi="宋体"/>
      <w:color w:val="000000"/>
      <w:sz w:val="24"/>
      <w:szCs w:val="20"/>
    </w:rPr>
  </w:style>
  <w:style w:type="paragraph" w:customStyle="1" w:styleId="1275">
    <w:name w:val="List Bullet1"/>
    <w:basedOn w:val="1"/>
    <w:qFormat/>
    <w:uiPriority w:val="0"/>
    <w:pPr>
      <w:widowControl/>
      <w:tabs>
        <w:tab w:val="left" w:pos="425"/>
      </w:tabs>
      <w:spacing w:before="240" w:after="120" w:line="288" w:lineRule="auto"/>
      <w:ind w:left="981" w:right="57" w:hanging="357"/>
      <w:jc w:val="left"/>
    </w:pPr>
    <w:rPr>
      <w:kern w:val="0"/>
      <w:szCs w:val="20"/>
    </w:rPr>
  </w:style>
  <w:style w:type="paragraph" w:customStyle="1" w:styleId="1276">
    <w:name w:val="xl125"/>
    <w:basedOn w:val="1"/>
    <w:qFormat/>
    <w:uiPriority w:val="0"/>
    <w:pPr>
      <w:widowControl/>
      <w:pBdr>
        <w:top w:val="single" w:color="auto" w:sz="4" w:space="0"/>
        <w:left w:val="single" w:color="auto" w:sz="4" w:space="0"/>
        <w:right w:val="single" w:color="auto" w:sz="4" w:space="0"/>
      </w:pBdr>
      <w:shd w:val="clear" w:color="auto" w:fill="FFFFCC"/>
      <w:spacing w:before="100" w:beforeAutospacing="1" w:after="100" w:afterAutospacing="1"/>
      <w:jc w:val="center"/>
      <w:textAlignment w:val="center"/>
    </w:pPr>
    <w:rPr>
      <w:rFonts w:ascii="宋体" w:hAnsi="宋体"/>
      <w:kern w:val="0"/>
      <w:sz w:val="18"/>
      <w:szCs w:val="20"/>
    </w:rPr>
  </w:style>
  <w:style w:type="paragraph" w:customStyle="1" w:styleId="1277">
    <w:name w:val="color333333bg"/>
    <w:basedOn w:val="1"/>
    <w:qFormat/>
    <w:uiPriority w:val="0"/>
    <w:pPr>
      <w:widowControl/>
      <w:shd w:val="clear" w:color="auto" w:fill="333333"/>
      <w:spacing w:before="100" w:beforeAutospacing="1" w:after="100" w:afterAutospacing="1"/>
      <w:jc w:val="left"/>
    </w:pPr>
    <w:rPr>
      <w:rFonts w:ascii="宋体" w:hAnsi="宋体" w:cs="宋体"/>
      <w:color w:val="000000"/>
      <w:kern w:val="0"/>
      <w:sz w:val="24"/>
    </w:rPr>
  </w:style>
  <w:style w:type="paragraph" w:customStyle="1" w:styleId="1278">
    <w:name w:val="样式 文章正文 + 仿宋_GB2312 左侧:  6.35 厘米 Char"/>
    <w:basedOn w:val="1"/>
    <w:qFormat/>
    <w:uiPriority w:val="0"/>
    <w:pPr>
      <w:spacing w:line="360" w:lineRule="auto"/>
      <w:ind w:firstLine="420"/>
      <w:jc w:val="left"/>
    </w:pPr>
    <w:rPr>
      <w:rFonts w:ascii="仿宋_GB2312" w:hAnsi="仿宋_GB2312"/>
      <w:sz w:val="24"/>
    </w:rPr>
  </w:style>
  <w:style w:type="paragraph" w:customStyle="1" w:styleId="1279">
    <w:name w:val="Subtitulo"/>
    <w:basedOn w:val="1"/>
    <w:next w:val="1"/>
    <w:qFormat/>
    <w:uiPriority w:val="0"/>
    <w:pPr>
      <w:keepNext/>
      <w:keepLines/>
      <w:widowControl/>
      <w:overflowPunct w:val="0"/>
      <w:autoSpaceDE w:val="0"/>
      <w:autoSpaceDN w:val="0"/>
      <w:adjustRightInd w:val="0"/>
      <w:spacing w:before="40" w:line="240" w:lineRule="atLeast"/>
    </w:pPr>
    <w:rPr>
      <w:rFonts w:ascii="Helvetica" w:hAnsi="Helvetica" w:eastAsia="PMingLiU"/>
      <w:b/>
      <w:kern w:val="0"/>
      <w:sz w:val="24"/>
      <w:szCs w:val="20"/>
      <w:lang w:eastAsia="zh-TW"/>
    </w:rPr>
  </w:style>
  <w:style w:type="paragraph" w:customStyle="1" w:styleId="1280">
    <w:name w:val="号正文"/>
    <w:basedOn w:val="1"/>
    <w:qFormat/>
    <w:uiPriority w:val="0"/>
    <w:pPr>
      <w:autoSpaceDE w:val="0"/>
      <w:autoSpaceDN w:val="0"/>
      <w:adjustRightInd w:val="0"/>
      <w:snapToGrid w:val="0"/>
      <w:spacing w:line="360" w:lineRule="auto"/>
      <w:ind w:firstLine="428" w:firstLineChars="200"/>
      <w:jc w:val="left"/>
    </w:pPr>
    <w:rPr>
      <w:rFonts w:ascii="宋体"/>
      <w:color w:val="000000"/>
      <w:spacing w:val="2"/>
      <w:kern w:val="0"/>
    </w:rPr>
  </w:style>
  <w:style w:type="paragraph" w:customStyle="1" w:styleId="1281">
    <w:name w:val="项目符号，一级"/>
    <w:basedOn w:val="1"/>
    <w:next w:val="1"/>
    <w:qFormat/>
    <w:uiPriority w:val="0"/>
    <w:pPr>
      <w:framePr w:hSpace="180" w:wrap="around" w:vAnchor="text" w:hAnchor="text" w:y="1"/>
      <w:widowControl/>
      <w:tabs>
        <w:tab w:val="left" w:pos="900"/>
      </w:tabs>
      <w:adjustRightInd w:val="0"/>
      <w:snapToGrid w:val="0"/>
      <w:spacing w:beforeLines="25" w:line="240" w:lineRule="atLeast"/>
      <w:ind w:left="376" w:leftChars="179"/>
      <w:jc w:val="left"/>
      <w:textAlignment w:val="baseline"/>
    </w:pPr>
    <w:rPr>
      <w:rFonts w:ascii="宋体" w:hAnsi="宋体"/>
      <w:kern w:val="0"/>
    </w:rPr>
  </w:style>
  <w:style w:type="paragraph" w:customStyle="1" w:styleId="1282">
    <w:name w:val="..(......)"/>
    <w:basedOn w:val="1"/>
    <w:next w:val="1"/>
    <w:qFormat/>
    <w:uiPriority w:val="0"/>
    <w:pPr>
      <w:autoSpaceDE w:val="0"/>
      <w:autoSpaceDN w:val="0"/>
      <w:adjustRightInd w:val="0"/>
      <w:spacing w:before="120"/>
      <w:jc w:val="left"/>
    </w:pPr>
    <w:rPr>
      <w:rFonts w:ascii=".." w:eastAsia=".."/>
      <w:kern w:val="0"/>
      <w:sz w:val="24"/>
    </w:rPr>
  </w:style>
  <w:style w:type="paragraph" w:customStyle="1" w:styleId="1283">
    <w:name w:val="正文3"/>
    <w:qFormat/>
    <w:uiPriority w:val="0"/>
    <w:pPr>
      <w:widowControl w:val="0"/>
      <w:adjustRightInd w:val="0"/>
      <w:spacing w:line="312" w:lineRule="atLeast"/>
      <w:jc w:val="both"/>
    </w:pPr>
    <w:rPr>
      <w:rFonts w:ascii="宋体" w:hAnsi="Times New Roman" w:eastAsia="宋体" w:cs="Times New Roman"/>
      <w:sz w:val="24"/>
      <w:lang w:val="en-US" w:eastAsia="zh-CN" w:bidi="ar-SA"/>
    </w:rPr>
  </w:style>
  <w:style w:type="paragraph" w:customStyle="1" w:styleId="1284">
    <w:name w:val="color990000bld"/>
    <w:basedOn w:val="1"/>
    <w:qFormat/>
    <w:uiPriority w:val="0"/>
    <w:pPr>
      <w:widowControl/>
      <w:spacing w:before="100" w:beforeAutospacing="1" w:after="100" w:afterAutospacing="1"/>
      <w:jc w:val="left"/>
    </w:pPr>
    <w:rPr>
      <w:rFonts w:ascii="宋体" w:hAnsi="宋体" w:cs="宋体"/>
      <w:b/>
      <w:bCs/>
      <w:color w:val="990000"/>
      <w:kern w:val="0"/>
      <w:sz w:val="24"/>
    </w:rPr>
  </w:style>
  <w:style w:type="paragraph" w:customStyle="1" w:styleId="1285">
    <w:name w:val="MM Topic 7"/>
    <w:basedOn w:val="11"/>
    <w:qFormat/>
    <w:uiPriority w:val="0"/>
    <w:pPr>
      <w:adjustRightInd/>
      <w:spacing w:line="320" w:lineRule="auto"/>
      <w:textAlignment w:val="auto"/>
    </w:pPr>
    <w:rPr>
      <w:bCs/>
      <w:kern w:val="2"/>
      <w:szCs w:val="24"/>
    </w:rPr>
  </w:style>
  <w:style w:type="paragraph" w:customStyle="1" w:styleId="1286">
    <w:name w:val="标题 35"/>
    <w:basedOn w:val="1"/>
    <w:qFormat/>
    <w:uiPriority w:val="0"/>
    <w:pPr>
      <w:adjustRightInd w:val="0"/>
      <w:snapToGrid w:val="0"/>
      <w:ind w:left="-2" w:leftChars="-1"/>
    </w:pPr>
    <w:rPr>
      <w:rFonts w:ascii="Arial" w:hAnsi="Arial" w:cs="Arial"/>
    </w:rPr>
  </w:style>
  <w:style w:type="paragraph" w:customStyle="1" w:styleId="1287">
    <w:name w:val="xl12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288">
    <w:name w:val="Heading4 for inserts"/>
    <w:basedOn w:val="8"/>
    <w:qFormat/>
    <w:uiPriority w:val="0"/>
    <w:pPr>
      <w:keepLines w:val="0"/>
      <w:widowControl/>
      <w:tabs>
        <w:tab w:val="left" w:pos="900"/>
        <w:tab w:val="left" w:pos="1680"/>
      </w:tabs>
      <w:adjustRightInd/>
      <w:spacing w:before="240" w:after="60" w:line="288" w:lineRule="auto"/>
      <w:ind w:left="1680" w:hanging="420"/>
      <w:jc w:val="left"/>
      <w:textAlignment w:val="auto"/>
    </w:pPr>
    <w:rPr>
      <w:rFonts w:ascii="Microsoft Sans Serif" w:hAnsi="Microsoft Sans Serif" w:eastAsia="宋体" w:cs="Courier New"/>
      <w:bCs/>
      <w:color w:val="000000"/>
      <w:sz w:val="21"/>
      <w:u w:val="single"/>
    </w:rPr>
  </w:style>
  <w:style w:type="paragraph" w:customStyle="1" w:styleId="1289">
    <w:name w:val="Char Char Char Char Char Char"/>
    <w:basedOn w:val="1"/>
    <w:qFormat/>
    <w:uiPriority w:val="0"/>
    <w:rPr>
      <w:rFonts w:ascii="Tahoma" w:hAnsi="Tahoma"/>
      <w:sz w:val="24"/>
    </w:rPr>
  </w:style>
  <w:style w:type="paragraph" w:customStyle="1" w:styleId="1290">
    <w:name w:val="段落缩进2 小四"/>
    <w:basedOn w:val="1"/>
    <w:qFormat/>
    <w:uiPriority w:val="0"/>
    <w:pPr>
      <w:spacing w:line="360" w:lineRule="auto"/>
      <w:ind w:firstLine="480" w:firstLineChars="200"/>
    </w:pPr>
    <w:rPr>
      <w:rFonts w:ascii="宋体" w:hAnsi="宋体"/>
      <w:sz w:val="24"/>
      <w:szCs w:val="20"/>
    </w:rPr>
  </w:style>
  <w:style w:type="paragraph" w:customStyle="1" w:styleId="1291">
    <w:name w:val="U2标题"/>
    <w:basedOn w:val="4"/>
    <w:qFormat/>
    <w:uiPriority w:val="0"/>
    <w:pPr>
      <w:numPr>
        <w:ilvl w:val="1"/>
        <w:numId w:val="28"/>
      </w:numPr>
      <w:tabs>
        <w:tab w:val="left" w:pos="567"/>
        <w:tab w:val="left" w:pos="2552"/>
      </w:tabs>
      <w:autoSpaceDE/>
      <w:autoSpaceDN/>
      <w:adjustRightInd/>
      <w:spacing w:before="260" w:after="260" w:line="416" w:lineRule="auto"/>
      <w:ind w:left="567" w:hanging="567"/>
      <w:jc w:val="both"/>
    </w:pPr>
    <w:rPr>
      <w:rFonts w:eastAsia="宋体"/>
      <w:bCs/>
      <w:color w:val="000000"/>
      <w:kern w:val="2"/>
      <w:sz w:val="24"/>
      <w:szCs w:val="24"/>
    </w:rPr>
  </w:style>
  <w:style w:type="paragraph" w:customStyle="1" w:styleId="1292">
    <w:name w:val="Char Char5 Char Char Char Char Char Char Char Char Char Char Char Char Char Char Char Char Char Char Char Char Char Char Char Char Char Char Char1"/>
    <w:basedOn w:val="1"/>
    <w:qFormat/>
    <w:uiPriority w:val="0"/>
    <w:pPr>
      <w:spacing w:line="360" w:lineRule="auto"/>
    </w:pPr>
    <w:rPr>
      <w:rFonts w:ascii="Tahoma" w:hAnsi="Tahoma"/>
      <w:sz w:val="36"/>
      <w:szCs w:val="36"/>
    </w:rPr>
  </w:style>
  <w:style w:type="paragraph" w:customStyle="1" w:styleId="1293">
    <w:name w:val="编号 3"/>
    <w:basedOn w:val="1"/>
    <w:qFormat/>
    <w:uiPriority w:val="0"/>
    <w:pPr>
      <w:tabs>
        <w:tab w:val="left" w:pos="700"/>
      </w:tabs>
      <w:spacing w:line="360" w:lineRule="auto"/>
      <w:ind w:left="630" w:hanging="290"/>
    </w:pPr>
    <w:rPr>
      <w:rFonts w:ascii="宋体" w:hAnsi="宋体"/>
      <w:color w:val="000000"/>
      <w:sz w:val="24"/>
      <w:szCs w:val="20"/>
    </w:rPr>
  </w:style>
  <w:style w:type="paragraph" w:customStyle="1" w:styleId="1294">
    <w:name w:val="Hanging Indent"/>
    <w:basedOn w:val="1"/>
    <w:qFormat/>
    <w:uiPriority w:val="0"/>
    <w:pPr>
      <w:widowControl/>
      <w:tabs>
        <w:tab w:val="left" w:pos="851"/>
      </w:tabs>
      <w:spacing w:after="240"/>
      <w:ind w:left="851" w:hanging="850"/>
    </w:pPr>
    <w:rPr>
      <w:rFonts w:ascii="Palatino" w:hAnsi="Palatino"/>
      <w:kern w:val="0"/>
      <w:sz w:val="22"/>
      <w:szCs w:val="20"/>
      <w:lang w:val="en-GB"/>
    </w:rPr>
  </w:style>
  <w:style w:type="paragraph" w:customStyle="1" w:styleId="1295">
    <w:name w:val="四号正文"/>
    <w:basedOn w:val="1"/>
    <w:semiHidden/>
    <w:qFormat/>
    <w:uiPriority w:val="0"/>
    <w:pPr>
      <w:spacing w:line="360" w:lineRule="auto"/>
      <w:ind w:firstLine="560" w:firstLineChars="200"/>
    </w:pPr>
    <w:rPr>
      <w:sz w:val="28"/>
      <w:szCs w:val="28"/>
    </w:rPr>
  </w:style>
  <w:style w:type="paragraph" w:customStyle="1" w:styleId="1296">
    <w:name w:val="标3 宋体 小三 加粗 行距: 1.5 倍行距 + 首行缩进:  0.5 字符"/>
    <w:basedOn w:val="1"/>
    <w:qFormat/>
    <w:uiPriority w:val="0"/>
    <w:pPr>
      <w:widowControl/>
      <w:autoSpaceDE w:val="0"/>
      <w:autoSpaceDN w:val="0"/>
      <w:spacing w:line="360" w:lineRule="auto"/>
      <w:ind w:firstLine="151" w:firstLineChars="50"/>
    </w:pPr>
    <w:rPr>
      <w:rFonts w:ascii="楷体_GB2312" w:hAnsi="宋体" w:eastAsia="楷体_GB2312"/>
      <w:b/>
      <w:color w:val="FF0000"/>
      <w:kern w:val="0"/>
      <w:sz w:val="30"/>
      <w:szCs w:val="20"/>
    </w:rPr>
  </w:style>
  <w:style w:type="paragraph" w:customStyle="1" w:styleId="1297">
    <w:name w:val="Char Char5 Char Char Char Char1"/>
    <w:basedOn w:val="1"/>
    <w:qFormat/>
    <w:uiPriority w:val="0"/>
    <w:pPr>
      <w:spacing w:line="360" w:lineRule="auto"/>
    </w:pPr>
    <w:rPr>
      <w:rFonts w:ascii="Tahoma" w:hAnsi="Tahoma"/>
      <w:sz w:val="36"/>
      <w:szCs w:val="36"/>
    </w:rPr>
  </w:style>
  <w:style w:type="paragraph" w:customStyle="1" w:styleId="1298">
    <w:name w:val="no-step"/>
    <w:basedOn w:val="1"/>
    <w:next w:val="7"/>
    <w:qFormat/>
    <w:uiPriority w:val="0"/>
    <w:pPr>
      <w:spacing w:line="400" w:lineRule="exact"/>
      <w:ind w:firstLine="510" w:firstLineChars="200"/>
    </w:pPr>
    <w:rPr>
      <w:rFonts w:eastAsia="楷体_GB2312"/>
      <w:color w:val="000000"/>
      <w:szCs w:val="20"/>
    </w:rPr>
  </w:style>
  <w:style w:type="paragraph" w:customStyle="1" w:styleId="1299">
    <w:name w:val="作者"/>
    <w:basedOn w:val="1"/>
    <w:qFormat/>
    <w:uiPriority w:val="0"/>
    <w:pPr>
      <w:jc w:val="center"/>
    </w:pPr>
    <w:rPr>
      <w:rFonts w:cs="Angsana New"/>
    </w:rPr>
  </w:style>
  <w:style w:type="paragraph" w:customStyle="1" w:styleId="1300">
    <w:name w:val="MM Topic 8"/>
    <w:basedOn w:val="12"/>
    <w:qFormat/>
    <w:uiPriority w:val="0"/>
    <w:pPr>
      <w:adjustRightInd/>
      <w:spacing w:line="320" w:lineRule="auto"/>
      <w:textAlignment w:val="auto"/>
    </w:pPr>
    <w:rPr>
      <w:kern w:val="2"/>
      <w:szCs w:val="24"/>
    </w:rPr>
  </w:style>
  <w:style w:type="paragraph" w:customStyle="1" w:styleId="1301">
    <w:name w:val="Char Char Char Char Char Char Char Char Char Char Char Char Char Char Char12"/>
    <w:basedOn w:val="1"/>
    <w:qFormat/>
    <w:uiPriority w:val="0"/>
    <w:pPr>
      <w:widowControl/>
      <w:spacing w:after="160" w:line="240" w:lineRule="exact"/>
      <w:jc w:val="left"/>
    </w:pPr>
    <w:rPr>
      <w:rFonts w:ascii="Verdana" w:hAnsi="Verdana"/>
      <w:kern w:val="0"/>
      <w:sz w:val="20"/>
      <w:szCs w:val="20"/>
      <w:lang w:eastAsia="en-US"/>
    </w:rPr>
  </w:style>
  <w:style w:type="paragraph" w:customStyle="1" w:styleId="1302">
    <w:name w:val="Char Char2 Char Char Char Char Char Char Char Char1"/>
    <w:basedOn w:val="1"/>
    <w:qFormat/>
    <w:uiPriority w:val="0"/>
    <w:rPr>
      <w:rFonts w:ascii="Tahoma" w:hAnsi="Tahoma"/>
      <w:sz w:val="24"/>
      <w:szCs w:val="20"/>
    </w:rPr>
  </w:style>
  <w:style w:type="paragraph" w:customStyle="1" w:styleId="1303">
    <w:name w:val="Char Char2 Char Char1"/>
    <w:basedOn w:val="1"/>
    <w:qFormat/>
    <w:uiPriority w:val="0"/>
    <w:rPr>
      <w:rFonts w:ascii="Tahoma" w:hAnsi="Tahoma"/>
      <w:sz w:val="24"/>
      <w:szCs w:val="20"/>
    </w:rPr>
  </w:style>
  <w:style w:type="paragraph" w:customStyle="1" w:styleId="1304">
    <w:name w:val="正文式样2"/>
    <w:basedOn w:val="1"/>
    <w:qFormat/>
    <w:uiPriority w:val="0"/>
    <w:pPr>
      <w:widowControl/>
      <w:spacing w:line="360" w:lineRule="auto"/>
      <w:ind w:firstLine="480" w:firstLineChars="200"/>
      <w:jc w:val="left"/>
    </w:pPr>
    <w:rPr>
      <w:rFonts w:eastAsia="楷体_GB2312"/>
      <w:kern w:val="0"/>
      <w:sz w:val="24"/>
      <w:szCs w:val="20"/>
      <w:lang w:eastAsia="en-US"/>
    </w:rPr>
  </w:style>
  <w:style w:type="paragraph" w:customStyle="1" w:styleId="1305">
    <w:name w:val="引用1"/>
    <w:qFormat/>
    <w:uiPriority w:val="0"/>
    <w:pPr>
      <w:numPr>
        <w:ilvl w:val="0"/>
        <w:numId w:val="36"/>
      </w:numPr>
      <w:tabs>
        <w:tab w:val="clear" w:pos="425"/>
      </w:tabs>
      <w:spacing w:after="160" w:line="240" w:lineRule="atLeast"/>
      <w:ind w:left="0" w:firstLine="0"/>
    </w:pPr>
    <w:rPr>
      <w:rFonts w:ascii="Arial" w:hAnsi="Arial" w:eastAsia="宋体" w:cs="Times New Roman"/>
      <w:i/>
      <w:color w:val="808080"/>
      <w:lang w:val="en-US" w:eastAsia="en-US" w:bidi="he-IL"/>
    </w:rPr>
  </w:style>
  <w:style w:type="paragraph" w:customStyle="1" w:styleId="1306">
    <w:name w:val="日期1"/>
    <w:basedOn w:val="1"/>
    <w:next w:val="1"/>
    <w:qFormat/>
    <w:uiPriority w:val="99"/>
    <w:pPr>
      <w:ind w:left="100" w:leftChars="2500"/>
    </w:pPr>
    <w:rPr>
      <w:sz w:val="24"/>
    </w:rPr>
  </w:style>
  <w:style w:type="paragraph" w:customStyle="1" w:styleId="1307">
    <w:name w:val="样式 正文文本正文文字 + 首行缩进:  2 字符"/>
    <w:basedOn w:val="19"/>
    <w:qFormat/>
    <w:uiPriority w:val="0"/>
    <w:pPr>
      <w:widowControl/>
      <w:tabs>
        <w:tab w:val="clear" w:pos="567"/>
      </w:tabs>
      <w:autoSpaceDE w:val="0"/>
      <w:autoSpaceDN w:val="0"/>
      <w:adjustRightInd w:val="0"/>
      <w:spacing w:before="60" w:after="60" w:line="460" w:lineRule="exact"/>
      <w:ind w:firstLine="200" w:firstLineChars="200"/>
      <w:jc w:val="left"/>
      <w:textAlignment w:val="baseline"/>
    </w:pPr>
    <w:rPr>
      <w:rFonts w:hAnsi="Garamond"/>
      <w:kern w:val="0"/>
      <w:szCs w:val="20"/>
      <w:lang w:val="en-GB" w:bidi="he-IL"/>
    </w:rPr>
  </w:style>
  <w:style w:type="paragraph" w:customStyle="1" w:styleId="1308">
    <w:name w:val="样式 正文文本缩进正文文字首行缩进HD正文1特点标题上海中望标准PI正文普通文字正文小标题正文文字缩进 + 首行..."/>
    <w:basedOn w:val="40"/>
    <w:qFormat/>
    <w:uiPriority w:val="0"/>
    <w:pPr>
      <w:ind w:firstLine="0"/>
    </w:pPr>
    <w:rPr>
      <w:sz w:val="21"/>
      <w:szCs w:val="20"/>
    </w:rPr>
  </w:style>
  <w:style w:type="paragraph" w:customStyle="1" w:styleId="1309">
    <w:name w:val="文档编号"/>
    <w:basedOn w:val="1"/>
    <w:next w:val="1"/>
    <w:qFormat/>
    <w:uiPriority w:val="0"/>
    <w:pPr>
      <w:adjustRightInd w:val="0"/>
      <w:spacing w:line="360" w:lineRule="auto"/>
      <w:jc w:val="center"/>
      <w:textAlignment w:val="baseline"/>
    </w:pPr>
    <w:rPr>
      <w:rFonts w:ascii="宋体"/>
      <w:kern w:val="0"/>
      <w:sz w:val="20"/>
    </w:rPr>
  </w:style>
  <w:style w:type="paragraph" w:customStyle="1" w:styleId="1310">
    <w:name w:val="样式 标题 4h4heading 4sect 1.2.3.4Ref Heading 1rh1sect 1.2.3.4..."/>
    <w:basedOn w:val="8"/>
    <w:qFormat/>
    <w:uiPriority w:val="0"/>
    <w:pPr>
      <w:tabs>
        <w:tab w:val="left" w:pos="864"/>
        <w:tab w:val="left" w:pos="1680"/>
      </w:tabs>
      <w:adjustRightInd/>
      <w:spacing w:before="0" w:after="0" w:line="360" w:lineRule="auto"/>
      <w:ind w:left="1680" w:hanging="420"/>
      <w:textAlignment w:val="auto"/>
    </w:pPr>
    <w:rPr>
      <w:rFonts w:ascii="宋体" w:hAnsi="宋体" w:eastAsia="宋体" w:cs="Courier New"/>
      <w:bCs/>
      <w:color w:val="000000"/>
      <w:kern w:val="2"/>
    </w:rPr>
  </w:style>
  <w:style w:type="paragraph" w:customStyle="1" w:styleId="1311">
    <w:name w:val="样式 题注 + 居中"/>
    <w:basedOn w:val="29"/>
    <w:qFormat/>
    <w:uiPriority w:val="0"/>
    <w:pPr>
      <w:spacing w:before="152" w:after="160" w:line="360" w:lineRule="auto"/>
    </w:pPr>
    <w:rPr>
      <w:rFonts w:ascii="宋体" w:hAnsi="宋体" w:eastAsia="宋体"/>
      <w:b/>
      <w:sz w:val="24"/>
    </w:rPr>
  </w:style>
  <w:style w:type="paragraph" w:customStyle="1" w:styleId="1312">
    <w:name w:val="CM78"/>
    <w:basedOn w:val="278"/>
    <w:next w:val="278"/>
    <w:qFormat/>
    <w:uiPriority w:val="0"/>
    <w:pPr>
      <w:spacing w:after="280"/>
    </w:pPr>
    <w:rPr>
      <w:rFonts w:ascii="楷体_GB2312" w:hAnsi="Times New Roman" w:eastAsia="楷体_GB2312" w:cs="楷体_GB2312"/>
      <w:color w:val="auto"/>
    </w:rPr>
  </w:style>
  <w:style w:type="paragraph" w:customStyle="1" w:styleId="1313">
    <w:name w:val="正文表标题"/>
    <w:next w:val="453"/>
    <w:qFormat/>
    <w:uiPriority w:val="0"/>
    <w:pPr>
      <w:ind w:left="900" w:hanging="420"/>
      <w:jc w:val="center"/>
    </w:pPr>
    <w:rPr>
      <w:rFonts w:ascii="黑体" w:hAnsi="Times New Roman" w:eastAsia="黑体" w:cs="Times New Roman"/>
      <w:sz w:val="21"/>
      <w:lang w:val="en-US" w:eastAsia="zh-CN" w:bidi="ar-SA"/>
    </w:rPr>
  </w:style>
  <w:style w:type="paragraph" w:customStyle="1" w:styleId="1314">
    <w:name w:val="CM35"/>
    <w:basedOn w:val="278"/>
    <w:next w:val="278"/>
    <w:qFormat/>
    <w:uiPriority w:val="0"/>
    <w:pPr>
      <w:spacing w:line="468" w:lineRule="atLeast"/>
    </w:pPr>
    <w:rPr>
      <w:rFonts w:ascii="楷体_GB2312" w:hAnsi="Times New Roman" w:eastAsia="楷体_GB2312" w:cs="楷体_GB2312"/>
      <w:color w:val="auto"/>
    </w:rPr>
  </w:style>
  <w:style w:type="paragraph" w:customStyle="1" w:styleId="1315">
    <w:name w:val="xl9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316">
    <w:name w:val="哈哈改1"/>
    <w:basedOn w:val="672"/>
    <w:qFormat/>
    <w:uiPriority w:val="0"/>
    <w:pPr>
      <w:ind w:firstLine="480"/>
      <w:jc w:val="both"/>
    </w:pPr>
    <w:rPr>
      <w:b/>
      <w:color w:val="FF0000"/>
      <w:kern w:val="2"/>
    </w:rPr>
  </w:style>
  <w:style w:type="paragraph" w:customStyle="1" w:styleId="1317">
    <w:name w:val="gb231212"/>
    <w:basedOn w:val="1"/>
    <w:qFormat/>
    <w:uiPriority w:val="0"/>
    <w:pPr>
      <w:widowControl/>
      <w:spacing w:before="100" w:beforeAutospacing="1" w:after="100" w:afterAutospacing="1" w:line="330" w:lineRule="atLeast"/>
      <w:jc w:val="left"/>
    </w:pPr>
    <w:rPr>
      <w:rFonts w:ascii="宋体" w:hAnsi="宋体" w:cs="宋体"/>
      <w:color w:val="000000"/>
      <w:spacing w:val="15"/>
      <w:kern w:val="0"/>
      <w:szCs w:val="21"/>
    </w:rPr>
  </w:style>
  <w:style w:type="paragraph" w:customStyle="1" w:styleId="1318">
    <w:name w:val="CM66"/>
    <w:basedOn w:val="278"/>
    <w:next w:val="278"/>
    <w:qFormat/>
    <w:uiPriority w:val="0"/>
    <w:pPr>
      <w:spacing w:after="1005"/>
    </w:pPr>
    <w:rPr>
      <w:rFonts w:ascii="黑体" w:hAnsi="Times New Roman" w:eastAsia="黑体" w:cs="Times New Roman"/>
      <w:color w:val="auto"/>
    </w:rPr>
  </w:style>
  <w:style w:type="paragraph" w:customStyle="1" w:styleId="1319">
    <w:name w:val="xl9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320">
    <w:name w:val="正文首行缩进1"/>
    <w:basedOn w:val="19"/>
    <w:qFormat/>
    <w:uiPriority w:val="99"/>
    <w:pPr>
      <w:tabs>
        <w:tab w:val="clear" w:pos="567"/>
      </w:tabs>
      <w:spacing w:before="0" w:after="120" w:line="240" w:lineRule="auto"/>
      <w:ind w:firstLine="420" w:firstLineChars="100"/>
    </w:pPr>
    <w:rPr>
      <w:rFonts w:ascii="Times New Roman" w:hAnsi="Times New Roman"/>
      <w:sz w:val="21"/>
    </w:rPr>
  </w:style>
  <w:style w:type="paragraph" w:customStyle="1" w:styleId="1321">
    <w:name w:val="Char Char5 Char Char Char Char Char Char Char Char Char Char Char Char Char Char Char Char Char Char2"/>
    <w:basedOn w:val="1"/>
    <w:qFormat/>
    <w:uiPriority w:val="0"/>
    <w:pPr>
      <w:spacing w:line="360" w:lineRule="auto"/>
    </w:pPr>
    <w:rPr>
      <w:rFonts w:ascii="Tahoma" w:hAnsi="Tahoma"/>
      <w:sz w:val="36"/>
      <w:szCs w:val="36"/>
    </w:rPr>
  </w:style>
  <w:style w:type="paragraph" w:customStyle="1" w:styleId="1322">
    <w:name w:val="Char Char3 Char Char Char Char Char Char Char Char Char Char Char Char2 Char Char3"/>
    <w:basedOn w:val="1"/>
    <w:qFormat/>
    <w:uiPriority w:val="0"/>
    <w:pPr>
      <w:spacing w:line="360" w:lineRule="auto"/>
    </w:pPr>
    <w:rPr>
      <w:rFonts w:ascii="Tahoma" w:hAnsi="Tahoma"/>
      <w:sz w:val="36"/>
      <w:szCs w:val="36"/>
    </w:rPr>
  </w:style>
  <w:style w:type="paragraph" w:customStyle="1" w:styleId="1323">
    <w:name w:val="First Bullets"/>
    <w:basedOn w:val="1"/>
    <w:qFormat/>
    <w:uiPriority w:val="0"/>
    <w:pPr>
      <w:widowControl/>
      <w:tabs>
        <w:tab w:val="left" w:pos="284"/>
        <w:tab w:val="left" w:pos="390"/>
      </w:tabs>
      <w:spacing w:line="360" w:lineRule="auto"/>
      <w:ind w:left="390" w:hanging="390"/>
      <w:jc w:val="left"/>
    </w:pPr>
    <w:rPr>
      <w:kern w:val="0"/>
      <w:sz w:val="20"/>
      <w:szCs w:val="20"/>
      <w:lang w:eastAsia="en-US"/>
    </w:rPr>
  </w:style>
  <w:style w:type="paragraph" w:customStyle="1" w:styleId="1324">
    <w:name w:val="标题 82"/>
    <w:basedOn w:val="1"/>
    <w:qFormat/>
    <w:uiPriority w:val="0"/>
    <w:pPr>
      <w:widowControl/>
      <w:tabs>
        <w:tab w:val="left" w:pos="992"/>
        <w:tab w:val="left" w:pos="1440"/>
      </w:tabs>
      <w:autoSpaceDE w:val="0"/>
      <w:autoSpaceDN w:val="0"/>
      <w:ind w:left="1440" w:hanging="1440"/>
      <w:jc w:val="left"/>
    </w:pPr>
    <w:rPr>
      <w:kern w:val="24"/>
      <w:sz w:val="20"/>
      <w:szCs w:val="20"/>
    </w:rPr>
  </w:style>
  <w:style w:type="paragraph" w:customStyle="1" w:styleId="1325">
    <w:name w:val="样式 标题 2 + 黑体 四号"/>
    <w:basedOn w:val="4"/>
    <w:qFormat/>
    <w:uiPriority w:val="0"/>
    <w:pPr>
      <w:tabs>
        <w:tab w:val="left" w:pos="2552"/>
      </w:tabs>
      <w:autoSpaceDE/>
      <w:autoSpaceDN/>
      <w:adjustRightInd/>
      <w:spacing w:before="140" w:after="140" w:line="240" w:lineRule="auto"/>
      <w:ind w:left="576" w:hanging="576"/>
      <w:jc w:val="both"/>
    </w:pPr>
    <w:rPr>
      <w:rFonts w:ascii="黑体" w:hAnsi="黑体"/>
      <w:bCs/>
      <w:kern w:val="2"/>
      <w:sz w:val="28"/>
      <w:szCs w:val="32"/>
    </w:rPr>
  </w:style>
  <w:style w:type="paragraph" w:customStyle="1" w:styleId="1326">
    <w:name w:val="bodycopy"/>
    <w:basedOn w:val="1"/>
    <w:qFormat/>
    <w:uiPriority w:val="0"/>
    <w:pPr>
      <w:widowControl/>
      <w:spacing w:before="100" w:beforeAutospacing="1" w:after="100" w:afterAutospacing="1" w:line="234" w:lineRule="atLeast"/>
      <w:jc w:val="left"/>
    </w:pPr>
    <w:rPr>
      <w:rFonts w:ascii="Arial" w:hAnsi="Arial" w:cs="Arial"/>
      <w:color w:val="000000"/>
      <w:kern w:val="0"/>
      <w:sz w:val="20"/>
      <w:szCs w:val="20"/>
    </w:rPr>
  </w:style>
  <w:style w:type="paragraph" w:customStyle="1" w:styleId="1327">
    <w:name w:val="表格正文"/>
    <w:basedOn w:val="1"/>
    <w:qFormat/>
    <w:uiPriority w:val="0"/>
    <w:rPr>
      <w:rFonts w:ascii="宋体" w:hAnsi="宋体"/>
      <w:sz w:val="28"/>
    </w:rPr>
  </w:style>
  <w:style w:type="paragraph" w:customStyle="1" w:styleId="1328">
    <w:name w:val="zzLc6"/>
    <w:basedOn w:val="1"/>
    <w:next w:val="1"/>
    <w:qFormat/>
    <w:uiPriority w:val="0"/>
    <w:pPr>
      <w:widowControl/>
      <w:tabs>
        <w:tab w:val="left" w:pos="2160"/>
      </w:tabs>
      <w:overflowPunct w:val="0"/>
      <w:autoSpaceDE w:val="0"/>
      <w:autoSpaceDN w:val="0"/>
      <w:adjustRightInd w:val="0"/>
      <w:spacing w:after="240" w:line="230" w:lineRule="atLeast"/>
      <w:jc w:val="left"/>
      <w:textAlignment w:val="baseline"/>
    </w:pPr>
    <w:rPr>
      <w:rFonts w:ascii="Arial" w:hAnsi="Arial" w:cs="Angsana New"/>
      <w:kern w:val="0"/>
      <w:sz w:val="20"/>
      <w:szCs w:val="20"/>
      <w:lang w:val="en-GB"/>
    </w:rPr>
  </w:style>
  <w:style w:type="paragraph" w:customStyle="1" w:styleId="1329">
    <w:name w:val="Char7"/>
    <w:basedOn w:val="1"/>
    <w:qFormat/>
    <w:uiPriority w:val="0"/>
    <w:rPr>
      <w:rFonts w:ascii="仿宋_GB2312"/>
      <w:b/>
      <w:sz w:val="30"/>
      <w:szCs w:val="32"/>
    </w:rPr>
  </w:style>
  <w:style w:type="paragraph" w:customStyle="1" w:styleId="1330">
    <w:name w:val="表格(五号)"/>
    <w:basedOn w:val="1"/>
    <w:qFormat/>
    <w:uiPriority w:val="0"/>
    <w:pPr>
      <w:adjustRightInd w:val="0"/>
      <w:snapToGrid w:val="0"/>
      <w:spacing w:before="60" w:after="60"/>
      <w:ind w:left="11"/>
      <w:jc w:val="center"/>
    </w:pPr>
    <w:rPr>
      <w:kern w:val="0"/>
      <w:szCs w:val="20"/>
    </w:rPr>
  </w:style>
  <w:style w:type="paragraph" w:customStyle="1" w:styleId="1331">
    <w:name w:val="文件分类"/>
    <w:basedOn w:val="1"/>
    <w:qFormat/>
    <w:uiPriority w:val="0"/>
    <w:pPr>
      <w:widowControl/>
      <w:adjustRightInd w:val="0"/>
      <w:snapToGrid w:val="0"/>
      <w:spacing w:before="78" w:beforeLines="25" w:after="480" w:line="2400" w:lineRule="auto"/>
      <w:jc w:val="center"/>
      <w:textAlignment w:val="baseline"/>
    </w:pPr>
    <w:rPr>
      <w:rFonts w:ascii="Arial" w:hAnsi="Arial"/>
      <w:spacing w:val="10"/>
      <w:kern w:val="0"/>
      <w:sz w:val="32"/>
      <w:szCs w:val="20"/>
    </w:rPr>
  </w:style>
  <w:style w:type="paragraph" w:customStyle="1" w:styleId="1332">
    <w:name w:val="样式4 Char"/>
    <w:basedOn w:val="1"/>
    <w:qFormat/>
    <w:uiPriority w:val="0"/>
    <w:pPr>
      <w:widowControl/>
      <w:spacing w:line="360" w:lineRule="auto"/>
      <w:ind w:firstLine="480" w:firstLineChars="200"/>
      <w:jc w:val="left"/>
    </w:pPr>
    <w:rPr>
      <w:rFonts w:cs="宋体"/>
      <w:color w:val="000000"/>
      <w:kern w:val="0"/>
      <w:sz w:val="24"/>
    </w:rPr>
  </w:style>
  <w:style w:type="paragraph" w:customStyle="1" w:styleId="1333">
    <w:name w:val="有符号正文"/>
    <w:basedOn w:val="1"/>
    <w:qFormat/>
    <w:uiPriority w:val="0"/>
    <w:pPr>
      <w:spacing w:line="400" w:lineRule="exact"/>
      <w:ind w:firstLine="200" w:firstLineChars="200"/>
    </w:pPr>
    <w:rPr>
      <w:rFonts w:ascii="Arial" w:hAnsi="Arial"/>
    </w:rPr>
  </w:style>
  <w:style w:type="paragraph" w:customStyle="1" w:styleId="1334">
    <w:name w:val="文2"/>
    <w:basedOn w:val="1"/>
    <w:qFormat/>
    <w:uiPriority w:val="0"/>
    <w:pPr>
      <w:tabs>
        <w:tab w:val="left" w:pos="1440"/>
      </w:tabs>
      <w:autoSpaceDE w:val="0"/>
      <w:autoSpaceDN w:val="0"/>
      <w:adjustRightInd w:val="0"/>
      <w:spacing w:line="300" w:lineRule="auto"/>
      <w:ind w:left="777"/>
      <w:jc w:val="left"/>
    </w:pPr>
    <w:rPr>
      <w:kern w:val="0"/>
      <w:sz w:val="22"/>
      <w:szCs w:val="22"/>
    </w:rPr>
  </w:style>
  <w:style w:type="paragraph" w:customStyle="1" w:styleId="1335">
    <w:name w:val="样式 标题 2H2h2Level 2 Topic Headingheading 2+ Indent: Left 0.25...1"/>
    <w:basedOn w:val="4"/>
    <w:qFormat/>
    <w:uiPriority w:val="0"/>
    <w:pPr>
      <w:tabs>
        <w:tab w:val="left" w:pos="576"/>
        <w:tab w:val="left" w:pos="2552"/>
      </w:tabs>
      <w:autoSpaceDE/>
      <w:autoSpaceDN/>
      <w:adjustRightInd/>
      <w:spacing w:before="260" w:after="260" w:line="360" w:lineRule="auto"/>
      <w:ind w:left="576" w:hanging="576"/>
      <w:jc w:val="both"/>
    </w:pPr>
    <w:rPr>
      <w:rFonts w:ascii="黑体" w:hAnsi="Times Nw Roman"/>
      <w:sz w:val="32"/>
    </w:rPr>
  </w:style>
  <w:style w:type="paragraph" w:customStyle="1" w:styleId="1336">
    <w:name w:val="Char Char Char Char3"/>
    <w:basedOn w:val="1"/>
    <w:qFormat/>
    <w:uiPriority w:val="0"/>
    <w:rPr>
      <w:rFonts w:ascii="Tahoma" w:hAnsi="Tahoma"/>
      <w:sz w:val="24"/>
      <w:szCs w:val="20"/>
    </w:rPr>
  </w:style>
  <w:style w:type="paragraph" w:customStyle="1" w:styleId="1337">
    <w:name w:val="五级无标题条"/>
    <w:basedOn w:val="1"/>
    <w:qFormat/>
    <w:uiPriority w:val="0"/>
    <w:pPr>
      <w:numPr>
        <w:ilvl w:val="6"/>
        <w:numId w:val="37"/>
      </w:numPr>
    </w:pPr>
  </w:style>
  <w:style w:type="paragraph" w:customStyle="1" w:styleId="1338">
    <w:name w:val="Style First line:  0.74 cm"/>
    <w:basedOn w:val="1"/>
    <w:qFormat/>
    <w:uiPriority w:val="0"/>
    <w:pPr>
      <w:spacing w:line="360" w:lineRule="auto"/>
      <w:ind w:firstLine="420"/>
    </w:pPr>
    <w:rPr>
      <w:sz w:val="24"/>
    </w:rPr>
  </w:style>
  <w:style w:type="paragraph" w:customStyle="1" w:styleId="1339">
    <w:name w:val="目录标题1"/>
    <w:basedOn w:val="1"/>
    <w:qFormat/>
    <w:uiPriority w:val="0"/>
    <w:pPr>
      <w:ind w:right="2" w:firstLine="630" w:firstLineChars="225"/>
      <w:jc w:val="center"/>
    </w:pPr>
    <w:rPr>
      <w:rFonts w:ascii="仿宋_GB2312" w:eastAsia="仿宋_GB2312"/>
      <w:b/>
      <w:sz w:val="28"/>
      <w:szCs w:val="28"/>
    </w:rPr>
  </w:style>
  <w:style w:type="paragraph" w:customStyle="1" w:styleId="1340">
    <w:name w:val="样式 首行缩进:  0.74 厘米"/>
    <w:basedOn w:val="1"/>
    <w:qFormat/>
    <w:uiPriority w:val="0"/>
    <w:pPr>
      <w:spacing w:line="360" w:lineRule="auto"/>
      <w:ind w:firstLine="200" w:firstLineChars="200"/>
    </w:pPr>
    <w:rPr>
      <w:rFonts w:cs="宋体"/>
      <w:sz w:val="24"/>
      <w:szCs w:val="20"/>
    </w:rPr>
  </w:style>
  <w:style w:type="paragraph" w:customStyle="1" w:styleId="1341">
    <w:name w:val="1样式1"/>
    <w:basedOn w:val="1"/>
    <w:qFormat/>
    <w:uiPriority w:val="0"/>
    <w:pPr>
      <w:widowControl/>
      <w:tabs>
        <w:tab w:val="left" w:pos="1080"/>
      </w:tabs>
      <w:adjustRightInd w:val="0"/>
      <w:snapToGrid w:val="0"/>
      <w:spacing w:line="288" w:lineRule="auto"/>
      <w:jc w:val="left"/>
    </w:pPr>
    <w:rPr>
      <w:szCs w:val="21"/>
    </w:rPr>
  </w:style>
  <w:style w:type="paragraph" w:customStyle="1" w:styleId="1342">
    <w:name w:val="xl106"/>
    <w:basedOn w:val="1"/>
    <w:qFormat/>
    <w:uiPriority w:val="0"/>
    <w:pPr>
      <w:widowControl/>
      <w:pBdr>
        <w:top w:val="single" w:color="auto" w:sz="8"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kern w:val="0"/>
      <w:sz w:val="28"/>
      <w:szCs w:val="28"/>
    </w:rPr>
  </w:style>
  <w:style w:type="paragraph" w:customStyle="1" w:styleId="1343">
    <w:name w:val="B5纸型可研模板"/>
    <w:basedOn w:val="1"/>
    <w:qFormat/>
    <w:uiPriority w:val="0"/>
    <w:pPr>
      <w:widowControl/>
      <w:overflowPunct w:val="0"/>
      <w:adjustRightInd w:val="0"/>
      <w:spacing w:line="336" w:lineRule="auto"/>
      <w:ind w:firstLine="567"/>
      <w:jc w:val="left"/>
      <w:textAlignment w:val="baseline"/>
    </w:pPr>
    <w:rPr>
      <w:rFonts w:ascii="Arial Narrow" w:hAnsi="Arial Narrow"/>
      <w:kern w:val="0"/>
      <w:sz w:val="28"/>
      <w:szCs w:val="20"/>
    </w:rPr>
  </w:style>
  <w:style w:type="paragraph" w:customStyle="1" w:styleId="1344">
    <w:name w:val="Char Char3 Char Char Char Char Char Char Char Char Char Char Char Char2 Char Char4"/>
    <w:basedOn w:val="1"/>
    <w:qFormat/>
    <w:uiPriority w:val="0"/>
    <w:pPr>
      <w:spacing w:line="360" w:lineRule="auto"/>
    </w:pPr>
    <w:rPr>
      <w:rFonts w:ascii="Tahoma" w:hAnsi="Tahoma"/>
      <w:sz w:val="36"/>
      <w:szCs w:val="36"/>
    </w:rPr>
  </w:style>
  <w:style w:type="paragraph" w:customStyle="1" w:styleId="134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8"/>
      <w:szCs w:val="28"/>
    </w:rPr>
  </w:style>
  <w:style w:type="paragraph" w:customStyle="1" w:styleId="1346">
    <w:name w:val="cpqsrchopt"/>
    <w:basedOn w:val="1"/>
    <w:qFormat/>
    <w:uiPriority w:val="0"/>
    <w:pPr>
      <w:widowControl/>
      <w:spacing w:before="100" w:beforeAutospacing="1" w:after="100" w:afterAutospacing="1"/>
      <w:jc w:val="left"/>
    </w:pPr>
    <w:rPr>
      <w:rFonts w:ascii="宋体" w:hAnsi="宋体" w:cs="宋体"/>
      <w:color w:val="990000"/>
      <w:kern w:val="0"/>
      <w:sz w:val="24"/>
      <w:u w:val="single"/>
    </w:rPr>
  </w:style>
  <w:style w:type="paragraph" w:customStyle="1" w:styleId="1347">
    <w:name w:val="宋体"/>
    <w:basedOn w:val="1"/>
    <w:qFormat/>
    <w:uiPriority w:val="0"/>
    <w:rPr>
      <w:rFonts w:ascii="宋体" w:hAnsi="宋体"/>
      <w:spacing w:val="10"/>
      <w:szCs w:val="20"/>
    </w:rPr>
  </w:style>
  <w:style w:type="paragraph" w:customStyle="1" w:styleId="1348">
    <w:name w:val="辑要页内容"/>
    <w:basedOn w:val="1"/>
    <w:qFormat/>
    <w:uiPriority w:val="0"/>
    <w:pPr>
      <w:widowControl/>
      <w:adjustRightInd w:val="0"/>
      <w:snapToGrid w:val="0"/>
      <w:spacing w:after="120" w:line="480" w:lineRule="auto"/>
      <w:textAlignment w:val="baseline"/>
    </w:pPr>
    <w:rPr>
      <w:rFonts w:ascii="黑体" w:hAnsi="Arial" w:eastAsia="黑体"/>
      <w:kern w:val="0"/>
      <w:sz w:val="28"/>
      <w:szCs w:val="20"/>
    </w:rPr>
  </w:style>
  <w:style w:type="paragraph" w:customStyle="1" w:styleId="1349">
    <w:name w:val="InfoBlue"/>
    <w:basedOn w:val="1"/>
    <w:next w:val="19"/>
    <w:qFormat/>
    <w:uiPriority w:val="0"/>
    <w:pPr>
      <w:spacing w:before="240" w:after="120" w:line="360" w:lineRule="auto"/>
      <w:ind w:left="765"/>
      <w:jc w:val="left"/>
    </w:pPr>
    <w:rPr>
      <w:color w:val="000000"/>
      <w:kern w:val="0"/>
      <w:sz w:val="24"/>
    </w:rPr>
  </w:style>
  <w:style w:type="paragraph" w:customStyle="1" w:styleId="1350">
    <w:name w:val="ST20_6"/>
    <w:basedOn w:val="1"/>
    <w:qFormat/>
    <w:uiPriority w:val="0"/>
    <w:pPr>
      <w:snapToGrid w:val="0"/>
      <w:jc w:val="center"/>
    </w:pPr>
    <w:rPr>
      <w:color w:val="000000"/>
      <w:position w:val="20"/>
      <w:sz w:val="18"/>
      <w:szCs w:val="20"/>
    </w:rPr>
  </w:style>
  <w:style w:type="paragraph" w:customStyle="1" w:styleId="1351">
    <w:name w:val="CM59"/>
    <w:basedOn w:val="1"/>
    <w:next w:val="1"/>
    <w:qFormat/>
    <w:uiPriority w:val="0"/>
    <w:pPr>
      <w:autoSpaceDE w:val="0"/>
      <w:autoSpaceDN w:val="0"/>
      <w:adjustRightInd w:val="0"/>
      <w:spacing w:after="188"/>
      <w:jc w:val="left"/>
    </w:pPr>
    <w:rPr>
      <w:rFonts w:ascii="黑体" w:eastAsia="黑体"/>
      <w:kern w:val="0"/>
      <w:sz w:val="24"/>
    </w:rPr>
  </w:style>
  <w:style w:type="paragraph" w:customStyle="1" w:styleId="1352">
    <w:name w:val="样式 标题 2H2h2Level 2 Topic Headingheading 2+ Indent: Left 0.25..."/>
    <w:basedOn w:val="4"/>
    <w:qFormat/>
    <w:uiPriority w:val="0"/>
    <w:pPr>
      <w:tabs>
        <w:tab w:val="left" w:pos="576"/>
        <w:tab w:val="left" w:pos="2552"/>
      </w:tabs>
      <w:autoSpaceDE/>
      <w:autoSpaceDN/>
      <w:adjustRightInd/>
      <w:spacing w:before="260" w:after="260" w:line="360" w:lineRule="auto"/>
      <w:ind w:left="576" w:hanging="576"/>
      <w:jc w:val="both"/>
    </w:pPr>
    <w:rPr>
      <w:rFonts w:ascii="黑体" w:hAnsi="Times Nw Roman"/>
      <w:sz w:val="32"/>
    </w:rPr>
  </w:style>
  <w:style w:type="paragraph" w:customStyle="1" w:styleId="1353">
    <w:name w:val="colorffffff"/>
    <w:basedOn w:val="1"/>
    <w:qFormat/>
    <w:uiPriority w:val="0"/>
    <w:pPr>
      <w:widowControl/>
      <w:spacing w:before="100" w:beforeAutospacing="1" w:after="100" w:afterAutospacing="1"/>
      <w:jc w:val="left"/>
    </w:pPr>
    <w:rPr>
      <w:rFonts w:ascii="宋体" w:hAnsi="宋体" w:cs="宋体"/>
      <w:color w:val="FFFFFF"/>
      <w:kern w:val="0"/>
      <w:sz w:val="24"/>
    </w:rPr>
  </w:style>
  <w:style w:type="paragraph" w:customStyle="1" w:styleId="1354">
    <w:name w:val="countryind"/>
    <w:basedOn w:val="1"/>
    <w:qFormat/>
    <w:uiPriority w:val="0"/>
    <w:pPr>
      <w:widowControl/>
      <w:spacing w:before="100" w:beforeAutospacing="1" w:after="100" w:afterAutospacing="1"/>
      <w:jc w:val="left"/>
    </w:pPr>
    <w:rPr>
      <w:rFonts w:ascii="宋体" w:hAnsi="宋体" w:cs="宋体"/>
      <w:color w:val="333333"/>
      <w:kern w:val="0"/>
      <w:sz w:val="24"/>
    </w:rPr>
  </w:style>
  <w:style w:type="paragraph" w:customStyle="1" w:styleId="1355">
    <w:name w:val="图5"/>
    <w:basedOn w:val="1"/>
    <w:qFormat/>
    <w:uiPriority w:val="0"/>
    <w:pPr>
      <w:spacing w:line="240" w:lineRule="exact"/>
      <w:jc w:val="center"/>
    </w:pPr>
    <w:rPr>
      <w:szCs w:val="20"/>
    </w:rPr>
  </w:style>
  <w:style w:type="paragraph" w:customStyle="1" w:styleId="1356">
    <w:name w:val="备注说明 Char Char Char"/>
    <w:basedOn w:val="72"/>
    <w:qFormat/>
    <w:uiPriority w:val="0"/>
    <w:pPr>
      <w:adjustRightInd w:val="0"/>
      <w:spacing w:line="312" w:lineRule="atLeast"/>
      <w:ind w:hanging="200" w:hangingChars="200"/>
      <w:textAlignment w:val="baseline"/>
    </w:pPr>
    <w:rPr>
      <w:rFonts w:ascii="Times New Roman" w:hAnsi="Times New Roman" w:eastAsia="宋体"/>
      <w:sz w:val="21"/>
    </w:rPr>
  </w:style>
  <w:style w:type="paragraph" w:customStyle="1" w:styleId="1357">
    <w:name w:val="p_01"/>
    <w:basedOn w:val="1"/>
    <w:qFormat/>
    <w:uiPriority w:val="0"/>
    <w:pPr>
      <w:widowControl/>
      <w:spacing w:before="100" w:beforeAutospacing="1" w:after="100" w:afterAutospacing="1"/>
      <w:jc w:val="left"/>
    </w:pPr>
    <w:rPr>
      <w:rFonts w:ascii="宋体" w:hAnsi="宋体" w:cs="宋体"/>
      <w:kern w:val="0"/>
      <w:sz w:val="24"/>
    </w:rPr>
  </w:style>
  <w:style w:type="paragraph" w:customStyle="1" w:styleId="1358">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1359">
    <w:name w:val="方案正文"/>
    <w:basedOn w:val="1"/>
    <w:qFormat/>
    <w:uiPriority w:val="0"/>
    <w:pPr>
      <w:snapToGrid w:val="0"/>
      <w:spacing w:line="440" w:lineRule="atLeast"/>
    </w:pPr>
    <w:rPr>
      <w:sz w:val="24"/>
      <w:szCs w:val="20"/>
    </w:rPr>
  </w:style>
  <w:style w:type="paragraph" w:customStyle="1" w:styleId="1360">
    <w:name w:val="bodytext"/>
    <w:basedOn w:val="1"/>
    <w:qFormat/>
    <w:uiPriority w:val="0"/>
    <w:pPr>
      <w:widowControl/>
      <w:spacing w:before="100" w:beforeAutospacing="1" w:after="100" w:afterAutospacing="1" w:line="281" w:lineRule="atLeast"/>
      <w:jc w:val="left"/>
    </w:pPr>
    <w:rPr>
      <w:rFonts w:ascii="Verdana" w:hAnsi="Verdana"/>
      <w:color w:val="FFFFFF"/>
      <w:kern w:val="0"/>
      <w:sz w:val="19"/>
      <w:szCs w:val="19"/>
    </w:rPr>
  </w:style>
  <w:style w:type="paragraph" w:customStyle="1" w:styleId="1361">
    <w:name w:val="Char Char2 Char Char Char Char Char Char Char Char Char Char1"/>
    <w:basedOn w:val="1"/>
    <w:qFormat/>
    <w:uiPriority w:val="0"/>
    <w:rPr>
      <w:rFonts w:ascii="Tahoma" w:hAnsi="Tahoma"/>
      <w:sz w:val="24"/>
      <w:szCs w:val="20"/>
    </w:rPr>
  </w:style>
  <w:style w:type="paragraph" w:customStyle="1" w:styleId="1362">
    <w:name w:val="标题 37"/>
    <w:basedOn w:val="1"/>
    <w:qFormat/>
    <w:uiPriority w:val="0"/>
    <w:pPr>
      <w:adjustRightInd w:val="0"/>
      <w:snapToGrid w:val="0"/>
      <w:ind w:left="-2" w:leftChars="-1"/>
    </w:pPr>
    <w:rPr>
      <w:rFonts w:ascii="Arial" w:hAnsi="Arial" w:cs="Arial"/>
    </w:rPr>
  </w:style>
  <w:style w:type="paragraph" w:customStyle="1" w:styleId="1363">
    <w:name w:val="Char Char3 Char Char Char Char Char Char Char Char Char Char Char Char12"/>
    <w:basedOn w:val="1"/>
    <w:qFormat/>
    <w:uiPriority w:val="0"/>
    <w:pPr>
      <w:spacing w:line="360" w:lineRule="auto"/>
    </w:pPr>
    <w:rPr>
      <w:rFonts w:ascii="Tahoma" w:hAnsi="Tahoma"/>
      <w:sz w:val="36"/>
      <w:szCs w:val="36"/>
    </w:rPr>
  </w:style>
  <w:style w:type="paragraph" w:customStyle="1" w:styleId="1364">
    <w:name w:val="样式 标题 1 + 左侧:  0 厘米 首行缩进:  0 厘米"/>
    <w:basedOn w:val="3"/>
    <w:qFormat/>
    <w:uiPriority w:val="0"/>
    <w:pPr>
      <w:keepNext w:val="0"/>
      <w:keepLines w:val="0"/>
      <w:pageBreakBefore/>
      <w:tabs>
        <w:tab w:val="left" w:pos="432"/>
      </w:tabs>
      <w:autoSpaceDE/>
      <w:autoSpaceDN/>
      <w:adjustRightInd/>
      <w:spacing w:before="120" w:line="240" w:lineRule="auto"/>
      <w:ind w:left="432" w:hanging="432"/>
      <w:jc w:val="both"/>
    </w:pPr>
    <w:rPr>
      <w:rFonts w:ascii="Times New Roman" w:cs="宋体"/>
      <w:b w:val="0"/>
      <w:bCs/>
      <w:kern w:val="24"/>
      <w:sz w:val="44"/>
      <w:szCs w:val="44"/>
    </w:rPr>
  </w:style>
  <w:style w:type="paragraph" w:customStyle="1" w:styleId="1365">
    <w:name w:val="二级"/>
    <w:basedOn w:val="4"/>
    <w:semiHidden/>
    <w:qFormat/>
    <w:uiPriority w:val="0"/>
    <w:pPr>
      <w:pageBreakBefore/>
      <w:tabs>
        <w:tab w:val="left" w:pos="2552"/>
      </w:tabs>
      <w:autoSpaceDE/>
      <w:autoSpaceDN/>
      <w:adjustRightInd/>
      <w:spacing w:before="260" w:after="260" w:line="415" w:lineRule="auto"/>
      <w:jc w:val="both"/>
    </w:pPr>
    <w:rPr>
      <w:bCs/>
      <w:kern w:val="2"/>
      <w:sz w:val="32"/>
      <w:szCs w:val="32"/>
    </w:rPr>
  </w:style>
  <w:style w:type="paragraph" w:customStyle="1" w:styleId="1366">
    <w:name w:val="表格内容1"/>
    <w:basedOn w:val="1"/>
    <w:qFormat/>
    <w:uiPriority w:val="0"/>
    <w:rPr>
      <w:sz w:val="24"/>
      <w:szCs w:val="20"/>
    </w:rPr>
  </w:style>
  <w:style w:type="paragraph" w:customStyle="1" w:styleId="1367">
    <w:name w:val="正文列4_2"/>
    <w:basedOn w:val="1"/>
    <w:qFormat/>
    <w:uiPriority w:val="0"/>
    <w:pPr>
      <w:spacing w:beforeLines="50" w:afterLines="50" w:line="360" w:lineRule="exact"/>
    </w:pPr>
    <w:rPr>
      <w:rFonts w:ascii="宋体"/>
      <w:sz w:val="24"/>
      <w:szCs w:val="20"/>
    </w:rPr>
  </w:style>
  <w:style w:type="paragraph" w:customStyle="1" w:styleId="1368">
    <w:name w:val="表，整体编号"/>
    <w:basedOn w:val="317"/>
    <w:next w:val="317"/>
    <w:qFormat/>
    <w:uiPriority w:val="0"/>
    <w:pPr>
      <w:widowControl/>
      <w:tabs>
        <w:tab w:val="left" w:pos="284"/>
        <w:tab w:val="center" w:pos="420"/>
      </w:tabs>
      <w:adjustRightInd w:val="0"/>
      <w:snapToGrid w:val="0"/>
      <w:spacing w:before="25" w:beforeLines="0" w:line="400" w:lineRule="exact"/>
      <w:ind w:left="284" w:hanging="284" w:firstLineChars="0"/>
      <w:jc w:val="center"/>
      <w:textAlignment w:val="baseline"/>
    </w:pPr>
    <w:rPr>
      <w:rFonts w:ascii="Arial" w:hAnsi="Arial" w:eastAsia="华文细黑"/>
      <w:szCs w:val="20"/>
      <w:lang w:val="en-US"/>
    </w:rPr>
  </w:style>
  <w:style w:type="paragraph" w:customStyle="1" w:styleId="1369">
    <w:name w:val="Char Char Char4"/>
    <w:basedOn w:val="1"/>
    <w:qFormat/>
    <w:uiPriority w:val="0"/>
    <w:rPr>
      <w:rFonts w:ascii="Tahoma" w:hAnsi="Tahoma"/>
      <w:sz w:val="24"/>
      <w:szCs w:val="20"/>
    </w:rPr>
  </w:style>
  <w:style w:type="paragraph" w:customStyle="1" w:styleId="1370">
    <w:name w:val="st_6"/>
    <w:basedOn w:val="1"/>
    <w:qFormat/>
    <w:uiPriority w:val="0"/>
    <w:rPr>
      <w:color w:val="000000"/>
      <w:sz w:val="24"/>
      <w:szCs w:val="20"/>
    </w:rPr>
  </w:style>
  <w:style w:type="paragraph" w:customStyle="1" w:styleId="1371">
    <w:name w:val="参考文献、索引标题"/>
    <w:basedOn w:val="1134"/>
    <w:next w:val="1"/>
    <w:qFormat/>
    <w:uiPriority w:val="0"/>
    <w:pPr>
      <w:tabs>
        <w:tab w:val="clear" w:pos="360"/>
      </w:tabs>
      <w:spacing w:after="200"/>
    </w:pPr>
    <w:rPr>
      <w:sz w:val="21"/>
    </w:rPr>
  </w:style>
  <w:style w:type="paragraph" w:customStyle="1" w:styleId="1372">
    <w:name w:val="标题 1（绿盟科技）"/>
    <w:basedOn w:val="3"/>
    <w:next w:val="1"/>
    <w:qFormat/>
    <w:uiPriority w:val="0"/>
    <w:pPr>
      <w:autoSpaceDE/>
      <w:autoSpaceDN/>
      <w:adjustRightInd/>
      <w:spacing w:before="0" w:after="0" w:line="576" w:lineRule="auto"/>
      <w:jc w:val="left"/>
    </w:pPr>
    <w:rPr>
      <w:rFonts w:ascii="Arial" w:hAnsi="Arial"/>
      <w:bCs/>
      <w:sz w:val="44"/>
      <w:szCs w:val="44"/>
    </w:rPr>
  </w:style>
  <w:style w:type="paragraph" w:customStyle="1" w:styleId="1373">
    <w:name w:val="Item List"/>
    <w:qFormat/>
    <w:uiPriority w:val="0"/>
    <w:pPr>
      <w:tabs>
        <w:tab w:val="left" w:pos="735"/>
        <w:tab w:val="left" w:pos="2127"/>
      </w:tabs>
      <w:spacing w:after="80" w:line="360" w:lineRule="auto"/>
      <w:ind w:left="2127" w:hanging="425"/>
      <w:jc w:val="both"/>
    </w:pPr>
    <w:rPr>
      <w:rFonts w:ascii="Arial" w:hAnsi="Arial" w:eastAsia="宋体" w:cs="Times New Roman"/>
      <w:sz w:val="24"/>
      <w:lang w:val="en-US" w:eastAsia="zh-CN" w:bidi="ar-SA"/>
    </w:rPr>
  </w:style>
  <w:style w:type="paragraph" w:customStyle="1" w:styleId="1374">
    <w:name w:val="MM Topic 1"/>
    <w:basedOn w:val="3"/>
    <w:qFormat/>
    <w:uiPriority w:val="0"/>
    <w:pPr>
      <w:tabs>
        <w:tab w:val="left" w:pos="425"/>
      </w:tabs>
      <w:autoSpaceDE/>
      <w:autoSpaceDN/>
      <w:adjustRightInd/>
      <w:spacing w:before="340" w:after="330" w:line="578" w:lineRule="auto"/>
      <w:jc w:val="both"/>
    </w:pPr>
    <w:rPr>
      <w:rFonts w:ascii="Times New Roman"/>
      <w:bCs/>
      <w:sz w:val="44"/>
      <w:szCs w:val="44"/>
    </w:rPr>
  </w:style>
  <w:style w:type="paragraph" w:customStyle="1" w:styleId="1375">
    <w:name w:val="WW-纯文本"/>
    <w:basedOn w:val="1"/>
    <w:qFormat/>
    <w:uiPriority w:val="0"/>
    <w:pPr>
      <w:suppressAutoHyphens/>
    </w:pPr>
    <w:rPr>
      <w:rFonts w:hint="eastAsia" w:ascii="宋体" w:hAnsi="宋体"/>
      <w:szCs w:val="20"/>
    </w:rPr>
  </w:style>
  <w:style w:type="paragraph" w:customStyle="1" w:styleId="1376">
    <w:name w:val="填表"/>
    <w:basedOn w:val="1"/>
    <w:qFormat/>
    <w:uiPriority w:val="0"/>
    <w:pPr>
      <w:spacing w:line="240" w:lineRule="atLeast"/>
      <w:jc w:val="center"/>
    </w:pPr>
    <w:rPr>
      <w:kern w:val="0"/>
      <w:sz w:val="18"/>
      <w:szCs w:val="20"/>
    </w:rPr>
  </w:style>
  <w:style w:type="paragraph" w:customStyle="1" w:styleId="1377">
    <w:name w:val="列表1"/>
    <w:basedOn w:val="1"/>
    <w:qFormat/>
    <w:uiPriority w:val="0"/>
    <w:pPr>
      <w:numPr>
        <w:ilvl w:val="0"/>
        <w:numId w:val="38"/>
      </w:numPr>
      <w:spacing w:line="360" w:lineRule="atLeast"/>
    </w:pPr>
    <w:rPr>
      <w:sz w:val="24"/>
      <w:szCs w:val="21"/>
    </w:rPr>
  </w:style>
  <w:style w:type="paragraph" w:customStyle="1" w:styleId="1378">
    <w:name w:val="Char Char Char Char1 Char Char Char Char Char1 Char"/>
    <w:basedOn w:val="1"/>
    <w:qFormat/>
    <w:uiPriority w:val="0"/>
    <w:pPr>
      <w:keepNext/>
      <w:keepLines/>
      <w:pageBreakBefore/>
      <w:tabs>
        <w:tab w:val="left" w:pos="360"/>
      </w:tabs>
      <w:spacing w:line="360" w:lineRule="auto"/>
    </w:pPr>
    <w:rPr>
      <w:rFonts w:ascii="Tahoma" w:hAnsi="Tahoma"/>
      <w:sz w:val="24"/>
    </w:rPr>
  </w:style>
  <w:style w:type="paragraph" w:customStyle="1" w:styleId="1379">
    <w:name w:val="正文缩进21"/>
    <w:basedOn w:val="1"/>
    <w:qFormat/>
    <w:uiPriority w:val="0"/>
    <w:pPr>
      <w:spacing w:line="360" w:lineRule="auto"/>
      <w:ind w:firstLine="480" w:firstLineChars="200"/>
    </w:pPr>
  </w:style>
  <w:style w:type="paragraph" w:customStyle="1" w:styleId="1380">
    <w:name w:val="Char24"/>
    <w:basedOn w:val="1"/>
    <w:qFormat/>
    <w:uiPriority w:val="0"/>
    <w:rPr>
      <w:rFonts w:ascii="Tahoma" w:hAnsi="Tahoma"/>
      <w:sz w:val="24"/>
      <w:szCs w:val="20"/>
    </w:rPr>
  </w:style>
  <w:style w:type="paragraph" w:customStyle="1" w:styleId="1381">
    <w:name w:val="段落缩进"/>
    <w:qFormat/>
    <w:uiPriority w:val="0"/>
    <w:pPr>
      <w:spacing w:after="120" w:line="360" w:lineRule="auto"/>
      <w:ind w:firstLine="425"/>
    </w:pPr>
    <w:rPr>
      <w:rFonts w:ascii="Times New Roman" w:hAnsi="Times New Roman" w:eastAsia="宋体" w:cs="Times New Roman"/>
      <w:sz w:val="24"/>
      <w:lang w:val="en-US" w:eastAsia="zh-CN" w:bidi="ar-SA"/>
    </w:rPr>
  </w:style>
  <w:style w:type="paragraph" w:customStyle="1" w:styleId="1382">
    <w:name w:val="Char Char1 Char Char Char Char"/>
    <w:basedOn w:val="1"/>
    <w:qFormat/>
    <w:uiPriority w:val="0"/>
    <w:rPr>
      <w:rFonts w:ascii="Tahoma" w:hAnsi="Tahoma"/>
      <w:snapToGrid w:val="0"/>
      <w:sz w:val="24"/>
      <w:szCs w:val="20"/>
    </w:rPr>
  </w:style>
  <w:style w:type="paragraph" w:customStyle="1" w:styleId="1383">
    <w:name w:val="条1"/>
    <w:basedOn w:val="1"/>
    <w:qFormat/>
    <w:uiPriority w:val="0"/>
    <w:pPr>
      <w:tabs>
        <w:tab w:val="left" w:pos="900"/>
      </w:tabs>
      <w:spacing w:before="156" w:line="360" w:lineRule="auto"/>
      <w:ind w:left="900" w:hanging="420"/>
    </w:pPr>
    <w:rPr>
      <w:rFonts w:eastAsia="黑体"/>
      <w:sz w:val="24"/>
      <w:szCs w:val="20"/>
    </w:rPr>
  </w:style>
  <w:style w:type="paragraph" w:customStyle="1" w:styleId="1384">
    <w:name w:val="Char Char1 Char3"/>
    <w:basedOn w:val="1"/>
    <w:qFormat/>
    <w:uiPriority w:val="0"/>
    <w:rPr>
      <w:rFonts w:ascii="Tahoma" w:hAnsi="Tahoma"/>
      <w:sz w:val="24"/>
      <w:szCs w:val="20"/>
    </w:rPr>
  </w:style>
  <w:style w:type="paragraph" w:customStyle="1" w:styleId="1385">
    <w:name w:val="CSS1级正文 Char Char"/>
    <w:basedOn w:val="19"/>
    <w:qFormat/>
    <w:uiPriority w:val="0"/>
    <w:pPr>
      <w:tabs>
        <w:tab w:val="left" w:pos="0"/>
        <w:tab w:val="clear" w:pos="567"/>
      </w:tabs>
      <w:adjustRightInd w:val="0"/>
      <w:snapToGrid w:val="0"/>
      <w:spacing w:before="0" w:line="360" w:lineRule="auto"/>
      <w:ind w:firstLine="480" w:firstLineChars="200"/>
      <w:jc w:val="left"/>
    </w:pPr>
    <w:rPr>
      <w:rFonts w:ascii="Times New Roman" w:hAnsi="Times New Roman"/>
      <w:szCs w:val="20"/>
    </w:rPr>
  </w:style>
  <w:style w:type="paragraph" w:customStyle="1" w:styleId="1386">
    <w:name w:val="xl76"/>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387">
    <w:name w:val="样式 标题 4 + 段后: 0.5 行20"/>
    <w:basedOn w:val="8"/>
    <w:qFormat/>
    <w:uiPriority w:val="0"/>
    <w:pPr>
      <w:keepNext w:val="0"/>
      <w:tabs>
        <w:tab w:val="left" w:pos="851"/>
        <w:tab w:val="left" w:pos="1680"/>
      </w:tabs>
      <w:adjustRightInd/>
      <w:spacing w:beforeLines="50" w:afterLines="50" w:line="400" w:lineRule="exact"/>
      <w:ind w:left="1680" w:hanging="420"/>
      <w:textAlignment w:val="auto"/>
    </w:pPr>
    <w:rPr>
      <w:rFonts w:ascii="宋体" w:hAnsi="宋体" w:eastAsia="宋体" w:cs="Courier New"/>
      <w:b w:val="0"/>
      <w:bCs/>
      <w:color w:val="000000"/>
      <w:kern w:val="2"/>
    </w:rPr>
  </w:style>
  <w:style w:type="paragraph" w:customStyle="1" w:styleId="1388">
    <w:name w:val="CM58"/>
    <w:basedOn w:val="278"/>
    <w:next w:val="278"/>
    <w:qFormat/>
    <w:uiPriority w:val="0"/>
    <w:pPr>
      <w:spacing w:after="328"/>
    </w:pPr>
    <w:rPr>
      <w:rFonts w:ascii="黑体" w:hAnsi="Times New Roman" w:eastAsia="黑体" w:cs="Times New Roman"/>
      <w:color w:val="auto"/>
    </w:rPr>
  </w:style>
  <w:style w:type="paragraph" w:customStyle="1" w:styleId="1389">
    <w:name w:val="color666666"/>
    <w:basedOn w:val="1"/>
    <w:qFormat/>
    <w:uiPriority w:val="0"/>
    <w:pPr>
      <w:widowControl/>
      <w:spacing w:before="100" w:beforeAutospacing="1" w:after="100" w:afterAutospacing="1"/>
      <w:jc w:val="left"/>
    </w:pPr>
    <w:rPr>
      <w:rFonts w:ascii="宋体" w:hAnsi="宋体" w:cs="宋体"/>
      <w:color w:val="666666"/>
      <w:kern w:val="0"/>
      <w:sz w:val="24"/>
    </w:rPr>
  </w:style>
  <w:style w:type="paragraph" w:customStyle="1" w:styleId="1390">
    <w:name w:val="默认段落字体 Para Char Char Char Char Char Char Char Char Char1 Char Char Char Char Char Char Char"/>
    <w:basedOn w:val="1"/>
    <w:qFormat/>
    <w:uiPriority w:val="0"/>
    <w:pPr>
      <w:keepNext/>
      <w:autoSpaceDE w:val="0"/>
      <w:autoSpaceDN w:val="0"/>
      <w:spacing w:before="40" w:after="40"/>
      <w:jc w:val="center"/>
    </w:pPr>
    <w:rPr>
      <w:rFonts w:eastAsia="仿宋_GB2312"/>
      <w:sz w:val="24"/>
    </w:rPr>
  </w:style>
  <w:style w:type="paragraph" w:customStyle="1" w:styleId="1391">
    <w:name w:val="Chart_Bullet"/>
    <w:basedOn w:val="1227"/>
    <w:qFormat/>
    <w:uiPriority w:val="0"/>
    <w:pPr>
      <w:tabs>
        <w:tab w:val="left" w:pos="180"/>
        <w:tab w:val="left" w:pos="360"/>
      </w:tabs>
      <w:ind w:left="180" w:hanging="180"/>
    </w:pPr>
  </w:style>
  <w:style w:type="paragraph" w:customStyle="1" w:styleId="1392">
    <w:name w:val="样式 正文缩进 + (中文) 仿宋_GB2312 小四 Char"/>
    <w:basedOn w:val="7"/>
    <w:qFormat/>
    <w:uiPriority w:val="0"/>
    <w:pPr>
      <w:autoSpaceDE/>
      <w:autoSpaceDN/>
      <w:adjustRightInd/>
      <w:spacing w:line="360" w:lineRule="auto"/>
      <w:ind w:firstLine="480" w:firstLineChars="200"/>
      <w:jc w:val="both"/>
    </w:pPr>
    <w:rPr>
      <w:rFonts w:hAnsi="宋体"/>
    </w:rPr>
  </w:style>
  <w:style w:type="paragraph" w:customStyle="1" w:styleId="1393">
    <w:name w:val="xl63"/>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right"/>
    </w:pPr>
    <w:rPr>
      <w:rFonts w:ascii="Arial" w:hAnsi="Arial"/>
      <w:kern w:val="0"/>
      <w:sz w:val="20"/>
      <w:szCs w:val="20"/>
    </w:rPr>
  </w:style>
  <w:style w:type="paragraph" w:customStyle="1" w:styleId="1394">
    <w:name w:val="首行缩进(A-S-1)"/>
    <w:qFormat/>
    <w:uiPriority w:val="0"/>
    <w:pPr>
      <w:spacing w:line="360" w:lineRule="auto"/>
      <w:ind w:firstLine="454"/>
    </w:pPr>
    <w:rPr>
      <w:rFonts w:ascii="Times New Roman" w:hAnsi="Times New Roman" w:eastAsia="宋体" w:cs="Times New Roman"/>
      <w:sz w:val="24"/>
      <w:lang w:val="en-US" w:eastAsia="zh-CN" w:bidi="ar-SA"/>
    </w:rPr>
  </w:style>
  <w:style w:type="paragraph" w:customStyle="1" w:styleId="1395">
    <w:name w:val="标题 1-1"/>
    <w:basedOn w:val="3"/>
    <w:qFormat/>
    <w:uiPriority w:val="0"/>
    <w:pPr>
      <w:pageBreakBefore/>
      <w:autoSpaceDE/>
      <w:autoSpaceDN/>
      <w:adjustRightInd/>
      <w:snapToGrid w:val="0"/>
      <w:spacing w:before="360" w:after="360" w:line="360" w:lineRule="auto"/>
    </w:pPr>
    <w:rPr>
      <w:rFonts w:ascii="仿宋_GB2312" w:hAnsi="仿宋_GB2312" w:eastAsia="仿宋_GB2312"/>
      <w:bCs/>
      <w:sz w:val="36"/>
      <w:szCs w:val="36"/>
    </w:rPr>
  </w:style>
  <w:style w:type="paragraph" w:customStyle="1" w:styleId="1396">
    <w:name w:val="CM63"/>
    <w:basedOn w:val="278"/>
    <w:next w:val="278"/>
    <w:qFormat/>
    <w:uiPriority w:val="0"/>
    <w:pPr>
      <w:spacing w:after="578"/>
    </w:pPr>
    <w:rPr>
      <w:rFonts w:ascii="黑体" w:hAnsi="Times New Roman" w:eastAsia="黑体" w:cs="Times New Roman"/>
      <w:color w:val="auto"/>
    </w:rPr>
  </w:style>
  <w:style w:type="paragraph" w:customStyle="1" w:styleId="1397">
    <w:name w:val="编号样式2"/>
    <w:basedOn w:val="556"/>
    <w:qFormat/>
    <w:uiPriority w:val="0"/>
    <w:pPr>
      <w:numPr>
        <w:ilvl w:val="0"/>
        <w:numId w:val="31"/>
      </w:numPr>
      <w:ind w:left="0" w:firstLine="480"/>
    </w:pPr>
  </w:style>
  <w:style w:type="paragraph" w:customStyle="1" w:styleId="1398">
    <w:name w:val="段(正文）"/>
    <w:qFormat/>
    <w:uiPriority w:val="0"/>
    <w:pPr>
      <w:autoSpaceDE w:val="0"/>
      <w:autoSpaceDN w:val="0"/>
      <w:ind w:firstLine="420"/>
      <w:jc w:val="both"/>
    </w:pPr>
    <w:rPr>
      <w:rFonts w:ascii="宋体" w:hAnsi="Times New Roman" w:eastAsia="宋体" w:cs="Times New Roman"/>
      <w:sz w:val="21"/>
      <w:lang w:val="en-US" w:eastAsia="zh-CN" w:bidi="ar-SA"/>
    </w:rPr>
  </w:style>
  <w:style w:type="paragraph" w:customStyle="1" w:styleId="1399">
    <w:name w:val="标题 34"/>
    <w:basedOn w:val="1"/>
    <w:qFormat/>
    <w:uiPriority w:val="0"/>
    <w:pPr>
      <w:adjustRightInd w:val="0"/>
      <w:snapToGrid w:val="0"/>
      <w:ind w:left="-2" w:leftChars="-1"/>
    </w:pPr>
    <w:rPr>
      <w:rFonts w:ascii="Arial" w:hAnsi="Arial" w:cs="Arial"/>
    </w:rPr>
  </w:style>
  <w:style w:type="paragraph" w:customStyle="1" w:styleId="1400">
    <w:name w:val="正文列4_1"/>
    <w:basedOn w:val="1"/>
    <w:qFormat/>
    <w:uiPriority w:val="0"/>
    <w:pPr>
      <w:tabs>
        <w:tab w:val="left" w:pos="2401"/>
      </w:tabs>
      <w:adjustRightInd w:val="0"/>
      <w:spacing w:line="360" w:lineRule="exact"/>
      <w:ind w:left="2381" w:hanging="340"/>
      <w:textAlignment w:val="baseline"/>
    </w:pPr>
    <w:rPr>
      <w:rFonts w:ascii="宋体"/>
      <w:kern w:val="0"/>
      <w:sz w:val="24"/>
      <w:szCs w:val="20"/>
    </w:rPr>
  </w:style>
  <w:style w:type="paragraph" w:customStyle="1" w:styleId="1401">
    <w:name w:val="编号正文"/>
    <w:basedOn w:val="1"/>
    <w:qFormat/>
    <w:uiPriority w:val="0"/>
    <w:pPr>
      <w:tabs>
        <w:tab w:val="left" w:pos="420"/>
        <w:tab w:val="left" w:pos="1620"/>
      </w:tabs>
      <w:spacing w:before="156" w:beforeLines="50" w:after="156" w:afterLines="50"/>
      <w:ind w:left="1620" w:hanging="360"/>
    </w:pPr>
    <w:rPr>
      <w:rFonts w:ascii="Arial" w:hAnsi="Arial"/>
    </w:rPr>
  </w:style>
  <w:style w:type="paragraph" w:customStyle="1" w:styleId="140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03">
    <w:name w:val="自定义正文 Char Char"/>
    <w:basedOn w:val="1"/>
    <w:next w:val="1"/>
    <w:qFormat/>
    <w:uiPriority w:val="0"/>
    <w:pPr>
      <w:widowControl/>
      <w:spacing w:line="560" w:lineRule="exact"/>
      <w:ind w:firstLine="560" w:firstLineChars="200"/>
    </w:pPr>
    <w:rPr>
      <w:rFonts w:ascii="宋体" w:hAnsi="宋体"/>
      <w:sz w:val="28"/>
      <w:szCs w:val="28"/>
    </w:rPr>
  </w:style>
  <w:style w:type="paragraph" w:customStyle="1" w:styleId="1404">
    <w:name w:val="4"/>
    <w:unhideWhenUsed/>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1405">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406">
    <w:name w:val="msoacetate"/>
    <w:basedOn w:val="1"/>
    <w:qFormat/>
    <w:uiPriority w:val="0"/>
    <w:rPr>
      <w:sz w:val="18"/>
      <w:szCs w:val="18"/>
    </w:rPr>
  </w:style>
  <w:style w:type="paragraph" w:customStyle="1" w:styleId="1407">
    <w:name w:val="Char Char5 Char Char Char Char Char Char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408">
    <w:name w:val="Char Char5 Char Char Char Char Char Char Char Char Char Char Char Char Char Char Char Char Char Char Char Char Char Char Char Char3"/>
    <w:basedOn w:val="1"/>
    <w:qFormat/>
    <w:uiPriority w:val="0"/>
    <w:pPr>
      <w:spacing w:line="360" w:lineRule="auto"/>
    </w:pPr>
    <w:rPr>
      <w:rFonts w:ascii="Tahoma" w:hAnsi="Tahoma"/>
      <w:sz w:val="36"/>
      <w:szCs w:val="36"/>
    </w:rPr>
  </w:style>
  <w:style w:type="paragraph" w:customStyle="1" w:styleId="1409">
    <w:name w:val="样式 右侧:  1 字符1"/>
    <w:basedOn w:val="1"/>
    <w:qFormat/>
    <w:uiPriority w:val="0"/>
    <w:pPr>
      <w:ind w:left="240" w:leftChars="100" w:right="240" w:rightChars="100"/>
    </w:pPr>
    <w:rPr>
      <w:rFonts w:eastAsia="仿宋_GB2312" w:cs="宋体"/>
      <w:sz w:val="28"/>
      <w:szCs w:val="20"/>
    </w:rPr>
  </w:style>
  <w:style w:type="paragraph" w:customStyle="1" w:styleId="1410">
    <w:name w:val="Chart_bulletindent"/>
    <w:basedOn w:val="1391"/>
    <w:qFormat/>
    <w:uiPriority w:val="0"/>
    <w:pPr>
      <w:tabs>
        <w:tab w:val="left" w:pos="504"/>
        <w:tab w:val="left" w:pos="540"/>
        <w:tab w:val="clear" w:pos="180"/>
        <w:tab w:val="clear" w:pos="360"/>
      </w:tabs>
      <w:ind w:left="504" w:hanging="324"/>
    </w:pPr>
  </w:style>
  <w:style w:type="paragraph" w:customStyle="1" w:styleId="1411">
    <w:name w:val="numberedlist"/>
    <w:basedOn w:val="1"/>
    <w:qFormat/>
    <w:uiPriority w:val="0"/>
    <w:pPr>
      <w:widowControl/>
      <w:ind w:left="460"/>
      <w:jc w:val="left"/>
    </w:pPr>
    <w:rPr>
      <w:rFonts w:ascii="宋体" w:hAnsi="宋体" w:cs="宋体"/>
      <w:color w:val="000000"/>
      <w:kern w:val="0"/>
      <w:sz w:val="24"/>
    </w:rPr>
  </w:style>
  <w:style w:type="paragraph" w:customStyle="1" w:styleId="1412">
    <w:name w:val="样式 标题 1H1Section Headh11st levell1H11H12H13H14H15H16..."/>
    <w:basedOn w:val="3"/>
    <w:qFormat/>
    <w:uiPriority w:val="0"/>
    <w:pPr>
      <w:pageBreakBefore/>
      <w:tabs>
        <w:tab w:val="left" w:pos="840"/>
      </w:tabs>
      <w:autoSpaceDE/>
      <w:autoSpaceDN/>
      <w:adjustRightInd/>
      <w:spacing w:before="340" w:beforeLines="50" w:after="330" w:afterLines="50" w:line="720" w:lineRule="auto"/>
      <w:ind w:left="840" w:hanging="420"/>
      <w:jc w:val="both"/>
    </w:pPr>
    <w:rPr>
      <w:rFonts w:ascii="Times New Roman"/>
      <w:bCs/>
    </w:rPr>
  </w:style>
  <w:style w:type="paragraph" w:customStyle="1" w:styleId="1413">
    <w:name w:val="Style8"/>
    <w:basedOn w:val="1"/>
    <w:qFormat/>
    <w:uiPriority w:val="0"/>
    <w:pPr>
      <w:tabs>
        <w:tab w:val="left" w:pos="1304"/>
      </w:tabs>
      <w:spacing w:before="156" w:beforeLines="50" w:after="156" w:afterLines="50" w:line="276" w:lineRule="auto"/>
      <w:ind w:left="1304" w:hanging="397"/>
    </w:pPr>
    <w:rPr>
      <w:rFonts w:ascii="Arial" w:hAnsi="Arial"/>
      <w:sz w:val="24"/>
    </w:rPr>
  </w:style>
  <w:style w:type="paragraph" w:customStyle="1" w:styleId="1414">
    <w:name w:val="themeheader"/>
    <w:basedOn w:val="1"/>
    <w:qFormat/>
    <w:uiPriority w:val="0"/>
    <w:pPr>
      <w:widowControl/>
      <w:spacing w:before="100" w:beforeAutospacing="1" w:after="100" w:afterAutospacing="1"/>
      <w:jc w:val="left"/>
    </w:pPr>
    <w:rPr>
      <w:rFonts w:ascii="宋体" w:hAnsi="宋体" w:cs="宋体"/>
      <w:b/>
      <w:bCs/>
      <w:color w:val="FFFFFF"/>
      <w:kern w:val="0"/>
      <w:sz w:val="24"/>
    </w:rPr>
  </w:style>
  <w:style w:type="paragraph" w:customStyle="1" w:styleId="141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416">
    <w:name w:val="流程图"/>
    <w:basedOn w:val="19"/>
    <w:qFormat/>
    <w:uiPriority w:val="0"/>
    <w:pPr>
      <w:tabs>
        <w:tab w:val="clear" w:pos="567"/>
      </w:tabs>
      <w:spacing w:before="0" w:line="360" w:lineRule="auto"/>
      <w:jc w:val="center"/>
    </w:pPr>
    <w:rPr>
      <w:rFonts w:ascii="Times New Roman" w:hAnsi="Times New Roman"/>
      <w:sz w:val="21"/>
      <w:szCs w:val="20"/>
    </w:rPr>
  </w:style>
  <w:style w:type="paragraph" w:customStyle="1" w:styleId="1417">
    <w:name w:val="6"/>
    <w:basedOn w:val="1"/>
    <w:unhideWhenUsed/>
    <w:qFormat/>
    <w:uiPriority w:val="99"/>
    <w:pPr>
      <w:spacing w:line="360" w:lineRule="auto"/>
    </w:pPr>
    <w:rPr>
      <w:rFonts w:ascii="Calibri" w:hAnsi="Calibri"/>
      <w:szCs w:val="22"/>
    </w:rPr>
  </w:style>
  <w:style w:type="paragraph" w:customStyle="1" w:styleId="1418">
    <w:name w:val="5节标题"/>
    <w:basedOn w:val="1"/>
    <w:qFormat/>
    <w:uiPriority w:val="0"/>
    <w:pPr>
      <w:tabs>
        <w:tab w:val="left" w:pos="1008"/>
      </w:tabs>
      <w:spacing w:line="360" w:lineRule="auto"/>
      <w:ind w:left="1008" w:hanging="1008"/>
    </w:pPr>
    <w:rPr>
      <w:rFonts w:ascii="楷体_GB2312" w:hAnsi="宋体" w:eastAsia="楷体_GB2312"/>
      <w:color w:val="000000"/>
      <w:sz w:val="28"/>
      <w:szCs w:val="20"/>
    </w:rPr>
  </w:style>
  <w:style w:type="paragraph" w:customStyle="1" w:styleId="1419">
    <w:name w:val="样式 样式 首行缩进:  2 字符 + 行距: 1.5 倍行距"/>
    <w:basedOn w:val="1"/>
    <w:qFormat/>
    <w:uiPriority w:val="0"/>
    <w:pPr>
      <w:spacing w:line="360" w:lineRule="auto"/>
      <w:ind w:firstLine="470" w:firstLineChars="196"/>
    </w:pPr>
    <w:rPr>
      <w:color w:val="000000"/>
      <w:sz w:val="24"/>
      <w:szCs w:val="20"/>
    </w:rPr>
  </w:style>
  <w:style w:type="paragraph" w:customStyle="1" w:styleId="1420">
    <w:name w:val="样式 目录 2 + 段前: 0.2 行 段后: 0.2 行"/>
    <w:basedOn w:val="80"/>
    <w:qFormat/>
    <w:uiPriority w:val="0"/>
    <w:pPr>
      <w:tabs>
        <w:tab w:val="clear" w:pos="8937"/>
      </w:tabs>
      <w:spacing w:before="62" w:after="62" w:line="240" w:lineRule="auto"/>
      <w:ind w:left="227" w:leftChars="0"/>
      <w:jc w:val="left"/>
    </w:pPr>
    <w:rPr>
      <w:rFonts w:eastAsia="黑体" w:cs="宋体"/>
      <w:b/>
      <w:smallCaps/>
      <w:sz w:val="24"/>
      <w:szCs w:val="20"/>
    </w:rPr>
  </w:style>
  <w:style w:type="paragraph" w:customStyle="1" w:styleId="1421">
    <w:name w:val="Char Char3 Char Char Char Char Char Char Char Char Char Char Char Char2 Char Char Char Char3"/>
    <w:basedOn w:val="1"/>
    <w:qFormat/>
    <w:uiPriority w:val="0"/>
    <w:pPr>
      <w:spacing w:line="360" w:lineRule="auto"/>
    </w:pPr>
    <w:rPr>
      <w:rFonts w:ascii="Tahoma" w:hAnsi="Tahoma"/>
      <w:sz w:val="36"/>
      <w:szCs w:val="36"/>
    </w:rPr>
  </w:style>
  <w:style w:type="paragraph" w:customStyle="1" w:styleId="1422">
    <w:name w:val="首信标准正文 Char Char Char Char Char Char Char Char Char Char Char Char Char Char Char Char Char Char Char Char Char Char1 Char Char"/>
    <w:basedOn w:val="1"/>
    <w:qFormat/>
    <w:uiPriority w:val="0"/>
    <w:pPr>
      <w:spacing w:line="360" w:lineRule="auto"/>
    </w:pPr>
    <w:rPr>
      <w:rFonts w:ascii="Tahoma" w:hAnsi="Tahoma"/>
      <w:sz w:val="36"/>
      <w:szCs w:val="36"/>
    </w:rPr>
  </w:style>
  <w:style w:type="paragraph" w:customStyle="1" w:styleId="142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424">
    <w:name w:val="文本框文字"/>
    <w:basedOn w:val="1"/>
    <w:qFormat/>
    <w:uiPriority w:val="0"/>
    <w:pPr>
      <w:adjustRightInd w:val="0"/>
      <w:snapToGrid w:val="0"/>
      <w:spacing w:before="100" w:beforeAutospacing="1" w:after="100" w:afterAutospacing="1"/>
    </w:pPr>
    <w:rPr>
      <w:rFonts w:cs="Angsana New"/>
      <w:sz w:val="24"/>
    </w:rPr>
  </w:style>
  <w:style w:type="paragraph" w:customStyle="1" w:styleId="1425">
    <w:name w:val="文章正文 Char Char1"/>
    <w:basedOn w:val="1"/>
    <w:qFormat/>
    <w:uiPriority w:val="0"/>
    <w:pPr>
      <w:spacing w:line="360" w:lineRule="auto"/>
      <w:ind w:firstLine="420"/>
    </w:pPr>
    <w:rPr>
      <w:sz w:val="24"/>
    </w:rPr>
  </w:style>
  <w:style w:type="paragraph" w:customStyle="1" w:styleId="1426">
    <w:name w:val="目次、标准名称标题"/>
    <w:basedOn w:val="1134"/>
    <w:next w:val="453"/>
    <w:qFormat/>
    <w:uiPriority w:val="0"/>
    <w:pPr>
      <w:tabs>
        <w:tab w:val="clear" w:pos="360"/>
      </w:tabs>
      <w:spacing w:line="460" w:lineRule="exact"/>
    </w:pPr>
  </w:style>
  <w:style w:type="paragraph" w:customStyle="1" w:styleId="1427">
    <w:name w:val="样式 标题 2H22nd levelh22Header 2HeadBHeading 2 HiddenHeadin...1"/>
    <w:basedOn w:val="4"/>
    <w:qFormat/>
    <w:uiPriority w:val="0"/>
    <w:pPr>
      <w:tabs>
        <w:tab w:val="left" w:pos="284"/>
        <w:tab w:val="left" w:pos="567"/>
        <w:tab w:val="left" w:pos="2552"/>
      </w:tabs>
      <w:autoSpaceDE/>
      <w:autoSpaceDN/>
      <w:adjustRightInd/>
      <w:spacing w:before="260" w:after="260" w:line="360" w:lineRule="auto"/>
      <w:ind w:left="5103" w:hanging="5103"/>
      <w:jc w:val="both"/>
    </w:pPr>
    <w:rPr>
      <w:rFonts w:ascii="新宋体" w:hAnsi="新宋体" w:eastAsia="新宋体"/>
      <w:kern w:val="2"/>
    </w:rPr>
  </w:style>
  <w:style w:type="paragraph" w:customStyle="1" w:styleId="1428">
    <w:name w:val="xl12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429">
    <w:name w:val="行间距 style9"/>
    <w:basedOn w:val="1"/>
    <w:qFormat/>
    <w:uiPriority w:val="0"/>
    <w:pPr>
      <w:widowControl/>
      <w:spacing w:before="100" w:beforeAutospacing="1" w:after="100" w:afterAutospacing="1"/>
      <w:jc w:val="left"/>
    </w:pPr>
    <w:rPr>
      <w:rFonts w:ascii="宋体" w:hAnsi="宋体" w:cs="宋体"/>
      <w:kern w:val="0"/>
      <w:sz w:val="24"/>
    </w:rPr>
  </w:style>
  <w:style w:type="paragraph" w:customStyle="1" w:styleId="1430">
    <w:name w:val="CM68"/>
    <w:basedOn w:val="278"/>
    <w:next w:val="278"/>
    <w:qFormat/>
    <w:uiPriority w:val="0"/>
    <w:pPr>
      <w:spacing w:after="60"/>
    </w:pPr>
    <w:rPr>
      <w:rFonts w:ascii="黑体" w:hAnsi="Times New Roman" w:eastAsia="黑体" w:cs="Times New Roman"/>
      <w:color w:val="auto"/>
    </w:rPr>
  </w:style>
  <w:style w:type="paragraph" w:customStyle="1" w:styleId="1431">
    <w:name w:val="答复"/>
    <w:basedOn w:val="1"/>
    <w:qFormat/>
    <w:uiPriority w:val="0"/>
    <w:pPr>
      <w:spacing w:line="360" w:lineRule="auto"/>
    </w:pPr>
    <w:rPr>
      <w:b/>
      <w:sz w:val="24"/>
      <w:szCs w:val="20"/>
    </w:rPr>
  </w:style>
  <w:style w:type="paragraph" w:customStyle="1" w:styleId="1432">
    <w:name w:val="font10"/>
    <w:basedOn w:val="1"/>
    <w:qFormat/>
    <w:uiPriority w:val="0"/>
    <w:pPr>
      <w:widowControl/>
      <w:spacing w:before="100" w:beforeAutospacing="1" w:after="100" w:afterAutospacing="1"/>
      <w:jc w:val="left"/>
    </w:pPr>
    <w:rPr>
      <w:rFonts w:ascii="宋体" w:hAnsi="宋体"/>
      <w:color w:val="FF0000"/>
      <w:kern w:val="0"/>
      <w:sz w:val="20"/>
      <w:szCs w:val="20"/>
    </w:rPr>
  </w:style>
  <w:style w:type="paragraph" w:customStyle="1" w:styleId="1433">
    <w:name w:val="table head"/>
    <w:basedOn w:val="1"/>
    <w:qFormat/>
    <w:uiPriority w:val="0"/>
    <w:pPr>
      <w:keepNext/>
      <w:keepLines/>
      <w:adjustRightInd w:val="0"/>
      <w:spacing w:line="312" w:lineRule="atLeast"/>
      <w:jc w:val="center"/>
      <w:textAlignment w:val="baseline"/>
    </w:pPr>
    <w:rPr>
      <w:b/>
      <w:kern w:val="0"/>
      <w:szCs w:val="20"/>
    </w:rPr>
  </w:style>
  <w:style w:type="paragraph" w:customStyle="1" w:styleId="1434">
    <w:name w:val="样式 正文首行缩进 + 首行缩进:  1 字符"/>
    <w:basedOn w:val="379"/>
    <w:qFormat/>
    <w:uiPriority w:val="0"/>
    <w:pPr>
      <w:spacing w:line="360" w:lineRule="auto"/>
    </w:pPr>
    <w:rPr>
      <w:rFonts w:ascii="Calibri" w:hAnsi="Calibri"/>
      <w:szCs w:val="22"/>
    </w:rPr>
  </w:style>
  <w:style w:type="paragraph" w:customStyle="1" w:styleId="1435">
    <w:name w:val="CM33"/>
    <w:basedOn w:val="278"/>
    <w:next w:val="278"/>
    <w:qFormat/>
    <w:uiPriority w:val="0"/>
    <w:pPr>
      <w:spacing w:line="468" w:lineRule="atLeast"/>
    </w:pPr>
    <w:rPr>
      <w:rFonts w:ascii="楷体_GB2312" w:hAnsi="Times New Roman" w:eastAsia="楷体_GB2312" w:cs="楷体_GB2312"/>
      <w:color w:val="auto"/>
    </w:rPr>
  </w:style>
  <w:style w:type="paragraph" w:customStyle="1" w:styleId="1436">
    <w:name w:val="辑要页"/>
    <w:basedOn w:val="1"/>
    <w:qFormat/>
    <w:uiPriority w:val="0"/>
    <w:pPr>
      <w:widowControl/>
      <w:adjustRightInd w:val="0"/>
      <w:snapToGrid w:val="0"/>
      <w:spacing w:before="1200" w:after="1400" w:line="300" w:lineRule="auto"/>
      <w:jc w:val="center"/>
      <w:textAlignment w:val="baseline"/>
    </w:pPr>
    <w:rPr>
      <w:rFonts w:ascii="黑体" w:hAnsi="Arial" w:eastAsia="黑体"/>
      <w:spacing w:val="100"/>
      <w:kern w:val="0"/>
      <w:sz w:val="32"/>
      <w:szCs w:val="20"/>
    </w:rPr>
  </w:style>
  <w:style w:type="paragraph" w:customStyle="1" w:styleId="1437">
    <w:name w:val="样式 样式 S3 + 段前: 1 行 段后: 0.5 行 + 宋体 小四 居中 左侧:  0 厘米 首行缩进:  0 厘..."/>
    <w:basedOn w:val="1242"/>
    <w:qFormat/>
    <w:uiPriority w:val="0"/>
    <w:pPr>
      <w:spacing w:beforeLines="0" w:afterLines="0"/>
      <w:jc w:val="center"/>
    </w:pPr>
    <w:rPr>
      <w:rFonts w:ascii="宋体" w:hAnsi="宋体" w:eastAsia="宋体"/>
      <w:sz w:val="21"/>
    </w:rPr>
  </w:style>
  <w:style w:type="paragraph" w:customStyle="1" w:styleId="1438">
    <w:name w:val="文本正文"/>
    <w:basedOn w:val="1"/>
    <w:qFormat/>
    <w:uiPriority w:val="0"/>
    <w:pPr>
      <w:spacing w:line="360" w:lineRule="auto"/>
      <w:ind w:firstLine="200" w:firstLineChars="200"/>
      <w:jc w:val="left"/>
    </w:pPr>
    <w:rPr>
      <w:rFonts w:cs="宋体"/>
      <w:sz w:val="24"/>
      <w:szCs w:val="20"/>
    </w:rPr>
  </w:style>
  <w:style w:type="paragraph" w:customStyle="1" w:styleId="1439">
    <w:name w:val="图形文字"/>
    <w:qFormat/>
    <w:uiPriority w:val="0"/>
    <w:pPr>
      <w:jc w:val="center"/>
    </w:pPr>
    <w:rPr>
      <w:rFonts w:ascii="Times New Roman" w:hAnsi="Times New Roman" w:eastAsia="宋体" w:cs="Times New Roman"/>
      <w:kern w:val="2"/>
      <w:sz w:val="18"/>
      <w:lang w:val="en-US" w:eastAsia="zh-CN" w:bidi="ar-SA"/>
    </w:rPr>
  </w:style>
  <w:style w:type="paragraph" w:customStyle="1" w:styleId="1440">
    <w:name w:val="Char Char2 Char Char Char Char Char Char Char Char2"/>
    <w:basedOn w:val="1"/>
    <w:qFormat/>
    <w:uiPriority w:val="0"/>
    <w:rPr>
      <w:rFonts w:ascii="Tahoma" w:hAnsi="Tahoma"/>
      <w:sz w:val="24"/>
      <w:szCs w:val="20"/>
    </w:rPr>
  </w:style>
  <w:style w:type="paragraph" w:customStyle="1" w:styleId="1441">
    <w:name w:val="样式 3节标题 + 段前: 0.5 行 段后: 0.5 行"/>
    <w:basedOn w:val="531"/>
    <w:qFormat/>
    <w:uiPriority w:val="0"/>
    <w:rPr>
      <w:sz w:val="30"/>
    </w:rPr>
  </w:style>
  <w:style w:type="paragraph" w:customStyle="1" w:styleId="1442">
    <w:name w:val="编号样式4"/>
    <w:basedOn w:val="556"/>
    <w:qFormat/>
    <w:uiPriority w:val="0"/>
    <w:pPr>
      <w:numPr>
        <w:ilvl w:val="0"/>
        <w:numId w:val="39"/>
      </w:numPr>
      <w:ind w:left="0" w:firstLine="200"/>
      <w:jc w:val="left"/>
    </w:pPr>
  </w:style>
  <w:style w:type="paragraph" w:customStyle="1" w:styleId="1443">
    <w:name w:val="样式 样式 样式 正文首行缩进 2 + 左  0 字符 + 首行缩进:  2.57 字符 + 首行缩进:  2.57 字符"/>
    <w:basedOn w:val="1"/>
    <w:qFormat/>
    <w:uiPriority w:val="0"/>
    <w:pPr>
      <w:spacing w:after="120" w:line="360" w:lineRule="auto"/>
      <w:ind w:firstLine="617" w:firstLineChars="257"/>
    </w:pPr>
    <w:rPr>
      <w:sz w:val="24"/>
      <w:szCs w:val="20"/>
    </w:rPr>
  </w:style>
  <w:style w:type="paragraph" w:customStyle="1" w:styleId="1444">
    <w:name w:val="首信标准正文"/>
    <w:basedOn w:val="1"/>
    <w:qFormat/>
    <w:uiPriority w:val="0"/>
    <w:pPr>
      <w:spacing w:line="360" w:lineRule="auto"/>
    </w:pPr>
    <w:rPr>
      <w:rFonts w:ascii="Tahoma" w:hAnsi="Tahoma"/>
      <w:sz w:val="24"/>
      <w:szCs w:val="20"/>
    </w:rPr>
  </w:style>
  <w:style w:type="paragraph" w:customStyle="1" w:styleId="1445">
    <w:name w:val="Code"/>
    <w:basedOn w:val="1"/>
    <w:qFormat/>
    <w:uiPriority w:val="0"/>
    <w:pPr>
      <w:pBdr>
        <w:top w:val="single" w:color="auto" w:sz="4" w:space="1"/>
        <w:left w:val="single" w:color="auto" w:sz="4" w:space="4"/>
        <w:bottom w:val="single" w:color="auto" w:sz="4" w:space="1"/>
        <w:right w:val="single" w:color="auto" w:sz="4" w:space="4"/>
      </w:pBdr>
      <w:ind w:left="720" w:hanging="720" w:hangingChars="400"/>
    </w:pPr>
    <w:rPr>
      <w:rFonts w:ascii="宋体" w:hAnsi="宋体" w:cs="Courier New"/>
      <w:sz w:val="18"/>
    </w:rPr>
  </w:style>
  <w:style w:type="paragraph" w:customStyle="1" w:styleId="1446">
    <w:name w:val="Char Char Char Char Char Char Char1 Char1"/>
    <w:basedOn w:val="1"/>
    <w:qFormat/>
    <w:uiPriority w:val="0"/>
    <w:rPr>
      <w:rFonts w:ascii="Tahoma" w:hAnsi="Tahoma"/>
      <w:sz w:val="24"/>
      <w:szCs w:val="20"/>
    </w:rPr>
  </w:style>
  <w:style w:type="paragraph" w:customStyle="1" w:styleId="1447">
    <w:name w:val="Char Char5"/>
    <w:basedOn w:val="1"/>
    <w:qFormat/>
    <w:uiPriority w:val="0"/>
    <w:pPr>
      <w:spacing w:line="360" w:lineRule="auto"/>
    </w:pPr>
    <w:rPr>
      <w:rFonts w:ascii="Tahoma" w:hAnsi="Tahoma"/>
      <w:sz w:val="36"/>
      <w:szCs w:val="36"/>
    </w:rPr>
  </w:style>
  <w:style w:type="paragraph" w:customStyle="1" w:styleId="1448">
    <w:name w:val="仿宋正文"/>
    <w:basedOn w:val="1"/>
    <w:qFormat/>
    <w:uiPriority w:val="0"/>
    <w:pPr>
      <w:spacing w:line="300" w:lineRule="auto"/>
      <w:ind w:firstLine="480"/>
    </w:pPr>
    <w:rPr>
      <w:rFonts w:ascii="仿宋_GB2312" w:eastAsia="仿宋_GB2312"/>
      <w:sz w:val="24"/>
      <w:szCs w:val="20"/>
    </w:rPr>
  </w:style>
  <w:style w:type="paragraph" w:customStyle="1" w:styleId="1449">
    <w:name w:val="附录标识"/>
    <w:basedOn w:val="1134"/>
    <w:qFormat/>
    <w:uiPriority w:val="0"/>
    <w:pPr>
      <w:numPr>
        <w:ilvl w:val="0"/>
        <w:numId w:val="40"/>
      </w:numPr>
      <w:tabs>
        <w:tab w:val="left" w:pos="810"/>
        <w:tab w:val="left" w:pos="6405"/>
        <w:tab w:val="clear" w:pos="620"/>
      </w:tabs>
      <w:spacing w:after="200"/>
      <w:ind w:left="810" w:hanging="810"/>
    </w:pPr>
    <w:rPr>
      <w:sz w:val="21"/>
    </w:rPr>
  </w:style>
  <w:style w:type="paragraph" w:customStyle="1" w:styleId="1450">
    <w:name w:val="规范正文"/>
    <w:basedOn w:val="1"/>
    <w:qFormat/>
    <w:uiPriority w:val="0"/>
    <w:pPr>
      <w:adjustRightInd w:val="0"/>
      <w:spacing w:line="360" w:lineRule="auto"/>
      <w:ind w:left="480"/>
      <w:textAlignment w:val="baseline"/>
    </w:pPr>
    <w:rPr>
      <w:kern w:val="0"/>
      <w:sz w:val="24"/>
      <w:szCs w:val="20"/>
    </w:rPr>
  </w:style>
  <w:style w:type="paragraph" w:customStyle="1" w:styleId="1451">
    <w:name w:val="加点正文"/>
    <w:basedOn w:val="1"/>
    <w:qFormat/>
    <w:uiPriority w:val="0"/>
    <w:pPr>
      <w:tabs>
        <w:tab w:val="left" w:pos="480"/>
      </w:tabs>
      <w:spacing w:beforeLines="50" w:afterLines="50" w:line="300" w:lineRule="auto"/>
      <w:ind w:left="425" w:hanging="425"/>
    </w:pPr>
    <w:rPr>
      <w:sz w:val="24"/>
    </w:rPr>
  </w:style>
  <w:style w:type="paragraph" w:customStyle="1" w:styleId="1452">
    <w:name w:val="说明文本"/>
    <w:basedOn w:val="1"/>
    <w:qFormat/>
    <w:uiPriority w:val="0"/>
    <w:pPr>
      <w:spacing w:before="156" w:beforeLines="50" w:after="156" w:afterLines="50"/>
      <w:ind w:firstLine="200" w:firstLineChars="200"/>
    </w:pPr>
    <w:rPr>
      <w:rFonts w:ascii="Arial" w:hAnsi="Arial"/>
      <w:szCs w:val="21"/>
    </w:rPr>
  </w:style>
  <w:style w:type="paragraph" w:customStyle="1" w:styleId="1453">
    <w:name w:val="样式 标题 3H3标题1.1节标题，三级节名二级节名Heading 3 - oldHeading 3 - old C...4"/>
    <w:basedOn w:val="6"/>
    <w:qFormat/>
    <w:uiPriority w:val="0"/>
    <w:pPr>
      <w:tabs>
        <w:tab w:val="left" w:pos="720"/>
      </w:tabs>
      <w:autoSpaceDE/>
      <w:autoSpaceDN/>
      <w:adjustRightInd/>
      <w:spacing w:before="0" w:after="0" w:line="480" w:lineRule="auto"/>
      <w:ind w:left="720" w:hanging="720"/>
      <w:jc w:val="both"/>
    </w:pPr>
    <w:rPr>
      <w:rFonts w:ascii="黑体" w:eastAsia="黑体"/>
      <w:color w:val="000000"/>
      <w:kern w:val="2"/>
      <w:sz w:val="30"/>
      <w:u w:val="none"/>
    </w:rPr>
  </w:style>
  <w:style w:type="paragraph" w:customStyle="1" w:styleId="1454">
    <w:name w:val="pic-info"/>
    <w:basedOn w:val="1"/>
    <w:qFormat/>
    <w:uiPriority w:val="0"/>
    <w:pPr>
      <w:widowControl/>
      <w:spacing w:before="100" w:beforeAutospacing="1" w:after="100" w:afterAutospacing="1"/>
      <w:jc w:val="left"/>
    </w:pPr>
    <w:rPr>
      <w:rFonts w:ascii="宋体" w:hAnsi="宋体" w:cs="宋体"/>
      <w:kern w:val="0"/>
      <w:sz w:val="24"/>
    </w:rPr>
  </w:style>
  <w:style w:type="paragraph" w:customStyle="1" w:styleId="1455">
    <w:name w:val="标题3，章节第三层"/>
    <w:basedOn w:val="1"/>
    <w:next w:val="317"/>
    <w:qFormat/>
    <w:uiPriority w:val="0"/>
    <w:pPr>
      <w:numPr>
        <w:ilvl w:val="2"/>
        <w:numId w:val="25"/>
      </w:numPr>
      <w:adjustRightInd w:val="0"/>
      <w:snapToGrid w:val="0"/>
      <w:spacing w:before="78" w:line="300" w:lineRule="auto"/>
      <w:outlineLvl w:val="2"/>
    </w:pPr>
    <w:rPr>
      <w:rFonts w:ascii="Arial" w:hAnsi="Arial" w:eastAsia="华文细黑"/>
      <w:sz w:val="30"/>
    </w:rPr>
  </w:style>
  <w:style w:type="paragraph" w:customStyle="1" w:styleId="1456">
    <w:name w:val="样式 标题 2 + 段前: 5 磅 段后: 5 磅"/>
    <w:basedOn w:val="4"/>
    <w:qFormat/>
    <w:uiPriority w:val="0"/>
    <w:pPr>
      <w:widowControl/>
      <w:tabs>
        <w:tab w:val="left" w:pos="756"/>
        <w:tab w:val="left" w:pos="2552"/>
      </w:tabs>
      <w:autoSpaceDE/>
      <w:autoSpaceDN/>
      <w:adjustRightInd/>
      <w:spacing w:before="100" w:after="100" w:line="415" w:lineRule="auto"/>
      <w:ind w:left="756" w:hanging="576"/>
      <w:jc w:val="left"/>
    </w:pPr>
    <w:rPr>
      <w:rFonts w:eastAsia="仿宋_GB2312" w:cs="宋体"/>
      <w:bCs/>
      <w:kern w:val="2"/>
      <w:sz w:val="32"/>
      <w:szCs w:val="32"/>
    </w:rPr>
  </w:style>
  <w:style w:type="paragraph" w:customStyle="1" w:styleId="1457">
    <w:name w:val="正表头"/>
    <w:basedOn w:val="1"/>
    <w:qFormat/>
    <w:uiPriority w:val="0"/>
    <w:pPr>
      <w:tabs>
        <w:tab w:val="left" w:pos="480"/>
      </w:tabs>
      <w:autoSpaceDE w:val="0"/>
      <w:autoSpaceDN w:val="0"/>
      <w:adjustRightInd w:val="0"/>
      <w:jc w:val="center"/>
      <w:textAlignment w:val="baseline"/>
    </w:pPr>
    <w:rPr>
      <w:rFonts w:ascii="宋体" w:hAnsi="Tms Rmn"/>
      <w:color w:val="000000"/>
      <w:kern w:val="0"/>
      <w:szCs w:val="20"/>
    </w:rPr>
  </w:style>
  <w:style w:type="paragraph" w:customStyle="1" w:styleId="1458">
    <w:name w:val="标题112"/>
    <w:next w:val="1459"/>
    <w:qFormat/>
    <w:uiPriority w:val="0"/>
    <w:pPr>
      <w:spacing w:line="360" w:lineRule="auto"/>
    </w:pPr>
    <w:rPr>
      <w:rFonts w:ascii="Times New Roman" w:hAnsi="Times New Roman" w:eastAsia="宋体" w:cs="Times New Roman"/>
      <w:b/>
      <w:bCs/>
      <w:kern w:val="2"/>
      <w:sz w:val="24"/>
      <w:szCs w:val="24"/>
      <w:lang w:val="en-US" w:eastAsia="zh-CN" w:bidi="ar-SA"/>
    </w:rPr>
  </w:style>
  <w:style w:type="paragraph" w:customStyle="1" w:styleId="1459">
    <w:name w:val="blue"/>
    <w:basedOn w:val="1"/>
    <w:qFormat/>
    <w:uiPriority w:val="0"/>
    <w:pPr>
      <w:widowControl/>
      <w:spacing w:before="100" w:beforeAutospacing="1" w:after="100" w:afterAutospacing="1"/>
      <w:jc w:val="left"/>
    </w:pPr>
    <w:rPr>
      <w:rFonts w:ascii="宋体" w:hAnsi="宋体"/>
      <w:color w:val="315494"/>
      <w:kern w:val="0"/>
      <w:sz w:val="18"/>
      <w:szCs w:val="18"/>
    </w:rPr>
  </w:style>
  <w:style w:type="paragraph" w:customStyle="1" w:styleId="1460">
    <w:name w:val="callout"/>
    <w:basedOn w:val="1"/>
    <w:qFormat/>
    <w:uiPriority w:val="0"/>
    <w:pPr>
      <w:widowControl/>
      <w:shd w:val="clear" w:color="auto" w:fill="E7E7E7"/>
      <w:spacing w:after="153"/>
      <w:ind w:left="153"/>
      <w:jc w:val="left"/>
    </w:pPr>
    <w:rPr>
      <w:rFonts w:ascii="宋体" w:hAnsi="宋体" w:cs="宋体"/>
      <w:color w:val="000000"/>
      <w:kern w:val="0"/>
      <w:sz w:val="24"/>
    </w:rPr>
  </w:style>
  <w:style w:type="paragraph" w:customStyle="1" w:styleId="1461">
    <w:name w:val="HD正文1"/>
    <w:basedOn w:val="1"/>
    <w:next w:val="7"/>
    <w:qFormat/>
    <w:uiPriority w:val="0"/>
    <w:pPr>
      <w:ind w:firstLine="420"/>
    </w:pPr>
    <w:rPr>
      <w:szCs w:val="20"/>
    </w:rPr>
  </w:style>
  <w:style w:type="paragraph" w:customStyle="1" w:styleId="1462">
    <w:name w:val="CM60"/>
    <w:basedOn w:val="278"/>
    <w:next w:val="278"/>
    <w:qFormat/>
    <w:uiPriority w:val="0"/>
    <w:rPr>
      <w:rFonts w:ascii="楷体_GB2312" w:hAnsi="Times New Roman" w:eastAsia="楷体_GB2312" w:cs="Times New Roman"/>
      <w:color w:val="auto"/>
      <w:sz w:val="20"/>
    </w:rPr>
  </w:style>
  <w:style w:type="paragraph" w:customStyle="1" w:styleId="1463">
    <w:name w:val="列出段落11"/>
    <w:basedOn w:val="1"/>
    <w:qFormat/>
    <w:uiPriority w:val="99"/>
    <w:pPr>
      <w:ind w:firstLine="420" w:firstLineChars="200"/>
    </w:pPr>
    <w:rPr>
      <w:rFonts w:ascii="Calibri" w:hAnsi="Calibri" w:cs="Calibri"/>
      <w:szCs w:val="21"/>
    </w:rPr>
  </w:style>
  <w:style w:type="paragraph" w:customStyle="1" w:styleId="1464">
    <w:name w:val="样式 正文首行缩进 + 首行缩进:  2 字符"/>
    <w:basedOn w:val="379"/>
    <w:qFormat/>
    <w:uiPriority w:val="0"/>
    <w:pPr>
      <w:spacing w:line="360" w:lineRule="auto"/>
      <w:ind w:firstLine="200" w:firstLineChars="200"/>
    </w:pPr>
    <w:rPr>
      <w:rFonts w:ascii="Arial" w:hAnsi="Arial" w:cs="宋体"/>
      <w:sz w:val="24"/>
    </w:rPr>
  </w:style>
  <w:style w:type="paragraph" w:customStyle="1" w:styleId="1465">
    <w:name w:val="正文(首行缩进)"/>
    <w:basedOn w:val="1"/>
    <w:qFormat/>
    <w:uiPriority w:val="0"/>
    <w:pPr>
      <w:spacing w:line="360" w:lineRule="auto"/>
      <w:ind w:firstLine="200" w:firstLineChars="200"/>
    </w:pPr>
    <w:rPr>
      <w:rFonts w:ascii="Arial Narrow" w:hAnsi="Arial Narrow"/>
      <w:sz w:val="24"/>
    </w:rPr>
  </w:style>
  <w:style w:type="paragraph" w:customStyle="1" w:styleId="1466">
    <w:name w:val="srchradbtn"/>
    <w:basedOn w:val="1"/>
    <w:qFormat/>
    <w:uiPriority w:val="0"/>
    <w:pPr>
      <w:widowControl/>
      <w:shd w:val="clear" w:color="auto" w:fill="E7E7E7"/>
      <w:spacing w:before="100" w:beforeAutospacing="1" w:after="100" w:afterAutospacing="1"/>
      <w:jc w:val="left"/>
    </w:pPr>
    <w:rPr>
      <w:rFonts w:ascii="宋体" w:hAnsi="宋体" w:cs="宋体"/>
      <w:color w:val="000000"/>
      <w:kern w:val="0"/>
      <w:sz w:val="24"/>
    </w:rPr>
  </w:style>
  <w:style w:type="paragraph" w:customStyle="1" w:styleId="1467">
    <w:name w:val="正文 首行缩进2字符 Char Char"/>
    <w:basedOn w:val="1"/>
    <w:qFormat/>
    <w:uiPriority w:val="0"/>
    <w:pPr>
      <w:spacing w:line="360" w:lineRule="auto"/>
      <w:ind w:firstLine="200" w:firstLineChars="200"/>
    </w:pPr>
    <w:rPr>
      <w:sz w:val="24"/>
    </w:rPr>
  </w:style>
  <w:style w:type="paragraph" w:customStyle="1" w:styleId="1468">
    <w:name w:val="样式 宋体 左 段前: 5 磅 段后: 5 磅 行距: 1.5 倍行距1"/>
    <w:basedOn w:val="1"/>
    <w:qFormat/>
    <w:uiPriority w:val="0"/>
    <w:pPr>
      <w:spacing w:line="360" w:lineRule="auto"/>
      <w:jc w:val="left"/>
    </w:pPr>
    <w:rPr>
      <w:rFonts w:ascii="宋体" w:hAnsi="宋体" w:cs="宋体"/>
      <w:kern w:val="0"/>
      <w:sz w:val="24"/>
      <w:szCs w:val="20"/>
    </w:rPr>
  </w:style>
  <w:style w:type="paragraph" w:customStyle="1" w:styleId="1469">
    <w:name w:val="Char Char Char1 Char Char Char Char Char Char Char Char Char Char3"/>
    <w:basedOn w:val="1"/>
    <w:qFormat/>
    <w:uiPriority w:val="0"/>
    <w:rPr>
      <w:rFonts w:ascii="Tahoma" w:hAnsi="Tahoma"/>
      <w:sz w:val="24"/>
      <w:szCs w:val="20"/>
    </w:rPr>
  </w:style>
  <w:style w:type="paragraph" w:customStyle="1" w:styleId="1470">
    <w:name w:val="Char2 Char Char Char2"/>
    <w:basedOn w:val="1"/>
    <w:qFormat/>
    <w:uiPriority w:val="0"/>
    <w:rPr>
      <w:rFonts w:ascii="仿宋_GB2312"/>
      <w:b/>
      <w:sz w:val="30"/>
      <w:szCs w:val="32"/>
    </w:rPr>
  </w:style>
  <w:style w:type="paragraph" w:customStyle="1" w:styleId="1471">
    <w:name w:val="表题"/>
    <w:basedOn w:val="1"/>
    <w:qFormat/>
    <w:uiPriority w:val="0"/>
    <w:pPr>
      <w:spacing w:after="120" w:line="420" w:lineRule="exact"/>
      <w:jc w:val="center"/>
    </w:pPr>
    <w:rPr>
      <w:rFonts w:eastAsia="楷体_GB2312"/>
      <w:kern w:val="0"/>
      <w:szCs w:val="20"/>
    </w:rPr>
  </w:style>
  <w:style w:type="paragraph" w:customStyle="1" w:styleId="1472">
    <w:name w:val="Char Char1 Char Char Char Char Char Char5"/>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73">
    <w:name w:val="哈哈标题3"/>
    <w:basedOn w:val="6"/>
    <w:qFormat/>
    <w:uiPriority w:val="0"/>
    <w:pPr>
      <w:tabs>
        <w:tab w:val="left" w:pos="709"/>
      </w:tabs>
      <w:autoSpaceDE/>
      <w:autoSpaceDN/>
      <w:adjustRightInd/>
      <w:spacing w:before="260" w:after="260" w:line="413" w:lineRule="auto"/>
      <w:ind w:left="938"/>
      <w:jc w:val="both"/>
    </w:pPr>
    <w:rPr>
      <w:rFonts w:hAnsi="宋体"/>
      <w:kern w:val="2"/>
      <w:sz w:val="32"/>
      <w:u w:val="none"/>
    </w:rPr>
  </w:style>
  <w:style w:type="paragraph" w:customStyle="1" w:styleId="1474">
    <w:name w:val="无间隔1"/>
    <w:qFormat/>
    <w:uiPriority w:val="0"/>
    <w:pPr>
      <w:widowControl w:val="0"/>
      <w:ind w:firstLine="200" w:firstLineChars="200"/>
      <w:jc w:val="both"/>
    </w:pPr>
    <w:rPr>
      <w:rFonts w:ascii="Arial" w:hAnsi="Arial" w:eastAsia="宋体" w:cs="Times New Roman"/>
      <w:kern w:val="2"/>
      <w:sz w:val="21"/>
      <w:szCs w:val="24"/>
      <w:lang w:val="en-US" w:eastAsia="zh-CN" w:bidi="ar-SA"/>
    </w:rPr>
  </w:style>
  <w:style w:type="paragraph" w:customStyle="1" w:styleId="1475">
    <w:name w:val="列表2"/>
    <w:basedOn w:val="1"/>
    <w:qFormat/>
    <w:uiPriority w:val="0"/>
    <w:pPr>
      <w:numPr>
        <w:ilvl w:val="0"/>
        <w:numId w:val="41"/>
      </w:numPr>
    </w:pPr>
    <w:rPr>
      <w:sz w:val="24"/>
      <w:szCs w:val="21"/>
    </w:rPr>
  </w:style>
  <w:style w:type="paragraph" w:customStyle="1" w:styleId="1476">
    <w:name w:val="Default1"/>
    <w:basedOn w:val="278"/>
    <w:next w:val="278"/>
    <w:qFormat/>
    <w:uiPriority w:val="99"/>
    <w:rPr>
      <w:rFonts w:ascii="Times New Roman" w:hAnsi="Times New Roman" w:cs="Times New Roman"/>
      <w:color w:val="auto"/>
    </w:rPr>
  </w:style>
  <w:style w:type="paragraph" w:customStyle="1" w:styleId="1477">
    <w:name w:val="CM77"/>
    <w:basedOn w:val="278"/>
    <w:next w:val="278"/>
    <w:qFormat/>
    <w:uiPriority w:val="0"/>
    <w:pPr>
      <w:spacing w:line="468" w:lineRule="atLeast"/>
    </w:pPr>
    <w:rPr>
      <w:rFonts w:ascii="楷体_GB2312" w:hAnsi="Times New Roman" w:eastAsia="楷体_GB2312" w:cs="楷体_GB2312"/>
      <w:color w:val="auto"/>
    </w:rPr>
  </w:style>
  <w:style w:type="paragraph" w:customStyle="1" w:styleId="1478">
    <w:name w:val="图形版面居中"/>
    <w:basedOn w:val="1"/>
    <w:next w:val="1"/>
    <w:qFormat/>
    <w:uiPriority w:val="0"/>
    <w:pPr>
      <w:keepNext/>
      <w:spacing w:before="360" w:line="360" w:lineRule="auto"/>
      <w:jc w:val="center"/>
    </w:pPr>
    <w:rPr>
      <w:rFonts w:ascii="仿宋_GB2312" w:hAnsi="宋体" w:eastAsia="仿宋_GB2312"/>
      <w:sz w:val="24"/>
    </w:rPr>
  </w:style>
  <w:style w:type="paragraph" w:customStyle="1" w:styleId="1479">
    <w:name w:val="我的正文下级"/>
    <w:basedOn w:val="1"/>
    <w:qFormat/>
    <w:uiPriority w:val="0"/>
    <w:pPr>
      <w:numPr>
        <w:ilvl w:val="0"/>
        <w:numId w:val="42"/>
      </w:numPr>
      <w:tabs>
        <w:tab w:val="clear" w:pos="225"/>
      </w:tabs>
      <w:ind w:left="0" w:firstLine="0"/>
    </w:pPr>
    <w:rPr>
      <w:rFonts w:hint="eastAsia" w:ascii="仿宋_GB2312" w:hAnsi="宋体" w:eastAsia="仿宋_GB2312"/>
      <w:kern w:val="0"/>
      <w:sz w:val="28"/>
      <w:szCs w:val="28"/>
    </w:rPr>
  </w:style>
  <w:style w:type="paragraph" w:customStyle="1" w:styleId="1480">
    <w:name w:val="xl59"/>
    <w:basedOn w:val="1"/>
    <w:qFormat/>
    <w:uiPriority w:val="0"/>
    <w:pPr>
      <w:widowControl/>
      <w:pBdr>
        <w:top w:val="single" w:color="auto" w:sz="4" w:space="0"/>
        <w:left w:val="single" w:color="auto" w:sz="4" w:space="0"/>
        <w:bottom w:val="single" w:color="auto" w:sz="4" w:space="0"/>
        <w:right w:val="single" w:color="auto" w:sz="8" w:space="0"/>
      </w:pBdr>
      <w:shd w:val="clear" w:color="auto" w:fill="CCFFFF"/>
      <w:spacing w:before="100" w:beforeAutospacing="1" w:after="100" w:afterAutospacing="1"/>
      <w:jc w:val="left"/>
    </w:pPr>
    <w:rPr>
      <w:rFonts w:ascii="Arial" w:hAnsi="Arial"/>
      <w:b/>
      <w:kern w:val="0"/>
      <w:sz w:val="20"/>
      <w:szCs w:val="20"/>
    </w:rPr>
  </w:style>
  <w:style w:type="paragraph" w:customStyle="1" w:styleId="1481">
    <w:name w:val="a样式"/>
    <w:basedOn w:val="1"/>
    <w:qFormat/>
    <w:uiPriority w:val="0"/>
    <w:pPr>
      <w:spacing w:line="300" w:lineRule="auto"/>
      <w:ind w:firstLine="200" w:firstLineChars="200"/>
    </w:pPr>
    <w:rPr>
      <w:rFonts w:hint="eastAsia" w:ascii="宋体" w:hAnsi="宋体"/>
      <w:color w:val="000000"/>
      <w:sz w:val="24"/>
    </w:rPr>
  </w:style>
  <w:style w:type="paragraph" w:customStyle="1" w:styleId="1482">
    <w:name w:val="标准标题6"/>
    <w:basedOn w:val="10"/>
    <w:next w:val="1"/>
    <w:qFormat/>
    <w:uiPriority w:val="0"/>
    <w:pPr>
      <w:numPr>
        <w:ilvl w:val="5"/>
        <w:numId w:val="11"/>
      </w:numPr>
      <w:tabs>
        <w:tab w:val="left" w:pos="-3990"/>
      </w:tabs>
      <w:adjustRightInd/>
      <w:spacing w:line="320" w:lineRule="auto"/>
      <w:textAlignment w:val="auto"/>
    </w:pPr>
    <w:rPr>
      <w:bCs/>
      <w:kern w:val="2"/>
      <w:sz w:val="32"/>
      <w:szCs w:val="24"/>
    </w:rPr>
  </w:style>
  <w:style w:type="paragraph" w:customStyle="1" w:styleId="1483">
    <w:name w:val="2册标题4"/>
    <w:basedOn w:val="1"/>
    <w:next w:val="1"/>
    <w:qFormat/>
    <w:uiPriority w:val="0"/>
    <w:pPr>
      <w:spacing w:beforeLines="50" w:afterLines="50" w:line="300" w:lineRule="auto"/>
      <w:ind w:left="420" w:leftChars="200"/>
      <w:outlineLvl w:val="3"/>
    </w:pPr>
    <w:rPr>
      <w:rFonts w:ascii="Arial" w:hAnsi="Arial" w:eastAsia="幼圆"/>
      <w:b/>
      <w:sz w:val="24"/>
      <w:szCs w:val="20"/>
    </w:rPr>
  </w:style>
  <w:style w:type="paragraph" w:customStyle="1" w:styleId="1484">
    <w:name w:val="X-图居中"/>
    <w:basedOn w:val="1"/>
    <w:qFormat/>
    <w:uiPriority w:val="0"/>
    <w:pPr>
      <w:spacing w:line="360" w:lineRule="auto"/>
      <w:jc w:val="center"/>
    </w:pPr>
    <w:rPr>
      <w:szCs w:val="20"/>
    </w:rPr>
  </w:style>
  <w:style w:type="paragraph" w:customStyle="1" w:styleId="1485">
    <w:name w:val="_"/>
    <w:basedOn w:val="1"/>
    <w:qFormat/>
    <w:uiPriority w:val="0"/>
    <w:pPr>
      <w:adjustRightInd w:val="0"/>
      <w:spacing w:line="360" w:lineRule="auto"/>
      <w:ind w:left="480"/>
      <w:textAlignment w:val="baseline"/>
    </w:pPr>
    <w:rPr>
      <w:kern w:val="0"/>
      <w:sz w:val="24"/>
      <w:szCs w:val="20"/>
    </w:rPr>
  </w:style>
  <w:style w:type="paragraph" w:customStyle="1" w:styleId="1486">
    <w:name w:val="标准图片"/>
    <w:basedOn w:val="1"/>
    <w:qFormat/>
    <w:uiPriority w:val="0"/>
    <w:pPr>
      <w:spacing w:line="360" w:lineRule="auto"/>
      <w:jc w:val="center"/>
    </w:pPr>
    <w:rPr>
      <w:rFonts w:cs="宋体"/>
      <w:sz w:val="24"/>
      <w:szCs w:val="20"/>
    </w:rPr>
  </w:style>
  <w:style w:type="paragraph" w:customStyle="1" w:styleId="1487">
    <w:name w:val="文本框正文"/>
    <w:basedOn w:val="1"/>
    <w:qFormat/>
    <w:uiPriority w:val="0"/>
    <w:pPr>
      <w:jc w:val="center"/>
    </w:pPr>
    <w:rPr>
      <w:b/>
    </w:rPr>
  </w:style>
  <w:style w:type="paragraph" w:customStyle="1" w:styleId="1488">
    <w:name w:val="1st Layer"/>
    <w:basedOn w:val="1"/>
    <w:qFormat/>
    <w:uiPriority w:val="0"/>
    <w:pPr>
      <w:tabs>
        <w:tab w:val="left" w:pos="780"/>
        <w:tab w:val="left" w:pos="2356"/>
      </w:tabs>
      <w:autoSpaceDE w:val="0"/>
      <w:autoSpaceDN w:val="0"/>
      <w:adjustRightInd w:val="0"/>
      <w:spacing w:line="312" w:lineRule="exact"/>
      <w:ind w:left="629" w:hanging="209"/>
      <w:textAlignment w:val="baseline"/>
    </w:pPr>
    <w:rPr>
      <w:kern w:val="24"/>
      <w:szCs w:val="20"/>
    </w:rPr>
  </w:style>
  <w:style w:type="paragraph" w:customStyle="1" w:styleId="1489">
    <w:name w:val="CM10"/>
    <w:basedOn w:val="278"/>
    <w:next w:val="278"/>
    <w:qFormat/>
    <w:uiPriority w:val="0"/>
    <w:pPr>
      <w:spacing w:line="458" w:lineRule="atLeast"/>
    </w:pPr>
    <w:rPr>
      <w:rFonts w:ascii="楷体_GB2312" w:hAnsi="Times New Roman" w:eastAsia="楷体_GB2312" w:cs="楷体_GB2312"/>
      <w:color w:val="auto"/>
    </w:rPr>
  </w:style>
  <w:style w:type="paragraph" w:customStyle="1" w:styleId="1490">
    <w:name w:val="xl105"/>
    <w:basedOn w:val="1"/>
    <w:qFormat/>
    <w:uiPriority w:val="0"/>
    <w:pPr>
      <w:widowControl/>
      <w:pBdr>
        <w:top w:val="single" w:color="auto" w:sz="8" w:space="0"/>
        <w:left w:val="single" w:color="auto" w:sz="8"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color w:val="0000FF"/>
      <w:kern w:val="0"/>
      <w:sz w:val="28"/>
      <w:szCs w:val="28"/>
    </w:rPr>
  </w:style>
  <w:style w:type="paragraph" w:customStyle="1" w:styleId="1491">
    <w:name w:val="标题 5（有编号）（绿盟科技）"/>
    <w:basedOn w:val="1"/>
    <w:next w:val="1"/>
    <w:qFormat/>
    <w:uiPriority w:val="0"/>
    <w:pPr>
      <w:keepNext/>
      <w:keepLines/>
      <w:numPr>
        <w:ilvl w:val="4"/>
        <w:numId w:val="17"/>
      </w:numPr>
      <w:spacing w:line="377" w:lineRule="auto"/>
      <w:ind w:firstLine="0"/>
      <w:jc w:val="left"/>
      <w:outlineLvl w:val="4"/>
    </w:pPr>
    <w:rPr>
      <w:rFonts w:ascii="Arial" w:hAnsi="Arial" w:eastAsia="黑体"/>
      <w:b/>
      <w:kern w:val="0"/>
      <w:sz w:val="24"/>
      <w:szCs w:val="28"/>
    </w:rPr>
  </w:style>
  <w:style w:type="paragraph" w:customStyle="1" w:styleId="1492">
    <w:name w:val="xl10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493">
    <w:name w:val="前言一级标题样式"/>
    <w:basedOn w:val="1"/>
    <w:next w:val="556"/>
    <w:qFormat/>
    <w:uiPriority w:val="1"/>
    <w:pPr>
      <w:spacing w:line="360" w:lineRule="auto"/>
      <w:ind w:firstLine="643" w:firstLineChars="200"/>
      <w:outlineLvl w:val="0"/>
    </w:pPr>
    <w:rPr>
      <w:rFonts w:ascii="宋体" w:hAnsi="宋体"/>
      <w:b/>
      <w:sz w:val="32"/>
    </w:rPr>
  </w:style>
  <w:style w:type="paragraph" w:customStyle="1" w:styleId="149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495">
    <w:name w:val="Date1"/>
    <w:basedOn w:val="1"/>
    <w:next w:val="1"/>
    <w:qFormat/>
    <w:uiPriority w:val="0"/>
    <w:pPr>
      <w:adjustRightInd w:val="0"/>
      <w:spacing w:line="312" w:lineRule="atLeast"/>
      <w:textAlignment w:val="baseline"/>
    </w:pPr>
    <w:rPr>
      <w:kern w:val="0"/>
      <w:sz w:val="24"/>
      <w:szCs w:val="20"/>
    </w:rPr>
  </w:style>
  <w:style w:type="paragraph" w:customStyle="1" w:styleId="1496">
    <w:name w:val="样式 样式 样式 我的正文首行缩进 + 首行缩进:  2 字符 + 首行缩进:  2 字符 + 首行缩进:  2 字符"/>
    <w:basedOn w:val="1"/>
    <w:qFormat/>
    <w:uiPriority w:val="0"/>
    <w:pPr>
      <w:widowControl/>
      <w:tabs>
        <w:tab w:val="left" w:pos="780"/>
      </w:tabs>
      <w:spacing w:after="120" w:line="300" w:lineRule="auto"/>
      <w:ind w:left="780" w:hanging="360"/>
      <w:jc w:val="left"/>
    </w:pPr>
    <w:rPr>
      <w:rFonts w:eastAsia="华文细黑"/>
      <w:kern w:val="0"/>
      <w:sz w:val="24"/>
    </w:rPr>
  </w:style>
  <w:style w:type="paragraph" w:customStyle="1" w:styleId="1497">
    <w:name w:val="样式 标题 4h4First SubheadingH4sect 1.2.3.4Ref Heading 1rh1se...1"/>
    <w:basedOn w:val="8"/>
    <w:qFormat/>
    <w:uiPriority w:val="0"/>
    <w:pPr>
      <w:tabs>
        <w:tab w:val="left" w:pos="425"/>
        <w:tab w:val="left" w:pos="720"/>
        <w:tab w:val="left" w:pos="1680"/>
      </w:tabs>
      <w:adjustRightInd/>
      <w:spacing w:line="360" w:lineRule="auto"/>
      <w:ind w:left="425" w:hanging="425"/>
      <w:textAlignment w:val="auto"/>
    </w:pPr>
    <w:rPr>
      <w:rFonts w:ascii="宋体" w:hAnsi="宋体" w:eastAsia="宋体" w:cs="宋体"/>
      <w:color w:val="000000"/>
      <w:kern w:val="2"/>
      <w:sz w:val="32"/>
    </w:rPr>
  </w:style>
  <w:style w:type="paragraph" w:customStyle="1" w:styleId="1498">
    <w:name w:val="标准标题5"/>
    <w:basedOn w:val="9"/>
    <w:next w:val="1"/>
    <w:qFormat/>
    <w:uiPriority w:val="0"/>
    <w:pPr>
      <w:numPr>
        <w:ilvl w:val="4"/>
        <w:numId w:val="11"/>
      </w:numPr>
      <w:tabs>
        <w:tab w:val="left" w:pos="360"/>
        <w:tab w:val="left" w:pos="2127"/>
        <w:tab w:val="left" w:pos="6946"/>
        <w:tab w:val="clear" w:pos="992"/>
      </w:tabs>
      <w:adjustRightInd/>
      <w:spacing w:line="376" w:lineRule="auto"/>
      <w:ind w:left="1008" w:hanging="1008"/>
      <w:textAlignment w:val="auto"/>
    </w:pPr>
    <w:rPr>
      <w:rFonts w:eastAsia="黑体"/>
      <w:bCs/>
      <w:kern w:val="2"/>
      <w:sz w:val="32"/>
      <w:szCs w:val="28"/>
    </w:rPr>
  </w:style>
  <w:style w:type="paragraph" w:customStyle="1" w:styleId="149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500">
    <w:name w:val="Char Char Char Char Char Char Char Char Char2 Char Char Char Char Char Char Char Char Char Char Char Char"/>
    <w:basedOn w:val="1"/>
    <w:qFormat/>
    <w:uiPriority w:val="0"/>
    <w:rPr>
      <w:rFonts w:ascii="Tahoma" w:hAnsi="Tahoma"/>
      <w:sz w:val="24"/>
      <w:szCs w:val="20"/>
    </w:rPr>
  </w:style>
  <w:style w:type="paragraph" w:customStyle="1" w:styleId="1501">
    <w:name w:val="xl139"/>
    <w:basedOn w:val="1"/>
    <w:qFormat/>
    <w:uiPriority w:val="0"/>
    <w:pPr>
      <w:widowControl/>
      <w:pBdr>
        <w:left w:val="single" w:color="auto" w:sz="4" w:space="0"/>
      </w:pBdr>
      <w:spacing w:before="100" w:beforeAutospacing="1" w:after="100" w:afterAutospacing="1"/>
      <w:jc w:val="left"/>
      <w:textAlignment w:val="center"/>
    </w:pPr>
    <w:rPr>
      <w:rFonts w:ascii="宋体" w:hAnsi="宋体"/>
      <w:kern w:val="0"/>
      <w:sz w:val="18"/>
      <w:szCs w:val="20"/>
    </w:rPr>
  </w:style>
  <w:style w:type="paragraph" w:customStyle="1" w:styleId="1502">
    <w:name w:val="Char Char3 Char Char Char Char Char Char Char Char Char Char Char Char2"/>
    <w:basedOn w:val="1"/>
    <w:qFormat/>
    <w:uiPriority w:val="0"/>
    <w:pPr>
      <w:spacing w:line="360" w:lineRule="auto"/>
    </w:pPr>
    <w:rPr>
      <w:rFonts w:ascii="Tahoma" w:hAnsi="Tahoma"/>
      <w:sz w:val="36"/>
      <w:szCs w:val="36"/>
    </w:rPr>
  </w:style>
  <w:style w:type="paragraph" w:customStyle="1" w:styleId="1503">
    <w:name w:val="v1"/>
    <w:basedOn w:val="1"/>
    <w:qFormat/>
    <w:uiPriority w:val="0"/>
    <w:pPr>
      <w:widowControl/>
      <w:spacing w:before="100" w:beforeAutospacing="1" w:after="100" w:afterAutospacing="1" w:line="280" w:lineRule="atLeast"/>
      <w:jc w:val="left"/>
    </w:pPr>
    <w:rPr>
      <w:color w:val="000000"/>
      <w:kern w:val="0"/>
      <w:sz w:val="18"/>
      <w:szCs w:val="18"/>
    </w:rPr>
  </w:style>
  <w:style w:type="paragraph" w:customStyle="1" w:styleId="1504">
    <w:name w:val="正文6"/>
    <w:basedOn w:val="1"/>
    <w:qFormat/>
    <w:uiPriority w:val="0"/>
    <w:pPr>
      <w:widowControl/>
      <w:overflowPunct w:val="0"/>
      <w:autoSpaceDE w:val="0"/>
      <w:autoSpaceDN w:val="0"/>
      <w:adjustRightInd w:val="0"/>
      <w:spacing w:line="400" w:lineRule="exact"/>
      <w:textAlignment w:val="baseline"/>
    </w:pPr>
    <w:rPr>
      <w:kern w:val="0"/>
      <w:sz w:val="24"/>
      <w:szCs w:val="20"/>
    </w:rPr>
  </w:style>
  <w:style w:type="paragraph" w:customStyle="1" w:styleId="1505">
    <w:name w:val="Table Bullet"/>
    <w:basedOn w:val="1"/>
    <w:qFormat/>
    <w:uiPriority w:val="0"/>
    <w:pPr>
      <w:widowControl/>
      <w:jc w:val="left"/>
    </w:pPr>
    <w:rPr>
      <w:rFonts w:ascii="宋体"/>
      <w:snapToGrid w:val="0"/>
      <w:color w:val="000000"/>
      <w:kern w:val="0"/>
      <w:sz w:val="23"/>
      <w:szCs w:val="20"/>
    </w:rPr>
  </w:style>
  <w:style w:type="paragraph" w:customStyle="1" w:styleId="1506">
    <w:name w:val="正文标题"/>
    <w:basedOn w:val="1"/>
    <w:qFormat/>
    <w:uiPriority w:val="0"/>
    <w:pPr>
      <w:spacing w:line="480" w:lineRule="auto"/>
    </w:pPr>
    <w:rPr>
      <w:b/>
      <w:bCs/>
      <w:sz w:val="24"/>
    </w:rPr>
  </w:style>
  <w:style w:type="paragraph" w:customStyle="1" w:styleId="1507">
    <w:name w:val="样式 样式 样式 标题 3H3l3CT标题 3(节)Heading 3 - oldh3L3ISO2heading 3第二...1..."/>
    <w:basedOn w:val="1"/>
    <w:qFormat/>
    <w:uiPriority w:val="0"/>
    <w:pPr>
      <w:keepNext/>
      <w:keepLines/>
      <w:spacing w:beforeLines="50" w:afterLines="50" w:line="360" w:lineRule="auto"/>
      <w:outlineLvl w:val="3"/>
    </w:pPr>
    <w:rPr>
      <w:rFonts w:ascii="楷体_GB2312" w:hAnsi="Arial" w:eastAsia="楷体_GB2312"/>
      <w:color w:val="000000"/>
      <w:sz w:val="28"/>
      <w:szCs w:val="20"/>
    </w:rPr>
  </w:style>
  <w:style w:type="paragraph" w:customStyle="1" w:styleId="1508">
    <w:name w:val="正文 首行缩进:  2 字符 Char Char Char Char"/>
    <w:basedOn w:val="1"/>
    <w:qFormat/>
    <w:uiPriority w:val="0"/>
    <w:pPr>
      <w:spacing w:line="360" w:lineRule="auto"/>
      <w:ind w:firstLine="480"/>
    </w:pPr>
    <w:rPr>
      <w:rFonts w:cs="宋体"/>
      <w:sz w:val="24"/>
    </w:rPr>
  </w:style>
  <w:style w:type="paragraph" w:customStyle="1" w:styleId="1509">
    <w:name w:val="正文 首行缩进:  2 字符 Char Char"/>
    <w:basedOn w:val="1"/>
    <w:qFormat/>
    <w:uiPriority w:val="0"/>
    <w:pPr>
      <w:spacing w:line="360" w:lineRule="auto"/>
      <w:ind w:firstLine="480"/>
    </w:pPr>
    <w:rPr>
      <w:rFonts w:cs="宋体"/>
      <w:sz w:val="24"/>
      <w:szCs w:val="20"/>
    </w:rPr>
  </w:style>
  <w:style w:type="paragraph" w:customStyle="1" w:styleId="151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511">
    <w:name w:val="表格编号"/>
    <w:basedOn w:val="1"/>
    <w:qFormat/>
    <w:uiPriority w:val="0"/>
    <w:pPr>
      <w:tabs>
        <w:tab w:val="left" w:pos="432"/>
      </w:tabs>
      <w:ind w:left="432" w:hanging="432"/>
    </w:pPr>
    <w:rPr>
      <w:rFonts w:eastAsia="楷体_GB2312"/>
      <w:sz w:val="24"/>
    </w:rPr>
  </w:style>
  <w:style w:type="paragraph" w:customStyle="1" w:styleId="1512">
    <w:name w:val="公式编号"/>
    <w:basedOn w:val="1"/>
    <w:next w:val="1"/>
    <w:qFormat/>
    <w:uiPriority w:val="0"/>
    <w:pPr>
      <w:widowControl/>
      <w:numPr>
        <w:ilvl w:val="0"/>
        <w:numId w:val="43"/>
      </w:numPr>
      <w:tabs>
        <w:tab w:val="left" w:pos="800"/>
        <w:tab w:val="clear" w:pos="720"/>
      </w:tabs>
      <w:adjustRightInd w:val="0"/>
      <w:spacing w:before="60" w:after="60" w:line="360" w:lineRule="atLeast"/>
      <w:ind w:left="800" w:hanging="800"/>
      <w:jc w:val="right"/>
      <w:textAlignment w:val="baseline"/>
    </w:pPr>
    <w:rPr>
      <w:kern w:val="0"/>
      <w:sz w:val="24"/>
      <w:szCs w:val="20"/>
    </w:rPr>
  </w:style>
  <w:style w:type="paragraph" w:customStyle="1" w:styleId="1513">
    <w:name w:val="样式 宋体 小四 加粗 行距: 1.5 倍行距"/>
    <w:basedOn w:val="1"/>
    <w:qFormat/>
    <w:uiPriority w:val="0"/>
    <w:pPr>
      <w:spacing w:line="360" w:lineRule="auto"/>
    </w:pPr>
    <w:rPr>
      <w:rFonts w:ascii="宋体" w:hAnsi="宋体" w:cs="宋体"/>
      <w:b/>
      <w:bCs/>
      <w:sz w:val="24"/>
      <w:szCs w:val="20"/>
    </w:rPr>
  </w:style>
  <w:style w:type="paragraph" w:customStyle="1" w:styleId="1514">
    <w:name w:val="图，整体编号"/>
    <w:basedOn w:val="317"/>
    <w:next w:val="317"/>
    <w:qFormat/>
    <w:uiPriority w:val="0"/>
    <w:pPr>
      <w:widowControl/>
      <w:tabs>
        <w:tab w:val="left" w:pos="284"/>
        <w:tab w:val="left" w:pos="720"/>
      </w:tabs>
      <w:adjustRightInd w:val="0"/>
      <w:snapToGrid w:val="0"/>
      <w:spacing w:before="25" w:beforeLines="0" w:line="400" w:lineRule="exact"/>
      <w:ind w:left="284" w:hanging="284" w:firstLineChars="0"/>
      <w:jc w:val="center"/>
      <w:textAlignment w:val="baseline"/>
    </w:pPr>
    <w:rPr>
      <w:rFonts w:ascii="Arial" w:hAnsi="Arial" w:eastAsia="华文细黑"/>
      <w:szCs w:val="20"/>
      <w:lang w:val="en-US"/>
    </w:rPr>
  </w:style>
  <w:style w:type="character" w:customStyle="1" w:styleId="1515">
    <w:name w:val="z-窗体底端 字符1"/>
    <w:semiHidden/>
    <w:qFormat/>
    <w:uiPriority w:val="99"/>
    <w:rPr>
      <w:rFonts w:ascii="Arial" w:hAnsi="Arial" w:cs="Arial"/>
      <w:vanish/>
      <w:kern w:val="2"/>
      <w:sz w:val="16"/>
      <w:szCs w:val="16"/>
    </w:rPr>
  </w:style>
  <w:style w:type="paragraph" w:customStyle="1" w:styleId="1516">
    <w:name w:val="样式 仿宋_GB2312 首行缩进:  2 字符"/>
    <w:basedOn w:val="1"/>
    <w:qFormat/>
    <w:uiPriority w:val="0"/>
    <w:pPr>
      <w:spacing w:line="600" w:lineRule="exact"/>
      <w:ind w:firstLine="538" w:firstLineChars="192"/>
    </w:pPr>
    <w:rPr>
      <w:rFonts w:ascii="仿宋_GB2312" w:eastAsia="仿宋_GB2312"/>
      <w:sz w:val="28"/>
      <w:szCs w:val="20"/>
    </w:rPr>
  </w:style>
  <w:style w:type="paragraph" w:customStyle="1" w:styleId="1517">
    <w:name w:val="列项·"/>
    <w:qFormat/>
    <w:uiPriority w:val="0"/>
    <w:pPr>
      <w:numPr>
        <w:ilvl w:val="0"/>
        <w:numId w:val="44"/>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518">
    <w:name w:val="技术规格数标题2"/>
    <w:basedOn w:val="1"/>
    <w:qFormat/>
    <w:uiPriority w:val="0"/>
    <w:pPr>
      <w:keepNext/>
      <w:keepLines/>
      <w:widowControl/>
      <w:tabs>
        <w:tab w:val="left" w:pos="-180"/>
        <w:tab w:val="left" w:pos="7920"/>
      </w:tabs>
      <w:spacing w:before="120" w:after="120" w:line="360" w:lineRule="auto"/>
      <w:ind w:left="-2" w:leftChars="100" w:right="100" w:rightChars="100"/>
      <w:jc w:val="center"/>
      <w:outlineLvl w:val="2"/>
    </w:pPr>
    <w:rPr>
      <w:b/>
      <w:kern w:val="0"/>
      <w:sz w:val="24"/>
      <w:szCs w:val="20"/>
    </w:rPr>
  </w:style>
  <w:style w:type="paragraph" w:customStyle="1" w:styleId="1519">
    <w:name w:val="CM15"/>
    <w:basedOn w:val="278"/>
    <w:next w:val="278"/>
    <w:qFormat/>
    <w:uiPriority w:val="0"/>
    <w:pPr>
      <w:spacing w:line="420" w:lineRule="atLeast"/>
    </w:pPr>
    <w:rPr>
      <w:rFonts w:ascii="黑体" w:hAnsi="Times New Roman" w:eastAsia="黑体" w:cs="Times New Roman"/>
      <w:color w:val="auto"/>
    </w:rPr>
  </w:style>
  <w:style w:type="paragraph" w:customStyle="1" w:styleId="1520">
    <w:name w:val="正文一"/>
    <w:basedOn w:val="1"/>
    <w:qFormat/>
    <w:uiPriority w:val="0"/>
    <w:pPr>
      <w:widowControl/>
      <w:spacing w:line="360" w:lineRule="auto"/>
      <w:ind w:firstLine="480" w:firstLineChars="200"/>
      <w:jc w:val="left"/>
    </w:pPr>
    <w:rPr>
      <w:kern w:val="0"/>
      <w:sz w:val="24"/>
      <w:szCs w:val="20"/>
    </w:rPr>
  </w:style>
  <w:style w:type="paragraph" w:customStyle="1" w:styleId="1521">
    <w:name w:val="xl11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20"/>
    </w:rPr>
  </w:style>
  <w:style w:type="paragraph" w:customStyle="1" w:styleId="1522">
    <w:name w:val="样式 标题 5标题 5 Char标题 5 Char1 Char标题 5 Char Char CharH5 Char Ch..."/>
    <w:basedOn w:val="9"/>
    <w:qFormat/>
    <w:uiPriority w:val="0"/>
    <w:pPr>
      <w:tabs>
        <w:tab w:val="left" w:pos="1702"/>
        <w:tab w:val="left" w:pos="2127"/>
        <w:tab w:val="left" w:pos="6946"/>
      </w:tabs>
      <w:adjustRightInd/>
      <w:spacing w:beforeLines="50" w:line="377" w:lineRule="auto"/>
      <w:ind w:left="2337" w:hanging="1798"/>
      <w:textAlignment w:val="auto"/>
    </w:pPr>
    <w:rPr>
      <w:kern w:val="2"/>
    </w:rPr>
  </w:style>
  <w:style w:type="paragraph" w:customStyle="1" w:styleId="1523">
    <w:name w:val="正文段"/>
    <w:basedOn w:val="1"/>
    <w:qFormat/>
    <w:uiPriority w:val="0"/>
    <w:pPr>
      <w:adjustRightInd w:val="0"/>
      <w:snapToGrid w:val="0"/>
      <w:spacing w:after="240" w:line="360" w:lineRule="atLeast"/>
      <w:ind w:left="-2" w:leftChars="-1" w:firstLine="454"/>
      <w:jc w:val="left"/>
    </w:pPr>
    <w:rPr>
      <w:rFonts w:hint="eastAsia" w:ascii="宋体" w:hAnsi="Arial" w:cs="Arial"/>
      <w:kern w:val="0"/>
      <w:sz w:val="24"/>
      <w:szCs w:val="20"/>
    </w:rPr>
  </w:style>
  <w:style w:type="paragraph" w:customStyle="1" w:styleId="1524">
    <w:name w:val="加点"/>
    <w:basedOn w:val="1"/>
    <w:qFormat/>
    <w:uiPriority w:val="0"/>
    <w:pPr>
      <w:spacing w:line="360" w:lineRule="auto"/>
    </w:pPr>
    <w:rPr>
      <w:rFonts w:eastAsia="楷体_GB2312"/>
      <w:sz w:val="24"/>
      <w:szCs w:val="20"/>
    </w:rPr>
  </w:style>
  <w:style w:type="paragraph" w:customStyle="1" w:styleId="1525">
    <w:name w:val="正文格式2"/>
    <w:basedOn w:val="317"/>
    <w:qFormat/>
    <w:uiPriority w:val="0"/>
    <w:pPr>
      <w:widowControl/>
      <w:adjustRightInd w:val="0"/>
      <w:snapToGrid w:val="0"/>
      <w:spacing w:before="25" w:beforeLines="0" w:line="240" w:lineRule="auto"/>
      <w:ind w:left="899" w:leftChars="428" w:firstLine="482" w:firstLineChars="0"/>
      <w:jc w:val="center"/>
      <w:textAlignment w:val="baseline"/>
    </w:pPr>
    <w:rPr>
      <w:rFonts w:ascii="Arial" w:hAnsi="Arial"/>
      <w:szCs w:val="20"/>
      <w:lang w:val="en-US"/>
    </w:rPr>
  </w:style>
  <w:style w:type="paragraph" w:customStyle="1" w:styleId="152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527">
    <w:name w:val="默认段落字体 Para Char Char Char Char Char Char Char Char Char1 Char Char Char Char"/>
    <w:basedOn w:val="1"/>
    <w:qFormat/>
    <w:uiPriority w:val="0"/>
    <w:rPr>
      <w:rFonts w:ascii="Tahoma" w:hAnsi="Tahoma"/>
      <w:sz w:val="24"/>
      <w:szCs w:val="20"/>
    </w:rPr>
  </w:style>
  <w:style w:type="paragraph" w:customStyle="1" w:styleId="1528">
    <w:name w:val="Ê×ÐÐËõ½ø:1"/>
    <w:basedOn w:val="1"/>
    <w:qFormat/>
    <w:uiPriority w:val="0"/>
    <w:pPr>
      <w:widowControl/>
      <w:overflowPunct w:val="0"/>
      <w:autoSpaceDE w:val="0"/>
      <w:autoSpaceDN w:val="0"/>
      <w:adjustRightInd w:val="0"/>
      <w:spacing w:before="120" w:line="360" w:lineRule="auto"/>
      <w:ind w:left="283" w:firstLine="493"/>
      <w:jc w:val="left"/>
      <w:textAlignment w:val="baseline"/>
    </w:pPr>
    <w:rPr>
      <w:kern w:val="0"/>
      <w:sz w:val="24"/>
      <w:szCs w:val="20"/>
    </w:rPr>
  </w:style>
  <w:style w:type="paragraph" w:customStyle="1" w:styleId="1529">
    <w:name w:val="标准标题4"/>
    <w:basedOn w:val="8"/>
    <w:next w:val="1"/>
    <w:qFormat/>
    <w:uiPriority w:val="0"/>
    <w:pPr>
      <w:tabs>
        <w:tab w:val="left" w:pos="425"/>
        <w:tab w:val="left" w:pos="1680"/>
      </w:tabs>
      <w:adjustRightInd/>
      <w:spacing w:line="376" w:lineRule="auto"/>
      <w:ind w:left="425" w:hanging="425"/>
      <w:textAlignment w:val="auto"/>
    </w:pPr>
    <w:rPr>
      <w:rFonts w:ascii="黑体" w:hAnsi="黑体" w:cs="黑体"/>
      <w:color w:val="000000"/>
      <w:kern w:val="2"/>
      <w:sz w:val="32"/>
      <w:szCs w:val="32"/>
    </w:rPr>
  </w:style>
  <w:style w:type="paragraph" w:customStyle="1" w:styleId="1530">
    <w:name w:val="color003366bld"/>
    <w:basedOn w:val="1"/>
    <w:qFormat/>
    <w:uiPriority w:val="0"/>
    <w:pPr>
      <w:widowControl/>
      <w:spacing w:before="100" w:beforeAutospacing="1" w:after="100" w:afterAutospacing="1"/>
      <w:jc w:val="left"/>
    </w:pPr>
    <w:rPr>
      <w:rFonts w:ascii="宋体" w:hAnsi="宋体" w:cs="宋体"/>
      <w:b/>
      <w:bCs/>
      <w:color w:val="003366"/>
      <w:kern w:val="0"/>
      <w:sz w:val="24"/>
    </w:rPr>
  </w:style>
  <w:style w:type="paragraph" w:customStyle="1" w:styleId="1531">
    <w:name w:val="表号"/>
    <w:basedOn w:val="1"/>
    <w:qFormat/>
    <w:uiPriority w:val="0"/>
    <w:pPr>
      <w:tabs>
        <w:tab w:val="left" w:pos="648"/>
      </w:tabs>
      <w:autoSpaceDE w:val="0"/>
      <w:autoSpaceDN w:val="0"/>
      <w:adjustRightInd w:val="0"/>
      <w:spacing w:before="210" w:after="210"/>
      <w:ind w:left="425" w:hanging="137"/>
      <w:jc w:val="center"/>
    </w:pPr>
    <w:rPr>
      <w:kern w:val="0"/>
      <w:szCs w:val="21"/>
      <w:lang w:eastAsia="en-US"/>
    </w:rPr>
  </w:style>
  <w:style w:type="paragraph" w:customStyle="1" w:styleId="1532">
    <w:name w:val="方案正文 Char"/>
    <w:basedOn w:val="1"/>
    <w:qFormat/>
    <w:uiPriority w:val="0"/>
    <w:pPr>
      <w:adjustRightInd w:val="0"/>
      <w:spacing w:before="100" w:beforeAutospacing="1" w:line="360" w:lineRule="atLeast"/>
      <w:ind w:firstLine="480" w:firstLineChars="200"/>
      <w:textAlignment w:val="baseline"/>
    </w:pPr>
    <w:rPr>
      <w:rFonts w:ascii="Arial" w:hAnsi="Arial"/>
      <w:bCs/>
      <w:sz w:val="24"/>
    </w:rPr>
  </w:style>
  <w:style w:type="paragraph" w:customStyle="1" w:styleId="1533">
    <w:name w:val="小标题2"/>
    <w:basedOn w:val="1"/>
    <w:next w:val="1"/>
    <w:qFormat/>
    <w:uiPriority w:val="0"/>
    <w:pPr>
      <w:spacing w:beforeLines="20" w:afterLines="20" w:line="400" w:lineRule="exact"/>
      <w:ind w:firstLine="200" w:firstLineChars="200"/>
    </w:pPr>
    <w:rPr>
      <w:rFonts w:eastAsia="楷体_GB2312"/>
      <w:sz w:val="24"/>
    </w:rPr>
  </w:style>
  <w:style w:type="paragraph" w:customStyle="1" w:styleId="1534">
    <w:name w:val="t3"/>
    <w:basedOn w:val="1"/>
    <w:qFormat/>
    <w:uiPriority w:val="0"/>
    <w:pPr>
      <w:widowControl/>
      <w:spacing w:before="100" w:beforeAutospacing="1" w:after="100" w:afterAutospacing="1" w:line="408" w:lineRule="auto"/>
      <w:jc w:val="left"/>
    </w:pPr>
    <w:rPr>
      <w:rFonts w:ascii="宋体" w:hAnsi="宋体"/>
      <w:b/>
      <w:color w:val="000000"/>
      <w:kern w:val="0"/>
      <w:sz w:val="22"/>
      <w:szCs w:val="20"/>
    </w:rPr>
  </w:style>
  <w:style w:type="paragraph" w:customStyle="1" w:styleId="1535">
    <w:name w:val="a02"/>
    <w:basedOn w:val="4"/>
    <w:qFormat/>
    <w:uiPriority w:val="0"/>
    <w:pPr>
      <w:tabs>
        <w:tab w:val="left" w:pos="720"/>
        <w:tab w:val="left" w:pos="2552"/>
      </w:tabs>
      <w:autoSpaceDE/>
      <w:autoSpaceDN/>
      <w:spacing w:before="260" w:after="260" w:line="416" w:lineRule="atLeast"/>
      <w:jc w:val="both"/>
      <w:textAlignment w:val="baseline"/>
    </w:pPr>
    <w:rPr>
      <w:rFonts w:ascii="Times New Roman" w:hAnsi="Times New Roman"/>
      <w:sz w:val="32"/>
    </w:rPr>
  </w:style>
  <w:style w:type="paragraph" w:customStyle="1" w:styleId="1536">
    <w:name w:val="附录五级条标题"/>
    <w:basedOn w:val="1140"/>
    <w:next w:val="453"/>
    <w:qFormat/>
    <w:uiPriority w:val="0"/>
    <w:pPr>
      <w:numPr>
        <w:ilvl w:val="6"/>
      </w:numPr>
      <w:tabs>
        <w:tab w:val="left" w:pos="2940"/>
        <w:tab w:val="clear" w:pos="2520"/>
      </w:tabs>
      <w:ind w:left="2940" w:hanging="420"/>
      <w:outlineLvl w:val="6"/>
    </w:pPr>
  </w:style>
  <w:style w:type="paragraph" w:customStyle="1" w:styleId="1537">
    <w:name w:val="项目符合2"/>
    <w:basedOn w:val="1"/>
    <w:qFormat/>
    <w:uiPriority w:val="0"/>
    <w:pPr>
      <w:tabs>
        <w:tab w:val="left" w:pos="1049"/>
      </w:tabs>
      <w:ind w:left="1049" w:hanging="420"/>
    </w:pPr>
    <w:rPr>
      <w:sz w:val="24"/>
    </w:rPr>
  </w:style>
  <w:style w:type="paragraph" w:customStyle="1" w:styleId="1538">
    <w:name w:val="xl136"/>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kern w:val="0"/>
      <w:sz w:val="18"/>
      <w:szCs w:val="20"/>
    </w:rPr>
  </w:style>
  <w:style w:type="paragraph" w:customStyle="1" w:styleId="1539">
    <w:name w:val="图片"/>
    <w:basedOn w:val="1"/>
    <w:next w:val="29"/>
    <w:qFormat/>
    <w:uiPriority w:val="0"/>
    <w:pPr>
      <w:keepNext/>
      <w:widowControl/>
      <w:jc w:val="left"/>
    </w:pPr>
    <w:rPr>
      <w:rFonts w:ascii="Garamond" w:hAnsi="Garamond"/>
      <w:kern w:val="0"/>
      <w:sz w:val="22"/>
      <w:szCs w:val="20"/>
    </w:rPr>
  </w:style>
  <w:style w:type="paragraph" w:customStyle="1" w:styleId="1540">
    <w:name w:val="DS"/>
    <w:basedOn w:val="60"/>
    <w:qFormat/>
    <w:uiPriority w:val="0"/>
    <w:pPr>
      <w:autoSpaceDE/>
      <w:autoSpaceDN/>
      <w:adjustRightInd/>
      <w:ind w:left="34"/>
      <w:jc w:val="center"/>
      <w:textAlignment w:val="center"/>
    </w:pPr>
    <w:rPr>
      <w:rFonts w:ascii="Times New Roman"/>
      <w:iCs/>
      <w:kern w:val="2"/>
      <w:szCs w:val="18"/>
    </w:rPr>
  </w:style>
  <w:style w:type="paragraph" w:customStyle="1" w:styleId="1541">
    <w:name w:val="标题11"/>
    <w:qFormat/>
    <w:uiPriority w:val="0"/>
    <w:pPr>
      <w:widowControl w:val="0"/>
      <w:spacing w:line="360" w:lineRule="auto"/>
      <w:ind w:left="420" w:leftChars="200" w:firstLine="480" w:firstLineChars="200"/>
      <w:jc w:val="both"/>
    </w:pPr>
    <w:rPr>
      <w:rFonts w:ascii="宋体" w:hAnsi="宋体" w:eastAsia="宋体" w:cs="Times New Roman"/>
      <w:b/>
      <w:bCs/>
      <w:kern w:val="2"/>
      <w:sz w:val="24"/>
      <w:szCs w:val="24"/>
      <w:lang w:val="en-US" w:eastAsia="zh-CN" w:bidi="ar-SA"/>
    </w:rPr>
  </w:style>
  <w:style w:type="paragraph" w:customStyle="1" w:styleId="1542">
    <w:name w:val="缩紧正文 Char"/>
    <w:basedOn w:val="1"/>
    <w:qFormat/>
    <w:uiPriority w:val="0"/>
    <w:pPr>
      <w:spacing w:before="120" w:after="120" w:line="400" w:lineRule="exact"/>
      <w:ind w:firstLine="480" w:firstLineChars="200"/>
    </w:pPr>
    <w:rPr>
      <w:rFonts w:ascii="宋体" w:hAnsi="宋体"/>
      <w:sz w:val="24"/>
      <w:szCs w:val="20"/>
    </w:rPr>
  </w:style>
  <w:style w:type="paragraph" w:customStyle="1" w:styleId="1543">
    <w:name w:val="样式 标准正文"/>
    <w:basedOn w:val="1"/>
    <w:qFormat/>
    <w:uiPriority w:val="0"/>
    <w:pPr>
      <w:spacing w:before="120" w:after="120" w:line="360" w:lineRule="auto"/>
      <w:ind w:firstLine="540" w:firstLineChars="225"/>
    </w:pPr>
    <w:rPr>
      <w:rFonts w:ascii="Arial" w:hAnsi="Arial"/>
      <w:snapToGrid w:val="0"/>
      <w:color w:val="000000"/>
      <w:sz w:val="24"/>
      <w:szCs w:val="20"/>
    </w:rPr>
  </w:style>
  <w:style w:type="paragraph" w:customStyle="1" w:styleId="1544">
    <w:name w:val="color666666bg"/>
    <w:basedOn w:val="1"/>
    <w:qFormat/>
    <w:uiPriority w:val="0"/>
    <w:pPr>
      <w:widowControl/>
      <w:shd w:val="clear" w:color="auto" w:fill="666666"/>
      <w:spacing w:before="100" w:beforeAutospacing="1" w:after="100" w:afterAutospacing="1"/>
      <w:jc w:val="left"/>
    </w:pPr>
    <w:rPr>
      <w:rFonts w:ascii="宋体" w:hAnsi="宋体" w:cs="宋体"/>
      <w:color w:val="000000"/>
      <w:kern w:val="0"/>
      <w:sz w:val="24"/>
    </w:rPr>
  </w:style>
  <w:style w:type="paragraph" w:customStyle="1" w:styleId="1545">
    <w:name w:val="Char Char2 Char Char"/>
    <w:basedOn w:val="1"/>
    <w:qFormat/>
    <w:uiPriority w:val="0"/>
    <w:rPr>
      <w:rFonts w:ascii="Tahoma" w:hAnsi="Tahoma"/>
      <w:sz w:val="24"/>
      <w:szCs w:val="20"/>
    </w:rPr>
  </w:style>
  <w:style w:type="paragraph" w:customStyle="1" w:styleId="154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547">
    <w:name w:val="dvs正文"/>
    <w:basedOn w:val="1"/>
    <w:qFormat/>
    <w:uiPriority w:val="0"/>
    <w:pPr>
      <w:spacing w:line="360" w:lineRule="auto"/>
      <w:ind w:firstLine="480" w:firstLineChars="200"/>
    </w:pPr>
    <w:rPr>
      <w:rFonts w:ascii="宋体" w:hAnsi="宋体"/>
      <w:color w:val="000000"/>
      <w:sz w:val="24"/>
    </w:rPr>
  </w:style>
  <w:style w:type="paragraph" w:customStyle="1" w:styleId="1548">
    <w:name w:val="primbutton"/>
    <w:basedOn w:val="1"/>
    <w:qFormat/>
    <w:uiPriority w:val="0"/>
    <w:pPr>
      <w:widowControl/>
      <w:pBdr>
        <w:top w:val="single" w:color="999999" w:sz="12" w:space="0"/>
        <w:left w:val="single" w:color="999999" w:sz="12" w:space="0"/>
        <w:bottom w:val="single" w:color="000000" w:sz="12" w:space="0"/>
        <w:right w:val="single" w:color="000000" w:sz="12" w:space="0"/>
      </w:pBdr>
      <w:shd w:val="clear" w:color="auto" w:fill="333333"/>
      <w:spacing w:before="100" w:beforeAutospacing="1" w:after="100" w:afterAutospacing="1"/>
      <w:jc w:val="center"/>
    </w:pPr>
    <w:rPr>
      <w:rFonts w:ascii="Arial" w:hAnsi="Arial" w:cs="Arial"/>
      <w:b/>
      <w:bCs/>
      <w:color w:val="FFFFFF"/>
      <w:kern w:val="0"/>
      <w:sz w:val="22"/>
      <w:szCs w:val="22"/>
    </w:rPr>
  </w:style>
  <w:style w:type="paragraph" w:customStyle="1" w:styleId="1549">
    <w:name w:val="Char Char Char Char Char Char4"/>
    <w:basedOn w:val="1"/>
    <w:qFormat/>
    <w:uiPriority w:val="0"/>
    <w:rPr>
      <w:sz w:val="24"/>
    </w:rPr>
  </w:style>
  <w:style w:type="paragraph" w:customStyle="1" w:styleId="1550">
    <w:name w:val="样式 (符号) 宋体 四号 首行缩进:  0.99 厘米 行距: 1.5 倍行距"/>
    <w:basedOn w:val="1"/>
    <w:qFormat/>
    <w:uiPriority w:val="0"/>
    <w:pPr>
      <w:spacing w:line="360" w:lineRule="auto"/>
      <w:ind w:firstLine="560"/>
    </w:pPr>
    <w:rPr>
      <w:rFonts w:hAnsi="宋体" w:eastAsia="楷体_GB2312"/>
      <w:color w:val="000000"/>
      <w:sz w:val="28"/>
      <w:szCs w:val="20"/>
    </w:rPr>
  </w:style>
  <w:style w:type="paragraph" w:customStyle="1" w:styleId="1551">
    <w:name w:val="color333333"/>
    <w:basedOn w:val="1"/>
    <w:qFormat/>
    <w:uiPriority w:val="0"/>
    <w:pPr>
      <w:widowControl/>
      <w:spacing w:before="100" w:beforeAutospacing="1" w:after="100" w:afterAutospacing="1"/>
      <w:jc w:val="left"/>
    </w:pPr>
    <w:rPr>
      <w:rFonts w:ascii="宋体" w:hAnsi="宋体" w:cs="宋体"/>
      <w:color w:val="333333"/>
      <w:kern w:val="0"/>
      <w:sz w:val="24"/>
    </w:rPr>
  </w:style>
  <w:style w:type="paragraph" w:customStyle="1" w:styleId="1552">
    <w:name w:val="表格5号字"/>
    <w:basedOn w:val="1"/>
    <w:qFormat/>
    <w:uiPriority w:val="0"/>
    <w:pPr>
      <w:spacing w:line="400" w:lineRule="exact"/>
    </w:pPr>
    <w:rPr>
      <w:rFonts w:ascii="宋体" w:hAnsi="宋体"/>
      <w:szCs w:val="21"/>
    </w:rPr>
  </w:style>
  <w:style w:type="paragraph" w:customStyle="1" w:styleId="1553">
    <w:name w:val="附录标题"/>
    <w:basedOn w:val="317"/>
    <w:qFormat/>
    <w:uiPriority w:val="0"/>
    <w:pPr>
      <w:widowControl/>
      <w:adjustRightInd w:val="0"/>
      <w:snapToGrid w:val="0"/>
      <w:spacing w:before="120" w:beforeLines="0" w:after="60" w:line="400" w:lineRule="exact"/>
      <w:ind w:firstLine="482" w:firstLineChars="0"/>
      <w:jc w:val="center"/>
      <w:textAlignment w:val="baseline"/>
    </w:pPr>
    <w:rPr>
      <w:rFonts w:ascii="Arial" w:hAnsi="Arial" w:eastAsia="黑体"/>
      <w:szCs w:val="20"/>
      <w:lang w:val="en-US"/>
    </w:rPr>
  </w:style>
  <w:style w:type="paragraph" w:customStyle="1" w:styleId="1554">
    <w:name w:val="大纲正文"/>
    <w:basedOn w:val="1"/>
    <w:qFormat/>
    <w:uiPriority w:val="0"/>
    <w:pPr>
      <w:spacing w:line="360" w:lineRule="auto"/>
      <w:ind w:firstLine="480" w:firstLineChars="200"/>
    </w:pPr>
    <w:rPr>
      <w:rFonts w:cs="宋体"/>
      <w:sz w:val="24"/>
      <w:szCs w:val="20"/>
    </w:rPr>
  </w:style>
  <w:style w:type="paragraph" w:customStyle="1" w:styleId="1555">
    <w:name w:val="首信标准正文 Char Char Char Char Char Char Char Char Char Char Char Char Char Char Char Char Char Char Char Char Char Char"/>
    <w:basedOn w:val="1"/>
    <w:qFormat/>
    <w:uiPriority w:val="0"/>
    <w:pPr>
      <w:spacing w:line="360" w:lineRule="auto"/>
    </w:pPr>
    <w:rPr>
      <w:rFonts w:ascii="Tahoma" w:hAnsi="Tahoma"/>
      <w:sz w:val="24"/>
      <w:szCs w:val="20"/>
    </w:rPr>
  </w:style>
  <w:style w:type="paragraph" w:customStyle="1" w:styleId="1556">
    <w:name w:val="样式 文档正文 + 首行缩进:  2 字符2"/>
    <w:basedOn w:val="248"/>
    <w:qFormat/>
    <w:uiPriority w:val="0"/>
    <w:pPr>
      <w:snapToGrid/>
      <w:spacing w:before="0" w:after="0" w:line="360" w:lineRule="auto"/>
    </w:pPr>
    <w:rPr>
      <w:rFonts w:ascii="Times New Roman" w:hAnsi="Times New Roman" w:cs="宋体"/>
      <w:color w:val="000000"/>
      <w:sz w:val="24"/>
      <w:szCs w:val="24"/>
    </w:rPr>
  </w:style>
  <w:style w:type="paragraph" w:customStyle="1" w:styleId="1557">
    <w:name w:val="Char Char3 Char Char Char Char Char Char Char Char Char Char"/>
    <w:basedOn w:val="1"/>
    <w:qFormat/>
    <w:uiPriority w:val="0"/>
    <w:pPr>
      <w:spacing w:line="360" w:lineRule="auto"/>
    </w:pPr>
    <w:rPr>
      <w:rFonts w:ascii="Tahoma" w:hAnsi="Tahoma"/>
      <w:sz w:val="36"/>
      <w:szCs w:val="36"/>
    </w:rPr>
  </w:style>
  <w:style w:type="paragraph" w:customStyle="1" w:styleId="1558">
    <w:name w:val="样式 文档正文 + 首行缩进:  2 字符1"/>
    <w:basedOn w:val="248"/>
    <w:qFormat/>
    <w:uiPriority w:val="0"/>
    <w:pPr>
      <w:snapToGrid/>
      <w:spacing w:before="0" w:after="0" w:line="360" w:lineRule="auto"/>
    </w:pPr>
    <w:rPr>
      <w:rFonts w:ascii="Times New Roman" w:hAnsi="Times New Roman" w:cs="宋体"/>
      <w:color w:val="000000"/>
      <w:sz w:val="24"/>
      <w:szCs w:val="24"/>
    </w:rPr>
  </w:style>
  <w:style w:type="paragraph" w:customStyle="1" w:styleId="1559">
    <w:name w:val="样式 标题 1 + Arial 行距: 1.5 倍行距"/>
    <w:basedOn w:val="3"/>
    <w:qFormat/>
    <w:uiPriority w:val="0"/>
    <w:pPr>
      <w:numPr>
        <w:ilvl w:val="1"/>
        <w:numId w:val="45"/>
      </w:numPr>
      <w:autoSpaceDE/>
      <w:autoSpaceDN/>
      <w:adjustRightInd/>
      <w:spacing w:before="340" w:after="330" w:line="360" w:lineRule="auto"/>
      <w:jc w:val="both"/>
    </w:pPr>
    <w:rPr>
      <w:rFonts w:ascii="Arial" w:hAnsi="Arial" w:cs="宋体"/>
      <w:b w:val="0"/>
      <w:bCs/>
      <w:sz w:val="24"/>
      <w:szCs w:val="24"/>
    </w:rPr>
  </w:style>
  <w:style w:type="paragraph" w:customStyle="1" w:styleId="1560">
    <w:name w:val="Date3"/>
    <w:basedOn w:val="1"/>
    <w:next w:val="1"/>
    <w:qFormat/>
    <w:uiPriority w:val="0"/>
    <w:pPr>
      <w:adjustRightInd w:val="0"/>
      <w:spacing w:line="312" w:lineRule="atLeast"/>
      <w:textAlignment w:val="baseline"/>
    </w:pPr>
    <w:rPr>
      <w:kern w:val="0"/>
      <w:sz w:val="24"/>
      <w:szCs w:val="20"/>
    </w:rPr>
  </w:style>
  <w:style w:type="paragraph" w:customStyle="1" w:styleId="1561">
    <w:name w:val="正文--表格内正文"/>
    <w:basedOn w:val="1"/>
    <w:qFormat/>
    <w:uiPriority w:val="0"/>
    <w:pPr>
      <w:spacing w:before="156" w:beforeLines="50" w:after="156" w:afterLines="50" w:line="360" w:lineRule="auto"/>
      <w:jc w:val="center"/>
    </w:pPr>
    <w:rPr>
      <w:rFonts w:ascii="宋体" w:hAnsi="宋体"/>
      <w:szCs w:val="21"/>
    </w:rPr>
  </w:style>
  <w:style w:type="paragraph" w:customStyle="1" w:styleId="1562">
    <w:name w:val="样式 首行缩进:  2.25 字符"/>
    <w:basedOn w:val="1"/>
    <w:qFormat/>
    <w:uiPriority w:val="0"/>
    <w:pPr>
      <w:spacing w:line="360" w:lineRule="auto"/>
      <w:ind w:firstLine="225" w:firstLineChars="225"/>
    </w:pPr>
    <w:rPr>
      <w:rFonts w:cs="宋体"/>
      <w:szCs w:val="20"/>
    </w:rPr>
  </w:style>
  <w:style w:type="paragraph" w:customStyle="1" w:styleId="1563">
    <w:name w:val="主正文"/>
    <w:basedOn w:val="1"/>
    <w:qFormat/>
    <w:uiPriority w:val="0"/>
    <w:pPr>
      <w:widowControl/>
      <w:overflowPunct w:val="0"/>
      <w:autoSpaceDE w:val="0"/>
      <w:autoSpaceDN w:val="0"/>
      <w:adjustRightInd w:val="0"/>
      <w:spacing w:line="312" w:lineRule="auto"/>
      <w:ind w:firstLine="482"/>
      <w:textAlignment w:val="baseline"/>
    </w:pPr>
    <w:rPr>
      <w:kern w:val="0"/>
      <w:sz w:val="24"/>
      <w:szCs w:val="20"/>
      <w:lang w:val="en-GB"/>
    </w:rPr>
  </w:style>
  <w:style w:type="paragraph" w:customStyle="1" w:styleId="1564">
    <w:name w:val="Table Title"/>
    <w:basedOn w:val="7"/>
    <w:qFormat/>
    <w:uiPriority w:val="0"/>
    <w:pPr>
      <w:autoSpaceDE/>
      <w:autoSpaceDN/>
      <w:adjustRightInd/>
      <w:ind w:firstLine="0"/>
      <w:jc w:val="center"/>
    </w:pPr>
    <w:rPr>
      <w:rFonts w:ascii="Times New Roman"/>
      <w:b/>
    </w:rPr>
  </w:style>
  <w:style w:type="paragraph" w:customStyle="1" w:styleId="1565">
    <w:name w:val="it"/>
    <w:basedOn w:val="1"/>
    <w:qFormat/>
    <w:uiPriority w:val="0"/>
    <w:pPr>
      <w:widowControl/>
      <w:spacing w:before="100" w:beforeAutospacing="1" w:after="100" w:afterAutospacing="1" w:line="330" w:lineRule="atLeast"/>
      <w:jc w:val="left"/>
    </w:pPr>
    <w:rPr>
      <w:rFonts w:ascii="宋体" w:hAnsi="宋体" w:cs="宋体"/>
      <w:color w:val="000000"/>
      <w:kern w:val="0"/>
      <w:sz w:val="18"/>
      <w:szCs w:val="18"/>
    </w:rPr>
  </w:style>
  <w:style w:type="paragraph" w:customStyle="1" w:styleId="1566">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8"/>
      <w:szCs w:val="28"/>
    </w:rPr>
  </w:style>
  <w:style w:type="paragraph" w:customStyle="1" w:styleId="1567">
    <w:name w:val="文字列表"/>
    <w:basedOn w:val="379"/>
    <w:qFormat/>
    <w:uiPriority w:val="0"/>
    <w:pPr>
      <w:tabs>
        <w:tab w:val="left" w:pos="180"/>
      </w:tabs>
      <w:spacing w:after="0" w:line="360" w:lineRule="auto"/>
      <w:ind w:left="720" w:firstLine="0" w:firstLineChars="0"/>
    </w:pPr>
    <w:rPr>
      <w:rFonts w:ascii="宋体" w:hAnsi="宋体"/>
      <w:bCs/>
      <w:sz w:val="24"/>
    </w:rPr>
  </w:style>
  <w:style w:type="paragraph" w:customStyle="1" w:styleId="1568">
    <w:name w:val="Char Char Char Char Char Char Char Char Char2 Char Char Char Char Char Char Char Char Char Char Char Char1"/>
    <w:basedOn w:val="1"/>
    <w:qFormat/>
    <w:uiPriority w:val="0"/>
    <w:rPr>
      <w:rFonts w:ascii="Tahoma" w:hAnsi="Tahoma"/>
      <w:sz w:val="24"/>
      <w:szCs w:val="20"/>
    </w:rPr>
  </w:style>
  <w:style w:type="paragraph" w:customStyle="1" w:styleId="1569">
    <w:name w:val="Char Char2 Char Char Char Char Char Char Char Char"/>
    <w:basedOn w:val="1"/>
    <w:qFormat/>
    <w:uiPriority w:val="0"/>
    <w:rPr>
      <w:rFonts w:ascii="Tahoma" w:hAnsi="Tahoma"/>
      <w:sz w:val="24"/>
      <w:szCs w:val="20"/>
    </w:rPr>
  </w:style>
  <w:style w:type="paragraph" w:customStyle="1" w:styleId="1570">
    <w:name w:val="大特点"/>
    <w:basedOn w:val="1"/>
    <w:qFormat/>
    <w:uiPriority w:val="0"/>
    <w:pPr>
      <w:tabs>
        <w:tab w:val="left" w:pos="425"/>
      </w:tabs>
      <w:spacing w:before="240" w:line="360" w:lineRule="auto"/>
      <w:ind w:left="1260" w:hanging="360"/>
    </w:pPr>
    <w:rPr>
      <w:spacing w:val="12"/>
      <w:sz w:val="24"/>
      <w:szCs w:val="20"/>
    </w:rPr>
  </w:style>
  <w:style w:type="paragraph" w:customStyle="1" w:styleId="1571">
    <w:name w:val="样式 标题 2 + (西文) 宋体"/>
    <w:basedOn w:val="4"/>
    <w:qFormat/>
    <w:uiPriority w:val="0"/>
    <w:pPr>
      <w:tabs>
        <w:tab w:val="left" w:pos="567"/>
        <w:tab w:val="left" w:pos="2552"/>
      </w:tabs>
      <w:autoSpaceDE/>
      <w:autoSpaceDN/>
      <w:adjustRightInd/>
      <w:spacing w:before="260" w:after="260" w:line="413" w:lineRule="auto"/>
      <w:jc w:val="both"/>
    </w:pPr>
    <w:rPr>
      <w:kern w:val="2"/>
      <w:sz w:val="32"/>
    </w:rPr>
  </w:style>
  <w:style w:type="paragraph" w:customStyle="1" w:styleId="1572">
    <w:name w:val="Body Text Keep"/>
    <w:basedOn w:val="19"/>
    <w:qFormat/>
    <w:uiPriority w:val="0"/>
    <w:pPr>
      <w:keepNext/>
      <w:widowControl/>
      <w:tabs>
        <w:tab w:val="clear" w:pos="567"/>
      </w:tabs>
      <w:spacing w:before="0" w:after="220" w:line="220" w:lineRule="atLeast"/>
      <w:ind w:left="1080" w:firstLine="480"/>
      <w:jc w:val="left"/>
    </w:pPr>
    <w:rPr>
      <w:rFonts w:ascii="Times New Roman" w:hAnsi="Times New Roman"/>
      <w:kern w:val="0"/>
      <w:szCs w:val="20"/>
    </w:rPr>
  </w:style>
  <w:style w:type="paragraph" w:customStyle="1" w:styleId="1573">
    <w:name w:val="标准标题1"/>
    <w:basedOn w:val="3"/>
    <w:next w:val="1"/>
    <w:qFormat/>
    <w:uiPriority w:val="0"/>
    <w:pPr>
      <w:pageBreakBefore/>
      <w:numPr>
        <w:ilvl w:val="0"/>
        <w:numId w:val="11"/>
      </w:numPr>
      <w:tabs>
        <w:tab w:val="left" w:pos="360"/>
        <w:tab w:val="clear" w:pos="425"/>
      </w:tabs>
      <w:autoSpaceDE/>
      <w:autoSpaceDN/>
      <w:adjustRightInd/>
      <w:spacing w:before="340" w:after="330" w:line="578" w:lineRule="auto"/>
      <w:ind w:left="432" w:hanging="432"/>
      <w:jc w:val="both"/>
    </w:pPr>
    <w:rPr>
      <w:rFonts w:ascii="黑体" w:hAnsi="黑体" w:eastAsia="黑体" w:cs="华文中宋"/>
      <w:bCs/>
      <w:szCs w:val="44"/>
    </w:rPr>
  </w:style>
  <w:style w:type="paragraph" w:customStyle="1" w:styleId="1574">
    <w:name w:val="标题 38"/>
    <w:basedOn w:val="1"/>
    <w:qFormat/>
    <w:uiPriority w:val="0"/>
    <w:pPr>
      <w:adjustRightInd w:val="0"/>
      <w:snapToGrid w:val="0"/>
      <w:ind w:left="-2" w:leftChars="-1"/>
    </w:pPr>
    <w:rPr>
      <w:rFonts w:ascii="Arial" w:hAnsi="Arial" w:cs="Arial"/>
    </w:rPr>
  </w:style>
  <w:style w:type="paragraph" w:customStyle="1" w:styleId="1575">
    <w:name w:val="正文-带编号1)"/>
    <w:basedOn w:val="1"/>
    <w:qFormat/>
    <w:uiPriority w:val="0"/>
    <w:pPr>
      <w:numPr>
        <w:ilvl w:val="0"/>
        <w:numId w:val="46"/>
      </w:numPr>
      <w:spacing w:line="400" w:lineRule="exact"/>
      <w:ind w:firstLine="0"/>
      <w:jc w:val="left"/>
    </w:pPr>
    <w:rPr>
      <w:rFonts w:ascii="Arial" w:hAnsi="Arial"/>
      <w:sz w:val="24"/>
    </w:rPr>
  </w:style>
  <w:style w:type="paragraph" w:customStyle="1" w:styleId="1576">
    <w:name w:val="Test2"/>
    <w:basedOn w:val="4"/>
    <w:qFormat/>
    <w:uiPriority w:val="0"/>
    <w:pPr>
      <w:widowControl/>
      <w:tabs>
        <w:tab w:val="left" w:pos="2552"/>
      </w:tabs>
      <w:autoSpaceDE/>
      <w:autoSpaceDN/>
      <w:snapToGrid w:val="0"/>
      <w:spacing w:before="260" w:beforeLines="50" w:after="260" w:afterLines="50" w:line="480" w:lineRule="exact"/>
    </w:pPr>
    <w:rPr>
      <w:rFonts w:ascii="黑体"/>
      <w:bCs/>
      <w:snapToGrid w:val="0"/>
      <w:sz w:val="24"/>
      <w:szCs w:val="24"/>
    </w:rPr>
  </w:style>
  <w:style w:type="paragraph" w:customStyle="1" w:styleId="1577">
    <w:name w:val="标题1－1"/>
    <w:basedOn w:val="1"/>
    <w:qFormat/>
    <w:uiPriority w:val="0"/>
    <w:pPr>
      <w:spacing w:line="360" w:lineRule="auto"/>
      <w:ind w:left="1" w:leftChars="-85" w:right="3814" w:hanging="179" w:hangingChars="64"/>
    </w:pPr>
    <w:rPr>
      <w:rFonts w:eastAsia="华文细黑"/>
      <w:bCs/>
      <w:sz w:val="28"/>
      <w:szCs w:val="21"/>
    </w:rPr>
  </w:style>
  <w:style w:type="paragraph" w:customStyle="1" w:styleId="1578">
    <w:name w:val="标题 13"/>
    <w:basedOn w:val="1"/>
    <w:qFormat/>
    <w:uiPriority w:val="0"/>
    <w:pPr>
      <w:tabs>
        <w:tab w:val="left" w:pos="284"/>
      </w:tabs>
      <w:ind w:left="284" w:hanging="284"/>
    </w:pPr>
    <w:rPr>
      <w:szCs w:val="20"/>
    </w:rPr>
  </w:style>
  <w:style w:type="paragraph" w:customStyle="1" w:styleId="157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20"/>
    </w:rPr>
  </w:style>
  <w:style w:type="paragraph" w:customStyle="1" w:styleId="1580">
    <w:name w:val="Char Char Char3"/>
    <w:basedOn w:val="1"/>
    <w:qFormat/>
    <w:uiPriority w:val="0"/>
    <w:rPr>
      <w:rFonts w:ascii="Tahoma" w:hAnsi="Tahoma"/>
      <w:sz w:val="24"/>
      <w:szCs w:val="20"/>
    </w:rPr>
  </w:style>
  <w:style w:type="paragraph" w:customStyle="1" w:styleId="1581">
    <w:name w:val="Char Char3 Char Char Char Char Char Char Char Char Char Char1"/>
    <w:basedOn w:val="1"/>
    <w:qFormat/>
    <w:uiPriority w:val="0"/>
    <w:pPr>
      <w:spacing w:line="360" w:lineRule="auto"/>
    </w:pPr>
    <w:rPr>
      <w:rFonts w:ascii="Tahoma" w:hAnsi="Tahoma"/>
      <w:sz w:val="36"/>
      <w:szCs w:val="36"/>
    </w:rPr>
  </w:style>
  <w:style w:type="paragraph" w:customStyle="1" w:styleId="1582">
    <w:name w:val="正文5"/>
    <w:basedOn w:val="1"/>
    <w:qFormat/>
    <w:uiPriority w:val="0"/>
    <w:pPr>
      <w:spacing w:beforeLines="50" w:afterLines="50" w:line="360" w:lineRule="auto"/>
      <w:ind w:firstLine="420" w:firstLineChars="200"/>
    </w:pPr>
  </w:style>
  <w:style w:type="paragraph" w:customStyle="1" w:styleId="1583">
    <w:name w:val="Char14"/>
    <w:basedOn w:val="1"/>
    <w:qFormat/>
    <w:uiPriority w:val="0"/>
    <w:rPr>
      <w:rFonts w:ascii="仿宋_GB2312" w:eastAsia="仿宋_GB2312"/>
      <w:b/>
      <w:sz w:val="32"/>
      <w:szCs w:val="32"/>
    </w:rPr>
  </w:style>
  <w:style w:type="paragraph" w:customStyle="1" w:styleId="1584">
    <w:name w:val="CM72"/>
    <w:basedOn w:val="278"/>
    <w:next w:val="278"/>
    <w:qFormat/>
    <w:uiPriority w:val="0"/>
    <w:pPr>
      <w:spacing w:line="468" w:lineRule="atLeast"/>
    </w:pPr>
    <w:rPr>
      <w:rFonts w:ascii="楷体_GB2312" w:hAnsi="Times New Roman" w:eastAsia="楷体_GB2312" w:cs="楷体_GB2312"/>
      <w:color w:val="auto"/>
    </w:rPr>
  </w:style>
  <w:style w:type="paragraph" w:customStyle="1" w:styleId="1585">
    <w:name w:val="样式 标题 1 + 宋体 三号"/>
    <w:basedOn w:val="3"/>
    <w:qFormat/>
    <w:uiPriority w:val="0"/>
    <w:pPr>
      <w:pageBreakBefore/>
      <w:widowControl/>
      <w:autoSpaceDE/>
      <w:autoSpaceDN/>
      <w:adjustRightInd/>
      <w:spacing w:before="340" w:after="330" w:line="576" w:lineRule="auto"/>
      <w:jc w:val="both"/>
    </w:pPr>
    <w:rPr>
      <w:rFonts w:ascii="楷体_GB2312" w:hAnsi="宋体" w:eastAsia="楷体_GB2312"/>
      <w:color w:val="000000"/>
      <w:sz w:val="44"/>
    </w:rPr>
  </w:style>
  <w:style w:type="paragraph" w:customStyle="1" w:styleId="1586">
    <w:name w:val="graph"/>
    <w:basedOn w:val="1"/>
    <w:qFormat/>
    <w:uiPriority w:val="0"/>
    <w:pPr>
      <w:adjustRightInd w:val="0"/>
      <w:snapToGrid w:val="0"/>
      <w:spacing w:after="120" w:line="360" w:lineRule="auto"/>
      <w:ind w:left="-2" w:leftChars="-1" w:right="74"/>
      <w:jc w:val="center"/>
      <w:textAlignment w:val="baseline"/>
    </w:pPr>
    <w:rPr>
      <w:rFonts w:hAnsi="Arial" w:cs="Arial"/>
      <w:kern w:val="0"/>
      <w:sz w:val="24"/>
      <w:szCs w:val="20"/>
    </w:rPr>
  </w:style>
  <w:style w:type="paragraph" w:customStyle="1" w:styleId="1587">
    <w:name w:val="首行缩进正文"/>
    <w:basedOn w:val="1"/>
    <w:qFormat/>
    <w:uiPriority w:val="0"/>
    <w:pPr>
      <w:spacing w:line="360" w:lineRule="auto"/>
      <w:ind w:firstLine="480"/>
    </w:pPr>
    <w:rPr>
      <w:sz w:val="24"/>
      <w:szCs w:val="20"/>
    </w:rPr>
  </w:style>
  <w:style w:type="paragraph" w:customStyle="1" w:styleId="1588">
    <w:name w:val="textindent"/>
    <w:basedOn w:val="1"/>
    <w:qFormat/>
    <w:uiPriority w:val="0"/>
    <w:pPr>
      <w:widowControl/>
      <w:spacing w:before="100" w:beforeAutospacing="1" w:after="100" w:afterAutospacing="1"/>
      <w:ind w:firstLine="480"/>
      <w:jc w:val="left"/>
    </w:pPr>
    <w:rPr>
      <w:rFonts w:ascii="宋体" w:hAnsi="宋体" w:cs="宋体"/>
      <w:kern w:val="0"/>
      <w:sz w:val="24"/>
    </w:rPr>
  </w:style>
  <w:style w:type="paragraph" w:customStyle="1" w:styleId="1589">
    <w:name w:val="图注"/>
    <w:basedOn w:val="29"/>
    <w:next w:val="379"/>
    <w:qFormat/>
    <w:uiPriority w:val="0"/>
    <w:pPr>
      <w:spacing w:line="240" w:lineRule="auto"/>
      <w:jc w:val="center"/>
    </w:pPr>
    <w:rPr>
      <w:rFonts w:ascii="宋体" w:hAnsi="宋体" w:eastAsia="宋体"/>
      <w:b/>
      <w:bCs/>
      <w:sz w:val="24"/>
      <w:szCs w:val="24"/>
    </w:rPr>
  </w:style>
  <w:style w:type="paragraph" w:customStyle="1" w:styleId="1590">
    <w:name w:val="标题1，章节第一层"/>
    <w:basedOn w:val="1"/>
    <w:next w:val="317"/>
    <w:qFormat/>
    <w:uiPriority w:val="0"/>
    <w:pPr>
      <w:numPr>
        <w:ilvl w:val="0"/>
        <w:numId w:val="25"/>
      </w:numPr>
      <w:tabs>
        <w:tab w:val="left" w:pos="693"/>
        <w:tab w:val="clear" w:pos="360"/>
      </w:tabs>
      <w:spacing w:before="624" w:beforeLines="200" w:after="624" w:afterLines="200" w:line="300" w:lineRule="auto"/>
      <w:outlineLvl w:val="0"/>
    </w:pPr>
    <w:rPr>
      <w:rFonts w:ascii="Arial" w:hAnsi="Arial" w:eastAsia="黑体"/>
      <w:sz w:val="36"/>
    </w:rPr>
  </w:style>
  <w:style w:type="paragraph" w:customStyle="1" w:styleId="1591">
    <w:name w:val="批注框文本 Char Char"/>
    <w:basedOn w:val="1"/>
    <w:qFormat/>
    <w:uiPriority w:val="0"/>
    <w:rPr>
      <w:sz w:val="18"/>
      <w:szCs w:val="20"/>
    </w:rPr>
  </w:style>
  <w:style w:type="paragraph" w:customStyle="1" w:styleId="1592">
    <w:name w:val="分项斜体"/>
    <w:basedOn w:val="1"/>
    <w:qFormat/>
    <w:uiPriority w:val="0"/>
    <w:pPr>
      <w:widowControl/>
      <w:spacing w:line="360" w:lineRule="auto"/>
      <w:jc w:val="left"/>
    </w:pPr>
    <w:rPr>
      <w:i/>
      <w:kern w:val="0"/>
      <w:sz w:val="24"/>
    </w:rPr>
  </w:style>
  <w:style w:type="paragraph" w:customStyle="1" w:styleId="1593">
    <w:name w:val="插图"/>
    <w:basedOn w:val="6"/>
    <w:next w:val="1"/>
    <w:qFormat/>
    <w:uiPriority w:val="0"/>
    <w:pPr>
      <w:keepNext w:val="0"/>
      <w:tabs>
        <w:tab w:val="left" w:pos="284"/>
      </w:tabs>
      <w:autoSpaceDE/>
      <w:autoSpaceDN/>
      <w:adjustRightInd/>
      <w:spacing w:before="0" w:after="100" w:line="360" w:lineRule="auto"/>
      <w:ind w:left="2892" w:hanging="2892"/>
      <w:jc w:val="center"/>
      <w:outlineLvl w:val="9"/>
    </w:pPr>
    <w:rPr>
      <w:rFonts w:ascii="黑体" w:eastAsia="黑体"/>
      <w:b w:val="0"/>
      <w:kern w:val="2"/>
      <w:sz w:val="21"/>
      <w:szCs w:val="32"/>
      <w:u w:val="none"/>
    </w:rPr>
  </w:style>
  <w:style w:type="paragraph" w:customStyle="1" w:styleId="159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8"/>
      <w:szCs w:val="28"/>
    </w:rPr>
  </w:style>
  <w:style w:type="paragraph" w:customStyle="1" w:styleId="1595">
    <w:name w:val="正文1)"/>
    <w:basedOn w:val="1"/>
    <w:qFormat/>
    <w:uiPriority w:val="0"/>
    <w:pPr>
      <w:tabs>
        <w:tab w:val="left" w:pos="525"/>
      </w:tabs>
      <w:spacing w:line="360" w:lineRule="auto"/>
      <w:ind w:left="525" w:hanging="525"/>
    </w:pPr>
    <w:rPr>
      <w:rFonts w:ascii="Arial" w:hAnsi="Arial"/>
      <w:sz w:val="24"/>
      <w:szCs w:val="20"/>
    </w:rPr>
  </w:style>
  <w:style w:type="paragraph" w:customStyle="1" w:styleId="1596">
    <w:name w:val="文头字"/>
    <w:basedOn w:val="1"/>
    <w:qFormat/>
    <w:uiPriority w:val="0"/>
    <w:pPr>
      <w:widowControl/>
      <w:adjustRightInd w:val="0"/>
      <w:snapToGrid w:val="0"/>
      <w:spacing w:before="200" w:line="360" w:lineRule="auto"/>
      <w:jc w:val="center"/>
      <w:textAlignment w:val="baseline"/>
    </w:pPr>
    <w:rPr>
      <w:rFonts w:ascii="Arial" w:hAnsi="Arial"/>
      <w:b/>
      <w:snapToGrid w:val="0"/>
      <w:color w:val="FF0000"/>
      <w:spacing w:val="100"/>
      <w:kern w:val="0"/>
      <w:sz w:val="48"/>
      <w:szCs w:val="20"/>
    </w:rPr>
  </w:style>
  <w:style w:type="paragraph" w:customStyle="1" w:styleId="1597">
    <w:name w:val="标准书眉一"/>
    <w:qFormat/>
    <w:uiPriority w:val="0"/>
    <w:pPr>
      <w:jc w:val="both"/>
    </w:pPr>
    <w:rPr>
      <w:rFonts w:ascii="Times New Roman" w:hAnsi="Times New Roman" w:eastAsia="宋体" w:cs="Times New Roman"/>
      <w:lang w:val="en-US" w:eastAsia="zh-CN" w:bidi="ar-SA"/>
    </w:rPr>
  </w:style>
  <w:style w:type="paragraph" w:customStyle="1" w:styleId="1598">
    <w:name w:val="标题 01"/>
    <w:basedOn w:val="4"/>
    <w:qFormat/>
    <w:uiPriority w:val="0"/>
    <w:pPr>
      <w:tabs>
        <w:tab w:val="left" w:pos="-420"/>
        <w:tab w:val="left" w:pos="448"/>
        <w:tab w:val="left" w:pos="576"/>
        <w:tab w:val="left" w:pos="2552"/>
      </w:tabs>
      <w:autoSpaceDE/>
      <w:autoSpaceDN/>
      <w:adjustRightInd/>
      <w:spacing w:before="100" w:beforeAutospacing="1" w:after="100" w:afterAutospacing="1" w:line="240" w:lineRule="auto"/>
      <w:jc w:val="left"/>
    </w:pPr>
    <w:rPr>
      <w:rFonts w:eastAsia="宋体" w:cs="Angsana New"/>
      <w:bCs/>
      <w:i/>
      <w:iCs/>
      <w:kern w:val="2"/>
      <w:u w:val="single"/>
    </w:rPr>
  </w:style>
  <w:style w:type="paragraph" w:customStyle="1" w:styleId="1599">
    <w:name w:val="标记1"/>
    <w:basedOn w:val="1"/>
    <w:qFormat/>
    <w:uiPriority w:val="0"/>
    <w:rPr>
      <w:rFonts w:eastAsia="楷体_GB2312"/>
      <w:b/>
      <w:bCs/>
      <w:sz w:val="28"/>
      <w:szCs w:val="20"/>
    </w:rPr>
  </w:style>
  <w:style w:type="paragraph" w:customStyle="1" w:styleId="1600">
    <w:name w:val="一般文字"/>
    <w:basedOn w:val="1"/>
    <w:qFormat/>
    <w:uiPriority w:val="0"/>
    <w:pPr>
      <w:tabs>
        <w:tab w:val="left" w:pos="463"/>
      </w:tabs>
      <w:spacing w:line="360" w:lineRule="auto"/>
      <w:ind w:firstLine="200" w:firstLineChars="200"/>
      <w:jc w:val="left"/>
    </w:pPr>
    <w:rPr>
      <w:rFonts w:ascii="宋体" w:hAnsi="Plotter" w:cs="Plotter"/>
      <w:sz w:val="24"/>
    </w:rPr>
  </w:style>
  <w:style w:type="paragraph" w:customStyle="1" w:styleId="1601">
    <w:name w:val="xl108"/>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kern w:val="0"/>
      <w:sz w:val="28"/>
      <w:szCs w:val="28"/>
    </w:rPr>
  </w:style>
  <w:style w:type="paragraph" w:customStyle="1" w:styleId="1602">
    <w:name w:val="xl116"/>
    <w:basedOn w:val="1"/>
    <w:qFormat/>
    <w:uiPriority w:val="0"/>
    <w:pPr>
      <w:widowControl/>
      <w:pBdr>
        <w:top w:val="single" w:color="auto" w:sz="4" w:space="0"/>
        <w:left w:val="single" w:color="auto" w:sz="4" w:space="0"/>
        <w:right w:val="single" w:color="auto" w:sz="4" w:space="0"/>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1603">
    <w:name w:val="样式 标题 2第一章 标题 2Heading 2 HiddenHeading 2 CCBSheading 2H2h2..."/>
    <w:basedOn w:val="4"/>
    <w:qFormat/>
    <w:uiPriority w:val="0"/>
    <w:pPr>
      <w:keepLines w:val="0"/>
      <w:tabs>
        <w:tab w:val="left" w:pos="420"/>
        <w:tab w:val="left" w:pos="2552"/>
      </w:tabs>
      <w:autoSpaceDE/>
      <w:autoSpaceDN/>
      <w:spacing w:before="260" w:beforeLines="50" w:after="260" w:afterLines="50" w:line="240" w:lineRule="auto"/>
      <w:ind w:left="420" w:hanging="420"/>
      <w:textAlignment w:val="baseline"/>
    </w:pPr>
    <w:rPr>
      <w:rFonts w:ascii="黑体" w:hAnsi="Times New Roman" w:cs="宋体"/>
      <w:b w:val="0"/>
      <w:sz w:val="32"/>
    </w:rPr>
  </w:style>
  <w:style w:type="paragraph" w:customStyle="1" w:styleId="1604">
    <w:name w:val="Char2 Char Char Char1"/>
    <w:basedOn w:val="1"/>
    <w:qFormat/>
    <w:uiPriority w:val="0"/>
    <w:rPr>
      <w:rFonts w:ascii="仿宋_GB2312"/>
      <w:b/>
      <w:sz w:val="30"/>
      <w:szCs w:val="32"/>
    </w:rPr>
  </w:style>
  <w:style w:type="paragraph" w:customStyle="1" w:styleId="1605">
    <w:name w:val="WW正文常用格式"/>
    <w:basedOn w:val="1"/>
    <w:qFormat/>
    <w:uiPriority w:val="0"/>
    <w:pPr>
      <w:spacing w:line="360" w:lineRule="auto"/>
      <w:ind w:firstLine="480" w:firstLineChars="200"/>
    </w:pPr>
    <w:rPr>
      <w:rFonts w:ascii="宋体" w:hAnsi="宋体"/>
      <w:sz w:val="24"/>
      <w:szCs w:val="20"/>
    </w:rPr>
  </w:style>
  <w:style w:type="paragraph" w:customStyle="1" w:styleId="1606">
    <w:name w:val="解释字体"/>
    <w:basedOn w:val="1"/>
    <w:next w:val="1"/>
    <w:qFormat/>
    <w:uiPriority w:val="0"/>
    <w:pPr>
      <w:widowControl/>
      <w:spacing w:after="80"/>
      <w:jc w:val="left"/>
    </w:pPr>
    <w:rPr>
      <w:rFonts w:ascii="Arial" w:hAnsi="Arial"/>
      <w:i/>
      <w:snapToGrid w:val="0"/>
      <w:kern w:val="0"/>
      <w:szCs w:val="20"/>
    </w:rPr>
  </w:style>
  <w:style w:type="paragraph" w:customStyle="1" w:styleId="1607">
    <w:name w:val="bulletlist"/>
    <w:basedOn w:val="1"/>
    <w:qFormat/>
    <w:uiPriority w:val="0"/>
    <w:pPr>
      <w:widowControl/>
      <w:ind w:left="245"/>
      <w:jc w:val="left"/>
    </w:pPr>
    <w:rPr>
      <w:rFonts w:ascii="宋体" w:hAnsi="宋体" w:cs="宋体"/>
      <w:color w:val="000000"/>
      <w:kern w:val="0"/>
      <w:sz w:val="24"/>
    </w:rPr>
  </w:style>
  <w:style w:type="paragraph" w:customStyle="1" w:styleId="1608">
    <w:name w:val="Char Char Char1 Char Char Char Char Char Char Char Char Char Char"/>
    <w:basedOn w:val="1"/>
    <w:qFormat/>
    <w:uiPriority w:val="0"/>
    <w:rPr>
      <w:rFonts w:ascii="Tahoma" w:hAnsi="Tahoma"/>
      <w:sz w:val="24"/>
      <w:szCs w:val="20"/>
    </w:rPr>
  </w:style>
  <w:style w:type="paragraph" w:customStyle="1" w:styleId="1609">
    <w:name w:val="样式 标题 3h3H3level_3PIM 3Level 3 HeadHeading 3 - oldsect1.2...2"/>
    <w:basedOn w:val="6"/>
    <w:qFormat/>
    <w:uiPriority w:val="0"/>
    <w:pPr>
      <w:tabs>
        <w:tab w:val="left" w:pos="1260"/>
      </w:tabs>
      <w:autoSpaceDE/>
      <w:autoSpaceDN/>
      <w:spacing w:before="260" w:after="260" w:line="360" w:lineRule="auto"/>
      <w:ind w:left="1260" w:hanging="420"/>
      <w:jc w:val="both"/>
      <w:textAlignment w:val="baseline"/>
    </w:pPr>
    <w:rPr>
      <w:rFonts w:ascii="Times New Roman" w:eastAsia="黑体" w:cs="宋体"/>
      <w:kern w:val="2"/>
      <w:sz w:val="32"/>
      <w:u w:val="none"/>
    </w:rPr>
  </w:style>
  <w:style w:type="paragraph" w:customStyle="1" w:styleId="1610">
    <w:name w:val="colordcdcdcbg"/>
    <w:basedOn w:val="1"/>
    <w:qFormat/>
    <w:uiPriority w:val="0"/>
    <w:pPr>
      <w:widowControl/>
      <w:shd w:val="clear" w:color="auto" w:fill="DCDCDC"/>
      <w:spacing w:before="100" w:beforeAutospacing="1" w:after="100" w:afterAutospacing="1"/>
      <w:jc w:val="left"/>
    </w:pPr>
    <w:rPr>
      <w:rFonts w:ascii="宋体" w:hAnsi="宋体" w:cs="宋体"/>
      <w:color w:val="000000"/>
      <w:kern w:val="0"/>
      <w:sz w:val="24"/>
    </w:rPr>
  </w:style>
  <w:style w:type="paragraph" w:customStyle="1" w:styleId="1611">
    <w:name w:val="样式 Arial 左侧:  0.43 厘米 段前: 1.4 磅 段后: 2.8 磅"/>
    <w:basedOn w:val="1"/>
    <w:qFormat/>
    <w:uiPriority w:val="0"/>
    <w:pPr>
      <w:spacing w:before="28" w:after="56" w:line="360" w:lineRule="auto"/>
      <w:ind w:left="244" w:firstLine="540" w:firstLineChars="225"/>
    </w:pPr>
    <w:rPr>
      <w:rFonts w:ascii="Arial" w:hAnsi="Arial" w:cs="宋体"/>
      <w:sz w:val="24"/>
    </w:rPr>
  </w:style>
  <w:style w:type="paragraph" w:customStyle="1" w:styleId="1612">
    <w:name w:val="标题 310"/>
    <w:basedOn w:val="1"/>
    <w:qFormat/>
    <w:uiPriority w:val="0"/>
    <w:pPr>
      <w:adjustRightInd w:val="0"/>
      <w:snapToGrid w:val="0"/>
      <w:ind w:left="-2" w:leftChars="-1"/>
    </w:pPr>
    <w:rPr>
      <w:rFonts w:ascii="Arial" w:hAnsi="Arial" w:cs="Arial"/>
    </w:rPr>
  </w:style>
  <w:style w:type="paragraph" w:customStyle="1" w:styleId="1613">
    <w:name w:val="XXXX4"/>
    <w:basedOn w:val="8"/>
    <w:qFormat/>
    <w:uiPriority w:val="0"/>
    <w:pPr>
      <w:keepNext w:val="0"/>
      <w:tabs>
        <w:tab w:val="left" w:pos="864"/>
        <w:tab w:val="left" w:pos="1680"/>
      </w:tabs>
      <w:adjustRightInd/>
      <w:spacing w:before="0" w:after="0" w:line="360" w:lineRule="auto"/>
      <w:ind w:left="1680" w:hanging="420"/>
      <w:textAlignment w:val="auto"/>
    </w:pPr>
    <w:rPr>
      <w:rFonts w:ascii="宋体" w:hAnsi="宋体" w:eastAsia="宋体" w:cs="Courier New"/>
      <w:bCs/>
      <w:color w:val="000000"/>
      <w:kern w:val="11"/>
    </w:rPr>
  </w:style>
  <w:style w:type="paragraph" w:customStyle="1" w:styleId="1614">
    <w:name w:val="Char Char1 Char Char Char Char Char Char2"/>
    <w:basedOn w:val="1"/>
    <w:qFormat/>
    <w:uiPriority w:val="0"/>
    <w:pPr>
      <w:widowControl/>
      <w:spacing w:after="160" w:line="240" w:lineRule="exact"/>
      <w:jc w:val="left"/>
    </w:pPr>
    <w:rPr>
      <w:rFonts w:ascii="Verdana" w:hAnsi="Verdana" w:eastAsia="仿宋_GB2312"/>
      <w:color w:val="000000"/>
      <w:kern w:val="0"/>
      <w:sz w:val="28"/>
      <w:szCs w:val="20"/>
      <w:lang w:eastAsia="en-US"/>
    </w:rPr>
  </w:style>
  <w:style w:type="paragraph" w:customStyle="1" w:styleId="1615">
    <w:name w:val="error"/>
    <w:basedOn w:val="1"/>
    <w:qFormat/>
    <w:uiPriority w:val="0"/>
    <w:pPr>
      <w:widowControl/>
      <w:spacing w:before="100" w:beforeAutospacing="1" w:after="100" w:afterAutospacing="1"/>
      <w:jc w:val="left"/>
    </w:pPr>
    <w:rPr>
      <w:rFonts w:ascii="宋体" w:hAnsi="宋体" w:cs="宋体"/>
      <w:b/>
      <w:bCs/>
      <w:color w:val="FF0000"/>
      <w:kern w:val="0"/>
      <w:sz w:val="24"/>
    </w:rPr>
  </w:style>
  <w:style w:type="paragraph" w:customStyle="1" w:styleId="1616">
    <w:name w:val="表格编号样式2"/>
    <w:basedOn w:val="1046"/>
    <w:qFormat/>
    <w:uiPriority w:val="0"/>
    <w:pPr>
      <w:numPr>
        <w:ilvl w:val="0"/>
        <w:numId w:val="47"/>
      </w:numPr>
      <w:ind w:firstLine="0"/>
    </w:pPr>
  </w:style>
  <w:style w:type="paragraph" w:customStyle="1" w:styleId="1617">
    <w:name w:val="报告正文"/>
    <w:basedOn w:val="1"/>
    <w:qFormat/>
    <w:uiPriority w:val="0"/>
    <w:pPr>
      <w:autoSpaceDE w:val="0"/>
      <w:autoSpaceDN w:val="0"/>
      <w:adjustRightInd w:val="0"/>
      <w:snapToGrid w:val="0"/>
      <w:spacing w:line="480" w:lineRule="atLeast"/>
      <w:ind w:firstLine="200" w:firstLineChars="200"/>
      <w:jc w:val="left"/>
    </w:pPr>
    <w:rPr>
      <w:rFonts w:ascii="仿宋_GB2312" w:hAnsi="宋体" w:eastAsia="仿宋_GB2312"/>
      <w:color w:val="000000"/>
      <w:kern w:val="0"/>
      <w:sz w:val="28"/>
      <w:szCs w:val="20"/>
      <w:lang w:bidi="he-IL"/>
    </w:rPr>
  </w:style>
  <w:style w:type="paragraph" w:customStyle="1" w:styleId="1618">
    <w:name w:val="List 1"/>
    <w:basedOn w:val="1"/>
    <w:qFormat/>
    <w:uiPriority w:val="0"/>
    <w:pPr>
      <w:widowControl/>
      <w:tabs>
        <w:tab w:val="left" w:pos="420"/>
      </w:tabs>
      <w:overflowPunct w:val="0"/>
      <w:autoSpaceDE w:val="0"/>
      <w:autoSpaceDN w:val="0"/>
      <w:adjustRightInd w:val="0"/>
      <w:spacing w:before="120" w:after="120" w:line="360" w:lineRule="auto"/>
      <w:ind w:left="2517" w:hanging="357"/>
      <w:textAlignment w:val="baseline"/>
    </w:pPr>
    <w:rPr>
      <w:rFonts w:ascii="楷体" w:eastAsia="楷体"/>
      <w:kern w:val="0"/>
      <w:sz w:val="24"/>
      <w:szCs w:val="20"/>
    </w:rPr>
  </w:style>
  <w:style w:type="paragraph" w:customStyle="1" w:styleId="1619">
    <w:name w:val="首信标准正文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620">
    <w:name w:val="首信标准正文 Char Char Char Char"/>
    <w:basedOn w:val="1"/>
    <w:qFormat/>
    <w:uiPriority w:val="0"/>
    <w:pPr>
      <w:spacing w:line="360" w:lineRule="auto"/>
    </w:pPr>
    <w:rPr>
      <w:rFonts w:ascii="Tahoma" w:hAnsi="Tahoma"/>
      <w:sz w:val="24"/>
      <w:szCs w:val="20"/>
    </w:rPr>
  </w:style>
  <w:style w:type="paragraph" w:customStyle="1" w:styleId="1621">
    <w:name w:val="编号样式"/>
    <w:basedOn w:val="1"/>
    <w:qFormat/>
    <w:uiPriority w:val="0"/>
    <w:pPr>
      <w:tabs>
        <w:tab w:val="left" w:pos="1100"/>
      </w:tabs>
      <w:spacing w:line="360" w:lineRule="auto"/>
      <w:ind w:left="1100" w:hanging="590"/>
    </w:pPr>
    <w:rPr>
      <w:sz w:val="24"/>
      <w:szCs w:val="20"/>
    </w:rPr>
  </w:style>
  <w:style w:type="paragraph" w:customStyle="1" w:styleId="1622">
    <w:name w:val="tertnavdiv"/>
    <w:basedOn w:val="1"/>
    <w:qFormat/>
    <w:uiPriority w:val="0"/>
    <w:pPr>
      <w:widowControl/>
      <w:shd w:val="clear" w:color="auto" w:fill="CECECE"/>
      <w:spacing w:before="92" w:after="92"/>
      <w:jc w:val="left"/>
    </w:pPr>
    <w:rPr>
      <w:rFonts w:ascii="宋体" w:hAnsi="宋体" w:cs="宋体"/>
      <w:color w:val="000000"/>
      <w:kern w:val="0"/>
      <w:sz w:val="24"/>
    </w:rPr>
  </w:style>
  <w:style w:type="paragraph" w:customStyle="1" w:styleId="1623">
    <w:name w:val="哈哈表格"/>
    <w:basedOn w:val="1"/>
    <w:qFormat/>
    <w:uiPriority w:val="0"/>
    <w:pPr>
      <w:spacing w:line="360" w:lineRule="auto"/>
    </w:pPr>
    <w:rPr>
      <w:rFonts w:ascii="宋体" w:hAnsi="宋体"/>
      <w:sz w:val="24"/>
      <w:szCs w:val="20"/>
    </w:rPr>
  </w:style>
  <w:style w:type="paragraph" w:customStyle="1" w:styleId="1624">
    <w:name w:val="Char1 Char Char Char5"/>
    <w:basedOn w:val="1"/>
    <w:qFormat/>
    <w:uiPriority w:val="0"/>
    <w:rPr>
      <w:rFonts w:ascii="Tahoma" w:hAnsi="Tahoma"/>
      <w:sz w:val="24"/>
      <w:szCs w:val="20"/>
    </w:rPr>
  </w:style>
  <w:style w:type="paragraph" w:customStyle="1" w:styleId="1625">
    <w:name w:val="样式 标题 1Heading 0PIM 1H1h1l1Head 1 (Chapter heading)Head 1..."/>
    <w:basedOn w:val="3"/>
    <w:qFormat/>
    <w:uiPriority w:val="0"/>
    <w:pPr>
      <w:pageBreakBefore/>
      <w:tabs>
        <w:tab w:val="left" w:pos="284"/>
        <w:tab w:val="left" w:pos="432"/>
      </w:tabs>
      <w:autoSpaceDE/>
      <w:autoSpaceDN/>
      <w:adjustRightInd/>
      <w:spacing w:before="340" w:after="330" w:line="360" w:lineRule="auto"/>
      <w:ind w:left="432" w:hanging="432"/>
    </w:pPr>
    <w:rPr>
      <w:rFonts w:ascii="Times New Roman"/>
      <w:sz w:val="36"/>
    </w:rPr>
  </w:style>
  <w:style w:type="paragraph" w:customStyle="1" w:styleId="1626">
    <w:name w:val="正文31"/>
    <w:basedOn w:val="1"/>
    <w:qFormat/>
    <w:uiPriority w:val="0"/>
    <w:pPr>
      <w:adjustRightInd w:val="0"/>
      <w:jc w:val="center"/>
      <w:textAlignment w:val="baseline"/>
    </w:pPr>
    <w:rPr>
      <w:kern w:val="0"/>
      <w:szCs w:val="20"/>
    </w:rPr>
  </w:style>
  <w:style w:type="paragraph" w:customStyle="1" w:styleId="1627">
    <w:name w:val="默认段落字体 Para Char Char Char Char Char Char Char Char Char Char"/>
    <w:basedOn w:val="1"/>
    <w:qFormat/>
    <w:uiPriority w:val="0"/>
    <w:pPr>
      <w:spacing w:line="360" w:lineRule="auto"/>
      <w:ind w:firstLine="200" w:firstLineChars="200"/>
      <w:jc w:val="left"/>
    </w:pPr>
    <w:rPr>
      <w:rFonts w:ascii="Tahoma" w:hAnsi="Tahoma"/>
      <w:sz w:val="24"/>
      <w:szCs w:val="20"/>
    </w:rPr>
  </w:style>
  <w:style w:type="paragraph" w:customStyle="1" w:styleId="1628">
    <w:name w:val="样式 样式4 + 宋体 两端对齐"/>
    <w:basedOn w:val="1332"/>
    <w:qFormat/>
    <w:uiPriority w:val="0"/>
    <w:pPr>
      <w:ind w:firstLine="200"/>
      <w:jc w:val="both"/>
    </w:pPr>
  </w:style>
  <w:style w:type="paragraph" w:customStyle="1" w:styleId="1629">
    <w:name w:val="CM23"/>
    <w:basedOn w:val="278"/>
    <w:next w:val="278"/>
    <w:qFormat/>
    <w:uiPriority w:val="0"/>
    <w:pPr>
      <w:spacing w:line="466" w:lineRule="atLeast"/>
    </w:pPr>
    <w:rPr>
      <w:rFonts w:ascii="楷体_GB2312" w:hAnsi="Times New Roman" w:eastAsia="楷体_GB2312" w:cs="楷体_GB2312"/>
      <w:color w:val="auto"/>
    </w:rPr>
  </w:style>
  <w:style w:type="paragraph" w:customStyle="1" w:styleId="1630">
    <w:name w:val="Char Char Char Char1 Char Char Char Char Char1 Char1"/>
    <w:basedOn w:val="1"/>
    <w:qFormat/>
    <w:uiPriority w:val="0"/>
    <w:pPr>
      <w:keepNext/>
      <w:keepLines/>
      <w:pageBreakBefore/>
      <w:tabs>
        <w:tab w:val="left" w:pos="360"/>
      </w:tabs>
      <w:spacing w:line="360" w:lineRule="auto"/>
    </w:pPr>
    <w:rPr>
      <w:rFonts w:ascii="Tahoma" w:hAnsi="Tahoma"/>
      <w:sz w:val="24"/>
    </w:rPr>
  </w:style>
  <w:style w:type="paragraph" w:customStyle="1" w:styleId="1631">
    <w:name w:val="Char Char2 Char Char3"/>
    <w:basedOn w:val="1"/>
    <w:qFormat/>
    <w:uiPriority w:val="0"/>
    <w:rPr>
      <w:rFonts w:ascii="Tahoma" w:hAnsi="Tahoma"/>
      <w:sz w:val="24"/>
      <w:szCs w:val="20"/>
    </w:rPr>
  </w:style>
  <w:style w:type="paragraph" w:customStyle="1" w:styleId="1632">
    <w:name w:val="d"/>
    <w:basedOn w:val="1"/>
    <w:qFormat/>
    <w:uiPriority w:val="0"/>
    <w:pPr>
      <w:tabs>
        <w:tab w:val="left" w:pos="720"/>
      </w:tabs>
      <w:spacing w:line="360" w:lineRule="auto"/>
      <w:ind w:left="1275" w:leftChars="354" w:right="100" w:rightChars="100" w:hanging="425"/>
      <w:jc w:val="left"/>
    </w:pPr>
    <w:rPr>
      <w:rFonts w:ascii="宋体" w:hAnsi="宋体"/>
      <w:sz w:val="24"/>
      <w:szCs w:val="20"/>
    </w:rPr>
  </w:style>
  <w:style w:type="paragraph" w:customStyle="1" w:styleId="1633">
    <w:name w:val="Norm"/>
    <w:qFormat/>
    <w:uiPriority w:val="0"/>
    <w:pPr>
      <w:spacing w:before="120"/>
      <w:jc w:val="both"/>
    </w:pPr>
    <w:rPr>
      <w:rFonts w:ascii="Times New Roman" w:hAnsi="Times New Roman" w:eastAsia="宋体" w:cs="Times New Roman"/>
      <w:color w:val="000000"/>
      <w:sz w:val="22"/>
      <w:lang w:val="en-US" w:eastAsia="en-US" w:bidi="ar-SA"/>
    </w:rPr>
  </w:style>
  <w:style w:type="paragraph" w:customStyle="1" w:styleId="1634">
    <w:name w:val="图表说明"/>
    <w:basedOn w:val="1"/>
    <w:qFormat/>
    <w:uiPriority w:val="0"/>
    <w:pPr>
      <w:widowControl/>
      <w:overflowPunct w:val="0"/>
      <w:autoSpaceDE w:val="0"/>
      <w:autoSpaceDN w:val="0"/>
      <w:adjustRightInd w:val="0"/>
      <w:spacing w:after="62"/>
      <w:jc w:val="center"/>
    </w:pPr>
    <w:rPr>
      <w:rFonts w:cs="Angsana New"/>
      <w:kern w:val="0"/>
      <w:sz w:val="24"/>
      <w:szCs w:val="20"/>
      <w:lang w:val="en-GB"/>
    </w:rPr>
  </w:style>
  <w:style w:type="paragraph" w:customStyle="1" w:styleId="1635">
    <w:name w:val="Char1 Char Char Char Char Char Char3"/>
    <w:basedOn w:val="1"/>
    <w:qFormat/>
    <w:uiPriority w:val="0"/>
    <w:pPr>
      <w:jc w:val="left"/>
    </w:pPr>
    <w:rPr>
      <w:rFonts w:ascii="Tahoma" w:hAnsi="Tahoma"/>
      <w:sz w:val="24"/>
      <w:szCs w:val="20"/>
    </w:rPr>
  </w:style>
  <w:style w:type="paragraph" w:customStyle="1" w:styleId="1636">
    <w:name w:val="样式 宋体 小四 行距: 1.5 倍行距1"/>
    <w:basedOn w:val="1"/>
    <w:qFormat/>
    <w:uiPriority w:val="0"/>
    <w:pPr>
      <w:spacing w:line="360" w:lineRule="auto"/>
      <w:jc w:val="left"/>
    </w:pPr>
    <w:rPr>
      <w:rFonts w:ascii="宋体" w:hAnsi="宋体"/>
      <w:sz w:val="24"/>
      <w:szCs w:val="20"/>
    </w:rPr>
  </w:style>
  <w:style w:type="paragraph" w:customStyle="1" w:styleId="1637">
    <w:name w:val="哈哈序号1"/>
    <w:basedOn w:val="672"/>
    <w:qFormat/>
    <w:uiPriority w:val="0"/>
    <w:pPr>
      <w:tabs>
        <w:tab w:val="left" w:pos="780"/>
        <w:tab w:val="left" w:pos="900"/>
        <w:tab w:val="left" w:pos="1500"/>
      </w:tabs>
      <w:ind w:left="900" w:leftChars="200" w:hanging="420" w:firstLineChars="0"/>
      <w:jc w:val="both"/>
    </w:pPr>
    <w:rPr>
      <w:b/>
      <w:kern w:val="2"/>
    </w:rPr>
  </w:style>
  <w:style w:type="paragraph" w:customStyle="1" w:styleId="1638">
    <w:name w:val="表格0"/>
    <w:basedOn w:val="1"/>
    <w:next w:val="317"/>
    <w:qFormat/>
    <w:uiPriority w:val="0"/>
    <w:pPr>
      <w:widowControl/>
      <w:tabs>
        <w:tab w:val="left" w:pos="900"/>
      </w:tabs>
      <w:adjustRightInd w:val="0"/>
      <w:snapToGrid w:val="0"/>
      <w:ind w:left="900" w:hanging="420"/>
      <w:textAlignment w:val="baseline"/>
    </w:pPr>
    <w:rPr>
      <w:rFonts w:ascii="Arial" w:hAnsi="Arial"/>
      <w:color w:val="FFFFFF"/>
      <w:kern w:val="0"/>
      <w:sz w:val="24"/>
      <w:szCs w:val="20"/>
    </w:rPr>
  </w:style>
  <w:style w:type="paragraph" w:customStyle="1" w:styleId="1639">
    <w:name w:val="样式 标题 6Legal Level 1.sub-dashsd5cnpCaption number (page-wi..."/>
    <w:basedOn w:val="1"/>
    <w:qFormat/>
    <w:uiPriority w:val="0"/>
    <w:rPr>
      <w:b/>
      <w:bCs/>
      <w:sz w:val="24"/>
    </w:rPr>
  </w:style>
  <w:style w:type="paragraph" w:customStyle="1" w:styleId="1640">
    <w:name w:val="xl64"/>
    <w:basedOn w:val="1"/>
    <w:qFormat/>
    <w:uiPriority w:val="0"/>
    <w:pPr>
      <w:widowControl/>
      <w:pBdr>
        <w:top w:val="single" w:color="auto" w:sz="4" w:space="0"/>
        <w:left w:val="single" w:color="auto" w:sz="8" w:space="0"/>
        <w:bottom w:val="single" w:color="auto" w:sz="4" w:space="0"/>
        <w:right w:val="single" w:color="auto" w:sz="4" w:space="0"/>
      </w:pBdr>
      <w:shd w:val="clear" w:color="auto" w:fill="FFCC99"/>
      <w:spacing w:before="100" w:beforeAutospacing="1" w:after="100" w:afterAutospacing="1"/>
      <w:jc w:val="right"/>
    </w:pPr>
    <w:rPr>
      <w:rFonts w:ascii="宋体" w:hAnsi="宋体"/>
      <w:b/>
      <w:kern w:val="0"/>
      <w:sz w:val="20"/>
      <w:szCs w:val="20"/>
    </w:rPr>
  </w:style>
  <w:style w:type="paragraph" w:customStyle="1" w:styleId="1641">
    <w:name w:val="图表"/>
    <w:basedOn w:val="1"/>
    <w:qFormat/>
    <w:uiPriority w:val="0"/>
    <w:pPr>
      <w:keepNext/>
      <w:widowControl/>
      <w:tabs>
        <w:tab w:val="left" w:pos="840"/>
      </w:tabs>
      <w:spacing w:before="120" w:after="120" w:line="360" w:lineRule="auto"/>
      <w:ind w:left="840" w:hanging="360"/>
      <w:jc w:val="center"/>
    </w:pPr>
    <w:rPr>
      <w:kern w:val="0"/>
      <w:sz w:val="24"/>
      <w:szCs w:val="20"/>
      <w:lang w:eastAsia="en-US"/>
    </w:rPr>
  </w:style>
  <w:style w:type="paragraph" w:customStyle="1" w:styleId="1642">
    <w:name w:val="MyPoints"/>
    <w:basedOn w:val="1"/>
    <w:qFormat/>
    <w:uiPriority w:val="0"/>
    <w:pPr>
      <w:widowControl/>
      <w:ind w:left="936" w:hanging="360"/>
      <w:jc w:val="left"/>
    </w:pPr>
    <w:rPr>
      <w:rFonts w:ascii="Century Gothic" w:hAnsi="Century Gothic"/>
      <w:kern w:val="0"/>
      <w:sz w:val="20"/>
      <w:szCs w:val="20"/>
      <w:lang w:val="en-GB" w:eastAsia="en-US"/>
    </w:rPr>
  </w:style>
  <w:style w:type="paragraph" w:customStyle="1" w:styleId="1643">
    <w:name w:val="Char2 Char Char Char"/>
    <w:basedOn w:val="1"/>
    <w:qFormat/>
    <w:uiPriority w:val="0"/>
    <w:rPr>
      <w:rFonts w:ascii="仿宋_GB2312"/>
      <w:b/>
      <w:sz w:val="30"/>
      <w:szCs w:val="32"/>
    </w:rPr>
  </w:style>
  <w:style w:type="paragraph" w:customStyle="1" w:styleId="1644">
    <w:name w:val="文章标题"/>
    <w:next w:val="1645"/>
    <w:qFormat/>
    <w:uiPriority w:val="0"/>
    <w:pPr>
      <w:spacing w:beforeLines="800" w:afterLines="100"/>
      <w:jc w:val="center"/>
    </w:pPr>
    <w:rPr>
      <w:rFonts w:ascii="Arial" w:hAnsi="Arial" w:eastAsia="黑体" w:cs="宋体"/>
      <w:bCs/>
      <w:kern w:val="2"/>
      <w:sz w:val="52"/>
      <w:lang w:val="en-US" w:eastAsia="zh-CN" w:bidi="ar-SA"/>
    </w:rPr>
  </w:style>
  <w:style w:type="paragraph" w:customStyle="1" w:styleId="1645">
    <w:name w:val="封面公司名"/>
    <w:qFormat/>
    <w:uiPriority w:val="0"/>
    <w:pPr>
      <w:jc w:val="center"/>
    </w:pPr>
    <w:rPr>
      <w:rFonts w:ascii="Arial" w:hAnsi="Arial" w:eastAsia="楷体_GB2312" w:cs="宋体"/>
      <w:bCs/>
      <w:kern w:val="2"/>
      <w:sz w:val="28"/>
      <w:lang w:val="en-US" w:eastAsia="zh-CN" w:bidi="ar-SA"/>
    </w:rPr>
  </w:style>
  <w:style w:type="paragraph" w:customStyle="1" w:styleId="1646">
    <w:name w:val="引用3"/>
    <w:qFormat/>
    <w:uiPriority w:val="0"/>
    <w:pPr>
      <w:spacing w:after="160" w:line="240" w:lineRule="atLeast"/>
    </w:pPr>
    <w:rPr>
      <w:rFonts w:ascii="Arial" w:hAnsi="Arial" w:eastAsia="宋体" w:cs="Times New Roman"/>
      <w:i/>
      <w:color w:val="808080"/>
      <w:lang w:val="en-US" w:eastAsia="en-US" w:bidi="he-IL"/>
    </w:rPr>
  </w:style>
  <w:style w:type="paragraph" w:customStyle="1" w:styleId="1647">
    <w:name w:val="正文4"/>
    <w:basedOn w:val="1"/>
    <w:qFormat/>
    <w:uiPriority w:val="0"/>
    <w:pPr>
      <w:adjustRightInd w:val="0"/>
      <w:spacing w:before="80" w:after="80" w:line="312" w:lineRule="atLeast"/>
      <w:ind w:firstLine="425"/>
      <w:textAlignment w:val="baseline"/>
    </w:pPr>
    <w:rPr>
      <w:kern w:val="0"/>
      <w:szCs w:val="20"/>
    </w:rPr>
  </w:style>
  <w:style w:type="paragraph" w:customStyle="1" w:styleId="1648">
    <w:name w:val="正文文本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649">
    <w:name w:val="封面标题"/>
    <w:qFormat/>
    <w:uiPriority w:val="0"/>
    <w:pPr>
      <w:jc w:val="center"/>
    </w:pPr>
    <w:rPr>
      <w:rFonts w:ascii="Times New Roman" w:hAnsi="Times New Roman" w:eastAsia="宋体" w:cs="Times New Roman"/>
      <w:b/>
      <w:kern w:val="2"/>
      <w:sz w:val="72"/>
      <w:szCs w:val="72"/>
      <w:lang w:val="en-US" w:eastAsia="zh-CN" w:bidi="ar-SA"/>
    </w:rPr>
  </w:style>
  <w:style w:type="paragraph" w:customStyle="1" w:styleId="1650">
    <w:name w:val="CM22"/>
    <w:basedOn w:val="278"/>
    <w:next w:val="278"/>
    <w:qFormat/>
    <w:uiPriority w:val="0"/>
    <w:pPr>
      <w:spacing w:line="468" w:lineRule="atLeast"/>
    </w:pPr>
    <w:rPr>
      <w:rFonts w:ascii="楷体_GB2312" w:hAnsi="Times New Roman" w:eastAsia="楷体_GB2312" w:cs="楷体_GB2312"/>
      <w:color w:val="auto"/>
    </w:rPr>
  </w:style>
  <w:style w:type="paragraph" w:customStyle="1" w:styleId="1651">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652">
    <w:name w:val="Char Char3 Char Char Char Char Char Char Char Char Char Char Char Char1"/>
    <w:basedOn w:val="1"/>
    <w:qFormat/>
    <w:uiPriority w:val="0"/>
    <w:pPr>
      <w:spacing w:line="360" w:lineRule="auto"/>
    </w:pPr>
    <w:rPr>
      <w:rFonts w:ascii="Tahoma" w:hAnsi="Tahoma"/>
      <w:sz w:val="36"/>
      <w:szCs w:val="36"/>
    </w:rPr>
  </w:style>
  <w:style w:type="paragraph" w:customStyle="1" w:styleId="1653">
    <w:name w:val="样式 小四 行距: 1.5 倍行距"/>
    <w:basedOn w:val="1"/>
    <w:qFormat/>
    <w:uiPriority w:val="0"/>
    <w:pPr>
      <w:spacing w:line="360" w:lineRule="auto"/>
      <w:ind w:firstLine="420" w:firstLineChars="200"/>
    </w:pPr>
    <w:rPr>
      <w:sz w:val="24"/>
      <w:szCs w:val="20"/>
    </w:rPr>
  </w:style>
  <w:style w:type="paragraph" w:customStyle="1" w:styleId="1654">
    <w:name w:val="样式 标题 3 + 字距调整四号"/>
    <w:basedOn w:val="6"/>
    <w:qFormat/>
    <w:uiPriority w:val="0"/>
    <w:pPr>
      <w:keepNext w:val="0"/>
      <w:tabs>
        <w:tab w:val="left" w:pos="709"/>
      </w:tabs>
      <w:autoSpaceDE/>
      <w:autoSpaceDN/>
      <w:adjustRightInd/>
      <w:spacing w:before="0" w:after="0"/>
      <w:ind w:left="709" w:hanging="709" w:firstLineChars="200"/>
    </w:pPr>
    <w:rPr>
      <w:rFonts w:hAnsi="宋体"/>
      <w:bCs/>
      <w:kern w:val="28"/>
      <w:sz w:val="32"/>
      <w:szCs w:val="32"/>
      <w:u w:val="none"/>
    </w:rPr>
  </w:style>
  <w:style w:type="paragraph" w:customStyle="1" w:styleId="1655">
    <w:name w:val="xl71"/>
    <w:basedOn w:val="1"/>
    <w:qFormat/>
    <w:uiPriority w:val="0"/>
    <w:pPr>
      <w:widowControl/>
      <w:pBdr>
        <w:bottom w:val="single" w:color="auto" w:sz="8" w:space="0"/>
        <w:right w:val="single" w:color="auto" w:sz="4" w:space="0"/>
      </w:pBdr>
      <w:spacing w:before="100" w:beforeAutospacing="1" w:after="100" w:afterAutospacing="1"/>
      <w:jc w:val="right"/>
    </w:pPr>
    <w:rPr>
      <w:rFonts w:ascii="宋体" w:hAnsi="宋体"/>
      <w:b/>
      <w:kern w:val="0"/>
      <w:sz w:val="24"/>
      <w:szCs w:val="20"/>
    </w:rPr>
  </w:style>
  <w:style w:type="paragraph" w:customStyle="1" w:styleId="1656">
    <w:name w:val="样式 首行缩进:  0.99 厘米"/>
    <w:basedOn w:val="1"/>
    <w:qFormat/>
    <w:uiPriority w:val="0"/>
    <w:pPr>
      <w:spacing w:line="360" w:lineRule="auto"/>
      <w:ind w:firstLine="561"/>
      <w:textAlignment w:val="baseline"/>
    </w:pPr>
    <w:rPr>
      <w:rFonts w:eastAsia="仿宋_GB2312"/>
      <w:color w:val="000000"/>
      <w:sz w:val="28"/>
      <w:szCs w:val="28"/>
      <w:u w:color="000000"/>
    </w:rPr>
  </w:style>
  <w:style w:type="paragraph" w:customStyle="1" w:styleId="1657">
    <w:name w:val="文档正文 Char Char"/>
    <w:basedOn w:val="1"/>
    <w:qFormat/>
    <w:uiPriority w:val="0"/>
    <w:pPr>
      <w:adjustRightInd w:val="0"/>
      <w:spacing w:line="360" w:lineRule="auto"/>
      <w:ind w:firstLine="200" w:firstLineChars="200"/>
      <w:textAlignment w:val="baseline"/>
    </w:pPr>
    <w:rPr>
      <w:kern w:val="0"/>
      <w:sz w:val="24"/>
      <w:szCs w:val="28"/>
    </w:rPr>
  </w:style>
  <w:style w:type="paragraph" w:customStyle="1" w:styleId="1658">
    <w:name w:val="政务正文"/>
    <w:basedOn w:val="1"/>
    <w:qFormat/>
    <w:uiPriority w:val="0"/>
    <w:pPr>
      <w:tabs>
        <w:tab w:val="left" w:pos="4746"/>
      </w:tabs>
      <w:spacing w:afterLines="50" w:line="360" w:lineRule="auto"/>
      <w:ind w:firstLine="372" w:firstLineChars="177"/>
    </w:pPr>
    <w:rPr>
      <w:rFonts w:ascii="宋体" w:hAnsi="宋体"/>
      <w:szCs w:val="21"/>
    </w:rPr>
  </w:style>
  <w:style w:type="paragraph" w:customStyle="1" w:styleId="1659">
    <w:name w:val="技术规格数标题4"/>
    <w:basedOn w:val="9"/>
    <w:next w:val="1"/>
    <w:qFormat/>
    <w:uiPriority w:val="0"/>
    <w:pPr>
      <w:widowControl/>
      <w:tabs>
        <w:tab w:val="left" w:pos="2127"/>
        <w:tab w:val="left" w:pos="6946"/>
        <w:tab w:val="left" w:pos="8804"/>
      </w:tabs>
      <w:adjustRightInd/>
      <w:spacing w:before="60" w:after="60" w:line="360" w:lineRule="auto"/>
      <w:ind w:left="180" w:leftChars="75" w:right="104" w:rightChars="104"/>
      <w:jc w:val="left"/>
      <w:textAlignment w:val="auto"/>
    </w:pPr>
    <w:rPr>
      <w:rFonts w:ascii="宋体" w:hAnsi="宋体"/>
      <w:sz w:val="24"/>
    </w:rPr>
  </w:style>
  <w:style w:type="paragraph" w:customStyle="1" w:styleId="1660">
    <w:name w:val="xl61"/>
    <w:basedOn w:val="1"/>
    <w:qFormat/>
    <w:uiPriority w:val="0"/>
    <w:pPr>
      <w:widowControl/>
      <w:pBdr>
        <w:top w:val="single" w:color="auto" w:sz="4" w:space="0"/>
        <w:left w:val="single" w:color="auto" w:sz="4" w:space="0"/>
        <w:bottom w:val="single" w:color="auto" w:sz="4" w:space="0"/>
        <w:right w:val="single" w:color="auto" w:sz="4" w:space="0"/>
      </w:pBdr>
      <w:shd w:val="clear" w:color="auto" w:fill="CCFFCC"/>
      <w:spacing w:before="100" w:beforeAutospacing="1" w:after="100" w:afterAutospacing="1"/>
      <w:jc w:val="center"/>
    </w:pPr>
    <w:rPr>
      <w:rFonts w:ascii="Arial" w:hAnsi="Arial"/>
      <w:b/>
      <w:kern w:val="0"/>
      <w:sz w:val="20"/>
      <w:szCs w:val="20"/>
    </w:rPr>
  </w:style>
  <w:style w:type="paragraph" w:customStyle="1" w:styleId="1661">
    <w:name w:val="样式 标题 3Heading 3 - oldH3h3l3CT3rd levelLevel 3 HeadBold ..."/>
    <w:basedOn w:val="6"/>
    <w:qFormat/>
    <w:uiPriority w:val="0"/>
    <w:pPr>
      <w:widowControl/>
      <w:tabs>
        <w:tab w:val="left" w:pos="567"/>
      </w:tabs>
      <w:autoSpaceDE/>
      <w:autoSpaceDN/>
      <w:adjustRightInd/>
      <w:spacing w:before="156" w:after="156" w:line="360" w:lineRule="auto"/>
    </w:pPr>
    <w:rPr>
      <w:rFonts w:ascii="Calibri" w:hAnsi="Calibri" w:eastAsia="黑体" w:cs="宋体"/>
      <w:bCs/>
      <w:kern w:val="2"/>
      <w:szCs w:val="24"/>
      <w:u w:val="none"/>
    </w:rPr>
  </w:style>
  <w:style w:type="paragraph" w:customStyle="1" w:styleId="1662">
    <w:name w:val="签署页"/>
    <w:basedOn w:val="1"/>
    <w:qFormat/>
    <w:uiPriority w:val="0"/>
    <w:pPr>
      <w:widowControl/>
      <w:adjustRightInd w:val="0"/>
      <w:snapToGrid w:val="0"/>
      <w:spacing w:line="480" w:lineRule="auto"/>
      <w:ind w:left="2438" w:hanging="1701"/>
      <w:textAlignment w:val="baseline"/>
    </w:pPr>
    <w:rPr>
      <w:rFonts w:ascii="宋体" w:hAnsi="Arial"/>
      <w:spacing w:val="6"/>
      <w:kern w:val="0"/>
      <w:sz w:val="32"/>
      <w:szCs w:val="20"/>
    </w:rPr>
  </w:style>
  <w:style w:type="paragraph" w:customStyle="1" w:styleId="1663">
    <w:name w:val="正文排序2"/>
    <w:basedOn w:val="1"/>
    <w:qFormat/>
    <w:uiPriority w:val="0"/>
    <w:pPr>
      <w:numPr>
        <w:ilvl w:val="1"/>
        <w:numId w:val="48"/>
      </w:numPr>
      <w:tabs>
        <w:tab w:val="left" w:pos="510"/>
        <w:tab w:val="clear" w:pos="576"/>
      </w:tabs>
      <w:spacing w:beforeLines="50"/>
    </w:pPr>
    <w:rPr>
      <w:sz w:val="24"/>
    </w:rPr>
  </w:style>
  <w:style w:type="paragraph" w:customStyle="1" w:styleId="1664">
    <w:name w:val="图名2"/>
    <w:basedOn w:val="1"/>
    <w:qFormat/>
    <w:uiPriority w:val="0"/>
    <w:pPr>
      <w:widowControl/>
      <w:tabs>
        <w:tab w:val="left" w:leader="dot" w:pos="1701"/>
        <w:tab w:val="left" w:pos="9072"/>
      </w:tabs>
      <w:snapToGrid w:val="0"/>
      <w:spacing w:before="120" w:after="360" w:line="360" w:lineRule="atLeast"/>
      <w:jc w:val="center"/>
    </w:pPr>
    <w:rPr>
      <w:rFonts w:ascii="Arial" w:hAnsi="Arial" w:eastAsia="黑体"/>
      <w:kern w:val="21"/>
      <w:sz w:val="18"/>
      <w:szCs w:val="20"/>
    </w:rPr>
  </w:style>
  <w:style w:type="paragraph" w:customStyle="1" w:styleId="1665">
    <w:name w:val="政务样式 正文首行缩进"/>
    <w:basedOn w:val="1"/>
    <w:qFormat/>
    <w:uiPriority w:val="0"/>
    <w:pPr>
      <w:spacing w:line="360" w:lineRule="auto"/>
      <w:ind w:firstLine="480" w:firstLineChars="200"/>
    </w:pPr>
    <w:rPr>
      <w:sz w:val="24"/>
    </w:rPr>
  </w:style>
  <w:style w:type="paragraph" w:customStyle="1" w:styleId="1666">
    <w:name w:val="xl109"/>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b/>
      <w:bCs/>
      <w:color w:val="0000FF"/>
      <w:kern w:val="0"/>
      <w:sz w:val="28"/>
      <w:szCs w:val="28"/>
    </w:rPr>
  </w:style>
  <w:style w:type="paragraph" w:customStyle="1" w:styleId="1667">
    <w:name w:val="Char Char3 Char Char Char Char Char Char Char Char Char Char2"/>
    <w:basedOn w:val="1"/>
    <w:qFormat/>
    <w:uiPriority w:val="0"/>
    <w:pPr>
      <w:spacing w:line="360" w:lineRule="auto"/>
    </w:pPr>
    <w:rPr>
      <w:rFonts w:ascii="Tahoma" w:hAnsi="Tahoma"/>
      <w:sz w:val="36"/>
      <w:szCs w:val="36"/>
    </w:rPr>
  </w:style>
  <w:style w:type="paragraph" w:customStyle="1" w:styleId="1668">
    <w:name w:val="附录2层"/>
    <w:basedOn w:val="1"/>
    <w:next w:val="317"/>
    <w:qFormat/>
    <w:uiPriority w:val="0"/>
    <w:pPr>
      <w:widowControl/>
      <w:adjustRightInd w:val="0"/>
      <w:snapToGrid w:val="0"/>
      <w:spacing w:line="360" w:lineRule="atLeast"/>
      <w:textAlignment w:val="baseline"/>
    </w:pPr>
    <w:rPr>
      <w:rFonts w:ascii="黑体" w:eastAsia="黑体"/>
      <w:kern w:val="0"/>
      <w:sz w:val="24"/>
      <w:szCs w:val="20"/>
    </w:rPr>
  </w:style>
  <w:style w:type="paragraph" w:customStyle="1" w:styleId="1669">
    <w:name w:val="Char2 Char Char Char Char Char Char3"/>
    <w:basedOn w:val="1"/>
    <w:qFormat/>
    <w:uiPriority w:val="0"/>
    <w:rPr>
      <w:rFonts w:ascii="仿宋_GB2312"/>
      <w:b/>
      <w:sz w:val="30"/>
      <w:szCs w:val="32"/>
    </w:rPr>
  </w:style>
  <w:style w:type="paragraph" w:customStyle="1" w:styleId="1670">
    <w:name w:val="l正文"/>
    <w:qFormat/>
    <w:uiPriority w:val="0"/>
    <w:pPr>
      <w:spacing w:line="360" w:lineRule="auto"/>
      <w:ind w:firstLine="200" w:firstLineChars="200"/>
      <w:jc w:val="both"/>
    </w:pPr>
    <w:rPr>
      <w:rFonts w:ascii="楷体_GB2312" w:hAnsi="Times New Roman" w:eastAsia="楷体_GB2312" w:cs="Times New Roman"/>
      <w:sz w:val="24"/>
      <w:lang w:val="en-US" w:eastAsia="zh-CN" w:bidi="ar-SA"/>
    </w:rPr>
  </w:style>
  <w:style w:type="paragraph" w:customStyle="1" w:styleId="1671">
    <w:name w:val="标题 3（绿盟科技）"/>
    <w:basedOn w:val="6"/>
    <w:next w:val="1"/>
    <w:qFormat/>
    <w:uiPriority w:val="0"/>
    <w:pPr>
      <w:numPr>
        <w:ilvl w:val="2"/>
        <w:numId w:val="17"/>
      </w:numPr>
      <w:tabs>
        <w:tab w:val="left" w:pos="960"/>
      </w:tabs>
      <w:autoSpaceDE/>
      <w:autoSpaceDN/>
      <w:adjustRightInd/>
      <w:spacing w:before="260" w:after="260" w:line="415" w:lineRule="auto"/>
    </w:pPr>
    <w:rPr>
      <w:rFonts w:ascii="Arial" w:hAnsi="Arial" w:eastAsia="黑体"/>
      <w:sz w:val="30"/>
      <w:szCs w:val="30"/>
      <w:u w:val="none"/>
    </w:rPr>
  </w:style>
  <w:style w:type="paragraph" w:customStyle="1" w:styleId="1672">
    <w:name w:val="样式 正文文字 + 小四 段后: 0 磅 行距: 1.5 倍行距"/>
    <w:basedOn w:val="19"/>
    <w:qFormat/>
    <w:uiPriority w:val="0"/>
    <w:pPr>
      <w:tabs>
        <w:tab w:val="clear" w:pos="567"/>
      </w:tabs>
      <w:spacing w:before="0" w:line="360" w:lineRule="auto"/>
      <w:ind w:firstLine="480" w:firstLineChars="200"/>
    </w:pPr>
    <w:rPr>
      <w:rFonts w:ascii="Times New Roman" w:hAnsi="Times New Roman" w:cs="宋体"/>
      <w:szCs w:val="20"/>
    </w:rPr>
  </w:style>
  <w:style w:type="paragraph" w:customStyle="1" w:styleId="1673">
    <w:name w:val="temp"/>
    <w:basedOn w:val="1"/>
    <w:qFormat/>
    <w:uiPriority w:val="0"/>
    <w:pPr>
      <w:spacing w:line="0" w:lineRule="atLeast"/>
      <w:jc w:val="center"/>
    </w:pPr>
    <w:rPr>
      <w:rFonts w:ascii="Arial" w:hAnsi="Arial" w:eastAsia="楷体_GB2312"/>
      <w:sz w:val="14"/>
      <w:szCs w:val="20"/>
    </w:rPr>
  </w:style>
  <w:style w:type="paragraph" w:customStyle="1" w:styleId="1674">
    <w:name w:val="xl107"/>
    <w:basedOn w:val="1"/>
    <w:qFormat/>
    <w:uiPriority w:val="0"/>
    <w:pPr>
      <w:widowControl/>
      <w:pBdr>
        <w:top w:val="single" w:color="auto" w:sz="4" w:space="0"/>
        <w:left w:val="single" w:color="auto" w:sz="8"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color w:val="0000FF"/>
      <w:kern w:val="0"/>
      <w:sz w:val="28"/>
      <w:szCs w:val="28"/>
    </w:rPr>
  </w:style>
  <w:style w:type="paragraph" w:customStyle="1" w:styleId="1675">
    <w:name w:val="smallbold"/>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1676">
    <w:name w:val="封面落款"/>
    <w:qFormat/>
    <w:uiPriority w:val="0"/>
    <w:pPr>
      <w:adjustRightInd w:val="0"/>
      <w:snapToGrid w:val="0"/>
      <w:spacing w:line="360" w:lineRule="auto"/>
      <w:jc w:val="center"/>
    </w:pPr>
    <w:rPr>
      <w:rFonts w:ascii="Times New Roman" w:hAnsi="Times New Roman" w:eastAsia="楷体_GB2312" w:cs="Times New Roman"/>
      <w:b/>
      <w:snapToGrid w:val="0"/>
      <w:color w:val="000000"/>
      <w:spacing w:val="60"/>
      <w:sz w:val="30"/>
      <w:szCs w:val="30"/>
      <w:lang w:val="en-US" w:eastAsia="zh-CN" w:bidi="ar-SA"/>
    </w:rPr>
  </w:style>
  <w:style w:type="paragraph" w:customStyle="1" w:styleId="1677">
    <w:name w:val="样式 标题 1 + 行距: 1.5 倍行距"/>
    <w:basedOn w:val="3"/>
    <w:qFormat/>
    <w:uiPriority w:val="0"/>
    <w:pPr>
      <w:pageBreakBefore/>
      <w:tabs>
        <w:tab w:val="left" w:pos="284"/>
        <w:tab w:val="left" w:pos="432"/>
      </w:tabs>
      <w:autoSpaceDE/>
      <w:autoSpaceDN/>
      <w:adjustRightInd/>
      <w:spacing w:before="340" w:after="330" w:line="360" w:lineRule="auto"/>
      <w:ind w:left="432" w:hanging="432"/>
    </w:pPr>
    <w:rPr>
      <w:rFonts w:ascii="黑体" w:eastAsia="黑体"/>
      <w:sz w:val="36"/>
    </w:rPr>
  </w:style>
  <w:style w:type="paragraph" w:customStyle="1" w:styleId="1678">
    <w:name w:val="招标公告"/>
    <w:basedOn w:val="1"/>
    <w:qFormat/>
    <w:uiPriority w:val="0"/>
    <w:pPr>
      <w:jc w:val="center"/>
    </w:pPr>
    <w:rPr>
      <w:b/>
      <w:sz w:val="44"/>
      <w:szCs w:val="20"/>
    </w:rPr>
  </w:style>
  <w:style w:type="paragraph" w:customStyle="1" w:styleId="1679">
    <w:name w:val="样式 标题 3 + 段前: 5 磅 段后: 5 磅"/>
    <w:basedOn w:val="6"/>
    <w:qFormat/>
    <w:uiPriority w:val="0"/>
    <w:pPr>
      <w:tabs>
        <w:tab w:val="left" w:pos="1260"/>
      </w:tabs>
      <w:autoSpaceDE/>
      <w:autoSpaceDN/>
      <w:adjustRightInd/>
      <w:spacing w:before="100" w:after="100" w:line="360" w:lineRule="auto"/>
      <w:ind w:left="1260" w:hanging="720"/>
      <w:jc w:val="both"/>
    </w:pPr>
    <w:rPr>
      <w:rFonts w:ascii="Arial" w:hAnsi="Arial" w:eastAsia="仿宋_GB2312" w:cs="宋体"/>
      <w:bCs/>
      <w:kern w:val="2"/>
      <w:sz w:val="30"/>
      <w:szCs w:val="30"/>
      <w:u w:val="none"/>
    </w:rPr>
  </w:style>
  <w:style w:type="paragraph" w:customStyle="1" w:styleId="1680">
    <w:name w:val="样式 标题 2 + 四号"/>
    <w:basedOn w:val="4"/>
    <w:qFormat/>
    <w:uiPriority w:val="0"/>
    <w:pPr>
      <w:widowControl/>
      <w:tabs>
        <w:tab w:val="left" w:pos="567"/>
        <w:tab w:val="left" w:pos="2552"/>
      </w:tabs>
      <w:autoSpaceDE/>
      <w:autoSpaceDN/>
      <w:adjustRightInd/>
      <w:spacing w:before="0" w:line="360" w:lineRule="auto"/>
      <w:ind w:left="567" w:hanging="567"/>
      <w:jc w:val="left"/>
    </w:pPr>
    <w:rPr>
      <w:bCs/>
      <w:sz w:val="28"/>
      <w:szCs w:val="32"/>
    </w:rPr>
  </w:style>
  <w:style w:type="paragraph" w:customStyle="1" w:styleId="1681">
    <w:name w:val="zw"/>
    <w:basedOn w:val="1"/>
    <w:qFormat/>
    <w:uiPriority w:val="0"/>
    <w:pPr>
      <w:adjustRightInd w:val="0"/>
      <w:snapToGrid w:val="0"/>
      <w:spacing w:line="312" w:lineRule="atLeast"/>
      <w:ind w:left="-2" w:leftChars="-1"/>
      <w:jc w:val="left"/>
    </w:pPr>
    <w:rPr>
      <w:rFonts w:ascii="宋体" w:hAnsi="Arial" w:cs="Arial"/>
      <w:kern w:val="0"/>
      <w:sz w:val="24"/>
      <w:szCs w:val="20"/>
      <w:lang w:eastAsia="en-US"/>
    </w:rPr>
  </w:style>
  <w:style w:type="paragraph" w:customStyle="1" w:styleId="1682">
    <w:name w:val="标题2，章节第二层"/>
    <w:basedOn w:val="1"/>
    <w:next w:val="317"/>
    <w:qFormat/>
    <w:uiPriority w:val="0"/>
    <w:pPr>
      <w:numPr>
        <w:ilvl w:val="1"/>
        <w:numId w:val="25"/>
      </w:numPr>
      <w:tabs>
        <w:tab w:val="left" w:pos="630"/>
        <w:tab w:val="clear" w:pos="720"/>
      </w:tabs>
      <w:adjustRightInd w:val="0"/>
      <w:snapToGrid w:val="0"/>
      <w:spacing w:before="312" w:beforeLines="100" w:after="312" w:afterLines="100" w:line="300" w:lineRule="auto"/>
      <w:outlineLvl w:val="1"/>
    </w:pPr>
    <w:rPr>
      <w:rFonts w:ascii="Arial" w:hAnsi="Arial" w:eastAsia="黑体"/>
      <w:sz w:val="32"/>
    </w:rPr>
  </w:style>
  <w:style w:type="paragraph" w:customStyle="1" w:styleId="1683">
    <w:name w:val="列项——"/>
    <w:qFormat/>
    <w:uiPriority w:val="0"/>
    <w:pPr>
      <w:widowControl w:val="0"/>
      <w:numPr>
        <w:ilvl w:val="0"/>
        <w:numId w:val="49"/>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684">
    <w:name w:val="样式 宋体 首行缩进:  2 字符1"/>
    <w:basedOn w:val="1"/>
    <w:qFormat/>
    <w:uiPriority w:val="0"/>
    <w:pPr>
      <w:spacing w:line="300" w:lineRule="auto"/>
      <w:ind w:firstLine="480" w:firstLineChars="200"/>
    </w:pPr>
    <w:rPr>
      <w:rFonts w:hint="eastAsia" w:ascii="宋体" w:hAnsi="宋体"/>
      <w:sz w:val="24"/>
      <w:szCs w:val="20"/>
    </w:rPr>
  </w:style>
  <w:style w:type="paragraph" w:customStyle="1" w:styleId="1685">
    <w:name w:val="模板普通正文"/>
    <w:basedOn w:val="40"/>
    <w:qFormat/>
    <w:uiPriority w:val="0"/>
    <w:pPr>
      <w:spacing w:before="156" w:beforeLines="50" w:after="10"/>
      <w:ind w:firstLine="490" w:firstLineChars="175"/>
      <w:jc w:val="left"/>
    </w:pPr>
  </w:style>
  <w:style w:type="paragraph" w:customStyle="1" w:styleId="1686">
    <w:name w:val="表图名"/>
    <w:basedOn w:val="1"/>
    <w:qFormat/>
    <w:uiPriority w:val="0"/>
    <w:pPr>
      <w:spacing w:line="360" w:lineRule="auto"/>
    </w:pPr>
    <w:rPr>
      <w:rFonts w:ascii="Arial" w:hAnsi="Arial"/>
      <w:sz w:val="24"/>
      <w:szCs w:val="20"/>
    </w:rPr>
  </w:style>
  <w:style w:type="paragraph" w:customStyle="1" w:styleId="1687">
    <w:name w:val="Body"/>
    <w:qFormat/>
    <w:uiPriority w:val="0"/>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eastAsia="宋体" w:cs="Times New Roman"/>
      <w:color w:val="000000"/>
      <w:sz w:val="18"/>
      <w:lang w:val="en-US" w:eastAsia="en-US" w:bidi="ar-SA"/>
    </w:rPr>
  </w:style>
  <w:style w:type="paragraph" w:customStyle="1" w:styleId="1688">
    <w:name w:val="标题 2（绿盟科技）"/>
    <w:basedOn w:val="4"/>
    <w:next w:val="1"/>
    <w:qFormat/>
    <w:uiPriority w:val="0"/>
    <w:pPr>
      <w:numPr>
        <w:ilvl w:val="1"/>
        <w:numId w:val="17"/>
      </w:numPr>
      <w:tabs>
        <w:tab w:val="left" w:pos="2552"/>
      </w:tabs>
      <w:autoSpaceDE/>
      <w:autoSpaceDN/>
      <w:adjustRightInd/>
      <w:spacing w:before="260" w:after="260" w:line="415" w:lineRule="auto"/>
      <w:jc w:val="left"/>
    </w:pPr>
    <w:rPr>
      <w:kern w:val="2"/>
      <w:sz w:val="32"/>
      <w:szCs w:val="32"/>
      <w:lang w:val="zh-CN"/>
    </w:rPr>
  </w:style>
  <w:style w:type="paragraph" w:customStyle="1" w:styleId="1689">
    <w:name w:val="Char1 Char Char Char6"/>
    <w:basedOn w:val="1"/>
    <w:qFormat/>
    <w:uiPriority w:val="0"/>
    <w:rPr>
      <w:rFonts w:ascii="Tahoma" w:hAnsi="Tahoma"/>
      <w:sz w:val="24"/>
      <w:szCs w:val="20"/>
    </w:rPr>
  </w:style>
  <w:style w:type="paragraph" w:customStyle="1" w:styleId="1690">
    <w:name w:val="Char Char1 Char Char Char"/>
    <w:basedOn w:val="33"/>
    <w:qFormat/>
    <w:uiPriority w:val="0"/>
    <w:rPr>
      <w:rFonts w:ascii="Tahoma" w:hAnsi="Tahoma"/>
      <w:sz w:val="24"/>
    </w:rPr>
  </w:style>
  <w:style w:type="paragraph" w:customStyle="1" w:styleId="169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692">
    <w:name w:val="引用2"/>
    <w:qFormat/>
    <w:uiPriority w:val="0"/>
    <w:pPr>
      <w:spacing w:after="160" w:line="240" w:lineRule="atLeast"/>
    </w:pPr>
    <w:rPr>
      <w:rFonts w:ascii="Arial" w:hAnsi="Arial" w:eastAsia="宋体" w:cs="Times New Roman"/>
      <w:i/>
      <w:color w:val="808080"/>
      <w:lang w:val="en-US" w:eastAsia="en-US" w:bidi="he-IL"/>
    </w:rPr>
  </w:style>
  <w:style w:type="paragraph" w:customStyle="1" w:styleId="1693">
    <w:name w:val="发布日期"/>
    <w:qFormat/>
    <w:uiPriority w:val="0"/>
    <w:rPr>
      <w:rFonts w:ascii="Times New Roman" w:hAnsi="Times New Roman" w:eastAsia="黑体" w:cs="Times New Roman"/>
      <w:sz w:val="28"/>
      <w:lang w:val="en-US" w:eastAsia="zh-CN" w:bidi="ar-SA"/>
    </w:rPr>
  </w:style>
  <w:style w:type="paragraph" w:customStyle="1" w:styleId="1694">
    <w:name w:val="srchopt"/>
    <w:basedOn w:val="1"/>
    <w:qFormat/>
    <w:uiPriority w:val="0"/>
    <w:pPr>
      <w:widowControl/>
      <w:spacing w:before="100" w:beforeAutospacing="1" w:after="100" w:afterAutospacing="1"/>
      <w:jc w:val="left"/>
    </w:pPr>
    <w:rPr>
      <w:rFonts w:ascii="宋体" w:hAnsi="宋体" w:cs="宋体"/>
      <w:color w:val="333333"/>
      <w:kern w:val="0"/>
      <w:sz w:val="22"/>
      <w:szCs w:val="22"/>
    </w:rPr>
  </w:style>
  <w:style w:type="paragraph" w:customStyle="1" w:styleId="1695">
    <w:name w:val="xl66"/>
    <w:basedOn w:val="1"/>
    <w:qFormat/>
    <w:uiPriority w:val="0"/>
    <w:pPr>
      <w:widowControl/>
      <w:pBdr>
        <w:top w:val="single" w:color="auto" w:sz="4" w:space="0"/>
        <w:left w:val="single" w:color="auto" w:sz="8" w:space="0"/>
      </w:pBdr>
      <w:spacing w:before="100" w:beforeAutospacing="1" w:after="100" w:afterAutospacing="1"/>
      <w:jc w:val="right"/>
    </w:pPr>
    <w:rPr>
      <w:rFonts w:ascii="宋体" w:hAnsi="宋体"/>
      <w:b/>
      <w:kern w:val="0"/>
      <w:sz w:val="24"/>
      <w:szCs w:val="20"/>
    </w:rPr>
  </w:style>
  <w:style w:type="paragraph" w:customStyle="1" w:styleId="1696">
    <w:name w:val="标题 4（绿盟科技）"/>
    <w:basedOn w:val="8"/>
    <w:next w:val="1"/>
    <w:qFormat/>
    <w:uiPriority w:val="0"/>
    <w:pPr>
      <w:widowControl/>
      <w:numPr>
        <w:ilvl w:val="3"/>
        <w:numId w:val="17"/>
      </w:numPr>
      <w:adjustRightInd/>
      <w:spacing w:before="0" w:after="0" w:line="376" w:lineRule="auto"/>
      <w:jc w:val="left"/>
      <w:textAlignment w:val="auto"/>
    </w:pPr>
    <w:rPr>
      <w:rFonts w:cs="Courier New"/>
      <w:bCs/>
      <w:color w:val="000000"/>
      <w:szCs w:val="21"/>
    </w:rPr>
  </w:style>
  <w:style w:type="paragraph" w:customStyle="1" w:styleId="1697">
    <w:name w:val="newtext"/>
    <w:basedOn w:val="1"/>
    <w:qFormat/>
    <w:uiPriority w:val="0"/>
    <w:pPr>
      <w:widowControl/>
      <w:spacing w:before="100" w:beforeAutospacing="1" w:after="100" w:afterAutospacing="1" w:line="360" w:lineRule="atLeast"/>
      <w:jc w:val="left"/>
    </w:pPr>
    <w:rPr>
      <w:rFonts w:ascii="宋体" w:hAnsi="宋体"/>
      <w:kern w:val="0"/>
      <w:szCs w:val="20"/>
    </w:rPr>
  </w:style>
  <w:style w:type="paragraph" w:customStyle="1" w:styleId="1698">
    <w:name w:val="标准小四"/>
    <w:basedOn w:val="1"/>
    <w:qFormat/>
    <w:uiPriority w:val="0"/>
    <w:pPr>
      <w:spacing w:line="360" w:lineRule="auto"/>
      <w:ind w:firstLine="480" w:firstLineChars="200"/>
    </w:pPr>
    <w:rPr>
      <w:rFonts w:ascii="Arial" w:hAnsi="Arial"/>
      <w:sz w:val="24"/>
      <w:szCs w:val="21"/>
    </w:rPr>
  </w:style>
  <w:style w:type="paragraph" w:customStyle="1" w:styleId="1699">
    <w:name w:val="样式 标题 5H5Level 3 - iPIM 5Titre5Block Label1.1.1口h5Secon..."/>
    <w:basedOn w:val="9"/>
    <w:qFormat/>
    <w:uiPriority w:val="0"/>
    <w:pPr>
      <w:widowControl/>
      <w:tabs>
        <w:tab w:val="left" w:pos="-420"/>
        <w:tab w:val="left" w:pos="2127"/>
        <w:tab w:val="left" w:pos="6946"/>
      </w:tabs>
      <w:adjustRightInd/>
      <w:spacing w:before="156" w:after="156" w:line="377" w:lineRule="auto"/>
      <w:jc w:val="left"/>
      <w:textAlignment w:val="auto"/>
    </w:pPr>
    <w:rPr>
      <w:rFonts w:ascii="Calibri" w:hAnsi="Calibri" w:cs="宋体"/>
      <w:bCs/>
      <w:kern w:val="2"/>
      <w:sz w:val="24"/>
      <w:szCs w:val="24"/>
    </w:rPr>
  </w:style>
  <w:style w:type="paragraph" w:customStyle="1" w:styleId="1700">
    <w:name w:val="三级无标题条"/>
    <w:basedOn w:val="1"/>
    <w:qFormat/>
    <w:uiPriority w:val="0"/>
    <w:pPr>
      <w:numPr>
        <w:ilvl w:val="4"/>
        <w:numId w:val="37"/>
      </w:numPr>
    </w:pPr>
  </w:style>
  <w:style w:type="paragraph" w:customStyle="1" w:styleId="1701">
    <w:name w:val="Char Char2 Char Char Char Char Char Char Char Char Char Char"/>
    <w:basedOn w:val="1"/>
    <w:qFormat/>
    <w:uiPriority w:val="0"/>
    <w:rPr>
      <w:rFonts w:ascii="Tahoma" w:hAnsi="Tahoma"/>
      <w:sz w:val="24"/>
      <w:szCs w:val="20"/>
    </w:rPr>
  </w:style>
  <w:style w:type="paragraph" w:customStyle="1" w:styleId="1702">
    <w:name w:val="公司徽标"/>
    <w:basedOn w:val="1"/>
    <w:qFormat/>
    <w:uiPriority w:val="0"/>
    <w:pPr>
      <w:spacing w:line="440" w:lineRule="exact"/>
    </w:pPr>
    <w:rPr>
      <w:b/>
      <w:sz w:val="24"/>
      <w:szCs w:val="20"/>
    </w:rPr>
  </w:style>
  <w:style w:type="paragraph" w:customStyle="1" w:styleId="1703">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FF"/>
      <w:kern w:val="0"/>
      <w:sz w:val="28"/>
      <w:szCs w:val="28"/>
    </w:rPr>
  </w:style>
  <w:style w:type="paragraph" w:customStyle="1" w:styleId="1704">
    <w:name w:val="首行缩进:  2 字符"/>
    <w:basedOn w:val="1"/>
    <w:qFormat/>
    <w:uiPriority w:val="0"/>
    <w:pPr>
      <w:spacing w:before="240" w:line="288" w:lineRule="auto"/>
      <w:ind w:firstLine="420" w:firstLineChars="200"/>
    </w:pPr>
    <w:rPr>
      <w:rFonts w:cs="宋体"/>
      <w:szCs w:val="20"/>
    </w:rPr>
  </w:style>
  <w:style w:type="paragraph" w:customStyle="1" w:styleId="1705">
    <w:name w:val="Char Char Char1 Char Char Char Char Char Char Char Char Char Char1"/>
    <w:basedOn w:val="1"/>
    <w:qFormat/>
    <w:uiPriority w:val="0"/>
    <w:rPr>
      <w:rFonts w:ascii="Tahoma" w:hAnsi="Tahoma"/>
      <w:sz w:val="24"/>
      <w:szCs w:val="20"/>
    </w:rPr>
  </w:style>
  <w:style w:type="paragraph" w:customStyle="1" w:styleId="1706">
    <w:name w:val="正文文本 22"/>
    <w:basedOn w:val="1"/>
    <w:qFormat/>
    <w:uiPriority w:val="0"/>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1707">
    <w:name w:val="Char1 Char Char Char2"/>
    <w:basedOn w:val="1"/>
    <w:qFormat/>
    <w:uiPriority w:val="0"/>
    <w:pPr>
      <w:jc w:val="left"/>
    </w:pPr>
    <w:rPr>
      <w:rFonts w:ascii="Tahoma" w:hAnsi="Tahoma"/>
      <w:sz w:val="24"/>
      <w:szCs w:val="20"/>
    </w:rPr>
  </w:style>
  <w:style w:type="paragraph" w:customStyle="1" w:styleId="1708">
    <w:name w:val="标题 91"/>
    <w:basedOn w:val="1"/>
    <w:qFormat/>
    <w:uiPriority w:val="0"/>
    <w:pPr>
      <w:widowControl/>
      <w:tabs>
        <w:tab w:val="left" w:pos="1584"/>
      </w:tabs>
      <w:autoSpaceDE w:val="0"/>
      <w:autoSpaceDN w:val="0"/>
      <w:ind w:left="1584" w:hanging="1584"/>
      <w:jc w:val="left"/>
    </w:pPr>
    <w:rPr>
      <w:kern w:val="24"/>
      <w:sz w:val="20"/>
      <w:szCs w:val="20"/>
    </w:rPr>
  </w:style>
  <w:style w:type="paragraph" w:customStyle="1" w:styleId="1709">
    <w:name w:val="样式1-2"/>
    <w:basedOn w:val="1710"/>
    <w:qFormat/>
    <w:uiPriority w:val="0"/>
    <w:pPr>
      <w:spacing w:after="0"/>
    </w:pPr>
  </w:style>
  <w:style w:type="paragraph" w:customStyle="1" w:styleId="1710">
    <w:name w:val="表格1-1"/>
    <w:basedOn w:val="1"/>
    <w:qFormat/>
    <w:uiPriority w:val="0"/>
    <w:pPr>
      <w:spacing w:before="120" w:after="120"/>
    </w:pPr>
    <w:rPr>
      <w:szCs w:val="20"/>
    </w:rPr>
  </w:style>
  <w:style w:type="paragraph" w:customStyle="1" w:styleId="1711">
    <w:name w:val="bs标题三"/>
    <w:basedOn w:val="1"/>
    <w:next w:val="1072"/>
    <w:qFormat/>
    <w:uiPriority w:val="0"/>
    <w:pPr>
      <w:keepNext/>
      <w:keepLines/>
      <w:numPr>
        <w:ilvl w:val="2"/>
        <w:numId w:val="8"/>
      </w:numPr>
      <w:spacing w:before="60" w:after="60" w:line="415" w:lineRule="auto"/>
      <w:jc w:val="left"/>
      <w:outlineLvl w:val="2"/>
    </w:pPr>
    <w:rPr>
      <w:rFonts w:eastAsia="黑体"/>
      <w:b/>
      <w:sz w:val="30"/>
      <w:szCs w:val="30"/>
    </w:rPr>
  </w:style>
  <w:style w:type="paragraph" w:customStyle="1" w:styleId="1712">
    <w:name w:val="一级无标题条"/>
    <w:basedOn w:val="1"/>
    <w:qFormat/>
    <w:uiPriority w:val="0"/>
    <w:pPr>
      <w:numPr>
        <w:ilvl w:val="2"/>
        <w:numId w:val="37"/>
      </w:numPr>
    </w:pPr>
  </w:style>
  <w:style w:type="paragraph" w:customStyle="1" w:styleId="1713">
    <w:name w:val="xl68"/>
    <w:basedOn w:val="1"/>
    <w:qFormat/>
    <w:uiPriority w:val="0"/>
    <w:pPr>
      <w:widowControl/>
      <w:pBdr>
        <w:top w:val="single" w:color="auto" w:sz="4" w:space="0"/>
        <w:right w:val="single" w:color="auto" w:sz="4" w:space="0"/>
      </w:pBdr>
      <w:spacing w:before="100" w:beforeAutospacing="1" w:after="100" w:afterAutospacing="1"/>
      <w:jc w:val="right"/>
    </w:pPr>
    <w:rPr>
      <w:rFonts w:ascii="宋体" w:hAnsi="宋体"/>
      <w:b/>
      <w:kern w:val="0"/>
      <w:sz w:val="24"/>
      <w:szCs w:val="20"/>
    </w:rPr>
  </w:style>
  <w:style w:type="paragraph" w:customStyle="1" w:styleId="1714">
    <w:name w:val="列表项目符号3"/>
    <w:basedOn w:val="1"/>
    <w:qFormat/>
    <w:uiPriority w:val="0"/>
    <w:pPr>
      <w:tabs>
        <w:tab w:val="left" w:pos="420"/>
      </w:tabs>
      <w:adjustRightInd w:val="0"/>
      <w:spacing w:line="360" w:lineRule="auto"/>
      <w:ind w:left="420" w:hanging="420"/>
    </w:pPr>
    <w:rPr>
      <w:kern w:val="0"/>
      <w:sz w:val="24"/>
      <w:szCs w:val="20"/>
    </w:rPr>
  </w:style>
  <w:style w:type="paragraph" w:customStyle="1" w:styleId="1715">
    <w:name w:val="defaultfont"/>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716">
    <w:name w:val="样式 样式 样式 样式 标题 3h33rd levelH33Level 3 Headlevel_3PIM 3Heading 3 ...2"/>
    <w:basedOn w:val="1"/>
    <w:qFormat/>
    <w:uiPriority w:val="0"/>
    <w:pPr>
      <w:keepNext/>
      <w:keepLines/>
      <w:tabs>
        <w:tab w:val="left" w:pos="720"/>
      </w:tabs>
      <w:spacing w:beforeLines="50" w:afterLines="50" w:line="480" w:lineRule="auto"/>
      <w:ind w:left="1800" w:hanging="720"/>
      <w:outlineLvl w:val="2"/>
    </w:pPr>
    <w:rPr>
      <w:b/>
      <w:bCs/>
      <w:sz w:val="28"/>
      <w:szCs w:val="20"/>
    </w:rPr>
  </w:style>
  <w:style w:type="paragraph" w:customStyle="1" w:styleId="1717">
    <w:name w:val="缩进正文"/>
    <w:basedOn w:val="1"/>
    <w:qFormat/>
    <w:uiPriority w:val="0"/>
    <w:pPr>
      <w:spacing w:beforeLines="25" w:afterLines="25" w:line="360" w:lineRule="auto"/>
      <w:ind w:firstLine="480" w:firstLineChars="200"/>
    </w:pPr>
    <w:rPr>
      <w:sz w:val="24"/>
      <w:szCs w:val="21"/>
    </w:rPr>
  </w:style>
  <w:style w:type="paragraph" w:customStyle="1" w:styleId="1718">
    <w:name w:val="编号样式1"/>
    <w:basedOn w:val="556"/>
    <w:qFormat/>
    <w:uiPriority w:val="0"/>
    <w:pPr>
      <w:numPr>
        <w:ilvl w:val="0"/>
        <w:numId w:val="50"/>
      </w:numPr>
      <w:ind w:firstLine="0" w:firstLineChars="0"/>
    </w:pPr>
  </w:style>
  <w:style w:type="paragraph" w:customStyle="1" w:styleId="1719">
    <w:name w:val="发布部门"/>
    <w:next w:val="453"/>
    <w:qFormat/>
    <w:uiPriority w:val="0"/>
    <w:pPr>
      <w:jc w:val="center"/>
    </w:pPr>
    <w:rPr>
      <w:rFonts w:ascii="宋体" w:hAnsi="Times New Roman" w:eastAsia="宋体" w:cs="Times New Roman"/>
      <w:b/>
      <w:spacing w:val="20"/>
      <w:w w:val="135"/>
      <w:sz w:val="36"/>
      <w:lang w:val="en-US" w:eastAsia="zh-CN" w:bidi="ar-SA"/>
    </w:rPr>
  </w:style>
  <w:style w:type="paragraph" w:customStyle="1" w:styleId="1720">
    <w:name w:val="l18"/>
    <w:basedOn w:val="1"/>
    <w:qFormat/>
    <w:uiPriority w:val="0"/>
    <w:pPr>
      <w:widowControl/>
      <w:spacing w:before="30" w:after="100" w:afterAutospacing="1" w:line="270" w:lineRule="atLeast"/>
      <w:ind w:left="90"/>
      <w:jc w:val="left"/>
    </w:pPr>
    <w:rPr>
      <w:rFonts w:ascii="Arial" w:hAnsi="Arial" w:cs="Arial"/>
      <w:color w:val="000000"/>
      <w:kern w:val="0"/>
      <w:sz w:val="18"/>
      <w:szCs w:val="18"/>
    </w:rPr>
  </w:style>
  <w:style w:type="paragraph" w:customStyle="1" w:styleId="1721">
    <w:name w:val="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1722">
    <w:name w:val="并列项二点"/>
    <w:basedOn w:val="1"/>
    <w:qFormat/>
    <w:uiPriority w:val="0"/>
    <w:pPr>
      <w:widowControl/>
      <w:tabs>
        <w:tab w:val="left" w:pos="425"/>
      </w:tabs>
      <w:adjustRightInd w:val="0"/>
      <w:snapToGrid w:val="0"/>
      <w:ind w:left="1240" w:leftChars="400" w:hanging="400"/>
      <w:textAlignment w:val="baseline"/>
    </w:pPr>
    <w:rPr>
      <w:kern w:val="0"/>
      <w:sz w:val="24"/>
      <w:szCs w:val="20"/>
    </w:rPr>
  </w:style>
  <w:style w:type="paragraph" w:customStyle="1" w:styleId="1723">
    <w:name w:val="样式 标题 2 + 两端对齐"/>
    <w:basedOn w:val="1"/>
    <w:qFormat/>
    <w:uiPriority w:val="0"/>
    <w:pPr>
      <w:numPr>
        <w:ilvl w:val="0"/>
        <w:numId w:val="51"/>
      </w:numPr>
      <w:spacing w:line="360" w:lineRule="auto"/>
      <w:jc w:val="left"/>
    </w:pPr>
  </w:style>
  <w:style w:type="paragraph" w:customStyle="1" w:styleId="1724">
    <w:name w:val="Char Char2 Char Char Char Char Char Char Char Char Char Char3"/>
    <w:basedOn w:val="1"/>
    <w:qFormat/>
    <w:uiPriority w:val="0"/>
    <w:rPr>
      <w:rFonts w:ascii="Tahoma" w:hAnsi="Tahoma"/>
      <w:sz w:val="24"/>
      <w:szCs w:val="20"/>
    </w:rPr>
  </w:style>
  <w:style w:type="paragraph" w:customStyle="1" w:styleId="1725">
    <w:name w:val="大标题"/>
    <w:basedOn w:val="1"/>
    <w:next w:val="556"/>
    <w:qFormat/>
    <w:uiPriority w:val="0"/>
    <w:pPr>
      <w:spacing w:before="156" w:beforeLines="50" w:after="156" w:afterLines="50" w:line="360" w:lineRule="auto"/>
      <w:ind w:firstLine="420"/>
      <w:jc w:val="center"/>
      <w:outlineLvl w:val="0"/>
    </w:pPr>
    <w:rPr>
      <w:rFonts w:ascii="宋体" w:hAnsi="宋体"/>
      <w:b/>
      <w:sz w:val="44"/>
      <w:szCs w:val="28"/>
    </w:rPr>
  </w:style>
  <w:style w:type="paragraph" w:customStyle="1" w:styleId="1726">
    <w:name w:val="CM64"/>
    <w:basedOn w:val="278"/>
    <w:next w:val="278"/>
    <w:qFormat/>
    <w:uiPriority w:val="0"/>
    <w:pPr>
      <w:spacing w:after="380"/>
    </w:pPr>
    <w:rPr>
      <w:rFonts w:ascii="黑体" w:hAnsi="Times New Roman" w:eastAsia="黑体" w:cs="Times New Roman"/>
      <w:color w:val="auto"/>
    </w:rPr>
  </w:style>
  <w:style w:type="paragraph" w:customStyle="1" w:styleId="172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728">
    <w:name w:val="Normal (Web)1"/>
    <w:basedOn w:val="1"/>
    <w:qFormat/>
    <w:uiPriority w:val="0"/>
    <w:pPr>
      <w:widowControl/>
      <w:spacing w:before="100" w:beforeAutospacing="1" w:after="100" w:afterAutospacing="1"/>
      <w:jc w:val="left"/>
    </w:pPr>
    <w:rPr>
      <w:rFonts w:ascii="宋体" w:hAnsi="宋体" w:cs="宋体"/>
      <w:kern w:val="0"/>
      <w:sz w:val="24"/>
    </w:rPr>
  </w:style>
  <w:style w:type="paragraph" w:customStyle="1" w:styleId="1729">
    <w:name w:val="标题 2h2sect"/>
    <w:next w:val="1"/>
    <w:qFormat/>
    <w:uiPriority w:val="0"/>
    <w:pPr>
      <w:numPr>
        <w:ilvl w:val="0"/>
        <w:numId w:val="52"/>
      </w:numPr>
      <w:spacing w:before="120" w:after="120" w:line="360" w:lineRule="auto"/>
    </w:pPr>
    <w:rPr>
      <w:rFonts w:ascii="Times New Roman" w:hAnsi="宋体" w:eastAsia="宋体" w:cs="宋体"/>
      <w:b/>
      <w:bCs/>
      <w:color w:val="000000"/>
      <w:kern w:val="2"/>
      <w:sz w:val="30"/>
      <w:szCs w:val="30"/>
      <w:lang w:val="en-US" w:eastAsia="zh-CN" w:bidi="ar-SA"/>
    </w:rPr>
  </w:style>
  <w:style w:type="paragraph" w:customStyle="1" w:styleId="1730">
    <w:name w:val="标题 39"/>
    <w:basedOn w:val="1"/>
    <w:qFormat/>
    <w:uiPriority w:val="0"/>
    <w:pPr>
      <w:adjustRightInd w:val="0"/>
      <w:snapToGrid w:val="0"/>
      <w:ind w:left="-2" w:leftChars="-1"/>
    </w:pPr>
    <w:rPr>
      <w:rFonts w:ascii="Arial" w:hAnsi="Arial" w:cs="Arial"/>
    </w:rPr>
  </w:style>
  <w:style w:type="paragraph" w:customStyle="1" w:styleId="1731">
    <w:name w:val="CM65"/>
    <w:basedOn w:val="278"/>
    <w:next w:val="278"/>
    <w:qFormat/>
    <w:uiPriority w:val="0"/>
    <w:pPr>
      <w:spacing w:line="468" w:lineRule="atLeast"/>
    </w:pPr>
    <w:rPr>
      <w:rFonts w:ascii="楷体_GB2312" w:hAnsi="Times New Roman" w:eastAsia="楷体_GB2312" w:cs="楷体_GB2312"/>
      <w:color w:val="auto"/>
    </w:rPr>
  </w:style>
  <w:style w:type="paragraph" w:customStyle="1" w:styleId="1732">
    <w:name w:val="Char Char2 Char Char Char Char Char Char Char Char3"/>
    <w:basedOn w:val="1"/>
    <w:qFormat/>
    <w:uiPriority w:val="0"/>
    <w:rPr>
      <w:rFonts w:ascii="Tahoma" w:hAnsi="Tahoma"/>
      <w:sz w:val="24"/>
      <w:szCs w:val="20"/>
    </w:rPr>
  </w:style>
  <w:style w:type="paragraph" w:customStyle="1" w:styleId="1733">
    <w:name w:val="枚举项"/>
    <w:basedOn w:val="1"/>
    <w:qFormat/>
    <w:uiPriority w:val="0"/>
    <w:pPr>
      <w:widowControl/>
      <w:tabs>
        <w:tab w:val="left" w:pos="1440"/>
      </w:tabs>
      <w:spacing w:line="360" w:lineRule="auto"/>
      <w:jc w:val="left"/>
    </w:pPr>
    <w:rPr>
      <w:kern w:val="0"/>
      <w:sz w:val="24"/>
    </w:rPr>
  </w:style>
  <w:style w:type="paragraph" w:customStyle="1" w:styleId="1734">
    <w:name w:val="a1"/>
    <w:basedOn w:val="1"/>
    <w:qFormat/>
    <w:uiPriority w:val="0"/>
    <w:pPr>
      <w:widowControl/>
      <w:spacing w:line="300" w:lineRule="atLeast"/>
      <w:jc w:val="left"/>
    </w:pPr>
    <w:rPr>
      <w:rFonts w:ascii="宋体" w:hAnsi="宋体" w:cs="宋体"/>
      <w:kern w:val="0"/>
      <w:sz w:val="18"/>
      <w:szCs w:val="18"/>
    </w:rPr>
  </w:style>
  <w:style w:type="paragraph" w:customStyle="1" w:styleId="1735">
    <w:name w:val="Char Char Char1 Char Char Char Char Char Char Char Char Char Char4"/>
    <w:basedOn w:val="1"/>
    <w:qFormat/>
    <w:uiPriority w:val="0"/>
    <w:rPr>
      <w:rFonts w:ascii="Tahoma" w:hAnsi="Tahoma"/>
      <w:sz w:val="24"/>
      <w:szCs w:val="20"/>
    </w:rPr>
  </w:style>
  <w:style w:type="paragraph" w:customStyle="1" w:styleId="1736">
    <w:name w:val="小正文"/>
    <w:basedOn w:val="1"/>
    <w:qFormat/>
    <w:uiPriority w:val="0"/>
    <w:pPr>
      <w:widowControl/>
      <w:adjustRightInd w:val="0"/>
      <w:snapToGrid w:val="0"/>
      <w:spacing w:line="240" w:lineRule="atLeast"/>
      <w:jc w:val="center"/>
      <w:textAlignment w:val="baseline"/>
    </w:pPr>
    <w:rPr>
      <w:rFonts w:ascii="Arial" w:hAnsi="Arial"/>
      <w:kern w:val="0"/>
      <w:szCs w:val="20"/>
    </w:rPr>
  </w:style>
  <w:style w:type="paragraph" w:customStyle="1" w:styleId="1737">
    <w:name w:val="正文11"/>
    <w:basedOn w:val="1"/>
    <w:qFormat/>
    <w:uiPriority w:val="0"/>
    <w:pPr>
      <w:adjustRightInd w:val="0"/>
      <w:snapToGrid w:val="0"/>
      <w:spacing w:line="300" w:lineRule="auto"/>
      <w:ind w:firstLine="200"/>
      <w:textAlignment w:val="center"/>
    </w:pPr>
    <w:rPr>
      <w:w w:val="90"/>
      <w:sz w:val="32"/>
      <w:szCs w:val="20"/>
    </w:rPr>
  </w:style>
  <w:style w:type="paragraph" w:customStyle="1" w:styleId="1738">
    <w:name w:val="样式 样式 标题 3标题 3 Char Char标题 3 Char标题 3 Char1标题 3 Char1 Char Char...."/>
    <w:basedOn w:val="1"/>
    <w:qFormat/>
    <w:uiPriority w:val="0"/>
    <w:pPr>
      <w:keepLines/>
      <w:spacing w:beforeLines="100" w:afterLines="50" w:line="400" w:lineRule="exact"/>
      <w:outlineLvl w:val="2"/>
    </w:pPr>
    <w:rPr>
      <w:rFonts w:eastAsia="黑体"/>
      <w:b/>
      <w:sz w:val="32"/>
      <w:szCs w:val="20"/>
    </w:rPr>
  </w:style>
  <w:style w:type="paragraph" w:customStyle="1" w:styleId="1739">
    <w:name w:val="哈哈标题一"/>
    <w:basedOn w:val="458"/>
    <w:qFormat/>
    <w:uiPriority w:val="0"/>
    <w:pPr>
      <w:tabs>
        <w:tab w:val="left" w:pos="425"/>
        <w:tab w:val="clear" w:pos="605"/>
        <w:tab w:val="clear" w:pos="720"/>
      </w:tabs>
      <w:autoSpaceDE/>
      <w:autoSpaceDN/>
      <w:adjustRightInd/>
      <w:spacing w:before="240" w:after="120" w:line="576" w:lineRule="auto"/>
      <w:ind w:left="432" w:right="0" w:hanging="432"/>
      <w:jc w:val="both"/>
      <w:textAlignment w:val="center"/>
    </w:pPr>
    <w:rPr>
      <w:rFonts w:ascii="Times New Roman" w:cs="Times New Roman"/>
      <w:bCs w:val="0"/>
      <w:color w:val="auto"/>
      <w:spacing w:val="6"/>
      <w:kern w:val="36"/>
      <w:sz w:val="36"/>
      <w:szCs w:val="20"/>
      <w:lang w:val="en-US"/>
    </w:rPr>
  </w:style>
  <w:style w:type="paragraph" w:customStyle="1" w:styleId="1740">
    <w:name w:val="ul"/>
    <w:basedOn w:val="1"/>
    <w:qFormat/>
    <w:uiPriority w:val="0"/>
    <w:pPr>
      <w:numPr>
        <w:ilvl w:val="0"/>
        <w:numId w:val="53"/>
      </w:numPr>
    </w:pPr>
    <w:rPr>
      <w:rFonts w:ascii="宋体" w:hAnsi="Courier New"/>
      <w:szCs w:val="20"/>
    </w:rPr>
  </w:style>
  <w:style w:type="paragraph" w:customStyle="1" w:styleId="1741">
    <w:name w:val="Char Char5 Char Char Char Char"/>
    <w:basedOn w:val="1"/>
    <w:qFormat/>
    <w:uiPriority w:val="0"/>
    <w:pPr>
      <w:spacing w:line="360" w:lineRule="auto"/>
    </w:pPr>
    <w:rPr>
      <w:rFonts w:ascii="Tahoma" w:hAnsi="Tahoma"/>
      <w:sz w:val="36"/>
      <w:szCs w:val="36"/>
    </w:rPr>
  </w:style>
  <w:style w:type="paragraph" w:customStyle="1" w:styleId="1742">
    <w:name w:val="A- Arial.9 Normal"/>
    <w:qFormat/>
    <w:uiPriority w:val="0"/>
    <w:pPr>
      <w:widowControl w:val="0"/>
      <w:spacing w:before="1" w:after="1" w:line="220" w:lineRule="exact"/>
      <w:ind w:left="3572"/>
    </w:pPr>
    <w:rPr>
      <w:rFonts w:ascii="Arial" w:hAnsi="Arial" w:eastAsia="宋体" w:cs="Times New Roman"/>
      <w:color w:val="000000"/>
      <w:sz w:val="18"/>
      <w:lang w:val="fr-FR" w:eastAsia="en-US" w:bidi="ar-SA"/>
    </w:rPr>
  </w:style>
  <w:style w:type="paragraph" w:customStyle="1" w:styleId="1743">
    <w:name w:val="图表二级"/>
    <w:basedOn w:val="1"/>
    <w:next w:val="1"/>
    <w:qFormat/>
    <w:uiPriority w:val="0"/>
    <w:pPr>
      <w:widowControl/>
      <w:tabs>
        <w:tab w:val="left" w:pos="567"/>
        <w:tab w:val="left" w:pos="3240"/>
      </w:tabs>
      <w:adjustRightInd w:val="0"/>
      <w:snapToGrid w:val="0"/>
      <w:ind w:left="567" w:hanging="567"/>
      <w:jc w:val="center"/>
      <w:textAlignment w:val="baseline"/>
    </w:pPr>
    <w:rPr>
      <w:rFonts w:ascii="Arial" w:hAnsi="Arial"/>
      <w:kern w:val="0"/>
      <w:sz w:val="24"/>
      <w:szCs w:val="20"/>
    </w:rPr>
  </w:style>
  <w:style w:type="paragraph" w:customStyle="1" w:styleId="1744">
    <w:name w:val="文件名称"/>
    <w:basedOn w:val="1"/>
    <w:qFormat/>
    <w:uiPriority w:val="0"/>
    <w:pPr>
      <w:widowControl/>
      <w:adjustRightInd w:val="0"/>
      <w:snapToGrid w:val="0"/>
      <w:spacing w:line="360" w:lineRule="auto"/>
      <w:jc w:val="center"/>
      <w:textAlignment w:val="baseline"/>
    </w:pPr>
    <w:rPr>
      <w:rFonts w:ascii="Arial" w:hAnsi="Arial" w:eastAsia="黑体"/>
      <w:spacing w:val="20"/>
      <w:kern w:val="0"/>
      <w:sz w:val="44"/>
      <w:szCs w:val="20"/>
    </w:rPr>
  </w:style>
  <w:style w:type="paragraph" w:customStyle="1" w:styleId="1745">
    <w:name w:val="Char1 Char Char Char4"/>
    <w:basedOn w:val="1"/>
    <w:qFormat/>
    <w:uiPriority w:val="0"/>
    <w:rPr>
      <w:rFonts w:ascii="Tahoma" w:hAnsi="Tahoma"/>
      <w:sz w:val="24"/>
      <w:szCs w:val="20"/>
    </w:rPr>
  </w:style>
  <w:style w:type="paragraph" w:customStyle="1" w:styleId="1746">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747">
    <w:name w:val="图"/>
    <w:basedOn w:val="1"/>
    <w:next w:val="1"/>
    <w:qFormat/>
    <w:uiPriority w:val="0"/>
    <w:pPr>
      <w:keepNext/>
      <w:tabs>
        <w:tab w:val="left" w:pos="0"/>
      </w:tabs>
      <w:spacing w:line="360" w:lineRule="auto"/>
      <w:ind w:left="720" w:hanging="720"/>
      <w:jc w:val="center"/>
    </w:pPr>
    <w:rPr>
      <w:sz w:val="24"/>
    </w:rPr>
  </w:style>
  <w:style w:type="paragraph" w:customStyle="1" w:styleId="1748">
    <w:name w:val="样式 标题 3H3标题1.1节标题，三级节名二级节名Heading 3 - oldHeading 3 - old C...1"/>
    <w:basedOn w:val="1"/>
    <w:next w:val="1"/>
    <w:qFormat/>
    <w:uiPriority w:val="0"/>
    <w:pPr>
      <w:spacing w:line="360" w:lineRule="auto"/>
    </w:pPr>
    <w:rPr>
      <w:sz w:val="32"/>
      <w:szCs w:val="20"/>
    </w:rPr>
  </w:style>
  <w:style w:type="paragraph" w:customStyle="1" w:styleId="1749">
    <w:name w:val="表注"/>
    <w:basedOn w:val="1"/>
    <w:next w:val="1"/>
    <w:qFormat/>
    <w:uiPriority w:val="0"/>
    <w:pPr>
      <w:keepNext/>
      <w:numPr>
        <w:ilvl w:val="0"/>
        <w:numId w:val="54"/>
      </w:numPr>
      <w:adjustRightInd w:val="0"/>
      <w:spacing w:line="360" w:lineRule="auto"/>
      <w:textAlignment w:val="baseline"/>
      <w:outlineLvl w:val="5"/>
    </w:pPr>
    <w:rPr>
      <w:kern w:val="0"/>
      <w:szCs w:val="20"/>
    </w:rPr>
  </w:style>
  <w:style w:type="paragraph" w:customStyle="1" w:styleId="1750">
    <w:name w:val="Char2 Char Char Char Char Char Char4"/>
    <w:basedOn w:val="1"/>
    <w:qFormat/>
    <w:uiPriority w:val="0"/>
    <w:rPr>
      <w:rFonts w:ascii="仿宋_GB2312"/>
      <w:b/>
      <w:sz w:val="30"/>
      <w:szCs w:val="32"/>
    </w:rPr>
  </w:style>
  <w:style w:type="paragraph" w:customStyle="1" w:styleId="1751">
    <w:name w:val="三级"/>
    <w:basedOn w:val="9"/>
    <w:next w:val="1"/>
    <w:semiHidden/>
    <w:qFormat/>
    <w:uiPriority w:val="0"/>
    <w:pPr>
      <w:tabs>
        <w:tab w:val="left" w:pos="2127"/>
        <w:tab w:val="left" w:pos="6946"/>
      </w:tabs>
      <w:adjustRightInd/>
      <w:spacing w:line="377" w:lineRule="auto"/>
      <w:textAlignment w:val="auto"/>
    </w:pPr>
    <w:rPr>
      <w:bCs/>
      <w:kern w:val="2"/>
      <w:szCs w:val="28"/>
    </w:rPr>
  </w:style>
  <w:style w:type="paragraph" w:customStyle="1" w:styleId="1752">
    <w:name w:val="MM Topic 2"/>
    <w:basedOn w:val="4"/>
    <w:qFormat/>
    <w:uiPriority w:val="0"/>
    <w:pPr>
      <w:tabs>
        <w:tab w:val="left" w:pos="992"/>
        <w:tab w:val="left" w:pos="2552"/>
      </w:tabs>
      <w:autoSpaceDE/>
      <w:autoSpaceDN/>
      <w:adjustRightInd/>
      <w:spacing w:before="260" w:after="260" w:line="416" w:lineRule="auto"/>
      <w:jc w:val="both"/>
    </w:pPr>
    <w:rPr>
      <w:bCs/>
      <w:kern w:val="2"/>
      <w:sz w:val="32"/>
      <w:szCs w:val="32"/>
    </w:rPr>
  </w:style>
  <w:style w:type="paragraph" w:customStyle="1" w:styleId="1753">
    <w:name w:val="样式 标题 4H4h4PIM 4付标题段段2段3段4段5段6段7段8段9段10段11段12段1..."/>
    <w:basedOn w:val="8"/>
    <w:qFormat/>
    <w:uiPriority w:val="0"/>
    <w:pPr>
      <w:tabs>
        <w:tab w:val="left" w:pos="284"/>
        <w:tab w:val="left" w:pos="1680"/>
      </w:tabs>
      <w:adjustRightInd/>
      <w:spacing w:line="372" w:lineRule="auto"/>
      <w:ind w:left="1680" w:hanging="420"/>
      <w:textAlignment w:val="auto"/>
    </w:pPr>
    <w:rPr>
      <w:rFonts w:cs="Courier New"/>
      <w:b w:val="0"/>
      <w:bCs/>
      <w:color w:val="000000"/>
      <w:kern w:val="2"/>
    </w:rPr>
  </w:style>
  <w:style w:type="paragraph" w:customStyle="1" w:styleId="1754">
    <w:name w:val="colorffffffbld"/>
    <w:basedOn w:val="1"/>
    <w:qFormat/>
    <w:uiPriority w:val="0"/>
    <w:pPr>
      <w:widowControl/>
      <w:spacing w:before="100" w:beforeAutospacing="1" w:after="100" w:afterAutospacing="1"/>
      <w:jc w:val="left"/>
    </w:pPr>
    <w:rPr>
      <w:rFonts w:ascii="宋体" w:hAnsi="宋体" w:cs="宋体"/>
      <w:b/>
      <w:bCs/>
      <w:color w:val="FFFFFF"/>
      <w:kern w:val="0"/>
      <w:sz w:val="24"/>
    </w:rPr>
  </w:style>
  <w:style w:type="paragraph" w:customStyle="1" w:styleId="1755">
    <w:name w:val="Char Char Char Char Char Char Char1 Char2"/>
    <w:basedOn w:val="1"/>
    <w:qFormat/>
    <w:uiPriority w:val="0"/>
    <w:rPr>
      <w:rFonts w:ascii="Tahoma" w:hAnsi="Tahoma"/>
      <w:sz w:val="24"/>
      <w:szCs w:val="20"/>
    </w:rPr>
  </w:style>
  <w:style w:type="paragraph" w:customStyle="1" w:styleId="1756">
    <w:name w:val="xl115"/>
    <w:basedOn w:val="1"/>
    <w:qFormat/>
    <w:uiPriority w:val="0"/>
    <w:pPr>
      <w:widowControl/>
      <w:spacing w:before="100" w:beforeAutospacing="1" w:after="100" w:afterAutospacing="1"/>
      <w:jc w:val="left"/>
      <w:textAlignment w:val="center"/>
    </w:pPr>
    <w:rPr>
      <w:rFonts w:ascii="宋体" w:hAnsi="宋体"/>
      <w:kern w:val="0"/>
      <w:sz w:val="24"/>
      <w:szCs w:val="20"/>
    </w:rPr>
  </w:style>
  <w:style w:type="paragraph" w:customStyle="1" w:styleId="1757">
    <w:name w:val="xl113"/>
    <w:basedOn w:val="1"/>
    <w:qFormat/>
    <w:uiPriority w:val="0"/>
    <w:pPr>
      <w:widowControl/>
      <w:spacing w:before="100" w:beforeAutospacing="1" w:after="100" w:afterAutospacing="1"/>
      <w:jc w:val="center"/>
      <w:textAlignment w:val="center"/>
    </w:pPr>
    <w:rPr>
      <w:rFonts w:ascii="黑体" w:hAnsi="宋体" w:eastAsia="黑体"/>
      <w:b/>
      <w:kern w:val="0"/>
      <w:sz w:val="36"/>
      <w:szCs w:val="20"/>
    </w:rPr>
  </w:style>
  <w:style w:type="paragraph" w:customStyle="1" w:styleId="1758">
    <w:name w:val="正文BIAO"/>
    <w:basedOn w:val="1"/>
    <w:qFormat/>
    <w:uiPriority w:val="0"/>
    <w:pPr>
      <w:tabs>
        <w:tab w:val="left" w:pos="432"/>
      </w:tabs>
      <w:spacing w:beforeLines="50" w:afterLines="50" w:line="360" w:lineRule="auto"/>
      <w:ind w:left="432" w:hanging="432"/>
    </w:pPr>
    <w:rPr>
      <w:rFonts w:eastAsia="黑体"/>
      <w:sz w:val="24"/>
      <w:szCs w:val="20"/>
    </w:rPr>
  </w:style>
  <w:style w:type="paragraph" w:customStyle="1" w:styleId="1759">
    <w:name w:val="_Style 110"/>
    <w:basedOn w:val="1"/>
    <w:next w:val="1"/>
    <w:qFormat/>
    <w:uiPriority w:val="0"/>
    <w:pPr>
      <w:spacing w:line="360" w:lineRule="auto"/>
    </w:pPr>
    <w:rPr>
      <w:rFonts w:ascii="Calibri" w:hAnsi="Calibri"/>
      <w:szCs w:val="22"/>
    </w:rPr>
  </w:style>
  <w:style w:type="paragraph" w:customStyle="1" w:styleId="1760">
    <w:name w:val="正文文本 211"/>
    <w:basedOn w:val="1"/>
    <w:qFormat/>
    <w:uiPriority w:val="0"/>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1761">
    <w:name w:val="yellow"/>
    <w:basedOn w:val="1"/>
    <w:qFormat/>
    <w:uiPriority w:val="0"/>
    <w:pPr>
      <w:widowControl/>
      <w:spacing w:before="100" w:beforeAutospacing="1" w:after="100" w:afterAutospacing="1"/>
      <w:jc w:val="left"/>
    </w:pPr>
    <w:rPr>
      <w:rFonts w:ascii="Verdana" w:hAnsi="Verdana" w:cs="宋体"/>
      <w:b/>
      <w:bCs/>
      <w:color w:val="CC9900"/>
      <w:kern w:val="0"/>
      <w:sz w:val="20"/>
      <w:szCs w:val="20"/>
    </w:rPr>
  </w:style>
  <w:style w:type="paragraph" w:customStyle="1" w:styleId="1762">
    <w:name w:val="样式 宋体 小四 行距: 1.5 倍行距"/>
    <w:basedOn w:val="8"/>
    <w:qFormat/>
    <w:uiPriority w:val="0"/>
    <w:pPr>
      <w:tabs>
        <w:tab w:val="left" w:pos="851"/>
        <w:tab w:val="left" w:pos="1680"/>
      </w:tabs>
      <w:adjustRightInd/>
      <w:spacing w:line="360" w:lineRule="auto"/>
      <w:ind w:left="1680" w:hanging="420"/>
      <w:textAlignment w:val="auto"/>
    </w:pPr>
    <w:rPr>
      <w:rFonts w:ascii="宋体" w:hAnsi="宋体" w:eastAsia="宋体" w:cs="Courier New"/>
      <w:b w:val="0"/>
      <w:bCs/>
      <w:color w:val="000000"/>
      <w:kern w:val="2"/>
      <w:sz w:val="21"/>
    </w:rPr>
  </w:style>
  <w:style w:type="paragraph" w:customStyle="1" w:styleId="1763">
    <w:name w:val="样式 样式 宋体 小四 行距: 1.5 倍行距 + 首行缩进:  2 字符"/>
    <w:basedOn w:val="1"/>
    <w:next w:val="1"/>
    <w:qFormat/>
    <w:uiPriority w:val="0"/>
    <w:pPr>
      <w:spacing w:line="360" w:lineRule="auto"/>
      <w:ind w:firstLine="200" w:firstLineChars="200"/>
      <w:jc w:val="left"/>
    </w:pPr>
    <w:rPr>
      <w:sz w:val="24"/>
    </w:rPr>
  </w:style>
  <w:style w:type="paragraph" w:customStyle="1" w:styleId="1764">
    <w:name w:val="仿宋小4"/>
    <w:basedOn w:val="1"/>
    <w:qFormat/>
    <w:uiPriority w:val="0"/>
    <w:pPr>
      <w:widowControl/>
      <w:adjustRightInd w:val="0"/>
      <w:snapToGrid w:val="0"/>
      <w:spacing w:before="40" w:after="40" w:line="240" w:lineRule="exact"/>
      <w:textAlignment w:val="baseline"/>
    </w:pPr>
    <w:rPr>
      <w:rFonts w:ascii="仿宋_GB2312" w:eastAsia="仿宋_GB2312"/>
      <w:kern w:val="0"/>
      <w:sz w:val="24"/>
      <w:szCs w:val="20"/>
    </w:rPr>
  </w:style>
  <w:style w:type="paragraph" w:customStyle="1" w:styleId="1765">
    <w:name w:val="段 1"/>
    <w:basedOn w:val="1"/>
    <w:qFormat/>
    <w:uiPriority w:val="0"/>
    <w:pPr>
      <w:spacing w:line="360" w:lineRule="auto"/>
    </w:pPr>
    <w:rPr>
      <w:b/>
      <w:bCs/>
      <w:sz w:val="24"/>
    </w:rPr>
  </w:style>
  <w:style w:type="paragraph" w:customStyle="1" w:styleId="1766">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1767">
    <w:name w:val="样式 标题 2 + (西文) 宋体 行距: 1.5 倍行距"/>
    <w:basedOn w:val="4"/>
    <w:qFormat/>
    <w:uiPriority w:val="0"/>
    <w:pPr>
      <w:tabs>
        <w:tab w:val="left" w:pos="567"/>
        <w:tab w:val="left" w:pos="2552"/>
      </w:tabs>
      <w:autoSpaceDE/>
      <w:autoSpaceDN/>
      <w:adjustRightInd/>
      <w:spacing w:before="260" w:after="260" w:line="360" w:lineRule="auto"/>
      <w:jc w:val="both"/>
    </w:pPr>
    <w:rPr>
      <w:kern w:val="2"/>
      <w:sz w:val="32"/>
    </w:rPr>
  </w:style>
  <w:style w:type="paragraph" w:customStyle="1" w:styleId="1768">
    <w:name w:val="样式 样式 正文（首行缩进两字） + 首行缩进:  2 字符 + 首行缩进:  2 字符"/>
    <w:basedOn w:val="1"/>
    <w:qFormat/>
    <w:uiPriority w:val="0"/>
    <w:pPr>
      <w:spacing w:line="300" w:lineRule="auto"/>
      <w:ind w:firstLine="480" w:firstLineChars="200"/>
    </w:pPr>
    <w:rPr>
      <w:sz w:val="24"/>
      <w:szCs w:val="20"/>
    </w:rPr>
  </w:style>
  <w:style w:type="paragraph" w:customStyle="1" w:styleId="1769">
    <w:name w:val="secbutton"/>
    <w:basedOn w:val="1"/>
    <w:qFormat/>
    <w:uiPriority w:val="0"/>
    <w:pPr>
      <w:widowControl/>
      <w:pBdr>
        <w:top w:val="single" w:color="CCCCCC" w:sz="12" w:space="0"/>
        <w:left w:val="single" w:color="CCCCCC" w:sz="12" w:space="0"/>
        <w:bottom w:val="single" w:color="333333" w:sz="12" w:space="0"/>
        <w:right w:val="single" w:color="333333" w:sz="12" w:space="0"/>
      </w:pBdr>
      <w:shd w:val="clear" w:color="auto" w:fill="666666"/>
      <w:spacing w:before="100" w:beforeAutospacing="1" w:after="100" w:afterAutospacing="1"/>
      <w:jc w:val="center"/>
    </w:pPr>
    <w:rPr>
      <w:rFonts w:ascii="Arial" w:hAnsi="Arial" w:cs="Arial"/>
      <w:b/>
      <w:bCs/>
      <w:color w:val="FFFFFF"/>
      <w:kern w:val="0"/>
      <w:sz w:val="22"/>
      <w:szCs w:val="22"/>
    </w:rPr>
  </w:style>
  <w:style w:type="paragraph" w:customStyle="1" w:styleId="1770">
    <w:name w:val="theme"/>
    <w:basedOn w:val="1"/>
    <w:qFormat/>
    <w:uiPriority w:val="0"/>
    <w:pPr>
      <w:widowControl/>
      <w:shd w:val="clear" w:color="auto" w:fill="0066FF"/>
      <w:spacing w:before="100" w:beforeAutospacing="1" w:after="100" w:afterAutospacing="1"/>
      <w:jc w:val="left"/>
    </w:pPr>
    <w:rPr>
      <w:rFonts w:ascii="宋体" w:hAnsi="宋体" w:cs="宋体"/>
      <w:color w:val="000000"/>
      <w:kern w:val="0"/>
      <w:sz w:val="24"/>
    </w:rPr>
  </w:style>
  <w:style w:type="paragraph" w:customStyle="1" w:styleId="1771">
    <w:name w:val="样式1 Char Char"/>
    <w:basedOn w:val="1"/>
    <w:next w:val="50"/>
    <w:qFormat/>
    <w:uiPriority w:val="0"/>
    <w:pPr>
      <w:spacing w:line="360" w:lineRule="auto"/>
      <w:ind w:firstLine="516" w:firstLineChars="215"/>
    </w:pPr>
    <w:rPr>
      <w:sz w:val="24"/>
      <w:szCs w:val="20"/>
    </w:rPr>
  </w:style>
  <w:style w:type="paragraph" w:customStyle="1" w:styleId="1772">
    <w:name w:val="xl1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773">
    <w:name w:val="列表项1，点"/>
    <w:basedOn w:val="317"/>
    <w:qFormat/>
    <w:uiPriority w:val="0"/>
    <w:pPr>
      <w:widowControl/>
      <w:tabs>
        <w:tab w:val="left" w:pos="284"/>
      </w:tabs>
      <w:adjustRightInd w:val="0"/>
      <w:snapToGrid w:val="0"/>
      <w:spacing w:before="78" w:beforeLines="0" w:line="400" w:lineRule="exact"/>
      <w:ind w:left="284" w:hanging="284" w:firstLineChars="0"/>
      <w:jc w:val="center"/>
      <w:textAlignment w:val="baseline"/>
    </w:pPr>
    <w:rPr>
      <w:rFonts w:ascii="Arial" w:hAnsi="Arial" w:eastAsia="黑体"/>
      <w:i/>
      <w:sz w:val="21"/>
      <w:szCs w:val="21"/>
      <w:lang w:val="en-US"/>
    </w:rPr>
  </w:style>
  <w:style w:type="paragraph" w:customStyle="1" w:styleId="1774">
    <w:name w:val="图文字"/>
    <w:basedOn w:val="1"/>
    <w:next w:val="556"/>
    <w:qFormat/>
    <w:uiPriority w:val="10"/>
    <w:pPr>
      <w:spacing w:line="360" w:lineRule="auto"/>
      <w:jc w:val="center"/>
    </w:pPr>
    <w:rPr>
      <w:rFonts w:cs="宋体"/>
      <w:sz w:val="18"/>
      <w:szCs w:val="18"/>
    </w:rPr>
  </w:style>
  <w:style w:type="paragraph" w:customStyle="1" w:styleId="1775">
    <w:name w:val="xl142"/>
    <w:basedOn w:val="1"/>
    <w:qFormat/>
    <w:uiPriority w:val="0"/>
    <w:pPr>
      <w:widowControl/>
      <w:spacing w:before="100" w:beforeAutospacing="1" w:after="100" w:afterAutospacing="1"/>
      <w:jc w:val="left"/>
      <w:textAlignment w:val="center"/>
    </w:pPr>
    <w:rPr>
      <w:rFonts w:ascii="宋体" w:hAnsi="宋体"/>
      <w:kern w:val="0"/>
      <w:sz w:val="24"/>
      <w:szCs w:val="20"/>
    </w:rPr>
  </w:style>
  <w:style w:type="paragraph" w:customStyle="1" w:styleId="1776">
    <w:name w:val="正文 小四 首缩"/>
    <w:qFormat/>
    <w:uiPriority w:val="0"/>
    <w:pPr>
      <w:snapToGrid w:val="0"/>
      <w:spacing w:line="336" w:lineRule="auto"/>
      <w:ind w:firstLine="482"/>
    </w:pPr>
    <w:rPr>
      <w:rFonts w:ascii="Times New Roman" w:hAnsi="Times New Roman" w:eastAsia="宋体" w:cs="Times New Roman"/>
      <w:kern w:val="2"/>
      <w:sz w:val="24"/>
      <w:lang w:val="en-US" w:eastAsia="zh-CN" w:bidi="ar-SA"/>
    </w:rPr>
  </w:style>
  <w:style w:type="paragraph" w:customStyle="1" w:styleId="1777">
    <w:name w:val="bs标题六"/>
    <w:basedOn w:val="89"/>
    <w:qFormat/>
    <w:uiPriority w:val="0"/>
    <w:pPr>
      <w:keepNext/>
      <w:keepLines/>
      <w:numPr>
        <w:ilvl w:val="5"/>
        <w:numId w:val="8"/>
      </w:numPr>
      <w:autoSpaceDE w:val="0"/>
      <w:autoSpaceDN w:val="0"/>
      <w:adjustRightInd w:val="0"/>
      <w:spacing w:before="60" w:after="60" w:line="360" w:lineRule="auto"/>
      <w:jc w:val="left"/>
      <w:outlineLvl w:val="5"/>
    </w:pPr>
    <w:rPr>
      <w:kern w:val="0"/>
      <w:sz w:val="28"/>
      <w:szCs w:val="48"/>
    </w:rPr>
  </w:style>
  <w:style w:type="paragraph" w:customStyle="1" w:styleId="1778">
    <w:name w:val="图名"/>
    <w:basedOn w:val="7"/>
    <w:qFormat/>
    <w:uiPriority w:val="0"/>
    <w:pPr>
      <w:autoSpaceDE/>
      <w:autoSpaceDN/>
      <w:adjustRightInd/>
      <w:spacing w:line="300" w:lineRule="auto"/>
      <w:ind w:firstLine="0"/>
      <w:jc w:val="center"/>
    </w:pPr>
    <w:rPr>
      <w:rFonts w:ascii="Times New Roman" w:eastAsia="黑体"/>
      <w:b/>
      <w:sz w:val="21"/>
      <w:szCs w:val="20"/>
    </w:rPr>
  </w:style>
  <w:style w:type="paragraph" w:customStyle="1" w:styleId="1779">
    <w:name w:val="WW序号样式"/>
    <w:basedOn w:val="1605"/>
    <w:qFormat/>
    <w:uiPriority w:val="0"/>
    <w:pPr>
      <w:numPr>
        <w:ilvl w:val="0"/>
        <w:numId w:val="55"/>
      </w:numPr>
      <w:tabs>
        <w:tab w:val="left" w:pos="900"/>
        <w:tab w:val="clear" w:pos="716"/>
      </w:tabs>
      <w:ind w:firstLine="0" w:firstLineChars="0"/>
    </w:pPr>
  </w:style>
  <w:style w:type="paragraph" w:customStyle="1" w:styleId="1780">
    <w:name w:val="Char Char5 Char Char Char Char Char Char Char Char Char Char Char Char Char Char Char Char Char Char Char Char Char Char Char Char2"/>
    <w:basedOn w:val="1"/>
    <w:qFormat/>
    <w:uiPriority w:val="0"/>
    <w:pPr>
      <w:spacing w:line="360" w:lineRule="auto"/>
    </w:pPr>
    <w:rPr>
      <w:rFonts w:ascii="Tahoma" w:hAnsi="Tahoma"/>
      <w:sz w:val="36"/>
      <w:szCs w:val="36"/>
    </w:rPr>
  </w:style>
  <w:style w:type="paragraph" w:customStyle="1" w:styleId="1781">
    <w:name w:val="Bullet_Indent"/>
    <w:basedOn w:val="1"/>
    <w:qFormat/>
    <w:uiPriority w:val="0"/>
    <w:pPr>
      <w:widowControl/>
      <w:tabs>
        <w:tab w:val="left" w:pos="1860"/>
      </w:tabs>
      <w:spacing w:before="40"/>
      <w:ind w:left="420"/>
    </w:pPr>
    <w:rPr>
      <w:kern w:val="0"/>
      <w:sz w:val="24"/>
      <w:lang w:eastAsia="en-US"/>
    </w:rPr>
  </w:style>
  <w:style w:type="paragraph" w:customStyle="1" w:styleId="1782">
    <w:name w:val="xl133"/>
    <w:basedOn w:val="1"/>
    <w:qFormat/>
    <w:uiPriority w:val="0"/>
    <w:pPr>
      <w:widowControl/>
      <w:pBdr>
        <w:bottom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783">
    <w:name w:val="_Style 113"/>
    <w:next w:val="1"/>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1784">
    <w:name w:val="二级无标题条"/>
    <w:basedOn w:val="1"/>
    <w:qFormat/>
    <w:uiPriority w:val="0"/>
  </w:style>
  <w:style w:type="paragraph" w:customStyle="1" w:styleId="1785">
    <w:name w:val="数标题1"/>
    <w:basedOn w:val="1"/>
    <w:qFormat/>
    <w:uiPriority w:val="0"/>
    <w:pPr>
      <w:tabs>
        <w:tab w:val="left" w:pos="1440"/>
      </w:tabs>
      <w:adjustRightInd w:val="0"/>
      <w:spacing w:before="120" w:line="360" w:lineRule="auto"/>
      <w:textAlignment w:val="baseline"/>
    </w:pPr>
    <w:rPr>
      <w:b/>
      <w:kern w:val="0"/>
      <w:szCs w:val="20"/>
    </w:rPr>
  </w:style>
  <w:style w:type="paragraph" w:customStyle="1" w:styleId="1786">
    <w:name w:val="xl117"/>
    <w:basedOn w:val="1"/>
    <w:qFormat/>
    <w:uiPriority w:val="0"/>
    <w:pPr>
      <w:widowControl/>
      <w:pBdr>
        <w:left w:val="single" w:color="auto" w:sz="4" w:space="0"/>
        <w:right w:val="single" w:color="auto" w:sz="4" w:space="0"/>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1787">
    <w:name w:val="Body Text 21"/>
    <w:basedOn w:val="1"/>
    <w:qFormat/>
    <w:uiPriority w:val="0"/>
    <w:pPr>
      <w:widowControl/>
      <w:overflowPunct w:val="0"/>
      <w:autoSpaceDE w:val="0"/>
      <w:autoSpaceDN w:val="0"/>
      <w:adjustRightInd w:val="0"/>
      <w:ind w:left="720" w:hanging="720"/>
      <w:textAlignment w:val="baseline"/>
    </w:pPr>
    <w:rPr>
      <w:kern w:val="0"/>
      <w:sz w:val="24"/>
      <w:szCs w:val="20"/>
      <w:lang w:val="en-GB"/>
    </w:rPr>
  </w:style>
  <w:style w:type="paragraph" w:customStyle="1" w:styleId="1788">
    <w:name w:val="zcl"/>
    <w:basedOn w:val="1"/>
    <w:qFormat/>
    <w:uiPriority w:val="0"/>
    <w:pPr>
      <w:widowControl/>
      <w:spacing w:before="100" w:beforeAutospacing="1" w:after="100" w:afterAutospacing="1" w:line="270" w:lineRule="atLeast"/>
      <w:jc w:val="left"/>
    </w:pPr>
    <w:rPr>
      <w:rFonts w:ascii="楷体_GB2312" w:hAnsi="宋体" w:eastAsia="楷体_GB2312"/>
      <w:color w:val="000000"/>
      <w:kern w:val="0"/>
      <w:sz w:val="18"/>
      <w:szCs w:val="20"/>
    </w:rPr>
  </w:style>
  <w:style w:type="paragraph" w:customStyle="1" w:styleId="1789">
    <w:name w:val="Company Name"/>
    <w:basedOn w:val="1"/>
    <w:next w:val="1"/>
    <w:qFormat/>
    <w:uiPriority w:val="0"/>
    <w:pPr>
      <w:widowControl/>
      <w:adjustRightInd w:val="0"/>
      <w:snapToGrid w:val="0"/>
      <w:spacing w:before="420" w:after="60" w:line="320" w:lineRule="exact"/>
      <w:ind w:left="-2" w:leftChars="-1"/>
      <w:jc w:val="left"/>
    </w:pPr>
    <w:rPr>
      <w:rFonts w:ascii="Garamond" w:hAnsi="Garamond" w:cs="Arial"/>
      <w:caps/>
      <w:kern w:val="36"/>
      <w:sz w:val="38"/>
      <w:szCs w:val="20"/>
    </w:rPr>
  </w:style>
  <w:style w:type="paragraph" w:customStyle="1" w:styleId="1790">
    <w:name w:val="Char Char5 Char Char Char Char Char Char Char Char Char Char Char Char Char Char Char Char Char Char3"/>
    <w:basedOn w:val="1"/>
    <w:qFormat/>
    <w:uiPriority w:val="0"/>
    <w:pPr>
      <w:spacing w:line="360" w:lineRule="auto"/>
    </w:pPr>
    <w:rPr>
      <w:rFonts w:ascii="Tahoma" w:hAnsi="Tahoma"/>
      <w:sz w:val="36"/>
      <w:szCs w:val="36"/>
    </w:rPr>
  </w:style>
  <w:style w:type="paragraph" w:customStyle="1" w:styleId="1791">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1792">
    <w:name w:val="标题 5l"/>
    <w:basedOn w:val="9"/>
    <w:qFormat/>
    <w:uiPriority w:val="0"/>
    <w:pPr>
      <w:tabs>
        <w:tab w:val="left" w:pos="0"/>
        <w:tab w:val="left" w:pos="2127"/>
        <w:tab w:val="left" w:pos="6946"/>
      </w:tabs>
    </w:pPr>
    <w:rPr>
      <w:bCs/>
      <w:szCs w:val="28"/>
    </w:rPr>
  </w:style>
  <w:style w:type="paragraph" w:customStyle="1" w:styleId="1793">
    <w:name w:val="正文 首行缩进"/>
    <w:basedOn w:val="1"/>
    <w:qFormat/>
    <w:uiPriority w:val="0"/>
    <w:pPr>
      <w:spacing w:line="360" w:lineRule="auto"/>
      <w:ind w:firstLine="200" w:firstLineChars="200"/>
    </w:pPr>
    <w:rPr>
      <w:sz w:val="28"/>
      <w:szCs w:val="20"/>
    </w:rPr>
  </w:style>
  <w:style w:type="paragraph" w:customStyle="1" w:styleId="1794">
    <w:name w:val="CM83"/>
    <w:basedOn w:val="278"/>
    <w:next w:val="278"/>
    <w:qFormat/>
    <w:uiPriority w:val="0"/>
    <w:pPr>
      <w:spacing w:after="185"/>
    </w:pPr>
    <w:rPr>
      <w:rFonts w:ascii="楷体_GB2312" w:hAnsi="Times New Roman" w:eastAsia="楷体_GB2312" w:cs="楷体_GB2312"/>
      <w:color w:val="auto"/>
    </w:rPr>
  </w:style>
  <w:style w:type="paragraph" w:customStyle="1" w:styleId="1795">
    <w:name w:val="Char Char Char Char Char Char2"/>
    <w:basedOn w:val="1"/>
    <w:qFormat/>
    <w:uiPriority w:val="0"/>
    <w:rPr>
      <w:rFonts w:ascii="Tahoma" w:hAnsi="Tahoma"/>
      <w:sz w:val="24"/>
    </w:rPr>
  </w:style>
  <w:style w:type="paragraph" w:customStyle="1" w:styleId="1796">
    <w:name w:val="Char4"/>
    <w:basedOn w:val="1"/>
    <w:qFormat/>
    <w:uiPriority w:val="0"/>
    <w:rPr>
      <w:rFonts w:ascii="仿宋_GB2312"/>
      <w:b/>
      <w:sz w:val="30"/>
      <w:szCs w:val="32"/>
    </w:rPr>
  </w:style>
  <w:style w:type="paragraph" w:customStyle="1" w:styleId="1797">
    <w:name w:val="样式 加点正文 + 段前: 0.5 行 段后: 0.5 行1"/>
    <w:basedOn w:val="1"/>
    <w:qFormat/>
    <w:uiPriority w:val="0"/>
    <w:pPr>
      <w:numPr>
        <w:ilvl w:val="0"/>
        <w:numId w:val="56"/>
      </w:numPr>
      <w:spacing w:beforeLines="50" w:afterLines="50" w:line="300" w:lineRule="auto"/>
    </w:pPr>
    <w:rPr>
      <w:sz w:val="24"/>
      <w:szCs w:val="20"/>
    </w:rPr>
  </w:style>
  <w:style w:type="paragraph" w:customStyle="1" w:styleId="1798">
    <w:name w:val="正文文本 21"/>
    <w:basedOn w:val="1"/>
    <w:qFormat/>
    <w:uiPriority w:val="0"/>
    <w:pPr>
      <w:adjustRightInd w:val="0"/>
      <w:spacing w:line="300" w:lineRule="auto"/>
      <w:jc w:val="center"/>
      <w:textAlignment w:val="baseline"/>
    </w:pPr>
    <w:rPr>
      <w:rFonts w:ascii="宋体" w:hAnsi="宋体"/>
      <w:sz w:val="24"/>
      <w:szCs w:val="20"/>
    </w:rPr>
  </w:style>
  <w:style w:type="paragraph" w:customStyle="1" w:styleId="1799">
    <w:name w:val="标记段落"/>
    <w:basedOn w:val="1"/>
    <w:qFormat/>
    <w:uiPriority w:val="0"/>
    <w:pPr>
      <w:tabs>
        <w:tab w:val="left" w:pos="432"/>
      </w:tabs>
      <w:spacing w:beforeLines="50" w:afterLines="50" w:line="100" w:lineRule="atLeast"/>
      <w:ind w:left="432" w:firstLine="521" w:firstLineChars="200"/>
    </w:pPr>
    <w:rPr>
      <w:rFonts w:ascii="楷体_GB2312" w:hAnsi="宋体" w:eastAsia="楷体_GB2312"/>
      <w:bCs/>
      <w:kern w:val="0"/>
      <w:sz w:val="28"/>
      <w:szCs w:val="21"/>
    </w:rPr>
  </w:style>
  <w:style w:type="paragraph" w:customStyle="1" w:styleId="1800">
    <w:name w:val="样式 样式 我的正文首行缩进 + 首行缩进:  2 字符 + 首行缩进:  2 字符 Char Char Char Char Char Char Char Char Char Char Char Char"/>
    <w:basedOn w:val="1"/>
    <w:qFormat/>
    <w:uiPriority w:val="0"/>
    <w:pPr>
      <w:widowControl/>
      <w:spacing w:after="120"/>
      <w:ind w:firstLine="200" w:firstLineChars="200"/>
      <w:jc w:val="left"/>
    </w:pPr>
    <w:rPr>
      <w:rFonts w:eastAsia="华文细黑"/>
      <w:kern w:val="0"/>
      <w:sz w:val="24"/>
    </w:rPr>
  </w:style>
  <w:style w:type="paragraph" w:customStyle="1" w:styleId="1801">
    <w:name w:val="strike"/>
    <w:basedOn w:val="1"/>
    <w:qFormat/>
    <w:uiPriority w:val="0"/>
    <w:pPr>
      <w:widowControl/>
      <w:spacing w:before="100" w:beforeAutospacing="1" w:after="100" w:afterAutospacing="1"/>
      <w:jc w:val="left"/>
    </w:pPr>
    <w:rPr>
      <w:rFonts w:ascii="宋体" w:hAnsi="宋体" w:cs="宋体"/>
      <w:strike/>
      <w:color w:val="000000"/>
      <w:kern w:val="0"/>
      <w:sz w:val="24"/>
    </w:rPr>
  </w:style>
  <w:style w:type="paragraph" w:customStyle="1" w:styleId="1802">
    <w:name w:val="图表目录0"/>
    <w:basedOn w:val="1"/>
    <w:next w:val="1"/>
    <w:qFormat/>
    <w:uiPriority w:val="0"/>
    <w:pPr>
      <w:widowControl/>
      <w:tabs>
        <w:tab w:val="left" w:pos="425"/>
        <w:tab w:val="left" w:pos="3240"/>
      </w:tabs>
      <w:adjustRightInd w:val="0"/>
      <w:snapToGrid w:val="0"/>
      <w:ind w:left="425" w:hanging="425"/>
      <w:jc w:val="left"/>
      <w:textAlignment w:val="baseline"/>
    </w:pPr>
    <w:rPr>
      <w:rFonts w:ascii="Arial" w:hAnsi="Arial"/>
      <w:color w:val="FFFFFF"/>
      <w:kern w:val="0"/>
      <w:sz w:val="24"/>
      <w:szCs w:val="20"/>
    </w:rPr>
  </w:style>
  <w:style w:type="paragraph" w:customStyle="1" w:styleId="1803">
    <w:name w:val="标题 2 + 宋体 小三"/>
    <w:basedOn w:val="4"/>
    <w:qFormat/>
    <w:uiPriority w:val="0"/>
    <w:pPr>
      <w:tabs>
        <w:tab w:val="left" w:pos="567"/>
        <w:tab w:val="left" w:pos="2552"/>
      </w:tabs>
      <w:autoSpaceDE/>
      <w:autoSpaceDN/>
      <w:adjustRightInd/>
      <w:spacing w:before="260" w:after="260" w:line="413" w:lineRule="auto"/>
      <w:jc w:val="both"/>
    </w:pPr>
    <w:rPr>
      <w:rFonts w:ascii="楷体_GB2312" w:hAnsi="宋体" w:eastAsia="楷体_GB2312"/>
      <w:color w:val="000000"/>
      <w:kern w:val="2"/>
      <w:sz w:val="32"/>
    </w:rPr>
  </w:style>
  <w:style w:type="paragraph" w:customStyle="1" w:styleId="180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805">
    <w:name w:val="哈哈 标题 4"/>
    <w:basedOn w:val="466"/>
    <w:qFormat/>
    <w:uiPriority w:val="0"/>
    <w:pPr>
      <w:tabs>
        <w:tab w:val="left" w:pos="360"/>
        <w:tab w:val="left" w:pos="1680"/>
        <w:tab w:val="left" w:pos="1880"/>
        <w:tab w:val="left" w:pos="2160"/>
        <w:tab w:val="clear" w:pos="735"/>
      </w:tabs>
      <w:spacing w:before="260" w:after="260" w:afterLines="0" w:line="480" w:lineRule="auto"/>
      <w:ind w:left="2160" w:hanging="420"/>
      <w:jc w:val="both"/>
    </w:pPr>
    <w:rPr>
      <w:rFonts w:ascii="宋体" w:hAnsi="宋体"/>
      <w:bCs w:val="0"/>
      <w:sz w:val="30"/>
      <w:szCs w:val="20"/>
    </w:rPr>
  </w:style>
  <w:style w:type="paragraph" w:customStyle="1" w:styleId="1806">
    <w:name w:val="目次"/>
    <w:basedOn w:val="1"/>
    <w:qFormat/>
    <w:uiPriority w:val="0"/>
    <w:pPr>
      <w:widowControl/>
      <w:adjustRightInd w:val="0"/>
      <w:snapToGrid w:val="0"/>
      <w:spacing w:before="600" w:after="800" w:line="300" w:lineRule="auto"/>
      <w:jc w:val="center"/>
      <w:textAlignment w:val="baseline"/>
    </w:pPr>
    <w:rPr>
      <w:rFonts w:ascii="黑体" w:hAnsi="Arial" w:eastAsia="黑体"/>
      <w:spacing w:val="100"/>
      <w:kern w:val="0"/>
      <w:sz w:val="30"/>
      <w:szCs w:val="20"/>
    </w:rPr>
  </w:style>
  <w:style w:type="paragraph" w:customStyle="1" w:styleId="1807">
    <w:name w:val="样式 标题 3H3标题1.1节标题，三级节名二级节名Heading 3 - oldHeading 3 - old C...3"/>
    <w:basedOn w:val="6"/>
    <w:qFormat/>
    <w:uiPriority w:val="0"/>
    <w:pPr>
      <w:tabs>
        <w:tab w:val="left" w:pos="720"/>
      </w:tabs>
      <w:autoSpaceDE/>
      <w:autoSpaceDN/>
      <w:adjustRightInd/>
      <w:spacing w:before="0" w:after="0" w:line="480" w:lineRule="auto"/>
      <w:ind w:left="720" w:hanging="720"/>
      <w:jc w:val="both"/>
    </w:pPr>
    <w:rPr>
      <w:rFonts w:hAnsi="宋体" w:eastAsia="黑体"/>
      <w:color w:val="000000"/>
      <w:kern w:val="2"/>
      <w:sz w:val="30"/>
      <w:u w:val="none"/>
    </w:rPr>
  </w:style>
  <w:style w:type="paragraph" w:customStyle="1" w:styleId="1808">
    <w:name w:val="color000000bg"/>
    <w:basedOn w:val="1"/>
    <w:qFormat/>
    <w:uiPriority w:val="0"/>
    <w:pPr>
      <w:widowControl/>
      <w:shd w:val="clear" w:color="auto" w:fill="000000"/>
      <w:spacing w:before="100" w:beforeAutospacing="1" w:after="100" w:afterAutospacing="1"/>
      <w:jc w:val="left"/>
    </w:pPr>
    <w:rPr>
      <w:rFonts w:ascii="宋体" w:hAnsi="宋体" w:cs="宋体"/>
      <w:color w:val="000000"/>
      <w:kern w:val="0"/>
      <w:sz w:val="24"/>
    </w:rPr>
  </w:style>
  <w:style w:type="paragraph" w:customStyle="1" w:styleId="1809">
    <w:name w:val="cjh正文"/>
    <w:basedOn w:val="1"/>
    <w:qFormat/>
    <w:uiPriority w:val="0"/>
    <w:pPr>
      <w:adjustRightInd w:val="0"/>
      <w:spacing w:line="440" w:lineRule="exact"/>
      <w:ind w:firstLine="480" w:firstLineChars="200"/>
    </w:pPr>
    <w:rPr>
      <w:rFonts w:ascii="宋体" w:hAnsi="宋体"/>
      <w:bCs/>
      <w:kern w:val="20"/>
      <w:sz w:val="24"/>
      <w:szCs w:val="20"/>
    </w:rPr>
  </w:style>
  <w:style w:type="paragraph" w:customStyle="1" w:styleId="1810">
    <w:name w:val="Char13"/>
    <w:basedOn w:val="1"/>
    <w:qFormat/>
    <w:uiPriority w:val="0"/>
    <w:rPr>
      <w:rFonts w:ascii="仿宋_GB2312" w:eastAsia="仿宋_GB2312"/>
      <w:b/>
      <w:sz w:val="32"/>
      <w:szCs w:val="32"/>
    </w:rPr>
  </w:style>
  <w:style w:type="paragraph" w:customStyle="1" w:styleId="1811">
    <w:name w:val="2册标题2"/>
    <w:basedOn w:val="1"/>
    <w:next w:val="1"/>
    <w:qFormat/>
    <w:uiPriority w:val="0"/>
    <w:pPr>
      <w:spacing w:beforeLines="50" w:afterLines="50" w:line="300" w:lineRule="auto"/>
      <w:outlineLvl w:val="1"/>
    </w:pPr>
    <w:rPr>
      <w:rFonts w:ascii="Arial" w:hAnsi="Arial" w:eastAsia="黑体"/>
      <w:sz w:val="30"/>
      <w:szCs w:val="20"/>
    </w:rPr>
  </w:style>
  <w:style w:type="paragraph" w:customStyle="1" w:styleId="1812">
    <w:name w:val="条文脚注"/>
    <w:basedOn w:val="73"/>
    <w:qFormat/>
    <w:uiPriority w:val="0"/>
    <w:pPr>
      <w:adjustRightInd/>
      <w:snapToGrid w:val="0"/>
      <w:spacing w:line="240" w:lineRule="auto"/>
      <w:ind w:left="200" w:leftChars="200" w:hanging="200" w:hangingChars="200"/>
      <w:jc w:val="both"/>
      <w:textAlignment w:val="auto"/>
    </w:pPr>
    <w:rPr>
      <w:rFonts w:ascii="宋体" w:eastAsia="楷体_GB2312"/>
      <w:color w:val="000000"/>
      <w:kern w:val="2"/>
    </w:rPr>
  </w:style>
  <w:style w:type="paragraph" w:customStyle="1" w:styleId="1813">
    <w:name w:val="项目列表符号1"/>
    <w:basedOn w:val="1"/>
    <w:qFormat/>
    <w:uiPriority w:val="0"/>
    <w:pPr>
      <w:widowControl/>
      <w:spacing w:before="120"/>
      <w:ind w:left="425" w:hanging="425"/>
    </w:pPr>
    <w:rPr>
      <w:kern w:val="0"/>
      <w:sz w:val="24"/>
    </w:rPr>
  </w:style>
  <w:style w:type="paragraph" w:customStyle="1" w:styleId="1814">
    <w:name w:val="Char Char Char Char Char Char1 Char Char Char Char Char Char1 Char Char Char Char Char Char Char"/>
    <w:basedOn w:val="1"/>
    <w:qFormat/>
    <w:uiPriority w:val="0"/>
    <w:rPr>
      <w:rFonts w:ascii="Tahoma" w:hAnsi="Tahoma"/>
      <w:sz w:val="24"/>
      <w:szCs w:val="20"/>
    </w:rPr>
  </w:style>
  <w:style w:type="paragraph" w:customStyle="1" w:styleId="1815">
    <w:name w:val="xl120"/>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816">
    <w:name w:val="Char Char1 Char Char Char Char Char Char4"/>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17">
    <w:name w:val="第1层并列"/>
    <w:basedOn w:val="1"/>
    <w:qFormat/>
    <w:uiPriority w:val="0"/>
    <w:pPr>
      <w:spacing w:before="60" w:after="60" w:line="360" w:lineRule="auto"/>
      <w:ind w:firstLine="502" w:firstLineChars="209"/>
      <w:jc w:val="left"/>
    </w:pPr>
    <w:rPr>
      <w:rFonts w:ascii="宋体" w:hAnsi="宋体"/>
      <w:sz w:val="24"/>
      <w:szCs w:val="20"/>
    </w:rPr>
  </w:style>
  <w:style w:type="paragraph" w:customStyle="1" w:styleId="1818">
    <w:name w:val="附录1层"/>
    <w:basedOn w:val="1"/>
    <w:next w:val="1"/>
    <w:qFormat/>
    <w:uiPriority w:val="0"/>
    <w:pPr>
      <w:widowControl/>
      <w:adjustRightInd w:val="0"/>
      <w:snapToGrid w:val="0"/>
      <w:spacing w:beforeLines="25" w:line="300" w:lineRule="auto"/>
      <w:textAlignment w:val="baseline"/>
    </w:pPr>
    <w:rPr>
      <w:rFonts w:ascii="Arial" w:hAnsi="Arial" w:eastAsia="黑体"/>
      <w:kern w:val="0"/>
      <w:sz w:val="28"/>
      <w:szCs w:val="20"/>
    </w:rPr>
  </w:style>
  <w:style w:type="paragraph" w:customStyle="1" w:styleId="1819">
    <w:name w:val="段标题1"/>
    <w:basedOn w:val="1"/>
    <w:qFormat/>
    <w:uiPriority w:val="0"/>
    <w:pPr>
      <w:tabs>
        <w:tab w:val="left" w:pos="1860"/>
      </w:tabs>
      <w:adjustRightInd w:val="0"/>
      <w:snapToGrid w:val="0"/>
      <w:spacing w:line="360" w:lineRule="auto"/>
      <w:ind w:left="420"/>
      <w:jc w:val="left"/>
      <w:textAlignment w:val="baseline"/>
    </w:pPr>
    <w:rPr>
      <w:snapToGrid w:val="0"/>
      <w:kern w:val="0"/>
      <w:szCs w:val="20"/>
    </w:rPr>
  </w:style>
  <w:style w:type="paragraph" w:customStyle="1" w:styleId="1820">
    <w:name w:val="xl134"/>
    <w:basedOn w:val="1"/>
    <w:qFormat/>
    <w:uiPriority w:val="0"/>
    <w:pPr>
      <w:widowControl/>
      <w:pBdr>
        <w:top w:val="single" w:color="auto" w:sz="4" w:space="0"/>
        <w:left w:val="single" w:color="auto" w:sz="4" w:space="0"/>
        <w:right w:val="single" w:color="auto" w:sz="4" w:space="0"/>
      </w:pBdr>
      <w:shd w:val="clear" w:color="99CCFF" w:fill="FF8080"/>
      <w:spacing w:before="100" w:beforeAutospacing="1" w:after="100" w:afterAutospacing="1"/>
      <w:jc w:val="center"/>
      <w:textAlignment w:val="center"/>
    </w:pPr>
    <w:rPr>
      <w:rFonts w:ascii="宋体" w:hAnsi="宋体"/>
      <w:kern w:val="0"/>
      <w:sz w:val="18"/>
      <w:szCs w:val="20"/>
    </w:rPr>
  </w:style>
  <w:style w:type="paragraph" w:customStyle="1" w:styleId="1821">
    <w:name w:val="样式 标题 2H2h2标题 2(章)总标题HD2Heading 2 HiddenHeading 2 CCBSTi...1"/>
    <w:basedOn w:val="4"/>
    <w:qFormat/>
    <w:uiPriority w:val="0"/>
    <w:pPr>
      <w:tabs>
        <w:tab w:val="left" w:pos="576"/>
        <w:tab w:val="left" w:pos="2552"/>
      </w:tabs>
      <w:autoSpaceDE/>
      <w:autoSpaceDN/>
      <w:adjustRightInd/>
      <w:spacing w:before="260" w:after="260" w:line="360" w:lineRule="auto"/>
      <w:ind w:left="576" w:hanging="576"/>
      <w:jc w:val="both"/>
    </w:pPr>
    <w:rPr>
      <w:rFonts w:ascii="Times New Roman" w:hAnsi="Times New Roman" w:eastAsia="宋体"/>
      <w:kern w:val="2"/>
      <w:sz w:val="32"/>
    </w:rPr>
  </w:style>
  <w:style w:type="paragraph" w:customStyle="1" w:styleId="1822">
    <w:name w:val="段落内容"/>
    <w:basedOn w:val="1"/>
    <w:qFormat/>
    <w:uiPriority w:val="0"/>
    <w:pPr>
      <w:spacing w:afterLines="50"/>
      <w:ind w:firstLine="560" w:firstLineChars="200"/>
    </w:pPr>
    <w:rPr>
      <w:rFonts w:cs="宋体"/>
      <w:sz w:val="28"/>
      <w:szCs w:val="20"/>
    </w:rPr>
  </w:style>
  <w:style w:type="paragraph" w:customStyle="1" w:styleId="1823">
    <w:name w:val="样式 正文首行缩进 2 + 首行缩进:  2 字符"/>
    <w:basedOn w:val="177"/>
    <w:qFormat/>
    <w:uiPriority w:val="0"/>
    <w:pPr>
      <w:spacing w:line="360" w:lineRule="auto"/>
      <w:ind w:left="0" w:leftChars="0" w:firstLine="200"/>
    </w:pPr>
    <w:rPr>
      <w:rFonts w:ascii="Arial" w:hAnsi="Arial" w:cs="宋体"/>
    </w:rPr>
  </w:style>
  <w:style w:type="paragraph" w:customStyle="1" w:styleId="1824">
    <w:name w:val="模板正文"/>
    <w:basedOn w:val="1"/>
    <w:qFormat/>
    <w:uiPriority w:val="0"/>
    <w:pPr>
      <w:spacing w:before="50" w:beforeLines="50" w:after="50" w:afterLines="50" w:line="400" w:lineRule="exact"/>
      <w:ind w:firstLine="200" w:firstLineChars="200"/>
    </w:pPr>
    <w:rPr>
      <w:rFonts w:ascii="宋体" w:hAnsi="宋体"/>
      <w:sz w:val="24"/>
    </w:rPr>
  </w:style>
  <w:style w:type="paragraph" w:customStyle="1" w:styleId="1825">
    <w:name w:val="样式 样式 标题 2H22nd levelh22Header 2l2Titre2Head 2第一层条Heading... + 左..."/>
    <w:basedOn w:val="1"/>
    <w:qFormat/>
    <w:uiPriority w:val="0"/>
    <w:pPr>
      <w:keepNext/>
      <w:keepLines/>
      <w:tabs>
        <w:tab w:val="left" w:pos="576"/>
      </w:tabs>
      <w:spacing w:beforeLines="50" w:afterLines="50" w:line="360" w:lineRule="auto"/>
      <w:ind w:left="576" w:hanging="576"/>
      <w:outlineLvl w:val="1"/>
    </w:pPr>
    <w:rPr>
      <w:rFonts w:cs="宋体"/>
      <w:b/>
      <w:bCs/>
      <w:sz w:val="28"/>
      <w:szCs w:val="20"/>
    </w:rPr>
  </w:style>
  <w:style w:type="paragraph" w:customStyle="1" w:styleId="1826">
    <w:name w:val="样式4 + 加粗"/>
    <w:basedOn w:val="1"/>
    <w:qFormat/>
    <w:uiPriority w:val="0"/>
    <w:pPr>
      <w:widowControl/>
      <w:spacing w:line="360" w:lineRule="auto"/>
      <w:ind w:firstLine="482" w:firstLineChars="200"/>
      <w:jc w:val="left"/>
    </w:pPr>
    <w:rPr>
      <w:b/>
      <w:color w:val="000000"/>
      <w:kern w:val="0"/>
      <w:sz w:val="24"/>
      <w:szCs w:val="20"/>
    </w:rPr>
  </w:style>
  <w:style w:type="paragraph" w:customStyle="1" w:styleId="1827">
    <w:name w:val="样式 标题 2H22nd levelh22Header 2l2Titre2Head 2第一层条Heading..."/>
    <w:basedOn w:val="4"/>
    <w:qFormat/>
    <w:uiPriority w:val="0"/>
    <w:pPr>
      <w:tabs>
        <w:tab w:val="left" w:pos="-420"/>
        <w:tab w:val="left" w:pos="2552"/>
      </w:tabs>
      <w:autoSpaceDE/>
      <w:autoSpaceDN/>
      <w:adjustRightInd/>
      <w:spacing w:before="260" w:beforeLines="50" w:after="260" w:afterLines="50" w:line="480" w:lineRule="auto"/>
      <w:ind w:left="-420" w:firstLine="420"/>
      <w:jc w:val="both"/>
    </w:pPr>
    <w:rPr>
      <w:rFonts w:ascii="Times New Roman" w:hAnsi="Times New Roman" w:eastAsia="宋体"/>
      <w:bCs/>
      <w:kern w:val="2"/>
      <w:sz w:val="28"/>
    </w:rPr>
  </w:style>
  <w:style w:type="paragraph" w:customStyle="1" w:styleId="1828">
    <w:name w:val="xl69"/>
    <w:basedOn w:val="1"/>
    <w:qFormat/>
    <w:uiPriority w:val="0"/>
    <w:pPr>
      <w:widowControl/>
      <w:pBdr>
        <w:left w:val="single" w:color="auto" w:sz="8" w:space="0"/>
        <w:bottom w:val="single" w:color="auto" w:sz="8" w:space="0"/>
      </w:pBdr>
      <w:spacing w:before="100" w:beforeAutospacing="1" w:after="100" w:afterAutospacing="1"/>
      <w:jc w:val="right"/>
    </w:pPr>
    <w:rPr>
      <w:rFonts w:ascii="宋体" w:hAnsi="宋体"/>
      <w:b/>
      <w:kern w:val="0"/>
      <w:sz w:val="24"/>
      <w:szCs w:val="20"/>
    </w:rPr>
  </w:style>
  <w:style w:type="paragraph" w:customStyle="1" w:styleId="1829">
    <w:name w:val="È±Ê¡ÎÄ±¾"/>
    <w:basedOn w:val="1"/>
    <w:qFormat/>
    <w:uiPriority w:val="0"/>
    <w:pPr>
      <w:widowControl/>
      <w:overflowPunct w:val="0"/>
      <w:autoSpaceDE w:val="0"/>
      <w:autoSpaceDN w:val="0"/>
      <w:adjustRightInd w:val="0"/>
      <w:snapToGrid w:val="0"/>
      <w:ind w:left="-2" w:leftChars="-1"/>
      <w:jc w:val="left"/>
      <w:textAlignment w:val="baseline"/>
    </w:pPr>
    <w:rPr>
      <w:rFonts w:ascii="Arial" w:hAnsi="Arial" w:cs="Arial"/>
      <w:kern w:val="0"/>
      <w:sz w:val="24"/>
      <w:szCs w:val="20"/>
    </w:rPr>
  </w:style>
  <w:style w:type="paragraph" w:customStyle="1" w:styleId="1830">
    <w:name w:val="a14"/>
    <w:basedOn w:val="1"/>
    <w:qFormat/>
    <w:uiPriority w:val="0"/>
    <w:pPr>
      <w:widowControl/>
      <w:spacing w:before="100" w:beforeAutospacing="1" w:after="100" w:afterAutospacing="1" w:line="351" w:lineRule="atLeast"/>
      <w:ind w:firstLine="439"/>
      <w:jc w:val="left"/>
    </w:pPr>
    <w:rPr>
      <w:rFonts w:ascii="宋体" w:hAnsi="宋体"/>
      <w:kern w:val="0"/>
      <w:sz w:val="25"/>
      <w:szCs w:val="20"/>
    </w:rPr>
  </w:style>
  <w:style w:type="paragraph" w:customStyle="1" w:styleId="1831">
    <w:name w:val="单位名称"/>
    <w:basedOn w:val="1"/>
    <w:qFormat/>
    <w:uiPriority w:val="0"/>
    <w:pPr>
      <w:widowControl/>
      <w:adjustRightInd w:val="0"/>
      <w:snapToGrid w:val="0"/>
      <w:spacing w:before="240" w:after="40" w:line="300" w:lineRule="auto"/>
      <w:jc w:val="center"/>
      <w:textAlignment w:val="baseline"/>
    </w:pPr>
    <w:rPr>
      <w:rFonts w:ascii="Arial" w:hAnsi="Arial"/>
      <w:snapToGrid w:val="0"/>
      <w:spacing w:val="10"/>
      <w:kern w:val="0"/>
      <w:sz w:val="32"/>
      <w:szCs w:val="20"/>
    </w:rPr>
  </w:style>
  <w:style w:type="paragraph" w:customStyle="1" w:styleId="1832">
    <w:name w:val="样式 样式 2节标题 + 楷体_GB2312 小三 加粗 自动设置 + 左侧:  0 厘米 首行缩进:  0 厘米"/>
    <w:basedOn w:val="1"/>
    <w:qFormat/>
    <w:uiPriority w:val="0"/>
    <w:pPr>
      <w:tabs>
        <w:tab w:val="left" w:pos="864"/>
      </w:tabs>
      <w:spacing w:beforeLines="50" w:afterLines="50"/>
      <w:outlineLvl w:val="1"/>
    </w:pPr>
    <w:rPr>
      <w:rFonts w:ascii="楷体_GB2312" w:hAnsi="楷体_GB2312" w:eastAsia="楷体_GB2312"/>
      <w:b/>
      <w:color w:val="000000"/>
      <w:kern w:val="44"/>
      <w:sz w:val="32"/>
      <w:szCs w:val="20"/>
    </w:rPr>
  </w:style>
  <w:style w:type="paragraph" w:customStyle="1" w:styleId="1833">
    <w:name w:val="a0"/>
    <w:basedOn w:val="1"/>
    <w:qFormat/>
    <w:uiPriority w:val="0"/>
    <w:pPr>
      <w:widowControl/>
      <w:spacing w:line="300" w:lineRule="atLeast"/>
      <w:jc w:val="left"/>
    </w:pPr>
    <w:rPr>
      <w:rFonts w:ascii="宋体" w:hAnsi="宋体" w:cs="宋体"/>
      <w:kern w:val="0"/>
      <w:sz w:val="18"/>
      <w:szCs w:val="18"/>
    </w:rPr>
  </w:style>
  <w:style w:type="paragraph" w:customStyle="1" w:styleId="1834">
    <w:name w:val="*8. General Text"/>
    <w:basedOn w:val="278"/>
    <w:next w:val="278"/>
    <w:qFormat/>
    <w:uiPriority w:val="99"/>
    <w:rPr>
      <w:rFonts w:ascii="Times New Roman" w:hAnsi="Times New Roman" w:cs="Times New Roman"/>
      <w:color w:val="auto"/>
    </w:rPr>
  </w:style>
  <w:style w:type="paragraph" w:customStyle="1" w:styleId="1835">
    <w:name w:val="样式 样式 正文首行缩进 + 首行缩进:  1 字符 + 首行缩进:  1 字符"/>
    <w:basedOn w:val="1"/>
    <w:qFormat/>
    <w:uiPriority w:val="0"/>
    <w:pPr>
      <w:spacing w:line="360" w:lineRule="auto"/>
      <w:ind w:firstLine="480" w:firstLineChars="200"/>
    </w:pPr>
    <w:rPr>
      <w:sz w:val="24"/>
      <w:szCs w:val="20"/>
    </w:rPr>
  </w:style>
  <w:style w:type="paragraph" w:customStyle="1" w:styleId="1836">
    <w:name w:val="Char Char Char 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37">
    <w:name w:val="样式 (西文) 宋体 小四 行距: 1.5 倍行距 首行缩进:  2 字符"/>
    <w:basedOn w:val="1"/>
    <w:qFormat/>
    <w:uiPriority w:val="0"/>
    <w:pPr>
      <w:spacing w:line="360" w:lineRule="auto"/>
      <w:ind w:firstLine="480" w:firstLineChars="200"/>
    </w:pPr>
    <w:rPr>
      <w:rFonts w:ascii="宋体" w:hAnsi="宋体" w:cs="宋体"/>
      <w:sz w:val="24"/>
      <w:szCs w:val="20"/>
    </w:rPr>
  </w:style>
  <w:style w:type="paragraph" w:customStyle="1" w:styleId="1838">
    <w:name w:val="a03"/>
    <w:basedOn w:val="6"/>
    <w:qFormat/>
    <w:uiPriority w:val="0"/>
    <w:pPr>
      <w:autoSpaceDE/>
      <w:autoSpaceDN/>
      <w:spacing w:before="260" w:after="260" w:line="416" w:lineRule="atLeast"/>
      <w:jc w:val="both"/>
      <w:textAlignment w:val="baseline"/>
    </w:pPr>
    <w:rPr>
      <w:rFonts w:ascii="Times New Roman"/>
      <w:sz w:val="28"/>
      <w:szCs w:val="32"/>
      <w:u w:val="none"/>
    </w:rPr>
  </w:style>
  <w:style w:type="paragraph" w:customStyle="1" w:styleId="1839">
    <w:name w:val="_Style 4"/>
    <w:basedOn w:val="1"/>
    <w:qFormat/>
    <w:uiPriority w:val="34"/>
    <w:pPr>
      <w:ind w:firstLine="420" w:firstLineChars="200"/>
    </w:pPr>
    <w:rPr>
      <w:rFonts w:ascii="Calibri" w:hAnsi="Calibri"/>
      <w:szCs w:val="22"/>
    </w:rPr>
  </w:style>
  <w:style w:type="paragraph" w:customStyle="1" w:styleId="1840">
    <w:name w:val="Char Char Char Char Char Char1 Char3"/>
    <w:basedOn w:val="1"/>
    <w:qFormat/>
    <w:uiPriority w:val="0"/>
    <w:pPr>
      <w:widowControl/>
      <w:spacing w:after="160" w:line="240" w:lineRule="exact"/>
      <w:jc w:val="left"/>
    </w:pPr>
    <w:rPr>
      <w:rFonts w:ascii="Verdana" w:hAnsi="Verdana"/>
      <w:kern w:val="0"/>
      <w:szCs w:val="20"/>
      <w:lang w:eastAsia="en-US"/>
    </w:rPr>
  </w:style>
  <w:style w:type="paragraph" w:customStyle="1" w:styleId="1841">
    <w:name w:val="CM4"/>
    <w:basedOn w:val="278"/>
    <w:next w:val="278"/>
    <w:qFormat/>
    <w:uiPriority w:val="0"/>
    <w:pPr>
      <w:spacing w:line="468" w:lineRule="atLeast"/>
    </w:pPr>
    <w:rPr>
      <w:rFonts w:ascii="黑体" w:hAnsi="Times New Roman" w:eastAsia="黑体" w:cs="Times New Roman"/>
      <w:color w:val="auto"/>
    </w:rPr>
  </w:style>
  <w:style w:type="paragraph" w:customStyle="1" w:styleId="1842">
    <w:name w:val="四级无标题条"/>
    <w:basedOn w:val="1"/>
    <w:qFormat/>
    <w:uiPriority w:val="0"/>
    <w:pPr>
      <w:numPr>
        <w:ilvl w:val="5"/>
        <w:numId w:val="37"/>
      </w:numPr>
    </w:pPr>
  </w:style>
  <w:style w:type="paragraph" w:customStyle="1" w:styleId="1843">
    <w:name w:val="Note"/>
    <w:basedOn w:val="1"/>
    <w:qFormat/>
    <w:uiPriority w:val="0"/>
    <w:pPr>
      <w:pBdr>
        <w:top w:val="single" w:color="auto" w:sz="12" w:space="3"/>
        <w:bottom w:val="single" w:color="auto" w:sz="12" w:space="3"/>
      </w:pBdr>
      <w:spacing w:line="360" w:lineRule="auto"/>
    </w:pPr>
    <w:rPr>
      <w:sz w:val="24"/>
      <w:szCs w:val="22"/>
    </w:rPr>
  </w:style>
  <w:style w:type="paragraph" w:customStyle="1" w:styleId="1844">
    <w:name w:val="表格题注样式"/>
    <w:basedOn w:val="1"/>
    <w:next w:val="1"/>
    <w:qFormat/>
    <w:uiPriority w:val="9"/>
    <w:pPr>
      <w:spacing w:line="360" w:lineRule="auto"/>
      <w:jc w:val="center"/>
    </w:pPr>
    <w:rPr>
      <w:rFonts w:ascii="黑体" w:eastAsia="黑体"/>
      <w:sz w:val="18"/>
      <w:szCs w:val="18"/>
    </w:rPr>
  </w:style>
  <w:style w:type="paragraph" w:customStyle="1" w:styleId="1845">
    <w:name w:val="标书正文 Char Char1"/>
    <w:basedOn w:val="1"/>
    <w:qFormat/>
    <w:uiPriority w:val="0"/>
    <w:pPr>
      <w:spacing w:line="500" w:lineRule="exact"/>
      <w:ind w:firstLine="540" w:firstLineChars="225"/>
    </w:pPr>
    <w:rPr>
      <w:rFonts w:ascii="宋体" w:hAnsi="宋体"/>
      <w:sz w:val="24"/>
      <w:szCs w:val="20"/>
    </w:rPr>
  </w:style>
  <w:style w:type="paragraph" w:customStyle="1" w:styleId="1846">
    <w:name w:val="xl128"/>
    <w:basedOn w:val="1"/>
    <w:qFormat/>
    <w:uiPriority w:val="0"/>
    <w:pPr>
      <w:widowControl/>
      <w:pBdr>
        <w:top w:val="single" w:color="auto" w:sz="4" w:space="0"/>
        <w:left w:val="single" w:color="auto" w:sz="4" w:space="0"/>
        <w:right w:val="single" w:color="auto" w:sz="4" w:space="0"/>
      </w:pBdr>
      <w:shd w:val="clear" w:color="auto" w:fill="CCCCFF"/>
      <w:spacing w:before="100" w:beforeAutospacing="1" w:after="100" w:afterAutospacing="1"/>
      <w:jc w:val="center"/>
      <w:textAlignment w:val="center"/>
    </w:pPr>
    <w:rPr>
      <w:rFonts w:ascii="宋体" w:hAnsi="宋体"/>
      <w:kern w:val="0"/>
      <w:sz w:val="18"/>
      <w:szCs w:val="20"/>
    </w:rPr>
  </w:style>
  <w:style w:type="paragraph" w:customStyle="1" w:styleId="1847">
    <w:name w:val="Char Char Char Char Char Char Char Char Char Char Char Char Char1"/>
    <w:basedOn w:val="1"/>
    <w:qFormat/>
    <w:uiPriority w:val="0"/>
    <w:pPr>
      <w:tabs>
        <w:tab w:val="left" w:pos="432"/>
      </w:tabs>
      <w:spacing w:beforeLines="50" w:afterLines="50"/>
      <w:ind w:left="432" w:hanging="432"/>
      <w:jc w:val="center"/>
    </w:pPr>
    <w:rPr>
      <w:sz w:val="24"/>
    </w:rPr>
  </w:style>
  <w:style w:type="paragraph" w:customStyle="1" w:styleId="1848">
    <w:name w:val="标题 4 + 四号"/>
    <w:basedOn w:val="6"/>
    <w:qFormat/>
    <w:uiPriority w:val="0"/>
    <w:pPr>
      <w:autoSpaceDE/>
      <w:autoSpaceDN/>
      <w:adjustRightInd/>
      <w:spacing w:before="260" w:after="260" w:line="416" w:lineRule="auto"/>
      <w:jc w:val="both"/>
    </w:pPr>
    <w:rPr>
      <w:rFonts w:ascii="Times New Roman"/>
      <w:bCs/>
      <w:kern w:val="2"/>
      <w:sz w:val="28"/>
      <w:szCs w:val="28"/>
      <w:u w:val="none"/>
    </w:rPr>
  </w:style>
  <w:style w:type="paragraph" w:customStyle="1" w:styleId="1849">
    <w:name w:val="并列项-点"/>
    <w:basedOn w:val="1"/>
    <w:qFormat/>
    <w:uiPriority w:val="0"/>
    <w:pPr>
      <w:widowControl/>
      <w:tabs>
        <w:tab w:val="left" w:pos="851"/>
        <w:tab w:val="left" w:pos="1140"/>
      </w:tabs>
      <w:adjustRightInd w:val="0"/>
      <w:snapToGrid w:val="0"/>
      <w:spacing w:line="360" w:lineRule="atLeast"/>
      <w:ind w:left="1140" w:hanging="420"/>
      <w:textAlignment w:val="baseline"/>
    </w:pPr>
    <w:rPr>
      <w:kern w:val="0"/>
      <w:sz w:val="24"/>
      <w:szCs w:val="20"/>
    </w:rPr>
  </w:style>
  <w:style w:type="paragraph" w:customStyle="1" w:styleId="1850">
    <w:name w:val="ÕýÎÄÊ×ÐÐËõ½ø"/>
    <w:basedOn w:val="1"/>
    <w:qFormat/>
    <w:uiPriority w:val="0"/>
    <w:pPr>
      <w:widowControl/>
      <w:overflowPunct w:val="0"/>
      <w:autoSpaceDE w:val="0"/>
      <w:autoSpaceDN w:val="0"/>
      <w:adjustRightInd w:val="0"/>
      <w:spacing w:line="360" w:lineRule="auto"/>
      <w:ind w:firstLine="425"/>
      <w:textAlignment w:val="baseline"/>
    </w:pPr>
    <w:rPr>
      <w:kern w:val="0"/>
      <w:sz w:val="24"/>
      <w:szCs w:val="20"/>
    </w:rPr>
  </w:style>
  <w:style w:type="paragraph" w:customStyle="1" w:styleId="1851">
    <w:name w:val="样式 标题 2H2h2标题 2(章)总标题HD2Heading 2 HiddenHeading 2 CCBSTi..."/>
    <w:basedOn w:val="4"/>
    <w:qFormat/>
    <w:uiPriority w:val="0"/>
    <w:pPr>
      <w:tabs>
        <w:tab w:val="left" w:pos="567"/>
        <w:tab w:val="left" w:pos="2552"/>
      </w:tabs>
      <w:autoSpaceDE/>
      <w:autoSpaceDN/>
      <w:adjustRightInd/>
      <w:spacing w:before="260" w:beforeLines="50" w:after="260" w:afterLines="50" w:line="360" w:lineRule="auto"/>
      <w:jc w:val="both"/>
    </w:pPr>
    <w:rPr>
      <w:rFonts w:ascii="楷体_GB2312" w:hAnsi="楷体_GB2312" w:eastAsia="楷体_GB2312"/>
      <w:color w:val="000000"/>
      <w:kern w:val="2"/>
      <w:sz w:val="24"/>
    </w:rPr>
  </w:style>
  <w:style w:type="paragraph" w:customStyle="1" w:styleId="1852">
    <w:name w:val="Char2 Char Char Char Char Char Char5"/>
    <w:basedOn w:val="1"/>
    <w:qFormat/>
    <w:uiPriority w:val="0"/>
    <w:rPr>
      <w:rFonts w:ascii="仿宋_GB2312"/>
      <w:b/>
      <w:sz w:val="30"/>
      <w:szCs w:val="32"/>
    </w:rPr>
  </w:style>
  <w:style w:type="paragraph" w:customStyle="1" w:styleId="1853">
    <w:name w:val="Char Char Char Char Char Char Char Char Char Char Char Char Char"/>
    <w:basedOn w:val="1"/>
    <w:qFormat/>
    <w:uiPriority w:val="0"/>
    <w:pPr>
      <w:tabs>
        <w:tab w:val="left" w:pos="432"/>
      </w:tabs>
      <w:spacing w:before="156" w:beforeLines="50" w:after="156" w:afterLines="50"/>
      <w:ind w:left="432" w:hanging="432"/>
      <w:jc w:val="center"/>
    </w:pPr>
    <w:rPr>
      <w:sz w:val="24"/>
    </w:rPr>
  </w:style>
  <w:style w:type="paragraph" w:customStyle="1" w:styleId="1854">
    <w:name w:val="Char Char Char Char4"/>
    <w:basedOn w:val="1"/>
    <w:qFormat/>
    <w:uiPriority w:val="0"/>
    <w:rPr>
      <w:rFonts w:ascii="Tahoma" w:hAnsi="Tahoma"/>
      <w:sz w:val="24"/>
      <w:szCs w:val="20"/>
    </w:rPr>
  </w:style>
  <w:style w:type="paragraph" w:customStyle="1" w:styleId="1855">
    <w:name w:val="Default Text"/>
    <w:basedOn w:val="1"/>
    <w:qFormat/>
    <w:uiPriority w:val="0"/>
    <w:pPr>
      <w:widowControl/>
      <w:jc w:val="left"/>
    </w:pPr>
    <w:rPr>
      <w:snapToGrid w:val="0"/>
      <w:kern w:val="0"/>
      <w:sz w:val="24"/>
      <w:szCs w:val="20"/>
      <w:lang w:eastAsia="en-US"/>
    </w:rPr>
  </w:style>
  <w:style w:type="paragraph" w:customStyle="1" w:styleId="1856">
    <w:name w:val="表文"/>
    <w:qFormat/>
    <w:uiPriority w:val="0"/>
    <w:pPr>
      <w:spacing w:before="62" w:after="62"/>
      <w:jc w:val="center"/>
    </w:pPr>
    <w:rPr>
      <w:rFonts w:ascii="Times New Roman" w:hAnsi="Times New Roman" w:eastAsia="仿宋_GB2312" w:cs="Times New Roman"/>
      <w:sz w:val="24"/>
      <w:lang w:val="en-US" w:eastAsia="zh-CN" w:bidi="ar-SA"/>
    </w:rPr>
  </w:style>
  <w:style w:type="paragraph" w:customStyle="1" w:styleId="1857">
    <w:name w:val="Char Char5 Char Char Char Char3"/>
    <w:basedOn w:val="1"/>
    <w:qFormat/>
    <w:uiPriority w:val="0"/>
    <w:pPr>
      <w:spacing w:line="360" w:lineRule="auto"/>
    </w:pPr>
    <w:rPr>
      <w:rFonts w:ascii="Tahoma" w:hAnsi="Tahoma"/>
      <w:sz w:val="36"/>
      <w:szCs w:val="36"/>
    </w:rPr>
  </w:style>
  <w:style w:type="paragraph" w:customStyle="1" w:styleId="1858">
    <w:name w:val="小点说明"/>
    <w:basedOn w:val="1"/>
    <w:qFormat/>
    <w:uiPriority w:val="0"/>
    <w:pPr>
      <w:tabs>
        <w:tab w:val="left" w:pos="840"/>
      </w:tabs>
      <w:adjustRightInd w:val="0"/>
      <w:snapToGrid w:val="0"/>
      <w:spacing w:line="360" w:lineRule="auto"/>
      <w:ind w:left="840" w:hanging="420"/>
    </w:pPr>
  </w:style>
  <w:style w:type="paragraph" w:customStyle="1" w:styleId="1859">
    <w:name w:val="引用4"/>
    <w:qFormat/>
    <w:uiPriority w:val="0"/>
    <w:pPr>
      <w:spacing w:after="160" w:line="240" w:lineRule="atLeast"/>
    </w:pPr>
    <w:rPr>
      <w:rFonts w:ascii="Arial" w:hAnsi="Arial" w:eastAsia="宋体" w:cs="Times New Roman"/>
      <w:i/>
      <w:color w:val="808080"/>
      <w:lang w:val="en-US" w:eastAsia="en-US" w:bidi="he-IL"/>
    </w:rPr>
  </w:style>
  <w:style w:type="paragraph" w:customStyle="1" w:styleId="1860">
    <w:name w:val="白皮书正文"/>
    <w:basedOn w:val="1"/>
    <w:qFormat/>
    <w:uiPriority w:val="0"/>
    <w:pPr>
      <w:autoSpaceDE w:val="0"/>
      <w:adjustRightInd w:val="0"/>
      <w:spacing w:line="360" w:lineRule="auto"/>
      <w:ind w:firstLine="480" w:firstLineChars="200"/>
      <w:textAlignment w:val="top"/>
    </w:pPr>
    <w:rPr>
      <w:bCs/>
      <w:sz w:val="24"/>
    </w:rPr>
  </w:style>
  <w:style w:type="paragraph" w:customStyle="1" w:styleId="1861">
    <w:name w:val="Char Char5 Char Char Char Char2"/>
    <w:basedOn w:val="1"/>
    <w:qFormat/>
    <w:uiPriority w:val="0"/>
    <w:pPr>
      <w:spacing w:line="360" w:lineRule="auto"/>
    </w:pPr>
    <w:rPr>
      <w:rFonts w:ascii="Tahoma" w:hAnsi="Tahoma"/>
      <w:sz w:val="36"/>
      <w:szCs w:val="36"/>
    </w:rPr>
  </w:style>
  <w:style w:type="paragraph" w:customStyle="1" w:styleId="1862">
    <w:name w:val="CM19"/>
    <w:basedOn w:val="278"/>
    <w:next w:val="278"/>
    <w:qFormat/>
    <w:uiPriority w:val="0"/>
    <w:pPr>
      <w:spacing w:line="466" w:lineRule="atLeast"/>
    </w:pPr>
    <w:rPr>
      <w:rFonts w:ascii="楷体_GB2312" w:hAnsi="Times New Roman" w:eastAsia="楷体_GB2312" w:cs="楷体_GB2312"/>
      <w:color w:val="auto"/>
    </w:rPr>
  </w:style>
  <w:style w:type="paragraph" w:customStyle="1" w:styleId="1863">
    <w:name w:val="zzLc5"/>
    <w:basedOn w:val="1"/>
    <w:next w:val="1"/>
    <w:qFormat/>
    <w:uiPriority w:val="0"/>
    <w:pPr>
      <w:widowControl/>
      <w:tabs>
        <w:tab w:val="left" w:pos="-420"/>
      </w:tabs>
      <w:overflowPunct w:val="0"/>
      <w:autoSpaceDE w:val="0"/>
      <w:autoSpaceDN w:val="0"/>
      <w:adjustRightInd w:val="0"/>
      <w:spacing w:after="240" w:line="230" w:lineRule="atLeast"/>
      <w:ind w:left="-420"/>
      <w:jc w:val="left"/>
      <w:textAlignment w:val="baseline"/>
    </w:pPr>
    <w:rPr>
      <w:rFonts w:ascii="Arial" w:hAnsi="Arial" w:cs="Angsana New"/>
      <w:kern w:val="0"/>
      <w:sz w:val="20"/>
      <w:szCs w:val="20"/>
      <w:lang w:val="en-GB"/>
    </w:rPr>
  </w:style>
  <w:style w:type="paragraph" w:customStyle="1" w:styleId="1864">
    <w:name w:val="标题 92"/>
    <w:basedOn w:val="1"/>
    <w:qFormat/>
    <w:uiPriority w:val="0"/>
    <w:pPr>
      <w:widowControl/>
      <w:tabs>
        <w:tab w:val="left" w:pos="1584"/>
      </w:tabs>
      <w:autoSpaceDE w:val="0"/>
      <w:autoSpaceDN w:val="0"/>
      <w:ind w:left="1584" w:hanging="1584"/>
      <w:jc w:val="left"/>
    </w:pPr>
    <w:rPr>
      <w:kern w:val="24"/>
      <w:sz w:val="20"/>
      <w:szCs w:val="20"/>
    </w:rPr>
  </w:style>
  <w:style w:type="paragraph" w:customStyle="1" w:styleId="1865">
    <w:name w:val="正文文本 23"/>
    <w:basedOn w:val="1"/>
    <w:qFormat/>
    <w:uiPriority w:val="0"/>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1866">
    <w:name w:val="标题 36"/>
    <w:basedOn w:val="1"/>
    <w:qFormat/>
    <w:uiPriority w:val="0"/>
    <w:pPr>
      <w:adjustRightInd w:val="0"/>
      <w:snapToGrid w:val="0"/>
      <w:ind w:left="-2" w:leftChars="-1"/>
    </w:pPr>
    <w:rPr>
      <w:rFonts w:ascii="Arial" w:hAnsi="Arial" w:cs="Arial"/>
    </w:rPr>
  </w:style>
  <w:style w:type="paragraph" w:customStyle="1" w:styleId="1867">
    <w:name w:val="2册标题3"/>
    <w:basedOn w:val="1"/>
    <w:next w:val="1"/>
    <w:qFormat/>
    <w:uiPriority w:val="0"/>
    <w:pPr>
      <w:spacing w:beforeLines="50" w:afterLines="50" w:line="300" w:lineRule="auto"/>
      <w:ind w:left="210" w:leftChars="100"/>
      <w:jc w:val="center"/>
      <w:outlineLvl w:val="2"/>
    </w:pPr>
    <w:rPr>
      <w:rFonts w:ascii="宋体" w:hAnsi="宋体"/>
      <w:b/>
      <w:sz w:val="30"/>
      <w:szCs w:val="20"/>
    </w:rPr>
  </w:style>
  <w:style w:type="paragraph" w:customStyle="1" w:styleId="1868">
    <w:name w:val="样式 首行缩进:  0.85 厘米"/>
    <w:basedOn w:val="1"/>
    <w:qFormat/>
    <w:uiPriority w:val="0"/>
    <w:pPr>
      <w:spacing w:line="360" w:lineRule="auto"/>
      <w:ind w:firstLine="480"/>
    </w:pPr>
    <w:rPr>
      <w:rFonts w:cs="Century"/>
      <w:szCs w:val="20"/>
    </w:rPr>
  </w:style>
  <w:style w:type="paragraph" w:customStyle="1" w:styleId="1869">
    <w:name w:val="样式 标题 3H3l3CT标题 3(节)Heading 3 - oldh3L3ISO2heading 3第二..."/>
    <w:basedOn w:val="6"/>
    <w:qFormat/>
    <w:uiPriority w:val="0"/>
    <w:pPr>
      <w:tabs>
        <w:tab w:val="left" w:pos="709"/>
      </w:tabs>
      <w:autoSpaceDE/>
      <w:autoSpaceDN/>
      <w:adjustRightInd/>
      <w:spacing w:before="0" w:after="0" w:line="480" w:lineRule="auto"/>
      <w:jc w:val="both"/>
    </w:pPr>
    <w:rPr>
      <w:rFonts w:hAnsi="宋体"/>
      <w:kern w:val="2"/>
      <w:u w:val="none"/>
    </w:rPr>
  </w:style>
  <w:style w:type="paragraph" w:customStyle="1" w:styleId="1870">
    <w:name w:val="样式 标题 3 + 小四"/>
    <w:basedOn w:val="6"/>
    <w:qFormat/>
    <w:uiPriority w:val="0"/>
    <w:pPr>
      <w:widowControl/>
      <w:tabs>
        <w:tab w:val="left" w:pos="709"/>
      </w:tabs>
      <w:autoSpaceDE/>
      <w:autoSpaceDN/>
      <w:adjustRightInd/>
      <w:spacing w:before="0" w:after="0" w:line="360" w:lineRule="auto"/>
      <w:ind w:left="709" w:hanging="709"/>
    </w:pPr>
    <w:rPr>
      <w:rFonts w:ascii="Times New Roman"/>
      <w:bCs/>
      <w:szCs w:val="32"/>
      <w:u w:val="none"/>
    </w:rPr>
  </w:style>
  <w:style w:type="paragraph" w:customStyle="1" w:styleId="1871">
    <w:name w:val="p9"/>
    <w:basedOn w:val="1"/>
    <w:qFormat/>
    <w:uiPriority w:val="0"/>
    <w:pPr>
      <w:widowControl/>
      <w:spacing w:before="100" w:beforeAutospacing="1" w:after="100" w:afterAutospacing="1"/>
      <w:jc w:val="left"/>
    </w:pPr>
    <w:rPr>
      <w:rFonts w:eastAsia="Arial Unicode MS"/>
      <w:color w:val="000000"/>
      <w:kern w:val="0"/>
      <w:sz w:val="18"/>
      <w:szCs w:val="20"/>
    </w:rPr>
  </w:style>
  <w:style w:type="paragraph" w:customStyle="1" w:styleId="1872">
    <w:name w:val="图下文字"/>
    <w:basedOn w:val="1"/>
    <w:qFormat/>
    <w:uiPriority w:val="0"/>
    <w:pPr>
      <w:adjustRightInd w:val="0"/>
      <w:snapToGrid w:val="0"/>
      <w:spacing w:line="312" w:lineRule="auto"/>
      <w:jc w:val="center"/>
    </w:pPr>
    <w:rPr>
      <w:sz w:val="18"/>
      <w:szCs w:val="20"/>
    </w:rPr>
  </w:style>
  <w:style w:type="paragraph" w:customStyle="1" w:styleId="1873">
    <w:name w:val="第1层正文"/>
    <w:basedOn w:val="1"/>
    <w:qFormat/>
    <w:uiPriority w:val="0"/>
    <w:pPr>
      <w:tabs>
        <w:tab w:val="left" w:pos="945"/>
      </w:tabs>
      <w:spacing w:before="120" w:after="120"/>
      <w:ind w:left="945" w:leftChars="450"/>
    </w:pPr>
    <w:rPr>
      <w:szCs w:val="20"/>
    </w:rPr>
  </w:style>
  <w:style w:type="paragraph" w:customStyle="1" w:styleId="1874">
    <w:name w:val="xl82"/>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875">
    <w:name w:val="样式 样式 样式 我的正文首行缩进 + 首行缩进:  2 字符 + 首行缩进:  2 字符 + 首行缩进:  2 字符1"/>
    <w:basedOn w:val="1"/>
    <w:qFormat/>
    <w:uiPriority w:val="0"/>
    <w:pPr>
      <w:widowControl/>
      <w:spacing w:after="120"/>
      <w:ind w:firstLine="200" w:firstLineChars="200"/>
      <w:jc w:val="left"/>
    </w:pPr>
    <w:rPr>
      <w:rFonts w:eastAsia="华文细黑"/>
      <w:sz w:val="24"/>
    </w:rPr>
  </w:style>
  <w:style w:type="paragraph" w:customStyle="1" w:styleId="1876">
    <w:name w:val="表格样式"/>
    <w:basedOn w:val="1"/>
    <w:qFormat/>
    <w:uiPriority w:val="0"/>
    <w:rPr>
      <w:rFonts w:eastAsia="幼圆"/>
      <w:szCs w:val="20"/>
    </w:rPr>
  </w:style>
  <w:style w:type="paragraph" w:customStyle="1" w:styleId="1877">
    <w:name w:val="默认段落字体 Para Char Char Char Char Char Char"/>
    <w:basedOn w:val="1"/>
    <w:qFormat/>
    <w:uiPriority w:val="0"/>
    <w:rPr>
      <w:rFonts w:ascii="Tahoma" w:hAnsi="Tahoma"/>
      <w:sz w:val="24"/>
      <w:szCs w:val="20"/>
    </w:rPr>
  </w:style>
  <w:style w:type="paragraph" w:customStyle="1" w:styleId="1878">
    <w:name w:val="样式 正文缩进四号特点表正文正文非缩进段1ALT+ZPI正文文字首行缩进正文1缩进正文双线水上软件样式..."/>
    <w:basedOn w:val="7"/>
    <w:qFormat/>
    <w:uiPriority w:val="0"/>
    <w:pPr>
      <w:autoSpaceDE/>
      <w:autoSpaceDN/>
      <w:adjustRightInd/>
      <w:spacing w:beforeLines="50" w:afterLines="50" w:line="360" w:lineRule="auto"/>
      <w:ind w:firstLine="480" w:firstLineChars="200"/>
      <w:jc w:val="both"/>
    </w:pPr>
    <w:rPr>
      <w:rFonts w:ascii="Times New Roman" w:hAnsi="宋体" w:cs="宋体"/>
    </w:rPr>
  </w:style>
  <w:style w:type="paragraph" w:customStyle="1" w:styleId="1879">
    <w:name w:val="正文＋仿宋3号字体"/>
    <w:basedOn w:val="1"/>
    <w:qFormat/>
    <w:uiPriority w:val="0"/>
    <w:pPr>
      <w:spacing w:line="360" w:lineRule="auto"/>
      <w:ind w:firstLine="640" w:firstLineChars="200"/>
    </w:pPr>
    <w:rPr>
      <w:rFonts w:ascii="楷体_GB2312" w:hAnsi="宋体" w:eastAsia="仿宋_GB2312"/>
      <w:color w:val="000000"/>
      <w:sz w:val="32"/>
      <w:szCs w:val="20"/>
    </w:rPr>
  </w:style>
  <w:style w:type="paragraph" w:customStyle="1" w:styleId="1880">
    <w:name w:val="列表符号项目级别1"/>
    <w:basedOn w:val="1"/>
    <w:qFormat/>
    <w:uiPriority w:val="0"/>
    <w:pPr>
      <w:widowControl/>
      <w:spacing w:line="288" w:lineRule="auto"/>
    </w:pPr>
    <w:rPr>
      <w:rFonts w:ascii="Arial" w:hAnsi="Arial"/>
      <w:kern w:val="0"/>
      <w:sz w:val="24"/>
      <w:szCs w:val="20"/>
    </w:rPr>
  </w:style>
  <w:style w:type="paragraph" w:customStyle="1" w:styleId="1881">
    <w:name w:val="正文页眉"/>
    <w:basedOn w:val="63"/>
    <w:qFormat/>
    <w:uiPriority w:val="0"/>
    <w:rPr>
      <w:rFonts w:ascii="Calibri" w:hAnsi="Calibri"/>
      <w:kern w:val="0"/>
    </w:rPr>
  </w:style>
  <w:style w:type="paragraph" w:customStyle="1" w:styleId="1882">
    <w:name w:val="正文＋仿宋3号字体 + 首行缩进:  2.5 字符"/>
    <w:basedOn w:val="1879"/>
    <w:qFormat/>
    <w:uiPriority w:val="0"/>
    <w:pPr>
      <w:adjustRightInd w:val="0"/>
      <w:snapToGrid w:val="0"/>
    </w:pPr>
    <w:rPr>
      <w:rFonts w:ascii="宋体"/>
      <w:color w:val="auto"/>
    </w:rPr>
  </w:style>
  <w:style w:type="paragraph" w:customStyle="1" w:styleId="1883">
    <w:name w:val="plaintext"/>
    <w:basedOn w:val="1"/>
    <w:qFormat/>
    <w:uiPriority w:val="0"/>
    <w:pPr>
      <w:widowControl/>
      <w:spacing w:before="100" w:beforeAutospacing="1" w:after="100" w:afterAutospacing="1"/>
      <w:jc w:val="left"/>
    </w:pPr>
    <w:rPr>
      <w:rFonts w:ascii="宋体" w:hAnsi="宋体"/>
      <w:kern w:val="0"/>
      <w:sz w:val="24"/>
    </w:rPr>
  </w:style>
  <w:style w:type="paragraph" w:customStyle="1" w:styleId="1884">
    <w:name w:val="图1"/>
    <w:basedOn w:val="79"/>
    <w:qFormat/>
    <w:uiPriority w:val="0"/>
    <w:pPr>
      <w:numPr>
        <w:ilvl w:val="0"/>
        <w:numId w:val="57"/>
      </w:numPr>
      <w:spacing w:line="360" w:lineRule="auto"/>
      <w:ind w:leftChars="0" w:firstLineChars="0"/>
      <w:jc w:val="center"/>
    </w:pPr>
    <w:rPr>
      <w:rFonts w:ascii="宋体" w:hAnsi="宋体"/>
      <w:b/>
      <w:bCs/>
      <w:sz w:val="18"/>
    </w:rPr>
  </w:style>
  <w:style w:type="paragraph" w:customStyle="1" w:styleId="1885">
    <w:name w:val="xl103"/>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pPr>
    <w:rPr>
      <w:rFonts w:ascii="宋体" w:hAnsi="宋体" w:cs="宋体"/>
      <w:kern w:val="0"/>
      <w:sz w:val="28"/>
      <w:szCs w:val="28"/>
    </w:rPr>
  </w:style>
  <w:style w:type="paragraph" w:customStyle="1" w:styleId="1886">
    <w:name w:val="正文编码"/>
    <w:basedOn w:val="379"/>
    <w:qFormat/>
    <w:uiPriority w:val="0"/>
    <w:pPr>
      <w:tabs>
        <w:tab w:val="left" w:pos="432"/>
        <w:tab w:val="center" w:pos="2185"/>
      </w:tabs>
      <w:spacing w:after="0" w:line="300" w:lineRule="auto"/>
      <w:ind w:left="432" w:hanging="432" w:firstLineChars="0"/>
    </w:pPr>
    <w:rPr>
      <w:rFonts w:ascii="楷体_GB2312"/>
      <w:spacing w:val="4"/>
      <w:kern w:val="0"/>
      <w:sz w:val="24"/>
    </w:rPr>
  </w:style>
  <w:style w:type="paragraph" w:customStyle="1" w:styleId="1887">
    <w:name w:val="Char Char5 Char Char Char Char Char Char Char Char Char Char Char Char Char Char Char Char Char Char Char Char Char Char Char Char4"/>
    <w:basedOn w:val="1"/>
    <w:qFormat/>
    <w:uiPriority w:val="0"/>
    <w:pPr>
      <w:spacing w:line="360" w:lineRule="auto"/>
    </w:pPr>
    <w:rPr>
      <w:rFonts w:ascii="Tahoma" w:hAnsi="Tahoma"/>
      <w:sz w:val="36"/>
      <w:szCs w:val="36"/>
    </w:rPr>
  </w:style>
  <w:style w:type="paragraph" w:customStyle="1" w:styleId="1888">
    <w:name w:val="列表样式(一级)"/>
    <w:basedOn w:val="1"/>
    <w:qFormat/>
    <w:uiPriority w:val="0"/>
    <w:pPr>
      <w:numPr>
        <w:ilvl w:val="0"/>
        <w:numId w:val="58"/>
      </w:numPr>
      <w:spacing w:before="160" w:after="160" w:line="280" w:lineRule="exact"/>
      <w:jc w:val="left"/>
    </w:pPr>
    <w:rPr>
      <w:rFonts w:ascii="Arial" w:hAnsi="Arial" w:eastAsia="华文细黑"/>
      <w:color w:val="505050"/>
      <w:sz w:val="16"/>
      <w:szCs w:val="16"/>
    </w:rPr>
  </w:style>
  <w:style w:type="paragraph" w:customStyle="1" w:styleId="1889">
    <w:name w:val="Char Char3 Char Char Char Char Char Char Char Char Char Char Char Char2 Char Char Char Char1"/>
    <w:basedOn w:val="1"/>
    <w:qFormat/>
    <w:uiPriority w:val="0"/>
    <w:pPr>
      <w:spacing w:line="360" w:lineRule="auto"/>
    </w:pPr>
    <w:rPr>
      <w:rFonts w:ascii="Tahoma" w:hAnsi="Tahoma"/>
      <w:sz w:val="36"/>
      <w:szCs w:val="36"/>
    </w:rPr>
  </w:style>
  <w:style w:type="paragraph" w:customStyle="1" w:styleId="1890">
    <w:name w:val="表标题"/>
    <w:basedOn w:val="1"/>
    <w:qFormat/>
    <w:uiPriority w:val="0"/>
    <w:pPr>
      <w:spacing w:before="60" w:line="300" w:lineRule="exact"/>
      <w:jc w:val="center"/>
    </w:pPr>
    <w:rPr>
      <w:rFonts w:ascii="黑体" w:eastAsia="黑体"/>
      <w:sz w:val="28"/>
      <w:szCs w:val="20"/>
    </w:rPr>
  </w:style>
  <w:style w:type="paragraph" w:customStyle="1" w:styleId="1891">
    <w:name w:val="colorccccccbg"/>
    <w:basedOn w:val="1"/>
    <w:qFormat/>
    <w:uiPriority w:val="0"/>
    <w:pPr>
      <w:widowControl/>
      <w:shd w:val="clear" w:color="auto" w:fill="CCCCCC"/>
      <w:spacing w:before="100" w:beforeAutospacing="1" w:after="100" w:afterAutospacing="1"/>
      <w:jc w:val="left"/>
    </w:pPr>
    <w:rPr>
      <w:rFonts w:ascii="宋体" w:hAnsi="宋体" w:cs="宋体"/>
      <w:color w:val="000000"/>
      <w:kern w:val="0"/>
      <w:sz w:val="24"/>
    </w:rPr>
  </w:style>
  <w:style w:type="paragraph" w:customStyle="1" w:styleId="1892">
    <w:name w:val="xl140"/>
    <w:basedOn w:val="1"/>
    <w:qFormat/>
    <w:uiPriority w:val="0"/>
    <w:pPr>
      <w:widowControl/>
      <w:spacing w:before="100" w:beforeAutospacing="1" w:after="100" w:afterAutospacing="1"/>
      <w:jc w:val="left"/>
      <w:textAlignment w:val="center"/>
    </w:pPr>
    <w:rPr>
      <w:rFonts w:ascii="宋体" w:hAnsi="宋体"/>
      <w:kern w:val="0"/>
      <w:sz w:val="18"/>
      <w:szCs w:val="20"/>
    </w:rPr>
  </w:style>
  <w:style w:type="paragraph" w:customStyle="1" w:styleId="1893">
    <w:name w:val="itemlis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94">
    <w:name w:val="CM36"/>
    <w:basedOn w:val="278"/>
    <w:next w:val="278"/>
    <w:qFormat/>
    <w:uiPriority w:val="0"/>
    <w:pPr>
      <w:spacing w:line="468" w:lineRule="atLeast"/>
    </w:pPr>
    <w:rPr>
      <w:rFonts w:ascii="楷体_GB2312" w:hAnsi="Times New Roman" w:eastAsia="楷体_GB2312" w:cs="楷体_GB2312"/>
      <w:color w:val="auto"/>
    </w:rPr>
  </w:style>
  <w:style w:type="paragraph" w:customStyle="1" w:styleId="1895">
    <w:name w:val="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96">
    <w:name w:val="Char2 Char Char Char4"/>
    <w:basedOn w:val="1"/>
    <w:qFormat/>
    <w:uiPriority w:val="0"/>
    <w:rPr>
      <w:rFonts w:ascii="仿宋_GB2312"/>
      <w:b/>
      <w:sz w:val="30"/>
      <w:szCs w:val="32"/>
    </w:rPr>
  </w:style>
  <w:style w:type="paragraph" w:customStyle="1" w:styleId="1897">
    <w:name w:val="样式 样式 样式 正文首行缩进 2 + 左侧:  2 字符 首行缩进:  2 字符 + (西文) 宋体 (中文) 宋体 左侧: ..."/>
    <w:basedOn w:val="1"/>
    <w:qFormat/>
    <w:uiPriority w:val="0"/>
    <w:pPr>
      <w:spacing w:beforeLines="30" w:line="360" w:lineRule="auto"/>
      <w:ind w:firstLine="480" w:firstLineChars="200"/>
      <w:jc w:val="left"/>
    </w:pPr>
    <w:rPr>
      <w:rFonts w:ascii="宋体" w:hAnsi="宋体"/>
      <w:sz w:val="24"/>
      <w:szCs w:val="20"/>
      <w:lang w:eastAsia="zh-TW"/>
    </w:rPr>
  </w:style>
  <w:style w:type="paragraph" w:customStyle="1" w:styleId="1898">
    <w:name w:val="Char2 Char Char Char Char Char Char2"/>
    <w:basedOn w:val="1"/>
    <w:qFormat/>
    <w:uiPriority w:val="0"/>
    <w:pPr>
      <w:tabs>
        <w:tab w:val="left" w:pos="1320"/>
      </w:tabs>
      <w:autoSpaceDE w:val="0"/>
      <w:autoSpaceDN w:val="0"/>
      <w:adjustRightInd w:val="0"/>
      <w:spacing w:line="360" w:lineRule="auto"/>
      <w:ind w:firstLine="560" w:firstLineChars="200"/>
    </w:pPr>
    <w:rPr>
      <w:rFonts w:ascii="仿宋_GB2312" w:eastAsia="仿宋_GB2312"/>
      <w:sz w:val="28"/>
      <w:szCs w:val="28"/>
    </w:rPr>
  </w:style>
  <w:style w:type="paragraph" w:customStyle="1" w:styleId="1899">
    <w:name w:val="Notes Text List"/>
    <w:qFormat/>
    <w:uiPriority w:val="0"/>
    <w:pPr>
      <w:keepNext/>
      <w:keepLines/>
      <w:numPr>
        <w:ilvl w:val="0"/>
        <w:numId w:val="59"/>
      </w:numPr>
      <w:pBdr>
        <w:bottom w:val="single" w:color="auto" w:sz="8" w:space="10"/>
      </w:pBdr>
      <w:jc w:val="both"/>
    </w:pPr>
    <w:rPr>
      <w:rFonts w:ascii="Arial" w:hAnsi="Arial" w:eastAsia="楷体_GB2312" w:cs="Arial Narrow"/>
      <w:lang w:val="en-US" w:eastAsia="zh-CN" w:bidi="ar-SA"/>
    </w:rPr>
  </w:style>
  <w:style w:type="paragraph" w:customStyle="1" w:styleId="1900">
    <w:name w:val="正文要点"/>
    <w:basedOn w:val="1"/>
    <w:next w:val="1"/>
    <w:qFormat/>
    <w:uiPriority w:val="0"/>
    <w:pPr>
      <w:tabs>
        <w:tab w:val="left" w:pos="420"/>
      </w:tabs>
      <w:spacing w:line="360" w:lineRule="auto"/>
      <w:ind w:left="425" w:hanging="425"/>
    </w:pPr>
    <w:rPr>
      <w:szCs w:val="20"/>
    </w:rPr>
  </w:style>
  <w:style w:type="paragraph" w:customStyle="1" w:styleId="1901">
    <w:name w:val="样式 样式 标题 4PIM 4H4h4bulletblbbHeading Fourheading 4sect 1.2... + ..."/>
    <w:basedOn w:val="1"/>
    <w:qFormat/>
    <w:uiPriority w:val="0"/>
    <w:pPr>
      <w:keepNext/>
      <w:keepLines/>
      <w:spacing w:before="280" w:after="290" w:line="377" w:lineRule="auto"/>
      <w:ind w:left="600" w:leftChars="600" w:right="100" w:rightChars="100" w:hanging="708"/>
      <w:outlineLvl w:val="3"/>
    </w:pPr>
    <w:rPr>
      <w:rFonts w:ascii="Arial" w:hAnsi="Arial" w:eastAsia="黑体" w:cs="宋体"/>
      <w:b/>
      <w:bCs/>
      <w:sz w:val="24"/>
      <w:szCs w:val="20"/>
    </w:rPr>
  </w:style>
  <w:style w:type="paragraph" w:customStyle="1" w:styleId="1902">
    <w:name w:val="Char Char Char Char Char Char1 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903">
    <w:name w:val="次级并列项-点"/>
    <w:basedOn w:val="1849"/>
    <w:next w:val="1"/>
    <w:qFormat/>
    <w:uiPriority w:val="0"/>
    <w:pPr>
      <w:widowControl w:val="0"/>
      <w:numPr>
        <w:ilvl w:val="0"/>
        <w:numId w:val="60"/>
      </w:numPr>
      <w:tabs>
        <w:tab w:val="left" w:pos="360"/>
        <w:tab w:val="clear" w:pos="420"/>
        <w:tab w:val="clear" w:pos="851"/>
        <w:tab w:val="clear" w:pos="1140"/>
      </w:tabs>
      <w:adjustRightInd/>
      <w:snapToGrid/>
      <w:spacing w:line="440" w:lineRule="exact"/>
      <w:ind w:left="851" w:hanging="284"/>
      <w:textAlignment w:val="auto"/>
    </w:pPr>
    <w:rPr>
      <w:rFonts w:ascii="仿宋_GB2312" w:eastAsia="仿宋_GB2312"/>
      <w:kern w:val="2"/>
      <w:sz w:val="32"/>
      <w:szCs w:val="24"/>
    </w:rPr>
  </w:style>
  <w:style w:type="paragraph" w:customStyle="1" w:styleId="1904">
    <w:name w:val="文件标识号"/>
    <w:basedOn w:val="1"/>
    <w:qFormat/>
    <w:uiPriority w:val="0"/>
    <w:pPr>
      <w:widowControl/>
      <w:adjustRightInd w:val="0"/>
      <w:snapToGrid w:val="0"/>
      <w:spacing w:before="120" w:after="120" w:line="1440" w:lineRule="auto"/>
      <w:jc w:val="center"/>
      <w:textAlignment w:val="baseline"/>
    </w:pPr>
    <w:rPr>
      <w:rFonts w:ascii="Arial" w:hAnsi="Arial" w:eastAsia="黑体"/>
      <w:spacing w:val="10"/>
      <w:kern w:val="0"/>
      <w:sz w:val="32"/>
      <w:szCs w:val="20"/>
    </w:rPr>
  </w:style>
  <w:style w:type="paragraph" w:customStyle="1" w:styleId="1905">
    <w:name w:val="标题 12"/>
    <w:basedOn w:val="1"/>
    <w:qFormat/>
    <w:uiPriority w:val="0"/>
    <w:pPr>
      <w:tabs>
        <w:tab w:val="left" w:pos="284"/>
      </w:tabs>
      <w:ind w:left="284" w:hanging="284"/>
    </w:pPr>
    <w:rPr>
      <w:szCs w:val="20"/>
    </w:rPr>
  </w:style>
  <w:style w:type="paragraph" w:customStyle="1" w:styleId="1906">
    <w:name w:val="段落正文"/>
    <w:basedOn w:val="1"/>
    <w:qFormat/>
    <w:uiPriority w:val="0"/>
    <w:pPr>
      <w:spacing w:line="360" w:lineRule="atLeast"/>
      <w:ind w:left="100" w:leftChars="100" w:firstLine="200" w:firstLineChars="200"/>
      <w:jc w:val="left"/>
    </w:pPr>
    <w:rPr>
      <w:spacing w:val="2"/>
      <w:sz w:val="24"/>
      <w:szCs w:val="20"/>
    </w:rPr>
  </w:style>
  <w:style w:type="paragraph" w:customStyle="1" w:styleId="1907">
    <w:name w:val="标题 21"/>
    <w:basedOn w:val="1"/>
    <w:qFormat/>
    <w:uiPriority w:val="0"/>
    <w:pPr>
      <w:spacing w:line="360" w:lineRule="auto"/>
    </w:pPr>
    <w:rPr>
      <w:b/>
      <w:sz w:val="24"/>
      <w:szCs w:val="20"/>
      <w:u w:color="000000"/>
    </w:rPr>
  </w:style>
  <w:style w:type="paragraph" w:customStyle="1" w:styleId="1908">
    <w:name w:val="123"/>
    <w:basedOn w:val="1025"/>
    <w:qFormat/>
    <w:uiPriority w:val="0"/>
    <w:rPr>
      <w:rFonts w:ascii="Tahoma" w:hAnsi="Tahoma"/>
      <w:sz w:val="24"/>
    </w:rPr>
  </w:style>
  <w:style w:type="paragraph" w:customStyle="1" w:styleId="1909">
    <w:name w:val="正文表格标准"/>
    <w:basedOn w:val="1"/>
    <w:qFormat/>
    <w:uiPriority w:val="0"/>
    <w:pPr>
      <w:jc w:val="left"/>
    </w:pPr>
    <w:rPr>
      <w:kern w:val="0"/>
      <w:szCs w:val="20"/>
    </w:rPr>
  </w:style>
  <w:style w:type="paragraph" w:customStyle="1" w:styleId="1910">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szCs w:val="20"/>
    </w:rPr>
  </w:style>
  <w:style w:type="paragraph" w:customStyle="1" w:styleId="1911">
    <w:name w:val="样式 标题 3H3标题1.1节标题，三级节名二级节名Heading 3 - oldHeading 3 - old C...6"/>
    <w:basedOn w:val="6"/>
    <w:qFormat/>
    <w:uiPriority w:val="0"/>
    <w:pPr>
      <w:tabs>
        <w:tab w:val="left" w:pos="720"/>
      </w:tabs>
      <w:autoSpaceDE/>
      <w:autoSpaceDN/>
      <w:adjustRightInd/>
      <w:spacing w:before="0" w:after="0" w:line="480" w:lineRule="auto"/>
      <w:ind w:left="720" w:hanging="720"/>
      <w:jc w:val="both"/>
    </w:pPr>
    <w:rPr>
      <w:rFonts w:ascii="Times New Roman"/>
      <w:kern w:val="2"/>
      <w:sz w:val="30"/>
      <w:u w:val="none"/>
    </w:rPr>
  </w:style>
  <w:style w:type="paragraph" w:customStyle="1" w:styleId="1912">
    <w:name w:val="xl67"/>
    <w:basedOn w:val="1"/>
    <w:qFormat/>
    <w:uiPriority w:val="0"/>
    <w:pPr>
      <w:widowControl/>
      <w:pBdr>
        <w:top w:val="single" w:color="auto" w:sz="4" w:space="0"/>
      </w:pBdr>
      <w:spacing w:before="100" w:beforeAutospacing="1" w:after="100" w:afterAutospacing="1"/>
      <w:jc w:val="right"/>
    </w:pPr>
    <w:rPr>
      <w:rFonts w:ascii="宋体" w:hAnsi="宋体"/>
      <w:b/>
      <w:kern w:val="0"/>
      <w:sz w:val="24"/>
      <w:szCs w:val="20"/>
    </w:rPr>
  </w:style>
  <w:style w:type="paragraph" w:customStyle="1" w:styleId="1913">
    <w:name w:val="符号列表"/>
    <w:basedOn w:val="1"/>
    <w:qFormat/>
    <w:uiPriority w:val="0"/>
    <w:pPr>
      <w:widowControl/>
      <w:numPr>
        <w:ilvl w:val="3"/>
        <w:numId w:val="61"/>
      </w:numPr>
      <w:snapToGrid w:val="0"/>
      <w:spacing w:line="440" w:lineRule="exact"/>
      <w:jc w:val="left"/>
    </w:pPr>
    <w:rPr>
      <w:color w:val="000000"/>
      <w:sz w:val="24"/>
    </w:rPr>
  </w:style>
  <w:style w:type="paragraph" w:customStyle="1" w:styleId="1914">
    <w:name w:val="text12"/>
    <w:basedOn w:val="1"/>
    <w:qFormat/>
    <w:uiPriority w:val="0"/>
    <w:pPr>
      <w:widowControl/>
      <w:spacing w:before="100" w:beforeAutospacing="1" w:after="100" w:afterAutospacing="1"/>
      <w:ind w:firstLine="480"/>
      <w:jc w:val="left"/>
    </w:pPr>
    <w:rPr>
      <w:rFonts w:ascii="宋体" w:hAnsi="宋体" w:cs="宋体"/>
      <w:kern w:val="0"/>
      <w:sz w:val="18"/>
      <w:szCs w:val="18"/>
    </w:rPr>
  </w:style>
  <w:style w:type="paragraph" w:customStyle="1" w:styleId="1915">
    <w:name w:val="xl135"/>
    <w:basedOn w:val="1"/>
    <w:qFormat/>
    <w:uiPriority w:val="0"/>
    <w:pPr>
      <w:widowControl/>
      <w:pBdr>
        <w:left w:val="single" w:color="auto" w:sz="4" w:space="0"/>
        <w:right w:val="single" w:color="auto" w:sz="4" w:space="0"/>
      </w:pBdr>
      <w:shd w:val="clear" w:color="99CCFF" w:fill="FF8080"/>
      <w:spacing w:before="100" w:beforeAutospacing="1" w:after="100" w:afterAutospacing="1"/>
      <w:jc w:val="center"/>
      <w:textAlignment w:val="center"/>
    </w:pPr>
    <w:rPr>
      <w:rFonts w:ascii="宋体" w:hAnsi="宋体"/>
      <w:kern w:val="0"/>
      <w:sz w:val="18"/>
      <w:szCs w:val="20"/>
    </w:rPr>
  </w:style>
  <w:style w:type="paragraph" w:customStyle="1" w:styleId="1916">
    <w:name w:val="文档结构图1"/>
    <w:basedOn w:val="1"/>
    <w:qFormat/>
    <w:uiPriority w:val="99"/>
    <w:pPr>
      <w:shd w:val="clear" w:color="auto" w:fill="000080"/>
    </w:pPr>
    <w:rPr>
      <w:sz w:val="16"/>
      <w:szCs w:val="16"/>
    </w:rPr>
  </w:style>
  <w:style w:type="paragraph" w:customStyle="1" w:styleId="1917">
    <w:name w:val="样式 仿宋_GB2312 小四 左侧:  0.63 厘米"/>
    <w:basedOn w:val="1"/>
    <w:qFormat/>
    <w:uiPriority w:val="0"/>
    <w:pPr>
      <w:spacing w:before="120" w:after="120" w:line="360" w:lineRule="auto"/>
      <w:ind w:left="357" w:firstLine="200" w:firstLineChars="200"/>
    </w:pPr>
    <w:rPr>
      <w:rFonts w:ascii="仿宋_GB2312" w:hAnsi="仿宋_GB2312" w:eastAsia="仿宋_GB2312" w:cs="宋体"/>
      <w:sz w:val="24"/>
      <w:szCs w:val="20"/>
    </w:rPr>
  </w:style>
  <w:style w:type="paragraph" w:customStyle="1" w:styleId="1918">
    <w:name w:val="xl1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919">
    <w:name w:val="正文文本缩进 21"/>
    <w:basedOn w:val="1"/>
    <w:qFormat/>
    <w:uiPriority w:val="99"/>
    <w:pPr>
      <w:ind w:firstLine="480" w:firstLineChars="200"/>
    </w:pPr>
    <w:rPr>
      <w:sz w:val="24"/>
    </w:rPr>
  </w:style>
  <w:style w:type="paragraph" w:customStyle="1" w:styleId="1920">
    <w:name w:val="xl70"/>
    <w:basedOn w:val="1"/>
    <w:qFormat/>
    <w:uiPriority w:val="0"/>
    <w:pPr>
      <w:widowControl/>
      <w:pBdr>
        <w:bottom w:val="single" w:color="auto" w:sz="8" w:space="0"/>
      </w:pBdr>
      <w:spacing w:before="100" w:beforeAutospacing="1" w:after="100" w:afterAutospacing="1"/>
      <w:jc w:val="right"/>
    </w:pPr>
    <w:rPr>
      <w:rFonts w:ascii="宋体" w:hAnsi="宋体"/>
      <w:b/>
      <w:kern w:val="0"/>
      <w:sz w:val="24"/>
      <w:szCs w:val="20"/>
    </w:rPr>
  </w:style>
  <w:style w:type="paragraph" w:customStyle="1" w:styleId="1921">
    <w:name w:val="加点正文缩进"/>
    <w:basedOn w:val="1"/>
    <w:qFormat/>
    <w:uiPriority w:val="0"/>
    <w:pPr>
      <w:tabs>
        <w:tab w:val="left" w:pos="2127"/>
      </w:tabs>
      <w:spacing w:beforeLines="50" w:afterLines="50" w:line="300" w:lineRule="auto"/>
      <w:ind w:left="2127" w:hanging="425"/>
    </w:pPr>
    <w:rPr>
      <w:sz w:val="24"/>
    </w:rPr>
  </w:style>
  <w:style w:type="paragraph" w:customStyle="1" w:styleId="1922">
    <w:name w:val="样式 标题 3"/>
    <w:basedOn w:val="6"/>
    <w:next w:val="1"/>
    <w:qFormat/>
    <w:uiPriority w:val="0"/>
    <w:pPr>
      <w:tabs>
        <w:tab w:val="left" w:pos="709"/>
      </w:tabs>
      <w:autoSpaceDE/>
      <w:autoSpaceDN/>
      <w:adjustRightInd/>
      <w:spacing w:before="260" w:after="260" w:line="413" w:lineRule="auto"/>
      <w:ind w:left="180"/>
      <w:jc w:val="both"/>
    </w:pPr>
    <w:rPr>
      <w:rFonts w:ascii="Times New Roman"/>
      <w:kern w:val="28"/>
      <w:sz w:val="32"/>
      <w:u w:val="none"/>
    </w:rPr>
  </w:style>
  <w:style w:type="paragraph" w:customStyle="1" w:styleId="1923">
    <w:name w:val="color003366"/>
    <w:basedOn w:val="1"/>
    <w:qFormat/>
    <w:uiPriority w:val="0"/>
    <w:pPr>
      <w:widowControl/>
      <w:spacing w:before="100" w:beforeAutospacing="1" w:after="100" w:afterAutospacing="1"/>
      <w:jc w:val="left"/>
    </w:pPr>
    <w:rPr>
      <w:rFonts w:ascii="宋体" w:hAnsi="宋体" w:cs="宋体"/>
      <w:color w:val="003366"/>
      <w:kern w:val="0"/>
      <w:sz w:val="24"/>
    </w:rPr>
  </w:style>
  <w:style w:type="paragraph" w:customStyle="1" w:styleId="1924">
    <w:name w:val="MM Topic 6"/>
    <w:basedOn w:val="10"/>
    <w:qFormat/>
    <w:uiPriority w:val="0"/>
    <w:pPr>
      <w:tabs>
        <w:tab w:val="left" w:pos="-3990"/>
      </w:tabs>
      <w:adjustRightInd/>
      <w:spacing w:line="320" w:lineRule="auto"/>
      <w:ind w:left="425" w:hanging="425"/>
      <w:textAlignment w:val="auto"/>
    </w:pPr>
    <w:rPr>
      <w:bCs/>
      <w:kern w:val="2"/>
      <w:szCs w:val="24"/>
    </w:rPr>
  </w:style>
  <w:style w:type="paragraph" w:customStyle="1" w:styleId="1925">
    <w:name w:val="xl65"/>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right"/>
    </w:pPr>
    <w:rPr>
      <w:rFonts w:ascii="Arial" w:hAnsi="Arial"/>
      <w:kern w:val="0"/>
      <w:sz w:val="20"/>
      <w:szCs w:val="20"/>
    </w:rPr>
  </w:style>
  <w:style w:type="paragraph" w:customStyle="1" w:styleId="1926">
    <w:name w:val="样式 题注 + 宋体 居中"/>
    <w:basedOn w:val="29"/>
    <w:qFormat/>
    <w:uiPriority w:val="0"/>
    <w:pPr>
      <w:spacing w:line="360" w:lineRule="auto"/>
      <w:jc w:val="center"/>
    </w:pPr>
    <w:rPr>
      <w:rFonts w:ascii="宋体" w:hAnsi="宋体" w:eastAsia="宋体"/>
      <w:sz w:val="24"/>
    </w:rPr>
  </w:style>
  <w:style w:type="paragraph" w:customStyle="1" w:styleId="1927">
    <w:name w:val="模板标题1"/>
    <w:basedOn w:val="3"/>
    <w:next w:val="1"/>
    <w:qFormat/>
    <w:uiPriority w:val="0"/>
    <w:pPr>
      <w:pageBreakBefore/>
      <w:numPr>
        <w:ilvl w:val="0"/>
        <w:numId w:val="62"/>
      </w:numPr>
      <w:tabs>
        <w:tab w:val="left" w:pos="360"/>
      </w:tabs>
      <w:autoSpaceDE/>
      <w:autoSpaceDN/>
      <w:adjustRightInd/>
      <w:spacing w:after="240" w:line="360" w:lineRule="auto"/>
      <w:ind w:left="432" w:hanging="432"/>
      <w:jc w:val="both"/>
    </w:pPr>
    <w:rPr>
      <w:rFonts w:hAnsi="宋体"/>
      <w:bCs/>
      <w:szCs w:val="44"/>
    </w:rPr>
  </w:style>
  <w:style w:type="paragraph" w:customStyle="1" w:styleId="1928">
    <w:name w:val="我的样式4级目录"/>
    <w:basedOn w:val="1"/>
    <w:qFormat/>
    <w:uiPriority w:val="0"/>
    <w:pPr>
      <w:widowControl/>
      <w:numPr>
        <w:ilvl w:val="4"/>
        <w:numId w:val="63"/>
      </w:numPr>
      <w:jc w:val="left"/>
    </w:pPr>
    <w:rPr>
      <w:rFonts w:ascii="Arial" w:hAnsi="宋体" w:cs="Arial"/>
      <w:b/>
      <w:kern w:val="0"/>
      <w:sz w:val="24"/>
    </w:rPr>
  </w:style>
  <w:style w:type="paragraph" w:customStyle="1" w:styleId="1929">
    <w:name w:val="Bullet1"/>
    <w:basedOn w:val="7"/>
    <w:qFormat/>
    <w:uiPriority w:val="0"/>
    <w:pPr>
      <w:tabs>
        <w:tab w:val="left" w:pos="425"/>
        <w:tab w:val="left" w:pos="735"/>
      </w:tabs>
      <w:autoSpaceDE/>
      <w:autoSpaceDN/>
      <w:adjustRightInd/>
      <w:spacing w:before="120"/>
      <w:ind w:left="735" w:leftChars="200" w:right="210" w:hanging="315" w:hangingChars="150"/>
      <w:jc w:val="both"/>
    </w:pPr>
    <w:rPr>
      <w:rFonts w:ascii="Times New Roman"/>
      <w:szCs w:val="20"/>
    </w:rPr>
  </w:style>
  <w:style w:type="paragraph" w:customStyle="1" w:styleId="1930">
    <w:name w:val="Char Char2 Char Char2"/>
    <w:basedOn w:val="1"/>
    <w:qFormat/>
    <w:uiPriority w:val="0"/>
    <w:rPr>
      <w:rFonts w:ascii="Tahoma" w:hAnsi="Tahoma"/>
      <w:sz w:val="24"/>
      <w:szCs w:val="20"/>
    </w:rPr>
  </w:style>
  <w:style w:type="paragraph" w:customStyle="1" w:styleId="1931">
    <w:name w:val="bold"/>
    <w:basedOn w:val="1"/>
    <w:qFormat/>
    <w:uiPriority w:val="0"/>
    <w:pPr>
      <w:widowControl/>
      <w:spacing w:before="100" w:beforeAutospacing="1" w:after="100" w:afterAutospacing="1"/>
      <w:jc w:val="left"/>
    </w:pPr>
    <w:rPr>
      <w:rFonts w:ascii="宋体" w:hAnsi="宋体" w:cs="宋体"/>
      <w:b/>
      <w:bCs/>
      <w:color w:val="000000"/>
      <w:kern w:val="0"/>
      <w:sz w:val="24"/>
    </w:rPr>
  </w:style>
  <w:style w:type="paragraph" w:customStyle="1" w:styleId="1932">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933">
    <w:name w:val="font"/>
    <w:basedOn w:val="1"/>
    <w:qFormat/>
    <w:uiPriority w:val="0"/>
    <w:pPr>
      <w:widowControl/>
      <w:spacing w:before="100" w:beforeAutospacing="1" w:after="100" w:afterAutospacing="1" w:line="480" w:lineRule="auto"/>
      <w:jc w:val="left"/>
    </w:pPr>
    <w:rPr>
      <w:rFonts w:ascii="宋体" w:hAnsi="宋体"/>
      <w:kern w:val="0"/>
      <w:sz w:val="18"/>
      <w:szCs w:val="20"/>
    </w:rPr>
  </w:style>
  <w:style w:type="paragraph" w:customStyle="1" w:styleId="1934">
    <w:name w:val="分层标题"/>
    <w:basedOn w:val="1"/>
    <w:next w:val="7"/>
    <w:qFormat/>
    <w:uiPriority w:val="0"/>
    <w:pPr>
      <w:tabs>
        <w:tab w:val="left" w:pos="0"/>
      </w:tabs>
      <w:spacing w:before="120" w:after="120" w:line="480" w:lineRule="exact"/>
    </w:pPr>
    <w:rPr>
      <w:b/>
      <w:sz w:val="24"/>
    </w:rPr>
  </w:style>
  <w:style w:type="paragraph" w:customStyle="1" w:styleId="1935">
    <w:name w:val="列表（符号二级）（绿盟科技）"/>
    <w:basedOn w:val="895"/>
    <w:qFormat/>
    <w:uiPriority w:val="0"/>
    <w:pPr>
      <w:numPr>
        <w:ilvl w:val="1"/>
      </w:numPr>
      <w:tabs>
        <w:tab w:val="left" w:pos="840"/>
        <w:tab w:val="left" w:pos="1320"/>
        <w:tab w:val="clear" w:pos="360"/>
      </w:tabs>
      <w:ind w:left="1320" w:firstLine="0"/>
    </w:pPr>
  </w:style>
  <w:style w:type="paragraph" w:customStyle="1" w:styleId="1936">
    <w:name w:val="模板正文缩进"/>
    <w:basedOn w:val="1"/>
    <w:qFormat/>
    <w:uiPriority w:val="0"/>
    <w:pPr>
      <w:spacing w:before="93" w:beforeLines="30" w:after="93" w:afterLines="30" w:line="400" w:lineRule="exact"/>
      <w:ind w:firstLine="480" w:firstLineChars="200"/>
    </w:pPr>
    <w:rPr>
      <w:rFonts w:ascii="宋体" w:hAnsi="宋体"/>
      <w:kern w:val="0"/>
      <w:sz w:val="24"/>
    </w:rPr>
  </w:style>
  <w:style w:type="paragraph" w:customStyle="1" w:styleId="1937">
    <w:name w:val="font11"/>
    <w:basedOn w:val="1"/>
    <w:qFormat/>
    <w:uiPriority w:val="0"/>
    <w:pPr>
      <w:widowControl/>
      <w:spacing w:before="100" w:beforeAutospacing="1" w:after="100" w:afterAutospacing="1"/>
      <w:jc w:val="left"/>
    </w:pPr>
    <w:rPr>
      <w:rFonts w:ascii="宋体" w:hAnsi="宋体"/>
      <w:b/>
      <w:kern w:val="0"/>
      <w:sz w:val="20"/>
      <w:szCs w:val="20"/>
    </w:rPr>
  </w:style>
  <w:style w:type="paragraph" w:customStyle="1" w:styleId="1938">
    <w:name w:val="Char2 Char Char Char Char Char Char6"/>
    <w:basedOn w:val="1"/>
    <w:qFormat/>
    <w:uiPriority w:val="0"/>
    <w:rPr>
      <w:rFonts w:ascii="仿宋_GB2312"/>
      <w:b/>
      <w:sz w:val="30"/>
      <w:szCs w:val="32"/>
    </w:rPr>
  </w:style>
  <w:style w:type="paragraph" w:customStyle="1" w:styleId="1939">
    <w:name w:val="默认段落字体 Para Char Char Char Char Char Char Char"/>
    <w:basedOn w:val="1"/>
    <w:qFormat/>
    <w:uiPriority w:val="0"/>
    <w:rPr>
      <w:rFonts w:ascii="Tahoma" w:hAnsi="Tahoma"/>
      <w:sz w:val="24"/>
      <w:szCs w:val="20"/>
    </w:rPr>
  </w:style>
  <w:style w:type="paragraph" w:customStyle="1" w:styleId="1940">
    <w:name w:val="章节标题"/>
    <w:basedOn w:val="3"/>
    <w:qFormat/>
    <w:uiPriority w:val="0"/>
    <w:pPr>
      <w:pageBreakBefore/>
      <w:tabs>
        <w:tab w:val="left" w:pos="432"/>
        <w:tab w:val="left" w:pos="2608"/>
        <w:tab w:val="center" w:pos="4153"/>
      </w:tabs>
      <w:autoSpaceDE/>
      <w:autoSpaceDN/>
      <w:adjustRightInd/>
      <w:spacing w:before="360" w:after="360" w:line="480" w:lineRule="auto"/>
      <w:ind w:left="432" w:hanging="432"/>
    </w:pPr>
    <w:rPr>
      <w:rFonts w:ascii="楷体_GB2312" w:eastAsia="楷体_GB2312"/>
      <w:color w:val="000000"/>
      <w:sz w:val="44"/>
    </w:rPr>
  </w:style>
  <w:style w:type="paragraph" w:customStyle="1" w:styleId="1941">
    <w:name w:val="1册标题1"/>
    <w:basedOn w:val="1"/>
    <w:next w:val="1"/>
    <w:qFormat/>
    <w:uiPriority w:val="0"/>
    <w:pPr>
      <w:spacing w:beforeLines="50" w:afterLines="50" w:line="300" w:lineRule="auto"/>
      <w:jc w:val="center"/>
      <w:outlineLvl w:val="0"/>
    </w:pPr>
    <w:rPr>
      <w:rFonts w:ascii="Arial" w:hAnsi="Arial" w:eastAsia="黑体"/>
      <w:b/>
      <w:sz w:val="48"/>
      <w:szCs w:val="20"/>
    </w:rPr>
  </w:style>
  <w:style w:type="paragraph" w:customStyle="1" w:styleId="1942">
    <w:name w:val="常用正文"/>
    <w:qFormat/>
    <w:uiPriority w:val="0"/>
    <w:pPr>
      <w:widowControl w:val="0"/>
      <w:spacing w:line="360" w:lineRule="auto"/>
      <w:ind w:firstLine="200"/>
      <w:textAlignment w:val="bottom"/>
    </w:pPr>
    <w:rPr>
      <w:rFonts w:ascii="Arial" w:hAnsi="Arial" w:eastAsia="楷体_GB2312" w:cs="Times New Roman"/>
      <w:sz w:val="28"/>
      <w:lang w:val="en-US" w:eastAsia="zh-CN" w:bidi="ar-SA"/>
    </w:rPr>
  </w:style>
  <w:style w:type="paragraph" w:customStyle="1" w:styleId="1943">
    <w:name w:val="style2"/>
    <w:basedOn w:val="1"/>
    <w:qFormat/>
    <w:uiPriority w:val="0"/>
    <w:pPr>
      <w:widowControl/>
      <w:spacing w:before="100" w:beforeAutospacing="1" w:after="100" w:afterAutospacing="1"/>
      <w:jc w:val="left"/>
    </w:pPr>
    <w:rPr>
      <w:rFonts w:ascii="宋体" w:hAnsi="宋体"/>
      <w:color w:val="000000"/>
      <w:kern w:val="0"/>
      <w:sz w:val="24"/>
      <w:szCs w:val="20"/>
    </w:rPr>
  </w:style>
  <w:style w:type="paragraph" w:customStyle="1" w:styleId="1944">
    <w:name w:val="xl60"/>
    <w:basedOn w:val="1"/>
    <w:qFormat/>
    <w:uiPriority w:val="0"/>
    <w:pPr>
      <w:widowControl/>
      <w:pBdr>
        <w:top w:val="single" w:color="auto" w:sz="4" w:space="0"/>
        <w:left w:val="single" w:color="auto" w:sz="8" w:space="0"/>
        <w:bottom w:val="single" w:color="auto" w:sz="4" w:space="0"/>
        <w:right w:val="single" w:color="auto" w:sz="4" w:space="0"/>
      </w:pBdr>
      <w:shd w:val="clear" w:color="auto" w:fill="CCFFCC"/>
      <w:spacing w:before="100" w:beforeAutospacing="1" w:after="100" w:afterAutospacing="1"/>
      <w:jc w:val="center"/>
    </w:pPr>
    <w:rPr>
      <w:rFonts w:ascii="宋体" w:hAnsi="宋体"/>
      <w:b/>
      <w:kern w:val="0"/>
      <w:sz w:val="20"/>
      <w:szCs w:val="20"/>
    </w:rPr>
  </w:style>
  <w:style w:type="paragraph" w:customStyle="1" w:styleId="1945">
    <w:name w:val="表格标题黑体居中 Char"/>
    <w:basedOn w:val="1"/>
    <w:qFormat/>
    <w:uiPriority w:val="0"/>
    <w:pPr>
      <w:spacing w:after="120" w:line="360" w:lineRule="auto"/>
      <w:jc w:val="center"/>
    </w:pPr>
    <w:rPr>
      <w:rFonts w:ascii="黑体" w:eastAsia="黑体"/>
      <w:b/>
      <w:sz w:val="30"/>
      <w:szCs w:val="20"/>
    </w:rPr>
  </w:style>
  <w:style w:type="paragraph" w:customStyle="1" w:styleId="194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947">
    <w:name w:val="style9 行间距"/>
    <w:basedOn w:val="1"/>
    <w:qFormat/>
    <w:uiPriority w:val="0"/>
    <w:pPr>
      <w:widowControl/>
      <w:spacing w:before="100" w:beforeAutospacing="1" w:after="100" w:afterAutospacing="1"/>
      <w:jc w:val="left"/>
    </w:pPr>
    <w:rPr>
      <w:rFonts w:ascii="宋体" w:hAnsi="宋体" w:cs="宋体"/>
      <w:kern w:val="0"/>
      <w:sz w:val="24"/>
    </w:rPr>
  </w:style>
  <w:style w:type="table" w:customStyle="1" w:styleId="1948">
    <w:name w:val="表三维效果 11"/>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49">
    <w:name w:val="表三维效果 21"/>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cPr>
      <w:shd w:val="solid" w:color="C0C0C0" w:fill="FFFFFF"/>
    </w:tc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0">
    <w:name w:val="表三维效果 31"/>
    <w:basedOn w:val="108"/>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1">
    <w:name w:val="网格型2"/>
    <w:basedOn w:val="10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952">
    <w:name w:val="网页型 11"/>
    <w:basedOn w:val="108"/>
    <w:semiHidden/>
    <w:qFormat/>
    <w:uiPriority w:val="0"/>
    <w:pPr>
      <w:widowControl w:val="0"/>
      <w:spacing w:line="360" w:lineRule="auto"/>
      <w:jc w:val="both"/>
    </w:pPr>
    <w:rPr>
      <w:rFonts w:ascii="Calibri" w:hAnsi="Calibr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53">
    <w:name w:val="竖列型 11"/>
    <w:basedOn w:val="108"/>
    <w:semiHidden/>
    <w:qFormat/>
    <w:uiPriority w:val="0"/>
    <w:pPr>
      <w:widowControl w:val="0"/>
      <w:spacing w:line="360" w:lineRule="auto"/>
      <w:jc w:val="both"/>
    </w:pPr>
    <w:rPr>
      <w:rFonts w:ascii="Calibri" w:hAnsi="Calibri"/>
      <w:b/>
      <w:bCs/>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blStylePr w:type="firstRow">
      <w:rPr>
        <w:b w:val="0"/>
        <w:bCs w:val="0"/>
      </w:rPr>
      <w:tcPr>
        <w:tcBorders>
          <w:top w:val="nil"/>
          <w:left w:val="nil"/>
          <w:bottom w:val="double" w:color="000000" w:sz="6" w:space="0"/>
          <w:right w:val="nil"/>
          <w:insideH w:val="nil"/>
          <w:insideV w:val="nil"/>
          <w:tl2br w:val="nil"/>
          <w:tr2bl w:val="nil"/>
        </w:tcBorders>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25" w:color="000000" w:fill="FFFFFF"/>
      </w:tcPr>
    </w:tblStylePr>
    <w:tblStylePr w:type="band2Vert">
      <w:rPr>
        <w:color w:val="auto"/>
      </w:rPr>
      <w:tcPr>
        <w:shd w:val="pct25" w:color="FF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4">
    <w:name w:val="古典型 41"/>
    <w:basedOn w:val="108"/>
    <w:semiHidden/>
    <w:qFormat/>
    <w:uiPriority w:val="0"/>
    <w:pPr>
      <w:widowControl w:val="0"/>
      <w:spacing w:line="360" w:lineRule="auto"/>
      <w:jc w:val="both"/>
    </w:pPr>
    <w:rPr>
      <w:rFonts w:ascii="Calibri" w:hAnsi="Calibri"/>
    </w:rPr>
    <w:tblPr>
      <w:tblBorders>
        <w:top w:val="single" w:color="000000" w:sz="12" w:space="0"/>
        <w:left w:val="single" w:color="000000" w:sz="6" w:space="0"/>
        <w:bottom w:val="single" w:color="000000" w:sz="12" w:space="0"/>
        <w:right w:val="single" w:color="000000" w:sz="6" w:space="0"/>
      </w:tblBorders>
      <w:tblLayout w:type="fixed"/>
      <w:tblCellMar>
        <w:top w:w="0" w:type="dxa"/>
        <w:left w:w="108" w:type="dxa"/>
        <w:bottom w:w="0" w:type="dxa"/>
        <w:right w:w="108" w:type="dxa"/>
      </w:tblCellMar>
    </w:tblPr>
    <w:tcPr>
      <w:shd w:val="clear" w:color="auto" w:fill="auto"/>
    </w:tcPr>
    <w:tblStylePr w:type="firstRow">
      <w:rPr>
        <w:b/>
        <w:bCs/>
        <w:i/>
        <w:iCs/>
        <w:color w:val="FFFFFF"/>
      </w:r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cPr>
        <w:tcBorders>
          <w:top w:val="nil"/>
          <w:left w:val="nil"/>
          <w:bottom w:val="nil"/>
          <w:right w:val="nil"/>
          <w:insideH w:val="nil"/>
          <w:insideV w:val="nil"/>
          <w:tl2br w:val="nil"/>
          <w:tr2bl w:val="nil"/>
        </w:tcBorders>
      </w:tcPr>
    </w:tblStylePr>
    <w:tblStylePr w:type="nwCell">
      <w:rPr>
        <w:b/>
        <w:bCs/>
      </w:rPr>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55">
    <w:name w:val="网格型 41"/>
    <w:basedOn w:val="108"/>
    <w:semiHidden/>
    <w:qFormat/>
    <w:uiPriority w:val="0"/>
    <w:pPr>
      <w:widowControl w:val="0"/>
      <w:spacing w:line="360" w:lineRule="auto"/>
      <w:jc w:val="both"/>
    </w:pPr>
    <w:rPr>
      <w:rFonts w:ascii="Calibri" w:hAnsi="Calibri"/>
    </w:rPr>
    <w:tblPr>
      <w:tblBorders>
        <w:left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olor w:val="auto"/>
      </w:r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1956">
    <w:name w:val="竖列型 41"/>
    <w:basedOn w:val="108"/>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pct50" w:color="008080" w:fill="FFFFFF"/>
      </w:tcPr>
    </w:tblStylePr>
    <w:tblStylePr w:type="band2Vert">
      <w:rPr>
        <w:color w:val="auto"/>
      </w:rPr>
      <w:tcPr>
        <w:shd w:val="pct10" w:color="000000" w:fill="FFFFFF"/>
      </w:tcPr>
    </w:tblStylePr>
  </w:style>
  <w:style w:type="table" w:customStyle="1" w:styleId="1957">
    <w:name w:val="立体型 31"/>
    <w:basedOn w:val="108"/>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8">
    <w:name w:val="竖列型 21"/>
    <w:basedOn w:val="108"/>
    <w:semiHidden/>
    <w:qFormat/>
    <w:uiPriority w:val="0"/>
    <w:pPr>
      <w:widowControl w:val="0"/>
      <w:spacing w:line="360" w:lineRule="auto"/>
      <w:jc w:val="both"/>
    </w:pPr>
    <w:rPr>
      <w:rFonts w:ascii="Calibri" w:hAnsi="Calibri"/>
      <w:b/>
      <w:bCs/>
    </w:rPr>
    <w:tblPr>
      <w:tblLayout w:type="fixed"/>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color w:val="00000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30" w:color="000000" w:fill="FFFFFF"/>
      </w:tcPr>
    </w:tblStylePr>
    <w:tblStylePr w:type="band2Vert">
      <w:rPr>
        <w:color w:val="auto"/>
      </w:rPr>
      <w:tcPr>
        <w:shd w:val="pct25" w:color="00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9">
    <w:name w:val="列表型 41"/>
    <w:basedOn w:val="108"/>
    <w:semiHidden/>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960">
    <w:name w:val="浅色底纹1"/>
    <w:basedOn w:val="108"/>
    <w:semiHidden/>
    <w:qFormat/>
    <w:uiPriority w:val="60"/>
    <w:rPr>
      <w:rFonts w:ascii="Calibri" w:hAnsi="Calibri"/>
      <w:color w:val="000000"/>
    </w:rPr>
    <w:tblPr>
      <w:tblBorders>
        <w:top w:val="single" w:color="000000" w:sz="8" w:space="0"/>
        <w:bottom w:val="single" w:color="000000"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l2br w:val="nil"/>
          <w:tr2bl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C0C0C0"/>
      </w:tcPr>
    </w:tblStylePr>
    <w:tblStylePr w:type="band1Horz">
      <w:tcPr>
        <w:tcBorders>
          <w:top w:val="nil"/>
          <w:left w:val="nil"/>
          <w:bottom w:val="nil"/>
          <w:right w:val="nil"/>
          <w:insideH w:val="nil"/>
          <w:insideV w:val="nil"/>
          <w:tl2br w:val="nil"/>
          <w:tr2bl w:val="nil"/>
        </w:tcBorders>
        <w:shd w:val="clear" w:color="auto" w:fill="C0C0C0"/>
      </w:tcPr>
    </w:tblStylePr>
  </w:style>
  <w:style w:type="table" w:customStyle="1" w:styleId="1961">
    <w:name w:val="网页型 21"/>
    <w:basedOn w:val="108"/>
    <w:semiHidden/>
    <w:qFormat/>
    <w:uiPriority w:val="0"/>
    <w:pPr>
      <w:widowControl w:val="0"/>
      <w:spacing w:line="360" w:lineRule="auto"/>
      <w:jc w:val="both"/>
    </w:pPr>
    <w:rPr>
      <w:rFonts w:ascii="Calibri" w:hAnsi="Calibr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62">
    <w:name w:val="竖列型 31"/>
    <w:basedOn w:val="108"/>
    <w:semiHidden/>
    <w:qFormat/>
    <w:uiPriority w:val="0"/>
    <w:pPr>
      <w:widowControl w:val="0"/>
      <w:spacing w:line="360" w:lineRule="auto"/>
      <w:jc w:val="both"/>
    </w:pPr>
    <w:rPr>
      <w:rFonts w:ascii="Calibri" w:hAnsi="Calibri"/>
      <w:b/>
      <w:bCs/>
    </w:rPr>
    <w:tblPr>
      <w:tblBorders>
        <w:top w:val="single" w:color="000080" w:sz="6" w:space="0"/>
        <w:left w:val="single" w:color="000080" w:sz="6" w:space="0"/>
        <w:bottom w:val="single" w:color="000080" w:sz="6" w:space="0"/>
        <w:right w:val="single" w:color="000080" w:sz="6" w:space="0"/>
        <w:insideV w:val="single" w:color="000080" w:sz="6" w:space="0"/>
      </w:tblBorders>
      <w:tblLayout w:type="fixed"/>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single" w:color="00008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10" w:color="000000" w:fill="FFFFFF"/>
      </w:tcPr>
    </w:tblStylePr>
    <w:tblStylePr w:type="neCell">
      <w:rPr>
        <w:b/>
        <w:bCs/>
      </w:rPr>
      <w:tcPr>
        <w:tcBorders>
          <w:top w:val="nil"/>
          <w:left w:val="nil"/>
          <w:bottom w:val="nil"/>
          <w:right w:val="nil"/>
          <w:insideH w:val="nil"/>
          <w:insideV w:val="nil"/>
          <w:tl2br w:val="nil"/>
          <w:tr2bl w:val="nil"/>
        </w:tcBorders>
      </w:tcPr>
    </w:tblStylePr>
  </w:style>
  <w:style w:type="table" w:customStyle="1" w:styleId="1963">
    <w:name w:val="专业型1"/>
    <w:basedOn w:val="108"/>
    <w:semiHidden/>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964">
    <w:name w:val="列表型 21"/>
    <w:basedOn w:val="108"/>
    <w:semiHidden/>
    <w:qFormat/>
    <w:uiPriority w:val="0"/>
    <w:pPr>
      <w:widowControl w:val="0"/>
      <w:spacing w:line="360" w:lineRule="auto"/>
      <w:jc w:val="both"/>
    </w:pPr>
    <w:rPr>
      <w:rFonts w:ascii="Calibri" w:hAnsi="Calibri"/>
    </w:rPr>
    <w:tblPr>
      <w:tblBorders>
        <w:bottom w:val="single" w:color="808080" w:sz="12" w:space="0"/>
      </w:tblBorders>
      <w:tblLayout w:type="fixed"/>
      <w:tblCellMar>
        <w:top w:w="0" w:type="dxa"/>
        <w:left w:w="108" w:type="dxa"/>
        <w:bottom w:w="0" w:type="dxa"/>
        <w:right w:w="108" w:type="dxa"/>
      </w:tblCellMar>
    </w:tblPr>
    <w:tblStylePr w:type="firstRow">
      <w:rPr>
        <w:b/>
        <w:bCs/>
        <w:color w:val="FFFFFF"/>
      </w:rPr>
      <w:tcPr>
        <w:tcBorders>
          <w:top w:val="nil"/>
          <w:left w:val="nil"/>
          <w:bottom w:val="single" w:color="000000" w:sz="6" w:space="0"/>
          <w:right w:val="nil"/>
          <w:insideH w:val="nil"/>
          <w:insideV w:val="nil"/>
          <w:tl2br w:val="nil"/>
          <w:tr2bl w:val="nil"/>
        </w:tcBorders>
        <w:shd w:val="pct75" w:color="008080" w:fill="008000"/>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FF0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65">
    <w:name w:val="彩色型 31"/>
    <w:basedOn w:val="108"/>
    <w:semiHidden/>
    <w:qFormat/>
    <w:uiPriority w:val="0"/>
    <w:pPr>
      <w:widowControl w:val="0"/>
      <w:spacing w:line="360" w:lineRule="auto"/>
      <w:jc w:val="both"/>
    </w:pPr>
    <w:rPr>
      <w:rFonts w:ascii="Calibri" w:hAnsi="Calibri"/>
    </w:rPr>
    <w:tblPr>
      <w:tblBorders>
        <w:top w:val="single" w:color="000000" w:sz="18" w:space="0"/>
        <w:left w:val="single" w:color="000000" w:sz="18" w:space="0"/>
        <w:bottom w:val="single" w:color="000000" w:sz="18" w:space="0"/>
        <w:right w:val="single" w:color="000000" w:sz="18" w:space="0"/>
        <w:insideH w:val="single" w:color="C0C0C0" w:sz="6" w:space="0"/>
      </w:tblBorders>
      <w:tblLayout w:type="fixed"/>
      <w:tblCellMar>
        <w:top w:w="0" w:type="dxa"/>
        <w:left w:w="108" w:type="dxa"/>
        <w:bottom w:w="0" w:type="dxa"/>
        <w:right w:w="108" w:type="dxa"/>
      </w:tblCellMar>
    </w:tblPr>
    <w:tcPr>
      <w:shd w:val="pct25" w:color="008080" w:fill="FFFFFF"/>
    </w:tcPr>
    <w:tblStylePr w:type="firstRow">
      <w:tcPr>
        <w:tcBorders>
          <w:top w:val="nil"/>
          <w:left w:val="nil"/>
          <w:bottom w:val="single" w:color="000000" w:sz="6" w:space="0"/>
          <w:right w:val="nil"/>
          <w:insideH w:val="nil"/>
          <w:insideV w:val="nil"/>
          <w:tl2br w:val="nil"/>
          <w:tr2bl w:val="nil"/>
        </w:tcBorders>
        <w:shd w:val="solid" w:color="008080" w:fill="FFFFFF"/>
      </w:tcPr>
    </w:tblStylePr>
    <w:tblStylePr w:type="firstCol">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1966">
    <w:name w:val="古典型 21"/>
    <w:basedOn w:val="108"/>
    <w:semiHidden/>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color w:val="FFFFFF"/>
      </w:rPr>
      <w:tcPr>
        <w:tcBorders>
          <w:top w:val="nil"/>
          <w:left w:val="nil"/>
          <w:bottom w:val="single" w:color="000000" w:sz="6" w:space="0"/>
          <w:right w:val="nil"/>
          <w:insideH w:val="nil"/>
          <w:insideV w:val="nil"/>
          <w:tl2br w:val="nil"/>
          <w:tr2bl w:val="nil"/>
        </w:tcBorders>
        <w:shd w:val="solid" w:color="800080" w:fill="FFFFFF"/>
      </w:tcPr>
    </w:tblStylePr>
    <w:tblStylePr w:type="lastRow">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shd w:val="solid" w:color="C0C0C0" w:fill="FFFFFF"/>
      </w:tcPr>
    </w:tblStylePr>
    <w:tblStylePr w:type="neCel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solid" w:color="800080" w:fill="FFFFFF"/>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67">
    <w:name w:val="列表型 71"/>
    <w:basedOn w:val="108"/>
    <w:semiHidden/>
    <w:qFormat/>
    <w:uiPriority w:val="0"/>
    <w:pPr>
      <w:widowControl w:val="0"/>
      <w:spacing w:line="360" w:lineRule="auto"/>
      <w:jc w:val="both"/>
    </w:pPr>
    <w:rPr>
      <w:rFonts w:ascii="Calibri" w:hAnsi="Calibri"/>
    </w:rPr>
    <w:tblPr>
      <w:tblBorders>
        <w:top w:val="single" w:color="008000" w:sz="12" w:space="0"/>
        <w:left w:val="single" w:color="008000" w:sz="6" w:space="0"/>
        <w:bottom w:val="single" w:color="008000" w:sz="12" w:space="0"/>
        <w:right w:val="single" w:color="008000" w:sz="6" w:space="0"/>
        <w:insideH w:val="single" w:color="000000" w:sz="6" w:space="0"/>
      </w:tblBorders>
      <w:tblLayout w:type="fixed"/>
      <w:tblCellMar>
        <w:top w:w="0" w:type="dxa"/>
        <w:left w:w="108" w:type="dxa"/>
        <w:bottom w:w="0" w:type="dxa"/>
        <w:right w:w="108" w:type="dxa"/>
      </w:tblCellMar>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968">
    <w:name w:val="列表型 31"/>
    <w:basedOn w:val="108"/>
    <w:semiHidden/>
    <w:qFormat/>
    <w:uiPriority w:val="0"/>
    <w:pPr>
      <w:widowControl w:val="0"/>
      <w:spacing w:line="360" w:lineRule="auto"/>
      <w:jc w:val="both"/>
    </w:pPr>
    <w:rPr>
      <w:rFonts w:ascii="Calibri" w:hAnsi="Calibri"/>
    </w:rPr>
    <w:tblPr>
      <w:tblBorders>
        <w:top w:val="single" w:color="000000" w:sz="12" w:space="0"/>
        <w:bottom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969">
    <w:name w:val="网格型 81"/>
    <w:basedOn w:val="108"/>
    <w:semiHidden/>
    <w:qFormat/>
    <w:uiPriority w:val="0"/>
    <w:pPr>
      <w:widowControl w:val="0"/>
      <w:spacing w:line="360" w:lineRule="auto"/>
      <w:jc w:val="both"/>
    </w:pPr>
    <w:rPr>
      <w:rFonts w:ascii="Calibri" w:hAnsi="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80" w:fill="FFFFFF"/>
      </w:tcPr>
    </w:tblStylePr>
    <w:tblStylePr w:type="lastRow">
      <w:rPr>
        <w:b/>
        <w:bCs/>
        <w:color w:val="auto"/>
      </w:rPr>
      <w:tcPr>
        <w:tcBorders>
          <w:top w:val="nil"/>
          <w:left w:val="nil"/>
          <w:bottom w:val="nil"/>
          <w:right w:val="nil"/>
          <w:insideH w:val="nil"/>
          <w:insideV w:val="nil"/>
          <w:tl2br w:val="nil"/>
          <w:tr2bl w:val="nil"/>
        </w:tcBorders>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1970">
    <w:name w:val="彩色型 21"/>
    <w:basedOn w:val="108"/>
    <w:semiHidden/>
    <w:qFormat/>
    <w:uiPriority w:val="0"/>
    <w:pPr>
      <w:widowControl w:val="0"/>
      <w:spacing w:line="360" w:lineRule="auto"/>
      <w:jc w:val="both"/>
    </w:pPr>
    <w:rPr>
      <w:rFonts w:ascii="Calibri" w:hAnsi="Calibri"/>
    </w:rPr>
    <w:tblPr>
      <w:tblBorders>
        <w:bottom w:val="single" w:color="000000" w:sz="12" w:space="0"/>
      </w:tblBorders>
      <w:tblLayout w:type="fixed"/>
      <w:tblCellMar>
        <w:top w:w="0" w:type="dxa"/>
        <w:left w:w="108" w:type="dxa"/>
        <w:bottom w:w="0" w:type="dxa"/>
        <w:right w:w="108" w:type="dxa"/>
      </w:tblCellMar>
    </w:tblPr>
    <w:tcPr>
      <w:shd w:val="pct20" w:color="FFFF00" w:fill="FFFFFF"/>
    </w:tcPr>
    <w:tblStylePr w:type="firstRow">
      <w:rPr>
        <w:b/>
        <w:bCs/>
        <w:i/>
        <w:iCs/>
        <w:color w:val="FFFFFF"/>
      </w:r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cPr>
        <w:tcBorders>
          <w:top w:val="nil"/>
          <w:left w:val="nil"/>
          <w:bottom w:val="nil"/>
          <w:right w:val="nil"/>
          <w:insideH w:val="nil"/>
          <w:insideV w:val="nil"/>
          <w:tl2br w:val="nil"/>
          <w:tr2bl w:val="nil"/>
        </w:tcBorders>
      </w:tcPr>
    </w:tblStylePr>
    <w:tblStylePr w:type="lastCol">
      <w:tcPr>
        <w:tcBorders>
          <w:top w:val="nil"/>
          <w:left w:val="nil"/>
          <w:bottom w:val="nil"/>
          <w:right w:val="nil"/>
          <w:insideH w:val="nil"/>
          <w:insideV w:val="nil"/>
          <w:tl2br w:val="nil"/>
          <w:tr2bl w:val="nil"/>
        </w:tcBorders>
        <w:shd w:val="solid" w:color="C0C0C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1971">
    <w:name w:val="列表型 11"/>
    <w:basedOn w:val="108"/>
    <w:semiHidden/>
    <w:qFormat/>
    <w:uiPriority w:val="0"/>
    <w:pPr>
      <w:widowControl w:val="0"/>
      <w:spacing w:line="360" w:lineRule="auto"/>
      <w:jc w:val="both"/>
    </w:pPr>
    <w:rPr>
      <w:rFonts w:ascii="Calibri" w:hAnsi="Calibri"/>
    </w:rPr>
    <w:tblPr>
      <w:tblBorders>
        <w:top w:val="single" w:color="008080" w:sz="12" w:space="0"/>
        <w:left w:val="single" w:color="008080" w:sz="6" w:space="0"/>
        <w:bottom w:val="single" w:color="008080" w:sz="12" w:space="0"/>
        <w:right w:val="single" w:color="008080" w:sz="6" w:space="0"/>
      </w:tblBorders>
      <w:tblLayout w:type="fixed"/>
      <w:tblCellMar>
        <w:top w:w="0" w:type="dxa"/>
        <w:left w:w="108" w:type="dxa"/>
        <w:bottom w:w="0" w:type="dxa"/>
        <w:right w:w="108" w:type="dxa"/>
      </w:tblCellMar>
    </w:tblPr>
    <w:tblStylePr w:type="firstRow">
      <w:rPr>
        <w:b/>
        <w:bCs/>
        <w:i/>
        <w:iCs/>
        <w:color w:val="800000"/>
      </w:rPr>
      <w:tcPr>
        <w:tcBorders>
          <w:top w:val="nil"/>
          <w:left w:val="nil"/>
          <w:bottom w:val="single" w:color="000000" w:sz="6" w:space="0"/>
          <w:right w:val="nil"/>
          <w:insideH w:val="nil"/>
          <w:insideV w:val="nil"/>
          <w:tl2br w:val="nil"/>
          <w:tr2bl w:val="nil"/>
        </w:tcBorders>
        <w:shd w:val="solid" w:color="C0C0C0" w:fill="FFFFFF"/>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solid" w:color="C0C0C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72">
    <w:name w:val="列表型 81"/>
    <w:basedOn w:val="108"/>
    <w:semiHidden/>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V w:val="single" w:color="000000" w:sz="6" w:space="0"/>
      </w:tblBorders>
      <w:tblLayout w:type="fixed"/>
      <w:tblCellMar>
        <w:top w:w="0" w:type="dxa"/>
        <w:left w:w="108" w:type="dxa"/>
        <w:bottom w:w="0" w:type="dxa"/>
        <w:right w:w="108" w:type="dxa"/>
      </w:tblCellMar>
    </w:tblPr>
    <w:tblStylePr w:type="firstRow">
      <w:rPr>
        <w:b/>
        <w:bCs/>
        <w:i/>
        <w:iCs/>
      </w:r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5" w:color="FFFF00" w:fill="FFFFFF"/>
      </w:tcPr>
    </w:tblStylePr>
    <w:tblStylePr w:type="band2Horz">
      <w:tcPr>
        <w:tcBorders>
          <w:top w:val="nil"/>
          <w:left w:val="nil"/>
          <w:bottom w:val="nil"/>
          <w:right w:val="nil"/>
          <w:insideH w:val="nil"/>
          <w:insideV w:val="nil"/>
          <w:tl2br w:val="nil"/>
          <w:tr2bl w:val="nil"/>
        </w:tcBorders>
        <w:shd w:val="pct50" w:color="FF0000" w:fill="FFFFFF"/>
      </w:tcPr>
    </w:tblStylePr>
    <w:tblStylePr w:type="nwCell">
      <w:tcPr>
        <w:tcBorders>
          <w:top w:val="nil"/>
          <w:left w:val="nil"/>
          <w:bottom w:val="nil"/>
          <w:right w:val="nil"/>
          <w:insideH w:val="nil"/>
          <w:insideV w:val="nil"/>
          <w:tl2br w:val="single" w:color="auto" w:sz="6" w:space="0"/>
          <w:tr2bl w:val="nil"/>
        </w:tcBorders>
      </w:tcPr>
    </w:tblStylePr>
  </w:style>
  <w:style w:type="table" w:customStyle="1" w:styleId="1973">
    <w:name w:val="简明型 31"/>
    <w:basedOn w:val="108"/>
    <w:semiHidden/>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1974">
    <w:name w:val="网格型 61"/>
    <w:basedOn w:val="108"/>
    <w:semiHidden/>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975">
    <w:name w:val="典雅型1"/>
    <w:basedOn w:val="108"/>
    <w:semiHidden/>
    <w:qFormat/>
    <w:uiPriority w:val="0"/>
    <w:pPr>
      <w:widowControl w:val="0"/>
      <w:spacing w:line="360" w:lineRule="auto"/>
      <w:jc w:val="both"/>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976">
    <w:name w:val="流行型1"/>
    <w:basedOn w:val="108"/>
    <w:semiHidden/>
    <w:qFormat/>
    <w:uiPriority w:val="0"/>
    <w:pPr>
      <w:widowControl w:val="0"/>
      <w:spacing w:line="360" w:lineRule="auto"/>
      <w:jc w:val="both"/>
    </w:pPr>
    <w:rPr>
      <w:rFonts w:ascii="Calibri" w:hAnsi="Calibri"/>
    </w:rPr>
    <w:tblPr>
      <w:tblBorders>
        <w:insideH w:val="single" w:color="FFFFFF" w:sz="18" w:space="0"/>
        <w:insideV w:val="single" w:color="FFFFFF" w:sz="18" w:space="0"/>
      </w:tblBorders>
      <w:tblLayout w:type="fixed"/>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977">
    <w:name w:val="网页型 31"/>
    <w:basedOn w:val="108"/>
    <w:semiHidden/>
    <w:qFormat/>
    <w:uiPriority w:val="0"/>
    <w:pPr>
      <w:widowControl w:val="0"/>
      <w:spacing w:line="360" w:lineRule="auto"/>
      <w:jc w:val="both"/>
    </w:pPr>
    <w:rPr>
      <w:rFonts w:ascii="Calibri" w:hAnsi="Calibr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78">
    <w:name w:val="立体型 11"/>
    <w:basedOn w:val="108"/>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79">
    <w:name w:val="简明型 21"/>
    <w:basedOn w:val="108"/>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lastRow">
      <w:rPr>
        <w:b/>
        <w:bCs/>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lastCol">
      <w:rPr>
        <w:b/>
        <w:bCs/>
      </w:rPr>
      <w:tcPr>
        <w:tcBorders>
          <w:top w:val="nil"/>
          <w:left w:val="single" w:color="000000" w:sz="6" w:space="0"/>
          <w:bottom w:val="nil"/>
          <w:right w:val="nil"/>
          <w:insideH w:val="nil"/>
          <w:insideV w:val="nil"/>
          <w:tl2br w:val="nil"/>
          <w:tr2bl w:val="nil"/>
        </w:tcBorders>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80">
    <w:name w:val="网格型1"/>
    <w:basedOn w:val="10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981">
    <w:name w:val="古典型 11"/>
    <w:basedOn w:val="108"/>
    <w:semiHidden/>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82">
    <w:name w:val="古典型 31"/>
    <w:basedOn w:val="108"/>
    <w:semiHidden/>
    <w:qFormat/>
    <w:uiPriority w:val="0"/>
    <w:pPr>
      <w:widowControl w:val="0"/>
      <w:spacing w:line="360" w:lineRule="auto"/>
      <w:jc w:val="both"/>
    </w:pPr>
    <w:rPr>
      <w:rFonts w:ascii="Calibri" w:hAnsi="Calibri"/>
      <w:color w:val="000080"/>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solid" w:color="C0C0C0" w:fill="FFFFFF"/>
    </w:tcPr>
    <w:tblStylePr w:type="firstRow">
      <w:rPr>
        <w:b/>
        <w:bCs/>
        <w:i/>
        <w:iCs/>
        <w:color w:val="FFFFFF"/>
      </w:r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cPr>
        <w:tcBorders>
          <w:top w:val="nil"/>
          <w:left w:val="nil"/>
          <w:bottom w:val="nil"/>
          <w:right w:val="nil"/>
          <w:insideH w:val="nil"/>
          <w:insideV w:val="nil"/>
          <w:tl2br w:val="nil"/>
          <w:tr2bl w:val="nil"/>
        </w:tcBorders>
      </w:tcPr>
    </w:tblStylePr>
  </w:style>
  <w:style w:type="table" w:customStyle="1" w:styleId="1983">
    <w:name w:val="竖列型 51"/>
    <w:basedOn w:val="108"/>
    <w:semiHidden/>
    <w:qFormat/>
    <w:uiPriority w:val="0"/>
    <w:pPr>
      <w:widowControl w:val="0"/>
      <w:spacing w:line="360" w:lineRule="auto"/>
      <w:jc w:val="both"/>
    </w:pPr>
    <w:rPr>
      <w:rFonts w:ascii="Calibri" w:hAnsi="Calibri"/>
    </w:rPr>
    <w:tblPr>
      <w:tblBorders>
        <w:top w:val="single" w:color="808080" w:sz="12" w:space="0"/>
        <w:left w:val="single" w:color="808080" w:sz="12" w:space="0"/>
        <w:bottom w:val="single" w:color="808080" w:sz="12" w:space="0"/>
        <w:right w:val="single" w:color="808080" w:sz="12" w:space="0"/>
        <w:insideV w:val="single" w:color="C0C0C0" w:sz="6" w:space="0"/>
      </w:tblBorders>
      <w:tblLayout w:type="fixed"/>
      <w:tblCellMar>
        <w:top w:w="0" w:type="dxa"/>
        <w:left w:w="108" w:type="dxa"/>
        <w:bottom w:w="0" w:type="dxa"/>
        <w:right w:w="108" w:type="dxa"/>
      </w:tblCellMar>
    </w:tblPr>
    <w:tblStylePr w:type="firstRow">
      <w:rPr>
        <w:b/>
        <w:bCs/>
        <w:i/>
        <w:iCs/>
      </w:rPr>
      <w:tcPr>
        <w:tcBorders>
          <w:top w:val="nil"/>
          <w:left w:val="nil"/>
          <w:bottom w:val="single" w:color="808080" w:sz="6" w:space="0"/>
          <w:right w:val="nil"/>
          <w:insideH w:val="nil"/>
          <w:insideV w:val="nil"/>
          <w:tl2br w:val="nil"/>
          <w:tr2bl w:val="nil"/>
        </w:tcBorders>
      </w:tcPr>
    </w:tblStylePr>
    <w:tblStylePr w:type="lastRow">
      <w:rPr>
        <w:b/>
        <w:bCs/>
      </w:rPr>
      <w:tcPr>
        <w:tcBorders>
          <w:top w:val="single" w:color="80808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blStylePr>
  </w:style>
  <w:style w:type="character" w:customStyle="1" w:styleId="1984">
    <w:name w:val="Placeholder Text"/>
    <w:unhideWhenUsed/>
    <w:qFormat/>
    <w:uiPriority w:val="99"/>
    <w:rPr>
      <w:color w:val="808080"/>
    </w:rPr>
  </w:style>
  <w:style w:type="paragraph" w:customStyle="1" w:styleId="1985">
    <w:name w:val="默认段落字体 Para Char Char Char Char Char Char Char Char Char Char Char Char Char"/>
    <w:basedOn w:val="1"/>
    <w:qFormat/>
    <w:uiPriority w:val="0"/>
    <w:pPr>
      <w:tabs>
        <w:tab w:val="right" w:pos="-2120"/>
      </w:tabs>
      <w:snapToGrid w:val="0"/>
    </w:pPr>
    <w:rPr>
      <w:rFonts w:ascii="Tahoma" w:hAnsi="Tahoma"/>
      <w:spacing w:val="6"/>
      <w:sz w:val="24"/>
      <w:szCs w:val="20"/>
    </w:rPr>
  </w:style>
  <w:style w:type="paragraph" w:customStyle="1" w:styleId="1986">
    <w:name w:val="批注主题{858D7CFB-ED40-4347-BF05-701D383B685F}{858D7CFB-ED40-4347-BF05-701D383B685F}"/>
    <w:basedOn w:val="16"/>
    <w:next w:val="16"/>
    <w:qFormat/>
    <w:uiPriority w:val="0"/>
    <w:rPr>
      <w:rFonts w:ascii="等线" w:hAnsi="等线" w:eastAsia="等线"/>
      <w:b/>
      <w:bCs/>
      <w:szCs w:val="22"/>
    </w:rPr>
  </w:style>
  <w:style w:type="character" w:customStyle="1" w:styleId="1987">
    <w:name w:val="Block Label Char Char"/>
    <w:link w:val="1988"/>
    <w:qFormat/>
    <w:uiPriority w:val="0"/>
    <w:rPr>
      <w:rFonts w:ascii="Book Antiqua" w:hAnsi="Book Antiqua" w:eastAsia="黑体"/>
      <w:bCs/>
      <w:sz w:val="26"/>
      <w:szCs w:val="26"/>
    </w:rPr>
  </w:style>
  <w:style w:type="paragraph" w:customStyle="1" w:styleId="1988">
    <w:name w:val="Block Label"/>
    <w:basedOn w:val="1"/>
    <w:next w:val="1"/>
    <w:link w:val="1987"/>
    <w:qFormat/>
    <w:uiPriority w:val="0"/>
    <w:pPr>
      <w:keepNext/>
      <w:keepLines/>
      <w:widowControl/>
      <w:topLinePunct/>
      <w:adjustRightInd w:val="0"/>
      <w:snapToGrid w:val="0"/>
      <w:spacing w:before="300" w:after="80" w:line="240" w:lineRule="atLeast"/>
      <w:jc w:val="left"/>
      <w:outlineLvl w:val="3"/>
    </w:pPr>
    <w:rPr>
      <w:rFonts w:ascii="Book Antiqua" w:hAnsi="Book Antiqua" w:eastAsia="黑体"/>
      <w:bCs/>
      <w:kern w:val="0"/>
      <w:sz w:val="26"/>
      <w:szCs w:val="26"/>
    </w:rPr>
  </w:style>
  <w:style w:type="character" w:customStyle="1" w:styleId="1989">
    <w:name w:val="文档结构图 Char Char"/>
    <w:qFormat/>
    <w:uiPriority w:val="0"/>
    <w:rPr>
      <w:rFonts w:ascii="宋体"/>
      <w:kern w:val="2"/>
      <w:sz w:val="18"/>
      <w:szCs w:val="18"/>
    </w:rPr>
  </w:style>
  <w:style w:type="paragraph" w:customStyle="1" w:styleId="1990">
    <w:name w:val="列表段落1"/>
    <w:basedOn w:val="1"/>
    <w:qFormat/>
    <w:uiPriority w:val="34"/>
    <w:pPr>
      <w:ind w:firstLine="420" w:firstLineChars="200"/>
    </w:pPr>
    <w:rPr>
      <w:rFonts w:ascii="Calibri" w:hAnsi="Calibri"/>
      <w:szCs w:val="22"/>
    </w:rPr>
  </w:style>
  <w:style w:type="paragraph" w:customStyle="1" w:styleId="1991">
    <w:name w:val="TOC 标题11"/>
    <w:basedOn w:val="3"/>
    <w:next w:val="1"/>
    <w:unhideWhenUsed/>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992">
    <w:name w:val="2级标题"/>
    <w:basedOn w:val="1"/>
    <w:qFormat/>
    <w:uiPriority w:val="0"/>
    <w:pPr>
      <w:keepNext/>
      <w:keepLines/>
      <w:spacing w:line="360" w:lineRule="auto"/>
      <w:ind w:left="420"/>
      <w:outlineLvl w:val="1"/>
    </w:pPr>
    <w:rPr>
      <w:rFonts w:ascii="Calibri Light" w:hAnsi="Calibri Light" w:eastAsia="仿宋_GB2312"/>
      <w:b/>
      <w:bCs/>
      <w:sz w:val="28"/>
      <w:szCs w:val="32"/>
    </w:rPr>
  </w:style>
  <w:style w:type="paragraph" w:customStyle="1" w:styleId="1993">
    <w:name w:val="3级标题"/>
    <w:basedOn w:val="1"/>
    <w:qFormat/>
    <w:uiPriority w:val="0"/>
    <w:pPr>
      <w:keepNext/>
      <w:keepLines/>
      <w:spacing w:line="360" w:lineRule="auto"/>
      <w:ind w:left="2689"/>
      <w:outlineLvl w:val="2"/>
    </w:pPr>
    <w:rPr>
      <w:rFonts w:ascii="仿宋_GB2312" w:hAnsi="Calibri" w:eastAsia="仿宋_GB2312"/>
      <w:b/>
      <w:bCs/>
      <w:sz w:val="28"/>
      <w:szCs w:val="32"/>
    </w:rPr>
  </w:style>
  <w:style w:type="character" w:customStyle="1" w:styleId="1994">
    <w:name w:val="ant-breadcrumb-link"/>
    <w:basedOn w:val="90"/>
    <w:qFormat/>
    <w:uiPriority w:val="0"/>
  </w:style>
  <w:style w:type="character" w:customStyle="1" w:styleId="1995">
    <w:name w:val="正文文本缩进 字符1"/>
    <w:qFormat/>
    <w:uiPriority w:val="0"/>
    <w:rPr>
      <w:rFonts w:eastAsia="宋体"/>
      <w:kern w:val="2"/>
      <w:sz w:val="24"/>
      <w:szCs w:val="24"/>
      <w:lang w:val="en-US" w:eastAsia="zh-CN" w:bidi="ar-SA"/>
    </w:rPr>
  </w:style>
  <w:style w:type="character" w:customStyle="1" w:styleId="1996">
    <w:name w:val="标题 2 字符1"/>
    <w:qFormat/>
    <w:uiPriority w:val="0"/>
    <w:rPr>
      <w:rFonts w:ascii="Arial" w:hAnsi="Arial" w:eastAsia="黑体"/>
      <w:b/>
      <w:sz w:val="30"/>
      <w:lang w:val="en-US" w:eastAsia="zh-CN" w:bidi="ar-SA"/>
    </w:rPr>
  </w:style>
  <w:style w:type="character" w:customStyle="1" w:styleId="1997">
    <w:name w:val="文档结构图 字符1"/>
    <w:qFormat/>
    <w:uiPriority w:val="0"/>
    <w:rPr>
      <w:kern w:val="2"/>
      <w:sz w:val="21"/>
      <w:szCs w:val="24"/>
      <w:shd w:val="clear" w:color="auto" w:fill="000080"/>
    </w:rPr>
  </w:style>
  <w:style w:type="character" w:customStyle="1" w:styleId="1998">
    <w:name w:val="批注主题 字符1"/>
    <w:qFormat/>
    <w:uiPriority w:val="0"/>
    <w:rPr>
      <w:rFonts w:ascii="Times New Roman" w:hAnsi="Times New Roman" w:eastAsia="宋体" w:cs="Times New Roman"/>
      <w:b/>
      <w:bCs/>
      <w:kern w:val="2"/>
      <w:sz w:val="21"/>
      <w:szCs w:val="24"/>
      <w:lang w:val="en-US" w:eastAsia="zh-CN" w:bidi="ar-SA"/>
    </w:rPr>
  </w:style>
  <w:style w:type="character" w:customStyle="1" w:styleId="1999">
    <w:name w:val="正文文本 字符1"/>
    <w:qFormat/>
    <w:uiPriority w:val="0"/>
    <w:rPr>
      <w:rFonts w:ascii="宋体" w:hAnsi="宋体"/>
      <w:kern w:val="2"/>
      <w:sz w:val="24"/>
      <w:szCs w:val="24"/>
    </w:rPr>
  </w:style>
  <w:style w:type="character" w:customStyle="1" w:styleId="2000">
    <w:name w:val="日期 字符1"/>
    <w:qFormat/>
    <w:uiPriority w:val="0"/>
    <w:rPr>
      <w:rFonts w:ascii="仿宋_GB2312" w:hAnsi="宋体" w:eastAsia="仿宋_GB2312"/>
      <w:color w:val="000000"/>
      <w:kern w:val="2"/>
      <w:sz w:val="24"/>
      <w:szCs w:val="24"/>
    </w:rPr>
  </w:style>
  <w:style w:type="character" w:customStyle="1" w:styleId="2001">
    <w:name w:val="标题 1 字符1"/>
    <w:qFormat/>
    <w:uiPriority w:val="0"/>
    <w:rPr>
      <w:rFonts w:ascii="宋体"/>
      <w:b/>
      <w:kern w:val="44"/>
      <w:sz w:val="32"/>
    </w:rPr>
  </w:style>
  <w:style w:type="character" w:customStyle="1" w:styleId="2002">
    <w:name w:val="页脚 字符1"/>
    <w:qFormat/>
    <w:uiPriority w:val="99"/>
    <w:rPr>
      <w:rFonts w:ascii="宋体" w:eastAsia="宋体"/>
      <w:sz w:val="18"/>
      <w:lang w:val="en-US" w:eastAsia="zh-CN" w:bidi="ar-SA"/>
    </w:rPr>
  </w:style>
  <w:style w:type="character" w:customStyle="1" w:styleId="2003">
    <w:name w:val="批注框文本 字符1"/>
    <w:qFormat/>
    <w:uiPriority w:val="0"/>
    <w:rPr>
      <w:kern w:val="2"/>
      <w:sz w:val="18"/>
      <w:szCs w:val="18"/>
    </w:rPr>
  </w:style>
  <w:style w:type="character" w:customStyle="1" w:styleId="2004">
    <w:name w:val="标题 4 字符1"/>
    <w:qFormat/>
    <w:uiPriority w:val="0"/>
    <w:rPr>
      <w:rFonts w:ascii="Arial" w:hAnsi="Arial" w:eastAsia="黑体"/>
      <w:b/>
      <w:sz w:val="28"/>
    </w:rPr>
  </w:style>
  <w:style w:type="character" w:customStyle="1" w:styleId="2005">
    <w:name w:val="标题 字符1"/>
    <w:qFormat/>
    <w:uiPriority w:val="0"/>
    <w:rPr>
      <w:b/>
      <w:kern w:val="2"/>
      <w:sz w:val="32"/>
    </w:rPr>
  </w:style>
  <w:style w:type="character" w:customStyle="1" w:styleId="2006">
    <w:name w:val="页眉 字符1"/>
    <w:qFormat/>
    <w:uiPriority w:val="0"/>
    <w:rPr>
      <w:rFonts w:eastAsia="宋体"/>
      <w:kern w:val="2"/>
      <w:sz w:val="18"/>
      <w:szCs w:val="18"/>
      <w:lang w:val="en-US" w:eastAsia="zh-CN" w:bidi="ar-SA"/>
    </w:rPr>
  </w:style>
  <w:style w:type="paragraph" w:customStyle="1" w:styleId="2007">
    <w:name w:val="批注主题[858D7CFB-ED40-4347-BF05-701D383B685F][858D7CFB-ED40-4347-BF05-701D383B685F]"/>
    <w:basedOn w:val="16"/>
    <w:next w:val="16"/>
    <w:qFormat/>
    <w:uiPriority w:val="0"/>
    <w:rPr>
      <w:rFonts w:ascii="Calibri" w:hAnsi="Calibri"/>
      <w:b/>
      <w:bCs/>
      <w:szCs w:val="22"/>
    </w:rPr>
  </w:style>
  <w:style w:type="paragraph" w:customStyle="1" w:styleId="2008">
    <w:name w:val="_Text Self-defined"/>
    <w:basedOn w:val="1"/>
    <w:qFormat/>
    <w:uiPriority w:val="0"/>
    <w:pPr>
      <w:spacing w:line="360" w:lineRule="auto"/>
      <w:ind w:firstLine="210" w:firstLineChars="210"/>
      <w:contextualSpacing/>
    </w:pPr>
    <w:rPr>
      <w:rFonts w:ascii="Calibri" w:hAnsi="Calibri" w:eastAsia="仿宋"/>
      <w:sz w:val="24"/>
    </w:rPr>
  </w:style>
  <w:style w:type="paragraph" w:customStyle="1" w:styleId="2009">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2010">
    <w:name w:val="正文首行缩进 2 Char2"/>
    <w:basedOn w:val="165"/>
    <w:link w:val="62"/>
    <w:semiHidden/>
    <w:qFormat/>
    <w:uiPriority w:val="0"/>
    <w:rPr>
      <w:rFonts w:eastAsia="宋体"/>
      <w:kern w:val="2"/>
      <w:sz w:val="21"/>
      <w:szCs w:val="24"/>
      <w:lang w:val="en-US" w:eastAsia="zh-CN" w:bidi="ar-SA"/>
    </w:rPr>
  </w:style>
  <w:style w:type="character" w:customStyle="1" w:styleId="2011">
    <w:name w:val="列出段落 Char1"/>
    <w:link w:val="279"/>
    <w:qFormat/>
    <w:uiPriority w:val="34"/>
    <w:rPr>
      <w:rFonts w:ascii="Calibri" w:hAnsi="Calibri"/>
      <w:kern w:val="2"/>
      <w:sz w:val="21"/>
      <w:szCs w:val="22"/>
    </w:rPr>
  </w:style>
  <w:style w:type="paragraph" w:customStyle="1" w:styleId="2012">
    <w:name w:val="列出段落21"/>
    <w:basedOn w:val="1"/>
    <w:qFormat/>
    <w:uiPriority w:val="34"/>
    <w:pPr>
      <w:spacing w:line="360" w:lineRule="auto"/>
      <w:ind w:firstLine="420" w:firstLineChars="200"/>
    </w:pPr>
    <w:rPr>
      <w:rFonts w:ascii="Times New Roman" w:hAnsi="Times New Roman"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5.wmf"/><Relationship Id="rId23" Type="http://schemas.openxmlformats.org/officeDocument/2006/relationships/oleObject" Target="embeddings/oleObject5.bin"/><Relationship Id="rId22" Type="http://schemas.openxmlformats.org/officeDocument/2006/relationships/image" Target="media/image4.wmf"/><Relationship Id="rId21" Type="http://schemas.openxmlformats.org/officeDocument/2006/relationships/oleObject" Target="embeddings/oleObject4.bin"/><Relationship Id="rId20" Type="http://schemas.openxmlformats.org/officeDocument/2006/relationships/image" Target="media/image3.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2.wmf"/><Relationship Id="rId17" Type="http://schemas.openxmlformats.org/officeDocument/2006/relationships/oleObject" Target="embeddings/oleObject2.bin"/><Relationship Id="rId16" Type="http://schemas.openxmlformats.org/officeDocument/2006/relationships/image" Target="media/image1.wmf"/><Relationship Id="rId15" Type="http://schemas.openxmlformats.org/officeDocument/2006/relationships/oleObject" Target="embeddings/oleObject1.bin"/><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22688A-96D3-491C-BE7F-73B3E11A4CB5}">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5382</Words>
  <Characters>30680</Characters>
  <Lines>1</Lines>
  <Paragraphs>1</Paragraphs>
  <ScaleCrop>false</ScaleCrop>
  <LinksUpToDate>false</LinksUpToDate>
  <CharactersWithSpaces>35991</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2022-06-09T15:03:00Z</dcterms:created>
  <dc:creator>Yin Hao</dc:creator>
  <cp:lastModifiedBy>SJS-ZST-1</cp:lastModifiedBy>
  <cp:lastPrinted>2022-07-19T10:51:00Z</cp:lastPrinted>
  <dcterms:modified xsi:type="dcterms:W3CDTF">2026-09-30T04:31:44Z</dcterms:modified>
  <dc:title>02年杜范本稿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B4A84DD0CCB397114C5EC467FBA5F1E8_43</vt:lpwstr>
  </property>
  <property fmtid="{D5CDD505-2E9C-101B-9397-08002B2CF9AE}" pid="4" name="KSOTemplateDocerSaveRecord">
    <vt:lpwstr>eyJoZGlkIjoiZTRlNTNiNDJhMGVjYTNkY2Q0MDgzZjhlNjJkOTY2Y2YiLCJ1c2VySWQiOiIzODU0MTY4NzUifQ==</vt:lpwstr>
  </property>
</Properties>
</file>