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A39737B">
      <w:pPr>
        <w:pageBreakBefore w:val="0"/>
        <w:wordWrap w:val="0"/>
        <w:topLinePunct w:val="0"/>
        <w:bidi w:val="0"/>
        <w:spacing w:after="0" w:line="360" w:lineRule="auto"/>
        <w:ind w:firstLine="300" w:firstLineChars="50"/>
        <w:textAlignment w:val="auto"/>
        <w:rPr>
          <w:rFonts w:hint="eastAsia" w:ascii="宋体" w:hAnsi="宋体" w:eastAsia="宋体" w:cs="宋体"/>
          <w:i w:val="0"/>
          <w:iCs w:val="0"/>
          <w:sz w:val="60"/>
          <w:szCs w:val="60"/>
        </w:rPr>
      </w:pPr>
      <w:bookmarkStart w:id="1342" w:name="_GoBack"/>
      <w:bookmarkEnd w:id="1342"/>
    </w:p>
    <w:p w14:paraId="1657AFCA">
      <w:pPr>
        <w:pageBreakBefore w:val="0"/>
        <w:wordWrap w:val="0"/>
        <w:topLinePunct w:val="0"/>
        <w:bidi w:val="0"/>
        <w:spacing w:after="0" w:line="360" w:lineRule="auto"/>
        <w:ind w:firstLine="300" w:firstLineChars="50"/>
        <w:textAlignment w:val="auto"/>
        <w:rPr>
          <w:rFonts w:hint="eastAsia" w:ascii="宋体" w:hAnsi="宋体" w:eastAsia="宋体" w:cs="宋体"/>
          <w:i w:val="0"/>
          <w:iCs w:val="0"/>
          <w:sz w:val="60"/>
          <w:szCs w:val="60"/>
        </w:rPr>
      </w:pPr>
    </w:p>
    <w:p w14:paraId="52A9173B">
      <w:pPr>
        <w:pageBreakBefore w:val="0"/>
        <w:wordWrap w:val="0"/>
        <w:topLinePunct w:val="0"/>
        <w:bidi w:val="0"/>
        <w:spacing w:after="0" w:line="360" w:lineRule="auto"/>
        <w:ind w:left="-199" w:leftChars="-95" w:right="-735" w:rightChars="-350"/>
        <w:jc w:val="center"/>
        <w:textAlignment w:val="auto"/>
        <w:rPr>
          <w:rFonts w:hint="eastAsia" w:ascii="宋体" w:hAnsi="宋体" w:eastAsia="宋体" w:cs="宋体"/>
          <w:b/>
          <w:i w:val="0"/>
          <w:iCs w:val="0"/>
          <w:sz w:val="48"/>
          <w:szCs w:val="48"/>
          <w:lang w:val="en-US" w:eastAsia="zh-CN"/>
        </w:rPr>
      </w:pPr>
      <w:r>
        <w:rPr>
          <w:rFonts w:hint="eastAsia" w:ascii="宋体" w:hAnsi="宋体" w:cs="宋体"/>
          <w:b/>
          <w:i w:val="0"/>
          <w:iCs w:val="0"/>
          <w:sz w:val="48"/>
          <w:szCs w:val="48"/>
          <w:lang w:val="en-US" w:eastAsia="zh-CN"/>
        </w:rPr>
        <w:t>北京市丰台区节约用水办公室</w:t>
      </w:r>
    </w:p>
    <w:p w14:paraId="7B96C5A4">
      <w:pPr>
        <w:pageBreakBefore w:val="0"/>
        <w:wordWrap w:val="0"/>
        <w:topLinePunct w:val="0"/>
        <w:bidi w:val="0"/>
        <w:spacing w:after="0" w:line="360" w:lineRule="auto"/>
        <w:ind w:left="-199" w:leftChars="-95" w:right="-735" w:rightChars="-350"/>
        <w:jc w:val="center"/>
        <w:textAlignment w:val="auto"/>
        <w:rPr>
          <w:rFonts w:hint="eastAsia" w:ascii="宋体" w:hAnsi="宋体" w:eastAsia="宋体" w:cs="宋体"/>
          <w:b/>
          <w:i w:val="0"/>
          <w:iCs w:val="0"/>
          <w:sz w:val="48"/>
          <w:szCs w:val="48"/>
          <w:highlight w:val="none"/>
        </w:rPr>
      </w:pPr>
      <w:r>
        <w:rPr>
          <w:rFonts w:hint="eastAsia" w:ascii="宋体" w:hAnsi="宋体" w:cs="宋体"/>
          <w:b/>
          <w:i w:val="0"/>
          <w:iCs w:val="0"/>
          <w:sz w:val="48"/>
          <w:szCs w:val="48"/>
          <w:highlight w:val="none"/>
          <w:lang w:val="en-US" w:eastAsia="zh-CN"/>
        </w:rPr>
        <w:t>花卉大观园再生水智联灌溉提升项目</w:t>
      </w:r>
    </w:p>
    <w:p w14:paraId="0C675607">
      <w:pPr>
        <w:pageBreakBefore w:val="0"/>
        <w:wordWrap w:val="0"/>
        <w:topLinePunct w:val="0"/>
        <w:bidi w:val="0"/>
        <w:spacing w:after="0" w:line="360" w:lineRule="auto"/>
        <w:ind w:left="-199" w:leftChars="-95" w:right="-735" w:rightChars="-350"/>
        <w:jc w:val="center"/>
        <w:textAlignment w:val="auto"/>
        <w:rPr>
          <w:rFonts w:hint="eastAsia" w:ascii="宋体" w:hAnsi="宋体" w:eastAsia="宋体" w:cs="宋体"/>
          <w:b/>
          <w:i w:val="0"/>
          <w:iCs w:val="0"/>
          <w:sz w:val="48"/>
          <w:szCs w:val="48"/>
          <w:highlight w:val="none"/>
        </w:rPr>
      </w:pPr>
    </w:p>
    <w:p w14:paraId="07FF9CFD">
      <w:pPr>
        <w:pStyle w:val="2"/>
        <w:pageBreakBefore w:val="0"/>
        <w:wordWrap w:val="0"/>
        <w:topLinePunct w:val="0"/>
        <w:bidi w:val="0"/>
        <w:spacing w:after="0" w:line="360" w:lineRule="auto"/>
        <w:ind w:left="840" w:hanging="420"/>
        <w:jc w:val="center"/>
        <w:textAlignment w:val="auto"/>
        <w:rPr>
          <w:rFonts w:hint="eastAsia" w:ascii="宋体" w:hAnsi="宋体" w:eastAsia="宋体" w:cs="宋体"/>
          <w:i w:val="0"/>
          <w:iCs w:val="0"/>
          <w:highlight w:val="none"/>
        </w:rPr>
      </w:pPr>
    </w:p>
    <w:p w14:paraId="30E0E8F4">
      <w:pPr>
        <w:pStyle w:val="2"/>
        <w:pageBreakBefore w:val="0"/>
        <w:wordWrap w:val="0"/>
        <w:topLinePunct w:val="0"/>
        <w:bidi w:val="0"/>
        <w:spacing w:after="0" w:line="360" w:lineRule="auto"/>
        <w:ind w:left="840" w:hanging="420"/>
        <w:jc w:val="center"/>
        <w:textAlignment w:val="auto"/>
        <w:rPr>
          <w:rFonts w:hint="eastAsia" w:ascii="宋体" w:hAnsi="宋体" w:eastAsia="宋体" w:cs="宋体"/>
          <w:i w:val="0"/>
          <w:iCs w:val="0"/>
          <w:highlight w:val="none"/>
        </w:rPr>
      </w:pPr>
    </w:p>
    <w:p w14:paraId="2B099E68">
      <w:pPr>
        <w:pStyle w:val="2"/>
        <w:pageBreakBefore w:val="0"/>
        <w:wordWrap w:val="0"/>
        <w:topLinePunct w:val="0"/>
        <w:bidi w:val="0"/>
        <w:spacing w:after="0" w:line="360" w:lineRule="auto"/>
        <w:ind w:left="840" w:hanging="420"/>
        <w:jc w:val="center"/>
        <w:textAlignment w:val="auto"/>
        <w:rPr>
          <w:rFonts w:hint="eastAsia" w:ascii="宋体" w:hAnsi="宋体" w:eastAsia="宋体" w:cs="宋体"/>
          <w:i w:val="0"/>
          <w:iCs w:val="0"/>
          <w:highlight w:val="none"/>
        </w:rPr>
      </w:pPr>
    </w:p>
    <w:p w14:paraId="2AA282CB">
      <w:pPr>
        <w:pageBreakBefore w:val="0"/>
        <w:wordWrap w:val="0"/>
        <w:topLinePunct w:val="0"/>
        <w:bidi w:val="0"/>
        <w:spacing w:after="0" w:line="360" w:lineRule="auto"/>
        <w:jc w:val="center"/>
        <w:textAlignment w:val="auto"/>
        <w:rPr>
          <w:rFonts w:hint="eastAsia" w:ascii="宋体" w:hAnsi="宋体" w:eastAsia="宋体" w:cs="宋体"/>
          <w:b/>
          <w:i w:val="0"/>
          <w:iCs w:val="0"/>
          <w:sz w:val="32"/>
          <w:szCs w:val="28"/>
          <w:highlight w:val="none"/>
        </w:rPr>
      </w:pPr>
      <w:r>
        <w:rPr>
          <w:rFonts w:hint="eastAsia" w:ascii="宋体" w:hAnsi="宋体" w:eastAsia="宋体" w:cs="宋体"/>
          <w:b/>
          <w:i w:val="0"/>
          <w:iCs w:val="0"/>
          <w:sz w:val="72"/>
          <w:szCs w:val="44"/>
          <w:highlight w:val="none"/>
          <w:lang w:val="en-US" w:eastAsia="zh-CN"/>
        </w:rPr>
        <w:t>竞争性磋商</w:t>
      </w:r>
      <w:r>
        <w:rPr>
          <w:rFonts w:hint="eastAsia" w:ascii="宋体" w:hAnsi="宋体" w:eastAsia="宋体" w:cs="宋体"/>
          <w:b/>
          <w:i w:val="0"/>
          <w:iCs w:val="0"/>
          <w:sz w:val="72"/>
          <w:szCs w:val="44"/>
          <w:highlight w:val="none"/>
        </w:rPr>
        <w:t>文件</w:t>
      </w:r>
    </w:p>
    <w:p w14:paraId="7EF595CD">
      <w:pPr>
        <w:pStyle w:val="2"/>
        <w:pageBreakBefore w:val="0"/>
        <w:wordWrap w:val="0"/>
        <w:topLinePunct w:val="0"/>
        <w:bidi w:val="0"/>
        <w:spacing w:after="0" w:line="360" w:lineRule="auto"/>
        <w:ind w:left="1063" w:hanging="643"/>
        <w:jc w:val="center"/>
        <w:textAlignment w:val="auto"/>
        <w:rPr>
          <w:rFonts w:hint="eastAsia" w:ascii="宋体" w:hAnsi="宋体" w:eastAsia="宋体" w:cs="宋体"/>
          <w:b/>
          <w:i w:val="0"/>
          <w:iCs w:val="0"/>
          <w:sz w:val="32"/>
          <w:szCs w:val="30"/>
          <w:highlight w:val="none"/>
        </w:rPr>
      </w:pPr>
    </w:p>
    <w:p w14:paraId="55EB430D">
      <w:pPr>
        <w:pStyle w:val="2"/>
        <w:pageBreakBefore w:val="0"/>
        <w:wordWrap w:val="0"/>
        <w:topLinePunct w:val="0"/>
        <w:bidi w:val="0"/>
        <w:spacing w:after="0" w:line="360" w:lineRule="auto"/>
        <w:ind w:left="840" w:hanging="420"/>
        <w:jc w:val="center"/>
        <w:textAlignment w:val="auto"/>
        <w:rPr>
          <w:rFonts w:hint="eastAsia" w:ascii="宋体" w:hAnsi="宋体" w:eastAsia="宋体" w:cs="宋体"/>
          <w:i w:val="0"/>
          <w:iCs w:val="0"/>
          <w:highlight w:val="none"/>
        </w:rPr>
      </w:pPr>
    </w:p>
    <w:p w14:paraId="6CAAE379">
      <w:pPr>
        <w:pStyle w:val="2"/>
        <w:pageBreakBefore w:val="0"/>
        <w:wordWrap w:val="0"/>
        <w:topLinePunct w:val="0"/>
        <w:bidi w:val="0"/>
        <w:spacing w:after="0" w:line="360" w:lineRule="auto"/>
        <w:ind w:left="840" w:hanging="420"/>
        <w:jc w:val="center"/>
        <w:textAlignment w:val="auto"/>
        <w:rPr>
          <w:rFonts w:hint="eastAsia" w:ascii="宋体" w:hAnsi="宋体" w:eastAsia="宋体" w:cs="宋体"/>
          <w:i w:val="0"/>
          <w:iCs w:val="0"/>
          <w:highlight w:val="none"/>
        </w:rPr>
      </w:pPr>
    </w:p>
    <w:p w14:paraId="155AB38C">
      <w:pPr>
        <w:pStyle w:val="2"/>
        <w:pageBreakBefore w:val="0"/>
        <w:wordWrap w:val="0"/>
        <w:topLinePunct w:val="0"/>
        <w:bidi w:val="0"/>
        <w:spacing w:after="0" w:line="360" w:lineRule="auto"/>
        <w:ind w:left="840" w:hanging="420"/>
        <w:jc w:val="center"/>
        <w:textAlignment w:val="auto"/>
        <w:rPr>
          <w:rFonts w:hint="eastAsia" w:ascii="宋体" w:hAnsi="宋体" w:eastAsia="宋体" w:cs="宋体"/>
          <w:i w:val="0"/>
          <w:iCs w:val="0"/>
          <w:highlight w:val="none"/>
        </w:rPr>
      </w:pPr>
    </w:p>
    <w:p w14:paraId="7CA41257">
      <w:pPr>
        <w:pageBreakBefore w:val="0"/>
        <w:wordWrap w:val="0"/>
        <w:topLinePunct w:val="0"/>
        <w:bidi w:val="0"/>
        <w:adjustRightInd w:val="0"/>
        <w:snapToGrid w:val="0"/>
        <w:spacing w:after="0" w:line="360" w:lineRule="auto"/>
        <w:ind w:firstLine="643" w:firstLineChars="200"/>
        <w:textAlignment w:val="auto"/>
        <w:rPr>
          <w:rFonts w:hint="eastAsia" w:ascii="宋体" w:hAnsi="宋体" w:eastAsia="宋体" w:cs="宋体"/>
          <w:b/>
          <w:i w:val="0"/>
          <w:iCs w:val="0"/>
          <w:sz w:val="32"/>
          <w:szCs w:val="30"/>
          <w:highlight w:val="none"/>
        </w:rPr>
      </w:pPr>
    </w:p>
    <w:p w14:paraId="70850BD9">
      <w:pPr>
        <w:pageBreakBefore w:val="0"/>
        <w:wordWrap w:val="0"/>
        <w:topLinePunct w:val="0"/>
        <w:bidi w:val="0"/>
        <w:adjustRightInd w:val="0"/>
        <w:snapToGrid w:val="0"/>
        <w:spacing w:after="0" w:line="360" w:lineRule="auto"/>
        <w:ind w:firstLine="643" w:firstLineChars="200"/>
        <w:textAlignment w:val="auto"/>
        <w:rPr>
          <w:rFonts w:hint="eastAsia" w:ascii="宋体" w:hAnsi="宋体" w:eastAsia="宋体" w:cs="宋体"/>
          <w:b/>
          <w:i w:val="0"/>
          <w:iCs w:val="0"/>
          <w:sz w:val="32"/>
          <w:szCs w:val="30"/>
          <w:highlight w:val="none"/>
          <w:lang w:val="en-US" w:eastAsia="zh-CN"/>
        </w:rPr>
      </w:pPr>
      <w:r>
        <w:rPr>
          <w:rFonts w:hint="eastAsia" w:ascii="宋体" w:hAnsi="宋体" w:eastAsia="宋体" w:cs="宋体"/>
          <w:b/>
          <w:i w:val="0"/>
          <w:iCs w:val="0"/>
          <w:sz w:val="32"/>
          <w:szCs w:val="30"/>
          <w:highlight w:val="none"/>
          <w:lang w:val="en-US" w:eastAsia="zh-CN"/>
        </w:rPr>
        <w:t>项目名称：</w:t>
      </w:r>
      <w:r>
        <w:rPr>
          <w:rFonts w:hint="eastAsia" w:ascii="宋体" w:hAnsi="宋体" w:cs="宋体"/>
          <w:b/>
          <w:i w:val="0"/>
          <w:iCs w:val="0"/>
          <w:sz w:val="32"/>
          <w:szCs w:val="30"/>
          <w:highlight w:val="none"/>
          <w:lang w:val="en-US" w:eastAsia="zh-CN"/>
        </w:rPr>
        <w:t>花卉大观园再生水智联灌溉提升项目</w:t>
      </w:r>
    </w:p>
    <w:p w14:paraId="423A9BC3">
      <w:pPr>
        <w:pageBreakBefore w:val="0"/>
        <w:wordWrap w:val="0"/>
        <w:topLinePunct w:val="0"/>
        <w:bidi w:val="0"/>
        <w:adjustRightInd w:val="0"/>
        <w:snapToGrid w:val="0"/>
        <w:spacing w:after="0" w:line="360" w:lineRule="auto"/>
        <w:ind w:firstLine="643" w:firstLineChars="200"/>
        <w:textAlignment w:val="auto"/>
        <w:rPr>
          <w:rFonts w:hint="eastAsia" w:ascii="宋体" w:hAnsi="宋体" w:eastAsia="宋体" w:cs="宋体"/>
          <w:b/>
          <w:i w:val="0"/>
          <w:iCs w:val="0"/>
          <w:sz w:val="32"/>
          <w:szCs w:val="30"/>
          <w:highlight w:val="none"/>
          <w:lang w:val="en-US" w:eastAsia="zh-CN"/>
        </w:rPr>
      </w:pPr>
      <w:r>
        <w:rPr>
          <w:rFonts w:hint="eastAsia" w:ascii="宋体" w:hAnsi="宋体" w:eastAsia="宋体" w:cs="宋体"/>
          <w:b/>
          <w:i w:val="0"/>
          <w:iCs w:val="0"/>
          <w:sz w:val="32"/>
          <w:szCs w:val="30"/>
          <w:highlight w:val="none"/>
          <w:lang w:val="en-US" w:eastAsia="zh-CN"/>
        </w:rPr>
        <w:t>项目编号/包号：</w:t>
      </w:r>
      <w:r>
        <w:rPr>
          <w:rFonts w:hint="eastAsia" w:ascii="宋体" w:hAnsi="宋体" w:cs="宋体"/>
          <w:b/>
          <w:i w:val="0"/>
          <w:iCs w:val="0"/>
          <w:sz w:val="32"/>
          <w:szCs w:val="30"/>
          <w:highlight w:val="none"/>
          <w:lang w:val="en-US" w:eastAsia="zh-CN"/>
        </w:rPr>
        <w:t>11010626210200030166-XM001</w:t>
      </w:r>
      <w:r>
        <w:rPr>
          <w:rFonts w:hint="eastAsia" w:ascii="宋体" w:hAnsi="宋体" w:eastAsia="宋体" w:cs="宋体"/>
          <w:b/>
          <w:i w:val="0"/>
          <w:iCs w:val="0"/>
          <w:sz w:val="32"/>
          <w:szCs w:val="30"/>
          <w:highlight w:val="none"/>
          <w:lang w:val="en-US" w:eastAsia="zh-CN"/>
        </w:rPr>
        <w:t>/01</w:t>
      </w:r>
    </w:p>
    <w:p w14:paraId="1BF20B6C">
      <w:pPr>
        <w:pStyle w:val="2"/>
        <w:pageBreakBefore w:val="0"/>
        <w:wordWrap w:val="0"/>
        <w:topLinePunct w:val="0"/>
        <w:bidi w:val="0"/>
        <w:spacing w:after="0" w:line="360" w:lineRule="auto"/>
        <w:ind w:left="0" w:leftChars="0" w:firstLine="643" w:firstLineChars="200"/>
        <w:textAlignment w:val="auto"/>
        <w:rPr>
          <w:rFonts w:hint="eastAsia" w:ascii="宋体" w:hAnsi="宋体" w:eastAsia="宋体" w:cs="宋体"/>
          <w:b/>
          <w:i w:val="0"/>
          <w:iCs w:val="0"/>
          <w:sz w:val="32"/>
          <w:szCs w:val="30"/>
          <w:lang w:eastAsia="zh-CN"/>
        </w:rPr>
      </w:pPr>
      <w:r>
        <w:rPr>
          <w:rFonts w:hint="eastAsia" w:ascii="宋体" w:hAnsi="宋体" w:eastAsia="宋体" w:cs="宋体"/>
          <w:b/>
          <w:i w:val="0"/>
          <w:iCs w:val="0"/>
          <w:sz w:val="32"/>
          <w:szCs w:val="30"/>
        </w:rPr>
        <w:t>采 购 人：</w:t>
      </w:r>
      <w:bookmarkStart w:id="0" w:name="_Hlt101843627"/>
      <w:bookmarkEnd w:id="0"/>
      <w:bookmarkStart w:id="1" w:name="_Hlt101233737"/>
      <w:bookmarkEnd w:id="1"/>
      <w:r>
        <w:rPr>
          <w:rFonts w:hint="eastAsia" w:ascii="宋体" w:hAnsi="宋体" w:cs="宋体"/>
          <w:b/>
          <w:i w:val="0"/>
          <w:iCs w:val="0"/>
          <w:sz w:val="32"/>
          <w:szCs w:val="30"/>
          <w:lang w:eastAsia="zh-CN"/>
        </w:rPr>
        <w:t>北京市丰台区节约用水办公室</w:t>
      </w:r>
    </w:p>
    <w:p w14:paraId="761E8A5B">
      <w:pPr>
        <w:pageBreakBefore w:val="0"/>
        <w:wordWrap w:val="0"/>
        <w:topLinePunct w:val="0"/>
        <w:bidi w:val="0"/>
        <w:adjustRightInd w:val="0"/>
        <w:snapToGrid w:val="0"/>
        <w:spacing w:after="0" w:line="360" w:lineRule="auto"/>
        <w:ind w:firstLine="643" w:firstLineChars="200"/>
        <w:textAlignment w:val="auto"/>
        <w:rPr>
          <w:rFonts w:hint="eastAsia" w:ascii="宋体" w:hAnsi="宋体" w:eastAsia="宋体" w:cs="宋体"/>
          <w:b/>
          <w:i w:val="0"/>
          <w:iCs w:val="0"/>
          <w:sz w:val="32"/>
          <w:szCs w:val="30"/>
        </w:rPr>
      </w:pPr>
      <w:r>
        <w:rPr>
          <w:rFonts w:hint="eastAsia" w:ascii="宋体" w:hAnsi="宋体" w:eastAsia="宋体" w:cs="宋体"/>
          <w:b/>
          <w:i w:val="0"/>
          <w:iCs w:val="0"/>
          <w:sz w:val="32"/>
          <w:szCs w:val="30"/>
        </w:rPr>
        <w:t>采购代理机构：北京德音工程咨询有限公司</w:t>
      </w:r>
    </w:p>
    <w:p w14:paraId="3991FC84">
      <w:pPr>
        <w:pageBreakBefore w:val="0"/>
        <w:wordWrap w:val="0"/>
        <w:topLinePunct w:val="0"/>
        <w:bidi w:val="0"/>
        <w:snapToGrid w:val="0"/>
        <w:spacing w:after="0" w:line="360" w:lineRule="auto"/>
        <w:ind w:firstLine="420"/>
        <w:textAlignment w:val="auto"/>
        <w:rPr>
          <w:rFonts w:hint="eastAsia" w:ascii="宋体" w:hAnsi="宋体" w:eastAsia="宋体" w:cs="宋体"/>
          <w:bCs/>
          <w:i w:val="0"/>
          <w:iCs w:val="0"/>
          <w:sz w:val="36"/>
          <w:szCs w:val="36"/>
        </w:rPr>
      </w:pPr>
    </w:p>
    <w:p w14:paraId="1EDC1031">
      <w:pPr>
        <w:pStyle w:val="180"/>
        <w:pageBreakBefore w:val="0"/>
        <w:wordWrap w:val="0"/>
        <w:topLinePunct w:val="0"/>
        <w:bidi w:val="0"/>
        <w:spacing w:after="0" w:line="360" w:lineRule="auto"/>
        <w:textAlignment w:val="auto"/>
        <w:rPr>
          <w:rFonts w:hint="eastAsia" w:ascii="宋体" w:hAnsi="宋体" w:eastAsia="宋体" w:cs="宋体"/>
          <w:i w:val="0"/>
          <w:iCs w:val="0"/>
        </w:rPr>
      </w:pPr>
    </w:p>
    <w:p w14:paraId="6374F63B">
      <w:pPr>
        <w:pageBreakBefore w:val="0"/>
        <w:wordWrap w:val="0"/>
        <w:topLinePunct w:val="0"/>
        <w:bidi w:val="0"/>
        <w:spacing w:after="0" w:line="360" w:lineRule="auto"/>
        <w:jc w:val="center"/>
        <w:textAlignment w:val="auto"/>
        <w:rPr>
          <w:rFonts w:hint="eastAsia" w:ascii="宋体" w:hAnsi="宋体" w:eastAsia="宋体" w:cs="宋体"/>
          <w:b/>
          <w:bCs/>
          <w:i w:val="0"/>
          <w:iCs w:val="0"/>
          <w:sz w:val="36"/>
          <w:szCs w:val="44"/>
        </w:rPr>
        <w:sectPr>
          <w:footerReference r:id="rId4" w:type="first"/>
          <w:headerReference r:id="rId3" w:type="default"/>
          <w:pgSz w:w="11905" w:h="16838"/>
          <w:pgMar w:top="1474" w:right="1474" w:bottom="1474" w:left="1474" w:header="851" w:footer="992" w:gutter="0"/>
          <w:pgNumType w:start="1"/>
          <w:cols w:space="720" w:num="1"/>
          <w:rtlGutter w:val="0"/>
          <w:docGrid w:linePitch="462" w:charSpace="0"/>
        </w:sectPr>
      </w:pPr>
    </w:p>
    <w:p w14:paraId="0CE1B36F">
      <w:pPr>
        <w:pageBreakBefore w:val="0"/>
        <w:wordWrap w:val="0"/>
        <w:topLinePunct w:val="0"/>
        <w:bidi w:val="0"/>
        <w:spacing w:after="0" w:line="360" w:lineRule="auto"/>
        <w:jc w:val="center"/>
        <w:textAlignment w:val="auto"/>
        <w:rPr>
          <w:rFonts w:hint="eastAsia" w:ascii="宋体" w:hAnsi="宋体" w:eastAsia="宋体" w:cs="宋体"/>
          <w:b/>
          <w:bCs/>
          <w:i w:val="0"/>
          <w:iCs w:val="0"/>
          <w:sz w:val="36"/>
          <w:szCs w:val="44"/>
        </w:rPr>
      </w:pPr>
      <w:r>
        <w:rPr>
          <w:rFonts w:hint="eastAsia" w:ascii="宋体" w:hAnsi="宋体" w:eastAsia="宋体" w:cs="宋体"/>
          <w:b/>
          <w:bCs/>
          <w:i w:val="0"/>
          <w:iCs w:val="0"/>
          <w:sz w:val="36"/>
          <w:szCs w:val="44"/>
        </w:rPr>
        <w:t>目      录</w:t>
      </w:r>
    </w:p>
    <w:p w14:paraId="41150050">
      <w:pPr>
        <w:pageBreakBefore w:val="0"/>
        <w:wordWrap w:val="0"/>
        <w:topLinePunct w:val="0"/>
        <w:bidi w:val="0"/>
        <w:spacing w:after="0" w:line="360" w:lineRule="auto"/>
        <w:textAlignment w:val="auto"/>
        <w:rPr>
          <w:rFonts w:hint="eastAsia" w:ascii="宋体" w:hAnsi="宋体" w:eastAsia="宋体" w:cs="宋体"/>
          <w:i w:val="0"/>
          <w:iCs w:val="0"/>
        </w:rPr>
      </w:pPr>
    </w:p>
    <w:p w14:paraId="338DDF71">
      <w:pPr>
        <w:pageBreakBefore w:val="0"/>
        <w:wordWrap w:val="0"/>
        <w:topLinePunct w:val="0"/>
        <w:bidi w:val="0"/>
        <w:spacing w:after="0" w:line="360" w:lineRule="auto"/>
        <w:textAlignment w:val="auto"/>
        <w:rPr>
          <w:rFonts w:hint="eastAsia" w:ascii="宋体" w:hAnsi="宋体" w:eastAsia="宋体" w:cs="宋体"/>
          <w:i w:val="0"/>
          <w:iCs w:val="0"/>
        </w:rPr>
      </w:pPr>
    </w:p>
    <w:p w14:paraId="7AC08B24">
      <w:pPr>
        <w:pStyle w:val="30"/>
        <w:keepNext w:val="0"/>
        <w:keepLines w:val="0"/>
        <w:pageBreakBefore w:val="0"/>
        <w:widowControl w:val="0"/>
        <w:tabs>
          <w:tab w:val="right" w:leader="dot" w:pos="8957"/>
          <w:tab w:val="clear" w:pos="1050"/>
          <w:tab w:val="clear" w:pos="8937"/>
        </w:tabs>
        <w:kinsoku/>
        <w:wordWrap w:val="0"/>
        <w:overflowPunct/>
        <w:topLinePunct w:val="0"/>
        <w:autoSpaceDE/>
        <w:autoSpaceDN/>
        <w:bidi w:val="0"/>
        <w:adjustRightInd/>
        <w:snapToGrid/>
        <w:spacing w:after="0" w:line="720" w:lineRule="auto"/>
        <w:textAlignment w:val="auto"/>
        <w:rPr>
          <w:sz w:val="28"/>
          <w:szCs w:val="28"/>
        </w:rPr>
      </w:pPr>
      <w:r>
        <w:rPr>
          <w:rFonts w:hint="eastAsia" w:ascii="宋体" w:hAnsi="宋体" w:eastAsia="宋体" w:cs="宋体"/>
          <w:b w:val="0"/>
          <w:i w:val="0"/>
          <w:iCs w:val="0"/>
          <w:sz w:val="28"/>
          <w:szCs w:val="28"/>
        </w:rPr>
        <w:fldChar w:fldCharType="begin"/>
      </w:r>
      <w:r>
        <w:rPr>
          <w:rFonts w:hint="eastAsia" w:ascii="宋体" w:hAnsi="宋体" w:eastAsia="宋体" w:cs="宋体"/>
          <w:b w:val="0"/>
          <w:i w:val="0"/>
          <w:iCs w:val="0"/>
          <w:sz w:val="28"/>
          <w:szCs w:val="28"/>
        </w:rPr>
        <w:instrText xml:space="preserve"> TOC \o "1-1" \h \z \u </w:instrText>
      </w:r>
      <w:r>
        <w:rPr>
          <w:rFonts w:hint="eastAsia" w:ascii="宋体" w:hAnsi="宋体" w:eastAsia="宋体" w:cs="宋体"/>
          <w:b w:val="0"/>
          <w:i w:val="0"/>
          <w:iCs w:val="0"/>
          <w:sz w:val="28"/>
          <w:szCs w:val="28"/>
        </w:rPr>
        <w:fldChar w:fldCharType="separate"/>
      </w:r>
      <w:r>
        <w:fldChar w:fldCharType="begin"/>
      </w:r>
      <w:r>
        <w:instrText xml:space="preserve"> HYPERLINK \l "_Toc29385" </w:instrText>
      </w:r>
      <w:r>
        <w:fldChar w:fldCharType="separate"/>
      </w:r>
      <w:r>
        <w:rPr>
          <w:rFonts w:hint="eastAsia" w:ascii="宋体" w:hAnsi="宋体" w:eastAsia="宋体" w:cs="宋体"/>
          <w:i w:val="0"/>
          <w:iCs w:val="0"/>
          <w:sz w:val="28"/>
          <w:szCs w:val="40"/>
        </w:rPr>
        <w:t>第一章   采购邀请</w:t>
      </w:r>
      <w:r>
        <w:rPr>
          <w:sz w:val="28"/>
          <w:szCs w:val="28"/>
        </w:rPr>
        <w:tab/>
      </w:r>
      <w:r>
        <w:rPr>
          <w:sz w:val="28"/>
          <w:szCs w:val="28"/>
        </w:rPr>
        <w:fldChar w:fldCharType="begin"/>
      </w:r>
      <w:r>
        <w:rPr>
          <w:sz w:val="28"/>
          <w:szCs w:val="28"/>
        </w:rPr>
        <w:instrText xml:space="preserve"> PAGEREF _Toc29385 \h </w:instrText>
      </w:r>
      <w:r>
        <w:rPr>
          <w:sz w:val="28"/>
          <w:szCs w:val="28"/>
        </w:rPr>
        <w:fldChar w:fldCharType="separate"/>
      </w:r>
      <w:r>
        <w:rPr>
          <w:sz w:val="28"/>
          <w:szCs w:val="28"/>
        </w:rPr>
        <w:t>1</w:t>
      </w:r>
      <w:r>
        <w:rPr>
          <w:sz w:val="28"/>
          <w:szCs w:val="28"/>
        </w:rPr>
        <w:fldChar w:fldCharType="end"/>
      </w:r>
      <w:r>
        <w:rPr>
          <w:sz w:val="28"/>
          <w:szCs w:val="28"/>
        </w:rPr>
        <w:fldChar w:fldCharType="end"/>
      </w:r>
    </w:p>
    <w:p w14:paraId="3CECA60B">
      <w:pPr>
        <w:pStyle w:val="30"/>
        <w:keepNext w:val="0"/>
        <w:keepLines w:val="0"/>
        <w:pageBreakBefore w:val="0"/>
        <w:widowControl w:val="0"/>
        <w:tabs>
          <w:tab w:val="right" w:leader="dot" w:pos="8957"/>
          <w:tab w:val="clear" w:pos="1050"/>
          <w:tab w:val="clear" w:pos="8937"/>
        </w:tabs>
        <w:kinsoku/>
        <w:wordWrap w:val="0"/>
        <w:overflowPunct/>
        <w:topLinePunct w:val="0"/>
        <w:autoSpaceDE/>
        <w:autoSpaceDN/>
        <w:bidi w:val="0"/>
        <w:adjustRightInd/>
        <w:snapToGrid/>
        <w:spacing w:after="0" w:line="720" w:lineRule="auto"/>
        <w:textAlignment w:val="auto"/>
        <w:rPr>
          <w:sz w:val="28"/>
          <w:szCs w:val="28"/>
        </w:rPr>
      </w:pPr>
      <w:r>
        <w:fldChar w:fldCharType="begin"/>
      </w:r>
      <w:r>
        <w:instrText xml:space="preserve"> HYPERLINK \l "_Toc27152" </w:instrText>
      </w:r>
      <w:r>
        <w:fldChar w:fldCharType="separate"/>
      </w:r>
      <w:r>
        <w:rPr>
          <w:rFonts w:hint="eastAsia" w:ascii="宋体" w:hAnsi="宋体" w:eastAsia="宋体" w:cs="宋体"/>
          <w:i w:val="0"/>
          <w:iCs w:val="0"/>
          <w:sz w:val="28"/>
          <w:szCs w:val="40"/>
        </w:rPr>
        <w:t>第二章   供应商须知</w:t>
      </w:r>
      <w:r>
        <w:rPr>
          <w:sz w:val="28"/>
          <w:szCs w:val="28"/>
        </w:rPr>
        <w:tab/>
      </w:r>
      <w:r>
        <w:rPr>
          <w:sz w:val="28"/>
          <w:szCs w:val="28"/>
        </w:rPr>
        <w:fldChar w:fldCharType="begin"/>
      </w:r>
      <w:r>
        <w:rPr>
          <w:sz w:val="28"/>
          <w:szCs w:val="28"/>
        </w:rPr>
        <w:instrText xml:space="preserve"> PAGEREF _Toc27152 \h </w:instrText>
      </w:r>
      <w:r>
        <w:rPr>
          <w:sz w:val="28"/>
          <w:szCs w:val="28"/>
        </w:rPr>
        <w:fldChar w:fldCharType="separate"/>
      </w:r>
      <w:r>
        <w:rPr>
          <w:sz w:val="28"/>
          <w:szCs w:val="28"/>
        </w:rPr>
        <w:t>5</w:t>
      </w:r>
      <w:r>
        <w:rPr>
          <w:sz w:val="28"/>
          <w:szCs w:val="28"/>
        </w:rPr>
        <w:fldChar w:fldCharType="end"/>
      </w:r>
      <w:r>
        <w:rPr>
          <w:sz w:val="28"/>
          <w:szCs w:val="28"/>
        </w:rPr>
        <w:fldChar w:fldCharType="end"/>
      </w:r>
    </w:p>
    <w:p w14:paraId="6607B2C9">
      <w:pPr>
        <w:pStyle w:val="30"/>
        <w:keepNext w:val="0"/>
        <w:keepLines w:val="0"/>
        <w:pageBreakBefore w:val="0"/>
        <w:widowControl w:val="0"/>
        <w:tabs>
          <w:tab w:val="right" w:leader="dot" w:pos="8957"/>
          <w:tab w:val="clear" w:pos="1050"/>
          <w:tab w:val="clear" w:pos="8937"/>
        </w:tabs>
        <w:kinsoku/>
        <w:wordWrap w:val="0"/>
        <w:overflowPunct/>
        <w:topLinePunct w:val="0"/>
        <w:autoSpaceDE/>
        <w:autoSpaceDN/>
        <w:bidi w:val="0"/>
        <w:adjustRightInd/>
        <w:snapToGrid/>
        <w:spacing w:after="0" w:line="720" w:lineRule="auto"/>
        <w:textAlignment w:val="auto"/>
        <w:rPr>
          <w:sz w:val="28"/>
          <w:szCs w:val="28"/>
        </w:rPr>
      </w:pPr>
      <w:r>
        <w:fldChar w:fldCharType="begin"/>
      </w:r>
      <w:r>
        <w:instrText xml:space="preserve"> HYPERLINK \l "_Toc27441" </w:instrText>
      </w:r>
      <w:r>
        <w:fldChar w:fldCharType="separate"/>
      </w:r>
      <w:r>
        <w:rPr>
          <w:rFonts w:hint="eastAsia" w:ascii="宋体" w:hAnsi="宋体" w:eastAsia="宋体" w:cs="宋体"/>
          <w:i w:val="0"/>
          <w:iCs w:val="0"/>
          <w:sz w:val="28"/>
          <w:szCs w:val="40"/>
        </w:rPr>
        <w:t>第三章   评审方法和评审标准</w:t>
      </w:r>
      <w:r>
        <w:rPr>
          <w:sz w:val="28"/>
          <w:szCs w:val="28"/>
        </w:rPr>
        <w:tab/>
      </w:r>
      <w:r>
        <w:rPr>
          <w:sz w:val="28"/>
          <w:szCs w:val="28"/>
        </w:rPr>
        <w:fldChar w:fldCharType="begin"/>
      </w:r>
      <w:r>
        <w:rPr>
          <w:sz w:val="28"/>
          <w:szCs w:val="28"/>
        </w:rPr>
        <w:instrText xml:space="preserve"> PAGEREF _Toc27441 \h </w:instrText>
      </w:r>
      <w:r>
        <w:rPr>
          <w:sz w:val="28"/>
          <w:szCs w:val="28"/>
        </w:rPr>
        <w:fldChar w:fldCharType="separate"/>
      </w:r>
      <w:r>
        <w:rPr>
          <w:sz w:val="28"/>
          <w:szCs w:val="28"/>
        </w:rPr>
        <w:t>21</w:t>
      </w:r>
      <w:r>
        <w:rPr>
          <w:sz w:val="28"/>
          <w:szCs w:val="28"/>
        </w:rPr>
        <w:fldChar w:fldCharType="end"/>
      </w:r>
      <w:r>
        <w:rPr>
          <w:sz w:val="28"/>
          <w:szCs w:val="28"/>
        </w:rPr>
        <w:fldChar w:fldCharType="end"/>
      </w:r>
    </w:p>
    <w:p w14:paraId="45E355EA">
      <w:pPr>
        <w:pStyle w:val="30"/>
        <w:keepNext w:val="0"/>
        <w:keepLines w:val="0"/>
        <w:pageBreakBefore w:val="0"/>
        <w:widowControl w:val="0"/>
        <w:tabs>
          <w:tab w:val="right" w:leader="dot" w:pos="8957"/>
          <w:tab w:val="clear" w:pos="1050"/>
          <w:tab w:val="clear" w:pos="8937"/>
        </w:tabs>
        <w:kinsoku/>
        <w:wordWrap w:val="0"/>
        <w:overflowPunct/>
        <w:topLinePunct w:val="0"/>
        <w:autoSpaceDE/>
        <w:autoSpaceDN/>
        <w:bidi w:val="0"/>
        <w:adjustRightInd/>
        <w:snapToGrid/>
        <w:spacing w:after="0" w:line="720" w:lineRule="auto"/>
        <w:textAlignment w:val="auto"/>
        <w:rPr>
          <w:sz w:val="28"/>
          <w:szCs w:val="28"/>
        </w:rPr>
      </w:pPr>
      <w:r>
        <w:fldChar w:fldCharType="begin"/>
      </w:r>
      <w:r>
        <w:instrText xml:space="preserve"> HYPERLINK \l "_Toc22177" </w:instrText>
      </w:r>
      <w:r>
        <w:fldChar w:fldCharType="separate"/>
      </w:r>
      <w:r>
        <w:rPr>
          <w:rFonts w:hint="eastAsia" w:ascii="宋体" w:hAnsi="宋体" w:eastAsia="宋体" w:cs="宋体"/>
          <w:i w:val="0"/>
          <w:iCs w:val="0"/>
          <w:sz w:val="28"/>
          <w:szCs w:val="40"/>
        </w:rPr>
        <w:t>第四章   采购需求</w:t>
      </w:r>
      <w:r>
        <w:rPr>
          <w:sz w:val="28"/>
          <w:szCs w:val="28"/>
        </w:rPr>
        <w:tab/>
      </w:r>
      <w:r>
        <w:rPr>
          <w:sz w:val="28"/>
          <w:szCs w:val="28"/>
        </w:rPr>
        <w:fldChar w:fldCharType="begin"/>
      </w:r>
      <w:r>
        <w:rPr>
          <w:sz w:val="28"/>
          <w:szCs w:val="28"/>
        </w:rPr>
        <w:instrText xml:space="preserve"> PAGEREF _Toc22177 \h </w:instrText>
      </w:r>
      <w:r>
        <w:rPr>
          <w:sz w:val="28"/>
          <w:szCs w:val="28"/>
        </w:rPr>
        <w:fldChar w:fldCharType="separate"/>
      </w:r>
      <w:r>
        <w:rPr>
          <w:sz w:val="28"/>
          <w:szCs w:val="28"/>
        </w:rPr>
        <w:t>36</w:t>
      </w:r>
      <w:r>
        <w:rPr>
          <w:sz w:val="28"/>
          <w:szCs w:val="28"/>
        </w:rPr>
        <w:fldChar w:fldCharType="end"/>
      </w:r>
      <w:r>
        <w:rPr>
          <w:sz w:val="28"/>
          <w:szCs w:val="28"/>
        </w:rPr>
        <w:fldChar w:fldCharType="end"/>
      </w:r>
    </w:p>
    <w:p w14:paraId="51443CA7">
      <w:pPr>
        <w:pStyle w:val="30"/>
        <w:keepNext w:val="0"/>
        <w:keepLines w:val="0"/>
        <w:pageBreakBefore w:val="0"/>
        <w:widowControl w:val="0"/>
        <w:tabs>
          <w:tab w:val="right" w:leader="dot" w:pos="8957"/>
          <w:tab w:val="clear" w:pos="1050"/>
          <w:tab w:val="clear" w:pos="8937"/>
        </w:tabs>
        <w:kinsoku/>
        <w:wordWrap w:val="0"/>
        <w:overflowPunct/>
        <w:topLinePunct w:val="0"/>
        <w:autoSpaceDE/>
        <w:autoSpaceDN/>
        <w:bidi w:val="0"/>
        <w:adjustRightInd/>
        <w:snapToGrid/>
        <w:spacing w:after="0" w:line="720" w:lineRule="auto"/>
        <w:textAlignment w:val="auto"/>
        <w:rPr>
          <w:sz w:val="28"/>
          <w:szCs w:val="28"/>
        </w:rPr>
      </w:pPr>
      <w:r>
        <w:fldChar w:fldCharType="begin"/>
      </w:r>
      <w:r>
        <w:instrText xml:space="preserve"> HYPERLINK \l "_Toc7375" </w:instrText>
      </w:r>
      <w:r>
        <w:fldChar w:fldCharType="separate"/>
      </w:r>
      <w:r>
        <w:rPr>
          <w:rFonts w:hint="eastAsia" w:ascii="宋体" w:hAnsi="宋体" w:eastAsia="宋体" w:cs="宋体"/>
          <w:i w:val="0"/>
          <w:iCs w:val="0"/>
          <w:sz w:val="28"/>
          <w:szCs w:val="40"/>
        </w:rPr>
        <w:t>第五章   合同草案条款</w:t>
      </w:r>
      <w:r>
        <w:rPr>
          <w:sz w:val="28"/>
          <w:szCs w:val="28"/>
        </w:rPr>
        <w:tab/>
      </w:r>
      <w:r>
        <w:rPr>
          <w:sz w:val="28"/>
          <w:szCs w:val="28"/>
        </w:rPr>
        <w:fldChar w:fldCharType="begin"/>
      </w:r>
      <w:r>
        <w:rPr>
          <w:sz w:val="28"/>
          <w:szCs w:val="28"/>
        </w:rPr>
        <w:instrText xml:space="preserve"> PAGEREF _Toc7375 \h </w:instrText>
      </w:r>
      <w:r>
        <w:rPr>
          <w:sz w:val="28"/>
          <w:szCs w:val="28"/>
        </w:rPr>
        <w:fldChar w:fldCharType="separate"/>
      </w:r>
      <w:r>
        <w:rPr>
          <w:sz w:val="28"/>
          <w:szCs w:val="28"/>
        </w:rPr>
        <w:t>67</w:t>
      </w:r>
      <w:r>
        <w:rPr>
          <w:sz w:val="28"/>
          <w:szCs w:val="28"/>
        </w:rPr>
        <w:fldChar w:fldCharType="end"/>
      </w:r>
      <w:r>
        <w:rPr>
          <w:sz w:val="28"/>
          <w:szCs w:val="28"/>
        </w:rPr>
        <w:fldChar w:fldCharType="end"/>
      </w:r>
    </w:p>
    <w:p w14:paraId="04BA004E">
      <w:pPr>
        <w:pStyle w:val="30"/>
        <w:keepNext w:val="0"/>
        <w:keepLines w:val="0"/>
        <w:pageBreakBefore w:val="0"/>
        <w:widowControl w:val="0"/>
        <w:tabs>
          <w:tab w:val="right" w:leader="dot" w:pos="8957"/>
          <w:tab w:val="clear" w:pos="1050"/>
          <w:tab w:val="clear" w:pos="8937"/>
        </w:tabs>
        <w:kinsoku/>
        <w:wordWrap w:val="0"/>
        <w:overflowPunct/>
        <w:topLinePunct w:val="0"/>
        <w:autoSpaceDE/>
        <w:autoSpaceDN/>
        <w:bidi w:val="0"/>
        <w:adjustRightInd/>
        <w:snapToGrid/>
        <w:spacing w:after="0" w:line="720" w:lineRule="auto"/>
        <w:textAlignment w:val="auto"/>
        <w:rPr>
          <w:sz w:val="28"/>
          <w:szCs w:val="28"/>
        </w:rPr>
      </w:pPr>
      <w:r>
        <w:fldChar w:fldCharType="begin"/>
      </w:r>
      <w:r>
        <w:instrText xml:space="preserve"> HYPERLINK \l "_Toc29176" </w:instrText>
      </w:r>
      <w:r>
        <w:fldChar w:fldCharType="separate"/>
      </w:r>
      <w:r>
        <w:rPr>
          <w:rFonts w:hint="eastAsia" w:ascii="宋体" w:hAnsi="宋体" w:eastAsia="宋体" w:cs="宋体"/>
          <w:i w:val="0"/>
          <w:iCs w:val="0"/>
          <w:sz w:val="28"/>
          <w:szCs w:val="40"/>
        </w:rPr>
        <w:t>第六章   响应文件格式</w:t>
      </w:r>
      <w:r>
        <w:rPr>
          <w:sz w:val="28"/>
          <w:szCs w:val="28"/>
        </w:rPr>
        <w:tab/>
      </w:r>
      <w:r>
        <w:rPr>
          <w:sz w:val="28"/>
          <w:szCs w:val="28"/>
        </w:rPr>
        <w:fldChar w:fldCharType="begin"/>
      </w:r>
      <w:r>
        <w:rPr>
          <w:sz w:val="28"/>
          <w:szCs w:val="28"/>
        </w:rPr>
        <w:instrText xml:space="preserve"> PAGEREF _Toc29176 \h </w:instrText>
      </w:r>
      <w:r>
        <w:rPr>
          <w:sz w:val="28"/>
          <w:szCs w:val="28"/>
        </w:rPr>
        <w:fldChar w:fldCharType="separate"/>
      </w:r>
      <w:r>
        <w:rPr>
          <w:sz w:val="28"/>
          <w:szCs w:val="28"/>
        </w:rPr>
        <w:t>84</w:t>
      </w:r>
      <w:r>
        <w:rPr>
          <w:sz w:val="28"/>
          <w:szCs w:val="28"/>
        </w:rPr>
        <w:fldChar w:fldCharType="end"/>
      </w:r>
      <w:r>
        <w:rPr>
          <w:sz w:val="28"/>
          <w:szCs w:val="28"/>
        </w:rPr>
        <w:fldChar w:fldCharType="end"/>
      </w:r>
    </w:p>
    <w:p w14:paraId="6DE89DE4">
      <w:pPr>
        <w:pStyle w:val="30"/>
        <w:keepNext w:val="0"/>
        <w:keepLines w:val="0"/>
        <w:pageBreakBefore w:val="0"/>
        <w:widowControl w:val="0"/>
        <w:kinsoku/>
        <w:wordWrap w:val="0"/>
        <w:overflowPunct/>
        <w:topLinePunct w:val="0"/>
        <w:autoSpaceDE/>
        <w:autoSpaceDN/>
        <w:bidi w:val="0"/>
        <w:adjustRightInd/>
        <w:snapToGrid/>
        <w:spacing w:after="0" w:line="720" w:lineRule="auto"/>
        <w:textAlignment w:val="auto"/>
        <w:rPr>
          <w:rFonts w:hint="eastAsia" w:ascii="宋体" w:hAnsi="宋体" w:eastAsia="宋体" w:cs="宋体"/>
          <w:b w:val="0"/>
          <w:i w:val="0"/>
          <w:iCs w:val="0"/>
        </w:rPr>
      </w:pPr>
      <w:r>
        <w:rPr>
          <w:rFonts w:hint="eastAsia" w:ascii="宋体" w:hAnsi="宋体" w:eastAsia="宋体" w:cs="宋体"/>
          <w:i w:val="0"/>
          <w:iCs w:val="0"/>
          <w:sz w:val="28"/>
          <w:szCs w:val="28"/>
        </w:rPr>
        <w:fldChar w:fldCharType="end"/>
      </w:r>
    </w:p>
    <w:p w14:paraId="2C95B2BA">
      <w:pPr>
        <w:pStyle w:val="30"/>
        <w:pageBreakBefore w:val="0"/>
        <w:wordWrap w:val="0"/>
        <w:topLinePunct w:val="0"/>
        <w:bidi w:val="0"/>
        <w:spacing w:after="0" w:line="360" w:lineRule="auto"/>
        <w:textAlignment w:val="auto"/>
        <w:rPr>
          <w:rFonts w:hint="eastAsia" w:ascii="宋体" w:hAnsi="宋体" w:eastAsia="宋体" w:cs="宋体"/>
          <w:b w:val="0"/>
          <w:i w:val="0"/>
          <w:iCs w:val="0"/>
          <w:sz w:val="36"/>
          <w:szCs w:val="36"/>
        </w:rPr>
      </w:pPr>
    </w:p>
    <w:p w14:paraId="0CACC71A">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6"/>
          <w:szCs w:val="36"/>
        </w:rPr>
        <w:sectPr>
          <w:pgSz w:w="11905" w:h="16838"/>
          <w:pgMar w:top="1474" w:right="1474" w:bottom="1474" w:left="1474" w:header="851" w:footer="992" w:gutter="0"/>
          <w:pgNumType w:start="1"/>
          <w:cols w:space="720" w:num="1"/>
          <w:rtlGutter w:val="0"/>
          <w:docGrid w:linePitch="462" w:charSpace="0"/>
        </w:sectPr>
      </w:pPr>
    </w:p>
    <w:p w14:paraId="19A6730F">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6"/>
          <w:szCs w:val="36"/>
        </w:rPr>
      </w:pPr>
      <w:bookmarkStart w:id="2" w:name="_Toc29385"/>
      <w:r>
        <w:rPr>
          <w:rFonts w:hint="eastAsia" w:ascii="宋体" w:hAnsi="宋体" w:eastAsia="宋体" w:cs="宋体"/>
          <w:b/>
          <w:i w:val="0"/>
          <w:iCs w:val="0"/>
          <w:sz w:val="36"/>
          <w:szCs w:val="36"/>
        </w:rPr>
        <w:t>第一章   采购邀请</w:t>
      </w:r>
      <w:bookmarkEnd w:id="2"/>
      <w:bookmarkStart w:id="3" w:name="_Toc28359079"/>
      <w:bookmarkStart w:id="4" w:name="_Toc35393790"/>
      <w:bookmarkStart w:id="5" w:name="_Toc28359002"/>
      <w:bookmarkStart w:id="6" w:name="_Toc35393621"/>
      <w:bookmarkStart w:id="7" w:name="_Hlk24379207"/>
    </w:p>
    <w:p w14:paraId="4D1EA05F">
      <w:pPr>
        <w:pStyle w:val="4"/>
        <w:pageBreakBefore w:val="0"/>
        <w:wordWrap w:val="0"/>
        <w:topLinePunct w:val="0"/>
        <w:bidi w:val="0"/>
        <w:spacing w:before="0" w:after="0" w:line="360" w:lineRule="auto"/>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一、项目基本情况</w:t>
      </w:r>
      <w:bookmarkEnd w:id="3"/>
      <w:bookmarkEnd w:id="4"/>
      <w:bookmarkEnd w:id="5"/>
      <w:bookmarkEnd w:id="6"/>
    </w:p>
    <w:p w14:paraId="6FF908E8">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1.项目编号：</w:t>
      </w:r>
      <w:r>
        <w:rPr>
          <w:rFonts w:hint="eastAsia" w:ascii="宋体" w:hAnsi="宋体" w:cs="宋体"/>
          <w:i w:val="0"/>
          <w:iCs w:val="0"/>
          <w:sz w:val="24"/>
          <w:highlight w:val="none"/>
          <w:lang w:val="en-US" w:eastAsia="zh-CN"/>
        </w:rPr>
        <w:t>11010626210200030166-XM001</w:t>
      </w:r>
    </w:p>
    <w:p w14:paraId="411E16B6">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lang w:eastAsia="zh-CN"/>
        </w:rPr>
      </w:pPr>
      <w:r>
        <w:rPr>
          <w:rFonts w:hint="eastAsia" w:ascii="宋体" w:hAnsi="宋体" w:eastAsia="宋体" w:cs="宋体"/>
          <w:i w:val="0"/>
          <w:iCs w:val="0"/>
          <w:sz w:val="24"/>
        </w:rPr>
        <w:t>2.项目名称：</w:t>
      </w:r>
      <w:r>
        <w:rPr>
          <w:rFonts w:hint="eastAsia" w:ascii="宋体" w:hAnsi="宋体" w:cs="宋体"/>
          <w:i w:val="0"/>
          <w:iCs w:val="0"/>
          <w:sz w:val="24"/>
          <w:lang w:val="en-US" w:eastAsia="zh-CN"/>
        </w:rPr>
        <w:t>花卉大观园再生水智联灌溉提升项目</w:t>
      </w:r>
    </w:p>
    <w:p w14:paraId="2D288AC7">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rPr>
      </w:pPr>
      <w:r>
        <w:rPr>
          <w:rFonts w:hint="eastAsia" w:ascii="宋体" w:hAnsi="宋体" w:eastAsia="宋体" w:cs="宋体"/>
          <w:i w:val="0"/>
          <w:iCs w:val="0"/>
          <w:sz w:val="24"/>
        </w:rPr>
        <w:t>3.采购方式：竞争性磋商</w:t>
      </w:r>
    </w:p>
    <w:bookmarkEnd w:id="7"/>
    <w:p w14:paraId="5E52AC60">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rPr>
        <w:t>4.项目预算金</w:t>
      </w:r>
      <w:r>
        <w:rPr>
          <w:rFonts w:hint="eastAsia" w:ascii="宋体" w:hAnsi="宋体" w:eastAsia="宋体" w:cs="宋体"/>
          <w:i w:val="0"/>
          <w:iCs w:val="0"/>
          <w:sz w:val="24"/>
          <w:highlight w:val="none"/>
        </w:rPr>
        <w:t>额：</w:t>
      </w:r>
      <w:r>
        <w:rPr>
          <w:rFonts w:hint="eastAsia" w:ascii="宋体" w:hAnsi="宋体" w:cs="宋体"/>
          <w:i w:val="0"/>
          <w:iCs w:val="0"/>
          <w:sz w:val="24"/>
          <w:highlight w:val="none"/>
          <w:lang w:eastAsia="zh-CN"/>
        </w:rPr>
        <w:t>151.921331</w:t>
      </w:r>
      <w:r>
        <w:rPr>
          <w:rFonts w:hint="eastAsia" w:ascii="宋体" w:hAnsi="宋体" w:eastAsia="宋体" w:cs="宋体"/>
          <w:i w:val="0"/>
          <w:iCs w:val="0"/>
          <w:sz w:val="24"/>
          <w:highlight w:val="none"/>
        </w:rPr>
        <w:t>万元、项目最高限价：</w:t>
      </w:r>
      <w:r>
        <w:rPr>
          <w:rFonts w:hint="eastAsia" w:ascii="宋体" w:hAnsi="宋体" w:cs="宋体"/>
          <w:i w:val="0"/>
          <w:iCs w:val="0"/>
          <w:sz w:val="24"/>
          <w:highlight w:val="none"/>
          <w:lang w:eastAsia="zh-CN"/>
        </w:rPr>
        <w:t>151.921331</w:t>
      </w:r>
      <w:r>
        <w:rPr>
          <w:rFonts w:hint="eastAsia" w:ascii="宋体" w:hAnsi="宋体" w:eastAsia="宋体" w:cs="宋体"/>
          <w:i w:val="0"/>
          <w:iCs w:val="0"/>
          <w:sz w:val="24"/>
          <w:highlight w:val="none"/>
        </w:rPr>
        <w:t>万元</w:t>
      </w:r>
    </w:p>
    <w:p w14:paraId="68C3E12F">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rPr>
      </w:pPr>
      <w:r>
        <w:rPr>
          <w:rFonts w:hint="eastAsia" w:ascii="宋体" w:hAnsi="宋体" w:eastAsia="宋体" w:cs="宋体"/>
          <w:i w:val="0"/>
          <w:iCs w:val="0"/>
          <w:sz w:val="24"/>
        </w:rPr>
        <w:t>5.采购需求：</w:t>
      </w:r>
    </w:p>
    <w:tbl>
      <w:tblPr>
        <w:tblStyle w:val="42"/>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2"/>
        <w:gridCol w:w="2400"/>
        <w:gridCol w:w="1573"/>
        <w:gridCol w:w="697"/>
        <w:gridCol w:w="3760"/>
      </w:tblGrid>
      <w:tr w14:paraId="2173F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9" w:type="pct"/>
            <w:noWrap w:val="0"/>
            <w:vAlign w:val="center"/>
          </w:tcPr>
          <w:p w14:paraId="2350CCCF">
            <w:pPr>
              <w:pageBreakBefore w:val="0"/>
              <w:wordWrap w:val="0"/>
              <w:topLinePunct w:val="0"/>
              <w:bidi w:val="0"/>
              <w:spacing w:after="0" w:line="360" w:lineRule="auto"/>
              <w:ind w:firstLine="0" w:firstLineChars="0"/>
              <w:jc w:val="center"/>
              <w:textAlignment w:val="auto"/>
              <w:rPr>
                <w:rFonts w:hint="eastAsia" w:ascii="宋体" w:hAnsi="宋体" w:eastAsia="宋体" w:cs="宋体"/>
                <w:bCs w:val="0"/>
                <w:i w:val="0"/>
                <w:iCs w:val="0"/>
                <w:sz w:val="24"/>
                <w:szCs w:val="24"/>
                <w:highlight w:val="none"/>
              </w:rPr>
            </w:pPr>
            <w:r>
              <w:rPr>
                <w:rFonts w:hint="eastAsia" w:ascii="宋体" w:hAnsi="宋体" w:eastAsia="宋体" w:cs="宋体"/>
                <w:bCs w:val="0"/>
                <w:i w:val="0"/>
                <w:iCs w:val="0"/>
                <w:sz w:val="24"/>
                <w:szCs w:val="24"/>
                <w:highlight w:val="none"/>
              </w:rPr>
              <w:t>包号</w:t>
            </w:r>
          </w:p>
        </w:tc>
        <w:tc>
          <w:tcPr>
            <w:tcW w:w="1315" w:type="pct"/>
            <w:noWrap w:val="0"/>
            <w:vAlign w:val="center"/>
          </w:tcPr>
          <w:p w14:paraId="769E612B">
            <w:pPr>
              <w:pageBreakBefore w:val="0"/>
              <w:wordWrap w:val="0"/>
              <w:topLinePunct w:val="0"/>
              <w:bidi w:val="0"/>
              <w:spacing w:after="0" w:line="360" w:lineRule="auto"/>
              <w:ind w:firstLine="0" w:firstLineChars="0"/>
              <w:jc w:val="center"/>
              <w:textAlignment w:val="auto"/>
              <w:rPr>
                <w:rFonts w:hint="eastAsia" w:ascii="宋体" w:hAnsi="宋体" w:eastAsia="宋体" w:cs="宋体"/>
                <w:bCs w:val="0"/>
                <w:i w:val="0"/>
                <w:iCs w:val="0"/>
                <w:sz w:val="24"/>
                <w:szCs w:val="24"/>
                <w:highlight w:val="none"/>
              </w:rPr>
            </w:pPr>
            <w:r>
              <w:rPr>
                <w:rFonts w:hint="eastAsia" w:ascii="宋体" w:hAnsi="宋体" w:eastAsia="宋体" w:cs="宋体"/>
                <w:bCs w:val="0"/>
                <w:i w:val="0"/>
                <w:iCs w:val="0"/>
                <w:sz w:val="24"/>
                <w:szCs w:val="24"/>
                <w:highlight w:val="none"/>
              </w:rPr>
              <w:t>标的名称</w:t>
            </w:r>
          </w:p>
        </w:tc>
        <w:tc>
          <w:tcPr>
            <w:tcW w:w="862" w:type="pct"/>
            <w:noWrap w:val="0"/>
            <w:vAlign w:val="center"/>
          </w:tcPr>
          <w:p w14:paraId="5C4A20C4">
            <w:pPr>
              <w:pageBreakBefore w:val="0"/>
              <w:wordWrap w:val="0"/>
              <w:topLinePunct w:val="0"/>
              <w:bidi w:val="0"/>
              <w:spacing w:after="0" w:line="360" w:lineRule="auto"/>
              <w:ind w:firstLine="0" w:firstLineChars="0"/>
              <w:jc w:val="center"/>
              <w:textAlignment w:val="auto"/>
              <w:rPr>
                <w:rFonts w:hint="eastAsia" w:ascii="宋体" w:hAnsi="宋体" w:eastAsia="宋体" w:cs="宋体"/>
                <w:bCs w:val="0"/>
                <w:i w:val="0"/>
                <w:iCs w:val="0"/>
                <w:sz w:val="24"/>
                <w:szCs w:val="24"/>
                <w:highlight w:val="none"/>
              </w:rPr>
            </w:pPr>
            <w:r>
              <w:rPr>
                <w:rFonts w:hint="eastAsia" w:ascii="宋体" w:hAnsi="宋体" w:eastAsia="宋体" w:cs="宋体"/>
                <w:bCs w:val="0"/>
                <w:i w:val="0"/>
                <w:iCs w:val="0"/>
                <w:sz w:val="24"/>
                <w:szCs w:val="24"/>
                <w:highlight w:val="none"/>
              </w:rPr>
              <w:t>采购包</w:t>
            </w:r>
          </w:p>
          <w:p w14:paraId="0C56CEB3">
            <w:pPr>
              <w:pageBreakBefore w:val="0"/>
              <w:wordWrap w:val="0"/>
              <w:topLinePunct w:val="0"/>
              <w:bidi w:val="0"/>
              <w:spacing w:after="0" w:line="360" w:lineRule="auto"/>
              <w:ind w:firstLine="0" w:firstLineChars="0"/>
              <w:jc w:val="center"/>
              <w:textAlignment w:val="auto"/>
              <w:rPr>
                <w:rFonts w:hint="eastAsia" w:ascii="宋体" w:hAnsi="宋体" w:eastAsia="宋体" w:cs="宋体"/>
                <w:bCs w:val="0"/>
                <w:i w:val="0"/>
                <w:iCs w:val="0"/>
                <w:sz w:val="24"/>
                <w:szCs w:val="24"/>
                <w:highlight w:val="none"/>
              </w:rPr>
            </w:pPr>
            <w:r>
              <w:rPr>
                <w:rFonts w:hint="eastAsia" w:ascii="宋体" w:hAnsi="宋体" w:eastAsia="宋体" w:cs="宋体"/>
                <w:bCs w:val="0"/>
                <w:i w:val="0"/>
                <w:iCs w:val="0"/>
                <w:sz w:val="24"/>
                <w:szCs w:val="24"/>
                <w:highlight w:val="none"/>
              </w:rPr>
              <w:t>预算金额</w:t>
            </w:r>
          </w:p>
          <w:p w14:paraId="6767A5DC">
            <w:pPr>
              <w:pageBreakBefore w:val="0"/>
              <w:wordWrap w:val="0"/>
              <w:topLinePunct w:val="0"/>
              <w:bidi w:val="0"/>
              <w:spacing w:after="0" w:line="360" w:lineRule="auto"/>
              <w:ind w:firstLine="0" w:firstLineChars="0"/>
              <w:jc w:val="center"/>
              <w:textAlignment w:val="auto"/>
              <w:rPr>
                <w:rFonts w:hint="eastAsia" w:ascii="宋体" w:hAnsi="宋体" w:eastAsia="宋体" w:cs="宋体"/>
                <w:bCs w:val="0"/>
                <w:i w:val="0"/>
                <w:iCs w:val="0"/>
                <w:sz w:val="24"/>
                <w:szCs w:val="24"/>
                <w:highlight w:val="none"/>
              </w:rPr>
            </w:pPr>
            <w:r>
              <w:rPr>
                <w:rFonts w:hint="eastAsia" w:ascii="宋体" w:hAnsi="宋体" w:eastAsia="宋体" w:cs="宋体"/>
                <w:bCs w:val="0"/>
                <w:i w:val="0"/>
                <w:iCs w:val="0"/>
                <w:sz w:val="24"/>
                <w:szCs w:val="24"/>
                <w:highlight w:val="none"/>
              </w:rPr>
              <w:t>（万元）</w:t>
            </w:r>
          </w:p>
        </w:tc>
        <w:tc>
          <w:tcPr>
            <w:tcW w:w="382" w:type="pct"/>
            <w:noWrap w:val="0"/>
            <w:vAlign w:val="center"/>
          </w:tcPr>
          <w:p w14:paraId="7930A990">
            <w:pPr>
              <w:pageBreakBefore w:val="0"/>
              <w:wordWrap w:val="0"/>
              <w:topLinePunct w:val="0"/>
              <w:bidi w:val="0"/>
              <w:spacing w:after="0" w:line="360" w:lineRule="auto"/>
              <w:ind w:firstLine="0" w:firstLineChars="0"/>
              <w:jc w:val="center"/>
              <w:textAlignment w:val="auto"/>
              <w:rPr>
                <w:rFonts w:hint="eastAsia" w:ascii="宋体" w:hAnsi="宋体" w:eastAsia="宋体" w:cs="宋体"/>
                <w:bCs w:val="0"/>
                <w:i w:val="0"/>
                <w:iCs w:val="0"/>
                <w:sz w:val="24"/>
                <w:szCs w:val="24"/>
                <w:highlight w:val="none"/>
              </w:rPr>
            </w:pPr>
            <w:r>
              <w:rPr>
                <w:rFonts w:hint="eastAsia" w:ascii="宋体" w:hAnsi="宋体" w:eastAsia="宋体" w:cs="宋体"/>
                <w:bCs w:val="0"/>
                <w:i w:val="0"/>
                <w:iCs w:val="0"/>
                <w:sz w:val="24"/>
                <w:szCs w:val="24"/>
                <w:highlight w:val="none"/>
              </w:rPr>
              <w:t>数量</w:t>
            </w:r>
          </w:p>
        </w:tc>
        <w:tc>
          <w:tcPr>
            <w:tcW w:w="2060" w:type="pct"/>
            <w:noWrap w:val="0"/>
            <w:vAlign w:val="center"/>
          </w:tcPr>
          <w:p w14:paraId="65431DF6">
            <w:pPr>
              <w:pageBreakBefore w:val="0"/>
              <w:wordWrap w:val="0"/>
              <w:topLinePunct w:val="0"/>
              <w:bidi w:val="0"/>
              <w:spacing w:after="0" w:line="360" w:lineRule="auto"/>
              <w:ind w:firstLine="0" w:firstLineChars="0"/>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简要技术需求或服务要求</w:t>
            </w:r>
          </w:p>
        </w:tc>
      </w:tr>
      <w:tr w14:paraId="632D3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9" w:type="pct"/>
            <w:noWrap w:val="0"/>
            <w:vAlign w:val="center"/>
          </w:tcPr>
          <w:p w14:paraId="7ED6BE8B">
            <w:pPr>
              <w:pageBreakBefore w:val="0"/>
              <w:wordWrap w:val="0"/>
              <w:topLinePunct w:val="0"/>
              <w:bidi w:val="0"/>
              <w:spacing w:after="0" w:line="360" w:lineRule="auto"/>
              <w:ind w:firstLine="0" w:firstLineChars="0"/>
              <w:jc w:val="center"/>
              <w:textAlignment w:val="auto"/>
              <w:rPr>
                <w:rFonts w:hint="eastAsia" w:ascii="宋体" w:hAnsi="宋体" w:eastAsia="宋体" w:cs="宋体"/>
                <w:bCs w:val="0"/>
                <w:i w:val="0"/>
                <w:iCs w:val="0"/>
                <w:sz w:val="24"/>
                <w:szCs w:val="24"/>
                <w:highlight w:val="none"/>
              </w:rPr>
            </w:pPr>
            <w:r>
              <w:rPr>
                <w:rFonts w:hint="eastAsia" w:ascii="宋体" w:hAnsi="宋体" w:eastAsia="宋体" w:cs="宋体"/>
                <w:bCs w:val="0"/>
                <w:i w:val="0"/>
                <w:iCs w:val="0"/>
                <w:sz w:val="24"/>
                <w:szCs w:val="24"/>
                <w:highlight w:val="none"/>
              </w:rPr>
              <w:t>01</w:t>
            </w:r>
          </w:p>
        </w:tc>
        <w:tc>
          <w:tcPr>
            <w:tcW w:w="1315" w:type="pct"/>
            <w:noWrap w:val="0"/>
            <w:vAlign w:val="center"/>
          </w:tcPr>
          <w:p w14:paraId="43E869C6">
            <w:pPr>
              <w:pageBreakBefore w:val="0"/>
              <w:wordWrap w:val="0"/>
              <w:topLinePunct w:val="0"/>
              <w:bidi w:val="0"/>
              <w:spacing w:after="0" w:line="360" w:lineRule="auto"/>
              <w:ind w:firstLine="0" w:firstLineChars="0"/>
              <w:jc w:val="center"/>
              <w:textAlignment w:val="auto"/>
              <w:rPr>
                <w:rFonts w:hint="eastAsia" w:ascii="宋体" w:hAnsi="宋体" w:eastAsia="宋体" w:cs="宋体"/>
                <w:bCs w:val="0"/>
                <w:i w:val="0"/>
                <w:iCs w:val="0"/>
                <w:sz w:val="24"/>
                <w:szCs w:val="24"/>
                <w:highlight w:val="none"/>
                <w:lang w:eastAsia="zh-CN"/>
              </w:rPr>
            </w:pPr>
            <w:r>
              <w:rPr>
                <w:rFonts w:hint="eastAsia" w:ascii="宋体" w:hAnsi="宋体" w:cs="宋体"/>
                <w:bCs w:val="0"/>
                <w:i w:val="0"/>
                <w:iCs w:val="0"/>
                <w:sz w:val="24"/>
                <w:szCs w:val="24"/>
                <w:highlight w:val="none"/>
                <w:lang w:eastAsia="zh-CN"/>
              </w:rPr>
              <w:t>花卉大观园再生水智联灌溉提升项目</w:t>
            </w:r>
          </w:p>
        </w:tc>
        <w:tc>
          <w:tcPr>
            <w:tcW w:w="862" w:type="pct"/>
            <w:noWrap w:val="0"/>
            <w:vAlign w:val="center"/>
          </w:tcPr>
          <w:p w14:paraId="0EE4BF95">
            <w:pPr>
              <w:pageBreakBefore w:val="0"/>
              <w:wordWrap w:val="0"/>
              <w:topLinePunct w:val="0"/>
              <w:bidi w:val="0"/>
              <w:spacing w:after="0" w:line="360" w:lineRule="auto"/>
              <w:ind w:firstLine="0" w:firstLineChars="0"/>
              <w:jc w:val="center"/>
              <w:textAlignment w:val="auto"/>
              <w:rPr>
                <w:rFonts w:hint="eastAsia" w:ascii="宋体" w:hAnsi="宋体" w:eastAsia="宋体" w:cs="宋体"/>
                <w:bCs w:val="0"/>
                <w:i w:val="0"/>
                <w:iCs w:val="0"/>
                <w:sz w:val="24"/>
                <w:szCs w:val="24"/>
                <w:highlight w:val="none"/>
                <w:lang w:eastAsia="zh-CN"/>
              </w:rPr>
            </w:pPr>
            <w:r>
              <w:rPr>
                <w:rFonts w:hint="eastAsia" w:ascii="宋体" w:hAnsi="宋体" w:cs="宋体"/>
                <w:bCs w:val="0"/>
                <w:i w:val="0"/>
                <w:iCs w:val="0"/>
                <w:sz w:val="24"/>
                <w:szCs w:val="24"/>
                <w:highlight w:val="none"/>
                <w:lang w:eastAsia="zh-CN"/>
              </w:rPr>
              <w:t>151.921331</w:t>
            </w:r>
          </w:p>
        </w:tc>
        <w:tc>
          <w:tcPr>
            <w:tcW w:w="382" w:type="pct"/>
            <w:noWrap w:val="0"/>
            <w:vAlign w:val="center"/>
          </w:tcPr>
          <w:p w14:paraId="42940283">
            <w:pPr>
              <w:pageBreakBefore w:val="0"/>
              <w:wordWrap w:val="0"/>
              <w:topLinePunct w:val="0"/>
              <w:bidi w:val="0"/>
              <w:spacing w:after="0" w:line="360" w:lineRule="auto"/>
              <w:ind w:firstLine="0" w:firstLineChars="0"/>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1批</w:t>
            </w:r>
          </w:p>
        </w:tc>
        <w:tc>
          <w:tcPr>
            <w:tcW w:w="2060" w:type="pct"/>
            <w:noWrap w:val="0"/>
            <w:vAlign w:val="center"/>
          </w:tcPr>
          <w:p w14:paraId="1C29600A">
            <w:pPr>
              <w:pageBreakBefore w:val="0"/>
              <w:wordWrap w:val="0"/>
              <w:topLinePunct w:val="0"/>
              <w:bidi w:val="0"/>
              <w:spacing w:after="0" w:line="360" w:lineRule="auto"/>
              <w:ind w:firstLine="0" w:firstLineChars="0"/>
              <w:jc w:val="center"/>
              <w:textAlignment w:val="auto"/>
              <w:rPr>
                <w:rFonts w:hint="eastAsia" w:ascii="宋体" w:hAnsi="宋体" w:eastAsia="宋体" w:cs="宋体"/>
                <w:i w:val="0"/>
                <w:iCs w:val="0"/>
                <w:sz w:val="24"/>
                <w:szCs w:val="24"/>
                <w:highlight w:val="none"/>
              </w:rPr>
            </w:pPr>
            <w:r>
              <w:rPr>
                <w:rFonts w:hint="eastAsia" w:ascii="宋体" w:hAnsi="宋体" w:cs="宋体"/>
                <w:i w:val="0"/>
                <w:iCs w:val="0"/>
                <w:sz w:val="24"/>
                <w:szCs w:val="24"/>
                <w:highlight w:val="none"/>
                <w:lang w:eastAsia="zh-CN"/>
              </w:rPr>
              <w:t>花卉大观园再生水智联灌溉提升项目</w:t>
            </w:r>
            <w:r>
              <w:rPr>
                <w:rFonts w:hint="eastAsia" w:ascii="宋体" w:hAnsi="宋体" w:eastAsia="宋体" w:cs="宋体"/>
                <w:i w:val="0"/>
                <w:iCs w:val="0"/>
                <w:sz w:val="24"/>
                <w:szCs w:val="24"/>
                <w:highlight w:val="none"/>
              </w:rPr>
              <w:t>工程量清单及图纸显示的全部工程内容</w:t>
            </w:r>
          </w:p>
        </w:tc>
      </w:tr>
    </w:tbl>
    <w:p w14:paraId="78254203">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u w:val="single"/>
        </w:rPr>
      </w:pPr>
      <w:r>
        <w:rPr>
          <w:rFonts w:hint="eastAsia" w:ascii="宋体" w:hAnsi="宋体" w:eastAsia="宋体" w:cs="宋体"/>
          <w:i w:val="0"/>
          <w:iCs w:val="0"/>
          <w:sz w:val="24"/>
        </w:rPr>
        <w:t>6.合同履行期限</w:t>
      </w:r>
      <w:r>
        <w:rPr>
          <w:rFonts w:hint="eastAsia" w:ascii="宋体" w:hAnsi="宋体" w:eastAsia="宋体" w:cs="宋体"/>
          <w:i w:val="0"/>
          <w:iCs w:val="0"/>
          <w:sz w:val="24"/>
          <w:highlight w:val="none"/>
        </w:rPr>
        <w:t xml:space="preserve">：初步计划工期120日历天，具体开工日期及工期，以实际通知为准。 </w:t>
      </w:r>
    </w:p>
    <w:p w14:paraId="2B27C12B">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7.本项目是否接受联合体：</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 xml:space="preserve">是  </w:t>
      </w: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否。</w:t>
      </w:r>
    </w:p>
    <w:p w14:paraId="06D85C77">
      <w:pPr>
        <w:pStyle w:val="4"/>
        <w:pageBreakBefore w:val="0"/>
        <w:wordWrap w:val="0"/>
        <w:topLinePunct w:val="0"/>
        <w:bidi w:val="0"/>
        <w:spacing w:before="0" w:after="0" w:line="360" w:lineRule="auto"/>
        <w:jc w:val="left"/>
        <w:textAlignment w:val="auto"/>
        <w:rPr>
          <w:rFonts w:hint="eastAsia" w:ascii="宋体" w:hAnsi="宋体" w:eastAsia="宋体" w:cs="宋体"/>
          <w:i w:val="0"/>
          <w:iCs w:val="0"/>
          <w:sz w:val="24"/>
          <w:szCs w:val="24"/>
          <w:highlight w:val="none"/>
        </w:rPr>
      </w:pPr>
      <w:bookmarkStart w:id="8" w:name="_Toc35393622"/>
      <w:bookmarkStart w:id="9" w:name="_Toc28359003"/>
      <w:bookmarkStart w:id="10" w:name="_Toc28359080"/>
      <w:bookmarkStart w:id="11" w:name="_Toc35393791"/>
      <w:r>
        <w:rPr>
          <w:rFonts w:hint="eastAsia" w:ascii="宋体" w:hAnsi="宋体" w:eastAsia="宋体" w:cs="宋体"/>
          <w:i w:val="0"/>
          <w:iCs w:val="0"/>
          <w:sz w:val="24"/>
          <w:szCs w:val="24"/>
          <w:highlight w:val="none"/>
        </w:rPr>
        <w:t>二、申请人的资格要求（须同时满足）</w:t>
      </w:r>
      <w:bookmarkEnd w:id="8"/>
      <w:bookmarkEnd w:id="9"/>
      <w:bookmarkEnd w:id="10"/>
      <w:bookmarkEnd w:id="11"/>
    </w:p>
    <w:p w14:paraId="252C2CB4">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1.满足《中华人民共和国政府采购法》第二十二条规定；</w:t>
      </w:r>
    </w:p>
    <w:p w14:paraId="6FB6EF95">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rPr>
      </w:pPr>
      <w:bookmarkStart w:id="12" w:name="_Toc28359004"/>
      <w:bookmarkStart w:id="13" w:name="_Toc28359081"/>
      <w:r>
        <w:rPr>
          <w:rFonts w:hint="eastAsia" w:ascii="宋体" w:hAnsi="宋体" w:eastAsia="宋体" w:cs="宋体"/>
          <w:i w:val="0"/>
          <w:iCs w:val="0"/>
          <w:sz w:val="24"/>
          <w:highlight w:val="none"/>
        </w:rPr>
        <w:t>2.落实政府采购政策需满足的资格要求：</w:t>
      </w:r>
    </w:p>
    <w:p w14:paraId="78C86793">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2.1 中小企业政策</w:t>
      </w:r>
    </w:p>
    <w:p w14:paraId="49C3D2D6">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■本项目不专门面向中小企业预留采购份额。</w:t>
      </w:r>
    </w:p>
    <w:p w14:paraId="1323EF71">
      <w:pPr>
        <w:pageBreakBefore w:val="0"/>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本项目专门面向中小</w:t>
      </w:r>
      <w:r>
        <w:rPr>
          <w:rFonts w:hint="eastAsia" w:ascii="宋体" w:hAnsi="宋体" w:eastAsia="宋体" w:cs="宋体"/>
          <w:i w:val="0"/>
          <w:iCs w:val="0"/>
          <w:sz w:val="24"/>
          <w:highlight w:val="none"/>
          <w:lang w:val="en-US" w:eastAsia="zh-CN"/>
        </w:rPr>
        <w:t>/小微</w:t>
      </w:r>
      <w:r>
        <w:rPr>
          <w:rFonts w:hint="eastAsia" w:ascii="宋体" w:hAnsi="宋体" w:eastAsia="宋体" w:cs="宋体"/>
          <w:i w:val="0"/>
          <w:iCs w:val="0"/>
          <w:sz w:val="24"/>
          <w:highlight w:val="none"/>
        </w:rPr>
        <w:t>企业采购。即：提供的货物全部由符合政策要求的中小</w:t>
      </w:r>
      <w:r>
        <w:rPr>
          <w:rFonts w:hint="eastAsia" w:ascii="宋体" w:hAnsi="宋体" w:eastAsia="宋体" w:cs="宋体"/>
          <w:i w:val="0"/>
          <w:iCs w:val="0"/>
          <w:sz w:val="24"/>
          <w:highlight w:val="none"/>
          <w:lang w:val="en-US" w:eastAsia="zh-CN"/>
        </w:rPr>
        <w:t>/小微</w:t>
      </w:r>
      <w:r>
        <w:rPr>
          <w:rFonts w:hint="eastAsia" w:ascii="宋体" w:hAnsi="宋体" w:eastAsia="宋体" w:cs="宋体"/>
          <w:i w:val="0"/>
          <w:iCs w:val="0"/>
          <w:sz w:val="24"/>
          <w:highlight w:val="none"/>
        </w:rPr>
        <w:t>企业制造、服务全部由符合政策要求的中小</w:t>
      </w:r>
      <w:r>
        <w:rPr>
          <w:rFonts w:hint="eastAsia" w:ascii="宋体" w:hAnsi="宋体" w:eastAsia="宋体" w:cs="宋体"/>
          <w:i w:val="0"/>
          <w:iCs w:val="0"/>
          <w:sz w:val="24"/>
          <w:highlight w:val="none"/>
          <w:lang w:val="en-US" w:eastAsia="zh-CN"/>
        </w:rPr>
        <w:t>/小微</w:t>
      </w:r>
      <w:r>
        <w:rPr>
          <w:rFonts w:hint="eastAsia" w:ascii="宋体" w:hAnsi="宋体" w:eastAsia="宋体" w:cs="宋体"/>
          <w:i w:val="0"/>
          <w:iCs w:val="0"/>
          <w:sz w:val="24"/>
          <w:highlight w:val="none"/>
        </w:rPr>
        <w:t>企业承接。</w:t>
      </w:r>
    </w:p>
    <w:p w14:paraId="39666528">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eastAsia="宋体" w:cs="宋体"/>
          <w:i w:val="0"/>
          <w:iCs w:val="0"/>
          <w:sz w:val="24"/>
          <w:highlight w:val="none"/>
          <w:lang w:val="en-US" w:eastAsia="zh-CN"/>
        </w:rPr>
        <w:t>/</w:t>
      </w:r>
      <w:r>
        <w:rPr>
          <w:rFonts w:hint="eastAsia" w:ascii="宋体" w:hAnsi="宋体" w:eastAsia="宋体" w:cs="宋体"/>
          <w:i w:val="0"/>
          <w:iCs w:val="0"/>
          <w:sz w:val="24"/>
          <w:highlight w:val="none"/>
        </w:rPr>
        <w:t>。</w:t>
      </w:r>
    </w:p>
    <w:p w14:paraId="4300B626">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2.2 其它落实政府采购政策的资格要求（如有）：</w:t>
      </w:r>
      <w:r>
        <w:rPr>
          <w:rFonts w:hint="eastAsia" w:ascii="宋体" w:hAnsi="宋体" w:eastAsia="宋体" w:cs="宋体"/>
          <w:i w:val="0"/>
          <w:iCs w:val="0"/>
          <w:sz w:val="24"/>
          <w:highlight w:val="none"/>
          <w:lang w:val="en-US" w:eastAsia="zh-CN"/>
        </w:rPr>
        <w:t>无</w:t>
      </w:r>
      <w:r>
        <w:rPr>
          <w:rFonts w:hint="eastAsia" w:ascii="宋体" w:hAnsi="宋体" w:eastAsia="宋体" w:cs="宋体"/>
          <w:i w:val="0"/>
          <w:iCs w:val="0"/>
          <w:sz w:val="24"/>
          <w:highlight w:val="none"/>
        </w:rPr>
        <w:t>。</w:t>
      </w:r>
    </w:p>
    <w:p w14:paraId="07875E47">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u w:val="single"/>
        </w:rPr>
      </w:pPr>
      <w:r>
        <w:rPr>
          <w:rFonts w:hint="eastAsia" w:ascii="宋体" w:hAnsi="宋体" w:eastAsia="宋体" w:cs="宋体"/>
          <w:i w:val="0"/>
          <w:iCs w:val="0"/>
          <w:sz w:val="24"/>
          <w:highlight w:val="none"/>
        </w:rPr>
        <w:t>3.本项目的特定资格要求：</w:t>
      </w:r>
    </w:p>
    <w:p w14:paraId="72303C74">
      <w:pPr>
        <w:pageBreakBefore w:val="0"/>
        <w:tabs>
          <w:tab w:val="left" w:pos="900"/>
          <w:tab w:val="left" w:pos="1134"/>
          <w:tab w:val="left" w:pos="1589"/>
          <w:tab w:val="left" w:pos="5521"/>
        </w:tabs>
        <w:wordWrap w:val="0"/>
        <w:topLinePunct w:val="0"/>
        <w:bidi w:val="0"/>
        <w:snapToGrid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w:t>
      </w:r>
      <w:r>
        <w:rPr>
          <w:rFonts w:hint="eastAsia" w:ascii="宋体" w:hAnsi="宋体" w:eastAsia="宋体" w:cs="宋体"/>
          <w:i w:val="0"/>
          <w:iCs w:val="0"/>
          <w:sz w:val="24"/>
          <w:highlight w:val="none"/>
          <w:lang w:val="en-US" w:eastAsia="zh-CN"/>
        </w:rPr>
        <w:t>1</w:t>
      </w:r>
      <w:r>
        <w:rPr>
          <w:rFonts w:hint="eastAsia" w:ascii="宋体" w:hAnsi="宋体" w:eastAsia="宋体" w:cs="宋体"/>
          <w:i w:val="0"/>
          <w:iCs w:val="0"/>
          <w:sz w:val="24"/>
          <w:highlight w:val="none"/>
        </w:rPr>
        <w:t>本项目是否属于政府购买服务：</w:t>
      </w:r>
    </w:p>
    <w:p w14:paraId="5DAD88A8">
      <w:pPr>
        <w:pageBreakBefore w:val="0"/>
        <w:tabs>
          <w:tab w:val="left" w:pos="900"/>
          <w:tab w:val="left" w:pos="1134"/>
          <w:tab w:val="left" w:pos="1589"/>
          <w:tab w:val="left" w:pos="5521"/>
        </w:tabs>
        <w:wordWrap w:val="0"/>
        <w:topLinePunct w:val="0"/>
        <w:bidi w:val="0"/>
        <w:snapToGrid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否</w:t>
      </w:r>
    </w:p>
    <w:p w14:paraId="4A1DDF75">
      <w:pPr>
        <w:pageBreakBefore w:val="0"/>
        <w:tabs>
          <w:tab w:val="left" w:pos="900"/>
          <w:tab w:val="left" w:pos="1134"/>
          <w:tab w:val="left" w:pos="1589"/>
          <w:tab w:val="left" w:pos="5521"/>
        </w:tabs>
        <w:wordWrap w:val="0"/>
        <w:topLinePunct w:val="0"/>
        <w:bidi w:val="0"/>
        <w:snapToGrid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□是，公益一类事业单位、使用事业编制且由财政拨款保障的群团组织，不得作为承接主体；</w:t>
      </w:r>
    </w:p>
    <w:p w14:paraId="713DB7EC">
      <w:pPr>
        <w:pageBreakBefore w:val="0"/>
        <w:tabs>
          <w:tab w:val="left" w:pos="900"/>
          <w:tab w:val="left" w:pos="1134"/>
          <w:tab w:val="left" w:pos="1589"/>
          <w:tab w:val="left" w:pos="5521"/>
        </w:tabs>
        <w:wordWrap w:val="0"/>
        <w:topLinePunct w:val="0"/>
        <w:bidi w:val="0"/>
        <w:snapToGrid w:val="0"/>
        <w:spacing w:after="0" w:line="360" w:lineRule="auto"/>
        <w:ind w:firstLine="480" w:firstLineChars="20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w:t>
      </w:r>
      <w:r>
        <w:rPr>
          <w:rFonts w:hint="eastAsia" w:ascii="宋体" w:hAnsi="宋体" w:eastAsia="宋体" w:cs="宋体"/>
          <w:i w:val="0"/>
          <w:iCs w:val="0"/>
          <w:sz w:val="24"/>
          <w:highlight w:val="none"/>
          <w:lang w:val="en-US" w:eastAsia="zh-CN"/>
        </w:rPr>
        <w:t>2</w:t>
      </w:r>
      <w:r>
        <w:rPr>
          <w:rFonts w:hint="eastAsia" w:ascii="宋体" w:hAnsi="宋体" w:eastAsia="宋体" w:cs="宋体"/>
          <w:i w:val="0"/>
          <w:iCs w:val="0"/>
          <w:sz w:val="24"/>
          <w:highlight w:val="none"/>
        </w:rPr>
        <w:t>其他特定资格要求：</w:t>
      </w:r>
    </w:p>
    <w:p w14:paraId="0B042F01">
      <w:pPr>
        <w:pageBreakBefore w:val="0"/>
        <w:tabs>
          <w:tab w:val="left" w:pos="900"/>
          <w:tab w:val="left" w:pos="1134"/>
          <w:tab w:val="left" w:pos="1589"/>
          <w:tab w:val="left" w:pos="5521"/>
        </w:tabs>
        <w:wordWrap w:val="0"/>
        <w:topLinePunct w:val="0"/>
        <w:bidi w:val="0"/>
        <w:snapToGrid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（1）具备市政公用工程施工总承包三级（含）以上资质和有效安全生产许可证，外地企业须具备进京备案证明；</w:t>
      </w:r>
    </w:p>
    <w:p w14:paraId="0FDCC66A">
      <w:pPr>
        <w:pageBreakBefore w:val="0"/>
        <w:tabs>
          <w:tab w:val="left" w:pos="900"/>
          <w:tab w:val="left" w:pos="1134"/>
          <w:tab w:val="left" w:pos="1589"/>
          <w:tab w:val="left" w:pos="5521"/>
        </w:tabs>
        <w:wordWrap w:val="0"/>
        <w:topLinePunct w:val="0"/>
        <w:bidi w:val="0"/>
        <w:snapToGrid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（2）拟派项目经理应具备市政公用工程专业二级（含）以上注册建造师资格，具备有效的安全生产考核合格证书（B本）；</w:t>
      </w:r>
    </w:p>
    <w:bookmarkEnd w:id="12"/>
    <w:bookmarkEnd w:id="13"/>
    <w:p w14:paraId="550CFC6F">
      <w:pPr>
        <w:pStyle w:val="4"/>
        <w:pageBreakBefore w:val="0"/>
        <w:widowControl/>
        <w:wordWrap w:val="0"/>
        <w:topLinePunct w:val="0"/>
        <w:bidi w:val="0"/>
        <w:spacing w:before="0" w:after="0" w:line="360" w:lineRule="auto"/>
        <w:jc w:val="left"/>
        <w:textAlignment w:val="auto"/>
        <w:rPr>
          <w:rFonts w:hint="eastAsia" w:ascii="宋体" w:hAnsi="宋体" w:eastAsia="宋体" w:cs="宋体"/>
          <w:i w:val="0"/>
          <w:iCs w:val="0"/>
          <w:sz w:val="24"/>
          <w:szCs w:val="24"/>
          <w:highlight w:val="none"/>
        </w:rPr>
      </w:pPr>
      <w:bookmarkStart w:id="14" w:name="_Toc35393623"/>
      <w:bookmarkStart w:id="15" w:name="_Toc35393792"/>
      <w:r>
        <w:rPr>
          <w:rFonts w:hint="eastAsia" w:ascii="宋体" w:hAnsi="宋体" w:eastAsia="宋体" w:cs="宋体"/>
          <w:i w:val="0"/>
          <w:iCs w:val="0"/>
          <w:sz w:val="24"/>
          <w:szCs w:val="24"/>
          <w:highlight w:val="none"/>
        </w:rPr>
        <w:t>三、获取采购文件</w:t>
      </w:r>
      <w:bookmarkEnd w:id="14"/>
      <w:bookmarkEnd w:id="15"/>
    </w:p>
    <w:p w14:paraId="4195AD57">
      <w:pPr>
        <w:pageBreakBefore w:val="0"/>
        <w:wordWrap w:val="0"/>
        <w:topLinePunct w:val="0"/>
        <w:bidi w:val="0"/>
        <w:adjustRightInd w:val="0"/>
        <w:snapToGrid w:val="0"/>
        <w:spacing w:after="0" w:line="360" w:lineRule="auto"/>
        <w:ind w:firstLine="480" w:firstLineChars="200"/>
        <w:textAlignment w:val="auto"/>
        <w:rPr>
          <w:rFonts w:hint="eastAsia" w:ascii="宋体" w:hAnsi="宋体" w:cs="宋体"/>
          <w:sz w:val="24"/>
          <w:highlight w:val="none"/>
          <w:lang w:bidi="ar"/>
        </w:rPr>
      </w:pPr>
      <w:r>
        <w:rPr>
          <w:rFonts w:hint="eastAsia" w:ascii="宋体" w:hAnsi="宋体" w:cs="宋体"/>
          <w:sz w:val="24"/>
          <w:highlight w:val="none"/>
          <w:lang w:bidi="ar"/>
        </w:rPr>
        <w:t>1.时间：</w:t>
      </w:r>
      <w:r>
        <w:rPr>
          <w:rFonts w:hint="eastAsia" w:ascii="宋体" w:hAnsi="宋体" w:cs="宋体"/>
          <w:sz w:val="24"/>
          <w:highlight w:val="none"/>
          <w:u w:val="none"/>
          <w:lang w:bidi="ar"/>
        </w:rPr>
        <w:t>202</w:t>
      </w:r>
      <w:r>
        <w:rPr>
          <w:rFonts w:hint="eastAsia" w:ascii="宋体" w:hAnsi="宋体" w:cs="宋体"/>
          <w:sz w:val="24"/>
          <w:highlight w:val="none"/>
          <w:u w:val="none"/>
          <w:lang w:val="en-US" w:eastAsia="zh-CN" w:bidi="ar"/>
        </w:rPr>
        <w:t>6</w:t>
      </w:r>
      <w:r>
        <w:rPr>
          <w:rFonts w:hint="eastAsia" w:ascii="宋体" w:hAnsi="宋体" w:cs="宋体"/>
          <w:sz w:val="24"/>
          <w:highlight w:val="none"/>
          <w:u w:val="none"/>
          <w:lang w:bidi="ar"/>
        </w:rPr>
        <w:t>年</w:t>
      </w:r>
      <w:r>
        <w:rPr>
          <w:rFonts w:hint="eastAsia" w:ascii="宋体" w:hAnsi="宋体" w:cs="宋体"/>
          <w:sz w:val="24"/>
          <w:highlight w:val="none"/>
          <w:u w:val="none"/>
          <w:lang w:val="en-US" w:eastAsia="zh-CN" w:bidi="ar"/>
        </w:rPr>
        <w:t>09</w:t>
      </w:r>
      <w:r>
        <w:rPr>
          <w:rFonts w:hint="eastAsia" w:ascii="宋体" w:hAnsi="宋体" w:cs="宋体"/>
          <w:sz w:val="24"/>
          <w:highlight w:val="none"/>
          <w:u w:val="none"/>
          <w:lang w:bidi="ar"/>
        </w:rPr>
        <w:t>月</w:t>
      </w:r>
      <w:r>
        <w:rPr>
          <w:rFonts w:hint="eastAsia" w:ascii="宋体" w:hAnsi="宋体" w:cs="宋体"/>
          <w:sz w:val="24"/>
          <w:highlight w:val="none"/>
          <w:u w:val="none"/>
          <w:lang w:val="en-US" w:eastAsia="zh-CN" w:bidi="ar"/>
        </w:rPr>
        <w:t>23</w:t>
      </w:r>
      <w:r>
        <w:rPr>
          <w:rFonts w:hint="eastAsia" w:ascii="宋体" w:hAnsi="宋体" w:cs="宋体"/>
          <w:sz w:val="24"/>
          <w:highlight w:val="none"/>
          <w:u w:val="none"/>
          <w:lang w:bidi="ar"/>
        </w:rPr>
        <w:t>日至202</w:t>
      </w:r>
      <w:r>
        <w:rPr>
          <w:rFonts w:hint="eastAsia" w:ascii="宋体" w:hAnsi="宋体" w:cs="宋体"/>
          <w:sz w:val="24"/>
          <w:highlight w:val="none"/>
          <w:u w:val="none"/>
          <w:lang w:val="en-US" w:eastAsia="zh-CN" w:bidi="ar"/>
        </w:rPr>
        <w:t>6</w:t>
      </w:r>
      <w:r>
        <w:rPr>
          <w:rFonts w:hint="eastAsia" w:ascii="宋体" w:hAnsi="宋体" w:cs="宋体"/>
          <w:sz w:val="24"/>
          <w:highlight w:val="none"/>
          <w:u w:val="none"/>
          <w:lang w:bidi="ar"/>
        </w:rPr>
        <w:t>年</w:t>
      </w:r>
      <w:r>
        <w:rPr>
          <w:rFonts w:hint="eastAsia" w:ascii="宋体" w:hAnsi="宋体" w:cs="宋体"/>
          <w:sz w:val="24"/>
          <w:highlight w:val="none"/>
          <w:u w:val="none"/>
          <w:lang w:val="en-US" w:eastAsia="zh-CN" w:bidi="ar"/>
        </w:rPr>
        <w:t>09</w:t>
      </w:r>
      <w:r>
        <w:rPr>
          <w:rFonts w:hint="eastAsia" w:ascii="宋体" w:hAnsi="宋体" w:cs="宋体"/>
          <w:sz w:val="24"/>
          <w:highlight w:val="none"/>
          <w:u w:val="none"/>
          <w:lang w:bidi="ar"/>
        </w:rPr>
        <w:t>月</w:t>
      </w:r>
      <w:r>
        <w:rPr>
          <w:rFonts w:hint="eastAsia" w:ascii="宋体" w:hAnsi="宋体" w:cs="宋体"/>
          <w:sz w:val="24"/>
          <w:highlight w:val="none"/>
          <w:u w:val="none"/>
          <w:lang w:val="en-US" w:eastAsia="zh-CN" w:bidi="ar"/>
        </w:rPr>
        <w:t>30</w:t>
      </w:r>
      <w:r>
        <w:rPr>
          <w:rFonts w:hint="eastAsia" w:ascii="宋体" w:hAnsi="宋体" w:cs="宋体"/>
          <w:sz w:val="24"/>
          <w:highlight w:val="none"/>
          <w:u w:val="none"/>
          <w:lang w:bidi="ar"/>
        </w:rPr>
        <w:t>日</w:t>
      </w:r>
      <w:r>
        <w:rPr>
          <w:rFonts w:hint="eastAsia" w:ascii="宋体" w:hAnsi="宋体" w:cs="宋体"/>
          <w:sz w:val="24"/>
          <w:highlight w:val="none"/>
          <w:lang w:bidi="ar"/>
        </w:rPr>
        <w:t>，每天上午09:30至12:00，下午12:00至16:00（北京时间，法定节假日除外）。</w:t>
      </w:r>
    </w:p>
    <w:p w14:paraId="724B7CAD">
      <w:pPr>
        <w:pageBreakBefore w:val="0"/>
        <w:wordWrap w:val="0"/>
        <w:topLinePunct w:val="0"/>
        <w:bidi w:val="0"/>
        <w:adjustRightInd w:val="0"/>
        <w:snapToGrid w:val="0"/>
        <w:spacing w:after="0" w:line="360" w:lineRule="auto"/>
        <w:ind w:firstLine="480" w:firstLineChars="200"/>
        <w:textAlignment w:val="auto"/>
        <w:rPr>
          <w:rFonts w:hint="eastAsia" w:ascii="宋体" w:hAnsi="宋体" w:cs="宋体"/>
          <w:sz w:val="24"/>
          <w:highlight w:val="none"/>
          <w:lang w:bidi="ar"/>
        </w:rPr>
      </w:pPr>
      <w:r>
        <w:rPr>
          <w:rFonts w:hint="eastAsia" w:ascii="宋体" w:hAnsi="宋体" w:cs="宋体"/>
          <w:sz w:val="24"/>
          <w:highlight w:val="none"/>
          <w:lang w:bidi="ar"/>
        </w:rPr>
        <w:t>2.地点：北京市政府采购电子交易平台（http://zbcg-bjzc.zhongcy.com/bjczj-portal-site/index.html）</w:t>
      </w:r>
    </w:p>
    <w:p w14:paraId="525133AA">
      <w:pPr>
        <w:pageBreakBefore w:val="0"/>
        <w:wordWrap w:val="0"/>
        <w:topLinePunct w:val="0"/>
        <w:bidi w:val="0"/>
        <w:adjustRightInd w:val="0"/>
        <w:snapToGrid w:val="0"/>
        <w:spacing w:after="0" w:line="360" w:lineRule="auto"/>
        <w:ind w:firstLine="480" w:firstLineChars="200"/>
        <w:textAlignment w:val="auto"/>
        <w:rPr>
          <w:rFonts w:hint="eastAsia" w:ascii="宋体" w:hAnsi="宋体" w:cs="宋体"/>
          <w:sz w:val="24"/>
          <w:highlight w:val="none"/>
          <w:lang w:bidi="ar"/>
        </w:rPr>
      </w:pPr>
      <w:r>
        <w:rPr>
          <w:rFonts w:hint="eastAsia" w:ascii="宋体" w:hAnsi="宋体" w:cs="宋体"/>
          <w:sz w:val="24"/>
          <w:highlight w:val="none"/>
          <w:lang w:bidi="ar"/>
        </w:rPr>
        <w:t>3.方式：供应商使用CA数字证书或电子营业执照登录北京市政府采购电子交易平台（http://zbcg-bjzc.zhongcy.com/bjczj-portal-site/index.html#/home）获取电子版竞争性磋商文件。</w:t>
      </w:r>
    </w:p>
    <w:p w14:paraId="049F4B83">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cs="宋体"/>
          <w:sz w:val="24"/>
          <w:highlight w:val="none"/>
          <w:lang w:bidi="ar"/>
        </w:rPr>
        <w:t>4.售价：0元。</w:t>
      </w:r>
    </w:p>
    <w:p w14:paraId="7CEE553F">
      <w:pPr>
        <w:pStyle w:val="4"/>
        <w:pageBreakBefore w:val="0"/>
        <w:widowControl/>
        <w:wordWrap w:val="0"/>
        <w:topLinePunct w:val="0"/>
        <w:bidi w:val="0"/>
        <w:spacing w:before="0" w:after="0" w:line="360" w:lineRule="auto"/>
        <w:jc w:val="left"/>
        <w:textAlignment w:val="auto"/>
        <w:rPr>
          <w:rFonts w:hint="eastAsia" w:ascii="宋体" w:hAnsi="宋体" w:eastAsia="宋体" w:cs="宋体"/>
          <w:i w:val="0"/>
          <w:iCs w:val="0"/>
          <w:sz w:val="24"/>
          <w:szCs w:val="24"/>
          <w:highlight w:val="none"/>
        </w:rPr>
      </w:pPr>
      <w:bookmarkStart w:id="16" w:name="_Toc35393624"/>
      <w:bookmarkStart w:id="17" w:name="_Toc35393793"/>
      <w:bookmarkStart w:id="18" w:name="_Toc28359082"/>
      <w:bookmarkStart w:id="19" w:name="_Toc28359005"/>
      <w:r>
        <w:rPr>
          <w:rFonts w:hint="eastAsia" w:ascii="宋体" w:hAnsi="宋体" w:eastAsia="宋体" w:cs="宋体"/>
          <w:i w:val="0"/>
          <w:iCs w:val="0"/>
          <w:sz w:val="24"/>
          <w:szCs w:val="24"/>
          <w:highlight w:val="none"/>
        </w:rPr>
        <w:t>四、</w:t>
      </w:r>
      <w:bookmarkEnd w:id="16"/>
      <w:bookmarkEnd w:id="17"/>
      <w:bookmarkEnd w:id="18"/>
      <w:bookmarkEnd w:id="19"/>
      <w:r>
        <w:rPr>
          <w:rFonts w:hint="eastAsia" w:ascii="宋体" w:hAnsi="宋体" w:eastAsia="宋体" w:cs="宋体"/>
          <w:i w:val="0"/>
          <w:iCs w:val="0"/>
          <w:sz w:val="24"/>
          <w:szCs w:val="24"/>
          <w:highlight w:val="none"/>
        </w:rPr>
        <w:t>响应文件提交</w:t>
      </w:r>
    </w:p>
    <w:p w14:paraId="029A3D99">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截止时间：202</w:t>
      </w:r>
      <w:r>
        <w:rPr>
          <w:rFonts w:hint="eastAsia" w:ascii="宋体" w:hAnsi="宋体" w:cs="宋体"/>
          <w:i w:val="0"/>
          <w:iCs w:val="0"/>
          <w:sz w:val="24"/>
          <w:highlight w:val="none"/>
          <w:lang w:val="en-US" w:eastAsia="zh-CN" w:bidi="ar"/>
        </w:rPr>
        <w:t>6</w:t>
      </w:r>
      <w:r>
        <w:rPr>
          <w:rFonts w:hint="eastAsia" w:ascii="宋体" w:hAnsi="宋体" w:eastAsia="宋体" w:cs="宋体"/>
          <w:i w:val="0"/>
          <w:iCs w:val="0"/>
          <w:sz w:val="24"/>
          <w:highlight w:val="none"/>
          <w:lang w:bidi="ar"/>
        </w:rPr>
        <w:t>年</w:t>
      </w:r>
      <w:r>
        <w:rPr>
          <w:rFonts w:hint="eastAsia" w:ascii="宋体" w:hAnsi="宋体" w:cs="宋体"/>
          <w:i w:val="0"/>
          <w:iCs w:val="0"/>
          <w:sz w:val="24"/>
          <w:highlight w:val="none"/>
          <w:lang w:val="en-US" w:eastAsia="zh-CN" w:bidi="ar"/>
        </w:rPr>
        <w:t>10</w:t>
      </w:r>
      <w:r>
        <w:rPr>
          <w:rFonts w:hint="eastAsia" w:ascii="宋体" w:hAnsi="宋体" w:eastAsia="宋体" w:cs="宋体"/>
          <w:i w:val="0"/>
          <w:iCs w:val="0"/>
          <w:sz w:val="24"/>
          <w:highlight w:val="none"/>
          <w:lang w:eastAsia="zh-CN" w:bidi="ar"/>
        </w:rPr>
        <w:t>月</w:t>
      </w:r>
      <w:r>
        <w:rPr>
          <w:rFonts w:hint="eastAsia" w:ascii="宋体" w:hAnsi="宋体" w:cs="宋体"/>
          <w:i w:val="0"/>
          <w:iCs w:val="0"/>
          <w:sz w:val="24"/>
          <w:highlight w:val="none"/>
          <w:lang w:val="en-US" w:eastAsia="zh-CN" w:bidi="ar"/>
        </w:rPr>
        <w:t>09</w:t>
      </w:r>
      <w:r>
        <w:rPr>
          <w:rFonts w:hint="eastAsia" w:ascii="宋体" w:hAnsi="宋体" w:eastAsia="宋体" w:cs="宋体"/>
          <w:i w:val="0"/>
          <w:iCs w:val="0"/>
          <w:sz w:val="24"/>
          <w:highlight w:val="none"/>
          <w:lang w:eastAsia="zh-CN" w:bidi="ar"/>
        </w:rPr>
        <w:t>日</w:t>
      </w:r>
      <w:r>
        <w:rPr>
          <w:rFonts w:hint="eastAsia" w:ascii="宋体" w:hAnsi="宋体" w:cs="宋体"/>
          <w:i w:val="0"/>
          <w:iCs w:val="0"/>
          <w:sz w:val="24"/>
          <w:highlight w:val="none"/>
          <w:lang w:val="en-US" w:eastAsia="zh-CN" w:bidi="ar"/>
        </w:rPr>
        <w:t>14</w:t>
      </w:r>
      <w:r>
        <w:rPr>
          <w:rFonts w:hint="eastAsia" w:ascii="宋体" w:hAnsi="宋体" w:eastAsia="宋体" w:cs="宋体"/>
          <w:i w:val="0"/>
          <w:iCs w:val="0"/>
          <w:sz w:val="24"/>
          <w:highlight w:val="none"/>
          <w:lang w:bidi="ar"/>
        </w:rPr>
        <w:t>点</w:t>
      </w:r>
      <w:r>
        <w:rPr>
          <w:rFonts w:hint="eastAsia" w:ascii="宋体" w:hAnsi="宋体" w:cs="宋体"/>
          <w:i w:val="0"/>
          <w:iCs w:val="0"/>
          <w:sz w:val="24"/>
          <w:highlight w:val="none"/>
          <w:lang w:val="en-US" w:eastAsia="zh-CN" w:bidi="ar"/>
        </w:rPr>
        <w:t>00</w:t>
      </w:r>
      <w:r>
        <w:rPr>
          <w:rFonts w:hint="eastAsia" w:ascii="宋体" w:hAnsi="宋体" w:eastAsia="宋体" w:cs="宋体"/>
          <w:i w:val="0"/>
          <w:iCs w:val="0"/>
          <w:sz w:val="24"/>
          <w:highlight w:val="none"/>
          <w:lang w:bidi="ar"/>
        </w:rPr>
        <w:t>分（北京时间）。</w:t>
      </w:r>
    </w:p>
    <w:p w14:paraId="117425F4">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lang w:val="zh-TW" w:bidi="ar"/>
        </w:rPr>
      </w:pPr>
      <w:r>
        <w:rPr>
          <w:rFonts w:hint="eastAsia" w:ascii="宋体" w:hAnsi="宋体" w:eastAsia="宋体" w:cs="宋体"/>
          <w:i w:val="0"/>
          <w:iCs w:val="0"/>
          <w:sz w:val="24"/>
          <w:highlight w:val="none"/>
          <w:lang w:bidi="ar"/>
        </w:rPr>
        <w:t>地点：北京市政府采购电子交易平台</w:t>
      </w:r>
      <w:r>
        <w:rPr>
          <w:rFonts w:hint="eastAsia" w:ascii="宋体" w:hAnsi="宋体" w:eastAsia="宋体" w:cs="宋体"/>
          <w:i w:val="0"/>
          <w:iCs w:val="0"/>
          <w:sz w:val="24"/>
          <w:highlight w:val="none"/>
          <w:lang w:val="zh-TW" w:bidi="ar"/>
        </w:rPr>
        <w:t>。</w:t>
      </w:r>
    </w:p>
    <w:p w14:paraId="0105D441">
      <w:pPr>
        <w:pStyle w:val="4"/>
        <w:pageBreakBefore w:val="0"/>
        <w:wordWrap w:val="0"/>
        <w:topLinePunct w:val="0"/>
        <w:bidi w:val="0"/>
        <w:spacing w:before="0" w:after="0" w:line="360" w:lineRule="auto"/>
        <w:jc w:val="left"/>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五、开启</w:t>
      </w:r>
    </w:p>
    <w:p w14:paraId="42E10F16">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时间：202</w:t>
      </w:r>
      <w:r>
        <w:rPr>
          <w:rFonts w:hint="eastAsia" w:ascii="宋体" w:hAnsi="宋体" w:cs="宋体"/>
          <w:i w:val="0"/>
          <w:iCs w:val="0"/>
          <w:sz w:val="24"/>
          <w:highlight w:val="none"/>
          <w:lang w:val="en-US" w:eastAsia="zh-CN" w:bidi="ar"/>
        </w:rPr>
        <w:t>6</w:t>
      </w:r>
      <w:r>
        <w:rPr>
          <w:rFonts w:hint="eastAsia" w:ascii="宋体" w:hAnsi="宋体" w:eastAsia="宋体" w:cs="宋体"/>
          <w:i w:val="0"/>
          <w:iCs w:val="0"/>
          <w:sz w:val="24"/>
          <w:highlight w:val="none"/>
          <w:lang w:bidi="ar"/>
        </w:rPr>
        <w:t>年</w:t>
      </w:r>
      <w:r>
        <w:rPr>
          <w:rFonts w:hint="eastAsia" w:ascii="宋体" w:hAnsi="宋体" w:cs="宋体"/>
          <w:i w:val="0"/>
          <w:iCs w:val="0"/>
          <w:sz w:val="24"/>
          <w:highlight w:val="none"/>
          <w:lang w:val="en-US" w:eastAsia="zh-CN" w:bidi="ar"/>
        </w:rPr>
        <w:t>10</w:t>
      </w:r>
      <w:r>
        <w:rPr>
          <w:rFonts w:hint="eastAsia" w:ascii="宋体" w:hAnsi="宋体" w:eastAsia="宋体" w:cs="宋体"/>
          <w:i w:val="0"/>
          <w:iCs w:val="0"/>
          <w:sz w:val="24"/>
          <w:highlight w:val="none"/>
          <w:lang w:eastAsia="zh-CN" w:bidi="ar"/>
        </w:rPr>
        <w:t>月</w:t>
      </w:r>
      <w:r>
        <w:rPr>
          <w:rFonts w:hint="eastAsia" w:ascii="宋体" w:hAnsi="宋体" w:cs="宋体"/>
          <w:i w:val="0"/>
          <w:iCs w:val="0"/>
          <w:sz w:val="24"/>
          <w:highlight w:val="none"/>
          <w:lang w:val="en-US" w:eastAsia="zh-CN" w:bidi="ar"/>
        </w:rPr>
        <w:t>09</w:t>
      </w:r>
      <w:r>
        <w:rPr>
          <w:rFonts w:hint="eastAsia" w:ascii="宋体" w:hAnsi="宋体" w:eastAsia="宋体" w:cs="宋体"/>
          <w:i w:val="0"/>
          <w:iCs w:val="0"/>
          <w:sz w:val="24"/>
          <w:highlight w:val="none"/>
          <w:lang w:eastAsia="zh-CN" w:bidi="ar"/>
        </w:rPr>
        <w:t>日</w:t>
      </w:r>
      <w:r>
        <w:rPr>
          <w:rFonts w:hint="eastAsia" w:ascii="宋体" w:hAnsi="宋体" w:cs="宋体"/>
          <w:i w:val="0"/>
          <w:iCs w:val="0"/>
          <w:sz w:val="24"/>
          <w:highlight w:val="none"/>
          <w:lang w:val="en-US" w:eastAsia="zh-CN" w:bidi="ar"/>
        </w:rPr>
        <w:t>14</w:t>
      </w:r>
      <w:r>
        <w:rPr>
          <w:rFonts w:hint="eastAsia" w:ascii="宋体" w:hAnsi="宋体" w:eastAsia="宋体" w:cs="宋体"/>
          <w:i w:val="0"/>
          <w:iCs w:val="0"/>
          <w:sz w:val="24"/>
          <w:highlight w:val="none"/>
          <w:lang w:bidi="ar"/>
        </w:rPr>
        <w:t>点</w:t>
      </w:r>
      <w:r>
        <w:rPr>
          <w:rFonts w:hint="eastAsia" w:ascii="宋体" w:hAnsi="宋体" w:cs="宋体"/>
          <w:i w:val="0"/>
          <w:iCs w:val="0"/>
          <w:sz w:val="24"/>
          <w:highlight w:val="none"/>
          <w:lang w:val="en-US" w:eastAsia="zh-CN" w:bidi="ar"/>
        </w:rPr>
        <w:t>00</w:t>
      </w:r>
      <w:r>
        <w:rPr>
          <w:rFonts w:hint="eastAsia" w:ascii="宋体" w:hAnsi="宋体" w:eastAsia="宋体" w:cs="宋体"/>
          <w:i w:val="0"/>
          <w:iCs w:val="0"/>
          <w:sz w:val="24"/>
          <w:highlight w:val="none"/>
          <w:lang w:bidi="ar"/>
        </w:rPr>
        <w:t>分（北京时间）。</w:t>
      </w:r>
    </w:p>
    <w:p w14:paraId="4A416806">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lang w:val="zh-TW" w:bidi="ar"/>
        </w:rPr>
      </w:pPr>
      <w:r>
        <w:rPr>
          <w:rFonts w:hint="eastAsia" w:ascii="宋体" w:hAnsi="宋体" w:eastAsia="宋体" w:cs="宋体"/>
          <w:i w:val="0"/>
          <w:iCs w:val="0"/>
          <w:sz w:val="24"/>
          <w:highlight w:val="none"/>
          <w:lang w:bidi="ar"/>
        </w:rPr>
        <w:t>地点：北京市政府采购电子交易平台</w:t>
      </w:r>
      <w:r>
        <w:rPr>
          <w:rFonts w:hint="eastAsia" w:ascii="宋体" w:hAnsi="宋体" w:eastAsia="宋体" w:cs="宋体"/>
          <w:i w:val="0"/>
          <w:iCs w:val="0"/>
          <w:sz w:val="24"/>
          <w:highlight w:val="none"/>
          <w:lang w:val="zh-TW" w:bidi="ar"/>
        </w:rPr>
        <w:t>。</w:t>
      </w:r>
    </w:p>
    <w:p w14:paraId="3107001A">
      <w:pPr>
        <w:pStyle w:val="4"/>
        <w:pageBreakBefore w:val="0"/>
        <w:wordWrap w:val="0"/>
        <w:topLinePunct w:val="0"/>
        <w:bidi w:val="0"/>
        <w:spacing w:before="0" w:after="0" w:line="360" w:lineRule="auto"/>
        <w:jc w:val="left"/>
        <w:textAlignment w:val="auto"/>
        <w:rPr>
          <w:rFonts w:hint="eastAsia" w:ascii="宋体" w:hAnsi="宋体" w:eastAsia="宋体" w:cs="宋体"/>
          <w:i w:val="0"/>
          <w:iCs w:val="0"/>
          <w:sz w:val="24"/>
          <w:szCs w:val="24"/>
        </w:rPr>
      </w:pPr>
      <w:bookmarkStart w:id="20" w:name="_Toc28359084"/>
      <w:bookmarkStart w:id="21" w:name="_Toc35393625"/>
      <w:bookmarkStart w:id="22" w:name="_Toc35393794"/>
      <w:bookmarkStart w:id="23" w:name="_Toc28359007"/>
      <w:r>
        <w:rPr>
          <w:rFonts w:hint="eastAsia" w:ascii="宋体" w:hAnsi="宋体" w:eastAsia="宋体" w:cs="宋体"/>
          <w:i w:val="0"/>
          <w:iCs w:val="0"/>
          <w:sz w:val="24"/>
          <w:szCs w:val="24"/>
        </w:rPr>
        <w:t>六、公告期限</w:t>
      </w:r>
      <w:bookmarkEnd w:id="20"/>
      <w:bookmarkEnd w:id="21"/>
      <w:bookmarkEnd w:id="22"/>
      <w:bookmarkEnd w:id="23"/>
    </w:p>
    <w:p w14:paraId="2262A81F">
      <w:pPr>
        <w:pageBreakBefore w:val="0"/>
        <w:wordWrap w:val="0"/>
        <w:topLinePunct w:val="0"/>
        <w:bidi w:val="0"/>
        <w:spacing w:after="0" w:line="360" w:lineRule="auto"/>
        <w:ind w:firstLine="480" w:firstLineChars="200"/>
        <w:textAlignment w:val="auto"/>
        <w:rPr>
          <w:rFonts w:hint="eastAsia" w:ascii="宋体" w:hAnsi="宋体" w:eastAsia="宋体" w:cs="宋体"/>
          <w:i w:val="0"/>
          <w:iCs w:val="0"/>
          <w:kern w:val="0"/>
          <w:sz w:val="24"/>
        </w:rPr>
      </w:pPr>
      <w:r>
        <w:rPr>
          <w:rFonts w:hint="eastAsia" w:ascii="宋体" w:hAnsi="宋体" w:eastAsia="宋体" w:cs="宋体"/>
          <w:i w:val="0"/>
          <w:iCs w:val="0"/>
          <w:kern w:val="0"/>
          <w:sz w:val="24"/>
        </w:rPr>
        <w:t>自本公告发布之日起3个工作日。</w:t>
      </w:r>
    </w:p>
    <w:p w14:paraId="635B215E">
      <w:pPr>
        <w:pStyle w:val="4"/>
        <w:pageBreakBefore w:val="0"/>
        <w:wordWrap w:val="0"/>
        <w:topLinePunct w:val="0"/>
        <w:bidi w:val="0"/>
        <w:spacing w:before="0" w:after="0" w:line="360" w:lineRule="auto"/>
        <w:jc w:val="left"/>
        <w:textAlignment w:val="auto"/>
        <w:rPr>
          <w:rFonts w:hint="eastAsia" w:ascii="宋体" w:hAnsi="宋体" w:eastAsia="宋体" w:cs="宋体"/>
          <w:i w:val="0"/>
          <w:iCs w:val="0"/>
          <w:sz w:val="24"/>
          <w:szCs w:val="24"/>
        </w:rPr>
      </w:pPr>
      <w:bookmarkStart w:id="24" w:name="_Toc35393626"/>
      <w:bookmarkStart w:id="25" w:name="_Toc35393795"/>
      <w:r>
        <w:rPr>
          <w:rFonts w:hint="eastAsia" w:ascii="宋体" w:hAnsi="宋体" w:eastAsia="宋体" w:cs="宋体"/>
          <w:i w:val="0"/>
          <w:iCs w:val="0"/>
          <w:sz w:val="24"/>
          <w:szCs w:val="24"/>
        </w:rPr>
        <w:t>七、其他补充事宜</w:t>
      </w:r>
      <w:bookmarkEnd w:id="24"/>
      <w:bookmarkEnd w:id="25"/>
    </w:p>
    <w:p w14:paraId="21645602">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rPr>
        <w:t>1.本项目需要落实的政府采购政策：《中华人民共和国政府采购法》《中华人民共和国政府采购法实施条例》《政府采购货物和服务招标投标管理办法》（财政部第87号令）《财政部办公厅关于政府采购进口产品管理有关问题的通知》（财办库[2008]248号）《工业和信息化部、国家统计局、国家发展和改革委员会、财政部关于印发中小企业划型标准规定的通知》（工信部联企业[2011]300号）《关于政府采购支持监狱企业发展有关问题的通知》（财库[2014]68号）《财政部民政部中国残疾人联合会关于促进残疾人就业政府采购政策的通知》（财库[2017]141号）《关于印发环境标志产品政府采购品目清单</w:t>
      </w:r>
      <w:r>
        <w:rPr>
          <w:rFonts w:hint="eastAsia" w:ascii="宋体" w:hAnsi="宋体" w:eastAsia="宋体" w:cs="宋体"/>
          <w:i w:val="0"/>
          <w:iCs w:val="0"/>
          <w:sz w:val="24"/>
          <w:highlight w:val="none"/>
        </w:rPr>
        <w:t>的通知》（财库[2019]18号）《财政部发展改革委关于印发节能产品政府采购品目清单的通知》（财库[2019]19号）《政府采购促进中小企业发展管理办法》（财库[2020]46号）</w:t>
      </w:r>
      <w:r>
        <w:rPr>
          <w:rFonts w:hint="eastAsia" w:ascii="宋体" w:hAnsi="宋体" w:cs="宋体"/>
          <w:i w:val="0"/>
          <w:iCs w:val="0"/>
          <w:sz w:val="24"/>
          <w:highlight w:val="none"/>
          <w:lang w:eastAsia="zh-CN"/>
        </w:rPr>
        <w:t>《关于推进政府采购合同线上融资有关工作的通知》（京财采购〔2023〕637号）《国务院办公厅关于在政府采购中实施本国产品标准及相关政策的通知》（国办发〔2025〕34号）财政部关于推动解决政府采购异常低价问题的通知》（财办库〔2026〕2号）及其他相关</w:t>
      </w:r>
      <w:r>
        <w:rPr>
          <w:rFonts w:hint="eastAsia" w:ascii="宋体" w:hAnsi="宋体" w:eastAsia="宋体" w:cs="宋体"/>
          <w:i w:val="0"/>
          <w:iCs w:val="0"/>
          <w:sz w:val="24"/>
          <w:highlight w:val="none"/>
        </w:rPr>
        <w:t>法律法规</w:t>
      </w:r>
      <w:r>
        <w:rPr>
          <w:rFonts w:hint="eastAsia" w:ascii="宋体" w:hAnsi="宋体" w:eastAsia="宋体" w:cs="宋体"/>
          <w:i w:val="0"/>
          <w:iCs w:val="0"/>
          <w:sz w:val="24"/>
          <w:highlight w:val="none"/>
          <w:lang w:bidi="ar"/>
        </w:rPr>
        <w:t>。</w:t>
      </w:r>
      <w:r>
        <w:rPr>
          <w:rFonts w:hint="eastAsia" w:ascii="宋体" w:hAnsi="宋体" w:eastAsia="宋体" w:cs="宋体"/>
          <w:i w:val="0"/>
          <w:iCs w:val="0"/>
          <w:sz w:val="24"/>
          <w:highlight w:val="none"/>
        </w:rPr>
        <w:t xml:space="preserve"> </w:t>
      </w:r>
    </w:p>
    <w:p w14:paraId="0661DFD1">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lang w:eastAsia="zh-CN"/>
        </w:rPr>
      </w:pPr>
      <w:r>
        <w:rPr>
          <w:rFonts w:hint="eastAsia" w:ascii="宋体" w:hAnsi="宋体" w:cs="宋体"/>
          <w:i w:val="0"/>
          <w:iCs w:val="0"/>
          <w:sz w:val="24"/>
          <w:highlight w:val="none"/>
          <w:lang w:val="en-US" w:eastAsia="zh-CN" w:bidi="ar"/>
        </w:rPr>
        <w:t>2</w:t>
      </w:r>
      <w:r>
        <w:rPr>
          <w:rFonts w:hint="eastAsia" w:ascii="宋体" w:hAnsi="宋体" w:eastAsia="宋体" w:cs="宋体"/>
          <w:i w:val="0"/>
          <w:iCs w:val="0"/>
          <w:sz w:val="24"/>
          <w:highlight w:val="none"/>
          <w:lang w:bidi="ar"/>
        </w:rPr>
        <w:t>.本项目招标公告在《中国政府采购网》《北京市政府采购网》发布</w:t>
      </w:r>
      <w:r>
        <w:rPr>
          <w:rFonts w:hint="eastAsia" w:ascii="宋体" w:hAnsi="宋体" w:eastAsia="宋体" w:cs="宋体"/>
          <w:i w:val="0"/>
          <w:iCs w:val="0"/>
          <w:sz w:val="24"/>
          <w:highlight w:val="none"/>
          <w:lang w:eastAsia="zh-TW"/>
        </w:rPr>
        <w:t>。</w:t>
      </w:r>
    </w:p>
    <w:p w14:paraId="63967270">
      <w:pPr>
        <w:widowControl/>
        <w:adjustRightInd w:val="0"/>
        <w:snapToGrid w:val="0"/>
        <w:spacing w:after="0" w:line="360" w:lineRule="auto"/>
        <w:ind w:firstLine="480" w:firstLineChars="200"/>
        <w:jc w:val="left"/>
        <w:rPr>
          <w:rFonts w:eastAsia="宋体"/>
          <w:bCs/>
          <w:sz w:val="24"/>
          <w:highlight w:val="none"/>
          <w:lang w:bidi="ar"/>
        </w:rPr>
      </w:pPr>
      <w:r>
        <w:rPr>
          <w:rFonts w:eastAsia="宋体"/>
          <w:sz w:val="24"/>
          <w:highlight w:val="none"/>
          <w:lang w:bidi="ar"/>
        </w:rPr>
        <w:t>3.本项目采用全流程电子化采购方式，请供应商认真学习北京市政府采购电子交易平台发布的相关操作手册</w:t>
      </w:r>
      <w:r>
        <w:rPr>
          <w:sz w:val="24"/>
          <w:highlight w:val="none"/>
          <w:lang w:bidi="ar"/>
        </w:rPr>
        <w:t>（供应商可在交易平台下载相关手册）</w:t>
      </w:r>
      <w:r>
        <w:rPr>
          <w:rFonts w:eastAsia="宋体"/>
          <w:sz w:val="24"/>
          <w:highlight w:val="none"/>
          <w:lang w:bidi="ar"/>
        </w:rPr>
        <w:t>，办理CA数字证书</w:t>
      </w:r>
      <w:r>
        <w:rPr>
          <w:sz w:val="24"/>
          <w:highlight w:val="none"/>
          <w:lang w:bidi="ar"/>
        </w:rPr>
        <w:t>或电子营业执照</w:t>
      </w:r>
      <w:r>
        <w:rPr>
          <w:rFonts w:eastAsia="宋体"/>
          <w:sz w:val="24"/>
          <w:highlight w:val="none"/>
          <w:lang w:bidi="ar"/>
        </w:rPr>
        <w:t>、进行北京市政府采购电子交易平台注册绑定，并认真核实</w:t>
      </w:r>
      <w:r>
        <w:rPr>
          <w:rFonts w:eastAsia="宋体"/>
          <w:bCs/>
          <w:sz w:val="24"/>
          <w:highlight w:val="none"/>
          <w:lang w:bidi="ar"/>
        </w:rPr>
        <w:t>CA数字证书</w:t>
      </w:r>
      <w:r>
        <w:rPr>
          <w:sz w:val="24"/>
          <w:highlight w:val="none"/>
          <w:lang w:bidi="ar"/>
        </w:rPr>
        <w:t>或电子营业执照</w:t>
      </w:r>
      <w:r>
        <w:rPr>
          <w:rFonts w:eastAsia="宋体"/>
          <w:bCs/>
          <w:sz w:val="24"/>
          <w:highlight w:val="none"/>
          <w:lang w:bidi="ar"/>
        </w:rPr>
        <w:t>情况确认是否符合本项目电子化采购流程要求。</w:t>
      </w:r>
    </w:p>
    <w:p w14:paraId="2E733E64">
      <w:pPr>
        <w:adjustRightInd w:val="0"/>
        <w:snapToGrid w:val="0"/>
        <w:spacing w:after="0" w:line="360" w:lineRule="auto"/>
        <w:ind w:firstLine="480" w:firstLineChars="200"/>
        <w:rPr>
          <w:rFonts w:eastAsia="宋体"/>
          <w:sz w:val="24"/>
          <w:highlight w:val="none"/>
        </w:rPr>
      </w:pPr>
      <w:r>
        <w:rPr>
          <w:rFonts w:eastAsia="宋体"/>
          <w:sz w:val="24"/>
          <w:highlight w:val="none"/>
          <w:lang w:bidi="ar"/>
        </w:rPr>
        <w:t>CA数字证书服务热线 010-58511086</w:t>
      </w:r>
    </w:p>
    <w:p w14:paraId="2F345F4C">
      <w:pPr>
        <w:adjustRightInd w:val="0"/>
        <w:snapToGrid w:val="0"/>
        <w:spacing w:after="0" w:line="360" w:lineRule="auto"/>
        <w:ind w:firstLine="480" w:firstLineChars="200"/>
        <w:rPr>
          <w:sz w:val="24"/>
          <w:highlight w:val="none"/>
        </w:rPr>
      </w:pPr>
      <w:r>
        <w:rPr>
          <w:sz w:val="24"/>
          <w:highlight w:val="none"/>
          <w:lang w:bidi="ar"/>
        </w:rPr>
        <w:t>电子营业执照服务热线 400-699-7000</w:t>
      </w:r>
    </w:p>
    <w:p w14:paraId="1D4C79A0">
      <w:pPr>
        <w:adjustRightInd w:val="0"/>
        <w:snapToGrid w:val="0"/>
        <w:spacing w:after="0" w:line="360" w:lineRule="auto"/>
        <w:ind w:firstLine="480" w:firstLineChars="200"/>
        <w:rPr>
          <w:rFonts w:eastAsia="宋体"/>
          <w:sz w:val="24"/>
          <w:highlight w:val="none"/>
        </w:rPr>
      </w:pPr>
      <w:r>
        <w:rPr>
          <w:rFonts w:eastAsia="宋体"/>
          <w:sz w:val="24"/>
          <w:highlight w:val="none"/>
          <w:lang w:bidi="ar"/>
        </w:rPr>
        <w:t xml:space="preserve">技术支持服务热线    010-86483801    </w:t>
      </w:r>
    </w:p>
    <w:p w14:paraId="70E74BD8">
      <w:pPr>
        <w:widowControl/>
        <w:adjustRightInd w:val="0"/>
        <w:snapToGrid w:val="0"/>
        <w:spacing w:after="0" w:line="360" w:lineRule="auto"/>
        <w:ind w:firstLine="480" w:firstLineChars="200"/>
        <w:jc w:val="left"/>
        <w:rPr>
          <w:rFonts w:eastAsia="宋体"/>
          <w:sz w:val="24"/>
          <w:highlight w:val="none"/>
          <w:lang w:bidi="ar"/>
        </w:rPr>
      </w:pPr>
      <w:r>
        <w:rPr>
          <w:rFonts w:eastAsia="宋体"/>
          <w:sz w:val="24"/>
          <w:highlight w:val="none"/>
          <w:lang w:bidi="ar"/>
        </w:rPr>
        <w:t>3.1办理CA数字证书</w:t>
      </w:r>
      <w:r>
        <w:rPr>
          <w:sz w:val="24"/>
          <w:highlight w:val="none"/>
          <w:lang w:bidi="ar"/>
        </w:rPr>
        <w:t>或电子营业执照</w:t>
      </w:r>
    </w:p>
    <w:p w14:paraId="48FE5790">
      <w:pPr>
        <w:widowControl/>
        <w:adjustRightInd w:val="0"/>
        <w:snapToGrid w:val="0"/>
        <w:spacing w:after="0" w:line="360" w:lineRule="auto"/>
        <w:ind w:firstLine="480" w:firstLineChars="200"/>
        <w:jc w:val="left"/>
        <w:rPr>
          <w:rFonts w:eastAsia="宋体"/>
          <w:sz w:val="24"/>
          <w:highlight w:val="none"/>
        </w:rPr>
      </w:pPr>
      <w:r>
        <w:rPr>
          <w:rFonts w:eastAsia="宋体"/>
          <w:sz w:val="24"/>
          <w:highlight w:val="none"/>
          <w:lang w:bidi="ar"/>
        </w:rPr>
        <w:t>供应商登录北京市政府采购电子交易平台查阅 “用户指南”—“操作指南”—“市场主体CA办理操作流程指引”</w:t>
      </w:r>
      <w:r>
        <w:rPr>
          <w:sz w:val="24"/>
          <w:highlight w:val="none"/>
          <w:lang w:bidi="ar"/>
        </w:rPr>
        <w:t xml:space="preserve"> /“电子营业执照使用指南”</w:t>
      </w:r>
      <w:r>
        <w:rPr>
          <w:rFonts w:eastAsia="宋体"/>
          <w:sz w:val="24"/>
          <w:highlight w:val="none"/>
          <w:lang w:bidi="ar"/>
        </w:rPr>
        <w:t>，按照程序要求办理。</w:t>
      </w:r>
    </w:p>
    <w:p w14:paraId="0EDA5D05">
      <w:pPr>
        <w:adjustRightInd w:val="0"/>
        <w:snapToGrid w:val="0"/>
        <w:spacing w:after="0" w:line="360" w:lineRule="auto"/>
        <w:ind w:firstLine="480" w:firstLineChars="200"/>
        <w:rPr>
          <w:rFonts w:eastAsia="宋体"/>
          <w:sz w:val="24"/>
          <w:highlight w:val="none"/>
          <w:lang w:bidi="ar"/>
        </w:rPr>
      </w:pPr>
      <w:r>
        <w:rPr>
          <w:rFonts w:eastAsia="宋体"/>
          <w:sz w:val="24"/>
          <w:highlight w:val="none"/>
          <w:lang w:bidi="ar"/>
        </w:rPr>
        <w:t>3.2注册</w:t>
      </w:r>
    </w:p>
    <w:p w14:paraId="74A1F5B4">
      <w:pPr>
        <w:adjustRightInd w:val="0"/>
        <w:snapToGrid w:val="0"/>
        <w:spacing w:after="0" w:line="360" w:lineRule="auto"/>
        <w:ind w:firstLine="480" w:firstLineChars="200"/>
        <w:rPr>
          <w:rFonts w:eastAsia="宋体"/>
          <w:sz w:val="24"/>
          <w:highlight w:val="none"/>
        </w:rPr>
      </w:pPr>
      <w:r>
        <w:rPr>
          <w:rFonts w:eastAsia="宋体"/>
          <w:sz w:val="24"/>
          <w:highlight w:val="none"/>
          <w:lang w:bidi="ar"/>
        </w:rPr>
        <w:t>供应商登录北京市政府采购电子交易平台“用户指南”—“操作指南”—“市场主体注册入库操作流程指引”进行自助注册绑定。</w:t>
      </w:r>
    </w:p>
    <w:p w14:paraId="25F6557B">
      <w:pPr>
        <w:widowControl/>
        <w:adjustRightInd w:val="0"/>
        <w:snapToGrid w:val="0"/>
        <w:spacing w:after="0" w:line="360" w:lineRule="auto"/>
        <w:ind w:firstLine="480" w:firstLineChars="200"/>
        <w:jc w:val="left"/>
        <w:rPr>
          <w:rFonts w:eastAsia="宋体"/>
          <w:sz w:val="24"/>
          <w:highlight w:val="none"/>
          <w:lang w:bidi="ar"/>
        </w:rPr>
      </w:pPr>
      <w:r>
        <w:rPr>
          <w:rFonts w:eastAsia="宋体"/>
          <w:sz w:val="24"/>
          <w:highlight w:val="none"/>
          <w:lang w:bidi="ar"/>
        </w:rPr>
        <w:t>3.3驱动、客户端下载</w:t>
      </w:r>
    </w:p>
    <w:p w14:paraId="18959288">
      <w:pPr>
        <w:widowControl/>
        <w:adjustRightInd w:val="0"/>
        <w:snapToGrid w:val="0"/>
        <w:spacing w:after="0" w:line="360" w:lineRule="auto"/>
        <w:ind w:firstLine="480" w:firstLineChars="200"/>
        <w:jc w:val="left"/>
        <w:rPr>
          <w:rFonts w:eastAsia="宋体"/>
          <w:sz w:val="24"/>
          <w:highlight w:val="none"/>
        </w:rPr>
      </w:pPr>
      <w:r>
        <w:rPr>
          <w:rFonts w:eastAsia="宋体"/>
          <w:sz w:val="24"/>
          <w:highlight w:val="none"/>
          <w:lang w:bidi="ar"/>
        </w:rPr>
        <w:t>供应商登录北京市政府采购电子交易平台“用户指南”—“工具下载”—“招标采购系统文件驱动安装包”下载相关驱动。</w:t>
      </w:r>
    </w:p>
    <w:p w14:paraId="36D87C58">
      <w:pPr>
        <w:adjustRightInd w:val="0"/>
        <w:snapToGrid w:val="0"/>
        <w:spacing w:after="0" w:line="360" w:lineRule="auto"/>
        <w:ind w:firstLine="480" w:firstLineChars="200"/>
        <w:rPr>
          <w:rFonts w:eastAsia="宋体"/>
          <w:sz w:val="24"/>
          <w:highlight w:val="none"/>
          <w:lang w:bidi="ar"/>
        </w:rPr>
      </w:pPr>
      <w:r>
        <w:rPr>
          <w:rFonts w:eastAsia="宋体"/>
          <w:sz w:val="24"/>
          <w:highlight w:val="none"/>
          <w:lang w:bidi="ar"/>
        </w:rPr>
        <w:t>供应商登录北京市政府采购电子交易平台“用户指南”—“工具下载”—“投标文件编制工具”下载相关客户端。</w:t>
      </w:r>
    </w:p>
    <w:p w14:paraId="5210E04F">
      <w:pPr>
        <w:adjustRightInd w:val="0"/>
        <w:snapToGrid w:val="0"/>
        <w:spacing w:after="0" w:line="360" w:lineRule="auto"/>
        <w:ind w:firstLine="480" w:firstLineChars="200"/>
        <w:rPr>
          <w:rFonts w:eastAsia="宋体"/>
          <w:sz w:val="24"/>
          <w:highlight w:val="none"/>
          <w:lang w:bidi="ar"/>
        </w:rPr>
      </w:pPr>
      <w:r>
        <w:rPr>
          <w:rFonts w:eastAsia="宋体"/>
          <w:sz w:val="24"/>
          <w:highlight w:val="none"/>
          <w:lang w:bidi="ar"/>
        </w:rPr>
        <w:t>3.4 获取电子竞争性磋商文件</w:t>
      </w:r>
    </w:p>
    <w:p w14:paraId="137573FC">
      <w:pPr>
        <w:adjustRightInd w:val="0"/>
        <w:snapToGrid w:val="0"/>
        <w:spacing w:after="0" w:line="360" w:lineRule="auto"/>
        <w:ind w:firstLine="480" w:firstLineChars="200"/>
        <w:rPr>
          <w:rFonts w:eastAsia="宋体"/>
          <w:sz w:val="24"/>
          <w:highlight w:val="none"/>
          <w:lang w:bidi="ar"/>
        </w:rPr>
      </w:pPr>
      <w:r>
        <w:rPr>
          <w:rFonts w:eastAsia="宋体"/>
          <w:sz w:val="24"/>
          <w:highlight w:val="none"/>
          <w:lang w:bidi="ar"/>
        </w:rPr>
        <w:t>供应商使用CA数字证书</w:t>
      </w:r>
      <w:r>
        <w:rPr>
          <w:sz w:val="24"/>
          <w:highlight w:val="none"/>
          <w:lang w:bidi="ar"/>
        </w:rPr>
        <w:t>或电子营业执照</w:t>
      </w:r>
      <w:r>
        <w:rPr>
          <w:rFonts w:eastAsia="宋体"/>
          <w:sz w:val="24"/>
          <w:highlight w:val="none"/>
          <w:lang w:bidi="ar"/>
        </w:rPr>
        <w:t>登录北京市政府采购电子交易平台获取电子竞争性磋商文件。</w:t>
      </w:r>
    </w:p>
    <w:p w14:paraId="5D9A4B40">
      <w:pPr>
        <w:adjustRightInd w:val="0"/>
        <w:snapToGrid w:val="0"/>
        <w:spacing w:after="0" w:line="360" w:lineRule="auto"/>
        <w:ind w:firstLine="480" w:firstLineChars="200"/>
        <w:rPr>
          <w:rFonts w:eastAsia="宋体"/>
          <w:sz w:val="24"/>
          <w:highlight w:val="none"/>
          <w:lang w:bidi="ar"/>
        </w:rPr>
      </w:pPr>
      <w:r>
        <w:rPr>
          <w:sz w:val="24"/>
          <w:highlight w:val="none"/>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14:paraId="21467263">
      <w:pPr>
        <w:adjustRightInd w:val="0"/>
        <w:snapToGrid w:val="0"/>
        <w:spacing w:after="0" w:line="360" w:lineRule="auto"/>
        <w:ind w:firstLine="480" w:firstLineChars="200"/>
        <w:rPr>
          <w:rFonts w:eastAsia="宋体"/>
          <w:sz w:val="24"/>
          <w:highlight w:val="none"/>
          <w:lang w:bidi="ar"/>
        </w:rPr>
      </w:pPr>
      <w:r>
        <w:rPr>
          <w:rFonts w:eastAsia="宋体"/>
          <w:sz w:val="24"/>
          <w:highlight w:val="none"/>
          <w:lang w:bidi="ar"/>
        </w:rPr>
        <w:t>3.5编制电子响应文件</w:t>
      </w:r>
    </w:p>
    <w:p w14:paraId="70A32344">
      <w:pPr>
        <w:adjustRightInd w:val="0"/>
        <w:snapToGrid w:val="0"/>
        <w:spacing w:after="0" w:line="360" w:lineRule="auto"/>
        <w:ind w:firstLine="480" w:firstLineChars="200"/>
        <w:rPr>
          <w:rFonts w:eastAsia="宋体"/>
          <w:sz w:val="24"/>
          <w:highlight w:val="none"/>
          <w:lang w:bidi="ar"/>
        </w:rPr>
      </w:pPr>
      <w:r>
        <w:rPr>
          <w:rFonts w:eastAsia="宋体"/>
          <w:sz w:val="24"/>
          <w:highlight w:val="none"/>
          <w:lang w:bidi="ar"/>
        </w:rPr>
        <w:t>供应商应使用电子投标客户端编制电子响应文件并进行线上响应，供应商电子响应文件需要加密并加盖电子签章</w:t>
      </w:r>
      <w:r>
        <w:rPr>
          <w:rFonts w:eastAsia="宋体"/>
          <w:bCs/>
          <w:sz w:val="24"/>
          <w:highlight w:val="none"/>
          <w:lang w:bidi="ar"/>
        </w:rPr>
        <w:t>，如无法按照要求在电子响应文件中加盖电子签章和加密，请及时通过技术支持服务热线联系技术人员</w:t>
      </w:r>
      <w:r>
        <w:rPr>
          <w:rFonts w:eastAsia="宋体"/>
          <w:sz w:val="24"/>
          <w:highlight w:val="none"/>
          <w:lang w:bidi="ar"/>
        </w:rPr>
        <w:t>。</w:t>
      </w:r>
    </w:p>
    <w:p w14:paraId="7AA6395D">
      <w:pPr>
        <w:widowControl/>
        <w:spacing w:after="0" w:line="360" w:lineRule="auto"/>
        <w:ind w:firstLine="480" w:firstLineChars="200"/>
        <w:jc w:val="left"/>
        <w:rPr>
          <w:rFonts w:eastAsia="宋体"/>
          <w:sz w:val="24"/>
          <w:highlight w:val="none"/>
          <w:lang w:val="zh-TW" w:bidi="ar"/>
        </w:rPr>
      </w:pPr>
      <w:r>
        <w:rPr>
          <w:rFonts w:eastAsia="宋体"/>
          <w:sz w:val="24"/>
          <w:highlight w:val="none"/>
          <w:lang w:val="zh-TW" w:eastAsia="zh-TW" w:bidi="ar"/>
        </w:rPr>
        <w:t>3.6</w:t>
      </w:r>
      <w:r>
        <w:rPr>
          <w:rFonts w:eastAsia="宋体"/>
          <w:sz w:val="24"/>
          <w:highlight w:val="none"/>
          <w:lang w:val="zh-TW" w:bidi="ar"/>
        </w:rPr>
        <w:t>提交电子响应文件</w:t>
      </w:r>
    </w:p>
    <w:p w14:paraId="4A040A97">
      <w:pPr>
        <w:widowControl/>
        <w:spacing w:after="0" w:line="360" w:lineRule="auto"/>
        <w:ind w:firstLine="480" w:firstLineChars="200"/>
        <w:jc w:val="left"/>
        <w:rPr>
          <w:rFonts w:eastAsia="宋体"/>
          <w:sz w:val="24"/>
          <w:highlight w:val="none"/>
          <w:lang w:bidi="ar"/>
        </w:rPr>
      </w:pPr>
      <w:r>
        <w:rPr>
          <w:rFonts w:eastAsia="宋体"/>
          <w:sz w:val="24"/>
          <w:highlight w:val="none"/>
          <w:lang w:bidi="ar"/>
        </w:rPr>
        <w:t>供应商应于</w:t>
      </w:r>
      <w:r>
        <w:rPr>
          <w:rFonts w:eastAsia="宋体"/>
          <w:sz w:val="24"/>
          <w:highlight w:val="none"/>
        </w:rPr>
        <w:t>响应文件提交</w:t>
      </w:r>
      <w:r>
        <w:rPr>
          <w:rFonts w:eastAsia="宋体"/>
          <w:sz w:val="24"/>
          <w:highlight w:val="none"/>
          <w:lang w:bidi="ar"/>
        </w:rPr>
        <w:t>截止时间前在</w:t>
      </w:r>
      <w:r>
        <w:rPr>
          <w:sz w:val="24"/>
          <w:highlight w:val="none"/>
          <w:lang w:bidi="ar"/>
        </w:rPr>
        <w:t>北京市政府采购电子交易平台</w:t>
      </w:r>
      <w:r>
        <w:rPr>
          <w:rFonts w:eastAsia="宋体"/>
          <w:sz w:val="24"/>
          <w:highlight w:val="none"/>
          <w:lang w:bidi="ar"/>
        </w:rPr>
        <w:t>提交电子响应文件，上传电子响应文件过程中请保持与互联网的连接畅通。</w:t>
      </w:r>
    </w:p>
    <w:p w14:paraId="00921A72">
      <w:pPr>
        <w:spacing w:after="0" w:line="360" w:lineRule="auto"/>
        <w:ind w:firstLine="480" w:firstLineChars="200"/>
        <w:rPr>
          <w:rFonts w:eastAsia="宋体"/>
          <w:sz w:val="24"/>
          <w:highlight w:val="none"/>
          <w:lang w:eastAsia="zh-TW"/>
        </w:rPr>
      </w:pPr>
      <w:r>
        <w:rPr>
          <w:rFonts w:eastAsia="宋体"/>
          <w:sz w:val="24"/>
          <w:highlight w:val="none"/>
          <w:lang w:val="zh-TW" w:bidi="ar"/>
        </w:rPr>
        <w:t>3.</w:t>
      </w:r>
      <w:r>
        <w:rPr>
          <w:rFonts w:eastAsia="宋体"/>
          <w:sz w:val="24"/>
          <w:highlight w:val="none"/>
          <w:lang w:val="zh-TW" w:eastAsia="zh-TW" w:bidi="ar"/>
        </w:rPr>
        <w:t>7</w:t>
      </w:r>
      <w:r>
        <w:rPr>
          <w:rFonts w:eastAsia="宋体"/>
          <w:sz w:val="24"/>
          <w:highlight w:val="none"/>
          <w:lang w:val="zh-TW" w:bidi="ar"/>
        </w:rPr>
        <w:t>开启响应文件</w:t>
      </w:r>
    </w:p>
    <w:p w14:paraId="05CAC849">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lang w:bidi="ar"/>
        </w:rPr>
      </w:pPr>
      <w:r>
        <w:rPr>
          <w:rFonts w:eastAsia="宋体"/>
          <w:sz w:val="24"/>
          <w:highlight w:val="none"/>
        </w:rPr>
        <w:t>供应商于</w:t>
      </w:r>
      <w:r>
        <w:rPr>
          <w:rFonts w:eastAsia="宋体"/>
          <w:sz w:val="24"/>
          <w:highlight w:val="none"/>
          <w:lang w:val="zh-TW" w:bidi="ar"/>
        </w:rPr>
        <w:t>磋商文件规定的开启时间、在开启地点使用</w:t>
      </w:r>
      <w:r>
        <w:rPr>
          <w:rFonts w:eastAsia="宋体"/>
          <w:sz w:val="24"/>
          <w:highlight w:val="none"/>
          <w:lang w:bidi="ar"/>
        </w:rPr>
        <w:t>CA数字证书</w:t>
      </w:r>
      <w:r>
        <w:rPr>
          <w:sz w:val="24"/>
          <w:highlight w:val="none"/>
          <w:lang w:bidi="ar"/>
        </w:rPr>
        <w:t>或电子营业执照</w:t>
      </w:r>
      <w:r>
        <w:rPr>
          <w:rFonts w:eastAsia="宋体"/>
          <w:sz w:val="24"/>
          <w:highlight w:val="none"/>
          <w:lang w:val="zh-TW" w:bidi="ar"/>
        </w:rPr>
        <w:t>登录</w:t>
      </w:r>
      <w:r>
        <w:rPr>
          <w:rFonts w:eastAsia="宋体"/>
          <w:sz w:val="24"/>
          <w:highlight w:val="none"/>
          <w:lang w:bidi="ar"/>
        </w:rPr>
        <w:t>北京市政府采购电子交易平台解密并开启响应文件。如因供应商问题，解密不成功，则</w:t>
      </w:r>
      <w:r>
        <w:rPr>
          <w:rFonts w:eastAsia="宋体"/>
          <w:b/>
          <w:sz w:val="24"/>
          <w:highlight w:val="none"/>
          <w:lang w:bidi="ar"/>
        </w:rPr>
        <w:t>响应无效</w:t>
      </w:r>
      <w:r>
        <w:rPr>
          <w:rFonts w:hint="eastAsia" w:ascii="宋体" w:hAnsi="宋体" w:eastAsia="宋体" w:cs="宋体"/>
          <w:i w:val="0"/>
          <w:iCs w:val="0"/>
          <w:sz w:val="24"/>
          <w:highlight w:val="none"/>
          <w:lang w:bidi="ar"/>
        </w:rPr>
        <w:t>。</w:t>
      </w:r>
    </w:p>
    <w:p w14:paraId="0DACF568">
      <w:pPr>
        <w:pStyle w:val="4"/>
        <w:pageBreakBefore w:val="0"/>
        <w:wordWrap w:val="0"/>
        <w:topLinePunct w:val="0"/>
        <w:bidi w:val="0"/>
        <w:spacing w:before="0" w:after="0" w:line="360" w:lineRule="auto"/>
        <w:jc w:val="left"/>
        <w:textAlignment w:val="auto"/>
        <w:rPr>
          <w:rFonts w:hint="eastAsia" w:ascii="宋体" w:hAnsi="宋体" w:eastAsia="宋体" w:cs="宋体"/>
          <w:i w:val="0"/>
          <w:iCs w:val="0"/>
          <w:sz w:val="24"/>
          <w:szCs w:val="24"/>
          <w:highlight w:val="none"/>
        </w:rPr>
      </w:pPr>
      <w:bookmarkStart w:id="26" w:name="_Toc28359008"/>
      <w:bookmarkStart w:id="27" w:name="_Toc35393796"/>
      <w:bookmarkStart w:id="28" w:name="_Toc28359085"/>
      <w:bookmarkStart w:id="29" w:name="_Toc35393627"/>
      <w:r>
        <w:rPr>
          <w:rFonts w:hint="eastAsia" w:ascii="宋体" w:hAnsi="宋体" w:eastAsia="宋体" w:cs="宋体"/>
          <w:i w:val="0"/>
          <w:iCs w:val="0"/>
          <w:sz w:val="24"/>
          <w:szCs w:val="24"/>
          <w:highlight w:val="none"/>
        </w:rPr>
        <w:t>八、对本项目提出询问，请按以下方式联系。</w:t>
      </w:r>
      <w:bookmarkEnd w:id="26"/>
      <w:bookmarkEnd w:id="27"/>
      <w:bookmarkEnd w:id="28"/>
      <w:bookmarkEnd w:id="29"/>
    </w:p>
    <w:p w14:paraId="7E221E9F">
      <w:pPr>
        <w:pageBreakBefore w:val="0"/>
        <w:widowControl/>
        <w:wordWrap w:val="0"/>
        <w:topLinePunct w:val="0"/>
        <w:bidi w:val="0"/>
        <w:spacing w:after="0" w:line="360" w:lineRule="auto"/>
        <w:jc w:val="left"/>
        <w:textAlignment w:val="auto"/>
        <w:rPr>
          <w:rFonts w:hint="eastAsia" w:ascii="宋体" w:hAnsi="宋体" w:eastAsia="宋体" w:cs="宋体"/>
          <w:b/>
          <w:i w:val="0"/>
          <w:iCs w:val="0"/>
          <w:sz w:val="24"/>
          <w:highlight w:val="none"/>
        </w:rPr>
      </w:pPr>
      <w:r>
        <w:rPr>
          <w:rFonts w:hint="eastAsia" w:ascii="宋体" w:hAnsi="宋体" w:eastAsia="宋体" w:cs="宋体"/>
          <w:i w:val="0"/>
          <w:iCs w:val="0"/>
          <w:sz w:val="24"/>
          <w:highlight w:val="none"/>
        </w:rPr>
        <w:t>　　　</w:t>
      </w:r>
      <w:r>
        <w:rPr>
          <w:rFonts w:hint="eastAsia" w:ascii="宋体" w:hAnsi="宋体" w:eastAsia="宋体" w:cs="宋体"/>
          <w:b/>
          <w:i w:val="0"/>
          <w:iCs w:val="0"/>
          <w:sz w:val="24"/>
          <w:highlight w:val="none"/>
        </w:rPr>
        <w:t>1.采购人信息</w:t>
      </w:r>
    </w:p>
    <w:p w14:paraId="50FB7A27">
      <w:pPr>
        <w:pageBreakBefore w:val="0"/>
        <w:wordWrap w:val="0"/>
        <w:topLinePunct w:val="0"/>
        <w:bidi w:val="0"/>
        <w:spacing w:after="0" w:line="360" w:lineRule="auto"/>
        <w:ind w:left="1079" w:leftChars="371" w:hanging="300" w:hangingChars="125"/>
        <w:jc w:val="left"/>
        <w:textAlignment w:val="auto"/>
        <w:rPr>
          <w:rFonts w:hint="eastAsia" w:ascii="宋体" w:hAnsi="宋体" w:eastAsia="宋体" w:cs="宋体"/>
          <w:i w:val="0"/>
          <w:iCs w:val="0"/>
          <w:sz w:val="24"/>
          <w:highlight w:val="none"/>
          <w:lang w:eastAsia="zh-CN"/>
        </w:rPr>
      </w:pPr>
      <w:bookmarkStart w:id="30" w:name="_Toc28359009"/>
      <w:bookmarkStart w:id="31" w:name="_Toc28359086"/>
      <w:r>
        <w:rPr>
          <w:rFonts w:hint="eastAsia" w:ascii="宋体" w:hAnsi="宋体" w:eastAsia="宋体" w:cs="宋体"/>
          <w:i w:val="0"/>
          <w:iCs w:val="0"/>
          <w:sz w:val="24"/>
          <w:highlight w:val="none"/>
        </w:rPr>
        <w:t>名    称：</w:t>
      </w:r>
      <w:r>
        <w:rPr>
          <w:rFonts w:hint="eastAsia" w:ascii="宋体" w:hAnsi="宋体" w:cs="宋体"/>
          <w:i w:val="0"/>
          <w:iCs w:val="0"/>
          <w:sz w:val="24"/>
          <w:highlight w:val="none"/>
          <w:lang w:eastAsia="zh-CN"/>
        </w:rPr>
        <w:t>北京市丰台区节约用水办公室</w:t>
      </w:r>
    </w:p>
    <w:p w14:paraId="7180F816">
      <w:pPr>
        <w:pageBreakBefore w:val="0"/>
        <w:wordWrap w:val="0"/>
        <w:topLinePunct w:val="0"/>
        <w:bidi w:val="0"/>
        <w:spacing w:after="0" w:line="360" w:lineRule="auto"/>
        <w:ind w:left="1079" w:leftChars="371" w:hanging="300" w:hangingChars="125"/>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地    址：北京市丰台区丰台镇西四环南路64号</w:t>
      </w:r>
    </w:p>
    <w:p w14:paraId="6C58F8DA">
      <w:pPr>
        <w:pageBreakBefore w:val="0"/>
        <w:wordWrap w:val="0"/>
        <w:topLinePunct w:val="0"/>
        <w:bidi w:val="0"/>
        <w:spacing w:after="0" w:line="360" w:lineRule="auto"/>
        <w:ind w:left="1079" w:leftChars="371" w:hanging="300" w:hangingChars="125"/>
        <w:jc w:val="left"/>
        <w:textAlignment w:val="auto"/>
        <w:rPr>
          <w:rFonts w:hint="eastAsia" w:ascii="宋体" w:hAnsi="宋体" w:eastAsia="宋体" w:cs="宋体"/>
          <w:i w:val="0"/>
          <w:iCs w:val="0"/>
          <w:sz w:val="24"/>
          <w:highlight w:val="none"/>
          <w:u w:val="single"/>
        </w:rPr>
      </w:pPr>
      <w:r>
        <w:rPr>
          <w:rFonts w:hint="eastAsia" w:ascii="宋体" w:hAnsi="宋体" w:eastAsia="宋体" w:cs="宋体"/>
          <w:i w:val="0"/>
          <w:iCs w:val="0"/>
          <w:sz w:val="24"/>
          <w:highlight w:val="none"/>
        </w:rPr>
        <w:t>联系方式：郝</w:t>
      </w:r>
      <w:r>
        <w:rPr>
          <w:rFonts w:hint="eastAsia" w:ascii="宋体" w:hAnsi="宋体" w:cs="宋体"/>
          <w:i w:val="0"/>
          <w:iCs w:val="0"/>
          <w:sz w:val="24"/>
          <w:highlight w:val="none"/>
          <w:lang w:val="en-US" w:eastAsia="zh-CN"/>
        </w:rPr>
        <w:t>老师</w:t>
      </w:r>
      <w:r>
        <w:rPr>
          <w:rFonts w:hint="eastAsia" w:ascii="宋体" w:hAnsi="宋体" w:eastAsia="宋体" w:cs="宋体"/>
          <w:i w:val="0"/>
          <w:iCs w:val="0"/>
          <w:sz w:val="24"/>
          <w:highlight w:val="none"/>
        </w:rPr>
        <w:t>,010-63894761</w:t>
      </w:r>
    </w:p>
    <w:bookmarkEnd w:id="30"/>
    <w:bookmarkEnd w:id="31"/>
    <w:p w14:paraId="60A5EABB">
      <w:pPr>
        <w:pageBreakBefore w:val="0"/>
        <w:wordWrap w:val="0"/>
        <w:topLinePunct w:val="0"/>
        <w:bidi w:val="0"/>
        <w:spacing w:after="0" w:line="360" w:lineRule="auto"/>
        <w:ind w:left="1080" w:leftChars="371" w:hanging="301" w:hangingChars="125"/>
        <w:jc w:val="left"/>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2.采购代理机构信息</w:t>
      </w:r>
    </w:p>
    <w:p w14:paraId="34B47BDF">
      <w:pPr>
        <w:pageBreakBefore w:val="0"/>
        <w:wordWrap w:val="0"/>
        <w:topLinePunct w:val="0"/>
        <w:bidi w:val="0"/>
        <w:spacing w:after="0" w:line="360" w:lineRule="auto"/>
        <w:ind w:left="1079" w:leftChars="371" w:hanging="300" w:hangingChars="125"/>
        <w:jc w:val="left"/>
        <w:textAlignment w:val="auto"/>
        <w:rPr>
          <w:rFonts w:hint="eastAsia" w:ascii="宋体" w:hAnsi="宋体" w:eastAsia="宋体" w:cs="宋体"/>
          <w:i w:val="0"/>
          <w:iCs w:val="0"/>
          <w:sz w:val="24"/>
        </w:rPr>
      </w:pPr>
      <w:bookmarkStart w:id="32" w:name="_Toc28359087"/>
      <w:bookmarkStart w:id="33" w:name="_Toc28359010"/>
      <w:r>
        <w:rPr>
          <w:rFonts w:hint="eastAsia" w:ascii="宋体" w:hAnsi="宋体" w:eastAsia="宋体" w:cs="宋体"/>
          <w:i w:val="0"/>
          <w:iCs w:val="0"/>
          <w:sz w:val="24"/>
          <w:highlight w:val="none"/>
        </w:rPr>
        <w:t>名    称：北京德音工程咨询</w:t>
      </w:r>
      <w:r>
        <w:rPr>
          <w:rFonts w:hint="eastAsia" w:ascii="宋体" w:hAnsi="宋体" w:eastAsia="宋体" w:cs="宋体"/>
          <w:i w:val="0"/>
          <w:iCs w:val="0"/>
          <w:sz w:val="24"/>
        </w:rPr>
        <w:t>有限公司</w:t>
      </w:r>
    </w:p>
    <w:p w14:paraId="57789E0C">
      <w:pPr>
        <w:pageBreakBefore w:val="0"/>
        <w:wordWrap w:val="0"/>
        <w:topLinePunct w:val="0"/>
        <w:bidi w:val="0"/>
        <w:spacing w:after="0" w:line="360" w:lineRule="auto"/>
        <w:ind w:left="1079" w:leftChars="371" w:hanging="300" w:hangingChars="125"/>
        <w:jc w:val="left"/>
        <w:textAlignment w:val="auto"/>
        <w:rPr>
          <w:rFonts w:hint="eastAsia" w:ascii="宋体" w:hAnsi="宋体" w:eastAsia="宋体" w:cs="宋体"/>
          <w:i w:val="0"/>
          <w:iCs w:val="0"/>
          <w:sz w:val="24"/>
        </w:rPr>
      </w:pPr>
      <w:r>
        <w:rPr>
          <w:rFonts w:hint="eastAsia" w:ascii="宋体" w:hAnsi="宋体" w:eastAsia="宋体" w:cs="宋体"/>
          <w:i w:val="0"/>
          <w:iCs w:val="0"/>
          <w:sz w:val="24"/>
        </w:rPr>
        <w:t>地    址：</w:t>
      </w:r>
      <w:r>
        <w:rPr>
          <w:rFonts w:hint="eastAsia" w:ascii="宋体" w:hAnsi="宋体" w:eastAsia="宋体" w:cs="宋体"/>
          <w:i w:val="0"/>
          <w:iCs w:val="0"/>
          <w:kern w:val="0"/>
          <w:sz w:val="24"/>
        </w:rPr>
        <w:t>北京市丰台区科技园工商联大厦B座1401室</w:t>
      </w:r>
    </w:p>
    <w:p w14:paraId="5E6C6D99">
      <w:pPr>
        <w:pageBreakBefore w:val="0"/>
        <w:wordWrap w:val="0"/>
        <w:topLinePunct w:val="0"/>
        <w:bidi w:val="0"/>
        <w:spacing w:after="0" w:line="360" w:lineRule="auto"/>
        <w:ind w:left="1079" w:leftChars="371" w:hanging="300" w:hangingChars="125"/>
        <w:jc w:val="left"/>
        <w:textAlignment w:val="auto"/>
        <w:rPr>
          <w:rFonts w:hint="eastAsia" w:ascii="宋体" w:hAnsi="宋体" w:eastAsia="宋体" w:cs="宋体"/>
          <w:i w:val="0"/>
          <w:iCs w:val="0"/>
          <w:sz w:val="24"/>
          <w:u w:val="single"/>
        </w:rPr>
      </w:pPr>
      <w:r>
        <w:rPr>
          <w:rFonts w:hint="eastAsia" w:ascii="宋体" w:hAnsi="宋体" w:eastAsia="宋体" w:cs="宋体"/>
          <w:i w:val="0"/>
          <w:iCs w:val="0"/>
          <w:sz w:val="24"/>
        </w:rPr>
        <w:t>联系方式：</w:t>
      </w:r>
      <w:r>
        <w:rPr>
          <w:rFonts w:hint="eastAsia" w:ascii="宋体" w:hAnsi="宋体" w:eastAsia="宋体" w:cs="宋体"/>
          <w:i w:val="0"/>
          <w:iCs w:val="0"/>
          <w:kern w:val="0"/>
          <w:sz w:val="24"/>
        </w:rPr>
        <w:t>010-53600601</w:t>
      </w:r>
    </w:p>
    <w:p w14:paraId="125FF661">
      <w:pPr>
        <w:pageBreakBefore w:val="0"/>
        <w:wordWrap w:val="0"/>
        <w:topLinePunct w:val="0"/>
        <w:bidi w:val="0"/>
        <w:spacing w:after="0" w:line="360" w:lineRule="auto"/>
        <w:ind w:firstLine="723" w:firstLineChars="300"/>
        <w:textAlignment w:val="auto"/>
        <w:rPr>
          <w:rFonts w:hint="eastAsia" w:ascii="宋体" w:hAnsi="宋体" w:eastAsia="宋体" w:cs="宋体"/>
          <w:b/>
          <w:i w:val="0"/>
          <w:iCs w:val="0"/>
          <w:sz w:val="24"/>
          <w:u w:val="single"/>
        </w:rPr>
      </w:pPr>
      <w:r>
        <w:rPr>
          <w:rFonts w:hint="eastAsia" w:ascii="宋体" w:hAnsi="宋体" w:eastAsia="宋体" w:cs="宋体"/>
          <w:b/>
          <w:i w:val="0"/>
          <w:iCs w:val="0"/>
          <w:sz w:val="24"/>
        </w:rPr>
        <w:t>3.项目联系方式</w:t>
      </w:r>
      <w:bookmarkEnd w:id="32"/>
      <w:bookmarkEnd w:id="33"/>
    </w:p>
    <w:p w14:paraId="7F1B4745">
      <w:pPr>
        <w:pStyle w:val="23"/>
        <w:pageBreakBefore w:val="0"/>
        <w:wordWrap w:val="0"/>
        <w:topLinePunct w:val="0"/>
        <w:bidi w:val="0"/>
        <w:spacing w:after="0" w:line="360" w:lineRule="auto"/>
        <w:ind w:firstLine="720" w:firstLineChars="300"/>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项目联系人：武冠雄、丁鑫龙</w:t>
      </w:r>
    </w:p>
    <w:p w14:paraId="6E5F66B0">
      <w:pPr>
        <w:pStyle w:val="23"/>
        <w:pageBreakBefore w:val="0"/>
        <w:wordWrap w:val="0"/>
        <w:topLinePunct w:val="0"/>
        <w:bidi w:val="0"/>
        <w:spacing w:after="0" w:line="360" w:lineRule="auto"/>
        <w:ind w:left="1076" w:leftChars="371" w:hanging="297" w:hangingChars="124"/>
        <w:textAlignment w:val="auto"/>
        <w:rPr>
          <w:rFonts w:hint="eastAsia" w:ascii="宋体" w:hAnsi="宋体" w:eastAsia="宋体" w:cs="宋体"/>
          <w:i w:val="0"/>
          <w:iCs w:val="0"/>
          <w:sz w:val="24"/>
          <w:szCs w:val="24"/>
        </w:rPr>
      </w:pPr>
      <w:r>
        <w:rPr>
          <w:rFonts w:hint="eastAsia" w:ascii="宋体" w:hAnsi="宋体" w:eastAsia="宋体" w:cs="宋体"/>
          <w:i w:val="0"/>
          <w:iCs w:val="0"/>
          <w:sz w:val="24"/>
        </w:rPr>
        <w:t>电      话：</w:t>
      </w:r>
      <w:r>
        <w:rPr>
          <w:rFonts w:hint="eastAsia" w:ascii="宋体" w:hAnsi="宋体" w:eastAsia="宋体" w:cs="宋体"/>
          <w:i w:val="0"/>
          <w:iCs w:val="0"/>
          <w:sz w:val="24"/>
          <w:lang w:val="en-US" w:eastAsia="zh-CN"/>
        </w:rPr>
        <w:t>010-</w:t>
      </w:r>
      <w:r>
        <w:rPr>
          <w:rFonts w:hint="eastAsia" w:ascii="宋体" w:hAnsi="宋体" w:eastAsia="宋体" w:cs="宋体"/>
          <w:i w:val="0"/>
          <w:iCs w:val="0"/>
          <w:kern w:val="0"/>
          <w:sz w:val="24"/>
        </w:rPr>
        <w:t>5360060</w:t>
      </w:r>
      <w:r>
        <w:rPr>
          <w:rFonts w:hint="eastAsia" w:ascii="宋体" w:hAnsi="宋体" w:eastAsia="宋体" w:cs="宋体"/>
          <w:i w:val="0"/>
          <w:iCs w:val="0"/>
          <w:kern w:val="0"/>
          <w:sz w:val="24"/>
          <w:szCs w:val="24"/>
        </w:rPr>
        <w:t>1</w:t>
      </w:r>
      <w:r>
        <w:rPr>
          <w:rFonts w:hint="eastAsia" w:ascii="宋体" w:hAnsi="宋体" w:eastAsia="宋体" w:cs="宋体"/>
          <w:i w:val="0"/>
          <w:iCs w:val="0"/>
          <w:sz w:val="24"/>
          <w:szCs w:val="24"/>
        </w:rPr>
        <w:t xml:space="preserve"> </w:t>
      </w:r>
    </w:p>
    <w:p w14:paraId="1DAAF8BF">
      <w:pPr>
        <w:pageBreakBefore w:val="0"/>
        <w:wordWrap w:val="0"/>
        <w:topLinePunct w:val="0"/>
        <w:bidi w:val="0"/>
        <w:spacing w:after="0" w:line="360" w:lineRule="auto"/>
        <w:ind w:firstLine="5880" w:firstLineChars="2450"/>
        <w:jc w:val="right"/>
        <w:textAlignment w:val="auto"/>
        <w:rPr>
          <w:rFonts w:hint="eastAsia" w:ascii="宋体" w:hAnsi="宋体" w:eastAsia="宋体" w:cs="宋体"/>
          <w:i w:val="0"/>
          <w:iCs w:val="0"/>
          <w:sz w:val="24"/>
        </w:rPr>
      </w:pPr>
    </w:p>
    <w:p w14:paraId="5F41672F">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6"/>
          <w:szCs w:val="36"/>
        </w:rPr>
        <w:sectPr>
          <w:footerReference r:id="rId5" w:type="default"/>
          <w:pgSz w:w="11905" w:h="16838"/>
          <w:pgMar w:top="1474" w:right="1474" w:bottom="1474" w:left="1474" w:header="851" w:footer="992" w:gutter="0"/>
          <w:pgNumType w:fmt="decimal" w:start="1"/>
          <w:cols w:space="720" w:num="1"/>
          <w:rtlGutter w:val="0"/>
          <w:docGrid w:linePitch="462" w:charSpace="0"/>
        </w:sectPr>
      </w:pPr>
      <w:bookmarkStart w:id="34" w:name="_Toc305158928"/>
      <w:bookmarkStart w:id="35" w:name="_Toc150774783"/>
      <w:bookmarkStart w:id="36" w:name="_Toc305158854"/>
      <w:bookmarkStart w:id="37" w:name="_Toc265228423"/>
      <w:bookmarkStart w:id="38" w:name="_Toc127151777"/>
      <w:bookmarkStart w:id="39" w:name="_Toc195842950"/>
      <w:bookmarkStart w:id="40" w:name="_Toc353873938"/>
      <w:bookmarkStart w:id="41" w:name="_Toc353825548"/>
      <w:bookmarkStart w:id="42" w:name="_Toc264969275"/>
      <w:bookmarkStart w:id="43" w:name="_Toc127161488"/>
      <w:bookmarkStart w:id="44" w:name="_Toc226965856"/>
      <w:bookmarkStart w:id="45" w:name="_Toc512937850"/>
    </w:p>
    <w:p w14:paraId="5405CF0F">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2"/>
          <w:szCs w:val="32"/>
        </w:rPr>
      </w:pPr>
      <w:bookmarkStart w:id="46" w:name="_Toc27152"/>
      <w:r>
        <w:rPr>
          <w:rFonts w:hint="eastAsia" w:ascii="宋体" w:hAnsi="宋体" w:eastAsia="宋体" w:cs="宋体"/>
          <w:b/>
          <w:i w:val="0"/>
          <w:iCs w:val="0"/>
          <w:sz w:val="36"/>
          <w:szCs w:val="36"/>
        </w:rPr>
        <w:t>第二章   供应商须知</w:t>
      </w:r>
      <w:bookmarkEnd w:id="34"/>
      <w:bookmarkEnd w:id="35"/>
      <w:bookmarkEnd w:id="36"/>
      <w:bookmarkEnd w:id="37"/>
      <w:bookmarkEnd w:id="38"/>
      <w:bookmarkEnd w:id="39"/>
      <w:bookmarkEnd w:id="40"/>
      <w:bookmarkEnd w:id="41"/>
      <w:bookmarkEnd w:id="42"/>
      <w:bookmarkEnd w:id="43"/>
      <w:bookmarkEnd w:id="44"/>
      <w:bookmarkEnd w:id="45"/>
      <w:bookmarkEnd w:id="46"/>
    </w:p>
    <w:p w14:paraId="2B4D14A9">
      <w:pPr>
        <w:pStyle w:val="4"/>
        <w:pageBreakBefore w:val="0"/>
        <w:tabs>
          <w:tab w:val="center" w:pos="4592"/>
          <w:tab w:val="left" w:pos="7860"/>
        </w:tabs>
        <w:wordWrap w:val="0"/>
        <w:topLinePunct w:val="0"/>
        <w:bidi w:val="0"/>
        <w:spacing w:before="0" w:after="0" w:line="360" w:lineRule="auto"/>
        <w:textAlignment w:val="auto"/>
        <w:rPr>
          <w:rFonts w:hint="eastAsia" w:ascii="宋体" w:hAnsi="宋体" w:eastAsia="宋体" w:cs="宋体"/>
          <w:b w:val="0"/>
          <w:i w:val="0"/>
          <w:iCs w:val="0"/>
          <w:sz w:val="28"/>
        </w:rPr>
      </w:pPr>
      <w:bookmarkStart w:id="47" w:name="_Toc150480757"/>
      <w:bookmarkStart w:id="48" w:name="_Toc149720812"/>
      <w:bookmarkStart w:id="49" w:name="_Toc151190146"/>
      <w:bookmarkStart w:id="50" w:name="_Toc164608788"/>
      <w:bookmarkStart w:id="51" w:name="_Toc150774619"/>
      <w:bookmarkStart w:id="52" w:name="_Toc226965792"/>
      <w:bookmarkStart w:id="53" w:name="_Toc150509270"/>
      <w:bookmarkStart w:id="54" w:name="_Toc520356144"/>
      <w:bookmarkStart w:id="55" w:name="_Toc195842884"/>
      <w:bookmarkStart w:id="56" w:name="_Toc151193689"/>
      <w:bookmarkStart w:id="57" w:name="_Toc226965709"/>
      <w:bookmarkStart w:id="58" w:name="_Toc127151720"/>
      <w:bookmarkStart w:id="59" w:name="_Toc226337215"/>
      <w:bookmarkStart w:id="60" w:name="_Toc226309763"/>
      <w:bookmarkStart w:id="61" w:name="_Toc127161433"/>
      <w:bookmarkStart w:id="62" w:name="_Toc127151519"/>
      <w:bookmarkStart w:id="63" w:name="_Toc164229360"/>
      <w:bookmarkStart w:id="64" w:name="_Toc164351613"/>
      <w:bookmarkStart w:id="65" w:name="_Toc151193617"/>
      <w:bookmarkStart w:id="66" w:name="_Toc142311021"/>
      <w:bookmarkStart w:id="67" w:name="_Toc150774724"/>
      <w:bookmarkStart w:id="68" w:name="_Toc164608633"/>
      <w:bookmarkStart w:id="69" w:name="_Toc151193761"/>
      <w:bookmarkStart w:id="70" w:name="_Toc151193907"/>
      <w:bookmarkStart w:id="71" w:name="_Toc151193833"/>
      <w:bookmarkStart w:id="72" w:name="_Toc164229214"/>
      <w:r>
        <w:rPr>
          <w:rFonts w:hint="eastAsia" w:ascii="宋体" w:hAnsi="宋体" w:eastAsia="宋体" w:cs="宋体"/>
          <w:i w:val="0"/>
          <w:iCs w:val="0"/>
          <w:sz w:val="28"/>
        </w:rPr>
        <w:t>供应商须知资料表</w:t>
      </w:r>
    </w:p>
    <w:p w14:paraId="4AEB34F0">
      <w:pPr>
        <w:pageBreakBefore w:val="0"/>
        <w:wordWrap w:val="0"/>
        <w:topLinePunct w:val="0"/>
        <w:bidi w:val="0"/>
        <w:spacing w:after="0" w:line="360" w:lineRule="auto"/>
        <w:ind w:firstLine="480"/>
        <w:textAlignment w:val="auto"/>
        <w:rPr>
          <w:rFonts w:hint="eastAsia" w:ascii="宋体" w:hAnsi="宋体" w:eastAsia="宋体" w:cs="宋体"/>
          <w:i w:val="0"/>
          <w:iCs w:val="0"/>
          <w:sz w:val="24"/>
        </w:rPr>
      </w:pPr>
      <w:r>
        <w:rPr>
          <w:rFonts w:hint="eastAsia" w:ascii="宋体" w:hAnsi="宋体" w:eastAsia="宋体" w:cs="宋体"/>
          <w:i w:val="0"/>
          <w:iCs w:val="0"/>
          <w:sz w:val="24"/>
        </w:rPr>
        <w:t>本表是对供应商须知的具体补充和修改，如有矛盾，均以本资料表为准。标记</w:t>
      </w:r>
      <w:r>
        <w:rPr>
          <w:rFonts w:hint="eastAsia" w:ascii="宋体" w:hAnsi="宋体" w:eastAsia="宋体" w:cs="宋体"/>
          <w:i w:val="0"/>
          <w:iCs w:val="0"/>
          <w:color w:val="000000"/>
          <w:sz w:val="24"/>
        </w:rPr>
        <w:t>“</w:t>
      </w:r>
      <w:r>
        <w:rPr>
          <w:rFonts w:hint="eastAsia" w:ascii="宋体" w:hAnsi="宋体" w:eastAsia="宋体" w:cs="宋体"/>
          <w:b/>
          <w:i w:val="0"/>
          <w:iCs w:val="0"/>
          <w:color w:val="000000"/>
          <w:sz w:val="24"/>
        </w:rPr>
        <w:t>■</w:t>
      </w:r>
      <w:r>
        <w:rPr>
          <w:rFonts w:hint="eastAsia" w:ascii="宋体" w:hAnsi="宋体" w:eastAsia="宋体" w:cs="宋体"/>
          <w:i w:val="0"/>
          <w:iCs w:val="0"/>
          <w:color w:val="000000"/>
          <w:sz w:val="24"/>
        </w:rPr>
        <w:t>”</w:t>
      </w:r>
      <w:r>
        <w:rPr>
          <w:rFonts w:hint="eastAsia" w:ascii="宋体" w:hAnsi="宋体" w:eastAsia="宋体" w:cs="宋体"/>
          <w:i w:val="0"/>
          <w:iCs w:val="0"/>
          <w:sz w:val="24"/>
        </w:rPr>
        <w:t>的选项意为适用于本项目，标记“</w:t>
      </w:r>
      <w:r>
        <w:rPr>
          <w:rFonts w:hint="eastAsia" w:ascii="宋体" w:hAnsi="宋体" w:eastAsia="宋体" w:cs="宋体"/>
          <w:i w:val="0"/>
          <w:iCs w:val="0"/>
          <w:lang w:eastAsia="zh-CN"/>
        </w:rPr>
        <w:t>□</w:t>
      </w:r>
      <w:r>
        <w:rPr>
          <w:rFonts w:hint="eastAsia" w:ascii="宋体" w:hAnsi="宋体" w:eastAsia="宋体" w:cs="宋体"/>
          <w:i w:val="0"/>
          <w:iCs w:val="0"/>
          <w:sz w:val="24"/>
        </w:rPr>
        <w:t>”的选项意为不适用于本项目。</w:t>
      </w:r>
    </w:p>
    <w:tbl>
      <w:tblPr>
        <w:tblStyle w:val="42"/>
        <w:tblW w:w="99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253"/>
      </w:tblGrid>
      <w:tr w14:paraId="728D3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noWrap w:val="0"/>
            <w:vAlign w:val="center"/>
          </w:tcPr>
          <w:p w14:paraId="77094F74">
            <w:pPr>
              <w:pageBreakBefore w:val="0"/>
              <w:wordWrap w:val="0"/>
              <w:topLinePunct w:val="0"/>
              <w:bidi w:val="0"/>
              <w:spacing w:after="0" w:line="360" w:lineRule="auto"/>
              <w:jc w:val="center"/>
              <w:textAlignment w:val="auto"/>
              <w:rPr>
                <w:rFonts w:hint="eastAsia" w:ascii="宋体" w:hAnsi="宋体" w:eastAsia="宋体" w:cs="宋体"/>
                <w:b/>
                <w:bCs/>
                <w:i w:val="0"/>
                <w:iCs w:val="0"/>
                <w:sz w:val="24"/>
              </w:rPr>
            </w:pPr>
            <w:r>
              <w:rPr>
                <w:rFonts w:hint="eastAsia" w:ascii="宋体" w:hAnsi="宋体" w:eastAsia="宋体" w:cs="宋体"/>
                <w:b/>
                <w:i w:val="0"/>
                <w:iCs w:val="0"/>
                <w:sz w:val="24"/>
              </w:rPr>
              <w:t>条款号</w:t>
            </w:r>
          </w:p>
        </w:tc>
        <w:tc>
          <w:tcPr>
            <w:tcW w:w="1701" w:type="dxa"/>
            <w:noWrap w:val="0"/>
            <w:vAlign w:val="center"/>
          </w:tcPr>
          <w:p w14:paraId="35EC066F">
            <w:pPr>
              <w:pageBreakBefore w:val="0"/>
              <w:wordWrap w:val="0"/>
              <w:topLinePunct w:val="0"/>
              <w:bidi w:val="0"/>
              <w:spacing w:after="0" w:line="360" w:lineRule="auto"/>
              <w:jc w:val="center"/>
              <w:textAlignment w:val="auto"/>
              <w:rPr>
                <w:rFonts w:hint="eastAsia" w:ascii="宋体" w:hAnsi="宋体" w:eastAsia="宋体" w:cs="宋体"/>
                <w:b/>
                <w:bCs/>
                <w:i w:val="0"/>
                <w:iCs w:val="0"/>
                <w:sz w:val="24"/>
              </w:rPr>
            </w:pPr>
            <w:r>
              <w:rPr>
                <w:rFonts w:hint="eastAsia" w:ascii="宋体" w:hAnsi="宋体" w:eastAsia="宋体" w:cs="宋体"/>
                <w:b/>
                <w:bCs/>
                <w:i w:val="0"/>
                <w:iCs w:val="0"/>
                <w:sz w:val="24"/>
              </w:rPr>
              <w:t>条目</w:t>
            </w:r>
          </w:p>
        </w:tc>
        <w:tc>
          <w:tcPr>
            <w:tcW w:w="7253" w:type="dxa"/>
            <w:noWrap w:val="0"/>
            <w:vAlign w:val="center"/>
          </w:tcPr>
          <w:p w14:paraId="78956C5C">
            <w:pPr>
              <w:pageBreakBefore w:val="0"/>
              <w:wordWrap w:val="0"/>
              <w:topLinePunct w:val="0"/>
              <w:bidi w:val="0"/>
              <w:spacing w:after="0" w:line="360" w:lineRule="auto"/>
              <w:jc w:val="center"/>
              <w:textAlignment w:val="auto"/>
              <w:rPr>
                <w:rFonts w:hint="eastAsia" w:ascii="宋体" w:hAnsi="宋体" w:eastAsia="宋体" w:cs="宋体"/>
                <w:b/>
                <w:bCs/>
                <w:i w:val="0"/>
                <w:iCs w:val="0"/>
                <w:sz w:val="24"/>
              </w:rPr>
            </w:pPr>
            <w:r>
              <w:rPr>
                <w:rFonts w:hint="eastAsia" w:ascii="宋体" w:hAnsi="宋体" w:eastAsia="宋体" w:cs="宋体"/>
                <w:b/>
                <w:bCs/>
                <w:i w:val="0"/>
                <w:iCs w:val="0"/>
                <w:sz w:val="24"/>
              </w:rPr>
              <w:t>内容</w:t>
            </w:r>
          </w:p>
        </w:tc>
      </w:tr>
      <w:tr w14:paraId="4AB0C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988" w:type="dxa"/>
            <w:noWrap w:val="0"/>
            <w:vAlign w:val="center"/>
          </w:tcPr>
          <w:p w14:paraId="5E02EA84">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2.2</w:t>
            </w:r>
          </w:p>
        </w:tc>
        <w:tc>
          <w:tcPr>
            <w:tcW w:w="1701" w:type="dxa"/>
            <w:noWrap w:val="0"/>
            <w:vAlign w:val="center"/>
          </w:tcPr>
          <w:p w14:paraId="522334FF">
            <w:pPr>
              <w:pageBreakBefore w:val="0"/>
              <w:wordWrap w:val="0"/>
              <w:topLinePunct w:val="0"/>
              <w:bidi w:val="0"/>
              <w:spacing w:after="0" w:line="360" w:lineRule="auto"/>
              <w:jc w:val="center"/>
              <w:textAlignment w:val="auto"/>
              <w:rPr>
                <w:rFonts w:hint="eastAsia" w:ascii="宋体" w:hAnsi="宋体" w:eastAsia="宋体" w:cs="宋体"/>
                <w:i w:val="0"/>
                <w:iCs w:val="0"/>
                <w:sz w:val="24"/>
              </w:rPr>
            </w:pPr>
            <w:r>
              <w:rPr>
                <w:rFonts w:hint="eastAsia" w:ascii="宋体" w:hAnsi="宋体" w:eastAsia="宋体" w:cs="宋体"/>
                <w:i w:val="0"/>
                <w:iCs w:val="0"/>
                <w:sz w:val="24"/>
              </w:rPr>
              <w:t>项目属性</w:t>
            </w:r>
          </w:p>
        </w:tc>
        <w:tc>
          <w:tcPr>
            <w:tcW w:w="7253" w:type="dxa"/>
            <w:noWrap w:val="0"/>
            <w:vAlign w:val="center"/>
          </w:tcPr>
          <w:p w14:paraId="0BA6818F">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u w:val="single"/>
              </w:rPr>
            </w:pPr>
            <w:r>
              <w:rPr>
                <w:rFonts w:hint="eastAsia" w:ascii="宋体" w:hAnsi="宋体" w:eastAsia="宋体" w:cs="宋体"/>
                <w:i w:val="0"/>
                <w:iCs w:val="0"/>
                <w:sz w:val="24"/>
                <w:highlight w:val="none"/>
              </w:rPr>
              <w:t>项目属性：□服务</w:t>
            </w:r>
            <w:r>
              <w:rPr>
                <w:rFonts w:hint="eastAsia" w:ascii="宋体" w:hAnsi="宋体" w:cs="宋体"/>
                <w:i w:val="0"/>
                <w:iCs w:val="0"/>
                <w:sz w:val="24"/>
                <w:highlight w:val="none"/>
                <w:lang w:val="en-US" w:eastAsia="zh-CN"/>
              </w:rPr>
              <w:t xml:space="preserve">      </w:t>
            </w:r>
            <w:r>
              <w:rPr>
                <w:rFonts w:hint="eastAsia" w:ascii="宋体" w:hAnsi="宋体" w:eastAsia="宋体" w:cs="宋体"/>
                <w:i w:val="0"/>
                <w:iCs w:val="0"/>
                <w:sz w:val="24"/>
                <w:highlight w:val="none"/>
              </w:rPr>
              <w:t>□货物</w:t>
            </w:r>
            <w:r>
              <w:rPr>
                <w:rFonts w:hint="eastAsia" w:ascii="宋体" w:hAnsi="宋体" w:cs="宋体"/>
                <w:i w:val="0"/>
                <w:iCs w:val="0"/>
                <w:sz w:val="24"/>
                <w:highlight w:val="none"/>
                <w:lang w:val="en-US" w:eastAsia="zh-CN"/>
              </w:rPr>
              <w:t xml:space="preserve">       </w:t>
            </w:r>
            <w:r>
              <w:rPr>
                <w:rFonts w:hint="eastAsia" w:ascii="宋体" w:hAnsi="宋体" w:eastAsia="宋体" w:cs="宋体"/>
                <w:b/>
                <w:i w:val="0"/>
                <w:iCs w:val="0"/>
                <w:color w:val="000000"/>
                <w:sz w:val="24"/>
                <w:highlight w:val="none"/>
              </w:rPr>
              <w:t>■</w:t>
            </w:r>
            <w:r>
              <w:rPr>
                <w:rFonts w:hint="eastAsia" w:ascii="宋体" w:hAnsi="宋体" w:eastAsia="宋体" w:cs="宋体"/>
                <w:i w:val="0"/>
                <w:iCs w:val="0"/>
                <w:sz w:val="24"/>
                <w:highlight w:val="none"/>
              </w:rPr>
              <w:t>工程</w:t>
            </w:r>
          </w:p>
        </w:tc>
      </w:tr>
      <w:tr w14:paraId="27C20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2212186F">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2.3</w:t>
            </w:r>
          </w:p>
        </w:tc>
        <w:tc>
          <w:tcPr>
            <w:tcW w:w="1701" w:type="dxa"/>
            <w:noWrap w:val="0"/>
            <w:vAlign w:val="center"/>
          </w:tcPr>
          <w:p w14:paraId="4B41062F">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科研仪器设备</w:t>
            </w:r>
          </w:p>
        </w:tc>
        <w:tc>
          <w:tcPr>
            <w:tcW w:w="7253" w:type="dxa"/>
            <w:noWrap w:val="0"/>
            <w:vAlign w:val="center"/>
          </w:tcPr>
          <w:p w14:paraId="27E808F3">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是否属于科研仪器设备采购项目：□是</w:t>
            </w:r>
            <w:r>
              <w:rPr>
                <w:rFonts w:hint="eastAsia" w:ascii="宋体" w:hAnsi="宋体" w:cs="宋体"/>
                <w:i w:val="0"/>
                <w:iCs w:val="0"/>
                <w:sz w:val="24"/>
                <w:highlight w:val="none"/>
                <w:lang w:val="en-US" w:eastAsia="zh-CN"/>
              </w:rPr>
              <w:t xml:space="preserve">    </w:t>
            </w: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否</w:t>
            </w:r>
          </w:p>
        </w:tc>
      </w:tr>
      <w:tr w14:paraId="2D709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noWrap w:val="0"/>
            <w:vAlign w:val="center"/>
          </w:tcPr>
          <w:p w14:paraId="684A5128">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3.1</w:t>
            </w:r>
          </w:p>
        </w:tc>
        <w:tc>
          <w:tcPr>
            <w:tcW w:w="1701" w:type="dxa"/>
            <w:noWrap w:val="0"/>
            <w:vAlign w:val="center"/>
          </w:tcPr>
          <w:p w14:paraId="409DC03D">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现场考察</w:t>
            </w:r>
          </w:p>
        </w:tc>
        <w:tc>
          <w:tcPr>
            <w:tcW w:w="7253" w:type="dxa"/>
            <w:noWrap w:val="0"/>
            <w:vAlign w:val="center"/>
          </w:tcPr>
          <w:p w14:paraId="7100CAA2">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不组织</w:t>
            </w:r>
          </w:p>
          <w:p w14:paraId="2FDA6BCD">
            <w:pPr>
              <w:pageBreakBefore w:val="0"/>
              <w:wordWrap w:val="0"/>
              <w:topLinePunct w:val="0"/>
              <w:bidi w:val="0"/>
              <w:spacing w:after="0" w:line="360" w:lineRule="auto"/>
              <w:jc w:val="left"/>
              <w:textAlignment w:val="auto"/>
              <w:rPr>
                <w:rFonts w:hint="eastAsia" w:ascii="宋体" w:hAnsi="宋体" w:eastAsia="宋体" w:cs="宋体"/>
                <w:bCs/>
                <w:i w:val="0"/>
                <w:iCs w:val="0"/>
                <w:sz w:val="24"/>
                <w:highlight w:val="none"/>
              </w:rPr>
            </w:pPr>
            <w:r>
              <w:rPr>
                <w:rFonts w:hint="eastAsia" w:ascii="宋体" w:hAnsi="宋体" w:eastAsia="宋体" w:cs="宋体"/>
                <w:i w:val="0"/>
                <w:iCs w:val="0"/>
                <w:sz w:val="24"/>
                <w:highlight w:val="none"/>
              </w:rPr>
              <w:t>□组织，考察时间：</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年</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月</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日</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bCs/>
                <w:i w:val="0"/>
                <w:iCs w:val="0"/>
                <w:sz w:val="24"/>
                <w:highlight w:val="none"/>
              </w:rPr>
              <w:t>点</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bCs/>
                <w:i w:val="0"/>
                <w:iCs w:val="0"/>
                <w:sz w:val="24"/>
                <w:highlight w:val="none"/>
              </w:rPr>
              <w:t>分</w:t>
            </w:r>
          </w:p>
          <w:p w14:paraId="63EDB278">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highlight w:val="none"/>
              </w:rPr>
              <w:t>考察地点：</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tc>
      </w:tr>
      <w:tr w14:paraId="513CA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noWrap w:val="0"/>
            <w:vAlign w:val="center"/>
          </w:tcPr>
          <w:p w14:paraId="7E36E19E">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rPr>
            </w:pPr>
          </w:p>
        </w:tc>
        <w:tc>
          <w:tcPr>
            <w:tcW w:w="1701" w:type="dxa"/>
            <w:noWrap w:val="0"/>
            <w:vAlign w:val="center"/>
          </w:tcPr>
          <w:p w14:paraId="34C9F9BC">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磋商前答疑会</w:t>
            </w:r>
          </w:p>
        </w:tc>
        <w:tc>
          <w:tcPr>
            <w:tcW w:w="7253" w:type="dxa"/>
            <w:noWrap w:val="0"/>
            <w:vAlign w:val="center"/>
          </w:tcPr>
          <w:p w14:paraId="24658CCB">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不召开</w:t>
            </w:r>
          </w:p>
          <w:p w14:paraId="5BB95A5A">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□召开，召开时间：</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年</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月</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日</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bCs/>
                <w:i w:val="0"/>
                <w:iCs w:val="0"/>
                <w:sz w:val="24"/>
                <w:highlight w:val="none"/>
              </w:rPr>
              <w:t>点</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bCs/>
                <w:i w:val="0"/>
                <w:iCs w:val="0"/>
                <w:sz w:val="24"/>
                <w:highlight w:val="none"/>
              </w:rPr>
              <w:t>分</w:t>
            </w:r>
          </w:p>
          <w:p w14:paraId="0BAD7FE5">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召开地点：</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tc>
      </w:tr>
      <w:tr w14:paraId="2B4E9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noWrap w:val="0"/>
            <w:vAlign w:val="center"/>
          </w:tcPr>
          <w:p w14:paraId="34A70E91">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4.</w:t>
            </w:r>
            <w:r>
              <w:rPr>
                <w:rFonts w:hint="eastAsia" w:hAnsi="宋体" w:cs="宋体"/>
                <w:i w:val="0"/>
                <w:iCs w:val="0"/>
                <w:sz w:val="24"/>
                <w:szCs w:val="24"/>
                <w:lang w:val="en-US" w:eastAsia="zh-CN"/>
              </w:rPr>
              <w:t>3</w:t>
            </w:r>
            <w:r>
              <w:rPr>
                <w:rFonts w:hint="eastAsia" w:ascii="宋体" w:hAnsi="宋体" w:eastAsia="宋体" w:cs="宋体"/>
                <w:i w:val="0"/>
                <w:iCs w:val="0"/>
                <w:sz w:val="24"/>
                <w:szCs w:val="24"/>
              </w:rPr>
              <w:t>.5</w:t>
            </w:r>
          </w:p>
        </w:tc>
        <w:tc>
          <w:tcPr>
            <w:tcW w:w="1701" w:type="dxa"/>
            <w:noWrap w:val="0"/>
            <w:vAlign w:val="center"/>
          </w:tcPr>
          <w:p w14:paraId="38BE6487">
            <w:pPr>
              <w:pageBreakBefore w:val="0"/>
              <w:wordWrap w:val="0"/>
              <w:topLinePunct w:val="0"/>
              <w:bidi w:val="0"/>
              <w:spacing w:after="0" w:line="360" w:lineRule="auto"/>
              <w:jc w:val="center"/>
              <w:textAlignment w:val="auto"/>
              <w:rPr>
                <w:rFonts w:hint="eastAsia" w:ascii="宋体" w:hAnsi="宋体" w:eastAsia="宋体" w:cs="宋体"/>
                <w:i w:val="0"/>
                <w:iCs w:val="0"/>
                <w:sz w:val="24"/>
              </w:rPr>
            </w:pPr>
            <w:r>
              <w:rPr>
                <w:rFonts w:hint="eastAsia" w:ascii="宋体" w:hAnsi="宋体" w:eastAsia="宋体" w:cs="宋体"/>
                <w:i w:val="0"/>
                <w:iCs w:val="0"/>
                <w:sz w:val="24"/>
              </w:rPr>
              <w:t>标的所属行业</w:t>
            </w:r>
          </w:p>
        </w:tc>
        <w:tc>
          <w:tcPr>
            <w:tcW w:w="7253" w:type="dxa"/>
            <w:noWrap w:val="0"/>
            <w:vAlign w:val="center"/>
          </w:tcPr>
          <w:p w14:paraId="61F152C2">
            <w:pPr>
              <w:pageBreakBefore w:val="0"/>
              <w:wordWrap w:val="0"/>
              <w:topLinePunct w:val="0"/>
              <w:bidi w:val="0"/>
              <w:spacing w:after="0" w:line="360" w:lineRule="auto"/>
              <w:jc w:val="left"/>
              <w:textAlignment w:val="auto"/>
              <w:rPr>
                <w:rFonts w:hint="eastAsia" w:ascii="宋体" w:hAnsi="宋体" w:eastAsia="宋体" w:cs="宋体"/>
                <w:i w:val="0"/>
                <w:iCs w:val="0"/>
                <w:sz w:val="24"/>
              </w:rPr>
            </w:pPr>
            <w:r>
              <w:rPr>
                <w:rFonts w:hint="eastAsia" w:ascii="宋体" w:hAnsi="宋体" w:eastAsia="宋体" w:cs="宋体"/>
                <w:i w:val="0"/>
                <w:iCs w:val="0"/>
                <w:sz w:val="24"/>
              </w:rPr>
              <w:t>本项目采购标的对应的中小企业划分标准所属行业：</w:t>
            </w:r>
          </w:p>
          <w:tbl>
            <w:tblPr>
              <w:tblStyle w:val="42"/>
              <w:tblW w:w="67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2179"/>
              <w:gridCol w:w="3819"/>
            </w:tblGrid>
            <w:tr w14:paraId="11D0B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563" w:type="pct"/>
                  <w:tcBorders>
                    <w:top w:val="single" w:color="auto" w:sz="4" w:space="0"/>
                    <w:left w:val="single" w:color="auto" w:sz="4" w:space="0"/>
                    <w:bottom w:val="single" w:color="auto" w:sz="4" w:space="0"/>
                    <w:right w:val="single" w:color="auto" w:sz="4" w:space="0"/>
                  </w:tcBorders>
                  <w:noWrap w:val="0"/>
                  <w:vAlign w:val="center"/>
                </w:tcPr>
                <w:p w14:paraId="655917FB">
                  <w:pPr>
                    <w:pageBreakBefore w:val="0"/>
                    <w:wordWrap w:val="0"/>
                    <w:topLinePunct w:val="0"/>
                    <w:bidi w:val="0"/>
                    <w:spacing w:line="360" w:lineRule="auto"/>
                    <w:jc w:val="center"/>
                    <w:textAlignment w:val="auto"/>
                    <w:rPr>
                      <w:rFonts w:hint="eastAsia" w:ascii="宋体" w:hAnsi="宋体" w:eastAsia="宋体" w:cs="宋体"/>
                      <w:bCs/>
                      <w:i w:val="0"/>
                      <w:iCs w:val="0"/>
                      <w:sz w:val="24"/>
                      <w:highlight w:val="none"/>
                      <w:lang w:val="en-US" w:eastAsia="zh-CN"/>
                    </w:rPr>
                  </w:pPr>
                  <w:r>
                    <w:rPr>
                      <w:rFonts w:hint="eastAsia" w:ascii="宋体" w:hAnsi="宋体" w:eastAsia="宋体" w:cs="宋体"/>
                      <w:bCs/>
                      <w:i w:val="0"/>
                      <w:iCs w:val="0"/>
                      <w:sz w:val="24"/>
                      <w:highlight w:val="none"/>
                      <w:lang w:val="en-US" w:eastAsia="zh-CN"/>
                    </w:rPr>
                    <w:t>包号</w:t>
                  </w:r>
                </w:p>
              </w:tc>
              <w:tc>
                <w:tcPr>
                  <w:tcW w:w="1611" w:type="pct"/>
                  <w:tcBorders>
                    <w:top w:val="single" w:color="auto" w:sz="4" w:space="0"/>
                    <w:left w:val="single" w:color="auto" w:sz="4" w:space="0"/>
                    <w:bottom w:val="single" w:color="auto" w:sz="4" w:space="0"/>
                    <w:right w:val="single" w:color="auto" w:sz="4" w:space="0"/>
                  </w:tcBorders>
                  <w:noWrap w:val="0"/>
                  <w:vAlign w:val="center"/>
                </w:tcPr>
                <w:p w14:paraId="445BF585">
                  <w:pPr>
                    <w:pageBreakBefore w:val="0"/>
                    <w:wordWrap w:val="0"/>
                    <w:topLinePunct w:val="0"/>
                    <w:bidi w:val="0"/>
                    <w:spacing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bCs/>
                      <w:i w:val="0"/>
                      <w:iCs w:val="0"/>
                      <w:sz w:val="24"/>
                      <w:highlight w:val="none"/>
                    </w:rPr>
                    <w:t>标的名称</w:t>
                  </w:r>
                </w:p>
              </w:tc>
              <w:tc>
                <w:tcPr>
                  <w:tcW w:w="2824" w:type="pct"/>
                  <w:tcBorders>
                    <w:top w:val="single" w:color="auto" w:sz="4" w:space="0"/>
                    <w:left w:val="single" w:color="auto" w:sz="4" w:space="0"/>
                    <w:bottom w:val="single" w:color="auto" w:sz="4" w:space="0"/>
                    <w:right w:val="single" w:color="auto" w:sz="4" w:space="0"/>
                  </w:tcBorders>
                  <w:noWrap w:val="0"/>
                  <w:vAlign w:val="center"/>
                </w:tcPr>
                <w:p w14:paraId="626147E7">
                  <w:pPr>
                    <w:pageBreakBefore w:val="0"/>
                    <w:wordWrap w:val="0"/>
                    <w:topLinePunct w:val="0"/>
                    <w:bidi w:val="0"/>
                    <w:spacing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中小企业划分标准所属行业</w:t>
                  </w:r>
                </w:p>
              </w:tc>
            </w:tr>
            <w:tr w14:paraId="07AA8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563" w:type="pct"/>
                  <w:tcBorders>
                    <w:top w:val="single" w:color="auto" w:sz="4" w:space="0"/>
                    <w:left w:val="single" w:color="auto" w:sz="4" w:space="0"/>
                    <w:bottom w:val="single" w:color="auto" w:sz="4" w:space="0"/>
                    <w:right w:val="single" w:color="auto" w:sz="4" w:space="0"/>
                  </w:tcBorders>
                  <w:noWrap w:val="0"/>
                  <w:vAlign w:val="center"/>
                </w:tcPr>
                <w:p w14:paraId="6522FF65">
                  <w:pPr>
                    <w:pageBreakBefore w:val="0"/>
                    <w:wordWrap w:val="0"/>
                    <w:topLinePunct w:val="0"/>
                    <w:bidi w:val="0"/>
                    <w:spacing w:line="360" w:lineRule="auto"/>
                    <w:jc w:val="center"/>
                    <w:textAlignment w:val="auto"/>
                    <w:rPr>
                      <w:rFonts w:hint="default" w:ascii="宋体" w:hAnsi="宋体" w:eastAsia="宋体" w:cs="宋体"/>
                      <w:bCs/>
                      <w:i w:val="0"/>
                      <w:iCs w:val="0"/>
                      <w:sz w:val="24"/>
                      <w:highlight w:val="none"/>
                      <w:lang w:val="en-US" w:eastAsia="zh-CN"/>
                    </w:rPr>
                  </w:pPr>
                  <w:r>
                    <w:rPr>
                      <w:rFonts w:hint="eastAsia" w:ascii="宋体" w:hAnsi="宋体" w:cs="宋体"/>
                      <w:bCs/>
                      <w:i w:val="0"/>
                      <w:iCs w:val="0"/>
                      <w:sz w:val="24"/>
                      <w:highlight w:val="none"/>
                      <w:lang w:val="en-US" w:eastAsia="zh-CN"/>
                    </w:rPr>
                    <w:t>01</w:t>
                  </w:r>
                </w:p>
              </w:tc>
              <w:tc>
                <w:tcPr>
                  <w:tcW w:w="1611" w:type="pct"/>
                  <w:tcBorders>
                    <w:top w:val="single" w:color="auto" w:sz="4" w:space="0"/>
                    <w:left w:val="single" w:color="auto" w:sz="4" w:space="0"/>
                    <w:bottom w:val="single" w:color="auto" w:sz="4" w:space="0"/>
                    <w:right w:val="single" w:color="auto" w:sz="4" w:space="0"/>
                  </w:tcBorders>
                  <w:noWrap w:val="0"/>
                  <w:vAlign w:val="center"/>
                </w:tcPr>
                <w:p w14:paraId="321AB001">
                  <w:pPr>
                    <w:pageBreakBefore w:val="0"/>
                    <w:wordWrap w:val="0"/>
                    <w:topLinePunct w:val="0"/>
                    <w:bidi w:val="0"/>
                    <w:spacing w:line="360" w:lineRule="auto"/>
                    <w:jc w:val="center"/>
                    <w:textAlignment w:val="auto"/>
                    <w:rPr>
                      <w:rFonts w:hint="eastAsia" w:ascii="宋体" w:hAnsi="宋体" w:eastAsia="宋体" w:cs="宋体"/>
                      <w:i w:val="0"/>
                      <w:iCs w:val="0"/>
                      <w:kern w:val="0"/>
                      <w:sz w:val="24"/>
                      <w:highlight w:val="none"/>
                      <w:lang w:val="en-US" w:eastAsia="zh-CN"/>
                    </w:rPr>
                  </w:pPr>
                  <w:r>
                    <w:rPr>
                      <w:rFonts w:hint="eastAsia" w:ascii="宋体" w:hAnsi="宋体" w:cs="宋体"/>
                      <w:i w:val="0"/>
                      <w:iCs w:val="0"/>
                      <w:kern w:val="0"/>
                      <w:sz w:val="24"/>
                      <w:highlight w:val="none"/>
                      <w:lang w:val="en-US" w:eastAsia="zh-CN"/>
                    </w:rPr>
                    <w:t>花卉大观园再生水智联灌溉提升项目</w:t>
                  </w:r>
                </w:p>
              </w:tc>
              <w:tc>
                <w:tcPr>
                  <w:tcW w:w="2824" w:type="pct"/>
                  <w:tcBorders>
                    <w:top w:val="single" w:color="auto" w:sz="4" w:space="0"/>
                    <w:left w:val="single" w:color="auto" w:sz="4" w:space="0"/>
                    <w:bottom w:val="single" w:color="auto" w:sz="4" w:space="0"/>
                    <w:right w:val="single" w:color="auto" w:sz="4" w:space="0"/>
                  </w:tcBorders>
                  <w:noWrap w:val="0"/>
                  <w:vAlign w:val="center"/>
                </w:tcPr>
                <w:p w14:paraId="0784ACD1">
                  <w:pPr>
                    <w:pageBreakBefore w:val="0"/>
                    <w:wordWrap w:val="0"/>
                    <w:topLinePunct w:val="0"/>
                    <w:bidi w:val="0"/>
                    <w:spacing w:line="360" w:lineRule="auto"/>
                    <w:jc w:val="center"/>
                    <w:textAlignment w:val="auto"/>
                    <w:rPr>
                      <w:rFonts w:hint="default" w:ascii="宋体" w:hAnsi="宋体" w:eastAsia="宋体" w:cs="宋体"/>
                      <w:i w:val="0"/>
                      <w:iCs w:val="0"/>
                      <w:kern w:val="0"/>
                      <w:sz w:val="24"/>
                      <w:highlight w:val="none"/>
                      <w:lang w:val="en-US" w:eastAsia="zh-CN"/>
                    </w:rPr>
                  </w:pPr>
                  <w:r>
                    <w:rPr>
                      <w:rFonts w:hint="eastAsia" w:ascii="宋体" w:hAnsi="宋体" w:cs="宋体"/>
                      <w:i w:val="0"/>
                      <w:iCs w:val="0"/>
                      <w:kern w:val="0"/>
                      <w:sz w:val="24"/>
                      <w:highlight w:val="none"/>
                      <w:lang w:val="en-US" w:eastAsia="zh-CN"/>
                    </w:rPr>
                    <w:t>建筑业</w:t>
                  </w:r>
                </w:p>
              </w:tc>
            </w:tr>
          </w:tbl>
          <w:p w14:paraId="09E710EC">
            <w:pPr>
              <w:pageBreakBefore w:val="0"/>
              <w:wordWrap w:val="0"/>
              <w:topLinePunct w:val="0"/>
              <w:bidi w:val="0"/>
              <w:spacing w:after="0" w:line="360" w:lineRule="auto"/>
              <w:jc w:val="left"/>
              <w:textAlignment w:val="auto"/>
              <w:rPr>
                <w:rFonts w:hint="eastAsia" w:ascii="宋体" w:hAnsi="宋体" w:eastAsia="宋体" w:cs="宋体"/>
                <w:i w:val="0"/>
                <w:iCs w:val="0"/>
                <w:sz w:val="24"/>
              </w:rPr>
            </w:pPr>
          </w:p>
        </w:tc>
      </w:tr>
      <w:tr w14:paraId="4E9AA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988" w:type="dxa"/>
            <w:noWrap w:val="0"/>
            <w:vAlign w:val="center"/>
          </w:tcPr>
          <w:p w14:paraId="0E30E2C4">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10.2</w:t>
            </w:r>
          </w:p>
        </w:tc>
        <w:tc>
          <w:tcPr>
            <w:tcW w:w="1701" w:type="dxa"/>
            <w:noWrap w:val="0"/>
            <w:vAlign w:val="center"/>
          </w:tcPr>
          <w:p w14:paraId="54B10133">
            <w:pPr>
              <w:pageBreakBefore w:val="0"/>
              <w:wordWrap w:val="0"/>
              <w:topLinePunct w:val="0"/>
              <w:bidi w:val="0"/>
              <w:spacing w:after="0" w:line="360" w:lineRule="auto"/>
              <w:jc w:val="center"/>
              <w:textAlignment w:val="auto"/>
              <w:rPr>
                <w:rFonts w:hint="eastAsia" w:ascii="宋体" w:hAnsi="宋体" w:eastAsia="宋体" w:cs="宋体"/>
                <w:i w:val="0"/>
                <w:iCs w:val="0"/>
                <w:sz w:val="24"/>
              </w:rPr>
            </w:pPr>
            <w:r>
              <w:rPr>
                <w:rFonts w:hint="eastAsia" w:ascii="宋体" w:hAnsi="宋体" w:eastAsia="宋体" w:cs="宋体"/>
                <w:i w:val="0"/>
                <w:iCs w:val="0"/>
                <w:sz w:val="24"/>
              </w:rPr>
              <w:t>报价</w:t>
            </w:r>
          </w:p>
        </w:tc>
        <w:tc>
          <w:tcPr>
            <w:tcW w:w="7253" w:type="dxa"/>
            <w:noWrap w:val="0"/>
            <w:vAlign w:val="center"/>
          </w:tcPr>
          <w:p w14:paraId="1F8BD423">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报价的特殊规定：</w:t>
            </w:r>
          </w:p>
          <w:p w14:paraId="1F6B66CC">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无</w:t>
            </w:r>
          </w:p>
          <w:p w14:paraId="545163F1">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□有，具体情形：</w:t>
            </w:r>
            <w:r>
              <w:rPr>
                <w:rFonts w:hint="eastAsia" w:ascii="宋体" w:hAnsi="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tc>
      </w:tr>
      <w:tr w14:paraId="3BD27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612F02D8">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11.1</w:t>
            </w:r>
          </w:p>
        </w:tc>
        <w:tc>
          <w:tcPr>
            <w:tcW w:w="1701" w:type="dxa"/>
            <w:vMerge w:val="restart"/>
            <w:noWrap w:val="0"/>
            <w:vAlign w:val="center"/>
          </w:tcPr>
          <w:p w14:paraId="7C5AC3F9">
            <w:pPr>
              <w:pageBreakBefore w:val="0"/>
              <w:wordWrap w:val="0"/>
              <w:topLinePunct w:val="0"/>
              <w:bidi w:val="0"/>
              <w:spacing w:after="0" w:line="360" w:lineRule="auto"/>
              <w:jc w:val="center"/>
              <w:textAlignment w:val="auto"/>
              <w:rPr>
                <w:rFonts w:hint="eastAsia" w:ascii="宋体" w:hAnsi="宋体" w:eastAsia="宋体" w:cs="宋体"/>
                <w:i w:val="0"/>
                <w:iCs w:val="0"/>
                <w:sz w:val="24"/>
              </w:rPr>
            </w:pPr>
            <w:r>
              <w:rPr>
                <w:rFonts w:hint="eastAsia" w:ascii="宋体" w:hAnsi="宋体" w:eastAsia="宋体" w:cs="宋体"/>
                <w:i w:val="0"/>
                <w:iCs w:val="0"/>
                <w:sz w:val="24"/>
              </w:rPr>
              <w:t>磋商保证金</w:t>
            </w:r>
          </w:p>
        </w:tc>
        <w:tc>
          <w:tcPr>
            <w:tcW w:w="7253" w:type="dxa"/>
            <w:noWrap w:val="0"/>
            <w:vAlign w:val="center"/>
          </w:tcPr>
          <w:p w14:paraId="1A8844EF">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sz w:val="24"/>
                <w:szCs w:val="24"/>
                <w:highlight w:val="none"/>
                <w:lang w:val="en-US" w:eastAsia="zh-CN"/>
              </w:rPr>
            </w:pPr>
            <w:r>
              <w:rPr>
                <w:rFonts w:hint="eastAsia" w:hAnsi="宋体" w:cs="宋体"/>
                <w:i w:val="0"/>
                <w:iCs w:val="0"/>
                <w:sz w:val="24"/>
                <w:szCs w:val="24"/>
                <w:highlight w:val="none"/>
                <w:lang w:val="en-US" w:eastAsia="zh-CN"/>
              </w:rPr>
              <w:t>磋商</w:t>
            </w:r>
            <w:r>
              <w:rPr>
                <w:rFonts w:hint="eastAsia" w:ascii="宋体" w:hAnsi="宋体" w:eastAsia="宋体" w:cs="宋体"/>
                <w:i w:val="0"/>
                <w:iCs w:val="0"/>
                <w:sz w:val="24"/>
                <w:szCs w:val="24"/>
                <w:highlight w:val="none"/>
              </w:rPr>
              <w:t>保证金金额：</w:t>
            </w:r>
            <w:r>
              <w:rPr>
                <w:rFonts w:hint="eastAsia" w:hAnsi="宋体" w:cs="宋体"/>
                <w:i w:val="0"/>
                <w:iCs w:val="0"/>
                <w:sz w:val="24"/>
                <w:szCs w:val="24"/>
                <w:highlight w:val="none"/>
                <w:lang w:val="en-US" w:eastAsia="zh-CN"/>
              </w:rPr>
              <w:t>壹万伍仟元整</w:t>
            </w:r>
          </w:p>
          <w:p w14:paraId="4FD8E116">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cs="宋体"/>
                <w:i w:val="0"/>
                <w:iCs w:val="0"/>
                <w:sz w:val="24"/>
                <w:highlight w:val="none"/>
                <w:lang w:val="en-US" w:eastAsia="zh-CN"/>
              </w:rPr>
              <w:t>磋商</w:t>
            </w:r>
            <w:r>
              <w:rPr>
                <w:rFonts w:hint="eastAsia" w:ascii="宋体" w:hAnsi="宋体" w:eastAsia="宋体" w:cs="宋体"/>
                <w:i w:val="0"/>
                <w:iCs w:val="0"/>
                <w:sz w:val="24"/>
                <w:highlight w:val="none"/>
              </w:rPr>
              <w:t>保证金收受人信息：</w:t>
            </w:r>
          </w:p>
          <w:p w14:paraId="542C274A">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cs="宋体"/>
                <w:i w:val="0"/>
                <w:iCs w:val="0"/>
                <w:sz w:val="24"/>
                <w:highlight w:val="none"/>
                <w:lang w:val="en-US" w:eastAsia="zh-CN"/>
              </w:rPr>
              <w:t>磋商</w:t>
            </w:r>
            <w:r>
              <w:rPr>
                <w:rFonts w:hint="eastAsia" w:ascii="宋体" w:hAnsi="宋体" w:eastAsia="宋体" w:cs="宋体"/>
                <w:i w:val="0"/>
                <w:iCs w:val="0"/>
                <w:sz w:val="24"/>
                <w:highlight w:val="none"/>
              </w:rPr>
              <w:t>保证金的形式：政府采购法律法规接受的支票、汇票、本票、网上银行支付或者金融机构、担保机构出具的保函等非现金形式</w:t>
            </w:r>
          </w:p>
          <w:p w14:paraId="496E53FE">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cs="宋体"/>
                <w:i w:val="0"/>
                <w:iCs w:val="0"/>
                <w:sz w:val="24"/>
                <w:highlight w:val="none"/>
                <w:lang w:eastAsia="zh-CN"/>
              </w:rPr>
              <w:t>接收</w:t>
            </w:r>
            <w:r>
              <w:rPr>
                <w:rFonts w:hint="eastAsia" w:ascii="宋体" w:hAnsi="宋体" w:cs="宋体"/>
                <w:i w:val="0"/>
                <w:iCs w:val="0"/>
                <w:sz w:val="24"/>
                <w:highlight w:val="none"/>
                <w:lang w:val="en-US" w:eastAsia="zh-CN"/>
              </w:rPr>
              <w:t>磋商</w:t>
            </w:r>
            <w:r>
              <w:rPr>
                <w:rFonts w:hint="eastAsia" w:ascii="宋体" w:hAnsi="宋体" w:eastAsia="宋体" w:cs="宋体"/>
                <w:i w:val="0"/>
                <w:iCs w:val="0"/>
                <w:sz w:val="24"/>
                <w:highlight w:val="none"/>
              </w:rPr>
              <w:t>保证金的银行</w:t>
            </w:r>
            <w:r>
              <w:rPr>
                <w:rFonts w:hint="eastAsia" w:ascii="宋体" w:hAnsi="宋体" w:cs="宋体"/>
                <w:i w:val="0"/>
                <w:iCs w:val="0"/>
                <w:sz w:val="24"/>
                <w:highlight w:val="none"/>
                <w:lang w:eastAsia="zh-CN"/>
              </w:rPr>
              <w:t>及账号</w:t>
            </w:r>
            <w:r>
              <w:rPr>
                <w:rFonts w:hint="eastAsia" w:ascii="宋体" w:hAnsi="宋体" w:eastAsia="宋体" w:cs="宋体"/>
                <w:i w:val="0"/>
                <w:iCs w:val="0"/>
                <w:sz w:val="24"/>
                <w:highlight w:val="none"/>
              </w:rPr>
              <w:t>：</w:t>
            </w:r>
          </w:p>
          <w:p w14:paraId="0FCEC734">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户    名：北京德音工程咨询有限公司</w:t>
            </w:r>
          </w:p>
          <w:p w14:paraId="3141E01E">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开 户 行：中国建设银行股份有限公司北京大兴狼垡支行</w:t>
            </w:r>
          </w:p>
          <w:p w14:paraId="31F56E0F">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帐    号：1105 0110 0701 0000 0064</w:t>
            </w:r>
          </w:p>
          <w:p w14:paraId="36F45E04">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cs="宋体"/>
                <w:i w:val="0"/>
                <w:iCs w:val="0"/>
                <w:sz w:val="24"/>
                <w:highlight w:val="none"/>
                <w:lang w:val="en-US" w:eastAsia="zh-CN"/>
              </w:rPr>
              <w:t>磋商</w:t>
            </w:r>
            <w:r>
              <w:rPr>
                <w:rFonts w:hint="eastAsia" w:ascii="宋体" w:hAnsi="宋体" w:eastAsia="宋体" w:cs="宋体"/>
                <w:i w:val="0"/>
                <w:iCs w:val="0"/>
                <w:sz w:val="24"/>
                <w:highlight w:val="none"/>
              </w:rPr>
              <w:t>保证金以银行转账、电汇的形式提交的，在附注中注明项目编号或项目名称，可简写。</w:t>
            </w:r>
          </w:p>
        </w:tc>
      </w:tr>
      <w:tr w14:paraId="4C50F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23E33FD7">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11.</w:t>
            </w:r>
            <w:r>
              <w:rPr>
                <w:rFonts w:hint="eastAsia" w:hAnsi="宋体" w:cs="宋体"/>
                <w:i w:val="0"/>
                <w:iCs w:val="0"/>
                <w:sz w:val="24"/>
                <w:szCs w:val="24"/>
                <w:lang w:val="en-US" w:eastAsia="zh-CN"/>
              </w:rPr>
              <w:t>8</w:t>
            </w:r>
            <w:r>
              <w:rPr>
                <w:rFonts w:hint="eastAsia" w:ascii="宋体" w:hAnsi="宋体" w:eastAsia="宋体" w:cs="宋体"/>
                <w:i w:val="0"/>
                <w:iCs w:val="0"/>
                <w:sz w:val="24"/>
                <w:szCs w:val="24"/>
              </w:rPr>
              <w:t>.5</w:t>
            </w:r>
          </w:p>
        </w:tc>
        <w:tc>
          <w:tcPr>
            <w:tcW w:w="1701" w:type="dxa"/>
            <w:vMerge w:val="continue"/>
            <w:noWrap w:val="0"/>
            <w:vAlign w:val="center"/>
          </w:tcPr>
          <w:p w14:paraId="795FE4CE">
            <w:pPr>
              <w:pageBreakBefore w:val="0"/>
              <w:wordWrap w:val="0"/>
              <w:topLinePunct w:val="0"/>
              <w:bidi w:val="0"/>
              <w:spacing w:after="0" w:line="360" w:lineRule="auto"/>
              <w:jc w:val="center"/>
              <w:textAlignment w:val="auto"/>
              <w:rPr>
                <w:rFonts w:hint="eastAsia" w:ascii="宋体" w:hAnsi="宋体" w:eastAsia="宋体" w:cs="宋体"/>
                <w:i w:val="0"/>
                <w:iCs w:val="0"/>
                <w:sz w:val="24"/>
              </w:rPr>
            </w:pPr>
          </w:p>
        </w:tc>
        <w:tc>
          <w:tcPr>
            <w:tcW w:w="7253" w:type="dxa"/>
            <w:noWrap w:val="0"/>
            <w:vAlign w:val="center"/>
          </w:tcPr>
          <w:p w14:paraId="36926FF6">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磋商保证金不予退还的其他情形：</w:t>
            </w:r>
          </w:p>
          <w:p w14:paraId="0401D133">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无</w:t>
            </w:r>
          </w:p>
          <w:p w14:paraId="2096E21E">
            <w:pPr>
              <w:pageBreakBefore w:val="0"/>
              <w:wordWrap w:val="0"/>
              <w:topLinePunct w:val="0"/>
              <w:bidi w:val="0"/>
              <w:spacing w:after="0" w:line="360" w:lineRule="auto"/>
              <w:jc w:val="left"/>
              <w:textAlignment w:val="auto"/>
              <w:rPr>
                <w:rFonts w:hint="eastAsia" w:ascii="宋体" w:hAnsi="宋体" w:eastAsia="宋体" w:cs="宋体"/>
                <w:i w:val="0"/>
                <w:iCs w:val="0"/>
                <w:sz w:val="24"/>
                <w:szCs w:val="24"/>
                <w:highlight w:val="none"/>
              </w:rPr>
            </w:pPr>
            <w:r>
              <w:rPr>
                <w:rFonts w:hint="eastAsia" w:ascii="宋体" w:hAnsi="宋体" w:cs="宋体"/>
                <w:i w:val="0"/>
                <w:iCs w:val="0"/>
                <w:sz w:val="24"/>
                <w:highlight w:val="none"/>
                <w:lang w:eastAsia="zh-CN"/>
              </w:rPr>
              <w:t>□</w:t>
            </w:r>
            <w:r>
              <w:rPr>
                <w:rFonts w:hint="eastAsia" w:ascii="宋体" w:hAnsi="宋体" w:eastAsia="宋体" w:cs="宋体"/>
                <w:i w:val="0"/>
                <w:iCs w:val="0"/>
                <w:sz w:val="24"/>
                <w:highlight w:val="none"/>
              </w:rPr>
              <w:t>有，具体情形：___________。</w:t>
            </w:r>
          </w:p>
        </w:tc>
      </w:tr>
      <w:tr w14:paraId="7E730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46555A55">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12.1</w:t>
            </w:r>
          </w:p>
        </w:tc>
        <w:tc>
          <w:tcPr>
            <w:tcW w:w="1701" w:type="dxa"/>
            <w:noWrap w:val="0"/>
            <w:vAlign w:val="center"/>
          </w:tcPr>
          <w:p w14:paraId="7D8BFC75">
            <w:pPr>
              <w:pageBreakBefore w:val="0"/>
              <w:wordWrap w:val="0"/>
              <w:topLinePunct w:val="0"/>
              <w:bidi w:val="0"/>
              <w:spacing w:after="0" w:line="360" w:lineRule="auto"/>
              <w:jc w:val="center"/>
              <w:textAlignment w:val="auto"/>
              <w:rPr>
                <w:rFonts w:hint="eastAsia" w:ascii="宋体" w:hAnsi="宋体" w:eastAsia="宋体" w:cs="宋体"/>
                <w:i w:val="0"/>
                <w:iCs w:val="0"/>
                <w:sz w:val="24"/>
              </w:rPr>
            </w:pPr>
            <w:r>
              <w:rPr>
                <w:rFonts w:hint="eastAsia" w:ascii="宋体" w:hAnsi="宋体" w:eastAsia="宋体" w:cs="宋体"/>
                <w:i w:val="0"/>
                <w:iCs w:val="0"/>
                <w:sz w:val="24"/>
              </w:rPr>
              <w:t>响应有效期</w:t>
            </w:r>
          </w:p>
        </w:tc>
        <w:tc>
          <w:tcPr>
            <w:tcW w:w="7253" w:type="dxa"/>
            <w:noWrap w:val="0"/>
            <w:vAlign w:val="center"/>
          </w:tcPr>
          <w:p w14:paraId="3EFC786E">
            <w:pPr>
              <w:pageBreakBefore w:val="0"/>
              <w:wordWrap w:val="0"/>
              <w:topLinePunct w:val="0"/>
              <w:bidi w:val="0"/>
              <w:spacing w:after="0" w:line="360" w:lineRule="auto"/>
              <w:jc w:val="left"/>
              <w:textAlignment w:val="auto"/>
              <w:rPr>
                <w:rFonts w:hint="eastAsia" w:ascii="宋体" w:hAnsi="宋体" w:eastAsia="宋体" w:cs="宋体"/>
                <w:i w:val="0"/>
                <w:iCs w:val="0"/>
                <w:sz w:val="24"/>
              </w:rPr>
            </w:pPr>
            <w:r>
              <w:rPr>
                <w:rFonts w:hint="eastAsia" w:ascii="宋体" w:hAnsi="宋体" w:eastAsia="宋体" w:cs="宋体"/>
                <w:i w:val="0"/>
                <w:iCs w:val="0"/>
                <w:sz w:val="24"/>
              </w:rPr>
              <w:t>自提交响应文件的截止之日起算</w:t>
            </w:r>
            <w:r>
              <w:rPr>
                <w:rFonts w:hint="eastAsia" w:ascii="宋体" w:hAnsi="宋体" w:eastAsia="宋体" w:cs="宋体"/>
                <w:i w:val="0"/>
                <w:iCs w:val="0"/>
                <w:sz w:val="24"/>
                <w:lang w:val="en-US" w:eastAsia="zh-CN"/>
              </w:rPr>
              <w:t>90</w:t>
            </w:r>
            <w:r>
              <w:rPr>
                <w:rFonts w:hint="eastAsia" w:ascii="宋体" w:hAnsi="宋体" w:eastAsia="宋体" w:cs="宋体"/>
                <w:i w:val="0"/>
                <w:iCs w:val="0"/>
                <w:sz w:val="24"/>
              </w:rPr>
              <w:t>日历天。</w:t>
            </w:r>
          </w:p>
        </w:tc>
      </w:tr>
      <w:tr w14:paraId="199A8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45224D5C">
            <w:pPr>
              <w:pStyle w:val="23"/>
              <w:pageBreakBefore w:val="0"/>
              <w:wordWrap w:val="0"/>
              <w:topLinePunct w:val="0"/>
              <w:bidi w:val="0"/>
              <w:adjustRightInd w:val="0"/>
              <w:snapToGrid w:val="0"/>
              <w:spacing w:after="0" w:line="360" w:lineRule="auto"/>
              <w:jc w:val="center"/>
              <w:textAlignment w:val="auto"/>
              <w:rPr>
                <w:rFonts w:hint="default" w:ascii="宋体" w:hAnsi="宋体" w:eastAsia="宋体" w:cs="宋体"/>
                <w:i w:val="0"/>
                <w:iCs w:val="0"/>
                <w:sz w:val="24"/>
                <w:szCs w:val="24"/>
                <w:lang w:val="en-US" w:eastAsia="zh-CN"/>
              </w:rPr>
            </w:pPr>
            <w:r>
              <w:rPr>
                <w:rFonts w:hint="eastAsia" w:hAnsi="宋体" w:cs="宋体"/>
                <w:i w:val="0"/>
                <w:iCs w:val="0"/>
                <w:sz w:val="24"/>
                <w:szCs w:val="24"/>
                <w:lang w:val="en-US" w:eastAsia="zh-CN"/>
              </w:rPr>
              <w:t>17.2</w:t>
            </w:r>
          </w:p>
        </w:tc>
        <w:tc>
          <w:tcPr>
            <w:tcW w:w="1701" w:type="dxa"/>
            <w:noWrap w:val="0"/>
            <w:vAlign w:val="top"/>
          </w:tcPr>
          <w:p w14:paraId="409A2A5C">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rPr>
            </w:pPr>
            <w:r>
              <w:rPr>
                <w:rFonts w:hint="eastAsia" w:ascii="宋体" w:hAnsi="宋体" w:eastAsia="宋体" w:cs="宋体"/>
                <w:sz w:val="24"/>
                <w:szCs w:val="24"/>
                <w:highlight w:val="none"/>
              </w:rPr>
              <w:t>解密时间</w:t>
            </w:r>
          </w:p>
        </w:tc>
        <w:tc>
          <w:tcPr>
            <w:tcW w:w="7253" w:type="dxa"/>
            <w:noWrap w:val="0"/>
            <w:vAlign w:val="top"/>
          </w:tcPr>
          <w:p w14:paraId="565CA3CE">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解密时间：</w:t>
            </w:r>
            <w:r>
              <w:rPr>
                <w:rFonts w:hint="eastAsia" w:ascii="宋体" w:hAnsi="宋体" w:cs="宋体"/>
                <w:i w:val="0"/>
                <w:iCs w:val="0"/>
                <w:sz w:val="24"/>
                <w:highlight w:val="none"/>
                <w:lang w:val="en-US" w:eastAsia="zh-CN"/>
              </w:rPr>
              <w:t>15</w:t>
            </w:r>
            <w:r>
              <w:rPr>
                <w:rFonts w:hint="eastAsia" w:ascii="宋体" w:hAnsi="宋体" w:eastAsia="宋体" w:cs="宋体"/>
                <w:i w:val="0"/>
                <w:iCs w:val="0"/>
                <w:sz w:val="24"/>
                <w:highlight w:val="none"/>
              </w:rPr>
              <w:t>分钟</w:t>
            </w:r>
          </w:p>
        </w:tc>
      </w:tr>
      <w:tr w14:paraId="35E9C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2263B1D2">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20.1</w:t>
            </w:r>
          </w:p>
        </w:tc>
        <w:tc>
          <w:tcPr>
            <w:tcW w:w="1701" w:type="dxa"/>
            <w:noWrap w:val="0"/>
            <w:vAlign w:val="center"/>
          </w:tcPr>
          <w:p w14:paraId="6487867C">
            <w:pPr>
              <w:pageBreakBefore w:val="0"/>
              <w:wordWrap w:val="0"/>
              <w:topLinePunct w:val="0"/>
              <w:bidi w:val="0"/>
              <w:spacing w:after="0" w:line="360" w:lineRule="auto"/>
              <w:jc w:val="center"/>
              <w:textAlignment w:val="auto"/>
              <w:rPr>
                <w:rFonts w:hint="eastAsia" w:ascii="宋体" w:hAnsi="宋体" w:eastAsia="宋体" w:cs="宋体"/>
                <w:i w:val="0"/>
                <w:iCs w:val="0"/>
                <w:sz w:val="24"/>
                <w:lang w:val="en-US" w:eastAsia="zh-CN"/>
              </w:rPr>
            </w:pPr>
            <w:r>
              <w:rPr>
                <w:rFonts w:hint="eastAsia" w:ascii="宋体" w:hAnsi="宋体" w:eastAsia="宋体" w:cs="宋体"/>
                <w:i w:val="0"/>
                <w:iCs w:val="0"/>
                <w:sz w:val="24"/>
                <w:lang w:val="en-US" w:eastAsia="zh-CN"/>
              </w:rPr>
              <w:t>确定</w:t>
            </w:r>
          </w:p>
          <w:p w14:paraId="42BF7475">
            <w:pPr>
              <w:pageBreakBefore w:val="0"/>
              <w:wordWrap w:val="0"/>
              <w:topLinePunct w:val="0"/>
              <w:bidi w:val="0"/>
              <w:spacing w:after="0" w:line="360" w:lineRule="auto"/>
              <w:jc w:val="center"/>
              <w:textAlignment w:val="auto"/>
              <w:rPr>
                <w:rFonts w:hint="eastAsia" w:ascii="宋体" w:hAnsi="宋体" w:eastAsia="宋体" w:cs="宋体"/>
                <w:i w:val="0"/>
                <w:iCs w:val="0"/>
                <w:sz w:val="24"/>
              </w:rPr>
            </w:pPr>
            <w:r>
              <w:rPr>
                <w:rFonts w:hint="eastAsia" w:ascii="宋体" w:hAnsi="宋体" w:eastAsia="宋体" w:cs="宋体"/>
                <w:i w:val="0"/>
                <w:iCs w:val="0"/>
                <w:sz w:val="24"/>
              </w:rPr>
              <w:t>成交供应商</w:t>
            </w:r>
          </w:p>
        </w:tc>
        <w:tc>
          <w:tcPr>
            <w:tcW w:w="7253" w:type="dxa"/>
            <w:noWrap w:val="0"/>
            <w:vAlign w:val="center"/>
          </w:tcPr>
          <w:p w14:paraId="32F6AE6F">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sz w:val="24"/>
                <w:szCs w:val="24"/>
                <w:highlight w:val="none"/>
                <w:lang w:val="en-US" w:eastAsia="zh-CN"/>
              </w:rPr>
            </w:pPr>
            <w:r>
              <w:rPr>
                <w:rFonts w:hint="eastAsia" w:ascii="宋体" w:hAnsi="宋体" w:eastAsia="宋体" w:cs="宋体"/>
                <w:i w:val="0"/>
                <w:iCs w:val="0"/>
                <w:sz w:val="24"/>
                <w:szCs w:val="24"/>
                <w:highlight w:val="none"/>
                <w:lang w:val="en-US" w:eastAsia="zh-CN"/>
              </w:rPr>
              <w:t>采购人是否授权磋商小组直接确定成交供应商：</w:t>
            </w:r>
          </w:p>
          <w:p w14:paraId="02D55A91">
            <w:pPr>
              <w:pageBreakBefore w:val="0"/>
              <w:wordWrap w:val="0"/>
              <w:topLinePunct w:val="0"/>
              <w:bidi w:val="0"/>
              <w:spacing w:after="0" w:line="360" w:lineRule="auto"/>
              <w:jc w:val="left"/>
              <w:textAlignment w:val="auto"/>
              <w:rPr>
                <w:rFonts w:hint="eastAsia" w:ascii="宋体" w:hAnsi="宋体" w:eastAsia="宋体" w:cs="宋体"/>
                <w:b w:val="0"/>
                <w:bCs/>
                <w:i w:val="0"/>
                <w:iCs w:val="0"/>
                <w:sz w:val="24"/>
                <w:highlight w:val="none"/>
              </w:rPr>
            </w:pPr>
            <w:r>
              <w:rPr>
                <w:rFonts w:hint="eastAsia" w:ascii="宋体" w:hAnsi="宋体" w:eastAsia="宋体" w:cs="宋体"/>
                <w:b w:val="0"/>
                <w:bCs/>
                <w:i w:val="0"/>
                <w:iCs w:val="0"/>
                <w:sz w:val="24"/>
                <w:highlight w:val="none"/>
              </w:rPr>
              <w:t>■否</w:t>
            </w:r>
          </w:p>
          <w:p w14:paraId="10800634">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□是</w:t>
            </w:r>
          </w:p>
          <w:p w14:paraId="5B8F59F0">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u w:val="single"/>
              </w:rPr>
            </w:pPr>
            <w:r>
              <w:rPr>
                <w:rFonts w:hint="eastAsia" w:ascii="宋体" w:hAnsi="宋体" w:eastAsia="宋体" w:cs="宋体"/>
                <w:i w:val="0"/>
                <w:iCs w:val="0"/>
                <w:sz w:val="24"/>
                <w:highlight w:val="none"/>
              </w:rPr>
              <w:t>成交候选人并列的，按照以下方式确定成交供应商：</w:t>
            </w:r>
            <w:r>
              <w:rPr>
                <w:rFonts w:hint="eastAsia" w:ascii="宋体" w:hAnsi="宋体" w:eastAsia="宋体" w:cs="宋体"/>
                <w:i w:val="0"/>
                <w:iCs w:val="0"/>
                <w:sz w:val="24"/>
                <w:highlight w:val="none"/>
                <w:u w:val="single"/>
              </w:rPr>
              <w:t>评审得分且最后报价相同的，按照技术方案得分高低排序推荐</w:t>
            </w:r>
            <w:r>
              <w:rPr>
                <w:rFonts w:hint="eastAsia" w:ascii="宋体" w:hAnsi="宋体" w:eastAsia="宋体" w:cs="宋体"/>
                <w:i w:val="0"/>
                <w:iCs w:val="0"/>
                <w:sz w:val="24"/>
                <w:highlight w:val="none"/>
              </w:rPr>
              <w:t>。</w:t>
            </w:r>
          </w:p>
        </w:tc>
      </w:tr>
      <w:tr w14:paraId="03964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1D3D98D6">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23.5</w:t>
            </w:r>
          </w:p>
        </w:tc>
        <w:tc>
          <w:tcPr>
            <w:tcW w:w="1701" w:type="dxa"/>
            <w:noWrap w:val="0"/>
            <w:vAlign w:val="center"/>
          </w:tcPr>
          <w:p w14:paraId="1A33BE7F">
            <w:pPr>
              <w:pageBreakBefore w:val="0"/>
              <w:wordWrap w:val="0"/>
              <w:topLinePunct w:val="0"/>
              <w:bidi w:val="0"/>
              <w:spacing w:after="0" w:line="360" w:lineRule="auto"/>
              <w:jc w:val="center"/>
              <w:textAlignment w:val="auto"/>
              <w:rPr>
                <w:rFonts w:hint="eastAsia" w:ascii="宋体" w:hAnsi="宋体" w:eastAsia="宋体" w:cs="宋体"/>
                <w:i w:val="0"/>
                <w:iCs w:val="0"/>
                <w:sz w:val="24"/>
              </w:rPr>
            </w:pPr>
            <w:r>
              <w:rPr>
                <w:rFonts w:hint="eastAsia" w:ascii="宋体" w:hAnsi="宋体" w:eastAsia="宋体" w:cs="宋体"/>
                <w:i w:val="0"/>
                <w:iCs w:val="0"/>
                <w:sz w:val="24"/>
              </w:rPr>
              <w:t>分包</w:t>
            </w:r>
          </w:p>
        </w:tc>
        <w:tc>
          <w:tcPr>
            <w:tcW w:w="7253" w:type="dxa"/>
            <w:noWrap w:val="0"/>
            <w:vAlign w:val="center"/>
          </w:tcPr>
          <w:p w14:paraId="4D712557">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 xml:space="preserve">本项目是否允许分包： </w:t>
            </w:r>
          </w:p>
          <w:p w14:paraId="5104B0CE">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不允许</w:t>
            </w:r>
          </w:p>
          <w:p w14:paraId="21042475">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□允许，具体要求：</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p w14:paraId="4DBF312A">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（1）可以分包履行的具体内容：</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p w14:paraId="5A6B0BD8">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（2）允许分包的金额或者比例：</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p w14:paraId="6F47D173">
            <w:pPr>
              <w:pageBreakBefore w:val="0"/>
              <w:wordWrap w:val="0"/>
              <w:topLinePunct w:val="0"/>
              <w:bidi w:val="0"/>
              <w:spacing w:after="0" w:line="360" w:lineRule="auto"/>
              <w:jc w:val="left"/>
              <w:textAlignment w:val="auto"/>
              <w:rPr>
                <w:rFonts w:hint="eastAsia" w:ascii="宋体" w:hAnsi="宋体" w:eastAsia="宋体" w:cs="宋体"/>
                <w:i w:val="0"/>
                <w:iCs w:val="0"/>
                <w:sz w:val="24"/>
                <w:u w:val="single"/>
              </w:rPr>
            </w:pPr>
            <w:r>
              <w:rPr>
                <w:rFonts w:hint="eastAsia" w:ascii="宋体" w:hAnsi="宋体" w:eastAsia="宋体" w:cs="宋体"/>
                <w:i w:val="0"/>
                <w:iCs w:val="0"/>
                <w:sz w:val="24"/>
                <w:highlight w:val="none"/>
              </w:rPr>
              <w:t>（3）其他要求：</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tc>
      </w:tr>
      <w:tr w14:paraId="0B51C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1FAA2775">
            <w:pPr>
              <w:pStyle w:val="23"/>
              <w:pageBreakBefore w:val="0"/>
              <w:wordWrap w:val="0"/>
              <w:topLinePunct w:val="0"/>
              <w:bidi w:val="0"/>
              <w:adjustRightInd w:val="0"/>
              <w:snapToGrid w:val="0"/>
              <w:spacing w:after="0" w:line="360" w:lineRule="auto"/>
              <w:jc w:val="center"/>
              <w:textAlignment w:val="auto"/>
              <w:rPr>
                <w:rFonts w:hint="default" w:ascii="宋体" w:hAnsi="宋体" w:eastAsia="宋体" w:cs="宋体"/>
                <w:i w:val="0"/>
                <w:iCs w:val="0"/>
                <w:sz w:val="24"/>
                <w:szCs w:val="24"/>
                <w:lang w:val="en-US" w:eastAsia="zh-CN"/>
              </w:rPr>
            </w:pPr>
            <w:r>
              <w:rPr>
                <w:rFonts w:hint="eastAsia" w:hAnsi="宋体" w:cs="宋体"/>
                <w:i w:val="0"/>
                <w:iCs w:val="0"/>
                <w:sz w:val="24"/>
                <w:szCs w:val="24"/>
                <w:lang w:val="en-US" w:eastAsia="zh-CN"/>
              </w:rPr>
              <w:t>23.6</w:t>
            </w:r>
          </w:p>
        </w:tc>
        <w:tc>
          <w:tcPr>
            <w:tcW w:w="1701" w:type="dxa"/>
            <w:noWrap w:val="0"/>
            <w:vAlign w:val="center"/>
          </w:tcPr>
          <w:p w14:paraId="52E4B8EA">
            <w:pPr>
              <w:pageBreakBefore w:val="0"/>
              <w:wordWrap w:val="0"/>
              <w:topLinePunct w:val="0"/>
              <w:bidi w:val="0"/>
              <w:spacing w:after="0" w:line="360" w:lineRule="auto"/>
              <w:jc w:val="center"/>
              <w:textAlignment w:val="auto"/>
              <w:rPr>
                <w:rFonts w:hint="eastAsia" w:ascii="宋体" w:hAnsi="宋体" w:eastAsia="宋体" w:cs="宋体"/>
                <w:i w:val="0"/>
                <w:iCs w:val="0"/>
                <w:sz w:val="24"/>
              </w:rPr>
            </w:pPr>
            <w:r>
              <w:rPr>
                <w:rFonts w:hint="eastAsia" w:ascii="宋体" w:hAnsi="宋体" w:eastAsia="宋体" w:cs="宋体"/>
                <w:i w:val="0"/>
                <w:iCs w:val="0"/>
                <w:sz w:val="24"/>
              </w:rPr>
              <w:t>政采贷</w:t>
            </w:r>
          </w:p>
        </w:tc>
        <w:tc>
          <w:tcPr>
            <w:tcW w:w="7253" w:type="dxa"/>
            <w:noWrap w:val="0"/>
            <w:vAlign w:val="center"/>
          </w:tcPr>
          <w:p w14:paraId="0762C9E3">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49C7E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4F5108BE">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24.1.1</w:t>
            </w:r>
          </w:p>
        </w:tc>
        <w:tc>
          <w:tcPr>
            <w:tcW w:w="1701" w:type="dxa"/>
            <w:noWrap w:val="0"/>
            <w:vAlign w:val="center"/>
          </w:tcPr>
          <w:p w14:paraId="1AA4B517">
            <w:pPr>
              <w:pageBreakBefore w:val="0"/>
              <w:wordWrap w:val="0"/>
              <w:topLinePunct w:val="0"/>
              <w:bidi w:val="0"/>
              <w:spacing w:after="0" w:line="360" w:lineRule="auto"/>
              <w:jc w:val="center"/>
              <w:textAlignment w:val="auto"/>
              <w:rPr>
                <w:rFonts w:hint="eastAsia" w:ascii="宋体" w:hAnsi="宋体" w:eastAsia="宋体" w:cs="宋体"/>
                <w:i w:val="0"/>
                <w:iCs w:val="0"/>
                <w:sz w:val="24"/>
              </w:rPr>
            </w:pPr>
            <w:r>
              <w:rPr>
                <w:rFonts w:hint="eastAsia" w:ascii="宋体" w:hAnsi="宋体" w:eastAsia="宋体" w:cs="宋体"/>
                <w:i w:val="0"/>
                <w:iCs w:val="0"/>
                <w:sz w:val="24"/>
              </w:rPr>
              <w:t>询问</w:t>
            </w:r>
          </w:p>
        </w:tc>
        <w:tc>
          <w:tcPr>
            <w:tcW w:w="7253" w:type="dxa"/>
            <w:noWrap w:val="0"/>
            <w:vAlign w:val="center"/>
          </w:tcPr>
          <w:p w14:paraId="533239D0">
            <w:pPr>
              <w:pageBreakBefore w:val="0"/>
              <w:wordWrap w:val="0"/>
              <w:topLinePunct w:val="0"/>
              <w:bidi w:val="0"/>
              <w:spacing w:after="0" w:line="360" w:lineRule="auto"/>
              <w:jc w:val="left"/>
              <w:textAlignment w:val="auto"/>
              <w:rPr>
                <w:rFonts w:hint="eastAsia" w:ascii="宋体" w:hAnsi="宋体" w:eastAsia="宋体" w:cs="宋体"/>
                <w:i w:val="0"/>
                <w:iCs w:val="0"/>
                <w:sz w:val="24"/>
              </w:rPr>
            </w:pPr>
            <w:r>
              <w:rPr>
                <w:rFonts w:hint="eastAsia" w:ascii="宋体" w:hAnsi="宋体" w:eastAsia="宋体" w:cs="宋体"/>
                <w:i w:val="0"/>
                <w:iCs w:val="0"/>
                <w:sz w:val="24"/>
              </w:rPr>
              <w:t>询问送达形式：书面形式。</w:t>
            </w:r>
          </w:p>
        </w:tc>
      </w:tr>
      <w:tr w14:paraId="3F913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8" w:hRule="atLeast"/>
          <w:jc w:val="center"/>
        </w:trPr>
        <w:tc>
          <w:tcPr>
            <w:tcW w:w="988" w:type="dxa"/>
            <w:noWrap w:val="0"/>
            <w:vAlign w:val="center"/>
          </w:tcPr>
          <w:p w14:paraId="2F195C6A">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24.3</w:t>
            </w:r>
          </w:p>
        </w:tc>
        <w:tc>
          <w:tcPr>
            <w:tcW w:w="1701" w:type="dxa"/>
            <w:noWrap w:val="0"/>
            <w:vAlign w:val="center"/>
          </w:tcPr>
          <w:p w14:paraId="66D132A7">
            <w:pPr>
              <w:pageBreakBefore w:val="0"/>
              <w:wordWrap w:val="0"/>
              <w:topLinePunct w:val="0"/>
              <w:bidi w:val="0"/>
              <w:spacing w:after="0" w:line="360" w:lineRule="auto"/>
              <w:jc w:val="center"/>
              <w:textAlignment w:val="auto"/>
              <w:rPr>
                <w:rFonts w:hint="eastAsia" w:ascii="宋体" w:hAnsi="宋体" w:eastAsia="宋体" w:cs="宋体"/>
                <w:i w:val="0"/>
                <w:iCs w:val="0"/>
                <w:sz w:val="24"/>
              </w:rPr>
            </w:pPr>
            <w:r>
              <w:rPr>
                <w:rFonts w:hint="eastAsia" w:ascii="宋体" w:hAnsi="宋体" w:eastAsia="宋体" w:cs="宋体"/>
                <w:i w:val="0"/>
                <w:iCs w:val="0"/>
                <w:sz w:val="24"/>
              </w:rPr>
              <w:t>联系方式</w:t>
            </w:r>
          </w:p>
        </w:tc>
        <w:tc>
          <w:tcPr>
            <w:tcW w:w="7253" w:type="dxa"/>
            <w:noWrap w:val="0"/>
            <w:vAlign w:val="center"/>
          </w:tcPr>
          <w:p w14:paraId="6B696B97">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接收询问和质疑的联系方式</w:t>
            </w:r>
          </w:p>
          <w:p w14:paraId="3F7AACA7">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联系部门：北京德音工程咨询有限公司项目部；</w:t>
            </w:r>
          </w:p>
          <w:p w14:paraId="4F98AB2E">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联系电话：010-53600601；</w:t>
            </w:r>
          </w:p>
          <w:p w14:paraId="7511C098">
            <w:pPr>
              <w:pageBreakBefore w:val="0"/>
              <w:wordWrap w:val="0"/>
              <w:topLinePunct w:val="0"/>
              <w:bidi w:val="0"/>
              <w:spacing w:after="0" w:line="360" w:lineRule="auto"/>
              <w:jc w:val="left"/>
              <w:textAlignment w:val="auto"/>
              <w:rPr>
                <w:rFonts w:hint="eastAsia" w:ascii="宋体" w:hAnsi="宋体" w:eastAsia="宋体" w:cs="宋体"/>
                <w:i w:val="0"/>
                <w:iCs w:val="0"/>
                <w:sz w:val="24"/>
              </w:rPr>
            </w:pPr>
            <w:r>
              <w:rPr>
                <w:rFonts w:hint="eastAsia" w:ascii="宋体" w:hAnsi="宋体" w:eastAsia="宋体" w:cs="宋体"/>
                <w:i w:val="0"/>
                <w:iCs w:val="0"/>
                <w:sz w:val="24"/>
                <w:highlight w:val="none"/>
              </w:rPr>
              <w:t>通讯地址：北京市丰台区科技园工商联大厦B座1401室。</w:t>
            </w:r>
          </w:p>
        </w:tc>
      </w:tr>
      <w:tr w14:paraId="78137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1A5B36DC">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25</w:t>
            </w:r>
          </w:p>
        </w:tc>
        <w:tc>
          <w:tcPr>
            <w:tcW w:w="1701" w:type="dxa"/>
            <w:noWrap w:val="0"/>
            <w:vAlign w:val="center"/>
          </w:tcPr>
          <w:p w14:paraId="116CCD55">
            <w:pPr>
              <w:pageBreakBefore w:val="0"/>
              <w:wordWrap w:val="0"/>
              <w:topLinePunct w:val="0"/>
              <w:bidi w:val="0"/>
              <w:spacing w:after="0" w:line="360" w:lineRule="auto"/>
              <w:jc w:val="center"/>
              <w:textAlignment w:val="auto"/>
              <w:rPr>
                <w:rFonts w:hint="eastAsia" w:ascii="宋体" w:hAnsi="宋体" w:eastAsia="宋体" w:cs="宋体"/>
                <w:i w:val="0"/>
                <w:iCs w:val="0"/>
                <w:sz w:val="24"/>
              </w:rPr>
            </w:pPr>
            <w:r>
              <w:rPr>
                <w:rFonts w:hint="eastAsia" w:ascii="宋体" w:hAnsi="宋体" w:eastAsia="宋体" w:cs="宋体"/>
                <w:i w:val="0"/>
                <w:iCs w:val="0"/>
                <w:sz w:val="24"/>
              </w:rPr>
              <w:t>代理费</w:t>
            </w:r>
          </w:p>
        </w:tc>
        <w:tc>
          <w:tcPr>
            <w:tcW w:w="7253" w:type="dxa"/>
            <w:noWrap w:val="0"/>
            <w:vAlign w:val="center"/>
          </w:tcPr>
          <w:p w14:paraId="7E4691A0">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收费对象：</w:t>
            </w:r>
          </w:p>
          <w:p w14:paraId="41D95330">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w:t>
            </w:r>
          </w:p>
          <w:p w14:paraId="7193857E">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成交供应商</w:t>
            </w:r>
          </w:p>
          <w:p w14:paraId="3973E231">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收费标准：《关于降低部分建设项目收费标准规范收费行为等有关问题的通知》[2011]534号和《招标代理服务收费管理暂行办法》（计价格[2002]1980号）以及《关于招标代理服务收费有关问题的通知》（发改办价格[2003]857号）计取；</w:t>
            </w:r>
            <w:r>
              <w:rPr>
                <w:rFonts w:hint="eastAsia" w:ascii="宋体" w:hAnsi="宋体" w:eastAsia="宋体" w:cs="宋体"/>
                <w:i w:val="0"/>
                <w:iCs w:val="0"/>
                <w:sz w:val="24"/>
                <w:highlight w:val="none"/>
                <w:lang w:val="en-US" w:eastAsia="zh-CN"/>
              </w:rPr>
              <w:t>不足3000元的按照3000收取。</w:t>
            </w:r>
          </w:p>
          <w:p w14:paraId="51605870">
            <w:pPr>
              <w:pageBreakBefore w:val="0"/>
              <w:wordWrap w:val="0"/>
              <w:topLinePunct w:val="0"/>
              <w:bidi w:val="0"/>
              <w:spacing w:after="0" w:line="360" w:lineRule="auto"/>
              <w:jc w:val="left"/>
              <w:textAlignment w:val="auto"/>
              <w:rPr>
                <w:rFonts w:hint="eastAsia" w:ascii="宋体" w:hAnsi="宋体" w:eastAsia="宋体" w:cs="宋体"/>
                <w:i w:val="0"/>
                <w:iCs w:val="0"/>
                <w:sz w:val="24"/>
              </w:rPr>
            </w:pPr>
            <w:r>
              <w:rPr>
                <w:rFonts w:hint="eastAsia" w:ascii="宋体" w:hAnsi="宋体" w:eastAsia="宋体" w:cs="宋体"/>
                <w:i w:val="0"/>
                <w:iCs w:val="0"/>
                <w:sz w:val="24"/>
                <w:highlight w:val="none"/>
              </w:rPr>
              <w:t>缴纳时间：成交供应商在领取成交通知书时一次性向采购代理机构交纳所有服务费。</w:t>
            </w:r>
          </w:p>
        </w:tc>
      </w:tr>
    </w:tbl>
    <w:p w14:paraId="0BB663D0">
      <w:pPr>
        <w:pageBreakBefore w:val="0"/>
        <w:tabs>
          <w:tab w:val="left" w:pos="5580"/>
        </w:tabs>
        <w:wordWrap w:val="0"/>
        <w:topLinePunct w:val="0"/>
        <w:bidi w:val="0"/>
        <w:adjustRightInd w:val="0"/>
        <w:spacing w:after="0" w:line="360" w:lineRule="auto"/>
        <w:jc w:val="distribute"/>
        <w:textAlignment w:val="auto"/>
        <w:rPr>
          <w:rFonts w:hint="eastAsia" w:ascii="宋体" w:hAnsi="宋体" w:eastAsia="宋体" w:cs="宋体"/>
          <w:i w:val="0"/>
          <w:iCs w:val="0"/>
          <w:sz w:val="24"/>
        </w:rPr>
        <w:sectPr>
          <w:pgSz w:w="11905" w:h="16838"/>
          <w:pgMar w:top="1474" w:right="1474" w:bottom="1474" w:left="1474" w:header="851" w:footer="992" w:gutter="0"/>
          <w:pgNumType w:fmt="decimal"/>
          <w:cols w:space="720" w:num="1"/>
          <w:rtlGutter w:val="0"/>
          <w:docGrid w:linePitch="462" w:charSpace="0"/>
        </w:sectPr>
      </w:pPr>
    </w:p>
    <w:p w14:paraId="77437998">
      <w:pPr>
        <w:pageBreakBefore w:val="0"/>
        <w:wordWrap w:val="0"/>
        <w:topLinePunct w:val="0"/>
        <w:bidi w:val="0"/>
        <w:spacing w:before="240" w:beforeLines="100" w:after="0" w:line="360" w:lineRule="auto"/>
        <w:jc w:val="center"/>
        <w:textAlignment w:val="auto"/>
        <w:rPr>
          <w:rFonts w:hint="eastAsia" w:ascii="宋体" w:hAnsi="宋体" w:eastAsia="宋体" w:cs="宋体"/>
          <w:b/>
          <w:i w:val="0"/>
          <w:iCs w:val="0"/>
          <w:sz w:val="28"/>
          <w:szCs w:val="28"/>
        </w:rPr>
      </w:pPr>
      <w:r>
        <w:rPr>
          <w:rFonts w:hint="eastAsia" w:ascii="宋体" w:hAnsi="宋体" w:eastAsia="宋体" w:cs="宋体"/>
          <w:b/>
          <w:i w:val="0"/>
          <w:iCs w:val="0"/>
          <w:sz w:val="28"/>
          <w:szCs w:val="28"/>
        </w:rPr>
        <w:t>供应商须知</w:t>
      </w:r>
    </w:p>
    <w:p w14:paraId="35AE3D55">
      <w:pPr>
        <w:pStyle w:val="4"/>
        <w:pageBreakBefore w:val="0"/>
        <w:tabs>
          <w:tab w:val="center" w:pos="4592"/>
          <w:tab w:val="left" w:pos="7860"/>
        </w:tabs>
        <w:wordWrap w:val="0"/>
        <w:topLinePunct w:val="0"/>
        <w:bidi w:val="0"/>
        <w:spacing w:before="0" w:after="0" w:line="360" w:lineRule="auto"/>
        <w:jc w:val="left"/>
        <w:textAlignment w:val="auto"/>
        <w:rPr>
          <w:rFonts w:hint="eastAsia" w:ascii="宋体" w:hAnsi="宋体" w:eastAsia="宋体" w:cs="宋体"/>
          <w:i w:val="0"/>
          <w:iCs w:val="0"/>
          <w:sz w:val="28"/>
        </w:rPr>
      </w:pPr>
      <w:bookmarkStart w:id="73" w:name="_Toc127151518"/>
      <w:bookmarkStart w:id="74" w:name="_Toc520356143"/>
      <w:r>
        <w:rPr>
          <w:rFonts w:hint="eastAsia" w:ascii="宋体" w:hAnsi="宋体" w:eastAsia="宋体" w:cs="宋体"/>
          <w:i w:val="0"/>
          <w:iCs w:val="0"/>
          <w:sz w:val="28"/>
        </w:rPr>
        <w:tab/>
      </w:r>
      <w:bookmarkStart w:id="75" w:name="_Toc195842883"/>
      <w:bookmarkStart w:id="76" w:name="_Toc151193616"/>
      <w:bookmarkStart w:id="77" w:name="_Toc151193760"/>
      <w:bookmarkStart w:id="78" w:name="_Toc264969208"/>
      <w:bookmarkStart w:id="79" w:name="_Toc150509269"/>
      <w:bookmarkStart w:id="80" w:name="_Toc142311020"/>
      <w:bookmarkStart w:id="81" w:name="_Toc226337214"/>
      <w:bookmarkStart w:id="82" w:name="_Toc151193832"/>
      <w:bookmarkStart w:id="83" w:name="_Toc226309762"/>
      <w:bookmarkStart w:id="84" w:name="_Toc226965791"/>
      <w:bookmarkStart w:id="85" w:name="_Toc151190145"/>
      <w:bookmarkStart w:id="86" w:name="_Toc305158860"/>
      <w:bookmarkStart w:id="87" w:name="_Toc226965708"/>
      <w:bookmarkStart w:id="88" w:name="_Toc151193688"/>
      <w:bookmarkStart w:id="89" w:name="_Toc265228356"/>
      <w:bookmarkStart w:id="90" w:name="_Toc150774723"/>
      <w:bookmarkStart w:id="91" w:name="_Toc151193906"/>
      <w:bookmarkStart w:id="92" w:name="_Toc305158786"/>
      <w:bookmarkStart w:id="93" w:name="_Toc150480756"/>
      <w:bookmarkStart w:id="94" w:name="_Toc150774618"/>
      <w:r>
        <w:rPr>
          <w:rFonts w:hint="eastAsia" w:ascii="宋体" w:hAnsi="宋体" w:eastAsia="宋体" w:cs="宋体"/>
          <w:i w:val="0"/>
          <w:iCs w:val="0"/>
          <w:sz w:val="28"/>
        </w:rPr>
        <w:t>一   说  明</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Fonts w:hint="eastAsia" w:ascii="宋体" w:hAnsi="宋体" w:eastAsia="宋体" w:cs="宋体"/>
          <w:i w:val="0"/>
          <w:iCs w:val="0"/>
          <w:sz w:val="28"/>
        </w:rPr>
        <w:tab/>
      </w:r>
    </w:p>
    <w:p w14:paraId="37D13AC4">
      <w:pPr>
        <w:pageBreakBefore w:val="0"/>
        <w:numPr>
          <w:ilvl w:val="0"/>
          <w:numId w:val="8"/>
        </w:numPr>
        <w:tabs>
          <w:tab w:val="left" w:pos="360"/>
          <w:tab w:val="clear" w:pos="900"/>
        </w:tabs>
        <w:wordWrap w:val="0"/>
        <w:topLinePunct w:val="0"/>
        <w:bidi w:val="0"/>
        <w:snapToGrid w:val="0"/>
        <w:spacing w:after="0" w:line="360" w:lineRule="auto"/>
        <w:ind w:left="357" w:hanging="357"/>
        <w:textAlignment w:val="auto"/>
        <w:outlineLvl w:val="2"/>
        <w:rPr>
          <w:rFonts w:hint="eastAsia" w:ascii="宋体" w:hAnsi="宋体" w:eastAsia="宋体" w:cs="宋体"/>
          <w:i w:val="0"/>
          <w:iCs w:val="0"/>
          <w:sz w:val="24"/>
        </w:rPr>
      </w:pPr>
      <w:bookmarkStart w:id="95" w:name="_Toc265228357"/>
      <w:bookmarkStart w:id="96" w:name="_Toc264969209"/>
      <w:bookmarkStart w:id="97" w:name="_Toc305158787"/>
      <w:bookmarkStart w:id="98" w:name="_Toc305158861"/>
      <w:r>
        <w:rPr>
          <w:rFonts w:hint="eastAsia" w:ascii="宋体" w:hAnsi="宋体" w:eastAsia="宋体" w:cs="宋体"/>
          <w:i w:val="0"/>
          <w:iCs w:val="0"/>
          <w:sz w:val="24"/>
        </w:rPr>
        <w:t>采购人、采购代理机构、供应商</w:t>
      </w:r>
      <w:bookmarkEnd w:id="95"/>
      <w:bookmarkEnd w:id="96"/>
      <w:bookmarkEnd w:id="97"/>
      <w:bookmarkEnd w:id="98"/>
      <w:r>
        <w:rPr>
          <w:rFonts w:hint="eastAsia" w:ascii="宋体" w:hAnsi="宋体" w:eastAsia="宋体" w:cs="宋体"/>
          <w:i w:val="0"/>
          <w:iCs w:val="0"/>
          <w:sz w:val="24"/>
        </w:rPr>
        <w:t>、联合体</w:t>
      </w:r>
    </w:p>
    <w:p w14:paraId="7F9069D9">
      <w:pPr>
        <w:pageBreakBefore w:val="0"/>
        <w:numPr>
          <w:ilvl w:val="1"/>
          <w:numId w:val="8"/>
        </w:numPr>
        <w:tabs>
          <w:tab w:val="left" w:pos="1080"/>
          <w:tab w:val="left" w:pos="2014"/>
          <w:tab w:val="left" w:pos="5521"/>
        </w:tabs>
        <w:wordWrap w:val="0"/>
        <w:topLinePunct w:val="0"/>
        <w:bidi w:val="0"/>
        <w:snapToGrid w:val="0"/>
        <w:spacing w:after="0" w:line="360" w:lineRule="auto"/>
        <w:ind w:left="1080" w:hanging="720"/>
        <w:textAlignment w:val="auto"/>
        <w:rPr>
          <w:rFonts w:hint="eastAsia" w:ascii="宋体" w:hAnsi="宋体" w:eastAsia="宋体" w:cs="宋体"/>
          <w:i w:val="0"/>
          <w:iCs w:val="0"/>
          <w:sz w:val="24"/>
        </w:rPr>
      </w:pPr>
      <w:r>
        <w:rPr>
          <w:rFonts w:hint="eastAsia" w:ascii="宋体" w:hAnsi="宋体" w:eastAsia="宋体" w:cs="宋体"/>
          <w:i w:val="0"/>
          <w:iCs w:val="0"/>
          <w:sz w:val="24"/>
        </w:rPr>
        <w:t>采购人、采购代理机构：指依法进行政府采购的国家机关、事业单位、团体组织，及其委托的采购代理机构。本项目采购人、采购代理机构见第一章《采购邀请》。</w:t>
      </w:r>
    </w:p>
    <w:p w14:paraId="77810664">
      <w:pPr>
        <w:pageBreakBefore w:val="0"/>
        <w:numPr>
          <w:ilvl w:val="1"/>
          <w:numId w:val="8"/>
        </w:numPr>
        <w:tabs>
          <w:tab w:val="left" w:pos="1080"/>
          <w:tab w:val="left" w:pos="2014"/>
          <w:tab w:val="left" w:pos="5521"/>
        </w:tabs>
        <w:wordWrap w:val="0"/>
        <w:topLinePunct w:val="0"/>
        <w:bidi w:val="0"/>
        <w:snapToGrid w:val="0"/>
        <w:spacing w:after="0" w:line="360" w:lineRule="auto"/>
        <w:ind w:left="1080" w:hanging="720"/>
        <w:textAlignment w:val="auto"/>
        <w:rPr>
          <w:rFonts w:hint="eastAsia" w:ascii="宋体" w:hAnsi="宋体" w:eastAsia="宋体" w:cs="宋体"/>
          <w:i w:val="0"/>
          <w:iCs w:val="0"/>
          <w:sz w:val="24"/>
        </w:rPr>
      </w:pPr>
      <w:r>
        <w:rPr>
          <w:rFonts w:hint="eastAsia" w:ascii="宋体" w:hAnsi="宋体" w:eastAsia="宋体" w:cs="宋体"/>
          <w:i w:val="0"/>
          <w:iCs w:val="0"/>
          <w:sz w:val="24"/>
        </w:rPr>
        <w:t>供应商（也称“申请人”）：指向采购人提供货物、工程或者服务的法人、其他组织或者自然人。</w:t>
      </w:r>
    </w:p>
    <w:p w14:paraId="28A0569D">
      <w:pPr>
        <w:pageBreakBefore w:val="0"/>
        <w:numPr>
          <w:ilvl w:val="1"/>
          <w:numId w:val="8"/>
        </w:numPr>
        <w:tabs>
          <w:tab w:val="left" w:pos="1080"/>
          <w:tab w:val="left" w:pos="2014"/>
          <w:tab w:val="left" w:pos="5521"/>
        </w:tabs>
        <w:wordWrap w:val="0"/>
        <w:topLinePunct w:val="0"/>
        <w:bidi w:val="0"/>
        <w:snapToGrid w:val="0"/>
        <w:spacing w:after="0" w:line="360" w:lineRule="auto"/>
        <w:ind w:left="1080" w:hanging="720"/>
        <w:textAlignment w:val="auto"/>
        <w:rPr>
          <w:rFonts w:hint="eastAsia" w:ascii="宋体" w:hAnsi="宋体" w:eastAsia="宋体" w:cs="宋体"/>
          <w:i w:val="0"/>
          <w:iCs w:val="0"/>
          <w:sz w:val="24"/>
        </w:rPr>
      </w:pPr>
      <w:r>
        <w:rPr>
          <w:rFonts w:hint="eastAsia" w:ascii="宋体" w:hAnsi="宋体" w:eastAsia="宋体" w:cs="宋体"/>
          <w:i w:val="0"/>
          <w:iCs w:val="0"/>
          <w:sz w:val="24"/>
        </w:rPr>
        <w:t>联合体：指两个以上的自然人、法人或者其他组织组成一个联合体，以一个供应商的身份共同参加政府采购。</w:t>
      </w:r>
    </w:p>
    <w:p w14:paraId="721C91BC">
      <w:pPr>
        <w:pageBreakBefore w:val="0"/>
        <w:numPr>
          <w:ilvl w:val="0"/>
          <w:numId w:val="8"/>
        </w:numPr>
        <w:tabs>
          <w:tab w:val="left" w:pos="360"/>
          <w:tab w:val="clear" w:pos="900"/>
        </w:tabs>
        <w:wordWrap w:val="0"/>
        <w:topLinePunct w:val="0"/>
        <w:bidi w:val="0"/>
        <w:snapToGrid w:val="0"/>
        <w:spacing w:after="0" w:line="360" w:lineRule="auto"/>
        <w:ind w:left="357" w:hanging="357"/>
        <w:textAlignment w:val="auto"/>
        <w:outlineLvl w:val="2"/>
        <w:rPr>
          <w:rFonts w:hint="eastAsia" w:ascii="宋体" w:hAnsi="宋体" w:eastAsia="宋体" w:cs="宋体"/>
          <w:i w:val="0"/>
          <w:iCs w:val="0"/>
          <w:sz w:val="24"/>
        </w:rPr>
      </w:pPr>
      <w:bookmarkStart w:id="99" w:name="_Toc151190147"/>
      <w:bookmarkStart w:id="100" w:name="_Toc226309764"/>
      <w:bookmarkStart w:id="101" w:name="_Toc150509271"/>
      <w:bookmarkStart w:id="102" w:name="_Toc151193908"/>
      <w:bookmarkStart w:id="103" w:name="_Toc305158788"/>
      <w:bookmarkStart w:id="104" w:name="_Toc226965710"/>
      <w:bookmarkStart w:id="105" w:name="_Toc226965793"/>
      <w:bookmarkStart w:id="106" w:name="_Toc151193762"/>
      <w:bookmarkStart w:id="107" w:name="_Toc164229215"/>
      <w:bookmarkStart w:id="108" w:name="_Toc150774725"/>
      <w:bookmarkStart w:id="109" w:name="_Toc151193618"/>
      <w:bookmarkStart w:id="110" w:name="_Toc142311022"/>
      <w:bookmarkStart w:id="111" w:name="_Toc150774620"/>
      <w:bookmarkStart w:id="112" w:name="_Toc305158862"/>
      <w:bookmarkStart w:id="113" w:name="_Toc149720813"/>
      <w:bookmarkStart w:id="114" w:name="_Toc164608634"/>
      <w:bookmarkStart w:id="115" w:name="_Toc195842885"/>
      <w:bookmarkStart w:id="116" w:name="_Toc164351614"/>
      <w:bookmarkStart w:id="117" w:name="_Toc151193690"/>
      <w:bookmarkStart w:id="118" w:name="_Toc127151520"/>
      <w:bookmarkStart w:id="119" w:name="_Toc164608789"/>
      <w:bookmarkStart w:id="120" w:name="_Toc164229361"/>
      <w:bookmarkStart w:id="121" w:name="_Toc265228358"/>
      <w:bookmarkStart w:id="122" w:name="_Toc127161434"/>
      <w:bookmarkStart w:id="123" w:name="_Toc264969210"/>
      <w:bookmarkStart w:id="124" w:name="_Toc150480758"/>
      <w:bookmarkStart w:id="125" w:name="_Toc127151721"/>
      <w:bookmarkStart w:id="126" w:name="_Toc226337216"/>
      <w:bookmarkStart w:id="127" w:name="_Toc151193834"/>
      <w:r>
        <w:rPr>
          <w:rFonts w:hint="eastAsia" w:ascii="宋体" w:hAnsi="宋体" w:eastAsia="宋体" w:cs="宋体"/>
          <w:i w:val="0"/>
          <w:iCs w:val="0"/>
          <w:sz w:val="24"/>
        </w:rPr>
        <w:t>资金来源</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Pr>
          <w:rFonts w:hint="eastAsia" w:ascii="宋体" w:hAnsi="宋体" w:eastAsia="宋体" w:cs="宋体"/>
          <w:i w:val="0"/>
          <w:iCs w:val="0"/>
          <w:sz w:val="24"/>
        </w:rPr>
        <w:t>、项目属性、科研仪器设备采购</w:t>
      </w:r>
    </w:p>
    <w:p w14:paraId="327CCB2C">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rPr>
      </w:pPr>
      <w:r>
        <w:rPr>
          <w:rFonts w:hint="eastAsia" w:ascii="宋体" w:hAnsi="宋体" w:eastAsia="宋体" w:cs="宋体"/>
          <w:i w:val="0"/>
          <w:iCs w:val="0"/>
          <w:sz w:val="24"/>
        </w:rPr>
        <w:t>资金来源为财政性资金和/或本项目采购中无法与财政性资金分割的非财政性资金。</w:t>
      </w:r>
    </w:p>
    <w:p w14:paraId="04FCA48C">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rPr>
      </w:pPr>
      <w:r>
        <w:rPr>
          <w:rFonts w:hint="eastAsia" w:ascii="宋体" w:hAnsi="宋体" w:eastAsia="宋体" w:cs="宋体"/>
          <w:i w:val="0"/>
          <w:iCs w:val="0"/>
          <w:sz w:val="24"/>
        </w:rPr>
        <w:t>项目属性见《供应商须知资料表》。</w:t>
      </w:r>
    </w:p>
    <w:p w14:paraId="30B0CC9A">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rPr>
      </w:pPr>
      <w:r>
        <w:rPr>
          <w:rFonts w:hint="eastAsia" w:ascii="宋体" w:hAnsi="宋体" w:eastAsia="宋体" w:cs="宋体"/>
          <w:i w:val="0"/>
          <w:iCs w:val="0"/>
          <w:sz w:val="24"/>
        </w:rPr>
        <w:t>是否属于科研仪器设备采购见《供应商须知资料表》。</w:t>
      </w:r>
    </w:p>
    <w:p w14:paraId="5216C3D2">
      <w:pPr>
        <w:pageBreakBefore w:val="0"/>
        <w:numPr>
          <w:ilvl w:val="0"/>
          <w:numId w:val="8"/>
        </w:numPr>
        <w:tabs>
          <w:tab w:val="left" w:pos="360"/>
        </w:tabs>
        <w:wordWrap w:val="0"/>
        <w:topLinePunct w:val="0"/>
        <w:bidi w:val="0"/>
        <w:snapToGrid w:val="0"/>
        <w:spacing w:after="0" w:line="360" w:lineRule="auto"/>
        <w:ind w:left="357" w:hanging="357"/>
        <w:textAlignment w:val="auto"/>
        <w:outlineLvl w:val="2"/>
        <w:rPr>
          <w:rFonts w:hint="eastAsia" w:ascii="宋体" w:hAnsi="宋体" w:eastAsia="宋体" w:cs="宋体"/>
          <w:i w:val="0"/>
          <w:iCs w:val="0"/>
          <w:sz w:val="24"/>
        </w:rPr>
      </w:pPr>
      <w:r>
        <w:rPr>
          <w:rFonts w:hint="eastAsia" w:ascii="宋体" w:hAnsi="宋体" w:eastAsia="宋体" w:cs="宋体"/>
          <w:i w:val="0"/>
          <w:iCs w:val="0"/>
          <w:sz w:val="24"/>
        </w:rPr>
        <w:t>现场考察、磋商前答疑会</w:t>
      </w:r>
    </w:p>
    <w:p w14:paraId="4D22BF37">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8"/>
        </w:rPr>
      </w:pPr>
      <w:r>
        <w:rPr>
          <w:rFonts w:hint="eastAsia" w:ascii="宋体" w:hAnsi="宋体" w:eastAsia="宋体" w:cs="宋体"/>
          <w:i w:val="0"/>
          <w:iCs w:val="0"/>
          <w:sz w:val="24"/>
        </w:rPr>
        <w:t>若《供应商须知资料表》中规定了组织现场考察、召开磋商前答疑会，则供应商应按要求在规定的时间和地点参加。</w:t>
      </w:r>
      <w:bookmarkStart w:id="128" w:name="_Toc520356146"/>
      <w:bookmarkStart w:id="129" w:name="_Toc142311024"/>
      <w:bookmarkStart w:id="130" w:name="_Toc264969212"/>
      <w:bookmarkStart w:id="131" w:name="_Toc150480760"/>
      <w:bookmarkStart w:id="132" w:name="_Toc305158864"/>
      <w:bookmarkStart w:id="133" w:name="_Toc226965712"/>
      <w:bookmarkStart w:id="134" w:name="_Toc226965795"/>
      <w:bookmarkStart w:id="135" w:name="_Toc151193620"/>
      <w:bookmarkStart w:id="136" w:name="_Toc150774622"/>
      <w:bookmarkStart w:id="137" w:name="_Toc226337218"/>
      <w:bookmarkStart w:id="138" w:name="_Toc305158790"/>
      <w:bookmarkStart w:id="139" w:name="_Toc150509273"/>
      <w:bookmarkStart w:id="140" w:name="_Toc151190149"/>
      <w:bookmarkStart w:id="141" w:name="_Toc151193764"/>
      <w:bookmarkStart w:id="142" w:name="_Toc127151522"/>
      <w:bookmarkStart w:id="143" w:name="_Toc151193692"/>
      <w:bookmarkStart w:id="144" w:name="_Toc226309766"/>
      <w:bookmarkStart w:id="145" w:name="_Toc151193910"/>
      <w:bookmarkStart w:id="146" w:name="_Toc150774727"/>
      <w:bookmarkStart w:id="147" w:name="_Toc265228360"/>
      <w:bookmarkStart w:id="148" w:name="_Toc195842887"/>
      <w:bookmarkStart w:id="149" w:name="_Toc151193836"/>
    </w:p>
    <w:p w14:paraId="193F764E">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rPr>
        <w:t>由于未参加现场考察或磋商前答疑会而导致对项目实际情况不了解，影响响应文件编制、报</w:t>
      </w:r>
      <w:r>
        <w:rPr>
          <w:rFonts w:hint="eastAsia" w:ascii="宋体" w:hAnsi="宋体" w:eastAsia="宋体" w:cs="宋体"/>
          <w:i w:val="0"/>
          <w:iCs w:val="0"/>
          <w:sz w:val="24"/>
          <w:highlight w:val="none"/>
        </w:rPr>
        <w:t>价准确性、综合因素响应不全面等问题的，由供应商自行承担不利评审后果。</w:t>
      </w:r>
    </w:p>
    <w:p w14:paraId="1755A186">
      <w:pPr>
        <w:pageBreakBefore w:val="0"/>
        <w:numPr>
          <w:ilvl w:val="0"/>
          <w:numId w:val="8"/>
        </w:numPr>
        <w:tabs>
          <w:tab w:val="left" w:pos="360"/>
          <w:tab w:val="clear" w:pos="900"/>
        </w:tabs>
        <w:wordWrap w:val="0"/>
        <w:topLinePunct w:val="0"/>
        <w:bidi w:val="0"/>
        <w:snapToGrid w:val="0"/>
        <w:spacing w:after="0" w:line="360" w:lineRule="auto"/>
        <w:ind w:left="357" w:hanging="357"/>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政府采购政策（包括但不限于下列具体政策要求）</w:t>
      </w:r>
    </w:p>
    <w:p w14:paraId="68A255BA">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采购本国货物、工程和服务</w:t>
      </w:r>
    </w:p>
    <w:p w14:paraId="36AC7CFB">
      <w:pPr>
        <w:pageBreakBefore w:val="0"/>
        <w:numPr>
          <w:ilvl w:val="2"/>
          <w:numId w:val="8"/>
        </w:numPr>
        <w:tabs>
          <w:tab w:val="left" w:pos="2014"/>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政府采购应当采购本国货物、工程和服务。但有《中华人民共和国政府采购法》第十条规定情形的除外。</w:t>
      </w:r>
    </w:p>
    <w:p w14:paraId="6BE7CB51">
      <w:pPr>
        <w:pageBreakBefore w:val="0"/>
        <w:numPr>
          <w:ilvl w:val="2"/>
          <w:numId w:val="8"/>
        </w:numPr>
        <w:tabs>
          <w:tab w:val="left" w:pos="2014"/>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本项目如接受非本国货物、工程、服务参与投标</w:t>
      </w:r>
      <w:r>
        <w:rPr>
          <w:rFonts w:hint="eastAsia" w:ascii="宋体" w:hAnsi="宋体" w:cs="宋体"/>
          <w:i w:val="0"/>
          <w:iCs w:val="0"/>
          <w:sz w:val="24"/>
          <w:highlight w:val="none"/>
          <w:lang w:eastAsia="zh-CN"/>
        </w:rPr>
        <w:t>（</w:t>
      </w:r>
      <w:r>
        <w:rPr>
          <w:rFonts w:hint="eastAsia" w:ascii="宋体" w:hAnsi="宋体" w:cs="宋体"/>
          <w:i w:val="0"/>
          <w:iCs w:val="0"/>
          <w:sz w:val="24"/>
          <w:highlight w:val="none"/>
          <w:lang w:val="en-US" w:eastAsia="zh-CN"/>
        </w:rPr>
        <w:t>响应</w:t>
      </w:r>
      <w:r>
        <w:rPr>
          <w:rFonts w:hint="eastAsia" w:ascii="宋体" w:hAnsi="宋体" w:cs="宋体"/>
          <w:i w:val="0"/>
          <w:iCs w:val="0"/>
          <w:sz w:val="24"/>
          <w:highlight w:val="none"/>
          <w:lang w:eastAsia="zh-CN"/>
        </w:rPr>
        <w:t>）</w:t>
      </w:r>
      <w:r>
        <w:rPr>
          <w:rFonts w:hint="eastAsia" w:ascii="宋体" w:hAnsi="宋体" w:eastAsia="宋体" w:cs="宋体"/>
          <w:i w:val="0"/>
          <w:iCs w:val="0"/>
          <w:sz w:val="24"/>
          <w:highlight w:val="none"/>
        </w:rPr>
        <w:t>，则具体要求见第四章《采购需求》。</w:t>
      </w:r>
    </w:p>
    <w:p w14:paraId="1CE41DFF">
      <w:pPr>
        <w:pageBreakBefore w:val="0"/>
        <w:numPr>
          <w:ilvl w:val="2"/>
          <w:numId w:val="8"/>
        </w:numPr>
        <w:tabs>
          <w:tab w:val="left" w:pos="2014"/>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val="en-US" w:eastAsia="zh-CN"/>
        </w:rPr>
        <w:t>进口产品</w:t>
      </w:r>
      <w:r>
        <w:rPr>
          <w:rFonts w:hint="eastAsia" w:ascii="宋体" w:hAnsi="宋体" w:eastAsia="宋体" w:cs="宋体"/>
          <w:i w:val="0"/>
          <w:iCs w:val="0"/>
          <w:sz w:val="24"/>
          <w:highlight w:val="none"/>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69FB693F">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本国产品</w:t>
      </w:r>
    </w:p>
    <w:p w14:paraId="191EE9C1">
      <w:pPr>
        <w:pageBreakBefore w:val="0"/>
        <w:numPr>
          <w:ilvl w:val="0"/>
          <w:numId w:val="0"/>
        </w:numPr>
        <w:tabs>
          <w:tab w:val="left" w:pos="1080"/>
          <w:tab w:val="left" w:pos="2014"/>
        </w:tabs>
        <w:wordWrap w:val="0"/>
        <w:topLinePunct w:val="0"/>
        <w:bidi w:val="0"/>
        <w:snapToGrid w:val="0"/>
        <w:spacing w:after="0" w:line="360" w:lineRule="auto"/>
        <w:ind w:left="360" w:leftChars="0"/>
        <w:textAlignment w:val="auto"/>
        <w:rPr>
          <w:rFonts w:hint="eastAsia" w:ascii="宋体" w:hAnsi="宋体" w:eastAsia="宋体" w:cs="宋体"/>
          <w:i w:val="0"/>
          <w:iCs w:val="0"/>
          <w:sz w:val="24"/>
          <w:highlight w:val="none"/>
        </w:rPr>
      </w:pPr>
      <w:r>
        <w:rPr>
          <w:rFonts w:hint="eastAsia" w:ascii="宋体" w:hAnsi="宋体" w:cs="宋体"/>
          <w:i w:val="0"/>
          <w:iCs w:val="0"/>
          <w:sz w:val="24"/>
          <w:highlight w:val="none"/>
          <w:lang w:val="en-US" w:eastAsia="zh-CN"/>
        </w:rPr>
        <w:tab/>
      </w:r>
      <w:r>
        <w:rPr>
          <w:rFonts w:hint="eastAsia" w:ascii="宋体" w:hAnsi="宋体" w:eastAsia="宋体" w:cs="宋体"/>
          <w:i w:val="0"/>
          <w:iCs w:val="0"/>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本国产品标准。</w:t>
      </w:r>
    </w:p>
    <w:p w14:paraId="499CE489">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中小企业、监狱企业及残疾人福利性单位</w:t>
      </w:r>
    </w:p>
    <w:p w14:paraId="7C544F77">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中小企业定义：</w:t>
      </w:r>
    </w:p>
    <w:p w14:paraId="4F5652A2">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2022〕19 号）、《政府采购促进中小企业发展管理办法》（财库〔2020〕46号）、《关于印发中小企业划型标准规定的通知》（工信部联企业〔2011〕300号）</w:t>
      </w:r>
      <w:r>
        <w:rPr>
          <w:rFonts w:hint="eastAsia" w:ascii="宋体" w:hAnsi="宋体" w:cs="宋体"/>
          <w:i w:val="0"/>
          <w:iCs w:val="0"/>
          <w:color w:val="000000"/>
          <w:sz w:val="24"/>
          <w:highlight w:val="none"/>
          <w:lang w:eastAsia="zh-CN"/>
        </w:rPr>
        <w:t>、</w:t>
      </w:r>
      <w:r>
        <w:rPr>
          <w:rFonts w:hint="eastAsia" w:ascii="宋体" w:hAnsi="宋体" w:cs="宋体"/>
          <w:i w:val="0"/>
          <w:iCs w:val="0"/>
          <w:color w:val="000000"/>
          <w:sz w:val="24"/>
          <w:highlight w:val="none"/>
          <w:lang w:val="en-US" w:eastAsia="zh-CN"/>
        </w:rPr>
        <w:t>《金融业企业划型标准规定》（〔2015〕309号）等国务院批准的中小企业划分标准执行</w:t>
      </w:r>
      <w:r>
        <w:rPr>
          <w:rFonts w:hint="eastAsia" w:ascii="宋体" w:hAnsi="宋体" w:eastAsia="宋体" w:cs="宋体"/>
          <w:i w:val="0"/>
          <w:iCs w:val="0"/>
          <w:color w:val="000000"/>
          <w:sz w:val="24"/>
          <w:highlight w:val="none"/>
        </w:rPr>
        <w:t>。</w:t>
      </w:r>
    </w:p>
    <w:p w14:paraId="1DB39E12">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sz w:val="24"/>
          <w:highlight w:val="none"/>
        </w:rPr>
        <w:t>供应商提供的货物、工程或者服务符合下列情形的，享受中小企业扶持政策：</w:t>
      </w:r>
    </w:p>
    <w:p w14:paraId="601335F4">
      <w:pPr>
        <w:pageBreakBefore w:val="0"/>
        <w:tabs>
          <w:tab w:val="left" w:pos="1980"/>
        </w:tabs>
        <w:wordWrap w:val="0"/>
        <w:topLinePunct w:val="0"/>
        <w:bidi w:val="0"/>
        <w:snapToGrid w:val="0"/>
        <w:spacing w:after="0" w:line="360" w:lineRule="auto"/>
        <w:ind w:left="2835" w:leftChars="1350"/>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（1）在货物采购项目中，货物由中小企业制造，即货物由中小企业生产且使用该中小企业商号或者注册商标；</w:t>
      </w:r>
    </w:p>
    <w:p w14:paraId="7B0EE987">
      <w:pPr>
        <w:pageBreakBefore w:val="0"/>
        <w:tabs>
          <w:tab w:val="left" w:pos="1980"/>
        </w:tabs>
        <w:wordWrap w:val="0"/>
        <w:topLinePunct w:val="0"/>
        <w:bidi w:val="0"/>
        <w:snapToGrid w:val="0"/>
        <w:spacing w:after="0" w:line="360" w:lineRule="auto"/>
        <w:ind w:left="2835" w:leftChars="1350"/>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（2）在工程采购项目中，工程由中小企业承建，即工程施工单位为中小企业；</w:t>
      </w:r>
    </w:p>
    <w:p w14:paraId="05CB65DD">
      <w:pPr>
        <w:pageBreakBefore w:val="0"/>
        <w:tabs>
          <w:tab w:val="left" w:pos="1980"/>
        </w:tabs>
        <w:wordWrap w:val="0"/>
        <w:topLinePunct w:val="0"/>
        <w:bidi w:val="0"/>
        <w:snapToGrid w:val="0"/>
        <w:spacing w:after="0" w:line="360" w:lineRule="auto"/>
        <w:ind w:left="2835" w:leftChars="1350"/>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（3）在服务采购项目中，服务由中小企业承接，即提供服务的人员为中小企业依照《中华人民共和国劳动合同法》订立劳动合同的从业人员。</w:t>
      </w:r>
    </w:p>
    <w:p w14:paraId="36A8C94D">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在货物采购项目中，供应商提供的货物既有中小企业制造货物，也有大型企业制造货物的，不享受中小企业扶持政策。</w:t>
      </w:r>
    </w:p>
    <w:p w14:paraId="4B3CB696">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sz w:val="24"/>
          <w:highlight w:val="none"/>
        </w:rPr>
      </w:pPr>
      <w:r>
        <w:rPr>
          <w:rFonts w:hint="eastAsia" w:ascii="宋体" w:hAnsi="宋体" w:eastAsia="宋体" w:cs="宋体"/>
          <w:i w:val="0"/>
          <w:iCs w:val="0"/>
          <w:color w:val="000000"/>
          <w:sz w:val="24"/>
          <w:highlight w:val="none"/>
        </w:rPr>
        <w:t>以联合体形式参加政府采购活动，联合体各方均为中小企业的，联合体视同中小企业。其中，联合体各方均为小微企业的，联合体视同小微企业。</w:t>
      </w:r>
    </w:p>
    <w:p w14:paraId="47615DF1">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在政府采购活动中，监狱企业视同小型、微型企业，享受预留份额、 评审中价格扣除等政府采购促进中小企业发展的政府采购政策。监狱企业定义：是指由司法部认定的为罪犯、戒毒人员</w:t>
      </w:r>
      <w:r>
        <w:rPr>
          <w:rFonts w:hint="eastAsia" w:ascii="宋体" w:hAnsi="宋体" w:eastAsia="宋体" w:cs="宋体"/>
          <w:i w:val="0"/>
          <w:iCs w:val="0"/>
          <w:sz w:val="24"/>
          <w:highlight w:val="none"/>
          <w:lang w:val="en-US" w:eastAsia="zh-CN"/>
        </w:rPr>
        <w:t>提</w:t>
      </w:r>
      <w:r>
        <w:rPr>
          <w:rFonts w:hint="eastAsia" w:ascii="宋体" w:hAnsi="宋体" w:eastAsia="宋体" w:cs="宋体"/>
          <w:i w:val="0"/>
          <w:iCs w:val="0"/>
          <w:sz w:val="24"/>
          <w:highlight w:val="none"/>
        </w:rPr>
        <w:t>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2ACAA450">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3AD629E3">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安置的残疾人占本单位在职职工人数的比例不低于25%（含25%），并且安置的残疾人人数不少于10 人（含10 人）；</w:t>
      </w:r>
    </w:p>
    <w:p w14:paraId="224DDF97">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sz w:val="24"/>
          <w:highlight w:val="none"/>
        </w:rPr>
        <w:t>依法与安置的每位残疾人签订了一年以上（含一年）的劳动合同或服务协议；</w:t>
      </w:r>
    </w:p>
    <w:p w14:paraId="211C1530">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sz w:val="24"/>
          <w:highlight w:val="none"/>
        </w:rPr>
        <w:t>为安置的每位残疾人按月足额缴纳了基本养老保险、基本医疗保险、失业保险、工伤保险和生育保险等社会保险费；</w:t>
      </w:r>
    </w:p>
    <w:p w14:paraId="480CF23D">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sz w:val="24"/>
          <w:highlight w:val="none"/>
        </w:rPr>
        <w:t>通过银行等金融机构向安置的每位残疾人，按月支付了不低于单位所在区县适用的经省级人民政府批准的月最低工资标准的工资；</w:t>
      </w:r>
    </w:p>
    <w:p w14:paraId="26370B05">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sz w:val="24"/>
          <w:highlight w:val="none"/>
        </w:rPr>
        <w:t>提供本单位制造的货物、承担的工程或者服务（以下简称产品），或者提供其他残疾人福利性单位制造的货物（不包括使用非残疾人福利性单位注册商标的货物）；</w:t>
      </w:r>
    </w:p>
    <w:p w14:paraId="56910F67">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3FF668BB">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本项目是否专门面向中小企业预留采购份额见第一章《采购邀请》。</w:t>
      </w:r>
    </w:p>
    <w:p w14:paraId="1BED6DEC">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采购标的对应的中小企业划分标准所属行业见《供应商须知资料表》。</w:t>
      </w:r>
    </w:p>
    <w:p w14:paraId="6BD83BCF">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小微企业价格评审优惠的政策调整：见第三章《评审方法和评审标准》。</w:t>
      </w:r>
    </w:p>
    <w:p w14:paraId="49BECDAC">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政府采购节能产品、环境标志产品</w:t>
      </w:r>
    </w:p>
    <w:p w14:paraId="3DF42B2F">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41F2F3EA">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045F686E">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如本项目采购产品属于实施政府强制采购品目清单范围的节能产品，则供应商所报产品必须获得国家确定的认证机构出具的、处于有效期之内的节能产品认证证书，</w:t>
      </w:r>
      <w:r>
        <w:rPr>
          <w:rFonts w:hint="eastAsia" w:ascii="宋体" w:hAnsi="宋体" w:eastAsia="宋体" w:cs="宋体"/>
          <w:i w:val="0"/>
          <w:iCs w:val="0"/>
          <w:kern w:val="0"/>
          <w:sz w:val="24"/>
          <w:highlight w:val="none"/>
        </w:rPr>
        <w:t>否则</w:t>
      </w:r>
      <w:r>
        <w:rPr>
          <w:rFonts w:hint="eastAsia" w:ascii="宋体" w:hAnsi="宋体" w:eastAsia="宋体" w:cs="宋体"/>
          <w:b/>
          <w:i w:val="0"/>
          <w:iCs w:val="0"/>
          <w:kern w:val="0"/>
          <w:sz w:val="24"/>
          <w:highlight w:val="none"/>
        </w:rPr>
        <w:t>响应无效</w:t>
      </w:r>
      <w:r>
        <w:rPr>
          <w:rFonts w:hint="eastAsia" w:ascii="宋体" w:hAnsi="宋体" w:eastAsia="宋体" w:cs="宋体"/>
          <w:i w:val="0"/>
          <w:iCs w:val="0"/>
          <w:sz w:val="24"/>
          <w:highlight w:val="none"/>
        </w:rPr>
        <w:t>；</w:t>
      </w:r>
    </w:p>
    <w:p w14:paraId="0C4CA5C4">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非政府强制采购的节能产品或环境标志产品，依据品目清单和认证证书实施政府优先采购。优先采购的具体规定见第三章《评审方法和评审标准》（如涉及）。</w:t>
      </w:r>
    </w:p>
    <w:p w14:paraId="11C8921D">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正版软件</w:t>
      </w:r>
    </w:p>
    <w:p w14:paraId="08FF6090">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号）、《国务院办公厅关于进一步做好政府机关使用正版软件工作的通知》（国办发〔2010〕47号）、《财政部关于进一步做好政府机关使用正版软件工作的通知》（财预〔2010〕536号）。</w:t>
      </w:r>
    </w:p>
    <w:p w14:paraId="4C5BB106">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网络安全专用产品</w:t>
      </w:r>
    </w:p>
    <w:p w14:paraId="19675814">
      <w:pPr>
        <w:pageBreakBefore w:val="0"/>
        <w:numPr>
          <w:ilvl w:val="2"/>
          <w:numId w:val="8"/>
        </w:numPr>
        <w:tabs>
          <w:tab w:val="left" w:pos="2014"/>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5B7ACA38">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推广使用低挥发性有机化合物（VOCs）</w:t>
      </w:r>
    </w:p>
    <w:p w14:paraId="392FFC2A">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含量限制标准（具体标准见第四章《采购需求》），</w:t>
      </w:r>
      <w:r>
        <w:rPr>
          <w:rFonts w:hint="eastAsia" w:ascii="宋体" w:hAnsi="宋体" w:eastAsia="宋体" w:cs="宋体"/>
          <w:i w:val="0"/>
          <w:iCs w:val="0"/>
          <w:kern w:val="0"/>
          <w:sz w:val="24"/>
          <w:highlight w:val="none"/>
        </w:rPr>
        <w:t>否则</w:t>
      </w:r>
      <w:r>
        <w:rPr>
          <w:rFonts w:hint="eastAsia" w:ascii="宋体" w:hAnsi="宋体" w:eastAsia="宋体" w:cs="宋体"/>
          <w:b/>
          <w:i w:val="0"/>
          <w:iCs w:val="0"/>
          <w:kern w:val="0"/>
          <w:sz w:val="24"/>
          <w:highlight w:val="none"/>
        </w:rPr>
        <w:t>响应无效</w:t>
      </w:r>
      <w:r>
        <w:rPr>
          <w:rFonts w:hint="eastAsia" w:ascii="宋体" w:hAnsi="宋体" w:eastAsia="宋体" w:cs="宋体"/>
          <w:i w:val="0"/>
          <w:iCs w:val="0"/>
          <w:sz w:val="24"/>
          <w:highlight w:val="none"/>
        </w:rPr>
        <w:t>；属于推荐性标准的，优先采购，具体见第三章《评审方法和评审标准》。</w:t>
      </w:r>
    </w:p>
    <w:p w14:paraId="55544602">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val="en-US" w:eastAsia="zh-CN"/>
        </w:rPr>
        <w:t>采购需求标准</w:t>
      </w:r>
    </w:p>
    <w:p w14:paraId="54F2D3B2">
      <w:pPr>
        <w:pageBreakBefore w:val="0"/>
        <w:numPr>
          <w:ilvl w:val="2"/>
          <w:numId w:val="8"/>
        </w:numPr>
        <w:tabs>
          <w:tab w:val="left" w:pos="2014"/>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商品包装、快递包装政府采购需求标准（试行）</w:t>
      </w:r>
    </w:p>
    <w:p w14:paraId="22CBB602">
      <w:pPr>
        <w:pageBreakBefore w:val="0"/>
        <w:numPr>
          <w:ilvl w:val="0"/>
          <w:numId w:val="0"/>
        </w:numPr>
        <w:tabs>
          <w:tab w:val="left" w:pos="2014"/>
        </w:tabs>
        <w:wordWrap w:val="0"/>
        <w:topLinePunct w:val="0"/>
        <w:bidi w:val="0"/>
        <w:snapToGrid w:val="0"/>
        <w:spacing w:after="0" w:line="360" w:lineRule="auto"/>
        <w:ind w:left="1900" w:leftChars="0" w:firstLine="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为助力打好污染防治攻坚战，推广使用绿色包装，根据财政部关于印发《商品包装政府采购需求标准（试行）</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快递包装政府采购需求标准（试行）》的通知（财办库〔2020〕123 号），本项目如涉及商品包装和快递包装的，则其具体要求见第</w:t>
      </w:r>
      <w:r>
        <w:rPr>
          <w:rFonts w:hint="eastAsia" w:ascii="宋体" w:hAnsi="宋体" w:eastAsia="宋体" w:cs="宋体"/>
          <w:i w:val="0"/>
          <w:iCs w:val="0"/>
          <w:sz w:val="24"/>
          <w:highlight w:val="none"/>
          <w:lang w:val="en-US" w:eastAsia="zh-CN"/>
        </w:rPr>
        <w:t>四</w:t>
      </w:r>
      <w:r>
        <w:rPr>
          <w:rFonts w:hint="eastAsia" w:ascii="宋体" w:hAnsi="宋体" w:eastAsia="宋体" w:cs="宋体"/>
          <w:i w:val="0"/>
          <w:iCs w:val="0"/>
          <w:sz w:val="24"/>
          <w:highlight w:val="none"/>
        </w:rPr>
        <w:t>章《采购需求》。</w:t>
      </w:r>
    </w:p>
    <w:p w14:paraId="41908CE9">
      <w:pPr>
        <w:pageBreakBefore w:val="0"/>
        <w:numPr>
          <w:ilvl w:val="2"/>
          <w:numId w:val="8"/>
        </w:numPr>
        <w:tabs>
          <w:tab w:val="left" w:pos="2014"/>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其他政府采购需求标准</w:t>
      </w:r>
    </w:p>
    <w:p w14:paraId="79FB6B7E">
      <w:pPr>
        <w:pageBreakBefore w:val="0"/>
        <w:numPr>
          <w:ilvl w:val="0"/>
          <w:numId w:val="0"/>
        </w:numPr>
        <w:tabs>
          <w:tab w:val="left" w:pos="2014"/>
        </w:tabs>
        <w:wordWrap w:val="0"/>
        <w:topLinePunct w:val="0"/>
        <w:bidi w:val="0"/>
        <w:snapToGrid w:val="0"/>
        <w:spacing w:after="0" w:line="360" w:lineRule="auto"/>
        <w:ind w:left="1900" w:leftChars="0" w:firstLine="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为贯彻落实《深化政府采购制度改革方案》有关要求，推动政府采购需求标准建设，财政部门会同有关部门制定发布的其他政府采购需求标准，本项目如涉及，则具体要求见第</w:t>
      </w:r>
      <w:r>
        <w:rPr>
          <w:rFonts w:hint="eastAsia" w:ascii="宋体" w:hAnsi="宋体" w:cs="宋体"/>
          <w:i w:val="0"/>
          <w:iCs w:val="0"/>
          <w:sz w:val="24"/>
          <w:highlight w:val="none"/>
          <w:lang w:val="en-US" w:eastAsia="zh-CN"/>
        </w:rPr>
        <w:t>四</w:t>
      </w:r>
      <w:r>
        <w:rPr>
          <w:rFonts w:hint="eastAsia" w:ascii="宋体" w:hAnsi="宋体" w:eastAsia="宋体" w:cs="宋体"/>
          <w:i w:val="0"/>
          <w:iCs w:val="0"/>
          <w:sz w:val="24"/>
          <w:highlight w:val="none"/>
        </w:rPr>
        <w:t>章《采购需求》。</w:t>
      </w:r>
    </w:p>
    <w:p w14:paraId="645B5555">
      <w:pPr>
        <w:pageBreakBefore w:val="0"/>
        <w:numPr>
          <w:ilvl w:val="0"/>
          <w:numId w:val="8"/>
        </w:numPr>
        <w:tabs>
          <w:tab w:val="left" w:pos="360"/>
        </w:tabs>
        <w:wordWrap w:val="0"/>
        <w:topLinePunct w:val="0"/>
        <w:bidi w:val="0"/>
        <w:snapToGrid w:val="0"/>
        <w:spacing w:after="0" w:line="360" w:lineRule="auto"/>
        <w:ind w:left="357" w:hanging="357"/>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响应费用</w:t>
      </w:r>
    </w:p>
    <w:p w14:paraId="68ED138C">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供应商应自行承担所有与准备和参加磋商有关的费用，无论磋商的结果如何，采购人或采购代理机构在任何情况下均无承担这些费用的义务和责任。</w:t>
      </w:r>
    </w:p>
    <w:p w14:paraId="713C9ECE">
      <w:pPr>
        <w:pageBreakBefore w:val="0"/>
        <w:tabs>
          <w:tab w:val="left" w:pos="1080"/>
        </w:tabs>
        <w:wordWrap w:val="0"/>
        <w:topLinePunct w:val="0"/>
        <w:bidi w:val="0"/>
        <w:snapToGrid w:val="0"/>
        <w:spacing w:after="0" w:line="360" w:lineRule="auto"/>
        <w:ind w:left="1080"/>
        <w:textAlignment w:val="auto"/>
        <w:rPr>
          <w:rFonts w:hint="eastAsia" w:ascii="宋体" w:hAnsi="宋体" w:eastAsia="宋体" w:cs="宋体"/>
          <w:i w:val="0"/>
          <w:iCs w:val="0"/>
          <w:sz w:val="28"/>
          <w:highlight w:val="none"/>
        </w:rPr>
      </w:pPr>
      <w:bookmarkStart w:id="150" w:name="_1.8_计量单位"/>
      <w:bookmarkEnd w:id="150"/>
    </w:p>
    <w:p w14:paraId="7B343AB9">
      <w:pPr>
        <w:pStyle w:val="4"/>
        <w:pageBreakBefore w:val="0"/>
        <w:wordWrap w:val="0"/>
        <w:topLinePunct w:val="0"/>
        <w:bidi w:val="0"/>
        <w:spacing w:before="0" w:after="0" w:line="360" w:lineRule="auto"/>
        <w:textAlignment w:val="auto"/>
        <w:rPr>
          <w:rFonts w:hint="eastAsia" w:ascii="宋体" w:hAnsi="宋体" w:eastAsia="宋体" w:cs="宋体"/>
          <w:i w:val="0"/>
          <w:iCs w:val="0"/>
          <w:sz w:val="28"/>
          <w:highlight w:val="none"/>
        </w:rPr>
      </w:pPr>
      <w:r>
        <w:rPr>
          <w:rFonts w:hint="eastAsia" w:ascii="宋体" w:hAnsi="宋体" w:eastAsia="宋体" w:cs="宋体"/>
          <w:i w:val="0"/>
          <w:iCs w:val="0"/>
          <w:sz w:val="28"/>
          <w:highlight w:val="none"/>
        </w:rPr>
        <w:t>二   竞争性磋商文件</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14:paraId="6CBE43BE">
      <w:pPr>
        <w:pageBreakBefore w:val="0"/>
        <w:numPr>
          <w:ilvl w:val="0"/>
          <w:numId w:val="8"/>
        </w:numPr>
        <w:tabs>
          <w:tab w:val="left" w:pos="360"/>
        </w:tabs>
        <w:wordWrap w:val="0"/>
        <w:topLinePunct w:val="0"/>
        <w:bidi w:val="0"/>
        <w:snapToGrid w:val="0"/>
        <w:spacing w:after="0" w:line="360" w:lineRule="auto"/>
        <w:ind w:left="357" w:hanging="357"/>
        <w:textAlignment w:val="auto"/>
        <w:outlineLvl w:val="2"/>
        <w:rPr>
          <w:rFonts w:hint="eastAsia" w:ascii="宋体" w:hAnsi="宋体" w:eastAsia="宋体" w:cs="宋体"/>
          <w:i w:val="0"/>
          <w:iCs w:val="0"/>
          <w:sz w:val="24"/>
          <w:highlight w:val="none"/>
        </w:rPr>
      </w:pPr>
      <w:bookmarkStart w:id="151" w:name="_Toc149720816"/>
      <w:bookmarkStart w:id="152" w:name="_Toc127151523"/>
      <w:bookmarkStart w:id="153" w:name="_Toc226965796"/>
      <w:bookmarkStart w:id="154" w:name="_Toc127151724"/>
      <w:bookmarkStart w:id="155" w:name="_Toc195842888"/>
      <w:bookmarkStart w:id="156" w:name="_Toc520356147"/>
      <w:bookmarkStart w:id="157" w:name="_Toc305158791"/>
      <w:bookmarkStart w:id="158" w:name="_Toc150509274"/>
      <w:bookmarkStart w:id="159" w:name="_Toc164351617"/>
      <w:bookmarkStart w:id="160" w:name="_Toc265228361"/>
      <w:bookmarkStart w:id="161" w:name="_Toc150774623"/>
      <w:bookmarkStart w:id="162" w:name="_Toc164608637"/>
      <w:bookmarkStart w:id="163" w:name="_Toc142311025"/>
      <w:bookmarkStart w:id="164" w:name="_Toc127161437"/>
      <w:bookmarkStart w:id="165" w:name="_Toc164229364"/>
      <w:bookmarkStart w:id="166" w:name="_Toc226309767"/>
      <w:bookmarkStart w:id="167" w:name="_Toc151193837"/>
      <w:bookmarkStart w:id="168" w:name="_Toc150774728"/>
      <w:bookmarkStart w:id="169" w:name="_Toc151193765"/>
      <w:bookmarkStart w:id="170" w:name="_Toc164608792"/>
      <w:bookmarkStart w:id="171" w:name="_Toc151190150"/>
      <w:bookmarkStart w:id="172" w:name="_Toc264969213"/>
      <w:bookmarkStart w:id="173" w:name="_Toc164229218"/>
      <w:bookmarkStart w:id="174" w:name="_Toc150480761"/>
      <w:bookmarkStart w:id="175" w:name="_Toc226337219"/>
      <w:bookmarkStart w:id="176" w:name="_Toc151193911"/>
      <w:bookmarkStart w:id="177" w:name="_Toc226965713"/>
      <w:bookmarkStart w:id="178" w:name="_Toc151193693"/>
      <w:bookmarkStart w:id="179" w:name="_Toc151193621"/>
      <w:bookmarkStart w:id="180" w:name="_Toc305158865"/>
      <w:r>
        <w:rPr>
          <w:rFonts w:hint="eastAsia" w:ascii="宋体" w:hAnsi="宋体" w:eastAsia="宋体" w:cs="宋体"/>
          <w:i w:val="0"/>
          <w:iCs w:val="0"/>
          <w:sz w:val="24"/>
          <w:highlight w:val="none"/>
        </w:rPr>
        <w:t>竞争性磋商文件构</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Fonts w:hint="eastAsia" w:ascii="宋体" w:hAnsi="宋体" w:eastAsia="宋体" w:cs="宋体"/>
          <w:i w:val="0"/>
          <w:iCs w:val="0"/>
          <w:sz w:val="24"/>
          <w:highlight w:val="none"/>
        </w:rPr>
        <w:t>成</w:t>
      </w:r>
    </w:p>
    <w:p w14:paraId="66222679">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竞争性磋商文件包括以下部分：</w:t>
      </w:r>
    </w:p>
    <w:p w14:paraId="2F073AFF">
      <w:pPr>
        <w:pageBreakBefore w:val="0"/>
        <w:numPr>
          <w:ilvl w:val="0"/>
          <w:numId w:val="9"/>
        </w:numPr>
        <w:tabs>
          <w:tab w:val="left" w:pos="1980"/>
          <w:tab w:val="left" w:pos="2520"/>
        </w:tabs>
        <w:wordWrap w:val="0"/>
        <w:topLinePunct w:val="0"/>
        <w:bidi w:val="0"/>
        <w:snapToGrid w:val="0"/>
        <w:spacing w:after="0" w:line="360" w:lineRule="auto"/>
        <w:ind w:left="1440" w:firstLine="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采购邀请</w:t>
      </w:r>
    </w:p>
    <w:p w14:paraId="6F1C07E5">
      <w:pPr>
        <w:pageBreakBefore w:val="0"/>
        <w:numPr>
          <w:ilvl w:val="0"/>
          <w:numId w:val="9"/>
        </w:numPr>
        <w:tabs>
          <w:tab w:val="left" w:pos="1980"/>
          <w:tab w:val="left" w:pos="2520"/>
        </w:tabs>
        <w:wordWrap w:val="0"/>
        <w:topLinePunct w:val="0"/>
        <w:bidi w:val="0"/>
        <w:snapToGrid w:val="0"/>
        <w:spacing w:after="0" w:line="360" w:lineRule="auto"/>
        <w:ind w:left="1440" w:firstLine="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供应商须知</w:t>
      </w:r>
    </w:p>
    <w:p w14:paraId="5FA7FB3C">
      <w:pPr>
        <w:pageBreakBefore w:val="0"/>
        <w:numPr>
          <w:ilvl w:val="0"/>
          <w:numId w:val="9"/>
        </w:numPr>
        <w:tabs>
          <w:tab w:val="left" w:pos="1980"/>
          <w:tab w:val="left" w:pos="2520"/>
        </w:tabs>
        <w:wordWrap w:val="0"/>
        <w:topLinePunct w:val="0"/>
        <w:bidi w:val="0"/>
        <w:snapToGrid w:val="0"/>
        <w:spacing w:after="0" w:line="360" w:lineRule="auto"/>
        <w:ind w:left="1440" w:firstLine="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评审方法和评审标准</w:t>
      </w:r>
    </w:p>
    <w:p w14:paraId="73BD121D">
      <w:pPr>
        <w:pageBreakBefore w:val="0"/>
        <w:numPr>
          <w:ilvl w:val="0"/>
          <w:numId w:val="9"/>
        </w:numPr>
        <w:tabs>
          <w:tab w:val="left" w:pos="1980"/>
          <w:tab w:val="left" w:pos="2520"/>
        </w:tabs>
        <w:wordWrap w:val="0"/>
        <w:topLinePunct w:val="0"/>
        <w:bidi w:val="0"/>
        <w:snapToGrid w:val="0"/>
        <w:spacing w:after="0" w:line="360" w:lineRule="auto"/>
        <w:ind w:left="1440" w:firstLine="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采购需求</w:t>
      </w:r>
    </w:p>
    <w:p w14:paraId="099B224C">
      <w:pPr>
        <w:pageBreakBefore w:val="0"/>
        <w:numPr>
          <w:ilvl w:val="0"/>
          <w:numId w:val="9"/>
        </w:numPr>
        <w:tabs>
          <w:tab w:val="left" w:pos="1980"/>
          <w:tab w:val="left" w:pos="2520"/>
        </w:tabs>
        <w:wordWrap w:val="0"/>
        <w:topLinePunct w:val="0"/>
        <w:bidi w:val="0"/>
        <w:snapToGrid w:val="0"/>
        <w:spacing w:after="0" w:line="360" w:lineRule="auto"/>
        <w:ind w:left="1440" w:firstLine="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合同草案条款</w:t>
      </w:r>
    </w:p>
    <w:p w14:paraId="3982FD99">
      <w:pPr>
        <w:pageBreakBefore w:val="0"/>
        <w:numPr>
          <w:ilvl w:val="0"/>
          <w:numId w:val="9"/>
        </w:numPr>
        <w:tabs>
          <w:tab w:val="left" w:pos="1980"/>
          <w:tab w:val="left" w:pos="2520"/>
        </w:tabs>
        <w:wordWrap w:val="0"/>
        <w:topLinePunct w:val="0"/>
        <w:bidi w:val="0"/>
        <w:snapToGrid w:val="0"/>
        <w:spacing w:after="0" w:line="360" w:lineRule="auto"/>
        <w:ind w:left="1440" w:firstLine="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响应文件格式</w:t>
      </w:r>
    </w:p>
    <w:p w14:paraId="629F2FFD">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供应商应认真阅读竞争性磋商文件的全部内容。供应商应按照竞争性磋商文件要求提交响应文件并保证所提供的全部资料的真实性，并对竞争性磋商文件做出实质性响应，否则</w:t>
      </w:r>
      <w:r>
        <w:rPr>
          <w:rFonts w:hint="eastAsia" w:ascii="宋体" w:hAnsi="宋体" w:eastAsia="宋体" w:cs="宋体"/>
          <w:b/>
          <w:i w:val="0"/>
          <w:iCs w:val="0"/>
          <w:sz w:val="24"/>
          <w:highlight w:val="none"/>
        </w:rPr>
        <w:t>响应无效</w:t>
      </w:r>
      <w:r>
        <w:rPr>
          <w:rFonts w:hint="eastAsia" w:ascii="宋体" w:hAnsi="宋体" w:eastAsia="宋体" w:cs="宋体"/>
          <w:i w:val="0"/>
          <w:iCs w:val="0"/>
          <w:sz w:val="24"/>
          <w:highlight w:val="none"/>
        </w:rPr>
        <w:t>。</w:t>
      </w:r>
    </w:p>
    <w:p w14:paraId="07679A83">
      <w:pPr>
        <w:pageBreakBefore w:val="0"/>
        <w:numPr>
          <w:ilvl w:val="0"/>
          <w:numId w:val="8"/>
        </w:numPr>
        <w:tabs>
          <w:tab w:val="left" w:pos="1080"/>
          <w:tab w:val="left" w:pos="2014"/>
        </w:tabs>
        <w:wordWrap w:val="0"/>
        <w:topLinePunct w:val="0"/>
        <w:bidi w:val="0"/>
        <w:snapToGrid w:val="0"/>
        <w:spacing w:after="0" w:line="360" w:lineRule="auto"/>
        <w:ind w:left="357" w:hanging="357"/>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对竞争性磋商文件的澄清或修改</w:t>
      </w:r>
    </w:p>
    <w:p w14:paraId="60994217">
      <w:pPr>
        <w:pageBreakBefore w:val="0"/>
        <w:numPr>
          <w:ilvl w:val="1"/>
          <w:numId w:val="8"/>
        </w:numPr>
        <w:tabs>
          <w:tab w:val="left" w:pos="1080"/>
          <w:tab w:val="left" w:pos="1561"/>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采购人或采购代理机构</w:t>
      </w:r>
      <w:r>
        <w:rPr>
          <w:rFonts w:hint="eastAsia" w:ascii="宋体" w:hAnsi="宋体" w:eastAsia="宋体" w:cs="宋体"/>
          <w:i w:val="0"/>
          <w:iCs w:val="0"/>
          <w:sz w:val="24"/>
          <w:highlight w:val="none"/>
          <w:lang w:val="en-US" w:eastAsia="zh-CN"/>
        </w:rPr>
        <w:t>或者磋商小组</w:t>
      </w:r>
      <w:r>
        <w:rPr>
          <w:rFonts w:hint="eastAsia" w:ascii="宋体" w:hAnsi="宋体" w:eastAsia="宋体" w:cs="宋体"/>
          <w:i w:val="0"/>
          <w:iCs w:val="0"/>
          <w:sz w:val="24"/>
          <w:highlight w:val="none"/>
        </w:rPr>
        <w:t>对已发出的竞争性磋商文件进行必要澄清或者修改的，将以书面形式通知所有获取竞争性磋商文件的潜在供应商。采用公告方式邀请供应商参与的，还将在原公告发布媒体上发布更正公告。</w:t>
      </w:r>
    </w:p>
    <w:p w14:paraId="025762BC">
      <w:pPr>
        <w:pageBreakBefore w:val="0"/>
        <w:numPr>
          <w:ilvl w:val="1"/>
          <w:numId w:val="8"/>
        </w:numPr>
        <w:tabs>
          <w:tab w:val="left" w:pos="1080"/>
          <w:tab w:val="left" w:pos="1561"/>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上述书面通知，按照获取竞争性磋商文件的潜在供应商提供的联系方式发出，因提供的信息有误导致通知延迟或无法通知的，采购人或采购代理机构不承担责任。</w:t>
      </w:r>
    </w:p>
    <w:p w14:paraId="786F80C9">
      <w:pPr>
        <w:pageBreakBefore w:val="0"/>
        <w:numPr>
          <w:ilvl w:val="1"/>
          <w:numId w:val="8"/>
        </w:numPr>
        <w:tabs>
          <w:tab w:val="left" w:pos="1080"/>
          <w:tab w:val="left" w:pos="1561"/>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澄清或者修改的内容为竞争性磋商文件的组成部分，并对所有获取竞争性磋商文件的潜在供应商具有约束力。澄清或者修改的内容可能影响响应文件编制的，将在提交首次响应文件截止之日3个工作日前</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以书面形式通知所有获取磋商文件的供应商</w:t>
      </w:r>
      <w:r>
        <w:rPr>
          <w:rFonts w:hint="eastAsia" w:ascii="宋体" w:hAnsi="宋体" w:eastAsia="宋体" w:cs="宋体"/>
          <w:i w:val="0"/>
          <w:iCs w:val="0"/>
          <w:sz w:val="24"/>
          <w:highlight w:val="none"/>
        </w:rPr>
        <w:t>；不足上述时间的，将顺延提交</w:t>
      </w:r>
      <w:r>
        <w:rPr>
          <w:rFonts w:hint="eastAsia" w:ascii="宋体" w:hAnsi="宋体" w:cs="宋体"/>
          <w:i w:val="0"/>
          <w:iCs w:val="0"/>
          <w:sz w:val="24"/>
          <w:highlight w:val="none"/>
          <w:lang w:val="en-US" w:eastAsia="zh-CN"/>
        </w:rPr>
        <w:t>首次</w:t>
      </w:r>
      <w:r>
        <w:rPr>
          <w:rFonts w:hint="eastAsia" w:ascii="宋体" w:hAnsi="宋体" w:eastAsia="宋体" w:cs="宋体"/>
          <w:i w:val="0"/>
          <w:iCs w:val="0"/>
          <w:sz w:val="24"/>
          <w:highlight w:val="none"/>
        </w:rPr>
        <w:t>响应文件截止时间。</w:t>
      </w:r>
    </w:p>
    <w:p w14:paraId="67428748">
      <w:pPr>
        <w:pageBreakBefore w:val="0"/>
        <w:tabs>
          <w:tab w:val="left" w:pos="1080"/>
          <w:tab w:val="left" w:pos="1561"/>
        </w:tabs>
        <w:wordWrap w:val="0"/>
        <w:topLinePunct w:val="0"/>
        <w:bidi w:val="0"/>
        <w:snapToGrid w:val="0"/>
        <w:spacing w:after="0" w:line="360" w:lineRule="auto"/>
        <w:ind w:left="1080"/>
        <w:textAlignment w:val="auto"/>
        <w:rPr>
          <w:rFonts w:hint="eastAsia" w:ascii="宋体" w:hAnsi="宋体" w:eastAsia="宋体" w:cs="宋体"/>
          <w:i w:val="0"/>
          <w:iCs w:val="0"/>
          <w:sz w:val="28"/>
          <w:highlight w:val="none"/>
        </w:rPr>
      </w:pPr>
      <w:bookmarkStart w:id="181" w:name="_Toc516367020"/>
      <w:bookmarkStart w:id="182" w:name="_Toc151193696"/>
      <w:bookmarkStart w:id="183" w:name="_Toc127151526"/>
      <w:bookmarkStart w:id="184" w:name="_Toc265228364"/>
      <w:bookmarkStart w:id="185" w:name="_Toc151193768"/>
      <w:bookmarkStart w:id="186" w:name="_Toc150509277"/>
      <w:bookmarkStart w:id="187" w:name="_Toc195842891"/>
      <w:bookmarkStart w:id="188" w:name="_Toc226309770"/>
      <w:bookmarkStart w:id="189" w:name="_Toc142311028"/>
      <w:bookmarkStart w:id="190" w:name="_Toc150480764"/>
      <w:bookmarkStart w:id="191" w:name="_Toc151193840"/>
      <w:bookmarkStart w:id="192" w:name="_Toc305158868"/>
      <w:bookmarkStart w:id="193" w:name="_Toc226337222"/>
      <w:bookmarkStart w:id="194" w:name="_Toc520356150"/>
      <w:bookmarkStart w:id="195" w:name="_Toc305158794"/>
      <w:bookmarkStart w:id="196" w:name="_Toc150774731"/>
      <w:bookmarkStart w:id="197" w:name="_Toc226965716"/>
      <w:bookmarkStart w:id="198" w:name="_Toc151190153"/>
      <w:bookmarkStart w:id="199" w:name="_Toc264969216"/>
      <w:bookmarkStart w:id="200" w:name="_Toc151193914"/>
      <w:bookmarkStart w:id="201" w:name="_Toc150774626"/>
      <w:bookmarkStart w:id="202" w:name="_Toc226965799"/>
      <w:bookmarkStart w:id="203" w:name="_Toc151193624"/>
    </w:p>
    <w:p w14:paraId="44742AEE">
      <w:pPr>
        <w:pStyle w:val="4"/>
        <w:pageBreakBefore w:val="0"/>
        <w:wordWrap w:val="0"/>
        <w:topLinePunct w:val="0"/>
        <w:bidi w:val="0"/>
        <w:spacing w:before="0" w:after="0" w:line="360" w:lineRule="auto"/>
        <w:textAlignment w:val="auto"/>
        <w:rPr>
          <w:rFonts w:hint="eastAsia" w:ascii="宋体" w:hAnsi="宋体" w:eastAsia="宋体" w:cs="宋体"/>
          <w:i w:val="0"/>
          <w:iCs w:val="0"/>
          <w:sz w:val="28"/>
          <w:highlight w:val="none"/>
        </w:rPr>
      </w:pPr>
      <w:r>
        <w:rPr>
          <w:rFonts w:hint="eastAsia" w:ascii="宋体" w:hAnsi="宋体" w:eastAsia="宋体" w:cs="宋体"/>
          <w:i w:val="0"/>
          <w:iCs w:val="0"/>
          <w:sz w:val="28"/>
          <w:highlight w:val="none"/>
        </w:rPr>
        <w:t>三   响应文件</w:t>
      </w:r>
      <w:bookmarkEnd w:id="181"/>
      <w:r>
        <w:rPr>
          <w:rFonts w:hint="eastAsia" w:ascii="宋体" w:hAnsi="宋体" w:eastAsia="宋体" w:cs="宋体"/>
          <w:i w:val="0"/>
          <w:iCs w:val="0"/>
          <w:sz w:val="28"/>
          <w:highlight w:val="none"/>
        </w:rPr>
        <w:t>的编制</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14:paraId="30E4251C">
      <w:pPr>
        <w:pageBreakBefore w:val="0"/>
        <w:numPr>
          <w:ilvl w:val="0"/>
          <w:numId w:val="8"/>
        </w:numPr>
        <w:tabs>
          <w:tab w:val="left" w:pos="360"/>
        </w:tabs>
        <w:wordWrap w:val="0"/>
        <w:topLinePunct w:val="0"/>
        <w:bidi w:val="0"/>
        <w:snapToGrid w:val="0"/>
        <w:spacing w:after="0" w:line="360" w:lineRule="auto"/>
        <w:ind w:left="357" w:hanging="357"/>
        <w:textAlignment w:val="auto"/>
        <w:outlineLvl w:val="2"/>
        <w:rPr>
          <w:rFonts w:hint="eastAsia" w:ascii="宋体" w:hAnsi="宋体" w:eastAsia="宋体" w:cs="宋体"/>
          <w:i w:val="0"/>
          <w:iCs w:val="0"/>
          <w:sz w:val="24"/>
          <w:highlight w:val="none"/>
        </w:rPr>
      </w:pPr>
      <w:bookmarkStart w:id="204" w:name="_Toc226965800"/>
      <w:bookmarkStart w:id="205" w:name="_Toc265228365"/>
      <w:bookmarkStart w:id="206" w:name="_Toc226337223"/>
      <w:bookmarkStart w:id="207" w:name="_Toc520356151"/>
      <w:bookmarkStart w:id="208" w:name="_Toc164351621"/>
      <w:bookmarkStart w:id="209" w:name="_Toc305158795"/>
      <w:bookmarkStart w:id="210" w:name="_Toc151193769"/>
      <w:bookmarkStart w:id="211" w:name="_Toc150509278"/>
      <w:bookmarkStart w:id="212" w:name="_Toc151193625"/>
      <w:bookmarkStart w:id="213" w:name="_Toc264969217"/>
      <w:bookmarkStart w:id="214" w:name="_Toc142311029"/>
      <w:bookmarkStart w:id="215" w:name="_Toc226309771"/>
      <w:bookmarkStart w:id="216" w:name="_Toc164608641"/>
      <w:bookmarkStart w:id="217" w:name="_Toc127161441"/>
      <w:bookmarkStart w:id="218" w:name="_Toc164229368"/>
      <w:bookmarkStart w:id="219" w:name="_Toc151193697"/>
      <w:bookmarkStart w:id="220" w:name="_Toc151193915"/>
      <w:bookmarkStart w:id="221" w:name="_Toc149720820"/>
      <w:bookmarkStart w:id="222" w:name="_Toc150774732"/>
      <w:bookmarkStart w:id="223" w:name="_Toc127151728"/>
      <w:bookmarkStart w:id="224" w:name="_Toc151193841"/>
      <w:bookmarkStart w:id="225" w:name="_Toc150774627"/>
      <w:bookmarkStart w:id="226" w:name="_Toc226965717"/>
      <w:bookmarkStart w:id="227" w:name="_Toc516367021"/>
      <w:bookmarkStart w:id="228" w:name="_Toc195842892"/>
      <w:bookmarkStart w:id="229" w:name="_Toc151190154"/>
      <w:bookmarkStart w:id="230" w:name="_Toc164608796"/>
      <w:bookmarkStart w:id="231" w:name="_Toc164229222"/>
      <w:bookmarkStart w:id="232" w:name="_Toc127151527"/>
      <w:bookmarkStart w:id="233" w:name="_Toc150480765"/>
      <w:bookmarkStart w:id="234" w:name="_Toc305158869"/>
      <w:r>
        <w:rPr>
          <w:rFonts w:hint="eastAsia" w:ascii="宋体" w:hAnsi="宋体" w:eastAsia="宋体" w:cs="宋体"/>
          <w:i w:val="0"/>
          <w:iCs w:val="0"/>
          <w:sz w:val="24"/>
          <w:highlight w:val="none"/>
        </w:rPr>
        <w:t>响应范围、竞争性磋商文件中计量单位的使用</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Fonts w:hint="eastAsia" w:ascii="宋体" w:hAnsi="宋体" w:eastAsia="宋体" w:cs="宋体"/>
          <w:i w:val="0"/>
          <w:iCs w:val="0"/>
          <w:sz w:val="24"/>
          <w:highlight w:val="none"/>
        </w:rPr>
        <w:t>及磋商语言</w:t>
      </w:r>
    </w:p>
    <w:p w14:paraId="386C36AE">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无效响应。</w:t>
      </w:r>
    </w:p>
    <w:p w14:paraId="38B2D210">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除竞争性磋商文件有特殊要求外，本项目磋商所使用的计量单位，应采用中华人民共和国法定计量单位。</w:t>
      </w:r>
    </w:p>
    <w:p w14:paraId="12154D43">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28E4739D">
      <w:pPr>
        <w:pageBreakBefore w:val="0"/>
        <w:numPr>
          <w:ilvl w:val="0"/>
          <w:numId w:val="8"/>
        </w:numPr>
        <w:tabs>
          <w:tab w:val="left" w:pos="360"/>
        </w:tabs>
        <w:wordWrap w:val="0"/>
        <w:topLinePunct w:val="0"/>
        <w:bidi w:val="0"/>
        <w:snapToGrid w:val="0"/>
        <w:spacing w:after="0" w:line="360" w:lineRule="auto"/>
        <w:ind w:left="357" w:hanging="357"/>
        <w:textAlignment w:val="auto"/>
        <w:outlineLvl w:val="2"/>
        <w:rPr>
          <w:rFonts w:hint="eastAsia" w:ascii="宋体" w:hAnsi="宋体" w:eastAsia="宋体" w:cs="宋体"/>
          <w:i w:val="0"/>
          <w:iCs w:val="0"/>
          <w:sz w:val="24"/>
          <w:highlight w:val="none"/>
        </w:rPr>
      </w:pPr>
      <w:bookmarkStart w:id="235" w:name="_Ref467306676"/>
      <w:bookmarkStart w:id="236" w:name="_Toc516367022"/>
      <w:bookmarkStart w:id="237" w:name="_Ref467306195"/>
      <w:bookmarkStart w:id="238" w:name="_Toc127161442"/>
      <w:bookmarkStart w:id="239" w:name="_Toc226965718"/>
      <w:bookmarkStart w:id="240" w:name="_Toc226309772"/>
      <w:bookmarkStart w:id="241" w:name="_Toc127151528"/>
      <w:bookmarkStart w:id="242" w:name="_Toc305158796"/>
      <w:bookmarkStart w:id="243" w:name="_Toc150480766"/>
      <w:bookmarkStart w:id="244" w:name="_Toc164351622"/>
      <w:bookmarkStart w:id="245" w:name="_Toc142311030"/>
      <w:bookmarkStart w:id="246" w:name="_Toc226337224"/>
      <w:bookmarkStart w:id="247" w:name="_Toc195842893"/>
      <w:bookmarkStart w:id="248" w:name="_Toc150774628"/>
      <w:bookmarkStart w:id="249" w:name="_Toc164229223"/>
      <w:bookmarkStart w:id="250" w:name="_Toc151193770"/>
      <w:bookmarkStart w:id="251" w:name="_Toc127151729"/>
      <w:bookmarkStart w:id="252" w:name="_Toc151193626"/>
      <w:bookmarkStart w:id="253" w:name="_Toc151190155"/>
      <w:bookmarkStart w:id="254" w:name="_Toc164229369"/>
      <w:bookmarkStart w:id="255" w:name="_Toc226965801"/>
      <w:bookmarkStart w:id="256" w:name="_Toc150774733"/>
      <w:bookmarkStart w:id="257" w:name="_Toc164608642"/>
      <w:bookmarkStart w:id="258" w:name="_Toc164608797"/>
      <w:bookmarkStart w:id="259" w:name="_Toc305158870"/>
      <w:bookmarkStart w:id="260" w:name="_Toc520356152"/>
      <w:bookmarkStart w:id="261" w:name="_Toc151193842"/>
      <w:bookmarkStart w:id="262" w:name="_Toc265228366"/>
      <w:bookmarkStart w:id="263" w:name="_Toc150509279"/>
      <w:bookmarkStart w:id="264" w:name="_Toc264969218"/>
      <w:bookmarkStart w:id="265" w:name="_Toc149720821"/>
      <w:bookmarkStart w:id="266" w:name="_Toc151193698"/>
      <w:bookmarkStart w:id="267" w:name="_Toc151193916"/>
      <w:r>
        <w:rPr>
          <w:rFonts w:hint="eastAsia" w:ascii="宋体" w:hAnsi="宋体" w:eastAsia="宋体" w:cs="宋体"/>
          <w:i w:val="0"/>
          <w:iCs w:val="0"/>
          <w:sz w:val="24"/>
          <w:highlight w:val="none"/>
        </w:rPr>
        <w:t>响应文件</w:t>
      </w:r>
      <w:bookmarkEnd w:id="235"/>
      <w:bookmarkEnd w:id="236"/>
      <w:bookmarkEnd w:id="237"/>
      <w:r>
        <w:rPr>
          <w:rFonts w:hint="eastAsia" w:ascii="宋体" w:hAnsi="宋体" w:eastAsia="宋体" w:cs="宋体"/>
          <w:i w:val="0"/>
          <w:iCs w:val="0"/>
          <w:sz w:val="24"/>
          <w:highlight w:val="none"/>
        </w:rPr>
        <w:t>构成</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14:paraId="0436FED7">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bookmarkStart w:id="268" w:name="_Ref467052588"/>
      <w:r>
        <w:rPr>
          <w:rFonts w:hint="eastAsia" w:ascii="宋体" w:hAnsi="宋体" w:eastAsia="宋体" w:cs="宋体"/>
          <w:i w:val="0"/>
          <w:iCs w:val="0"/>
          <w:sz w:val="24"/>
          <w:highlight w:val="none"/>
        </w:rPr>
        <w:t>供应商应当按照竞争性磋商文件的要求编制响应文件，</w:t>
      </w:r>
      <w:r>
        <w:rPr>
          <w:rFonts w:hint="eastAsia" w:ascii="宋体" w:hAnsi="宋体" w:eastAsia="宋体" w:cs="宋体"/>
          <w:i w:val="0"/>
          <w:iCs w:val="0"/>
          <w:kern w:val="0"/>
          <w:sz w:val="24"/>
          <w:highlight w:val="none"/>
        </w:rPr>
        <w:t>并对其提交的响应文件的真实性、合法性承担法律责任</w:t>
      </w:r>
      <w:r>
        <w:rPr>
          <w:rFonts w:hint="eastAsia" w:ascii="宋体" w:hAnsi="宋体" w:eastAsia="宋体" w:cs="宋体"/>
          <w:i w:val="0"/>
          <w:iCs w:val="0"/>
          <w:sz w:val="24"/>
          <w:highlight w:val="none"/>
        </w:rPr>
        <w:t>。响应文件的部分格式要求，见第六章《响应文件格式》。</w:t>
      </w:r>
    </w:p>
    <w:p w14:paraId="060D9BE0">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kern w:val="0"/>
          <w:sz w:val="24"/>
          <w:highlight w:val="none"/>
        </w:rPr>
        <w:t>对于竞争性磋商文件中标记了“实质性格式”文件的，</w:t>
      </w:r>
      <w:r>
        <w:rPr>
          <w:rFonts w:hint="eastAsia" w:ascii="宋体" w:hAnsi="宋体" w:eastAsia="宋体" w:cs="宋体"/>
          <w:i w:val="0"/>
          <w:iCs w:val="0"/>
          <w:sz w:val="24"/>
          <w:highlight w:val="none"/>
        </w:rPr>
        <w:t>供应商不得改变格式中给定的文字所表达的含义，不得删减格式中的实质性内容，不得自行添加与格式中给定的文字内容相矛盾的内容，不得对应当填写的空格不填写或不实质性响应，</w:t>
      </w:r>
      <w:r>
        <w:rPr>
          <w:rFonts w:hint="eastAsia" w:ascii="宋体" w:hAnsi="宋体" w:eastAsia="宋体" w:cs="宋体"/>
          <w:b/>
          <w:i w:val="0"/>
          <w:iCs w:val="0"/>
          <w:kern w:val="0"/>
          <w:sz w:val="24"/>
          <w:highlight w:val="none"/>
        </w:rPr>
        <w:t>否则响应无效</w:t>
      </w:r>
      <w:r>
        <w:rPr>
          <w:rFonts w:hint="eastAsia" w:ascii="宋体" w:hAnsi="宋体" w:eastAsia="宋体" w:cs="宋体"/>
          <w:i w:val="0"/>
          <w:iCs w:val="0"/>
          <w:kern w:val="0"/>
          <w:sz w:val="24"/>
          <w:highlight w:val="none"/>
        </w:rPr>
        <w:t>。未标记“实质性格式”的文件和竞争性磋商文件未提供格式的内容，可由供应商自行编写。</w:t>
      </w:r>
    </w:p>
    <w:p w14:paraId="33CD5912">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第三章《评审方法和评审标准》中涉及的证明文件。</w:t>
      </w:r>
    </w:p>
    <w:p w14:paraId="37D8AFAB">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对照第四章《采购需求》，说明所提供货物和服务已对第四章《采购需求》做出了响应，或申明与第四章《采购需求》的偏差和例外。如第四章《采购需求》中要求提供证明文件的，供应商应当按具体要求提供证明文件。</w:t>
      </w:r>
    </w:p>
    <w:p w14:paraId="31CD1DA4">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供应商认为应附的其他材料。</w:t>
      </w:r>
      <w:bookmarkEnd w:id="268"/>
    </w:p>
    <w:p w14:paraId="59E31D60">
      <w:pPr>
        <w:pageBreakBefore w:val="0"/>
        <w:numPr>
          <w:ilvl w:val="0"/>
          <w:numId w:val="8"/>
        </w:numPr>
        <w:tabs>
          <w:tab w:val="left" w:pos="360"/>
        </w:tabs>
        <w:wordWrap w:val="0"/>
        <w:topLinePunct w:val="0"/>
        <w:bidi w:val="0"/>
        <w:snapToGrid w:val="0"/>
        <w:spacing w:after="0" w:line="360" w:lineRule="auto"/>
        <w:ind w:left="357" w:hanging="357"/>
        <w:textAlignment w:val="auto"/>
        <w:outlineLvl w:val="2"/>
        <w:rPr>
          <w:rFonts w:hint="eastAsia" w:ascii="宋体" w:hAnsi="宋体" w:eastAsia="宋体" w:cs="宋体"/>
          <w:i w:val="0"/>
          <w:iCs w:val="0"/>
          <w:sz w:val="24"/>
          <w:highlight w:val="none"/>
        </w:rPr>
      </w:pPr>
      <w:bookmarkStart w:id="269" w:name="_Toc127151731"/>
      <w:bookmarkStart w:id="270" w:name="_Toc151193700"/>
      <w:bookmarkStart w:id="271" w:name="_Toc164608644"/>
      <w:bookmarkStart w:id="272" w:name="_Toc149720823"/>
      <w:bookmarkStart w:id="273" w:name="_Toc164608799"/>
      <w:bookmarkStart w:id="274" w:name="_Toc150774630"/>
      <w:bookmarkStart w:id="275" w:name="_Toc195842895"/>
      <w:bookmarkStart w:id="276" w:name="_Toc151193918"/>
      <w:bookmarkStart w:id="277" w:name="_Toc150480768"/>
      <w:bookmarkStart w:id="278" w:name="_Toc164351624"/>
      <w:bookmarkStart w:id="279" w:name="_Toc151193628"/>
      <w:bookmarkStart w:id="280" w:name="_Toc164229371"/>
      <w:bookmarkStart w:id="281" w:name="_Toc142311032"/>
      <w:bookmarkStart w:id="282" w:name="_Toc151193844"/>
      <w:bookmarkStart w:id="283" w:name="_Toc127151530"/>
      <w:bookmarkStart w:id="284" w:name="_Toc150774735"/>
      <w:bookmarkStart w:id="285" w:name="_Toc164229225"/>
      <w:bookmarkStart w:id="286" w:name="_Toc151193772"/>
      <w:bookmarkStart w:id="287" w:name="_Toc150509281"/>
      <w:bookmarkStart w:id="288" w:name="_Toc151190157"/>
      <w:bookmarkStart w:id="289" w:name="_Toc520356155"/>
      <w:bookmarkStart w:id="290" w:name="_Toc127161444"/>
      <w:r>
        <w:rPr>
          <w:rFonts w:hint="eastAsia" w:ascii="宋体" w:hAnsi="宋体" w:eastAsia="宋体" w:cs="宋体"/>
          <w:i w:val="0"/>
          <w:iCs w:val="0"/>
          <w:sz w:val="24"/>
          <w:highlight w:val="none"/>
        </w:rPr>
        <w:t>报价</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14:paraId="795E1ED9">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所有响应均以人民币为计价货币。</w:t>
      </w:r>
    </w:p>
    <w:p w14:paraId="71C25C6D">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供应商的报价应包括为完成本项目所发生的一切费用和税费，采购人将不再支付报价以外的任何费用。供应商的报价应包括但不限于下列内容，《供应商须知资料表》中有特殊规定的，从其规定。</w:t>
      </w:r>
    </w:p>
    <w:p w14:paraId="20A464FC">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 xml:space="preserve">所报货物及标准附件、备品备件、专用工具等的出厂价（包括已在中国国内的进口货物完税后的仓库交货价、展室交货价或货架交货价）和运至最终目的地的运输费和保险费，安装调试、检验、技术服务、培训、质量保证、售后服务、税费等。 </w:t>
      </w:r>
    </w:p>
    <w:p w14:paraId="608A6311">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按照竞争性磋商文件要求完成本项目的全部相关费用。</w:t>
      </w:r>
    </w:p>
    <w:p w14:paraId="1D8D8407">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采购人不得向供应商索要或者接受其给予的赠品、回扣或者与采购无关的其他商品、服务。</w:t>
      </w:r>
    </w:p>
    <w:p w14:paraId="3A785470">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供应商不能提供任何有选择性或可调整的最后报价（</w:t>
      </w:r>
      <w:r>
        <w:rPr>
          <w:rFonts w:hint="eastAsia" w:ascii="宋体" w:hAnsi="宋体" w:eastAsia="宋体" w:cs="宋体"/>
          <w:i w:val="0"/>
          <w:iCs w:val="0"/>
          <w:color w:val="000000"/>
          <w:kern w:val="0"/>
          <w:sz w:val="24"/>
          <w:highlight w:val="none"/>
        </w:rPr>
        <w:t>竞争性磋商文件</w:t>
      </w:r>
      <w:r>
        <w:rPr>
          <w:rFonts w:hint="eastAsia" w:ascii="宋体" w:hAnsi="宋体" w:eastAsia="宋体" w:cs="宋体"/>
          <w:i w:val="0"/>
          <w:iCs w:val="0"/>
          <w:sz w:val="24"/>
          <w:highlight w:val="none"/>
        </w:rPr>
        <w:t>另有规定的除外），否则其</w:t>
      </w:r>
      <w:r>
        <w:rPr>
          <w:rFonts w:hint="eastAsia" w:ascii="宋体" w:hAnsi="宋体" w:eastAsia="宋体" w:cs="宋体"/>
          <w:b/>
          <w:i w:val="0"/>
          <w:iCs w:val="0"/>
          <w:sz w:val="24"/>
          <w:highlight w:val="none"/>
        </w:rPr>
        <w:t>响应无效</w:t>
      </w:r>
      <w:r>
        <w:rPr>
          <w:rFonts w:hint="eastAsia" w:ascii="宋体" w:hAnsi="宋体" w:eastAsia="宋体" w:cs="宋体"/>
          <w:i w:val="0"/>
          <w:iCs w:val="0"/>
          <w:sz w:val="24"/>
          <w:highlight w:val="none"/>
        </w:rPr>
        <w:t>。</w:t>
      </w:r>
    </w:p>
    <w:p w14:paraId="74862CB2">
      <w:pPr>
        <w:pageBreakBefore w:val="0"/>
        <w:numPr>
          <w:ilvl w:val="0"/>
          <w:numId w:val="8"/>
        </w:numPr>
        <w:tabs>
          <w:tab w:val="left" w:pos="360"/>
        </w:tabs>
        <w:wordWrap w:val="0"/>
        <w:topLinePunct w:val="0"/>
        <w:bidi w:val="0"/>
        <w:snapToGrid w:val="0"/>
        <w:spacing w:after="0" w:line="360" w:lineRule="auto"/>
        <w:ind w:left="357" w:hanging="357"/>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磋商保证金</w:t>
      </w:r>
    </w:p>
    <w:p w14:paraId="55F070A2">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供应商应按《供应商须知资料表》中规定的金额及要求交纳磋商保证金。供应商自愿超额缴纳磋商保证金的，响应文件不做无效处理。</w:t>
      </w:r>
    </w:p>
    <w:p w14:paraId="425EF1A0">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交纳磋商保证金可采用的形式：政府采购法律法规接受的支票、汇票、本票、网上银行支付或者金融机构、担保机构出具的保函等非现金形式。</w:t>
      </w:r>
    </w:p>
    <w:p w14:paraId="3BDFF648">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磋商保证金到账（保函提交）截止时间同首次响应文件提交截止时间。以支票、汇票、本票、网上银行支付等形式提交磋商保证金的，应在首次响应文件提交截止时间前到账；以金融机构、担保机构出具的纸质保函等形式提交磋商保证金的，应在首次响应文件提交截止时间前将原件提交至采购代理机构；以电子保函形式提交磋商保证金的，应在首次响应文件提交截止时间前通过北京市政府采购电子交易平台完成电子保函在线办理。未按上述要求缴纳保证金的，其响应无效。</w:t>
      </w:r>
    </w:p>
    <w:p w14:paraId="619E8299">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供应商除需在响应文件中提供“磋商保证金凭证/交款单据电子件”，还需在首次响应文件提交截止时间前，通过电子交易平台上传“磋商保证金凭证/交款单据电子件”</w:t>
      </w:r>
      <w:r>
        <w:rPr>
          <w:rFonts w:hint="eastAsia" w:ascii="宋体" w:hAnsi="宋体" w:cs="宋体"/>
          <w:i w:val="0"/>
          <w:iCs w:val="0"/>
          <w:sz w:val="24"/>
          <w:highlight w:val="none"/>
          <w:lang w:eastAsia="zh-CN"/>
        </w:rPr>
        <w:t>。</w:t>
      </w:r>
    </w:p>
    <w:p w14:paraId="2F3EE98F">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磋商保证金有效期同响应有效期。</w:t>
      </w:r>
    </w:p>
    <w:p w14:paraId="555032C5">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供应商为联合体的，可以由联合体中的一方或者多方共同交纳磋商保证金，其交纳的保证金对联合体各方均具有约束力。</w:t>
      </w:r>
    </w:p>
    <w:p w14:paraId="737902FD">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采购人、采购代理机构将及时退还供应商的保证金，采用银行保函、担保机构担保函等形式递交的保证金，经供应商同意后采购人、采购代理机构可以不再退还，但因供应商自身原因导致无法及时退还的除外：</w:t>
      </w:r>
    </w:p>
    <w:p w14:paraId="5CF4ABA8">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napToGrid w:val="0"/>
          <w:kern w:val="0"/>
          <w:sz w:val="24"/>
          <w:highlight w:val="none"/>
        </w:rPr>
        <w:t>已提交响应文件的供应商，在提交最后报价之前，可以根据磋商情况退出磋商。采购人、采购代理机构将退还退出磋商的供应商的磋商保证金；</w:t>
      </w:r>
    </w:p>
    <w:p w14:paraId="73B98B27">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成交供应商的磋商保证金，在采购合同签订后5个工作日内退还成交供应商；</w:t>
      </w:r>
    </w:p>
    <w:p w14:paraId="5E2DB62D">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未成交供应商的磋商保证金，在成交通知书发出后5个工作日内退还。</w:t>
      </w:r>
    </w:p>
    <w:p w14:paraId="029529EE">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有下列情形之一的，采购人或采购代理机构不予退还磋商保证金：</w:t>
      </w:r>
    </w:p>
    <w:p w14:paraId="729EF1BA">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供应商在提交响应文件截止时间后撤回响应文件的；</w:t>
      </w:r>
    </w:p>
    <w:p w14:paraId="54202E67">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供应商在响应文件中提供虚假材料的；</w:t>
      </w:r>
    </w:p>
    <w:p w14:paraId="71DD8C45">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除因不可抗力或磋商文件认可的情形以外，成交供应商不与采购人签订合同的；</w:t>
      </w:r>
    </w:p>
    <w:p w14:paraId="69BA84B9">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供应商与采购人、其他供应商或者采购代理机构恶意串通的；</w:t>
      </w:r>
    </w:p>
    <w:p w14:paraId="206A9D29">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《供应商须知资料表》规定的其他情形。</w:t>
      </w:r>
    </w:p>
    <w:p w14:paraId="3AE6FE40">
      <w:pPr>
        <w:pageBreakBefore w:val="0"/>
        <w:numPr>
          <w:ilvl w:val="0"/>
          <w:numId w:val="8"/>
        </w:numPr>
        <w:tabs>
          <w:tab w:val="left" w:pos="360"/>
        </w:tabs>
        <w:wordWrap w:val="0"/>
        <w:topLinePunct w:val="0"/>
        <w:bidi w:val="0"/>
        <w:snapToGrid w:val="0"/>
        <w:spacing w:after="0" w:line="360" w:lineRule="auto"/>
        <w:ind w:left="357" w:hanging="357"/>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响应有效期</w:t>
      </w:r>
    </w:p>
    <w:p w14:paraId="29E7964A">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响应文件应在本竞争性磋商文件《供应商须知资料表》中规定的响应有效期内保持有效，响应有效期少于竞争性磋商文件规定期限的，其</w:t>
      </w:r>
      <w:r>
        <w:rPr>
          <w:rFonts w:hint="eastAsia" w:ascii="宋体" w:hAnsi="宋体" w:eastAsia="宋体" w:cs="宋体"/>
          <w:b/>
          <w:i w:val="0"/>
          <w:iCs w:val="0"/>
          <w:sz w:val="24"/>
          <w:highlight w:val="none"/>
        </w:rPr>
        <w:t>响应无效</w:t>
      </w:r>
      <w:r>
        <w:rPr>
          <w:rFonts w:hint="eastAsia" w:ascii="宋体" w:hAnsi="宋体" w:eastAsia="宋体" w:cs="宋体"/>
          <w:i w:val="0"/>
          <w:iCs w:val="0"/>
          <w:sz w:val="24"/>
          <w:highlight w:val="none"/>
        </w:rPr>
        <w:t>。</w:t>
      </w:r>
    </w:p>
    <w:p w14:paraId="01B44AEC">
      <w:pPr>
        <w:pageBreakBefore w:val="0"/>
        <w:numPr>
          <w:ilvl w:val="0"/>
          <w:numId w:val="8"/>
        </w:numPr>
        <w:tabs>
          <w:tab w:val="left" w:pos="360"/>
        </w:tabs>
        <w:wordWrap w:val="0"/>
        <w:topLinePunct w:val="0"/>
        <w:bidi w:val="0"/>
        <w:snapToGrid w:val="0"/>
        <w:spacing w:after="0" w:line="360" w:lineRule="auto"/>
        <w:ind w:left="357" w:hanging="357"/>
        <w:textAlignment w:val="auto"/>
        <w:outlineLvl w:val="2"/>
        <w:rPr>
          <w:rFonts w:hint="eastAsia" w:ascii="宋体" w:hAnsi="宋体" w:eastAsia="宋体" w:cs="宋体"/>
          <w:i w:val="0"/>
          <w:iCs w:val="0"/>
          <w:sz w:val="24"/>
          <w:highlight w:val="none"/>
        </w:rPr>
      </w:pPr>
      <w:bookmarkStart w:id="291" w:name="_Toc151193775"/>
      <w:bookmarkStart w:id="292" w:name="_Toc150774738"/>
      <w:bookmarkStart w:id="293" w:name="_Toc195842898"/>
      <w:bookmarkStart w:id="294" w:name="_Toc164608647"/>
      <w:bookmarkStart w:id="295" w:name="_Toc265228371"/>
      <w:bookmarkStart w:id="296" w:name="_Toc151190160"/>
      <w:bookmarkStart w:id="297" w:name="_Toc264969223"/>
      <w:bookmarkStart w:id="298" w:name="_Toc142311035"/>
      <w:bookmarkStart w:id="299" w:name="_Toc150774633"/>
      <w:bookmarkStart w:id="300" w:name="_Toc164351627"/>
      <w:bookmarkStart w:id="301" w:name="_Toc149720826"/>
      <w:bookmarkStart w:id="302" w:name="_Toc226965806"/>
      <w:bookmarkStart w:id="303" w:name="_Toc150480771"/>
      <w:bookmarkStart w:id="304" w:name="_Toc520356158"/>
      <w:bookmarkStart w:id="305" w:name="_Toc151193847"/>
      <w:bookmarkStart w:id="306" w:name="_Toc305158801"/>
      <w:bookmarkStart w:id="307" w:name="_Toc151193631"/>
      <w:bookmarkStart w:id="308" w:name="_Toc127151533"/>
      <w:bookmarkStart w:id="309" w:name="_Toc151193921"/>
      <w:bookmarkStart w:id="310" w:name="_Toc164229228"/>
      <w:bookmarkStart w:id="311" w:name="_Toc127151734"/>
      <w:bookmarkStart w:id="312" w:name="_Toc305158875"/>
      <w:bookmarkStart w:id="313" w:name="_Toc226965723"/>
      <w:bookmarkStart w:id="314" w:name="_Toc150509284"/>
      <w:bookmarkStart w:id="315" w:name="_Toc226337229"/>
      <w:bookmarkStart w:id="316" w:name="_Toc127161447"/>
      <w:bookmarkStart w:id="317" w:name="_Toc151193703"/>
      <w:bookmarkStart w:id="318" w:name="_Toc164608802"/>
      <w:bookmarkStart w:id="319" w:name="_Toc226309777"/>
      <w:bookmarkStart w:id="320" w:name="_Toc164229374"/>
      <w:r>
        <w:rPr>
          <w:rFonts w:hint="eastAsia" w:ascii="宋体" w:hAnsi="宋体" w:eastAsia="宋体" w:cs="宋体"/>
          <w:i w:val="0"/>
          <w:iCs w:val="0"/>
          <w:sz w:val="24"/>
          <w:highlight w:val="none"/>
          <w:lang w:val="en-US" w:eastAsia="zh-CN"/>
        </w:rPr>
        <w:t>各包</w:t>
      </w:r>
      <w:r>
        <w:rPr>
          <w:rFonts w:hint="eastAsia" w:ascii="宋体" w:hAnsi="宋体" w:eastAsia="宋体" w:cs="宋体"/>
          <w:i w:val="0"/>
          <w:iCs w:val="0"/>
          <w:sz w:val="24"/>
          <w:highlight w:val="none"/>
        </w:rPr>
        <w:t>响应文件的签署</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Pr>
          <w:rFonts w:hint="eastAsia" w:ascii="宋体" w:hAnsi="宋体" w:eastAsia="宋体" w:cs="宋体"/>
          <w:i w:val="0"/>
          <w:iCs w:val="0"/>
          <w:sz w:val="24"/>
          <w:highlight w:val="none"/>
        </w:rPr>
        <w:t>、盖章</w:t>
      </w:r>
    </w:p>
    <w:p w14:paraId="4BD3019F">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bookmarkStart w:id="321" w:name="_Toc226309778"/>
      <w:bookmarkStart w:id="322" w:name="_Toc151193632"/>
      <w:bookmarkStart w:id="323" w:name="_Toc151193704"/>
      <w:bookmarkStart w:id="324" w:name="_Toc150774739"/>
      <w:bookmarkStart w:id="325" w:name="_Toc226965724"/>
      <w:bookmarkStart w:id="326" w:name="_Toc151193776"/>
      <w:bookmarkStart w:id="327" w:name="_Toc151193848"/>
      <w:bookmarkStart w:id="328" w:name="_Toc142311036"/>
      <w:bookmarkStart w:id="329" w:name="_Toc150774634"/>
      <w:bookmarkStart w:id="330" w:name="_Toc150480772"/>
      <w:bookmarkStart w:id="331" w:name="_Toc127151534"/>
      <w:bookmarkStart w:id="332" w:name="_Toc305158876"/>
      <w:bookmarkStart w:id="333" w:name="_Toc195842899"/>
      <w:bookmarkStart w:id="334" w:name="_Toc150509285"/>
      <w:bookmarkStart w:id="335" w:name="_Toc226337230"/>
      <w:bookmarkStart w:id="336" w:name="_Toc305158802"/>
      <w:bookmarkStart w:id="337" w:name="_Toc151190161"/>
      <w:bookmarkStart w:id="338" w:name="_Toc265228372"/>
      <w:bookmarkStart w:id="339" w:name="_Toc520356159"/>
      <w:bookmarkStart w:id="340" w:name="_Toc226965807"/>
      <w:bookmarkStart w:id="341" w:name="_Toc151193922"/>
      <w:bookmarkStart w:id="342" w:name="_Toc264969224"/>
      <w:r>
        <w:rPr>
          <w:rFonts w:hint="eastAsia" w:ascii="宋体" w:hAnsi="宋体" w:eastAsia="宋体" w:cs="宋体"/>
          <w:i w:val="0"/>
          <w:iCs w:val="0"/>
          <w:sz w:val="24"/>
          <w:highlight w:val="none"/>
        </w:rPr>
        <w:t>竞争性磋商文件要求签字的内容（如授权委托书等），可以使用电子签章或使用原件的电子件（电子件指扫描件、照片等形式电子文件）；要求第三方出具的盖章件原件（如联合协议、分包意向协议、制造商授权书等），响应文件中应使用原件的电子件。</w:t>
      </w:r>
    </w:p>
    <w:p w14:paraId="4F6948EE">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竞争性磋商文件要求盖章的内容，一般通过投标文件编制工具加盖电子签章</w:t>
      </w:r>
      <w:r>
        <w:rPr>
          <w:rFonts w:hint="eastAsia" w:ascii="宋体" w:hAnsi="宋体" w:eastAsia="宋体" w:cs="宋体"/>
          <w:i w:val="0"/>
          <w:iCs w:val="0"/>
          <w:sz w:val="24"/>
          <w:highlight w:val="none"/>
          <w:lang w:eastAsia="zh-CN"/>
        </w:rPr>
        <w:t>。</w:t>
      </w:r>
    </w:p>
    <w:p w14:paraId="7CDDFEED">
      <w:pPr>
        <w:pageBreakBefore w:val="0"/>
        <w:tabs>
          <w:tab w:val="left" w:pos="900"/>
          <w:tab w:val="left" w:pos="1080"/>
        </w:tabs>
        <w:wordWrap w:val="0"/>
        <w:topLinePunct w:val="0"/>
        <w:bidi w:val="0"/>
        <w:snapToGrid w:val="0"/>
        <w:spacing w:after="0" w:line="360" w:lineRule="auto"/>
        <w:ind w:left="357"/>
        <w:textAlignment w:val="auto"/>
        <w:rPr>
          <w:rFonts w:hint="eastAsia" w:ascii="宋体" w:hAnsi="宋体" w:eastAsia="宋体" w:cs="宋体"/>
          <w:i w:val="0"/>
          <w:iCs w:val="0"/>
          <w:highlight w:val="none"/>
        </w:rPr>
      </w:pPr>
    </w:p>
    <w:p w14:paraId="66D1462F">
      <w:pPr>
        <w:pStyle w:val="4"/>
        <w:pageBreakBefore w:val="0"/>
        <w:wordWrap w:val="0"/>
        <w:topLinePunct w:val="0"/>
        <w:bidi w:val="0"/>
        <w:spacing w:before="0" w:after="0" w:line="360" w:lineRule="auto"/>
        <w:textAlignment w:val="auto"/>
        <w:rPr>
          <w:rFonts w:hint="eastAsia" w:ascii="宋体" w:hAnsi="宋体" w:eastAsia="宋体" w:cs="宋体"/>
          <w:i w:val="0"/>
          <w:iCs w:val="0"/>
          <w:sz w:val="28"/>
          <w:highlight w:val="none"/>
        </w:rPr>
      </w:pPr>
      <w:r>
        <w:rPr>
          <w:rFonts w:hint="eastAsia" w:ascii="宋体" w:hAnsi="宋体" w:eastAsia="宋体" w:cs="宋体"/>
          <w:i w:val="0"/>
          <w:iCs w:val="0"/>
          <w:sz w:val="28"/>
          <w:highlight w:val="none"/>
        </w:rPr>
        <w:t>四   响应文件的提交</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14:paraId="730AB71F">
      <w:pPr>
        <w:pageBreakBefore w:val="0"/>
        <w:numPr>
          <w:ilvl w:val="0"/>
          <w:numId w:val="8"/>
        </w:numPr>
        <w:tabs>
          <w:tab w:val="left" w:pos="360"/>
        </w:tabs>
        <w:wordWrap w:val="0"/>
        <w:topLinePunct w:val="0"/>
        <w:bidi w:val="0"/>
        <w:snapToGrid w:val="0"/>
        <w:spacing w:after="0" w:line="360" w:lineRule="auto"/>
        <w:ind w:left="357" w:hanging="357"/>
        <w:textAlignment w:val="auto"/>
        <w:outlineLvl w:val="2"/>
        <w:rPr>
          <w:rFonts w:hint="eastAsia" w:ascii="宋体" w:hAnsi="宋体" w:eastAsia="宋体" w:cs="宋体"/>
          <w:i w:val="0"/>
          <w:iCs w:val="0"/>
          <w:sz w:val="24"/>
          <w:highlight w:val="none"/>
        </w:rPr>
      </w:pPr>
      <w:bookmarkStart w:id="343" w:name="_Toc127161449"/>
      <w:bookmarkStart w:id="344" w:name="_Toc150774635"/>
      <w:bookmarkStart w:id="345" w:name="_Toc127151736"/>
      <w:bookmarkStart w:id="346" w:name="_Toc151193923"/>
      <w:bookmarkStart w:id="347" w:name="_Toc226965808"/>
      <w:bookmarkStart w:id="348" w:name="_Toc142311037"/>
      <w:bookmarkStart w:id="349" w:name="_Toc305158877"/>
      <w:bookmarkStart w:id="350" w:name="_Toc164608804"/>
      <w:bookmarkStart w:id="351" w:name="_Toc150509286"/>
      <w:bookmarkStart w:id="352" w:name="_Toc226309779"/>
      <w:bookmarkStart w:id="353" w:name="_Toc226337231"/>
      <w:bookmarkStart w:id="354" w:name="_Toc151193777"/>
      <w:bookmarkStart w:id="355" w:name="_Toc195842900"/>
      <w:bookmarkStart w:id="356" w:name="_Toc151193705"/>
      <w:bookmarkStart w:id="357" w:name="_Toc150480773"/>
      <w:bookmarkStart w:id="358" w:name="_Toc226965725"/>
      <w:bookmarkStart w:id="359" w:name="_Toc149720828"/>
      <w:bookmarkStart w:id="360" w:name="_Toc151193633"/>
      <w:bookmarkStart w:id="361" w:name="_Toc164351629"/>
      <w:bookmarkStart w:id="362" w:name="_Toc264969225"/>
      <w:bookmarkStart w:id="363" w:name="_Toc164608649"/>
      <w:bookmarkStart w:id="364" w:name="_Toc151190162"/>
      <w:bookmarkStart w:id="365" w:name="_Toc127151535"/>
      <w:bookmarkStart w:id="366" w:name="_Toc151193849"/>
      <w:bookmarkStart w:id="367" w:name="_Toc150774740"/>
      <w:bookmarkStart w:id="368" w:name="_Toc265228373"/>
      <w:bookmarkStart w:id="369" w:name="_Toc164229230"/>
      <w:bookmarkStart w:id="370" w:name="_Toc520356160"/>
      <w:bookmarkStart w:id="371" w:name="_Toc164229376"/>
      <w:bookmarkStart w:id="372" w:name="_Toc305158803"/>
      <w:r>
        <w:rPr>
          <w:rFonts w:hint="eastAsia" w:ascii="宋体" w:hAnsi="宋体" w:eastAsia="宋体" w:cs="宋体"/>
          <w:i w:val="0"/>
          <w:iCs w:val="0"/>
          <w:sz w:val="24"/>
          <w:highlight w:val="none"/>
        </w:rPr>
        <w:t>各包响应文件的</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Pr>
          <w:rFonts w:hint="eastAsia" w:ascii="宋体" w:hAnsi="宋体" w:eastAsia="宋体" w:cs="宋体"/>
          <w:i w:val="0"/>
          <w:iCs w:val="0"/>
          <w:sz w:val="24"/>
          <w:highlight w:val="none"/>
        </w:rPr>
        <w:t>提交</w:t>
      </w:r>
    </w:p>
    <w:p w14:paraId="2B4BF25C">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本项目使用北京市政府采购电子交易平台。供应商根据竞争性磋商文件及电子交易平台供应商操作手册要求编制、生成并提交电子响应文件。</w:t>
      </w:r>
    </w:p>
    <w:p w14:paraId="1997C3BB">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采购人及采购代理机构拒绝接受通过电子交易平台以外任何形式提交的首次响应文件，磋商保证金除外。</w:t>
      </w:r>
    </w:p>
    <w:p w14:paraId="69A34379">
      <w:pPr>
        <w:pageBreakBefore w:val="0"/>
        <w:numPr>
          <w:ilvl w:val="0"/>
          <w:numId w:val="8"/>
        </w:numPr>
        <w:tabs>
          <w:tab w:val="left" w:pos="360"/>
        </w:tabs>
        <w:wordWrap w:val="0"/>
        <w:topLinePunct w:val="0"/>
        <w:bidi w:val="0"/>
        <w:snapToGrid w:val="0"/>
        <w:spacing w:after="0" w:line="360" w:lineRule="auto"/>
        <w:ind w:left="357" w:hanging="357"/>
        <w:textAlignment w:val="auto"/>
        <w:outlineLvl w:val="2"/>
        <w:rPr>
          <w:rFonts w:hint="eastAsia" w:ascii="宋体" w:hAnsi="宋体" w:eastAsia="宋体" w:cs="宋体"/>
          <w:i w:val="0"/>
          <w:iCs w:val="0"/>
          <w:sz w:val="24"/>
          <w:highlight w:val="none"/>
        </w:rPr>
      </w:pPr>
      <w:bookmarkStart w:id="373" w:name="_Toc164608805"/>
      <w:bookmarkStart w:id="374" w:name="_Toc127161450"/>
      <w:bookmarkStart w:id="375" w:name="_Toc149720829"/>
      <w:bookmarkStart w:id="376" w:name="_Toc226309780"/>
      <w:bookmarkStart w:id="377" w:name="_Toc142311038"/>
      <w:bookmarkStart w:id="378" w:name="_Toc151193706"/>
      <w:bookmarkStart w:id="379" w:name="_Toc195842901"/>
      <w:bookmarkStart w:id="380" w:name="_Toc151193924"/>
      <w:bookmarkStart w:id="381" w:name="_Toc164351630"/>
      <w:bookmarkStart w:id="382" w:name="_Toc226337232"/>
      <w:bookmarkStart w:id="383" w:name="_Toc226965809"/>
      <w:bookmarkStart w:id="384" w:name="_Toc305158804"/>
      <w:bookmarkStart w:id="385" w:name="_Toc164608650"/>
      <w:bookmarkStart w:id="386" w:name="_Toc226965726"/>
      <w:bookmarkStart w:id="387" w:name="_Toc127151536"/>
      <w:bookmarkStart w:id="388" w:name="_Toc150509287"/>
      <w:bookmarkStart w:id="389" w:name="_Toc151193778"/>
      <w:bookmarkStart w:id="390" w:name="_Toc520356161"/>
      <w:bookmarkStart w:id="391" w:name="_Toc150480774"/>
      <w:bookmarkStart w:id="392" w:name="_Toc151190163"/>
      <w:bookmarkStart w:id="393" w:name="_Toc164229231"/>
      <w:bookmarkStart w:id="394" w:name="_Toc265228374"/>
      <w:bookmarkStart w:id="395" w:name="_Toc151193634"/>
      <w:bookmarkStart w:id="396" w:name="_Toc150774741"/>
      <w:bookmarkStart w:id="397" w:name="_Toc151193850"/>
      <w:bookmarkStart w:id="398" w:name="_Toc264969226"/>
      <w:bookmarkStart w:id="399" w:name="_Toc127151737"/>
      <w:bookmarkStart w:id="400" w:name="_Toc305158878"/>
      <w:bookmarkStart w:id="401" w:name="_Toc164229377"/>
      <w:bookmarkStart w:id="402" w:name="_Toc150774636"/>
      <w:r>
        <w:rPr>
          <w:rFonts w:hint="eastAsia" w:ascii="宋体" w:hAnsi="宋体" w:eastAsia="宋体" w:cs="宋体"/>
          <w:i w:val="0"/>
          <w:iCs w:val="0"/>
          <w:sz w:val="24"/>
          <w:highlight w:val="none"/>
        </w:rPr>
        <w:t>响应文件</w:t>
      </w:r>
      <w:r>
        <w:rPr>
          <w:rFonts w:hint="eastAsia" w:ascii="宋体" w:hAnsi="宋体" w:cs="宋体"/>
          <w:i w:val="0"/>
          <w:iCs w:val="0"/>
          <w:sz w:val="24"/>
          <w:highlight w:val="none"/>
          <w:lang w:val="en-US" w:eastAsia="zh-CN"/>
        </w:rPr>
        <w:t>提交</w:t>
      </w:r>
      <w:r>
        <w:rPr>
          <w:rFonts w:hint="eastAsia" w:ascii="宋体" w:hAnsi="宋体" w:eastAsia="宋体" w:cs="宋体"/>
          <w:i w:val="0"/>
          <w:iCs w:val="0"/>
          <w:sz w:val="24"/>
          <w:highlight w:val="none"/>
        </w:rPr>
        <w:t>截止</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Pr>
          <w:rFonts w:hint="eastAsia" w:ascii="宋体" w:hAnsi="宋体" w:eastAsia="宋体" w:cs="宋体"/>
          <w:i w:val="0"/>
          <w:iCs w:val="0"/>
          <w:sz w:val="24"/>
          <w:highlight w:val="none"/>
        </w:rPr>
        <w:t>时间</w:t>
      </w:r>
    </w:p>
    <w:p w14:paraId="10EA7003">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bookmarkStart w:id="403" w:name="_Toc150480775"/>
      <w:bookmarkStart w:id="404" w:name="_Toc151193851"/>
      <w:bookmarkStart w:id="405" w:name="_Toc127151738"/>
      <w:bookmarkStart w:id="406" w:name="_Toc226309781"/>
      <w:bookmarkStart w:id="407" w:name="_Toc164229232"/>
      <w:bookmarkStart w:id="408" w:name="_Toc151193925"/>
      <w:bookmarkStart w:id="409" w:name="_Toc150774742"/>
      <w:bookmarkStart w:id="410" w:name="_Toc265228375"/>
      <w:bookmarkStart w:id="411" w:name="_Toc520356162"/>
      <w:bookmarkStart w:id="412" w:name="_Toc151193779"/>
      <w:bookmarkStart w:id="413" w:name="_Toc164608651"/>
      <w:bookmarkStart w:id="414" w:name="_Toc151190164"/>
      <w:bookmarkStart w:id="415" w:name="_Toc142311039"/>
      <w:bookmarkStart w:id="416" w:name="_Toc226965727"/>
      <w:bookmarkStart w:id="417" w:name="_Toc127151537"/>
      <w:bookmarkStart w:id="418" w:name="_Toc305158805"/>
      <w:bookmarkStart w:id="419" w:name="_Toc150774637"/>
      <w:bookmarkStart w:id="420" w:name="_Toc150509288"/>
      <w:bookmarkStart w:id="421" w:name="_Toc164351631"/>
      <w:bookmarkStart w:id="422" w:name="_Toc127161451"/>
      <w:bookmarkStart w:id="423" w:name="_Toc226965810"/>
      <w:bookmarkStart w:id="424" w:name="_Toc151193635"/>
      <w:bookmarkStart w:id="425" w:name="_Toc195842902"/>
      <w:bookmarkStart w:id="426" w:name="_Toc226337233"/>
      <w:bookmarkStart w:id="427" w:name="_Toc149720830"/>
      <w:bookmarkStart w:id="428" w:name="_Toc264969227"/>
      <w:bookmarkStart w:id="429" w:name="_Toc151193707"/>
      <w:bookmarkStart w:id="430" w:name="_Toc305158879"/>
      <w:bookmarkStart w:id="431" w:name="_Toc164608806"/>
      <w:bookmarkStart w:id="432" w:name="_Toc164229378"/>
      <w:r>
        <w:rPr>
          <w:rFonts w:hint="eastAsia" w:ascii="宋体" w:hAnsi="宋体" w:eastAsia="宋体" w:cs="宋体"/>
          <w:i w:val="0"/>
          <w:iCs w:val="0"/>
          <w:sz w:val="24"/>
          <w:highlight w:val="none"/>
        </w:rPr>
        <w:t>供应商应在竞争性磋商文件要求响应文件提交截止时间前，将电子响应文件 提交至电子交易平台。</w:t>
      </w:r>
    </w:p>
    <w:p w14:paraId="7A124DF7">
      <w:pPr>
        <w:pageBreakBefore w:val="0"/>
        <w:numPr>
          <w:ilvl w:val="0"/>
          <w:numId w:val="8"/>
        </w:numPr>
        <w:tabs>
          <w:tab w:val="left" w:pos="360"/>
        </w:tabs>
        <w:wordWrap w:val="0"/>
        <w:topLinePunct w:val="0"/>
        <w:bidi w:val="0"/>
        <w:snapToGrid w:val="0"/>
        <w:spacing w:after="0" w:line="360" w:lineRule="auto"/>
        <w:ind w:left="357" w:hanging="357"/>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响应文件的修改与撤回</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14:paraId="0333306B">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响应文件提交截止时间前，供应商可以通过电子交易平台对所提交的响应文件进行补充、修改或者撤回。磋商保证金的补充、修改或者撤回无需通过电子交易平台，但应就其补充、修改或者撤回通知采购人或采购代理机构。</w:t>
      </w:r>
    </w:p>
    <w:p w14:paraId="45183832">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供应商对响应文件的补充、修改的内容应当按照竞争性磋商文件要求签署、盖章，作为响应文件的组成部分。补充、修改的内容与响应文件不一致的，以补充、修改的内容为准</w:t>
      </w:r>
      <w:r>
        <w:rPr>
          <w:rFonts w:hint="eastAsia" w:ascii="宋体" w:hAnsi="宋体" w:eastAsia="宋体" w:cs="宋体"/>
          <w:i w:val="0"/>
          <w:iCs w:val="0"/>
          <w:kern w:val="0"/>
          <w:sz w:val="24"/>
          <w:highlight w:val="none"/>
        </w:rPr>
        <w:t>。</w:t>
      </w:r>
    </w:p>
    <w:p w14:paraId="15FFCB5D">
      <w:pPr>
        <w:pageBreakBefore w:val="0"/>
        <w:tabs>
          <w:tab w:val="left" w:pos="900"/>
          <w:tab w:val="left" w:pos="1080"/>
          <w:tab w:val="left" w:pos="1589"/>
        </w:tabs>
        <w:wordWrap w:val="0"/>
        <w:topLinePunct w:val="0"/>
        <w:bidi w:val="0"/>
        <w:snapToGrid w:val="0"/>
        <w:spacing w:after="0" w:line="360" w:lineRule="auto"/>
        <w:ind w:left="357"/>
        <w:textAlignment w:val="auto"/>
        <w:rPr>
          <w:rFonts w:hint="eastAsia" w:ascii="宋体" w:hAnsi="宋体" w:eastAsia="宋体" w:cs="宋体"/>
          <w:i w:val="0"/>
          <w:iCs w:val="0"/>
          <w:sz w:val="24"/>
          <w:highlight w:val="none"/>
        </w:rPr>
      </w:pPr>
    </w:p>
    <w:p w14:paraId="714CDE64">
      <w:pPr>
        <w:pStyle w:val="4"/>
        <w:pageBreakBefore w:val="0"/>
        <w:wordWrap w:val="0"/>
        <w:topLinePunct w:val="0"/>
        <w:bidi w:val="0"/>
        <w:spacing w:before="0" w:after="0" w:line="360" w:lineRule="auto"/>
        <w:textAlignment w:val="auto"/>
        <w:rPr>
          <w:rFonts w:hint="eastAsia" w:ascii="宋体" w:hAnsi="宋体" w:eastAsia="宋体" w:cs="宋体"/>
          <w:i w:val="0"/>
          <w:iCs w:val="0"/>
          <w:sz w:val="28"/>
          <w:highlight w:val="none"/>
        </w:rPr>
      </w:pPr>
      <w:bookmarkStart w:id="433" w:name="_Toc150774638"/>
      <w:bookmarkStart w:id="434" w:name="_Toc195842903"/>
      <w:bookmarkStart w:id="435" w:name="_Toc305158806"/>
      <w:bookmarkStart w:id="436" w:name="_Toc127151538"/>
      <w:bookmarkStart w:id="437" w:name="_Toc226965728"/>
      <w:bookmarkStart w:id="438" w:name="_Toc151193780"/>
      <w:bookmarkStart w:id="439" w:name="_Toc151193636"/>
      <w:bookmarkStart w:id="440" w:name="_Toc226965811"/>
      <w:bookmarkStart w:id="441" w:name="_Toc305158880"/>
      <w:bookmarkStart w:id="442" w:name="_Toc150774743"/>
      <w:bookmarkStart w:id="443" w:name="_Toc151193708"/>
      <w:bookmarkStart w:id="444" w:name="_Toc151193926"/>
      <w:bookmarkStart w:id="445" w:name="_Toc150480776"/>
      <w:bookmarkStart w:id="446" w:name="_Toc520356163"/>
      <w:bookmarkStart w:id="447" w:name="_Toc151193852"/>
      <w:bookmarkStart w:id="448" w:name="_Toc226309782"/>
      <w:bookmarkStart w:id="449" w:name="_Toc226337234"/>
      <w:bookmarkStart w:id="450" w:name="_Toc151190165"/>
      <w:bookmarkStart w:id="451" w:name="_Toc265228376"/>
      <w:bookmarkStart w:id="452" w:name="_Toc142311040"/>
      <w:bookmarkStart w:id="453" w:name="_Toc264969228"/>
      <w:bookmarkStart w:id="454" w:name="_Toc150509289"/>
      <w:r>
        <w:rPr>
          <w:rFonts w:hint="eastAsia" w:ascii="宋体" w:hAnsi="宋体" w:eastAsia="宋体" w:cs="宋体"/>
          <w:i w:val="0"/>
          <w:iCs w:val="0"/>
          <w:sz w:val="28"/>
          <w:highlight w:val="none"/>
        </w:rPr>
        <w:t xml:space="preserve">五   </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r>
        <w:rPr>
          <w:rFonts w:hint="eastAsia" w:ascii="宋体" w:hAnsi="宋体" w:eastAsia="宋体" w:cs="宋体"/>
          <w:i w:val="0"/>
          <w:iCs w:val="0"/>
          <w:sz w:val="28"/>
          <w:highlight w:val="none"/>
        </w:rPr>
        <w:t>评审</w:t>
      </w:r>
    </w:p>
    <w:p w14:paraId="7B3F3815">
      <w:pPr>
        <w:numPr>
          <w:ilvl w:val="0"/>
          <w:numId w:val="8"/>
        </w:numPr>
        <w:tabs>
          <w:tab w:val="left" w:pos="360"/>
        </w:tabs>
        <w:wordWrap w:val="0"/>
        <w:snapToGrid w:val="0"/>
        <w:spacing w:after="0" w:line="360" w:lineRule="auto"/>
        <w:ind w:left="0" w:firstLine="0"/>
        <w:outlineLvl w:val="2"/>
        <w:rPr>
          <w:rFonts w:eastAsia="宋体"/>
          <w:sz w:val="24"/>
          <w:highlight w:val="none"/>
        </w:rPr>
      </w:pPr>
      <w:bookmarkStart w:id="455" w:name="_Toc520356166"/>
      <w:r>
        <w:rPr>
          <w:rFonts w:eastAsia="宋体"/>
          <w:sz w:val="24"/>
          <w:highlight w:val="none"/>
        </w:rPr>
        <w:t>响应文件的解密与开启</w:t>
      </w:r>
    </w:p>
    <w:p w14:paraId="4E2C4E2E">
      <w:pPr>
        <w:numPr>
          <w:ilvl w:val="1"/>
          <w:numId w:val="8"/>
        </w:numPr>
        <w:tabs>
          <w:tab w:val="left" w:pos="1080"/>
          <w:tab w:val="left" w:pos="2014"/>
        </w:tabs>
        <w:snapToGrid w:val="0"/>
        <w:spacing w:after="0" w:line="360" w:lineRule="auto"/>
        <w:ind w:left="1077" w:hanging="720"/>
        <w:rPr>
          <w:rFonts w:eastAsia="宋体"/>
          <w:sz w:val="24"/>
          <w:highlight w:val="none"/>
        </w:rPr>
      </w:pPr>
      <w:r>
        <w:rPr>
          <w:rFonts w:eastAsia="宋体"/>
          <w:sz w:val="24"/>
          <w:highlight w:val="none"/>
        </w:rPr>
        <w:t>采购人或采购代理机构将按竞争性磋商文件的规定，在响应文件提交截止时间的同一时间和竞争性磋商文件预先确定的地点开启响应文件。</w:t>
      </w:r>
    </w:p>
    <w:p w14:paraId="1E9D8585">
      <w:pPr>
        <w:numPr>
          <w:ilvl w:val="1"/>
          <w:numId w:val="8"/>
        </w:numPr>
        <w:tabs>
          <w:tab w:val="left" w:pos="1080"/>
          <w:tab w:val="left" w:pos="2014"/>
        </w:tabs>
        <w:snapToGrid w:val="0"/>
        <w:spacing w:after="0" w:line="360" w:lineRule="auto"/>
        <w:ind w:left="1077" w:hanging="720"/>
        <w:rPr>
          <w:rFonts w:eastAsia="宋体"/>
          <w:sz w:val="24"/>
          <w:highlight w:val="none"/>
        </w:rPr>
      </w:pPr>
      <w:r>
        <w:rPr>
          <w:rFonts w:eastAsia="宋体"/>
          <w:sz w:val="24"/>
          <w:highlight w:val="none"/>
        </w:rPr>
        <w:t>本项目解密使用北京市政府采购电子交易平台。供应商应在《供应商须知资料表》规定的时间内对响应文件进行解密，因非系统原因导致的解密失败，视为</w:t>
      </w:r>
      <w:r>
        <w:rPr>
          <w:rFonts w:eastAsia="宋体"/>
          <w:b/>
          <w:sz w:val="24"/>
          <w:highlight w:val="none"/>
        </w:rPr>
        <w:t>无效响应</w:t>
      </w:r>
      <w:r>
        <w:rPr>
          <w:rFonts w:eastAsia="宋体"/>
          <w:sz w:val="24"/>
          <w:highlight w:val="none"/>
        </w:rPr>
        <w:t>。</w:t>
      </w:r>
    </w:p>
    <w:p w14:paraId="1D6BECB7">
      <w:pPr>
        <w:numPr>
          <w:ilvl w:val="1"/>
          <w:numId w:val="8"/>
        </w:numPr>
        <w:tabs>
          <w:tab w:val="left" w:pos="1080"/>
          <w:tab w:val="left" w:pos="2014"/>
        </w:tabs>
        <w:snapToGrid w:val="0"/>
        <w:spacing w:after="0" w:line="360" w:lineRule="auto"/>
        <w:ind w:left="1077" w:hanging="720"/>
        <w:rPr>
          <w:rFonts w:eastAsia="宋体"/>
          <w:sz w:val="24"/>
          <w:highlight w:val="none"/>
        </w:rPr>
      </w:pPr>
      <w:r>
        <w:rPr>
          <w:rFonts w:eastAsia="宋体"/>
          <w:sz w:val="24"/>
          <w:highlight w:val="none"/>
        </w:rPr>
        <w:t>供应商认为采购人员及相关人员与其他供应商有利害关系的，可以向采购人或采购代理机构书面提出回避申请，并说明理由。采购人或采购代理机构将及时询问被申请回避人员，有利害关系的被申请回避人员将回避。</w:t>
      </w:r>
    </w:p>
    <w:p w14:paraId="1F454D87">
      <w:pPr>
        <w:numPr>
          <w:ilvl w:val="1"/>
          <w:numId w:val="8"/>
        </w:numPr>
        <w:tabs>
          <w:tab w:val="left" w:pos="1080"/>
          <w:tab w:val="left" w:pos="2014"/>
        </w:tabs>
        <w:snapToGrid w:val="0"/>
        <w:spacing w:after="0" w:line="360" w:lineRule="auto"/>
        <w:ind w:left="1077" w:hanging="720"/>
        <w:rPr>
          <w:rFonts w:eastAsia="宋体"/>
          <w:sz w:val="24"/>
          <w:highlight w:val="none"/>
        </w:rPr>
      </w:pPr>
      <w:r>
        <w:rPr>
          <w:rFonts w:eastAsia="宋体"/>
          <w:sz w:val="24"/>
          <w:highlight w:val="none"/>
        </w:rPr>
        <w:t>供应商不足3家的，不予解密。</w:t>
      </w:r>
    </w:p>
    <w:p w14:paraId="31D76CFB">
      <w:pPr>
        <w:numPr>
          <w:ilvl w:val="1"/>
          <w:numId w:val="8"/>
        </w:numPr>
        <w:tabs>
          <w:tab w:val="left" w:pos="1080"/>
          <w:tab w:val="left" w:pos="2014"/>
        </w:tabs>
        <w:snapToGrid w:val="0"/>
        <w:spacing w:after="0" w:line="360" w:lineRule="auto"/>
        <w:ind w:left="1077" w:hanging="720"/>
        <w:rPr>
          <w:rFonts w:eastAsia="宋体"/>
          <w:sz w:val="24"/>
          <w:highlight w:val="none"/>
        </w:rPr>
      </w:pPr>
      <w:bookmarkStart w:id="456" w:name="_Toc520356165"/>
      <w:r>
        <w:rPr>
          <w:rFonts w:eastAsia="宋体"/>
          <w:sz w:val="24"/>
          <w:highlight w:val="none"/>
        </w:rPr>
        <w:t>本项目不公开报价。</w:t>
      </w:r>
    </w:p>
    <w:bookmarkEnd w:id="456"/>
    <w:p w14:paraId="5F5BC2B8">
      <w:pPr>
        <w:numPr>
          <w:ilvl w:val="0"/>
          <w:numId w:val="8"/>
        </w:numPr>
        <w:tabs>
          <w:tab w:val="left" w:pos="360"/>
        </w:tabs>
        <w:wordWrap w:val="0"/>
        <w:snapToGrid w:val="0"/>
        <w:spacing w:after="0" w:line="360" w:lineRule="auto"/>
        <w:ind w:left="0" w:firstLine="0"/>
        <w:outlineLvl w:val="2"/>
        <w:rPr>
          <w:rFonts w:eastAsia="宋体"/>
          <w:sz w:val="24"/>
          <w:highlight w:val="none"/>
        </w:rPr>
      </w:pPr>
      <w:r>
        <w:rPr>
          <w:rFonts w:eastAsia="宋体"/>
          <w:sz w:val="24"/>
          <w:highlight w:val="none"/>
        </w:rPr>
        <w:t>磋商小组</w:t>
      </w:r>
    </w:p>
    <w:p w14:paraId="06345F55">
      <w:pPr>
        <w:numPr>
          <w:ilvl w:val="1"/>
          <w:numId w:val="8"/>
        </w:numPr>
        <w:tabs>
          <w:tab w:val="left" w:pos="1080"/>
          <w:tab w:val="left" w:pos="2014"/>
        </w:tabs>
        <w:snapToGrid w:val="0"/>
        <w:spacing w:after="0" w:line="360" w:lineRule="auto"/>
        <w:ind w:left="1077" w:hanging="720"/>
        <w:rPr>
          <w:rFonts w:eastAsia="宋体"/>
          <w:sz w:val="24"/>
          <w:highlight w:val="none"/>
        </w:rPr>
      </w:pPr>
      <w:r>
        <w:rPr>
          <w:rFonts w:eastAsia="宋体"/>
          <w:sz w:val="24"/>
          <w:highlight w:val="none"/>
        </w:rPr>
        <w:t>磋商小组根据政府采购有关规定和本次采购项目的特点进行组建，并负责具体评审</w:t>
      </w:r>
      <w:r>
        <w:rPr>
          <w:rFonts w:hint="eastAsia" w:eastAsia="宋体"/>
          <w:sz w:val="24"/>
          <w:highlight w:val="none"/>
        </w:rPr>
        <w:t>与磋商</w:t>
      </w:r>
      <w:r>
        <w:rPr>
          <w:rFonts w:eastAsia="宋体"/>
          <w:sz w:val="24"/>
          <w:highlight w:val="none"/>
        </w:rPr>
        <w:t>事务，独立履行职责。</w:t>
      </w:r>
    </w:p>
    <w:p w14:paraId="7FB9E515">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eastAsia="宋体"/>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r>
        <w:rPr>
          <w:rFonts w:hint="eastAsia" w:ascii="宋体" w:hAnsi="宋体" w:eastAsia="宋体" w:cs="宋体"/>
          <w:i w:val="0"/>
          <w:iCs w:val="0"/>
          <w:sz w:val="24"/>
          <w:highlight w:val="none"/>
        </w:rPr>
        <w:t>。</w:t>
      </w:r>
      <w:bookmarkEnd w:id="455"/>
      <w:bookmarkStart w:id="457" w:name="_Toc520356169"/>
    </w:p>
    <w:p w14:paraId="71ECA442">
      <w:pPr>
        <w:pageBreakBefore w:val="0"/>
        <w:numPr>
          <w:ilvl w:val="0"/>
          <w:numId w:val="8"/>
        </w:numPr>
        <w:tabs>
          <w:tab w:val="left" w:pos="360"/>
        </w:tabs>
        <w:wordWrap w:val="0"/>
        <w:topLinePunct w:val="0"/>
        <w:bidi w:val="0"/>
        <w:snapToGrid w:val="0"/>
        <w:spacing w:after="0" w:line="360" w:lineRule="auto"/>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评审方法和评审标准</w:t>
      </w:r>
    </w:p>
    <w:p w14:paraId="42F6926B">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见第三章《评审方法和评审标准》。</w:t>
      </w:r>
    </w:p>
    <w:p w14:paraId="3BF431DB">
      <w:pPr>
        <w:pageBreakBefore w:val="0"/>
        <w:tabs>
          <w:tab w:val="left" w:pos="360"/>
          <w:tab w:val="left" w:pos="1080"/>
        </w:tabs>
        <w:wordWrap w:val="0"/>
        <w:topLinePunct w:val="0"/>
        <w:bidi w:val="0"/>
        <w:snapToGrid w:val="0"/>
        <w:spacing w:after="0" w:line="360" w:lineRule="auto"/>
        <w:ind w:left="1080"/>
        <w:textAlignment w:val="auto"/>
        <w:rPr>
          <w:rFonts w:hint="eastAsia" w:ascii="宋体" w:hAnsi="宋体" w:eastAsia="宋体" w:cs="宋体"/>
          <w:i w:val="0"/>
          <w:iCs w:val="0"/>
          <w:sz w:val="24"/>
          <w:highlight w:val="none"/>
        </w:rPr>
      </w:pPr>
    </w:p>
    <w:p w14:paraId="4D1E768F">
      <w:pPr>
        <w:pStyle w:val="4"/>
        <w:pageBreakBefore w:val="0"/>
        <w:wordWrap w:val="0"/>
        <w:topLinePunct w:val="0"/>
        <w:bidi w:val="0"/>
        <w:spacing w:before="0" w:after="0" w:line="360" w:lineRule="auto"/>
        <w:textAlignment w:val="auto"/>
        <w:rPr>
          <w:rFonts w:hint="eastAsia" w:ascii="宋体" w:hAnsi="宋体" w:eastAsia="宋体" w:cs="宋体"/>
          <w:i w:val="0"/>
          <w:iCs w:val="0"/>
          <w:sz w:val="28"/>
          <w:highlight w:val="none"/>
        </w:rPr>
      </w:pPr>
      <w:bookmarkStart w:id="458" w:name="_Toc150509296"/>
      <w:bookmarkStart w:id="459" w:name="_Toc305158887"/>
      <w:bookmarkStart w:id="460" w:name="_Toc151193715"/>
      <w:bookmarkStart w:id="461" w:name="_Toc150774750"/>
      <w:bookmarkStart w:id="462" w:name="_Toc226965735"/>
      <w:bookmarkStart w:id="463" w:name="_Toc226337241"/>
      <w:bookmarkStart w:id="464" w:name="_Toc151193643"/>
      <w:bookmarkStart w:id="465" w:name="_Toc151193859"/>
      <w:bookmarkStart w:id="466" w:name="_Toc151193787"/>
      <w:bookmarkStart w:id="467" w:name="_Toc226965818"/>
      <w:bookmarkStart w:id="468" w:name="_Toc305158813"/>
      <w:bookmarkStart w:id="469" w:name="_Toc142311047"/>
      <w:bookmarkStart w:id="470" w:name="_Toc151190172"/>
      <w:bookmarkStart w:id="471" w:name="_Toc150480783"/>
      <w:bookmarkStart w:id="472" w:name="_Toc195842910"/>
      <w:bookmarkStart w:id="473" w:name="_Toc265228383"/>
      <w:bookmarkStart w:id="474" w:name="_Toc127151545"/>
      <w:bookmarkStart w:id="475" w:name="_Toc151193933"/>
      <w:bookmarkStart w:id="476" w:name="_Toc150774645"/>
      <w:bookmarkStart w:id="477" w:name="_Toc226309789"/>
      <w:bookmarkStart w:id="478" w:name="_Toc264969235"/>
      <w:r>
        <w:rPr>
          <w:rFonts w:hint="eastAsia" w:ascii="宋体" w:hAnsi="宋体" w:eastAsia="宋体" w:cs="宋体"/>
          <w:i w:val="0"/>
          <w:iCs w:val="0"/>
          <w:sz w:val="28"/>
          <w:highlight w:val="none"/>
        </w:rPr>
        <w:t xml:space="preserve">六   </w:t>
      </w:r>
      <w:bookmarkEnd w:id="457"/>
      <w:r>
        <w:rPr>
          <w:rFonts w:hint="eastAsia" w:ascii="宋体" w:hAnsi="宋体" w:eastAsia="宋体" w:cs="宋体"/>
          <w:i w:val="0"/>
          <w:iCs w:val="0"/>
          <w:sz w:val="28"/>
          <w:highlight w:val="none"/>
        </w:rPr>
        <w:t>确定</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rPr>
          <w:rFonts w:hint="eastAsia" w:ascii="宋体" w:hAnsi="宋体" w:eastAsia="宋体" w:cs="宋体"/>
          <w:i w:val="0"/>
          <w:iCs w:val="0"/>
          <w:sz w:val="28"/>
          <w:highlight w:val="none"/>
        </w:rPr>
        <w:t>成交</w:t>
      </w:r>
    </w:p>
    <w:p w14:paraId="56F59462">
      <w:pPr>
        <w:pageBreakBefore w:val="0"/>
        <w:numPr>
          <w:ilvl w:val="0"/>
          <w:numId w:val="8"/>
        </w:numPr>
        <w:tabs>
          <w:tab w:val="left" w:pos="360"/>
        </w:tabs>
        <w:wordWrap w:val="0"/>
        <w:topLinePunct w:val="0"/>
        <w:bidi w:val="0"/>
        <w:snapToGrid w:val="0"/>
        <w:spacing w:after="0" w:line="360" w:lineRule="auto"/>
        <w:ind w:left="357" w:hanging="357"/>
        <w:textAlignment w:val="auto"/>
        <w:outlineLvl w:val="2"/>
        <w:rPr>
          <w:rFonts w:hint="eastAsia" w:ascii="宋体" w:hAnsi="宋体" w:eastAsia="宋体" w:cs="宋体"/>
          <w:i w:val="0"/>
          <w:iCs w:val="0"/>
          <w:sz w:val="24"/>
          <w:highlight w:val="none"/>
        </w:rPr>
      </w:pPr>
      <w:bookmarkStart w:id="479" w:name="_Toc264969237"/>
      <w:bookmarkStart w:id="480" w:name="_Toc149720840"/>
      <w:bookmarkStart w:id="481" w:name="_Toc150774752"/>
      <w:bookmarkStart w:id="482" w:name="_Toc150774647"/>
      <w:bookmarkStart w:id="483" w:name="_Toc151193645"/>
      <w:bookmarkStart w:id="484" w:name="_Toc226965737"/>
      <w:bookmarkStart w:id="485" w:name="_Toc150509298"/>
      <w:bookmarkStart w:id="486" w:name="_Toc226965820"/>
      <w:bookmarkStart w:id="487" w:name="_Toc305158815"/>
      <w:bookmarkStart w:id="488" w:name="_Toc127161461"/>
      <w:bookmarkStart w:id="489" w:name="_Toc127151547"/>
      <w:bookmarkStart w:id="490" w:name="_Toc164229388"/>
      <w:bookmarkStart w:id="491" w:name="_Toc151193861"/>
      <w:bookmarkStart w:id="492" w:name="_Toc151193789"/>
      <w:bookmarkStart w:id="493" w:name="_Toc151193935"/>
      <w:bookmarkStart w:id="494" w:name="_Toc164608816"/>
      <w:bookmarkStart w:id="495" w:name="_Toc164608661"/>
      <w:bookmarkStart w:id="496" w:name="_Toc151193717"/>
      <w:bookmarkStart w:id="497" w:name="_Toc226337243"/>
      <w:bookmarkStart w:id="498" w:name="_Toc151190174"/>
      <w:bookmarkStart w:id="499" w:name="_Toc164351641"/>
      <w:bookmarkStart w:id="500" w:name="_Toc142311049"/>
      <w:bookmarkStart w:id="501" w:name="_Toc150480785"/>
      <w:bookmarkStart w:id="502" w:name="_Toc127151748"/>
      <w:bookmarkStart w:id="503" w:name="_Toc265228385"/>
      <w:bookmarkStart w:id="504" w:name="_Toc226309791"/>
      <w:bookmarkStart w:id="505" w:name="_Toc164229242"/>
      <w:bookmarkStart w:id="506" w:name="_Toc195842912"/>
      <w:bookmarkStart w:id="507" w:name="_Toc305158889"/>
      <w:r>
        <w:rPr>
          <w:rFonts w:hint="eastAsia" w:ascii="宋体" w:hAnsi="宋体" w:eastAsia="宋体" w:cs="宋体"/>
          <w:i w:val="0"/>
          <w:iCs w:val="0"/>
          <w:sz w:val="24"/>
          <w:highlight w:val="none"/>
        </w:rPr>
        <w:t>确定成交供应商</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14:paraId="63FA1616">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将在收到评审报告后，从评审报告提出的成交候选供应商中，按照排序由高到低的原则确定成交供应商。采购人是否授权磋商小组直接确定成交供应商，见《供应商须知资料表》。成交候选人并列的，按照《供应商须知资料表》要求确定成交供应商。</w:t>
      </w:r>
    </w:p>
    <w:p w14:paraId="6CE5376B">
      <w:pPr>
        <w:pageBreakBefore w:val="0"/>
        <w:numPr>
          <w:ilvl w:val="0"/>
          <w:numId w:val="8"/>
        </w:numPr>
        <w:tabs>
          <w:tab w:val="left" w:pos="360"/>
        </w:tabs>
        <w:wordWrap w:val="0"/>
        <w:topLinePunct w:val="0"/>
        <w:bidi w:val="0"/>
        <w:snapToGrid w:val="0"/>
        <w:spacing w:after="0" w:line="360" w:lineRule="auto"/>
        <w:ind w:left="357" w:hanging="357"/>
        <w:textAlignment w:val="auto"/>
        <w:outlineLvl w:val="2"/>
        <w:rPr>
          <w:rFonts w:hint="eastAsia" w:ascii="宋体" w:hAnsi="宋体" w:eastAsia="宋体" w:cs="宋体"/>
          <w:i w:val="0"/>
          <w:iCs w:val="0"/>
          <w:sz w:val="24"/>
          <w:highlight w:val="none"/>
        </w:rPr>
      </w:pPr>
      <w:bookmarkStart w:id="508" w:name="_Toc305158891"/>
      <w:bookmarkStart w:id="509" w:name="_Toc305158817"/>
      <w:bookmarkStart w:id="510" w:name="_Toc151193719"/>
      <w:bookmarkStart w:id="511" w:name="_Toc164229390"/>
      <w:bookmarkStart w:id="512" w:name="_Toc149720842"/>
      <w:bookmarkStart w:id="513" w:name="_Toc142311051"/>
      <w:bookmarkStart w:id="514" w:name="_Toc127151750"/>
      <w:bookmarkStart w:id="515" w:name="_Toc164351643"/>
      <w:bookmarkStart w:id="516" w:name="_Toc127151549"/>
      <w:bookmarkStart w:id="517" w:name="_Toc150774649"/>
      <w:bookmarkStart w:id="518" w:name="_Toc151190176"/>
      <w:bookmarkStart w:id="519" w:name="_Toc226965822"/>
      <w:bookmarkStart w:id="520" w:name="_Toc150509300"/>
      <w:bookmarkStart w:id="521" w:name="_Toc195842914"/>
      <w:bookmarkStart w:id="522" w:name="_Toc226337245"/>
      <w:bookmarkStart w:id="523" w:name="_Toc150774754"/>
      <w:bookmarkStart w:id="524" w:name="_Toc164229244"/>
      <w:bookmarkStart w:id="525" w:name="_Toc151193937"/>
      <w:bookmarkStart w:id="526" w:name="_Toc164608818"/>
      <w:bookmarkStart w:id="527" w:name="_Toc150480787"/>
      <w:bookmarkStart w:id="528" w:name="_Toc164608663"/>
      <w:bookmarkStart w:id="529" w:name="_Toc151193863"/>
      <w:bookmarkStart w:id="530" w:name="_Toc264969239"/>
      <w:bookmarkStart w:id="531" w:name="_Toc226965739"/>
      <w:bookmarkStart w:id="532" w:name="_Toc265228387"/>
      <w:bookmarkStart w:id="533" w:name="_Toc127161463"/>
      <w:bookmarkStart w:id="534" w:name="_Toc151193791"/>
      <w:bookmarkStart w:id="535" w:name="_Toc151193647"/>
      <w:bookmarkStart w:id="536" w:name="_Toc226309793"/>
      <w:bookmarkStart w:id="537" w:name="_Ref467306425"/>
      <w:bookmarkStart w:id="538" w:name="_Ref467307090"/>
      <w:bookmarkStart w:id="539" w:name="_Toc520356176"/>
      <w:r>
        <w:rPr>
          <w:rFonts w:hint="eastAsia" w:ascii="宋体" w:hAnsi="宋体" w:eastAsia="宋体" w:cs="宋体"/>
          <w:i w:val="0"/>
          <w:iCs w:val="0"/>
          <w:sz w:val="24"/>
          <w:highlight w:val="none"/>
        </w:rPr>
        <w:t>成交公告与成交通知书</w:t>
      </w:r>
      <w:bookmarkEnd w:id="508"/>
      <w:bookmarkEnd w:id="509"/>
    </w:p>
    <w:p w14:paraId="115AE8F0">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采购人或采购代理机构将</w:t>
      </w:r>
      <w:r>
        <w:rPr>
          <w:rFonts w:hint="eastAsia" w:ascii="宋体" w:hAnsi="宋体" w:eastAsia="宋体" w:cs="宋体"/>
          <w:i w:val="0"/>
          <w:iCs w:val="0"/>
          <w:kern w:val="0"/>
          <w:sz w:val="24"/>
          <w:highlight w:val="none"/>
        </w:rPr>
        <w:t>在成交供应商确定后2个工作日内，在</w:t>
      </w:r>
      <w:r>
        <w:rPr>
          <w:rFonts w:hint="eastAsia" w:ascii="宋体" w:hAnsi="宋体" w:eastAsia="宋体" w:cs="宋体"/>
          <w:i w:val="0"/>
          <w:iCs w:val="0"/>
          <w:sz w:val="24"/>
          <w:highlight w:val="none"/>
        </w:rPr>
        <w:t>北京市政府采购网</w:t>
      </w:r>
      <w:r>
        <w:rPr>
          <w:rFonts w:hint="eastAsia" w:ascii="宋体" w:hAnsi="宋体" w:eastAsia="宋体" w:cs="宋体"/>
          <w:i w:val="0"/>
          <w:iCs w:val="0"/>
          <w:kern w:val="0"/>
          <w:sz w:val="24"/>
          <w:highlight w:val="none"/>
        </w:rPr>
        <w:t>公告成交结果，同时向成交供应商发出成交通知书，</w:t>
      </w:r>
      <w:r>
        <w:rPr>
          <w:rFonts w:hint="eastAsia" w:ascii="宋体" w:hAnsi="宋体" w:eastAsia="宋体" w:cs="宋体"/>
          <w:i w:val="0"/>
          <w:iCs w:val="0"/>
          <w:sz w:val="24"/>
          <w:highlight w:val="none"/>
        </w:rPr>
        <w:t>成交公告期限为1个工作日。</w:t>
      </w:r>
    </w:p>
    <w:p w14:paraId="1E98E06D">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成交通知书对采购人和成交供应商</w:t>
      </w:r>
      <w:r>
        <w:rPr>
          <w:rFonts w:hint="eastAsia" w:ascii="宋体" w:hAnsi="宋体" w:eastAsia="宋体" w:cs="宋体"/>
          <w:i w:val="0"/>
          <w:iCs w:val="0"/>
          <w:sz w:val="24"/>
          <w:highlight w:val="none"/>
          <w:lang w:val="en-US" w:eastAsia="zh-CN"/>
        </w:rPr>
        <w:t>均具有</w:t>
      </w:r>
      <w:r>
        <w:rPr>
          <w:rFonts w:hint="eastAsia" w:ascii="宋体" w:hAnsi="宋体" w:eastAsia="宋体" w:cs="宋体"/>
          <w:i w:val="0"/>
          <w:iCs w:val="0"/>
          <w:sz w:val="24"/>
          <w:highlight w:val="none"/>
        </w:rPr>
        <w:t>法律效力。成交通知书发出后，采购人改变成交结果的，或者成交供应商放弃成交项目的，</w:t>
      </w:r>
      <w:r>
        <w:rPr>
          <w:rFonts w:hint="eastAsia" w:ascii="宋体" w:hAnsi="宋体" w:cs="宋体"/>
          <w:i w:val="0"/>
          <w:iCs w:val="0"/>
          <w:sz w:val="24"/>
          <w:highlight w:val="none"/>
          <w:lang w:val="en-US" w:eastAsia="zh-CN"/>
        </w:rPr>
        <w:t>应当</w:t>
      </w:r>
      <w:r>
        <w:rPr>
          <w:rFonts w:hint="eastAsia" w:ascii="宋体" w:hAnsi="宋体" w:eastAsia="宋体" w:cs="宋体"/>
          <w:i w:val="0"/>
          <w:iCs w:val="0"/>
          <w:sz w:val="24"/>
          <w:highlight w:val="none"/>
        </w:rPr>
        <w:t>依法承担法律责任。</w:t>
      </w:r>
    </w:p>
    <w:p w14:paraId="21D1F278">
      <w:pPr>
        <w:pageBreakBefore w:val="0"/>
        <w:numPr>
          <w:ilvl w:val="0"/>
          <w:numId w:val="8"/>
        </w:numPr>
        <w:tabs>
          <w:tab w:val="left" w:pos="360"/>
        </w:tabs>
        <w:wordWrap w:val="0"/>
        <w:topLinePunct w:val="0"/>
        <w:bidi w:val="0"/>
        <w:snapToGrid w:val="0"/>
        <w:spacing w:after="0" w:line="360" w:lineRule="auto"/>
        <w:ind w:left="357" w:hanging="357"/>
        <w:textAlignment w:val="auto"/>
        <w:outlineLvl w:val="2"/>
        <w:rPr>
          <w:rFonts w:hint="eastAsia" w:ascii="宋体" w:hAnsi="宋体" w:eastAsia="宋体" w:cs="宋体"/>
          <w:i w:val="0"/>
          <w:iCs w:val="0"/>
          <w:sz w:val="24"/>
        </w:rPr>
      </w:pPr>
      <w:r>
        <w:rPr>
          <w:rFonts w:hint="eastAsia" w:ascii="宋体" w:hAnsi="宋体" w:eastAsia="宋体" w:cs="宋体"/>
          <w:i w:val="0"/>
          <w:iCs w:val="0"/>
          <w:sz w:val="24"/>
        </w:rPr>
        <w:t>终止</w:t>
      </w:r>
    </w:p>
    <w:p w14:paraId="73F98B2C">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rPr>
      </w:pPr>
      <w:r>
        <w:rPr>
          <w:rFonts w:hint="eastAsia" w:ascii="宋体" w:hAnsi="宋体" w:eastAsia="宋体" w:cs="宋体"/>
          <w:i w:val="0"/>
          <w:iCs w:val="0"/>
          <w:sz w:val="24"/>
        </w:rPr>
        <w:t>出现下列情形之一的，采购人或采购代理机构将终止竞争性磋商采购活动，发布项目终止公告并说明原因，重新开展采购活动：</w:t>
      </w:r>
    </w:p>
    <w:p w14:paraId="0583D8C0">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rPr>
      </w:pPr>
      <w:r>
        <w:rPr>
          <w:rFonts w:hint="eastAsia" w:ascii="宋体" w:hAnsi="宋体" w:eastAsia="宋体" w:cs="宋体"/>
          <w:i w:val="0"/>
          <w:iCs w:val="0"/>
          <w:sz w:val="24"/>
        </w:rPr>
        <w:t>因情况变化，不再符合规定的竞争性磋商采购方式适用情形的；</w:t>
      </w:r>
    </w:p>
    <w:p w14:paraId="6D737135">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rPr>
      </w:pPr>
      <w:r>
        <w:rPr>
          <w:rFonts w:hint="eastAsia" w:ascii="宋体" w:hAnsi="宋体" w:eastAsia="宋体" w:cs="宋体"/>
          <w:i w:val="0"/>
          <w:iCs w:val="0"/>
          <w:sz w:val="24"/>
        </w:rPr>
        <w:t>出现影响采购公正的违法、违规行为的；</w:t>
      </w:r>
    </w:p>
    <w:p w14:paraId="65738F17">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rPr>
      </w:pPr>
      <w:r>
        <w:rPr>
          <w:rFonts w:hint="eastAsia" w:ascii="宋体" w:hAnsi="宋体" w:eastAsia="宋体" w:cs="宋体"/>
          <w:i w:val="0"/>
          <w:iCs w:val="0"/>
          <w:snapToGrid w:val="0"/>
          <w:kern w:val="0"/>
          <w:sz w:val="24"/>
          <w:szCs w:val="20"/>
        </w:rPr>
        <w:t>除了“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的情形外，在采购过程中符合要求的供应商或者报价未超过采购预算的供应商不足3家的。</w:t>
      </w:r>
    </w:p>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14:paraId="03E0CF72">
      <w:pPr>
        <w:pageBreakBefore w:val="0"/>
        <w:numPr>
          <w:ilvl w:val="0"/>
          <w:numId w:val="8"/>
        </w:numPr>
        <w:tabs>
          <w:tab w:val="left" w:pos="360"/>
        </w:tabs>
        <w:wordWrap w:val="0"/>
        <w:topLinePunct w:val="0"/>
        <w:bidi w:val="0"/>
        <w:snapToGrid w:val="0"/>
        <w:spacing w:after="0" w:line="360" w:lineRule="auto"/>
        <w:ind w:left="357" w:hanging="357"/>
        <w:textAlignment w:val="auto"/>
        <w:outlineLvl w:val="2"/>
        <w:rPr>
          <w:rFonts w:hint="eastAsia" w:ascii="宋体" w:hAnsi="宋体" w:eastAsia="宋体" w:cs="宋体"/>
          <w:i w:val="0"/>
          <w:iCs w:val="0"/>
          <w:sz w:val="24"/>
        </w:rPr>
      </w:pPr>
      <w:bookmarkStart w:id="540" w:name="_Toc151193864"/>
      <w:bookmarkStart w:id="541" w:name="_Toc142311052"/>
      <w:bookmarkStart w:id="542" w:name="_Toc195842915"/>
      <w:bookmarkStart w:id="543" w:name="_Ref467307062"/>
      <w:bookmarkStart w:id="544" w:name="_Toc151193720"/>
      <w:bookmarkStart w:id="545" w:name="_Toc164608664"/>
      <w:bookmarkStart w:id="546" w:name="_Ref467307204"/>
      <w:bookmarkStart w:id="547" w:name="_Toc151193648"/>
      <w:bookmarkStart w:id="548" w:name="_Toc226965823"/>
      <w:bookmarkStart w:id="549" w:name="_Toc164229391"/>
      <w:bookmarkStart w:id="550" w:name="_Toc149720843"/>
      <w:bookmarkStart w:id="551" w:name="_Toc226965740"/>
      <w:bookmarkStart w:id="552" w:name="_Toc150480788"/>
      <w:bookmarkStart w:id="553" w:name="_Toc151193792"/>
      <w:bookmarkStart w:id="554" w:name="_Toc150509301"/>
      <w:bookmarkStart w:id="555" w:name="_Toc305158892"/>
      <w:bookmarkStart w:id="556" w:name="_Toc226337246"/>
      <w:bookmarkStart w:id="557" w:name="_Ref467306978"/>
      <w:bookmarkStart w:id="558" w:name="_Toc127151751"/>
      <w:bookmarkStart w:id="559" w:name="_Toc127161464"/>
      <w:bookmarkStart w:id="560" w:name="_Toc264969240"/>
      <w:bookmarkStart w:id="561" w:name="_Toc305158818"/>
      <w:bookmarkStart w:id="562" w:name="_Toc127151550"/>
      <w:bookmarkStart w:id="563" w:name="_Ref467306377"/>
      <w:bookmarkStart w:id="564" w:name="_Toc151193938"/>
      <w:bookmarkStart w:id="565" w:name="_Toc164608819"/>
      <w:bookmarkStart w:id="566" w:name="_Toc150774755"/>
      <w:bookmarkStart w:id="567" w:name="_Toc151190177"/>
      <w:bookmarkStart w:id="568" w:name="_Toc150774650"/>
      <w:bookmarkStart w:id="569" w:name="_Toc520356175"/>
      <w:bookmarkStart w:id="570" w:name="_Toc265228388"/>
      <w:bookmarkStart w:id="571" w:name="_Toc164229245"/>
      <w:bookmarkStart w:id="572" w:name="_Toc226309794"/>
      <w:bookmarkStart w:id="573" w:name="_Toc164351644"/>
      <w:r>
        <w:rPr>
          <w:rFonts w:hint="eastAsia" w:ascii="宋体" w:hAnsi="宋体" w:eastAsia="宋体" w:cs="宋体"/>
          <w:i w:val="0"/>
          <w:iCs w:val="0"/>
          <w:sz w:val="24"/>
        </w:rPr>
        <w:t>签订合同</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14:paraId="6B802439">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rPr>
      </w:pPr>
      <w:r>
        <w:rPr>
          <w:rFonts w:hint="eastAsia" w:ascii="宋体" w:hAnsi="宋体" w:eastAsia="宋体" w:cs="宋体"/>
          <w:i w:val="0"/>
          <w:iCs w:val="0"/>
          <w:sz w:val="24"/>
        </w:rPr>
        <w:t>采购人与成交供应商</w:t>
      </w:r>
      <w:r>
        <w:rPr>
          <w:rFonts w:hint="eastAsia" w:ascii="宋体" w:hAnsi="宋体" w:cs="宋体"/>
          <w:i w:val="0"/>
          <w:iCs w:val="0"/>
          <w:sz w:val="24"/>
          <w:lang w:val="en-US" w:eastAsia="zh-CN"/>
        </w:rPr>
        <w:t>应当</w:t>
      </w:r>
      <w:r>
        <w:rPr>
          <w:rFonts w:hint="eastAsia" w:ascii="宋体" w:hAnsi="宋体" w:eastAsia="宋体" w:cs="宋体"/>
          <w:i w:val="0"/>
          <w:iCs w:val="0"/>
          <w:sz w:val="24"/>
        </w:rPr>
        <w:t>在成交通知书发出之日起30日内，按照磋商文件确定的合同文本以及采购标的、规格型号、采购金额、采购数量、技术和服务要求等事项签订政府采购合同。</w:t>
      </w:r>
    </w:p>
    <w:p w14:paraId="095DB803">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rPr>
      </w:pPr>
      <w:r>
        <w:rPr>
          <w:rFonts w:hint="eastAsia" w:ascii="宋体" w:hAnsi="宋体" w:eastAsia="宋体" w:cs="宋体"/>
          <w:i w:val="0"/>
          <w:iCs w:val="0"/>
          <w:sz w:val="24"/>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26955041">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rPr>
        <w:t>联合体成交</w:t>
      </w:r>
      <w:r>
        <w:rPr>
          <w:rFonts w:hint="eastAsia" w:ascii="宋体" w:hAnsi="宋体" w:cs="宋体"/>
          <w:i w:val="0"/>
          <w:iCs w:val="0"/>
          <w:sz w:val="24"/>
          <w:lang w:val="en-US" w:eastAsia="zh-CN"/>
        </w:rPr>
        <w:t>的</w:t>
      </w:r>
      <w:r>
        <w:rPr>
          <w:rFonts w:hint="eastAsia" w:ascii="宋体" w:hAnsi="宋体" w:eastAsia="宋体" w:cs="宋体"/>
          <w:i w:val="0"/>
          <w:iCs w:val="0"/>
          <w:sz w:val="24"/>
        </w:rPr>
        <w:t>，联合体各方应</w:t>
      </w:r>
      <w:r>
        <w:rPr>
          <w:rFonts w:hint="eastAsia" w:ascii="宋体" w:hAnsi="宋体" w:eastAsia="宋体" w:cs="宋体"/>
          <w:i w:val="0"/>
          <w:iCs w:val="0"/>
          <w:sz w:val="24"/>
          <w:highlight w:val="none"/>
        </w:rPr>
        <w:t>当共同与采购人签订合同，就</w:t>
      </w:r>
      <w:r>
        <w:rPr>
          <w:rFonts w:hint="eastAsia" w:ascii="宋体" w:hAnsi="宋体" w:eastAsia="宋体" w:cs="宋体"/>
          <w:i w:val="0"/>
          <w:iCs w:val="0"/>
          <w:sz w:val="24"/>
          <w:highlight w:val="none"/>
          <w:lang w:val="en-US" w:eastAsia="zh-CN"/>
        </w:rPr>
        <w:t>采购合同约定的事项向</w:t>
      </w:r>
      <w:r>
        <w:rPr>
          <w:rFonts w:hint="eastAsia" w:ascii="宋体" w:hAnsi="宋体" w:eastAsia="宋体" w:cs="宋体"/>
          <w:i w:val="0"/>
          <w:iCs w:val="0"/>
          <w:sz w:val="24"/>
          <w:highlight w:val="none"/>
        </w:rPr>
        <w:t>采购人承担连带责任。</w:t>
      </w:r>
    </w:p>
    <w:p w14:paraId="26E75989">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政府采购合同不能转包。</w:t>
      </w:r>
    </w:p>
    <w:p w14:paraId="5A83B161">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rFonts w:hint="eastAsia" w:ascii="宋体" w:hAnsi="宋体" w:eastAsia="宋体" w:cs="宋体"/>
          <w:b/>
          <w:i w:val="0"/>
          <w:iCs w:val="0"/>
          <w:sz w:val="24"/>
          <w:highlight w:val="none"/>
        </w:rPr>
        <w:t>否则响应无效</w:t>
      </w:r>
      <w:r>
        <w:rPr>
          <w:rFonts w:hint="eastAsia" w:ascii="宋体" w:hAnsi="宋体" w:eastAsia="宋体" w:cs="宋体"/>
          <w:i w:val="0"/>
          <w:iCs w:val="0"/>
          <w:sz w:val="24"/>
          <w:highlight w:val="none"/>
        </w:rPr>
        <w:t>。成交供应商就采购项目和分包项目向采购人负责，分包供应商就分包项目承担责任。</w:t>
      </w:r>
    </w:p>
    <w:p w14:paraId="13314925">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“政采贷 ”融资指引：详见《供应商须知资料表》</w:t>
      </w:r>
      <w:r>
        <w:rPr>
          <w:rFonts w:hint="eastAsia" w:ascii="宋体" w:hAnsi="宋体" w:cs="宋体"/>
          <w:i w:val="0"/>
          <w:iCs w:val="0"/>
          <w:sz w:val="24"/>
          <w:highlight w:val="none"/>
          <w:lang w:eastAsia="zh-CN"/>
        </w:rPr>
        <w:t>。</w:t>
      </w:r>
    </w:p>
    <w:bookmarkEnd w:id="537"/>
    <w:bookmarkEnd w:id="538"/>
    <w:bookmarkEnd w:id="539"/>
    <w:p w14:paraId="0CC8E513">
      <w:pPr>
        <w:pageBreakBefore w:val="0"/>
        <w:numPr>
          <w:ilvl w:val="0"/>
          <w:numId w:val="8"/>
        </w:numPr>
        <w:tabs>
          <w:tab w:val="left" w:pos="360"/>
        </w:tabs>
        <w:wordWrap w:val="0"/>
        <w:topLinePunct w:val="0"/>
        <w:bidi w:val="0"/>
        <w:snapToGrid w:val="0"/>
        <w:spacing w:after="0" w:line="360" w:lineRule="auto"/>
        <w:ind w:left="357" w:hanging="357"/>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询问与质疑</w:t>
      </w:r>
    </w:p>
    <w:p w14:paraId="2BA7438E">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询问</w:t>
      </w:r>
    </w:p>
    <w:p w14:paraId="4E2E5E97">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供应商对政府采购活动事项有疑问的，可依法向采购人或采购代理机构提出询问，提出形式见《供应商须知资料表》。</w:t>
      </w:r>
    </w:p>
    <w:p w14:paraId="23AF5754">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采购人或采购代理机构对供应商依法提出的询问，在3个工作日内作出答复，但答复的内容不得涉及商业秘密。</w:t>
      </w:r>
    </w:p>
    <w:p w14:paraId="538D61C9">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质疑</w:t>
      </w:r>
    </w:p>
    <w:p w14:paraId="2FD49DFC">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供应商认为竞争性磋商文件、采购过程、成交结果使自己的权益受到损害的，可以在知道或者应知其权益受到损害之日起7个工作日内，以书面形式向采购人、采购代理机构</w:t>
      </w:r>
      <w:r>
        <w:rPr>
          <w:rFonts w:hint="eastAsia" w:ascii="宋体" w:hAnsi="宋体" w:eastAsia="宋体" w:cs="宋体"/>
          <w:i w:val="0"/>
          <w:iCs w:val="0"/>
          <w:sz w:val="24"/>
          <w:highlight w:val="none"/>
          <w:lang w:eastAsia="zh-CN"/>
        </w:rPr>
        <w:t>提</w:t>
      </w:r>
      <w:r>
        <w:rPr>
          <w:rFonts w:hint="eastAsia" w:ascii="宋体" w:hAnsi="宋体" w:eastAsia="宋体" w:cs="宋体"/>
          <w:i w:val="0"/>
          <w:iCs w:val="0"/>
          <w:sz w:val="24"/>
          <w:highlight w:val="none"/>
        </w:rPr>
        <w:t>出质疑。采购人、采购代理机构在收到质疑函后7个工作日内作出答复。</w:t>
      </w:r>
    </w:p>
    <w:p w14:paraId="6806DFDC">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质疑函须使用财政部制定的范本文件。供应商为自然人的，质疑函应当由本人签字；供应商为法人或者其他组织的，质疑函应当由法定代表人、主要负责人，或者其授权代表签字或者盖章，并加盖公章。</w:t>
      </w:r>
    </w:p>
    <w:p w14:paraId="71435CC6">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供应商委托代理人进行质疑的，应当随质疑函同时</w:t>
      </w:r>
      <w:r>
        <w:rPr>
          <w:rFonts w:hint="eastAsia" w:ascii="宋体" w:hAnsi="宋体" w:eastAsia="宋体" w:cs="宋体"/>
          <w:i w:val="0"/>
          <w:iCs w:val="0"/>
          <w:sz w:val="24"/>
          <w:highlight w:val="none"/>
          <w:lang w:eastAsia="zh-CN"/>
        </w:rPr>
        <w:t>提</w:t>
      </w:r>
      <w:r>
        <w:rPr>
          <w:rFonts w:hint="eastAsia" w:ascii="宋体" w:hAnsi="宋体" w:eastAsia="宋体" w:cs="宋体"/>
          <w:i w:val="0"/>
          <w:iCs w:val="0"/>
          <w:sz w:val="24"/>
          <w:highlight w:val="none"/>
        </w:rPr>
        <w:t>交供应商签署的授权委托书。授权委托书应当载明代理人的姓名或者名称、代理事项、具体权限、期限和相关事项</w:t>
      </w:r>
      <w:r>
        <w:rPr>
          <w:rFonts w:hint="eastAsia" w:ascii="宋体" w:hAnsi="宋体" w:eastAsia="宋体" w:cs="宋体"/>
          <w:i w:val="0"/>
          <w:iCs w:val="0"/>
          <w:sz w:val="24"/>
          <w:highlight w:val="none"/>
          <w:lang w:eastAsia="zh-CN"/>
        </w:rPr>
        <w:t>。供应商为自然人的，应当由本人签字；供应商为法人或者其他组织的，应当由法定代表人、主要负责人签字或者盖章，并加盖公章。</w:t>
      </w:r>
    </w:p>
    <w:p w14:paraId="257F99B5">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供应商应在法定质疑期内一次性提出针对同一采购程序环节的质疑，法定质疑期内针对同一采购程序环节再次提出的质疑，采购人、采购代理机构有权不予答复。</w:t>
      </w:r>
    </w:p>
    <w:p w14:paraId="2EDF1D8E">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接收询问和质疑的联系部门、联系电话和通讯地址见《供应商须知资料表》。</w:t>
      </w:r>
    </w:p>
    <w:p w14:paraId="690F3471">
      <w:pPr>
        <w:pageBreakBefore w:val="0"/>
        <w:numPr>
          <w:ilvl w:val="0"/>
          <w:numId w:val="8"/>
        </w:numPr>
        <w:tabs>
          <w:tab w:val="left" w:pos="360"/>
        </w:tabs>
        <w:wordWrap w:val="0"/>
        <w:topLinePunct w:val="0"/>
        <w:bidi w:val="0"/>
        <w:snapToGrid w:val="0"/>
        <w:spacing w:after="0" w:line="360" w:lineRule="auto"/>
        <w:ind w:left="357" w:hanging="357"/>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代理费</w:t>
      </w:r>
    </w:p>
    <w:p w14:paraId="4985E738">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收费对象、收费标准及缴纳时间见《供应商须知资料表》。由成交供应商支付的，成交供应商须一次性向采购代理机构缴纳代理费，报价应包含代理费用。</w:t>
      </w:r>
    </w:p>
    <w:p w14:paraId="4AAE8584">
      <w:pPr>
        <w:pageBreakBefore w:val="0"/>
        <w:tabs>
          <w:tab w:val="left" w:pos="360"/>
          <w:tab w:val="left" w:pos="1080"/>
        </w:tabs>
        <w:wordWrap w:val="0"/>
        <w:topLinePunct w:val="0"/>
        <w:bidi w:val="0"/>
        <w:snapToGrid w:val="0"/>
        <w:spacing w:after="0" w:line="360" w:lineRule="auto"/>
        <w:ind w:left="360"/>
        <w:textAlignment w:val="auto"/>
        <w:rPr>
          <w:rFonts w:hint="eastAsia" w:ascii="宋体" w:hAnsi="宋体" w:eastAsia="宋体" w:cs="宋体"/>
          <w:i w:val="0"/>
          <w:iCs w:val="0"/>
          <w:sz w:val="24"/>
          <w:highlight w:val="none"/>
        </w:rPr>
      </w:pPr>
    </w:p>
    <w:p w14:paraId="40FA0B18">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6"/>
          <w:szCs w:val="36"/>
          <w:highlight w:val="none"/>
        </w:rPr>
      </w:pPr>
      <w:bookmarkStart w:id="574" w:name="_Toc305158896"/>
      <w:bookmarkStart w:id="575" w:name="_Toc226337250"/>
      <w:bookmarkStart w:id="576" w:name="_Toc226965827"/>
      <w:bookmarkStart w:id="577" w:name="_Toc127151554"/>
      <w:bookmarkStart w:id="578" w:name="_Toc353825544"/>
      <w:bookmarkStart w:id="579" w:name="_Toc264969244"/>
      <w:bookmarkStart w:id="580" w:name="_Toc265228392"/>
      <w:bookmarkStart w:id="581" w:name="_Toc353873934"/>
      <w:bookmarkStart w:id="582" w:name="_Toc305158822"/>
      <w:bookmarkStart w:id="583" w:name="_Toc353873664"/>
      <w:bookmarkStart w:id="584" w:name="_Toc150480792"/>
      <w:bookmarkStart w:id="585" w:name="_Toc150774759"/>
      <w:bookmarkStart w:id="586" w:name="_Toc142311056"/>
      <w:r>
        <w:rPr>
          <w:rFonts w:hint="eastAsia" w:ascii="宋体" w:hAnsi="宋体" w:eastAsia="宋体" w:cs="宋体"/>
          <w:i w:val="0"/>
          <w:iCs w:val="0"/>
          <w:sz w:val="24"/>
          <w:highlight w:val="none"/>
        </w:rPr>
        <w:br w:type="page"/>
      </w:r>
      <w:bookmarkStart w:id="587" w:name="_Toc27441"/>
      <w:r>
        <w:rPr>
          <w:rFonts w:hint="eastAsia" w:ascii="宋体" w:hAnsi="宋体" w:eastAsia="宋体" w:cs="宋体"/>
          <w:b/>
          <w:i w:val="0"/>
          <w:iCs w:val="0"/>
          <w:sz w:val="36"/>
          <w:szCs w:val="36"/>
          <w:highlight w:val="none"/>
        </w:rPr>
        <w:t xml:space="preserve">第三章   </w:t>
      </w:r>
      <w:bookmarkEnd w:id="574"/>
      <w:bookmarkEnd w:id="575"/>
      <w:bookmarkEnd w:id="576"/>
      <w:bookmarkEnd w:id="577"/>
      <w:bookmarkEnd w:id="578"/>
      <w:bookmarkEnd w:id="579"/>
      <w:bookmarkEnd w:id="580"/>
      <w:bookmarkEnd w:id="581"/>
      <w:bookmarkEnd w:id="582"/>
      <w:bookmarkEnd w:id="583"/>
      <w:bookmarkEnd w:id="584"/>
      <w:bookmarkEnd w:id="585"/>
      <w:bookmarkEnd w:id="586"/>
      <w:r>
        <w:rPr>
          <w:rFonts w:hint="eastAsia" w:ascii="宋体" w:hAnsi="宋体" w:eastAsia="宋体" w:cs="宋体"/>
          <w:b/>
          <w:i w:val="0"/>
          <w:iCs w:val="0"/>
          <w:sz w:val="36"/>
          <w:szCs w:val="36"/>
          <w:highlight w:val="none"/>
        </w:rPr>
        <w:t>评审方法和评审标准</w:t>
      </w:r>
      <w:bookmarkEnd w:id="587"/>
      <w:bookmarkStart w:id="588" w:name="_Toc487900382"/>
    </w:p>
    <w:p w14:paraId="1B8DB980">
      <w:pPr>
        <w:pStyle w:val="4"/>
        <w:pageBreakBefore w:val="0"/>
        <w:wordWrap w:val="0"/>
        <w:topLinePunct w:val="0"/>
        <w:bidi w:val="0"/>
        <w:spacing w:before="0" w:after="0" w:line="360" w:lineRule="auto"/>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一、资格审查程序</w:t>
      </w:r>
    </w:p>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588"/>
    <w:p w14:paraId="5BA7DB78">
      <w:pPr>
        <w:pageBreakBefore w:val="0"/>
        <w:numPr>
          <w:ilvl w:val="0"/>
          <w:numId w:val="10"/>
        </w:numPr>
        <w:tabs>
          <w:tab w:val="left" w:pos="360"/>
        </w:tabs>
        <w:wordWrap w:val="0"/>
        <w:topLinePunct w:val="0"/>
        <w:bidi w:val="0"/>
        <w:snapToGrid w:val="0"/>
        <w:spacing w:after="0" w:line="360" w:lineRule="auto"/>
        <w:textAlignment w:val="auto"/>
        <w:outlineLvl w:val="2"/>
        <w:rPr>
          <w:rFonts w:hint="eastAsia" w:ascii="宋体" w:hAnsi="宋体" w:eastAsia="宋体" w:cs="宋体"/>
          <w:i w:val="0"/>
          <w:iCs w:val="0"/>
          <w:sz w:val="24"/>
          <w:highlight w:val="none"/>
        </w:rPr>
      </w:pPr>
      <w:bookmarkStart w:id="589" w:name="_Toc151193783"/>
      <w:bookmarkStart w:id="590" w:name="_Toc150774746"/>
      <w:bookmarkStart w:id="591" w:name="_Toc151193711"/>
      <w:bookmarkStart w:id="592" w:name="_Toc164229382"/>
      <w:bookmarkStart w:id="593" w:name="_Toc164229236"/>
      <w:bookmarkStart w:id="594" w:name="_Toc305158809"/>
      <w:bookmarkStart w:id="595" w:name="_Toc195842906"/>
      <w:bookmarkStart w:id="596" w:name="_Toc150509292"/>
      <w:bookmarkStart w:id="597" w:name="_Toc151193855"/>
      <w:bookmarkStart w:id="598" w:name="_Toc151193929"/>
      <w:bookmarkStart w:id="599" w:name="_Toc149720834"/>
      <w:bookmarkStart w:id="600" w:name="_Toc164608810"/>
      <w:bookmarkStart w:id="601" w:name="_Toc151193639"/>
      <w:bookmarkStart w:id="602" w:name="_Toc226337237"/>
      <w:bookmarkStart w:id="603" w:name="_Toc164351635"/>
      <w:bookmarkStart w:id="604" w:name="_Toc127161455"/>
      <w:bookmarkStart w:id="605" w:name="_Toc305158883"/>
      <w:bookmarkStart w:id="606" w:name="_Toc150480779"/>
      <w:bookmarkStart w:id="607" w:name="_Toc127151541"/>
      <w:bookmarkStart w:id="608" w:name="_Toc226965814"/>
      <w:bookmarkStart w:id="609" w:name="_Toc127151742"/>
      <w:bookmarkStart w:id="610" w:name="_Toc150774641"/>
      <w:bookmarkStart w:id="611" w:name="_Toc164608655"/>
      <w:bookmarkStart w:id="612" w:name="_Toc142311043"/>
      <w:bookmarkStart w:id="613" w:name="_Toc226965731"/>
      <w:bookmarkStart w:id="614" w:name="_Toc265228379"/>
      <w:bookmarkStart w:id="615" w:name="_Toc151190168"/>
      <w:bookmarkStart w:id="616" w:name="_Toc226309785"/>
      <w:bookmarkStart w:id="617" w:name="_Toc264969231"/>
      <w:bookmarkStart w:id="618" w:name="_Toc353873941"/>
      <w:bookmarkStart w:id="619" w:name="_Toc353825551"/>
      <w:bookmarkStart w:id="620" w:name="_Toc353873665"/>
      <w:bookmarkStart w:id="621" w:name="_Toc265228393"/>
      <w:bookmarkStart w:id="622" w:name="_Toc226965828"/>
      <w:bookmarkStart w:id="623" w:name="_Toc195842920"/>
      <w:bookmarkStart w:id="624" w:name="_Toc150774760"/>
      <w:bookmarkStart w:id="625" w:name="_Toc150480793"/>
      <w:bookmarkStart w:id="626" w:name="_Toc305158823"/>
      <w:bookmarkStart w:id="627" w:name="_Toc353873935"/>
      <w:bookmarkStart w:id="628" w:name="_Toc226337251"/>
      <w:bookmarkStart w:id="629" w:name="_Toc305158897"/>
      <w:bookmarkStart w:id="630" w:name="_Toc142311057"/>
      <w:bookmarkStart w:id="631" w:name="_Toc127151555"/>
      <w:bookmarkStart w:id="632" w:name="_Toc264969245"/>
      <w:bookmarkStart w:id="633" w:name="_Toc353825545"/>
      <w:r>
        <w:rPr>
          <w:rFonts w:hint="eastAsia" w:ascii="宋体" w:hAnsi="宋体" w:eastAsia="宋体" w:cs="宋体"/>
          <w:i w:val="0"/>
          <w:iCs w:val="0"/>
          <w:sz w:val="24"/>
          <w:highlight w:val="none"/>
        </w:rPr>
        <w:t>响应文件的</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r>
        <w:rPr>
          <w:rFonts w:hint="eastAsia" w:ascii="宋体" w:hAnsi="宋体" w:eastAsia="宋体" w:cs="宋体"/>
          <w:i w:val="0"/>
          <w:iCs w:val="0"/>
          <w:sz w:val="24"/>
          <w:highlight w:val="none"/>
        </w:rPr>
        <w:t>资格检查和符合性审查</w:t>
      </w:r>
    </w:p>
    <w:p w14:paraId="3ED8E004">
      <w:pPr>
        <w:pageBreakBefore w:val="0"/>
        <w:numPr>
          <w:ilvl w:val="1"/>
          <w:numId w:val="10"/>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磋商小组将根据《资格检查要求》和《符合性审查要求》中规定的内容，对供应商进行检查，并形成检查结果。供应商《响应文件》有任何一项不符合《资格检查要求》和《符合性审查要求》要求的，视为未实质性响应磋商文件。未实质性响应磋商文件的响应文件按</w:t>
      </w:r>
      <w:r>
        <w:rPr>
          <w:rFonts w:hint="eastAsia" w:ascii="宋体" w:hAnsi="宋体" w:eastAsia="宋体" w:cs="宋体"/>
          <w:b/>
          <w:i w:val="0"/>
          <w:iCs w:val="0"/>
          <w:sz w:val="24"/>
          <w:highlight w:val="none"/>
        </w:rPr>
        <w:t>无效响应</w:t>
      </w:r>
      <w:r>
        <w:rPr>
          <w:rFonts w:hint="eastAsia" w:ascii="宋体" w:hAnsi="宋体" w:eastAsia="宋体" w:cs="宋体"/>
          <w:i w:val="0"/>
          <w:iCs w:val="0"/>
          <w:sz w:val="24"/>
          <w:highlight w:val="none"/>
        </w:rPr>
        <w:t>处理，磋商小组应当告知提交响应文件的供应商。</w:t>
      </w:r>
    </w:p>
    <w:p w14:paraId="3D3F32E4">
      <w:pPr>
        <w:pageBreakBefore w:val="0"/>
        <w:numPr>
          <w:ilvl w:val="1"/>
          <w:numId w:val="10"/>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《资格检查要求》中对格式有要求的，除竞争性磋商文件另有规定外，均为“实质性格式”文件。</w:t>
      </w:r>
    </w:p>
    <w:p w14:paraId="6F088DBA">
      <w:pPr>
        <w:pageBreakBefore w:val="0"/>
        <w:numPr>
          <w:ilvl w:val="1"/>
          <w:numId w:val="10"/>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《资格检查要求》见下表：</w:t>
      </w:r>
    </w:p>
    <w:p w14:paraId="31A9E373">
      <w:pPr>
        <w:pageBreakBefore w:val="0"/>
        <w:tabs>
          <w:tab w:val="left" w:pos="900"/>
          <w:tab w:val="left" w:pos="1080"/>
        </w:tabs>
        <w:wordWrap w:val="0"/>
        <w:topLinePunct w:val="0"/>
        <w:bidi w:val="0"/>
        <w:snapToGrid w:val="0"/>
        <w:spacing w:after="0" w:line="360" w:lineRule="auto"/>
        <w:ind w:left="1077" w:firstLine="2650" w:firstLineChars="1100"/>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资格性检查要求</w:t>
      </w:r>
    </w:p>
    <w:tbl>
      <w:tblPr>
        <w:tblStyle w:val="42"/>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35"/>
        <w:gridCol w:w="1720"/>
        <w:gridCol w:w="4733"/>
        <w:gridCol w:w="1885"/>
      </w:tblGrid>
      <w:tr w14:paraId="130FBA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trPr>
        <w:tc>
          <w:tcPr>
            <w:tcW w:w="455" w:type="pct"/>
            <w:noWrap w:val="0"/>
            <w:vAlign w:val="center"/>
          </w:tcPr>
          <w:p w14:paraId="45821F1D">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b/>
                <w:i w:val="0"/>
                <w:iCs w:val="0"/>
                <w:sz w:val="24"/>
                <w:highlight w:val="none"/>
              </w:rPr>
            </w:pPr>
            <w:bookmarkStart w:id="634" w:name="_Hlt487972895"/>
            <w:bookmarkEnd w:id="634"/>
            <w:r>
              <w:rPr>
                <w:rFonts w:hint="eastAsia" w:ascii="宋体" w:hAnsi="宋体" w:eastAsia="宋体" w:cs="宋体"/>
                <w:b/>
                <w:i w:val="0"/>
                <w:iCs w:val="0"/>
                <w:sz w:val="24"/>
                <w:highlight w:val="none"/>
              </w:rPr>
              <w:t>序号</w:t>
            </w:r>
          </w:p>
        </w:tc>
        <w:tc>
          <w:tcPr>
            <w:tcW w:w="937" w:type="pct"/>
            <w:noWrap w:val="0"/>
            <w:vAlign w:val="center"/>
          </w:tcPr>
          <w:p w14:paraId="4B0358C3">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检查因素</w:t>
            </w:r>
          </w:p>
        </w:tc>
        <w:tc>
          <w:tcPr>
            <w:tcW w:w="2579" w:type="pct"/>
            <w:noWrap w:val="0"/>
            <w:vAlign w:val="center"/>
          </w:tcPr>
          <w:p w14:paraId="5576A8EC">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检查内容</w:t>
            </w:r>
          </w:p>
        </w:tc>
        <w:tc>
          <w:tcPr>
            <w:tcW w:w="1027" w:type="pct"/>
            <w:noWrap w:val="0"/>
            <w:vAlign w:val="center"/>
          </w:tcPr>
          <w:p w14:paraId="3C3C3C88">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格式要求</w:t>
            </w:r>
          </w:p>
        </w:tc>
      </w:tr>
      <w:tr w14:paraId="006E13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trPr>
        <w:tc>
          <w:tcPr>
            <w:tcW w:w="455" w:type="pct"/>
            <w:noWrap w:val="0"/>
            <w:vAlign w:val="center"/>
          </w:tcPr>
          <w:p w14:paraId="21BC0417">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w:t>
            </w:r>
          </w:p>
        </w:tc>
        <w:tc>
          <w:tcPr>
            <w:tcW w:w="937" w:type="pct"/>
            <w:noWrap w:val="0"/>
            <w:vAlign w:val="center"/>
          </w:tcPr>
          <w:p w14:paraId="7CB46BC0">
            <w:pPr>
              <w:pageBreakBefore w:val="0"/>
              <w:tabs>
                <w:tab w:val="left" w:pos="1080"/>
              </w:tabs>
              <w:wordWrap w:val="0"/>
              <w:topLinePunct w:val="0"/>
              <w:bidi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满足《中华人民共和国政府采购法》第二十二条规定</w:t>
            </w:r>
          </w:p>
        </w:tc>
        <w:tc>
          <w:tcPr>
            <w:tcW w:w="2579" w:type="pct"/>
            <w:noWrap w:val="0"/>
            <w:vAlign w:val="center"/>
          </w:tcPr>
          <w:p w14:paraId="0103176B">
            <w:pPr>
              <w:pageBreakBefore w:val="0"/>
              <w:tabs>
                <w:tab w:val="left" w:pos="1080"/>
              </w:tabs>
              <w:wordWrap w:val="0"/>
              <w:topLinePunct w:val="0"/>
              <w:bidi w:val="0"/>
              <w:snapToGrid w:val="0"/>
              <w:spacing w:after="0" w:line="360" w:lineRule="auto"/>
              <w:jc w:val="left"/>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rPr>
              <w:t>具体规定见第一章《采购邀请》</w:t>
            </w:r>
            <w:r>
              <w:rPr>
                <w:rFonts w:hint="eastAsia" w:ascii="宋体" w:hAnsi="宋体" w:eastAsia="宋体" w:cs="宋体"/>
                <w:i w:val="0"/>
                <w:iCs w:val="0"/>
                <w:sz w:val="24"/>
                <w:highlight w:val="none"/>
                <w:lang w:eastAsia="zh-CN"/>
              </w:rPr>
              <w:t>。</w:t>
            </w:r>
          </w:p>
        </w:tc>
        <w:tc>
          <w:tcPr>
            <w:tcW w:w="1027" w:type="pct"/>
            <w:noWrap w:val="0"/>
            <w:vAlign w:val="center"/>
          </w:tcPr>
          <w:p w14:paraId="32299312">
            <w:pPr>
              <w:pageBreakBefore w:val="0"/>
              <w:tabs>
                <w:tab w:val="left" w:pos="1080"/>
              </w:tabs>
              <w:wordWrap w:val="0"/>
              <w:topLinePunct w:val="0"/>
              <w:bidi w:val="0"/>
              <w:snapToGrid w:val="0"/>
              <w:spacing w:after="0" w:line="360" w:lineRule="auto"/>
              <w:jc w:val="left"/>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w:t>
            </w:r>
          </w:p>
        </w:tc>
      </w:tr>
      <w:tr w14:paraId="2FDE75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trPr>
        <w:tc>
          <w:tcPr>
            <w:tcW w:w="455" w:type="pct"/>
            <w:noWrap w:val="0"/>
            <w:vAlign w:val="center"/>
          </w:tcPr>
          <w:p w14:paraId="7360833B">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1-1</w:t>
            </w:r>
          </w:p>
        </w:tc>
        <w:tc>
          <w:tcPr>
            <w:tcW w:w="937" w:type="pct"/>
            <w:noWrap w:val="0"/>
            <w:vAlign w:val="center"/>
          </w:tcPr>
          <w:p w14:paraId="58767747">
            <w:pPr>
              <w:pageBreakBefore w:val="0"/>
              <w:tabs>
                <w:tab w:val="left" w:pos="1080"/>
              </w:tabs>
              <w:wordWrap w:val="0"/>
              <w:topLinePunct w:val="0"/>
              <w:bidi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营业执照等证明文件</w:t>
            </w:r>
          </w:p>
        </w:tc>
        <w:tc>
          <w:tcPr>
            <w:tcW w:w="2579" w:type="pct"/>
            <w:noWrap w:val="0"/>
            <w:vAlign w:val="center"/>
          </w:tcPr>
          <w:p w14:paraId="3243DBFB">
            <w:pPr>
              <w:pageBreakBefore w:val="0"/>
              <w:tabs>
                <w:tab w:val="left" w:pos="1080"/>
              </w:tabs>
              <w:wordWrap w:val="0"/>
              <w:topLinePunct w:val="0"/>
              <w:bidi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供应商为企业（包括合伙企业）的，应提供有效的“营业执照”；</w:t>
            </w:r>
          </w:p>
          <w:p w14:paraId="162D5DFE">
            <w:pPr>
              <w:pageBreakBefore w:val="0"/>
              <w:tabs>
                <w:tab w:val="left" w:pos="1080"/>
              </w:tabs>
              <w:wordWrap w:val="0"/>
              <w:topLinePunct w:val="0"/>
              <w:bidi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供应商为事业单位的，应提供有效的“事业单位法人证书”；</w:t>
            </w:r>
          </w:p>
          <w:p w14:paraId="61B747FB">
            <w:pPr>
              <w:pageBreakBefore w:val="0"/>
              <w:tabs>
                <w:tab w:val="left" w:pos="1080"/>
              </w:tabs>
              <w:wordWrap w:val="0"/>
              <w:topLinePunct w:val="0"/>
              <w:bidi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供应商是非企业机构的，应提供有效的“执业许可证”、“登记证书”等证明文件；</w:t>
            </w:r>
          </w:p>
          <w:p w14:paraId="6FF7B86C">
            <w:pPr>
              <w:pageBreakBefore w:val="0"/>
              <w:tabs>
                <w:tab w:val="left" w:pos="1080"/>
              </w:tabs>
              <w:wordWrap w:val="0"/>
              <w:topLinePunct w:val="0"/>
              <w:bidi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供应商是个体工商户的，应提供有效的“个体工商户营业执照”；</w:t>
            </w:r>
          </w:p>
          <w:p w14:paraId="1D93F574">
            <w:pPr>
              <w:pageBreakBefore w:val="0"/>
              <w:tabs>
                <w:tab w:val="left" w:pos="1080"/>
              </w:tabs>
              <w:wordWrap w:val="0"/>
              <w:topLinePunct w:val="0"/>
              <w:bidi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供应商是自然人的，应提供有效的自然人身份证明。</w:t>
            </w:r>
          </w:p>
          <w:p w14:paraId="1777C44D">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分支机构参加</w:t>
            </w:r>
            <w:r>
              <w:rPr>
                <w:rFonts w:hint="eastAsia" w:ascii="宋体" w:hAnsi="宋体" w:eastAsia="宋体" w:cs="宋体"/>
                <w:i w:val="0"/>
                <w:iCs w:val="0"/>
                <w:color w:val="000000"/>
                <w:sz w:val="24"/>
                <w:highlight w:val="none"/>
                <w:lang w:val="en-US" w:eastAsia="zh-CN"/>
              </w:rPr>
              <w:t>响应</w:t>
            </w:r>
            <w:r>
              <w:rPr>
                <w:rFonts w:hint="eastAsia" w:ascii="宋体" w:hAnsi="宋体" w:eastAsia="宋体" w:cs="宋体"/>
                <w:i w:val="0"/>
                <w:iCs w:val="0"/>
                <w:color w:val="000000"/>
                <w:sz w:val="24"/>
                <w:highlight w:val="none"/>
              </w:rPr>
              <w:t>的，应</w:t>
            </w:r>
            <w:r>
              <w:rPr>
                <w:rFonts w:hint="eastAsia" w:ascii="宋体" w:hAnsi="宋体" w:eastAsia="宋体" w:cs="宋体"/>
                <w:i w:val="0"/>
                <w:iCs w:val="0"/>
                <w:sz w:val="24"/>
                <w:highlight w:val="none"/>
              </w:rPr>
              <w:t>提</w:t>
            </w:r>
            <w:r>
              <w:rPr>
                <w:rFonts w:hint="eastAsia" w:ascii="宋体" w:hAnsi="宋体" w:eastAsia="宋体" w:cs="宋体"/>
                <w:i w:val="0"/>
                <w:iCs w:val="0"/>
                <w:color w:val="000000"/>
                <w:sz w:val="24"/>
                <w:highlight w:val="none"/>
              </w:rPr>
              <w:t>供该分支机构或</w:t>
            </w:r>
          </w:p>
          <w:p w14:paraId="2739C942">
            <w:pPr>
              <w:pageBreakBefore w:val="0"/>
              <w:tabs>
                <w:tab w:val="left" w:pos="1080"/>
              </w:tabs>
              <w:wordWrap w:val="0"/>
              <w:topLinePunct w:val="0"/>
              <w:bidi w:val="0"/>
              <w:snapToGrid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其所属法人/其他组织的相应证明文件；同时还应</w:t>
            </w:r>
            <w:r>
              <w:rPr>
                <w:rFonts w:hint="eastAsia" w:ascii="宋体" w:hAnsi="宋体" w:eastAsia="宋体" w:cs="宋体"/>
                <w:i w:val="0"/>
                <w:iCs w:val="0"/>
                <w:sz w:val="24"/>
                <w:highlight w:val="none"/>
              </w:rPr>
              <w:t>提</w:t>
            </w:r>
            <w:r>
              <w:rPr>
                <w:rFonts w:hint="eastAsia" w:ascii="宋体" w:hAnsi="宋体" w:eastAsia="宋体" w:cs="宋体"/>
                <w:i w:val="0"/>
                <w:iCs w:val="0"/>
                <w:color w:val="000000"/>
                <w:sz w:val="24"/>
                <w:highlight w:val="none"/>
              </w:rPr>
              <w:t>供其所属法人/其他组织出具的授权其参与本项目的授权书（格式自拟，须加盖其所属法人/其他组织的公章）；对于银行、保险、石油石化、电力、电信等行业的分支机构，可以</w:t>
            </w:r>
            <w:r>
              <w:rPr>
                <w:rFonts w:hint="eastAsia" w:ascii="宋体" w:hAnsi="宋体" w:eastAsia="宋体" w:cs="宋体"/>
                <w:i w:val="0"/>
                <w:iCs w:val="0"/>
                <w:sz w:val="24"/>
                <w:highlight w:val="none"/>
              </w:rPr>
              <w:t>提</w:t>
            </w:r>
            <w:r>
              <w:rPr>
                <w:rFonts w:hint="eastAsia" w:ascii="宋体" w:hAnsi="宋体" w:eastAsia="宋体" w:cs="宋体"/>
                <w:i w:val="0"/>
                <w:iCs w:val="0"/>
                <w:color w:val="000000"/>
                <w:sz w:val="24"/>
                <w:highlight w:val="none"/>
              </w:rPr>
              <w:t>供上述授权，也可以</w:t>
            </w:r>
            <w:r>
              <w:rPr>
                <w:rFonts w:hint="eastAsia" w:ascii="宋体" w:hAnsi="宋体" w:eastAsia="宋体" w:cs="宋体"/>
                <w:i w:val="0"/>
                <w:iCs w:val="0"/>
                <w:sz w:val="24"/>
                <w:highlight w:val="none"/>
              </w:rPr>
              <w:t>提</w:t>
            </w:r>
            <w:r>
              <w:rPr>
                <w:rFonts w:hint="eastAsia" w:ascii="宋体" w:hAnsi="宋体" w:eastAsia="宋体" w:cs="宋体"/>
                <w:i w:val="0"/>
                <w:iCs w:val="0"/>
                <w:color w:val="000000"/>
                <w:sz w:val="24"/>
                <w:highlight w:val="none"/>
              </w:rPr>
              <w:t>供其所属法人/其他组织的有关文件或制度等能够证明授权其独立开展业务的证明材料。</w:t>
            </w:r>
          </w:p>
        </w:tc>
        <w:tc>
          <w:tcPr>
            <w:tcW w:w="1027" w:type="pct"/>
            <w:noWrap w:val="0"/>
            <w:vAlign w:val="center"/>
          </w:tcPr>
          <w:p w14:paraId="7209E8D3">
            <w:pPr>
              <w:pageBreakBefore w:val="0"/>
              <w:tabs>
                <w:tab w:val="left" w:pos="1080"/>
              </w:tabs>
              <w:wordWrap w:val="0"/>
              <w:topLinePunct w:val="0"/>
              <w:bidi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提供证明文件的电子件或电子证照</w:t>
            </w:r>
          </w:p>
        </w:tc>
      </w:tr>
      <w:tr w14:paraId="7E4458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trPr>
        <w:tc>
          <w:tcPr>
            <w:tcW w:w="455" w:type="pct"/>
            <w:noWrap w:val="0"/>
            <w:vAlign w:val="center"/>
          </w:tcPr>
          <w:p w14:paraId="1015D38C">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1-2</w:t>
            </w:r>
          </w:p>
        </w:tc>
        <w:tc>
          <w:tcPr>
            <w:tcW w:w="937" w:type="pct"/>
            <w:noWrap w:val="0"/>
            <w:vAlign w:val="center"/>
          </w:tcPr>
          <w:p w14:paraId="0CE5922E">
            <w:pPr>
              <w:pageBreakBefore w:val="0"/>
              <w:tabs>
                <w:tab w:val="left" w:pos="1080"/>
              </w:tabs>
              <w:wordWrap w:val="0"/>
              <w:topLinePunct w:val="0"/>
              <w:bidi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供应商资格声明书</w:t>
            </w:r>
          </w:p>
        </w:tc>
        <w:tc>
          <w:tcPr>
            <w:tcW w:w="2579" w:type="pct"/>
            <w:noWrap w:val="0"/>
            <w:vAlign w:val="center"/>
          </w:tcPr>
          <w:p w14:paraId="3E8FE8AB">
            <w:pPr>
              <w:pageBreakBefore w:val="0"/>
              <w:tabs>
                <w:tab w:val="left" w:pos="1080"/>
              </w:tabs>
              <w:wordWrap w:val="0"/>
              <w:topLinePunct w:val="0"/>
              <w:bidi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提供了符合竞争性磋商文件要求的《供应商资格声明书》。</w:t>
            </w:r>
          </w:p>
        </w:tc>
        <w:tc>
          <w:tcPr>
            <w:tcW w:w="1027" w:type="pct"/>
            <w:noWrap w:val="0"/>
            <w:vAlign w:val="center"/>
          </w:tcPr>
          <w:p w14:paraId="4F190718">
            <w:pPr>
              <w:pageBreakBefore w:val="0"/>
              <w:tabs>
                <w:tab w:val="left" w:pos="1080"/>
              </w:tabs>
              <w:wordWrap w:val="0"/>
              <w:topLinePunct w:val="0"/>
              <w:bidi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格式见《响应文件格式》</w:t>
            </w:r>
          </w:p>
        </w:tc>
      </w:tr>
      <w:tr w14:paraId="6B6B6D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trPr>
        <w:tc>
          <w:tcPr>
            <w:tcW w:w="455" w:type="pct"/>
            <w:noWrap w:val="0"/>
            <w:vAlign w:val="center"/>
          </w:tcPr>
          <w:p w14:paraId="70088577">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1-3</w:t>
            </w:r>
          </w:p>
        </w:tc>
        <w:tc>
          <w:tcPr>
            <w:tcW w:w="937" w:type="pct"/>
            <w:noWrap w:val="0"/>
            <w:vAlign w:val="center"/>
          </w:tcPr>
          <w:p w14:paraId="322D19ED">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供应商信用记录</w:t>
            </w:r>
          </w:p>
        </w:tc>
        <w:tc>
          <w:tcPr>
            <w:tcW w:w="2579" w:type="pct"/>
            <w:noWrap w:val="0"/>
            <w:vAlign w:val="center"/>
          </w:tcPr>
          <w:p w14:paraId="323F845C">
            <w:pPr>
              <w:pageBreakBefore w:val="0"/>
              <w:tabs>
                <w:tab w:val="left" w:pos="900"/>
                <w:tab w:val="left" w:pos="19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查询渠道：信用中国网站和中国政府采购网（www.creditchina.gov.cn、www.ccgp.gov</w:t>
            </w:r>
          </w:p>
          <w:p w14:paraId="3C516544">
            <w:pPr>
              <w:pageBreakBefore w:val="0"/>
              <w:tabs>
                <w:tab w:val="left" w:pos="900"/>
                <w:tab w:val="left" w:pos="19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.cn）；</w:t>
            </w:r>
          </w:p>
          <w:p w14:paraId="2C68D8ED">
            <w:pPr>
              <w:pageBreakBefore w:val="0"/>
              <w:tabs>
                <w:tab w:val="left" w:pos="900"/>
                <w:tab w:val="left" w:pos="19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截止时点：首次响应文件提交截止时间以后、资格</w:t>
            </w:r>
            <w:r>
              <w:rPr>
                <w:rFonts w:hint="eastAsia" w:ascii="宋体" w:hAnsi="宋体" w:cs="宋体"/>
                <w:i w:val="0"/>
                <w:iCs w:val="0"/>
                <w:sz w:val="24"/>
                <w:highlight w:val="none"/>
                <w:lang w:val="en-US" w:eastAsia="zh-CN"/>
              </w:rPr>
              <w:t>审查</w:t>
            </w:r>
            <w:r>
              <w:rPr>
                <w:rFonts w:hint="eastAsia" w:ascii="宋体" w:hAnsi="宋体" w:eastAsia="宋体" w:cs="宋体"/>
                <w:i w:val="0"/>
                <w:iCs w:val="0"/>
                <w:sz w:val="24"/>
                <w:highlight w:val="none"/>
              </w:rPr>
              <w:t>阶段采购人或采购代理机构的实际查询时间；</w:t>
            </w:r>
          </w:p>
          <w:p w14:paraId="1BA98F94">
            <w:pPr>
              <w:pageBreakBefore w:val="0"/>
              <w:tabs>
                <w:tab w:val="left" w:pos="900"/>
                <w:tab w:val="left" w:pos="19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信用信息查询记录和证据留存具体方式：查询结果网页打印页作为查询记录和证据，与其他竞争性磋商文件一并保存；</w:t>
            </w:r>
          </w:p>
          <w:p w14:paraId="0CFEBCF7">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信用信息的使用原则：经认定的被列入失信被执行人、重大税收违法案件当事人名单、政府采购严重违法失信行为记录名单的供应商，其</w:t>
            </w:r>
            <w:r>
              <w:rPr>
                <w:rFonts w:hint="eastAsia" w:ascii="宋体" w:hAnsi="宋体" w:eastAsia="宋体" w:cs="宋体"/>
                <w:b/>
                <w:i w:val="0"/>
                <w:iCs w:val="0"/>
                <w:sz w:val="24"/>
                <w:highlight w:val="none"/>
              </w:rPr>
              <w:t>响应无效</w:t>
            </w:r>
            <w:r>
              <w:rPr>
                <w:rFonts w:hint="eastAsia" w:ascii="宋体" w:hAnsi="宋体" w:eastAsia="宋体" w:cs="宋体"/>
                <w:i w:val="0"/>
                <w:iCs w:val="0"/>
                <w:sz w:val="24"/>
                <w:highlight w:val="none"/>
              </w:rPr>
              <w:t>。联合体形式磋商的，联合体成员存在不良信用记录，视同联合体存在不良信用记录。</w:t>
            </w:r>
          </w:p>
        </w:tc>
        <w:tc>
          <w:tcPr>
            <w:tcW w:w="1027" w:type="pct"/>
            <w:noWrap w:val="0"/>
            <w:vAlign w:val="center"/>
          </w:tcPr>
          <w:p w14:paraId="5A1EA5EC">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无须供应商提供，由采购人或采购代理机构查询。</w:t>
            </w:r>
          </w:p>
        </w:tc>
      </w:tr>
      <w:tr w14:paraId="099886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trPr>
        <w:tc>
          <w:tcPr>
            <w:tcW w:w="455" w:type="pct"/>
            <w:noWrap w:val="0"/>
            <w:vAlign w:val="center"/>
          </w:tcPr>
          <w:p w14:paraId="5B55F6AE">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1-4</w:t>
            </w:r>
          </w:p>
        </w:tc>
        <w:tc>
          <w:tcPr>
            <w:tcW w:w="937" w:type="pct"/>
            <w:noWrap w:val="0"/>
            <w:vAlign w:val="center"/>
          </w:tcPr>
          <w:p w14:paraId="10A286F2">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法律、行政法</w:t>
            </w:r>
          </w:p>
          <w:p w14:paraId="684F8A9E">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规规定的其他条件</w:t>
            </w:r>
          </w:p>
        </w:tc>
        <w:tc>
          <w:tcPr>
            <w:tcW w:w="2579" w:type="pct"/>
            <w:noWrap w:val="0"/>
            <w:vAlign w:val="center"/>
          </w:tcPr>
          <w:p w14:paraId="40649488">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kern w:val="2"/>
                <w:sz w:val="24"/>
                <w:szCs w:val="24"/>
                <w:highlight w:val="none"/>
                <w:lang w:val="en-US" w:eastAsia="zh-CN" w:bidi="ar-SA"/>
              </w:rPr>
            </w:pPr>
            <w:r>
              <w:rPr>
                <w:rFonts w:hint="eastAsia" w:ascii="宋体" w:hAnsi="宋体" w:eastAsia="宋体" w:cs="宋体"/>
                <w:i w:val="0"/>
                <w:iCs w:val="0"/>
                <w:sz w:val="24"/>
                <w:highlight w:val="none"/>
              </w:rPr>
              <w:t>法律、行政法规规定的其他条件</w:t>
            </w:r>
            <w:r>
              <w:rPr>
                <w:rFonts w:hint="eastAsia" w:ascii="宋体" w:hAnsi="宋体" w:eastAsia="宋体" w:cs="宋体"/>
                <w:i w:val="0"/>
                <w:iCs w:val="0"/>
                <w:sz w:val="24"/>
                <w:highlight w:val="none"/>
                <w:lang w:eastAsia="zh-CN"/>
              </w:rPr>
              <w:t>。</w:t>
            </w:r>
          </w:p>
        </w:tc>
        <w:tc>
          <w:tcPr>
            <w:tcW w:w="1027" w:type="pct"/>
            <w:noWrap w:val="0"/>
            <w:vAlign w:val="center"/>
          </w:tcPr>
          <w:p w14:paraId="449CEF78">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w:t>
            </w:r>
          </w:p>
        </w:tc>
      </w:tr>
      <w:tr w14:paraId="40C5F5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trPr>
        <w:tc>
          <w:tcPr>
            <w:tcW w:w="455" w:type="pct"/>
            <w:noWrap w:val="0"/>
            <w:vAlign w:val="center"/>
          </w:tcPr>
          <w:p w14:paraId="44E64B77">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w:t>
            </w:r>
          </w:p>
        </w:tc>
        <w:tc>
          <w:tcPr>
            <w:tcW w:w="937" w:type="pct"/>
            <w:noWrap w:val="0"/>
            <w:vAlign w:val="center"/>
          </w:tcPr>
          <w:p w14:paraId="63204B7D">
            <w:pPr>
              <w:pageBreakBefore w:val="0"/>
              <w:tabs>
                <w:tab w:val="left" w:pos="1080"/>
              </w:tabs>
              <w:wordWrap w:val="0"/>
              <w:topLinePunct w:val="0"/>
              <w:bidi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落实政府采购政策需满足的资格要求</w:t>
            </w:r>
          </w:p>
        </w:tc>
        <w:tc>
          <w:tcPr>
            <w:tcW w:w="2579" w:type="pct"/>
            <w:noWrap w:val="0"/>
            <w:vAlign w:val="center"/>
          </w:tcPr>
          <w:p w14:paraId="217ECABC">
            <w:pPr>
              <w:pageBreakBefore w:val="0"/>
              <w:tabs>
                <w:tab w:val="left" w:pos="1080"/>
              </w:tabs>
              <w:wordWrap w:val="0"/>
              <w:topLinePunct w:val="0"/>
              <w:bidi w:val="0"/>
              <w:snapToGrid w:val="0"/>
              <w:spacing w:after="0" w:line="360" w:lineRule="auto"/>
              <w:jc w:val="left"/>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rPr>
              <w:t>具体要求见第一章《采购邀请》</w:t>
            </w:r>
            <w:r>
              <w:rPr>
                <w:rFonts w:hint="eastAsia" w:ascii="宋体" w:hAnsi="宋体" w:eastAsia="宋体" w:cs="宋体"/>
                <w:i w:val="0"/>
                <w:iCs w:val="0"/>
                <w:sz w:val="24"/>
                <w:highlight w:val="none"/>
                <w:lang w:eastAsia="zh-CN"/>
              </w:rPr>
              <w:t>。</w:t>
            </w:r>
          </w:p>
        </w:tc>
        <w:tc>
          <w:tcPr>
            <w:tcW w:w="1027" w:type="pct"/>
            <w:noWrap w:val="0"/>
            <w:vAlign w:val="center"/>
          </w:tcPr>
          <w:p w14:paraId="4BAC0097">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kern w:val="2"/>
                <w:sz w:val="24"/>
                <w:szCs w:val="24"/>
                <w:highlight w:val="none"/>
                <w:lang w:val="en-US" w:eastAsia="zh-CN" w:bidi="ar-SA"/>
              </w:rPr>
            </w:pPr>
            <w:r>
              <w:rPr>
                <w:rFonts w:hint="eastAsia" w:ascii="宋体" w:hAnsi="宋体" w:eastAsia="宋体" w:cs="宋体"/>
                <w:i w:val="0"/>
                <w:iCs w:val="0"/>
                <w:sz w:val="24"/>
                <w:highlight w:val="none"/>
                <w:lang w:val="en-US" w:eastAsia="zh-CN"/>
              </w:rPr>
              <w:t>/</w:t>
            </w:r>
          </w:p>
        </w:tc>
      </w:tr>
      <w:tr w14:paraId="1D0DBE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trPr>
        <w:tc>
          <w:tcPr>
            <w:tcW w:w="455" w:type="pct"/>
            <w:noWrap w:val="0"/>
            <w:vAlign w:val="center"/>
          </w:tcPr>
          <w:p w14:paraId="30D1D5E7">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2-1</w:t>
            </w:r>
          </w:p>
        </w:tc>
        <w:tc>
          <w:tcPr>
            <w:tcW w:w="937" w:type="pct"/>
            <w:noWrap w:val="0"/>
            <w:vAlign w:val="center"/>
          </w:tcPr>
          <w:p w14:paraId="0F1C3231">
            <w:pPr>
              <w:pageBreakBefore w:val="0"/>
              <w:tabs>
                <w:tab w:val="left" w:pos="1080"/>
              </w:tabs>
              <w:wordWrap w:val="0"/>
              <w:topLinePunct w:val="0"/>
              <w:bidi w:val="0"/>
              <w:snapToGrid w:val="0"/>
              <w:spacing w:after="0" w:line="360" w:lineRule="auto"/>
              <w:textAlignment w:val="auto"/>
              <w:rPr>
                <w:rFonts w:hint="default" w:ascii="宋体" w:hAnsi="宋体" w:eastAsia="宋体" w:cs="宋体"/>
                <w:i w:val="0"/>
                <w:iCs w:val="0"/>
                <w:sz w:val="24"/>
                <w:highlight w:val="none"/>
                <w:lang w:val="en-US"/>
              </w:rPr>
            </w:pPr>
            <w:r>
              <w:rPr>
                <w:rFonts w:hint="eastAsia" w:ascii="宋体" w:hAnsi="宋体" w:eastAsia="宋体" w:cs="宋体"/>
                <w:i w:val="0"/>
                <w:iCs w:val="0"/>
                <w:kern w:val="2"/>
                <w:sz w:val="24"/>
                <w:szCs w:val="24"/>
                <w:highlight w:val="none"/>
                <w:lang w:val="en-US" w:eastAsia="zh-CN" w:bidi="ar-SA"/>
              </w:rPr>
              <w:t>中小企业政策</w:t>
            </w:r>
            <w:r>
              <w:rPr>
                <w:rFonts w:hint="eastAsia" w:ascii="宋体" w:hAnsi="宋体" w:cs="宋体"/>
                <w:i w:val="0"/>
                <w:iCs w:val="0"/>
                <w:kern w:val="2"/>
                <w:sz w:val="24"/>
                <w:szCs w:val="24"/>
                <w:highlight w:val="none"/>
                <w:lang w:val="en-US" w:eastAsia="zh-CN" w:bidi="ar-SA"/>
              </w:rPr>
              <w:t>证明文件</w:t>
            </w:r>
          </w:p>
        </w:tc>
        <w:tc>
          <w:tcPr>
            <w:tcW w:w="2579" w:type="pct"/>
            <w:noWrap w:val="0"/>
            <w:vAlign w:val="center"/>
          </w:tcPr>
          <w:p w14:paraId="1DF58288">
            <w:pPr>
              <w:pageBreakBefore w:val="0"/>
              <w:tabs>
                <w:tab w:val="left" w:pos="1080"/>
              </w:tabs>
              <w:wordWrap w:val="0"/>
              <w:topLinePunct w:val="0"/>
              <w:bidi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具体要求见第一章《采购邀请》</w:t>
            </w:r>
            <w:r>
              <w:rPr>
                <w:rFonts w:hint="eastAsia" w:ascii="宋体" w:hAnsi="宋体" w:eastAsia="宋体" w:cs="宋体"/>
                <w:i w:val="0"/>
                <w:iCs w:val="0"/>
                <w:sz w:val="24"/>
                <w:highlight w:val="none"/>
                <w:lang w:eastAsia="zh-CN"/>
              </w:rPr>
              <w:t>。</w:t>
            </w:r>
          </w:p>
        </w:tc>
        <w:tc>
          <w:tcPr>
            <w:tcW w:w="1027" w:type="pct"/>
            <w:noWrap w:val="0"/>
            <w:vAlign w:val="center"/>
          </w:tcPr>
          <w:p w14:paraId="445E0A1F">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kern w:val="2"/>
                <w:sz w:val="24"/>
                <w:szCs w:val="24"/>
                <w:highlight w:val="none"/>
                <w:lang w:val="en-US" w:eastAsia="zh-CN" w:bidi="ar-SA"/>
              </w:rPr>
              <w:t>/</w:t>
            </w:r>
          </w:p>
        </w:tc>
      </w:tr>
      <w:tr w14:paraId="1DFF20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trPr>
        <w:tc>
          <w:tcPr>
            <w:tcW w:w="455" w:type="pct"/>
            <w:noWrap w:val="0"/>
            <w:vAlign w:val="center"/>
          </w:tcPr>
          <w:p w14:paraId="20593546">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2-1</w:t>
            </w:r>
            <w:r>
              <w:rPr>
                <w:rFonts w:hint="eastAsia" w:ascii="宋体" w:hAnsi="宋体" w:eastAsia="宋体" w:cs="宋体"/>
                <w:i w:val="0"/>
                <w:iCs w:val="0"/>
                <w:sz w:val="24"/>
                <w:highlight w:val="none"/>
                <w:lang w:val="en-US" w:eastAsia="zh-CN"/>
              </w:rPr>
              <w:t>-1</w:t>
            </w:r>
          </w:p>
        </w:tc>
        <w:tc>
          <w:tcPr>
            <w:tcW w:w="937" w:type="pct"/>
            <w:noWrap w:val="0"/>
            <w:vAlign w:val="center"/>
          </w:tcPr>
          <w:p w14:paraId="5593565F">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中小企业</w:t>
            </w:r>
            <w:r>
              <w:rPr>
                <w:rFonts w:hint="eastAsia" w:ascii="宋体" w:hAnsi="宋体" w:eastAsia="宋体" w:cs="宋体"/>
                <w:i w:val="0"/>
                <w:iCs w:val="0"/>
                <w:sz w:val="24"/>
                <w:highlight w:val="none"/>
                <w:lang w:val="en-US" w:eastAsia="zh-CN"/>
              </w:rPr>
              <w:t>证明文件</w:t>
            </w:r>
          </w:p>
        </w:tc>
        <w:tc>
          <w:tcPr>
            <w:tcW w:w="2579" w:type="pct"/>
            <w:noWrap w:val="0"/>
            <w:vAlign w:val="center"/>
          </w:tcPr>
          <w:p w14:paraId="07376CB0">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当本项目（包）涉及预留份额专门面向中小企业采购，提供如下资料：</w:t>
            </w:r>
          </w:p>
          <w:p w14:paraId="0BE2F130">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1、供应商单独响应的，应提供《中小企业声明函》或《残疾人福利性单位声明函》或由省级以上监狱管理局、戒毒管理局（含新疆生产建设兵团）出具的属于监狱企业的证明文件。</w:t>
            </w:r>
          </w:p>
          <w:p w14:paraId="7959FDF2">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如磋商文件要求以联合体形式参加或者要求合同分包的，且供应商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采购文件关于预留份额的要求。</w:t>
            </w:r>
          </w:p>
        </w:tc>
        <w:tc>
          <w:tcPr>
            <w:tcW w:w="1027" w:type="pct"/>
            <w:noWrap w:val="0"/>
            <w:vAlign w:val="center"/>
          </w:tcPr>
          <w:p w14:paraId="76B80C87">
            <w:pPr>
              <w:pageBreakBefore w:val="0"/>
              <w:tabs>
                <w:tab w:val="left" w:pos="1080"/>
              </w:tabs>
              <w:wordWrap w:val="0"/>
              <w:topLinePunct w:val="0"/>
              <w:bidi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格式见《响应文件格式》</w:t>
            </w:r>
          </w:p>
        </w:tc>
      </w:tr>
      <w:tr w14:paraId="3531FB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trPr>
        <w:tc>
          <w:tcPr>
            <w:tcW w:w="455" w:type="pct"/>
            <w:noWrap w:val="0"/>
            <w:vAlign w:val="center"/>
          </w:tcPr>
          <w:p w14:paraId="6862D90D">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w:t>
            </w:r>
            <w:r>
              <w:rPr>
                <w:rFonts w:hint="eastAsia" w:ascii="宋体" w:hAnsi="宋体" w:eastAsia="宋体" w:cs="宋体"/>
                <w:i w:val="0"/>
                <w:iCs w:val="0"/>
                <w:sz w:val="24"/>
                <w:highlight w:val="none"/>
                <w:lang w:val="en-US" w:eastAsia="zh-CN"/>
              </w:rPr>
              <w:t>1-2</w:t>
            </w:r>
          </w:p>
        </w:tc>
        <w:tc>
          <w:tcPr>
            <w:tcW w:w="937" w:type="pct"/>
            <w:noWrap w:val="0"/>
            <w:vAlign w:val="center"/>
          </w:tcPr>
          <w:p w14:paraId="25299840">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拟分包情况说明及分包意向协议</w:t>
            </w:r>
          </w:p>
        </w:tc>
        <w:tc>
          <w:tcPr>
            <w:tcW w:w="2579" w:type="pct"/>
            <w:noWrap w:val="0"/>
            <w:vAlign w:val="center"/>
          </w:tcPr>
          <w:p w14:paraId="484EFC94">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如本项目（包）要求通过分包措施预留部分采购份额面向中小企业采购、且</w:t>
            </w:r>
            <w:r>
              <w:rPr>
                <w:rFonts w:hint="eastAsia" w:ascii="宋体" w:hAnsi="宋体" w:cs="宋体"/>
                <w:i w:val="0"/>
                <w:iCs w:val="0"/>
                <w:sz w:val="24"/>
                <w:highlight w:val="none"/>
                <w:lang w:eastAsia="zh-CN"/>
              </w:rPr>
              <w:t>供应商</w:t>
            </w:r>
            <w:r>
              <w:rPr>
                <w:rFonts w:hint="eastAsia" w:ascii="宋体" w:hAnsi="宋体" w:eastAsia="宋体" w:cs="宋体"/>
                <w:i w:val="0"/>
                <w:iCs w:val="0"/>
                <w:sz w:val="24"/>
                <w:highlight w:val="none"/>
              </w:rPr>
              <w:t>因落实政府采购政策拟进行分包的，必须提供；否则无须提供。</w:t>
            </w:r>
          </w:p>
          <w:p w14:paraId="058FD2CF">
            <w:pPr>
              <w:pageBreakBefore w:val="0"/>
              <w:tabs>
                <w:tab w:val="left" w:pos="1080"/>
              </w:tabs>
              <w:wordWrap w:val="0"/>
              <w:topLinePunct w:val="0"/>
              <w:bidi w:val="0"/>
              <w:snapToGrid w:val="0"/>
              <w:spacing w:after="0" w:line="360" w:lineRule="auto"/>
              <w:textAlignment w:val="auto"/>
              <w:rPr>
                <w:rFonts w:hint="eastAsia" w:ascii="宋体" w:hAnsi="宋体" w:eastAsia="宋体" w:cs="宋体"/>
                <w:b/>
                <w:i w:val="0"/>
                <w:iCs w:val="0"/>
                <w:sz w:val="24"/>
                <w:highlight w:val="none"/>
              </w:rPr>
            </w:pPr>
            <w:r>
              <w:rPr>
                <w:rFonts w:hint="eastAsia" w:ascii="宋体" w:hAnsi="宋体" w:eastAsia="宋体" w:cs="宋体"/>
                <w:i w:val="0"/>
                <w:iCs w:val="0"/>
                <w:sz w:val="24"/>
                <w:highlight w:val="none"/>
              </w:rPr>
              <w:t>对于预留份额专门面向中小企业采购的项目（包），组成联合体或者接受分包合同的中小企业与联合体内其他企业、分包企业之间不得存在直接控股、管理关系。</w:t>
            </w:r>
          </w:p>
        </w:tc>
        <w:tc>
          <w:tcPr>
            <w:tcW w:w="1027" w:type="pct"/>
            <w:noWrap w:val="0"/>
            <w:vAlign w:val="center"/>
          </w:tcPr>
          <w:p w14:paraId="6E5F8199">
            <w:pPr>
              <w:pageBreakBefore w:val="0"/>
              <w:tabs>
                <w:tab w:val="left" w:pos="1080"/>
              </w:tabs>
              <w:wordWrap w:val="0"/>
              <w:topLinePunct w:val="0"/>
              <w:bidi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格式见《响应文件格式》</w:t>
            </w:r>
          </w:p>
        </w:tc>
      </w:tr>
      <w:tr w14:paraId="6E83A2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trPr>
        <w:tc>
          <w:tcPr>
            <w:tcW w:w="455" w:type="pct"/>
            <w:noWrap w:val="0"/>
            <w:vAlign w:val="center"/>
          </w:tcPr>
          <w:p w14:paraId="2E935943">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2-2</w:t>
            </w:r>
          </w:p>
        </w:tc>
        <w:tc>
          <w:tcPr>
            <w:tcW w:w="937" w:type="pct"/>
            <w:noWrap w:val="0"/>
            <w:vAlign w:val="center"/>
          </w:tcPr>
          <w:p w14:paraId="46DB73E9">
            <w:pPr>
              <w:pageBreakBefore w:val="0"/>
              <w:tabs>
                <w:tab w:val="left" w:pos="1080"/>
              </w:tabs>
              <w:wordWrap w:val="0"/>
              <w:topLinePunct w:val="0"/>
              <w:bidi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其它落实政府采购政策的资格要求</w:t>
            </w:r>
          </w:p>
        </w:tc>
        <w:tc>
          <w:tcPr>
            <w:tcW w:w="2579" w:type="pct"/>
            <w:noWrap w:val="0"/>
            <w:vAlign w:val="center"/>
          </w:tcPr>
          <w:p w14:paraId="3A0C10BC">
            <w:pPr>
              <w:pageBreakBefore w:val="0"/>
              <w:tabs>
                <w:tab w:val="left" w:pos="1080"/>
              </w:tabs>
              <w:wordWrap w:val="0"/>
              <w:topLinePunct w:val="0"/>
              <w:bidi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如有，见第一章《采购邀请》</w:t>
            </w:r>
          </w:p>
        </w:tc>
        <w:tc>
          <w:tcPr>
            <w:tcW w:w="1027" w:type="pct"/>
            <w:noWrap w:val="0"/>
            <w:vAlign w:val="center"/>
          </w:tcPr>
          <w:p w14:paraId="49A6CA0A">
            <w:pPr>
              <w:pageBreakBefore w:val="0"/>
              <w:tabs>
                <w:tab w:val="left" w:pos="1080"/>
              </w:tabs>
              <w:wordWrap w:val="0"/>
              <w:topLinePunct w:val="0"/>
              <w:bidi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提供证明文件的电子件或电子证照</w:t>
            </w:r>
          </w:p>
        </w:tc>
      </w:tr>
      <w:tr w14:paraId="49284A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42" w:hRule="atLeast"/>
        </w:trPr>
        <w:tc>
          <w:tcPr>
            <w:tcW w:w="455" w:type="pct"/>
            <w:noWrap w:val="0"/>
            <w:vAlign w:val="center"/>
          </w:tcPr>
          <w:p w14:paraId="37C2051F">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w:t>
            </w:r>
          </w:p>
        </w:tc>
        <w:tc>
          <w:tcPr>
            <w:tcW w:w="937" w:type="pct"/>
            <w:noWrap w:val="0"/>
            <w:vAlign w:val="center"/>
          </w:tcPr>
          <w:p w14:paraId="3DA105C7">
            <w:pPr>
              <w:pageBreakBefore w:val="0"/>
              <w:tabs>
                <w:tab w:val="left" w:pos="1080"/>
              </w:tabs>
              <w:wordWrap w:val="0"/>
              <w:topLinePunct w:val="0"/>
              <w:bidi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本项目的特定资格要求</w:t>
            </w:r>
          </w:p>
        </w:tc>
        <w:tc>
          <w:tcPr>
            <w:tcW w:w="2579" w:type="pct"/>
            <w:noWrap w:val="0"/>
            <w:vAlign w:val="center"/>
          </w:tcPr>
          <w:p w14:paraId="5846C1CF">
            <w:pPr>
              <w:pageBreakBefore w:val="0"/>
              <w:tabs>
                <w:tab w:val="left" w:pos="1080"/>
              </w:tabs>
              <w:wordWrap w:val="0"/>
              <w:topLinePunct w:val="0"/>
              <w:bidi w:val="0"/>
              <w:snapToGrid w:val="0"/>
              <w:spacing w:after="0" w:line="360" w:lineRule="auto"/>
              <w:jc w:val="left"/>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rPr>
              <w:t>如有，见第一章《采购邀请》</w:t>
            </w:r>
            <w:r>
              <w:rPr>
                <w:rFonts w:hint="eastAsia" w:ascii="宋体" w:hAnsi="宋体" w:eastAsia="宋体" w:cs="宋体"/>
                <w:i w:val="0"/>
                <w:iCs w:val="0"/>
                <w:sz w:val="24"/>
                <w:highlight w:val="none"/>
                <w:lang w:eastAsia="zh-CN"/>
              </w:rPr>
              <w:t>。</w:t>
            </w:r>
          </w:p>
        </w:tc>
        <w:tc>
          <w:tcPr>
            <w:tcW w:w="1027" w:type="pct"/>
            <w:noWrap w:val="0"/>
            <w:vAlign w:val="center"/>
          </w:tcPr>
          <w:p w14:paraId="17FF7149">
            <w:pPr>
              <w:pageBreakBefore w:val="0"/>
              <w:tabs>
                <w:tab w:val="left" w:pos="1080"/>
              </w:tabs>
              <w:wordWrap w:val="0"/>
              <w:topLinePunct w:val="0"/>
              <w:bidi w:val="0"/>
              <w:snapToGrid w:val="0"/>
              <w:spacing w:after="0" w:line="360" w:lineRule="auto"/>
              <w:jc w:val="left"/>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w:t>
            </w:r>
          </w:p>
        </w:tc>
      </w:tr>
      <w:tr w14:paraId="5B13FB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905" w:hRule="atLeast"/>
        </w:trPr>
        <w:tc>
          <w:tcPr>
            <w:tcW w:w="455" w:type="pct"/>
            <w:noWrap w:val="0"/>
            <w:vAlign w:val="center"/>
          </w:tcPr>
          <w:p w14:paraId="1EC32D15">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3-1</w:t>
            </w:r>
          </w:p>
        </w:tc>
        <w:tc>
          <w:tcPr>
            <w:tcW w:w="937" w:type="pct"/>
            <w:noWrap w:val="0"/>
            <w:vAlign w:val="center"/>
          </w:tcPr>
          <w:p w14:paraId="502FCECF">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val="en-US" w:eastAsia="zh-CN"/>
              </w:rPr>
              <w:t>本项目对于联合体的要求</w:t>
            </w:r>
          </w:p>
        </w:tc>
        <w:tc>
          <w:tcPr>
            <w:tcW w:w="2579" w:type="pct"/>
            <w:noWrap w:val="0"/>
            <w:vAlign w:val="center"/>
          </w:tcPr>
          <w:p w14:paraId="2BF5D308">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1、如本项目接受联合体投标</w:t>
            </w:r>
            <w:r>
              <w:rPr>
                <w:rFonts w:hint="eastAsia" w:ascii="宋体" w:hAnsi="宋体" w:cs="宋体"/>
                <w:i w:val="0"/>
                <w:iCs w:val="0"/>
                <w:sz w:val="24"/>
                <w:highlight w:val="none"/>
                <w:lang w:eastAsia="zh-CN"/>
              </w:rPr>
              <w:t>（</w:t>
            </w:r>
            <w:r>
              <w:rPr>
                <w:rFonts w:hint="eastAsia" w:ascii="宋体" w:hAnsi="宋体" w:cs="宋体"/>
                <w:i w:val="0"/>
                <w:iCs w:val="0"/>
                <w:sz w:val="24"/>
                <w:highlight w:val="none"/>
                <w:lang w:val="en-US" w:eastAsia="zh-CN"/>
              </w:rPr>
              <w:t>响应</w:t>
            </w:r>
            <w:r>
              <w:rPr>
                <w:rFonts w:hint="eastAsia" w:ascii="宋体" w:hAnsi="宋体" w:cs="宋体"/>
                <w:i w:val="0"/>
                <w:iCs w:val="0"/>
                <w:sz w:val="24"/>
                <w:highlight w:val="none"/>
                <w:lang w:eastAsia="zh-CN"/>
              </w:rPr>
              <w:t>）</w:t>
            </w:r>
            <w:r>
              <w:rPr>
                <w:rFonts w:hint="eastAsia" w:ascii="宋体" w:hAnsi="宋体" w:eastAsia="宋体" w:cs="宋体"/>
                <w:i w:val="0"/>
                <w:iCs w:val="0"/>
                <w:sz w:val="24"/>
                <w:highlight w:val="none"/>
              </w:rPr>
              <w:t>，且</w:t>
            </w:r>
            <w:r>
              <w:rPr>
                <w:rFonts w:hint="eastAsia" w:ascii="宋体" w:hAnsi="宋体" w:cs="宋体"/>
                <w:i w:val="0"/>
                <w:iCs w:val="0"/>
                <w:sz w:val="24"/>
                <w:highlight w:val="none"/>
                <w:lang w:eastAsia="zh-CN"/>
              </w:rPr>
              <w:t>供应商</w:t>
            </w:r>
            <w:r>
              <w:rPr>
                <w:rFonts w:hint="eastAsia" w:ascii="宋体" w:hAnsi="宋体" w:eastAsia="宋体" w:cs="宋体"/>
                <w:i w:val="0"/>
                <w:iCs w:val="0"/>
                <w:sz w:val="24"/>
                <w:highlight w:val="none"/>
              </w:rPr>
              <w:t>为联合体时必须提供《联合协议》，明确各方拟承担的工作和责任，并指定联合体牵头人，授权其代表所有联合体成员负责本项目投标</w:t>
            </w:r>
            <w:r>
              <w:rPr>
                <w:rFonts w:hint="eastAsia" w:ascii="宋体" w:hAnsi="宋体" w:cs="宋体"/>
                <w:i w:val="0"/>
                <w:iCs w:val="0"/>
                <w:sz w:val="24"/>
                <w:highlight w:val="none"/>
                <w:lang w:eastAsia="zh-CN"/>
              </w:rPr>
              <w:t>（</w:t>
            </w:r>
            <w:r>
              <w:rPr>
                <w:rFonts w:hint="eastAsia" w:ascii="宋体" w:hAnsi="宋体" w:cs="宋体"/>
                <w:i w:val="0"/>
                <w:iCs w:val="0"/>
                <w:sz w:val="24"/>
                <w:highlight w:val="none"/>
                <w:lang w:val="en-US" w:eastAsia="zh-CN"/>
              </w:rPr>
              <w:t>响应</w:t>
            </w:r>
            <w:r>
              <w:rPr>
                <w:rFonts w:hint="eastAsia" w:ascii="宋体" w:hAnsi="宋体" w:cs="宋体"/>
                <w:i w:val="0"/>
                <w:iCs w:val="0"/>
                <w:sz w:val="24"/>
                <w:highlight w:val="none"/>
                <w:lang w:eastAsia="zh-CN"/>
              </w:rPr>
              <w:t>）</w:t>
            </w:r>
            <w:r>
              <w:rPr>
                <w:rFonts w:hint="eastAsia" w:ascii="宋体" w:hAnsi="宋体" w:eastAsia="宋体" w:cs="宋体"/>
                <w:i w:val="0"/>
                <w:iCs w:val="0"/>
                <w:sz w:val="24"/>
                <w:highlight w:val="none"/>
              </w:rPr>
              <w:t>和合同实施阶段的牵头、协调工作。该联合协议应当作为</w:t>
            </w:r>
            <w:r>
              <w:rPr>
                <w:rFonts w:hint="eastAsia" w:ascii="宋体" w:hAnsi="宋体" w:eastAsia="宋体" w:cs="宋体"/>
                <w:i w:val="0"/>
                <w:iCs w:val="0"/>
                <w:color w:val="000000"/>
                <w:kern w:val="0"/>
                <w:sz w:val="24"/>
                <w:highlight w:val="none"/>
                <w:lang w:val="en-US" w:eastAsia="zh-CN"/>
              </w:rPr>
              <w:t>响应</w:t>
            </w:r>
            <w:r>
              <w:rPr>
                <w:rFonts w:hint="eastAsia" w:ascii="宋体" w:hAnsi="宋体" w:eastAsia="宋体" w:cs="宋体"/>
                <w:i w:val="0"/>
                <w:iCs w:val="0"/>
                <w:sz w:val="24"/>
                <w:highlight w:val="none"/>
              </w:rPr>
              <w:t>文件的组成部分，与</w:t>
            </w:r>
            <w:r>
              <w:rPr>
                <w:rFonts w:hint="eastAsia" w:ascii="宋体" w:hAnsi="宋体" w:eastAsia="宋体" w:cs="宋体"/>
                <w:i w:val="0"/>
                <w:iCs w:val="0"/>
                <w:sz w:val="24"/>
                <w:highlight w:val="none"/>
                <w:lang w:val="en-US" w:eastAsia="zh-CN"/>
              </w:rPr>
              <w:t>响应</w:t>
            </w:r>
            <w:r>
              <w:rPr>
                <w:rFonts w:hint="eastAsia" w:ascii="宋体" w:hAnsi="宋体" w:eastAsia="宋体" w:cs="宋体"/>
                <w:i w:val="0"/>
                <w:iCs w:val="0"/>
                <w:sz w:val="24"/>
                <w:highlight w:val="none"/>
              </w:rPr>
              <w:t>文件其他内容同时递交。</w:t>
            </w:r>
          </w:p>
          <w:p w14:paraId="4C96C97B">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2、联合体各成员单位均须提供本表中序号1-1、1-2的证明文件。</w:t>
            </w:r>
            <w:r>
              <w:rPr>
                <w:rFonts w:hint="eastAsia" w:ascii="宋体" w:hAnsi="宋体" w:eastAsia="宋体" w:cs="宋体"/>
                <w:i w:val="0"/>
                <w:iCs w:val="0"/>
                <w:sz w:val="24"/>
                <w:highlight w:val="none"/>
                <w:lang w:val="en-US" w:eastAsia="zh-CN"/>
              </w:rPr>
              <w:t>联合体各成员单位均应满足本表3-2项规定。</w:t>
            </w:r>
          </w:p>
          <w:p w14:paraId="3C0A22BA">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3、本表序</w:t>
            </w:r>
            <w:r>
              <w:rPr>
                <w:rFonts w:hint="eastAsia" w:ascii="宋体" w:hAnsi="宋体" w:eastAsia="宋体" w:cs="宋体"/>
                <w:i w:val="0"/>
                <w:iCs w:val="0"/>
                <w:color w:val="auto"/>
                <w:sz w:val="24"/>
                <w:highlight w:val="none"/>
              </w:rPr>
              <w:t>号</w:t>
            </w:r>
            <w:r>
              <w:rPr>
                <w:rFonts w:hint="eastAsia" w:ascii="宋体" w:hAnsi="宋体" w:eastAsia="宋体" w:cs="宋体"/>
                <w:i w:val="0"/>
                <w:iCs w:val="0"/>
                <w:sz w:val="24"/>
                <w:highlight w:val="none"/>
              </w:rPr>
              <w:t>3-</w:t>
            </w:r>
            <w:r>
              <w:rPr>
                <w:rFonts w:hint="eastAsia" w:ascii="宋体" w:hAnsi="宋体" w:eastAsia="宋体" w:cs="宋体"/>
                <w:i w:val="0"/>
                <w:iCs w:val="0"/>
                <w:sz w:val="24"/>
                <w:highlight w:val="none"/>
                <w:lang w:val="en-US" w:eastAsia="zh-CN"/>
              </w:rPr>
              <w:t>3</w:t>
            </w:r>
            <w:r>
              <w:rPr>
                <w:rFonts w:hint="eastAsia" w:ascii="宋体" w:hAnsi="宋体" w:eastAsia="宋体" w:cs="宋体"/>
                <w:i w:val="0"/>
                <w:iCs w:val="0"/>
                <w:sz w:val="24"/>
                <w:highlight w:val="none"/>
              </w:rPr>
              <w:t>项规定的其他特定资格要求中的每一小项要求，联合体各方中至少应当有一方符合本表中其他资格要求并提供证明文件。</w:t>
            </w:r>
          </w:p>
          <w:p w14:paraId="7B7AC0CE">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4、联合体中有同类资质的供应商按照联合体分工承担相同工作的，应当按照资质等级较低的供应商确定资质等级。</w:t>
            </w:r>
          </w:p>
          <w:p w14:paraId="31DA3CFC">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5、以联合体形式参加政府采购活动的，联合体各方不得再单独参加或者与其他供应商另外组成联合体参加同一合同项下的政府采购活动。</w:t>
            </w:r>
          </w:p>
          <w:p w14:paraId="735D3098">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6、若联合体中任一成员单位中途退出，则该联合体的</w:t>
            </w:r>
            <w:r>
              <w:rPr>
                <w:rFonts w:hint="eastAsia" w:ascii="宋体" w:hAnsi="宋体" w:cs="宋体"/>
                <w:b/>
                <w:i w:val="0"/>
                <w:iCs w:val="0"/>
                <w:sz w:val="24"/>
                <w:highlight w:val="none"/>
                <w:lang w:eastAsia="zh-CN"/>
              </w:rPr>
              <w:t>响应无效</w:t>
            </w:r>
            <w:r>
              <w:rPr>
                <w:rFonts w:hint="eastAsia" w:ascii="宋体" w:hAnsi="宋体" w:eastAsia="宋体" w:cs="宋体"/>
                <w:i w:val="0"/>
                <w:iCs w:val="0"/>
                <w:sz w:val="24"/>
                <w:highlight w:val="none"/>
              </w:rPr>
              <w:t>。</w:t>
            </w:r>
          </w:p>
          <w:p w14:paraId="532E53E6">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7、本项目不接受联合体投标</w:t>
            </w:r>
            <w:r>
              <w:rPr>
                <w:rFonts w:hint="eastAsia" w:ascii="宋体" w:hAnsi="宋体" w:cs="宋体"/>
                <w:i w:val="0"/>
                <w:iCs w:val="0"/>
                <w:sz w:val="24"/>
                <w:highlight w:val="none"/>
                <w:lang w:eastAsia="zh-CN"/>
              </w:rPr>
              <w:t>（</w:t>
            </w:r>
            <w:r>
              <w:rPr>
                <w:rFonts w:hint="eastAsia" w:ascii="宋体" w:hAnsi="宋体" w:cs="宋体"/>
                <w:i w:val="0"/>
                <w:iCs w:val="0"/>
                <w:sz w:val="24"/>
                <w:highlight w:val="none"/>
                <w:lang w:val="en-US" w:eastAsia="zh-CN"/>
              </w:rPr>
              <w:t>响应</w:t>
            </w:r>
            <w:r>
              <w:rPr>
                <w:rFonts w:hint="eastAsia" w:ascii="宋体" w:hAnsi="宋体" w:cs="宋体"/>
                <w:i w:val="0"/>
                <w:iCs w:val="0"/>
                <w:sz w:val="24"/>
                <w:highlight w:val="none"/>
                <w:lang w:eastAsia="zh-CN"/>
              </w:rPr>
              <w:t>）</w:t>
            </w:r>
            <w:r>
              <w:rPr>
                <w:rFonts w:hint="eastAsia" w:ascii="宋体" w:hAnsi="宋体" w:eastAsia="宋体" w:cs="宋体"/>
                <w:i w:val="0"/>
                <w:iCs w:val="0"/>
                <w:sz w:val="24"/>
                <w:highlight w:val="none"/>
              </w:rPr>
              <w:t>时，</w:t>
            </w:r>
            <w:r>
              <w:rPr>
                <w:rFonts w:hint="eastAsia" w:ascii="宋体" w:hAnsi="宋体" w:cs="宋体"/>
                <w:i w:val="0"/>
                <w:iCs w:val="0"/>
                <w:sz w:val="24"/>
                <w:highlight w:val="none"/>
                <w:lang w:eastAsia="zh-CN"/>
              </w:rPr>
              <w:t>供应商</w:t>
            </w:r>
            <w:r>
              <w:rPr>
                <w:rFonts w:hint="eastAsia" w:ascii="宋体" w:hAnsi="宋体" w:eastAsia="宋体" w:cs="宋体"/>
                <w:i w:val="0"/>
                <w:iCs w:val="0"/>
                <w:sz w:val="24"/>
                <w:highlight w:val="none"/>
              </w:rPr>
              <w:t>不得为联合体。</w:t>
            </w:r>
          </w:p>
        </w:tc>
        <w:tc>
          <w:tcPr>
            <w:tcW w:w="1027" w:type="pct"/>
            <w:noWrap w:val="0"/>
            <w:vAlign w:val="center"/>
          </w:tcPr>
          <w:p w14:paraId="5132C655">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提供《联合协议》原件的电子件</w:t>
            </w:r>
          </w:p>
          <w:p w14:paraId="5E4D5BED">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格式见《响应文件格式》</w:t>
            </w:r>
          </w:p>
        </w:tc>
      </w:tr>
      <w:tr w14:paraId="37AC4F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trPr>
        <w:tc>
          <w:tcPr>
            <w:tcW w:w="455" w:type="pct"/>
            <w:noWrap w:val="0"/>
            <w:vAlign w:val="center"/>
          </w:tcPr>
          <w:p w14:paraId="5FA0E4AE">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val="en-US" w:eastAsia="zh-CN"/>
              </w:rPr>
              <w:t>3-2</w:t>
            </w:r>
          </w:p>
        </w:tc>
        <w:tc>
          <w:tcPr>
            <w:tcW w:w="937" w:type="pct"/>
            <w:noWrap w:val="0"/>
            <w:vAlign w:val="center"/>
          </w:tcPr>
          <w:p w14:paraId="431437EA">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政府购买服务承接主体的要求</w:t>
            </w:r>
          </w:p>
        </w:tc>
        <w:tc>
          <w:tcPr>
            <w:tcW w:w="2579" w:type="pct"/>
            <w:noWrap w:val="0"/>
            <w:vAlign w:val="center"/>
          </w:tcPr>
          <w:p w14:paraId="441ED234">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如本项目属于政府购买服务，</w:t>
            </w:r>
            <w:r>
              <w:rPr>
                <w:rFonts w:hint="eastAsia" w:ascii="宋体" w:hAnsi="宋体" w:cs="宋体"/>
                <w:i w:val="0"/>
                <w:iCs w:val="0"/>
                <w:sz w:val="24"/>
                <w:highlight w:val="none"/>
                <w:lang w:eastAsia="zh-CN"/>
              </w:rPr>
              <w:t>供应商</w:t>
            </w:r>
            <w:r>
              <w:rPr>
                <w:rFonts w:hint="eastAsia" w:ascii="宋体" w:hAnsi="宋体" w:eastAsia="宋体" w:cs="宋体"/>
                <w:i w:val="0"/>
                <w:iCs w:val="0"/>
                <w:sz w:val="24"/>
                <w:highlight w:val="none"/>
              </w:rPr>
              <w:t>不属于公益一类事业单位、使用事业编制且由财政拨款保障的群团组织</w:t>
            </w:r>
            <w:r>
              <w:rPr>
                <w:rFonts w:hint="eastAsia" w:ascii="宋体" w:hAnsi="宋体" w:eastAsia="宋体" w:cs="宋体"/>
                <w:i w:val="0"/>
                <w:iCs w:val="0"/>
                <w:sz w:val="24"/>
                <w:highlight w:val="none"/>
                <w:lang w:eastAsia="zh-CN"/>
              </w:rPr>
              <w:t>。</w:t>
            </w:r>
          </w:p>
        </w:tc>
        <w:tc>
          <w:tcPr>
            <w:tcW w:w="1027" w:type="pct"/>
            <w:noWrap w:val="0"/>
            <w:vAlign w:val="center"/>
          </w:tcPr>
          <w:p w14:paraId="078BE190">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格式见《响应文件格式》“1-2 供应商资格声明书”</w:t>
            </w:r>
          </w:p>
        </w:tc>
      </w:tr>
      <w:tr w14:paraId="59A2C4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trPr>
        <w:tc>
          <w:tcPr>
            <w:tcW w:w="455" w:type="pct"/>
            <w:noWrap w:val="0"/>
            <w:vAlign w:val="center"/>
          </w:tcPr>
          <w:p w14:paraId="3ECC0873">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rPr>
              <w:t>3-</w:t>
            </w:r>
            <w:r>
              <w:rPr>
                <w:rFonts w:hint="eastAsia" w:ascii="宋体" w:hAnsi="宋体" w:eastAsia="宋体" w:cs="宋体"/>
                <w:i w:val="0"/>
                <w:iCs w:val="0"/>
                <w:sz w:val="24"/>
                <w:highlight w:val="none"/>
                <w:lang w:val="en-US" w:eastAsia="zh-CN"/>
              </w:rPr>
              <w:t>3</w:t>
            </w:r>
          </w:p>
        </w:tc>
        <w:tc>
          <w:tcPr>
            <w:tcW w:w="937" w:type="pct"/>
            <w:noWrap w:val="0"/>
            <w:vAlign w:val="center"/>
          </w:tcPr>
          <w:p w14:paraId="6926FF16">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其他特定资格要求</w:t>
            </w:r>
          </w:p>
        </w:tc>
        <w:tc>
          <w:tcPr>
            <w:tcW w:w="2579" w:type="pct"/>
            <w:noWrap w:val="0"/>
            <w:vAlign w:val="center"/>
          </w:tcPr>
          <w:p w14:paraId="2B8AACB1">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如有，见第一章《采购邀请》</w:t>
            </w:r>
          </w:p>
          <w:p w14:paraId="27A4C846">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注：如联合体中有同类资质的供应商按照联合体分工承担相同工作的，均应当提供资质证书电子件或电子证照。</w:t>
            </w:r>
          </w:p>
        </w:tc>
        <w:tc>
          <w:tcPr>
            <w:tcW w:w="1027" w:type="pct"/>
            <w:noWrap w:val="0"/>
            <w:vAlign w:val="center"/>
          </w:tcPr>
          <w:p w14:paraId="49B88D44">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提供证明文件的电子件或电子证照</w:t>
            </w:r>
          </w:p>
        </w:tc>
      </w:tr>
      <w:tr w14:paraId="25520B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trPr>
        <w:tc>
          <w:tcPr>
            <w:tcW w:w="455" w:type="pct"/>
            <w:noWrap w:val="0"/>
            <w:vAlign w:val="center"/>
          </w:tcPr>
          <w:p w14:paraId="15B73090">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4</w:t>
            </w:r>
          </w:p>
        </w:tc>
        <w:tc>
          <w:tcPr>
            <w:tcW w:w="937" w:type="pct"/>
            <w:noWrap w:val="0"/>
            <w:vAlign w:val="center"/>
          </w:tcPr>
          <w:p w14:paraId="0FB6B92D">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color w:val="000000"/>
                <w:kern w:val="0"/>
                <w:sz w:val="24"/>
                <w:highlight w:val="none"/>
              </w:rPr>
              <w:t>磋商保证金</w:t>
            </w:r>
          </w:p>
        </w:tc>
        <w:tc>
          <w:tcPr>
            <w:tcW w:w="2579" w:type="pct"/>
            <w:noWrap w:val="0"/>
            <w:vAlign w:val="center"/>
          </w:tcPr>
          <w:p w14:paraId="31AA29DF">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kern w:val="0"/>
                <w:sz w:val="24"/>
                <w:highlight w:val="none"/>
              </w:rPr>
              <w:t>按照竞争性磋商文件的要求提交磋商保证金。</w:t>
            </w:r>
          </w:p>
        </w:tc>
        <w:tc>
          <w:tcPr>
            <w:tcW w:w="1027" w:type="pct"/>
            <w:noWrap w:val="0"/>
            <w:vAlign w:val="center"/>
          </w:tcPr>
          <w:p w14:paraId="652B062E">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w:t>
            </w:r>
          </w:p>
        </w:tc>
      </w:tr>
      <w:tr w14:paraId="501E77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trPr>
        <w:tc>
          <w:tcPr>
            <w:tcW w:w="455" w:type="pct"/>
            <w:noWrap w:val="0"/>
            <w:vAlign w:val="center"/>
          </w:tcPr>
          <w:p w14:paraId="32CED8D2">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cs="宋体"/>
                <w:sz w:val="24"/>
                <w:highlight w:val="none"/>
                <w:lang w:val="en-US" w:eastAsia="zh-CN"/>
              </w:rPr>
              <w:t>5</w:t>
            </w:r>
          </w:p>
        </w:tc>
        <w:tc>
          <w:tcPr>
            <w:tcW w:w="937" w:type="pct"/>
            <w:noWrap w:val="0"/>
            <w:vAlign w:val="center"/>
          </w:tcPr>
          <w:p w14:paraId="772EAA55">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color w:val="000000"/>
                <w:kern w:val="0"/>
                <w:sz w:val="24"/>
                <w:highlight w:val="none"/>
              </w:rPr>
            </w:pPr>
            <w:r>
              <w:rPr>
                <w:rFonts w:hint="eastAsia" w:ascii="宋体" w:hAnsi="宋体" w:cs="宋体"/>
                <w:kern w:val="0"/>
                <w:sz w:val="24"/>
                <w:highlight w:val="none"/>
              </w:rPr>
              <w:t>获取磋商文件</w:t>
            </w:r>
          </w:p>
        </w:tc>
        <w:tc>
          <w:tcPr>
            <w:tcW w:w="2579" w:type="pct"/>
            <w:noWrap w:val="0"/>
            <w:vAlign w:val="center"/>
          </w:tcPr>
          <w:p w14:paraId="167DB591">
            <w:pPr>
              <w:pageBreakBefore w:val="0"/>
              <w:tabs>
                <w:tab w:val="left" w:pos="1080"/>
              </w:tabs>
              <w:wordWrap w:val="0"/>
              <w:topLinePunct w:val="0"/>
              <w:bidi w:val="0"/>
              <w:snapToGrid w:val="0"/>
              <w:spacing w:after="0" w:line="360" w:lineRule="auto"/>
              <w:textAlignment w:val="auto"/>
              <w:rPr>
                <w:rFonts w:hint="eastAsia" w:ascii="宋体" w:hAnsi="宋体" w:cs="宋体"/>
                <w:kern w:val="0"/>
                <w:sz w:val="24"/>
                <w:highlight w:val="none"/>
              </w:rPr>
            </w:pPr>
            <w:r>
              <w:rPr>
                <w:rFonts w:hint="eastAsia" w:ascii="宋体" w:hAnsi="宋体" w:cs="宋体"/>
                <w:kern w:val="0"/>
                <w:sz w:val="24"/>
                <w:highlight w:val="none"/>
              </w:rPr>
              <w:t>在规定期限内通过北京市政府采购电子交易平台获取所参与包的磋商文件。</w:t>
            </w:r>
          </w:p>
          <w:p w14:paraId="04E62750">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color w:val="000000"/>
                <w:kern w:val="0"/>
                <w:sz w:val="24"/>
                <w:highlight w:val="none"/>
              </w:rPr>
            </w:pPr>
            <w:r>
              <w:rPr>
                <w:rFonts w:hint="eastAsia" w:ascii="宋体" w:hAnsi="宋体" w:cs="宋体"/>
                <w:kern w:val="0"/>
                <w:sz w:val="24"/>
                <w:highlight w:val="none"/>
              </w:rPr>
              <w:t>注：如本项目接受联合体，且供应商为联合体时，联合体中任一成员获取文件即视为满足要求。</w:t>
            </w:r>
          </w:p>
        </w:tc>
        <w:tc>
          <w:tcPr>
            <w:tcW w:w="1027" w:type="pct"/>
            <w:noWrap w:val="0"/>
            <w:vAlign w:val="center"/>
          </w:tcPr>
          <w:p w14:paraId="07086C28">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kern w:val="2"/>
                <w:sz w:val="24"/>
                <w:szCs w:val="24"/>
                <w:highlight w:val="none"/>
                <w:lang w:val="en-US" w:eastAsia="zh-CN" w:bidi="ar-SA"/>
              </w:rPr>
            </w:pPr>
            <w:r>
              <w:rPr>
                <w:rFonts w:hint="eastAsia" w:ascii="宋体" w:hAnsi="宋体" w:eastAsia="宋体" w:cs="宋体"/>
                <w:i w:val="0"/>
                <w:iCs w:val="0"/>
                <w:sz w:val="24"/>
                <w:highlight w:val="none"/>
                <w:lang w:val="en-US" w:eastAsia="zh-CN"/>
              </w:rPr>
              <w:t>/</w:t>
            </w:r>
          </w:p>
        </w:tc>
      </w:tr>
    </w:tbl>
    <w:p w14:paraId="5E80CA9A">
      <w:pPr>
        <w:pageBreakBefore w:val="0"/>
        <w:widowControl/>
        <w:wordWrap w:val="0"/>
        <w:topLinePunct w:val="0"/>
        <w:bidi w:val="0"/>
        <w:spacing w:after="0" w:line="360" w:lineRule="auto"/>
        <w:jc w:val="left"/>
        <w:textAlignment w:val="auto"/>
        <w:rPr>
          <w:rFonts w:hint="eastAsia" w:ascii="宋体" w:hAnsi="宋体" w:eastAsia="宋体" w:cs="宋体"/>
          <w:i w:val="0"/>
          <w:iCs w:val="0"/>
          <w:sz w:val="24"/>
        </w:rPr>
      </w:pPr>
    </w:p>
    <w:p w14:paraId="146D5575">
      <w:pPr>
        <w:pageBreakBefore w:val="0"/>
        <w:numPr>
          <w:ilvl w:val="1"/>
          <w:numId w:val="10"/>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rPr>
      </w:pPr>
      <w:r>
        <w:rPr>
          <w:rFonts w:hint="eastAsia" w:ascii="宋体" w:hAnsi="宋体" w:eastAsia="宋体" w:cs="宋体"/>
          <w:i w:val="0"/>
          <w:iCs w:val="0"/>
          <w:sz w:val="24"/>
        </w:rPr>
        <w:t>《符合性审查要求》见下表：</w:t>
      </w:r>
    </w:p>
    <w:p w14:paraId="28F6F317">
      <w:pPr>
        <w:pageBreakBefore w:val="0"/>
        <w:widowControl/>
        <w:wordWrap w:val="0"/>
        <w:topLinePunct w:val="0"/>
        <w:bidi w:val="0"/>
        <w:spacing w:after="0" w:line="360" w:lineRule="auto"/>
        <w:jc w:val="center"/>
        <w:textAlignment w:val="auto"/>
        <w:rPr>
          <w:rFonts w:hint="eastAsia" w:ascii="宋体" w:hAnsi="宋体" w:eastAsia="宋体" w:cs="宋体"/>
          <w:b/>
          <w:i w:val="0"/>
          <w:iCs w:val="0"/>
          <w:color w:val="000000"/>
          <w:kern w:val="0"/>
          <w:sz w:val="24"/>
        </w:rPr>
      </w:pPr>
      <w:r>
        <w:rPr>
          <w:rFonts w:hint="eastAsia" w:ascii="宋体" w:hAnsi="宋体" w:eastAsia="宋体" w:cs="宋体"/>
          <w:b/>
          <w:i w:val="0"/>
          <w:iCs w:val="0"/>
          <w:color w:val="000000"/>
          <w:kern w:val="0"/>
          <w:sz w:val="24"/>
        </w:rPr>
        <w:t>符合性审查要求</w:t>
      </w:r>
    </w:p>
    <w:tbl>
      <w:tblPr>
        <w:tblStyle w:val="4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0"/>
        <w:gridCol w:w="1690"/>
        <w:gridCol w:w="4597"/>
        <w:gridCol w:w="1886"/>
      </w:tblGrid>
      <w:tr w14:paraId="5E51A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noWrap w:val="0"/>
            <w:vAlign w:val="center"/>
          </w:tcPr>
          <w:p w14:paraId="68B4F7D5">
            <w:pPr>
              <w:pageBreakBefore w:val="0"/>
              <w:widowControl/>
              <w:wordWrap w:val="0"/>
              <w:topLinePunct w:val="0"/>
              <w:bidi w:val="0"/>
              <w:spacing w:after="0" w:line="360" w:lineRule="auto"/>
              <w:jc w:val="center"/>
              <w:textAlignment w:val="auto"/>
              <w:rPr>
                <w:rFonts w:hint="eastAsia" w:ascii="宋体" w:hAnsi="宋体" w:eastAsia="宋体" w:cs="宋体"/>
                <w:b/>
                <w:i w:val="0"/>
                <w:iCs w:val="0"/>
                <w:color w:val="000000"/>
                <w:kern w:val="0"/>
                <w:sz w:val="24"/>
                <w:highlight w:val="none"/>
              </w:rPr>
            </w:pPr>
            <w:r>
              <w:rPr>
                <w:rFonts w:hint="eastAsia" w:ascii="宋体" w:hAnsi="宋体" w:eastAsia="宋体" w:cs="宋体"/>
                <w:b/>
                <w:i w:val="0"/>
                <w:iCs w:val="0"/>
                <w:color w:val="000000"/>
                <w:kern w:val="0"/>
                <w:sz w:val="24"/>
                <w:highlight w:val="none"/>
              </w:rPr>
              <w:t>序号</w:t>
            </w:r>
          </w:p>
        </w:tc>
        <w:tc>
          <w:tcPr>
            <w:tcW w:w="921" w:type="pct"/>
            <w:noWrap w:val="0"/>
            <w:vAlign w:val="center"/>
          </w:tcPr>
          <w:p w14:paraId="3B613765">
            <w:pPr>
              <w:pageBreakBefore w:val="0"/>
              <w:widowControl/>
              <w:wordWrap w:val="0"/>
              <w:topLinePunct w:val="0"/>
              <w:bidi w:val="0"/>
              <w:spacing w:after="0" w:line="360" w:lineRule="auto"/>
              <w:jc w:val="center"/>
              <w:textAlignment w:val="auto"/>
              <w:rPr>
                <w:rFonts w:hint="eastAsia" w:ascii="宋体" w:hAnsi="宋体" w:eastAsia="宋体" w:cs="宋体"/>
                <w:b/>
                <w:i w:val="0"/>
                <w:iCs w:val="0"/>
                <w:color w:val="000000"/>
                <w:kern w:val="0"/>
                <w:sz w:val="24"/>
                <w:highlight w:val="none"/>
              </w:rPr>
            </w:pPr>
            <w:r>
              <w:rPr>
                <w:rFonts w:hint="eastAsia" w:ascii="宋体" w:hAnsi="宋体" w:eastAsia="宋体" w:cs="宋体"/>
                <w:b/>
                <w:i w:val="0"/>
                <w:iCs w:val="0"/>
                <w:sz w:val="24"/>
                <w:highlight w:val="none"/>
              </w:rPr>
              <w:t>检查</w:t>
            </w:r>
            <w:r>
              <w:rPr>
                <w:rFonts w:hint="eastAsia" w:ascii="宋体" w:hAnsi="宋体" w:eastAsia="宋体" w:cs="宋体"/>
                <w:b/>
                <w:i w:val="0"/>
                <w:iCs w:val="0"/>
                <w:color w:val="000000"/>
                <w:kern w:val="0"/>
                <w:sz w:val="24"/>
                <w:highlight w:val="none"/>
              </w:rPr>
              <w:t>因素</w:t>
            </w:r>
          </w:p>
        </w:tc>
        <w:tc>
          <w:tcPr>
            <w:tcW w:w="2505" w:type="pct"/>
            <w:noWrap w:val="0"/>
            <w:vAlign w:val="center"/>
          </w:tcPr>
          <w:p w14:paraId="4FFD70EE">
            <w:pPr>
              <w:pageBreakBefore w:val="0"/>
              <w:widowControl/>
              <w:wordWrap w:val="0"/>
              <w:topLinePunct w:val="0"/>
              <w:bidi w:val="0"/>
              <w:spacing w:after="0" w:line="360" w:lineRule="auto"/>
              <w:jc w:val="center"/>
              <w:textAlignment w:val="auto"/>
              <w:rPr>
                <w:rFonts w:hint="eastAsia" w:ascii="宋体" w:hAnsi="宋体" w:eastAsia="宋体" w:cs="宋体"/>
                <w:b/>
                <w:i w:val="0"/>
                <w:iCs w:val="0"/>
                <w:color w:val="000000"/>
                <w:kern w:val="0"/>
                <w:sz w:val="24"/>
                <w:highlight w:val="none"/>
              </w:rPr>
            </w:pPr>
            <w:r>
              <w:rPr>
                <w:rFonts w:hint="eastAsia" w:ascii="宋体" w:hAnsi="宋体" w:eastAsia="宋体" w:cs="宋体"/>
                <w:b/>
                <w:i w:val="0"/>
                <w:iCs w:val="0"/>
                <w:sz w:val="24"/>
                <w:highlight w:val="none"/>
              </w:rPr>
              <w:t>检查</w:t>
            </w:r>
            <w:r>
              <w:rPr>
                <w:rFonts w:hint="eastAsia" w:ascii="宋体" w:hAnsi="宋体" w:eastAsia="宋体" w:cs="宋体"/>
                <w:b/>
                <w:i w:val="0"/>
                <w:iCs w:val="0"/>
                <w:color w:val="000000"/>
                <w:kern w:val="0"/>
                <w:sz w:val="24"/>
                <w:highlight w:val="none"/>
              </w:rPr>
              <w:t>内容</w:t>
            </w:r>
          </w:p>
        </w:tc>
        <w:tc>
          <w:tcPr>
            <w:tcW w:w="1028" w:type="pct"/>
            <w:noWrap w:val="0"/>
            <w:vAlign w:val="center"/>
          </w:tcPr>
          <w:p w14:paraId="45782C26">
            <w:pPr>
              <w:pageBreakBefore w:val="0"/>
              <w:widowControl/>
              <w:wordWrap w:val="0"/>
              <w:topLinePunct w:val="0"/>
              <w:bidi w:val="0"/>
              <w:spacing w:after="0" w:line="360" w:lineRule="auto"/>
              <w:jc w:val="center"/>
              <w:textAlignment w:val="auto"/>
              <w:rPr>
                <w:rFonts w:hint="eastAsia" w:ascii="宋体" w:hAnsi="宋体" w:eastAsia="宋体" w:cs="宋体"/>
                <w:b/>
                <w:i w:val="0"/>
                <w:iCs w:val="0"/>
                <w:color w:val="000000"/>
                <w:kern w:val="0"/>
                <w:sz w:val="24"/>
                <w:highlight w:val="none"/>
              </w:rPr>
            </w:pPr>
            <w:r>
              <w:rPr>
                <w:rFonts w:hint="eastAsia" w:ascii="宋体" w:hAnsi="宋体" w:eastAsia="宋体" w:cs="宋体"/>
                <w:b/>
                <w:i w:val="0"/>
                <w:iCs w:val="0"/>
                <w:color w:val="000000"/>
                <w:kern w:val="0"/>
                <w:sz w:val="24"/>
                <w:highlight w:val="none"/>
              </w:rPr>
              <w:t>是否允许澄清、</w:t>
            </w:r>
          </w:p>
          <w:p w14:paraId="4EA6A218">
            <w:pPr>
              <w:pageBreakBefore w:val="0"/>
              <w:widowControl/>
              <w:wordWrap w:val="0"/>
              <w:topLinePunct w:val="0"/>
              <w:bidi w:val="0"/>
              <w:spacing w:after="0" w:line="360" w:lineRule="auto"/>
              <w:jc w:val="center"/>
              <w:textAlignment w:val="auto"/>
              <w:rPr>
                <w:rFonts w:hint="eastAsia" w:ascii="宋体" w:hAnsi="宋体" w:eastAsia="宋体" w:cs="宋体"/>
                <w:b/>
                <w:i w:val="0"/>
                <w:iCs w:val="0"/>
                <w:color w:val="000000"/>
                <w:kern w:val="0"/>
                <w:sz w:val="24"/>
                <w:highlight w:val="none"/>
              </w:rPr>
            </w:pPr>
            <w:r>
              <w:rPr>
                <w:rFonts w:hint="eastAsia" w:ascii="宋体" w:hAnsi="宋体" w:eastAsia="宋体" w:cs="宋体"/>
                <w:b/>
                <w:i w:val="0"/>
                <w:iCs w:val="0"/>
                <w:color w:val="000000"/>
                <w:kern w:val="0"/>
                <w:sz w:val="24"/>
                <w:highlight w:val="none"/>
              </w:rPr>
              <w:t>说明或者更正</w:t>
            </w:r>
          </w:p>
        </w:tc>
      </w:tr>
      <w:tr w14:paraId="3586A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noWrap w:val="0"/>
            <w:vAlign w:val="center"/>
          </w:tcPr>
          <w:p w14:paraId="21B5CE65">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1</w:t>
            </w:r>
          </w:p>
        </w:tc>
        <w:tc>
          <w:tcPr>
            <w:tcW w:w="921" w:type="pct"/>
            <w:noWrap w:val="0"/>
            <w:vAlign w:val="center"/>
          </w:tcPr>
          <w:p w14:paraId="0B413CFF">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授权委托书</w:t>
            </w:r>
          </w:p>
        </w:tc>
        <w:tc>
          <w:tcPr>
            <w:tcW w:w="2505" w:type="pct"/>
            <w:noWrap w:val="0"/>
            <w:vAlign w:val="center"/>
          </w:tcPr>
          <w:p w14:paraId="5E751619">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按</w:t>
            </w:r>
            <w:r>
              <w:rPr>
                <w:rFonts w:hint="eastAsia" w:ascii="宋体" w:hAnsi="宋体" w:eastAsia="宋体" w:cs="宋体"/>
                <w:i w:val="0"/>
                <w:iCs w:val="0"/>
                <w:sz w:val="24"/>
                <w:highlight w:val="none"/>
                <w:lang w:val="en-US" w:eastAsia="zh-CN"/>
              </w:rPr>
              <w:t>磋商</w:t>
            </w:r>
            <w:r>
              <w:rPr>
                <w:rFonts w:hint="eastAsia" w:ascii="宋体" w:hAnsi="宋体" w:eastAsia="宋体" w:cs="宋体"/>
                <w:i w:val="0"/>
                <w:iCs w:val="0"/>
                <w:color w:val="000000"/>
                <w:kern w:val="0"/>
                <w:sz w:val="24"/>
                <w:highlight w:val="none"/>
              </w:rPr>
              <w:t>文件要求提供授权委托书；</w:t>
            </w:r>
          </w:p>
        </w:tc>
        <w:tc>
          <w:tcPr>
            <w:tcW w:w="1028" w:type="pct"/>
            <w:noWrap w:val="0"/>
            <w:vAlign w:val="center"/>
          </w:tcPr>
          <w:p w14:paraId="0EB8BD32">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lang w:val="en-US" w:eastAsia="zh-CN"/>
              </w:rPr>
            </w:pPr>
            <w:r>
              <w:rPr>
                <w:rFonts w:hint="eastAsia" w:ascii="宋体" w:hAnsi="宋体" w:eastAsia="宋体" w:cs="宋体"/>
                <w:i w:val="0"/>
                <w:iCs w:val="0"/>
                <w:color w:val="000000"/>
                <w:kern w:val="0"/>
                <w:sz w:val="24"/>
                <w:highlight w:val="none"/>
                <w:lang w:val="en-US" w:eastAsia="zh-CN"/>
              </w:rPr>
              <w:t>否</w:t>
            </w:r>
          </w:p>
        </w:tc>
      </w:tr>
      <w:tr w14:paraId="4C947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noWrap w:val="0"/>
            <w:vAlign w:val="center"/>
          </w:tcPr>
          <w:p w14:paraId="66E0C7FA">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2</w:t>
            </w:r>
          </w:p>
        </w:tc>
        <w:tc>
          <w:tcPr>
            <w:tcW w:w="921" w:type="pct"/>
            <w:noWrap w:val="0"/>
            <w:vAlign w:val="center"/>
          </w:tcPr>
          <w:p w14:paraId="7509A0DA">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lang w:eastAsia="zh-CN"/>
              </w:rPr>
            </w:pPr>
            <w:r>
              <w:rPr>
                <w:rFonts w:hint="eastAsia" w:ascii="宋体" w:hAnsi="宋体" w:cs="宋体"/>
                <w:i w:val="0"/>
                <w:iCs w:val="0"/>
                <w:color w:val="000000"/>
                <w:kern w:val="0"/>
                <w:sz w:val="24"/>
                <w:highlight w:val="none"/>
                <w:lang w:eastAsia="zh-CN"/>
              </w:rPr>
              <w:t>响应完整性</w:t>
            </w:r>
          </w:p>
        </w:tc>
        <w:tc>
          <w:tcPr>
            <w:tcW w:w="2505" w:type="pct"/>
            <w:noWrap w:val="0"/>
            <w:vAlign w:val="center"/>
          </w:tcPr>
          <w:p w14:paraId="591AE156">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sz w:val="24"/>
                <w:highlight w:val="none"/>
              </w:rPr>
              <w:t>未将一个采购包中的内容</w:t>
            </w:r>
            <w:r>
              <w:rPr>
                <w:rFonts w:hint="eastAsia" w:ascii="宋体" w:hAnsi="宋体" w:cs="宋体"/>
                <w:i w:val="0"/>
                <w:iCs w:val="0"/>
                <w:sz w:val="24"/>
                <w:highlight w:val="none"/>
                <w:lang w:eastAsia="zh-CN"/>
              </w:rPr>
              <w:t>拆开响应</w:t>
            </w:r>
            <w:r>
              <w:rPr>
                <w:rFonts w:hint="eastAsia" w:ascii="宋体" w:hAnsi="宋体" w:eastAsia="宋体" w:cs="宋体"/>
                <w:i w:val="0"/>
                <w:iCs w:val="0"/>
                <w:sz w:val="24"/>
                <w:highlight w:val="none"/>
              </w:rPr>
              <w:t>；</w:t>
            </w:r>
          </w:p>
        </w:tc>
        <w:tc>
          <w:tcPr>
            <w:tcW w:w="1028" w:type="pct"/>
            <w:noWrap w:val="0"/>
            <w:vAlign w:val="center"/>
          </w:tcPr>
          <w:p w14:paraId="2DE400AA">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lang w:val="en-US" w:eastAsia="zh-CN"/>
              </w:rPr>
              <w:t>否</w:t>
            </w:r>
          </w:p>
        </w:tc>
      </w:tr>
      <w:tr w14:paraId="4B58D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noWrap w:val="0"/>
            <w:vAlign w:val="center"/>
          </w:tcPr>
          <w:p w14:paraId="3F46865D">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3</w:t>
            </w:r>
          </w:p>
        </w:tc>
        <w:tc>
          <w:tcPr>
            <w:tcW w:w="921" w:type="pct"/>
            <w:noWrap w:val="0"/>
            <w:vAlign w:val="center"/>
          </w:tcPr>
          <w:p w14:paraId="451910F6">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lang w:eastAsia="zh-CN"/>
              </w:rPr>
            </w:pPr>
            <w:r>
              <w:rPr>
                <w:rFonts w:hint="eastAsia" w:ascii="宋体" w:hAnsi="宋体" w:cs="宋体"/>
                <w:i w:val="0"/>
                <w:iCs w:val="0"/>
                <w:color w:val="000000"/>
                <w:kern w:val="0"/>
                <w:sz w:val="24"/>
                <w:highlight w:val="none"/>
                <w:lang w:eastAsia="zh-CN"/>
              </w:rPr>
              <w:t>响应报价</w:t>
            </w:r>
          </w:p>
        </w:tc>
        <w:tc>
          <w:tcPr>
            <w:tcW w:w="2505" w:type="pct"/>
            <w:noWrap w:val="0"/>
            <w:vAlign w:val="center"/>
          </w:tcPr>
          <w:p w14:paraId="4AD27360">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cs="宋体"/>
                <w:i w:val="0"/>
                <w:iCs w:val="0"/>
                <w:color w:val="000000"/>
                <w:kern w:val="0"/>
                <w:sz w:val="24"/>
                <w:highlight w:val="none"/>
                <w:lang w:eastAsia="zh-CN"/>
              </w:rPr>
              <w:t>响应报价</w:t>
            </w:r>
            <w:r>
              <w:rPr>
                <w:rFonts w:hint="eastAsia" w:ascii="宋体" w:hAnsi="宋体" w:eastAsia="宋体" w:cs="宋体"/>
                <w:i w:val="0"/>
                <w:iCs w:val="0"/>
                <w:color w:val="000000"/>
                <w:kern w:val="0"/>
                <w:sz w:val="24"/>
                <w:highlight w:val="none"/>
              </w:rPr>
              <w:t>未</w:t>
            </w:r>
            <w:r>
              <w:rPr>
                <w:rFonts w:hint="eastAsia" w:ascii="宋体" w:hAnsi="宋体" w:eastAsia="宋体" w:cs="宋体"/>
                <w:i w:val="0"/>
                <w:iCs w:val="0"/>
                <w:color w:val="000000"/>
                <w:sz w:val="24"/>
                <w:highlight w:val="none"/>
              </w:rPr>
              <w:t>超过</w:t>
            </w:r>
            <w:r>
              <w:rPr>
                <w:rFonts w:hint="eastAsia" w:ascii="宋体" w:hAnsi="宋体" w:eastAsia="宋体" w:cs="宋体"/>
                <w:i w:val="0"/>
                <w:iCs w:val="0"/>
                <w:sz w:val="24"/>
                <w:highlight w:val="none"/>
                <w:lang w:val="en-US" w:eastAsia="zh-CN"/>
              </w:rPr>
              <w:t>磋商</w:t>
            </w:r>
            <w:r>
              <w:rPr>
                <w:rFonts w:hint="eastAsia" w:ascii="宋体" w:hAnsi="宋体" w:eastAsia="宋体" w:cs="宋体"/>
                <w:i w:val="0"/>
                <w:iCs w:val="0"/>
                <w:color w:val="000000"/>
                <w:sz w:val="24"/>
                <w:highlight w:val="none"/>
              </w:rPr>
              <w:t>文件中规定的项目/采购包预算金额或者项目/采购包最高限价</w:t>
            </w:r>
            <w:r>
              <w:rPr>
                <w:rFonts w:hint="eastAsia" w:ascii="宋体" w:hAnsi="宋体" w:eastAsia="宋体" w:cs="宋体"/>
                <w:i w:val="0"/>
                <w:iCs w:val="0"/>
                <w:color w:val="000000"/>
                <w:kern w:val="0"/>
                <w:sz w:val="24"/>
                <w:highlight w:val="none"/>
              </w:rPr>
              <w:t>；</w:t>
            </w:r>
          </w:p>
        </w:tc>
        <w:tc>
          <w:tcPr>
            <w:tcW w:w="1028" w:type="pct"/>
            <w:noWrap w:val="0"/>
            <w:vAlign w:val="center"/>
          </w:tcPr>
          <w:p w14:paraId="54E9E022">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lang w:val="en-US" w:eastAsia="zh-CN"/>
              </w:rPr>
              <w:t>否</w:t>
            </w:r>
          </w:p>
        </w:tc>
      </w:tr>
      <w:tr w14:paraId="755FD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noWrap w:val="0"/>
            <w:vAlign w:val="center"/>
          </w:tcPr>
          <w:p w14:paraId="0A16F12F">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4</w:t>
            </w:r>
          </w:p>
        </w:tc>
        <w:tc>
          <w:tcPr>
            <w:tcW w:w="921" w:type="pct"/>
            <w:noWrap w:val="0"/>
            <w:vAlign w:val="center"/>
          </w:tcPr>
          <w:p w14:paraId="00F100DF">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报价唯一性</w:t>
            </w:r>
          </w:p>
        </w:tc>
        <w:tc>
          <w:tcPr>
            <w:tcW w:w="2505" w:type="pct"/>
            <w:noWrap w:val="0"/>
            <w:vAlign w:val="center"/>
          </w:tcPr>
          <w:p w14:paraId="24E94967">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lang w:val="en-US" w:eastAsia="zh-CN"/>
              </w:rPr>
              <w:t>响应</w:t>
            </w:r>
            <w:r>
              <w:rPr>
                <w:rFonts w:hint="eastAsia" w:ascii="宋体" w:hAnsi="宋体" w:eastAsia="宋体" w:cs="宋体"/>
                <w:i w:val="0"/>
                <w:iCs w:val="0"/>
                <w:color w:val="000000"/>
                <w:kern w:val="0"/>
                <w:sz w:val="24"/>
                <w:highlight w:val="none"/>
              </w:rPr>
              <w:t>文件未</w:t>
            </w:r>
            <w:r>
              <w:rPr>
                <w:rFonts w:hint="eastAsia" w:ascii="宋体" w:hAnsi="宋体" w:eastAsia="宋体" w:cs="宋体"/>
                <w:i w:val="0"/>
                <w:iCs w:val="0"/>
                <w:sz w:val="24"/>
                <w:highlight w:val="none"/>
              </w:rPr>
              <w:t>出现可选择性或可调整的报价（</w:t>
            </w:r>
            <w:r>
              <w:rPr>
                <w:rFonts w:hint="eastAsia" w:ascii="宋体" w:hAnsi="宋体" w:eastAsia="宋体" w:cs="宋体"/>
                <w:i w:val="0"/>
                <w:iCs w:val="0"/>
                <w:sz w:val="24"/>
                <w:highlight w:val="none"/>
                <w:lang w:val="en-US" w:eastAsia="zh-CN"/>
              </w:rPr>
              <w:t>磋商</w:t>
            </w:r>
            <w:r>
              <w:rPr>
                <w:rFonts w:hint="eastAsia" w:ascii="宋体" w:hAnsi="宋体" w:eastAsia="宋体" w:cs="宋体"/>
                <w:i w:val="0"/>
                <w:iCs w:val="0"/>
                <w:sz w:val="24"/>
                <w:highlight w:val="none"/>
              </w:rPr>
              <w:t>文件另有规定的除外）</w:t>
            </w:r>
            <w:r>
              <w:rPr>
                <w:rFonts w:hint="eastAsia" w:ascii="宋体" w:hAnsi="宋体" w:eastAsia="宋体" w:cs="宋体"/>
                <w:i w:val="0"/>
                <w:iCs w:val="0"/>
                <w:color w:val="000000"/>
                <w:kern w:val="0"/>
                <w:sz w:val="24"/>
                <w:highlight w:val="none"/>
              </w:rPr>
              <w:t>；</w:t>
            </w:r>
          </w:p>
        </w:tc>
        <w:tc>
          <w:tcPr>
            <w:tcW w:w="1028" w:type="pct"/>
            <w:noWrap w:val="0"/>
            <w:vAlign w:val="center"/>
          </w:tcPr>
          <w:p w14:paraId="0CB166B6">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lang w:val="en-US" w:eastAsia="zh-CN"/>
              </w:rPr>
              <w:t>否</w:t>
            </w:r>
          </w:p>
        </w:tc>
      </w:tr>
      <w:tr w14:paraId="770A2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noWrap w:val="0"/>
            <w:vAlign w:val="center"/>
          </w:tcPr>
          <w:p w14:paraId="68608E03">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5</w:t>
            </w:r>
          </w:p>
        </w:tc>
        <w:tc>
          <w:tcPr>
            <w:tcW w:w="921" w:type="pct"/>
            <w:noWrap w:val="0"/>
            <w:vAlign w:val="center"/>
          </w:tcPr>
          <w:p w14:paraId="583A0CEB">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lang w:val="en-US" w:eastAsia="zh-CN"/>
              </w:rPr>
              <w:t>响应</w:t>
            </w:r>
            <w:r>
              <w:rPr>
                <w:rFonts w:hint="eastAsia" w:ascii="宋体" w:hAnsi="宋体" w:eastAsia="宋体" w:cs="宋体"/>
                <w:i w:val="0"/>
                <w:iCs w:val="0"/>
                <w:color w:val="000000"/>
                <w:kern w:val="0"/>
                <w:sz w:val="24"/>
                <w:highlight w:val="none"/>
              </w:rPr>
              <w:t>有效期</w:t>
            </w:r>
          </w:p>
        </w:tc>
        <w:tc>
          <w:tcPr>
            <w:tcW w:w="2505" w:type="pct"/>
            <w:noWrap w:val="0"/>
            <w:vAlign w:val="center"/>
          </w:tcPr>
          <w:p w14:paraId="4B687B30">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lang w:val="en-US" w:eastAsia="zh-CN"/>
              </w:rPr>
              <w:t>响应</w:t>
            </w:r>
            <w:r>
              <w:rPr>
                <w:rFonts w:hint="eastAsia" w:ascii="宋体" w:hAnsi="宋体" w:eastAsia="宋体" w:cs="宋体"/>
                <w:i w:val="0"/>
                <w:iCs w:val="0"/>
                <w:color w:val="000000"/>
                <w:kern w:val="0"/>
                <w:sz w:val="24"/>
                <w:highlight w:val="none"/>
              </w:rPr>
              <w:t>文件中承诺的</w:t>
            </w:r>
            <w:r>
              <w:rPr>
                <w:rFonts w:hint="eastAsia" w:ascii="宋体" w:hAnsi="宋体" w:eastAsia="宋体" w:cs="宋体"/>
                <w:i w:val="0"/>
                <w:iCs w:val="0"/>
                <w:color w:val="000000"/>
                <w:kern w:val="0"/>
                <w:sz w:val="24"/>
                <w:highlight w:val="none"/>
                <w:lang w:val="en-US" w:eastAsia="zh-CN"/>
              </w:rPr>
              <w:t>响应</w:t>
            </w:r>
            <w:r>
              <w:rPr>
                <w:rFonts w:hint="eastAsia" w:ascii="宋体" w:hAnsi="宋体" w:eastAsia="宋体" w:cs="宋体"/>
                <w:i w:val="0"/>
                <w:iCs w:val="0"/>
                <w:color w:val="000000"/>
                <w:kern w:val="0"/>
                <w:sz w:val="24"/>
                <w:highlight w:val="none"/>
              </w:rPr>
              <w:t>有效期满足</w:t>
            </w:r>
            <w:r>
              <w:rPr>
                <w:rFonts w:hint="eastAsia" w:ascii="宋体" w:hAnsi="宋体" w:eastAsia="宋体" w:cs="宋体"/>
                <w:i w:val="0"/>
                <w:iCs w:val="0"/>
                <w:sz w:val="24"/>
                <w:highlight w:val="none"/>
                <w:lang w:val="en-US" w:eastAsia="zh-CN"/>
              </w:rPr>
              <w:t>磋商</w:t>
            </w:r>
            <w:r>
              <w:rPr>
                <w:rFonts w:hint="eastAsia" w:ascii="宋体" w:hAnsi="宋体" w:eastAsia="宋体" w:cs="宋体"/>
                <w:i w:val="0"/>
                <w:iCs w:val="0"/>
                <w:color w:val="000000"/>
                <w:kern w:val="0"/>
                <w:sz w:val="24"/>
                <w:highlight w:val="none"/>
              </w:rPr>
              <w:t>文件中载明的</w:t>
            </w:r>
            <w:r>
              <w:rPr>
                <w:rFonts w:hint="eastAsia" w:ascii="宋体" w:hAnsi="宋体" w:eastAsia="宋体" w:cs="宋体"/>
                <w:i w:val="0"/>
                <w:iCs w:val="0"/>
                <w:color w:val="000000"/>
                <w:kern w:val="0"/>
                <w:sz w:val="24"/>
                <w:highlight w:val="none"/>
                <w:lang w:val="en-US" w:eastAsia="zh-CN"/>
              </w:rPr>
              <w:t>响应</w:t>
            </w:r>
            <w:r>
              <w:rPr>
                <w:rFonts w:hint="eastAsia" w:ascii="宋体" w:hAnsi="宋体" w:eastAsia="宋体" w:cs="宋体"/>
                <w:i w:val="0"/>
                <w:iCs w:val="0"/>
                <w:color w:val="000000"/>
                <w:kern w:val="0"/>
                <w:sz w:val="24"/>
                <w:highlight w:val="none"/>
              </w:rPr>
              <w:t>有效期的；</w:t>
            </w:r>
          </w:p>
        </w:tc>
        <w:tc>
          <w:tcPr>
            <w:tcW w:w="1028" w:type="pct"/>
            <w:noWrap w:val="0"/>
            <w:vAlign w:val="center"/>
          </w:tcPr>
          <w:p w14:paraId="6AF41587">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lang w:val="en-US" w:eastAsia="zh-CN"/>
              </w:rPr>
              <w:t>否</w:t>
            </w:r>
          </w:p>
        </w:tc>
      </w:tr>
      <w:tr w14:paraId="5A94B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545" w:type="pct"/>
            <w:noWrap w:val="0"/>
            <w:vAlign w:val="center"/>
          </w:tcPr>
          <w:p w14:paraId="6F1738B9">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6</w:t>
            </w:r>
          </w:p>
        </w:tc>
        <w:tc>
          <w:tcPr>
            <w:tcW w:w="921" w:type="pct"/>
            <w:noWrap w:val="0"/>
            <w:vAlign w:val="center"/>
          </w:tcPr>
          <w:p w14:paraId="7F273C9E">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实质性格式</w:t>
            </w:r>
          </w:p>
        </w:tc>
        <w:tc>
          <w:tcPr>
            <w:tcW w:w="2505" w:type="pct"/>
            <w:noWrap w:val="0"/>
            <w:vAlign w:val="center"/>
          </w:tcPr>
          <w:p w14:paraId="530F0919">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kern w:val="0"/>
                <w:sz w:val="24"/>
                <w:highlight w:val="none"/>
              </w:rPr>
              <w:t>标记为“实质性格式”的文件均按</w:t>
            </w:r>
            <w:r>
              <w:rPr>
                <w:rFonts w:hint="eastAsia" w:ascii="宋体" w:hAnsi="宋体" w:eastAsia="宋体" w:cs="宋体"/>
                <w:i w:val="0"/>
                <w:iCs w:val="0"/>
                <w:sz w:val="24"/>
                <w:highlight w:val="none"/>
                <w:lang w:val="en-US" w:eastAsia="zh-CN"/>
              </w:rPr>
              <w:t>磋商</w:t>
            </w:r>
            <w:r>
              <w:rPr>
                <w:rFonts w:hint="eastAsia" w:ascii="宋体" w:hAnsi="宋体" w:eastAsia="宋体" w:cs="宋体"/>
                <w:i w:val="0"/>
                <w:iCs w:val="0"/>
                <w:kern w:val="0"/>
                <w:sz w:val="24"/>
                <w:highlight w:val="none"/>
              </w:rPr>
              <w:t>文件要求提供</w:t>
            </w:r>
            <w:r>
              <w:rPr>
                <w:rFonts w:hint="eastAsia" w:ascii="宋体" w:hAnsi="宋体" w:eastAsia="宋体" w:cs="宋体"/>
                <w:i w:val="0"/>
                <w:iCs w:val="0"/>
                <w:kern w:val="0"/>
                <w:sz w:val="24"/>
                <w:highlight w:val="none"/>
                <w:lang w:val="en-US" w:eastAsia="zh-CN"/>
              </w:rPr>
              <w:t>且签署、盖章的</w:t>
            </w:r>
            <w:r>
              <w:rPr>
                <w:rFonts w:hint="eastAsia" w:ascii="宋体" w:hAnsi="宋体" w:eastAsia="宋体" w:cs="宋体"/>
                <w:i w:val="0"/>
                <w:iCs w:val="0"/>
                <w:kern w:val="0"/>
                <w:sz w:val="24"/>
                <w:highlight w:val="none"/>
              </w:rPr>
              <w:t>；</w:t>
            </w:r>
          </w:p>
        </w:tc>
        <w:tc>
          <w:tcPr>
            <w:tcW w:w="1028" w:type="pct"/>
            <w:noWrap w:val="0"/>
            <w:vAlign w:val="center"/>
          </w:tcPr>
          <w:p w14:paraId="72E07F57">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lang w:val="en-US" w:eastAsia="zh-CN"/>
              </w:rPr>
              <w:t>否</w:t>
            </w:r>
          </w:p>
        </w:tc>
      </w:tr>
      <w:tr w14:paraId="36BD1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noWrap w:val="0"/>
            <w:vAlign w:val="center"/>
          </w:tcPr>
          <w:p w14:paraId="3C7874E9">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7</w:t>
            </w:r>
          </w:p>
        </w:tc>
        <w:tc>
          <w:tcPr>
            <w:tcW w:w="921" w:type="pct"/>
            <w:noWrap w:val="0"/>
            <w:vAlign w:val="center"/>
          </w:tcPr>
          <w:p w14:paraId="78D95B81">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★号条款响应</w:t>
            </w:r>
          </w:p>
        </w:tc>
        <w:tc>
          <w:tcPr>
            <w:tcW w:w="2505" w:type="pct"/>
            <w:noWrap w:val="0"/>
            <w:vAlign w:val="center"/>
          </w:tcPr>
          <w:p w14:paraId="1BA7693B">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lang w:val="en-US" w:eastAsia="zh-CN"/>
              </w:rPr>
              <w:t>响应</w:t>
            </w:r>
            <w:r>
              <w:rPr>
                <w:rFonts w:hint="eastAsia" w:ascii="宋体" w:hAnsi="宋体" w:eastAsia="宋体" w:cs="宋体"/>
                <w:i w:val="0"/>
                <w:iCs w:val="0"/>
                <w:color w:val="000000"/>
                <w:kern w:val="0"/>
                <w:sz w:val="24"/>
                <w:highlight w:val="none"/>
              </w:rPr>
              <w:t>文件满足</w:t>
            </w:r>
            <w:r>
              <w:rPr>
                <w:rFonts w:hint="eastAsia" w:ascii="宋体" w:hAnsi="宋体" w:eastAsia="宋体" w:cs="宋体"/>
                <w:i w:val="0"/>
                <w:iCs w:val="0"/>
                <w:sz w:val="24"/>
                <w:highlight w:val="none"/>
                <w:lang w:val="en-US" w:eastAsia="zh-CN"/>
              </w:rPr>
              <w:t>磋商</w:t>
            </w:r>
            <w:r>
              <w:rPr>
                <w:rFonts w:hint="eastAsia" w:ascii="宋体" w:hAnsi="宋体" w:eastAsia="宋体" w:cs="宋体"/>
                <w:i w:val="0"/>
                <w:iCs w:val="0"/>
                <w:color w:val="000000"/>
                <w:kern w:val="0"/>
                <w:sz w:val="24"/>
                <w:highlight w:val="none"/>
              </w:rPr>
              <w:t>文件</w:t>
            </w:r>
            <w:r>
              <w:rPr>
                <w:rFonts w:hint="eastAsia" w:ascii="宋体" w:hAnsi="宋体" w:eastAsia="宋体" w:cs="宋体"/>
                <w:i w:val="0"/>
                <w:iCs w:val="0"/>
                <w:sz w:val="24"/>
                <w:highlight w:val="none"/>
              </w:rPr>
              <w:t>第</w:t>
            </w:r>
            <w:r>
              <w:rPr>
                <w:rFonts w:hint="eastAsia" w:ascii="宋体" w:hAnsi="宋体" w:cs="宋体"/>
                <w:i w:val="0"/>
                <w:iCs w:val="0"/>
                <w:sz w:val="24"/>
                <w:highlight w:val="none"/>
                <w:lang w:val="en-US" w:eastAsia="zh-CN"/>
              </w:rPr>
              <w:t>四</w:t>
            </w:r>
            <w:r>
              <w:rPr>
                <w:rFonts w:hint="eastAsia" w:ascii="宋体" w:hAnsi="宋体" w:eastAsia="宋体" w:cs="宋体"/>
                <w:i w:val="0"/>
                <w:iCs w:val="0"/>
                <w:sz w:val="24"/>
                <w:highlight w:val="none"/>
              </w:rPr>
              <w:t>章《采购需求》</w:t>
            </w:r>
            <w:r>
              <w:rPr>
                <w:rFonts w:hint="eastAsia" w:ascii="宋体" w:hAnsi="宋体" w:eastAsia="宋体" w:cs="宋体"/>
                <w:i w:val="0"/>
                <w:iCs w:val="0"/>
                <w:color w:val="000000"/>
                <w:kern w:val="0"/>
                <w:sz w:val="24"/>
                <w:highlight w:val="none"/>
              </w:rPr>
              <w:t>中★号条款要求的；</w:t>
            </w:r>
          </w:p>
        </w:tc>
        <w:tc>
          <w:tcPr>
            <w:tcW w:w="1028" w:type="pct"/>
            <w:noWrap w:val="0"/>
            <w:vAlign w:val="center"/>
          </w:tcPr>
          <w:p w14:paraId="23BFC6F8">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lang w:val="en-US" w:eastAsia="zh-CN"/>
              </w:rPr>
              <w:t>否</w:t>
            </w:r>
          </w:p>
        </w:tc>
      </w:tr>
      <w:tr w14:paraId="677E4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noWrap w:val="0"/>
            <w:vAlign w:val="center"/>
          </w:tcPr>
          <w:p w14:paraId="72C2DAE0">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8</w:t>
            </w:r>
          </w:p>
        </w:tc>
        <w:tc>
          <w:tcPr>
            <w:tcW w:w="921" w:type="pct"/>
            <w:noWrap w:val="0"/>
            <w:vAlign w:val="center"/>
          </w:tcPr>
          <w:p w14:paraId="077DC0C5">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lang w:val="en-US" w:eastAsia="zh-CN"/>
              </w:rPr>
              <w:t>拟分包情况说明（如有）</w:t>
            </w:r>
          </w:p>
        </w:tc>
        <w:tc>
          <w:tcPr>
            <w:tcW w:w="2505" w:type="pct"/>
            <w:noWrap w:val="0"/>
            <w:vAlign w:val="center"/>
          </w:tcPr>
          <w:p w14:paraId="2C4CE5FF">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lang w:val="en-US" w:eastAsia="zh-CN"/>
              </w:rPr>
              <w:t>如本项目（包）非因“落实政府采购政策”亦允许分包，且供应商拟进行分包时，必须提供；否则无需提供；</w:t>
            </w:r>
          </w:p>
        </w:tc>
        <w:tc>
          <w:tcPr>
            <w:tcW w:w="1028" w:type="pct"/>
            <w:noWrap w:val="0"/>
            <w:vAlign w:val="center"/>
          </w:tcPr>
          <w:p w14:paraId="2C32B237">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lang w:val="en-US" w:eastAsia="zh-CN"/>
              </w:rPr>
              <w:t>否</w:t>
            </w:r>
          </w:p>
        </w:tc>
      </w:tr>
      <w:tr w14:paraId="6246D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noWrap w:val="0"/>
            <w:vAlign w:val="center"/>
          </w:tcPr>
          <w:p w14:paraId="4725D657">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9</w:t>
            </w:r>
          </w:p>
        </w:tc>
        <w:tc>
          <w:tcPr>
            <w:tcW w:w="921" w:type="pct"/>
            <w:noWrap w:val="0"/>
            <w:vAlign w:val="center"/>
          </w:tcPr>
          <w:p w14:paraId="03F83DB8">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分包</w:t>
            </w:r>
            <w:r>
              <w:rPr>
                <w:rFonts w:hint="eastAsia" w:ascii="宋体" w:hAnsi="宋体" w:eastAsia="宋体" w:cs="宋体"/>
                <w:i w:val="0"/>
                <w:iCs w:val="0"/>
                <w:color w:val="000000"/>
                <w:kern w:val="0"/>
                <w:sz w:val="24"/>
                <w:highlight w:val="none"/>
                <w:lang w:val="en-US" w:eastAsia="zh-CN"/>
              </w:rPr>
              <w:t>其他要求</w:t>
            </w:r>
            <w:r>
              <w:rPr>
                <w:rFonts w:hint="eastAsia" w:ascii="宋体" w:hAnsi="宋体" w:eastAsia="宋体" w:cs="宋体"/>
                <w:i w:val="0"/>
                <w:iCs w:val="0"/>
                <w:color w:val="000000"/>
                <w:kern w:val="0"/>
                <w:sz w:val="24"/>
                <w:highlight w:val="none"/>
              </w:rPr>
              <w:t>（如有）</w:t>
            </w:r>
          </w:p>
        </w:tc>
        <w:tc>
          <w:tcPr>
            <w:tcW w:w="2505" w:type="pct"/>
            <w:noWrap w:val="0"/>
            <w:vAlign w:val="center"/>
          </w:tcPr>
          <w:p w14:paraId="5040ED6A">
            <w:pPr>
              <w:pageBreakBefore w:val="0"/>
              <w:widowControl/>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分包履行的内容、金额或者比例未超出《</w:t>
            </w:r>
            <w:r>
              <w:rPr>
                <w:rFonts w:hint="eastAsia" w:ascii="宋体" w:hAnsi="宋体" w:cs="宋体"/>
                <w:i w:val="0"/>
                <w:iCs w:val="0"/>
                <w:sz w:val="24"/>
                <w:highlight w:val="none"/>
                <w:lang w:eastAsia="zh-CN"/>
              </w:rPr>
              <w:t>供应商</w:t>
            </w:r>
            <w:r>
              <w:rPr>
                <w:rFonts w:hint="eastAsia" w:ascii="宋体" w:hAnsi="宋体" w:eastAsia="宋体" w:cs="宋体"/>
                <w:i w:val="0"/>
                <w:iCs w:val="0"/>
                <w:sz w:val="24"/>
                <w:highlight w:val="none"/>
              </w:rPr>
              <w:t>须知资料表》中的规定；</w:t>
            </w:r>
          </w:p>
          <w:p w14:paraId="35675F21">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sz w:val="24"/>
                <w:highlight w:val="none"/>
              </w:rPr>
              <w:t>分包承担主体具备《</w:t>
            </w:r>
            <w:r>
              <w:rPr>
                <w:rFonts w:hint="eastAsia" w:ascii="宋体" w:hAnsi="宋体" w:cs="宋体"/>
                <w:i w:val="0"/>
                <w:iCs w:val="0"/>
                <w:sz w:val="24"/>
                <w:highlight w:val="none"/>
                <w:lang w:eastAsia="zh-CN"/>
              </w:rPr>
              <w:t>供应商</w:t>
            </w:r>
            <w:r>
              <w:rPr>
                <w:rFonts w:hint="eastAsia" w:ascii="宋体" w:hAnsi="宋体" w:eastAsia="宋体" w:cs="宋体"/>
                <w:i w:val="0"/>
                <w:iCs w:val="0"/>
                <w:sz w:val="24"/>
                <w:highlight w:val="none"/>
              </w:rPr>
              <w:t>须知资料表》载明的资质条件且</w:t>
            </w:r>
            <w:r>
              <w:rPr>
                <w:rFonts w:hint="eastAsia" w:ascii="宋体" w:hAnsi="宋体" w:eastAsia="宋体" w:cs="宋体"/>
                <w:i w:val="0"/>
                <w:iCs w:val="0"/>
                <w:sz w:val="24"/>
                <w:highlight w:val="none"/>
                <w:lang w:val="en-US" w:eastAsia="zh-CN"/>
              </w:rPr>
              <w:t>提</w:t>
            </w:r>
            <w:r>
              <w:rPr>
                <w:rFonts w:hint="eastAsia" w:ascii="宋体" w:hAnsi="宋体" w:eastAsia="宋体" w:cs="宋体"/>
                <w:i w:val="0"/>
                <w:iCs w:val="0"/>
                <w:sz w:val="24"/>
                <w:highlight w:val="none"/>
              </w:rPr>
              <w:t>供了资质证书电子件（如有）；</w:t>
            </w:r>
          </w:p>
        </w:tc>
        <w:tc>
          <w:tcPr>
            <w:tcW w:w="1028" w:type="pct"/>
            <w:noWrap w:val="0"/>
            <w:vAlign w:val="center"/>
          </w:tcPr>
          <w:p w14:paraId="55C8D557">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lang w:val="en-US" w:eastAsia="zh-CN"/>
              </w:rPr>
              <w:t>否</w:t>
            </w:r>
          </w:p>
        </w:tc>
      </w:tr>
      <w:tr w14:paraId="289EA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noWrap w:val="0"/>
            <w:vAlign w:val="center"/>
          </w:tcPr>
          <w:p w14:paraId="674645CF">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10</w:t>
            </w:r>
          </w:p>
        </w:tc>
        <w:tc>
          <w:tcPr>
            <w:tcW w:w="921" w:type="pct"/>
            <w:noWrap w:val="0"/>
            <w:vAlign w:val="center"/>
          </w:tcPr>
          <w:p w14:paraId="5E115E1E">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报价的修正（如有）</w:t>
            </w:r>
          </w:p>
        </w:tc>
        <w:tc>
          <w:tcPr>
            <w:tcW w:w="2505" w:type="pct"/>
            <w:noWrap w:val="0"/>
            <w:vAlign w:val="center"/>
          </w:tcPr>
          <w:p w14:paraId="0C12D79D">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不涉及报价修正，或</w:t>
            </w:r>
            <w:r>
              <w:rPr>
                <w:rFonts w:hint="eastAsia" w:ascii="宋体" w:hAnsi="宋体" w:eastAsia="宋体" w:cs="宋体"/>
                <w:i w:val="0"/>
                <w:iCs w:val="0"/>
                <w:color w:val="000000"/>
                <w:kern w:val="0"/>
                <w:sz w:val="24"/>
                <w:highlight w:val="none"/>
                <w:lang w:val="en-US" w:eastAsia="zh-CN"/>
              </w:rPr>
              <w:t>响应</w:t>
            </w:r>
            <w:r>
              <w:rPr>
                <w:rFonts w:hint="eastAsia" w:ascii="宋体" w:hAnsi="宋体" w:eastAsia="宋体" w:cs="宋体"/>
                <w:i w:val="0"/>
                <w:iCs w:val="0"/>
                <w:color w:val="000000"/>
                <w:kern w:val="0"/>
                <w:sz w:val="24"/>
                <w:highlight w:val="none"/>
              </w:rPr>
              <w:t>文件报价出现前后不一致时，</w:t>
            </w:r>
            <w:r>
              <w:rPr>
                <w:rFonts w:hint="eastAsia" w:ascii="宋体" w:hAnsi="宋体" w:cs="宋体"/>
                <w:i w:val="0"/>
                <w:iCs w:val="0"/>
                <w:color w:val="000000"/>
                <w:kern w:val="0"/>
                <w:sz w:val="24"/>
                <w:highlight w:val="none"/>
                <w:lang w:eastAsia="zh-CN"/>
              </w:rPr>
              <w:t>供应商</w:t>
            </w:r>
            <w:r>
              <w:rPr>
                <w:rFonts w:hint="eastAsia" w:ascii="宋体" w:hAnsi="宋体" w:eastAsia="宋体" w:cs="宋体"/>
                <w:i w:val="0"/>
                <w:iCs w:val="0"/>
                <w:color w:val="000000"/>
                <w:kern w:val="0"/>
                <w:sz w:val="24"/>
                <w:highlight w:val="none"/>
              </w:rPr>
              <w:t>对修正后的报价予以确认；（如有）</w:t>
            </w:r>
          </w:p>
        </w:tc>
        <w:tc>
          <w:tcPr>
            <w:tcW w:w="1028" w:type="pct"/>
            <w:noWrap w:val="0"/>
            <w:vAlign w:val="center"/>
          </w:tcPr>
          <w:p w14:paraId="5474DFC1">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lang w:val="en-US" w:eastAsia="zh-CN"/>
              </w:rPr>
            </w:pPr>
            <w:r>
              <w:rPr>
                <w:rFonts w:hint="eastAsia" w:ascii="宋体" w:hAnsi="宋体" w:eastAsia="宋体" w:cs="宋体"/>
                <w:i w:val="0"/>
                <w:iCs w:val="0"/>
                <w:color w:val="000000"/>
                <w:kern w:val="0"/>
                <w:sz w:val="24"/>
                <w:highlight w:val="none"/>
                <w:lang w:val="en-US" w:eastAsia="zh-CN"/>
              </w:rPr>
              <w:t>是</w:t>
            </w:r>
          </w:p>
        </w:tc>
      </w:tr>
      <w:tr w14:paraId="52EB1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noWrap w:val="0"/>
            <w:vAlign w:val="center"/>
          </w:tcPr>
          <w:p w14:paraId="23B35566">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lang w:eastAsia="zh-CN"/>
              </w:rPr>
            </w:pPr>
            <w:r>
              <w:rPr>
                <w:rFonts w:hint="eastAsia" w:ascii="宋体" w:hAnsi="宋体" w:eastAsia="宋体" w:cs="宋体"/>
                <w:i w:val="0"/>
                <w:iCs w:val="0"/>
                <w:color w:val="000000"/>
                <w:kern w:val="0"/>
                <w:sz w:val="24"/>
                <w:highlight w:val="none"/>
              </w:rPr>
              <w:t>1</w:t>
            </w:r>
            <w:r>
              <w:rPr>
                <w:rFonts w:hint="eastAsia" w:ascii="宋体" w:hAnsi="宋体" w:cs="宋体"/>
                <w:i w:val="0"/>
                <w:iCs w:val="0"/>
                <w:color w:val="000000"/>
                <w:kern w:val="0"/>
                <w:sz w:val="24"/>
                <w:highlight w:val="none"/>
                <w:lang w:val="en-US" w:eastAsia="zh-CN"/>
              </w:rPr>
              <w:t>1</w:t>
            </w:r>
          </w:p>
        </w:tc>
        <w:tc>
          <w:tcPr>
            <w:tcW w:w="921" w:type="pct"/>
            <w:noWrap w:val="0"/>
            <w:vAlign w:val="center"/>
          </w:tcPr>
          <w:p w14:paraId="0C403C02">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进口产品</w:t>
            </w:r>
          </w:p>
          <w:p w14:paraId="6E670BBC">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（如有）</w:t>
            </w:r>
          </w:p>
        </w:tc>
        <w:tc>
          <w:tcPr>
            <w:tcW w:w="2505" w:type="pct"/>
            <w:noWrap w:val="0"/>
            <w:vAlign w:val="center"/>
          </w:tcPr>
          <w:p w14:paraId="69C66310">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sz w:val="24"/>
                <w:highlight w:val="none"/>
                <w:lang w:val="en-US" w:eastAsia="zh-CN"/>
              </w:rPr>
              <w:t>磋商</w:t>
            </w:r>
            <w:r>
              <w:rPr>
                <w:rFonts w:hint="eastAsia" w:ascii="宋体" w:hAnsi="宋体" w:eastAsia="宋体" w:cs="宋体"/>
                <w:i w:val="0"/>
                <w:iCs w:val="0"/>
                <w:sz w:val="24"/>
                <w:highlight w:val="none"/>
              </w:rPr>
              <w:t>文件不接受进口产品</w:t>
            </w:r>
            <w:r>
              <w:rPr>
                <w:rFonts w:hint="eastAsia" w:ascii="宋体" w:hAnsi="宋体" w:cs="宋体"/>
                <w:i w:val="0"/>
                <w:iCs w:val="0"/>
                <w:sz w:val="24"/>
                <w:highlight w:val="none"/>
                <w:lang w:eastAsia="zh-CN"/>
              </w:rPr>
              <w:t>响应的内容时</w:t>
            </w:r>
            <w:r>
              <w:rPr>
                <w:rFonts w:hint="eastAsia" w:ascii="宋体" w:hAnsi="宋体" w:eastAsia="宋体" w:cs="宋体"/>
                <w:i w:val="0"/>
                <w:iCs w:val="0"/>
                <w:sz w:val="24"/>
                <w:highlight w:val="none"/>
              </w:rPr>
              <w:t>，</w:t>
            </w:r>
            <w:r>
              <w:rPr>
                <w:rFonts w:hint="eastAsia" w:ascii="宋体" w:hAnsi="宋体" w:cs="宋体"/>
                <w:i w:val="0"/>
                <w:iCs w:val="0"/>
                <w:sz w:val="24"/>
                <w:highlight w:val="none"/>
                <w:lang w:eastAsia="zh-CN"/>
              </w:rPr>
              <w:t>供应商</w:t>
            </w:r>
            <w:r>
              <w:rPr>
                <w:rFonts w:hint="eastAsia" w:ascii="宋体" w:hAnsi="宋体" w:eastAsia="宋体" w:cs="宋体"/>
                <w:i w:val="0"/>
                <w:iCs w:val="0"/>
                <w:sz w:val="24"/>
                <w:highlight w:val="none"/>
              </w:rPr>
              <w:t>所投产品非进口产品的；</w:t>
            </w:r>
          </w:p>
        </w:tc>
        <w:tc>
          <w:tcPr>
            <w:tcW w:w="1028" w:type="pct"/>
            <w:noWrap w:val="0"/>
            <w:vAlign w:val="center"/>
          </w:tcPr>
          <w:p w14:paraId="3392B6A0">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lang w:val="en-US" w:eastAsia="zh-CN"/>
              </w:rPr>
              <w:t>否</w:t>
            </w:r>
          </w:p>
        </w:tc>
      </w:tr>
      <w:tr w14:paraId="6C776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noWrap w:val="0"/>
            <w:vAlign w:val="center"/>
          </w:tcPr>
          <w:p w14:paraId="77743EC0">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lang w:eastAsia="zh-CN"/>
              </w:rPr>
            </w:pPr>
            <w:r>
              <w:rPr>
                <w:rFonts w:hint="eastAsia" w:ascii="宋体" w:hAnsi="宋体" w:eastAsia="宋体" w:cs="宋体"/>
                <w:i w:val="0"/>
                <w:iCs w:val="0"/>
                <w:color w:val="000000"/>
                <w:kern w:val="0"/>
                <w:sz w:val="24"/>
                <w:highlight w:val="none"/>
              </w:rPr>
              <w:t>1</w:t>
            </w:r>
            <w:r>
              <w:rPr>
                <w:rFonts w:hint="eastAsia" w:ascii="宋体" w:hAnsi="宋体" w:cs="宋体"/>
                <w:i w:val="0"/>
                <w:iCs w:val="0"/>
                <w:color w:val="000000"/>
                <w:kern w:val="0"/>
                <w:sz w:val="24"/>
                <w:highlight w:val="none"/>
                <w:lang w:val="en-US" w:eastAsia="zh-CN"/>
              </w:rPr>
              <w:t>2</w:t>
            </w:r>
          </w:p>
        </w:tc>
        <w:tc>
          <w:tcPr>
            <w:tcW w:w="921" w:type="pct"/>
            <w:noWrap w:val="0"/>
            <w:vAlign w:val="center"/>
          </w:tcPr>
          <w:p w14:paraId="78F64C84">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国家有关部门对</w:t>
            </w:r>
            <w:r>
              <w:rPr>
                <w:rFonts w:hint="eastAsia" w:ascii="宋体" w:hAnsi="宋体" w:cs="宋体"/>
                <w:i w:val="0"/>
                <w:iCs w:val="0"/>
                <w:color w:val="000000"/>
                <w:kern w:val="0"/>
                <w:sz w:val="24"/>
                <w:highlight w:val="none"/>
                <w:lang w:eastAsia="zh-CN"/>
              </w:rPr>
              <w:t>供应商</w:t>
            </w:r>
            <w:r>
              <w:rPr>
                <w:rFonts w:hint="eastAsia" w:ascii="宋体" w:hAnsi="宋体" w:eastAsia="宋体" w:cs="宋体"/>
                <w:i w:val="0"/>
                <w:iCs w:val="0"/>
                <w:color w:val="000000"/>
                <w:kern w:val="0"/>
                <w:sz w:val="24"/>
                <w:highlight w:val="none"/>
              </w:rPr>
              <w:t>的</w:t>
            </w:r>
            <w:r>
              <w:rPr>
                <w:rFonts w:hint="eastAsia" w:ascii="宋体" w:hAnsi="宋体" w:cs="宋体"/>
                <w:i w:val="0"/>
                <w:iCs w:val="0"/>
                <w:color w:val="000000"/>
                <w:kern w:val="0"/>
                <w:sz w:val="24"/>
                <w:highlight w:val="none"/>
                <w:lang w:eastAsia="zh-CN"/>
              </w:rPr>
              <w:t>响应产品</w:t>
            </w:r>
            <w:r>
              <w:rPr>
                <w:rFonts w:hint="eastAsia" w:ascii="宋体" w:hAnsi="宋体" w:eastAsia="宋体" w:cs="宋体"/>
                <w:i w:val="0"/>
                <w:iCs w:val="0"/>
                <w:color w:val="000000"/>
                <w:kern w:val="0"/>
                <w:sz w:val="24"/>
                <w:highlight w:val="none"/>
              </w:rPr>
              <w:t>有强制性规定或要求的</w:t>
            </w:r>
          </w:p>
        </w:tc>
        <w:tc>
          <w:tcPr>
            <w:tcW w:w="2505" w:type="pct"/>
            <w:noWrap w:val="0"/>
            <w:vAlign w:val="center"/>
          </w:tcPr>
          <w:p w14:paraId="27DEC684">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国家有关部门对</w:t>
            </w:r>
            <w:r>
              <w:rPr>
                <w:rFonts w:hint="eastAsia" w:ascii="宋体" w:hAnsi="宋体" w:cs="宋体"/>
                <w:i w:val="0"/>
                <w:iCs w:val="0"/>
                <w:color w:val="000000"/>
                <w:kern w:val="0"/>
                <w:sz w:val="24"/>
                <w:highlight w:val="none"/>
                <w:lang w:eastAsia="zh-CN"/>
              </w:rPr>
              <w:t>供应商</w:t>
            </w:r>
            <w:r>
              <w:rPr>
                <w:rFonts w:hint="eastAsia" w:ascii="宋体" w:hAnsi="宋体" w:eastAsia="宋体" w:cs="宋体"/>
                <w:i w:val="0"/>
                <w:iCs w:val="0"/>
                <w:color w:val="000000"/>
                <w:kern w:val="0"/>
                <w:sz w:val="24"/>
                <w:highlight w:val="none"/>
              </w:rPr>
              <w:t>的</w:t>
            </w:r>
            <w:r>
              <w:rPr>
                <w:rFonts w:hint="eastAsia" w:ascii="宋体" w:hAnsi="宋体" w:cs="宋体"/>
                <w:i w:val="0"/>
                <w:iCs w:val="0"/>
                <w:color w:val="000000"/>
                <w:kern w:val="0"/>
                <w:sz w:val="24"/>
                <w:highlight w:val="none"/>
                <w:lang w:eastAsia="zh-CN"/>
              </w:rPr>
              <w:t>响应产品</w:t>
            </w:r>
            <w:r>
              <w:rPr>
                <w:rFonts w:hint="eastAsia" w:ascii="宋体" w:hAnsi="宋体" w:eastAsia="宋体" w:cs="宋体"/>
                <w:i w:val="0"/>
                <w:iCs w:val="0"/>
                <w:color w:val="000000"/>
                <w:kern w:val="0"/>
                <w:sz w:val="24"/>
                <w:highlight w:val="none"/>
              </w:rPr>
              <w:t>有强制性规定或要求的（如相应技术、安全、节能和环保等），</w:t>
            </w:r>
            <w:r>
              <w:rPr>
                <w:rFonts w:hint="eastAsia" w:ascii="宋体" w:hAnsi="宋体" w:cs="宋体"/>
                <w:i w:val="0"/>
                <w:iCs w:val="0"/>
                <w:color w:val="000000"/>
                <w:kern w:val="0"/>
                <w:sz w:val="24"/>
                <w:highlight w:val="none"/>
                <w:lang w:eastAsia="zh-CN"/>
              </w:rPr>
              <w:t>供应商</w:t>
            </w:r>
            <w:r>
              <w:rPr>
                <w:rFonts w:hint="eastAsia" w:ascii="宋体" w:hAnsi="宋体" w:eastAsia="宋体" w:cs="宋体"/>
                <w:i w:val="0"/>
                <w:iCs w:val="0"/>
                <w:color w:val="000000"/>
                <w:kern w:val="0"/>
                <w:sz w:val="24"/>
                <w:highlight w:val="none"/>
              </w:rPr>
              <w:t>的</w:t>
            </w:r>
            <w:r>
              <w:rPr>
                <w:rFonts w:hint="eastAsia" w:ascii="宋体" w:hAnsi="宋体" w:cs="宋体"/>
                <w:i w:val="0"/>
                <w:iCs w:val="0"/>
                <w:color w:val="000000"/>
                <w:kern w:val="0"/>
                <w:sz w:val="24"/>
                <w:highlight w:val="none"/>
                <w:lang w:eastAsia="zh-CN"/>
              </w:rPr>
              <w:t>响应产品</w:t>
            </w:r>
            <w:r>
              <w:rPr>
                <w:rFonts w:hint="eastAsia" w:ascii="宋体" w:hAnsi="宋体" w:eastAsia="宋体" w:cs="宋体"/>
                <w:i w:val="0"/>
                <w:iCs w:val="0"/>
                <w:color w:val="000000"/>
                <w:kern w:val="0"/>
                <w:sz w:val="24"/>
                <w:highlight w:val="none"/>
              </w:rPr>
              <w:t>应符合相应规定或要求，并提供证明文件电子件：</w:t>
            </w:r>
          </w:p>
          <w:p w14:paraId="185C9655">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1）采购的产品若属于《节能产品政府采购品目清单》范围中政府强制采购产品，则</w:t>
            </w:r>
            <w:r>
              <w:rPr>
                <w:rFonts w:hint="eastAsia" w:ascii="宋体" w:hAnsi="宋体" w:cs="宋体"/>
                <w:i w:val="0"/>
                <w:iCs w:val="0"/>
                <w:color w:val="000000"/>
                <w:kern w:val="0"/>
                <w:sz w:val="24"/>
                <w:highlight w:val="none"/>
                <w:lang w:eastAsia="zh-CN"/>
              </w:rPr>
              <w:t>供应商</w:t>
            </w:r>
            <w:r>
              <w:rPr>
                <w:rFonts w:hint="eastAsia" w:ascii="宋体" w:hAnsi="宋体" w:eastAsia="宋体" w:cs="宋体"/>
                <w:i w:val="0"/>
                <w:iCs w:val="0"/>
                <w:color w:val="000000"/>
                <w:kern w:val="0"/>
                <w:sz w:val="24"/>
                <w:highlight w:val="none"/>
              </w:rPr>
              <w:t>所报产品必须获得国家确定的认证机构出具的、处于有效期之内的节能产品认证证书；</w:t>
            </w:r>
          </w:p>
          <w:p w14:paraId="05C303F5">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2）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公安部颁发的计算机信息系统安全专用产品销售许可证，且在有效期内，亦视为符合要求）</w:t>
            </w:r>
          </w:p>
          <w:p w14:paraId="2A2DE3AF">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3）项目中涉及涂料、胶黏剂、油墨、清洗剂等挥发性有机物产品，且属于强制性标准的，供应商应执行符合本市和国家的VOCs含量限制标准</w:t>
            </w:r>
            <w:r>
              <w:rPr>
                <w:rFonts w:hint="eastAsia" w:ascii="宋体" w:hAnsi="宋体" w:eastAsia="宋体" w:cs="宋体"/>
                <w:i w:val="0"/>
                <w:iCs w:val="0"/>
                <w:sz w:val="24"/>
                <w:highlight w:val="none"/>
              </w:rPr>
              <w:t>。</w:t>
            </w:r>
          </w:p>
        </w:tc>
        <w:tc>
          <w:tcPr>
            <w:tcW w:w="1028" w:type="pct"/>
            <w:noWrap w:val="0"/>
            <w:vAlign w:val="center"/>
          </w:tcPr>
          <w:p w14:paraId="5323C0AB">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lang w:val="en-US" w:eastAsia="zh-CN"/>
              </w:rPr>
              <w:t>否</w:t>
            </w:r>
          </w:p>
        </w:tc>
      </w:tr>
      <w:tr w14:paraId="236A5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noWrap w:val="0"/>
            <w:vAlign w:val="center"/>
          </w:tcPr>
          <w:p w14:paraId="1AC45370">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lang w:eastAsia="zh-CN"/>
              </w:rPr>
            </w:pPr>
            <w:r>
              <w:rPr>
                <w:rFonts w:hint="eastAsia" w:ascii="宋体" w:hAnsi="宋体" w:eastAsia="宋体" w:cs="宋体"/>
                <w:i w:val="0"/>
                <w:iCs w:val="0"/>
                <w:color w:val="000000"/>
                <w:kern w:val="0"/>
                <w:sz w:val="24"/>
                <w:highlight w:val="none"/>
              </w:rPr>
              <w:t>1</w:t>
            </w:r>
            <w:r>
              <w:rPr>
                <w:rFonts w:hint="eastAsia" w:ascii="宋体" w:hAnsi="宋体" w:cs="宋体"/>
                <w:i w:val="0"/>
                <w:iCs w:val="0"/>
                <w:color w:val="000000"/>
                <w:kern w:val="0"/>
                <w:sz w:val="24"/>
                <w:highlight w:val="none"/>
                <w:lang w:val="en-US" w:eastAsia="zh-CN"/>
              </w:rPr>
              <w:t>3</w:t>
            </w:r>
          </w:p>
        </w:tc>
        <w:tc>
          <w:tcPr>
            <w:tcW w:w="921" w:type="pct"/>
            <w:noWrap w:val="0"/>
            <w:vAlign w:val="center"/>
          </w:tcPr>
          <w:p w14:paraId="1CFBD45D">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公平竞争</w:t>
            </w:r>
          </w:p>
        </w:tc>
        <w:tc>
          <w:tcPr>
            <w:tcW w:w="2505" w:type="pct"/>
            <w:noWrap w:val="0"/>
            <w:vAlign w:val="center"/>
          </w:tcPr>
          <w:p w14:paraId="2AFE1183">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cs="宋体"/>
                <w:i w:val="0"/>
                <w:iCs w:val="0"/>
                <w:color w:val="000000"/>
                <w:sz w:val="24"/>
                <w:highlight w:val="none"/>
                <w:lang w:eastAsia="zh-CN"/>
              </w:rPr>
              <w:t>供应商</w:t>
            </w:r>
            <w:r>
              <w:rPr>
                <w:rFonts w:hint="eastAsia" w:ascii="宋体" w:hAnsi="宋体" w:eastAsia="宋体" w:cs="宋体"/>
                <w:i w:val="0"/>
                <w:iCs w:val="0"/>
                <w:color w:val="000000"/>
                <w:sz w:val="24"/>
                <w:highlight w:val="none"/>
              </w:rPr>
              <w:t>遵循公平竞争的原则，不存在恶意串通，妨碍其他</w:t>
            </w:r>
            <w:r>
              <w:rPr>
                <w:rFonts w:hint="eastAsia" w:ascii="宋体" w:hAnsi="宋体" w:cs="宋体"/>
                <w:i w:val="0"/>
                <w:iCs w:val="0"/>
                <w:color w:val="000000"/>
                <w:sz w:val="24"/>
                <w:highlight w:val="none"/>
                <w:lang w:eastAsia="zh-CN"/>
              </w:rPr>
              <w:t>供应商</w:t>
            </w:r>
            <w:r>
              <w:rPr>
                <w:rFonts w:hint="eastAsia" w:ascii="宋体" w:hAnsi="宋体" w:eastAsia="宋体" w:cs="宋体"/>
                <w:i w:val="0"/>
                <w:iCs w:val="0"/>
                <w:color w:val="000000"/>
                <w:sz w:val="24"/>
                <w:highlight w:val="none"/>
              </w:rPr>
              <w:t>的竞争行为，不存在损害采购人或者其他</w:t>
            </w:r>
            <w:r>
              <w:rPr>
                <w:rFonts w:hint="eastAsia" w:ascii="宋体" w:hAnsi="宋体" w:cs="宋体"/>
                <w:i w:val="0"/>
                <w:iCs w:val="0"/>
                <w:color w:val="000000"/>
                <w:sz w:val="24"/>
                <w:highlight w:val="none"/>
                <w:lang w:eastAsia="zh-CN"/>
              </w:rPr>
              <w:t>供应商</w:t>
            </w:r>
            <w:r>
              <w:rPr>
                <w:rFonts w:hint="eastAsia" w:ascii="宋体" w:hAnsi="宋体" w:eastAsia="宋体" w:cs="宋体"/>
                <w:i w:val="0"/>
                <w:iCs w:val="0"/>
                <w:color w:val="000000"/>
                <w:sz w:val="24"/>
                <w:highlight w:val="none"/>
              </w:rPr>
              <w:t>的合法权益情形的；</w:t>
            </w:r>
          </w:p>
        </w:tc>
        <w:tc>
          <w:tcPr>
            <w:tcW w:w="1028" w:type="pct"/>
            <w:noWrap w:val="0"/>
            <w:vAlign w:val="center"/>
          </w:tcPr>
          <w:p w14:paraId="176CE4FF">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lang w:val="en-US" w:eastAsia="zh-CN"/>
              </w:rPr>
              <w:t>否</w:t>
            </w:r>
          </w:p>
        </w:tc>
      </w:tr>
      <w:tr w14:paraId="3E7CB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noWrap w:val="0"/>
            <w:vAlign w:val="center"/>
          </w:tcPr>
          <w:p w14:paraId="5100AD6D">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lang w:val="en-US" w:eastAsia="zh-CN"/>
              </w:rPr>
            </w:pPr>
            <w:r>
              <w:rPr>
                <w:rFonts w:hint="eastAsia" w:ascii="宋体" w:hAnsi="宋体" w:eastAsia="宋体" w:cs="宋体"/>
                <w:i w:val="0"/>
                <w:iCs w:val="0"/>
                <w:color w:val="000000"/>
                <w:kern w:val="0"/>
                <w:sz w:val="24"/>
                <w:highlight w:val="none"/>
              </w:rPr>
              <w:t>1</w:t>
            </w:r>
            <w:r>
              <w:rPr>
                <w:rFonts w:hint="eastAsia" w:ascii="宋体" w:hAnsi="宋体" w:cs="宋体"/>
                <w:i w:val="0"/>
                <w:iCs w:val="0"/>
                <w:color w:val="000000"/>
                <w:kern w:val="0"/>
                <w:sz w:val="24"/>
                <w:highlight w:val="none"/>
                <w:lang w:val="en-US" w:eastAsia="zh-CN"/>
              </w:rPr>
              <w:t>4</w:t>
            </w:r>
          </w:p>
        </w:tc>
        <w:tc>
          <w:tcPr>
            <w:tcW w:w="921" w:type="pct"/>
            <w:noWrap w:val="0"/>
            <w:vAlign w:val="center"/>
          </w:tcPr>
          <w:p w14:paraId="1203CA50">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串通投标</w:t>
            </w:r>
          </w:p>
        </w:tc>
        <w:tc>
          <w:tcPr>
            <w:tcW w:w="2505" w:type="pct"/>
            <w:noWrap w:val="0"/>
            <w:vAlign w:val="center"/>
          </w:tcPr>
          <w:p w14:paraId="3A7B6A1A">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sz w:val="24"/>
                <w:highlight w:val="none"/>
              </w:rPr>
              <w:t>不存在《政府采购货物和服务招标投标管理办法》视为</w:t>
            </w:r>
            <w:r>
              <w:rPr>
                <w:rFonts w:hint="eastAsia" w:ascii="宋体" w:hAnsi="宋体" w:cs="宋体"/>
                <w:i w:val="0"/>
                <w:iCs w:val="0"/>
                <w:color w:val="000000"/>
                <w:sz w:val="24"/>
                <w:highlight w:val="none"/>
                <w:lang w:eastAsia="zh-CN"/>
              </w:rPr>
              <w:t>供应商</w:t>
            </w:r>
            <w:r>
              <w:rPr>
                <w:rFonts w:hint="eastAsia" w:ascii="宋体" w:hAnsi="宋体" w:eastAsia="宋体" w:cs="宋体"/>
                <w:i w:val="0"/>
                <w:iCs w:val="0"/>
                <w:color w:val="000000"/>
                <w:sz w:val="24"/>
                <w:highlight w:val="none"/>
              </w:rPr>
              <w:t>串通投标的情形：（一）不同</w:t>
            </w:r>
            <w:r>
              <w:rPr>
                <w:rFonts w:hint="eastAsia" w:ascii="宋体" w:hAnsi="宋体" w:cs="宋体"/>
                <w:i w:val="0"/>
                <w:iCs w:val="0"/>
                <w:color w:val="000000"/>
                <w:sz w:val="24"/>
                <w:highlight w:val="none"/>
                <w:lang w:eastAsia="zh-CN"/>
              </w:rPr>
              <w:t>供应商</w:t>
            </w:r>
            <w:r>
              <w:rPr>
                <w:rFonts w:hint="eastAsia" w:ascii="宋体" w:hAnsi="宋体" w:eastAsia="宋体" w:cs="宋体"/>
                <w:i w:val="0"/>
                <w:iCs w:val="0"/>
                <w:color w:val="000000"/>
                <w:sz w:val="24"/>
                <w:highlight w:val="none"/>
              </w:rPr>
              <w:t>的投标文件由同一单位或者个人编制；（二）不同</w:t>
            </w:r>
            <w:r>
              <w:rPr>
                <w:rFonts w:hint="eastAsia" w:ascii="宋体" w:hAnsi="宋体" w:cs="宋体"/>
                <w:i w:val="0"/>
                <w:iCs w:val="0"/>
                <w:color w:val="000000"/>
                <w:sz w:val="24"/>
                <w:highlight w:val="none"/>
                <w:lang w:eastAsia="zh-CN"/>
              </w:rPr>
              <w:t>供应商</w:t>
            </w:r>
            <w:r>
              <w:rPr>
                <w:rFonts w:hint="eastAsia" w:ascii="宋体" w:hAnsi="宋体" w:eastAsia="宋体" w:cs="宋体"/>
                <w:i w:val="0"/>
                <w:iCs w:val="0"/>
                <w:color w:val="000000"/>
                <w:sz w:val="24"/>
                <w:highlight w:val="none"/>
              </w:rPr>
              <w:t>委托同一单位或者个人办理投标事宜；（三）不同</w:t>
            </w:r>
            <w:r>
              <w:rPr>
                <w:rFonts w:hint="eastAsia" w:ascii="宋体" w:hAnsi="宋体" w:cs="宋体"/>
                <w:i w:val="0"/>
                <w:iCs w:val="0"/>
                <w:color w:val="000000"/>
                <w:sz w:val="24"/>
                <w:highlight w:val="none"/>
                <w:lang w:eastAsia="zh-CN"/>
              </w:rPr>
              <w:t>供应商</w:t>
            </w:r>
            <w:r>
              <w:rPr>
                <w:rFonts w:hint="eastAsia" w:ascii="宋体" w:hAnsi="宋体" w:eastAsia="宋体" w:cs="宋体"/>
                <w:i w:val="0"/>
                <w:iCs w:val="0"/>
                <w:color w:val="000000"/>
                <w:sz w:val="24"/>
                <w:highlight w:val="none"/>
              </w:rPr>
              <w:t>的投标文件载明的项目管理成员或者联系人员为同一人；（四）不同</w:t>
            </w:r>
            <w:r>
              <w:rPr>
                <w:rFonts w:hint="eastAsia" w:ascii="宋体" w:hAnsi="宋体" w:cs="宋体"/>
                <w:i w:val="0"/>
                <w:iCs w:val="0"/>
                <w:color w:val="000000"/>
                <w:sz w:val="24"/>
                <w:highlight w:val="none"/>
                <w:lang w:eastAsia="zh-CN"/>
              </w:rPr>
              <w:t>供应商</w:t>
            </w:r>
            <w:r>
              <w:rPr>
                <w:rFonts w:hint="eastAsia" w:ascii="宋体" w:hAnsi="宋体" w:eastAsia="宋体" w:cs="宋体"/>
                <w:i w:val="0"/>
                <w:iCs w:val="0"/>
                <w:color w:val="000000"/>
                <w:sz w:val="24"/>
                <w:highlight w:val="none"/>
              </w:rPr>
              <w:t>的投标文件异常一致或者</w:t>
            </w:r>
            <w:r>
              <w:rPr>
                <w:rFonts w:hint="eastAsia" w:ascii="宋体" w:hAnsi="宋体" w:cs="宋体"/>
                <w:i w:val="0"/>
                <w:iCs w:val="0"/>
                <w:color w:val="000000"/>
                <w:sz w:val="24"/>
                <w:highlight w:val="none"/>
                <w:lang w:eastAsia="zh-CN"/>
              </w:rPr>
              <w:t>响应报价</w:t>
            </w:r>
            <w:r>
              <w:rPr>
                <w:rFonts w:hint="eastAsia" w:ascii="宋体" w:hAnsi="宋体" w:eastAsia="宋体" w:cs="宋体"/>
                <w:i w:val="0"/>
                <w:iCs w:val="0"/>
                <w:color w:val="000000"/>
                <w:sz w:val="24"/>
                <w:highlight w:val="none"/>
              </w:rPr>
              <w:t>呈规律性差异；（五）不同</w:t>
            </w:r>
            <w:r>
              <w:rPr>
                <w:rFonts w:hint="eastAsia" w:ascii="宋体" w:hAnsi="宋体" w:cs="宋体"/>
                <w:i w:val="0"/>
                <w:iCs w:val="0"/>
                <w:color w:val="000000"/>
                <w:sz w:val="24"/>
                <w:highlight w:val="none"/>
                <w:lang w:eastAsia="zh-CN"/>
              </w:rPr>
              <w:t>供应商</w:t>
            </w:r>
            <w:r>
              <w:rPr>
                <w:rFonts w:hint="eastAsia" w:ascii="宋体" w:hAnsi="宋体" w:eastAsia="宋体" w:cs="宋体"/>
                <w:i w:val="0"/>
                <w:iCs w:val="0"/>
                <w:color w:val="000000"/>
                <w:sz w:val="24"/>
                <w:highlight w:val="none"/>
              </w:rPr>
              <w:t>的投标文件相互混装；（六）不同</w:t>
            </w:r>
            <w:r>
              <w:rPr>
                <w:rFonts w:hint="eastAsia" w:ascii="宋体" w:hAnsi="宋体" w:cs="宋体"/>
                <w:i w:val="0"/>
                <w:iCs w:val="0"/>
                <w:color w:val="000000"/>
                <w:sz w:val="24"/>
                <w:highlight w:val="none"/>
                <w:lang w:eastAsia="zh-CN"/>
              </w:rPr>
              <w:t>供应商</w:t>
            </w:r>
            <w:r>
              <w:rPr>
                <w:rFonts w:hint="eastAsia" w:ascii="宋体" w:hAnsi="宋体" w:eastAsia="宋体" w:cs="宋体"/>
                <w:i w:val="0"/>
                <w:iCs w:val="0"/>
                <w:color w:val="000000"/>
                <w:sz w:val="24"/>
                <w:highlight w:val="none"/>
              </w:rPr>
              <w:t>的投标保证金从同一单位或者个人的账户转出；</w:t>
            </w:r>
          </w:p>
        </w:tc>
        <w:tc>
          <w:tcPr>
            <w:tcW w:w="1028" w:type="pct"/>
            <w:noWrap w:val="0"/>
            <w:vAlign w:val="center"/>
          </w:tcPr>
          <w:p w14:paraId="5A65758F">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lang w:val="en-US" w:eastAsia="zh-CN"/>
              </w:rPr>
              <w:t>否</w:t>
            </w:r>
          </w:p>
        </w:tc>
      </w:tr>
      <w:tr w14:paraId="1EE81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noWrap w:val="0"/>
            <w:vAlign w:val="center"/>
          </w:tcPr>
          <w:p w14:paraId="3DCF29DE">
            <w:pPr>
              <w:pageBreakBefore w:val="0"/>
              <w:widowControl/>
              <w:wordWrap w:val="0"/>
              <w:topLinePunct w:val="0"/>
              <w:bidi w:val="0"/>
              <w:spacing w:after="0" w:line="360" w:lineRule="auto"/>
              <w:jc w:val="center"/>
              <w:textAlignment w:val="auto"/>
              <w:rPr>
                <w:rFonts w:hint="default" w:ascii="宋体" w:hAnsi="宋体" w:eastAsia="宋体" w:cs="宋体"/>
                <w:i w:val="0"/>
                <w:iCs w:val="0"/>
                <w:color w:val="000000"/>
                <w:kern w:val="0"/>
                <w:sz w:val="24"/>
                <w:highlight w:val="none"/>
                <w:lang w:val="en-US" w:eastAsia="zh-CN"/>
              </w:rPr>
            </w:pPr>
            <w:r>
              <w:rPr>
                <w:rFonts w:hint="eastAsia" w:ascii="宋体" w:hAnsi="宋体" w:eastAsia="宋体" w:cs="宋体"/>
                <w:i w:val="0"/>
                <w:iCs w:val="0"/>
                <w:color w:val="000000"/>
                <w:kern w:val="0"/>
                <w:sz w:val="24"/>
                <w:highlight w:val="none"/>
                <w:lang w:val="en-US" w:eastAsia="zh-CN"/>
              </w:rPr>
              <w:t>1</w:t>
            </w:r>
            <w:r>
              <w:rPr>
                <w:rFonts w:hint="eastAsia" w:ascii="宋体" w:hAnsi="宋体" w:cs="宋体"/>
                <w:i w:val="0"/>
                <w:iCs w:val="0"/>
                <w:color w:val="000000"/>
                <w:kern w:val="0"/>
                <w:sz w:val="24"/>
                <w:highlight w:val="none"/>
                <w:lang w:val="en-US" w:eastAsia="zh-CN"/>
              </w:rPr>
              <w:t>5</w:t>
            </w:r>
          </w:p>
        </w:tc>
        <w:tc>
          <w:tcPr>
            <w:tcW w:w="921" w:type="pct"/>
            <w:noWrap w:val="0"/>
            <w:vAlign w:val="center"/>
          </w:tcPr>
          <w:p w14:paraId="7E19A01E">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附加条件</w:t>
            </w:r>
          </w:p>
        </w:tc>
        <w:tc>
          <w:tcPr>
            <w:tcW w:w="2505" w:type="pct"/>
            <w:noWrap w:val="0"/>
            <w:vAlign w:val="center"/>
          </w:tcPr>
          <w:p w14:paraId="6A2EFEBA">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sz w:val="24"/>
                <w:highlight w:val="none"/>
                <w:lang w:val="en-US" w:eastAsia="zh-CN"/>
              </w:rPr>
              <w:t>响应</w:t>
            </w:r>
            <w:r>
              <w:rPr>
                <w:rFonts w:hint="eastAsia" w:ascii="宋体" w:hAnsi="宋体" w:eastAsia="宋体" w:cs="宋体"/>
                <w:i w:val="0"/>
                <w:iCs w:val="0"/>
                <w:color w:val="000000"/>
                <w:kern w:val="0"/>
                <w:sz w:val="24"/>
                <w:highlight w:val="none"/>
              </w:rPr>
              <w:t>文件未含有采购人不能接受的附加条件的；</w:t>
            </w:r>
          </w:p>
        </w:tc>
        <w:tc>
          <w:tcPr>
            <w:tcW w:w="1028" w:type="pct"/>
            <w:noWrap w:val="0"/>
            <w:vAlign w:val="center"/>
          </w:tcPr>
          <w:p w14:paraId="3F11368C">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lang w:val="en-US" w:eastAsia="zh-CN"/>
              </w:rPr>
              <w:t>否</w:t>
            </w:r>
          </w:p>
        </w:tc>
      </w:tr>
      <w:tr w14:paraId="168B1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noWrap w:val="0"/>
            <w:vAlign w:val="center"/>
          </w:tcPr>
          <w:p w14:paraId="3064E8F0">
            <w:pPr>
              <w:pageBreakBefore w:val="0"/>
              <w:widowControl/>
              <w:wordWrap w:val="0"/>
              <w:topLinePunct w:val="0"/>
              <w:bidi w:val="0"/>
              <w:spacing w:after="0" w:line="360" w:lineRule="auto"/>
              <w:jc w:val="center"/>
              <w:textAlignment w:val="auto"/>
              <w:rPr>
                <w:rFonts w:hint="default" w:ascii="宋体" w:hAnsi="宋体" w:eastAsia="宋体" w:cs="宋体"/>
                <w:i w:val="0"/>
                <w:iCs w:val="0"/>
                <w:color w:val="000000"/>
                <w:kern w:val="0"/>
                <w:sz w:val="24"/>
                <w:highlight w:val="none"/>
                <w:lang w:val="en-US" w:eastAsia="zh-CN"/>
              </w:rPr>
            </w:pPr>
            <w:r>
              <w:rPr>
                <w:rFonts w:hint="eastAsia" w:ascii="宋体" w:hAnsi="宋体" w:eastAsia="宋体" w:cs="宋体"/>
                <w:i w:val="0"/>
                <w:iCs w:val="0"/>
                <w:color w:val="000000"/>
                <w:kern w:val="0"/>
                <w:sz w:val="24"/>
                <w:highlight w:val="none"/>
                <w:lang w:val="en-US" w:eastAsia="zh-CN"/>
              </w:rPr>
              <w:t>1</w:t>
            </w:r>
            <w:r>
              <w:rPr>
                <w:rFonts w:hint="eastAsia" w:ascii="宋体" w:hAnsi="宋体" w:cs="宋体"/>
                <w:i w:val="0"/>
                <w:iCs w:val="0"/>
                <w:color w:val="000000"/>
                <w:kern w:val="0"/>
                <w:sz w:val="24"/>
                <w:highlight w:val="none"/>
                <w:lang w:val="en-US" w:eastAsia="zh-CN"/>
              </w:rPr>
              <w:t>6</w:t>
            </w:r>
          </w:p>
        </w:tc>
        <w:tc>
          <w:tcPr>
            <w:tcW w:w="921" w:type="pct"/>
            <w:noWrap w:val="0"/>
            <w:vAlign w:val="center"/>
          </w:tcPr>
          <w:p w14:paraId="2E2FB46F">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其他无效情形</w:t>
            </w:r>
          </w:p>
        </w:tc>
        <w:tc>
          <w:tcPr>
            <w:tcW w:w="2505" w:type="pct"/>
            <w:noWrap w:val="0"/>
            <w:vAlign w:val="center"/>
          </w:tcPr>
          <w:p w14:paraId="6AD16F06">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sz w:val="24"/>
                <w:highlight w:val="none"/>
                <w:lang w:val="en-US" w:eastAsia="zh-CN"/>
              </w:rPr>
              <w:t>供应商</w:t>
            </w:r>
            <w:r>
              <w:rPr>
                <w:rFonts w:hint="eastAsia" w:ascii="宋体" w:hAnsi="宋体" w:eastAsia="宋体" w:cs="宋体"/>
                <w:i w:val="0"/>
                <w:iCs w:val="0"/>
                <w:color w:val="000000"/>
                <w:sz w:val="24"/>
                <w:highlight w:val="none"/>
              </w:rPr>
              <w:t>、</w:t>
            </w:r>
            <w:r>
              <w:rPr>
                <w:rFonts w:hint="eastAsia" w:ascii="宋体" w:hAnsi="宋体" w:eastAsia="宋体" w:cs="宋体"/>
                <w:i w:val="0"/>
                <w:iCs w:val="0"/>
                <w:color w:val="000000"/>
                <w:sz w:val="24"/>
                <w:highlight w:val="none"/>
                <w:lang w:val="en-US" w:eastAsia="zh-CN"/>
              </w:rPr>
              <w:t>响应</w:t>
            </w:r>
            <w:r>
              <w:rPr>
                <w:rFonts w:hint="eastAsia" w:ascii="宋体" w:hAnsi="宋体" w:eastAsia="宋体" w:cs="宋体"/>
                <w:i w:val="0"/>
                <w:iCs w:val="0"/>
                <w:color w:val="000000"/>
                <w:sz w:val="24"/>
                <w:highlight w:val="none"/>
              </w:rPr>
              <w:t>文件不存在不符合法律、法规和</w:t>
            </w:r>
            <w:r>
              <w:rPr>
                <w:rFonts w:hint="eastAsia" w:ascii="宋体" w:hAnsi="宋体" w:eastAsia="宋体" w:cs="宋体"/>
                <w:i w:val="0"/>
                <w:iCs w:val="0"/>
                <w:color w:val="000000"/>
                <w:sz w:val="24"/>
                <w:highlight w:val="none"/>
                <w:lang w:val="en-US" w:eastAsia="zh-CN"/>
              </w:rPr>
              <w:t>磋商</w:t>
            </w:r>
            <w:r>
              <w:rPr>
                <w:rFonts w:hint="eastAsia" w:ascii="宋体" w:hAnsi="宋体" w:eastAsia="宋体" w:cs="宋体"/>
                <w:i w:val="0"/>
                <w:iCs w:val="0"/>
                <w:color w:val="000000"/>
                <w:sz w:val="24"/>
                <w:highlight w:val="none"/>
              </w:rPr>
              <w:t>文件规定的其他无效情形。</w:t>
            </w:r>
          </w:p>
        </w:tc>
        <w:tc>
          <w:tcPr>
            <w:tcW w:w="1028" w:type="pct"/>
            <w:noWrap w:val="0"/>
            <w:vAlign w:val="center"/>
          </w:tcPr>
          <w:p w14:paraId="12A18A5B">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lang w:val="en-US" w:eastAsia="zh-CN"/>
              </w:rPr>
              <w:t>否</w:t>
            </w:r>
          </w:p>
        </w:tc>
      </w:tr>
      <w:tr w14:paraId="7F811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noWrap w:val="0"/>
            <w:vAlign w:val="center"/>
          </w:tcPr>
          <w:p w14:paraId="2FCADB29">
            <w:pPr>
              <w:pageBreakBefore w:val="0"/>
              <w:widowControl/>
              <w:wordWrap w:val="0"/>
              <w:topLinePunct w:val="0"/>
              <w:bidi w:val="0"/>
              <w:spacing w:after="0" w:line="360" w:lineRule="auto"/>
              <w:jc w:val="center"/>
              <w:textAlignment w:val="auto"/>
              <w:rPr>
                <w:rFonts w:hint="default" w:ascii="宋体" w:hAnsi="宋体" w:eastAsia="宋体" w:cs="宋体"/>
                <w:i w:val="0"/>
                <w:iCs w:val="0"/>
                <w:color w:val="000000"/>
                <w:kern w:val="0"/>
                <w:sz w:val="24"/>
                <w:highlight w:val="none"/>
                <w:lang w:val="en-US" w:eastAsia="zh-CN"/>
              </w:rPr>
            </w:pPr>
            <w:r>
              <w:rPr>
                <w:rFonts w:hint="eastAsia" w:ascii="宋体" w:hAnsi="宋体" w:eastAsia="宋体" w:cs="宋体"/>
                <w:i w:val="0"/>
                <w:iCs w:val="0"/>
                <w:color w:val="000000"/>
                <w:kern w:val="0"/>
                <w:sz w:val="24"/>
                <w:highlight w:val="none"/>
                <w:lang w:val="en-US" w:eastAsia="zh-CN"/>
              </w:rPr>
              <w:t>1</w:t>
            </w:r>
            <w:r>
              <w:rPr>
                <w:rFonts w:hint="eastAsia" w:ascii="宋体" w:hAnsi="宋体" w:cs="宋体"/>
                <w:i w:val="0"/>
                <w:iCs w:val="0"/>
                <w:color w:val="000000"/>
                <w:kern w:val="0"/>
                <w:sz w:val="24"/>
                <w:highlight w:val="none"/>
                <w:lang w:val="en-US" w:eastAsia="zh-CN"/>
              </w:rPr>
              <w:t>7</w:t>
            </w:r>
          </w:p>
        </w:tc>
        <w:tc>
          <w:tcPr>
            <w:tcW w:w="921" w:type="pct"/>
            <w:noWrap w:val="0"/>
            <w:vAlign w:val="center"/>
          </w:tcPr>
          <w:p w14:paraId="6165B355">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lang w:val="en-US" w:eastAsia="zh-CN"/>
              </w:rPr>
            </w:pPr>
            <w:r>
              <w:rPr>
                <w:rFonts w:hint="eastAsia" w:ascii="宋体" w:hAnsi="宋体" w:eastAsia="宋体" w:cs="宋体"/>
                <w:i w:val="0"/>
                <w:iCs w:val="0"/>
                <w:color w:val="000000"/>
                <w:kern w:val="0"/>
                <w:sz w:val="24"/>
                <w:highlight w:val="none"/>
                <w:lang w:val="en-US" w:eastAsia="zh-CN"/>
              </w:rPr>
              <w:t>含义不明确</w:t>
            </w:r>
          </w:p>
        </w:tc>
        <w:tc>
          <w:tcPr>
            <w:tcW w:w="2505" w:type="pct"/>
            <w:noWrap w:val="0"/>
            <w:vAlign w:val="center"/>
          </w:tcPr>
          <w:p w14:paraId="2C892D7F">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sz w:val="24"/>
                <w:highlight w:val="none"/>
                <w:lang w:val="en-US" w:eastAsia="zh-CN"/>
              </w:rPr>
            </w:pPr>
            <w:r>
              <w:rPr>
                <w:rFonts w:hint="eastAsia" w:ascii="宋体" w:hAnsi="宋体" w:eastAsia="宋体" w:cs="宋体"/>
                <w:i w:val="0"/>
                <w:iCs w:val="0"/>
                <w:color w:val="000000"/>
                <w:sz w:val="24"/>
                <w:highlight w:val="none"/>
                <w:lang w:val="en-US" w:eastAsia="zh-CN"/>
              </w:rPr>
              <w:t>响应文件存在</w:t>
            </w:r>
            <w:r>
              <w:rPr>
                <w:rFonts w:hint="eastAsia" w:ascii="宋体" w:hAnsi="宋体" w:eastAsia="宋体" w:cs="宋体"/>
                <w:i w:val="0"/>
                <w:iCs w:val="0"/>
                <w:color w:val="000000"/>
                <w:kern w:val="0"/>
                <w:sz w:val="24"/>
                <w:highlight w:val="none"/>
                <w:lang w:val="en-US" w:eastAsia="zh-CN"/>
              </w:rPr>
              <w:t>含义不明确的情形。</w:t>
            </w:r>
          </w:p>
        </w:tc>
        <w:tc>
          <w:tcPr>
            <w:tcW w:w="1028" w:type="pct"/>
            <w:noWrap w:val="0"/>
            <w:vAlign w:val="center"/>
          </w:tcPr>
          <w:p w14:paraId="19D57FB1">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lang w:val="en-US" w:eastAsia="zh-CN"/>
              </w:rPr>
            </w:pPr>
            <w:r>
              <w:rPr>
                <w:rFonts w:hint="eastAsia" w:ascii="宋体" w:hAnsi="宋体" w:eastAsia="宋体" w:cs="宋体"/>
                <w:i w:val="0"/>
                <w:iCs w:val="0"/>
                <w:color w:val="000000"/>
                <w:kern w:val="0"/>
                <w:sz w:val="24"/>
                <w:highlight w:val="none"/>
                <w:lang w:val="en-US" w:eastAsia="zh-CN"/>
              </w:rPr>
              <w:t>是（但不得超出或改变磋商文件及响应文件的范围及实质性内容）</w:t>
            </w:r>
          </w:p>
        </w:tc>
      </w:tr>
      <w:tr w14:paraId="1E777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noWrap w:val="0"/>
            <w:vAlign w:val="center"/>
          </w:tcPr>
          <w:p w14:paraId="5DAB295E">
            <w:pPr>
              <w:pageBreakBefore w:val="0"/>
              <w:widowControl/>
              <w:wordWrap w:val="0"/>
              <w:topLinePunct w:val="0"/>
              <w:bidi w:val="0"/>
              <w:spacing w:after="0" w:line="360" w:lineRule="auto"/>
              <w:jc w:val="center"/>
              <w:textAlignment w:val="auto"/>
              <w:rPr>
                <w:rFonts w:hint="default" w:ascii="宋体" w:hAnsi="宋体" w:eastAsia="宋体" w:cs="宋体"/>
                <w:i w:val="0"/>
                <w:iCs w:val="0"/>
                <w:color w:val="000000"/>
                <w:kern w:val="0"/>
                <w:sz w:val="24"/>
                <w:highlight w:val="none"/>
                <w:lang w:val="en-US" w:eastAsia="zh-CN"/>
              </w:rPr>
            </w:pPr>
            <w:r>
              <w:rPr>
                <w:rFonts w:hint="eastAsia" w:ascii="宋体" w:hAnsi="宋体" w:eastAsia="宋体" w:cs="宋体"/>
                <w:i w:val="0"/>
                <w:iCs w:val="0"/>
                <w:color w:val="000000"/>
                <w:kern w:val="0"/>
                <w:sz w:val="24"/>
                <w:highlight w:val="none"/>
                <w:lang w:val="en-US" w:eastAsia="zh-CN"/>
              </w:rPr>
              <w:t>1</w:t>
            </w:r>
            <w:r>
              <w:rPr>
                <w:rFonts w:hint="eastAsia" w:ascii="宋体" w:hAnsi="宋体" w:cs="宋体"/>
                <w:i w:val="0"/>
                <w:iCs w:val="0"/>
                <w:color w:val="000000"/>
                <w:kern w:val="0"/>
                <w:sz w:val="24"/>
                <w:highlight w:val="none"/>
                <w:lang w:val="en-US" w:eastAsia="zh-CN"/>
              </w:rPr>
              <w:t>8</w:t>
            </w:r>
          </w:p>
        </w:tc>
        <w:tc>
          <w:tcPr>
            <w:tcW w:w="921" w:type="pct"/>
            <w:noWrap w:val="0"/>
            <w:vAlign w:val="center"/>
          </w:tcPr>
          <w:p w14:paraId="0DF79A6E">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同类问题表述不一致</w:t>
            </w:r>
          </w:p>
        </w:tc>
        <w:tc>
          <w:tcPr>
            <w:tcW w:w="2505" w:type="pct"/>
            <w:noWrap w:val="0"/>
            <w:vAlign w:val="center"/>
          </w:tcPr>
          <w:p w14:paraId="0F9DF818">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sz w:val="24"/>
                <w:highlight w:val="none"/>
                <w:lang w:val="en-US" w:eastAsia="zh-CN"/>
              </w:rPr>
            </w:pPr>
            <w:r>
              <w:rPr>
                <w:rFonts w:hint="eastAsia" w:ascii="宋体" w:hAnsi="宋体" w:eastAsia="宋体" w:cs="宋体"/>
                <w:i w:val="0"/>
                <w:iCs w:val="0"/>
                <w:color w:val="000000"/>
                <w:sz w:val="24"/>
                <w:highlight w:val="none"/>
                <w:lang w:val="en-US" w:eastAsia="zh-CN"/>
              </w:rPr>
              <w:t>响应文件存在</w:t>
            </w:r>
            <w:r>
              <w:rPr>
                <w:rFonts w:hint="eastAsia" w:ascii="宋体" w:hAnsi="宋体" w:eastAsia="宋体" w:cs="宋体"/>
                <w:i w:val="0"/>
                <w:iCs w:val="0"/>
                <w:color w:val="000000"/>
                <w:kern w:val="0"/>
                <w:sz w:val="24"/>
                <w:highlight w:val="none"/>
              </w:rPr>
              <w:t>同类问题表述不一致</w:t>
            </w:r>
            <w:r>
              <w:rPr>
                <w:rFonts w:hint="eastAsia" w:ascii="宋体" w:hAnsi="宋体" w:eastAsia="宋体" w:cs="宋体"/>
                <w:i w:val="0"/>
                <w:iCs w:val="0"/>
                <w:color w:val="000000"/>
                <w:kern w:val="0"/>
                <w:sz w:val="24"/>
                <w:highlight w:val="none"/>
                <w:lang w:val="en-US" w:eastAsia="zh-CN"/>
              </w:rPr>
              <w:t>的情形。</w:t>
            </w:r>
          </w:p>
        </w:tc>
        <w:tc>
          <w:tcPr>
            <w:tcW w:w="1028" w:type="pct"/>
            <w:noWrap w:val="0"/>
            <w:vAlign w:val="center"/>
          </w:tcPr>
          <w:p w14:paraId="4AAE25A4">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lang w:val="en-US" w:eastAsia="zh-CN"/>
              </w:rPr>
            </w:pPr>
            <w:r>
              <w:rPr>
                <w:rFonts w:hint="eastAsia" w:ascii="宋体" w:hAnsi="宋体" w:eastAsia="宋体" w:cs="宋体"/>
                <w:i w:val="0"/>
                <w:iCs w:val="0"/>
                <w:color w:val="000000"/>
                <w:kern w:val="0"/>
                <w:sz w:val="24"/>
                <w:highlight w:val="none"/>
                <w:lang w:val="en-US" w:eastAsia="zh-CN"/>
              </w:rPr>
              <w:t>是（但不得超出或改变磋商文件及响应文件的范围及实质性内容）</w:t>
            </w:r>
          </w:p>
        </w:tc>
      </w:tr>
      <w:tr w14:paraId="4878F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noWrap w:val="0"/>
            <w:vAlign w:val="center"/>
          </w:tcPr>
          <w:p w14:paraId="3BDC39D9">
            <w:pPr>
              <w:pageBreakBefore w:val="0"/>
              <w:widowControl/>
              <w:wordWrap w:val="0"/>
              <w:topLinePunct w:val="0"/>
              <w:bidi w:val="0"/>
              <w:spacing w:after="0" w:line="360" w:lineRule="auto"/>
              <w:jc w:val="center"/>
              <w:textAlignment w:val="auto"/>
              <w:rPr>
                <w:rFonts w:hint="default" w:ascii="宋体" w:hAnsi="宋体" w:eastAsia="宋体" w:cs="宋体"/>
                <w:i w:val="0"/>
                <w:iCs w:val="0"/>
                <w:color w:val="000000"/>
                <w:kern w:val="0"/>
                <w:sz w:val="24"/>
                <w:highlight w:val="none"/>
                <w:lang w:val="en-US" w:eastAsia="zh-CN"/>
              </w:rPr>
            </w:pPr>
            <w:r>
              <w:rPr>
                <w:rFonts w:hint="eastAsia" w:ascii="宋体" w:hAnsi="宋体" w:cs="宋体"/>
                <w:i w:val="0"/>
                <w:iCs w:val="0"/>
                <w:color w:val="000000"/>
                <w:kern w:val="0"/>
                <w:sz w:val="24"/>
                <w:highlight w:val="none"/>
                <w:lang w:val="en-US" w:eastAsia="zh-CN"/>
              </w:rPr>
              <w:t>19</w:t>
            </w:r>
          </w:p>
        </w:tc>
        <w:tc>
          <w:tcPr>
            <w:tcW w:w="921" w:type="pct"/>
            <w:noWrap w:val="0"/>
            <w:vAlign w:val="center"/>
          </w:tcPr>
          <w:p w14:paraId="0934D727">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有明显文字和计算错误的内容</w:t>
            </w:r>
          </w:p>
        </w:tc>
        <w:tc>
          <w:tcPr>
            <w:tcW w:w="2505" w:type="pct"/>
            <w:noWrap w:val="0"/>
            <w:vAlign w:val="center"/>
          </w:tcPr>
          <w:p w14:paraId="15B23972">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sz w:val="24"/>
                <w:highlight w:val="none"/>
                <w:lang w:val="en-US" w:eastAsia="zh-CN"/>
              </w:rPr>
            </w:pPr>
            <w:r>
              <w:rPr>
                <w:rFonts w:hint="eastAsia" w:ascii="宋体" w:hAnsi="宋体" w:eastAsia="宋体" w:cs="宋体"/>
                <w:i w:val="0"/>
                <w:iCs w:val="0"/>
                <w:color w:val="000000"/>
                <w:sz w:val="24"/>
                <w:highlight w:val="none"/>
                <w:lang w:val="en-US" w:eastAsia="zh-CN"/>
              </w:rPr>
              <w:t>响应文件存在</w:t>
            </w:r>
            <w:r>
              <w:rPr>
                <w:rFonts w:hint="eastAsia" w:ascii="宋体" w:hAnsi="宋体" w:eastAsia="宋体" w:cs="宋体"/>
                <w:i w:val="0"/>
                <w:iCs w:val="0"/>
                <w:color w:val="000000"/>
                <w:kern w:val="0"/>
                <w:sz w:val="24"/>
                <w:highlight w:val="none"/>
              </w:rPr>
              <w:t>有明显文字和计算错误的内容</w:t>
            </w:r>
            <w:r>
              <w:rPr>
                <w:rFonts w:hint="eastAsia" w:ascii="宋体" w:hAnsi="宋体" w:eastAsia="宋体" w:cs="宋体"/>
                <w:i w:val="0"/>
                <w:iCs w:val="0"/>
                <w:color w:val="000000"/>
                <w:kern w:val="0"/>
                <w:sz w:val="24"/>
                <w:highlight w:val="none"/>
                <w:lang w:val="en-US" w:eastAsia="zh-CN"/>
              </w:rPr>
              <w:t>的情形。</w:t>
            </w:r>
          </w:p>
        </w:tc>
        <w:tc>
          <w:tcPr>
            <w:tcW w:w="1028" w:type="pct"/>
            <w:noWrap w:val="0"/>
            <w:vAlign w:val="center"/>
          </w:tcPr>
          <w:p w14:paraId="744FEB9D">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lang w:val="en-US" w:eastAsia="zh-CN"/>
              </w:rPr>
            </w:pPr>
            <w:r>
              <w:rPr>
                <w:rFonts w:hint="eastAsia" w:ascii="宋体" w:hAnsi="宋体" w:eastAsia="宋体" w:cs="宋体"/>
                <w:i w:val="0"/>
                <w:iCs w:val="0"/>
                <w:color w:val="000000"/>
                <w:kern w:val="0"/>
                <w:sz w:val="24"/>
                <w:highlight w:val="none"/>
                <w:lang w:val="en-US" w:eastAsia="zh-CN"/>
              </w:rPr>
              <w:t>是（但不得超出或改变磋商文件及响应文件的范围及实质性内容）</w:t>
            </w:r>
          </w:p>
        </w:tc>
      </w:tr>
    </w:tbl>
    <w:p w14:paraId="6758AF2A">
      <w:pPr>
        <w:pageBreakBefore w:val="0"/>
        <w:numPr>
          <w:ilvl w:val="0"/>
          <w:numId w:val="10"/>
        </w:numPr>
        <w:tabs>
          <w:tab w:val="left" w:pos="360"/>
        </w:tabs>
        <w:wordWrap w:val="0"/>
        <w:topLinePunct w:val="0"/>
        <w:bidi w:val="0"/>
        <w:snapToGrid w:val="0"/>
        <w:spacing w:after="0" w:line="360" w:lineRule="auto"/>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磋商、响应文件有关事项的澄清、说明或者更正和最后报价</w:t>
      </w:r>
    </w:p>
    <w:p w14:paraId="4FEE6B3F">
      <w:pPr>
        <w:pageBreakBefore w:val="0"/>
        <w:numPr>
          <w:ilvl w:val="1"/>
          <w:numId w:val="10"/>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磋商小组所有成员应当集中与单一供应商分别进行磋商，并给予所有参加磋商的供应商平等的磋商机会。</w:t>
      </w:r>
    </w:p>
    <w:p w14:paraId="6622A743">
      <w:pPr>
        <w:pageBreakBefore w:val="0"/>
        <w:numPr>
          <w:ilvl w:val="1"/>
          <w:numId w:val="10"/>
        </w:numPr>
        <w:tabs>
          <w:tab w:val="left" w:pos="1080"/>
          <w:tab w:val="left" w:pos="1872"/>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kern w:val="0"/>
          <w:sz w:val="24"/>
          <w:highlight w:val="none"/>
        </w:rPr>
        <w:t>在磋商过程中，磋商小组可以根据磋商文件和磋商情况实质性变动采购需求中的技术、服务要求以及合同草案条款，但不得变动磋商文件中的其他内容。实质性变动的内容，须经采购人代表确认。</w:t>
      </w:r>
    </w:p>
    <w:p w14:paraId="54E1F153">
      <w:pPr>
        <w:pageBreakBefore w:val="0"/>
        <w:numPr>
          <w:ilvl w:val="1"/>
          <w:numId w:val="10"/>
        </w:numPr>
        <w:tabs>
          <w:tab w:val="left" w:pos="1080"/>
          <w:tab w:val="left" w:pos="1872"/>
        </w:tabs>
        <w:wordWrap w:val="0"/>
        <w:topLinePunct w:val="0"/>
        <w:bidi w:val="0"/>
        <w:snapToGrid w:val="0"/>
        <w:spacing w:after="0" w:line="360" w:lineRule="auto"/>
        <w:ind w:left="1077" w:hanging="720"/>
        <w:textAlignment w:val="auto"/>
        <w:rPr>
          <w:rFonts w:hint="eastAsia" w:ascii="宋体" w:hAnsi="宋体" w:eastAsia="宋体" w:cs="宋体"/>
          <w:i w:val="0"/>
          <w:iCs w:val="0"/>
          <w:kern w:val="0"/>
          <w:sz w:val="24"/>
          <w:highlight w:val="none"/>
        </w:rPr>
      </w:pPr>
      <w:r>
        <w:rPr>
          <w:rFonts w:hint="eastAsia" w:ascii="宋体" w:hAnsi="宋体" w:eastAsia="宋体" w:cs="宋体"/>
          <w:i w:val="0"/>
          <w:iCs w:val="0"/>
          <w:kern w:val="0"/>
          <w:sz w:val="24"/>
          <w:highlight w:val="none"/>
        </w:rPr>
        <w:t>对磋商文件作出的实质性变动是磋商文件的有效组成部分，磋商小组应当及时以书面形式同时通知所有参加磋商的供应商。</w:t>
      </w:r>
    </w:p>
    <w:p w14:paraId="5F9AACF6">
      <w:pPr>
        <w:pageBreakBefore w:val="0"/>
        <w:numPr>
          <w:ilvl w:val="1"/>
          <w:numId w:val="10"/>
        </w:numPr>
        <w:tabs>
          <w:tab w:val="left" w:pos="1080"/>
          <w:tab w:val="left" w:pos="1872"/>
        </w:tabs>
        <w:wordWrap w:val="0"/>
        <w:topLinePunct w:val="0"/>
        <w:bidi w:val="0"/>
        <w:snapToGrid w:val="0"/>
        <w:spacing w:after="0" w:line="360" w:lineRule="auto"/>
        <w:ind w:left="1077" w:hanging="720"/>
        <w:textAlignment w:val="auto"/>
        <w:rPr>
          <w:rFonts w:hint="eastAsia" w:ascii="宋体" w:hAnsi="宋体" w:eastAsia="宋体" w:cs="宋体"/>
          <w:i w:val="0"/>
          <w:iCs w:val="0"/>
          <w:kern w:val="0"/>
          <w:sz w:val="24"/>
          <w:highlight w:val="none"/>
        </w:rPr>
      </w:pPr>
      <w:r>
        <w:rPr>
          <w:rFonts w:hint="eastAsia" w:ascii="宋体" w:hAnsi="宋体" w:eastAsia="宋体" w:cs="宋体"/>
          <w:i w:val="0"/>
          <w:iCs w:val="0"/>
          <w:kern w:val="0"/>
          <w:sz w:val="24"/>
          <w:highlight w:val="none"/>
        </w:rPr>
        <w:t>供应商应当按照磋商文件的变动情况和磋商小组的要求重新提交响应文件，并由其法定代表人（若供应商为事业单位或其他组织或分支机构，可为单位负责人）或授权代表签字或者加盖公章。由授权代表签字的，应当附授权委托书。供应商为自然人的，应当由本人签字并附身份证明。</w:t>
      </w:r>
    </w:p>
    <w:p w14:paraId="20D08DFC">
      <w:pPr>
        <w:pageBreakBefore w:val="0"/>
        <w:numPr>
          <w:ilvl w:val="1"/>
          <w:numId w:val="10"/>
        </w:numPr>
        <w:tabs>
          <w:tab w:val="left" w:pos="1080"/>
          <w:tab w:val="left" w:pos="1872"/>
        </w:tabs>
        <w:wordWrap w:val="0"/>
        <w:topLinePunct w:val="0"/>
        <w:bidi w:val="0"/>
        <w:snapToGrid w:val="0"/>
        <w:spacing w:after="0" w:line="360" w:lineRule="auto"/>
        <w:ind w:left="1077" w:hanging="720"/>
        <w:textAlignment w:val="auto"/>
        <w:rPr>
          <w:rFonts w:hint="eastAsia" w:ascii="宋体" w:hAnsi="宋体" w:eastAsia="宋体" w:cs="宋体"/>
          <w:i w:val="0"/>
          <w:iCs w:val="0"/>
          <w:sz w:val="24"/>
        </w:rPr>
      </w:pPr>
      <w:r>
        <w:rPr>
          <w:rFonts w:hint="eastAsia" w:ascii="宋体" w:hAnsi="宋体" w:eastAsia="宋体" w:cs="宋体"/>
          <w:i w:val="0"/>
          <w:iCs w:val="0"/>
          <w:sz w:val="24"/>
          <w:highlight w:val="none"/>
        </w:rPr>
        <w:t>响应文件的澄清、说明或者更正：</w:t>
      </w:r>
    </w:p>
    <w:p w14:paraId="66642422">
      <w:pPr>
        <w:pageBreakBefore w:val="0"/>
        <w:numPr>
          <w:ilvl w:val="2"/>
          <w:numId w:val="10"/>
        </w:numPr>
        <w:wordWrap w:val="0"/>
        <w:topLinePunct w:val="0"/>
        <w:bidi w:val="0"/>
        <w:snapToGrid w:val="0"/>
        <w:spacing w:after="0" w:line="360" w:lineRule="auto"/>
        <w:textAlignment w:val="auto"/>
        <w:rPr>
          <w:rFonts w:hint="eastAsia" w:ascii="宋体" w:hAnsi="宋体" w:eastAsia="宋体" w:cs="宋体"/>
          <w:i w:val="0"/>
          <w:iCs w:val="0"/>
          <w:sz w:val="24"/>
        </w:rPr>
      </w:pPr>
      <w:r>
        <w:rPr>
          <w:rFonts w:hint="eastAsia" w:ascii="宋体" w:hAnsi="宋体" w:eastAsia="宋体" w:cs="宋体"/>
          <w:i w:val="0"/>
          <w:iCs w:val="0"/>
          <w:sz w:val="24"/>
        </w:rPr>
        <w:t>磋商小组在对响应文件的有效性、完整性和响应程度进行审查时，可以要求供应商对响应文件中含义不明确、同类问题表述不一致或者有明显文字和计算错误的内容等作出必要的澄清、说明或者更正。</w:t>
      </w:r>
    </w:p>
    <w:p w14:paraId="148C581F">
      <w:pPr>
        <w:pageBreakBefore w:val="0"/>
        <w:numPr>
          <w:ilvl w:val="2"/>
          <w:numId w:val="10"/>
        </w:numPr>
        <w:wordWrap w:val="0"/>
        <w:topLinePunct w:val="0"/>
        <w:bidi w:val="0"/>
        <w:snapToGrid w:val="0"/>
        <w:spacing w:after="0" w:line="360" w:lineRule="auto"/>
        <w:textAlignment w:val="auto"/>
        <w:rPr>
          <w:rFonts w:hint="eastAsia" w:ascii="宋体" w:hAnsi="宋体" w:eastAsia="宋体" w:cs="宋体"/>
          <w:i w:val="0"/>
          <w:iCs w:val="0"/>
          <w:sz w:val="24"/>
        </w:rPr>
      </w:pPr>
      <w:r>
        <w:rPr>
          <w:rFonts w:hint="eastAsia" w:ascii="宋体" w:hAnsi="宋体" w:eastAsia="宋体" w:cs="宋体"/>
          <w:i w:val="0"/>
          <w:iCs w:val="0"/>
          <w:sz w:val="24"/>
        </w:rPr>
        <w:t>磋商小组对响应文件进行审查，如发现供应商提交的响应文件存在不满足《符合性审查要求》的内容，如属于表中“不允许”澄清、说明或者更正的内容，则供应商响应文件按</w:t>
      </w:r>
      <w:r>
        <w:rPr>
          <w:rFonts w:hint="eastAsia" w:ascii="宋体" w:hAnsi="宋体" w:eastAsia="宋体" w:cs="宋体"/>
          <w:b/>
          <w:i w:val="0"/>
          <w:iCs w:val="0"/>
          <w:sz w:val="24"/>
        </w:rPr>
        <w:t>无效处理</w:t>
      </w:r>
      <w:r>
        <w:rPr>
          <w:rFonts w:hint="eastAsia" w:ascii="宋体" w:hAnsi="宋体" w:eastAsia="宋体" w:cs="宋体"/>
          <w:i w:val="0"/>
          <w:iCs w:val="0"/>
          <w:sz w:val="24"/>
        </w:rPr>
        <w:t>；如属于表中的“允许”澄清、说明或更正的内容，磋商小组将要求供应商在规定的时间内对响应文件进行澄清、说明或者更正。如供应商在磋商小组规定的时间内未作出必要的澄清、说明或者更正，或澄清、说明或者更正后仍不能满足采购文件要求的，则供应商的响应文件按</w:t>
      </w:r>
      <w:r>
        <w:rPr>
          <w:rFonts w:hint="eastAsia" w:ascii="宋体" w:hAnsi="宋体" w:eastAsia="宋体" w:cs="宋体"/>
          <w:b/>
          <w:i w:val="0"/>
          <w:iCs w:val="0"/>
          <w:sz w:val="24"/>
        </w:rPr>
        <w:t>无效处理</w:t>
      </w:r>
      <w:r>
        <w:rPr>
          <w:rFonts w:hint="eastAsia" w:ascii="宋体" w:hAnsi="宋体" w:eastAsia="宋体" w:cs="宋体"/>
          <w:i w:val="0"/>
          <w:iCs w:val="0"/>
          <w:sz w:val="24"/>
        </w:rPr>
        <w:t>。</w:t>
      </w:r>
    </w:p>
    <w:p w14:paraId="0FD26BAE">
      <w:pPr>
        <w:pageBreakBefore w:val="0"/>
        <w:numPr>
          <w:ilvl w:val="2"/>
          <w:numId w:val="10"/>
        </w:numPr>
        <w:wordWrap w:val="0"/>
        <w:topLinePunct w:val="0"/>
        <w:bidi w:val="0"/>
        <w:snapToGrid w:val="0"/>
        <w:spacing w:after="0" w:line="360" w:lineRule="auto"/>
        <w:textAlignment w:val="auto"/>
        <w:rPr>
          <w:rFonts w:hint="eastAsia" w:ascii="宋体" w:hAnsi="宋体" w:eastAsia="宋体" w:cs="宋体"/>
          <w:i w:val="0"/>
          <w:iCs w:val="0"/>
          <w:sz w:val="24"/>
        </w:rPr>
      </w:pPr>
      <w:r>
        <w:rPr>
          <w:rFonts w:hint="eastAsia" w:ascii="宋体" w:hAnsi="宋体" w:eastAsia="宋体" w:cs="宋体"/>
          <w:i w:val="0"/>
          <w:iCs w:val="0"/>
          <w:sz w:val="24"/>
        </w:rPr>
        <w:t>供应商的澄清、说明或者更正不得超出响应文件的范围或者改变响应文件的实质性内容。磋商小组要求供应商澄清、说明或者更正响应文件应当以书面形式作出。供应商的澄清、说明或者更正应当由法定代表人（若供应商为事业单位或其他组织或分支机构，可为单位负责人）或其授权代表签字或者加盖公章。由授权代表签字的，应当附授权委托书。供应商为自然人的，应当由本人签字并附身份证明。澄清、说明或者更正文件将作为响应文件内容的一部分。</w:t>
      </w:r>
    </w:p>
    <w:p w14:paraId="2F28B2FF">
      <w:pPr>
        <w:pageBreakBefore w:val="0"/>
        <w:numPr>
          <w:ilvl w:val="1"/>
          <w:numId w:val="10"/>
        </w:numPr>
        <w:tabs>
          <w:tab w:val="left" w:pos="1080"/>
          <w:tab w:val="left" w:pos="1872"/>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rPr>
        <w:t>磋商结束后，磋商小组将要求所有实质性响应的供应商在规定时间内提交最</w:t>
      </w:r>
      <w:r>
        <w:rPr>
          <w:rFonts w:hint="eastAsia" w:ascii="宋体" w:hAnsi="宋体" w:eastAsia="宋体" w:cs="宋体"/>
          <w:i w:val="0"/>
          <w:iCs w:val="0"/>
          <w:sz w:val="24"/>
          <w:highlight w:val="none"/>
        </w:rPr>
        <w:t>后报价。最后报价时间为磋商小组指定的时间，具体时间根据磋商进度另行通知。</w:t>
      </w:r>
    </w:p>
    <w:p w14:paraId="772DC929">
      <w:pPr>
        <w:numPr>
          <w:ilvl w:val="1"/>
          <w:numId w:val="10"/>
        </w:numPr>
        <w:tabs>
          <w:tab w:val="left" w:pos="1080"/>
          <w:tab w:val="left" w:pos="1872"/>
        </w:tabs>
        <w:snapToGrid w:val="0"/>
        <w:spacing w:after="0" w:line="360" w:lineRule="auto"/>
        <w:ind w:left="1077" w:hanging="720"/>
        <w:rPr>
          <w:rFonts w:eastAsia="宋体"/>
          <w:snapToGrid w:val="0"/>
          <w:sz w:val="24"/>
          <w:highlight w:val="none"/>
        </w:rPr>
      </w:pPr>
      <w:r>
        <w:rPr>
          <w:rFonts w:hint="eastAsia" w:eastAsia="宋体"/>
          <w:snapToGrid w:val="0"/>
          <w:sz w:val="24"/>
          <w:highlight w:val="none"/>
        </w:rPr>
        <w:t>异常低价处理</w:t>
      </w:r>
    </w:p>
    <w:p w14:paraId="2C9E3B0D">
      <w:pPr>
        <w:numPr>
          <w:ilvl w:val="2"/>
          <w:numId w:val="10"/>
        </w:numPr>
        <w:snapToGrid w:val="0"/>
        <w:spacing w:after="0" w:line="360" w:lineRule="auto"/>
        <w:rPr>
          <w:rFonts w:eastAsia="宋体"/>
          <w:sz w:val="24"/>
          <w:highlight w:val="none"/>
        </w:rPr>
      </w:pPr>
      <w:r>
        <w:rPr>
          <w:rFonts w:hint="eastAsia" w:eastAsia="宋体"/>
          <w:sz w:val="24"/>
          <w:highlight w:val="none"/>
        </w:rPr>
        <w:t>政府采购评审中出现下列情形之一的，评审委员会应当启动异常低价投标（响应）审查程序：</w:t>
      </w:r>
    </w:p>
    <w:p w14:paraId="70E992FE">
      <w:pPr>
        <w:snapToGrid w:val="0"/>
        <w:spacing w:after="0" w:line="360" w:lineRule="auto"/>
        <w:ind w:left="1980"/>
        <w:rPr>
          <w:rFonts w:eastAsia="宋体"/>
          <w:sz w:val="24"/>
          <w:highlight w:val="none"/>
        </w:rPr>
      </w:pPr>
      <w:r>
        <w:rPr>
          <w:rFonts w:hint="eastAsia" w:eastAsia="宋体"/>
          <w:sz w:val="24"/>
          <w:highlight w:val="none"/>
        </w:rPr>
        <w:t>（</w:t>
      </w:r>
      <w:r>
        <w:rPr>
          <w:rFonts w:eastAsia="宋体"/>
          <w:sz w:val="24"/>
          <w:highlight w:val="none"/>
        </w:rPr>
        <w:t>1</w:t>
      </w:r>
      <w:r>
        <w:rPr>
          <w:rFonts w:hint="eastAsia" w:eastAsia="宋体"/>
          <w:sz w:val="24"/>
          <w:highlight w:val="none"/>
        </w:rPr>
        <w:t>）投标（响应）报价低于全部通过符合性审查供应商投标（响应）报价平均值</w:t>
      </w:r>
      <w:r>
        <w:rPr>
          <w:rFonts w:hint="eastAsia" w:eastAsia="宋体"/>
          <w:sz w:val="24"/>
          <w:highlight w:val="none"/>
          <w:u w:val="single"/>
          <w:lang w:val="en-US" w:eastAsia="zh-CN"/>
        </w:rPr>
        <w:t>50</w:t>
      </w:r>
      <w:r>
        <w:rPr>
          <w:rFonts w:eastAsia="宋体"/>
          <w:sz w:val="24"/>
          <w:highlight w:val="none"/>
        </w:rPr>
        <w:t>%</w:t>
      </w:r>
      <w:r>
        <w:rPr>
          <w:rFonts w:hint="eastAsia" w:eastAsia="宋体"/>
          <w:sz w:val="24"/>
          <w:highlight w:val="none"/>
        </w:rPr>
        <w:t>的，即投标（响应）报价</w:t>
      </w:r>
      <w:r>
        <w:rPr>
          <w:rFonts w:eastAsia="宋体"/>
          <w:sz w:val="24"/>
          <w:highlight w:val="none"/>
        </w:rPr>
        <w:t>&lt;</w:t>
      </w:r>
      <w:r>
        <w:rPr>
          <w:rFonts w:hint="eastAsia" w:eastAsia="宋体"/>
          <w:sz w:val="24"/>
          <w:highlight w:val="none"/>
        </w:rPr>
        <w:t>全部通过符合性审查供应商投标（响应）报价平均值×</w:t>
      </w:r>
      <w:r>
        <w:rPr>
          <w:rFonts w:hint="eastAsia" w:eastAsia="宋体"/>
          <w:sz w:val="24"/>
          <w:highlight w:val="none"/>
          <w:u w:val="single"/>
          <w:lang w:val="en-US" w:eastAsia="zh-CN"/>
        </w:rPr>
        <w:t>50</w:t>
      </w:r>
      <w:r>
        <w:rPr>
          <w:rFonts w:eastAsia="宋体"/>
          <w:sz w:val="24"/>
          <w:highlight w:val="none"/>
        </w:rPr>
        <w:t>%</w:t>
      </w:r>
      <w:r>
        <w:rPr>
          <w:rFonts w:hint="eastAsia" w:eastAsia="宋体"/>
          <w:sz w:val="24"/>
          <w:highlight w:val="none"/>
        </w:rPr>
        <w:t>；</w:t>
      </w:r>
    </w:p>
    <w:p w14:paraId="4B97EB58">
      <w:pPr>
        <w:snapToGrid w:val="0"/>
        <w:spacing w:after="0" w:line="360" w:lineRule="auto"/>
        <w:ind w:left="1980"/>
        <w:rPr>
          <w:rFonts w:eastAsia="宋体"/>
          <w:sz w:val="24"/>
          <w:highlight w:val="none"/>
        </w:rPr>
      </w:pPr>
      <w:r>
        <w:rPr>
          <w:rFonts w:hint="eastAsia" w:eastAsia="宋体"/>
          <w:sz w:val="24"/>
          <w:highlight w:val="none"/>
        </w:rPr>
        <w:t>（</w:t>
      </w:r>
      <w:r>
        <w:rPr>
          <w:rFonts w:eastAsia="宋体"/>
          <w:sz w:val="24"/>
          <w:highlight w:val="none"/>
        </w:rPr>
        <w:t>2</w:t>
      </w:r>
      <w:r>
        <w:rPr>
          <w:rFonts w:hint="eastAsia" w:eastAsia="宋体"/>
          <w:sz w:val="24"/>
          <w:highlight w:val="none"/>
        </w:rPr>
        <w:t>）投标（响应）报价低于通过符合性审查的次低报价供应商投标（响应）报价</w:t>
      </w:r>
      <w:r>
        <w:rPr>
          <w:rFonts w:hint="eastAsia" w:eastAsia="宋体"/>
          <w:sz w:val="24"/>
          <w:highlight w:val="none"/>
          <w:u w:val="single"/>
          <w:lang w:val="en-US" w:eastAsia="zh-CN"/>
        </w:rPr>
        <w:t>50</w:t>
      </w:r>
      <w:r>
        <w:rPr>
          <w:rFonts w:eastAsia="宋体"/>
          <w:sz w:val="24"/>
          <w:highlight w:val="none"/>
        </w:rPr>
        <w:t>%</w:t>
      </w:r>
      <w:r>
        <w:rPr>
          <w:rFonts w:hint="eastAsia" w:eastAsia="宋体"/>
          <w:sz w:val="24"/>
          <w:highlight w:val="none"/>
        </w:rPr>
        <w:t>的，即投标（响应）报价</w:t>
      </w:r>
      <w:r>
        <w:rPr>
          <w:rFonts w:eastAsia="宋体"/>
          <w:sz w:val="24"/>
          <w:highlight w:val="none"/>
        </w:rPr>
        <w:t>&lt;</w:t>
      </w:r>
      <w:r>
        <w:rPr>
          <w:rFonts w:hint="eastAsia" w:eastAsia="宋体"/>
          <w:sz w:val="24"/>
          <w:highlight w:val="none"/>
        </w:rPr>
        <w:t>通过符合性审查的次低报价供应商投标（响应）报价×</w:t>
      </w:r>
      <w:r>
        <w:rPr>
          <w:rFonts w:hint="eastAsia" w:eastAsia="宋体"/>
          <w:sz w:val="24"/>
          <w:highlight w:val="none"/>
          <w:u w:val="single"/>
          <w:lang w:val="en-US" w:eastAsia="zh-CN"/>
        </w:rPr>
        <w:t>50</w:t>
      </w:r>
      <w:r>
        <w:rPr>
          <w:rFonts w:eastAsia="宋体"/>
          <w:sz w:val="24"/>
          <w:highlight w:val="none"/>
        </w:rPr>
        <w:t>%</w:t>
      </w:r>
      <w:r>
        <w:rPr>
          <w:rFonts w:hint="eastAsia" w:eastAsia="宋体"/>
          <w:sz w:val="24"/>
          <w:highlight w:val="none"/>
        </w:rPr>
        <w:t>；</w:t>
      </w:r>
    </w:p>
    <w:p w14:paraId="25CD80EB">
      <w:pPr>
        <w:snapToGrid w:val="0"/>
        <w:spacing w:after="0" w:line="360" w:lineRule="auto"/>
        <w:ind w:left="1980"/>
        <w:rPr>
          <w:rFonts w:eastAsia="宋体"/>
          <w:sz w:val="24"/>
          <w:highlight w:val="none"/>
        </w:rPr>
      </w:pPr>
      <w:r>
        <w:rPr>
          <w:rFonts w:hint="eastAsia" w:eastAsia="宋体"/>
          <w:sz w:val="24"/>
          <w:highlight w:val="none"/>
        </w:rPr>
        <w:t>（</w:t>
      </w:r>
      <w:r>
        <w:rPr>
          <w:rFonts w:eastAsia="宋体"/>
          <w:sz w:val="24"/>
          <w:highlight w:val="none"/>
        </w:rPr>
        <w:t>3</w:t>
      </w:r>
      <w:r>
        <w:rPr>
          <w:rFonts w:hint="eastAsia" w:eastAsia="宋体"/>
          <w:sz w:val="24"/>
          <w:highlight w:val="none"/>
        </w:rPr>
        <w:t>）投标（响应）报价低于采购项目最高限价</w:t>
      </w:r>
      <w:r>
        <w:rPr>
          <w:rFonts w:hint="eastAsia" w:eastAsia="宋体"/>
          <w:sz w:val="24"/>
          <w:highlight w:val="none"/>
          <w:u w:val="single"/>
          <w:lang w:val="en-US" w:eastAsia="zh-CN"/>
        </w:rPr>
        <w:t>45</w:t>
      </w:r>
      <w:r>
        <w:rPr>
          <w:rFonts w:eastAsia="宋体"/>
          <w:sz w:val="24"/>
          <w:highlight w:val="none"/>
        </w:rPr>
        <w:t>%</w:t>
      </w:r>
      <w:r>
        <w:rPr>
          <w:rFonts w:hint="eastAsia" w:eastAsia="宋体"/>
          <w:sz w:val="24"/>
          <w:highlight w:val="none"/>
        </w:rPr>
        <w:t>的，即投标（响应）报价</w:t>
      </w:r>
      <w:r>
        <w:rPr>
          <w:rFonts w:eastAsia="宋体"/>
          <w:sz w:val="24"/>
          <w:highlight w:val="none"/>
        </w:rPr>
        <w:t>&lt;</w:t>
      </w:r>
      <w:r>
        <w:rPr>
          <w:rFonts w:hint="eastAsia" w:eastAsia="宋体"/>
          <w:sz w:val="24"/>
          <w:highlight w:val="none"/>
        </w:rPr>
        <w:t>采购项目最高限价×</w:t>
      </w:r>
      <w:r>
        <w:rPr>
          <w:rFonts w:hint="eastAsia" w:eastAsia="宋体"/>
          <w:sz w:val="24"/>
          <w:highlight w:val="none"/>
          <w:u w:val="single"/>
          <w:lang w:val="en-US" w:eastAsia="zh-CN"/>
        </w:rPr>
        <w:t>45</w:t>
      </w:r>
      <w:r>
        <w:rPr>
          <w:rFonts w:eastAsia="宋体"/>
          <w:sz w:val="24"/>
          <w:highlight w:val="none"/>
        </w:rPr>
        <w:t>%</w:t>
      </w:r>
      <w:r>
        <w:rPr>
          <w:rFonts w:hint="eastAsia" w:eastAsia="宋体"/>
          <w:sz w:val="24"/>
          <w:highlight w:val="none"/>
        </w:rPr>
        <w:t>；未设定最高限价的采购项目，以采购项目预算金额作为最高限价；</w:t>
      </w:r>
    </w:p>
    <w:p w14:paraId="1F94DBF8">
      <w:pPr>
        <w:snapToGrid w:val="0"/>
        <w:spacing w:after="0" w:line="360" w:lineRule="auto"/>
        <w:ind w:left="1980"/>
        <w:rPr>
          <w:rFonts w:eastAsia="宋体"/>
          <w:sz w:val="24"/>
          <w:highlight w:val="none"/>
        </w:rPr>
      </w:pPr>
      <w:r>
        <w:rPr>
          <w:rFonts w:hint="eastAsia" w:eastAsia="宋体"/>
          <w:sz w:val="24"/>
          <w:highlight w:val="none"/>
        </w:rPr>
        <w:t>（</w:t>
      </w:r>
      <w:r>
        <w:rPr>
          <w:rFonts w:eastAsia="宋体"/>
          <w:sz w:val="24"/>
          <w:highlight w:val="none"/>
        </w:rPr>
        <w:t>4</w:t>
      </w:r>
      <w:r>
        <w:rPr>
          <w:rFonts w:hint="eastAsia" w:eastAsia="宋体"/>
          <w:sz w:val="24"/>
          <w:highlight w:val="none"/>
        </w:rPr>
        <w:t>）评审委员会基于专业判断，认为供应商报价过低，有可能影响产品质量或者不能诚信履约的其他情形。</w:t>
      </w:r>
    </w:p>
    <w:p w14:paraId="40E59714">
      <w:pPr>
        <w:numPr>
          <w:ilvl w:val="2"/>
          <w:numId w:val="10"/>
        </w:numPr>
        <w:snapToGrid w:val="0"/>
        <w:spacing w:after="0" w:line="360" w:lineRule="auto"/>
        <w:rPr>
          <w:rFonts w:eastAsia="宋体"/>
          <w:sz w:val="24"/>
          <w:highlight w:val="none"/>
        </w:rPr>
      </w:pPr>
      <w:r>
        <w:rPr>
          <w:rFonts w:hint="eastAsia" w:eastAsia="宋体"/>
          <w:sz w:val="24"/>
          <w:highlight w:val="none"/>
        </w:rPr>
        <w:t>评审委员会启动异常低价投标（响应）审查后，属于前述第（</w:t>
      </w:r>
      <w:r>
        <w:rPr>
          <w:rFonts w:eastAsia="宋体"/>
          <w:sz w:val="24"/>
          <w:highlight w:val="none"/>
        </w:rPr>
        <w:t>1</w:t>
      </w:r>
      <w:r>
        <w:rPr>
          <w:rFonts w:hint="eastAsia" w:eastAsia="宋体"/>
          <w:sz w:val="24"/>
          <w:highlight w:val="none"/>
        </w:rPr>
        <w:t>）项至第（</w:t>
      </w:r>
      <w:r>
        <w:rPr>
          <w:rFonts w:eastAsia="宋体"/>
          <w:sz w:val="24"/>
          <w:highlight w:val="none"/>
        </w:rPr>
        <w:t>4</w:t>
      </w:r>
      <w:r>
        <w:rPr>
          <w:rFonts w:hint="eastAsia" w:eastAsia="宋体"/>
          <w:sz w:val="24"/>
          <w:highlight w:val="none"/>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eastAsia="宋体"/>
          <w:sz w:val="24"/>
          <w:highlight w:val="none"/>
        </w:rPr>
        <w:t>30</w:t>
      </w:r>
      <w:r>
        <w:rPr>
          <w:rFonts w:hint="eastAsia" w:eastAsia="宋体"/>
          <w:sz w:val="24"/>
          <w:highlight w:val="none"/>
        </w:rPr>
        <w:t>分钟。其中，属于第（</w:t>
      </w:r>
      <w:r>
        <w:rPr>
          <w:rFonts w:eastAsia="宋体"/>
          <w:sz w:val="24"/>
          <w:highlight w:val="none"/>
        </w:rPr>
        <w:t>3</w:t>
      </w:r>
      <w:r>
        <w:rPr>
          <w:rFonts w:hint="eastAsia" w:eastAsia="宋体"/>
          <w:sz w:val="24"/>
          <w:highlight w:val="none"/>
        </w:rPr>
        <w:t>）项情形，供应商已随投标（响应）文件一并提交相关书面说明及必要的证明材料的，在评审现场可不再重复提交。</w:t>
      </w:r>
    </w:p>
    <w:p w14:paraId="433CD6C1">
      <w:pPr>
        <w:numPr>
          <w:ilvl w:val="2"/>
          <w:numId w:val="10"/>
        </w:numPr>
        <w:snapToGrid w:val="0"/>
        <w:spacing w:after="0" w:line="360" w:lineRule="auto"/>
        <w:rPr>
          <w:rFonts w:hint="eastAsia" w:ascii="宋体" w:hAnsi="宋体" w:eastAsia="宋体" w:cs="宋体"/>
          <w:i w:val="0"/>
          <w:iCs w:val="0"/>
          <w:sz w:val="24"/>
          <w:highlight w:val="none"/>
        </w:rPr>
      </w:pPr>
      <w:r>
        <w:rPr>
          <w:rFonts w:hint="eastAsia" w:eastAsia="宋体"/>
          <w:sz w:val="24"/>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rFonts w:hint="eastAsia" w:eastAsia="宋体"/>
          <w:sz w:val="24"/>
          <w:highlight w:val="none"/>
          <w:lang w:eastAsia="zh-CN"/>
        </w:rPr>
        <w:t>无效响应</w:t>
      </w:r>
      <w:r>
        <w:rPr>
          <w:rFonts w:hint="eastAsia" w:eastAsia="宋体"/>
          <w:sz w:val="24"/>
          <w:highlight w:val="none"/>
        </w:rPr>
        <w:t>（响应）处理。</w:t>
      </w:r>
      <w:bookmarkStart w:id="635" w:name="_Hlk190337965"/>
    </w:p>
    <w:p w14:paraId="48767B9D">
      <w:pPr>
        <w:numPr>
          <w:ilvl w:val="2"/>
          <w:numId w:val="10"/>
        </w:numPr>
        <w:snapToGrid w:val="0"/>
        <w:spacing w:after="0" w:line="360" w:lineRule="auto"/>
        <w:rPr>
          <w:rFonts w:hint="eastAsia" w:ascii="宋体" w:hAnsi="宋体" w:eastAsia="宋体" w:cs="宋体"/>
          <w:i w:val="0"/>
          <w:iCs w:val="0"/>
          <w:sz w:val="24"/>
          <w:highlight w:val="none"/>
        </w:rPr>
      </w:pPr>
      <w:r>
        <w:rPr>
          <w:rFonts w:hint="eastAsia" w:eastAsia="宋体"/>
          <w:sz w:val="24"/>
          <w:highlight w:val="none"/>
        </w:rPr>
        <w:t>上述投标（响应）报价指按照本章</w:t>
      </w:r>
      <w:r>
        <w:rPr>
          <w:rFonts w:eastAsia="宋体"/>
          <w:sz w:val="24"/>
          <w:highlight w:val="none"/>
        </w:rPr>
        <w:t>3.2</w:t>
      </w:r>
      <w:r>
        <w:rPr>
          <w:rFonts w:hint="eastAsia" w:eastAsia="宋体"/>
          <w:sz w:val="24"/>
          <w:highlight w:val="none"/>
        </w:rPr>
        <w:t>修正后的报价</w:t>
      </w:r>
      <w:bookmarkEnd w:id="635"/>
      <w:r>
        <w:rPr>
          <w:rFonts w:hint="eastAsia" w:eastAsia="宋体"/>
          <w:sz w:val="24"/>
          <w:highlight w:val="none"/>
          <w:lang w:eastAsia="zh-CN"/>
        </w:rPr>
        <w:t>。</w:t>
      </w:r>
    </w:p>
    <w:p w14:paraId="222ADE5F">
      <w:pPr>
        <w:pageBreakBefore w:val="0"/>
        <w:numPr>
          <w:ilvl w:val="1"/>
          <w:numId w:val="10"/>
        </w:numPr>
        <w:tabs>
          <w:tab w:val="left" w:pos="1080"/>
          <w:tab w:val="left" w:pos="1872"/>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napToGrid w:val="0"/>
          <w:sz w:val="24"/>
          <w:highlight w:val="none"/>
        </w:rPr>
        <w:t>磋商文件能够详细列明采购标的的技术、服务要求的，磋商结束后，磋商小组应当要求所有实质性响应的供应商在规定时间内提交最后报价，提交最后报价的供应商不得少于3家。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r>
        <w:rPr>
          <w:rFonts w:hint="eastAsia" w:ascii="宋体" w:hAnsi="宋体" w:eastAsia="宋体" w:cs="宋体"/>
          <w:i w:val="0"/>
          <w:iCs w:val="0"/>
          <w:sz w:val="24"/>
          <w:highlight w:val="none"/>
        </w:rPr>
        <w:t>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w:t>
      </w:r>
    </w:p>
    <w:p w14:paraId="400E75E1">
      <w:pPr>
        <w:pageBreakBefore w:val="0"/>
        <w:numPr>
          <w:ilvl w:val="1"/>
          <w:numId w:val="10"/>
        </w:numPr>
        <w:tabs>
          <w:tab w:val="left" w:pos="1080"/>
          <w:tab w:val="left" w:pos="1872"/>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最后报价是供应商响应文件的有效组成部分。</w:t>
      </w:r>
    </w:p>
    <w:p w14:paraId="5D21F013">
      <w:pPr>
        <w:pageBreakBefore w:val="0"/>
        <w:numPr>
          <w:ilvl w:val="1"/>
          <w:numId w:val="10"/>
        </w:numPr>
        <w:tabs>
          <w:tab w:val="left" w:pos="1080"/>
          <w:tab w:val="left" w:pos="1872"/>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已提交响应文件的供应商，在提交最后报价之前，可以根据磋商情况退出磋商。</w:t>
      </w:r>
    </w:p>
    <w:p w14:paraId="17EC9EC0">
      <w:pPr>
        <w:pageBreakBefore w:val="0"/>
        <w:numPr>
          <w:ilvl w:val="0"/>
          <w:numId w:val="10"/>
        </w:numPr>
        <w:tabs>
          <w:tab w:val="left" w:pos="360"/>
        </w:tabs>
        <w:wordWrap w:val="0"/>
        <w:topLinePunct w:val="0"/>
        <w:bidi w:val="0"/>
        <w:snapToGrid w:val="0"/>
        <w:spacing w:after="0" w:line="360" w:lineRule="auto"/>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最后报价的算术修正及政策调整</w:t>
      </w:r>
    </w:p>
    <w:p w14:paraId="5C8DD637">
      <w:pPr>
        <w:pageBreakBefore w:val="0"/>
        <w:numPr>
          <w:ilvl w:val="1"/>
          <w:numId w:val="10"/>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最后报价须包含竞争性磋商文件全部内容，如最后分项报价表有缺漏视为已含在其他各项报价中，将不对最后报价总价进行调整。磋商小组有权要求供应商在评审现场合理的时间内对此进行书面确认，供应商不确认的，视为将一个采购包中的内容拆开响应，其</w:t>
      </w:r>
      <w:r>
        <w:rPr>
          <w:rFonts w:hint="eastAsia" w:ascii="宋体" w:hAnsi="宋体" w:eastAsia="宋体" w:cs="宋体"/>
          <w:b/>
          <w:i w:val="0"/>
          <w:iCs w:val="0"/>
          <w:sz w:val="24"/>
          <w:highlight w:val="none"/>
        </w:rPr>
        <w:t>响应无效</w:t>
      </w:r>
      <w:r>
        <w:rPr>
          <w:rFonts w:hint="eastAsia" w:ascii="宋体" w:hAnsi="宋体" w:eastAsia="宋体" w:cs="宋体"/>
          <w:i w:val="0"/>
          <w:iCs w:val="0"/>
          <w:sz w:val="24"/>
          <w:highlight w:val="none"/>
        </w:rPr>
        <w:t>。</w:t>
      </w:r>
    </w:p>
    <w:p w14:paraId="289466B9">
      <w:pPr>
        <w:pageBreakBefore w:val="0"/>
        <w:numPr>
          <w:ilvl w:val="1"/>
          <w:numId w:val="10"/>
        </w:numPr>
        <w:tabs>
          <w:tab w:val="left" w:pos="1080"/>
          <w:tab w:val="left" w:pos="1872"/>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最后报价出现前后不一致的，按照下列规定修正：</w:t>
      </w:r>
    </w:p>
    <w:p w14:paraId="1C96B110">
      <w:pPr>
        <w:pageBreakBefore w:val="0"/>
        <w:numPr>
          <w:ilvl w:val="2"/>
          <w:numId w:val="10"/>
        </w:numPr>
        <w:tabs>
          <w:tab w:val="left" w:pos="1080"/>
          <w:tab w:val="left" w:pos="1589"/>
          <w:tab w:val="left" w:pos="2035"/>
          <w:tab w:val="left" w:pos="2114"/>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竞争性磋商文件对于报价修正是否另有规定：</w:t>
      </w:r>
    </w:p>
    <w:p w14:paraId="64F38D1D">
      <w:pPr>
        <w:pageBreakBefore w:val="0"/>
        <w:tabs>
          <w:tab w:val="left" w:pos="1080"/>
          <w:tab w:val="left" w:pos="1589"/>
          <w:tab w:val="left" w:pos="2035"/>
          <w:tab w:val="left" w:pos="2114"/>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u w:val="single"/>
        </w:rPr>
      </w:pP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有，具体规定为：___________</w:t>
      </w:r>
    </w:p>
    <w:p w14:paraId="0B0749CD">
      <w:pPr>
        <w:pageBreakBefore w:val="0"/>
        <w:tabs>
          <w:tab w:val="left" w:pos="1080"/>
          <w:tab w:val="left" w:pos="1589"/>
          <w:tab w:val="left" w:pos="2035"/>
          <w:tab w:val="left" w:pos="2114"/>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■无，按下述3.2.2-3.2.</w:t>
      </w:r>
      <w:r>
        <w:rPr>
          <w:rFonts w:hint="eastAsia" w:ascii="宋体" w:hAnsi="宋体" w:cs="宋体"/>
          <w:i w:val="0"/>
          <w:iCs w:val="0"/>
          <w:sz w:val="24"/>
          <w:highlight w:val="none"/>
          <w:lang w:val="en-US" w:eastAsia="zh-CN"/>
        </w:rPr>
        <w:t>6</w:t>
      </w:r>
      <w:r>
        <w:rPr>
          <w:rFonts w:hint="eastAsia" w:ascii="宋体" w:hAnsi="宋体" w:eastAsia="宋体" w:cs="宋体"/>
          <w:i w:val="0"/>
          <w:iCs w:val="0"/>
          <w:sz w:val="24"/>
          <w:highlight w:val="none"/>
        </w:rPr>
        <w:t>项规定修正。</w:t>
      </w:r>
    </w:p>
    <w:p w14:paraId="3295308D">
      <w:pPr>
        <w:pageBreakBefore w:val="0"/>
        <w:numPr>
          <w:ilvl w:val="2"/>
          <w:numId w:val="10"/>
        </w:numPr>
        <w:tabs>
          <w:tab w:val="left" w:pos="2035"/>
          <w:tab w:val="left" w:pos="2114"/>
          <w:tab w:val="left" w:pos="2977"/>
        </w:tabs>
        <w:wordWrap w:val="0"/>
        <w:topLinePunct w:val="0"/>
        <w:bidi w:val="0"/>
        <w:snapToGrid w:val="0"/>
        <w:spacing w:after="0" w:line="360" w:lineRule="auto"/>
        <w:ind w:left="203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大写金额和小写金额不一致的，以大写金额为准；</w:t>
      </w:r>
    </w:p>
    <w:p w14:paraId="534F0383">
      <w:pPr>
        <w:pageBreakBefore w:val="0"/>
        <w:numPr>
          <w:ilvl w:val="2"/>
          <w:numId w:val="10"/>
        </w:numPr>
        <w:tabs>
          <w:tab w:val="left" w:pos="2035"/>
          <w:tab w:val="left" w:pos="2114"/>
          <w:tab w:val="left" w:pos="2977"/>
        </w:tabs>
        <w:wordWrap w:val="0"/>
        <w:topLinePunct w:val="0"/>
        <w:bidi w:val="0"/>
        <w:snapToGrid w:val="0"/>
        <w:spacing w:after="0" w:line="360" w:lineRule="auto"/>
        <w:ind w:left="203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单价金额小数点或者百分比有明显错位的，以总价为准，并修改单价；</w:t>
      </w:r>
    </w:p>
    <w:p w14:paraId="35C564F0">
      <w:pPr>
        <w:pageBreakBefore w:val="0"/>
        <w:numPr>
          <w:ilvl w:val="2"/>
          <w:numId w:val="10"/>
        </w:numPr>
        <w:tabs>
          <w:tab w:val="left" w:pos="2035"/>
          <w:tab w:val="left" w:pos="2114"/>
          <w:tab w:val="left" w:pos="2977"/>
        </w:tabs>
        <w:wordWrap w:val="0"/>
        <w:topLinePunct w:val="0"/>
        <w:bidi w:val="0"/>
        <w:snapToGrid w:val="0"/>
        <w:spacing w:after="0" w:line="360" w:lineRule="auto"/>
        <w:ind w:left="203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总价金额与按单价汇总金额不一致的，以单价金额计算结果为准。</w:t>
      </w:r>
    </w:p>
    <w:p w14:paraId="33D8E45D">
      <w:pPr>
        <w:pageBreakBefore w:val="0"/>
        <w:numPr>
          <w:ilvl w:val="2"/>
          <w:numId w:val="10"/>
        </w:numPr>
        <w:tabs>
          <w:tab w:val="left" w:pos="1080"/>
          <w:tab w:val="left" w:pos="1589"/>
          <w:tab w:val="left" w:pos="2035"/>
          <w:tab w:val="left" w:pos="2114"/>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同时出现两种以上不一致的，按照前款规定的顺序修正。</w:t>
      </w:r>
    </w:p>
    <w:p w14:paraId="14C9A5DE">
      <w:pPr>
        <w:pageBreakBefore w:val="0"/>
        <w:numPr>
          <w:ilvl w:val="2"/>
          <w:numId w:val="10"/>
        </w:numPr>
        <w:tabs>
          <w:tab w:val="left" w:pos="1080"/>
          <w:tab w:val="left" w:pos="1589"/>
          <w:tab w:val="left" w:pos="2035"/>
          <w:tab w:val="left" w:pos="2114"/>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修正后的报价经供应商书面确认后产生约束力，供应商不确认的，</w:t>
      </w:r>
      <w:r>
        <w:rPr>
          <w:rFonts w:hint="eastAsia" w:ascii="宋体" w:hAnsi="宋体" w:eastAsia="宋体" w:cs="宋体"/>
          <w:b/>
          <w:i w:val="0"/>
          <w:iCs w:val="0"/>
          <w:sz w:val="24"/>
          <w:highlight w:val="none"/>
        </w:rPr>
        <w:t>其响应无效</w:t>
      </w:r>
      <w:r>
        <w:rPr>
          <w:rFonts w:hint="eastAsia" w:ascii="宋体" w:hAnsi="宋体" w:eastAsia="宋体" w:cs="宋体"/>
          <w:i w:val="0"/>
          <w:iCs w:val="0"/>
          <w:sz w:val="24"/>
          <w:highlight w:val="none"/>
        </w:rPr>
        <w:t>。</w:t>
      </w:r>
    </w:p>
    <w:p w14:paraId="0C535BA1">
      <w:pPr>
        <w:pageBreakBefore w:val="0"/>
        <w:numPr>
          <w:ilvl w:val="1"/>
          <w:numId w:val="10"/>
        </w:numPr>
        <w:tabs>
          <w:tab w:val="left" w:pos="1080"/>
          <w:tab w:val="left" w:pos="1872"/>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落实政府采购政策的价格调整：只有符合第二章《供应商须知》4.2条规定情形的，可以享受中小企业扶持政策，用扣除后的价格参加评审；否则，评审时价格不予扣除。</w:t>
      </w:r>
    </w:p>
    <w:p w14:paraId="7D4A80C6">
      <w:pPr>
        <w:pageBreakBefore w:val="0"/>
        <w:numPr>
          <w:ilvl w:val="2"/>
          <w:numId w:val="10"/>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对于未预留份额专门面向中小企业采购的采购项目，以及预留份额项目中的非预留部分采购包，对小微企业报价给予</w:t>
      </w:r>
      <w:r>
        <w:rPr>
          <w:rFonts w:hint="eastAsia" w:ascii="宋体" w:hAnsi="宋体" w:cs="宋体"/>
          <w:i w:val="0"/>
          <w:iCs w:val="0"/>
          <w:sz w:val="24"/>
          <w:highlight w:val="none"/>
          <w:lang w:val="en-US" w:eastAsia="zh-CN"/>
        </w:rPr>
        <w:t>3</w:t>
      </w:r>
      <w:r>
        <w:rPr>
          <w:rFonts w:hint="eastAsia" w:ascii="宋体" w:hAnsi="宋体" w:eastAsia="宋体" w:cs="宋体"/>
          <w:i w:val="0"/>
          <w:iCs w:val="0"/>
          <w:sz w:val="24"/>
          <w:highlight w:val="none"/>
        </w:rPr>
        <w:t>%的扣除，用扣除后的价格参加评审。</w:t>
      </w:r>
    </w:p>
    <w:p w14:paraId="2CAC35C2">
      <w:pPr>
        <w:pageBreakBefore w:val="0"/>
        <w:numPr>
          <w:ilvl w:val="2"/>
          <w:numId w:val="10"/>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30%以上的联合体或者大中型企业的报价给予</w:t>
      </w:r>
      <w:r>
        <w:rPr>
          <w:rFonts w:hint="eastAsia" w:ascii="宋体" w:hAnsi="宋体" w:cs="宋体"/>
          <w:i w:val="0"/>
          <w:iCs w:val="0"/>
          <w:sz w:val="24"/>
          <w:highlight w:val="none"/>
          <w:lang w:val="en-US" w:eastAsia="zh-CN"/>
        </w:rPr>
        <w:t>1</w:t>
      </w:r>
      <w:r>
        <w:rPr>
          <w:rFonts w:hint="eastAsia" w:ascii="宋体" w:hAnsi="宋体" w:eastAsia="宋体" w:cs="宋体"/>
          <w:i w:val="0"/>
          <w:iCs w:val="0"/>
          <w:sz w:val="24"/>
          <w:highlight w:val="none"/>
        </w:rPr>
        <w:t>%的扣除，用扣除后的价格参加评审。</w:t>
      </w:r>
    </w:p>
    <w:p w14:paraId="74AD0479">
      <w:pPr>
        <w:pageBreakBefore w:val="0"/>
        <w:numPr>
          <w:ilvl w:val="2"/>
          <w:numId w:val="10"/>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组成联合体或者接受分包的小微企业与联合体内其他企业、分包企业之间存在直接控股、管理关系的，不享受价格扣除优惠政策。</w:t>
      </w:r>
    </w:p>
    <w:p w14:paraId="48CE0F36">
      <w:pPr>
        <w:pageBreakBefore w:val="0"/>
        <w:numPr>
          <w:ilvl w:val="2"/>
          <w:numId w:val="10"/>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价格扣除比例对小型企业和微型企业同等对待，不作区分。</w:t>
      </w:r>
    </w:p>
    <w:p w14:paraId="5F3D0C39">
      <w:pPr>
        <w:pageBreakBefore w:val="0"/>
        <w:numPr>
          <w:ilvl w:val="2"/>
          <w:numId w:val="10"/>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color w:val="000000"/>
          <w:sz w:val="24"/>
          <w:highlight w:val="none"/>
        </w:rPr>
        <w:t>中小企业参加政府采购活动，应当按照竞争性磋商文件给定的格式出具《中小企业声明函》，否则不得享受相关中小企业扶持政策。</w:t>
      </w:r>
    </w:p>
    <w:p w14:paraId="3077D700">
      <w:pPr>
        <w:pageBreakBefore w:val="0"/>
        <w:numPr>
          <w:ilvl w:val="2"/>
          <w:numId w:val="10"/>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监狱企业提供了由省级以上监狱管理局、戒毒管理局（含新疆生产建设兵团）出具的属于监狱企业的证明文件的，视同小微企业。</w:t>
      </w:r>
    </w:p>
    <w:p w14:paraId="3F1DAB53">
      <w:pPr>
        <w:pageBreakBefore w:val="0"/>
        <w:numPr>
          <w:ilvl w:val="2"/>
          <w:numId w:val="10"/>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残疾人福利性单位按竞争性磋商文件要求提供了《残疾人福利性单位声明函》的，视同小微企业。</w:t>
      </w:r>
    </w:p>
    <w:p w14:paraId="5251980E">
      <w:pPr>
        <w:pageBreakBefore w:val="0"/>
        <w:numPr>
          <w:ilvl w:val="2"/>
          <w:numId w:val="10"/>
        </w:numPr>
        <w:tabs>
          <w:tab w:val="left" w:pos="1080"/>
          <w:tab w:val="left" w:pos="1589"/>
          <w:tab w:val="left" w:pos="2014"/>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若供应商同时属于小型或微型企业、监狱企业、残疾人福利性单位中的两种及以上，将不重复享受小微企业价格扣减的优惠政策。</w:t>
      </w:r>
    </w:p>
    <w:p w14:paraId="5A5F06E6">
      <w:pPr>
        <w:numPr>
          <w:ilvl w:val="1"/>
          <w:numId w:val="10"/>
        </w:numPr>
        <w:tabs>
          <w:tab w:val="left" w:pos="1080"/>
        </w:tabs>
        <w:snapToGrid w:val="0"/>
        <w:spacing w:after="0" w:line="360" w:lineRule="auto"/>
        <w:ind w:left="1077" w:hanging="720"/>
        <w:rPr>
          <w:sz w:val="24"/>
          <w:highlight w:val="none"/>
        </w:rPr>
      </w:pPr>
      <w:r>
        <w:rPr>
          <w:rFonts w:hint="eastAsia"/>
          <w:sz w:val="24"/>
          <w:highlight w:val="none"/>
        </w:rPr>
        <w:t>支持本国产品政府采购</w:t>
      </w:r>
      <w:r>
        <w:rPr>
          <w:sz w:val="24"/>
          <w:highlight w:val="none"/>
        </w:rPr>
        <w:t>的价格调整：只有符合第二章《</w:t>
      </w:r>
      <w:r>
        <w:rPr>
          <w:rFonts w:hint="eastAsia"/>
          <w:sz w:val="24"/>
          <w:highlight w:val="none"/>
        </w:rPr>
        <w:t>供应商</w:t>
      </w:r>
      <w:r>
        <w:rPr>
          <w:sz w:val="24"/>
          <w:highlight w:val="none"/>
        </w:rPr>
        <w:t>须知》4.2条规定情形的，可以享受</w:t>
      </w:r>
      <w:r>
        <w:rPr>
          <w:rFonts w:hint="eastAsia"/>
          <w:sz w:val="24"/>
          <w:highlight w:val="none"/>
        </w:rPr>
        <w:t>本国产品支持</w:t>
      </w:r>
      <w:r>
        <w:rPr>
          <w:sz w:val="24"/>
          <w:highlight w:val="none"/>
        </w:rPr>
        <w:t>政策，用扣除后的价格参加评审；否则，评</w:t>
      </w:r>
      <w:r>
        <w:rPr>
          <w:rFonts w:hint="eastAsia"/>
          <w:sz w:val="24"/>
          <w:highlight w:val="none"/>
        </w:rPr>
        <w:t>审</w:t>
      </w:r>
      <w:r>
        <w:rPr>
          <w:sz w:val="24"/>
          <w:highlight w:val="none"/>
        </w:rPr>
        <w:t>时价格不予扣除。</w:t>
      </w:r>
    </w:p>
    <w:p w14:paraId="3DFBF13E">
      <w:pPr>
        <w:numPr>
          <w:ilvl w:val="2"/>
          <w:numId w:val="10"/>
        </w:numPr>
        <w:tabs>
          <w:tab w:val="left" w:pos="1080"/>
          <w:tab w:val="left" w:pos="2100"/>
          <w:tab w:val="clear" w:pos="1980"/>
        </w:tabs>
        <w:snapToGrid w:val="0"/>
        <w:spacing w:after="0" w:line="360" w:lineRule="auto"/>
        <w:ind w:left="2088" w:leftChars="502" w:hanging="1034" w:hangingChars="431"/>
        <w:rPr>
          <w:sz w:val="24"/>
          <w:highlight w:val="none"/>
        </w:rPr>
      </w:pPr>
      <w:r>
        <w:rPr>
          <w:rFonts w:hint="eastAsia"/>
          <w:sz w:val="24"/>
          <w:highlight w:val="none"/>
        </w:rPr>
        <w:t>本项目既有本国产品又有非本国产品参与竞争的，依法对本国产品给予价格评审优惠，对本国产品的报价给予20%的价格扣除，用扣除后的价格参与评审。</w:t>
      </w:r>
    </w:p>
    <w:p w14:paraId="55FDF4D9">
      <w:pPr>
        <w:numPr>
          <w:ilvl w:val="2"/>
          <w:numId w:val="10"/>
        </w:numPr>
        <w:tabs>
          <w:tab w:val="left" w:pos="1080"/>
          <w:tab w:val="left" w:pos="2100"/>
          <w:tab w:val="clear" w:pos="1980"/>
        </w:tabs>
        <w:snapToGrid w:val="0"/>
        <w:spacing w:after="0" w:line="360" w:lineRule="auto"/>
        <w:ind w:left="2088" w:leftChars="502" w:hanging="1034" w:hangingChars="431"/>
        <w:rPr>
          <w:sz w:val="24"/>
          <w:highlight w:val="none"/>
        </w:rPr>
      </w:pPr>
      <w:r>
        <w:rPr>
          <w:rFonts w:hint="eastAsia"/>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9D44FC3">
      <w:pPr>
        <w:numPr>
          <w:ilvl w:val="2"/>
          <w:numId w:val="10"/>
        </w:numPr>
        <w:tabs>
          <w:tab w:val="left" w:pos="1080"/>
          <w:tab w:val="left" w:pos="2100"/>
          <w:tab w:val="clear" w:pos="1980"/>
        </w:tabs>
        <w:snapToGrid w:val="0"/>
        <w:spacing w:after="0" w:line="360" w:lineRule="auto"/>
        <w:ind w:left="2088" w:leftChars="502" w:hanging="1034" w:hangingChars="431"/>
        <w:rPr>
          <w:rFonts w:hint="eastAsia" w:ascii="宋体" w:hAnsi="宋体" w:eastAsia="宋体" w:cs="宋体"/>
          <w:i w:val="0"/>
          <w:iCs w:val="0"/>
          <w:sz w:val="24"/>
          <w:highlight w:val="none"/>
        </w:rPr>
      </w:pPr>
      <w:r>
        <w:rPr>
          <w:rFonts w:hint="eastAsia"/>
          <w:sz w:val="24"/>
          <w:highlight w:val="none"/>
        </w:rPr>
        <w:t>供应商提供本国产品参加政府采购活动的，</w:t>
      </w:r>
      <w:r>
        <w:rPr>
          <w:sz w:val="24"/>
          <w:highlight w:val="none"/>
        </w:rPr>
        <w:t>应当按照</w:t>
      </w:r>
      <w:r>
        <w:rPr>
          <w:rFonts w:hint="eastAsia"/>
          <w:sz w:val="24"/>
          <w:highlight w:val="none"/>
        </w:rPr>
        <w:t>采购</w:t>
      </w:r>
      <w:r>
        <w:rPr>
          <w:sz w:val="24"/>
          <w:highlight w:val="none"/>
        </w:rPr>
        <w:t>文件给定的格式出具《</w:t>
      </w:r>
      <w:r>
        <w:rPr>
          <w:rFonts w:hint="eastAsia"/>
          <w:sz w:val="24"/>
          <w:highlight w:val="none"/>
        </w:rPr>
        <w:t>关于符合本国产品标准的声明函》或提供财政部会同有关部门规定的有关证明文件，否则视为非本国产品</w:t>
      </w:r>
      <w:r>
        <w:rPr>
          <w:rFonts w:hint="eastAsia"/>
          <w:sz w:val="24"/>
          <w:highlight w:val="none"/>
          <w:lang w:eastAsia="zh-CN"/>
        </w:rPr>
        <w:t>。</w:t>
      </w:r>
    </w:p>
    <w:p w14:paraId="7CFEB5E8">
      <w:pPr>
        <w:pageBreakBefore w:val="0"/>
        <w:numPr>
          <w:ilvl w:val="0"/>
          <w:numId w:val="10"/>
        </w:numPr>
        <w:tabs>
          <w:tab w:val="left" w:pos="360"/>
        </w:tabs>
        <w:wordWrap w:val="0"/>
        <w:topLinePunct w:val="0"/>
        <w:bidi w:val="0"/>
        <w:snapToGrid w:val="0"/>
        <w:spacing w:after="0" w:line="360" w:lineRule="auto"/>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磋商环节及提交最后报价后如出现以下情况的，供应商的</w:t>
      </w:r>
      <w:r>
        <w:rPr>
          <w:rFonts w:hint="eastAsia" w:ascii="宋体" w:hAnsi="宋体" w:eastAsia="宋体" w:cs="宋体"/>
          <w:b/>
          <w:i w:val="0"/>
          <w:iCs w:val="0"/>
          <w:sz w:val="24"/>
          <w:highlight w:val="none"/>
        </w:rPr>
        <w:t>响应文件无效</w:t>
      </w:r>
      <w:r>
        <w:rPr>
          <w:rFonts w:hint="eastAsia" w:ascii="宋体" w:hAnsi="宋体" w:eastAsia="宋体" w:cs="宋体"/>
          <w:i w:val="0"/>
          <w:iCs w:val="0"/>
          <w:sz w:val="24"/>
          <w:highlight w:val="none"/>
        </w:rPr>
        <w:t>：</w:t>
      </w:r>
    </w:p>
    <w:p w14:paraId="712F2950">
      <w:pPr>
        <w:pageBreakBefore w:val="0"/>
        <w:numPr>
          <w:ilvl w:val="1"/>
          <w:numId w:val="10"/>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供应商对实质性变动不予确认的；</w:t>
      </w:r>
    </w:p>
    <w:p w14:paraId="2DD49EEB">
      <w:pPr>
        <w:pageBreakBefore w:val="0"/>
        <w:numPr>
          <w:ilvl w:val="1"/>
          <w:numId w:val="10"/>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不满足磋商文件★号条款或磋商文件技术指标超出磋商文件《采购需求》中主要技术参数允许偏差的最大范围的（如有）；</w:t>
      </w:r>
    </w:p>
    <w:p w14:paraId="33BF7404">
      <w:pPr>
        <w:pageBreakBefore w:val="0"/>
        <w:numPr>
          <w:ilvl w:val="1"/>
          <w:numId w:val="10"/>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未按照磋商小组规定的时间、逾期提交最后报价的；</w:t>
      </w:r>
    </w:p>
    <w:p w14:paraId="642CBB82">
      <w:pPr>
        <w:pageBreakBefore w:val="0"/>
        <w:numPr>
          <w:ilvl w:val="1"/>
          <w:numId w:val="10"/>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如供应商的最后报价超过竞争性磋商文件中规定的项目/采购包预算金额或者项目/采购包最高限价的；</w:t>
      </w:r>
    </w:p>
    <w:p w14:paraId="7C2A7701">
      <w:pPr>
        <w:pageBreakBefore w:val="0"/>
        <w:numPr>
          <w:ilvl w:val="1"/>
          <w:numId w:val="10"/>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响应文件中出现可选择性或可调整的报价的（竞争性磋商文件另有规定的除外）；</w:t>
      </w:r>
    </w:p>
    <w:p w14:paraId="2BA8F4ED">
      <w:pPr>
        <w:pageBreakBefore w:val="0"/>
        <w:numPr>
          <w:ilvl w:val="1"/>
          <w:numId w:val="10"/>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最后报价出现前后不一致，供应商对修正后的报价不予确认的；</w:t>
      </w:r>
    </w:p>
    <w:p w14:paraId="6992525E">
      <w:pPr>
        <w:pageBreakBefore w:val="0"/>
        <w:numPr>
          <w:ilvl w:val="1"/>
          <w:numId w:val="10"/>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其他：供应商、响应文件不存在不符合法律、法规和磋商文件规定的其他无效情形。</w:t>
      </w:r>
    </w:p>
    <w:bookmarkEnd w:id="618"/>
    <w:bookmarkEnd w:id="619"/>
    <w:p w14:paraId="6D391102">
      <w:pPr>
        <w:pageBreakBefore w:val="0"/>
        <w:numPr>
          <w:ilvl w:val="0"/>
          <w:numId w:val="10"/>
        </w:numPr>
        <w:tabs>
          <w:tab w:val="left" w:pos="360"/>
        </w:tabs>
        <w:wordWrap w:val="0"/>
        <w:topLinePunct w:val="0"/>
        <w:bidi w:val="0"/>
        <w:snapToGrid w:val="0"/>
        <w:spacing w:after="0" w:line="360" w:lineRule="auto"/>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评审方法和评审标准</w:t>
      </w:r>
    </w:p>
    <w:p w14:paraId="64C1E25A">
      <w:pPr>
        <w:pageBreakBefore w:val="0"/>
        <w:numPr>
          <w:ilvl w:val="1"/>
          <w:numId w:val="10"/>
        </w:numPr>
        <w:tabs>
          <w:tab w:val="left" w:pos="1080"/>
          <w:tab w:val="left" w:pos="1872"/>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 xml:space="preserve">本项目采用的评审方法为：本项目的评审采用综合评分法。综合评分法，是指响应文件满足磋商文件全部实质性要求且按评审因素的量化指标评审得分最高的供应商为成交候选供应商的评审方法。  </w:t>
      </w:r>
    </w:p>
    <w:p w14:paraId="4E5DA6A6">
      <w:pPr>
        <w:pageBreakBefore w:val="0"/>
        <w:numPr>
          <w:ilvl w:val="1"/>
          <w:numId w:val="10"/>
        </w:numPr>
        <w:tabs>
          <w:tab w:val="left" w:pos="1080"/>
          <w:tab w:val="left" w:pos="1872"/>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竞争性磋商文件中没有规定的评审标准不得作为评审依据。</w:t>
      </w:r>
    </w:p>
    <w:p w14:paraId="6820583A">
      <w:pPr>
        <w:pageBreakBefore w:val="0"/>
        <w:numPr>
          <w:ilvl w:val="1"/>
          <w:numId w:val="10"/>
        </w:numPr>
        <w:tabs>
          <w:tab w:val="left" w:pos="1080"/>
          <w:tab w:val="left" w:pos="1872"/>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非政府强制采购的节能产品或环境标志产品，依据品目清单和认证证书实施政府优先采购。优先采购的具体规定（如涉及）</w:t>
      </w:r>
      <w:r>
        <w:rPr>
          <w:rFonts w:hint="eastAsia" w:ascii="宋体" w:hAnsi="宋体" w:eastAsia="宋体" w:cs="宋体"/>
          <w:i w:val="0"/>
          <w:iCs w:val="0"/>
          <w:sz w:val="24"/>
          <w:highlight w:val="none"/>
          <w:u w:val="single"/>
          <w:lang w:val="en-US" w:eastAsia="zh-CN"/>
        </w:rPr>
        <w:t>无</w:t>
      </w:r>
      <w:r>
        <w:rPr>
          <w:rFonts w:hint="eastAsia" w:ascii="宋体" w:hAnsi="宋体" w:eastAsia="宋体" w:cs="宋体"/>
          <w:i w:val="0"/>
          <w:iCs w:val="0"/>
          <w:sz w:val="24"/>
          <w:highlight w:val="none"/>
        </w:rPr>
        <w:t>。</w:t>
      </w:r>
    </w:p>
    <w:p w14:paraId="10BE7258">
      <w:pPr>
        <w:pageBreakBefore w:val="0"/>
        <w:numPr>
          <w:ilvl w:val="0"/>
          <w:numId w:val="10"/>
        </w:numPr>
        <w:tabs>
          <w:tab w:val="left" w:pos="360"/>
        </w:tabs>
        <w:wordWrap w:val="0"/>
        <w:topLinePunct w:val="0"/>
        <w:bidi w:val="0"/>
        <w:snapToGrid w:val="0"/>
        <w:spacing w:after="0" w:line="360" w:lineRule="auto"/>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确定</w:t>
      </w:r>
      <w:bookmarkStart w:id="636" w:name="_Toc149720839"/>
      <w:bookmarkStart w:id="637" w:name="_Toc151193860"/>
      <w:bookmarkStart w:id="638" w:name="_Toc151193788"/>
      <w:bookmarkStart w:id="639" w:name="_Toc150774646"/>
      <w:bookmarkStart w:id="640" w:name="_Toc150774751"/>
      <w:bookmarkStart w:id="641" w:name="_Toc150509297"/>
      <w:bookmarkStart w:id="642" w:name="_Toc151193644"/>
      <w:bookmarkStart w:id="643" w:name="_Toc150480784"/>
      <w:bookmarkStart w:id="644" w:name="_Toc226965819"/>
      <w:bookmarkStart w:id="645" w:name="_Toc127151747"/>
      <w:bookmarkStart w:id="646" w:name="_Toc164229387"/>
      <w:bookmarkStart w:id="647" w:name="_Toc520356170"/>
      <w:bookmarkStart w:id="648" w:name="_Ref467307010"/>
      <w:bookmarkStart w:id="649" w:name="_Toc164608660"/>
      <w:bookmarkStart w:id="650" w:name="_Toc151193934"/>
      <w:bookmarkStart w:id="651" w:name="_Toc142311048"/>
      <w:bookmarkStart w:id="652" w:name="_Toc164608815"/>
      <w:bookmarkStart w:id="653" w:name="_Toc151193716"/>
      <w:bookmarkStart w:id="654" w:name="_Toc264969236"/>
      <w:bookmarkStart w:id="655" w:name="_Toc265228384"/>
      <w:bookmarkStart w:id="656" w:name="_Toc305158888"/>
      <w:bookmarkStart w:id="657" w:name="_Toc127161460"/>
      <w:bookmarkStart w:id="658" w:name="_Toc127151546"/>
      <w:bookmarkStart w:id="659" w:name="_Toc226965736"/>
      <w:bookmarkStart w:id="660" w:name="_Toc195842911"/>
      <w:bookmarkStart w:id="661" w:name="_Toc226337242"/>
      <w:bookmarkStart w:id="662" w:name="_Toc164351640"/>
      <w:bookmarkStart w:id="663" w:name="_Toc151190173"/>
      <w:bookmarkStart w:id="664" w:name="_Toc305158814"/>
      <w:bookmarkStart w:id="665" w:name="_Toc226309790"/>
      <w:bookmarkStart w:id="666" w:name="_Toc164229241"/>
      <w:r>
        <w:rPr>
          <w:rFonts w:hint="eastAsia" w:ascii="宋体" w:hAnsi="宋体" w:eastAsia="宋体" w:cs="宋体"/>
          <w:i w:val="0"/>
          <w:iCs w:val="0"/>
          <w:sz w:val="24"/>
          <w:highlight w:val="none"/>
        </w:rPr>
        <w:t>成交候选人名单</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14:paraId="38EA4B46">
      <w:pPr>
        <w:pageBreakBefore w:val="0"/>
        <w:numPr>
          <w:ilvl w:val="1"/>
          <w:numId w:val="10"/>
        </w:numPr>
        <w:tabs>
          <w:tab w:val="left" w:pos="1080"/>
          <w:tab w:val="left" w:pos="1872"/>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 xml:space="preserve">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第三位四舍五入。 </w:t>
      </w:r>
    </w:p>
    <w:p w14:paraId="3C321318">
      <w:pPr>
        <w:pageBreakBefore w:val="0"/>
        <w:numPr>
          <w:ilvl w:val="1"/>
          <w:numId w:val="10"/>
        </w:numPr>
        <w:tabs>
          <w:tab w:val="left" w:pos="1080"/>
          <w:tab w:val="left" w:pos="1872"/>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kern w:val="0"/>
          <w:sz w:val="24"/>
          <w:szCs w:val="20"/>
          <w:highlight w:val="none"/>
        </w:rPr>
        <w:t>磋商小组根据上述供应商排序，依次推荐排序前</w:t>
      </w:r>
      <w:r>
        <w:rPr>
          <w:rFonts w:hint="eastAsia" w:ascii="宋体" w:hAnsi="宋体" w:eastAsia="宋体" w:cs="宋体"/>
          <w:i w:val="0"/>
          <w:iCs w:val="0"/>
          <w:sz w:val="24"/>
          <w:highlight w:val="none"/>
          <w:lang w:val="en-US" w:eastAsia="zh-CN"/>
        </w:rPr>
        <w:t>3</w:t>
      </w:r>
      <w:r>
        <w:rPr>
          <w:rFonts w:hint="eastAsia" w:ascii="宋体" w:hAnsi="宋体" w:eastAsia="宋体" w:cs="宋体"/>
          <w:i w:val="0"/>
          <w:iCs w:val="0"/>
          <w:sz w:val="24"/>
          <w:highlight w:val="none"/>
        </w:rPr>
        <w:t>名</w:t>
      </w:r>
      <w:r>
        <w:rPr>
          <w:rFonts w:hint="eastAsia" w:ascii="宋体" w:hAnsi="宋体" w:eastAsia="宋体" w:cs="宋体"/>
          <w:i w:val="0"/>
          <w:iCs w:val="0"/>
          <w:kern w:val="0"/>
          <w:sz w:val="24"/>
          <w:szCs w:val="20"/>
          <w:highlight w:val="none"/>
        </w:rPr>
        <w:t>的供应商为</w:t>
      </w:r>
      <w:r>
        <w:rPr>
          <w:rFonts w:hint="eastAsia" w:ascii="宋体" w:hAnsi="宋体" w:eastAsia="宋体" w:cs="宋体"/>
          <w:i w:val="0"/>
          <w:iCs w:val="0"/>
          <w:snapToGrid w:val="0"/>
          <w:kern w:val="0"/>
          <w:sz w:val="24"/>
          <w:szCs w:val="21"/>
          <w:highlight w:val="none"/>
        </w:rPr>
        <w:t>成交候选供应商</w:t>
      </w:r>
      <w:r>
        <w:rPr>
          <w:rFonts w:hint="eastAsia" w:ascii="宋体" w:hAnsi="宋体" w:eastAsia="宋体" w:cs="宋体"/>
          <w:i w:val="0"/>
          <w:iCs w:val="0"/>
          <w:kern w:val="0"/>
          <w:sz w:val="24"/>
          <w:szCs w:val="20"/>
          <w:highlight w:val="none"/>
        </w:rPr>
        <w:t>（若在磋商文件允许的情形下提交最后报价的供应商为二家，则依次推荐二名供应商为成交候选供应商），并编写评审报告。</w:t>
      </w:r>
    </w:p>
    <w:p w14:paraId="632EC9D9">
      <w:pPr>
        <w:pageBreakBefore w:val="0"/>
        <w:numPr>
          <w:ilvl w:val="1"/>
          <w:numId w:val="10"/>
        </w:numPr>
        <w:tabs>
          <w:tab w:val="left" w:pos="1080"/>
          <w:tab w:val="left" w:pos="1872"/>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磋商小组要对评分汇总情况进行复核，特别是对排名第一的、报价最低的、响应文件被认定为无效的情形进行重点复核。</w:t>
      </w:r>
    </w:p>
    <w:p w14:paraId="0A031497">
      <w:pPr>
        <w:pageBreakBefore w:val="0"/>
        <w:numPr>
          <w:ilvl w:val="0"/>
          <w:numId w:val="10"/>
        </w:numPr>
        <w:tabs>
          <w:tab w:val="left" w:pos="360"/>
        </w:tabs>
        <w:wordWrap w:val="0"/>
        <w:topLinePunct w:val="0"/>
        <w:bidi w:val="0"/>
        <w:snapToGrid w:val="0"/>
        <w:spacing w:after="0" w:line="360" w:lineRule="auto"/>
        <w:textAlignment w:val="auto"/>
        <w:outlineLvl w:val="2"/>
        <w:rPr>
          <w:rFonts w:hint="eastAsia" w:ascii="宋体" w:hAnsi="宋体" w:eastAsia="宋体" w:cs="宋体"/>
          <w:i w:val="0"/>
          <w:iCs w:val="0"/>
          <w:sz w:val="24"/>
        </w:rPr>
      </w:pPr>
      <w:r>
        <w:rPr>
          <w:rFonts w:hint="eastAsia" w:ascii="宋体" w:hAnsi="宋体" w:eastAsia="宋体" w:cs="宋体"/>
          <w:i w:val="0"/>
          <w:iCs w:val="0"/>
          <w:sz w:val="24"/>
        </w:rPr>
        <w:t>报告违法行为</w:t>
      </w:r>
    </w:p>
    <w:p w14:paraId="7E8D6088">
      <w:pPr>
        <w:pageBreakBefore w:val="0"/>
        <w:widowControl/>
        <w:numPr>
          <w:ilvl w:val="1"/>
          <w:numId w:val="10"/>
        </w:numPr>
        <w:tabs>
          <w:tab w:val="left" w:pos="1080"/>
          <w:tab w:val="left" w:pos="1872"/>
        </w:tabs>
        <w:wordWrap w:val="0"/>
        <w:topLinePunct w:val="0"/>
        <w:bidi w:val="0"/>
        <w:snapToGrid w:val="0"/>
        <w:spacing w:after="0" w:line="360" w:lineRule="auto"/>
        <w:ind w:left="1077" w:hanging="720"/>
        <w:jc w:val="left"/>
        <w:textAlignment w:val="auto"/>
        <w:rPr>
          <w:rFonts w:hint="eastAsia" w:ascii="宋体" w:hAnsi="宋体" w:eastAsia="宋体" w:cs="宋体"/>
          <w:b/>
          <w:i w:val="0"/>
          <w:iCs w:val="0"/>
          <w:sz w:val="24"/>
        </w:rPr>
      </w:pPr>
      <w:r>
        <w:rPr>
          <w:rFonts w:hint="eastAsia" w:ascii="宋体" w:hAnsi="宋体" w:eastAsia="宋体" w:cs="宋体"/>
          <w:i w:val="0"/>
          <w:iCs w:val="0"/>
          <w:sz w:val="24"/>
        </w:rPr>
        <w:t>磋商小组在评审过程中发现供应商有行贿、提供虚假材料或者串通等违法行为时，应当及时向财政部门报告。</w:t>
      </w:r>
    </w:p>
    <w:p w14:paraId="1FA19448">
      <w:pPr>
        <w:pStyle w:val="4"/>
        <w:pageBreakBefore w:val="0"/>
        <w:wordWrap w:val="0"/>
        <w:topLinePunct w:val="0"/>
        <w:bidi w:val="0"/>
        <w:spacing w:before="0" w:after="0" w:line="360" w:lineRule="auto"/>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二、评审标准</w:t>
      </w:r>
    </w:p>
    <w:p w14:paraId="4839F6F5">
      <w:pPr>
        <w:rPr>
          <w:rFonts w:ascii="等线" w:hAnsi="等线" w:eastAsia="等线"/>
          <w:szCs w:val="22"/>
        </w:rPr>
      </w:pPr>
      <w:r>
        <w:rPr>
          <w:rFonts w:hint="eastAsia"/>
        </w:rPr>
        <w:fldChar w:fldCharType="begin"/>
      </w:r>
      <w:r>
        <w:rPr>
          <w:rFonts w:hint="eastAsia"/>
        </w:rPr>
        <w:instrText xml:space="preserve"> DOCVARIABLE var评审项目 \* MERGEFORMAT </w:instrText>
      </w:r>
      <w:r>
        <w:rPr>
          <w:rFonts w:hint="eastAsia"/>
        </w:rPr>
        <w:fldChar w:fldCharType="separate"/>
      </w:r>
      <w:r>
        <w:rPr>
          <w:rFonts w:hint="eastAsia"/>
        </w:rPr>
        <w:fldChar w:fldCharType="end"/>
      </w:r>
      <w:bookmarkStart w:id="667" w:name="评审项目同步文档"/>
    </w:p>
    <w:tbl>
      <w:tblPr>
        <w:tblStyle w:val="26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2351"/>
        <w:gridCol w:w="3135"/>
        <w:gridCol w:w="1254"/>
        <w:gridCol w:w="1655"/>
      </w:tblGrid>
      <w:tr w14:paraId="270EA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96" w:type="dxa"/>
            <w:gridSpan w:val="5"/>
            <w:vAlign w:val="center"/>
          </w:tcPr>
          <w:p w14:paraId="4AAAA711">
            <w:pPr>
              <w:spacing w:line="360" w:lineRule="auto"/>
              <w:jc w:val="center"/>
              <w:rPr>
                <w:rFonts w:ascii="微软雅黑" w:hAnsi="微软雅黑" w:eastAsia="微软雅黑"/>
                <w:sz w:val="24"/>
              </w:rPr>
            </w:pPr>
            <w:bookmarkStart w:id="668" w:name="定性评审1" w:colFirst="0" w:colLast="0"/>
            <w:r>
              <w:rPr>
                <w:rFonts w:ascii="宋体" w:hAnsi="宋体" w:cs="宋体"/>
                <w:szCs w:val="22"/>
              </w:rPr>
              <w:t>资格评审</w:t>
            </w:r>
          </w:p>
        </w:tc>
      </w:tr>
      <w:bookmarkEnd w:id="668"/>
      <w:tr w14:paraId="30A96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704" w:type="dxa"/>
            <w:vAlign w:val="center"/>
          </w:tcPr>
          <w:p w14:paraId="7877D806">
            <w:pPr>
              <w:spacing w:line="360" w:lineRule="auto"/>
              <w:jc w:val="center"/>
              <w:rPr>
                <w:szCs w:val="22"/>
              </w:rPr>
            </w:pPr>
            <w:r>
              <w:rPr>
                <w:rFonts w:hint="eastAsia" w:ascii="微软雅黑" w:hAnsi="微软雅黑" w:eastAsia="微软雅黑" w:cs="宋体"/>
                <w:szCs w:val="21"/>
              </w:rPr>
              <w:t>序</w:t>
            </w:r>
            <w:r>
              <w:rPr>
                <w:rFonts w:hint="eastAsia" w:ascii="微软雅黑" w:hAnsi="微软雅黑" w:eastAsia="微软雅黑" w:cstheme="minorBidi"/>
                <w:szCs w:val="21"/>
              </w:rPr>
              <w:t>号</w:t>
            </w:r>
          </w:p>
        </w:tc>
        <w:tc>
          <w:tcPr>
            <w:tcW w:w="2126" w:type="dxa"/>
            <w:vAlign w:val="center"/>
          </w:tcPr>
          <w:p w14:paraId="28A74489">
            <w:pPr>
              <w:spacing w:line="360" w:lineRule="auto"/>
              <w:jc w:val="center"/>
              <w:rPr>
                <w:szCs w:val="22"/>
              </w:rPr>
            </w:pPr>
            <w:r>
              <w:rPr>
                <w:rFonts w:hint="eastAsia" w:ascii="微软雅黑" w:hAnsi="微软雅黑" w:eastAsia="微软雅黑" w:cs="宋体"/>
                <w:szCs w:val="21"/>
              </w:rPr>
              <w:t>评审因</w:t>
            </w:r>
            <w:r>
              <w:rPr>
                <w:rFonts w:hint="eastAsia" w:ascii="微软雅黑" w:hAnsi="微软雅黑" w:eastAsia="微软雅黑" w:cstheme="minorBidi"/>
                <w:szCs w:val="21"/>
              </w:rPr>
              <w:t>素</w:t>
            </w:r>
          </w:p>
        </w:tc>
        <w:tc>
          <w:tcPr>
            <w:tcW w:w="2835" w:type="dxa"/>
            <w:vAlign w:val="center"/>
          </w:tcPr>
          <w:p w14:paraId="33FCF40B">
            <w:pPr>
              <w:spacing w:line="360" w:lineRule="auto"/>
              <w:jc w:val="center"/>
              <w:rPr>
                <w:szCs w:val="22"/>
              </w:rPr>
            </w:pPr>
            <w:r>
              <w:rPr>
                <w:rFonts w:hint="eastAsia" w:ascii="微软雅黑" w:hAnsi="微软雅黑" w:eastAsia="微软雅黑" w:cs="宋体"/>
                <w:szCs w:val="21"/>
              </w:rPr>
              <w:t>评审标</w:t>
            </w:r>
            <w:r>
              <w:rPr>
                <w:rFonts w:hint="eastAsia" w:ascii="微软雅黑" w:hAnsi="微软雅黑" w:eastAsia="微软雅黑" w:cstheme="minorBidi"/>
                <w:szCs w:val="21"/>
              </w:rPr>
              <w:t>准</w:t>
            </w:r>
          </w:p>
        </w:tc>
        <w:tc>
          <w:tcPr>
            <w:tcW w:w="1134" w:type="dxa"/>
            <w:vAlign w:val="center"/>
          </w:tcPr>
          <w:p w14:paraId="0A2B0D49">
            <w:pPr>
              <w:spacing w:line="360" w:lineRule="auto"/>
              <w:jc w:val="center"/>
              <w:rPr>
                <w:szCs w:val="22"/>
              </w:rPr>
            </w:pPr>
            <w:r>
              <w:rPr>
                <w:rFonts w:hint="eastAsia" w:ascii="微软雅黑" w:hAnsi="微软雅黑" w:eastAsia="微软雅黑" w:cs="宋体"/>
                <w:szCs w:val="21"/>
              </w:rPr>
              <w:t>评审类型</w:t>
            </w:r>
          </w:p>
        </w:tc>
        <w:tc>
          <w:tcPr>
            <w:tcW w:w="1497" w:type="dxa"/>
          </w:tcPr>
          <w:p w14:paraId="6E2E8257">
            <w:pPr>
              <w:spacing w:line="360" w:lineRule="auto"/>
              <w:jc w:val="center"/>
              <w:rPr>
                <w:szCs w:val="22"/>
              </w:rPr>
            </w:pPr>
            <w:r>
              <w:rPr>
                <w:rFonts w:hint="eastAsia" w:ascii="微软雅黑" w:hAnsi="微软雅黑" w:eastAsia="微软雅黑" w:cs="宋体"/>
                <w:szCs w:val="21"/>
              </w:rPr>
              <w:t>备注</w:t>
            </w:r>
          </w:p>
        </w:tc>
      </w:tr>
      <w:tr w14:paraId="6F255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1438C37E">
            <w:pPr>
              <w:spacing w:line="360" w:lineRule="auto"/>
              <w:jc w:val="center"/>
              <w:rPr>
                <w:rFonts w:ascii="宋体" w:hAnsi="宋体"/>
                <w:szCs w:val="22"/>
              </w:rPr>
            </w:pPr>
            <w:r>
              <w:rPr>
                <w:rFonts w:ascii="宋体" w:hAnsi="宋体" w:cs="宋体"/>
                <w:szCs w:val="22"/>
              </w:rPr>
              <w:t>1</w:t>
            </w:r>
          </w:p>
        </w:tc>
        <w:tc>
          <w:tcPr>
            <w:tcW w:w="2126" w:type="dxa"/>
            <w:vAlign w:val="center"/>
          </w:tcPr>
          <w:p w14:paraId="60B07012">
            <w:pPr>
              <w:spacing w:line="360" w:lineRule="auto"/>
              <w:jc w:val="left"/>
              <w:rPr>
                <w:rFonts w:ascii="宋体" w:hAnsi="宋体"/>
                <w:szCs w:val="22"/>
              </w:rPr>
            </w:pPr>
            <w:r>
              <w:rPr>
                <w:rFonts w:ascii="宋体" w:hAnsi="宋体" w:cs="宋体"/>
                <w:szCs w:val="22"/>
              </w:rPr>
              <w:t>满足《中华人民共和国政府采购法》第二十二条规定</w:t>
            </w:r>
          </w:p>
        </w:tc>
        <w:tc>
          <w:tcPr>
            <w:tcW w:w="2835" w:type="dxa"/>
            <w:vAlign w:val="center"/>
          </w:tcPr>
          <w:p w14:paraId="6BC83E53">
            <w:pPr>
              <w:spacing w:line="360" w:lineRule="auto"/>
              <w:jc w:val="left"/>
              <w:rPr>
                <w:rFonts w:ascii="宋体" w:hAnsi="宋体"/>
                <w:szCs w:val="22"/>
              </w:rPr>
            </w:pPr>
            <w:r>
              <w:rPr>
                <w:rFonts w:ascii="宋体" w:hAnsi="宋体" w:cs="宋体"/>
                <w:szCs w:val="22"/>
              </w:rPr>
              <w:t>具体规定见第一章《采购邀请》。</w:t>
            </w:r>
          </w:p>
        </w:tc>
        <w:tc>
          <w:tcPr>
            <w:tcW w:w="1134" w:type="dxa"/>
            <w:vAlign w:val="center"/>
          </w:tcPr>
          <w:p w14:paraId="7C0BE38B">
            <w:pPr>
              <w:spacing w:line="360" w:lineRule="auto"/>
              <w:jc w:val="center"/>
              <w:rPr>
                <w:rFonts w:ascii="宋体" w:hAnsi="宋体"/>
                <w:szCs w:val="22"/>
              </w:rPr>
            </w:pPr>
            <w:r>
              <w:rPr>
                <w:rFonts w:ascii="宋体" w:hAnsi="宋体" w:cs="宋体"/>
                <w:szCs w:val="22"/>
              </w:rPr>
              <w:t>重要指标</w:t>
            </w:r>
          </w:p>
        </w:tc>
        <w:tc>
          <w:tcPr>
            <w:tcW w:w="1497" w:type="dxa"/>
          </w:tcPr>
          <w:p w14:paraId="246FF0D0">
            <w:pPr>
              <w:spacing w:line="360" w:lineRule="auto"/>
              <w:jc w:val="left"/>
              <w:rPr>
                <w:rFonts w:ascii="宋体" w:hAnsi="宋体"/>
                <w:szCs w:val="22"/>
              </w:rPr>
            </w:pPr>
            <w:r>
              <w:rPr>
                <w:rFonts w:ascii="宋体" w:hAnsi="宋体" w:cs="宋体"/>
                <w:szCs w:val="22"/>
              </w:rPr>
              <w:t>/</w:t>
            </w:r>
          </w:p>
        </w:tc>
      </w:tr>
      <w:tr w14:paraId="335C2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66FF9EDB">
            <w:pPr>
              <w:spacing w:line="360" w:lineRule="auto"/>
              <w:jc w:val="center"/>
              <w:rPr>
                <w:rFonts w:ascii="宋体" w:hAnsi="宋体"/>
                <w:szCs w:val="22"/>
              </w:rPr>
            </w:pPr>
            <w:r>
              <w:rPr>
                <w:rFonts w:ascii="宋体" w:hAnsi="宋体" w:cs="宋体"/>
                <w:szCs w:val="22"/>
              </w:rPr>
              <w:t>2</w:t>
            </w:r>
          </w:p>
        </w:tc>
        <w:tc>
          <w:tcPr>
            <w:tcW w:w="2126" w:type="dxa"/>
            <w:vAlign w:val="center"/>
          </w:tcPr>
          <w:p w14:paraId="31A4F9B7">
            <w:pPr>
              <w:spacing w:line="360" w:lineRule="auto"/>
              <w:jc w:val="left"/>
              <w:rPr>
                <w:rFonts w:ascii="宋体" w:hAnsi="宋体"/>
                <w:szCs w:val="22"/>
              </w:rPr>
            </w:pPr>
            <w:r>
              <w:rPr>
                <w:rFonts w:ascii="宋体" w:hAnsi="宋体" w:cs="宋体"/>
                <w:szCs w:val="22"/>
              </w:rPr>
              <w:t>营业执照等证明文件</w:t>
            </w:r>
          </w:p>
        </w:tc>
        <w:tc>
          <w:tcPr>
            <w:tcW w:w="2835" w:type="dxa"/>
            <w:vAlign w:val="center"/>
          </w:tcPr>
          <w:p w14:paraId="7DF9690B">
            <w:pPr>
              <w:spacing w:line="360" w:lineRule="auto"/>
              <w:jc w:val="left"/>
              <w:rPr>
                <w:rFonts w:ascii="宋体" w:hAnsi="宋体"/>
                <w:szCs w:val="22"/>
              </w:rPr>
            </w:pPr>
            <w:r>
              <w:rPr>
                <w:rFonts w:ascii="宋体" w:hAnsi="宋体" w:cs="宋体"/>
                <w:szCs w:val="22"/>
              </w:rPr>
              <w:t>供应商为企业（包括合伙企业）的，应提供有效的“营业执照”；</w:t>
            </w:r>
            <w:r>
              <w:rPr>
                <w:rFonts w:ascii="宋体" w:hAnsi="宋体" w:cs="宋体"/>
                <w:szCs w:val="22"/>
              </w:rPr>
              <w:cr/>
            </w:r>
            <w:r>
              <w:rPr>
                <w:rFonts w:ascii="宋体" w:hAnsi="宋体" w:cs="宋体"/>
                <w:szCs w:val="22"/>
              </w:rPr>
              <w:t>供应商为事业单位的，应提供有效的“事业单位法人证书”；</w:t>
            </w:r>
            <w:r>
              <w:rPr>
                <w:rFonts w:ascii="宋体" w:hAnsi="宋体" w:cs="宋体"/>
                <w:szCs w:val="22"/>
              </w:rPr>
              <w:cr/>
            </w:r>
            <w:r>
              <w:rPr>
                <w:rFonts w:ascii="宋体" w:hAnsi="宋体" w:cs="宋体"/>
                <w:szCs w:val="22"/>
              </w:rPr>
              <w:t>供应商是非企业机构的，应提供有效的“执业许可证”、“登记证书”等证明文件；</w:t>
            </w:r>
            <w:r>
              <w:rPr>
                <w:rFonts w:ascii="宋体" w:hAnsi="宋体" w:cs="宋体"/>
                <w:szCs w:val="22"/>
              </w:rPr>
              <w:cr/>
            </w:r>
            <w:r>
              <w:rPr>
                <w:rFonts w:ascii="宋体" w:hAnsi="宋体" w:cs="宋体"/>
                <w:szCs w:val="22"/>
              </w:rPr>
              <w:t>供应商是个体工商户的，应提供有效的“个体工商户营业执照”；</w:t>
            </w:r>
            <w:r>
              <w:rPr>
                <w:rFonts w:ascii="宋体" w:hAnsi="宋体" w:cs="宋体"/>
                <w:szCs w:val="22"/>
              </w:rPr>
              <w:cr/>
            </w:r>
            <w:r>
              <w:rPr>
                <w:rFonts w:ascii="宋体" w:hAnsi="宋体" w:cs="宋体"/>
                <w:szCs w:val="22"/>
              </w:rPr>
              <w:t>供应商是自然人的，应提供有效的自然人身份证明。</w:t>
            </w:r>
            <w:r>
              <w:rPr>
                <w:rFonts w:ascii="宋体" w:hAnsi="宋体" w:cs="宋体"/>
                <w:szCs w:val="22"/>
              </w:rPr>
              <w:cr/>
            </w:r>
            <w:r>
              <w:rPr>
                <w:rFonts w:ascii="宋体" w:hAnsi="宋体" w:cs="宋体"/>
                <w:szCs w:val="22"/>
              </w:rPr>
              <w:t>分支机构参加响应的，应提供该分支机构或</w:t>
            </w:r>
            <w:r>
              <w:rPr>
                <w:rFonts w:ascii="宋体" w:hAnsi="宋体" w:cs="宋体"/>
                <w:szCs w:val="22"/>
              </w:rPr>
              <w:cr/>
            </w:r>
            <w:r>
              <w:rPr>
                <w:rFonts w:ascii="宋体" w:hAnsi="宋体" w:cs="宋体"/>
                <w:szCs w:val="22"/>
              </w:rPr>
              <w:t>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c>
          <w:tcPr>
            <w:tcW w:w="1134" w:type="dxa"/>
            <w:vAlign w:val="center"/>
          </w:tcPr>
          <w:p w14:paraId="403565D2">
            <w:pPr>
              <w:spacing w:line="360" w:lineRule="auto"/>
              <w:jc w:val="center"/>
              <w:rPr>
                <w:rFonts w:ascii="宋体" w:hAnsi="宋体"/>
                <w:szCs w:val="22"/>
              </w:rPr>
            </w:pPr>
            <w:r>
              <w:rPr>
                <w:rFonts w:ascii="宋体" w:hAnsi="宋体" w:cs="宋体"/>
                <w:szCs w:val="22"/>
              </w:rPr>
              <w:t>重要指标</w:t>
            </w:r>
          </w:p>
        </w:tc>
        <w:tc>
          <w:tcPr>
            <w:tcW w:w="1497" w:type="dxa"/>
          </w:tcPr>
          <w:p w14:paraId="652CE8D7">
            <w:pPr>
              <w:spacing w:line="360" w:lineRule="auto"/>
              <w:jc w:val="left"/>
              <w:rPr>
                <w:rFonts w:ascii="宋体" w:hAnsi="宋体"/>
                <w:szCs w:val="22"/>
              </w:rPr>
            </w:pPr>
            <w:r>
              <w:rPr>
                <w:rFonts w:ascii="宋体" w:hAnsi="宋体" w:cs="宋体"/>
                <w:szCs w:val="22"/>
              </w:rPr>
              <w:t>提供证明文件的电子件或电子证照</w:t>
            </w:r>
          </w:p>
        </w:tc>
      </w:tr>
      <w:tr w14:paraId="1FFB8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4ECF08E4">
            <w:pPr>
              <w:spacing w:line="360" w:lineRule="auto"/>
              <w:jc w:val="center"/>
              <w:rPr>
                <w:rFonts w:ascii="宋体" w:hAnsi="宋体"/>
                <w:szCs w:val="22"/>
              </w:rPr>
            </w:pPr>
            <w:r>
              <w:rPr>
                <w:rFonts w:ascii="宋体" w:hAnsi="宋体" w:cs="宋体"/>
                <w:szCs w:val="22"/>
              </w:rPr>
              <w:t>3</w:t>
            </w:r>
          </w:p>
        </w:tc>
        <w:tc>
          <w:tcPr>
            <w:tcW w:w="2126" w:type="dxa"/>
            <w:vAlign w:val="center"/>
          </w:tcPr>
          <w:p w14:paraId="6AD8B45A">
            <w:pPr>
              <w:spacing w:line="360" w:lineRule="auto"/>
              <w:jc w:val="left"/>
              <w:rPr>
                <w:rFonts w:ascii="宋体" w:hAnsi="宋体"/>
                <w:szCs w:val="22"/>
              </w:rPr>
            </w:pPr>
            <w:r>
              <w:rPr>
                <w:rFonts w:ascii="宋体" w:hAnsi="宋体" w:cs="宋体"/>
                <w:szCs w:val="22"/>
              </w:rPr>
              <w:t>供应商资格声明书</w:t>
            </w:r>
          </w:p>
        </w:tc>
        <w:tc>
          <w:tcPr>
            <w:tcW w:w="2835" w:type="dxa"/>
            <w:vAlign w:val="center"/>
          </w:tcPr>
          <w:p w14:paraId="40B43111">
            <w:pPr>
              <w:spacing w:line="360" w:lineRule="auto"/>
              <w:jc w:val="left"/>
              <w:rPr>
                <w:rFonts w:ascii="宋体" w:hAnsi="宋体"/>
                <w:szCs w:val="22"/>
              </w:rPr>
            </w:pPr>
            <w:r>
              <w:rPr>
                <w:rFonts w:ascii="宋体" w:hAnsi="宋体" w:cs="宋体"/>
                <w:szCs w:val="22"/>
              </w:rPr>
              <w:t>提供了符合竞争性磋商文件要求的《供应商资格声明书》。</w:t>
            </w:r>
          </w:p>
        </w:tc>
        <w:tc>
          <w:tcPr>
            <w:tcW w:w="1134" w:type="dxa"/>
            <w:vAlign w:val="center"/>
          </w:tcPr>
          <w:p w14:paraId="4DA5F16A">
            <w:pPr>
              <w:spacing w:line="360" w:lineRule="auto"/>
              <w:jc w:val="center"/>
              <w:rPr>
                <w:rFonts w:ascii="宋体" w:hAnsi="宋体"/>
                <w:szCs w:val="22"/>
              </w:rPr>
            </w:pPr>
            <w:r>
              <w:rPr>
                <w:rFonts w:ascii="宋体" w:hAnsi="宋体" w:cs="宋体"/>
                <w:szCs w:val="22"/>
              </w:rPr>
              <w:t>重要指标</w:t>
            </w:r>
          </w:p>
        </w:tc>
        <w:tc>
          <w:tcPr>
            <w:tcW w:w="1497" w:type="dxa"/>
          </w:tcPr>
          <w:p w14:paraId="0A1EF033">
            <w:pPr>
              <w:spacing w:line="360" w:lineRule="auto"/>
              <w:jc w:val="left"/>
              <w:rPr>
                <w:rFonts w:ascii="宋体" w:hAnsi="宋体"/>
                <w:szCs w:val="22"/>
              </w:rPr>
            </w:pPr>
            <w:r>
              <w:rPr>
                <w:rFonts w:ascii="宋体" w:hAnsi="宋体" w:cs="宋体"/>
                <w:szCs w:val="22"/>
              </w:rPr>
              <w:t>格式见《响应文件格式》</w:t>
            </w:r>
          </w:p>
        </w:tc>
      </w:tr>
      <w:tr w14:paraId="29030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4A9FB6A9">
            <w:pPr>
              <w:spacing w:line="360" w:lineRule="auto"/>
              <w:jc w:val="center"/>
              <w:rPr>
                <w:rFonts w:ascii="宋体" w:hAnsi="宋体"/>
                <w:szCs w:val="22"/>
              </w:rPr>
            </w:pPr>
            <w:r>
              <w:rPr>
                <w:rFonts w:ascii="宋体" w:hAnsi="宋体" w:cs="宋体"/>
                <w:szCs w:val="22"/>
              </w:rPr>
              <w:t>4</w:t>
            </w:r>
          </w:p>
        </w:tc>
        <w:tc>
          <w:tcPr>
            <w:tcW w:w="2126" w:type="dxa"/>
            <w:vAlign w:val="center"/>
          </w:tcPr>
          <w:p w14:paraId="50860475">
            <w:pPr>
              <w:spacing w:line="360" w:lineRule="auto"/>
              <w:jc w:val="left"/>
              <w:rPr>
                <w:rFonts w:ascii="宋体" w:hAnsi="宋体"/>
                <w:szCs w:val="22"/>
              </w:rPr>
            </w:pPr>
            <w:r>
              <w:rPr>
                <w:rFonts w:ascii="宋体" w:hAnsi="宋体" w:cs="宋体"/>
                <w:szCs w:val="22"/>
              </w:rPr>
              <w:t>供应商信用记录</w:t>
            </w:r>
          </w:p>
        </w:tc>
        <w:tc>
          <w:tcPr>
            <w:tcW w:w="2835" w:type="dxa"/>
            <w:vAlign w:val="center"/>
          </w:tcPr>
          <w:p w14:paraId="26230255">
            <w:pPr>
              <w:spacing w:line="360" w:lineRule="auto"/>
              <w:jc w:val="left"/>
              <w:rPr>
                <w:rFonts w:ascii="宋体" w:hAnsi="宋体"/>
                <w:szCs w:val="22"/>
              </w:rPr>
            </w:pPr>
            <w:r>
              <w:rPr>
                <w:rFonts w:ascii="宋体" w:hAnsi="宋体" w:cs="宋体"/>
                <w:szCs w:val="22"/>
              </w:rPr>
              <w:t>查询渠道：信用中国网站和中国政府采购网（www.creditchina.gov.cn、www.ccgp.gov</w:t>
            </w:r>
            <w:r>
              <w:rPr>
                <w:rFonts w:ascii="宋体" w:hAnsi="宋体" w:cs="宋体"/>
                <w:szCs w:val="22"/>
              </w:rPr>
              <w:cr/>
            </w:r>
            <w:r>
              <w:rPr>
                <w:rFonts w:ascii="宋体" w:hAnsi="宋体" w:cs="宋体"/>
                <w:szCs w:val="22"/>
              </w:rPr>
              <w:t>.cn）；</w:t>
            </w:r>
            <w:r>
              <w:rPr>
                <w:rFonts w:ascii="宋体" w:hAnsi="宋体" w:cs="宋体"/>
                <w:szCs w:val="22"/>
              </w:rPr>
              <w:cr/>
            </w:r>
            <w:r>
              <w:rPr>
                <w:rFonts w:ascii="宋体" w:hAnsi="宋体" w:cs="宋体"/>
                <w:szCs w:val="22"/>
              </w:rPr>
              <w:t>截止时点：首次响应文件提交截止时间以后、资格审查阶段采购人或采购代理机构的实际查询时间；</w:t>
            </w:r>
            <w:r>
              <w:rPr>
                <w:rFonts w:ascii="宋体" w:hAnsi="宋体" w:cs="宋体"/>
                <w:szCs w:val="22"/>
              </w:rPr>
              <w:cr/>
            </w:r>
            <w:r>
              <w:rPr>
                <w:rFonts w:ascii="宋体" w:hAnsi="宋体" w:cs="宋体"/>
                <w:szCs w:val="22"/>
              </w:rPr>
              <w:t>信用信息查询记录和证据留存具体方式：查询结果网页打印页作为查询记录和证据，与其他竞争性磋商文件一并保存；</w:t>
            </w:r>
            <w:r>
              <w:rPr>
                <w:rFonts w:ascii="宋体" w:hAnsi="宋体" w:cs="宋体"/>
                <w:szCs w:val="22"/>
              </w:rPr>
              <w:cr/>
            </w:r>
            <w:r>
              <w:rPr>
                <w:rFonts w:ascii="宋体" w:hAnsi="宋体" w:cs="宋体"/>
                <w:szCs w:val="22"/>
              </w:rPr>
              <w:t>信用信息的使用原则：经认定的被列入失信被执行人、重大税收违法案件当事人名单、政府采购严重违法失信行为记录名单的供应商，其响应无效。联合体形式磋商的，联合体成员存在不良信用记录，视同联合体存在不良信用记录。</w:t>
            </w:r>
          </w:p>
        </w:tc>
        <w:tc>
          <w:tcPr>
            <w:tcW w:w="1134" w:type="dxa"/>
            <w:vAlign w:val="center"/>
          </w:tcPr>
          <w:p w14:paraId="49307B46">
            <w:pPr>
              <w:spacing w:line="360" w:lineRule="auto"/>
              <w:jc w:val="center"/>
              <w:rPr>
                <w:rFonts w:ascii="宋体" w:hAnsi="宋体"/>
                <w:szCs w:val="22"/>
              </w:rPr>
            </w:pPr>
            <w:r>
              <w:rPr>
                <w:rFonts w:ascii="宋体" w:hAnsi="宋体" w:cs="宋体"/>
                <w:szCs w:val="22"/>
              </w:rPr>
              <w:t>重要指标</w:t>
            </w:r>
          </w:p>
        </w:tc>
        <w:tc>
          <w:tcPr>
            <w:tcW w:w="1497" w:type="dxa"/>
          </w:tcPr>
          <w:p w14:paraId="4E92F5F8">
            <w:pPr>
              <w:spacing w:line="360" w:lineRule="auto"/>
              <w:jc w:val="left"/>
              <w:rPr>
                <w:rFonts w:ascii="宋体" w:hAnsi="宋体"/>
                <w:szCs w:val="22"/>
              </w:rPr>
            </w:pPr>
            <w:r>
              <w:rPr>
                <w:rFonts w:ascii="宋体" w:hAnsi="宋体" w:cs="宋体"/>
                <w:szCs w:val="22"/>
              </w:rPr>
              <w:t>无须供应商提供，由采购人或采购代理机构查询。</w:t>
            </w:r>
          </w:p>
        </w:tc>
      </w:tr>
      <w:tr w14:paraId="7A236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3D97886D">
            <w:pPr>
              <w:spacing w:line="360" w:lineRule="auto"/>
              <w:jc w:val="center"/>
              <w:rPr>
                <w:rFonts w:ascii="宋体" w:hAnsi="宋体"/>
                <w:szCs w:val="22"/>
              </w:rPr>
            </w:pPr>
            <w:r>
              <w:rPr>
                <w:rFonts w:ascii="宋体" w:hAnsi="宋体" w:cs="宋体"/>
                <w:szCs w:val="22"/>
              </w:rPr>
              <w:t>5</w:t>
            </w:r>
          </w:p>
        </w:tc>
        <w:tc>
          <w:tcPr>
            <w:tcW w:w="2126" w:type="dxa"/>
            <w:vAlign w:val="center"/>
          </w:tcPr>
          <w:p w14:paraId="6B340356">
            <w:pPr>
              <w:spacing w:line="360" w:lineRule="auto"/>
              <w:jc w:val="left"/>
              <w:rPr>
                <w:rFonts w:ascii="宋体" w:hAnsi="宋体"/>
                <w:szCs w:val="22"/>
              </w:rPr>
            </w:pPr>
            <w:r>
              <w:rPr>
                <w:rFonts w:ascii="宋体" w:hAnsi="宋体" w:cs="宋体"/>
                <w:szCs w:val="22"/>
              </w:rPr>
              <w:t>法律、行政法规规定的其他条件</w:t>
            </w:r>
          </w:p>
        </w:tc>
        <w:tc>
          <w:tcPr>
            <w:tcW w:w="2835" w:type="dxa"/>
            <w:vAlign w:val="center"/>
          </w:tcPr>
          <w:p w14:paraId="0B648249">
            <w:pPr>
              <w:spacing w:line="360" w:lineRule="auto"/>
              <w:jc w:val="left"/>
              <w:rPr>
                <w:rFonts w:ascii="宋体" w:hAnsi="宋体"/>
                <w:szCs w:val="22"/>
              </w:rPr>
            </w:pPr>
            <w:r>
              <w:rPr>
                <w:rFonts w:ascii="宋体" w:hAnsi="宋体" w:cs="宋体"/>
                <w:szCs w:val="22"/>
              </w:rPr>
              <w:t>法律、行政法规规定的其他条件。</w:t>
            </w:r>
          </w:p>
        </w:tc>
        <w:tc>
          <w:tcPr>
            <w:tcW w:w="1134" w:type="dxa"/>
            <w:vAlign w:val="center"/>
          </w:tcPr>
          <w:p w14:paraId="32951B10">
            <w:pPr>
              <w:spacing w:line="360" w:lineRule="auto"/>
              <w:jc w:val="center"/>
              <w:rPr>
                <w:rFonts w:ascii="宋体" w:hAnsi="宋体"/>
                <w:szCs w:val="22"/>
              </w:rPr>
            </w:pPr>
            <w:r>
              <w:rPr>
                <w:rFonts w:ascii="宋体" w:hAnsi="宋体" w:cs="宋体"/>
                <w:szCs w:val="22"/>
              </w:rPr>
              <w:t>重要指标</w:t>
            </w:r>
          </w:p>
        </w:tc>
        <w:tc>
          <w:tcPr>
            <w:tcW w:w="1497" w:type="dxa"/>
          </w:tcPr>
          <w:p w14:paraId="174D74B3">
            <w:pPr>
              <w:spacing w:line="360" w:lineRule="auto"/>
              <w:jc w:val="left"/>
              <w:rPr>
                <w:rFonts w:ascii="宋体" w:hAnsi="宋体"/>
                <w:szCs w:val="22"/>
              </w:rPr>
            </w:pPr>
            <w:r>
              <w:rPr>
                <w:rFonts w:ascii="宋体" w:hAnsi="宋体" w:cs="宋体"/>
                <w:szCs w:val="22"/>
              </w:rPr>
              <w:t>/</w:t>
            </w:r>
          </w:p>
        </w:tc>
      </w:tr>
      <w:tr w14:paraId="1377C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49CCB402">
            <w:pPr>
              <w:spacing w:line="360" w:lineRule="auto"/>
              <w:jc w:val="center"/>
              <w:rPr>
                <w:rFonts w:ascii="宋体" w:hAnsi="宋体"/>
                <w:szCs w:val="22"/>
              </w:rPr>
            </w:pPr>
            <w:r>
              <w:rPr>
                <w:rFonts w:ascii="宋体" w:hAnsi="宋体" w:cs="宋体"/>
                <w:szCs w:val="22"/>
              </w:rPr>
              <w:t>6</w:t>
            </w:r>
          </w:p>
        </w:tc>
        <w:tc>
          <w:tcPr>
            <w:tcW w:w="2126" w:type="dxa"/>
            <w:vAlign w:val="center"/>
          </w:tcPr>
          <w:p w14:paraId="30D43D39">
            <w:pPr>
              <w:spacing w:line="360" w:lineRule="auto"/>
              <w:jc w:val="left"/>
              <w:rPr>
                <w:rFonts w:ascii="宋体" w:hAnsi="宋体"/>
                <w:szCs w:val="22"/>
              </w:rPr>
            </w:pPr>
            <w:r>
              <w:rPr>
                <w:rFonts w:ascii="宋体" w:hAnsi="宋体" w:cs="宋体"/>
                <w:szCs w:val="22"/>
              </w:rPr>
              <w:t>落实政府采购政策需满足的资格要求</w:t>
            </w:r>
          </w:p>
        </w:tc>
        <w:tc>
          <w:tcPr>
            <w:tcW w:w="2835" w:type="dxa"/>
            <w:vAlign w:val="center"/>
          </w:tcPr>
          <w:p w14:paraId="279D9501">
            <w:pPr>
              <w:spacing w:line="360" w:lineRule="auto"/>
              <w:jc w:val="left"/>
              <w:rPr>
                <w:rFonts w:ascii="宋体" w:hAnsi="宋体"/>
                <w:szCs w:val="22"/>
              </w:rPr>
            </w:pPr>
            <w:r>
              <w:rPr>
                <w:rFonts w:ascii="宋体" w:hAnsi="宋体" w:cs="宋体"/>
                <w:szCs w:val="22"/>
              </w:rPr>
              <w:t>具体要求见第一章《采购邀请》。</w:t>
            </w:r>
          </w:p>
        </w:tc>
        <w:tc>
          <w:tcPr>
            <w:tcW w:w="1134" w:type="dxa"/>
            <w:vAlign w:val="center"/>
          </w:tcPr>
          <w:p w14:paraId="0B534F7C">
            <w:pPr>
              <w:spacing w:line="360" w:lineRule="auto"/>
              <w:jc w:val="center"/>
              <w:rPr>
                <w:rFonts w:ascii="宋体" w:hAnsi="宋体"/>
                <w:szCs w:val="22"/>
              </w:rPr>
            </w:pPr>
            <w:r>
              <w:rPr>
                <w:rFonts w:ascii="宋体" w:hAnsi="宋体" w:cs="宋体"/>
                <w:szCs w:val="22"/>
              </w:rPr>
              <w:t>重要指标</w:t>
            </w:r>
          </w:p>
        </w:tc>
        <w:tc>
          <w:tcPr>
            <w:tcW w:w="1497" w:type="dxa"/>
          </w:tcPr>
          <w:p w14:paraId="48DA5229">
            <w:pPr>
              <w:spacing w:line="360" w:lineRule="auto"/>
              <w:jc w:val="left"/>
              <w:rPr>
                <w:rFonts w:ascii="宋体" w:hAnsi="宋体"/>
                <w:szCs w:val="22"/>
              </w:rPr>
            </w:pPr>
            <w:r>
              <w:rPr>
                <w:rFonts w:ascii="宋体" w:hAnsi="宋体" w:cs="宋体"/>
                <w:szCs w:val="22"/>
              </w:rPr>
              <w:t>/</w:t>
            </w:r>
          </w:p>
        </w:tc>
      </w:tr>
      <w:tr w14:paraId="6631D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31E29AEC">
            <w:pPr>
              <w:spacing w:line="360" w:lineRule="auto"/>
              <w:jc w:val="center"/>
              <w:rPr>
                <w:rFonts w:ascii="宋体" w:hAnsi="宋体"/>
                <w:szCs w:val="22"/>
              </w:rPr>
            </w:pPr>
            <w:r>
              <w:rPr>
                <w:rFonts w:ascii="宋体" w:hAnsi="宋体" w:cs="宋体"/>
                <w:szCs w:val="22"/>
              </w:rPr>
              <w:t>7</w:t>
            </w:r>
          </w:p>
        </w:tc>
        <w:tc>
          <w:tcPr>
            <w:tcW w:w="2126" w:type="dxa"/>
            <w:vAlign w:val="center"/>
          </w:tcPr>
          <w:p w14:paraId="29E7E087">
            <w:pPr>
              <w:spacing w:line="360" w:lineRule="auto"/>
              <w:jc w:val="left"/>
              <w:rPr>
                <w:rFonts w:ascii="宋体" w:hAnsi="宋体"/>
                <w:szCs w:val="22"/>
              </w:rPr>
            </w:pPr>
            <w:r>
              <w:rPr>
                <w:rFonts w:ascii="宋体" w:hAnsi="宋体" w:cs="宋体"/>
                <w:szCs w:val="22"/>
              </w:rPr>
              <w:t>中小企业政策</w:t>
            </w:r>
          </w:p>
        </w:tc>
        <w:tc>
          <w:tcPr>
            <w:tcW w:w="2835" w:type="dxa"/>
            <w:vAlign w:val="center"/>
          </w:tcPr>
          <w:p w14:paraId="005D7168">
            <w:pPr>
              <w:spacing w:line="360" w:lineRule="auto"/>
              <w:jc w:val="left"/>
              <w:rPr>
                <w:rFonts w:ascii="宋体" w:hAnsi="宋体"/>
                <w:szCs w:val="22"/>
              </w:rPr>
            </w:pPr>
            <w:r>
              <w:rPr>
                <w:rFonts w:ascii="宋体" w:hAnsi="宋体" w:cs="宋体"/>
                <w:szCs w:val="22"/>
              </w:rPr>
              <w:t>具体要求见第一章《采购邀请》。</w:t>
            </w:r>
          </w:p>
        </w:tc>
        <w:tc>
          <w:tcPr>
            <w:tcW w:w="1134" w:type="dxa"/>
            <w:vAlign w:val="center"/>
          </w:tcPr>
          <w:p w14:paraId="133690DA">
            <w:pPr>
              <w:spacing w:line="360" w:lineRule="auto"/>
              <w:jc w:val="center"/>
              <w:rPr>
                <w:rFonts w:ascii="宋体" w:hAnsi="宋体"/>
                <w:szCs w:val="22"/>
              </w:rPr>
            </w:pPr>
            <w:r>
              <w:rPr>
                <w:rFonts w:ascii="宋体" w:hAnsi="宋体" w:cs="宋体"/>
                <w:szCs w:val="22"/>
              </w:rPr>
              <w:t>重要指标</w:t>
            </w:r>
          </w:p>
        </w:tc>
        <w:tc>
          <w:tcPr>
            <w:tcW w:w="1497" w:type="dxa"/>
          </w:tcPr>
          <w:p w14:paraId="6E3BD222">
            <w:pPr>
              <w:spacing w:line="360" w:lineRule="auto"/>
              <w:jc w:val="left"/>
              <w:rPr>
                <w:rFonts w:ascii="宋体" w:hAnsi="宋体"/>
                <w:szCs w:val="22"/>
              </w:rPr>
            </w:pPr>
            <w:r>
              <w:rPr>
                <w:rFonts w:ascii="宋体" w:hAnsi="宋体" w:cs="宋体"/>
                <w:szCs w:val="22"/>
              </w:rPr>
              <w:t>/</w:t>
            </w:r>
          </w:p>
        </w:tc>
      </w:tr>
      <w:tr w14:paraId="25251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706CA9FC">
            <w:pPr>
              <w:spacing w:line="360" w:lineRule="auto"/>
              <w:jc w:val="center"/>
              <w:rPr>
                <w:rFonts w:ascii="宋体" w:hAnsi="宋体"/>
                <w:szCs w:val="22"/>
              </w:rPr>
            </w:pPr>
            <w:r>
              <w:rPr>
                <w:rFonts w:ascii="宋体" w:hAnsi="宋体" w:cs="宋体"/>
                <w:szCs w:val="22"/>
              </w:rPr>
              <w:t>8</w:t>
            </w:r>
          </w:p>
        </w:tc>
        <w:tc>
          <w:tcPr>
            <w:tcW w:w="2126" w:type="dxa"/>
            <w:vAlign w:val="center"/>
          </w:tcPr>
          <w:p w14:paraId="2C43922B">
            <w:pPr>
              <w:spacing w:line="360" w:lineRule="auto"/>
              <w:jc w:val="left"/>
              <w:rPr>
                <w:rFonts w:ascii="宋体" w:hAnsi="宋体"/>
                <w:szCs w:val="22"/>
              </w:rPr>
            </w:pPr>
            <w:r>
              <w:rPr>
                <w:rFonts w:ascii="宋体" w:hAnsi="宋体" w:cs="宋体"/>
                <w:szCs w:val="22"/>
              </w:rPr>
              <w:t>中小企业证明文件</w:t>
            </w:r>
          </w:p>
        </w:tc>
        <w:tc>
          <w:tcPr>
            <w:tcW w:w="2835" w:type="dxa"/>
            <w:vAlign w:val="center"/>
          </w:tcPr>
          <w:p w14:paraId="799FBEF8">
            <w:pPr>
              <w:spacing w:line="360" w:lineRule="auto"/>
              <w:jc w:val="left"/>
              <w:rPr>
                <w:rFonts w:ascii="宋体" w:hAnsi="宋体"/>
                <w:szCs w:val="22"/>
              </w:rPr>
            </w:pPr>
            <w:r>
              <w:rPr>
                <w:rFonts w:ascii="宋体" w:hAnsi="宋体" w:cs="宋体"/>
                <w:szCs w:val="22"/>
              </w:rPr>
              <w:t>当本项目（包）涉及预留份额专门面向中小企业采购，提供如下资料：</w:t>
            </w:r>
            <w:r>
              <w:rPr>
                <w:rFonts w:ascii="宋体" w:hAnsi="宋体" w:cs="宋体"/>
                <w:szCs w:val="22"/>
              </w:rPr>
              <w:cr/>
            </w:r>
            <w:r>
              <w:rPr>
                <w:rFonts w:ascii="宋体" w:hAnsi="宋体" w:cs="宋体"/>
                <w:szCs w:val="22"/>
              </w:rPr>
              <w:t>1、供应商单独响应的，应提供《中小企业声明函》或《残疾人福利性单位声明函》或由省级以上监狱管理局、戒毒管理局（含新疆生产建设兵团）出具的属于监狱企业的证明文件。</w:t>
            </w:r>
            <w:r>
              <w:rPr>
                <w:rFonts w:ascii="宋体" w:hAnsi="宋体" w:cs="宋体"/>
                <w:szCs w:val="22"/>
              </w:rPr>
              <w:cr/>
            </w:r>
            <w:r>
              <w:rPr>
                <w:rFonts w:ascii="宋体" w:hAnsi="宋体" w:cs="宋体"/>
                <w:szCs w:val="22"/>
              </w:rPr>
              <w:t>2、如磋商文件要求以联合体形式参加或者要求合同分包的，且供应商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采购文件关于预留份额的要求。</w:t>
            </w:r>
          </w:p>
        </w:tc>
        <w:tc>
          <w:tcPr>
            <w:tcW w:w="1134" w:type="dxa"/>
            <w:vAlign w:val="center"/>
          </w:tcPr>
          <w:p w14:paraId="740210D9">
            <w:pPr>
              <w:spacing w:line="360" w:lineRule="auto"/>
              <w:jc w:val="center"/>
              <w:rPr>
                <w:rFonts w:ascii="宋体" w:hAnsi="宋体"/>
                <w:szCs w:val="22"/>
              </w:rPr>
            </w:pPr>
            <w:r>
              <w:rPr>
                <w:rFonts w:ascii="宋体" w:hAnsi="宋体" w:cs="宋体"/>
                <w:szCs w:val="22"/>
              </w:rPr>
              <w:t>重要指标</w:t>
            </w:r>
          </w:p>
        </w:tc>
        <w:tc>
          <w:tcPr>
            <w:tcW w:w="1497" w:type="dxa"/>
          </w:tcPr>
          <w:p w14:paraId="01D28860">
            <w:pPr>
              <w:spacing w:line="360" w:lineRule="auto"/>
              <w:jc w:val="left"/>
              <w:rPr>
                <w:rFonts w:ascii="宋体" w:hAnsi="宋体"/>
                <w:szCs w:val="22"/>
              </w:rPr>
            </w:pPr>
            <w:r>
              <w:rPr>
                <w:rFonts w:ascii="宋体" w:hAnsi="宋体" w:cs="宋体"/>
                <w:szCs w:val="22"/>
              </w:rPr>
              <w:t>格式见《响应文件格式》</w:t>
            </w:r>
          </w:p>
        </w:tc>
      </w:tr>
      <w:tr w14:paraId="2145C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1F20B934">
            <w:pPr>
              <w:spacing w:line="360" w:lineRule="auto"/>
              <w:jc w:val="center"/>
              <w:rPr>
                <w:rFonts w:ascii="宋体" w:hAnsi="宋体"/>
                <w:szCs w:val="22"/>
              </w:rPr>
            </w:pPr>
            <w:r>
              <w:rPr>
                <w:rFonts w:ascii="宋体" w:hAnsi="宋体" w:cs="宋体"/>
                <w:szCs w:val="22"/>
              </w:rPr>
              <w:t>9</w:t>
            </w:r>
          </w:p>
        </w:tc>
        <w:tc>
          <w:tcPr>
            <w:tcW w:w="2126" w:type="dxa"/>
            <w:vAlign w:val="center"/>
          </w:tcPr>
          <w:p w14:paraId="100450A3">
            <w:pPr>
              <w:spacing w:line="360" w:lineRule="auto"/>
              <w:jc w:val="left"/>
              <w:rPr>
                <w:rFonts w:ascii="宋体" w:hAnsi="宋体"/>
                <w:szCs w:val="22"/>
              </w:rPr>
            </w:pPr>
            <w:r>
              <w:rPr>
                <w:rFonts w:ascii="宋体" w:hAnsi="宋体" w:cs="宋体"/>
                <w:szCs w:val="22"/>
              </w:rPr>
              <w:t>拟分包情况说明及分包意向协议</w:t>
            </w:r>
          </w:p>
        </w:tc>
        <w:tc>
          <w:tcPr>
            <w:tcW w:w="2835" w:type="dxa"/>
            <w:vAlign w:val="center"/>
          </w:tcPr>
          <w:p w14:paraId="2A6939D9">
            <w:pPr>
              <w:spacing w:line="360" w:lineRule="auto"/>
              <w:jc w:val="left"/>
              <w:rPr>
                <w:rFonts w:ascii="宋体" w:hAnsi="宋体"/>
                <w:szCs w:val="22"/>
              </w:rPr>
            </w:pPr>
            <w:r>
              <w:rPr>
                <w:rFonts w:ascii="宋体" w:hAnsi="宋体" w:cs="宋体"/>
                <w:szCs w:val="22"/>
              </w:rPr>
              <w:t>如本项目（包）要求通过分包措施预留部分采购份额面向中小企业采购、且投标人因落实政府采购政策拟进行分包的，必须提供；否则无须提供。</w:t>
            </w:r>
            <w:r>
              <w:rPr>
                <w:rFonts w:ascii="宋体" w:hAnsi="宋体" w:cs="宋体"/>
                <w:szCs w:val="22"/>
              </w:rPr>
              <w:cr/>
            </w:r>
            <w:r>
              <w:rPr>
                <w:rFonts w:ascii="宋体" w:hAnsi="宋体" w:cs="宋体"/>
                <w:szCs w:val="22"/>
              </w:rPr>
              <w:t>对于预留份额专门面向中小企业采购的项目（包），组成联合体或者接受分包合同的中小企业与联合体内其他企业、分包企业之间不得存在直接控股、管理关系。</w:t>
            </w:r>
          </w:p>
        </w:tc>
        <w:tc>
          <w:tcPr>
            <w:tcW w:w="1134" w:type="dxa"/>
            <w:vAlign w:val="center"/>
          </w:tcPr>
          <w:p w14:paraId="2C9972D2">
            <w:pPr>
              <w:spacing w:line="360" w:lineRule="auto"/>
              <w:jc w:val="center"/>
              <w:rPr>
                <w:rFonts w:ascii="宋体" w:hAnsi="宋体"/>
                <w:szCs w:val="22"/>
              </w:rPr>
            </w:pPr>
            <w:r>
              <w:rPr>
                <w:rFonts w:ascii="宋体" w:hAnsi="宋体" w:cs="宋体"/>
                <w:szCs w:val="22"/>
              </w:rPr>
              <w:t>重要指标</w:t>
            </w:r>
          </w:p>
        </w:tc>
        <w:tc>
          <w:tcPr>
            <w:tcW w:w="1497" w:type="dxa"/>
          </w:tcPr>
          <w:p w14:paraId="34FAE3E0">
            <w:pPr>
              <w:spacing w:line="360" w:lineRule="auto"/>
              <w:jc w:val="left"/>
              <w:rPr>
                <w:rFonts w:ascii="宋体" w:hAnsi="宋体"/>
                <w:szCs w:val="22"/>
              </w:rPr>
            </w:pPr>
            <w:r>
              <w:rPr>
                <w:rFonts w:ascii="宋体" w:hAnsi="宋体" w:cs="宋体"/>
                <w:szCs w:val="22"/>
              </w:rPr>
              <w:t>格式见《响应文件格式》</w:t>
            </w:r>
          </w:p>
        </w:tc>
      </w:tr>
      <w:tr w14:paraId="190A1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16D6EF57">
            <w:pPr>
              <w:spacing w:line="360" w:lineRule="auto"/>
              <w:jc w:val="center"/>
              <w:rPr>
                <w:rFonts w:ascii="宋体" w:hAnsi="宋体"/>
                <w:szCs w:val="22"/>
              </w:rPr>
            </w:pPr>
            <w:r>
              <w:rPr>
                <w:rFonts w:ascii="宋体" w:hAnsi="宋体" w:cs="宋体"/>
                <w:szCs w:val="22"/>
              </w:rPr>
              <w:t>10</w:t>
            </w:r>
          </w:p>
        </w:tc>
        <w:tc>
          <w:tcPr>
            <w:tcW w:w="2126" w:type="dxa"/>
            <w:vAlign w:val="center"/>
          </w:tcPr>
          <w:p w14:paraId="5F01A951">
            <w:pPr>
              <w:spacing w:line="360" w:lineRule="auto"/>
              <w:jc w:val="left"/>
              <w:rPr>
                <w:rFonts w:ascii="宋体" w:hAnsi="宋体"/>
                <w:szCs w:val="22"/>
              </w:rPr>
            </w:pPr>
            <w:r>
              <w:rPr>
                <w:rFonts w:ascii="宋体" w:hAnsi="宋体" w:cs="宋体"/>
                <w:szCs w:val="22"/>
              </w:rPr>
              <w:t>其它落实政府采购政策的资格要求</w:t>
            </w:r>
          </w:p>
        </w:tc>
        <w:tc>
          <w:tcPr>
            <w:tcW w:w="2835" w:type="dxa"/>
            <w:vAlign w:val="center"/>
          </w:tcPr>
          <w:p w14:paraId="1138E887">
            <w:pPr>
              <w:spacing w:line="360" w:lineRule="auto"/>
              <w:jc w:val="left"/>
              <w:rPr>
                <w:rFonts w:ascii="宋体" w:hAnsi="宋体"/>
                <w:szCs w:val="22"/>
              </w:rPr>
            </w:pPr>
            <w:r>
              <w:rPr>
                <w:rFonts w:ascii="宋体" w:hAnsi="宋体" w:cs="宋体"/>
                <w:szCs w:val="22"/>
              </w:rPr>
              <w:t>如有，见第一章《采购邀请》。</w:t>
            </w:r>
          </w:p>
        </w:tc>
        <w:tc>
          <w:tcPr>
            <w:tcW w:w="1134" w:type="dxa"/>
            <w:vAlign w:val="center"/>
          </w:tcPr>
          <w:p w14:paraId="62B92F40">
            <w:pPr>
              <w:spacing w:line="360" w:lineRule="auto"/>
              <w:jc w:val="center"/>
              <w:rPr>
                <w:rFonts w:ascii="宋体" w:hAnsi="宋体"/>
                <w:szCs w:val="22"/>
              </w:rPr>
            </w:pPr>
            <w:r>
              <w:rPr>
                <w:rFonts w:ascii="宋体" w:hAnsi="宋体" w:cs="宋体"/>
                <w:szCs w:val="22"/>
              </w:rPr>
              <w:t>重要指标</w:t>
            </w:r>
          </w:p>
        </w:tc>
        <w:tc>
          <w:tcPr>
            <w:tcW w:w="1497" w:type="dxa"/>
          </w:tcPr>
          <w:p w14:paraId="77BF6594">
            <w:pPr>
              <w:spacing w:line="360" w:lineRule="auto"/>
              <w:jc w:val="left"/>
              <w:rPr>
                <w:rFonts w:ascii="宋体" w:hAnsi="宋体"/>
                <w:szCs w:val="22"/>
              </w:rPr>
            </w:pPr>
            <w:r>
              <w:rPr>
                <w:rFonts w:ascii="宋体" w:hAnsi="宋体" w:cs="宋体"/>
                <w:szCs w:val="22"/>
              </w:rPr>
              <w:t>提供证明文件的电子件或电子证照</w:t>
            </w:r>
          </w:p>
        </w:tc>
      </w:tr>
      <w:tr w14:paraId="0E391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79099452">
            <w:pPr>
              <w:spacing w:line="360" w:lineRule="auto"/>
              <w:jc w:val="center"/>
              <w:rPr>
                <w:rFonts w:ascii="宋体" w:hAnsi="宋体"/>
                <w:szCs w:val="22"/>
              </w:rPr>
            </w:pPr>
            <w:r>
              <w:rPr>
                <w:rFonts w:ascii="宋体" w:hAnsi="宋体" w:cs="宋体"/>
                <w:szCs w:val="22"/>
              </w:rPr>
              <w:t>11</w:t>
            </w:r>
          </w:p>
        </w:tc>
        <w:tc>
          <w:tcPr>
            <w:tcW w:w="2126" w:type="dxa"/>
            <w:vAlign w:val="center"/>
          </w:tcPr>
          <w:p w14:paraId="16D37B29">
            <w:pPr>
              <w:spacing w:line="360" w:lineRule="auto"/>
              <w:jc w:val="left"/>
              <w:rPr>
                <w:rFonts w:ascii="宋体" w:hAnsi="宋体"/>
                <w:szCs w:val="22"/>
              </w:rPr>
            </w:pPr>
            <w:r>
              <w:rPr>
                <w:rFonts w:ascii="宋体" w:hAnsi="宋体" w:cs="宋体"/>
                <w:szCs w:val="22"/>
              </w:rPr>
              <w:t>本项目的特定资格要求</w:t>
            </w:r>
          </w:p>
        </w:tc>
        <w:tc>
          <w:tcPr>
            <w:tcW w:w="2835" w:type="dxa"/>
            <w:vAlign w:val="center"/>
          </w:tcPr>
          <w:p w14:paraId="364A41C2">
            <w:pPr>
              <w:spacing w:line="360" w:lineRule="auto"/>
              <w:jc w:val="left"/>
              <w:rPr>
                <w:rFonts w:ascii="宋体" w:hAnsi="宋体"/>
                <w:szCs w:val="22"/>
              </w:rPr>
            </w:pPr>
            <w:r>
              <w:rPr>
                <w:rFonts w:ascii="宋体" w:hAnsi="宋体" w:cs="宋体"/>
                <w:szCs w:val="22"/>
              </w:rPr>
              <w:t>如有，见第一章《采购邀请》。</w:t>
            </w:r>
          </w:p>
        </w:tc>
        <w:tc>
          <w:tcPr>
            <w:tcW w:w="1134" w:type="dxa"/>
            <w:vAlign w:val="center"/>
          </w:tcPr>
          <w:p w14:paraId="00D90FAA">
            <w:pPr>
              <w:spacing w:line="360" w:lineRule="auto"/>
              <w:jc w:val="center"/>
              <w:rPr>
                <w:rFonts w:ascii="宋体" w:hAnsi="宋体"/>
                <w:szCs w:val="22"/>
              </w:rPr>
            </w:pPr>
            <w:r>
              <w:rPr>
                <w:rFonts w:ascii="宋体" w:hAnsi="宋体" w:cs="宋体"/>
                <w:szCs w:val="22"/>
              </w:rPr>
              <w:t>重要指标</w:t>
            </w:r>
          </w:p>
        </w:tc>
        <w:tc>
          <w:tcPr>
            <w:tcW w:w="1497" w:type="dxa"/>
          </w:tcPr>
          <w:p w14:paraId="045A8C97">
            <w:pPr>
              <w:spacing w:line="360" w:lineRule="auto"/>
              <w:jc w:val="left"/>
              <w:rPr>
                <w:rFonts w:ascii="宋体" w:hAnsi="宋体"/>
                <w:szCs w:val="22"/>
              </w:rPr>
            </w:pPr>
            <w:r>
              <w:rPr>
                <w:rFonts w:ascii="宋体" w:hAnsi="宋体" w:cs="宋体"/>
                <w:szCs w:val="22"/>
              </w:rPr>
              <w:t>/</w:t>
            </w:r>
          </w:p>
        </w:tc>
      </w:tr>
      <w:tr w14:paraId="4A721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537C6C64">
            <w:pPr>
              <w:spacing w:line="360" w:lineRule="auto"/>
              <w:jc w:val="center"/>
              <w:rPr>
                <w:rFonts w:ascii="宋体" w:hAnsi="宋体"/>
                <w:szCs w:val="22"/>
              </w:rPr>
            </w:pPr>
            <w:r>
              <w:rPr>
                <w:rFonts w:ascii="宋体" w:hAnsi="宋体" w:cs="宋体"/>
                <w:szCs w:val="22"/>
              </w:rPr>
              <w:t>12</w:t>
            </w:r>
          </w:p>
        </w:tc>
        <w:tc>
          <w:tcPr>
            <w:tcW w:w="2126" w:type="dxa"/>
            <w:vAlign w:val="center"/>
          </w:tcPr>
          <w:p w14:paraId="6FB8B791">
            <w:pPr>
              <w:spacing w:line="360" w:lineRule="auto"/>
              <w:jc w:val="left"/>
              <w:rPr>
                <w:rFonts w:ascii="宋体" w:hAnsi="宋体"/>
                <w:szCs w:val="22"/>
              </w:rPr>
            </w:pPr>
            <w:r>
              <w:rPr>
                <w:rFonts w:ascii="宋体" w:hAnsi="宋体" w:cs="宋体"/>
                <w:szCs w:val="22"/>
              </w:rPr>
              <w:t>本项目对于联合体的要求</w:t>
            </w:r>
          </w:p>
        </w:tc>
        <w:tc>
          <w:tcPr>
            <w:tcW w:w="2835" w:type="dxa"/>
            <w:vAlign w:val="center"/>
          </w:tcPr>
          <w:p w14:paraId="05A1151D">
            <w:pPr>
              <w:spacing w:line="360" w:lineRule="auto"/>
              <w:jc w:val="left"/>
              <w:rPr>
                <w:rFonts w:ascii="宋体" w:hAnsi="宋体"/>
                <w:szCs w:val="22"/>
              </w:rPr>
            </w:pPr>
            <w:r>
              <w:rPr>
                <w:rFonts w:ascii="宋体" w:hAnsi="宋体" w:cs="宋体"/>
                <w:szCs w:val="22"/>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响应文件的组成部分，与响应文件其他内容同时递交。</w:t>
            </w:r>
            <w:r>
              <w:rPr>
                <w:rFonts w:ascii="宋体" w:hAnsi="宋体" w:cs="宋体"/>
                <w:szCs w:val="22"/>
              </w:rPr>
              <w:cr/>
            </w:r>
            <w:r>
              <w:rPr>
                <w:rFonts w:ascii="宋体" w:hAnsi="宋体" w:cs="宋体"/>
                <w:szCs w:val="22"/>
              </w:rPr>
              <w:t>2、联合体各成员单位均须提供本表中序号1-1、1-2的证明文件。联合体各成员单位均应满足本表3-2项规定。</w:t>
            </w:r>
            <w:r>
              <w:rPr>
                <w:rFonts w:ascii="宋体" w:hAnsi="宋体" w:cs="宋体"/>
                <w:szCs w:val="22"/>
              </w:rPr>
              <w:cr/>
            </w:r>
            <w:r>
              <w:rPr>
                <w:rFonts w:ascii="宋体" w:hAnsi="宋体" w:cs="宋体"/>
                <w:szCs w:val="22"/>
              </w:rPr>
              <w:t>3、本表序号3-3项规定的其他特定资格要求中的每一小项要求，联合体各方中至少应当有一方符合本表中其他资格要求并提供证明文件。</w:t>
            </w:r>
            <w:r>
              <w:rPr>
                <w:rFonts w:ascii="宋体" w:hAnsi="宋体" w:cs="宋体"/>
                <w:szCs w:val="22"/>
              </w:rPr>
              <w:cr/>
            </w:r>
            <w:r>
              <w:rPr>
                <w:rFonts w:ascii="宋体" w:hAnsi="宋体" w:cs="宋体"/>
                <w:szCs w:val="22"/>
              </w:rPr>
              <w:t>4、联合体中有同类资质的供应商按照联合体分工承担相同工作的，应当按照资质等级较低的供应商确定资质等级。</w:t>
            </w:r>
            <w:r>
              <w:rPr>
                <w:rFonts w:ascii="宋体" w:hAnsi="宋体" w:cs="宋体"/>
                <w:szCs w:val="22"/>
              </w:rPr>
              <w:cr/>
            </w:r>
            <w:r>
              <w:rPr>
                <w:rFonts w:ascii="宋体" w:hAnsi="宋体" w:cs="宋体"/>
                <w:szCs w:val="22"/>
              </w:rPr>
              <w:t>5、以联合体形式参加政府采购活动的，联合体各方不得再单独参加或者与其他供应商另外组成联合体参加同一合同项下的政府采购活动。</w:t>
            </w:r>
            <w:r>
              <w:rPr>
                <w:rFonts w:ascii="宋体" w:hAnsi="宋体" w:cs="宋体"/>
                <w:szCs w:val="22"/>
              </w:rPr>
              <w:cr/>
            </w:r>
            <w:r>
              <w:rPr>
                <w:rFonts w:ascii="宋体" w:hAnsi="宋体" w:cs="宋体"/>
                <w:szCs w:val="22"/>
              </w:rPr>
              <w:t>6、若联合体中任一成员单位中途退出，则该联合体的投标无效。</w:t>
            </w:r>
            <w:r>
              <w:rPr>
                <w:rFonts w:ascii="宋体" w:hAnsi="宋体" w:cs="宋体"/>
                <w:szCs w:val="22"/>
              </w:rPr>
              <w:cr/>
            </w:r>
            <w:r>
              <w:rPr>
                <w:rFonts w:ascii="宋体" w:hAnsi="宋体" w:cs="宋体"/>
                <w:szCs w:val="22"/>
              </w:rPr>
              <w:t>7、本项目不接受联合体投标时，投标人不得为联合体。</w:t>
            </w:r>
          </w:p>
        </w:tc>
        <w:tc>
          <w:tcPr>
            <w:tcW w:w="1134" w:type="dxa"/>
            <w:vAlign w:val="center"/>
          </w:tcPr>
          <w:p w14:paraId="527752EA">
            <w:pPr>
              <w:spacing w:line="360" w:lineRule="auto"/>
              <w:jc w:val="center"/>
              <w:rPr>
                <w:rFonts w:ascii="宋体" w:hAnsi="宋体"/>
                <w:szCs w:val="22"/>
              </w:rPr>
            </w:pPr>
            <w:r>
              <w:rPr>
                <w:rFonts w:ascii="宋体" w:hAnsi="宋体" w:cs="宋体"/>
                <w:szCs w:val="22"/>
              </w:rPr>
              <w:t>重要指标</w:t>
            </w:r>
          </w:p>
        </w:tc>
        <w:tc>
          <w:tcPr>
            <w:tcW w:w="1497" w:type="dxa"/>
          </w:tcPr>
          <w:p w14:paraId="44F82730">
            <w:pPr>
              <w:spacing w:line="360" w:lineRule="auto"/>
              <w:jc w:val="left"/>
              <w:rPr>
                <w:rFonts w:ascii="宋体" w:hAnsi="宋体"/>
                <w:szCs w:val="22"/>
              </w:rPr>
            </w:pPr>
            <w:r>
              <w:rPr>
                <w:rFonts w:ascii="宋体" w:hAnsi="宋体" w:cs="宋体"/>
                <w:szCs w:val="22"/>
              </w:rPr>
              <w:t>提供《联合协议》原件的电子件</w:t>
            </w:r>
            <w:r>
              <w:rPr>
                <w:rFonts w:ascii="宋体" w:hAnsi="宋体" w:cs="宋体"/>
                <w:szCs w:val="22"/>
              </w:rPr>
              <w:cr/>
            </w:r>
            <w:r>
              <w:rPr>
                <w:rFonts w:ascii="宋体" w:hAnsi="宋体" w:cs="宋体"/>
                <w:szCs w:val="22"/>
              </w:rPr>
              <w:t>格式见《响应文件格式》</w:t>
            </w:r>
          </w:p>
        </w:tc>
      </w:tr>
      <w:tr w14:paraId="5EB6A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5F7082EC">
            <w:pPr>
              <w:spacing w:line="360" w:lineRule="auto"/>
              <w:jc w:val="center"/>
              <w:rPr>
                <w:rFonts w:ascii="宋体" w:hAnsi="宋体"/>
                <w:szCs w:val="22"/>
              </w:rPr>
            </w:pPr>
            <w:r>
              <w:rPr>
                <w:rFonts w:ascii="宋体" w:hAnsi="宋体" w:cs="宋体"/>
                <w:szCs w:val="22"/>
              </w:rPr>
              <w:t>13</w:t>
            </w:r>
          </w:p>
        </w:tc>
        <w:tc>
          <w:tcPr>
            <w:tcW w:w="2126" w:type="dxa"/>
            <w:vAlign w:val="center"/>
          </w:tcPr>
          <w:p w14:paraId="57B6F44A">
            <w:pPr>
              <w:spacing w:line="360" w:lineRule="auto"/>
              <w:jc w:val="left"/>
              <w:rPr>
                <w:rFonts w:ascii="宋体" w:hAnsi="宋体"/>
                <w:szCs w:val="22"/>
              </w:rPr>
            </w:pPr>
            <w:r>
              <w:rPr>
                <w:rFonts w:ascii="宋体" w:hAnsi="宋体" w:cs="宋体"/>
                <w:szCs w:val="22"/>
              </w:rPr>
              <w:t>政府购买服务承接主体的要求</w:t>
            </w:r>
          </w:p>
        </w:tc>
        <w:tc>
          <w:tcPr>
            <w:tcW w:w="2835" w:type="dxa"/>
            <w:vAlign w:val="center"/>
          </w:tcPr>
          <w:p w14:paraId="7F241AE8">
            <w:pPr>
              <w:spacing w:line="360" w:lineRule="auto"/>
              <w:jc w:val="left"/>
              <w:rPr>
                <w:rFonts w:ascii="宋体" w:hAnsi="宋体"/>
                <w:szCs w:val="22"/>
              </w:rPr>
            </w:pPr>
            <w:r>
              <w:rPr>
                <w:rFonts w:ascii="宋体" w:hAnsi="宋体" w:cs="宋体"/>
                <w:szCs w:val="22"/>
              </w:rPr>
              <w:t>如本项目属于政府购买服务，投标人不属于公益一类事业单位、使用事业编制且由财政拨款保障的群团组织。</w:t>
            </w:r>
          </w:p>
        </w:tc>
        <w:tc>
          <w:tcPr>
            <w:tcW w:w="1134" w:type="dxa"/>
            <w:vAlign w:val="center"/>
          </w:tcPr>
          <w:p w14:paraId="4442FEED">
            <w:pPr>
              <w:spacing w:line="360" w:lineRule="auto"/>
              <w:jc w:val="center"/>
              <w:rPr>
                <w:rFonts w:ascii="宋体" w:hAnsi="宋体"/>
                <w:szCs w:val="22"/>
              </w:rPr>
            </w:pPr>
            <w:r>
              <w:rPr>
                <w:rFonts w:ascii="宋体" w:hAnsi="宋体" w:cs="宋体"/>
                <w:szCs w:val="22"/>
              </w:rPr>
              <w:t>重要指标</w:t>
            </w:r>
          </w:p>
        </w:tc>
        <w:tc>
          <w:tcPr>
            <w:tcW w:w="1497" w:type="dxa"/>
          </w:tcPr>
          <w:p w14:paraId="43E37ACB">
            <w:pPr>
              <w:spacing w:line="360" w:lineRule="auto"/>
              <w:jc w:val="left"/>
              <w:rPr>
                <w:rFonts w:ascii="宋体" w:hAnsi="宋体"/>
                <w:szCs w:val="22"/>
              </w:rPr>
            </w:pPr>
            <w:r>
              <w:rPr>
                <w:rFonts w:ascii="宋体" w:hAnsi="宋体" w:cs="宋体"/>
                <w:szCs w:val="22"/>
              </w:rPr>
              <w:t>格式见《响应文件格式》“1-2 供应商资格声明书”</w:t>
            </w:r>
          </w:p>
        </w:tc>
      </w:tr>
      <w:tr w14:paraId="2F961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7BC32664">
            <w:pPr>
              <w:spacing w:line="360" w:lineRule="auto"/>
              <w:jc w:val="center"/>
              <w:rPr>
                <w:rFonts w:ascii="宋体" w:hAnsi="宋体"/>
                <w:szCs w:val="22"/>
              </w:rPr>
            </w:pPr>
            <w:r>
              <w:rPr>
                <w:rFonts w:ascii="宋体" w:hAnsi="宋体" w:cs="宋体"/>
                <w:szCs w:val="22"/>
              </w:rPr>
              <w:t>14</w:t>
            </w:r>
          </w:p>
        </w:tc>
        <w:tc>
          <w:tcPr>
            <w:tcW w:w="2126" w:type="dxa"/>
            <w:vAlign w:val="center"/>
          </w:tcPr>
          <w:p w14:paraId="6EF08F63">
            <w:pPr>
              <w:spacing w:line="360" w:lineRule="auto"/>
              <w:jc w:val="left"/>
              <w:rPr>
                <w:rFonts w:ascii="宋体" w:hAnsi="宋体"/>
                <w:szCs w:val="22"/>
              </w:rPr>
            </w:pPr>
            <w:r>
              <w:rPr>
                <w:rFonts w:ascii="宋体" w:hAnsi="宋体" w:cs="宋体"/>
                <w:szCs w:val="22"/>
              </w:rPr>
              <w:t>其他特定资格要求</w:t>
            </w:r>
          </w:p>
        </w:tc>
        <w:tc>
          <w:tcPr>
            <w:tcW w:w="2835" w:type="dxa"/>
            <w:vAlign w:val="center"/>
          </w:tcPr>
          <w:p w14:paraId="09FE6A27">
            <w:pPr>
              <w:spacing w:line="360" w:lineRule="auto"/>
              <w:jc w:val="left"/>
              <w:rPr>
                <w:rFonts w:ascii="宋体" w:hAnsi="宋体"/>
                <w:szCs w:val="22"/>
              </w:rPr>
            </w:pPr>
            <w:r>
              <w:rPr>
                <w:rFonts w:ascii="宋体" w:hAnsi="宋体" w:cs="宋体"/>
                <w:szCs w:val="22"/>
              </w:rPr>
              <w:t>如有，见第一章《采购邀请》</w:t>
            </w:r>
            <w:r>
              <w:rPr>
                <w:rFonts w:ascii="宋体" w:hAnsi="宋体" w:cs="宋体"/>
                <w:szCs w:val="22"/>
              </w:rPr>
              <w:cr/>
            </w:r>
            <w:r>
              <w:rPr>
                <w:rFonts w:ascii="宋体" w:hAnsi="宋体" w:cs="宋体"/>
                <w:szCs w:val="22"/>
              </w:rPr>
              <w:t>注：如联合体中有同类资质的供应商按照联合体分工承担相同工作的，均应当提供资质证书电子件或电子证照。</w:t>
            </w:r>
          </w:p>
        </w:tc>
        <w:tc>
          <w:tcPr>
            <w:tcW w:w="1134" w:type="dxa"/>
            <w:vAlign w:val="center"/>
          </w:tcPr>
          <w:p w14:paraId="6E3E774D">
            <w:pPr>
              <w:spacing w:line="360" w:lineRule="auto"/>
              <w:jc w:val="center"/>
              <w:rPr>
                <w:rFonts w:ascii="宋体" w:hAnsi="宋体"/>
                <w:szCs w:val="22"/>
              </w:rPr>
            </w:pPr>
            <w:r>
              <w:rPr>
                <w:rFonts w:ascii="宋体" w:hAnsi="宋体" w:cs="宋体"/>
                <w:szCs w:val="22"/>
              </w:rPr>
              <w:t>重要指标</w:t>
            </w:r>
          </w:p>
        </w:tc>
        <w:tc>
          <w:tcPr>
            <w:tcW w:w="1497" w:type="dxa"/>
          </w:tcPr>
          <w:p w14:paraId="6E88B2B5">
            <w:pPr>
              <w:spacing w:line="360" w:lineRule="auto"/>
              <w:jc w:val="left"/>
              <w:rPr>
                <w:rFonts w:ascii="宋体" w:hAnsi="宋体"/>
                <w:szCs w:val="22"/>
              </w:rPr>
            </w:pPr>
            <w:r>
              <w:rPr>
                <w:rFonts w:ascii="宋体" w:hAnsi="宋体" w:cs="宋体"/>
                <w:szCs w:val="22"/>
              </w:rPr>
              <w:t>提供证明文件的电子件或电子证照</w:t>
            </w:r>
          </w:p>
        </w:tc>
      </w:tr>
      <w:tr w14:paraId="75D8D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73A613A7">
            <w:pPr>
              <w:spacing w:line="360" w:lineRule="auto"/>
              <w:jc w:val="center"/>
              <w:rPr>
                <w:rFonts w:ascii="宋体" w:hAnsi="宋体"/>
                <w:szCs w:val="22"/>
              </w:rPr>
            </w:pPr>
            <w:r>
              <w:rPr>
                <w:rFonts w:ascii="宋体" w:hAnsi="宋体" w:cs="宋体"/>
                <w:szCs w:val="22"/>
              </w:rPr>
              <w:t>15</w:t>
            </w:r>
          </w:p>
        </w:tc>
        <w:tc>
          <w:tcPr>
            <w:tcW w:w="2126" w:type="dxa"/>
            <w:vAlign w:val="center"/>
          </w:tcPr>
          <w:p w14:paraId="2D19E730">
            <w:pPr>
              <w:spacing w:line="360" w:lineRule="auto"/>
              <w:jc w:val="left"/>
              <w:rPr>
                <w:rFonts w:ascii="宋体" w:hAnsi="宋体"/>
                <w:szCs w:val="22"/>
              </w:rPr>
            </w:pPr>
            <w:r>
              <w:rPr>
                <w:rFonts w:ascii="宋体" w:hAnsi="宋体" w:cs="宋体"/>
                <w:szCs w:val="22"/>
              </w:rPr>
              <w:t>磋商保证金</w:t>
            </w:r>
          </w:p>
        </w:tc>
        <w:tc>
          <w:tcPr>
            <w:tcW w:w="2835" w:type="dxa"/>
            <w:vAlign w:val="center"/>
          </w:tcPr>
          <w:p w14:paraId="1B0B1775">
            <w:pPr>
              <w:spacing w:line="360" w:lineRule="auto"/>
              <w:jc w:val="left"/>
              <w:rPr>
                <w:rFonts w:ascii="宋体" w:hAnsi="宋体"/>
                <w:szCs w:val="22"/>
              </w:rPr>
            </w:pPr>
            <w:r>
              <w:rPr>
                <w:rFonts w:ascii="宋体" w:hAnsi="宋体" w:cs="宋体"/>
                <w:szCs w:val="22"/>
              </w:rPr>
              <w:t>按照竞争性磋商文件的要求提交磋商保证金。</w:t>
            </w:r>
          </w:p>
        </w:tc>
        <w:tc>
          <w:tcPr>
            <w:tcW w:w="1134" w:type="dxa"/>
            <w:vAlign w:val="center"/>
          </w:tcPr>
          <w:p w14:paraId="50B97AAF">
            <w:pPr>
              <w:spacing w:line="360" w:lineRule="auto"/>
              <w:jc w:val="center"/>
              <w:rPr>
                <w:rFonts w:ascii="宋体" w:hAnsi="宋体"/>
                <w:szCs w:val="22"/>
              </w:rPr>
            </w:pPr>
            <w:r>
              <w:rPr>
                <w:rFonts w:ascii="宋体" w:hAnsi="宋体" w:cs="宋体"/>
                <w:szCs w:val="22"/>
              </w:rPr>
              <w:t>重要指标</w:t>
            </w:r>
          </w:p>
        </w:tc>
        <w:tc>
          <w:tcPr>
            <w:tcW w:w="1497" w:type="dxa"/>
          </w:tcPr>
          <w:p w14:paraId="6965D319">
            <w:pPr>
              <w:spacing w:line="360" w:lineRule="auto"/>
              <w:jc w:val="left"/>
              <w:rPr>
                <w:rFonts w:ascii="宋体" w:hAnsi="宋体"/>
                <w:szCs w:val="22"/>
              </w:rPr>
            </w:pPr>
            <w:r>
              <w:rPr>
                <w:rFonts w:ascii="宋体" w:hAnsi="宋体" w:cs="宋体"/>
                <w:szCs w:val="22"/>
              </w:rPr>
              <w:t>/</w:t>
            </w:r>
          </w:p>
        </w:tc>
      </w:tr>
      <w:tr w14:paraId="66678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573A5F48">
            <w:pPr>
              <w:spacing w:line="360" w:lineRule="auto"/>
              <w:jc w:val="center"/>
              <w:rPr>
                <w:rFonts w:ascii="宋体" w:hAnsi="宋体"/>
                <w:szCs w:val="22"/>
              </w:rPr>
            </w:pPr>
            <w:r>
              <w:rPr>
                <w:rFonts w:ascii="宋体" w:hAnsi="宋体" w:cs="宋体"/>
                <w:szCs w:val="22"/>
              </w:rPr>
              <w:t>16</w:t>
            </w:r>
          </w:p>
        </w:tc>
        <w:tc>
          <w:tcPr>
            <w:tcW w:w="2126" w:type="dxa"/>
            <w:vAlign w:val="center"/>
          </w:tcPr>
          <w:p w14:paraId="2E9B2A59">
            <w:pPr>
              <w:spacing w:line="360" w:lineRule="auto"/>
              <w:jc w:val="left"/>
              <w:rPr>
                <w:rFonts w:ascii="宋体" w:hAnsi="宋体"/>
                <w:szCs w:val="22"/>
              </w:rPr>
            </w:pPr>
            <w:r>
              <w:rPr>
                <w:rFonts w:ascii="宋体" w:hAnsi="宋体" w:cs="宋体"/>
                <w:szCs w:val="22"/>
              </w:rPr>
              <w:t>获取磋商文件</w:t>
            </w:r>
          </w:p>
        </w:tc>
        <w:tc>
          <w:tcPr>
            <w:tcW w:w="2835" w:type="dxa"/>
            <w:vAlign w:val="center"/>
          </w:tcPr>
          <w:p w14:paraId="40499A75">
            <w:pPr>
              <w:spacing w:line="360" w:lineRule="auto"/>
              <w:jc w:val="left"/>
              <w:rPr>
                <w:rFonts w:ascii="宋体" w:hAnsi="宋体"/>
                <w:szCs w:val="22"/>
              </w:rPr>
            </w:pPr>
            <w:r>
              <w:rPr>
                <w:rFonts w:ascii="宋体" w:hAnsi="宋体" w:cs="宋体"/>
                <w:szCs w:val="22"/>
              </w:rPr>
              <w:t>在规定期限内通过北京市政府采购电子交易平台获取所参与包的磋商文件。</w:t>
            </w:r>
            <w:r>
              <w:rPr>
                <w:rFonts w:ascii="宋体" w:hAnsi="宋体" w:cs="宋体"/>
                <w:szCs w:val="22"/>
              </w:rPr>
              <w:cr/>
            </w:r>
            <w:r>
              <w:rPr>
                <w:rFonts w:ascii="宋体" w:hAnsi="宋体" w:cs="宋体"/>
                <w:szCs w:val="22"/>
              </w:rPr>
              <w:t>注：如本项目接受联合体，且供应商为联合体时，联合体中任一成员获取文件即视为满足要求。</w:t>
            </w:r>
          </w:p>
        </w:tc>
        <w:tc>
          <w:tcPr>
            <w:tcW w:w="1134" w:type="dxa"/>
            <w:vAlign w:val="center"/>
          </w:tcPr>
          <w:p w14:paraId="3DBB8814">
            <w:pPr>
              <w:spacing w:line="360" w:lineRule="auto"/>
              <w:jc w:val="center"/>
              <w:rPr>
                <w:rFonts w:ascii="宋体" w:hAnsi="宋体"/>
                <w:szCs w:val="22"/>
              </w:rPr>
            </w:pPr>
            <w:r>
              <w:rPr>
                <w:rFonts w:ascii="宋体" w:hAnsi="宋体" w:cs="宋体"/>
                <w:szCs w:val="22"/>
              </w:rPr>
              <w:t>重要指标</w:t>
            </w:r>
          </w:p>
        </w:tc>
        <w:tc>
          <w:tcPr>
            <w:tcW w:w="1497" w:type="dxa"/>
          </w:tcPr>
          <w:p w14:paraId="5C2A6126">
            <w:pPr>
              <w:spacing w:line="360" w:lineRule="auto"/>
              <w:jc w:val="left"/>
              <w:rPr>
                <w:rFonts w:ascii="宋体" w:hAnsi="宋体"/>
                <w:szCs w:val="22"/>
              </w:rPr>
            </w:pPr>
            <w:r>
              <w:rPr>
                <w:rFonts w:ascii="宋体" w:hAnsi="宋体" w:cs="宋体"/>
                <w:szCs w:val="22"/>
              </w:rPr>
              <w:t>/</w:t>
            </w:r>
          </w:p>
        </w:tc>
      </w:tr>
      <w:tr w14:paraId="76981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96" w:type="dxa"/>
            <w:gridSpan w:val="5"/>
            <w:vAlign w:val="center"/>
          </w:tcPr>
          <w:p w14:paraId="4E98D3E1">
            <w:pPr>
              <w:spacing w:line="360" w:lineRule="auto"/>
              <w:jc w:val="center"/>
              <w:rPr>
                <w:rFonts w:ascii="宋体" w:hAnsi="宋体"/>
                <w:szCs w:val="22"/>
              </w:rPr>
            </w:pPr>
            <w:r>
              <w:rPr>
                <w:rFonts w:ascii="宋体" w:hAnsi="宋体" w:cs="宋体"/>
                <w:szCs w:val="22"/>
              </w:rPr>
              <w:t>评审方式：定性；明暗标设定：明标；</w:t>
            </w:r>
          </w:p>
        </w:tc>
      </w:tr>
    </w:tbl>
    <w:p w14:paraId="5EAAFB54">
      <w:pPr>
        <w:widowControl/>
        <w:jc w:val="left"/>
        <w:rPr>
          <w:rFonts w:ascii="等线" w:hAnsi="等线" w:eastAsia="等线"/>
          <w:szCs w:val="22"/>
        </w:rPr>
      </w:pPr>
    </w:p>
    <w:p w14:paraId="43215B54">
      <w:pPr>
        <w:widowControl/>
        <w:jc w:val="left"/>
        <w:rPr>
          <w:rFonts w:ascii="等线" w:hAnsi="等线" w:eastAsia="等线"/>
          <w:szCs w:val="22"/>
        </w:rPr>
      </w:pPr>
    </w:p>
    <w:p w14:paraId="12D0CECC">
      <w:pPr>
        <w:widowControl/>
        <w:jc w:val="left"/>
        <w:rPr>
          <w:rFonts w:ascii="等线" w:hAnsi="等线" w:eastAsia="等线"/>
          <w:szCs w:val="22"/>
        </w:rPr>
      </w:pPr>
    </w:p>
    <w:tbl>
      <w:tblPr>
        <w:tblStyle w:val="26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2351"/>
        <w:gridCol w:w="3135"/>
        <w:gridCol w:w="1254"/>
        <w:gridCol w:w="1655"/>
      </w:tblGrid>
      <w:tr w14:paraId="16C88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96" w:type="dxa"/>
            <w:gridSpan w:val="5"/>
            <w:vAlign w:val="center"/>
          </w:tcPr>
          <w:p w14:paraId="3859CB4D">
            <w:pPr>
              <w:spacing w:line="360" w:lineRule="auto"/>
              <w:jc w:val="center"/>
              <w:rPr>
                <w:rFonts w:ascii="微软雅黑" w:hAnsi="微软雅黑" w:eastAsia="微软雅黑"/>
                <w:sz w:val="24"/>
              </w:rPr>
            </w:pPr>
            <w:r>
              <w:rPr>
                <w:rFonts w:ascii="宋体" w:hAnsi="宋体" w:cs="宋体"/>
                <w:szCs w:val="22"/>
              </w:rPr>
              <w:t>符合性评审</w:t>
            </w:r>
          </w:p>
        </w:tc>
      </w:tr>
      <w:tr w14:paraId="27C33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4" w:type="dxa"/>
            <w:vAlign w:val="center"/>
          </w:tcPr>
          <w:p w14:paraId="4C37EBF2">
            <w:pPr>
              <w:spacing w:line="360" w:lineRule="auto"/>
              <w:jc w:val="center"/>
              <w:rPr>
                <w:szCs w:val="22"/>
              </w:rPr>
            </w:pPr>
            <w:r>
              <w:rPr>
                <w:rFonts w:hint="eastAsia" w:ascii="微软雅黑" w:hAnsi="微软雅黑" w:eastAsia="微软雅黑" w:cs="宋体"/>
                <w:szCs w:val="21"/>
              </w:rPr>
              <w:t>序</w:t>
            </w:r>
            <w:r>
              <w:rPr>
                <w:rFonts w:hint="eastAsia" w:ascii="微软雅黑" w:hAnsi="微软雅黑" w:eastAsia="微软雅黑" w:cstheme="minorBidi"/>
                <w:szCs w:val="21"/>
              </w:rPr>
              <w:t>号</w:t>
            </w:r>
          </w:p>
        </w:tc>
        <w:tc>
          <w:tcPr>
            <w:tcW w:w="2126" w:type="dxa"/>
            <w:vAlign w:val="center"/>
          </w:tcPr>
          <w:p w14:paraId="1452D789">
            <w:pPr>
              <w:spacing w:line="360" w:lineRule="auto"/>
              <w:jc w:val="center"/>
              <w:rPr>
                <w:szCs w:val="22"/>
              </w:rPr>
            </w:pPr>
            <w:r>
              <w:rPr>
                <w:rFonts w:hint="eastAsia" w:ascii="微软雅黑" w:hAnsi="微软雅黑" w:eastAsia="微软雅黑" w:cs="宋体"/>
                <w:szCs w:val="21"/>
              </w:rPr>
              <w:t>评审因</w:t>
            </w:r>
            <w:r>
              <w:rPr>
                <w:rFonts w:hint="eastAsia" w:ascii="微软雅黑" w:hAnsi="微软雅黑" w:eastAsia="微软雅黑" w:cstheme="minorBidi"/>
                <w:szCs w:val="21"/>
              </w:rPr>
              <w:t>素</w:t>
            </w:r>
          </w:p>
        </w:tc>
        <w:tc>
          <w:tcPr>
            <w:tcW w:w="2835" w:type="dxa"/>
            <w:vAlign w:val="center"/>
          </w:tcPr>
          <w:p w14:paraId="35C42F04">
            <w:pPr>
              <w:spacing w:line="360" w:lineRule="auto"/>
              <w:jc w:val="center"/>
              <w:rPr>
                <w:szCs w:val="22"/>
              </w:rPr>
            </w:pPr>
            <w:r>
              <w:rPr>
                <w:rFonts w:hint="eastAsia" w:ascii="微软雅黑" w:hAnsi="微软雅黑" w:eastAsia="微软雅黑" w:cs="宋体"/>
                <w:szCs w:val="21"/>
              </w:rPr>
              <w:t>评审标</w:t>
            </w:r>
            <w:r>
              <w:rPr>
                <w:rFonts w:hint="eastAsia" w:ascii="微软雅黑" w:hAnsi="微软雅黑" w:eastAsia="微软雅黑" w:cstheme="minorBidi"/>
                <w:szCs w:val="21"/>
              </w:rPr>
              <w:t>准</w:t>
            </w:r>
          </w:p>
        </w:tc>
        <w:tc>
          <w:tcPr>
            <w:tcW w:w="1134" w:type="dxa"/>
            <w:vAlign w:val="center"/>
          </w:tcPr>
          <w:p w14:paraId="5D4B9D2D">
            <w:pPr>
              <w:spacing w:line="360" w:lineRule="auto"/>
              <w:jc w:val="center"/>
              <w:rPr>
                <w:szCs w:val="22"/>
              </w:rPr>
            </w:pPr>
            <w:r>
              <w:rPr>
                <w:rFonts w:hint="eastAsia" w:ascii="微软雅黑" w:hAnsi="微软雅黑" w:eastAsia="微软雅黑" w:cs="宋体"/>
                <w:szCs w:val="21"/>
              </w:rPr>
              <w:t>评审类型</w:t>
            </w:r>
          </w:p>
        </w:tc>
        <w:tc>
          <w:tcPr>
            <w:tcW w:w="1497" w:type="dxa"/>
          </w:tcPr>
          <w:p w14:paraId="2D28E1B5">
            <w:pPr>
              <w:spacing w:line="360" w:lineRule="auto"/>
              <w:jc w:val="center"/>
              <w:rPr>
                <w:szCs w:val="22"/>
              </w:rPr>
            </w:pPr>
            <w:r>
              <w:rPr>
                <w:rFonts w:hint="eastAsia" w:ascii="微软雅黑" w:hAnsi="微软雅黑" w:eastAsia="微软雅黑" w:cs="宋体"/>
                <w:szCs w:val="21"/>
              </w:rPr>
              <w:t>备注</w:t>
            </w:r>
          </w:p>
        </w:tc>
      </w:tr>
      <w:tr w14:paraId="71868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6C325A95">
            <w:pPr>
              <w:spacing w:line="360" w:lineRule="auto"/>
              <w:jc w:val="center"/>
              <w:rPr>
                <w:rFonts w:ascii="宋体" w:hAnsi="宋体"/>
                <w:szCs w:val="22"/>
              </w:rPr>
            </w:pPr>
            <w:r>
              <w:rPr>
                <w:rFonts w:ascii="宋体" w:hAnsi="宋体" w:cs="宋体"/>
                <w:szCs w:val="22"/>
              </w:rPr>
              <w:t>1</w:t>
            </w:r>
          </w:p>
        </w:tc>
        <w:tc>
          <w:tcPr>
            <w:tcW w:w="2126" w:type="dxa"/>
            <w:vAlign w:val="center"/>
          </w:tcPr>
          <w:p w14:paraId="20E1EEFA">
            <w:pPr>
              <w:spacing w:line="360" w:lineRule="auto"/>
              <w:jc w:val="left"/>
              <w:rPr>
                <w:rFonts w:ascii="宋体" w:hAnsi="宋体"/>
                <w:szCs w:val="22"/>
              </w:rPr>
            </w:pPr>
            <w:r>
              <w:rPr>
                <w:rFonts w:ascii="宋体" w:hAnsi="宋体" w:cs="宋体"/>
                <w:szCs w:val="22"/>
              </w:rPr>
              <w:t>授权委托书</w:t>
            </w:r>
          </w:p>
        </w:tc>
        <w:tc>
          <w:tcPr>
            <w:tcW w:w="2835" w:type="dxa"/>
            <w:vAlign w:val="center"/>
          </w:tcPr>
          <w:p w14:paraId="2D439ABA">
            <w:pPr>
              <w:spacing w:line="360" w:lineRule="auto"/>
              <w:jc w:val="left"/>
              <w:rPr>
                <w:rFonts w:ascii="宋体" w:hAnsi="宋体"/>
                <w:szCs w:val="22"/>
              </w:rPr>
            </w:pPr>
            <w:r>
              <w:rPr>
                <w:rFonts w:ascii="宋体" w:hAnsi="宋体" w:cs="宋体"/>
                <w:szCs w:val="22"/>
              </w:rPr>
              <w:t>按磋商文件要求提供授权委托书；</w:t>
            </w:r>
          </w:p>
        </w:tc>
        <w:tc>
          <w:tcPr>
            <w:tcW w:w="1134" w:type="dxa"/>
            <w:vAlign w:val="center"/>
          </w:tcPr>
          <w:p w14:paraId="1AB57F4D">
            <w:pPr>
              <w:spacing w:line="360" w:lineRule="auto"/>
              <w:jc w:val="center"/>
              <w:rPr>
                <w:rFonts w:ascii="宋体" w:hAnsi="宋体"/>
                <w:szCs w:val="22"/>
              </w:rPr>
            </w:pPr>
            <w:r>
              <w:rPr>
                <w:rFonts w:ascii="宋体" w:hAnsi="宋体" w:cs="宋体"/>
                <w:szCs w:val="22"/>
              </w:rPr>
              <w:t>重要指标</w:t>
            </w:r>
          </w:p>
        </w:tc>
        <w:tc>
          <w:tcPr>
            <w:tcW w:w="1497" w:type="dxa"/>
          </w:tcPr>
          <w:p w14:paraId="0723A45E">
            <w:pPr>
              <w:spacing w:line="360" w:lineRule="auto"/>
              <w:jc w:val="left"/>
              <w:rPr>
                <w:rFonts w:ascii="宋体" w:hAnsi="宋体"/>
                <w:szCs w:val="22"/>
              </w:rPr>
            </w:pPr>
          </w:p>
        </w:tc>
      </w:tr>
      <w:tr w14:paraId="71409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49082B57">
            <w:pPr>
              <w:spacing w:line="360" w:lineRule="auto"/>
              <w:jc w:val="center"/>
              <w:rPr>
                <w:rFonts w:ascii="宋体" w:hAnsi="宋体"/>
                <w:szCs w:val="22"/>
              </w:rPr>
            </w:pPr>
            <w:r>
              <w:rPr>
                <w:rFonts w:ascii="宋体" w:hAnsi="宋体" w:cs="宋体"/>
                <w:szCs w:val="22"/>
              </w:rPr>
              <w:t>2</w:t>
            </w:r>
          </w:p>
        </w:tc>
        <w:tc>
          <w:tcPr>
            <w:tcW w:w="2126" w:type="dxa"/>
            <w:vAlign w:val="center"/>
          </w:tcPr>
          <w:p w14:paraId="13A21C2F">
            <w:pPr>
              <w:spacing w:line="360" w:lineRule="auto"/>
              <w:jc w:val="left"/>
              <w:rPr>
                <w:rFonts w:ascii="宋体" w:hAnsi="宋体"/>
                <w:szCs w:val="22"/>
              </w:rPr>
            </w:pPr>
            <w:r>
              <w:rPr>
                <w:rFonts w:ascii="宋体" w:hAnsi="宋体" w:cs="宋体"/>
                <w:szCs w:val="22"/>
              </w:rPr>
              <w:t>投标完整性</w:t>
            </w:r>
          </w:p>
        </w:tc>
        <w:tc>
          <w:tcPr>
            <w:tcW w:w="2835" w:type="dxa"/>
            <w:vAlign w:val="center"/>
          </w:tcPr>
          <w:p w14:paraId="4AE3EF1E">
            <w:pPr>
              <w:spacing w:line="360" w:lineRule="auto"/>
              <w:jc w:val="left"/>
              <w:rPr>
                <w:rFonts w:ascii="宋体" w:hAnsi="宋体"/>
                <w:szCs w:val="22"/>
              </w:rPr>
            </w:pPr>
            <w:r>
              <w:rPr>
                <w:rFonts w:ascii="宋体" w:hAnsi="宋体" w:cs="宋体"/>
                <w:szCs w:val="22"/>
              </w:rPr>
              <w:t>未将一个采购包中的内容拆开投标；</w:t>
            </w:r>
          </w:p>
        </w:tc>
        <w:tc>
          <w:tcPr>
            <w:tcW w:w="1134" w:type="dxa"/>
            <w:vAlign w:val="center"/>
          </w:tcPr>
          <w:p w14:paraId="4EE35E58">
            <w:pPr>
              <w:spacing w:line="360" w:lineRule="auto"/>
              <w:jc w:val="center"/>
              <w:rPr>
                <w:rFonts w:ascii="宋体" w:hAnsi="宋体"/>
                <w:szCs w:val="22"/>
              </w:rPr>
            </w:pPr>
            <w:r>
              <w:rPr>
                <w:rFonts w:ascii="宋体" w:hAnsi="宋体" w:cs="宋体"/>
                <w:szCs w:val="22"/>
              </w:rPr>
              <w:t>重要指标</w:t>
            </w:r>
          </w:p>
        </w:tc>
        <w:tc>
          <w:tcPr>
            <w:tcW w:w="1497" w:type="dxa"/>
          </w:tcPr>
          <w:p w14:paraId="69515125">
            <w:pPr>
              <w:spacing w:line="360" w:lineRule="auto"/>
              <w:jc w:val="left"/>
              <w:rPr>
                <w:rFonts w:ascii="宋体" w:hAnsi="宋体"/>
                <w:szCs w:val="22"/>
              </w:rPr>
            </w:pPr>
          </w:p>
        </w:tc>
      </w:tr>
      <w:tr w14:paraId="6B2B7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0550214A">
            <w:pPr>
              <w:spacing w:line="360" w:lineRule="auto"/>
              <w:jc w:val="center"/>
              <w:rPr>
                <w:rFonts w:ascii="宋体" w:hAnsi="宋体"/>
                <w:szCs w:val="22"/>
              </w:rPr>
            </w:pPr>
            <w:r>
              <w:rPr>
                <w:rFonts w:ascii="宋体" w:hAnsi="宋体" w:cs="宋体"/>
                <w:szCs w:val="22"/>
              </w:rPr>
              <w:t>3</w:t>
            </w:r>
          </w:p>
        </w:tc>
        <w:tc>
          <w:tcPr>
            <w:tcW w:w="2126" w:type="dxa"/>
            <w:vAlign w:val="center"/>
          </w:tcPr>
          <w:p w14:paraId="60EABB8A">
            <w:pPr>
              <w:spacing w:line="360" w:lineRule="auto"/>
              <w:jc w:val="left"/>
              <w:rPr>
                <w:rFonts w:ascii="宋体" w:hAnsi="宋体"/>
                <w:szCs w:val="22"/>
              </w:rPr>
            </w:pPr>
            <w:r>
              <w:rPr>
                <w:rFonts w:ascii="宋体" w:hAnsi="宋体" w:cs="宋体"/>
                <w:szCs w:val="22"/>
              </w:rPr>
              <w:t>投标报价</w:t>
            </w:r>
          </w:p>
        </w:tc>
        <w:tc>
          <w:tcPr>
            <w:tcW w:w="2835" w:type="dxa"/>
            <w:vAlign w:val="center"/>
          </w:tcPr>
          <w:p w14:paraId="6EECA063">
            <w:pPr>
              <w:spacing w:line="360" w:lineRule="auto"/>
              <w:jc w:val="left"/>
              <w:rPr>
                <w:rFonts w:ascii="宋体" w:hAnsi="宋体"/>
                <w:szCs w:val="22"/>
              </w:rPr>
            </w:pPr>
            <w:r>
              <w:rPr>
                <w:rFonts w:ascii="宋体" w:hAnsi="宋体" w:cs="宋体"/>
                <w:szCs w:val="22"/>
              </w:rPr>
              <w:t>投标报价未超过磋商文件中规定的项目/采购包预算金额或者项目/采购包最高限价；</w:t>
            </w:r>
          </w:p>
        </w:tc>
        <w:tc>
          <w:tcPr>
            <w:tcW w:w="1134" w:type="dxa"/>
            <w:vAlign w:val="center"/>
          </w:tcPr>
          <w:p w14:paraId="5B0EE3A8">
            <w:pPr>
              <w:spacing w:line="360" w:lineRule="auto"/>
              <w:jc w:val="center"/>
              <w:rPr>
                <w:rFonts w:ascii="宋体" w:hAnsi="宋体"/>
                <w:szCs w:val="22"/>
              </w:rPr>
            </w:pPr>
            <w:r>
              <w:rPr>
                <w:rFonts w:ascii="宋体" w:hAnsi="宋体" w:cs="宋体"/>
                <w:szCs w:val="22"/>
              </w:rPr>
              <w:t>重要指标</w:t>
            </w:r>
          </w:p>
        </w:tc>
        <w:tc>
          <w:tcPr>
            <w:tcW w:w="1497" w:type="dxa"/>
          </w:tcPr>
          <w:p w14:paraId="49879B2D">
            <w:pPr>
              <w:spacing w:line="360" w:lineRule="auto"/>
              <w:jc w:val="left"/>
              <w:rPr>
                <w:rFonts w:ascii="宋体" w:hAnsi="宋体"/>
                <w:szCs w:val="22"/>
              </w:rPr>
            </w:pPr>
          </w:p>
        </w:tc>
      </w:tr>
      <w:tr w14:paraId="0D282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19720E10">
            <w:pPr>
              <w:spacing w:line="360" w:lineRule="auto"/>
              <w:jc w:val="center"/>
              <w:rPr>
                <w:rFonts w:ascii="宋体" w:hAnsi="宋体"/>
                <w:szCs w:val="22"/>
              </w:rPr>
            </w:pPr>
            <w:r>
              <w:rPr>
                <w:rFonts w:ascii="宋体" w:hAnsi="宋体" w:cs="宋体"/>
                <w:szCs w:val="22"/>
              </w:rPr>
              <w:t>4</w:t>
            </w:r>
          </w:p>
        </w:tc>
        <w:tc>
          <w:tcPr>
            <w:tcW w:w="2126" w:type="dxa"/>
            <w:vAlign w:val="center"/>
          </w:tcPr>
          <w:p w14:paraId="6633DA99">
            <w:pPr>
              <w:spacing w:line="360" w:lineRule="auto"/>
              <w:jc w:val="left"/>
              <w:rPr>
                <w:rFonts w:ascii="宋体" w:hAnsi="宋体"/>
                <w:szCs w:val="22"/>
              </w:rPr>
            </w:pPr>
            <w:r>
              <w:rPr>
                <w:rFonts w:ascii="宋体" w:hAnsi="宋体" w:cs="宋体"/>
                <w:szCs w:val="22"/>
              </w:rPr>
              <w:t>报价唯一性</w:t>
            </w:r>
          </w:p>
        </w:tc>
        <w:tc>
          <w:tcPr>
            <w:tcW w:w="2835" w:type="dxa"/>
            <w:vAlign w:val="center"/>
          </w:tcPr>
          <w:p w14:paraId="7DD6FD81">
            <w:pPr>
              <w:spacing w:line="360" w:lineRule="auto"/>
              <w:jc w:val="left"/>
              <w:rPr>
                <w:rFonts w:ascii="宋体" w:hAnsi="宋体"/>
                <w:szCs w:val="22"/>
              </w:rPr>
            </w:pPr>
            <w:r>
              <w:rPr>
                <w:rFonts w:ascii="宋体" w:hAnsi="宋体" w:cs="宋体"/>
                <w:szCs w:val="22"/>
              </w:rPr>
              <w:t>响应文件未出现可选择性或可调整的报价（磋商文件另有规定的除外）；</w:t>
            </w:r>
          </w:p>
        </w:tc>
        <w:tc>
          <w:tcPr>
            <w:tcW w:w="1134" w:type="dxa"/>
            <w:vAlign w:val="center"/>
          </w:tcPr>
          <w:p w14:paraId="4CBBF189">
            <w:pPr>
              <w:spacing w:line="360" w:lineRule="auto"/>
              <w:jc w:val="center"/>
              <w:rPr>
                <w:rFonts w:ascii="宋体" w:hAnsi="宋体"/>
                <w:szCs w:val="22"/>
              </w:rPr>
            </w:pPr>
            <w:r>
              <w:rPr>
                <w:rFonts w:ascii="宋体" w:hAnsi="宋体" w:cs="宋体"/>
                <w:szCs w:val="22"/>
              </w:rPr>
              <w:t>重要指标</w:t>
            </w:r>
          </w:p>
        </w:tc>
        <w:tc>
          <w:tcPr>
            <w:tcW w:w="1497" w:type="dxa"/>
          </w:tcPr>
          <w:p w14:paraId="15BA5BF7">
            <w:pPr>
              <w:spacing w:line="360" w:lineRule="auto"/>
              <w:jc w:val="left"/>
              <w:rPr>
                <w:rFonts w:ascii="宋体" w:hAnsi="宋体"/>
                <w:szCs w:val="22"/>
              </w:rPr>
            </w:pPr>
          </w:p>
        </w:tc>
      </w:tr>
      <w:tr w14:paraId="48929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52125F3D">
            <w:pPr>
              <w:spacing w:line="360" w:lineRule="auto"/>
              <w:jc w:val="center"/>
              <w:rPr>
                <w:rFonts w:ascii="宋体" w:hAnsi="宋体"/>
                <w:szCs w:val="22"/>
              </w:rPr>
            </w:pPr>
            <w:r>
              <w:rPr>
                <w:rFonts w:ascii="宋体" w:hAnsi="宋体" w:cs="宋体"/>
                <w:szCs w:val="22"/>
              </w:rPr>
              <w:t>5</w:t>
            </w:r>
          </w:p>
        </w:tc>
        <w:tc>
          <w:tcPr>
            <w:tcW w:w="2126" w:type="dxa"/>
            <w:vAlign w:val="center"/>
          </w:tcPr>
          <w:p w14:paraId="3C902848">
            <w:pPr>
              <w:spacing w:line="360" w:lineRule="auto"/>
              <w:jc w:val="left"/>
              <w:rPr>
                <w:rFonts w:ascii="宋体" w:hAnsi="宋体"/>
                <w:szCs w:val="22"/>
              </w:rPr>
            </w:pPr>
            <w:r>
              <w:rPr>
                <w:rFonts w:ascii="宋体" w:hAnsi="宋体" w:cs="宋体"/>
                <w:szCs w:val="22"/>
              </w:rPr>
              <w:t>响应有效期</w:t>
            </w:r>
          </w:p>
        </w:tc>
        <w:tc>
          <w:tcPr>
            <w:tcW w:w="2835" w:type="dxa"/>
            <w:vAlign w:val="center"/>
          </w:tcPr>
          <w:p w14:paraId="14D2598F">
            <w:pPr>
              <w:spacing w:line="360" w:lineRule="auto"/>
              <w:jc w:val="left"/>
              <w:rPr>
                <w:rFonts w:ascii="宋体" w:hAnsi="宋体"/>
                <w:szCs w:val="22"/>
              </w:rPr>
            </w:pPr>
            <w:r>
              <w:rPr>
                <w:rFonts w:ascii="宋体" w:hAnsi="宋体" w:cs="宋体"/>
                <w:szCs w:val="22"/>
              </w:rPr>
              <w:t>响应文件中承诺的响应有效期满足磋商文件中载明的响应有效期的；</w:t>
            </w:r>
          </w:p>
        </w:tc>
        <w:tc>
          <w:tcPr>
            <w:tcW w:w="1134" w:type="dxa"/>
            <w:vAlign w:val="center"/>
          </w:tcPr>
          <w:p w14:paraId="70E32A70">
            <w:pPr>
              <w:spacing w:line="360" w:lineRule="auto"/>
              <w:jc w:val="center"/>
              <w:rPr>
                <w:rFonts w:ascii="宋体" w:hAnsi="宋体"/>
                <w:szCs w:val="22"/>
              </w:rPr>
            </w:pPr>
            <w:r>
              <w:rPr>
                <w:rFonts w:ascii="宋体" w:hAnsi="宋体" w:cs="宋体"/>
                <w:szCs w:val="22"/>
              </w:rPr>
              <w:t>重要指标</w:t>
            </w:r>
          </w:p>
        </w:tc>
        <w:tc>
          <w:tcPr>
            <w:tcW w:w="1497" w:type="dxa"/>
          </w:tcPr>
          <w:p w14:paraId="18EFD266">
            <w:pPr>
              <w:spacing w:line="360" w:lineRule="auto"/>
              <w:jc w:val="left"/>
              <w:rPr>
                <w:rFonts w:ascii="宋体" w:hAnsi="宋体"/>
                <w:szCs w:val="22"/>
              </w:rPr>
            </w:pPr>
          </w:p>
        </w:tc>
      </w:tr>
      <w:tr w14:paraId="61821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5D87CD96">
            <w:pPr>
              <w:spacing w:line="360" w:lineRule="auto"/>
              <w:jc w:val="center"/>
              <w:rPr>
                <w:rFonts w:ascii="宋体" w:hAnsi="宋体"/>
                <w:szCs w:val="22"/>
              </w:rPr>
            </w:pPr>
            <w:r>
              <w:rPr>
                <w:rFonts w:ascii="宋体" w:hAnsi="宋体" w:cs="宋体"/>
                <w:szCs w:val="22"/>
              </w:rPr>
              <w:t>6</w:t>
            </w:r>
          </w:p>
        </w:tc>
        <w:tc>
          <w:tcPr>
            <w:tcW w:w="2126" w:type="dxa"/>
            <w:vAlign w:val="center"/>
          </w:tcPr>
          <w:p w14:paraId="5C222551">
            <w:pPr>
              <w:spacing w:line="360" w:lineRule="auto"/>
              <w:jc w:val="left"/>
              <w:rPr>
                <w:rFonts w:ascii="宋体" w:hAnsi="宋体"/>
                <w:szCs w:val="22"/>
              </w:rPr>
            </w:pPr>
            <w:r>
              <w:rPr>
                <w:rFonts w:ascii="宋体" w:hAnsi="宋体" w:cs="宋体"/>
                <w:szCs w:val="22"/>
              </w:rPr>
              <w:t>实质性格式</w:t>
            </w:r>
          </w:p>
        </w:tc>
        <w:tc>
          <w:tcPr>
            <w:tcW w:w="2835" w:type="dxa"/>
            <w:vAlign w:val="center"/>
          </w:tcPr>
          <w:p w14:paraId="4ABF51C3">
            <w:pPr>
              <w:spacing w:line="360" w:lineRule="auto"/>
              <w:jc w:val="left"/>
              <w:rPr>
                <w:rFonts w:ascii="宋体" w:hAnsi="宋体"/>
                <w:szCs w:val="22"/>
              </w:rPr>
            </w:pPr>
            <w:r>
              <w:rPr>
                <w:rFonts w:ascii="宋体" w:hAnsi="宋体" w:cs="宋体"/>
                <w:szCs w:val="22"/>
              </w:rPr>
              <w:t>标记为“实质性格式”的文件均按磋商文件要求提供且签署、盖章的；</w:t>
            </w:r>
          </w:p>
        </w:tc>
        <w:tc>
          <w:tcPr>
            <w:tcW w:w="1134" w:type="dxa"/>
            <w:vAlign w:val="center"/>
          </w:tcPr>
          <w:p w14:paraId="6CB7699F">
            <w:pPr>
              <w:spacing w:line="360" w:lineRule="auto"/>
              <w:jc w:val="center"/>
              <w:rPr>
                <w:rFonts w:ascii="宋体" w:hAnsi="宋体"/>
                <w:szCs w:val="22"/>
              </w:rPr>
            </w:pPr>
            <w:r>
              <w:rPr>
                <w:rFonts w:ascii="宋体" w:hAnsi="宋体" w:cs="宋体"/>
                <w:szCs w:val="22"/>
              </w:rPr>
              <w:t>重要指标</w:t>
            </w:r>
          </w:p>
        </w:tc>
        <w:tc>
          <w:tcPr>
            <w:tcW w:w="1497" w:type="dxa"/>
          </w:tcPr>
          <w:p w14:paraId="55983489">
            <w:pPr>
              <w:spacing w:line="360" w:lineRule="auto"/>
              <w:jc w:val="left"/>
              <w:rPr>
                <w:rFonts w:ascii="宋体" w:hAnsi="宋体"/>
                <w:szCs w:val="22"/>
              </w:rPr>
            </w:pPr>
          </w:p>
        </w:tc>
      </w:tr>
      <w:tr w14:paraId="65298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0F5CA8D9">
            <w:pPr>
              <w:spacing w:line="360" w:lineRule="auto"/>
              <w:jc w:val="center"/>
              <w:rPr>
                <w:rFonts w:ascii="宋体" w:hAnsi="宋体"/>
                <w:szCs w:val="22"/>
              </w:rPr>
            </w:pPr>
            <w:r>
              <w:rPr>
                <w:rFonts w:ascii="宋体" w:hAnsi="宋体" w:cs="宋体"/>
                <w:szCs w:val="22"/>
              </w:rPr>
              <w:t>7</w:t>
            </w:r>
          </w:p>
        </w:tc>
        <w:tc>
          <w:tcPr>
            <w:tcW w:w="2126" w:type="dxa"/>
            <w:vAlign w:val="center"/>
          </w:tcPr>
          <w:p w14:paraId="59E2D73E">
            <w:pPr>
              <w:spacing w:line="360" w:lineRule="auto"/>
              <w:jc w:val="left"/>
              <w:rPr>
                <w:rFonts w:ascii="宋体" w:hAnsi="宋体"/>
                <w:szCs w:val="22"/>
              </w:rPr>
            </w:pPr>
            <w:r>
              <w:rPr>
                <w:rFonts w:ascii="宋体" w:hAnsi="宋体" w:cs="宋体"/>
                <w:szCs w:val="22"/>
              </w:rPr>
              <w:t>★号条款响应</w:t>
            </w:r>
          </w:p>
        </w:tc>
        <w:tc>
          <w:tcPr>
            <w:tcW w:w="2835" w:type="dxa"/>
            <w:vAlign w:val="center"/>
          </w:tcPr>
          <w:p w14:paraId="156436B8">
            <w:pPr>
              <w:spacing w:line="360" w:lineRule="auto"/>
              <w:jc w:val="left"/>
              <w:rPr>
                <w:rFonts w:ascii="宋体" w:hAnsi="宋体"/>
                <w:szCs w:val="22"/>
              </w:rPr>
            </w:pPr>
            <w:r>
              <w:rPr>
                <w:rFonts w:ascii="宋体" w:hAnsi="宋体" w:cs="宋体"/>
                <w:szCs w:val="22"/>
              </w:rPr>
              <w:t>响应文件满足磋商文件第五章《采购需求》中★号条款要求的；</w:t>
            </w:r>
          </w:p>
        </w:tc>
        <w:tc>
          <w:tcPr>
            <w:tcW w:w="1134" w:type="dxa"/>
            <w:vAlign w:val="center"/>
          </w:tcPr>
          <w:p w14:paraId="242EF75B">
            <w:pPr>
              <w:spacing w:line="360" w:lineRule="auto"/>
              <w:jc w:val="center"/>
              <w:rPr>
                <w:rFonts w:ascii="宋体" w:hAnsi="宋体"/>
                <w:szCs w:val="22"/>
              </w:rPr>
            </w:pPr>
            <w:r>
              <w:rPr>
                <w:rFonts w:ascii="宋体" w:hAnsi="宋体" w:cs="宋体"/>
                <w:szCs w:val="22"/>
              </w:rPr>
              <w:t>重要指标</w:t>
            </w:r>
          </w:p>
        </w:tc>
        <w:tc>
          <w:tcPr>
            <w:tcW w:w="1497" w:type="dxa"/>
          </w:tcPr>
          <w:p w14:paraId="44018378">
            <w:pPr>
              <w:spacing w:line="360" w:lineRule="auto"/>
              <w:jc w:val="left"/>
              <w:rPr>
                <w:rFonts w:ascii="宋体" w:hAnsi="宋体"/>
                <w:szCs w:val="22"/>
              </w:rPr>
            </w:pPr>
          </w:p>
        </w:tc>
      </w:tr>
      <w:tr w14:paraId="0505D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675D3595">
            <w:pPr>
              <w:spacing w:line="360" w:lineRule="auto"/>
              <w:jc w:val="center"/>
              <w:rPr>
                <w:rFonts w:ascii="宋体" w:hAnsi="宋体"/>
                <w:szCs w:val="22"/>
              </w:rPr>
            </w:pPr>
            <w:r>
              <w:rPr>
                <w:rFonts w:ascii="宋体" w:hAnsi="宋体" w:cs="宋体"/>
                <w:szCs w:val="22"/>
              </w:rPr>
              <w:t>8</w:t>
            </w:r>
          </w:p>
        </w:tc>
        <w:tc>
          <w:tcPr>
            <w:tcW w:w="2126" w:type="dxa"/>
            <w:vAlign w:val="center"/>
          </w:tcPr>
          <w:p w14:paraId="50E3BB0E">
            <w:pPr>
              <w:spacing w:line="360" w:lineRule="auto"/>
              <w:jc w:val="left"/>
              <w:rPr>
                <w:rFonts w:ascii="宋体" w:hAnsi="宋体"/>
                <w:szCs w:val="22"/>
              </w:rPr>
            </w:pPr>
            <w:r>
              <w:rPr>
                <w:rFonts w:ascii="宋体" w:hAnsi="宋体" w:cs="宋体"/>
                <w:szCs w:val="22"/>
              </w:rPr>
              <w:t>拟分包情况说明（如有）</w:t>
            </w:r>
          </w:p>
        </w:tc>
        <w:tc>
          <w:tcPr>
            <w:tcW w:w="2835" w:type="dxa"/>
            <w:vAlign w:val="center"/>
          </w:tcPr>
          <w:p w14:paraId="6591DD42">
            <w:pPr>
              <w:spacing w:line="360" w:lineRule="auto"/>
              <w:jc w:val="left"/>
              <w:rPr>
                <w:rFonts w:ascii="宋体" w:hAnsi="宋体"/>
                <w:szCs w:val="22"/>
              </w:rPr>
            </w:pPr>
            <w:r>
              <w:rPr>
                <w:rFonts w:ascii="宋体" w:hAnsi="宋体" w:cs="宋体"/>
                <w:szCs w:val="22"/>
              </w:rPr>
              <w:t>如本项目（包）非因“落实政府采购政策”亦允许分包，且供应商拟进行分包时，必须提供；否则无需提供；</w:t>
            </w:r>
          </w:p>
        </w:tc>
        <w:tc>
          <w:tcPr>
            <w:tcW w:w="1134" w:type="dxa"/>
            <w:vAlign w:val="center"/>
          </w:tcPr>
          <w:p w14:paraId="3AD9FF2E">
            <w:pPr>
              <w:spacing w:line="360" w:lineRule="auto"/>
              <w:jc w:val="center"/>
              <w:rPr>
                <w:rFonts w:ascii="宋体" w:hAnsi="宋体"/>
                <w:szCs w:val="22"/>
              </w:rPr>
            </w:pPr>
            <w:r>
              <w:rPr>
                <w:rFonts w:ascii="宋体" w:hAnsi="宋体" w:cs="宋体"/>
                <w:szCs w:val="22"/>
              </w:rPr>
              <w:t>重要指标</w:t>
            </w:r>
          </w:p>
        </w:tc>
        <w:tc>
          <w:tcPr>
            <w:tcW w:w="1497" w:type="dxa"/>
          </w:tcPr>
          <w:p w14:paraId="76F518CC">
            <w:pPr>
              <w:spacing w:line="360" w:lineRule="auto"/>
              <w:jc w:val="left"/>
              <w:rPr>
                <w:rFonts w:ascii="宋体" w:hAnsi="宋体"/>
                <w:szCs w:val="22"/>
              </w:rPr>
            </w:pPr>
          </w:p>
        </w:tc>
      </w:tr>
      <w:tr w14:paraId="51A63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77807294">
            <w:pPr>
              <w:spacing w:line="360" w:lineRule="auto"/>
              <w:jc w:val="center"/>
              <w:rPr>
                <w:rFonts w:ascii="宋体" w:hAnsi="宋体"/>
                <w:szCs w:val="22"/>
              </w:rPr>
            </w:pPr>
            <w:r>
              <w:rPr>
                <w:rFonts w:ascii="宋体" w:hAnsi="宋体" w:cs="宋体"/>
                <w:szCs w:val="22"/>
              </w:rPr>
              <w:t>9</w:t>
            </w:r>
          </w:p>
        </w:tc>
        <w:tc>
          <w:tcPr>
            <w:tcW w:w="2126" w:type="dxa"/>
            <w:vAlign w:val="center"/>
          </w:tcPr>
          <w:p w14:paraId="5E8470B6">
            <w:pPr>
              <w:spacing w:line="360" w:lineRule="auto"/>
              <w:jc w:val="left"/>
              <w:rPr>
                <w:rFonts w:ascii="宋体" w:hAnsi="宋体"/>
                <w:szCs w:val="22"/>
              </w:rPr>
            </w:pPr>
            <w:r>
              <w:rPr>
                <w:rFonts w:ascii="宋体" w:hAnsi="宋体" w:cs="宋体"/>
                <w:szCs w:val="22"/>
              </w:rPr>
              <w:t>分包其他要求（如有）</w:t>
            </w:r>
          </w:p>
        </w:tc>
        <w:tc>
          <w:tcPr>
            <w:tcW w:w="2835" w:type="dxa"/>
            <w:vAlign w:val="center"/>
          </w:tcPr>
          <w:p w14:paraId="6DDF1D5C">
            <w:pPr>
              <w:spacing w:line="360" w:lineRule="auto"/>
              <w:jc w:val="left"/>
              <w:rPr>
                <w:rFonts w:ascii="宋体" w:hAnsi="宋体"/>
                <w:szCs w:val="22"/>
              </w:rPr>
            </w:pPr>
            <w:r>
              <w:rPr>
                <w:rFonts w:ascii="宋体" w:hAnsi="宋体" w:cs="宋体"/>
                <w:szCs w:val="22"/>
              </w:rPr>
              <w:t>分包履行的内容、金额或者比例未超出《投标人须知资料表》中的规定；</w:t>
            </w:r>
            <w:r>
              <w:rPr>
                <w:rFonts w:ascii="宋体" w:hAnsi="宋体" w:cs="宋体"/>
                <w:szCs w:val="22"/>
              </w:rPr>
              <w:cr/>
            </w:r>
            <w:r>
              <w:rPr>
                <w:rFonts w:ascii="宋体" w:hAnsi="宋体" w:cs="宋体"/>
                <w:szCs w:val="22"/>
              </w:rPr>
              <w:t>分包承担主体具备《投标人须知资料表》载明的资质条件且提供了资质证书电子件（如有）；</w:t>
            </w:r>
          </w:p>
        </w:tc>
        <w:tc>
          <w:tcPr>
            <w:tcW w:w="1134" w:type="dxa"/>
            <w:vAlign w:val="center"/>
          </w:tcPr>
          <w:p w14:paraId="13A6A21B">
            <w:pPr>
              <w:spacing w:line="360" w:lineRule="auto"/>
              <w:jc w:val="center"/>
              <w:rPr>
                <w:rFonts w:ascii="宋体" w:hAnsi="宋体"/>
                <w:szCs w:val="22"/>
              </w:rPr>
            </w:pPr>
            <w:r>
              <w:rPr>
                <w:rFonts w:ascii="宋体" w:hAnsi="宋体" w:cs="宋体"/>
                <w:szCs w:val="22"/>
              </w:rPr>
              <w:t>重要指标</w:t>
            </w:r>
          </w:p>
        </w:tc>
        <w:tc>
          <w:tcPr>
            <w:tcW w:w="1497" w:type="dxa"/>
          </w:tcPr>
          <w:p w14:paraId="1962D5C7">
            <w:pPr>
              <w:spacing w:line="360" w:lineRule="auto"/>
              <w:jc w:val="left"/>
              <w:rPr>
                <w:rFonts w:ascii="宋体" w:hAnsi="宋体"/>
                <w:szCs w:val="22"/>
              </w:rPr>
            </w:pPr>
          </w:p>
        </w:tc>
      </w:tr>
      <w:tr w14:paraId="19E03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79325C0C">
            <w:pPr>
              <w:spacing w:line="360" w:lineRule="auto"/>
              <w:jc w:val="center"/>
              <w:rPr>
                <w:rFonts w:ascii="宋体" w:hAnsi="宋体"/>
                <w:szCs w:val="22"/>
              </w:rPr>
            </w:pPr>
            <w:r>
              <w:rPr>
                <w:rFonts w:ascii="宋体" w:hAnsi="宋体" w:cs="宋体"/>
                <w:szCs w:val="22"/>
              </w:rPr>
              <w:t>10</w:t>
            </w:r>
          </w:p>
        </w:tc>
        <w:tc>
          <w:tcPr>
            <w:tcW w:w="2126" w:type="dxa"/>
            <w:vAlign w:val="center"/>
          </w:tcPr>
          <w:p w14:paraId="30CDC3B6">
            <w:pPr>
              <w:spacing w:line="360" w:lineRule="auto"/>
              <w:jc w:val="left"/>
              <w:rPr>
                <w:rFonts w:ascii="宋体" w:hAnsi="宋体"/>
                <w:szCs w:val="22"/>
              </w:rPr>
            </w:pPr>
            <w:r>
              <w:rPr>
                <w:rFonts w:ascii="宋体" w:hAnsi="宋体" w:cs="宋体"/>
                <w:szCs w:val="22"/>
              </w:rPr>
              <w:t>报价的修正（如有）</w:t>
            </w:r>
          </w:p>
        </w:tc>
        <w:tc>
          <w:tcPr>
            <w:tcW w:w="2835" w:type="dxa"/>
            <w:vAlign w:val="center"/>
          </w:tcPr>
          <w:p w14:paraId="57CD4DC6">
            <w:pPr>
              <w:spacing w:line="360" w:lineRule="auto"/>
              <w:jc w:val="left"/>
              <w:rPr>
                <w:rFonts w:ascii="宋体" w:hAnsi="宋体"/>
                <w:szCs w:val="22"/>
              </w:rPr>
            </w:pPr>
            <w:r>
              <w:rPr>
                <w:rFonts w:ascii="宋体" w:hAnsi="宋体" w:cs="宋体"/>
                <w:szCs w:val="22"/>
              </w:rPr>
              <w:t>不涉及报价修正，或响应文件报价出现前后不一致时，投标人对修正后的报价予以确认；（如有）</w:t>
            </w:r>
          </w:p>
        </w:tc>
        <w:tc>
          <w:tcPr>
            <w:tcW w:w="1134" w:type="dxa"/>
            <w:vAlign w:val="center"/>
          </w:tcPr>
          <w:p w14:paraId="16C613BA">
            <w:pPr>
              <w:spacing w:line="360" w:lineRule="auto"/>
              <w:jc w:val="center"/>
              <w:rPr>
                <w:rFonts w:ascii="宋体" w:hAnsi="宋体"/>
                <w:szCs w:val="22"/>
              </w:rPr>
            </w:pPr>
            <w:r>
              <w:rPr>
                <w:rFonts w:ascii="宋体" w:hAnsi="宋体" w:cs="宋体"/>
                <w:szCs w:val="22"/>
              </w:rPr>
              <w:t>重要指标</w:t>
            </w:r>
          </w:p>
        </w:tc>
        <w:tc>
          <w:tcPr>
            <w:tcW w:w="1497" w:type="dxa"/>
          </w:tcPr>
          <w:p w14:paraId="2A83A568">
            <w:pPr>
              <w:spacing w:line="360" w:lineRule="auto"/>
              <w:jc w:val="left"/>
              <w:rPr>
                <w:rFonts w:ascii="宋体" w:hAnsi="宋体"/>
                <w:szCs w:val="22"/>
              </w:rPr>
            </w:pPr>
          </w:p>
        </w:tc>
      </w:tr>
      <w:tr w14:paraId="4F193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7E679DB6">
            <w:pPr>
              <w:spacing w:line="360" w:lineRule="auto"/>
              <w:jc w:val="center"/>
              <w:rPr>
                <w:rFonts w:ascii="宋体" w:hAnsi="宋体"/>
                <w:szCs w:val="22"/>
              </w:rPr>
            </w:pPr>
            <w:r>
              <w:rPr>
                <w:rFonts w:ascii="宋体" w:hAnsi="宋体" w:cs="宋体"/>
                <w:szCs w:val="22"/>
              </w:rPr>
              <w:t>11</w:t>
            </w:r>
          </w:p>
        </w:tc>
        <w:tc>
          <w:tcPr>
            <w:tcW w:w="2126" w:type="dxa"/>
            <w:vAlign w:val="center"/>
          </w:tcPr>
          <w:p w14:paraId="45DE30EF">
            <w:pPr>
              <w:spacing w:line="360" w:lineRule="auto"/>
              <w:jc w:val="left"/>
              <w:rPr>
                <w:rFonts w:ascii="宋体" w:hAnsi="宋体"/>
                <w:szCs w:val="22"/>
              </w:rPr>
            </w:pPr>
            <w:r>
              <w:rPr>
                <w:rFonts w:ascii="宋体" w:hAnsi="宋体" w:cs="宋体"/>
                <w:szCs w:val="22"/>
              </w:rPr>
              <w:t>进口产品（如有）</w:t>
            </w:r>
          </w:p>
        </w:tc>
        <w:tc>
          <w:tcPr>
            <w:tcW w:w="2835" w:type="dxa"/>
            <w:vAlign w:val="center"/>
          </w:tcPr>
          <w:p w14:paraId="7756B935">
            <w:pPr>
              <w:spacing w:line="360" w:lineRule="auto"/>
              <w:jc w:val="left"/>
              <w:rPr>
                <w:rFonts w:ascii="宋体" w:hAnsi="宋体"/>
                <w:szCs w:val="22"/>
              </w:rPr>
            </w:pPr>
            <w:r>
              <w:rPr>
                <w:rFonts w:ascii="宋体" w:hAnsi="宋体" w:cs="宋体"/>
                <w:szCs w:val="22"/>
              </w:rPr>
              <w:t>磋商文件不接受进口产品投标的内容时，投标人所投产品非进口产品的；</w:t>
            </w:r>
          </w:p>
        </w:tc>
        <w:tc>
          <w:tcPr>
            <w:tcW w:w="1134" w:type="dxa"/>
            <w:vAlign w:val="center"/>
          </w:tcPr>
          <w:p w14:paraId="62C19C9F">
            <w:pPr>
              <w:spacing w:line="360" w:lineRule="auto"/>
              <w:jc w:val="center"/>
              <w:rPr>
                <w:rFonts w:ascii="宋体" w:hAnsi="宋体"/>
                <w:szCs w:val="22"/>
              </w:rPr>
            </w:pPr>
            <w:r>
              <w:rPr>
                <w:rFonts w:ascii="宋体" w:hAnsi="宋体" w:cs="宋体"/>
                <w:szCs w:val="22"/>
              </w:rPr>
              <w:t>重要指标</w:t>
            </w:r>
          </w:p>
        </w:tc>
        <w:tc>
          <w:tcPr>
            <w:tcW w:w="1497" w:type="dxa"/>
          </w:tcPr>
          <w:p w14:paraId="3621D22E">
            <w:pPr>
              <w:spacing w:line="360" w:lineRule="auto"/>
              <w:jc w:val="left"/>
              <w:rPr>
                <w:rFonts w:ascii="宋体" w:hAnsi="宋体"/>
                <w:szCs w:val="22"/>
              </w:rPr>
            </w:pPr>
          </w:p>
        </w:tc>
      </w:tr>
      <w:tr w14:paraId="073F3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76C05363">
            <w:pPr>
              <w:spacing w:line="360" w:lineRule="auto"/>
              <w:jc w:val="center"/>
              <w:rPr>
                <w:rFonts w:ascii="宋体" w:hAnsi="宋体"/>
                <w:szCs w:val="22"/>
              </w:rPr>
            </w:pPr>
            <w:r>
              <w:rPr>
                <w:rFonts w:ascii="宋体" w:hAnsi="宋体" w:cs="宋体"/>
                <w:szCs w:val="22"/>
              </w:rPr>
              <w:t>12</w:t>
            </w:r>
          </w:p>
        </w:tc>
        <w:tc>
          <w:tcPr>
            <w:tcW w:w="2126" w:type="dxa"/>
            <w:vAlign w:val="center"/>
          </w:tcPr>
          <w:p w14:paraId="7346AC2A">
            <w:pPr>
              <w:spacing w:line="360" w:lineRule="auto"/>
              <w:jc w:val="left"/>
              <w:rPr>
                <w:rFonts w:ascii="宋体" w:hAnsi="宋体"/>
                <w:szCs w:val="22"/>
              </w:rPr>
            </w:pPr>
            <w:r>
              <w:rPr>
                <w:rFonts w:ascii="宋体" w:hAnsi="宋体" w:cs="宋体"/>
                <w:szCs w:val="22"/>
              </w:rPr>
              <w:t>国家有关部门对投标人的投标产品有强制性规定或要求的</w:t>
            </w:r>
          </w:p>
        </w:tc>
        <w:tc>
          <w:tcPr>
            <w:tcW w:w="2835" w:type="dxa"/>
            <w:vAlign w:val="center"/>
          </w:tcPr>
          <w:p w14:paraId="43D53299">
            <w:pPr>
              <w:spacing w:line="360" w:lineRule="auto"/>
              <w:jc w:val="left"/>
              <w:rPr>
                <w:rFonts w:ascii="宋体" w:hAnsi="宋体"/>
                <w:szCs w:val="22"/>
              </w:rPr>
            </w:pPr>
            <w:r>
              <w:rPr>
                <w:rFonts w:ascii="宋体" w:hAnsi="宋体" w:cs="宋体"/>
                <w:szCs w:val="22"/>
              </w:rPr>
              <w:t>国家有关部门对投标人的投标产品有强制性规定或要求的（如相应技术、安全、节能和环保等），投标人的投标产品应符合相应规定或要求，并提供证明文件电子件：</w:t>
            </w:r>
            <w:r>
              <w:rPr>
                <w:rFonts w:ascii="宋体" w:hAnsi="宋体" w:cs="宋体"/>
                <w:szCs w:val="22"/>
              </w:rPr>
              <w:cr/>
            </w:r>
            <w:r>
              <w:rPr>
                <w:rFonts w:ascii="宋体" w:hAnsi="宋体" w:cs="宋体"/>
                <w:szCs w:val="22"/>
              </w:rPr>
              <w:t>1）采购的产品若属于《节能产品政府采购品目清单》范围中政府强制采购产品，则投标人所报产品必须获得国家确定的认证机构出具的、处于有效期之内的节能产品认证证书；</w:t>
            </w:r>
            <w:r>
              <w:rPr>
                <w:rFonts w:ascii="宋体" w:hAnsi="宋体" w:cs="宋体"/>
                <w:szCs w:val="22"/>
              </w:rPr>
              <w:cr/>
            </w:r>
            <w:r>
              <w:rPr>
                <w:rFonts w:ascii="宋体" w:hAnsi="宋体" w:cs="宋体"/>
                <w:szCs w:val="22"/>
              </w:rPr>
              <w:t>2）所投产品属于列入《网络关键设备和网络安全专用产品目</w:t>
            </w:r>
            <w:r>
              <w:rPr>
                <w:rFonts w:ascii="宋体" w:hAnsi="宋体" w:cs="宋体"/>
                <w:szCs w:val="22"/>
              </w:rPr>
              <w:cr/>
            </w:r>
            <w:r>
              <w:rPr>
                <w:rFonts w:ascii="宋体" w:hAnsi="宋体" w:cs="宋体"/>
                <w:szCs w:val="22"/>
              </w:rPr>
              <w:t>录》的网络安全专用产品时，应当按照《信息安全技术网络安全专用产品安全技术要求》等相关国家标准的强制性要求，由具备资格的机构安全认证合格或者安全检测符合要求；（如该产品已经获得公安部颁发的计算机信息系统安全专用产品销售许可证，且在有效期内，亦视为符合要求）；</w:t>
            </w:r>
            <w:r>
              <w:rPr>
                <w:rFonts w:ascii="宋体" w:hAnsi="宋体" w:cs="宋体"/>
                <w:szCs w:val="22"/>
              </w:rPr>
              <w:cr/>
            </w:r>
            <w:r>
              <w:rPr>
                <w:rFonts w:ascii="宋体" w:hAnsi="宋体" w:cs="宋体"/>
                <w:szCs w:val="22"/>
              </w:rPr>
              <w:t>4）国家有特殊信息安全要求的项目，采购产品涉及无线局域网产品和含有无线局域网功能的计算机、通信设备、打印机、复印机、投影仪等产品的，投标产品须为符合国家无线局域网安全标准（GB 15629.11/1102）并通过国家产品认证的产品；</w:t>
            </w:r>
            <w:r>
              <w:rPr>
                <w:rFonts w:ascii="宋体" w:hAnsi="宋体" w:cs="宋体"/>
                <w:szCs w:val="22"/>
              </w:rPr>
              <w:cr/>
            </w:r>
            <w:r>
              <w:rPr>
                <w:rFonts w:ascii="宋体" w:hAnsi="宋体" w:cs="宋体"/>
                <w:szCs w:val="22"/>
              </w:rPr>
              <w:t>5）项目中涉及涂料、胶黏剂、油墨、清洗剂等挥发性有机物产品，且属于强制性标准的，供应商应执行符合本市和国家的VOCs 含量限制标准。</w:t>
            </w:r>
          </w:p>
        </w:tc>
        <w:tc>
          <w:tcPr>
            <w:tcW w:w="1134" w:type="dxa"/>
            <w:vAlign w:val="center"/>
          </w:tcPr>
          <w:p w14:paraId="072B9D38">
            <w:pPr>
              <w:spacing w:line="360" w:lineRule="auto"/>
              <w:jc w:val="center"/>
              <w:rPr>
                <w:rFonts w:ascii="宋体" w:hAnsi="宋体"/>
                <w:szCs w:val="22"/>
              </w:rPr>
            </w:pPr>
            <w:r>
              <w:rPr>
                <w:rFonts w:ascii="宋体" w:hAnsi="宋体" w:cs="宋体"/>
                <w:szCs w:val="22"/>
              </w:rPr>
              <w:t>重要指标</w:t>
            </w:r>
          </w:p>
        </w:tc>
        <w:tc>
          <w:tcPr>
            <w:tcW w:w="1497" w:type="dxa"/>
          </w:tcPr>
          <w:p w14:paraId="168013D4">
            <w:pPr>
              <w:spacing w:line="360" w:lineRule="auto"/>
              <w:jc w:val="left"/>
              <w:rPr>
                <w:rFonts w:ascii="宋体" w:hAnsi="宋体"/>
                <w:szCs w:val="22"/>
              </w:rPr>
            </w:pPr>
          </w:p>
        </w:tc>
      </w:tr>
      <w:tr w14:paraId="3CD49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0DFD7A3B">
            <w:pPr>
              <w:spacing w:line="360" w:lineRule="auto"/>
              <w:jc w:val="center"/>
              <w:rPr>
                <w:rFonts w:ascii="宋体" w:hAnsi="宋体"/>
                <w:szCs w:val="22"/>
              </w:rPr>
            </w:pPr>
            <w:r>
              <w:rPr>
                <w:rFonts w:ascii="宋体" w:hAnsi="宋体" w:cs="宋体"/>
                <w:szCs w:val="22"/>
              </w:rPr>
              <w:t>13</w:t>
            </w:r>
          </w:p>
        </w:tc>
        <w:tc>
          <w:tcPr>
            <w:tcW w:w="2126" w:type="dxa"/>
            <w:vAlign w:val="center"/>
          </w:tcPr>
          <w:p w14:paraId="523A302D">
            <w:pPr>
              <w:spacing w:line="360" w:lineRule="auto"/>
              <w:jc w:val="left"/>
              <w:rPr>
                <w:rFonts w:ascii="宋体" w:hAnsi="宋体"/>
                <w:szCs w:val="22"/>
              </w:rPr>
            </w:pPr>
            <w:r>
              <w:rPr>
                <w:rFonts w:ascii="宋体" w:hAnsi="宋体" w:cs="宋体"/>
                <w:szCs w:val="22"/>
              </w:rPr>
              <w:t>公平竞争</w:t>
            </w:r>
          </w:p>
        </w:tc>
        <w:tc>
          <w:tcPr>
            <w:tcW w:w="2835" w:type="dxa"/>
            <w:vAlign w:val="center"/>
          </w:tcPr>
          <w:p w14:paraId="185BAAC9">
            <w:pPr>
              <w:spacing w:line="360" w:lineRule="auto"/>
              <w:jc w:val="left"/>
              <w:rPr>
                <w:rFonts w:ascii="宋体" w:hAnsi="宋体"/>
                <w:szCs w:val="22"/>
              </w:rPr>
            </w:pPr>
            <w:r>
              <w:rPr>
                <w:rFonts w:ascii="宋体" w:hAnsi="宋体" w:cs="宋体"/>
                <w:szCs w:val="22"/>
              </w:rPr>
              <w:t>投标人遵循公平竞争的原则，不存在恶意串通，妨碍其他投标人的竞争行为，不存在损害采购人或者其他投标人的合法权益情形的；</w:t>
            </w:r>
          </w:p>
        </w:tc>
        <w:tc>
          <w:tcPr>
            <w:tcW w:w="1134" w:type="dxa"/>
            <w:vAlign w:val="center"/>
          </w:tcPr>
          <w:p w14:paraId="3E71910B">
            <w:pPr>
              <w:spacing w:line="360" w:lineRule="auto"/>
              <w:jc w:val="center"/>
              <w:rPr>
                <w:rFonts w:ascii="宋体" w:hAnsi="宋体"/>
                <w:szCs w:val="22"/>
              </w:rPr>
            </w:pPr>
            <w:r>
              <w:rPr>
                <w:rFonts w:ascii="宋体" w:hAnsi="宋体" w:cs="宋体"/>
                <w:szCs w:val="22"/>
              </w:rPr>
              <w:t>重要指标</w:t>
            </w:r>
          </w:p>
        </w:tc>
        <w:tc>
          <w:tcPr>
            <w:tcW w:w="1497" w:type="dxa"/>
          </w:tcPr>
          <w:p w14:paraId="55CE8C6A">
            <w:pPr>
              <w:spacing w:line="360" w:lineRule="auto"/>
              <w:jc w:val="left"/>
              <w:rPr>
                <w:rFonts w:ascii="宋体" w:hAnsi="宋体"/>
                <w:szCs w:val="22"/>
              </w:rPr>
            </w:pPr>
          </w:p>
        </w:tc>
      </w:tr>
      <w:tr w14:paraId="6BE66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04222616">
            <w:pPr>
              <w:spacing w:line="360" w:lineRule="auto"/>
              <w:jc w:val="center"/>
              <w:rPr>
                <w:rFonts w:ascii="宋体" w:hAnsi="宋体"/>
                <w:szCs w:val="22"/>
              </w:rPr>
            </w:pPr>
            <w:r>
              <w:rPr>
                <w:rFonts w:ascii="宋体" w:hAnsi="宋体" w:cs="宋体"/>
                <w:szCs w:val="22"/>
              </w:rPr>
              <w:t>14</w:t>
            </w:r>
          </w:p>
        </w:tc>
        <w:tc>
          <w:tcPr>
            <w:tcW w:w="2126" w:type="dxa"/>
            <w:vAlign w:val="center"/>
          </w:tcPr>
          <w:p w14:paraId="1BEF0496">
            <w:pPr>
              <w:spacing w:line="360" w:lineRule="auto"/>
              <w:jc w:val="left"/>
              <w:rPr>
                <w:rFonts w:ascii="宋体" w:hAnsi="宋体"/>
                <w:szCs w:val="22"/>
              </w:rPr>
            </w:pPr>
            <w:r>
              <w:rPr>
                <w:rFonts w:ascii="宋体" w:hAnsi="宋体" w:cs="宋体"/>
                <w:szCs w:val="22"/>
              </w:rPr>
              <w:t>串通投标</w:t>
            </w:r>
          </w:p>
        </w:tc>
        <w:tc>
          <w:tcPr>
            <w:tcW w:w="2835" w:type="dxa"/>
            <w:vAlign w:val="center"/>
          </w:tcPr>
          <w:p w14:paraId="7FC77211">
            <w:pPr>
              <w:spacing w:line="360" w:lineRule="auto"/>
              <w:jc w:val="left"/>
              <w:rPr>
                <w:rFonts w:ascii="宋体" w:hAnsi="宋体"/>
                <w:szCs w:val="22"/>
              </w:rPr>
            </w:pPr>
            <w:r>
              <w:rPr>
                <w:rFonts w:ascii="宋体" w:hAnsi="宋体" w:cs="宋体"/>
                <w:szCs w:val="22"/>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 性差异；（五）不同投标人的投标文件相互混装；（六）不同投标人的投标保证金从同一单位或者个人的账户转出；</w:t>
            </w:r>
          </w:p>
        </w:tc>
        <w:tc>
          <w:tcPr>
            <w:tcW w:w="1134" w:type="dxa"/>
            <w:vAlign w:val="center"/>
          </w:tcPr>
          <w:p w14:paraId="4D15E0FE">
            <w:pPr>
              <w:spacing w:line="360" w:lineRule="auto"/>
              <w:jc w:val="center"/>
              <w:rPr>
                <w:rFonts w:ascii="宋体" w:hAnsi="宋体"/>
                <w:szCs w:val="22"/>
              </w:rPr>
            </w:pPr>
            <w:r>
              <w:rPr>
                <w:rFonts w:ascii="宋体" w:hAnsi="宋体" w:cs="宋体"/>
                <w:szCs w:val="22"/>
              </w:rPr>
              <w:t>重要指标</w:t>
            </w:r>
          </w:p>
        </w:tc>
        <w:tc>
          <w:tcPr>
            <w:tcW w:w="1497" w:type="dxa"/>
          </w:tcPr>
          <w:p w14:paraId="018AB0CB">
            <w:pPr>
              <w:spacing w:line="360" w:lineRule="auto"/>
              <w:jc w:val="left"/>
              <w:rPr>
                <w:rFonts w:ascii="宋体" w:hAnsi="宋体"/>
                <w:szCs w:val="22"/>
              </w:rPr>
            </w:pPr>
          </w:p>
        </w:tc>
      </w:tr>
      <w:tr w14:paraId="477C4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1931648D">
            <w:pPr>
              <w:spacing w:line="360" w:lineRule="auto"/>
              <w:jc w:val="center"/>
              <w:rPr>
                <w:rFonts w:ascii="宋体" w:hAnsi="宋体"/>
                <w:szCs w:val="22"/>
              </w:rPr>
            </w:pPr>
            <w:r>
              <w:rPr>
                <w:rFonts w:ascii="宋体" w:hAnsi="宋体" w:cs="宋体"/>
                <w:szCs w:val="22"/>
              </w:rPr>
              <w:t>15</w:t>
            </w:r>
          </w:p>
        </w:tc>
        <w:tc>
          <w:tcPr>
            <w:tcW w:w="2126" w:type="dxa"/>
            <w:vAlign w:val="center"/>
          </w:tcPr>
          <w:p w14:paraId="6BC8627F">
            <w:pPr>
              <w:spacing w:line="360" w:lineRule="auto"/>
              <w:jc w:val="left"/>
              <w:rPr>
                <w:rFonts w:ascii="宋体" w:hAnsi="宋体"/>
                <w:szCs w:val="22"/>
              </w:rPr>
            </w:pPr>
            <w:r>
              <w:rPr>
                <w:rFonts w:ascii="宋体" w:hAnsi="宋体" w:cs="宋体"/>
                <w:szCs w:val="22"/>
              </w:rPr>
              <w:t>附加条件</w:t>
            </w:r>
          </w:p>
        </w:tc>
        <w:tc>
          <w:tcPr>
            <w:tcW w:w="2835" w:type="dxa"/>
            <w:vAlign w:val="center"/>
          </w:tcPr>
          <w:p w14:paraId="6DFD5621">
            <w:pPr>
              <w:spacing w:line="360" w:lineRule="auto"/>
              <w:jc w:val="left"/>
              <w:rPr>
                <w:rFonts w:ascii="宋体" w:hAnsi="宋体"/>
                <w:szCs w:val="22"/>
              </w:rPr>
            </w:pPr>
            <w:r>
              <w:rPr>
                <w:rFonts w:ascii="宋体" w:hAnsi="宋体" w:cs="宋体"/>
                <w:szCs w:val="22"/>
              </w:rPr>
              <w:t>响应文件未含有采购人不能接受的附加条件的；</w:t>
            </w:r>
          </w:p>
        </w:tc>
        <w:tc>
          <w:tcPr>
            <w:tcW w:w="1134" w:type="dxa"/>
            <w:vAlign w:val="center"/>
          </w:tcPr>
          <w:p w14:paraId="4EAA7BF0">
            <w:pPr>
              <w:spacing w:line="360" w:lineRule="auto"/>
              <w:jc w:val="center"/>
              <w:rPr>
                <w:rFonts w:ascii="宋体" w:hAnsi="宋体"/>
                <w:szCs w:val="22"/>
              </w:rPr>
            </w:pPr>
            <w:r>
              <w:rPr>
                <w:rFonts w:ascii="宋体" w:hAnsi="宋体" w:cs="宋体"/>
                <w:szCs w:val="22"/>
              </w:rPr>
              <w:t>重要指标</w:t>
            </w:r>
          </w:p>
        </w:tc>
        <w:tc>
          <w:tcPr>
            <w:tcW w:w="1497" w:type="dxa"/>
          </w:tcPr>
          <w:p w14:paraId="368B609E">
            <w:pPr>
              <w:spacing w:line="360" w:lineRule="auto"/>
              <w:jc w:val="left"/>
              <w:rPr>
                <w:rFonts w:ascii="宋体" w:hAnsi="宋体"/>
                <w:szCs w:val="22"/>
              </w:rPr>
            </w:pPr>
          </w:p>
        </w:tc>
      </w:tr>
      <w:tr w14:paraId="26AE7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2EEE6A6E">
            <w:pPr>
              <w:spacing w:line="360" w:lineRule="auto"/>
              <w:jc w:val="center"/>
              <w:rPr>
                <w:rFonts w:ascii="宋体" w:hAnsi="宋体"/>
                <w:szCs w:val="22"/>
              </w:rPr>
            </w:pPr>
            <w:r>
              <w:rPr>
                <w:rFonts w:ascii="宋体" w:hAnsi="宋体" w:cs="宋体"/>
                <w:szCs w:val="22"/>
              </w:rPr>
              <w:t>16</w:t>
            </w:r>
          </w:p>
        </w:tc>
        <w:tc>
          <w:tcPr>
            <w:tcW w:w="2126" w:type="dxa"/>
            <w:vAlign w:val="center"/>
          </w:tcPr>
          <w:p w14:paraId="0DB96BC4">
            <w:pPr>
              <w:spacing w:line="360" w:lineRule="auto"/>
              <w:jc w:val="left"/>
              <w:rPr>
                <w:rFonts w:ascii="宋体" w:hAnsi="宋体"/>
                <w:szCs w:val="22"/>
              </w:rPr>
            </w:pPr>
            <w:r>
              <w:rPr>
                <w:rFonts w:ascii="宋体" w:hAnsi="宋体" w:cs="宋体"/>
                <w:szCs w:val="22"/>
              </w:rPr>
              <w:t>其他无效情形</w:t>
            </w:r>
          </w:p>
        </w:tc>
        <w:tc>
          <w:tcPr>
            <w:tcW w:w="2835" w:type="dxa"/>
            <w:vAlign w:val="center"/>
          </w:tcPr>
          <w:p w14:paraId="669A6981">
            <w:pPr>
              <w:spacing w:line="360" w:lineRule="auto"/>
              <w:jc w:val="left"/>
              <w:rPr>
                <w:rFonts w:ascii="宋体" w:hAnsi="宋体"/>
                <w:szCs w:val="22"/>
              </w:rPr>
            </w:pPr>
            <w:r>
              <w:rPr>
                <w:rFonts w:ascii="宋体" w:hAnsi="宋体" w:cs="宋体"/>
                <w:szCs w:val="22"/>
              </w:rPr>
              <w:t>供应商、响应文件不存在不符合法律、法规和磋商文件规定的其他无效情形。</w:t>
            </w:r>
          </w:p>
        </w:tc>
        <w:tc>
          <w:tcPr>
            <w:tcW w:w="1134" w:type="dxa"/>
            <w:vAlign w:val="center"/>
          </w:tcPr>
          <w:p w14:paraId="57E4CE9E">
            <w:pPr>
              <w:spacing w:line="360" w:lineRule="auto"/>
              <w:jc w:val="center"/>
              <w:rPr>
                <w:rFonts w:ascii="宋体" w:hAnsi="宋体"/>
                <w:szCs w:val="22"/>
              </w:rPr>
            </w:pPr>
            <w:r>
              <w:rPr>
                <w:rFonts w:ascii="宋体" w:hAnsi="宋体" w:cs="宋体"/>
                <w:szCs w:val="22"/>
              </w:rPr>
              <w:t>重要指标</w:t>
            </w:r>
          </w:p>
        </w:tc>
        <w:tc>
          <w:tcPr>
            <w:tcW w:w="1497" w:type="dxa"/>
          </w:tcPr>
          <w:p w14:paraId="5F6584B0">
            <w:pPr>
              <w:spacing w:line="360" w:lineRule="auto"/>
              <w:jc w:val="left"/>
              <w:rPr>
                <w:rFonts w:ascii="宋体" w:hAnsi="宋体"/>
                <w:szCs w:val="22"/>
              </w:rPr>
            </w:pPr>
          </w:p>
        </w:tc>
      </w:tr>
      <w:tr w14:paraId="14F3F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3EFF3D41">
            <w:pPr>
              <w:spacing w:line="360" w:lineRule="auto"/>
              <w:jc w:val="center"/>
              <w:rPr>
                <w:rFonts w:ascii="宋体" w:hAnsi="宋体"/>
                <w:szCs w:val="22"/>
              </w:rPr>
            </w:pPr>
            <w:r>
              <w:rPr>
                <w:rFonts w:ascii="宋体" w:hAnsi="宋体" w:cs="宋体"/>
                <w:szCs w:val="22"/>
              </w:rPr>
              <w:t>17</w:t>
            </w:r>
          </w:p>
        </w:tc>
        <w:tc>
          <w:tcPr>
            <w:tcW w:w="2126" w:type="dxa"/>
            <w:vAlign w:val="center"/>
          </w:tcPr>
          <w:p w14:paraId="001EBEFB">
            <w:pPr>
              <w:spacing w:line="360" w:lineRule="auto"/>
              <w:jc w:val="left"/>
              <w:rPr>
                <w:rFonts w:ascii="宋体" w:hAnsi="宋体"/>
                <w:szCs w:val="22"/>
              </w:rPr>
            </w:pPr>
            <w:r>
              <w:rPr>
                <w:rFonts w:ascii="宋体" w:hAnsi="宋体" w:cs="宋体"/>
                <w:szCs w:val="22"/>
              </w:rPr>
              <w:t>含义不明确</w:t>
            </w:r>
          </w:p>
        </w:tc>
        <w:tc>
          <w:tcPr>
            <w:tcW w:w="2835" w:type="dxa"/>
            <w:vAlign w:val="center"/>
          </w:tcPr>
          <w:p w14:paraId="6CFAA0C9">
            <w:pPr>
              <w:spacing w:line="360" w:lineRule="auto"/>
              <w:jc w:val="left"/>
              <w:rPr>
                <w:rFonts w:ascii="宋体" w:hAnsi="宋体"/>
                <w:szCs w:val="22"/>
              </w:rPr>
            </w:pPr>
            <w:r>
              <w:rPr>
                <w:rFonts w:ascii="宋体" w:hAnsi="宋体" w:cs="宋体"/>
                <w:szCs w:val="22"/>
              </w:rPr>
              <w:t>响应文件存在含义不明确的情形。</w:t>
            </w:r>
          </w:p>
        </w:tc>
        <w:tc>
          <w:tcPr>
            <w:tcW w:w="1134" w:type="dxa"/>
            <w:vAlign w:val="center"/>
          </w:tcPr>
          <w:p w14:paraId="145A5C25">
            <w:pPr>
              <w:spacing w:line="360" w:lineRule="auto"/>
              <w:jc w:val="center"/>
              <w:rPr>
                <w:rFonts w:ascii="宋体" w:hAnsi="宋体"/>
                <w:szCs w:val="22"/>
              </w:rPr>
            </w:pPr>
            <w:r>
              <w:rPr>
                <w:rFonts w:ascii="宋体" w:hAnsi="宋体" w:cs="宋体"/>
                <w:szCs w:val="22"/>
              </w:rPr>
              <w:t>重要指标</w:t>
            </w:r>
          </w:p>
        </w:tc>
        <w:tc>
          <w:tcPr>
            <w:tcW w:w="1497" w:type="dxa"/>
          </w:tcPr>
          <w:p w14:paraId="47F24D8B">
            <w:pPr>
              <w:spacing w:line="360" w:lineRule="auto"/>
              <w:jc w:val="left"/>
              <w:rPr>
                <w:rFonts w:ascii="宋体" w:hAnsi="宋体"/>
                <w:szCs w:val="22"/>
              </w:rPr>
            </w:pPr>
          </w:p>
        </w:tc>
      </w:tr>
      <w:tr w14:paraId="7C559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343CADC1">
            <w:pPr>
              <w:spacing w:line="360" w:lineRule="auto"/>
              <w:jc w:val="center"/>
              <w:rPr>
                <w:rFonts w:ascii="宋体" w:hAnsi="宋体"/>
                <w:szCs w:val="22"/>
              </w:rPr>
            </w:pPr>
            <w:r>
              <w:rPr>
                <w:rFonts w:ascii="宋体" w:hAnsi="宋体" w:cs="宋体"/>
                <w:szCs w:val="22"/>
              </w:rPr>
              <w:t>18</w:t>
            </w:r>
          </w:p>
        </w:tc>
        <w:tc>
          <w:tcPr>
            <w:tcW w:w="2126" w:type="dxa"/>
            <w:vAlign w:val="center"/>
          </w:tcPr>
          <w:p w14:paraId="5D722A4F">
            <w:pPr>
              <w:spacing w:line="360" w:lineRule="auto"/>
              <w:jc w:val="left"/>
              <w:rPr>
                <w:rFonts w:ascii="宋体" w:hAnsi="宋体"/>
                <w:szCs w:val="22"/>
              </w:rPr>
            </w:pPr>
            <w:r>
              <w:rPr>
                <w:rFonts w:ascii="宋体" w:hAnsi="宋体" w:cs="宋体"/>
                <w:szCs w:val="22"/>
              </w:rPr>
              <w:t>同类问题表述不一致</w:t>
            </w:r>
          </w:p>
        </w:tc>
        <w:tc>
          <w:tcPr>
            <w:tcW w:w="2835" w:type="dxa"/>
            <w:vAlign w:val="center"/>
          </w:tcPr>
          <w:p w14:paraId="3FBBFF99">
            <w:pPr>
              <w:spacing w:line="360" w:lineRule="auto"/>
              <w:jc w:val="left"/>
              <w:rPr>
                <w:rFonts w:ascii="宋体" w:hAnsi="宋体"/>
                <w:szCs w:val="22"/>
              </w:rPr>
            </w:pPr>
            <w:r>
              <w:rPr>
                <w:rFonts w:ascii="宋体" w:hAnsi="宋体" w:cs="宋体"/>
                <w:szCs w:val="22"/>
              </w:rPr>
              <w:t>响应文件存在同类问题表述不一致的情形。</w:t>
            </w:r>
          </w:p>
        </w:tc>
        <w:tc>
          <w:tcPr>
            <w:tcW w:w="1134" w:type="dxa"/>
            <w:vAlign w:val="center"/>
          </w:tcPr>
          <w:p w14:paraId="426233AD">
            <w:pPr>
              <w:spacing w:line="360" w:lineRule="auto"/>
              <w:jc w:val="center"/>
              <w:rPr>
                <w:rFonts w:ascii="宋体" w:hAnsi="宋体"/>
                <w:szCs w:val="22"/>
              </w:rPr>
            </w:pPr>
            <w:r>
              <w:rPr>
                <w:rFonts w:ascii="宋体" w:hAnsi="宋体" w:cs="宋体"/>
                <w:szCs w:val="22"/>
              </w:rPr>
              <w:t>重要指标</w:t>
            </w:r>
          </w:p>
        </w:tc>
        <w:tc>
          <w:tcPr>
            <w:tcW w:w="1497" w:type="dxa"/>
          </w:tcPr>
          <w:p w14:paraId="5F7091CB">
            <w:pPr>
              <w:spacing w:line="360" w:lineRule="auto"/>
              <w:jc w:val="left"/>
              <w:rPr>
                <w:rFonts w:ascii="宋体" w:hAnsi="宋体"/>
                <w:szCs w:val="22"/>
              </w:rPr>
            </w:pPr>
          </w:p>
        </w:tc>
      </w:tr>
      <w:tr w14:paraId="01C76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3F842D63">
            <w:pPr>
              <w:spacing w:line="360" w:lineRule="auto"/>
              <w:jc w:val="center"/>
              <w:rPr>
                <w:rFonts w:ascii="宋体" w:hAnsi="宋体"/>
                <w:szCs w:val="22"/>
              </w:rPr>
            </w:pPr>
            <w:r>
              <w:rPr>
                <w:rFonts w:ascii="宋体" w:hAnsi="宋体" w:cs="宋体"/>
                <w:szCs w:val="22"/>
              </w:rPr>
              <w:t>19</w:t>
            </w:r>
          </w:p>
        </w:tc>
        <w:tc>
          <w:tcPr>
            <w:tcW w:w="2126" w:type="dxa"/>
            <w:vAlign w:val="center"/>
          </w:tcPr>
          <w:p w14:paraId="3FCB3B33">
            <w:pPr>
              <w:spacing w:line="360" w:lineRule="auto"/>
              <w:jc w:val="left"/>
              <w:rPr>
                <w:rFonts w:ascii="宋体" w:hAnsi="宋体"/>
                <w:szCs w:val="22"/>
              </w:rPr>
            </w:pPr>
            <w:r>
              <w:rPr>
                <w:rFonts w:ascii="宋体" w:hAnsi="宋体" w:cs="宋体"/>
                <w:szCs w:val="22"/>
              </w:rPr>
              <w:t>有明显文字和计算错误的内容</w:t>
            </w:r>
          </w:p>
        </w:tc>
        <w:tc>
          <w:tcPr>
            <w:tcW w:w="2835" w:type="dxa"/>
            <w:vAlign w:val="center"/>
          </w:tcPr>
          <w:p w14:paraId="08C8F998">
            <w:pPr>
              <w:spacing w:line="360" w:lineRule="auto"/>
              <w:jc w:val="left"/>
              <w:rPr>
                <w:rFonts w:ascii="宋体" w:hAnsi="宋体"/>
                <w:szCs w:val="22"/>
              </w:rPr>
            </w:pPr>
            <w:r>
              <w:rPr>
                <w:rFonts w:ascii="宋体" w:hAnsi="宋体" w:cs="宋体"/>
                <w:szCs w:val="22"/>
              </w:rPr>
              <w:t>响应文件存在有明显文字和计算错误的内容的情形。</w:t>
            </w:r>
          </w:p>
        </w:tc>
        <w:tc>
          <w:tcPr>
            <w:tcW w:w="1134" w:type="dxa"/>
            <w:vAlign w:val="center"/>
          </w:tcPr>
          <w:p w14:paraId="6FEFEEA9">
            <w:pPr>
              <w:spacing w:line="360" w:lineRule="auto"/>
              <w:jc w:val="center"/>
              <w:rPr>
                <w:rFonts w:ascii="宋体" w:hAnsi="宋体"/>
                <w:szCs w:val="22"/>
              </w:rPr>
            </w:pPr>
            <w:r>
              <w:rPr>
                <w:rFonts w:ascii="宋体" w:hAnsi="宋体" w:cs="宋体"/>
                <w:szCs w:val="22"/>
              </w:rPr>
              <w:t>重要指标</w:t>
            </w:r>
          </w:p>
        </w:tc>
        <w:tc>
          <w:tcPr>
            <w:tcW w:w="1497" w:type="dxa"/>
          </w:tcPr>
          <w:p w14:paraId="42B1E647">
            <w:pPr>
              <w:spacing w:line="360" w:lineRule="auto"/>
              <w:jc w:val="left"/>
              <w:rPr>
                <w:rFonts w:ascii="宋体" w:hAnsi="宋体"/>
                <w:szCs w:val="22"/>
              </w:rPr>
            </w:pPr>
          </w:p>
        </w:tc>
      </w:tr>
      <w:tr w14:paraId="637A6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96" w:type="dxa"/>
            <w:gridSpan w:val="5"/>
            <w:vAlign w:val="center"/>
          </w:tcPr>
          <w:p w14:paraId="071750FD">
            <w:pPr>
              <w:spacing w:line="360" w:lineRule="auto"/>
              <w:jc w:val="center"/>
              <w:rPr>
                <w:rFonts w:ascii="宋体" w:hAnsi="宋体"/>
                <w:szCs w:val="22"/>
              </w:rPr>
            </w:pPr>
            <w:r>
              <w:rPr>
                <w:rFonts w:ascii="宋体" w:hAnsi="宋体" w:cs="宋体"/>
                <w:szCs w:val="22"/>
              </w:rPr>
              <w:t>评审方式：定性；明暗标设定：明标；</w:t>
            </w:r>
          </w:p>
        </w:tc>
      </w:tr>
    </w:tbl>
    <w:p w14:paraId="651A06AF">
      <w:pPr>
        <w:widowControl/>
        <w:jc w:val="left"/>
        <w:rPr>
          <w:rFonts w:ascii="等线" w:hAnsi="等线" w:eastAsia="等线"/>
          <w:szCs w:val="22"/>
        </w:rPr>
      </w:pPr>
      <w:r>
        <w:rPr>
          <w:rFonts w:ascii="等线" w:hAnsi="等线" w:eastAsia="等线" w:cstheme="minorBidi"/>
          <w:szCs w:val="22"/>
        </w:rPr>
        <w:cr/>
      </w:r>
      <w:r>
        <w:rPr>
          <w:rFonts w:ascii="等线" w:hAnsi="等线" w:eastAsia="等线" w:cstheme="minorBidi"/>
          <w:szCs w:val="22"/>
        </w:rPr>
        <w:cr/>
      </w:r>
    </w:p>
    <w:tbl>
      <w:tblPr>
        <w:tblStyle w:val="26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1410"/>
        <w:gridCol w:w="1724"/>
        <w:gridCol w:w="1254"/>
        <w:gridCol w:w="1881"/>
        <w:gridCol w:w="1011"/>
        <w:gridCol w:w="1115"/>
      </w:tblGrid>
      <w:tr w14:paraId="750A4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8296" w:type="dxa"/>
            <w:gridSpan w:val="7"/>
          </w:tcPr>
          <w:p w14:paraId="199144D5">
            <w:pPr>
              <w:spacing w:line="360" w:lineRule="auto"/>
              <w:jc w:val="center"/>
              <w:rPr>
                <w:rFonts w:ascii="微软雅黑" w:hAnsi="微软雅黑" w:eastAsia="微软雅黑"/>
                <w:sz w:val="24"/>
              </w:rPr>
            </w:pPr>
            <w:bookmarkStart w:id="669" w:name="定量评审1" w:colFirst="0" w:colLast="0"/>
            <w:r>
              <w:rPr>
                <w:rFonts w:ascii="宋体" w:hAnsi="宋体" w:cs="宋体"/>
                <w:szCs w:val="22"/>
              </w:rPr>
              <w:t>商务部分</w:t>
            </w:r>
          </w:p>
        </w:tc>
      </w:tr>
      <w:bookmarkEnd w:id="669"/>
      <w:tr w14:paraId="04961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704" w:type="dxa"/>
            <w:vAlign w:val="center"/>
          </w:tcPr>
          <w:p w14:paraId="278C9392">
            <w:pPr>
              <w:spacing w:line="360" w:lineRule="auto"/>
              <w:jc w:val="center"/>
              <w:rPr>
                <w:rFonts w:ascii="微软雅黑" w:hAnsi="微软雅黑" w:eastAsia="微软雅黑" w:cs="宋体"/>
                <w:szCs w:val="21"/>
              </w:rPr>
            </w:pPr>
            <w:r>
              <w:rPr>
                <w:rFonts w:hint="eastAsia" w:ascii="微软雅黑" w:hAnsi="微软雅黑" w:eastAsia="微软雅黑" w:cs="宋体"/>
                <w:szCs w:val="21"/>
              </w:rPr>
              <w:t>序号</w:t>
            </w:r>
          </w:p>
        </w:tc>
        <w:tc>
          <w:tcPr>
            <w:tcW w:w="1276" w:type="dxa"/>
            <w:vAlign w:val="center"/>
          </w:tcPr>
          <w:p w14:paraId="57060541">
            <w:pPr>
              <w:spacing w:line="360" w:lineRule="auto"/>
              <w:jc w:val="center"/>
              <w:rPr>
                <w:rFonts w:ascii="微软雅黑" w:hAnsi="微软雅黑" w:eastAsia="微软雅黑" w:cs="宋体"/>
                <w:szCs w:val="21"/>
              </w:rPr>
            </w:pPr>
            <w:r>
              <w:rPr>
                <w:rFonts w:hint="eastAsia" w:ascii="微软雅黑" w:hAnsi="微软雅黑" w:eastAsia="微软雅黑" w:cs="宋体"/>
                <w:szCs w:val="21"/>
              </w:rPr>
              <w:t>评分因素</w:t>
            </w:r>
          </w:p>
        </w:tc>
        <w:tc>
          <w:tcPr>
            <w:tcW w:w="1559" w:type="dxa"/>
            <w:vAlign w:val="center"/>
          </w:tcPr>
          <w:p w14:paraId="1D0477D1">
            <w:pPr>
              <w:spacing w:line="360" w:lineRule="auto"/>
              <w:jc w:val="center"/>
              <w:rPr>
                <w:rFonts w:ascii="微软雅黑" w:hAnsi="微软雅黑" w:eastAsia="微软雅黑" w:cs="宋体"/>
                <w:szCs w:val="21"/>
              </w:rPr>
            </w:pPr>
            <w:r>
              <w:rPr>
                <w:rFonts w:hint="eastAsia" w:ascii="微软雅黑" w:hAnsi="微软雅黑" w:eastAsia="微软雅黑" w:cs="宋体"/>
                <w:szCs w:val="21"/>
              </w:rPr>
              <w:t>评分标准</w:t>
            </w:r>
          </w:p>
        </w:tc>
        <w:tc>
          <w:tcPr>
            <w:tcW w:w="1134" w:type="dxa"/>
          </w:tcPr>
          <w:p w14:paraId="5B180ACA">
            <w:pPr>
              <w:spacing w:line="360" w:lineRule="auto"/>
              <w:jc w:val="center"/>
              <w:rPr>
                <w:rFonts w:ascii="微软雅黑" w:hAnsi="微软雅黑" w:eastAsia="微软雅黑" w:cs="宋体"/>
                <w:szCs w:val="21"/>
              </w:rPr>
            </w:pPr>
            <w:r>
              <w:rPr>
                <w:rFonts w:hint="eastAsia" w:ascii="微软雅黑" w:hAnsi="微软雅黑" w:eastAsia="微软雅黑" w:cs="宋体"/>
                <w:szCs w:val="21"/>
              </w:rPr>
              <w:t>打分方式</w:t>
            </w:r>
          </w:p>
        </w:tc>
        <w:tc>
          <w:tcPr>
            <w:tcW w:w="1701" w:type="dxa"/>
          </w:tcPr>
          <w:p w14:paraId="3DAB4AD2">
            <w:pPr>
              <w:spacing w:line="360" w:lineRule="auto"/>
              <w:jc w:val="center"/>
              <w:rPr>
                <w:rFonts w:ascii="微软雅黑" w:hAnsi="微软雅黑" w:eastAsia="微软雅黑" w:cs="宋体"/>
                <w:szCs w:val="21"/>
              </w:rPr>
            </w:pPr>
            <w:r>
              <w:rPr>
                <w:rFonts w:hint="eastAsia" w:ascii="微软雅黑" w:hAnsi="微软雅黑" w:eastAsia="微软雅黑" w:cs="宋体"/>
                <w:szCs w:val="21"/>
              </w:rPr>
              <w:t>打分规则设置</w:t>
            </w:r>
          </w:p>
        </w:tc>
        <w:tc>
          <w:tcPr>
            <w:tcW w:w="914" w:type="dxa"/>
            <w:vAlign w:val="center"/>
          </w:tcPr>
          <w:p w14:paraId="4F75414D">
            <w:pPr>
              <w:spacing w:line="360" w:lineRule="auto"/>
              <w:jc w:val="center"/>
              <w:rPr>
                <w:rFonts w:ascii="微软雅黑" w:hAnsi="微软雅黑" w:eastAsia="微软雅黑" w:cs="宋体"/>
                <w:szCs w:val="21"/>
              </w:rPr>
            </w:pPr>
            <w:r>
              <w:rPr>
                <w:rFonts w:hint="eastAsia" w:ascii="微软雅黑" w:hAnsi="微软雅黑" w:eastAsia="微软雅黑" w:cs="宋体"/>
                <w:szCs w:val="21"/>
              </w:rPr>
              <w:t>分值</w:t>
            </w:r>
          </w:p>
        </w:tc>
        <w:tc>
          <w:tcPr>
            <w:tcW w:w="1008" w:type="dxa"/>
          </w:tcPr>
          <w:p w14:paraId="6056FF89">
            <w:pPr>
              <w:spacing w:line="360" w:lineRule="auto"/>
              <w:jc w:val="center"/>
              <w:rPr>
                <w:rFonts w:ascii="微软雅黑" w:hAnsi="微软雅黑" w:eastAsia="微软雅黑" w:cs="宋体"/>
                <w:szCs w:val="21"/>
              </w:rPr>
            </w:pPr>
            <w:r>
              <w:rPr>
                <w:rFonts w:hint="eastAsia" w:ascii="微软雅黑" w:hAnsi="微软雅黑" w:eastAsia="微软雅黑" w:cs="宋体"/>
                <w:szCs w:val="21"/>
              </w:rPr>
              <w:t>备注</w:t>
            </w:r>
          </w:p>
        </w:tc>
      </w:tr>
      <w:tr w14:paraId="5648F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0E40B80C">
            <w:pPr>
              <w:spacing w:line="360" w:lineRule="auto"/>
              <w:jc w:val="center"/>
              <w:rPr>
                <w:rFonts w:ascii="宋体" w:hAnsi="宋体"/>
                <w:szCs w:val="22"/>
              </w:rPr>
            </w:pPr>
            <w:r>
              <w:rPr>
                <w:rFonts w:ascii="宋体" w:hAnsi="宋体" w:cs="宋体"/>
                <w:szCs w:val="22"/>
              </w:rPr>
              <w:t>1</w:t>
            </w:r>
          </w:p>
        </w:tc>
        <w:tc>
          <w:tcPr>
            <w:tcW w:w="1276" w:type="dxa"/>
            <w:vAlign w:val="center"/>
          </w:tcPr>
          <w:p w14:paraId="63E16C37">
            <w:pPr>
              <w:spacing w:line="360" w:lineRule="auto"/>
              <w:rPr>
                <w:rFonts w:ascii="宋体" w:hAnsi="宋体"/>
                <w:szCs w:val="22"/>
              </w:rPr>
            </w:pPr>
            <w:r>
              <w:rPr>
                <w:rFonts w:ascii="宋体" w:hAnsi="宋体" w:cs="宋体"/>
                <w:szCs w:val="22"/>
              </w:rPr>
              <w:t>类似案例</w:t>
            </w:r>
          </w:p>
        </w:tc>
        <w:tc>
          <w:tcPr>
            <w:tcW w:w="1559" w:type="dxa"/>
            <w:vAlign w:val="center"/>
          </w:tcPr>
          <w:p w14:paraId="5A015B3C">
            <w:pPr>
              <w:spacing w:line="360" w:lineRule="auto"/>
              <w:rPr>
                <w:rFonts w:ascii="宋体" w:hAnsi="宋体"/>
                <w:szCs w:val="22"/>
              </w:rPr>
            </w:pPr>
            <w:r>
              <w:rPr>
                <w:rFonts w:ascii="宋体" w:hAnsi="宋体" w:cs="宋体"/>
                <w:szCs w:val="22"/>
              </w:rPr>
              <w:t>投标截止前三年内类似项目经验，每提供1份有效业绩得1分，最多得5分。</w:t>
            </w:r>
            <w:r>
              <w:rPr>
                <w:rFonts w:ascii="宋体" w:hAnsi="宋体" w:cs="宋体"/>
                <w:szCs w:val="22"/>
              </w:rPr>
              <w:br w:type="textWrapping"/>
            </w:r>
            <w:r>
              <w:rPr>
                <w:rFonts w:ascii="宋体" w:hAnsi="宋体" w:cs="宋体"/>
                <w:szCs w:val="22"/>
              </w:rPr>
              <w:t>（须提供合同关键页，包含但不限于：合同首页、服务名称、金额所在页、盖章所在页复印件并加盖公章），否则不得分。</w:t>
            </w:r>
          </w:p>
        </w:tc>
        <w:tc>
          <w:tcPr>
            <w:tcW w:w="1134" w:type="dxa"/>
            <w:vAlign w:val="center"/>
          </w:tcPr>
          <w:p w14:paraId="1EEE531A">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25262B49">
            <w:pPr>
              <w:spacing w:line="360" w:lineRule="auto"/>
              <w:rPr>
                <w:rFonts w:ascii="宋体" w:hAnsi="宋体"/>
                <w:szCs w:val="22"/>
              </w:rPr>
            </w:pPr>
            <w:r>
              <w:rPr>
                <w:rFonts w:ascii="宋体" w:hAnsi="宋体" w:cs="宋体"/>
                <w:szCs w:val="22"/>
              </w:rPr>
              <w:t>最低分：0分，最高分：5分</w:t>
            </w:r>
          </w:p>
        </w:tc>
        <w:tc>
          <w:tcPr>
            <w:tcW w:w="914" w:type="dxa"/>
            <w:vAlign w:val="center"/>
          </w:tcPr>
          <w:p w14:paraId="01160429">
            <w:pPr>
              <w:spacing w:line="360" w:lineRule="auto"/>
              <w:jc w:val="center"/>
              <w:rPr>
                <w:rFonts w:ascii="宋体" w:hAnsi="宋体"/>
                <w:szCs w:val="22"/>
              </w:rPr>
            </w:pPr>
            <w:r>
              <w:rPr>
                <w:rFonts w:ascii="宋体" w:hAnsi="宋体" w:cs="宋体"/>
                <w:szCs w:val="22"/>
              </w:rPr>
              <w:t>5</w:t>
            </w:r>
          </w:p>
        </w:tc>
        <w:tc>
          <w:tcPr>
            <w:tcW w:w="1008" w:type="dxa"/>
            <w:vAlign w:val="center"/>
          </w:tcPr>
          <w:p w14:paraId="44AA59EF">
            <w:pPr>
              <w:spacing w:line="360" w:lineRule="auto"/>
              <w:rPr>
                <w:rFonts w:ascii="宋体" w:hAnsi="宋体"/>
                <w:szCs w:val="22"/>
              </w:rPr>
            </w:pPr>
          </w:p>
        </w:tc>
      </w:tr>
      <w:tr w14:paraId="63959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6A06C187">
            <w:pPr>
              <w:spacing w:line="360" w:lineRule="auto"/>
              <w:jc w:val="center"/>
              <w:rPr>
                <w:rFonts w:ascii="宋体" w:hAnsi="宋体"/>
                <w:szCs w:val="22"/>
              </w:rPr>
            </w:pPr>
            <w:r>
              <w:rPr>
                <w:rFonts w:ascii="宋体" w:hAnsi="宋体" w:cs="宋体"/>
                <w:szCs w:val="22"/>
              </w:rPr>
              <w:t>2</w:t>
            </w:r>
          </w:p>
        </w:tc>
        <w:tc>
          <w:tcPr>
            <w:tcW w:w="1276" w:type="dxa"/>
            <w:vAlign w:val="center"/>
          </w:tcPr>
          <w:p w14:paraId="3F47F7E1">
            <w:pPr>
              <w:spacing w:line="360" w:lineRule="auto"/>
              <w:rPr>
                <w:rFonts w:ascii="宋体" w:hAnsi="宋体"/>
                <w:szCs w:val="22"/>
              </w:rPr>
            </w:pPr>
            <w:r>
              <w:rPr>
                <w:rFonts w:ascii="宋体" w:hAnsi="宋体" w:cs="宋体"/>
                <w:szCs w:val="22"/>
              </w:rPr>
              <w:t>现场组织管理机构</w:t>
            </w:r>
          </w:p>
        </w:tc>
        <w:tc>
          <w:tcPr>
            <w:tcW w:w="1559" w:type="dxa"/>
            <w:vAlign w:val="center"/>
          </w:tcPr>
          <w:p w14:paraId="251F7FBF">
            <w:pPr>
              <w:spacing w:line="360" w:lineRule="auto"/>
              <w:rPr>
                <w:rFonts w:ascii="宋体" w:hAnsi="宋体"/>
                <w:szCs w:val="22"/>
              </w:rPr>
            </w:pPr>
            <w:r>
              <w:rPr>
                <w:rFonts w:ascii="宋体" w:hAnsi="宋体" w:cs="宋体"/>
                <w:szCs w:val="22"/>
              </w:rPr>
              <w:t>管理机构完整，人员丰富，职责明确得5分；</w:t>
            </w:r>
            <w:r>
              <w:rPr>
                <w:rFonts w:ascii="宋体" w:hAnsi="宋体" w:cs="宋体"/>
                <w:szCs w:val="22"/>
              </w:rPr>
              <w:cr/>
            </w:r>
            <w:r>
              <w:rPr>
                <w:rFonts w:ascii="宋体" w:hAnsi="宋体" w:cs="宋体"/>
                <w:szCs w:val="22"/>
              </w:rPr>
              <w:t>管理机构完整，人员一般，职责分工一般得3分；</w:t>
            </w:r>
            <w:r>
              <w:rPr>
                <w:rFonts w:ascii="宋体" w:hAnsi="宋体" w:cs="宋体"/>
                <w:szCs w:val="22"/>
              </w:rPr>
              <w:cr/>
            </w:r>
            <w:r>
              <w:rPr>
                <w:rFonts w:ascii="宋体" w:hAnsi="宋体" w:cs="宋体"/>
                <w:szCs w:val="22"/>
              </w:rPr>
              <w:t>管理机构欠缺，人员分工不明确或不完整得1分；</w:t>
            </w:r>
            <w:r>
              <w:rPr>
                <w:rFonts w:ascii="宋体" w:hAnsi="宋体" w:cs="宋体"/>
                <w:szCs w:val="22"/>
              </w:rPr>
              <w:cr/>
            </w:r>
            <w:r>
              <w:rPr>
                <w:rFonts w:ascii="宋体" w:hAnsi="宋体" w:cs="宋体"/>
                <w:szCs w:val="22"/>
              </w:rPr>
              <w:t>没有不得分。</w:t>
            </w:r>
          </w:p>
        </w:tc>
        <w:tc>
          <w:tcPr>
            <w:tcW w:w="1134" w:type="dxa"/>
            <w:vAlign w:val="center"/>
          </w:tcPr>
          <w:p w14:paraId="2532421F">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75810CBB">
            <w:pPr>
              <w:spacing w:line="360" w:lineRule="auto"/>
              <w:rPr>
                <w:rFonts w:ascii="宋体" w:hAnsi="宋体"/>
                <w:szCs w:val="22"/>
              </w:rPr>
            </w:pPr>
            <w:r>
              <w:rPr>
                <w:rFonts w:ascii="宋体" w:hAnsi="宋体" w:cs="宋体"/>
                <w:szCs w:val="22"/>
              </w:rPr>
              <w:t>最低分：0分，最高分：5分</w:t>
            </w:r>
          </w:p>
        </w:tc>
        <w:tc>
          <w:tcPr>
            <w:tcW w:w="914" w:type="dxa"/>
            <w:vAlign w:val="center"/>
          </w:tcPr>
          <w:p w14:paraId="1CF92822">
            <w:pPr>
              <w:spacing w:line="360" w:lineRule="auto"/>
              <w:jc w:val="center"/>
              <w:rPr>
                <w:rFonts w:ascii="宋体" w:hAnsi="宋体"/>
                <w:szCs w:val="22"/>
              </w:rPr>
            </w:pPr>
            <w:r>
              <w:rPr>
                <w:rFonts w:ascii="宋体" w:hAnsi="宋体" w:cs="宋体"/>
                <w:szCs w:val="22"/>
              </w:rPr>
              <w:t>5</w:t>
            </w:r>
          </w:p>
        </w:tc>
        <w:tc>
          <w:tcPr>
            <w:tcW w:w="1008" w:type="dxa"/>
            <w:vAlign w:val="center"/>
          </w:tcPr>
          <w:p w14:paraId="2C2B7D4B">
            <w:pPr>
              <w:spacing w:line="360" w:lineRule="auto"/>
              <w:rPr>
                <w:rFonts w:ascii="宋体" w:hAnsi="宋体"/>
                <w:szCs w:val="22"/>
              </w:rPr>
            </w:pPr>
          </w:p>
        </w:tc>
      </w:tr>
      <w:tr w14:paraId="76247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8296" w:type="dxa"/>
            <w:gridSpan w:val="7"/>
          </w:tcPr>
          <w:p w14:paraId="47969023">
            <w:pPr>
              <w:spacing w:line="360" w:lineRule="auto"/>
              <w:jc w:val="center"/>
              <w:rPr>
                <w:rFonts w:ascii="宋体" w:hAnsi="宋体"/>
                <w:szCs w:val="22"/>
              </w:rPr>
            </w:pPr>
            <w:r>
              <w:rPr>
                <w:rFonts w:ascii="宋体" w:hAnsi="宋体" w:cs="宋体"/>
                <w:szCs w:val="22"/>
              </w:rPr>
              <w:t>评审方式：定量；明暗标设定：明标；满分：10分；</w:t>
            </w:r>
          </w:p>
        </w:tc>
      </w:tr>
    </w:tbl>
    <w:p w14:paraId="4E507A17">
      <w:pPr>
        <w:widowControl/>
        <w:jc w:val="left"/>
        <w:rPr>
          <w:rFonts w:ascii="等线" w:hAnsi="等线" w:eastAsia="等线"/>
          <w:szCs w:val="22"/>
        </w:rPr>
      </w:pPr>
    </w:p>
    <w:p w14:paraId="4708872A">
      <w:pPr>
        <w:widowControl/>
        <w:jc w:val="left"/>
        <w:rPr>
          <w:rFonts w:ascii="等线" w:hAnsi="等线" w:eastAsia="等线"/>
          <w:szCs w:val="22"/>
        </w:rPr>
      </w:pPr>
    </w:p>
    <w:p w14:paraId="650AA7C0">
      <w:pPr>
        <w:widowControl/>
        <w:jc w:val="left"/>
        <w:rPr>
          <w:rFonts w:ascii="等线" w:hAnsi="等线" w:eastAsia="等线"/>
          <w:szCs w:val="22"/>
        </w:rPr>
      </w:pPr>
    </w:p>
    <w:tbl>
      <w:tblPr>
        <w:tblStyle w:val="26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1410"/>
        <w:gridCol w:w="1724"/>
        <w:gridCol w:w="1254"/>
        <w:gridCol w:w="1881"/>
        <w:gridCol w:w="1011"/>
        <w:gridCol w:w="1115"/>
      </w:tblGrid>
      <w:tr w14:paraId="2143F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8296" w:type="dxa"/>
            <w:gridSpan w:val="7"/>
          </w:tcPr>
          <w:p w14:paraId="6D054DAF">
            <w:pPr>
              <w:spacing w:line="360" w:lineRule="auto"/>
              <w:jc w:val="center"/>
              <w:rPr>
                <w:rFonts w:ascii="微软雅黑" w:hAnsi="微软雅黑" w:eastAsia="微软雅黑"/>
                <w:sz w:val="24"/>
              </w:rPr>
            </w:pPr>
            <w:r>
              <w:rPr>
                <w:rFonts w:ascii="宋体" w:hAnsi="宋体" w:cs="宋体"/>
                <w:szCs w:val="22"/>
              </w:rPr>
              <w:t>技术部分</w:t>
            </w:r>
          </w:p>
        </w:tc>
      </w:tr>
      <w:tr w14:paraId="4E7F0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704" w:type="dxa"/>
            <w:vAlign w:val="center"/>
          </w:tcPr>
          <w:p w14:paraId="57C9529F">
            <w:pPr>
              <w:spacing w:line="360" w:lineRule="auto"/>
              <w:jc w:val="center"/>
              <w:rPr>
                <w:rFonts w:ascii="微软雅黑" w:hAnsi="微软雅黑" w:eastAsia="微软雅黑" w:cs="宋体"/>
                <w:szCs w:val="21"/>
              </w:rPr>
            </w:pPr>
            <w:r>
              <w:rPr>
                <w:rFonts w:hint="eastAsia" w:ascii="微软雅黑" w:hAnsi="微软雅黑" w:eastAsia="微软雅黑" w:cs="宋体"/>
                <w:szCs w:val="21"/>
              </w:rPr>
              <w:t>序号</w:t>
            </w:r>
          </w:p>
        </w:tc>
        <w:tc>
          <w:tcPr>
            <w:tcW w:w="1276" w:type="dxa"/>
            <w:vAlign w:val="center"/>
          </w:tcPr>
          <w:p w14:paraId="0786F5B3">
            <w:pPr>
              <w:spacing w:line="360" w:lineRule="auto"/>
              <w:jc w:val="center"/>
              <w:rPr>
                <w:rFonts w:ascii="微软雅黑" w:hAnsi="微软雅黑" w:eastAsia="微软雅黑" w:cs="宋体"/>
                <w:szCs w:val="21"/>
              </w:rPr>
            </w:pPr>
            <w:r>
              <w:rPr>
                <w:rFonts w:hint="eastAsia" w:ascii="微软雅黑" w:hAnsi="微软雅黑" w:eastAsia="微软雅黑" w:cs="宋体"/>
                <w:szCs w:val="21"/>
              </w:rPr>
              <w:t>评分因素</w:t>
            </w:r>
          </w:p>
        </w:tc>
        <w:tc>
          <w:tcPr>
            <w:tcW w:w="1559" w:type="dxa"/>
            <w:vAlign w:val="center"/>
          </w:tcPr>
          <w:p w14:paraId="3ACB67C5">
            <w:pPr>
              <w:spacing w:line="360" w:lineRule="auto"/>
              <w:jc w:val="center"/>
              <w:rPr>
                <w:rFonts w:ascii="微软雅黑" w:hAnsi="微软雅黑" w:eastAsia="微软雅黑" w:cs="宋体"/>
                <w:szCs w:val="21"/>
              </w:rPr>
            </w:pPr>
            <w:r>
              <w:rPr>
                <w:rFonts w:hint="eastAsia" w:ascii="微软雅黑" w:hAnsi="微软雅黑" w:eastAsia="微软雅黑" w:cs="宋体"/>
                <w:szCs w:val="21"/>
              </w:rPr>
              <w:t>评分标准</w:t>
            </w:r>
          </w:p>
        </w:tc>
        <w:tc>
          <w:tcPr>
            <w:tcW w:w="1134" w:type="dxa"/>
          </w:tcPr>
          <w:p w14:paraId="158D0CCC">
            <w:pPr>
              <w:spacing w:line="360" w:lineRule="auto"/>
              <w:jc w:val="center"/>
              <w:rPr>
                <w:rFonts w:ascii="微软雅黑" w:hAnsi="微软雅黑" w:eastAsia="微软雅黑" w:cs="宋体"/>
                <w:szCs w:val="21"/>
              </w:rPr>
            </w:pPr>
            <w:r>
              <w:rPr>
                <w:rFonts w:hint="eastAsia" w:ascii="微软雅黑" w:hAnsi="微软雅黑" w:eastAsia="微软雅黑" w:cs="宋体"/>
                <w:szCs w:val="21"/>
              </w:rPr>
              <w:t>打分方式</w:t>
            </w:r>
          </w:p>
        </w:tc>
        <w:tc>
          <w:tcPr>
            <w:tcW w:w="1701" w:type="dxa"/>
          </w:tcPr>
          <w:p w14:paraId="39828A7F">
            <w:pPr>
              <w:spacing w:line="360" w:lineRule="auto"/>
              <w:jc w:val="center"/>
              <w:rPr>
                <w:rFonts w:ascii="微软雅黑" w:hAnsi="微软雅黑" w:eastAsia="微软雅黑" w:cs="宋体"/>
                <w:szCs w:val="21"/>
              </w:rPr>
            </w:pPr>
            <w:r>
              <w:rPr>
                <w:rFonts w:hint="eastAsia" w:ascii="微软雅黑" w:hAnsi="微软雅黑" w:eastAsia="微软雅黑" w:cs="宋体"/>
                <w:szCs w:val="21"/>
              </w:rPr>
              <w:t>打分规则设置</w:t>
            </w:r>
          </w:p>
        </w:tc>
        <w:tc>
          <w:tcPr>
            <w:tcW w:w="914" w:type="dxa"/>
            <w:vAlign w:val="center"/>
          </w:tcPr>
          <w:p w14:paraId="66ABE807">
            <w:pPr>
              <w:spacing w:line="360" w:lineRule="auto"/>
              <w:jc w:val="center"/>
              <w:rPr>
                <w:rFonts w:ascii="微软雅黑" w:hAnsi="微软雅黑" w:eastAsia="微软雅黑" w:cs="宋体"/>
                <w:szCs w:val="21"/>
              </w:rPr>
            </w:pPr>
            <w:r>
              <w:rPr>
                <w:rFonts w:hint="eastAsia" w:ascii="微软雅黑" w:hAnsi="微软雅黑" w:eastAsia="微软雅黑" w:cs="宋体"/>
                <w:szCs w:val="21"/>
              </w:rPr>
              <w:t>分值</w:t>
            </w:r>
          </w:p>
        </w:tc>
        <w:tc>
          <w:tcPr>
            <w:tcW w:w="1008" w:type="dxa"/>
          </w:tcPr>
          <w:p w14:paraId="0345EBA8">
            <w:pPr>
              <w:spacing w:line="360" w:lineRule="auto"/>
              <w:jc w:val="center"/>
              <w:rPr>
                <w:rFonts w:ascii="微软雅黑" w:hAnsi="微软雅黑" w:eastAsia="微软雅黑" w:cs="宋体"/>
                <w:szCs w:val="21"/>
              </w:rPr>
            </w:pPr>
            <w:r>
              <w:rPr>
                <w:rFonts w:hint="eastAsia" w:ascii="微软雅黑" w:hAnsi="微软雅黑" w:eastAsia="微软雅黑" w:cs="宋体"/>
                <w:szCs w:val="21"/>
              </w:rPr>
              <w:t>备注</w:t>
            </w:r>
          </w:p>
        </w:tc>
      </w:tr>
      <w:tr w14:paraId="4088F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31F82398">
            <w:pPr>
              <w:spacing w:line="360" w:lineRule="auto"/>
              <w:jc w:val="center"/>
              <w:rPr>
                <w:rFonts w:ascii="宋体" w:hAnsi="宋体"/>
                <w:szCs w:val="22"/>
              </w:rPr>
            </w:pPr>
            <w:r>
              <w:rPr>
                <w:rFonts w:ascii="宋体" w:hAnsi="宋体" w:cs="宋体"/>
                <w:szCs w:val="22"/>
              </w:rPr>
              <w:t>1</w:t>
            </w:r>
          </w:p>
        </w:tc>
        <w:tc>
          <w:tcPr>
            <w:tcW w:w="1276" w:type="dxa"/>
            <w:vAlign w:val="center"/>
          </w:tcPr>
          <w:p w14:paraId="13AC506E">
            <w:pPr>
              <w:spacing w:line="360" w:lineRule="auto"/>
              <w:rPr>
                <w:rFonts w:ascii="宋体" w:hAnsi="宋体"/>
                <w:szCs w:val="22"/>
              </w:rPr>
            </w:pPr>
            <w:r>
              <w:rPr>
                <w:rFonts w:ascii="宋体" w:hAnsi="宋体" w:cs="宋体"/>
                <w:szCs w:val="22"/>
              </w:rPr>
              <w:t>施工方案与技术措施</w:t>
            </w:r>
          </w:p>
        </w:tc>
        <w:tc>
          <w:tcPr>
            <w:tcW w:w="1559" w:type="dxa"/>
            <w:vAlign w:val="center"/>
          </w:tcPr>
          <w:p w14:paraId="26B838FB">
            <w:pPr>
              <w:spacing w:line="360" w:lineRule="auto"/>
              <w:rPr>
                <w:rFonts w:ascii="宋体" w:hAnsi="宋体"/>
                <w:szCs w:val="22"/>
              </w:rPr>
            </w:pPr>
            <w:r>
              <w:rPr>
                <w:rFonts w:ascii="宋体" w:hAnsi="宋体" w:cs="宋体"/>
                <w:szCs w:val="22"/>
              </w:rPr>
              <w:t>方案详细，科学合理，有针对性得6分；方案一般，通用，针对性不强得4分；内容有欠缺，不完全满足项目要求得2分；没有不得分。</w:t>
            </w:r>
          </w:p>
        </w:tc>
        <w:tc>
          <w:tcPr>
            <w:tcW w:w="1134" w:type="dxa"/>
            <w:vAlign w:val="center"/>
          </w:tcPr>
          <w:p w14:paraId="323954BB">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66F23FB7">
            <w:pPr>
              <w:spacing w:line="360" w:lineRule="auto"/>
              <w:rPr>
                <w:rFonts w:ascii="宋体" w:hAnsi="宋体"/>
                <w:szCs w:val="22"/>
              </w:rPr>
            </w:pPr>
            <w:r>
              <w:rPr>
                <w:rFonts w:ascii="宋体" w:hAnsi="宋体" w:cs="宋体"/>
                <w:szCs w:val="22"/>
              </w:rPr>
              <w:t>最低分：0分，最高分：6分</w:t>
            </w:r>
          </w:p>
        </w:tc>
        <w:tc>
          <w:tcPr>
            <w:tcW w:w="914" w:type="dxa"/>
            <w:vAlign w:val="center"/>
          </w:tcPr>
          <w:p w14:paraId="78042CF8">
            <w:pPr>
              <w:spacing w:line="360" w:lineRule="auto"/>
              <w:jc w:val="center"/>
              <w:rPr>
                <w:rFonts w:ascii="宋体" w:hAnsi="宋体"/>
                <w:szCs w:val="22"/>
              </w:rPr>
            </w:pPr>
            <w:r>
              <w:rPr>
                <w:rFonts w:ascii="宋体" w:hAnsi="宋体" w:cs="宋体"/>
                <w:szCs w:val="22"/>
              </w:rPr>
              <w:t>6</w:t>
            </w:r>
          </w:p>
        </w:tc>
        <w:tc>
          <w:tcPr>
            <w:tcW w:w="1008" w:type="dxa"/>
            <w:vAlign w:val="center"/>
          </w:tcPr>
          <w:p w14:paraId="4C6DB47C">
            <w:pPr>
              <w:spacing w:line="360" w:lineRule="auto"/>
              <w:rPr>
                <w:rFonts w:ascii="宋体" w:hAnsi="宋体"/>
                <w:szCs w:val="22"/>
              </w:rPr>
            </w:pPr>
          </w:p>
        </w:tc>
      </w:tr>
      <w:tr w14:paraId="6EEFF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 w:hRule="atLeast"/>
        </w:trPr>
        <w:tc>
          <w:tcPr>
            <w:tcW w:w="704" w:type="dxa"/>
            <w:vAlign w:val="center"/>
          </w:tcPr>
          <w:p w14:paraId="024B792B">
            <w:pPr>
              <w:spacing w:line="360" w:lineRule="auto"/>
              <w:jc w:val="center"/>
              <w:rPr>
                <w:rFonts w:ascii="宋体" w:hAnsi="宋体"/>
                <w:szCs w:val="22"/>
              </w:rPr>
            </w:pPr>
            <w:r>
              <w:rPr>
                <w:rFonts w:ascii="宋体" w:hAnsi="宋体" w:cs="宋体"/>
                <w:szCs w:val="22"/>
              </w:rPr>
              <w:t>2</w:t>
            </w:r>
          </w:p>
        </w:tc>
        <w:tc>
          <w:tcPr>
            <w:tcW w:w="1276" w:type="dxa"/>
            <w:vAlign w:val="center"/>
          </w:tcPr>
          <w:p w14:paraId="6B53CE1E">
            <w:pPr>
              <w:spacing w:line="360" w:lineRule="auto"/>
              <w:rPr>
                <w:rFonts w:ascii="宋体" w:hAnsi="宋体"/>
                <w:szCs w:val="22"/>
              </w:rPr>
            </w:pPr>
            <w:r>
              <w:rPr>
                <w:rFonts w:ascii="宋体" w:hAnsi="宋体" w:cs="宋体"/>
                <w:szCs w:val="22"/>
              </w:rPr>
              <w:t>质量管理体系与保证措施</w:t>
            </w:r>
          </w:p>
        </w:tc>
        <w:tc>
          <w:tcPr>
            <w:tcW w:w="1559" w:type="dxa"/>
            <w:vAlign w:val="center"/>
          </w:tcPr>
          <w:p w14:paraId="451C0B7A">
            <w:pPr>
              <w:spacing w:line="360" w:lineRule="auto"/>
              <w:rPr>
                <w:rFonts w:ascii="宋体" w:hAnsi="宋体"/>
                <w:szCs w:val="22"/>
              </w:rPr>
            </w:pPr>
            <w:r>
              <w:rPr>
                <w:rFonts w:ascii="宋体" w:hAnsi="宋体" w:cs="宋体"/>
                <w:szCs w:val="22"/>
              </w:rPr>
              <w:t>方案详细，科学合理，有针对性得6分；方案一般，通用，针对性不强得4分；内容有欠缺，不完全满足项目要求得2分；没有不得分。</w:t>
            </w:r>
          </w:p>
        </w:tc>
        <w:tc>
          <w:tcPr>
            <w:tcW w:w="1134" w:type="dxa"/>
            <w:vAlign w:val="center"/>
          </w:tcPr>
          <w:p w14:paraId="5F841876">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5594D2EE">
            <w:pPr>
              <w:spacing w:line="360" w:lineRule="auto"/>
              <w:rPr>
                <w:rFonts w:ascii="宋体" w:hAnsi="宋体"/>
                <w:szCs w:val="22"/>
              </w:rPr>
            </w:pPr>
            <w:r>
              <w:rPr>
                <w:rFonts w:ascii="宋体" w:hAnsi="宋体" w:cs="宋体"/>
                <w:szCs w:val="22"/>
              </w:rPr>
              <w:t>最低分：0分，最高分：6分</w:t>
            </w:r>
          </w:p>
        </w:tc>
        <w:tc>
          <w:tcPr>
            <w:tcW w:w="914" w:type="dxa"/>
            <w:vAlign w:val="center"/>
          </w:tcPr>
          <w:p w14:paraId="3C00CFE6">
            <w:pPr>
              <w:spacing w:line="360" w:lineRule="auto"/>
              <w:jc w:val="center"/>
              <w:rPr>
                <w:rFonts w:ascii="宋体" w:hAnsi="宋体"/>
                <w:szCs w:val="22"/>
              </w:rPr>
            </w:pPr>
            <w:r>
              <w:rPr>
                <w:rFonts w:ascii="宋体" w:hAnsi="宋体" w:cs="宋体"/>
                <w:szCs w:val="22"/>
              </w:rPr>
              <w:t>6</w:t>
            </w:r>
          </w:p>
        </w:tc>
        <w:tc>
          <w:tcPr>
            <w:tcW w:w="1008" w:type="dxa"/>
            <w:vAlign w:val="center"/>
          </w:tcPr>
          <w:p w14:paraId="55049C6A">
            <w:pPr>
              <w:spacing w:line="360" w:lineRule="auto"/>
              <w:rPr>
                <w:rFonts w:ascii="宋体" w:hAnsi="宋体"/>
                <w:szCs w:val="22"/>
              </w:rPr>
            </w:pPr>
          </w:p>
        </w:tc>
      </w:tr>
      <w:tr w14:paraId="55FF0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7CB62C79">
            <w:pPr>
              <w:spacing w:line="360" w:lineRule="auto"/>
              <w:jc w:val="center"/>
              <w:rPr>
                <w:rFonts w:ascii="宋体" w:hAnsi="宋体"/>
                <w:szCs w:val="22"/>
              </w:rPr>
            </w:pPr>
            <w:r>
              <w:rPr>
                <w:rFonts w:ascii="宋体" w:hAnsi="宋体" w:cs="宋体"/>
                <w:szCs w:val="22"/>
              </w:rPr>
              <w:t>3</w:t>
            </w:r>
          </w:p>
        </w:tc>
        <w:tc>
          <w:tcPr>
            <w:tcW w:w="1276" w:type="dxa"/>
            <w:vAlign w:val="center"/>
          </w:tcPr>
          <w:p w14:paraId="3A158C40">
            <w:pPr>
              <w:spacing w:line="360" w:lineRule="auto"/>
              <w:rPr>
                <w:rFonts w:ascii="宋体" w:hAnsi="宋体"/>
                <w:szCs w:val="22"/>
              </w:rPr>
            </w:pPr>
            <w:r>
              <w:rPr>
                <w:rFonts w:ascii="宋体" w:hAnsi="宋体" w:cs="宋体"/>
                <w:szCs w:val="22"/>
              </w:rPr>
              <w:t>安全和绿色施工保障措施</w:t>
            </w:r>
          </w:p>
        </w:tc>
        <w:tc>
          <w:tcPr>
            <w:tcW w:w="1559" w:type="dxa"/>
            <w:vAlign w:val="center"/>
          </w:tcPr>
          <w:p w14:paraId="0BE571D0">
            <w:pPr>
              <w:spacing w:line="360" w:lineRule="auto"/>
              <w:rPr>
                <w:rFonts w:ascii="宋体" w:hAnsi="宋体"/>
                <w:szCs w:val="22"/>
              </w:rPr>
            </w:pPr>
            <w:r>
              <w:rPr>
                <w:rFonts w:ascii="宋体" w:hAnsi="宋体" w:cs="宋体"/>
                <w:szCs w:val="22"/>
              </w:rPr>
              <w:t>方案详细，科学合理，有针对性得6分；方案一般，通用，针对性不强得4分；内容有欠缺，不完全满足项目要求得2分；没有不得分。</w:t>
            </w:r>
          </w:p>
        </w:tc>
        <w:tc>
          <w:tcPr>
            <w:tcW w:w="1134" w:type="dxa"/>
            <w:vAlign w:val="center"/>
          </w:tcPr>
          <w:p w14:paraId="55D64EDD">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3F3CA7CB">
            <w:pPr>
              <w:spacing w:line="360" w:lineRule="auto"/>
              <w:rPr>
                <w:rFonts w:ascii="宋体" w:hAnsi="宋体"/>
                <w:szCs w:val="22"/>
              </w:rPr>
            </w:pPr>
            <w:r>
              <w:rPr>
                <w:rFonts w:ascii="宋体" w:hAnsi="宋体" w:cs="宋体"/>
                <w:szCs w:val="22"/>
              </w:rPr>
              <w:t>最低分：0分，最高分：6分</w:t>
            </w:r>
          </w:p>
        </w:tc>
        <w:tc>
          <w:tcPr>
            <w:tcW w:w="914" w:type="dxa"/>
            <w:vAlign w:val="center"/>
          </w:tcPr>
          <w:p w14:paraId="1F39595F">
            <w:pPr>
              <w:spacing w:line="360" w:lineRule="auto"/>
              <w:jc w:val="center"/>
              <w:rPr>
                <w:rFonts w:ascii="宋体" w:hAnsi="宋体"/>
                <w:szCs w:val="22"/>
              </w:rPr>
            </w:pPr>
            <w:r>
              <w:rPr>
                <w:rFonts w:ascii="宋体" w:hAnsi="宋体" w:cs="宋体"/>
                <w:szCs w:val="22"/>
              </w:rPr>
              <w:t>6</w:t>
            </w:r>
          </w:p>
        </w:tc>
        <w:tc>
          <w:tcPr>
            <w:tcW w:w="1008" w:type="dxa"/>
            <w:vAlign w:val="center"/>
          </w:tcPr>
          <w:p w14:paraId="28C55FA5">
            <w:pPr>
              <w:spacing w:line="360" w:lineRule="auto"/>
              <w:rPr>
                <w:rFonts w:ascii="宋体" w:hAnsi="宋体"/>
                <w:szCs w:val="22"/>
              </w:rPr>
            </w:pPr>
          </w:p>
        </w:tc>
      </w:tr>
      <w:tr w14:paraId="27074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184137BF">
            <w:pPr>
              <w:spacing w:line="360" w:lineRule="auto"/>
              <w:jc w:val="center"/>
              <w:rPr>
                <w:rFonts w:ascii="宋体" w:hAnsi="宋体"/>
                <w:szCs w:val="22"/>
              </w:rPr>
            </w:pPr>
            <w:r>
              <w:rPr>
                <w:rFonts w:ascii="宋体" w:hAnsi="宋体" w:cs="宋体"/>
                <w:szCs w:val="22"/>
              </w:rPr>
              <w:t>4</w:t>
            </w:r>
          </w:p>
        </w:tc>
        <w:tc>
          <w:tcPr>
            <w:tcW w:w="1276" w:type="dxa"/>
            <w:vAlign w:val="center"/>
          </w:tcPr>
          <w:p w14:paraId="7273D32A">
            <w:pPr>
              <w:spacing w:line="360" w:lineRule="auto"/>
              <w:rPr>
                <w:rFonts w:ascii="宋体" w:hAnsi="宋体"/>
                <w:szCs w:val="22"/>
              </w:rPr>
            </w:pPr>
            <w:r>
              <w:rPr>
                <w:rFonts w:ascii="宋体" w:hAnsi="宋体" w:cs="宋体"/>
                <w:szCs w:val="22"/>
              </w:rPr>
              <w:t>进度计划及保障措施</w:t>
            </w:r>
          </w:p>
        </w:tc>
        <w:tc>
          <w:tcPr>
            <w:tcW w:w="1559" w:type="dxa"/>
            <w:vAlign w:val="center"/>
          </w:tcPr>
          <w:p w14:paraId="70763972">
            <w:pPr>
              <w:spacing w:line="360" w:lineRule="auto"/>
              <w:rPr>
                <w:rFonts w:ascii="宋体" w:hAnsi="宋体"/>
                <w:szCs w:val="22"/>
              </w:rPr>
            </w:pPr>
            <w:r>
              <w:rPr>
                <w:rFonts w:ascii="宋体" w:hAnsi="宋体" w:cs="宋体"/>
                <w:szCs w:val="22"/>
              </w:rPr>
              <w:t>方案详细，科学合理，有针对性得6分；方案一般，通用，针对性不强得4分；内容有欠缺，不完全满足项目要求得2分；没有不得分。</w:t>
            </w:r>
          </w:p>
        </w:tc>
        <w:tc>
          <w:tcPr>
            <w:tcW w:w="1134" w:type="dxa"/>
            <w:vAlign w:val="center"/>
          </w:tcPr>
          <w:p w14:paraId="4CC6BE18">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1D94A4D8">
            <w:pPr>
              <w:spacing w:line="360" w:lineRule="auto"/>
              <w:rPr>
                <w:rFonts w:ascii="宋体" w:hAnsi="宋体"/>
                <w:szCs w:val="22"/>
              </w:rPr>
            </w:pPr>
            <w:r>
              <w:rPr>
                <w:rFonts w:ascii="宋体" w:hAnsi="宋体" w:cs="宋体"/>
                <w:szCs w:val="22"/>
              </w:rPr>
              <w:t>最低分：0分，最高分：6分</w:t>
            </w:r>
          </w:p>
        </w:tc>
        <w:tc>
          <w:tcPr>
            <w:tcW w:w="914" w:type="dxa"/>
            <w:vAlign w:val="center"/>
          </w:tcPr>
          <w:p w14:paraId="40D61464">
            <w:pPr>
              <w:spacing w:line="360" w:lineRule="auto"/>
              <w:jc w:val="center"/>
              <w:rPr>
                <w:rFonts w:ascii="宋体" w:hAnsi="宋体"/>
                <w:szCs w:val="22"/>
              </w:rPr>
            </w:pPr>
            <w:r>
              <w:rPr>
                <w:rFonts w:ascii="宋体" w:hAnsi="宋体" w:cs="宋体"/>
                <w:szCs w:val="22"/>
              </w:rPr>
              <w:t>6</w:t>
            </w:r>
          </w:p>
        </w:tc>
        <w:tc>
          <w:tcPr>
            <w:tcW w:w="1008" w:type="dxa"/>
            <w:vAlign w:val="center"/>
          </w:tcPr>
          <w:p w14:paraId="60F587D2">
            <w:pPr>
              <w:spacing w:line="360" w:lineRule="auto"/>
              <w:rPr>
                <w:rFonts w:ascii="宋体" w:hAnsi="宋体"/>
                <w:szCs w:val="22"/>
              </w:rPr>
            </w:pPr>
          </w:p>
        </w:tc>
      </w:tr>
      <w:tr w14:paraId="350FC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76D468E9">
            <w:pPr>
              <w:spacing w:line="360" w:lineRule="auto"/>
              <w:jc w:val="center"/>
              <w:rPr>
                <w:rFonts w:ascii="宋体" w:hAnsi="宋体"/>
                <w:szCs w:val="22"/>
              </w:rPr>
            </w:pPr>
            <w:r>
              <w:rPr>
                <w:rFonts w:ascii="宋体" w:hAnsi="宋体" w:cs="宋体"/>
                <w:szCs w:val="22"/>
              </w:rPr>
              <w:t>5</w:t>
            </w:r>
          </w:p>
        </w:tc>
        <w:tc>
          <w:tcPr>
            <w:tcW w:w="1276" w:type="dxa"/>
            <w:vAlign w:val="center"/>
          </w:tcPr>
          <w:p w14:paraId="15BA2ACD">
            <w:pPr>
              <w:spacing w:line="360" w:lineRule="auto"/>
              <w:rPr>
                <w:rFonts w:ascii="宋体" w:hAnsi="宋体"/>
                <w:szCs w:val="22"/>
              </w:rPr>
            </w:pPr>
            <w:r>
              <w:rPr>
                <w:rFonts w:ascii="宋体" w:hAnsi="宋体" w:cs="宋体"/>
                <w:szCs w:val="22"/>
              </w:rPr>
              <w:t>定位和测量放线施工方案</w:t>
            </w:r>
          </w:p>
        </w:tc>
        <w:tc>
          <w:tcPr>
            <w:tcW w:w="1559" w:type="dxa"/>
            <w:vAlign w:val="center"/>
          </w:tcPr>
          <w:p w14:paraId="2B21D171">
            <w:pPr>
              <w:spacing w:line="360" w:lineRule="auto"/>
              <w:rPr>
                <w:rFonts w:ascii="宋体" w:hAnsi="宋体"/>
                <w:szCs w:val="22"/>
              </w:rPr>
            </w:pPr>
            <w:r>
              <w:rPr>
                <w:rFonts w:ascii="宋体" w:hAnsi="宋体" w:cs="宋体"/>
                <w:szCs w:val="22"/>
              </w:rPr>
              <w:t>方案详细，科学合理，有针对性得6分；方案一般，通用，针对性不强得4分；内容有欠缺，不完全满足项目要求得2分；没有不得分。</w:t>
            </w:r>
          </w:p>
        </w:tc>
        <w:tc>
          <w:tcPr>
            <w:tcW w:w="1134" w:type="dxa"/>
            <w:vAlign w:val="center"/>
          </w:tcPr>
          <w:p w14:paraId="65508CC1">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3F80DDCE">
            <w:pPr>
              <w:spacing w:line="360" w:lineRule="auto"/>
              <w:rPr>
                <w:rFonts w:ascii="宋体" w:hAnsi="宋体"/>
                <w:szCs w:val="22"/>
              </w:rPr>
            </w:pPr>
            <w:r>
              <w:rPr>
                <w:rFonts w:ascii="宋体" w:hAnsi="宋体" w:cs="宋体"/>
                <w:szCs w:val="22"/>
              </w:rPr>
              <w:t>最低分：0分，最高分：6分</w:t>
            </w:r>
          </w:p>
        </w:tc>
        <w:tc>
          <w:tcPr>
            <w:tcW w:w="914" w:type="dxa"/>
            <w:vAlign w:val="center"/>
          </w:tcPr>
          <w:p w14:paraId="7FEE4C20">
            <w:pPr>
              <w:spacing w:line="360" w:lineRule="auto"/>
              <w:jc w:val="center"/>
              <w:rPr>
                <w:rFonts w:ascii="宋体" w:hAnsi="宋体"/>
                <w:szCs w:val="22"/>
              </w:rPr>
            </w:pPr>
            <w:r>
              <w:rPr>
                <w:rFonts w:ascii="宋体" w:hAnsi="宋体" w:cs="宋体"/>
                <w:szCs w:val="22"/>
              </w:rPr>
              <w:t>6</w:t>
            </w:r>
          </w:p>
        </w:tc>
        <w:tc>
          <w:tcPr>
            <w:tcW w:w="1008" w:type="dxa"/>
            <w:vAlign w:val="center"/>
          </w:tcPr>
          <w:p w14:paraId="3F9683F2">
            <w:pPr>
              <w:spacing w:line="360" w:lineRule="auto"/>
              <w:rPr>
                <w:rFonts w:ascii="宋体" w:hAnsi="宋体"/>
                <w:szCs w:val="22"/>
              </w:rPr>
            </w:pPr>
          </w:p>
        </w:tc>
      </w:tr>
      <w:tr w14:paraId="5D649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 w:hRule="atLeast"/>
        </w:trPr>
        <w:tc>
          <w:tcPr>
            <w:tcW w:w="704" w:type="dxa"/>
            <w:vAlign w:val="center"/>
          </w:tcPr>
          <w:p w14:paraId="660F85F5">
            <w:pPr>
              <w:spacing w:line="360" w:lineRule="auto"/>
              <w:jc w:val="center"/>
              <w:rPr>
                <w:rFonts w:ascii="宋体" w:hAnsi="宋体"/>
                <w:szCs w:val="22"/>
              </w:rPr>
            </w:pPr>
            <w:r>
              <w:rPr>
                <w:rFonts w:ascii="宋体" w:hAnsi="宋体" w:cs="宋体"/>
                <w:szCs w:val="22"/>
              </w:rPr>
              <w:t>6</w:t>
            </w:r>
          </w:p>
        </w:tc>
        <w:tc>
          <w:tcPr>
            <w:tcW w:w="1276" w:type="dxa"/>
            <w:vAlign w:val="center"/>
          </w:tcPr>
          <w:p w14:paraId="47660B8F">
            <w:pPr>
              <w:spacing w:line="360" w:lineRule="auto"/>
              <w:rPr>
                <w:rFonts w:ascii="宋体" w:hAnsi="宋体"/>
                <w:szCs w:val="22"/>
              </w:rPr>
            </w:pPr>
            <w:r>
              <w:rPr>
                <w:rFonts w:ascii="宋体" w:hAnsi="宋体" w:cs="宋体"/>
                <w:szCs w:val="22"/>
              </w:rPr>
              <w:t>消防、保卫方案</w:t>
            </w:r>
          </w:p>
        </w:tc>
        <w:tc>
          <w:tcPr>
            <w:tcW w:w="1559" w:type="dxa"/>
            <w:vAlign w:val="center"/>
          </w:tcPr>
          <w:p w14:paraId="54C2C675">
            <w:pPr>
              <w:spacing w:line="360" w:lineRule="auto"/>
              <w:rPr>
                <w:rFonts w:ascii="宋体" w:hAnsi="宋体"/>
                <w:szCs w:val="22"/>
              </w:rPr>
            </w:pPr>
            <w:r>
              <w:rPr>
                <w:rFonts w:ascii="宋体" w:hAnsi="宋体" w:cs="宋体"/>
                <w:szCs w:val="22"/>
              </w:rPr>
              <w:t>方案详细，科学合理，有针对性得6分；方案一般，通用，针对性不强得4分；内容有欠缺，不完全满足项目要求得2分；没有不得分。</w:t>
            </w:r>
          </w:p>
        </w:tc>
        <w:tc>
          <w:tcPr>
            <w:tcW w:w="1134" w:type="dxa"/>
            <w:vAlign w:val="center"/>
          </w:tcPr>
          <w:p w14:paraId="4D5FA3B1">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5E8A7CA4">
            <w:pPr>
              <w:spacing w:line="360" w:lineRule="auto"/>
              <w:rPr>
                <w:rFonts w:ascii="宋体" w:hAnsi="宋体"/>
                <w:szCs w:val="22"/>
              </w:rPr>
            </w:pPr>
            <w:r>
              <w:rPr>
                <w:rFonts w:ascii="宋体" w:hAnsi="宋体" w:cs="宋体"/>
                <w:szCs w:val="22"/>
              </w:rPr>
              <w:t>最低分：0分，最高分：6分</w:t>
            </w:r>
          </w:p>
        </w:tc>
        <w:tc>
          <w:tcPr>
            <w:tcW w:w="914" w:type="dxa"/>
            <w:vAlign w:val="center"/>
          </w:tcPr>
          <w:p w14:paraId="612A2F6E">
            <w:pPr>
              <w:spacing w:line="360" w:lineRule="auto"/>
              <w:jc w:val="center"/>
              <w:rPr>
                <w:rFonts w:ascii="宋体" w:hAnsi="宋体"/>
                <w:szCs w:val="22"/>
              </w:rPr>
            </w:pPr>
            <w:r>
              <w:rPr>
                <w:rFonts w:ascii="宋体" w:hAnsi="宋体" w:cs="宋体"/>
                <w:szCs w:val="22"/>
              </w:rPr>
              <w:t>6</w:t>
            </w:r>
          </w:p>
        </w:tc>
        <w:tc>
          <w:tcPr>
            <w:tcW w:w="1008" w:type="dxa"/>
            <w:vAlign w:val="center"/>
          </w:tcPr>
          <w:p w14:paraId="025F7B29">
            <w:pPr>
              <w:spacing w:line="360" w:lineRule="auto"/>
              <w:rPr>
                <w:rFonts w:ascii="宋体" w:hAnsi="宋体"/>
                <w:szCs w:val="22"/>
              </w:rPr>
            </w:pPr>
          </w:p>
        </w:tc>
      </w:tr>
      <w:tr w14:paraId="5CD9E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 w:hRule="atLeast"/>
        </w:trPr>
        <w:tc>
          <w:tcPr>
            <w:tcW w:w="704" w:type="dxa"/>
            <w:vAlign w:val="center"/>
          </w:tcPr>
          <w:p w14:paraId="663375EF">
            <w:pPr>
              <w:spacing w:line="360" w:lineRule="auto"/>
              <w:jc w:val="center"/>
              <w:rPr>
                <w:rFonts w:ascii="宋体" w:hAnsi="宋体"/>
                <w:szCs w:val="22"/>
              </w:rPr>
            </w:pPr>
            <w:r>
              <w:rPr>
                <w:rFonts w:ascii="宋体" w:hAnsi="宋体" w:cs="宋体"/>
                <w:szCs w:val="22"/>
              </w:rPr>
              <w:t>7</w:t>
            </w:r>
          </w:p>
        </w:tc>
        <w:tc>
          <w:tcPr>
            <w:tcW w:w="1276" w:type="dxa"/>
            <w:vAlign w:val="center"/>
          </w:tcPr>
          <w:p w14:paraId="51329DD6">
            <w:pPr>
              <w:spacing w:line="360" w:lineRule="auto"/>
              <w:rPr>
                <w:rFonts w:ascii="宋体" w:hAnsi="宋体"/>
                <w:szCs w:val="22"/>
              </w:rPr>
            </w:pPr>
            <w:r>
              <w:rPr>
                <w:rFonts w:ascii="宋体" w:hAnsi="宋体" w:cs="宋体"/>
                <w:szCs w:val="22"/>
              </w:rPr>
              <w:t>季节性施工方案</w:t>
            </w:r>
          </w:p>
        </w:tc>
        <w:tc>
          <w:tcPr>
            <w:tcW w:w="1559" w:type="dxa"/>
            <w:vAlign w:val="center"/>
          </w:tcPr>
          <w:p w14:paraId="3555414A">
            <w:pPr>
              <w:spacing w:line="360" w:lineRule="auto"/>
              <w:rPr>
                <w:rFonts w:ascii="宋体" w:hAnsi="宋体"/>
                <w:szCs w:val="22"/>
              </w:rPr>
            </w:pPr>
            <w:r>
              <w:rPr>
                <w:rFonts w:ascii="宋体" w:hAnsi="宋体" w:cs="宋体"/>
                <w:szCs w:val="22"/>
              </w:rPr>
              <w:t>方案详细，科学合理，有针对性得6分；方案一般，通用，针对性不强得4分；内容有欠缺，不完全满足项目要求得2分；没有不得分。</w:t>
            </w:r>
          </w:p>
        </w:tc>
        <w:tc>
          <w:tcPr>
            <w:tcW w:w="1134" w:type="dxa"/>
            <w:vAlign w:val="center"/>
          </w:tcPr>
          <w:p w14:paraId="3A2DCD77">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39C8E9C4">
            <w:pPr>
              <w:spacing w:line="360" w:lineRule="auto"/>
              <w:rPr>
                <w:rFonts w:ascii="宋体" w:hAnsi="宋体"/>
                <w:szCs w:val="22"/>
              </w:rPr>
            </w:pPr>
            <w:r>
              <w:rPr>
                <w:rFonts w:ascii="宋体" w:hAnsi="宋体" w:cs="宋体"/>
                <w:szCs w:val="22"/>
              </w:rPr>
              <w:t>最低分：0分，最高分：6分</w:t>
            </w:r>
          </w:p>
        </w:tc>
        <w:tc>
          <w:tcPr>
            <w:tcW w:w="914" w:type="dxa"/>
            <w:vAlign w:val="center"/>
          </w:tcPr>
          <w:p w14:paraId="06BF0920">
            <w:pPr>
              <w:spacing w:line="360" w:lineRule="auto"/>
              <w:jc w:val="center"/>
              <w:rPr>
                <w:rFonts w:ascii="宋体" w:hAnsi="宋体"/>
                <w:szCs w:val="22"/>
              </w:rPr>
            </w:pPr>
            <w:r>
              <w:rPr>
                <w:rFonts w:ascii="宋体" w:hAnsi="宋体" w:cs="宋体"/>
                <w:szCs w:val="22"/>
              </w:rPr>
              <w:t>6</w:t>
            </w:r>
          </w:p>
        </w:tc>
        <w:tc>
          <w:tcPr>
            <w:tcW w:w="1008" w:type="dxa"/>
            <w:vAlign w:val="center"/>
          </w:tcPr>
          <w:p w14:paraId="50D8A06C">
            <w:pPr>
              <w:spacing w:line="360" w:lineRule="auto"/>
              <w:rPr>
                <w:rFonts w:ascii="宋体" w:hAnsi="宋体"/>
                <w:szCs w:val="22"/>
              </w:rPr>
            </w:pPr>
          </w:p>
        </w:tc>
      </w:tr>
      <w:tr w14:paraId="6B456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5ADE8851">
            <w:pPr>
              <w:spacing w:line="360" w:lineRule="auto"/>
              <w:jc w:val="center"/>
              <w:rPr>
                <w:rFonts w:ascii="宋体" w:hAnsi="宋体"/>
                <w:szCs w:val="22"/>
              </w:rPr>
            </w:pPr>
            <w:r>
              <w:rPr>
                <w:rFonts w:ascii="宋体" w:hAnsi="宋体" w:cs="宋体"/>
                <w:szCs w:val="22"/>
              </w:rPr>
              <w:t>8</w:t>
            </w:r>
          </w:p>
        </w:tc>
        <w:tc>
          <w:tcPr>
            <w:tcW w:w="1276" w:type="dxa"/>
            <w:vAlign w:val="center"/>
          </w:tcPr>
          <w:p w14:paraId="56030F2B">
            <w:pPr>
              <w:spacing w:line="360" w:lineRule="auto"/>
              <w:rPr>
                <w:rFonts w:ascii="宋体" w:hAnsi="宋体"/>
                <w:szCs w:val="22"/>
              </w:rPr>
            </w:pPr>
            <w:r>
              <w:rPr>
                <w:rFonts w:ascii="宋体" w:hAnsi="宋体" w:cs="宋体"/>
                <w:szCs w:val="22"/>
              </w:rPr>
              <w:t>施工现场总平面布置</w:t>
            </w:r>
          </w:p>
        </w:tc>
        <w:tc>
          <w:tcPr>
            <w:tcW w:w="1559" w:type="dxa"/>
            <w:vAlign w:val="center"/>
          </w:tcPr>
          <w:p w14:paraId="03727365">
            <w:pPr>
              <w:spacing w:line="360" w:lineRule="auto"/>
              <w:rPr>
                <w:rFonts w:ascii="宋体" w:hAnsi="宋体"/>
                <w:szCs w:val="22"/>
              </w:rPr>
            </w:pPr>
            <w:r>
              <w:rPr>
                <w:rFonts w:ascii="宋体" w:hAnsi="宋体" w:cs="宋体"/>
                <w:szCs w:val="22"/>
              </w:rPr>
              <w:t>方案详细，科学合理，有针对性得6分；方案一般，通用，针对性不强得4分；内容有欠缺，不完全满足项目要求得2分；没有不得分。</w:t>
            </w:r>
          </w:p>
        </w:tc>
        <w:tc>
          <w:tcPr>
            <w:tcW w:w="1134" w:type="dxa"/>
            <w:vAlign w:val="center"/>
          </w:tcPr>
          <w:p w14:paraId="22055E75">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6580BA4E">
            <w:pPr>
              <w:spacing w:line="360" w:lineRule="auto"/>
              <w:rPr>
                <w:rFonts w:ascii="宋体" w:hAnsi="宋体"/>
                <w:szCs w:val="22"/>
              </w:rPr>
            </w:pPr>
            <w:r>
              <w:rPr>
                <w:rFonts w:ascii="宋体" w:hAnsi="宋体" w:cs="宋体"/>
                <w:szCs w:val="22"/>
              </w:rPr>
              <w:t>最低分：0分，最高分：6分</w:t>
            </w:r>
          </w:p>
        </w:tc>
        <w:tc>
          <w:tcPr>
            <w:tcW w:w="914" w:type="dxa"/>
            <w:vAlign w:val="center"/>
          </w:tcPr>
          <w:p w14:paraId="0A7C5ACF">
            <w:pPr>
              <w:spacing w:line="360" w:lineRule="auto"/>
              <w:jc w:val="center"/>
              <w:rPr>
                <w:rFonts w:ascii="宋体" w:hAnsi="宋体"/>
                <w:szCs w:val="22"/>
              </w:rPr>
            </w:pPr>
            <w:r>
              <w:rPr>
                <w:rFonts w:ascii="宋体" w:hAnsi="宋体" w:cs="宋体"/>
                <w:szCs w:val="22"/>
              </w:rPr>
              <w:t>6</w:t>
            </w:r>
          </w:p>
        </w:tc>
        <w:tc>
          <w:tcPr>
            <w:tcW w:w="1008" w:type="dxa"/>
            <w:vAlign w:val="center"/>
          </w:tcPr>
          <w:p w14:paraId="115B5B02">
            <w:pPr>
              <w:spacing w:line="360" w:lineRule="auto"/>
              <w:rPr>
                <w:rFonts w:ascii="宋体" w:hAnsi="宋体"/>
                <w:szCs w:val="22"/>
              </w:rPr>
            </w:pPr>
          </w:p>
        </w:tc>
      </w:tr>
      <w:tr w14:paraId="51FFE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 w:hRule="atLeast"/>
        </w:trPr>
        <w:tc>
          <w:tcPr>
            <w:tcW w:w="704" w:type="dxa"/>
            <w:vAlign w:val="center"/>
          </w:tcPr>
          <w:p w14:paraId="34E88045">
            <w:pPr>
              <w:spacing w:line="360" w:lineRule="auto"/>
              <w:jc w:val="center"/>
              <w:rPr>
                <w:rFonts w:ascii="宋体" w:hAnsi="宋体"/>
                <w:szCs w:val="22"/>
              </w:rPr>
            </w:pPr>
            <w:r>
              <w:rPr>
                <w:rFonts w:ascii="宋体" w:hAnsi="宋体" w:cs="宋体"/>
                <w:szCs w:val="22"/>
              </w:rPr>
              <w:t>9</w:t>
            </w:r>
          </w:p>
        </w:tc>
        <w:tc>
          <w:tcPr>
            <w:tcW w:w="1276" w:type="dxa"/>
            <w:vAlign w:val="center"/>
          </w:tcPr>
          <w:p w14:paraId="4A13CF07">
            <w:pPr>
              <w:spacing w:line="360" w:lineRule="auto"/>
              <w:rPr>
                <w:rFonts w:ascii="宋体" w:hAnsi="宋体"/>
                <w:szCs w:val="22"/>
              </w:rPr>
            </w:pPr>
            <w:r>
              <w:rPr>
                <w:rFonts w:ascii="宋体" w:hAnsi="宋体" w:cs="宋体"/>
                <w:szCs w:val="22"/>
              </w:rPr>
              <w:t>成品保护和工程保修工作的管理措施和承诺</w:t>
            </w:r>
          </w:p>
        </w:tc>
        <w:tc>
          <w:tcPr>
            <w:tcW w:w="1559" w:type="dxa"/>
            <w:vAlign w:val="center"/>
          </w:tcPr>
          <w:p w14:paraId="673E60F6">
            <w:pPr>
              <w:spacing w:line="360" w:lineRule="auto"/>
              <w:rPr>
                <w:rFonts w:ascii="宋体" w:hAnsi="宋体"/>
                <w:szCs w:val="22"/>
              </w:rPr>
            </w:pPr>
            <w:r>
              <w:rPr>
                <w:rFonts w:ascii="宋体" w:hAnsi="宋体" w:cs="宋体"/>
                <w:szCs w:val="22"/>
              </w:rPr>
              <w:t>方案详细，科学合理，有针对性得6分；方案一般，通用，针对性不强得4分；内容有欠缺，不完全满足项目要求得2分；没有不得分。</w:t>
            </w:r>
          </w:p>
        </w:tc>
        <w:tc>
          <w:tcPr>
            <w:tcW w:w="1134" w:type="dxa"/>
            <w:vAlign w:val="center"/>
          </w:tcPr>
          <w:p w14:paraId="5D6C271C">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4D9E3A8D">
            <w:pPr>
              <w:spacing w:line="360" w:lineRule="auto"/>
              <w:rPr>
                <w:rFonts w:ascii="宋体" w:hAnsi="宋体"/>
                <w:szCs w:val="22"/>
              </w:rPr>
            </w:pPr>
            <w:r>
              <w:rPr>
                <w:rFonts w:ascii="宋体" w:hAnsi="宋体" w:cs="宋体"/>
                <w:szCs w:val="22"/>
              </w:rPr>
              <w:t>最低分：0分，最高分：6分</w:t>
            </w:r>
          </w:p>
        </w:tc>
        <w:tc>
          <w:tcPr>
            <w:tcW w:w="914" w:type="dxa"/>
            <w:vAlign w:val="center"/>
          </w:tcPr>
          <w:p w14:paraId="690ACC74">
            <w:pPr>
              <w:spacing w:line="360" w:lineRule="auto"/>
              <w:jc w:val="center"/>
              <w:rPr>
                <w:rFonts w:ascii="宋体" w:hAnsi="宋体"/>
                <w:szCs w:val="22"/>
              </w:rPr>
            </w:pPr>
            <w:r>
              <w:rPr>
                <w:rFonts w:ascii="宋体" w:hAnsi="宋体" w:cs="宋体"/>
                <w:szCs w:val="22"/>
              </w:rPr>
              <w:t>6</w:t>
            </w:r>
          </w:p>
        </w:tc>
        <w:tc>
          <w:tcPr>
            <w:tcW w:w="1008" w:type="dxa"/>
            <w:vAlign w:val="center"/>
          </w:tcPr>
          <w:p w14:paraId="6A876F93">
            <w:pPr>
              <w:spacing w:line="360" w:lineRule="auto"/>
              <w:rPr>
                <w:rFonts w:ascii="宋体" w:hAnsi="宋体"/>
                <w:szCs w:val="22"/>
              </w:rPr>
            </w:pPr>
          </w:p>
        </w:tc>
      </w:tr>
      <w:tr w14:paraId="36A80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 w:hRule="atLeast"/>
        </w:trPr>
        <w:tc>
          <w:tcPr>
            <w:tcW w:w="704" w:type="dxa"/>
            <w:vAlign w:val="center"/>
          </w:tcPr>
          <w:p w14:paraId="1B41FC5D">
            <w:pPr>
              <w:spacing w:line="360" w:lineRule="auto"/>
              <w:jc w:val="center"/>
              <w:rPr>
                <w:rFonts w:ascii="宋体" w:hAnsi="宋体"/>
                <w:szCs w:val="22"/>
              </w:rPr>
            </w:pPr>
            <w:r>
              <w:rPr>
                <w:rFonts w:ascii="宋体" w:hAnsi="宋体" w:cs="宋体"/>
                <w:szCs w:val="22"/>
              </w:rPr>
              <w:t>10</w:t>
            </w:r>
          </w:p>
        </w:tc>
        <w:tc>
          <w:tcPr>
            <w:tcW w:w="1276" w:type="dxa"/>
            <w:vAlign w:val="center"/>
          </w:tcPr>
          <w:p w14:paraId="675D2F92">
            <w:pPr>
              <w:spacing w:line="360" w:lineRule="auto"/>
              <w:rPr>
                <w:rFonts w:ascii="宋体" w:hAnsi="宋体"/>
                <w:szCs w:val="22"/>
              </w:rPr>
            </w:pPr>
            <w:r>
              <w:rPr>
                <w:rFonts w:ascii="宋体" w:hAnsi="宋体" w:cs="宋体"/>
                <w:szCs w:val="22"/>
              </w:rPr>
              <w:t>紧急情况的处理措施、预案以及抵抗风险的措施</w:t>
            </w:r>
          </w:p>
        </w:tc>
        <w:tc>
          <w:tcPr>
            <w:tcW w:w="1559" w:type="dxa"/>
            <w:vAlign w:val="center"/>
          </w:tcPr>
          <w:p w14:paraId="7529475C">
            <w:pPr>
              <w:spacing w:line="360" w:lineRule="auto"/>
              <w:rPr>
                <w:rFonts w:ascii="宋体" w:hAnsi="宋体"/>
                <w:szCs w:val="22"/>
              </w:rPr>
            </w:pPr>
            <w:r>
              <w:rPr>
                <w:rFonts w:ascii="宋体" w:hAnsi="宋体" w:cs="宋体"/>
                <w:szCs w:val="22"/>
              </w:rPr>
              <w:t>方案详细，科学合理，有针对性得6分；方案一般，通用，针对性不强得4分；内容有欠缺，不完全满足项目要求得2分；没有不得分。</w:t>
            </w:r>
          </w:p>
        </w:tc>
        <w:tc>
          <w:tcPr>
            <w:tcW w:w="1134" w:type="dxa"/>
            <w:vAlign w:val="center"/>
          </w:tcPr>
          <w:p w14:paraId="6581D226">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00CFCEAA">
            <w:pPr>
              <w:spacing w:line="360" w:lineRule="auto"/>
              <w:rPr>
                <w:rFonts w:ascii="宋体" w:hAnsi="宋体"/>
                <w:szCs w:val="22"/>
              </w:rPr>
            </w:pPr>
            <w:r>
              <w:rPr>
                <w:rFonts w:ascii="宋体" w:hAnsi="宋体" w:cs="宋体"/>
                <w:szCs w:val="22"/>
              </w:rPr>
              <w:t>最低分：0分，最高分：6分</w:t>
            </w:r>
          </w:p>
        </w:tc>
        <w:tc>
          <w:tcPr>
            <w:tcW w:w="914" w:type="dxa"/>
            <w:vAlign w:val="center"/>
          </w:tcPr>
          <w:p w14:paraId="0884D67C">
            <w:pPr>
              <w:spacing w:line="360" w:lineRule="auto"/>
              <w:jc w:val="center"/>
              <w:rPr>
                <w:rFonts w:ascii="宋体" w:hAnsi="宋体"/>
                <w:szCs w:val="22"/>
              </w:rPr>
            </w:pPr>
            <w:r>
              <w:rPr>
                <w:rFonts w:ascii="宋体" w:hAnsi="宋体" w:cs="宋体"/>
                <w:szCs w:val="22"/>
              </w:rPr>
              <w:t>6</w:t>
            </w:r>
          </w:p>
        </w:tc>
        <w:tc>
          <w:tcPr>
            <w:tcW w:w="1008" w:type="dxa"/>
            <w:vAlign w:val="center"/>
          </w:tcPr>
          <w:p w14:paraId="13F33260">
            <w:pPr>
              <w:spacing w:line="360" w:lineRule="auto"/>
              <w:rPr>
                <w:rFonts w:ascii="宋体" w:hAnsi="宋体"/>
                <w:szCs w:val="22"/>
              </w:rPr>
            </w:pPr>
          </w:p>
        </w:tc>
      </w:tr>
      <w:tr w14:paraId="3D070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8296" w:type="dxa"/>
            <w:gridSpan w:val="7"/>
          </w:tcPr>
          <w:p w14:paraId="76B28E6A">
            <w:pPr>
              <w:spacing w:line="360" w:lineRule="auto"/>
              <w:jc w:val="center"/>
              <w:rPr>
                <w:rFonts w:ascii="宋体" w:hAnsi="宋体"/>
                <w:szCs w:val="22"/>
              </w:rPr>
            </w:pPr>
            <w:r>
              <w:rPr>
                <w:rFonts w:ascii="宋体" w:hAnsi="宋体" w:cs="宋体"/>
                <w:szCs w:val="22"/>
              </w:rPr>
              <w:t>评审方式：定量；明暗标设定：明标；满分：60分；</w:t>
            </w:r>
          </w:p>
        </w:tc>
      </w:tr>
    </w:tbl>
    <w:p w14:paraId="1A276BE8">
      <w:pPr>
        <w:widowControl/>
        <w:jc w:val="left"/>
        <w:rPr>
          <w:rFonts w:ascii="等线" w:hAnsi="等线" w:eastAsia="等线"/>
          <w:szCs w:val="22"/>
        </w:rPr>
      </w:pPr>
      <w:r>
        <w:rPr>
          <w:rFonts w:ascii="等线" w:hAnsi="等线" w:eastAsia="等线" w:cstheme="minorBidi"/>
          <w:szCs w:val="22"/>
        </w:rPr>
        <w:cr/>
      </w:r>
      <w:r>
        <w:rPr>
          <w:rFonts w:ascii="等线" w:hAnsi="等线" w:eastAsia="等线" w:cstheme="minorBidi"/>
          <w:szCs w:val="22"/>
        </w:rPr>
        <w:cr/>
      </w:r>
    </w:p>
    <w:tbl>
      <w:tblPr>
        <w:tblStyle w:val="26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5"/>
        <w:gridCol w:w="1724"/>
        <w:gridCol w:w="6044"/>
      </w:tblGrid>
      <w:tr w14:paraId="765A2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8296" w:type="dxa"/>
            <w:gridSpan w:val="3"/>
            <w:tcBorders>
              <w:top w:val="single" w:color="auto" w:sz="4" w:space="0"/>
              <w:left w:val="single" w:color="auto" w:sz="4" w:space="0"/>
              <w:bottom w:val="single" w:color="auto" w:sz="4" w:space="0"/>
              <w:right w:val="single" w:color="auto" w:sz="4" w:space="0"/>
            </w:tcBorders>
          </w:tcPr>
          <w:p w14:paraId="2065A43B">
            <w:pPr>
              <w:spacing w:line="360" w:lineRule="auto"/>
              <w:ind w:firstLine="480" w:firstLineChars="200"/>
              <w:jc w:val="center"/>
              <w:rPr>
                <w:rFonts w:ascii="微软雅黑" w:hAnsi="微软雅黑" w:eastAsia="微软雅黑"/>
                <w:sz w:val="24"/>
              </w:rPr>
            </w:pPr>
            <w:bookmarkStart w:id="670" w:name="价格评审"/>
            <w:r>
              <w:rPr>
                <w:rFonts w:hint="eastAsia" w:ascii="微软雅黑" w:hAnsi="微软雅黑" w:eastAsia="微软雅黑" w:cs="宋体"/>
                <w:sz w:val="24"/>
              </w:rPr>
              <w:t>价格评分</w:t>
            </w:r>
          </w:p>
        </w:tc>
      </w:tr>
      <w:tr w14:paraId="66C46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1271" w:type="dxa"/>
            <w:tcBorders>
              <w:top w:val="single" w:color="auto" w:sz="4" w:space="0"/>
              <w:left w:val="single" w:color="auto" w:sz="4" w:space="0"/>
              <w:bottom w:val="single" w:color="auto" w:sz="4" w:space="0"/>
              <w:right w:val="single" w:color="auto" w:sz="4" w:space="0"/>
            </w:tcBorders>
            <w:vAlign w:val="center"/>
          </w:tcPr>
          <w:p w14:paraId="7C82C9BE">
            <w:pPr>
              <w:spacing w:line="360" w:lineRule="auto"/>
              <w:jc w:val="center"/>
              <w:rPr>
                <w:rFonts w:eastAsia="等线"/>
                <w:szCs w:val="22"/>
              </w:rPr>
            </w:pPr>
            <w:r>
              <w:rPr>
                <w:rFonts w:hint="eastAsia" w:ascii="宋体" w:hAnsi="宋体" w:cs="宋体"/>
                <w:szCs w:val="22"/>
              </w:rPr>
              <w:t>基准价</w:t>
            </w:r>
          </w:p>
        </w:tc>
        <w:tc>
          <w:tcPr>
            <w:tcW w:w="7025" w:type="dxa"/>
            <w:gridSpan w:val="2"/>
            <w:tcBorders>
              <w:top w:val="single" w:color="auto" w:sz="4" w:space="0"/>
              <w:left w:val="single" w:color="auto" w:sz="4" w:space="0"/>
              <w:bottom w:val="single" w:color="auto" w:sz="4" w:space="0"/>
              <w:right w:val="single" w:color="auto" w:sz="4" w:space="0"/>
            </w:tcBorders>
            <w:vAlign w:val="center"/>
          </w:tcPr>
          <w:p w14:paraId="40826E0B">
            <w:pPr>
              <w:spacing w:line="360" w:lineRule="auto"/>
              <w:jc w:val="left"/>
              <w:rPr>
                <w:rFonts w:eastAsia="等线"/>
                <w:szCs w:val="22"/>
              </w:rPr>
            </w:pPr>
            <w:r>
              <w:rPr>
                <w:rFonts w:ascii="宋体" w:hAnsi="宋体" w:cs="宋体"/>
                <w:szCs w:val="22"/>
              </w:rPr>
              <w:t>有效投标报价的最低价为基准价</w:t>
            </w:r>
          </w:p>
        </w:tc>
      </w:tr>
      <w:tr w14:paraId="60A1C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1271" w:type="dxa"/>
            <w:tcBorders>
              <w:top w:val="single" w:color="auto" w:sz="4" w:space="0"/>
              <w:left w:val="single" w:color="auto" w:sz="4" w:space="0"/>
              <w:bottom w:val="single" w:color="auto" w:sz="4" w:space="0"/>
              <w:right w:val="single" w:color="auto" w:sz="4" w:space="0"/>
            </w:tcBorders>
            <w:vAlign w:val="center"/>
          </w:tcPr>
          <w:p w14:paraId="175A01E7">
            <w:pPr>
              <w:spacing w:line="360" w:lineRule="auto"/>
              <w:jc w:val="center"/>
              <w:rPr>
                <w:rFonts w:eastAsia="等线"/>
                <w:szCs w:val="22"/>
              </w:rPr>
            </w:pPr>
            <w:r>
              <w:rPr>
                <w:rFonts w:hint="eastAsia" w:ascii="宋体" w:hAnsi="宋体" w:cs="宋体"/>
                <w:szCs w:val="22"/>
              </w:rPr>
              <w:t>得分算法</w:t>
            </w:r>
          </w:p>
        </w:tc>
        <w:tc>
          <w:tcPr>
            <w:tcW w:w="1559" w:type="dxa"/>
            <w:tcBorders>
              <w:top w:val="single" w:color="auto" w:sz="4" w:space="0"/>
              <w:left w:val="single" w:color="auto" w:sz="4" w:space="0"/>
              <w:bottom w:val="single" w:color="auto" w:sz="4" w:space="0"/>
              <w:right w:val="single" w:color="auto" w:sz="4" w:space="0"/>
            </w:tcBorders>
            <w:vAlign w:val="center"/>
          </w:tcPr>
          <w:p w14:paraId="194200FF">
            <w:pPr>
              <w:spacing w:line="360" w:lineRule="auto"/>
              <w:jc w:val="center"/>
              <w:rPr>
                <w:rFonts w:eastAsia="等线"/>
                <w:color w:val="ED7D31"/>
                <w:szCs w:val="22"/>
              </w:rPr>
            </w:pPr>
            <w:r>
              <w:rPr>
                <w:rFonts w:ascii="宋体" w:hAnsi="宋体" w:cs="宋体"/>
                <w:szCs w:val="22"/>
              </w:rPr>
              <w:t>低价优先法</w:t>
            </w:r>
          </w:p>
        </w:tc>
        <w:tc>
          <w:tcPr>
            <w:tcW w:w="5466" w:type="dxa"/>
            <w:tcBorders>
              <w:top w:val="single" w:color="auto" w:sz="4" w:space="0"/>
              <w:left w:val="single" w:color="auto" w:sz="4" w:space="0"/>
              <w:bottom w:val="single" w:color="auto" w:sz="4" w:space="0"/>
              <w:right w:val="single" w:color="auto" w:sz="4" w:space="0"/>
            </w:tcBorders>
            <w:vAlign w:val="center"/>
          </w:tcPr>
          <w:p w14:paraId="0B7D4A8D">
            <w:pPr>
              <w:spacing w:line="360" w:lineRule="auto"/>
              <w:jc w:val="left"/>
              <w:rPr>
                <w:rFonts w:eastAsia="等线"/>
                <w:color w:val="ED7D31"/>
                <w:szCs w:val="22"/>
              </w:rPr>
            </w:pPr>
            <w:r>
              <w:rPr>
                <w:rFonts w:ascii="宋体" w:hAnsi="宋体" w:cs="宋体"/>
                <w:szCs w:val="22"/>
              </w:rPr>
              <w:t>M=30（价格评价分项满分值），投标报价得分=（评标基准价/投标报价）*M</w:t>
            </w:r>
          </w:p>
        </w:tc>
      </w:tr>
      <w:bookmarkEnd w:id="667"/>
      <w:bookmarkEnd w:id="670"/>
    </w:tbl>
    <w:p w14:paraId="03C84D54">
      <w:pPr>
        <w:rPr>
          <w:rFonts w:ascii="等线" w:hAnsi="等线" w:eastAsia="等线"/>
          <w:szCs w:val="22"/>
        </w:rPr>
      </w:pPr>
    </w:p>
    <w:p w14:paraId="554EBBF8">
      <w:pPr>
        <w:rPr>
          <w:rFonts w:ascii="等线" w:hAnsi="等线" w:eastAsia="等线"/>
          <w:szCs w:val="22"/>
        </w:rPr>
      </w:pPr>
    </w:p>
    <w:p w14:paraId="2B4C5FF9">
      <w:pPr>
        <w:rPr>
          <w:rFonts w:ascii="等线" w:hAnsi="等线" w:eastAsia="等线"/>
          <w:szCs w:val="22"/>
        </w:rPr>
      </w:pPr>
    </w:p>
    <w:p w14:paraId="51FEE933">
      <w:pPr>
        <w:spacing w:after="0"/>
        <w:rPr>
          <w:rFonts w:ascii="等线" w:hAnsi="等线" w:eastAsia="等线"/>
          <w:szCs w:val="22"/>
        </w:rPr>
      </w:pPr>
    </w:p>
    <w:p w14:paraId="356E8D4D">
      <w:pPr>
        <w:spacing w:after="0"/>
        <w:rPr>
          <w:rFonts w:ascii="等线" w:hAnsi="等线" w:eastAsia="等线"/>
          <w:szCs w:val="22"/>
        </w:rPr>
      </w:pPr>
    </w:p>
    <w:p w14:paraId="172055A3">
      <w:pPr>
        <w:bidi w:val="0"/>
        <w:spacing w:after="0"/>
        <w:rPr>
          <w:rFonts w:hint="eastAsia"/>
        </w:rPr>
      </w:pPr>
    </w:p>
    <w:tbl>
      <w:tblPr>
        <w:tblStyle w:val="42"/>
        <w:tblW w:w="89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1587"/>
        <w:gridCol w:w="765"/>
        <w:gridCol w:w="5865"/>
      </w:tblGrid>
      <w:tr w14:paraId="47C7F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780" w:type="dxa"/>
            <w:noWrap w:val="0"/>
            <w:vAlign w:val="center"/>
          </w:tcPr>
          <w:p w14:paraId="04B179AA">
            <w:pPr>
              <w:pageBreakBefore w:val="0"/>
              <w:topLinePunct w:val="0"/>
              <w:bidi w:val="0"/>
              <w:spacing w:after="0" w:line="360" w:lineRule="auto"/>
              <w:ind w:firstLine="28"/>
              <w:jc w:val="center"/>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序号</w:t>
            </w:r>
          </w:p>
        </w:tc>
        <w:tc>
          <w:tcPr>
            <w:tcW w:w="1587" w:type="dxa"/>
            <w:noWrap w:val="0"/>
            <w:vAlign w:val="center"/>
          </w:tcPr>
          <w:p w14:paraId="5742B3CB">
            <w:pPr>
              <w:pageBreakBefore w:val="0"/>
              <w:topLinePunct w:val="0"/>
              <w:bidi w:val="0"/>
              <w:spacing w:after="0" w:line="360" w:lineRule="auto"/>
              <w:ind w:firstLine="28"/>
              <w:jc w:val="center"/>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评分因素</w:t>
            </w:r>
          </w:p>
        </w:tc>
        <w:tc>
          <w:tcPr>
            <w:tcW w:w="765" w:type="dxa"/>
            <w:noWrap w:val="0"/>
            <w:vAlign w:val="center"/>
          </w:tcPr>
          <w:p w14:paraId="3B4099C0">
            <w:pPr>
              <w:pageBreakBefore w:val="0"/>
              <w:topLinePunct w:val="0"/>
              <w:bidi w:val="0"/>
              <w:spacing w:after="0" w:line="360" w:lineRule="auto"/>
              <w:ind w:firstLine="28"/>
              <w:jc w:val="center"/>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分值</w:t>
            </w:r>
          </w:p>
        </w:tc>
        <w:tc>
          <w:tcPr>
            <w:tcW w:w="5865" w:type="dxa"/>
            <w:noWrap w:val="0"/>
            <w:vAlign w:val="center"/>
          </w:tcPr>
          <w:p w14:paraId="17299C2D">
            <w:pPr>
              <w:pStyle w:val="245"/>
              <w:pageBreakBefore w:val="0"/>
              <w:topLinePunct w:val="0"/>
              <w:bidi w:val="0"/>
              <w:spacing w:before="0" w:after="0" w:line="360" w:lineRule="auto"/>
              <w:textAlignment w:val="auto"/>
              <w:rPr>
                <w:rFonts w:hint="eastAsia" w:ascii="宋体" w:hAnsi="宋体" w:eastAsia="宋体" w:cs="宋体"/>
                <w:i w:val="0"/>
                <w:iCs w:val="0"/>
                <w:szCs w:val="24"/>
                <w:highlight w:val="none"/>
              </w:rPr>
            </w:pPr>
            <w:r>
              <w:rPr>
                <w:rFonts w:hint="eastAsia" w:ascii="宋体" w:hAnsi="宋体" w:eastAsia="宋体" w:cs="宋体"/>
                <w:b/>
                <w:i w:val="0"/>
                <w:iCs w:val="0"/>
                <w:sz w:val="24"/>
                <w:highlight w:val="none"/>
              </w:rPr>
              <w:t>评分标准</w:t>
            </w:r>
          </w:p>
        </w:tc>
      </w:tr>
      <w:tr w14:paraId="234F7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8997" w:type="dxa"/>
            <w:gridSpan w:val="4"/>
            <w:noWrap w:val="0"/>
            <w:vAlign w:val="center"/>
          </w:tcPr>
          <w:p w14:paraId="62B28F97">
            <w:pPr>
              <w:pStyle w:val="245"/>
              <w:pageBreakBefore w:val="0"/>
              <w:topLinePunct w:val="0"/>
              <w:bidi w:val="0"/>
              <w:spacing w:before="0" w:after="0" w:line="360" w:lineRule="auto"/>
              <w:textAlignment w:val="auto"/>
              <w:rPr>
                <w:rFonts w:hint="eastAsia" w:ascii="宋体" w:hAnsi="宋体" w:eastAsia="宋体" w:cs="宋体"/>
                <w:i w:val="0"/>
                <w:iCs w:val="0"/>
                <w:szCs w:val="24"/>
                <w:highlight w:val="none"/>
                <w:lang w:val="en-US" w:eastAsia="zh-CN"/>
              </w:rPr>
            </w:pPr>
            <w:r>
              <w:rPr>
                <w:rFonts w:hint="eastAsia" w:ascii="宋体" w:hAnsi="宋体" w:eastAsia="宋体" w:cs="宋体"/>
                <w:i w:val="0"/>
                <w:iCs w:val="0"/>
                <w:szCs w:val="24"/>
                <w:highlight w:val="none"/>
                <w:lang w:val="en-US" w:eastAsia="zh-CN"/>
              </w:rPr>
              <w:t>价格部分</w:t>
            </w:r>
          </w:p>
        </w:tc>
      </w:tr>
      <w:tr w14:paraId="43C82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8" w:hRule="atLeast"/>
        </w:trPr>
        <w:tc>
          <w:tcPr>
            <w:tcW w:w="780" w:type="dxa"/>
            <w:noWrap w:val="0"/>
            <w:vAlign w:val="center"/>
          </w:tcPr>
          <w:p w14:paraId="1537EB0E">
            <w:pPr>
              <w:pageBreakBefore w:val="0"/>
              <w:topLinePunct w:val="0"/>
              <w:bidi w:val="0"/>
              <w:spacing w:after="0" w:line="360" w:lineRule="auto"/>
              <w:ind w:firstLine="28"/>
              <w:jc w:val="center"/>
              <w:textAlignment w:val="auto"/>
              <w:rPr>
                <w:rFonts w:hint="eastAsia" w:ascii="宋体" w:hAnsi="宋体" w:eastAsia="宋体" w:cs="宋体"/>
                <w:b w:val="0"/>
                <w:bCs/>
                <w:i w:val="0"/>
                <w:iCs w:val="0"/>
                <w:sz w:val="24"/>
                <w:highlight w:val="none"/>
                <w:lang w:val="en-US" w:eastAsia="zh-CN"/>
              </w:rPr>
            </w:pPr>
            <w:r>
              <w:rPr>
                <w:rFonts w:hint="eastAsia" w:ascii="宋体" w:hAnsi="宋体" w:eastAsia="宋体" w:cs="宋体"/>
                <w:b w:val="0"/>
                <w:bCs/>
                <w:i w:val="0"/>
                <w:iCs w:val="0"/>
                <w:sz w:val="24"/>
                <w:highlight w:val="none"/>
                <w:lang w:val="en-US" w:eastAsia="zh-CN"/>
              </w:rPr>
              <w:t>1</w:t>
            </w:r>
          </w:p>
        </w:tc>
        <w:tc>
          <w:tcPr>
            <w:tcW w:w="1587" w:type="dxa"/>
            <w:noWrap w:val="0"/>
            <w:vAlign w:val="center"/>
          </w:tcPr>
          <w:p w14:paraId="1544D15E">
            <w:pPr>
              <w:pageBreakBefore w:val="0"/>
              <w:topLinePunct w:val="0"/>
              <w:bidi w:val="0"/>
              <w:spacing w:after="0" w:line="360" w:lineRule="auto"/>
              <w:ind w:firstLine="28" w:firstLineChars="0"/>
              <w:jc w:val="center"/>
              <w:textAlignment w:val="auto"/>
              <w:rPr>
                <w:rFonts w:hint="eastAsia" w:ascii="宋体" w:hAnsi="宋体" w:eastAsia="宋体" w:cs="宋体"/>
                <w:b w:val="0"/>
                <w:bCs/>
                <w:i w:val="0"/>
                <w:iCs w:val="0"/>
                <w:kern w:val="2"/>
                <w:sz w:val="24"/>
                <w:szCs w:val="24"/>
                <w:highlight w:val="none"/>
                <w:lang w:val="en-US" w:eastAsia="zh-CN" w:bidi="ar-SA"/>
              </w:rPr>
            </w:pPr>
            <w:r>
              <w:rPr>
                <w:rFonts w:hint="eastAsia" w:ascii="宋体" w:hAnsi="宋体" w:eastAsia="宋体" w:cs="宋体"/>
                <w:b w:val="0"/>
                <w:bCs/>
                <w:i w:val="0"/>
                <w:iCs w:val="0"/>
                <w:sz w:val="24"/>
                <w:highlight w:val="none"/>
              </w:rPr>
              <w:t>投标报价</w:t>
            </w:r>
          </w:p>
        </w:tc>
        <w:tc>
          <w:tcPr>
            <w:tcW w:w="765" w:type="dxa"/>
            <w:noWrap w:val="0"/>
            <w:vAlign w:val="center"/>
          </w:tcPr>
          <w:p w14:paraId="6F5B515F">
            <w:pPr>
              <w:pageBreakBefore w:val="0"/>
              <w:topLinePunct w:val="0"/>
              <w:bidi w:val="0"/>
              <w:spacing w:after="0" w:line="360" w:lineRule="auto"/>
              <w:ind w:firstLine="28" w:firstLineChars="0"/>
              <w:jc w:val="center"/>
              <w:textAlignment w:val="auto"/>
              <w:rPr>
                <w:rFonts w:hint="eastAsia" w:ascii="宋体" w:hAnsi="宋体" w:eastAsia="宋体" w:cs="宋体"/>
                <w:b w:val="0"/>
                <w:bCs/>
                <w:i w:val="0"/>
                <w:iCs w:val="0"/>
                <w:kern w:val="2"/>
                <w:sz w:val="24"/>
                <w:szCs w:val="24"/>
                <w:highlight w:val="none"/>
                <w:lang w:val="en-US" w:eastAsia="zh-CN" w:bidi="ar-SA"/>
              </w:rPr>
            </w:pPr>
            <w:r>
              <w:rPr>
                <w:rFonts w:hint="eastAsia" w:ascii="宋体" w:hAnsi="宋体" w:eastAsia="宋体" w:cs="宋体"/>
                <w:b w:val="0"/>
                <w:bCs/>
                <w:i w:val="0"/>
                <w:iCs w:val="0"/>
                <w:kern w:val="2"/>
                <w:sz w:val="24"/>
                <w:szCs w:val="24"/>
                <w:highlight w:val="none"/>
                <w:lang w:val="en-US" w:eastAsia="zh-CN" w:bidi="ar-SA"/>
              </w:rPr>
              <w:t>30</w:t>
            </w:r>
          </w:p>
        </w:tc>
        <w:tc>
          <w:tcPr>
            <w:tcW w:w="5865" w:type="dxa"/>
            <w:noWrap w:val="0"/>
            <w:vAlign w:val="center"/>
          </w:tcPr>
          <w:p w14:paraId="4BFD50B4">
            <w:pPr>
              <w:pageBreakBefore w:val="0"/>
              <w:topLinePunct w:val="0"/>
              <w:bidi w:val="0"/>
              <w:spacing w:after="0" w:line="360" w:lineRule="auto"/>
              <w:ind w:firstLine="28"/>
              <w:jc w:val="left"/>
              <w:textAlignment w:val="auto"/>
              <w:rPr>
                <w:rFonts w:hint="eastAsia" w:ascii="宋体" w:hAnsi="宋体" w:eastAsia="宋体" w:cs="宋体"/>
                <w:b w:val="0"/>
                <w:bCs/>
                <w:i w:val="0"/>
                <w:iCs w:val="0"/>
                <w:sz w:val="24"/>
                <w:highlight w:val="none"/>
              </w:rPr>
            </w:pPr>
            <w:r>
              <w:rPr>
                <w:rFonts w:hint="eastAsia" w:ascii="宋体" w:hAnsi="宋体" w:eastAsia="宋体" w:cs="宋体"/>
                <w:b w:val="0"/>
                <w:bCs/>
                <w:i w:val="0"/>
                <w:iCs w:val="0"/>
                <w:sz w:val="24"/>
                <w:highlight w:val="none"/>
              </w:rPr>
              <w:t>满足磋商文件要求的最后报价最低的供应商的价格为磋商基准价，其价格分为满分。</w:t>
            </w:r>
          </w:p>
          <w:p w14:paraId="5494534F">
            <w:pPr>
              <w:pageBreakBefore w:val="0"/>
              <w:topLinePunct w:val="0"/>
              <w:bidi w:val="0"/>
              <w:spacing w:after="0" w:line="360" w:lineRule="auto"/>
              <w:ind w:firstLine="28"/>
              <w:jc w:val="left"/>
              <w:textAlignment w:val="auto"/>
              <w:rPr>
                <w:rFonts w:hint="eastAsia" w:ascii="宋体" w:hAnsi="宋体" w:eastAsia="宋体" w:cs="宋体"/>
                <w:b w:val="0"/>
                <w:bCs/>
                <w:i w:val="0"/>
                <w:iCs w:val="0"/>
                <w:sz w:val="24"/>
                <w:highlight w:val="none"/>
              </w:rPr>
            </w:pPr>
            <w:r>
              <w:rPr>
                <w:rFonts w:hint="eastAsia" w:ascii="宋体" w:hAnsi="宋体" w:eastAsia="宋体" w:cs="宋体"/>
                <w:b w:val="0"/>
                <w:bCs/>
                <w:i w:val="0"/>
                <w:iCs w:val="0"/>
                <w:sz w:val="24"/>
                <w:highlight w:val="none"/>
              </w:rPr>
              <w:t>其他供应商的价格分统一按照下列公式计算：</w:t>
            </w:r>
          </w:p>
          <w:p w14:paraId="519E8A9C">
            <w:pPr>
              <w:pageBreakBefore w:val="0"/>
              <w:topLinePunct w:val="0"/>
              <w:bidi w:val="0"/>
              <w:spacing w:after="0" w:line="360" w:lineRule="auto"/>
              <w:ind w:left="-38" w:leftChars="0"/>
              <w:textAlignment w:val="auto"/>
              <w:rPr>
                <w:rFonts w:hint="eastAsia" w:ascii="宋体" w:hAnsi="宋体" w:eastAsia="宋体" w:cs="宋体"/>
                <w:b w:val="0"/>
                <w:bCs/>
                <w:i w:val="0"/>
                <w:iCs w:val="0"/>
                <w:kern w:val="2"/>
                <w:sz w:val="24"/>
                <w:szCs w:val="24"/>
                <w:highlight w:val="none"/>
                <w:lang w:val="en-US" w:eastAsia="zh-CN" w:bidi="ar-SA"/>
              </w:rPr>
            </w:pPr>
            <w:r>
              <w:rPr>
                <w:rFonts w:hint="eastAsia" w:ascii="宋体" w:hAnsi="宋体" w:eastAsia="宋体" w:cs="宋体"/>
                <w:b w:val="0"/>
                <w:bCs/>
                <w:i w:val="0"/>
                <w:iCs w:val="0"/>
                <w:sz w:val="24"/>
                <w:highlight w:val="none"/>
              </w:rPr>
              <w:t>磋商报价得分=（磋商基准价/最后报价）×</w:t>
            </w:r>
            <w:r>
              <w:rPr>
                <w:rFonts w:hint="eastAsia" w:ascii="宋体" w:hAnsi="宋体" w:eastAsia="宋体" w:cs="宋体"/>
                <w:b w:val="0"/>
                <w:bCs/>
                <w:i w:val="0"/>
                <w:iCs w:val="0"/>
                <w:sz w:val="24"/>
                <w:highlight w:val="none"/>
                <w:lang w:val="en-US" w:eastAsia="zh-CN"/>
              </w:rPr>
              <w:t>分值</w:t>
            </w:r>
          </w:p>
        </w:tc>
      </w:tr>
      <w:tr w14:paraId="30A47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8997" w:type="dxa"/>
            <w:gridSpan w:val="4"/>
            <w:noWrap w:val="0"/>
            <w:vAlign w:val="center"/>
          </w:tcPr>
          <w:p w14:paraId="5C59002F">
            <w:pPr>
              <w:pStyle w:val="245"/>
              <w:pageBreakBefore w:val="0"/>
              <w:topLinePunct w:val="0"/>
              <w:bidi w:val="0"/>
              <w:spacing w:before="0" w:after="0" w:line="360" w:lineRule="auto"/>
              <w:textAlignment w:val="auto"/>
              <w:rPr>
                <w:rFonts w:hint="eastAsia" w:ascii="宋体" w:hAnsi="宋体" w:eastAsia="宋体" w:cs="宋体"/>
                <w:b/>
                <w:i w:val="0"/>
                <w:iCs w:val="0"/>
                <w:kern w:val="2"/>
                <w:sz w:val="24"/>
                <w:szCs w:val="24"/>
                <w:highlight w:val="none"/>
                <w:lang w:val="en-US" w:eastAsia="zh-CN" w:bidi="ar-SA"/>
              </w:rPr>
            </w:pPr>
            <w:r>
              <w:rPr>
                <w:rFonts w:hint="eastAsia" w:ascii="宋体" w:hAnsi="宋体" w:eastAsia="宋体" w:cs="宋体"/>
                <w:i w:val="0"/>
                <w:iCs w:val="0"/>
                <w:szCs w:val="24"/>
                <w:highlight w:val="none"/>
                <w:lang w:val="en-US" w:eastAsia="zh-CN"/>
              </w:rPr>
              <w:t>商务部分</w:t>
            </w:r>
          </w:p>
        </w:tc>
      </w:tr>
      <w:tr w14:paraId="3A2F7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780" w:type="dxa"/>
            <w:noWrap w:val="0"/>
            <w:vAlign w:val="center"/>
          </w:tcPr>
          <w:p w14:paraId="0FC47304">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1</w:t>
            </w:r>
          </w:p>
        </w:tc>
        <w:tc>
          <w:tcPr>
            <w:tcW w:w="1587" w:type="dxa"/>
            <w:noWrap w:val="0"/>
            <w:vAlign w:val="center"/>
          </w:tcPr>
          <w:p w14:paraId="64953E71">
            <w:pPr>
              <w:spacing w:after="0" w:line="276" w:lineRule="auto"/>
              <w:jc w:val="center"/>
              <w:rPr>
                <w:rFonts w:hint="eastAsia" w:ascii="宋体" w:hAnsi="宋体" w:eastAsia="宋体" w:cs="宋体"/>
                <w:i w:val="0"/>
                <w:iCs w:val="0"/>
                <w:sz w:val="24"/>
                <w:highlight w:val="none"/>
              </w:rPr>
            </w:pPr>
            <w:r>
              <w:rPr>
                <w:rFonts w:hint="eastAsia" w:ascii="宋体" w:hAnsi="宋体" w:eastAsia="宋体" w:cs="宋体"/>
                <w:kern w:val="0"/>
                <w:sz w:val="24"/>
                <w:highlight w:val="none"/>
              </w:rPr>
              <w:t>类似案例</w:t>
            </w:r>
          </w:p>
        </w:tc>
        <w:tc>
          <w:tcPr>
            <w:tcW w:w="765" w:type="dxa"/>
            <w:noWrap w:val="0"/>
            <w:vAlign w:val="center"/>
          </w:tcPr>
          <w:p w14:paraId="57CD013B">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5</w:t>
            </w:r>
          </w:p>
        </w:tc>
        <w:tc>
          <w:tcPr>
            <w:tcW w:w="5865" w:type="dxa"/>
            <w:noWrap w:val="0"/>
            <w:vAlign w:val="center"/>
          </w:tcPr>
          <w:p w14:paraId="72D56DED">
            <w:pPr>
              <w:pageBreakBefore w:val="0"/>
              <w:topLinePunct w:val="0"/>
              <w:bidi w:val="0"/>
              <w:spacing w:after="0" w:line="360" w:lineRule="auto"/>
              <w:ind w:firstLine="28"/>
              <w:jc w:val="left"/>
              <w:textAlignment w:val="auto"/>
              <w:rPr>
                <w:rFonts w:hint="eastAsia" w:ascii="宋体" w:hAnsi="宋体" w:eastAsia="宋体" w:cs="宋体"/>
                <w:i w:val="0"/>
                <w:iCs w:val="0"/>
                <w:sz w:val="24"/>
                <w:highlight w:val="none"/>
              </w:rPr>
            </w:pPr>
            <w:r>
              <w:rPr>
                <w:rFonts w:hint="eastAsia" w:ascii="宋体" w:hAnsi="宋体" w:eastAsia="宋体" w:cs="宋体"/>
                <w:sz w:val="24"/>
                <w:highlight w:val="none"/>
              </w:rPr>
              <w:t>投标截止前三</w:t>
            </w:r>
            <w:r>
              <w:rPr>
                <w:rFonts w:hint="eastAsia" w:ascii="宋体" w:hAnsi="宋体" w:eastAsia="宋体" w:cs="宋体"/>
                <w:i w:val="0"/>
                <w:iCs w:val="0"/>
                <w:sz w:val="24"/>
                <w:highlight w:val="none"/>
              </w:rPr>
              <w:t>年内类似项目经验，每提供1份有效业绩得</w:t>
            </w:r>
            <w:r>
              <w:rPr>
                <w:rFonts w:hint="eastAsia" w:ascii="宋体" w:hAnsi="宋体" w:eastAsia="宋体" w:cs="宋体"/>
                <w:i w:val="0"/>
                <w:iCs w:val="0"/>
                <w:sz w:val="24"/>
                <w:highlight w:val="none"/>
                <w:lang w:val="en-US" w:eastAsia="zh-CN"/>
              </w:rPr>
              <w:t>1</w:t>
            </w:r>
            <w:r>
              <w:rPr>
                <w:rFonts w:hint="eastAsia" w:ascii="宋体" w:hAnsi="宋体" w:eastAsia="宋体" w:cs="宋体"/>
                <w:i w:val="0"/>
                <w:iCs w:val="0"/>
                <w:sz w:val="24"/>
                <w:highlight w:val="none"/>
              </w:rPr>
              <w:t>分，最多得</w:t>
            </w:r>
            <w:r>
              <w:rPr>
                <w:rFonts w:hint="eastAsia" w:ascii="宋体" w:hAnsi="宋体" w:eastAsia="宋体" w:cs="宋体"/>
                <w:i w:val="0"/>
                <w:iCs w:val="0"/>
                <w:sz w:val="24"/>
                <w:highlight w:val="none"/>
                <w:lang w:val="en-US" w:eastAsia="zh-CN"/>
              </w:rPr>
              <w:t>5</w:t>
            </w:r>
            <w:r>
              <w:rPr>
                <w:rFonts w:hint="eastAsia" w:ascii="宋体" w:hAnsi="宋体" w:eastAsia="宋体" w:cs="宋体"/>
                <w:i w:val="0"/>
                <w:iCs w:val="0"/>
                <w:sz w:val="24"/>
                <w:highlight w:val="none"/>
              </w:rPr>
              <w:t>分。</w:t>
            </w:r>
          </w:p>
          <w:p w14:paraId="012576F7">
            <w:pPr>
              <w:pageBreakBefore w:val="0"/>
              <w:topLinePunct w:val="0"/>
              <w:bidi w:val="0"/>
              <w:spacing w:after="0" w:line="360" w:lineRule="auto"/>
              <w:ind w:firstLine="28"/>
              <w:jc w:val="left"/>
              <w:textAlignment w:val="auto"/>
              <w:rPr>
                <w:rFonts w:hint="eastAsia" w:ascii="宋体" w:hAnsi="宋体" w:eastAsia="宋体" w:cs="宋体"/>
                <w:i w:val="0"/>
                <w:iCs w:val="0"/>
                <w:szCs w:val="24"/>
                <w:highlight w:val="none"/>
              </w:rPr>
            </w:pPr>
            <w:r>
              <w:rPr>
                <w:rFonts w:hint="eastAsia" w:ascii="宋体" w:hAnsi="宋体" w:eastAsia="宋体" w:cs="宋体"/>
                <w:i w:val="0"/>
                <w:iCs w:val="0"/>
                <w:sz w:val="24"/>
                <w:highlight w:val="none"/>
              </w:rPr>
              <w:t>（须提供合同关键页，包含但不限于：合同首页、服务名称、金额所在页、盖章所在页复印件并加盖公章），否则不得分。</w:t>
            </w:r>
          </w:p>
        </w:tc>
      </w:tr>
      <w:tr w14:paraId="02F9C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780" w:type="dxa"/>
            <w:noWrap w:val="0"/>
            <w:vAlign w:val="center"/>
          </w:tcPr>
          <w:p w14:paraId="53457667">
            <w:pPr>
              <w:pageBreakBefore w:val="0"/>
              <w:topLinePunct w:val="0"/>
              <w:bidi w:val="0"/>
              <w:spacing w:after="0" w:line="360" w:lineRule="auto"/>
              <w:ind w:firstLine="28" w:firstLineChars="0"/>
              <w:jc w:val="center"/>
              <w:textAlignment w:val="auto"/>
              <w:rPr>
                <w:rFonts w:hint="eastAsia" w:ascii="宋体" w:hAnsi="宋体" w:eastAsia="宋体" w:cs="宋体"/>
                <w:i w:val="0"/>
                <w:iCs w:val="0"/>
                <w:kern w:val="2"/>
                <w:sz w:val="24"/>
                <w:szCs w:val="24"/>
                <w:highlight w:val="none"/>
                <w:lang w:val="en-US" w:eastAsia="zh-CN" w:bidi="ar-SA"/>
              </w:rPr>
            </w:pPr>
            <w:r>
              <w:rPr>
                <w:rFonts w:hint="eastAsia" w:ascii="宋体" w:hAnsi="宋体" w:eastAsia="宋体" w:cs="宋体"/>
                <w:i w:val="0"/>
                <w:iCs w:val="0"/>
                <w:sz w:val="24"/>
                <w:highlight w:val="none"/>
                <w:lang w:val="en-US" w:eastAsia="zh-CN"/>
              </w:rPr>
              <w:t>2</w:t>
            </w:r>
          </w:p>
        </w:tc>
        <w:tc>
          <w:tcPr>
            <w:tcW w:w="1587" w:type="dxa"/>
            <w:noWrap w:val="0"/>
            <w:vAlign w:val="center"/>
          </w:tcPr>
          <w:p w14:paraId="7411921D">
            <w:pPr>
              <w:pageBreakBefore w:val="0"/>
              <w:topLinePunct w:val="0"/>
              <w:bidi w:val="0"/>
              <w:spacing w:after="0" w:line="360" w:lineRule="auto"/>
              <w:ind w:firstLine="28" w:firstLineChars="0"/>
              <w:jc w:val="center"/>
              <w:textAlignment w:val="auto"/>
              <w:rPr>
                <w:rFonts w:hint="eastAsia" w:ascii="宋体" w:hAnsi="宋体" w:eastAsia="宋体" w:cs="宋体"/>
                <w:i w:val="0"/>
                <w:iCs w:val="0"/>
                <w:kern w:val="2"/>
                <w:sz w:val="24"/>
                <w:szCs w:val="24"/>
                <w:highlight w:val="none"/>
                <w:lang w:val="en-US" w:eastAsia="zh-CN" w:bidi="ar-SA"/>
              </w:rPr>
            </w:pPr>
            <w:r>
              <w:rPr>
                <w:rFonts w:hint="eastAsia" w:ascii="宋体" w:hAnsi="宋体" w:eastAsia="宋体" w:cs="宋体"/>
                <w:i w:val="0"/>
                <w:iCs w:val="0"/>
                <w:sz w:val="24"/>
                <w:highlight w:val="none"/>
              </w:rPr>
              <w:t>现场组织管理机构</w:t>
            </w:r>
          </w:p>
        </w:tc>
        <w:tc>
          <w:tcPr>
            <w:tcW w:w="765" w:type="dxa"/>
            <w:noWrap w:val="0"/>
            <w:vAlign w:val="center"/>
          </w:tcPr>
          <w:p w14:paraId="6C2B53AA">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5</w:t>
            </w:r>
          </w:p>
        </w:tc>
        <w:tc>
          <w:tcPr>
            <w:tcW w:w="5865" w:type="dxa"/>
            <w:noWrap w:val="0"/>
            <w:vAlign w:val="center"/>
          </w:tcPr>
          <w:p w14:paraId="4B9DC0DB">
            <w:pPr>
              <w:pageBreakBefore w:val="0"/>
              <w:topLinePunct w:val="0"/>
              <w:bidi w:val="0"/>
              <w:spacing w:after="0" w:line="360" w:lineRule="auto"/>
              <w:ind w:firstLine="28" w:firstLineChars="0"/>
              <w:jc w:val="left"/>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管理机构完整，人员丰富，职责明确得5分；</w:t>
            </w:r>
          </w:p>
          <w:p w14:paraId="547DFFF4">
            <w:pPr>
              <w:pageBreakBefore w:val="0"/>
              <w:topLinePunct w:val="0"/>
              <w:bidi w:val="0"/>
              <w:spacing w:after="0" w:line="360" w:lineRule="auto"/>
              <w:ind w:firstLine="28" w:firstLineChars="0"/>
              <w:jc w:val="left"/>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管理机构完整，人员一般，职责分工一般得3分；</w:t>
            </w:r>
          </w:p>
          <w:p w14:paraId="3D8A4B84">
            <w:pPr>
              <w:pageBreakBefore w:val="0"/>
              <w:topLinePunct w:val="0"/>
              <w:bidi w:val="0"/>
              <w:spacing w:after="0" w:line="360" w:lineRule="auto"/>
              <w:ind w:firstLine="28" w:firstLineChars="0"/>
              <w:jc w:val="left"/>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管理机构欠缺，人员分工不明确或不完整得1分；</w:t>
            </w:r>
          </w:p>
          <w:p w14:paraId="4A1F44C7">
            <w:pPr>
              <w:pageBreakBefore w:val="0"/>
              <w:topLinePunct w:val="0"/>
              <w:bidi w:val="0"/>
              <w:spacing w:after="0" w:line="360" w:lineRule="auto"/>
              <w:ind w:firstLine="28" w:firstLineChars="0"/>
              <w:jc w:val="left"/>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没有不得分</w:t>
            </w:r>
            <w:r>
              <w:rPr>
                <w:rFonts w:hint="eastAsia" w:ascii="宋体" w:hAnsi="宋体" w:eastAsia="宋体" w:cs="宋体"/>
                <w:i w:val="0"/>
                <w:iCs w:val="0"/>
                <w:sz w:val="24"/>
                <w:highlight w:val="none"/>
              </w:rPr>
              <w:t>。</w:t>
            </w:r>
          </w:p>
        </w:tc>
      </w:tr>
      <w:tr w14:paraId="1FB0A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8997" w:type="dxa"/>
            <w:gridSpan w:val="4"/>
            <w:noWrap w:val="0"/>
            <w:vAlign w:val="center"/>
          </w:tcPr>
          <w:p w14:paraId="46C5BE32">
            <w:pPr>
              <w:pStyle w:val="245"/>
              <w:pageBreakBefore w:val="0"/>
              <w:topLinePunct w:val="0"/>
              <w:bidi w:val="0"/>
              <w:spacing w:before="0" w:after="0" w:line="360" w:lineRule="auto"/>
              <w:textAlignment w:val="auto"/>
              <w:rPr>
                <w:rFonts w:hint="eastAsia" w:ascii="宋体" w:hAnsi="宋体" w:eastAsia="宋体" w:cs="宋体"/>
                <w:i w:val="0"/>
                <w:iCs w:val="0"/>
                <w:szCs w:val="24"/>
                <w:highlight w:val="none"/>
              </w:rPr>
            </w:pPr>
            <w:r>
              <w:rPr>
                <w:rFonts w:hint="eastAsia" w:ascii="宋体" w:hAnsi="宋体" w:eastAsia="宋体" w:cs="宋体"/>
                <w:i w:val="0"/>
                <w:iCs w:val="0"/>
                <w:szCs w:val="24"/>
                <w:highlight w:val="none"/>
                <w:lang w:val="en-US" w:eastAsia="zh-CN"/>
              </w:rPr>
              <w:t>技术部分</w:t>
            </w:r>
          </w:p>
        </w:tc>
      </w:tr>
      <w:tr w14:paraId="55C39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780" w:type="dxa"/>
            <w:noWrap w:val="0"/>
            <w:vAlign w:val="center"/>
          </w:tcPr>
          <w:p w14:paraId="6B91D022">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1</w:t>
            </w:r>
          </w:p>
        </w:tc>
        <w:tc>
          <w:tcPr>
            <w:tcW w:w="1587" w:type="dxa"/>
            <w:noWrap w:val="0"/>
            <w:vAlign w:val="center"/>
          </w:tcPr>
          <w:p w14:paraId="31DF806F">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施工方案与技术措施</w:t>
            </w:r>
          </w:p>
        </w:tc>
        <w:tc>
          <w:tcPr>
            <w:tcW w:w="765" w:type="dxa"/>
            <w:noWrap w:val="0"/>
            <w:vAlign w:val="center"/>
          </w:tcPr>
          <w:p w14:paraId="49744938">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6</w:t>
            </w:r>
          </w:p>
        </w:tc>
        <w:tc>
          <w:tcPr>
            <w:tcW w:w="5865" w:type="dxa"/>
            <w:noWrap w:val="0"/>
            <w:vAlign w:val="center"/>
          </w:tcPr>
          <w:p w14:paraId="08606CA6">
            <w:pPr>
              <w:pageBreakBefore w:val="0"/>
              <w:topLinePunct w:val="0"/>
              <w:bidi w:val="0"/>
              <w:spacing w:after="0" w:line="360" w:lineRule="auto"/>
              <w:ind w:firstLine="28"/>
              <w:jc w:val="left"/>
              <w:textAlignment w:val="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方案详细，科学合理，有针对性得6分；方案一般，通用，针对性不强得4分；内容有欠缺，不完全满足项目要求得2分；没有不得分。</w:t>
            </w:r>
          </w:p>
        </w:tc>
      </w:tr>
      <w:tr w14:paraId="24A6D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780" w:type="dxa"/>
            <w:noWrap w:val="0"/>
            <w:vAlign w:val="center"/>
          </w:tcPr>
          <w:p w14:paraId="0FC2806C">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2</w:t>
            </w:r>
          </w:p>
        </w:tc>
        <w:tc>
          <w:tcPr>
            <w:tcW w:w="1587" w:type="dxa"/>
            <w:noWrap w:val="0"/>
            <w:vAlign w:val="center"/>
          </w:tcPr>
          <w:p w14:paraId="4B5A4884">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质量管理体系与保证措施</w:t>
            </w:r>
          </w:p>
        </w:tc>
        <w:tc>
          <w:tcPr>
            <w:tcW w:w="765" w:type="dxa"/>
            <w:noWrap w:val="0"/>
            <w:vAlign w:val="center"/>
          </w:tcPr>
          <w:p w14:paraId="32B828AE">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6</w:t>
            </w:r>
          </w:p>
        </w:tc>
        <w:tc>
          <w:tcPr>
            <w:tcW w:w="5865" w:type="dxa"/>
            <w:noWrap w:val="0"/>
            <w:vAlign w:val="center"/>
          </w:tcPr>
          <w:p w14:paraId="4F1317E4">
            <w:pPr>
              <w:pageBreakBefore w:val="0"/>
              <w:topLinePunct w:val="0"/>
              <w:bidi w:val="0"/>
              <w:spacing w:after="0" w:line="360" w:lineRule="auto"/>
              <w:ind w:firstLine="28" w:firstLineChars="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highlight w:val="none"/>
                <w:lang w:val="en-US" w:eastAsia="zh-CN"/>
              </w:rPr>
              <w:t>方案详细，科学合理，有针对性得6分；方案一般，通用，针对性不强得4分；内容有欠缺，不完全满足项目要求得2分；没有不得分。</w:t>
            </w:r>
          </w:p>
        </w:tc>
      </w:tr>
      <w:tr w14:paraId="6CC06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780" w:type="dxa"/>
            <w:noWrap w:val="0"/>
            <w:vAlign w:val="center"/>
          </w:tcPr>
          <w:p w14:paraId="77172543">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3</w:t>
            </w:r>
          </w:p>
        </w:tc>
        <w:tc>
          <w:tcPr>
            <w:tcW w:w="1587" w:type="dxa"/>
            <w:noWrap w:val="0"/>
            <w:vAlign w:val="center"/>
          </w:tcPr>
          <w:p w14:paraId="2349D41D">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安全和绿色施工保障措施</w:t>
            </w:r>
          </w:p>
        </w:tc>
        <w:tc>
          <w:tcPr>
            <w:tcW w:w="765" w:type="dxa"/>
            <w:noWrap w:val="0"/>
            <w:vAlign w:val="center"/>
          </w:tcPr>
          <w:p w14:paraId="6FEC87DB">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6</w:t>
            </w:r>
          </w:p>
        </w:tc>
        <w:tc>
          <w:tcPr>
            <w:tcW w:w="5865" w:type="dxa"/>
            <w:noWrap w:val="0"/>
            <w:vAlign w:val="center"/>
          </w:tcPr>
          <w:p w14:paraId="1E96E4EE">
            <w:pPr>
              <w:pageBreakBefore w:val="0"/>
              <w:topLinePunct w:val="0"/>
              <w:bidi w:val="0"/>
              <w:spacing w:after="0" w:line="360" w:lineRule="auto"/>
              <w:ind w:firstLine="28" w:firstLineChars="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highlight w:val="none"/>
                <w:lang w:val="en-US" w:eastAsia="zh-CN"/>
              </w:rPr>
              <w:t>方案详细，科学合理，有针对性得6分；方案一般，通用，针对性不强得4分；内容有欠缺，不完全满足项目要求得2分；没有不得分。</w:t>
            </w:r>
          </w:p>
        </w:tc>
      </w:tr>
      <w:tr w14:paraId="152FD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780" w:type="dxa"/>
            <w:noWrap w:val="0"/>
            <w:vAlign w:val="center"/>
          </w:tcPr>
          <w:p w14:paraId="53C03088">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4</w:t>
            </w:r>
          </w:p>
        </w:tc>
        <w:tc>
          <w:tcPr>
            <w:tcW w:w="1587" w:type="dxa"/>
            <w:noWrap w:val="0"/>
            <w:vAlign w:val="center"/>
          </w:tcPr>
          <w:p w14:paraId="3CC18545">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进度计划及保障措施</w:t>
            </w:r>
          </w:p>
        </w:tc>
        <w:tc>
          <w:tcPr>
            <w:tcW w:w="765" w:type="dxa"/>
            <w:noWrap w:val="0"/>
            <w:vAlign w:val="center"/>
          </w:tcPr>
          <w:p w14:paraId="554FD44E">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6</w:t>
            </w:r>
          </w:p>
        </w:tc>
        <w:tc>
          <w:tcPr>
            <w:tcW w:w="5865" w:type="dxa"/>
            <w:noWrap w:val="0"/>
            <w:vAlign w:val="center"/>
          </w:tcPr>
          <w:p w14:paraId="2EC17605">
            <w:pPr>
              <w:pageBreakBefore w:val="0"/>
              <w:topLinePunct w:val="0"/>
              <w:bidi w:val="0"/>
              <w:spacing w:after="0" w:line="360" w:lineRule="auto"/>
              <w:ind w:firstLine="28" w:firstLineChars="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highlight w:val="none"/>
                <w:lang w:val="en-US" w:eastAsia="zh-CN"/>
              </w:rPr>
              <w:t>方案详细，科学合理，有针对性得6分；方案一般，通用，针对性不强得4分；内容有欠缺，不完全满足项目要求得2分；没有不得分。</w:t>
            </w:r>
          </w:p>
        </w:tc>
      </w:tr>
      <w:tr w14:paraId="15ED4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780" w:type="dxa"/>
            <w:noWrap w:val="0"/>
            <w:vAlign w:val="center"/>
          </w:tcPr>
          <w:p w14:paraId="36707A5A">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5</w:t>
            </w:r>
          </w:p>
        </w:tc>
        <w:tc>
          <w:tcPr>
            <w:tcW w:w="1587" w:type="dxa"/>
            <w:noWrap w:val="0"/>
            <w:vAlign w:val="center"/>
          </w:tcPr>
          <w:p w14:paraId="4EA06EA4">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定位和测量放线施工方案</w:t>
            </w:r>
          </w:p>
        </w:tc>
        <w:tc>
          <w:tcPr>
            <w:tcW w:w="765" w:type="dxa"/>
            <w:noWrap w:val="0"/>
            <w:vAlign w:val="center"/>
          </w:tcPr>
          <w:p w14:paraId="73B687C3">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6</w:t>
            </w:r>
          </w:p>
        </w:tc>
        <w:tc>
          <w:tcPr>
            <w:tcW w:w="5865" w:type="dxa"/>
            <w:noWrap w:val="0"/>
            <w:vAlign w:val="center"/>
          </w:tcPr>
          <w:p w14:paraId="52E40E99">
            <w:pPr>
              <w:pageBreakBefore w:val="0"/>
              <w:topLinePunct w:val="0"/>
              <w:bidi w:val="0"/>
              <w:spacing w:after="0" w:line="360" w:lineRule="auto"/>
              <w:ind w:firstLine="28" w:firstLineChars="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highlight w:val="none"/>
                <w:lang w:val="en-US" w:eastAsia="zh-CN"/>
              </w:rPr>
              <w:t>方案详细，科学合理，有针对性得6分；方案一般，通用，针对性不强得4分；内容有欠缺，不完全满足项目要求得2分；没有不得分。</w:t>
            </w:r>
          </w:p>
        </w:tc>
      </w:tr>
      <w:tr w14:paraId="248BC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780" w:type="dxa"/>
            <w:noWrap w:val="0"/>
            <w:vAlign w:val="center"/>
          </w:tcPr>
          <w:p w14:paraId="0C176101">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6</w:t>
            </w:r>
          </w:p>
        </w:tc>
        <w:tc>
          <w:tcPr>
            <w:tcW w:w="1587" w:type="dxa"/>
            <w:noWrap w:val="0"/>
            <w:vAlign w:val="center"/>
          </w:tcPr>
          <w:p w14:paraId="01C092E8">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消防、保卫方案</w:t>
            </w:r>
          </w:p>
        </w:tc>
        <w:tc>
          <w:tcPr>
            <w:tcW w:w="765" w:type="dxa"/>
            <w:noWrap w:val="0"/>
            <w:vAlign w:val="center"/>
          </w:tcPr>
          <w:p w14:paraId="69A20C9B">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6</w:t>
            </w:r>
          </w:p>
        </w:tc>
        <w:tc>
          <w:tcPr>
            <w:tcW w:w="5865" w:type="dxa"/>
            <w:noWrap w:val="0"/>
            <w:vAlign w:val="center"/>
          </w:tcPr>
          <w:p w14:paraId="4299D355">
            <w:pPr>
              <w:pageBreakBefore w:val="0"/>
              <w:topLinePunct w:val="0"/>
              <w:bidi w:val="0"/>
              <w:spacing w:after="0" w:line="360" w:lineRule="auto"/>
              <w:ind w:firstLine="28" w:firstLineChars="0"/>
              <w:jc w:val="left"/>
              <w:textAlignment w:val="auto"/>
              <w:rPr>
                <w:rFonts w:hint="eastAsia" w:ascii="宋体" w:hAnsi="宋体" w:eastAsia="宋体" w:cs="宋体"/>
                <w:i w:val="0"/>
                <w:iCs w:val="0"/>
                <w:szCs w:val="24"/>
                <w:highlight w:val="none"/>
              </w:rPr>
            </w:pPr>
            <w:r>
              <w:rPr>
                <w:rFonts w:hint="eastAsia" w:ascii="宋体" w:hAnsi="宋体" w:eastAsia="宋体" w:cs="宋体"/>
                <w:sz w:val="24"/>
                <w:highlight w:val="none"/>
                <w:lang w:val="en-US" w:eastAsia="zh-CN"/>
              </w:rPr>
              <w:t>方案详细，科学合理，有针对性得6分；方案一般，通用，针对性不强得4分；内容有欠缺，不完全满足项目要求得2分；没有不得分。</w:t>
            </w:r>
          </w:p>
        </w:tc>
      </w:tr>
      <w:tr w14:paraId="74522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780" w:type="dxa"/>
            <w:noWrap w:val="0"/>
            <w:vAlign w:val="center"/>
          </w:tcPr>
          <w:p w14:paraId="555DE7AD">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7</w:t>
            </w:r>
          </w:p>
        </w:tc>
        <w:tc>
          <w:tcPr>
            <w:tcW w:w="1587" w:type="dxa"/>
            <w:noWrap w:val="0"/>
            <w:vAlign w:val="center"/>
          </w:tcPr>
          <w:p w14:paraId="7488AF6C">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rPr>
            </w:pPr>
            <w:r>
              <w:rPr>
                <w:rFonts w:hint="eastAsia" w:ascii="宋体" w:hAnsi="宋体" w:cs="宋体"/>
                <w:i w:val="0"/>
                <w:iCs w:val="0"/>
                <w:sz w:val="24"/>
                <w:highlight w:val="none"/>
                <w:lang w:val="en-US" w:eastAsia="zh-CN"/>
              </w:rPr>
              <w:t>季节性</w:t>
            </w:r>
            <w:r>
              <w:rPr>
                <w:rFonts w:hint="eastAsia" w:ascii="宋体" w:hAnsi="宋体" w:eastAsia="宋体" w:cs="宋体"/>
                <w:i w:val="0"/>
                <w:iCs w:val="0"/>
                <w:sz w:val="24"/>
                <w:highlight w:val="none"/>
              </w:rPr>
              <w:t>施工方案</w:t>
            </w:r>
          </w:p>
        </w:tc>
        <w:tc>
          <w:tcPr>
            <w:tcW w:w="765" w:type="dxa"/>
            <w:noWrap w:val="0"/>
            <w:vAlign w:val="center"/>
          </w:tcPr>
          <w:p w14:paraId="469CFCB9">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6</w:t>
            </w:r>
          </w:p>
        </w:tc>
        <w:tc>
          <w:tcPr>
            <w:tcW w:w="5865" w:type="dxa"/>
            <w:noWrap w:val="0"/>
            <w:vAlign w:val="center"/>
          </w:tcPr>
          <w:p w14:paraId="0C7381DD">
            <w:pPr>
              <w:pageBreakBefore w:val="0"/>
              <w:topLinePunct w:val="0"/>
              <w:bidi w:val="0"/>
              <w:spacing w:after="0" w:line="360" w:lineRule="auto"/>
              <w:ind w:firstLine="28" w:firstLineChars="0"/>
              <w:jc w:val="left"/>
              <w:textAlignment w:val="auto"/>
              <w:rPr>
                <w:rFonts w:hint="eastAsia" w:ascii="宋体" w:hAnsi="宋体" w:eastAsia="宋体" w:cs="宋体"/>
                <w:i w:val="0"/>
                <w:iCs w:val="0"/>
                <w:szCs w:val="24"/>
                <w:highlight w:val="none"/>
              </w:rPr>
            </w:pPr>
            <w:r>
              <w:rPr>
                <w:rFonts w:hint="eastAsia" w:ascii="宋体" w:hAnsi="宋体" w:eastAsia="宋体" w:cs="宋体"/>
                <w:sz w:val="24"/>
                <w:highlight w:val="none"/>
                <w:lang w:val="en-US" w:eastAsia="zh-CN"/>
              </w:rPr>
              <w:t>方案详细，科学合理，有针对性得6分；方案一般，通用，针对性不强得4分；内容有欠缺，不完全满足项目要求得2分；没有不得分。</w:t>
            </w:r>
          </w:p>
        </w:tc>
      </w:tr>
      <w:tr w14:paraId="5031E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780" w:type="dxa"/>
            <w:noWrap w:val="0"/>
            <w:vAlign w:val="center"/>
          </w:tcPr>
          <w:p w14:paraId="6D59F55F">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8</w:t>
            </w:r>
          </w:p>
        </w:tc>
        <w:tc>
          <w:tcPr>
            <w:tcW w:w="1587" w:type="dxa"/>
            <w:noWrap w:val="0"/>
            <w:vAlign w:val="center"/>
          </w:tcPr>
          <w:p w14:paraId="34EE8222">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施工现场总平面布置</w:t>
            </w:r>
          </w:p>
        </w:tc>
        <w:tc>
          <w:tcPr>
            <w:tcW w:w="765" w:type="dxa"/>
            <w:noWrap w:val="0"/>
            <w:vAlign w:val="center"/>
          </w:tcPr>
          <w:p w14:paraId="000872B2">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6</w:t>
            </w:r>
          </w:p>
        </w:tc>
        <w:tc>
          <w:tcPr>
            <w:tcW w:w="5865" w:type="dxa"/>
            <w:noWrap w:val="0"/>
            <w:vAlign w:val="center"/>
          </w:tcPr>
          <w:p w14:paraId="6C0C1CA7">
            <w:pPr>
              <w:pageBreakBefore w:val="0"/>
              <w:topLinePunct w:val="0"/>
              <w:bidi w:val="0"/>
              <w:spacing w:after="0" w:line="360" w:lineRule="auto"/>
              <w:ind w:firstLine="28" w:firstLineChars="0"/>
              <w:jc w:val="left"/>
              <w:textAlignment w:val="auto"/>
              <w:rPr>
                <w:rFonts w:hint="eastAsia" w:ascii="宋体" w:hAnsi="宋体" w:eastAsia="宋体" w:cs="宋体"/>
                <w:i w:val="0"/>
                <w:iCs w:val="0"/>
                <w:szCs w:val="24"/>
                <w:highlight w:val="none"/>
              </w:rPr>
            </w:pPr>
            <w:r>
              <w:rPr>
                <w:rFonts w:hint="eastAsia" w:ascii="宋体" w:hAnsi="宋体" w:eastAsia="宋体" w:cs="宋体"/>
                <w:sz w:val="24"/>
                <w:highlight w:val="none"/>
                <w:lang w:val="en-US" w:eastAsia="zh-CN"/>
              </w:rPr>
              <w:t>方案详细，科学合理，有针对性得6分；方案一般，通用，针对性不强得4分；内容有欠缺，不完全满足项目要求得2分；没有不得分。</w:t>
            </w:r>
          </w:p>
        </w:tc>
      </w:tr>
      <w:tr w14:paraId="79489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780" w:type="dxa"/>
            <w:noWrap w:val="0"/>
            <w:vAlign w:val="center"/>
          </w:tcPr>
          <w:p w14:paraId="685D008E">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9</w:t>
            </w:r>
          </w:p>
        </w:tc>
        <w:tc>
          <w:tcPr>
            <w:tcW w:w="1587" w:type="dxa"/>
            <w:noWrap w:val="0"/>
            <w:vAlign w:val="center"/>
          </w:tcPr>
          <w:p w14:paraId="3A7EDDAB">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成品保护和工程保修工作的管理措施和承诺</w:t>
            </w:r>
          </w:p>
        </w:tc>
        <w:tc>
          <w:tcPr>
            <w:tcW w:w="765" w:type="dxa"/>
            <w:noWrap w:val="0"/>
            <w:vAlign w:val="center"/>
          </w:tcPr>
          <w:p w14:paraId="59B40C71">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6</w:t>
            </w:r>
          </w:p>
        </w:tc>
        <w:tc>
          <w:tcPr>
            <w:tcW w:w="5865" w:type="dxa"/>
            <w:noWrap w:val="0"/>
            <w:vAlign w:val="center"/>
          </w:tcPr>
          <w:p w14:paraId="49C45B24">
            <w:pPr>
              <w:pageBreakBefore w:val="0"/>
              <w:topLinePunct w:val="0"/>
              <w:bidi w:val="0"/>
              <w:spacing w:after="0" w:line="360" w:lineRule="auto"/>
              <w:ind w:firstLine="28" w:firstLineChars="0"/>
              <w:jc w:val="left"/>
              <w:textAlignment w:val="auto"/>
              <w:rPr>
                <w:rFonts w:hint="eastAsia" w:ascii="宋体" w:hAnsi="宋体" w:eastAsia="宋体" w:cs="宋体"/>
                <w:i w:val="0"/>
                <w:iCs w:val="0"/>
                <w:szCs w:val="24"/>
                <w:highlight w:val="none"/>
              </w:rPr>
            </w:pPr>
            <w:r>
              <w:rPr>
                <w:rFonts w:hint="eastAsia" w:ascii="宋体" w:hAnsi="宋体" w:eastAsia="宋体" w:cs="宋体"/>
                <w:sz w:val="24"/>
                <w:highlight w:val="none"/>
                <w:lang w:val="en-US" w:eastAsia="zh-CN"/>
              </w:rPr>
              <w:t>方案详细，科学合理，有针对性得6分；方案一般，通用，针对性不强得4分；内容有欠缺，不完全满足项目要求得2分；没有不得分。</w:t>
            </w:r>
          </w:p>
        </w:tc>
      </w:tr>
      <w:tr w14:paraId="61678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780" w:type="dxa"/>
            <w:noWrap w:val="0"/>
            <w:vAlign w:val="center"/>
          </w:tcPr>
          <w:p w14:paraId="7C03D6CF">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10</w:t>
            </w:r>
          </w:p>
        </w:tc>
        <w:tc>
          <w:tcPr>
            <w:tcW w:w="1587" w:type="dxa"/>
            <w:noWrap w:val="0"/>
            <w:vAlign w:val="center"/>
          </w:tcPr>
          <w:p w14:paraId="4C7CA4A4">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紧急情况的处理措施、预案以及抵抗风险的措施</w:t>
            </w:r>
          </w:p>
        </w:tc>
        <w:tc>
          <w:tcPr>
            <w:tcW w:w="765" w:type="dxa"/>
            <w:noWrap w:val="0"/>
            <w:vAlign w:val="center"/>
          </w:tcPr>
          <w:p w14:paraId="7E762055">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6</w:t>
            </w:r>
          </w:p>
        </w:tc>
        <w:tc>
          <w:tcPr>
            <w:tcW w:w="5865" w:type="dxa"/>
            <w:noWrap w:val="0"/>
            <w:vAlign w:val="center"/>
          </w:tcPr>
          <w:p w14:paraId="17CFC9DE">
            <w:pPr>
              <w:pageBreakBefore w:val="0"/>
              <w:topLinePunct w:val="0"/>
              <w:bidi w:val="0"/>
              <w:spacing w:after="0" w:line="360" w:lineRule="auto"/>
              <w:ind w:firstLine="28" w:firstLineChars="0"/>
              <w:jc w:val="left"/>
              <w:textAlignment w:val="auto"/>
              <w:rPr>
                <w:rFonts w:hint="eastAsia" w:ascii="宋体" w:hAnsi="宋体" w:eastAsia="宋体" w:cs="宋体"/>
                <w:i w:val="0"/>
                <w:iCs w:val="0"/>
                <w:szCs w:val="24"/>
                <w:highlight w:val="none"/>
              </w:rPr>
            </w:pPr>
            <w:r>
              <w:rPr>
                <w:rFonts w:hint="eastAsia" w:ascii="宋体" w:hAnsi="宋体" w:eastAsia="宋体" w:cs="宋体"/>
                <w:sz w:val="24"/>
                <w:highlight w:val="none"/>
                <w:lang w:val="en-US" w:eastAsia="zh-CN"/>
              </w:rPr>
              <w:t>方案详细，科学合理，有针对性得6分；方案一般，通用，针对性不强得4分；内容有欠缺，不完全满足项目要求得2分；没有不得分。</w:t>
            </w:r>
          </w:p>
        </w:tc>
      </w:tr>
      <w:tr w14:paraId="62B2B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2367" w:type="dxa"/>
            <w:gridSpan w:val="2"/>
            <w:noWrap w:val="0"/>
            <w:vAlign w:val="center"/>
          </w:tcPr>
          <w:p w14:paraId="2A1DC438">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合计</w:t>
            </w:r>
          </w:p>
        </w:tc>
        <w:tc>
          <w:tcPr>
            <w:tcW w:w="765" w:type="dxa"/>
            <w:noWrap w:val="0"/>
            <w:vAlign w:val="center"/>
          </w:tcPr>
          <w:p w14:paraId="52D702E5">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100</w:t>
            </w:r>
          </w:p>
        </w:tc>
        <w:tc>
          <w:tcPr>
            <w:tcW w:w="5865" w:type="dxa"/>
            <w:noWrap w:val="0"/>
            <w:vAlign w:val="center"/>
          </w:tcPr>
          <w:p w14:paraId="774D07AD">
            <w:pPr>
              <w:pageBreakBefore w:val="0"/>
              <w:topLinePunct w:val="0"/>
              <w:bidi w:val="0"/>
              <w:spacing w:after="0" w:line="360" w:lineRule="auto"/>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w:t>
            </w:r>
          </w:p>
        </w:tc>
      </w:tr>
    </w:tbl>
    <w:p w14:paraId="2BEF693A">
      <w:pPr>
        <w:spacing w:after="0"/>
        <w:rPr>
          <w:rFonts w:hint="eastAsia"/>
        </w:rPr>
      </w:pPr>
    </w:p>
    <w:p w14:paraId="2CBE880B">
      <w:pPr>
        <w:widowControl/>
        <w:spacing w:after="0"/>
        <w:jc w:val="left"/>
        <w:rPr>
          <w:rFonts w:hint="eastAsia" w:ascii="等线" w:hAnsi="等线" w:eastAsia="等线"/>
          <w:szCs w:val="22"/>
        </w:rPr>
      </w:pPr>
    </w:p>
    <w:p w14:paraId="139555AB">
      <w:pPr>
        <w:widowControl/>
        <w:spacing w:after="0"/>
        <w:jc w:val="left"/>
        <w:rPr>
          <w:rFonts w:hint="eastAsia" w:ascii="等线" w:hAnsi="等线" w:eastAsia="等线"/>
          <w:szCs w:val="22"/>
        </w:rPr>
      </w:pPr>
    </w:p>
    <w:p w14:paraId="51249BD4">
      <w:pPr>
        <w:widowControl/>
        <w:spacing w:after="0"/>
        <w:jc w:val="left"/>
        <w:rPr>
          <w:rFonts w:hint="eastAsia" w:ascii="等线" w:hAnsi="等线" w:eastAsia="等线"/>
          <w:szCs w:val="22"/>
        </w:rPr>
      </w:pPr>
    </w:p>
    <w:p w14:paraId="0A66B5B1">
      <w:pPr>
        <w:widowControl/>
        <w:spacing w:after="0"/>
        <w:jc w:val="left"/>
        <w:rPr>
          <w:rFonts w:hint="eastAsia" w:ascii="等线" w:hAnsi="等线" w:eastAsia="等线"/>
          <w:szCs w:val="22"/>
        </w:rPr>
      </w:pPr>
      <w:r>
        <w:rPr>
          <w:rFonts w:ascii="等线" w:hAnsi="等线" w:eastAsia="等线" w:cs="Times New Roman"/>
          <w:szCs w:val="22"/>
        </w:rPr>
        <w:cr/>
      </w:r>
      <w:r>
        <w:rPr>
          <w:rFonts w:ascii="等线" w:hAnsi="等线" w:eastAsia="等线" w:cs="Times New Roman"/>
          <w:szCs w:val="22"/>
        </w:rPr>
        <w:cr/>
      </w:r>
    </w:p>
    <w:p w14:paraId="258B7BF6">
      <w:pPr>
        <w:bidi w:val="0"/>
        <w:spacing w:after="0"/>
        <w:rPr>
          <w:rFonts w:hint="eastAsia"/>
          <w:lang w:val="en-US" w:eastAsia="zh-CN"/>
        </w:rPr>
        <w:sectPr>
          <w:headerReference r:id="rId7" w:type="first"/>
          <w:footerReference r:id="rId9" w:type="first"/>
          <w:headerReference r:id="rId6" w:type="even"/>
          <w:footerReference r:id="rId8" w:type="even"/>
          <w:pgSz w:w="11905" w:h="16838"/>
          <w:pgMar w:top="1474" w:right="1474" w:bottom="1474" w:left="1474" w:header="851" w:footer="992" w:gutter="0"/>
          <w:pgNumType w:fmt="decimal"/>
          <w:cols w:space="720" w:num="1"/>
          <w:rtlGutter w:val="0"/>
          <w:docGrid w:linePitch="462" w:charSpace="0"/>
        </w:sectPr>
      </w:pPr>
      <w:r>
        <w:rPr>
          <w:rFonts w:hint="eastAsia"/>
          <w:lang w:val="en-US" w:eastAsia="zh-CN"/>
        </w:rPr>
        <w:t xml:space="preserve">                                       </w:t>
      </w:r>
    </w:p>
    <w:p w14:paraId="76002BB9">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6"/>
          <w:szCs w:val="36"/>
        </w:rPr>
      </w:pPr>
      <w:bookmarkStart w:id="671" w:name="_Toc22177"/>
      <w:r>
        <w:rPr>
          <w:rFonts w:hint="eastAsia" w:ascii="宋体" w:hAnsi="宋体" w:eastAsia="宋体" w:cs="宋体"/>
          <w:b/>
          <w:i w:val="0"/>
          <w:iCs w:val="0"/>
          <w:sz w:val="36"/>
          <w:szCs w:val="36"/>
        </w:rPr>
        <w:t>第四章   采购需求</w:t>
      </w:r>
      <w:bookmarkEnd w:id="671"/>
    </w:p>
    <w:p w14:paraId="78609790">
      <w:pPr>
        <w:pStyle w:val="4"/>
        <w:wordWrap w:val="0"/>
        <w:spacing w:after="0"/>
        <w:jc w:val="both"/>
        <w:rPr>
          <w:rFonts w:hint="eastAsia" w:ascii="宋体" w:hAnsi="宋体" w:cs="宋体"/>
          <w:b/>
          <w:bCs w:val="0"/>
          <w:sz w:val="24"/>
        </w:rPr>
      </w:pPr>
      <w:r>
        <w:rPr>
          <w:rFonts w:hint="eastAsia" w:ascii="宋体" w:hAnsi="宋体" w:cs="宋体"/>
          <w:b/>
          <w:bCs w:val="0"/>
          <w:sz w:val="24"/>
        </w:rPr>
        <w:t>一、采购标的</w:t>
      </w:r>
    </w:p>
    <w:tbl>
      <w:tblPr>
        <w:tblStyle w:val="42"/>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9"/>
        <w:gridCol w:w="2083"/>
        <w:gridCol w:w="1667"/>
        <w:gridCol w:w="747"/>
        <w:gridCol w:w="3936"/>
      </w:tblGrid>
      <w:tr w14:paraId="06222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8" w:type="pct"/>
            <w:noWrap w:val="0"/>
            <w:vAlign w:val="center"/>
          </w:tcPr>
          <w:p w14:paraId="3F7974C9">
            <w:pPr>
              <w:pageBreakBefore w:val="0"/>
              <w:wordWrap/>
              <w:topLinePunct w:val="0"/>
              <w:bidi w:val="0"/>
              <w:spacing w:after="0" w:line="360" w:lineRule="auto"/>
              <w:ind w:firstLine="0" w:firstLineChars="0"/>
              <w:jc w:val="center"/>
              <w:textAlignment w:val="auto"/>
              <w:rPr>
                <w:rFonts w:hint="eastAsia" w:ascii="Times New Roman" w:hAnsi="Times New Roman" w:eastAsia="宋体" w:cs="Times New Roman"/>
                <w:bCs w:val="0"/>
                <w:i w:val="0"/>
                <w:iCs w:val="0"/>
                <w:sz w:val="24"/>
                <w:szCs w:val="24"/>
                <w:highlight w:val="none"/>
              </w:rPr>
            </w:pPr>
            <w:r>
              <w:rPr>
                <w:rFonts w:hint="eastAsia" w:ascii="Times New Roman" w:hAnsi="Times New Roman" w:eastAsia="宋体" w:cs="Times New Roman"/>
                <w:bCs w:val="0"/>
                <w:i w:val="0"/>
                <w:iCs w:val="0"/>
                <w:sz w:val="24"/>
                <w:szCs w:val="24"/>
                <w:highlight w:val="none"/>
              </w:rPr>
              <w:t>包号</w:t>
            </w:r>
          </w:p>
        </w:tc>
        <w:tc>
          <w:tcPr>
            <w:tcW w:w="1141" w:type="pct"/>
            <w:noWrap w:val="0"/>
            <w:vAlign w:val="center"/>
          </w:tcPr>
          <w:p w14:paraId="466FDB87">
            <w:pPr>
              <w:pageBreakBefore w:val="0"/>
              <w:wordWrap/>
              <w:topLinePunct w:val="0"/>
              <w:bidi w:val="0"/>
              <w:spacing w:after="0" w:line="360" w:lineRule="auto"/>
              <w:ind w:firstLine="0" w:firstLineChars="0"/>
              <w:jc w:val="center"/>
              <w:textAlignment w:val="auto"/>
              <w:rPr>
                <w:rFonts w:hint="eastAsia" w:ascii="Times New Roman" w:hAnsi="Times New Roman" w:eastAsia="宋体" w:cs="Times New Roman"/>
                <w:bCs w:val="0"/>
                <w:i w:val="0"/>
                <w:iCs w:val="0"/>
                <w:sz w:val="24"/>
                <w:szCs w:val="24"/>
                <w:highlight w:val="none"/>
              </w:rPr>
            </w:pPr>
            <w:r>
              <w:rPr>
                <w:rFonts w:hint="eastAsia" w:ascii="Times New Roman" w:hAnsi="Times New Roman" w:eastAsia="宋体" w:cs="Times New Roman"/>
                <w:bCs w:val="0"/>
                <w:i w:val="0"/>
                <w:iCs w:val="0"/>
                <w:sz w:val="24"/>
                <w:szCs w:val="24"/>
                <w:highlight w:val="none"/>
              </w:rPr>
              <w:t>标的名称</w:t>
            </w:r>
          </w:p>
        </w:tc>
        <w:tc>
          <w:tcPr>
            <w:tcW w:w="913" w:type="pct"/>
            <w:noWrap w:val="0"/>
            <w:vAlign w:val="center"/>
          </w:tcPr>
          <w:p w14:paraId="2B90D602">
            <w:pPr>
              <w:pageBreakBefore w:val="0"/>
              <w:wordWrap/>
              <w:topLinePunct w:val="0"/>
              <w:bidi w:val="0"/>
              <w:spacing w:after="0" w:line="360" w:lineRule="auto"/>
              <w:ind w:firstLine="0" w:firstLineChars="0"/>
              <w:jc w:val="center"/>
              <w:textAlignment w:val="auto"/>
              <w:rPr>
                <w:rFonts w:hint="eastAsia" w:ascii="Times New Roman" w:hAnsi="Times New Roman" w:eastAsia="宋体" w:cs="Times New Roman"/>
                <w:bCs w:val="0"/>
                <w:i w:val="0"/>
                <w:iCs w:val="0"/>
                <w:sz w:val="24"/>
                <w:szCs w:val="24"/>
                <w:highlight w:val="none"/>
              </w:rPr>
            </w:pPr>
            <w:r>
              <w:rPr>
                <w:rFonts w:hint="eastAsia" w:ascii="Times New Roman" w:hAnsi="Times New Roman" w:eastAsia="宋体" w:cs="Times New Roman"/>
                <w:bCs w:val="0"/>
                <w:i w:val="0"/>
                <w:iCs w:val="0"/>
                <w:sz w:val="24"/>
                <w:szCs w:val="24"/>
                <w:highlight w:val="none"/>
              </w:rPr>
              <w:t>采购包</w:t>
            </w:r>
          </w:p>
          <w:p w14:paraId="60AE9757">
            <w:pPr>
              <w:pageBreakBefore w:val="0"/>
              <w:wordWrap/>
              <w:topLinePunct w:val="0"/>
              <w:bidi w:val="0"/>
              <w:spacing w:after="0" w:line="360" w:lineRule="auto"/>
              <w:ind w:firstLine="0" w:firstLineChars="0"/>
              <w:jc w:val="center"/>
              <w:textAlignment w:val="auto"/>
              <w:rPr>
                <w:rFonts w:hint="eastAsia" w:ascii="Times New Roman" w:hAnsi="Times New Roman" w:eastAsia="宋体" w:cs="Times New Roman"/>
                <w:bCs w:val="0"/>
                <w:i w:val="0"/>
                <w:iCs w:val="0"/>
                <w:sz w:val="24"/>
                <w:szCs w:val="24"/>
                <w:highlight w:val="none"/>
              </w:rPr>
            </w:pPr>
            <w:r>
              <w:rPr>
                <w:rFonts w:hint="eastAsia" w:ascii="Times New Roman" w:hAnsi="Times New Roman" w:eastAsia="宋体" w:cs="Times New Roman"/>
                <w:bCs w:val="0"/>
                <w:i w:val="0"/>
                <w:iCs w:val="0"/>
                <w:sz w:val="24"/>
                <w:szCs w:val="24"/>
                <w:highlight w:val="none"/>
              </w:rPr>
              <w:t>预算金额</w:t>
            </w:r>
          </w:p>
          <w:p w14:paraId="2703954A">
            <w:pPr>
              <w:pageBreakBefore w:val="0"/>
              <w:wordWrap/>
              <w:topLinePunct w:val="0"/>
              <w:bidi w:val="0"/>
              <w:spacing w:after="0" w:line="360" w:lineRule="auto"/>
              <w:ind w:firstLine="0" w:firstLineChars="0"/>
              <w:jc w:val="center"/>
              <w:textAlignment w:val="auto"/>
              <w:rPr>
                <w:rFonts w:hint="eastAsia" w:ascii="Times New Roman" w:hAnsi="Times New Roman" w:eastAsia="宋体" w:cs="Times New Roman"/>
                <w:bCs w:val="0"/>
                <w:i w:val="0"/>
                <w:iCs w:val="0"/>
                <w:sz w:val="24"/>
                <w:szCs w:val="24"/>
                <w:highlight w:val="none"/>
              </w:rPr>
            </w:pPr>
            <w:r>
              <w:rPr>
                <w:rFonts w:hint="eastAsia" w:ascii="Times New Roman" w:hAnsi="Times New Roman" w:eastAsia="宋体" w:cs="Times New Roman"/>
                <w:bCs w:val="0"/>
                <w:i w:val="0"/>
                <w:iCs w:val="0"/>
                <w:sz w:val="24"/>
                <w:szCs w:val="24"/>
                <w:highlight w:val="none"/>
              </w:rPr>
              <w:t>（万元）</w:t>
            </w:r>
          </w:p>
        </w:tc>
        <w:tc>
          <w:tcPr>
            <w:tcW w:w="409" w:type="pct"/>
            <w:noWrap w:val="0"/>
            <w:vAlign w:val="center"/>
          </w:tcPr>
          <w:p w14:paraId="58924113">
            <w:pPr>
              <w:pageBreakBefore w:val="0"/>
              <w:wordWrap/>
              <w:topLinePunct w:val="0"/>
              <w:bidi w:val="0"/>
              <w:spacing w:after="0" w:line="360" w:lineRule="auto"/>
              <w:ind w:firstLine="0" w:firstLineChars="0"/>
              <w:jc w:val="center"/>
              <w:textAlignment w:val="auto"/>
              <w:rPr>
                <w:rFonts w:hint="eastAsia" w:ascii="Times New Roman" w:hAnsi="Times New Roman" w:eastAsia="宋体" w:cs="Times New Roman"/>
                <w:bCs w:val="0"/>
                <w:i w:val="0"/>
                <w:iCs w:val="0"/>
                <w:sz w:val="24"/>
                <w:szCs w:val="24"/>
                <w:highlight w:val="none"/>
              </w:rPr>
            </w:pPr>
            <w:r>
              <w:rPr>
                <w:rFonts w:hint="eastAsia" w:ascii="Times New Roman" w:hAnsi="Times New Roman" w:eastAsia="宋体" w:cs="Times New Roman"/>
                <w:bCs w:val="0"/>
                <w:i w:val="0"/>
                <w:iCs w:val="0"/>
                <w:sz w:val="24"/>
                <w:szCs w:val="24"/>
                <w:highlight w:val="none"/>
              </w:rPr>
              <w:t>数量</w:t>
            </w:r>
          </w:p>
        </w:tc>
        <w:tc>
          <w:tcPr>
            <w:tcW w:w="2156" w:type="pct"/>
            <w:noWrap w:val="0"/>
            <w:vAlign w:val="center"/>
          </w:tcPr>
          <w:p w14:paraId="2A850288">
            <w:pPr>
              <w:pageBreakBefore w:val="0"/>
              <w:wordWrap/>
              <w:topLinePunct w:val="0"/>
              <w:bidi w:val="0"/>
              <w:spacing w:after="0" w:line="360" w:lineRule="auto"/>
              <w:ind w:firstLine="0" w:firstLineChars="0"/>
              <w:jc w:val="center"/>
              <w:textAlignment w:val="auto"/>
              <w:rPr>
                <w:rFonts w:hint="eastAsia" w:ascii="Times New Roman" w:hAnsi="Times New Roman" w:eastAsia="宋体" w:cs="Times New Roman"/>
                <w:i w:val="0"/>
                <w:iCs w:val="0"/>
                <w:sz w:val="24"/>
                <w:szCs w:val="24"/>
                <w:highlight w:val="none"/>
              </w:rPr>
            </w:pPr>
            <w:r>
              <w:rPr>
                <w:rFonts w:hint="eastAsia" w:ascii="Times New Roman" w:hAnsi="Times New Roman" w:eastAsia="宋体" w:cs="Times New Roman"/>
                <w:i w:val="0"/>
                <w:iCs w:val="0"/>
                <w:sz w:val="24"/>
                <w:szCs w:val="24"/>
                <w:highlight w:val="none"/>
              </w:rPr>
              <w:t>简要技术需求或服务要求</w:t>
            </w:r>
          </w:p>
        </w:tc>
      </w:tr>
      <w:tr w14:paraId="2C473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8" w:type="pct"/>
            <w:noWrap w:val="0"/>
            <w:vAlign w:val="center"/>
          </w:tcPr>
          <w:p w14:paraId="1E1F6F03">
            <w:pPr>
              <w:pageBreakBefore w:val="0"/>
              <w:wordWrap/>
              <w:topLinePunct w:val="0"/>
              <w:bidi w:val="0"/>
              <w:spacing w:after="0" w:line="360" w:lineRule="auto"/>
              <w:ind w:firstLine="0" w:firstLineChars="0"/>
              <w:jc w:val="center"/>
              <w:textAlignment w:val="auto"/>
              <w:rPr>
                <w:rFonts w:hint="eastAsia" w:ascii="Times New Roman" w:hAnsi="Times New Roman" w:eastAsia="宋体" w:cs="Times New Roman"/>
                <w:bCs w:val="0"/>
                <w:i w:val="0"/>
                <w:iCs w:val="0"/>
                <w:sz w:val="24"/>
                <w:szCs w:val="24"/>
                <w:highlight w:val="none"/>
              </w:rPr>
            </w:pPr>
            <w:r>
              <w:rPr>
                <w:rFonts w:hint="eastAsia" w:ascii="Times New Roman" w:hAnsi="Times New Roman" w:eastAsia="宋体" w:cs="Times New Roman"/>
                <w:bCs w:val="0"/>
                <w:i w:val="0"/>
                <w:iCs w:val="0"/>
                <w:sz w:val="24"/>
                <w:szCs w:val="24"/>
                <w:highlight w:val="none"/>
              </w:rPr>
              <w:t>01</w:t>
            </w:r>
          </w:p>
        </w:tc>
        <w:tc>
          <w:tcPr>
            <w:tcW w:w="1141" w:type="pct"/>
            <w:noWrap w:val="0"/>
            <w:vAlign w:val="center"/>
          </w:tcPr>
          <w:p w14:paraId="73C2C0B0">
            <w:pPr>
              <w:pageBreakBefore w:val="0"/>
              <w:wordWrap/>
              <w:topLinePunct w:val="0"/>
              <w:bidi w:val="0"/>
              <w:spacing w:after="0" w:line="360" w:lineRule="auto"/>
              <w:ind w:firstLine="0" w:firstLineChars="0"/>
              <w:jc w:val="center"/>
              <w:textAlignment w:val="auto"/>
              <w:rPr>
                <w:rFonts w:hint="eastAsia" w:ascii="Times New Roman" w:hAnsi="Times New Roman" w:eastAsia="宋体" w:cs="Times New Roman"/>
                <w:bCs w:val="0"/>
                <w:i w:val="0"/>
                <w:iCs w:val="0"/>
                <w:sz w:val="24"/>
                <w:szCs w:val="24"/>
                <w:highlight w:val="none"/>
                <w:lang w:eastAsia="zh-CN"/>
              </w:rPr>
            </w:pPr>
            <w:r>
              <w:rPr>
                <w:rFonts w:hint="eastAsia" w:cs="Times New Roman"/>
                <w:bCs w:val="0"/>
                <w:i w:val="0"/>
                <w:iCs w:val="0"/>
                <w:sz w:val="24"/>
                <w:szCs w:val="24"/>
                <w:highlight w:val="none"/>
                <w:lang w:eastAsia="zh-CN"/>
              </w:rPr>
              <w:t>花卉大观园再生水智联灌溉提升项目</w:t>
            </w:r>
          </w:p>
        </w:tc>
        <w:tc>
          <w:tcPr>
            <w:tcW w:w="913" w:type="pct"/>
            <w:noWrap w:val="0"/>
            <w:vAlign w:val="center"/>
          </w:tcPr>
          <w:p w14:paraId="0A3BEE99">
            <w:pPr>
              <w:pageBreakBefore w:val="0"/>
              <w:wordWrap/>
              <w:topLinePunct w:val="0"/>
              <w:bidi w:val="0"/>
              <w:spacing w:after="0" w:line="360" w:lineRule="auto"/>
              <w:ind w:firstLine="0" w:firstLineChars="0"/>
              <w:jc w:val="center"/>
              <w:textAlignment w:val="auto"/>
              <w:rPr>
                <w:rFonts w:hint="eastAsia" w:ascii="Times New Roman" w:hAnsi="Times New Roman" w:eastAsia="宋体" w:cs="Times New Roman"/>
                <w:bCs w:val="0"/>
                <w:i w:val="0"/>
                <w:iCs w:val="0"/>
                <w:sz w:val="24"/>
                <w:szCs w:val="24"/>
                <w:highlight w:val="none"/>
                <w:lang w:eastAsia="zh-CN"/>
              </w:rPr>
            </w:pPr>
            <w:r>
              <w:rPr>
                <w:rFonts w:hint="eastAsia" w:cs="Times New Roman"/>
                <w:bCs w:val="0"/>
                <w:i w:val="0"/>
                <w:iCs w:val="0"/>
                <w:sz w:val="24"/>
                <w:szCs w:val="24"/>
                <w:highlight w:val="none"/>
                <w:lang w:eastAsia="zh-CN"/>
              </w:rPr>
              <w:t>151.921331</w:t>
            </w:r>
          </w:p>
        </w:tc>
        <w:tc>
          <w:tcPr>
            <w:tcW w:w="409" w:type="pct"/>
            <w:noWrap w:val="0"/>
            <w:vAlign w:val="center"/>
          </w:tcPr>
          <w:p w14:paraId="432B3034">
            <w:pPr>
              <w:pageBreakBefore w:val="0"/>
              <w:wordWrap/>
              <w:topLinePunct w:val="0"/>
              <w:bidi w:val="0"/>
              <w:spacing w:after="0" w:line="360" w:lineRule="auto"/>
              <w:ind w:firstLine="0" w:firstLineChars="0"/>
              <w:jc w:val="center"/>
              <w:textAlignment w:val="auto"/>
              <w:rPr>
                <w:rFonts w:hint="eastAsia" w:ascii="Times New Roman" w:hAnsi="Times New Roman" w:eastAsia="宋体" w:cs="Times New Roman"/>
                <w:i w:val="0"/>
                <w:iCs w:val="0"/>
                <w:sz w:val="24"/>
                <w:szCs w:val="24"/>
                <w:highlight w:val="none"/>
              </w:rPr>
            </w:pPr>
            <w:r>
              <w:rPr>
                <w:rFonts w:hint="eastAsia" w:ascii="Times New Roman" w:hAnsi="Times New Roman" w:eastAsia="宋体" w:cs="Times New Roman"/>
                <w:i w:val="0"/>
                <w:iCs w:val="0"/>
                <w:sz w:val="24"/>
                <w:szCs w:val="24"/>
                <w:highlight w:val="none"/>
              </w:rPr>
              <w:t>1批</w:t>
            </w:r>
          </w:p>
        </w:tc>
        <w:tc>
          <w:tcPr>
            <w:tcW w:w="2156" w:type="pct"/>
            <w:noWrap w:val="0"/>
            <w:vAlign w:val="center"/>
          </w:tcPr>
          <w:p w14:paraId="216B5E2D">
            <w:pPr>
              <w:pageBreakBefore w:val="0"/>
              <w:wordWrap/>
              <w:topLinePunct w:val="0"/>
              <w:bidi w:val="0"/>
              <w:spacing w:after="0" w:line="360" w:lineRule="auto"/>
              <w:ind w:firstLine="0" w:firstLineChars="0"/>
              <w:jc w:val="center"/>
              <w:textAlignment w:val="auto"/>
              <w:rPr>
                <w:rFonts w:hint="eastAsia" w:ascii="Times New Roman" w:hAnsi="Times New Roman" w:eastAsia="宋体" w:cs="Times New Roman"/>
                <w:i w:val="0"/>
                <w:iCs w:val="0"/>
                <w:sz w:val="24"/>
                <w:szCs w:val="24"/>
                <w:highlight w:val="none"/>
              </w:rPr>
            </w:pPr>
            <w:r>
              <w:rPr>
                <w:rFonts w:hint="eastAsia" w:cs="Times New Roman"/>
                <w:i w:val="0"/>
                <w:iCs w:val="0"/>
                <w:sz w:val="24"/>
                <w:szCs w:val="24"/>
                <w:highlight w:val="none"/>
                <w:lang w:eastAsia="zh-CN"/>
              </w:rPr>
              <w:t>花卉大观园再生水智联灌溉提升项目</w:t>
            </w:r>
            <w:r>
              <w:rPr>
                <w:rFonts w:hint="eastAsia" w:ascii="Times New Roman" w:hAnsi="Times New Roman" w:eastAsia="宋体" w:cs="Times New Roman"/>
                <w:i w:val="0"/>
                <w:iCs w:val="0"/>
                <w:sz w:val="24"/>
                <w:szCs w:val="24"/>
                <w:highlight w:val="none"/>
              </w:rPr>
              <w:t>工程量清单及图纸显示的全部工程内容</w:t>
            </w:r>
          </w:p>
        </w:tc>
      </w:tr>
    </w:tbl>
    <w:p w14:paraId="175DB9FA">
      <w:pPr>
        <w:pStyle w:val="4"/>
        <w:wordWrap w:val="0"/>
        <w:spacing w:after="0"/>
        <w:jc w:val="both"/>
        <w:rPr>
          <w:rFonts w:hint="eastAsia" w:ascii="宋体" w:hAnsi="宋体" w:cs="宋体"/>
          <w:b/>
          <w:bCs w:val="0"/>
          <w:sz w:val="24"/>
        </w:rPr>
      </w:pPr>
      <w:r>
        <w:rPr>
          <w:rFonts w:hint="eastAsia" w:ascii="宋体" w:hAnsi="宋体" w:eastAsia="宋体" w:cs="宋体"/>
          <w:b/>
          <w:bCs w:val="0"/>
          <w:sz w:val="24"/>
          <w:szCs w:val="24"/>
          <w:lang w:val="en-US" w:eastAsia="zh-CN"/>
        </w:rPr>
        <w:t>二</w:t>
      </w:r>
      <w:r>
        <w:rPr>
          <w:rFonts w:hint="eastAsia" w:ascii="宋体" w:hAnsi="宋体" w:eastAsia="宋体" w:cs="宋体"/>
          <w:b/>
          <w:bCs w:val="0"/>
          <w:sz w:val="24"/>
          <w:szCs w:val="24"/>
          <w:lang w:eastAsia="zh-CN"/>
        </w:rPr>
        <w:t>、</w:t>
      </w:r>
      <w:r>
        <w:rPr>
          <w:rFonts w:hint="eastAsia" w:ascii="宋体" w:hAnsi="宋体" w:cs="宋体"/>
          <w:b/>
          <w:bCs w:val="0"/>
          <w:sz w:val="24"/>
        </w:rPr>
        <w:t>项目背景/项目概述</w:t>
      </w:r>
    </w:p>
    <w:p w14:paraId="230EF71F">
      <w:pPr>
        <w:spacing w:after="0" w:line="360" w:lineRule="auto"/>
        <w:ind w:firstLine="480" w:firstLineChars="200"/>
        <w:rPr>
          <w:rFonts w:hint="eastAsia"/>
          <w:sz w:val="24"/>
        </w:rPr>
      </w:pPr>
      <w:r>
        <w:rPr>
          <w:rFonts w:hint="eastAsia"/>
          <w:sz w:val="24"/>
        </w:rPr>
        <w:t>本项目为落实《北京市节水条例》、《北京市节水行动实施方案》《北京市“十四五”节水型社会建设规划》等相关要求，基于已引入的再生水，通过建设再生水灌溉管网方式全面提升园区水资源利用效率，践行推广非常规水源利用的要求，丰台区节约用水办公室结合园区实际情况以及市政再生水管道覆盖等先决条件，秉承节约集约的原则，在花卉大观园选择一片示范区域推动再生水花卉大观园再生水智联灌溉提升建设。</w:t>
      </w:r>
    </w:p>
    <w:p w14:paraId="3DE82523">
      <w:pPr>
        <w:spacing w:after="0" w:line="360" w:lineRule="auto"/>
        <w:ind w:firstLine="480" w:firstLineChars="200"/>
        <w:rPr>
          <w:rFonts w:hint="eastAsia"/>
          <w:sz w:val="24"/>
        </w:rPr>
      </w:pPr>
      <w:r>
        <w:rPr>
          <w:rFonts w:hint="eastAsia"/>
          <w:sz w:val="24"/>
        </w:rPr>
        <w:t>本项目旨在通过铺设再生水灌溉管道及安装智能灌溉设备，优化花卉大观园北区的再生水资源管理与利用机制，选择北区的中心区域作为再生水灌溉升级改造的试点区域，将其打造为园区内首个集高效、环保、节约于一体的高效节水型园林灌溉示范区。</w:t>
      </w:r>
    </w:p>
    <w:p w14:paraId="5A225A6E">
      <w:pPr>
        <w:pStyle w:val="4"/>
        <w:wordWrap w:val="0"/>
        <w:spacing w:after="0" w:line="440" w:lineRule="exact"/>
        <w:jc w:val="both"/>
        <w:rPr>
          <w:rFonts w:hint="eastAsia" w:ascii="宋体" w:hAnsi="宋体" w:eastAsia="宋体" w:cs="宋体"/>
          <w:sz w:val="24"/>
          <w:szCs w:val="24"/>
        </w:rPr>
      </w:pPr>
      <w:r>
        <w:rPr>
          <w:rFonts w:hint="eastAsia" w:ascii="宋体" w:hAnsi="宋体" w:eastAsia="宋体" w:cs="宋体"/>
          <w:sz w:val="24"/>
          <w:szCs w:val="24"/>
          <w:lang w:val="en-US" w:eastAsia="zh-CN"/>
        </w:rPr>
        <w:t>三、</w:t>
      </w:r>
      <w:r>
        <w:rPr>
          <w:rFonts w:hint="eastAsia" w:ascii="宋体" w:hAnsi="宋体" w:eastAsia="宋体" w:cs="宋体"/>
          <w:sz w:val="24"/>
          <w:szCs w:val="24"/>
        </w:rPr>
        <w:t>商务要求</w:t>
      </w:r>
    </w:p>
    <w:p w14:paraId="1CA92D41">
      <w:pPr>
        <w:wordWrap w:val="0"/>
        <w:spacing w:after="0" w:line="440" w:lineRule="exact"/>
        <w:rPr>
          <w:rFonts w:hint="eastAsia" w:ascii="宋体" w:hAnsi="宋体" w:cs="宋体"/>
          <w:b/>
          <w:bCs/>
          <w:sz w:val="24"/>
        </w:rPr>
      </w:pPr>
      <w:r>
        <w:rPr>
          <w:rFonts w:hint="eastAsia" w:ascii="宋体" w:hAnsi="宋体" w:cs="宋体"/>
          <w:b/>
          <w:bCs/>
          <w:sz w:val="24"/>
        </w:rPr>
        <w:t>1. 实施的时间和地点</w:t>
      </w:r>
    </w:p>
    <w:p w14:paraId="67AA4939">
      <w:pPr>
        <w:wordWrap w:val="0"/>
        <w:spacing w:after="0" w:line="440" w:lineRule="exact"/>
        <w:ind w:firstLine="420"/>
        <w:rPr>
          <w:rFonts w:hint="eastAsia" w:ascii="宋体" w:hAnsi="宋体" w:cs="宋体"/>
          <w:sz w:val="24"/>
          <w:highlight w:val="none"/>
        </w:rPr>
      </w:pPr>
      <w:r>
        <w:rPr>
          <w:rFonts w:hint="eastAsia" w:ascii="宋体" w:hAnsi="宋体" w:cs="宋体"/>
          <w:sz w:val="24"/>
          <w:highlight w:val="none"/>
        </w:rPr>
        <w:t>1.1合同履行期：初步计划工期</w:t>
      </w:r>
      <w:r>
        <w:rPr>
          <w:rFonts w:hint="eastAsia" w:ascii="宋体" w:hAnsi="宋体" w:cs="宋体"/>
          <w:sz w:val="24"/>
          <w:highlight w:val="none"/>
          <w:lang w:val="en-US" w:eastAsia="zh-CN"/>
        </w:rPr>
        <w:t>120</w:t>
      </w:r>
      <w:r>
        <w:rPr>
          <w:rFonts w:hint="eastAsia" w:ascii="宋体" w:hAnsi="宋体" w:cs="宋体"/>
          <w:sz w:val="24"/>
          <w:highlight w:val="none"/>
        </w:rPr>
        <w:t>日历天，具体开工日期及工期，以实际通知为准。</w:t>
      </w:r>
    </w:p>
    <w:p w14:paraId="4849898D">
      <w:pPr>
        <w:wordWrap w:val="0"/>
        <w:spacing w:after="0" w:line="440" w:lineRule="exact"/>
        <w:ind w:firstLine="420"/>
        <w:rPr>
          <w:rFonts w:hint="eastAsia" w:ascii="宋体" w:hAnsi="宋体" w:cs="宋体"/>
          <w:sz w:val="24"/>
          <w:highlight w:val="none"/>
        </w:rPr>
      </w:pPr>
      <w:r>
        <w:rPr>
          <w:rFonts w:hint="eastAsia" w:ascii="宋体" w:hAnsi="宋体" w:cs="宋体"/>
          <w:sz w:val="24"/>
          <w:highlight w:val="none"/>
        </w:rPr>
        <w:t>1.2地点：</w:t>
      </w:r>
      <w:r>
        <w:rPr>
          <w:rFonts w:hint="eastAsia" w:ascii="宋体" w:hAnsi="宋体" w:cs="宋体"/>
          <w:sz w:val="24"/>
          <w:highlight w:val="none"/>
          <w:lang w:val="en-US" w:eastAsia="zh-CN"/>
        </w:rPr>
        <w:t>采购人指定地点</w:t>
      </w:r>
      <w:r>
        <w:rPr>
          <w:rFonts w:hint="eastAsia" w:ascii="宋体" w:hAnsi="宋体" w:cs="宋体"/>
          <w:sz w:val="24"/>
          <w:highlight w:val="none"/>
        </w:rPr>
        <w:t>。</w:t>
      </w:r>
    </w:p>
    <w:p w14:paraId="2A9C756C">
      <w:pPr>
        <w:wordWrap w:val="0"/>
        <w:spacing w:after="0" w:line="440" w:lineRule="exact"/>
        <w:ind w:firstLine="420"/>
        <w:rPr>
          <w:rFonts w:hint="eastAsia" w:ascii="宋体" w:hAnsi="宋体" w:cs="宋体"/>
          <w:sz w:val="24"/>
          <w:highlight w:val="none"/>
        </w:rPr>
      </w:pPr>
      <w:r>
        <w:rPr>
          <w:rFonts w:hint="eastAsia" w:ascii="宋体" w:hAnsi="宋体" w:cs="宋体"/>
          <w:sz w:val="24"/>
          <w:highlight w:val="none"/>
        </w:rPr>
        <w:t>1.3采购人或者采购代理机构应当按照政府采购合同规定的工程量、服务、安全标准组织对供应商履约情况进行验收，并出具验收书。</w:t>
      </w:r>
    </w:p>
    <w:p w14:paraId="3D907C89">
      <w:pPr>
        <w:wordWrap w:val="0"/>
        <w:spacing w:after="0" w:line="440" w:lineRule="exact"/>
        <w:rPr>
          <w:rFonts w:hint="eastAsia" w:ascii="宋体" w:hAnsi="宋体" w:cs="宋体"/>
          <w:b/>
          <w:bCs/>
          <w:sz w:val="24"/>
          <w:highlight w:val="none"/>
        </w:rPr>
      </w:pPr>
      <w:r>
        <w:rPr>
          <w:rFonts w:hint="eastAsia" w:ascii="宋体" w:hAnsi="宋体" w:cs="宋体"/>
          <w:b/>
          <w:bCs/>
          <w:sz w:val="24"/>
          <w:highlight w:val="none"/>
        </w:rPr>
        <w:t>2. 付款条件</w:t>
      </w:r>
    </w:p>
    <w:p w14:paraId="2E49A309">
      <w:pPr>
        <w:wordWrap w:val="0"/>
        <w:spacing w:after="0" w:line="440" w:lineRule="exact"/>
        <w:ind w:firstLine="420"/>
        <w:rPr>
          <w:rFonts w:hint="eastAsia" w:ascii="宋体" w:hAnsi="宋体" w:cs="宋体"/>
          <w:sz w:val="24"/>
          <w:highlight w:val="none"/>
        </w:rPr>
      </w:pPr>
      <w:r>
        <w:rPr>
          <w:rFonts w:hint="eastAsia" w:ascii="宋体" w:hAnsi="宋体" w:cs="宋体"/>
          <w:sz w:val="24"/>
          <w:highlight w:val="none"/>
        </w:rPr>
        <w:t>签订合同后乙方提供发票，甲方按照财务制度流程，向乙方支付合同总价的</w:t>
      </w:r>
      <w:r>
        <w:rPr>
          <w:rFonts w:hint="eastAsia" w:ascii="宋体" w:hAnsi="宋体" w:cs="宋体"/>
          <w:sz w:val="24"/>
          <w:highlight w:val="none"/>
          <w:lang w:val="en-US" w:eastAsia="zh-CN"/>
        </w:rPr>
        <w:t>30</w:t>
      </w:r>
      <w:r>
        <w:rPr>
          <w:rFonts w:hint="eastAsia" w:ascii="宋体" w:hAnsi="宋体" w:cs="宋体"/>
          <w:sz w:val="24"/>
          <w:highlight w:val="none"/>
        </w:rPr>
        <w:t>%，首付项目款；待项目全部完成，提交项目资料后，乙方提供发票，甲方按照财务制度流程向乙方支付合同总价的</w:t>
      </w:r>
      <w:r>
        <w:rPr>
          <w:rFonts w:hint="eastAsia" w:ascii="宋体" w:hAnsi="宋体" w:cs="宋体"/>
          <w:sz w:val="24"/>
          <w:highlight w:val="none"/>
          <w:lang w:val="en-US" w:eastAsia="zh-CN"/>
        </w:rPr>
        <w:t>6</w:t>
      </w:r>
      <w:r>
        <w:rPr>
          <w:rFonts w:hint="eastAsia" w:ascii="宋体" w:hAnsi="宋体" w:cs="宋体"/>
          <w:sz w:val="24"/>
          <w:highlight w:val="none"/>
        </w:rPr>
        <w:t>5%项目款；待甲方组织验收合格后，乙方提供发票，甲方按照财务制度流程向乙方支付剩余合同总价的5%。</w:t>
      </w:r>
    </w:p>
    <w:p w14:paraId="7D656F07">
      <w:pPr>
        <w:wordWrap w:val="0"/>
        <w:spacing w:after="0" w:line="440" w:lineRule="exact"/>
        <w:rPr>
          <w:rFonts w:hint="eastAsia" w:ascii="宋体" w:hAnsi="宋体" w:cs="宋体"/>
          <w:sz w:val="24"/>
          <w:highlight w:val="none"/>
        </w:rPr>
      </w:pPr>
      <w:r>
        <w:rPr>
          <w:rFonts w:hint="eastAsia" w:ascii="宋体" w:hAnsi="宋体" w:cs="宋体"/>
          <w:b/>
          <w:bCs/>
          <w:sz w:val="24"/>
          <w:highlight w:val="none"/>
        </w:rPr>
        <w:t>3.</w:t>
      </w:r>
      <w:r>
        <w:rPr>
          <w:rFonts w:hint="eastAsia" w:ascii="宋体" w:hAnsi="宋体" w:cs="宋体"/>
          <w:b/>
          <w:bCs/>
          <w:sz w:val="24"/>
          <w:highlight w:val="none"/>
          <w:lang w:val="en-US" w:eastAsia="zh-CN"/>
        </w:rPr>
        <w:t>项目最高限价</w:t>
      </w:r>
      <w:r>
        <w:rPr>
          <w:rFonts w:hint="eastAsia" w:ascii="宋体" w:hAnsi="宋体" w:cs="宋体"/>
          <w:b/>
          <w:bCs/>
          <w:sz w:val="24"/>
          <w:highlight w:val="none"/>
        </w:rPr>
        <w:t>造价信息：</w:t>
      </w:r>
      <w:r>
        <w:rPr>
          <w:rFonts w:hint="eastAsia" w:ascii="宋体" w:hAnsi="宋体" w:cs="宋体"/>
          <w:sz w:val="24"/>
          <w:highlight w:val="none"/>
        </w:rPr>
        <w:t>202</w:t>
      </w:r>
      <w:r>
        <w:rPr>
          <w:rFonts w:hint="eastAsia" w:ascii="宋体" w:hAnsi="宋体" w:cs="宋体"/>
          <w:sz w:val="24"/>
          <w:highlight w:val="none"/>
          <w:lang w:val="en-US" w:eastAsia="zh-CN"/>
        </w:rPr>
        <w:t>6</w:t>
      </w:r>
      <w:r>
        <w:rPr>
          <w:rFonts w:hint="eastAsia" w:ascii="宋体" w:hAnsi="宋体" w:cs="宋体"/>
          <w:sz w:val="24"/>
          <w:highlight w:val="none"/>
        </w:rPr>
        <w:t>年0</w:t>
      </w:r>
      <w:r>
        <w:rPr>
          <w:rFonts w:hint="eastAsia" w:ascii="宋体" w:hAnsi="宋体" w:cs="宋体"/>
          <w:sz w:val="24"/>
          <w:highlight w:val="none"/>
          <w:lang w:val="en-US" w:eastAsia="zh-CN"/>
        </w:rPr>
        <w:t>6</w:t>
      </w:r>
      <w:r>
        <w:rPr>
          <w:rFonts w:hint="eastAsia" w:ascii="宋体" w:hAnsi="宋体" w:cs="宋体"/>
          <w:sz w:val="24"/>
          <w:highlight w:val="none"/>
        </w:rPr>
        <w:t>月</w:t>
      </w:r>
    </w:p>
    <w:p w14:paraId="37275119">
      <w:pPr>
        <w:pStyle w:val="4"/>
        <w:wordWrap w:val="0"/>
        <w:spacing w:after="0" w:line="360" w:lineRule="auto"/>
        <w:jc w:val="both"/>
        <w:rPr>
          <w:rFonts w:hint="eastAsia" w:ascii="宋体" w:hAnsi="宋体" w:eastAsia="宋体" w:cs="宋体"/>
          <w:sz w:val="24"/>
          <w:szCs w:val="28"/>
        </w:rPr>
      </w:pPr>
      <w:r>
        <w:rPr>
          <w:rFonts w:hint="eastAsia" w:ascii="宋体" w:hAnsi="宋体" w:eastAsia="宋体" w:cs="宋体"/>
          <w:sz w:val="24"/>
          <w:szCs w:val="28"/>
          <w:lang w:val="en-US" w:eastAsia="zh-CN"/>
        </w:rPr>
        <w:t>四</w:t>
      </w:r>
      <w:r>
        <w:rPr>
          <w:rFonts w:hint="eastAsia" w:ascii="宋体" w:hAnsi="宋体" w:eastAsia="宋体" w:cs="宋体"/>
          <w:sz w:val="24"/>
          <w:szCs w:val="28"/>
        </w:rPr>
        <w:t>、工程量清单（另附）</w:t>
      </w:r>
    </w:p>
    <w:p w14:paraId="1A9DEE41">
      <w:pPr>
        <w:pStyle w:val="4"/>
        <w:wordWrap w:val="0"/>
        <w:spacing w:after="0" w:line="360" w:lineRule="auto"/>
        <w:jc w:val="both"/>
        <w:rPr>
          <w:rFonts w:hint="eastAsia" w:ascii="宋体" w:hAnsi="宋体" w:eastAsia="宋体" w:cs="宋体"/>
          <w:sz w:val="24"/>
          <w:szCs w:val="28"/>
        </w:rPr>
      </w:pPr>
      <w:r>
        <w:rPr>
          <w:rFonts w:hint="eastAsia" w:ascii="宋体" w:hAnsi="宋体" w:eastAsia="宋体" w:cs="宋体"/>
          <w:b/>
          <w:i w:val="0"/>
          <w:iCs w:val="0"/>
          <w:sz w:val="36"/>
          <w:szCs w:val="36"/>
        </w:rPr>
        <w:br w:type="page"/>
      </w:r>
      <w:r>
        <w:rPr>
          <w:rFonts w:hint="eastAsia" w:ascii="宋体" w:hAnsi="宋体" w:eastAsia="宋体" w:cs="宋体"/>
          <w:sz w:val="24"/>
          <w:szCs w:val="28"/>
          <w:lang w:val="en-US" w:eastAsia="zh-CN"/>
        </w:rPr>
        <w:t>五</w:t>
      </w:r>
      <w:r>
        <w:rPr>
          <w:rFonts w:hint="eastAsia" w:ascii="宋体" w:hAnsi="宋体" w:eastAsia="宋体" w:cs="宋体"/>
          <w:sz w:val="24"/>
          <w:szCs w:val="28"/>
        </w:rPr>
        <w:t>、技术标准及要求</w:t>
      </w:r>
    </w:p>
    <w:p w14:paraId="7F47E4B2">
      <w:pPr>
        <w:pStyle w:val="250"/>
        <w:wordWrap w:val="0"/>
        <w:spacing w:before="120" w:after="0"/>
        <w:outlineLvl w:val="2"/>
        <w:rPr>
          <w:rFonts w:hint="eastAsia" w:ascii="宋体" w:hAnsi="宋体" w:eastAsia="宋体"/>
          <w:b/>
          <w:sz w:val="24"/>
          <w:szCs w:val="24"/>
          <w:shd w:val="clear" w:color="auto" w:fill="FFFFFF"/>
        </w:rPr>
      </w:pPr>
      <w:r>
        <w:rPr>
          <w:rFonts w:hint="eastAsia" w:ascii="宋体" w:hAnsi="宋体" w:eastAsia="宋体"/>
          <w:b/>
          <w:sz w:val="24"/>
          <w:szCs w:val="24"/>
          <w:shd w:val="clear" w:color="auto" w:fill="FFFFFF"/>
        </w:rPr>
        <w:t>技术标准和要求通用部分</w:t>
      </w:r>
    </w:p>
    <w:p w14:paraId="0EB58308">
      <w:pPr>
        <w:wordWrap w:val="0"/>
        <w:adjustRightInd w:val="0"/>
        <w:snapToGrid w:val="0"/>
        <w:spacing w:after="0" w:line="360" w:lineRule="auto"/>
        <w:outlineLvl w:val="3"/>
        <w:rPr>
          <w:rFonts w:hint="eastAsia" w:ascii="宋体" w:hAnsi="宋体" w:cs="宋体"/>
          <w:sz w:val="24"/>
        </w:rPr>
      </w:pPr>
      <w:bookmarkStart w:id="672" w:name="_Toc96505331"/>
      <w:bookmarkStart w:id="673" w:name="_Toc96352127"/>
      <w:bookmarkStart w:id="674" w:name="_Toc96504942"/>
      <w:bookmarkStart w:id="675" w:name="_Toc96529953"/>
      <w:bookmarkStart w:id="676" w:name="_Toc24705"/>
      <w:r>
        <w:rPr>
          <w:rFonts w:hint="eastAsia" w:ascii="宋体" w:hAnsi="宋体" w:cs="宋体"/>
          <w:sz w:val="24"/>
        </w:rPr>
        <w:t>1.工程说明</w:t>
      </w:r>
      <w:bookmarkEnd w:id="672"/>
      <w:bookmarkEnd w:id="673"/>
      <w:bookmarkEnd w:id="674"/>
      <w:bookmarkEnd w:id="675"/>
      <w:bookmarkEnd w:id="676"/>
    </w:p>
    <w:p w14:paraId="291390DC">
      <w:pPr>
        <w:wordWrap w:val="0"/>
        <w:adjustRightInd w:val="0"/>
        <w:snapToGrid w:val="0"/>
        <w:spacing w:after="0" w:line="360" w:lineRule="auto"/>
        <w:rPr>
          <w:rFonts w:hint="eastAsia" w:ascii="宋体" w:hAnsi="宋体" w:cs="宋体"/>
          <w:sz w:val="24"/>
        </w:rPr>
      </w:pPr>
      <w:r>
        <w:rPr>
          <w:rFonts w:hint="eastAsia" w:ascii="宋体" w:hAnsi="宋体" w:cs="宋体"/>
          <w:sz w:val="24"/>
        </w:rPr>
        <w:t>1.1  工程概况</w:t>
      </w:r>
    </w:p>
    <w:p w14:paraId="5A699AEF">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1.1.1  本工程基本情况见技术标准和要求专用部分。</w:t>
      </w:r>
    </w:p>
    <w:p w14:paraId="5F89F928">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1.1.2  本工程施工场地（现场）具体地理位置见技术标准和要求专用部分。</w:t>
      </w:r>
    </w:p>
    <w:p w14:paraId="34C7C54F">
      <w:pPr>
        <w:wordWrap w:val="0"/>
        <w:adjustRightInd w:val="0"/>
        <w:snapToGrid w:val="0"/>
        <w:spacing w:after="0" w:line="360" w:lineRule="auto"/>
        <w:rPr>
          <w:rFonts w:hint="eastAsia" w:ascii="宋体" w:hAnsi="宋体" w:cs="宋体"/>
          <w:sz w:val="24"/>
        </w:rPr>
      </w:pPr>
      <w:r>
        <w:rPr>
          <w:rFonts w:hint="eastAsia" w:ascii="宋体" w:hAnsi="宋体" w:cs="宋体"/>
          <w:sz w:val="24"/>
        </w:rPr>
        <w:t>1.2  现场条件和周围环境</w:t>
      </w:r>
    </w:p>
    <w:p w14:paraId="1B0A55E9">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1.2.1  本工程施工场地（现场）已经具备施工条件。施工场地（现场）临时水源接口位置、临时电源接口位置、临时排污口位置、建筑红线位置、道路交通和出入口、以及施工场地（现场）和周围环境等情况见本章附图：施工场地（现场）现状平面图。</w:t>
      </w:r>
    </w:p>
    <w:p w14:paraId="15A6BF5D">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1.2.2  施工场地（现场）临时供水管径见技术标准和要求专用部分。</w:t>
      </w:r>
    </w:p>
    <w:p w14:paraId="52C85C0A">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施工场地（现场）临时排污管径见技术标准和要求专用部分。</w:t>
      </w:r>
    </w:p>
    <w:p w14:paraId="0102A3E6">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施工场地（现场）临时雨水管径见技术标准和要求专用部分。</w:t>
      </w:r>
    </w:p>
    <w:p w14:paraId="25E7DE2A">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施工场地（现场）临时供电容量（变压器输出功率）见技术标准和要求专用部分。</w:t>
      </w:r>
    </w:p>
    <w:p w14:paraId="04277EE7">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1.2.3  现场条件和周围环境的其他资料和信息数据见技术标准和要求专用部分。</w:t>
      </w:r>
    </w:p>
    <w:p w14:paraId="2AFCA9C8">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1.2.4  承包人被认为已在本工程投标阶段踏勘现场时充分了解本工程现场条件和周围环境，并已在其投标时就此给予了充分的考虑。</w:t>
      </w:r>
    </w:p>
    <w:p w14:paraId="7C402AF9">
      <w:pPr>
        <w:wordWrap w:val="0"/>
        <w:adjustRightInd w:val="0"/>
        <w:snapToGrid w:val="0"/>
        <w:spacing w:after="0" w:line="360" w:lineRule="auto"/>
        <w:rPr>
          <w:rFonts w:hint="eastAsia" w:ascii="宋体" w:hAnsi="宋体" w:cs="宋体"/>
          <w:sz w:val="24"/>
        </w:rPr>
      </w:pPr>
      <w:r>
        <w:rPr>
          <w:rFonts w:hint="eastAsia" w:ascii="宋体" w:hAnsi="宋体" w:cs="宋体"/>
          <w:sz w:val="24"/>
        </w:rPr>
        <w:t>1.3  地质及水文资料</w:t>
      </w:r>
    </w:p>
    <w:p w14:paraId="0D3CDB4C">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现场地质及水文资料和信息数据见技术标准和要求专用部分。</w:t>
      </w:r>
    </w:p>
    <w:p w14:paraId="653D1C3D">
      <w:pPr>
        <w:wordWrap w:val="0"/>
        <w:adjustRightInd w:val="0"/>
        <w:snapToGrid w:val="0"/>
        <w:spacing w:after="0" w:line="360" w:lineRule="auto"/>
        <w:rPr>
          <w:rFonts w:hint="eastAsia" w:ascii="宋体" w:hAnsi="宋体" w:cs="宋体"/>
          <w:sz w:val="24"/>
        </w:rPr>
      </w:pPr>
      <w:r>
        <w:rPr>
          <w:rFonts w:hint="eastAsia" w:ascii="宋体" w:hAnsi="宋体" w:cs="宋体"/>
          <w:sz w:val="24"/>
        </w:rPr>
        <w:t>1.4  资料和信息的使用</w:t>
      </w:r>
    </w:p>
    <w:p w14:paraId="4EC99391">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合同文件中载明的涉及本工程现场条件、周围环境、地质及水文等情况的资料和信息数据，是发包人现有的和客观的，发包人保证有关资料和信息数据的真实、准确。但承包人据此作出的推论、判断和决策，由承包人自行负责。</w:t>
      </w:r>
    </w:p>
    <w:p w14:paraId="7489270B">
      <w:pPr>
        <w:wordWrap w:val="0"/>
        <w:adjustRightInd w:val="0"/>
        <w:snapToGrid w:val="0"/>
        <w:spacing w:after="0" w:line="360" w:lineRule="auto"/>
        <w:outlineLvl w:val="3"/>
        <w:rPr>
          <w:rFonts w:hint="eastAsia" w:ascii="宋体" w:hAnsi="宋体" w:cs="宋体"/>
          <w:sz w:val="24"/>
        </w:rPr>
      </w:pPr>
      <w:bookmarkStart w:id="677" w:name="_Toc96352128"/>
      <w:bookmarkStart w:id="678" w:name="_Toc29131"/>
      <w:bookmarkStart w:id="679" w:name="_Toc96505332"/>
      <w:bookmarkStart w:id="680" w:name="_Toc96504943"/>
      <w:bookmarkStart w:id="681" w:name="_Toc96529954"/>
      <w:r>
        <w:rPr>
          <w:rFonts w:hint="eastAsia" w:ascii="宋体" w:hAnsi="宋体" w:cs="宋体"/>
          <w:sz w:val="24"/>
        </w:rPr>
        <w:t>2.承包范围</w:t>
      </w:r>
      <w:bookmarkEnd w:id="677"/>
      <w:bookmarkEnd w:id="678"/>
      <w:bookmarkEnd w:id="679"/>
      <w:bookmarkEnd w:id="680"/>
      <w:bookmarkEnd w:id="681"/>
    </w:p>
    <w:p w14:paraId="3FBB9F7B">
      <w:pPr>
        <w:wordWrap w:val="0"/>
        <w:adjustRightInd w:val="0"/>
        <w:snapToGrid w:val="0"/>
        <w:spacing w:after="0" w:line="360" w:lineRule="auto"/>
        <w:rPr>
          <w:rFonts w:hint="eastAsia" w:ascii="宋体" w:hAnsi="宋体" w:cs="宋体"/>
          <w:sz w:val="24"/>
        </w:rPr>
      </w:pPr>
      <w:r>
        <w:rPr>
          <w:rFonts w:hint="eastAsia" w:ascii="宋体" w:hAnsi="宋体" w:cs="宋体"/>
          <w:sz w:val="24"/>
        </w:rPr>
        <w:t>2.1  承包范围</w:t>
      </w:r>
    </w:p>
    <w:p w14:paraId="4CFD7FF2">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2.1.1  承包人施工范围</w:t>
      </w:r>
    </w:p>
    <w:p w14:paraId="57032A64">
      <w:pPr>
        <w:wordWrap w:val="0"/>
        <w:adjustRightInd w:val="0"/>
        <w:snapToGrid w:val="0"/>
        <w:spacing w:after="0" w:line="360" w:lineRule="auto"/>
        <w:ind w:firstLine="720" w:firstLineChars="300"/>
        <w:rPr>
          <w:rFonts w:hint="eastAsia" w:ascii="宋体" w:hAnsi="宋体" w:cs="宋体"/>
          <w:sz w:val="24"/>
        </w:rPr>
      </w:pPr>
      <w:r>
        <w:rPr>
          <w:rFonts w:hint="eastAsia" w:ascii="宋体" w:hAnsi="宋体" w:cs="宋体"/>
          <w:sz w:val="24"/>
        </w:rPr>
        <w:t>2.1.1.1  本工程承包人施工的工程范围见技术标准和要求专用部分。</w:t>
      </w:r>
    </w:p>
    <w:p w14:paraId="5635ECF7">
      <w:pPr>
        <w:wordWrap w:val="0"/>
        <w:adjustRightInd w:val="0"/>
        <w:snapToGrid w:val="0"/>
        <w:spacing w:after="0" w:line="360" w:lineRule="auto"/>
        <w:ind w:firstLine="720" w:firstLineChars="300"/>
        <w:rPr>
          <w:rFonts w:hint="eastAsia" w:ascii="宋体" w:hAnsi="宋体" w:cs="宋体"/>
          <w:sz w:val="24"/>
        </w:rPr>
      </w:pPr>
      <w:r>
        <w:rPr>
          <w:rFonts w:hint="eastAsia" w:ascii="宋体" w:hAnsi="宋体" w:cs="宋体"/>
          <w:sz w:val="24"/>
        </w:rPr>
        <w:t>2.1.1.2  承包人与其他独立承包人之间的工作界面划分见技术标准和要求专用部分。</w:t>
      </w:r>
    </w:p>
    <w:p w14:paraId="66DC2CC8">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2.1.2  承包范围内的暂估价材料和工程设备</w:t>
      </w:r>
    </w:p>
    <w:p w14:paraId="7446868B">
      <w:pPr>
        <w:wordWrap w:val="0"/>
        <w:adjustRightInd w:val="0"/>
        <w:snapToGrid w:val="0"/>
        <w:spacing w:after="0" w:line="360" w:lineRule="auto"/>
        <w:ind w:firstLine="720" w:firstLineChars="300"/>
        <w:rPr>
          <w:rFonts w:hint="eastAsia" w:ascii="宋体" w:hAnsi="宋体" w:cs="宋体"/>
          <w:sz w:val="24"/>
        </w:rPr>
      </w:pPr>
      <w:r>
        <w:rPr>
          <w:rFonts w:hint="eastAsia" w:ascii="宋体" w:hAnsi="宋体" w:cs="宋体"/>
          <w:sz w:val="24"/>
        </w:rPr>
        <w:t>2.1.2.1  承包范围内以暂估价形式实施的材料和工程设备见 “工程量清单”表 “材料和工程设备暂估表”。</w:t>
      </w:r>
    </w:p>
    <w:p w14:paraId="5D0C9258">
      <w:pPr>
        <w:wordWrap w:val="0"/>
        <w:adjustRightInd w:val="0"/>
        <w:snapToGrid w:val="0"/>
        <w:spacing w:after="0" w:line="360" w:lineRule="auto"/>
        <w:ind w:firstLine="720" w:firstLineChars="300"/>
        <w:rPr>
          <w:rFonts w:hint="eastAsia" w:ascii="宋体" w:hAnsi="宋体" w:cs="宋体"/>
          <w:sz w:val="24"/>
        </w:rPr>
      </w:pPr>
      <w:r>
        <w:rPr>
          <w:rFonts w:hint="eastAsia" w:ascii="宋体" w:hAnsi="宋体" w:cs="宋体"/>
          <w:sz w:val="24"/>
        </w:rPr>
        <w:t>2.1.2.2  承包人与暂估价材料和工程设备的供应商之间的工作界面划分见技术标准和要求专用部分。</w:t>
      </w:r>
    </w:p>
    <w:p w14:paraId="3CC92B1C">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2.1.3  承包范围内的暂列金额项目</w:t>
      </w:r>
    </w:p>
    <w:p w14:paraId="41050B14">
      <w:pPr>
        <w:wordWrap w:val="0"/>
        <w:adjustRightInd w:val="0"/>
        <w:snapToGrid w:val="0"/>
        <w:spacing w:after="0" w:line="360" w:lineRule="auto"/>
        <w:ind w:firstLine="720" w:firstLineChars="300"/>
        <w:rPr>
          <w:rFonts w:hint="eastAsia" w:ascii="宋体" w:hAnsi="宋体" w:cs="宋体"/>
          <w:sz w:val="24"/>
        </w:rPr>
      </w:pPr>
      <w:r>
        <w:rPr>
          <w:rFonts w:hint="eastAsia" w:ascii="宋体" w:hAnsi="宋体" w:cs="宋体"/>
          <w:sz w:val="24"/>
        </w:rPr>
        <w:t>2.1.3.1  以暂列金额（包括计日工）方式实施的项目一般包括两部分，见 “工程量清单”表“暂列金额明细表”（不包括计日工）和表“计日工表”；其中，计日工金额为承包人在其投标报价中按表“计日工表”所列计日工子目、暂估数量等相应规定填报的金额，构成暂列金额的一部分。</w:t>
      </w:r>
    </w:p>
    <w:p w14:paraId="5C1E317D">
      <w:pPr>
        <w:wordWrap w:val="0"/>
        <w:adjustRightInd w:val="0"/>
        <w:snapToGrid w:val="0"/>
        <w:spacing w:after="0" w:line="360" w:lineRule="auto"/>
        <w:ind w:firstLine="720" w:firstLineChars="300"/>
        <w:rPr>
          <w:rFonts w:hint="eastAsia" w:ascii="宋体" w:hAnsi="宋体" w:cs="宋体"/>
          <w:sz w:val="24"/>
        </w:rPr>
      </w:pPr>
      <w:r>
        <w:rPr>
          <w:rFonts w:hint="eastAsia" w:ascii="宋体" w:hAnsi="宋体" w:cs="宋体"/>
          <w:sz w:val="24"/>
        </w:rPr>
        <w:t>2.1.3.2  暂列金额明细表中每笔暂列金额所对应的子目，或计日工表中所列计日工子目，均只是可能发生的子目。承包人应当充分认识到，合同履行过程中所列上述暂列子目项金额可能不发生，也可能部分发生。监理人按照合同约定发出的使用暂列金额的指示，不限于只能用于上述表中所列子目。</w:t>
      </w:r>
    </w:p>
    <w:p w14:paraId="12AFA4FC">
      <w:pPr>
        <w:wordWrap w:val="0"/>
        <w:adjustRightInd w:val="0"/>
        <w:snapToGrid w:val="0"/>
        <w:spacing w:after="0" w:line="360" w:lineRule="auto"/>
        <w:ind w:firstLine="960" w:firstLineChars="400"/>
        <w:rPr>
          <w:rFonts w:hint="eastAsia" w:ascii="宋体" w:hAnsi="宋体" w:cs="宋体"/>
          <w:sz w:val="24"/>
        </w:rPr>
      </w:pPr>
      <w:r>
        <w:rPr>
          <w:rFonts w:hint="eastAsia" w:ascii="宋体" w:hAnsi="宋体" w:cs="宋体"/>
          <w:sz w:val="24"/>
        </w:rPr>
        <w:t>2.1.3.3  暂列金额是否实际发生、其再分和（或）合并等均不应成为承包人要求任何追加费用和(或)延长工期的理由。</w:t>
      </w:r>
    </w:p>
    <w:p w14:paraId="3A6889DA">
      <w:pPr>
        <w:wordWrap w:val="0"/>
        <w:adjustRightInd w:val="0"/>
        <w:snapToGrid w:val="0"/>
        <w:spacing w:after="0" w:line="360" w:lineRule="auto"/>
        <w:ind w:firstLine="720" w:firstLineChars="300"/>
        <w:rPr>
          <w:rFonts w:hint="eastAsia" w:ascii="宋体" w:hAnsi="宋体" w:cs="宋体"/>
          <w:sz w:val="24"/>
        </w:rPr>
      </w:pPr>
      <w:r>
        <w:rPr>
          <w:rFonts w:hint="eastAsia" w:ascii="宋体" w:hAnsi="宋体" w:cs="宋体"/>
          <w:sz w:val="24"/>
        </w:rPr>
        <w:t>2.1.3.4  关于暂列金额的其他说明见技术标准和要求专用部分。</w:t>
      </w:r>
    </w:p>
    <w:p w14:paraId="4E1B98CA">
      <w:pPr>
        <w:wordWrap w:val="0"/>
        <w:adjustRightInd w:val="0"/>
        <w:snapToGrid w:val="0"/>
        <w:spacing w:after="0" w:line="360" w:lineRule="auto"/>
        <w:rPr>
          <w:rFonts w:hint="eastAsia" w:ascii="宋体" w:hAnsi="宋体" w:cs="宋体"/>
          <w:sz w:val="24"/>
        </w:rPr>
      </w:pPr>
      <w:r>
        <w:rPr>
          <w:rFonts w:hint="eastAsia" w:ascii="宋体" w:hAnsi="宋体" w:cs="宋体"/>
          <w:sz w:val="24"/>
        </w:rPr>
        <w:t>2.2  发包人供应的材料和工程设备</w:t>
      </w:r>
    </w:p>
    <w:p w14:paraId="0EA942DD">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2.2.1  由发包人供应的材料和工程设备不属于承包人的承包范围。</w:t>
      </w:r>
    </w:p>
    <w:p w14:paraId="367852D1">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2.2.2  承包人与发包人供应的材料和设备供应商之间的工作界面划分见技术标准和要求专用部分。</w:t>
      </w:r>
    </w:p>
    <w:p w14:paraId="5BE7AFD7">
      <w:pPr>
        <w:wordWrap w:val="0"/>
        <w:adjustRightInd w:val="0"/>
        <w:snapToGrid w:val="0"/>
        <w:spacing w:after="0" w:line="360" w:lineRule="auto"/>
        <w:rPr>
          <w:rFonts w:hint="eastAsia" w:ascii="宋体" w:hAnsi="宋体" w:cs="宋体"/>
          <w:sz w:val="24"/>
        </w:rPr>
      </w:pPr>
      <w:r>
        <w:rPr>
          <w:rFonts w:hint="eastAsia" w:ascii="宋体" w:hAnsi="宋体" w:cs="宋体"/>
          <w:sz w:val="24"/>
        </w:rPr>
        <w:t>2.3  承包人需要为发包人和监理人提供的现场办公条件和设施</w:t>
      </w:r>
    </w:p>
    <w:p w14:paraId="3D5FCB46">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承包人需要为发包人和监理人提供的现场办公条件和设施及其详细要求见技术标准和要求专用部分。</w:t>
      </w:r>
    </w:p>
    <w:p w14:paraId="5866EE6D">
      <w:pPr>
        <w:wordWrap w:val="0"/>
        <w:adjustRightInd w:val="0"/>
        <w:snapToGrid w:val="0"/>
        <w:spacing w:after="0" w:line="360" w:lineRule="auto"/>
        <w:outlineLvl w:val="3"/>
        <w:rPr>
          <w:rFonts w:hint="eastAsia" w:ascii="宋体" w:hAnsi="宋体" w:cs="宋体"/>
          <w:sz w:val="24"/>
        </w:rPr>
      </w:pPr>
      <w:bookmarkStart w:id="682" w:name="_Toc96529955"/>
      <w:bookmarkStart w:id="683" w:name="_Toc96505333"/>
      <w:bookmarkStart w:id="684" w:name="_Toc96352129"/>
      <w:bookmarkStart w:id="685" w:name="_Toc3549"/>
      <w:bookmarkStart w:id="686" w:name="_Toc96504944"/>
      <w:r>
        <w:rPr>
          <w:rFonts w:hint="eastAsia" w:ascii="宋体" w:hAnsi="宋体" w:cs="宋体"/>
          <w:sz w:val="24"/>
        </w:rPr>
        <w:t>3.工期要求</w:t>
      </w:r>
      <w:bookmarkEnd w:id="682"/>
      <w:bookmarkEnd w:id="683"/>
      <w:bookmarkEnd w:id="684"/>
      <w:bookmarkEnd w:id="685"/>
      <w:bookmarkEnd w:id="686"/>
    </w:p>
    <w:p w14:paraId="667757EC">
      <w:pPr>
        <w:wordWrap w:val="0"/>
        <w:adjustRightInd w:val="0"/>
        <w:snapToGrid w:val="0"/>
        <w:spacing w:after="0" w:line="360" w:lineRule="auto"/>
        <w:rPr>
          <w:rFonts w:hint="eastAsia" w:ascii="宋体" w:hAnsi="宋体" w:cs="宋体"/>
          <w:sz w:val="24"/>
        </w:rPr>
      </w:pPr>
      <w:r>
        <w:rPr>
          <w:rFonts w:hint="eastAsia" w:ascii="宋体" w:hAnsi="宋体" w:cs="宋体"/>
          <w:sz w:val="24"/>
        </w:rPr>
        <w:t>3.1  合同工期</w:t>
      </w:r>
    </w:p>
    <w:p w14:paraId="55AE8AEE">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本工程合同工期和计划开、竣工日期为承包人在报价一览表中承诺的工期和计划开、竣工日期，并在合同协议书中载明。</w:t>
      </w:r>
    </w:p>
    <w:p w14:paraId="7F365DDC">
      <w:pPr>
        <w:wordWrap w:val="0"/>
        <w:adjustRightInd w:val="0"/>
        <w:snapToGrid w:val="0"/>
        <w:spacing w:after="0" w:line="360" w:lineRule="auto"/>
        <w:rPr>
          <w:rFonts w:hint="eastAsia" w:ascii="宋体" w:hAnsi="宋体" w:cs="宋体"/>
          <w:sz w:val="24"/>
        </w:rPr>
      </w:pPr>
      <w:r>
        <w:rPr>
          <w:rFonts w:hint="eastAsia" w:ascii="宋体" w:hAnsi="宋体" w:cs="宋体"/>
          <w:sz w:val="24"/>
        </w:rPr>
        <w:t>3.2  关于工期的一般规定</w:t>
      </w:r>
    </w:p>
    <w:p w14:paraId="58315391">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3.2.1  承包人在报价一览表中，承诺的工期和计划开、竣工日期之间发生矛盾或者不一致时，以承包人承诺的工期为准。实际开工日期以合同条款约定的监理人发出的开工通知中载明的开工日期为准。</w:t>
      </w:r>
    </w:p>
    <w:p w14:paraId="13186779">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3.2.2  如果承包人在报价一览表中，承诺的工期提前于发包人在本工程招标文件中所要求的工期，承包人在施工组织设计中应当制定相应的工期保证措施，由此而增加的费用应当被认为已经包括在投标总价中。除合同另有约定外，合同履约过程中发包人不会因此再向承包人支付任何性质的技术措施费用、赶工费用或其他任何性质的提前完工奖励等费用。</w:t>
      </w:r>
    </w:p>
    <w:p w14:paraId="4B4D9B6A">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3.2.3  承包人在报价一览表中，所承诺的工期应当包括实施并完成“承包范围内的暂列金额项目”规定的暂列金额在内的所有工作的工期。</w:t>
      </w:r>
    </w:p>
    <w:p w14:paraId="4406258F">
      <w:pPr>
        <w:wordWrap w:val="0"/>
        <w:adjustRightInd w:val="0"/>
        <w:snapToGrid w:val="0"/>
        <w:spacing w:after="0" w:line="360" w:lineRule="auto"/>
        <w:outlineLvl w:val="3"/>
        <w:rPr>
          <w:rFonts w:hint="eastAsia" w:ascii="宋体" w:hAnsi="宋体" w:cs="宋体"/>
          <w:sz w:val="24"/>
        </w:rPr>
      </w:pPr>
      <w:bookmarkStart w:id="687" w:name="_Toc96352130"/>
      <w:bookmarkStart w:id="688" w:name="_Toc96505334"/>
      <w:bookmarkStart w:id="689" w:name="_Toc15236"/>
      <w:bookmarkStart w:id="690" w:name="_Toc96529956"/>
      <w:bookmarkStart w:id="691" w:name="_Toc96504945"/>
      <w:r>
        <w:rPr>
          <w:rFonts w:hint="eastAsia" w:ascii="宋体" w:hAnsi="宋体" w:cs="宋体"/>
          <w:sz w:val="24"/>
        </w:rPr>
        <w:t>4.质量要求</w:t>
      </w:r>
      <w:bookmarkEnd w:id="687"/>
      <w:bookmarkEnd w:id="688"/>
      <w:bookmarkEnd w:id="689"/>
      <w:bookmarkEnd w:id="690"/>
      <w:bookmarkEnd w:id="691"/>
    </w:p>
    <w:p w14:paraId="4E715ABC">
      <w:pPr>
        <w:wordWrap w:val="0"/>
        <w:adjustRightInd w:val="0"/>
        <w:snapToGrid w:val="0"/>
        <w:spacing w:after="0" w:line="360" w:lineRule="auto"/>
        <w:rPr>
          <w:rFonts w:hint="eastAsia" w:ascii="宋体" w:hAnsi="宋体" w:cs="宋体"/>
          <w:sz w:val="24"/>
        </w:rPr>
      </w:pPr>
      <w:r>
        <w:rPr>
          <w:rFonts w:hint="eastAsia" w:ascii="宋体" w:hAnsi="宋体" w:cs="宋体"/>
          <w:sz w:val="24"/>
        </w:rPr>
        <w:t>4.1  质量标准</w:t>
      </w:r>
    </w:p>
    <w:p w14:paraId="2E9FA31B">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本工程要求的质量标准为符合现行国家有关工程施工验收规范和标准的要求（合格）。</w:t>
      </w:r>
    </w:p>
    <w:p w14:paraId="10708FDD">
      <w:pPr>
        <w:wordWrap w:val="0"/>
        <w:adjustRightInd w:val="0"/>
        <w:snapToGrid w:val="0"/>
        <w:spacing w:after="0" w:line="360" w:lineRule="auto"/>
        <w:rPr>
          <w:rFonts w:hint="eastAsia" w:ascii="宋体" w:hAnsi="宋体" w:cs="宋体"/>
          <w:sz w:val="24"/>
        </w:rPr>
      </w:pPr>
      <w:r>
        <w:rPr>
          <w:rFonts w:hint="eastAsia" w:ascii="宋体" w:hAnsi="宋体" w:cs="宋体"/>
          <w:sz w:val="24"/>
        </w:rPr>
        <w:t>4.2  特殊质量要求</w:t>
      </w:r>
    </w:p>
    <w:p w14:paraId="619D65B0">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有关本工程质量方面的特殊要求见技术标准和要求专用部分。</w:t>
      </w:r>
    </w:p>
    <w:p w14:paraId="6D5A9569">
      <w:pPr>
        <w:wordWrap w:val="0"/>
        <w:adjustRightInd w:val="0"/>
        <w:snapToGrid w:val="0"/>
        <w:spacing w:after="0" w:line="360" w:lineRule="auto"/>
        <w:outlineLvl w:val="3"/>
        <w:rPr>
          <w:rFonts w:hint="eastAsia" w:ascii="宋体" w:hAnsi="宋体" w:cs="宋体"/>
          <w:sz w:val="24"/>
        </w:rPr>
      </w:pPr>
      <w:bookmarkStart w:id="692" w:name="_Toc96352131"/>
      <w:bookmarkStart w:id="693" w:name="_Toc6119"/>
      <w:bookmarkStart w:id="694" w:name="_Toc96505335"/>
      <w:bookmarkStart w:id="695" w:name="_Toc96504946"/>
      <w:bookmarkStart w:id="696" w:name="_Toc96529957"/>
      <w:r>
        <w:rPr>
          <w:rFonts w:hint="eastAsia" w:ascii="宋体" w:hAnsi="宋体" w:cs="宋体"/>
          <w:sz w:val="24"/>
        </w:rPr>
        <w:t>5.适用规范和标准</w:t>
      </w:r>
      <w:bookmarkEnd w:id="692"/>
      <w:bookmarkEnd w:id="693"/>
      <w:bookmarkEnd w:id="694"/>
      <w:bookmarkEnd w:id="695"/>
      <w:bookmarkEnd w:id="696"/>
    </w:p>
    <w:p w14:paraId="3F9453EF">
      <w:pPr>
        <w:wordWrap w:val="0"/>
        <w:adjustRightInd w:val="0"/>
        <w:snapToGrid w:val="0"/>
        <w:spacing w:after="0" w:line="360" w:lineRule="auto"/>
        <w:ind w:firstLine="720" w:firstLineChars="300"/>
        <w:rPr>
          <w:rFonts w:hint="eastAsia" w:ascii="宋体" w:hAnsi="宋体" w:cs="宋体"/>
          <w:sz w:val="24"/>
        </w:rPr>
      </w:pPr>
      <w:r>
        <w:rPr>
          <w:rFonts w:hint="eastAsia" w:ascii="宋体" w:hAnsi="宋体" w:cs="宋体"/>
          <w:sz w:val="24"/>
        </w:rPr>
        <w:t>5.1  除合同另有约定外，本工程适用现行国家、行业和地方规范、标准和规程。适用于本工程的国家、行业和地方的规范、标准和规程等的名录见技术标准和要求专用部分。</w:t>
      </w:r>
    </w:p>
    <w:p w14:paraId="7FE71CA0">
      <w:pPr>
        <w:wordWrap w:val="0"/>
        <w:adjustRightInd w:val="0"/>
        <w:snapToGrid w:val="0"/>
        <w:spacing w:after="0" w:line="360" w:lineRule="auto"/>
        <w:ind w:firstLine="720" w:firstLineChars="300"/>
        <w:rPr>
          <w:rFonts w:hint="eastAsia" w:ascii="宋体" w:hAnsi="宋体" w:cs="宋体"/>
          <w:sz w:val="24"/>
        </w:rPr>
      </w:pPr>
      <w:r>
        <w:rPr>
          <w:rFonts w:hint="eastAsia" w:ascii="宋体" w:hAnsi="宋体" w:cs="宋体"/>
          <w:sz w:val="24"/>
        </w:rPr>
        <w:t>5.2  构成合同文件的任何内容与适用的规范、标准和规程之间出现矛盾，承包人应书面要求监理人予以澄清，除监理人有特别指示外，承包人应按照其中要求最严格的标准执行。</w:t>
      </w:r>
    </w:p>
    <w:p w14:paraId="1D18338E">
      <w:pPr>
        <w:wordWrap w:val="0"/>
        <w:adjustRightInd w:val="0"/>
        <w:snapToGrid w:val="0"/>
        <w:spacing w:after="0" w:line="360" w:lineRule="auto"/>
        <w:ind w:firstLine="720" w:firstLineChars="300"/>
        <w:rPr>
          <w:rFonts w:hint="eastAsia" w:ascii="宋体" w:hAnsi="宋体" w:cs="宋体"/>
          <w:sz w:val="24"/>
        </w:rPr>
      </w:pPr>
      <w:r>
        <w:rPr>
          <w:rFonts w:hint="eastAsia" w:ascii="宋体" w:hAnsi="宋体" w:cs="宋体"/>
          <w:sz w:val="24"/>
        </w:rPr>
        <w:t>5.3  除合同另有约定外，材料、施工工艺和本工程都应依照本技术标准和要求以及适用的现行规范、标准和规程的最新版本执行。若适用的现行规范、标准和规程的最新版本是在基准日后颁布的，且相应标准发生变更并成为合同文件中最严格的标准，则应按合同条款的约定办理。</w:t>
      </w:r>
    </w:p>
    <w:p w14:paraId="5E017EB5">
      <w:pPr>
        <w:wordWrap w:val="0"/>
        <w:adjustRightInd w:val="0"/>
        <w:snapToGrid w:val="0"/>
        <w:spacing w:after="0" w:line="360" w:lineRule="auto"/>
        <w:outlineLvl w:val="3"/>
        <w:rPr>
          <w:rFonts w:hint="eastAsia" w:ascii="宋体" w:hAnsi="宋体" w:cs="宋体"/>
          <w:sz w:val="24"/>
        </w:rPr>
      </w:pPr>
      <w:bookmarkStart w:id="697" w:name="_Toc96505336"/>
      <w:bookmarkStart w:id="698" w:name="_Toc20972"/>
      <w:bookmarkStart w:id="699" w:name="_Toc96352132"/>
      <w:bookmarkStart w:id="700" w:name="_Toc96504947"/>
      <w:bookmarkStart w:id="701" w:name="_Toc96529958"/>
      <w:r>
        <w:rPr>
          <w:rFonts w:hint="eastAsia" w:ascii="宋体" w:hAnsi="宋体" w:cs="宋体"/>
          <w:sz w:val="24"/>
        </w:rPr>
        <w:t>6.安全文明施工</w:t>
      </w:r>
      <w:bookmarkEnd w:id="697"/>
      <w:bookmarkEnd w:id="698"/>
      <w:bookmarkEnd w:id="699"/>
      <w:bookmarkEnd w:id="700"/>
      <w:bookmarkEnd w:id="701"/>
    </w:p>
    <w:p w14:paraId="2883A7B4">
      <w:pPr>
        <w:wordWrap w:val="0"/>
        <w:adjustRightInd w:val="0"/>
        <w:snapToGrid w:val="0"/>
        <w:spacing w:after="0" w:line="360" w:lineRule="auto"/>
        <w:rPr>
          <w:rFonts w:hint="eastAsia" w:ascii="宋体" w:hAnsi="宋体" w:cs="宋体"/>
          <w:sz w:val="24"/>
        </w:rPr>
      </w:pPr>
      <w:r>
        <w:rPr>
          <w:rFonts w:hint="eastAsia" w:ascii="宋体" w:hAnsi="宋体" w:cs="宋体"/>
          <w:sz w:val="24"/>
        </w:rPr>
        <w:t>6.1  安全防护</w:t>
      </w:r>
    </w:p>
    <w:p w14:paraId="360A0736">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6.1.1  在工程施工、竣工、交付及修补任何缺陷的过程中，承包人应当始终遵守国家和地方有关安全生产的法律、法规、规范、标准和规程等，按照合同条款的约定履行其安全施工职责。</w:t>
      </w:r>
    </w:p>
    <w:p w14:paraId="721C2EB3">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6.1.2  承包人应坚持“安全第一、预防为主</w:t>
      </w:r>
      <w:r>
        <w:rPr>
          <w:rFonts w:hint="eastAsia" w:ascii="宋体" w:hAnsi="宋体" w:cs="宋体"/>
          <w:sz w:val="24"/>
          <w:shd w:val="clear" w:color="auto" w:fill="FFFFFF"/>
        </w:rPr>
        <w:t>、综合治理</w:t>
      </w:r>
      <w:r>
        <w:rPr>
          <w:rFonts w:hint="eastAsia" w:ascii="宋体" w:hAnsi="宋体" w:cs="宋体"/>
          <w:sz w:val="24"/>
        </w:rPr>
        <w:t>”的方针，建立、健全安全生产责任制度和安全生产教育培训制度。在整个工程施工期间，承包人应在施工场地（现场）设立、提供和维护并在有关工作完成或竣工后撤除：</w:t>
      </w:r>
    </w:p>
    <w:p w14:paraId="114508D0">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(1)设立在现场入口显著位置的现场施工总平面图、总平面管理、安全生产、文明施工、环境保护、质量控制、材料管理等的规章制度和主要参建单位名称和工程概况等说明的图板；</w:t>
      </w:r>
    </w:p>
    <w:p w14:paraId="4643A3A2">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(2)为确保工程安全施工须设立的足够的标志、宣传画、标语、指示牌、警告牌、公示牌（如，职工工伤保险公示标牌）、火警、匪警和急救电话提示牌等等；</w:t>
      </w:r>
    </w:p>
    <w:p w14:paraId="15AD95CF">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(3)洞口和临边位置的安全防护设施，包括护身栏杆、脚手架、洞口盖板和加筋、竖井防护栏杆、防护棚、防护网、坡道等等；</w:t>
      </w:r>
    </w:p>
    <w:p w14:paraId="34EA7C3F">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(4)安全带、安全绳、安全帽、安全网、绝缘鞋、绝缘手套、防护口罩和防护衣等安全生产用品；</w:t>
      </w:r>
    </w:p>
    <w:p w14:paraId="545EDF4B">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(5)所有机械设备包括各类电动工具的安全保护和接地装置和操作说明；</w:t>
      </w:r>
    </w:p>
    <w:p w14:paraId="771690D4">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(6)装备良好的临时急救站和配备称职的医护人员；</w:t>
      </w:r>
    </w:p>
    <w:p w14:paraId="0DDA3C0E">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(7)主要作业场所和临时安全疏散通道24小时36伏安全照明和必要的警示等以防止各种可能的事故；</w:t>
      </w:r>
    </w:p>
    <w:p w14:paraId="29B2ABBB">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(8)足够数量的和合格的手提灭火器；</w:t>
      </w:r>
    </w:p>
    <w:p w14:paraId="4BB566B4">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(9)装备良好的易燃易爆物品仓库和相应的使用管理制度；</w:t>
      </w:r>
    </w:p>
    <w:p w14:paraId="679D6974">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(10)对涉及明火施工的工作制定诸如用火证等的管理制度；</w:t>
      </w:r>
    </w:p>
    <w:p w14:paraId="40751634">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(11)其他要求见技术标准和要求专用部分。</w:t>
      </w:r>
    </w:p>
    <w:p w14:paraId="36F21A72">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6.1.3  安全文明施工费用必须专款专用，保证安全文明施工措施的投入，并在财务管理中单独列支安全文明施工费账目备查。承包人应对其由于安全文明施工费用和施工安全措施不到位而发生的安全事故承担全部责任。</w:t>
      </w:r>
    </w:p>
    <w:p w14:paraId="00CC009C">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6.1.4  承包人应建立专门的施工场地（现场）安全生产管理机构，配备足够数量符合有关规定的专职安全生产管理人员，负责日常安全生产巡查和专项检查，召集和主持现场全体人员参加的安全生产例会（每周至少一次），负责安全技术交底和技术方案的安全把关，负责制定或审核安全隐患的整改措施并监督落实，负责安全资料的整理和管理，及时消除安全隐患，做好安全检查记录，确保所有的安全设施都处于良好的运转状态。承包人项目经理和专职安全生产管理人员均应当具备有效的安全生产考核合格证书。</w:t>
      </w:r>
    </w:p>
    <w:p w14:paraId="1B7CA2AB">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6.1.5  承包人应遵照有关法律法规要求，编制印发安全防护手册给进场施工人员，做好进场施工人员上岗前的安全教育和培训工作，并建立考核制度，只有考核合格的人员才能进场施工作业。特种作业人员还应经过专门的安全作业培训，并取得特种作业操作资格证书后方可上岗。在任何分部分项工程开始施工前，承包人应当就有关安全施工的技术要求向施工作业班组和作业人员等进行安全交底，并由双方签字确认。</w:t>
      </w:r>
    </w:p>
    <w:p w14:paraId="069297B5">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6.1.6  承包人应为其进场施工人员配备必需的安全防护设施和设备，承包人还应为施工场地（现场）邻近地区的所有者和占有者、公众和其他人员，提供一切必要的临时道路、人行道、防护棚、围栏及警告等，以确保财产和人身安全以及最大程度地降低施工可能造成的不便。</w:t>
      </w:r>
    </w:p>
    <w:p w14:paraId="32412D2F">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6.1.7  承包人应在施工场地（现场）入口处、施工起重机械、临时用电设施、脚手架、出入通道口、楼梯口、电梯井口、孔洞口、隧道口、基坑边沿、危险品存放处等危险部位设置一切必需的安全警示标志，包括但不限于标准道路标志、报警标志、危险标志、控制标志、安全标志、指示标志、警告标志等，并配备必要的照明、防护和看守。承包人应当按监理人的指示，经常补充或更换失效的警示和标志。</w:t>
      </w:r>
    </w:p>
    <w:p w14:paraId="584D4B8F">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6.1.8  承包人应对施工场地（现场）内由其提供并安装的所有提升架、外用电梯和塔吊等垂直和水平运输机械进行安全围护，包括卸料平台门的安全开关、警示铃和警示灯，卸料平台的护身栏杆，脚手架和安全网等等；所有的机械设备应设置安全操作防护罩，并在醒目位置张挂详细的安全操作要点等。</w:t>
      </w:r>
    </w:p>
    <w:p w14:paraId="656799C7">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6.1.9  承包人应对所有用于提升的挂钩、挂环、钢丝绳、铁扁担等进行定期检测、检查和标定；如果监理人认为，任何此类设施已经损坏或有使用不当之处，承包人应立即以合格的产品进行更换；所有垂直和水平运输机械的搭设、顶升、使用和拆除必须严格依照现行有关法律、法规、规章、规范、标准和规程等的要求。</w:t>
      </w:r>
    </w:p>
    <w:p w14:paraId="7D4E43C7">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6.1.10  所有机械和工器具应定期保养、校核和维护，以保证它们处于良好和安全的工作状态。保养、校核和维护工作应尽可能安排在非工作时间进行，并为上述机械和工器具准备足够的备用配件，以确保工程的施工能不间断地进行。</w:t>
      </w:r>
    </w:p>
    <w:p w14:paraId="3AE5E753">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6.1.11  在永久工程和施工边坡、建筑物基坑、地下洞室等的开挖过程中，应根据其施工安全的需要和（或）监理人指示，安装必要的施工安全监测仪器，及时进行必要的施工安全监测，并定期将安全监测成果提交监理人，以防止引起任何沉降、变形或其他影响正常施工进度的损害。</w:t>
      </w:r>
    </w:p>
    <w:p w14:paraId="1556D787">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6.1.12  承包人应对任何施工中的永久工程进行必要的支撑或临时加固。除非承包人已获得监理人书面许可并按要求进行了必要的加固或支撑，不允许承包人在任何已完成的永久性结构上堆放超过设计允许荷载的任何材料、物品或设备。在任何情况下，承包人均应对其任何上述超载行为引起的后果负责，并承担相应的修缮费用。</w:t>
      </w:r>
    </w:p>
    <w:p w14:paraId="00F7D210">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6.1.13  承包人应成立应急救援小组，配备必要的应急救援器材和设备，制定灾害和生产安全事故的应急救援预案，并将应急救援预案报送监理人。应急救援预案应能随时组织应救专职人员、并定期组织演练。</w:t>
      </w:r>
    </w:p>
    <w:p w14:paraId="39DECA80">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6.1.14  施工过程中需要使用爆破或带炸药的工具等危险性施工方法时，承包人应提前通知监理人。经监理人批准后，承包人应依照有关法律、法规、规章以及政府有关主管机构制定的规范性文件等的规定，向有关机构提出申请并获得相关许可。承包人应严格依照上述规定使用、储藏、管理爆破物品或带炸药的工具等，并负责由于这类物品的使用可能引起的任何损失或损害的赔偿。任何情况下，承包人不得在已完永久性工程中和空心砌体中使用爆破方法。</w:t>
      </w:r>
    </w:p>
    <w:p w14:paraId="63819A8B">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6.1.15  基坑支护与降水工程、土方开挖工程、模板工程、起重吊装工程、脚手架工程、拆除工程和爆破工程等达到一定规模和危险性较大的分部分项工程，承包人应当编制专项施工方案，其中深基坑、地下暗挖和高大模板工程的专项施工方案，还应组织专家进行论证和审查。</w:t>
      </w:r>
    </w:p>
    <w:p w14:paraId="68888157">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6.1.16  承包人应按照合同条款的约定处理本工程施工过程中发生的事故。发生施工安全事故后，承包人必须立即报告监理人和发包人，并在事故发生后一小时内向发包人提交事故情况书面报告，并根据《生产安全事故报告和调查处理条例》的规定，及时向工程所在地县级以上地方人民政府安全生产监督管理部门和建设行政主管部门报告。情况紧急时，事故现场有关人员可以直接向工程所在地县级以上地方人民政府安全生产监督管理部门和建设行政主管部门报告。</w:t>
      </w:r>
    </w:p>
    <w:p w14:paraId="7543695A">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6.1.17  承包人还应根据有关法律、法规、规定和条例等的要求，制定一套安全生产应急措施和程序，保证一旦出现任何安全事故，能立即保护好现场，抢救伤员和财产，保证施工生产的正常进行，防止损失扩大。</w:t>
      </w:r>
    </w:p>
    <w:p w14:paraId="4E210261">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6.1.18  安全防护方面的其他要求见技术标准和要求专用部分。</w:t>
      </w:r>
    </w:p>
    <w:p w14:paraId="50D35023">
      <w:pPr>
        <w:wordWrap w:val="0"/>
        <w:adjustRightInd w:val="0"/>
        <w:snapToGrid w:val="0"/>
        <w:spacing w:after="0" w:line="360" w:lineRule="auto"/>
        <w:rPr>
          <w:rFonts w:hint="eastAsia" w:ascii="宋体" w:hAnsi="宋体" w:cs="宋体"/>
          <w:sz w:val="24"/>
        </w:rPr>
      </w:pPr>
      <w:r>
        <w:rPr>
          <w:rFonts w:hint="eastAsia" w:ascii="宋体" w:hAnsi="宋体" w:cs="宋体"/>
          <w:sz w:val="24"/>
        </w:rPr>
        <w:t>6.2  临时消防</w:t>
      </w:r>
    </w:p>
    <w:p w14:paraId="5D28A2BC">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6.2.1  承包人应建立消防安全责任制度，制定用火、用电和使用易燃易爆等危险品的消防安全管理制度和操作规程。各项制度和规程等应满足相关法律法规和政府消防管理机构的要求。</w:t>
      </w:r>
    </w:p>
    <w:p w14:paraId="3159EC1E">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6.2.2  承包人应根据相关法律法规和消防管理部门的要求，为施工中的永久工程和所有临时工程提供必要的临时消防和紧急疏散设施，包括提供并维持畅通的消防通道、临时消火栓、灭火器、水龙带、灭火桶、灭火铲、灭火斧、消防水管、阀门、检查井、临时消防水箱、泵房和紧随工作面的临时疏散楼梯或疏散设施，消防设施的设立和消防设备的型号和功率应满足消防任务的需要，始终保持能够随时投入正常使用的状态，并设立明显标志。承包人的临时消防系统和配置应分别经过监理人和消防管理部门的审批和验收；承包人还应自费获得消防管理部门的临时消防证书。所有的临时消防设施属于承包人所有，至工程实际竣工时且永久性消防系统投入使用后从现场拆除。</w:t>
      </w:r>
    </w:p>
    <w:p w14:paraId="2D819EA4">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6.2.3  承包人应当成立由项目主要负责人担任组长的临时消防组或消防队，宣传消防基本知识和基本操作培训，组织消防演练，保证一旦发生火灾，能够组织有效的自救，保护生命和财产安全。</w:t>
      </w:r>
    </w:p>
    <w:p w14:paraId="16589C22">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6.2.4  施工场地（现场）内的易燃、易爆物品应单独和安全地存放，设专人进行存放和领用管理。施工场地（现场）储有或正在使用易燃、易爆或可燃材料时或有明火施工的工序，应当实行严格的“用火证”管理制度。</w:t>
      </w:r>
    </w:p>
    <w:p w14:paraId="0015019B">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6.2.5  临时消防方面的其他要求见技术标准和要求专用部分。</w:t>
      </w:r>
    </w:p>
    <w:p w14:paraId="01C23B38">
      <w:pPr>
        <w:wordWrap w:val="0"/>
        <w:adjustRightInd w:val="0"/>
        <w:snapToGrid w:val="0"/>
        <w:spacing w:after="0" w:line="360" w:lineRule="auto"/>
        <w:rPr>
          <w:rFonts w:hint="eastAsia" w:ascii="宋体" w:hAnsi="宋体" w:cs="宋体"/>
          <w:sz w:val="24"/>
        </w:rPr>
      </w:pPr>
      <w:r>
        <w:rPr>
          <w:rFonts w:hint="eastAsia" w:ascii="宋体" w:hAnsi="宋体" w:cs="宋体"/>
          <w:sz w:val="24"/>
        </w:rPr>
        <w:t>6.3  临时供电</w:t>
      </w:r>
    </w:p>
    <w:p w14:paraId="692510C3">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6.3.1  承包人应当根据《施工现场临时用电安全技术规范》（JGJ46-2005）及其适用的修订版本的规定和施工要求编制施工临时用电方案。临时用电方案及其变更必须履行“编制、审核、批准”程序。施工临时用电方案应当由电气工程技术人员组织编制，经企业技术负责人批准后实施，经编制、审核、批准部门和使用单位共同验收合格后方可投入使用。</w:t>
      </w:r>
    </w:p>
    <w:p w14:paraId="4EAC85DD">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6.3.2  承包人应为施工场地（现场），包括为工程楼层或者各区域，提供、设立和维护必要的临时电力供应系统，并保证电力供应系统始终处于满足供电管理部门要求和正常施工生产所要求的状态，并在工程实际竣工和相应永久系统投入使用后从现场拆除。</w:t>
      </w:r>
    </w:p>
    <w:p w14:paraId="4C65135F">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6.3.3  临时供电系统的电缆、电线、配电箱、控制柜、开关箱、漏电保护器等材料设备均应当具有生产（制造）许可证、产品合格证并经过检验合格的产品。临时用电采用三相五线制、三级配电和两极漏电保护供电，三相四线制配电的电缆线路必须采用五芯电缆，按规定设立零线和接地线。电缆和电线的铺设要符合安全用电标准要求，电缆线路应采用埋地或架空敷设，严禁严地面明设，并应避免机械损伤和介质腐蚀。埋地电缆路径应设方位标志。各种配电设备均设有防止漏电和防雨防水设施。</w:t>
      </w:r>
    </w:p>
    <w:p w14:paraId="1AE5A9FC">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6.3.4  承包人应在施工作业区、施工道路、临时设施、办公区和生活区设置足够的照明，地下工程照明系统的电压不得高于36V，在潮湿和易触及带电体场所的照明供电电压不应大于24V。不便于使用电器照明的工作面应采用特殊照明设施。</w:t>
      </w:r>
    </w:p>
    <w:p w14:paraId="5C8B5D4D">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6.3.5  凡可能漏电伤人或易受雷击的电器及建筑物均应设置接地和避雷装置。承包人应负责避雷装置的采购、安装、管理和维修，并建立定期检查制度。</w:t>
      </w:r>
    </w:p>
    <w:p w14:paraId="31ED4903">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6.3.6  临时用电方面的其他要求见技术标准和要求专用部分。</w:t>
      </w:r>
    </w:p>
    <w:p w14:paraId="0A9281EF">
      <w:pPr>
        <w:wordWrap w:val="0"/>
        <w:adjustRightInd w:val="0"/>
        <w:snapToGrid w:val="0"/>
        <w:spacing w:after="0" w:line="360" w:lineRule="auto"/>
        <w:rPr>
          <w:rFonts w:hint="eastAsia" w:ascii="宋体" w:hAnsi="宋体" w:cs="宋体"/>
          <w:sz w:val="24"/>
        </w:rPr>
      </w:pPr>
      <w:r>
        <w:rPr>
          <w:rFonts w:hint="eastAsia" w:ascii="宋体" w:hAnsi="宋体" w:cs="宋体"/>
          <w:sz w:val="24"/>
        </w:rPr>
        <w:t>6.4  劳动保护</w:t>
      </w:r>
    </w:p>
    <w:p w14:paraId="55515384">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6.4.1  承包人应遵守所有适用于本合同的劳动法规及其他有关法律、法规、规章和规定中关于工人工资标准、劳动时间和劳动条件的规定，合理安排现场作业人员的劳动和休息时间，保障劳动者必须的休息时间，支付合理的报酬和费用。承包人应按有关行政管理部门的规定为本合同下雇佣的职员和工人办理任何必要的证件、许可、保险和注册等，并保障发包人免于因承包人不能依照或完全依照上述所有法律、法规、规章和规定等可能给发包人带来的任何处罚、索赔、损失和损害等。</w:t>
      </w:r>
    </w:p>
    <w:p w14:paraId="7B0BB8E1">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6.4.2  承包人应按照国家《劳动保护法》的规定，保障现场施工人员的劳动安全。承包人应为本合同下雇佣的职员和工人提供适当和充分的劳动保护，包括但不限于安全防护、防寒、防雨、防尘、绝缘保护、常用药品、急救设备、传染病预防等。</w:t>
      </w:r>
    </w:p>
    <w:p w14:paraId="268F5D49">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6.4.3  承包人应为其履行本合同所雇佣的职员和工人提供和维护任何必要的膳宿条件和生活环境，包括但不限于宿舍、围栏、供水（饮用及其他目的用水）、供电、卫生设备、食堂及炊具、防火及灭火设备、供热、家具及其他正常膳宿条件和生活环境所需的必需品，并应考虑宗教和民族习惯。</w:t>
      </w:r>
    </w:p>
    <w:p w14:paraId="7F6BD0CD">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6.4.4  承包人应为现场工人提供符合政府卫生规定的生活条件并获得必要的许可，保证工人的健康和防止任何传染病，包括工人的食堂、厕所、工具房、宿舍等；承包人应聘请专业的卫生防疫部门定期对现场、工人生活基地和工程进行防疫和卫生的专业检查和处理，包括消灭白蚁、鼠害、蚊蝇和其它害虫，以防对施工人员、现场和永久工程造成任何危害。</w:t>
      </w:r>
    </w:p>
    <w:p w14:paraId="610ADDAD">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6.4.5  承包人应在现场设立专门的临时医疗站，配备足够的设施、药物和称职的医务人员，承包人还应准备急救担架，用于一旦发生安全事故时对受伤人员的急救。</w:t>
      </w:r>
    </w:p>
    <w:p w14:paraId="3C8F6069">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6.4.6  劳动保护方面的其他要求见技术标准和要求专用部分。</w:t>
      </w:r>
    </w:p>
    <w:p w14:paraId="223C7D7C">
      <w:pPr>
        <w:wordWrap w:val="0"/>
        <w:adjustRightInd w:val="0"/>
        <w:snapToGrid w:val="0"/>
        <w:spacing w:after="0" w:line="360" w:lineRule="auto"/>
        <w:rPr>
          <w:rFonts w:hint="eastAsia" w:ascii="宋体" w:hAnsi="宋体" w:cs="宋体"/>
          <w:sz w:val="24"/>
        </w:rPr>
      </w:pPr>
      <w:r>
        <w:rPr>
          <w:rFonts w:hint="eastAsia" w:ascii="宋体" w:hAnsi="宋体" w:cs="宋体"/>
          <w:sz w:val="24"/>
        </w:rPr>
        <w:t>6.5  脚手架</w:t>
      </w:r>
    </w:p>
    <w:p w14:paraId="02C5FE00">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6.5.1  承包人应搭设并维护一切必要的临时脚手架、挑平台并配以脚手板、安全网、护身栏杆、门架、马道、坡道、爬梯等等。脚手架和挑平台的搭设应满足有关安全生产的法律、法规、规范、标准和规程等的要求。新搭设的脚手架投入使用前，承包人必须组织安全检查和验收，并对使用脚手架的作业人员进行安全交底。</w:t>
      </w:r>
    </w:p>
    <w:p w14:paraId="5E143A8A">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6.5.2  所有脚手架，尤其是大型、复杂、高耸和非常规脚手架，要编制专项施工方案，还应当经过安全验算，脚手架安全验算结果必须报送监理人核查后方可实施。</w:t>
      </w:r>
    </w:p>
    <w:p w14:paraId="10A57DD6">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6.5.3  搭设爬架、挂架、超高脚手架等特种或新型脚手架时，承包人应确保此类脚手架的安全性和保证此类脚手架已经过有关行政管理部门允许使用的批准，并承担与此有关的一切费用。</w:t>
      </w:r>
    </w:p>
    <w:p w14:paraId="78977B67">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6.5.4  承包人应当加强脚手架的日常安全巡查，及时对其中的安全隐患进行整改，确保脚手架使用安全。雨、雪、雾、霜和大风等天气后，承包人必须对脚手架进行安全巡查，并及时消除安全隐患。</w:t>
      </w:r>
    </w:p>
    <w:p w14:paraId="0A74132A">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6.5.5  承包人应允许发包人、监理人、独立承包人（如果有）和有关行政管理部门或者机构免费使用承包人在现场搭设的任何已有脚手架，并就其安全使用做必要交底说明。承包人在拆除任何脚手架前，应书面请示监理人他将要拆除的脚手架是否为发包人、监理人、独立承包人（如果有）和政府有关机构所需，只有在获得监理人书面批准后，承包人才能拆除相关脚手架，否则承包人应自费重新搭设。</w:t>
      </w:r>
    </w:p>
    <w:p w14:paraId="052F58C2">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6.5.6  脚手架的其他要求见技术标准和要求专用部分。</w:t>
      </w:r>
    </w:p>
    <w:p w14:paraId="441332EA">
      <w:pPr>
        <w:wordWrap w:val="0"/>
        <w:adjustRightInd w:val="0"/>
        <w:snapToGrid w:val="0"/>
        <w:spacing w:after="0" w:line="360" w:lineRule="auto"/>
        <w:rPr>
          <w:rFonts w:hint="eastAsia" w:ascii="宋体" w:hAnsi="宋体" w:cs="宋体"/>
          <w:sz w:val="24"/>
        </w:rPr>
      </w:pPr>
      <w:r>
        <w:rPr>
          <w:rFonts w:hint="eastAsia" w:ascii="宋体" w:hAnsi="宋体" w:cs="宋体"/>
          <w:sz w:val="24"/>
        </w:rPr>
        <w:t>6.6  施工安全措施计划</w:t>
      </w:r>
    </w:p>
    <w:p w14:paraId="730E58EC">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6.6.1  承包人应根据《中华人民共和国安全生产法》、《职业健康安全管理体系规范》、《中华人民共和国消防法》、《中华人民共和国道路交通安全法》、《中华人民共和国传染病防治法实施办法》和地方有关的法规等，按照合同条款的约定，编制一份施工安全措施计划，报送监理人审批。</w:t>
      </w:r>
    </w:p>
    <w:p w14:paraId="5F2363EF">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6.6.2  施工安全措施计划是承包人阐明其安全管理方针、管理体系、安全制度和安全措施等的文件，其内容应当反映现行法律法规规定的，和合同约定的以及本条上述约定的承包人安全职责，至少包括：</w:t>
      </w:r>
    </w:p>
    <w:p w14:paraId="284D5765">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(1)施工安全管理机构的设置；</w:t>
      </w:r>
    </w:p>
    <w:p w14:paraId="7CCEC069">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(2)专职安全管理人员的配备；</w:t>
      </w:r>
    </w:p>
    <w:p w14:paraId="3550071E">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(3)安全责任制度和管理措施；</w:t>
      </w:r>
    </w:p>
    <w:p w14:paraId="72AC72F1">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(4)安全教育和培训制度及管理措施；</w:t>
      </w:r>
    </w:p>
    <w:p w14:paraId="11536E69">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(5)各项安全生产规章制度和操作规程；</w:t>
      </w:r>
    </w:p>
    <w:p w14:paraId="66C5DB58">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(6)各项施工安全措施和防护措施；</w:t>
      </w:r>
    </w:p>
    <w:p w14:paraId="6A98FE82">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(7)危险品管理和使用制度；</w:t>
      </w:r>
    </w:p>
    <w:p w14:paraId="18CA163A">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(8)安全设施、设备、器材和劳动保护用品的配置；</w:t>
      </w:r>
    </w:p>
    <w:p w14:paraId="4E8C97D6">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(9)其他要求见技术标准和要求专用部分。</w:t>
      </w:r>
    </w:p>
    <w:p w14:paraId="5F79D4BD">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施工安全措施的项目和范围，应符合国家颁发的《安全技术措施计划的项目总名称表》及其附录H、I、J的规定，即应采取以改善劳动条件，防止工伤事故，预防职业病和职业中毒为目的的一切施工安全措施，以及修建必要的安全设施、配备安全技术开发试验所需的器材、设备和技术资料，并对现场的施工管理及作业人员做好相应的安全宣传教育。</w:t>
      </w:r>
    </w:p>
    <w:p w14:paraId="23947E67">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6.6.3  施工安全措施计划应当在合同条款约定的期限内报送监理人。承包人应当严格执行经监理人批准的施工安全措施计划，并及时补充、修订和完善施工安全措施计划，确保安全生产。</w:t>
      </w:r>
    </w:p>
    <w:p w14:paraId="0DE9B8D7">
      <w:pPr>
        <w:wordWrap w:val="0"/>
        <w:adjustRightInd w:val="0"/>
        <w:snapToGrid w:val="0"/>
        <w:spacing w:after="0" w:line="360" w:lineRule="auto"/>
        <w:rPr>
          <w:rFonts w:hint="eastAsia" w:ascii="宋体" w:hAnsi="宋体" w:cs="宋体"/>
          <w:sz w:val="24"/>
        </w:rPr>
      </w:pPr>
      <w:r>
        <w:rPr>
          <w:rFonts w:hint="eastAsia" w:ascii="宋体" w:hAnsi="宋体" w:cs="宋体"/>
          <w:sz w:val="24"/>
        </w:rPr>
        <w:t>6.7  文明施工</w:t>
      </w:r>
    </w:p>
    <w:p w14:paraId="2DC57D70">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6.7.1  承包人应遵守国家和工程所在地有关法规、规范、规程和标准的规定，履行文明施工义务，确保文明施工专项费用专款专用。</w:t>
      </w:r>
    </w:p>
    <w:p w14:paraId="19ED9952">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6.7.2  承包人应当规范现场施工秩序，实行标准化管理：</w:t>
      </w:r>
    </w:p>
    <w:p w14:paraId="3EC1B416">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(1)承包人的施工场地（现场）必须干净整洁、做到无积水、无淤泥、无杂物，材料堆放整齐；</w:t>
      </w:r>
    </w:p>
    <w:p w14:paraId="0583E284">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(2)承包人应当在建筑工地设置围挡，并采取覆盖、分段作业、择时施工、冲洗地面等有效防尘降尘措施；</w:t>
      </w:r>
    </w:p>
    <w:p w14:paraId="64CDA9ED">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(3)施工现场土方、砂石等应当集中堆放，裸露的场地和集中堆放的土方、砂石等应当采取覆盖、固化或绿化等措施；</w:t>
      </w:r>
    </w:p>
    <w:p w14:paraId="389F39C2">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(4)施工场地（现场）应进行硬化处理，定期定时洒水，做好防治扬尘和大气污染工作；</w:t>
      </w:r>
    </w:p>
    <w:p w14:paraId="02EA30E6">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(5)严格遵守“工完、料尽、场地净”的原则，不留垃圾、不留剩余施工材料和施工机具，各种设备运转正常；</w:t>
      </w:r>
    </w:p>
    <w:p w14:paraId="5539A0EA">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(6)承包人修建的施工临时设施应符合监理人批准的施工规划要求，并应满足本章规定的各项安全要求；</w:t>
      </w:r>
    </w:p>
    <w:p w14:paraId="60A0F292">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(7)监理人可要求承包人在施工场地（现场）设置各级承包人的安全文明施工责任牌等文明施工警示牌；</w:t>
      </w:r>
    </w:p>
    <w:p w14:paraId="0DAF43F6">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(8)材料进入现场应按指定位置堆放整齐，不得影响现场施工和堵塞施工、消防通道。材料堆放场地应有专职的管理人员；</w:t>
      </w:r>
    </w:p>
    <w:p w14:paraId="1DAD94C2">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(9)施工和安装用的各种扣件、紧固件、绳索具、小型配件、镙钉等应在专设的仓库内装箱放置；</w:t>
      </w:r>
    </w:p>
    <w:p w14:paraId="07407E1A">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(10)现场风、水管及照明电线的布置应安全、合理、规范、有序，做到整齐美观。不得随意架设和造成隐患或影响施工；</w:t>
      </w:r>
    </w:p>
    <w:p w14:paraId="0778FFEB">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(11)建筑拆除工程施工时应采取隔离、洒水等有效的降噪、降尘措施，并及时清理废弃物；</w:t>
      </w:r>
    </w:p>
    <w:p w14:paraId="62614E38">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(12)当道路施工进行铣刨、切割等作业时，应采取有效的防扬尘措施。灰土和无机料应采用预拌进场，碾压过程中应洒水降尘。</w:t>
      </w:r>
    </w:p>
    <w:p w14:paraId="26DA2FE4">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6.7.3  承包人应为其雇佣的施工工人建立并维护相应的生活宿舍、食堂、浴室、厕所和文化活动室等，其标准应满足政府有关机构的生活标准和卫生标准等的要求。</w:t>
      </w:r>
    </w:p>
    <w:p w14:paraId="08E92062">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6.7.4  承包人应为任何已完成的、正在施工的和将要进行的任何永久和临时工程、材料、物品、设备、以及因永久工程施工而暴露的任何毗邻财产提供必要的覆盖和保护措施，以避免恶劣天气影响工程施工和造成损失。保护措施包括必要的冬季供暖、雨季用阻燃防水油布覆盖、额外的临时仓库等等。因承包人措施不得力或不到位而给工程带来的任何损失或损害由承包人自己负责。</w:t>
      </w:r>
    </w:p>
    <w:p w14:paraId="73752C9B">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6.7.5  在工程施工期间，承包人应始终避免现场出现不必要的障碍物，妥当存放并处置施工设备和多余的材料，及时从现场清除运走任何废料、垃圾或不再需要的临时工程和设施。</w:t>
      </w:r>
    </w:p>
    <w:p w14:paraId="55F3DA8D">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6.7.6  承包人应为现场的工人和其他所有工作人员提供符合卫生要求的厕所，厕所应贴有磁砖并带手动或自动冲刷设备和洗手盆；承包人负责支付与该厕所相关的所有费用，并在工程竣工时，从现场拆除。承包人应在工作区域设立必要的临时厕所，并安排专门人员负责看护和定时清理，以确保现场免于随地大小便的污染。</w:t>
      </w:r>
    </w:p>
    <w:p w14:paraId="3AAA1BB8">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6.7.7  承包人应在现场设立固定的建筑垃圾临时存放点,并在各楼层或区域设立必要的垃圾箱；施工现场应当建立封闭式垃圾站。建筑物内垃圾应采用容器或搭设专用封闭垃圾道的方式清运，严禁凌空抛掷；所有建筑垃圾必须在当天清除出现场，并按有关行政管理部门的规定，运送到指定的垃圾消纳场。承包人还应加强建筑垃圾管理工作，严禁焚烧各类废弃物；严禁道路遗撒和乱倒乱卸等运输违法违规行为发生，建筑垃圾的运输必须采用封闭式运输车辆或采取覆盖措施；最大限度减少污染环境。</w:t>
      </w:r>
    </w:p>
    <w:p w14:paraId="6102BFEA">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6.7.8  承包人应对离场垃圾和所有车辆进行防遗洒和防污染公共道路的处理。承包人在运输任何材料的过程中，应采取一切必要的措施，防止遗洒和污染公共道路；一旦出现上述遗洒或污染现象，承包人应立即采取措施进行清扫，并承担所有费用。承包人在混凝土浇注、材料运输、材料装卸、现场清理等工作中应采取一切必要的措施防止影响公共交通。</w:t>
      </w:r>
    </w:p>
    <w:p w14:paraId="12E21B80">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6.7.9  承包人采用现场搅拌混凝土或砂浆的场所应采取封闭、降尘、降噪措施。水泥和其他易飞扬的细颗粒建筑材料应密闭存放或采取覆盖等措施。</w:t>
      </w:r>
    </w:p>
    <w:p w14:paraId="2A18DC94">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6.7.10  承包人应当制订成品保护措施计划，并提供必要的人员、材料和设备用于工程的成品保护，防止已完工作遭受任何损坏或破坏。成品保护措施应当合理安排工序，并包括工作面移交制度和责任赔偿制度。成品保护措施计划应当在合同条款专用部分约定的时限内报监理人审批。</w:t>
      </w:r>
    </w:p>
    <w:p w14:paraId="54B9FEE8">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6.7.11  文明施工方面的其他要求见技术标准和要求专用部分。</w:t>
      </w:r>
    </w:p>
    <w:p w14:paraId="315902FE">
      <w:pPr>
        <w:wordWrap w:val="0"/>
        <w:adjustRightInd w:val="0"/>
        <w:snapToGrid w:val="0"/>
        <w:spacing w:after="0" w:line="360" w:lineRule="auto"/>
        <w:rPr>
          <w:rFonts w:hint="eastAsia" w:ascii="宋体" w:hAnsi="宋体" w:cs="宋体"/>
          <w:sz w:val="24"/>
        </w:rPr>
      </w:pPr>
      <w:r>
        <w:rPr>
          <w:rFonts w:hint="eastAsia" w:ascii="宋体" w:hAnsi="宋体" w:cs="宋体"/>
          <w:sz w:val="24"/>
        </w:rPr>
        <w:t>6.8  环境保护</w:t>
      </w:r>
    </w:p>
    <w:p w14:paraId="1CEC3072">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6.8.1  在工程施工、完工及修补任何缺陷的过程中，承包人应当始终遵守国家和工程所在地有关扬尘治理、建筑垃圾堆放、清运和消纳等环境保护、水土保护和污染防治的法律、法规、规章、规范、标准和规程等，按照合同条款约定履行其环境与生态保护职责。</w:t>
      </w:r>
    </w:p>
    <w:p w14:paraId="336AB538">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6.8.2  承包人应按合同约定和监理人指示，接受国家和地方环境保护行政主管部门的监督、监测和检查。承包人应对其违反现行法律、法规、规章、规范、标准和规程等以及本合同约定所造成的环境污染、水土流失、人员伤害和财产损失等承担赔偿责任。</w:t>
      </w:r>
    </w:p>
    <w:p w14:paraId="022DC658">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6.8.3  承包人制订施工方案和组织措施时应当同步考虑环境和资源保护，包括水土资源保护、噪声、振动和照明污染防治、固体废弃物处理、污水和废气处理、粉尘和扬尘治理、道路污染防治、卫生防疫、禁止有害材料、节能减排以及不可再生资源的循环使用等因素。</w:t>
      </w:r>
    </w:p>
    <w:p w14:paraId="1C10DF93">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6.8.4  承包人应当做好施工场地（现场）范围内各项工程的开挖支护、截水、降水、灌浆、衬砌、挡护结构及排水等工程防护措施。施工场地（现场）内所有边坡应当采取有效的水土流失防治和保持措施。承包人采用的降水方案应当充分考虑对地下水的保护和合理使用，如果国家和（或）地方人民政府有特别规定的，承包人应当遵守其有关规定。承包人还应设置完善的排水系统，保持施工场地（现场）始终处于良好的排水状态，防止降雨径流对施工场地（现场）的冲刷。</w:t>
      </w:r>
    </w:p>
    <w:p w14:paraId="1A40797E">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6.8.5  承包人应当确保其所提供的材料、工程设备、施工设备和其他材料都是绿色环保产品，列入国家强制认证产品名录的，还应当是通过国家强制认证的产品。承包人不得在任何临时和永久性工程中使用任何政府明令禁止使用的对人体有害的任何材料（如放射性材料、石棉制品等）和方法，同时也不得在永久性工程中使用政府虽未明令禁止但会给居住或使用人带来不适感觉或味觉的任何材料和添加剂等；承包人应在其施工环保措施计划中明确防止误用的保证措施；承包人违背此项约定的责任和后果全部由承包人承担。</w:t>
      </w:r>
    </w:p>
    <w:p w14:paraId="39556862">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6.8.6  承包人应为防止进出场的车辆的遗洒和轮胎夹带物等污染周边和公共道路等行为制定并落实必要的措施，这类措施应至少包括在现场出入口设立冲刷池、对现场道路做硬化处理和采用密闭车厢或者对车厢进行必要的覆盖等。</w:t>
      </w:r>
    </w:p>
    <w:p w14:paraId="65C4FB61">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6.8.7  承包人应当保证施工生产用水和生活用水符合国家有关标准的规定。承包人还应建设、运行和维护施工生产和生活污水收集和处理系统（包括排污口接入），建立符合排放标准的临时沉淀池和化粪池等，不得将未处理的污水直接或间接排放或造成地表水体、地下水体或生产和生活供水系统的污染。</w:t>
      </w:r>
    </w:p>
    <w:p w14:paraId="3C5E850D">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6.8.8  承包人应当采取有效措施，建立相应的过滤、分离、分解或沉淀等处理系统，不得让有害物质（如燃料、油料、化学品、酸等，以及超过剂量的有害气体和尘埃、污水、泥土或水、弃渣等）污染施工场地（现场）及其周边环境。承包人施工工序、工作时间安排和施工设备的配置应当充分考虑降低噪声和照明等对施工场地（现场）周边生产和生活的影响，并满足国家和地方政府有关规定的要求。</w:t>
      </w:r>
    </w:p>
    <w:p w14:paraId="1501CD1C">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6.8.9  承包人保证使用已在本市进行信息编码登记符合排放标准的非道路移动机械和严禁使用高排放非道路移动机械，并做好行业挥发性有机物治理（如建筑外墙涂装、钢结构等鼓励使用水性漆替代油性漆）。</w:t>
      </w:r>
    </w:p>
    <w:p w14:paraId="4BE0B797">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6.8.10  环境保护方面的其他要求见技术标准和要求专用部分。</w:t>
      </w:r>
    </w:p>
    <w:p w14:paraId="5F43BBA4">
      <w:pPr>
        <w:wordWrap w:val="0"/>
        <w:adjustRightInd w:val="0"/>
        <w:snapToGrid w:val="0"/>
        <w:spacing w:after="0" w:line="360" w:lineRule="auto"/>
        <w:rPr>
          <w:rFonts w:hint="eastAsia" w:ascii="宋体" w:hAnsi="宋体" w:cs="宋体"/>
          <w:sz w:val="24"/>
        </w:rPr>
      </w:pPr>
      <w:r>
        <w:rPr>
          <w:rFonts w:hint="eastAsia" w:ascii="宋体" w:hAnsi="宋体" w:cs="宋体"/>
          <w:sz w:val="24"/>
        </w:rPr>
        <w:t>6.9  施工环保措施计划</w:t>
      </w:r>
    </w:p>
    <w:p w14:paraId="2EDBC436">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6.9.1  合同条款约定的施工环保措施计划是承包人阐明环保方针和拟采用的环保措施及方法等的文件，其内容应至少包括：</w:t>
      </w:r>
    </w:p>
    <w:p w14:paraId="1AD602C7">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(1)承包人生活区（如果有）的生活用水和生活污水处理措施；</w:t>
      </w:r>
    </w:p>
    <w:p w14:paraId="5A735AAE">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(2)施工生产废水处理措施；</w:t>
      </w:r>
    </w:p>
    <w:p w14:paraId="521AE947">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(3)施工扬尘和废气的处理措施；</w:t>
      </w:r>
    </w:p>
    <w:p w14:paraId="133A437A">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(4)施工噪声和光污染控制措施；</w:t>
      </w:r>
    </w:p>
    <w:p w14:paraId="67314B79">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(5)节能减排措施；</w:t>
      </w:r>
    </w:p>
    <w:p w14:paraId="7004EF93">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(6)不可再生资源循环利用措施；</w:t>
      </w:r>
    </w:p>
    <w:p w14:paraId="0C2B6C37">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(7)建筑垃圾等固体废弃物处理措施；</w:t>
      </w:r>
    </w:p>
    <w:p w14:paraId="4C73F766">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(8)人群健康保护和卫生防疫措施；</w:t>
      </w:r>
    </w:p>
    <w:p w14:paraId="635C428A">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(9)防止误用有害材料的保证措施；</w:t>
      </w:r>
    </w:p>
    <w:p w14:paraId="367A80BC">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(10)施工边坡工程的水土流失保护措施；</w:t>
      </w:r>
    </w:p>
    <w:p w14:paraId="7B010687">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(11)道路污染防治措施；</w:t>
      </w:r>
    </w:p>
    <w:p w14:paraId="4FC1E942">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(12)使用符合排放标准的非道路移动机械保证措施；</w:t>
      </w:r>
    </w:p>
    <w:p w14:paraId="646115F5">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(13)做好行业挥发性有机物治理（如建筑外墙涂装、钢结构等鼓励使用水性漆替代油性漆）的保证措施；</w:t>
      </w:r>
    </w:p>
    <w:p w14:paraId="0D483959">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(14)完工后场地清理及其植被（如果有）恢复的规划和措施；</w:t>
      </w:r>
    </w:p>
    <w:p w14:paraId="1C895EA3">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(15)其他要求见技术标准和要求专用部分。</w:t>
      </w:r>
    </w:p>
    <w:p w14:paraId="00F285D8">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6.9.2  施工环保措施计划应当在合同条款约定的期限内报送监理人。承包人应当严格执行经监理人批准的施工环保措施计划，并及时补充、修订和完善施工环保措施计划。</w:t>
      </w:r>
    </w:p>
    <w:p w14:paraId="7EDE6471">
      <w:pPr>
        <w:wordWrap w:val="0"/>
        <w:adjustRightInd w:val="0"/>
        <w:snapToGrid w:val="0"/>
        <w:spacing w:after="0" w:line="360" w:lineRule="auto"/>
        <w:rPr>
          <w:rFonts w:hint="eastAsia" w:ascii="宋体" w:hAnsi="宋体" w:cs="宋体"/>
          <w:sz w:val="24"/>
        </w:rPr>
      </w:pPr>
      <w:r>
        <w:rPr>
          <w:rFonts w:hint="eastAsia" w:ascii="宋体" w:hAnsi="宋体" w:cs="宋体"/>
          <w:sz w:val="24"/>
        </w:rPr>
        <w:t>6.10  施工现场安全文明施工要求</w:t>
      </w:r>
    </w:p>
    <w:p w14:paraId="0199AF0B">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6.10.1 施工现场安全生产标准化管理目标等级</w:t>
      </w:r>
      <w:r>
        <w:rPr>
          <w:rFonts w:hint="eastAsia" w:ascii="宋体" w:hAnsi="宋体" w:cs="宋体"/>
          <w:b/>
          <w:bCs/>
          <w:sz w:val="24"/>
        </w:rPr>
        <w:t>见技术标准和要求专用部分</w:t>
      </w:r>
      <w:r>
        <w:rPr>
          <w:rFonts w:hint="eastAsia" w:ascii="宋体" w:hAnsi="宋体" w:cs="宋体"/>
          <w:sz w:val="24"/>
        </w:rPr>
        <w:t>。</w:t>
      </w:r>
    </w:p>
    <w:p w14:paraId="2954EFFC">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6.10.2承包人应当按照合同文件中对安全文明施工的相关要求进行安全文明施工管理。</w:t>
      </w:r>
    </w:p>
    <w:p w14:paraId="7432FBE2">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6.10.3 承包人应当依据约定的施工现场安全生产标准化管理目标等级要求，按照现行施工现场安全生产标准化分级管理标准中对应目标等级要求进行施工现场安全生产标准化管理。现行施工现场安全生产标准化分级管理标准</w:t>
      </w:r>
      <w:r>
        <w:rPr>
          <w:rFonts w:hint="eastAsia" w:ascii="宋体" w:hAnsi="宋体" w:cs="宋体"/>
          <w:b/>
          <w:bCs/>
          <w:sz w:val="24"/>
        </w:rPr>
        <w:t>见技术标准和要求专用部分</w:t>
      </w:r>
      <w:r>
        <w:rPr>
          <w:rFonts w:hint="eastAsia" w:ascii="宋体" w:hAnsi="宋体" w:cs="宋体"/>
          <w:sz w:val="24"/>
        </w:rPr>
        <w:t>。</w:t>
      </w:r>
    </w:p>
    <w:p w14:paraId="21B2D689">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6.10.4 特殊安全文明施工要求应当与技术标准和要求专用部分约定的要求一致或高于技术标准和要求专用部分约定。</w:t>
      </w:r>
    </w:p>
    <w:p w14:paraId="0C579EE0">
      <w:pPr>
        <w:wordWrap w:val="0"/>
        <w:adjustRightInd w:val="0"/>
        <w:snapToGrid w:val="0"/>
        <w:spacing w:after="0" w:line="360" w:lineRule="auto"/>
        <w:outlineLvl w:val="3"/>
        <w:rPr>
          <w:rFonts w:hint="eastAsia" w:ascii="宋体" w:hAnsi="宋体" w:cs="宋体"/>
          <w:sz w:val="24"/>
        </w:rPr>
      </w:pPr>
      <w:bookmarkStart w:id="702" w:name="_Toc30915"/>
      <w:bookmarkStart w:id="703" w:name="_Toc96529959"/>
      <w:bookmarkStart w:id="704" w:name="_Toc96505337"/>
      <w:bookmarkStart w:id="705" w:name="_Toc96352133"/>
      <w:bookmarkStart w:id="706" w:name="_Toc96504948"/>
      <w:r>
        <w:rPr>
          <w:rFonts w:hint="eastAsia" w:ascii="宋体" w:hAnsi="宋体" w:cs="宋体"/>
          <w:sz w:val="24"/>
        </w:rPr>
        <w:t>7.治安保卫</w:t>
      </w:r>
      <w:bookmarkEnd w:id="702"/>
      <w:bookmarkEnd w:id="703"/>
      <w:bookmarkEnd w:id="704"/>
      <w:bookmarkEnd w:id="705"/>
      <w:bookmarkEnd w:id="706"/>
    </w:p>
    <w:p w14:paraId="704325B4">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7.1  承包人应为施工现场提供24小时的保安保卫服务，施工现场应采取封闭式集中管理，严格进、出场实名制考勤，提出优化施工作业，减少人员聚集和交叉作业，未经批准严禁任何人进入现场，控制人员、材料和设备等进出场，防止现场材料和设备或其他物品失窃，以及禁止任何现场内的打架斗殴事件等具体举措。</w:t>
      </w:r>
    </w:p>
    <w:p w14:paraId="24DF067E">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7.2  承包人的保安人员应是训练有素的专业保安人员，承包人可以雇佣专业保安公司负责现场保安和保卫；保安保卫制度除规范现场出入大门控制外，还应规定定时和不定时的施工场地(现场)周边和全现场的保安巡逻。</w:t>
      </w:r>
    </w:p>
    <w:p w14:paraId="2EEA317D">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7.3  承包人应制定并实施严格的施工场地（现场）出入制度并报监理人审批；车辆的出入须有出入审批制度，并有指定的专人负责管理；人员进出现场应有出入证，出入证须以经过监理人批准的格式印制。</w:t>
      </w:r>
    </w:p>
    <w:p w14:paraId="05772388">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7.4  承包人应确保任何未经监理人同意的参观人员进入现场；承包人应准备足够数量的专门用于参观人员的安全帽并带明显标志，承包人同时应准备一个参观人员登记簿用于记录所有参观现场人员的姓名、参观目的和参观时间等内容；承包人应确保每个参观现场的人员了解和遵守现场的安全管理规章制度，佩带安全帽，确保所有经发包人和监理人批准的参观人员的人身安全。</w:t>
      </w:r>
    </w:p>
    <w:p w14:paraId="148D0973">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7.5  承包人应为施工场地（现场）提供和维护符合建设行政主管部门和市容管理部门规定的临时围墙和其他安全维护，并在工程进度需要时，进行必要的改造。围墙和大门的表面维护应考虑定期的修补和重新刷漆，并应保证所有的乱涂乱画或招贴广告随时被清理。临时围墙和出入大门考虑必要的照明，照明系统要满足现场安全保卫和美观的要求。</w:t>
      </w:r>
    </w:p>
    <w:p w14:paraId="0E32F4BC">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7.6  承包人应当保证发包人支付的工程款项仅用于本合同目的，及时和足额地向所雇佣的人员支付劳动报酬，并制定严格的工人工资支付保障措施，有效防止影响社会安定的群体事件发生，并保障发包人免于因承包人拖欠工人工资而可能遭受的任何处罚、索赔、损失和损害等。</w:t>
      </w:r>
    </w:p>
    <w:p w14:paraId="7C01EFA8">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7.7  突发治安事件紧急预案的要求见技术标准和要求专用部分。</w:t>
      </w:r>
    </w:p>
    <w:p w14:paraId="25C8EC02">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7.8  治安保卫管理方面的其他要求见技术标准和要求专用部分。</w:t>
      </w:r>
    </w:p>
    <w:p w14:paraId="199809F7">
      <w:pPr>
        <w:wordWrap w:val="0"/>
        <w:adjustRightInd w:val="0"/>
        <w:snapToGrid w:val="0"/>
        <w:spacing w:after="0" w:line="360" w:lineRule="auto"/>
        <w:outlineLvl w:val="3"/>
        <w:rPr>
          <w:rFonts w:hint="eastAsia" w:ascii="宋体" w:hAnsi="宋体" w:cs="宋体"/>
          <w:sz w:val="24"/>
        </w:rPr>
      </w:pPr>
      <w:bookmarkStart w:id="707" w:name="_Toc32316"/>
      <w:bookmarkStart w:id="708" w:name="_Toc96505338"/>
      <w:bookmarkStart w:id="709" w:name="_Toc96529960"/>
      <w:bookmarkStart w:id="710" w:name="_Toc96352134"/>
      <w:bookmarkStart w:id="711" w:name="_Toc96504949"/>
      <w:r>
        <w:rPr>
          <w:rFonts w:hint="eastAsia" w:ascii="宋体" w:hAnsi="宋体" w:cs="宋体"/>
          <w:sz w:val="24"/>
        </w:rPr>
        <w:t>8.地上、地下设施和周边建筑物的临时保护</w:t>
      </w:r>
      <w:bookmarkEnd w:id="707"/>
      <w:bookmarkEnd w:id="708"/>
      <w:bookmarkEnd w:id="709"/>
      <w:bookmarkEnd w:id="710"/>
      <w:bookmarkEnd w:id="711"/>
    </w:p>
    <w:p w14:paraId="18E9CB16">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8.1  承包人应为施工场地及其周边现有的地上、地下设施和建筑物提供足够的临时保护设施，确保施工过程中这些设施和建筑物不会受到干扰和破坏。</w:t>
      </w:r>
    </w:p>
    <w:p w14:paraId="241F6969">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8.2  承包人应当制订现有设施临时保护方案和应急处理方案，并在本工程开工前至少提前7天报送监理人，监理人应在收到现有设施临时保护方案后的3天内批复承包人。承包人应当严格执行经监理人批准的保护方案，并保证在任何可能影响周边现有的地上、地下设施或周边建筑物的施工作业开始前，相应的临时保护设施能够落实到位。</w:t>
      </w:r>
    </w:p>
    <w:p w14:paraId="79BCB60D">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8.3  发包人特别提醒承包人注意地上、地下设施和周边建筑物的保护见技术标准和要求专用部分。</w:t>
      </w:r>
    </w:p>
    <w:p w14:paraId="71A22963">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8.4  地上、地下设施和周边建筑物的临时保护的其他要求见技术标准和要求专用部分。</w:t>
      </w:r>
    </w:p>
    <w:p w14:paraId="7DF6C500">
      <w:pPr>
        <w:wordWrap w:val="0"/>
        <w:adjustRightInd w:val="0"/>
        <w:snapToGrid w:val="0"/>
        <w:spacing w:after="0" w:line="360" w:lineRule="auto"/>
        <w:outlineLvl w:val="3"/>
        <w:rPr>
          <w:rFonts w:hint="eastAsia" w:ascii="宋体" w:hAnsi="宋体" w:cs="宋体"/>
          <w:sz w:val="24"/>
        </w:rPr>
      </w:pPr>
      <w:bookmarkStart w:id="712" w:name="_Toc96504950"/>
      <w:bookmarkStart w:id="713" w:name="_Toc21962"/>
      <w:bookmarkStart w:id="714" w:name="_Toc96352135"/>
      <w:bookmarkStart w:id="715" w:name="_Toc96505339"/>
      <w:bookmarkStart w:id="716" w:name="_Toc96529961"/>
      <w:r>
        <w:rPr>
          <w:rFonts w:hint="eastAsia" w:ascii="宋体" w:hAnsi="宋体" w:cs="宋体"/>
          <w:sz w:val="24"/>
        </w:rPr>
        <w:t>9.样品和材料代换</w:t>
      </w:r>
      <w:bookmarkEnd w:id="712"/>
      <w:bookmarkEnd w:id="713"/>
      <w:bookmarkEnd w:id="714"/>
      <w:bookmarkEnd w:id="715"/>
      <w:bookmarkEnd w:id="716"/>
    </w:p>
    <w:p w14:paraId="022391BD">
      <w:pPr>
        <w:wordWrap w:val="0"/>
        <w:adjustRightInd w:val="0"/>
        <w:snapToGrid w:val="0"/>
        <w:spacing w:after="0" w:line="360" w:lineRule="auto"/>
        <w:rPr>
          <w:rFonts w:hint="eastAsia" w:ascii="宋体" w:hAnsi="宋体" w:cs="宋体"/>
          <w:sz w:val="24"/>
        </w:rPr>
      </w:pPr>
      <w:r>
        <w:rPr>
          <w:rFonts w:hint="eastAsia" w:ascii="宋体" w:hAnsi="宋体" w:cs="宋体"/>
          <w:sz w:val="24"/>
        </w:rPr>
        <w:t>9.1  样品</w:t>
      </w:r>
    </w:p>
    <w:p w14:paraId="41D3DA47">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9.1.1  本工程需要承包人提供样品的材料和工程设备见技术标准和要求专用部分。</w:t>
      </w:r>
    </w:p>
    <w:p w14:paraId="51485CC4">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9.1.2  对于约定的材料和工程设备，承包人应按照合同条款约定的期限，向监理人提交样品并附上任何必要的说明书、生产（制造）许可证书、出厂合格证明或者证书、出厂检测报告、性能介绍、使用说明等相关资料，同时注明材料和工程设备的供货人及品种、规格、数量和供货时间等，以供检验和审批。样品送达的地点和样品的数量或尺寸应符合监理人和发包人的要求。除合同另有约定外，承包人在报送任何样品时应按监理人同意的格式填写并递交样品报送单。监理人应及时签收样品。</w:t>
      </w:r>
    </w:p>
    <w:p w14:paraId="2DD37A7C">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9.1.3  合同条款约定的依法不需要招标的、以暂估价形式包括在工程量清单中的材料和工程设备，所附资料除约定的内容外，还应附上价格资料，每一类材料设备，至少应准备符合合同要求的三个产品，价格分高、中、低三档，以便监理人和发包人选择和批准。</w:t>
      </w:r>
    </w:p>
    <w:p w14:paraId="45879B99">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9.1.4  监理人应在收到承包人报送的样品后7天内转呈发包人并附上监理人的书面审批意见。发包人在收到通过监理人转交的样品以及监理人的审批意见后7天内就此样品给出书面批复。监理人应在收到样品后21天内通知承包人他相关样品所做出的决定或指示（同时抄送一份给发包人）。承包人应根据监理人的书面批复和指示相应地进行下一步工作。如果监理人未能在承包人报送样品后21天内给出书面批复，承包人应就此通知监理人，要求尽快批复。如果发包人在收到此类通知后7天内仍未对样品进行批复，则视为监理人和发包人已经批准。</w:t>
      </w:r>
    </w:p>
    <w:p w14:paraId="595170D2">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9.1.5  得到批准后的样品由监理人负责存放。但承包人应为保存样品提供适当和固定的场所并保持适当和良好的环境条件。</w:t>
      </w:r>
    </w:p>
    <w:p w14:paraId="367459F2">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9.1.6  提供样品和提供存放样品场所的费用由承包人承担。</w:t>
      </w:r>
    </w:p>
    <w:p w14:paraId="63D0833F">
      <w:pPr>
        <w:wordWrap w:val="0"/>
        <w:adjustRightInd w:val="0"/>
        <w:snapToGrid w:val="0"/>
        <w:spacing w:after="0" w:line="360" w:lineRule="auto"/>
        <w:rPr>
          <w:rFonts w:hint="eastAsia" w:ascii="宋体" w:hAnsi="宋体" w:cs="宋体"/>
          <w:sz w:val="24"/>
        </w:rPr>
      </w:pPr>
      <w:r>
        <w:rPr>
          <w:rFonts w:hint="eastAsia" w:ascii="宋体" w:hAnsi="宋体" w:cs="宋体"/>
          <w:sz w:val="24"/>
        </w:rPr>
        <w:t>9.2  材料代换</w:t>
      </w:r>
    </w:p>
    <w:p w14:paraId="0990542F">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9.2.1  如果任何后继法律、法规、规章、规范、标准和规程等等禁止使用合同中约定的材料和工程设备，承包人应当按本款约定的程序使用其他替代品来实施工程或修补缺陷。监理人对使用替代品的批准以及承包人据此使用替代品不应减免合同约定的承包人的任何责任和义务。</w:t>
      </w:r>
    </w:p>
    <w:p w14:paraId="1B917D50">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9.2.2  如果使用替代品，承包人应至少在被替代品按批准的进度计划用于永久工程前56天以书面形式通知监理人并随此通知提交下列文件：</w:t>
      </w:r>
    </w:p>
    <w:p w14:paraId="0CB5D5B2">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(1)拟被替代的合同约定的材料和工程设备的名称、数量、规格、型号、品牌、性能、价格及其他任何详细资料；</w:t>
      </w:r>
    </w:p>
    <w:p w14:paraId="663D483C">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(2)拟采用的替代品的名称、数量、规格、型号、品牌、性能、价格及其他任何必要的详细资料；</w:t>
      </w:r>
    </w:p>
    <w:p w14:paraId="46BA9444">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(3)替代品使用的工程部位；</w:t>
      </w:r>
    </w:p>
    <w:p w14:paraId="127D0612">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(4)采用替代品的理由和原因说明；</w:t>
      </w:r>
    </w:p>
    <w:p w14:paraId="12E373B6">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(5)替代品与合同中约定的产品之间的差异以及使用替代品后可能对工程产生的任何影响；</w:t>
      </w:r>
    </w:p>
    <w:p w14:paraId="6A68C63E">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(6)价格上的差异；</w:t>
      </w:r>
    </w:p>
    <w:p w14:paraId="1D0543C2">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(7)监理人为做出适当的决定而随时要求承包人提供的任何其他文件。</w:t>
      </w:r>
    </w:p>
    <w:p w14:paraId="7830B715">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监理人在收到此类通知及上述文件后，应在28天内向承包人给出书面指示。如果28天内监理人未给出书面指示，应视为监理人和发包人已经批准使用上述替代品，承包人可以据此使用替代品。</w:t>
      </w:r>
    </w:p>
    <w:p w14:paraId="19E3BDDE">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9.2.3  任何情况下，替代品都应遵守本合同中对相关材料和工程设备的要求。</w:t>
      </w:r>
    </w:p>
    <w:p w14:paraId="39C28A57">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9.2.4  如果承包人根据本条约定使用了替代品，监理人应与承包人适当协商之后并在合理的期限内确定替代材料和工程设备与合同中约定的材料和工程设备之间的价值差值，并决定：</w:t>
      </w:r>
    </w:p>
    <w:p w14:paraId="60FA5BE6">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(1)如果替代材料和工程设备的价值高于合同中约定的材料和工程设备的价值，则将高出部分的价值追加到合同价格中并相应地通知承包人；</w:t>
      </w:r>
    </w:p>
    <w:p w14:paraId="093C685B">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(2)如果替代材料和工程设备的价值低于合同中约定的材料和工程设备的价值，则将节余部分的价值从合同价格中扣除并相应地通知承包人。</w:t>
      </w:r>
    </w:p>
    <w:p w14:paraId="50F40559">
      <w:pPr>
        <w:wordWrap w:val="0"/>
        <w:adjustRightInd w:val="0"/>
        <w:snapToGrid w:val="0"/>
        <w:spacing w:after="0" w:line="360" w:lineRule="auto"/>
        <w:outlineLvl w:val="3"/>
        <w:rPr>
          <w:rFonts w:hint="eastAsia" w:ascii="宋体" w:hAnsi="宋体" w:cs="宋体"/>
          <w:sz w:val="24"/>
        </w:rPr>
      </w:pPr>
      <w:bookmarkStart w:id="717" w:name="_Toc96505340"/>
      <w:bookmarkStart w:id="718" w:name="_Toc21858"/>
      <w:bookmarkStart w:id="719" w:name="_Toc96529962"/>
      <w:bookmarkStart w:id="720" w:name="_Toc96352136"/>
      <w:bookmarkStart w:id="721" w:name="_Toc96504951"/>
      <w:r>
        <w:rPr>
          <w:rFonts w:hint="eastAsia" w:ascii="宋体" w:hAnsi="宋体" w:cs="宋体"/>
          <w:sz w:val="24"/>
        </w:rPr>
        <w:t>10.特殊技术标准和要求</w:t>
      </w:r>
      <w:bookmarkEnd w:id="717"/>
      <w:bookmarkEnd w:id="718"/>
      <w:bookmarkEnd w:id="719"/>
      <w:bookmarkEnd w:id="720"/>
      <w:bookmarkEnd w:id="721"/>
    </w:p>
    <w:p w14:paraId="080354F9">
      <w:pPr>
        <w:wordWrap w:val="0"/>
        <w:adjustRightInd w:val="0"/>
        <w:snapToGrid w:val="0"/>
        <w:spacing w:after="0" w:line="360" w:lineRule="auto"/>
        <w:rPr>
          <w:rFonts w:hint="eastAsia" w:ascii="宋体" w:hAnsi="宋体" w:cs="宋体"/>
          <w:sz w:val="24"/>
        </w:rPr>
      </w:pPr>
      <w:r>
        <w:rPr>
          <w:rFonts w:hint="eastAsia" w:ascii="宋体" w:hAnsi="宋体" w:cs="宋体"/>
          <w:sz w:val="24"/>
        </w:rPr>
        <w:t>10.1  部分材料和工程设备特殊技术要求</w:t>
      </w:r>
    </w:p>
    <w:p w14:paraId="6E7307E2">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10.1.1  发包人依据工程特点，可以对承包人施工范围内的部分材料和设备提出技术要求。材料和工程设备技术要求中如果出现了参考品牌或规格型号，其目的是为了方便承包人直观和准确地把握相应材料和工程设备的技术标准，不具有指定或唯一使用的意思表示，承包人应当参考所列品牌的材料和工程设备，采购相当于或高于所列品牌技术标准的材料和工程设备。承包人施工范围内的部分材料和工程设备相关技术要求见技术标准和要求专用部分。</w:t>
      </w:r>
    </w:p>
    <w:p w14:paraId="63DFB4AA">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10.1.2  承包人施工范围内的材料和工程设备选型允许的偏离见技术标准和要求专用部分。</w:t>
      </w:r>
    </w:p>
    <w:p w14:paraId="0876603B">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10.1.3  本工程施工现场所用混凝土或砂浆的供应方式为见技术标准和要求专用部分。</w:t>
      </w:r>
    </w:p>
    <w:p w14:paraId="64A8F242">
      <w:pPr>
        <w:wordWrap w:val="0"/>
        <w:adjustRightInd w:val="0"/>
        <w:snapToGrid w:val="0"/>
        <w:spacing w:after="0" w:line="360" w:lineRule="auto"/>
        <w:rPr>
          <w:rFonts w:hint="eastAsia" w:ascii="宋体" w:hAnsi="宋体" w:cs="宋体"/>
          <w:sz w:val="24"/>
        </w:rPr>
      </w:pPr>
      <w:r>
        <w:rPr>
          <w:rFonts w:hint="eastAsia" w:ascii="宋体" w:hAnsi="宋体" w:cs="宋体"/>
          <w:sz w:val="24"/>
        </w:rPr>
        <w:t>10.2  进口材料和工程设备</w:t>
      </w:r>
    </w:p>
    <w:p w14:paraId="7C42367C">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10.2.1  本工程需要进口的材料和工程设备见技术标准和要求专用部分。</w:t>
      </w:r>
    </w:p>
    <w:p w14:paraId="26689D30">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10.2.2  上述进口材料和工程设备采购、进口、报关、清关、商检、境内运输（包括保险）、保管的责任以及费用承担方式划分见技术标准和要求专用部分。</w:t>
      </w:r>
    </w:p>
    <w:p w14:paraId="662011E2">
      <w:pPr>
        <w:wordWrap w:val="0"/>
        <w:adjustRightInd w:val="0"/>
        <w:snapToGrid w:val="0"/>
        <w:spacing w:after="0" w:line="360" w:lineRule="auto"/>
        <w:rPr>
          <w:rFonts w:hint="eastAsia" w:ascii="宋体" w:hAnsi="宋体" w:cs="宋体"/>
          <w:sz w:val="24"/>
        </w:rPr>
      </w:pPr>
      <w:r>
        <w:rPr>
          <w:rFonts w:hint="eastAsia" w:ascii="宋体" w:hAnsi="宋体" w:cs="宋体"/>
          <w:sz w:val="24"/>
        </w:rPr>
        <w:t>10.3  新技术、新工艺和新材料</w:t>
      </w:r>
    </w:p>
    <w:p w14:paraId="27E6BE2D">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本工程涉及的新技术、新工艺和新材料及相应使用和操作说明见技术标准和要求专用部分。</w:t>
      </w:r>
    </w:p>
    <w:p w14:paraId="29C7291C">
      <w:pPr>
        <w:wordWrap w:val="0"/>
        <w:adjustRightInd w:val="0"/>
        <w:snapToGrid w:val="0"/>
        <w:spacing w:after="0" w:line="360" w:lineRule="auto"/>
        <w:rPr>
          <w:rFonts w:hint="eastAsia" w:ascii="宋体" w:hAnsi="宋体" w:cs="宋体"/>
          <w:sz w:val="24"/>
        </w:rPr>
      </w:pPr>
      <w:r>
        <w:rPr>
          <w:rFonts w:hint="eastAsia" w:ascii="宋体" w:hAnsi="宋体" w:cs="宋体"/>
          <w:sz w:val="24"/>
        </w:rPr>
        <w:t>10.4  其他特殊技术要求</w:t>
      </w:r>
    </w:p>
    <w:p w14:paraId="30FE19A3">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本工程的其他特殊技术要求见技术标准和要求专用部分。</w:t>
      </w:r>
    </w:p>
    <w:p w14:paraId="71917FF7">
      <w:pPr>
        <w:wordWrap w:val="0"/>
        <w:adjustRightInd w:val="0"/>
        <w:snapToGrid w:val="0"/>
        <w:spacing w:after="0" w:line="360" w:lineRule="auto"/>
        <w:outlineLvl w:val="3"/>
        <w:rPr>
          <w:rFonts w:hint="eastAsia" w:ascii="宋体" w:hAnsi="宋体" w:cs="宋体"/>
          <w:sz w:val="24"/>
        </w:rPr>
      </w:pPr>
      <w:bookmarkStart w:id="722" w:name="_Toc18753"/>
      <w:bookmarkStart w:id="723" w:name="_Toc96504952"/>
      <w:bookmarkStart w:id="724" w:name="_Toc96529963"/>
      <w:bookmarkStart w:id="725" w:name="_Toc96352137"/>
      <w:bookmarkStart w:id="726" w:name="_Toc96505341"/>
      <w:r>
        <w:rPr>
          <w:rFonts w:hint="eastAsia" w:ascii="宋体" w:hAnsi="宋体" w:cs="宋体"/>
          <w:sz w:val="24"/>
        </w:rPr>
        <w:t>11.进度报告和进度例会</w:t>
      </w:r>
      <w:bookmarkEnd w:id="722"/>
      <w:bookmarkEnd w:id="723"/>
      <w:bookmarkEnd w:id="724"/>
      <w:bookmarkEnd w:id="725"/>
      <w:bookmarkEnd w:id="726"/>
    </w:p>
    <w:p w14:paraId="5C35CDA3">
      <w:pPr>
        <w:wordWrap w:val="0"/>
        <w:adjustRightInd w:val="0"/>
        <w:snapToGrid w:val="0"/>
        <w:spacing w:after="0" w:line="360" w:lineRule="auto"/>
        <w:rPr>
          <w:rFonts w:hint="eastAsia" w:ascii="宋体" w:hAnsi="宋体" w:cs="宋体"/>
          <w:sz w:val="24"/>
        </w:rPr>
      </w:pPr>
      <w:r>
        <w:rPr>
          <w:rFonts w:hint="eastAsia" w:ascii="宋体" w:hAnsi="宋体" w:cs="宋体"/>
          <w:sz w:val="24"/>
        </w:rPr>
        <w:t>11.1  进度报告</w:t>
      </w:r>
    </w:p>
    <w:p w14:paraId="28AA261E">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11.1.1  施工过程中，承包人应向监理人代表呈递一份每日的日进度报表、每周的周进度报表和每月的月进度报表。除非监理人同意，日进度报表应在次日上午九点前递交，周进度报表应在次周的周一上午九时前递交，月进度报表应随合同条款约定的进度付款申请单一并递交。</w:t>
      </w:r>
    </w:p>
    <w:p w14:paraId="67C0C5DA">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11.1.2  日和周进度报表的内容应至少包括每日在现场工作的技术管理人员数量、各工种技术工人和非技术工人数量、后勤人员数量、参观现场的人员数量；还应包括所使用的各种主要机械设备和车辆的型号、数量和台班，工作的区段，以及工程进度情况、天气情况记录、停工、质量和安全事故等特别事项说明；此外，应附上每日进场材料、物品或设备的分类汇总表、用于次日或次周的工程进度计划等。</w:t>
      </w:r>
    </w:p>
    <w:p w14:paraId="29910E68">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11.1.3  月进度报表应当反映月完成工程量和累计完成工程量（包括永久工程和临时工程）、材料实际进货、消耗和库存量、现场施工设备的投运数量和运行状况、工程设备的到货情况、劳动力数量（本月及预计未来三个月劳动力的数量）、当前影响施工进度计划的因素和采取的改进措施、进度计划调整及其说明、质量事故和质量缺陷处理纪录、质量状况评价、安全施工措施计划实施情况、安全事故以及人员伤亡和财产损失情况（如果有）、环境保护措施实施和文明施工措施实施情况。</w:t>
      </w:r>
    </w:p>
    <w:p w14:paraId="44135B22">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11.1.4  月进度报告还应附有一组充分显示工程形象进度的定点摄影照片。照片应当在经监理人批准的不同位置定期拍摄，每张照片都应标上相应的拍摄日期和简要文字说明，且应用经发包人和监理人批准的标准或格式装裱后呈交。</w:t>
      </w:r>
    </w:p>
    <w:p w14:paraId="19E89EE6">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11.1.5  各个进度报表的格式和内容应经过监理人的审批。进度报表应如实填写，由承包人授权代表签名，并报监理人的指定代表签名确认后再行分发。</w:t>
      </w:r>
    </w:p>
    <w:p w14:paraId="114D435D">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11.1.6  如果监理人认为必要，进度报告和进度照片应同时以存储在磁盘或光盘中的数据文件的形式递交给发包人和监理人。数据文件采用的应用软件及其版本应经过监理人的审批。</w:t>
      </w:r>
    </w:p>
    <w:p w14:paraId="0E737D9C">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11.1.7  有关进度报告的其他要求见技术标准和要求专用部分。</w:t>
      </w:r>
    </w:p>
    <w:p w14:paraId="26151BF0">
      <w:pPr>
        <w:wordWrap w:val="0"/>
        <w:adjustRightInd w:val="0"/>
        <w:snapToGrid w:val="0"/>
        <w:spacing w:after="0" w:line="360" w:lineRule="auto"/>
        <w:rPr>
          <w:rFonts w:hint="eastAsia" w:ascii="宋体" w:hAnsi="宋体" w:cs="宋体"/>
          <w:sz w:val="24"/>
        </w:rPr>
      </w:pPr>
      <w:r>
        <w:rPr>
          <w:rFonts w:hint="eastAsia" w:ascii="宋体" w:hAnsi="宋体" w:cs="宋体"/>
          <w:sz w:val="24"/>
        </w:rPr>
        <w:t>11.2  进度例会</w:t>
      </w:r>
    </w:p>
    <w:p w14:paraId="13DDE1D8">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11.2.1  监理人将主持召开有发包人、承包人和独立承包人等与本工程建设有关各方出席的每周一次的进度例会。必要时，监理人可随时召集所有上述各方或其中部分单位参加的会议。承包人应保证能代表其当场作出决定的高级管理人员出席会议。</w:t>
      </w:r>
    </w:p>
    <w:p w14:paraId="05F7E3A4">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11.2.2  进度例会的内容将涉及合同管理、进度协调和工程管理的各个方面，由监理人准备的会议议题将随会议通知在会议召开前至少24小时发给各参会方。</w:t>
      </w:r>
    </w:p>
    <w:p w14:paraId="773222FD">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11.2.3  监理人应当做好会议记录，并在会议结束时由与会各方签字确认。监理人应根据会议记录整理出会议纪要，并在相应会议后24小时内分发给出席会议的各方。会议纪要应当如实反映会议记录的内容，包括任何决定、存在的问题、责任方、有关工作的时间目标等等。各方在收到会议纪要后24小时内给予签字确认，如有任何异议，应将有关异议以书面形式通知监理人，由监理人与有异议一方或各方共同核对会议记录，有异议的一方或者各方对与会议记录内容一致的会议纪要必须给予签字确认，否则监理人可以用会议记录作为会议纪要。经参会各方签字认可的会议纪要对各方有合同约束力。</w:t>
      </w:r>
    </w:p>
    <w:p w14:paraId="18D660D9">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11.2.4  有关进度例会的其他要求见技术标准和要求专用部分。</w:t>
      </w:r>
    </w:p>
    <w:p w14:paraId="24F03415">
      <w:pPr>
        <w:wordWrap w:val="0"/>
        <w:adjustRightInd w:val="0"/>
        <w:snapToGrid w:val="0"/>
        <w:spacing w:after="0" w:line="360" w:lineRule="auto"/>
        <w:outlineLvl w:val="3"/>
        <w:rPr>
          <w:rFonts w:hint="eastAsia" w:ascii="宋体" w:hAnsi="宋体" w:cs="宋体"/>
          <w:sz w:val="24"/>
        </w:rPr>
      </w:pPr>
      <w:bookmarkStart w:id="727" w:name="_Toc96505342"/>
      <w:bookmarkStart w:id="728" w:name="_Toc96352138"/>
      <w:bookmarkStart w:id="729" w:name="_Toc96529964"/>
      <w:bookmarkStart w:id="730" w:name="_Toc17755"/>
      <w:bookmarkStart w:id="731" w:name="_Toc96504953"/>
      <w:r>
        <w:rPr>
          <w:rFonts w:hint="eastAsia" w:ascii="宋体" w:hAnsi="宋体" w:cs="宋体"/>
          <w:sz w:val="24"/>
        </w:rPr>
        <w:t>12.试验和检验</w:t>
      </w:r>
      <w:bookmarkEnd w:id="727"/>
      <w:bookmarkEnd w:id="728"/>
      <w:bookmarkEnd w:id="729"/>
      <w:bookmarkEnd w:id="730"/>
      <w:bookmarkEnd w:id="731"/>
    </w:p>
    <w:p w14:paraId="05DC80EB">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12.1  发包人委托具有相应资质的检测单位，按相关规定对见证取样的建筑材料、建筑构配件和设备、预拌混凝土、混凝土预制构件和工程实体质量、使用功能以及约定的其他检测内容进行检测。承包人应在监理人的监督下，进行现场取样、封样，并送检测单位进行检测。本工程发包人委托检测单位进行试验和检验的其他材料、工程设备和工艺见技术标准和要求专用部分。</w:t>
      </w:r>
    </w:p>
    <w:p w14:paraId="7C58AB52">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12.2  除第12.1款约定的由发包人委托检测内容外，承包人应当按照工程施工验收规范和标准的规定和合同条款的约定，对用于永久工程的主要材料、半成品、成品、建筑构配件、工程设备等进行试验和检验。监理人可以根据工程需要，指示承包人进行其他现场材料和工艺的试验和检验。</w:t>
      </w:r>
    </w:p>
    <w:p w14:paraId="2965CE54">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12.3  本工程需要承包人进行试验和检验的材料、工程设备和工艺见技术标准和要求专用部分。</w:t>
      </w:r>
    </w:p>
    <w:p w14:paraId="1338EDBB">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12.4  本工程需要由监理人和承包人共同进行试验和检验的材料、工程设备和工艺见技术标准和要求专用部分。</w:t>
      </w:r>
    </w:p>
    <w:p w14:paraId="41A684A1">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12.5  本条上述约定需要进行检验的材料、工程设备和工艺在经过检验并获得监理人批准以前，不得用于任何永久工程。</w:t>
      </w:r>
    </w:p>
    <w:p w14:paraId="09409788">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12.6  承包人应为任何材料、工程设备和工艺的检查、检测和检验提供劳务、电力、燃料、备用品、设备和仪器以及必要的协助。监理人及其任何授权人员应能够在任何时候进入现场及正在为工程制造、装配、准备材料和（或）工程设备的车间和场所进行任何必要的检查。无论这些车间和场所是否属于承包人，承包人都应提供一切便利，并协助其取得相应的权力和（或）许可。</w:t>
      </w:r>
    </w:p>
    <w:p w14:paraId="76371832">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12.7  如果检查、检测、检验或试验的结果表明，材料、工程设备和工艺有缺陷或不符合合同约定，监理人和发包人可拒收此类材料、工程设备和工艺，并应立即通知承包人同时说明理由。承包人应立即修复上述缺陷并保证其符合合同约定。若监理人或发包人要求对此类工程设备、材料、设计或工艺重新进行检验，则此类检验应按相同条款和条件重新进行。如果此类拒收和重新检验致使发包人产生了额外费用，则此类费用应由承包人支付给发包人，或从发包人应支付给承包人的款项中扣除。</w:t>
      </w:r>
    </w:p>
    <w:p w14:paraId="607C485E">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12.8  承包人应在监理人的监督下，对涉及结构安全的试块、试件以及有关材料进行现场取样，并送质量检测单位进行检测。质量检测单位见技术标准和要求专用部分。</w:t>
      </w:r>
    </w:p>
    <w:p w14:paraId="688DE0FC">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12.9  除合同另有约定外，承包人应负担除发包人支付给委托检测单位的费用外，本合同项下的所有材料、工程设备和工艺检验的费用。</w:t>
      </w:r>
    </w:p>
    <w:p w14:paraId="7864EDE3">
      <w:pPr>
        <w:wordWrap w:val="0"/>
        <w:adjustRightInd w:val="0"/>
        <w:snapToGrid w:val="0"/>
        <w:spacing w:after="0" w:line="360" w:lineRule="auto"/>
        <w:outlineLvl w:val="3"/>
        <w:rPr>
          <w:rFonts w:hint="eastAsia" w:ascii="宋体" w:hAnsi="宋体" w:cs="宋体"/>
          <w:sz w:val="24"/>
        </w:rPr>
      </w:pPr>
      <w:bookmarkStart w:id="732" w:name="_Toc31447"/>
      <w:bookmarkStart w:id="733" w:name="_Toc96352139"/>
      <w:bookmarkStart w:id="734" w:name="_Toc96504954"/>
      <w:bookmarkStart w:id="735" w:name="_Toc96529965"/>
      <w:bookmarkStart w:id="736" w:name="_Toc96505343"/>
      <w:r>
        <w:rPr>
          <w:rFonts w:hint="eastAsia" w:ascii="宋体" w:hAnsi="宋体" w:cs="宋体"/>
          <w:sz w:val="24"/>
        </w:rPr>
        <w:t>13.计日工</w:t>
      </w:r>
      <w:bookmarkEnd w:id="732"/>
      <w:bookmarkEnd w:id="733"/>
      <w:bookmarkEnd w:id="734"/>
      <w:bookmarkEnd w:id="735"/>
      <w:bookmarkEnd w:id="736"/>
    </w:p>
    <w:p w14:paraId="41847194">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13.1  合同条款约定的计日工，一般适用于合同约定之外的或者因变更而产生的、工程量清单中没有设立相应子目，或者即便有相应子目但因工作条件发生变化而无法适用的额外工作，尤其是那些时间不允许事先商定价格的额外工作。计日工在发包人认为必要时，由监理人按合同条款约定通知承包人实施。</w:t>
      </w:r>
    </w:p>
    <w:p w14:paraId="18B87079">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13.2  在工程实际开工后14天内，承包人应当按合同条款约定的计日工报表内容，准备一份计日工日报表的格式，报送监理人审批，监理人应当在收到之日后7天内给予批复或提出修改意见。</w:t>
      </w:r>
    </w:p>
    <w:p w14:paraId="632A3BC9">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13.3  按计日工实施相关变更的过程中，承包人应当按经监理人批准的计日工日报表格式，每天提交计日工报表和有关凭证，报送监理人审批，监理人应当在收到相关报表和凭证后24小时内给予批复。</w:t>
      </w:r>
    </w:p>
    <w:p w14:paraId="00FB960A">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13.4  计日工劳务按工日（8小时）计量，单次4小时以内按0.5个工日，单次4小时至8小时按1个工日，加班时间按照国家劳动法律法规的规定办理。实施计日工的劳务人员仅应包括直接从事计日工工作的工人和班组长（如果有），不应包括工长及其以上管理人员。</w:t>
      </w:r>
    </w:p>
    <w:p w14:paraId="1358A1A8">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13.5  已标价工程量清单计日工材料表中未列出的材料，实际发生于计日工时，其价格按照经监理人事先审批的材料运到现场的价格，和有关材料采购的发票票面价格（运到现场价）中的较低者结算，另计一个在计日工材料表中填写的包括承包人企业管理费、利润在内的一个固定百分比，规费和税金另计。</w:t>
      </w:r>
    </w:p>
    <w:p w14:paraId="44E55C0A">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13.6  施工机械按台班计量（8小时），单次4小时以内按0.5个台班，单次4小时至8小时按1个台班，操作人员加班时间按照国家劳动法律法规的规定办理。计日工如果需要使用场外施工机械，台班费用和进出场费用按市场平均价格，由承包人事后报监理人审批。</w:t>
      </w:r>
    </w:p>
    <w:p w14:paraId="360B45E5">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13.7  关于计日工的其他约定见技术标准和要求专用部分。</w:t>
      </w:r>
    </w:p>
    <w:p w14:paraId="63CF7E80">
      <w:pPr>
        <w:wordWrap w:val="0"/>
        <w:adjustRightInd w:val="0"/>
        <w:snapToGrid w:val="0"/>
        <w:spacing w:after="0" w:line="360" w:lineRule="auto"/>
        <w:outlineLvl w:val="3"/>
        <w:rPr>
          <w:rFonts w:hint="eastAsia" w:ascii="宋体" w:hAnsi="宋体" w:cs="宋体"/>
          <w:sz w:val="24"/>
        </w:rPr>
      </w:pPr>
      <w:bookmarkStart w:id="737" w:name="_Toc96505344"/>
      <w:bookmarkStart w:id="738" w:name="_Toc96352140"/>
      <w:bookmarkStart w:id="739" w:name="_Toc96529966"/>
      <w:bookmarkStart w:id="740" w:name="_Toc96504955"/>
      <w:bookmarkStart w:id="741" w:name="_Toc2615"/>
      <w:r>
        <w:rPr>
          <w:rFonts w:hint="eastAsia" w:ascii="宋体" w:hAnsi="宋体" w:cs="宋体"/>
          <w:sz w:val="24"/>
        </w:rPr>
        <w:t>14.计量与支付</w:t>
      </w:r>
      <w:bookmarkEnd w:id="737"/>
      <w:bookmarkEnd w:id="738"/>
      <w:bookmarkEnd w:id="739"/>
      <w:bookmarkEnd w:id="740"/>
      <w:bookmarkEnd w:id="741"/>
    </w:p>
    <w:p w14:paraId="1E7BB7D4">
      <w:pPr>
        <w:wordWrap w:val="0"/>
        <w:adjustRightInd w:val="0"/>
        <w:snapToGrid w:val="0"/>
        <w:spacing w:after="0" w:line="360" w:lineRule="auto"/>
        <w:rPr>
          <w:rFonts w:hint="eastAsia" w:ascii="宋体" w:hAnsi="宋体" w:cs="宋体"/>
          <w:sz w:val="24"/>
        </w:rPr>
      </w:pPr>
      <w:r>
        <w:rPr>
          <w:rFonts w:hint="eastAsia" w:ascii="宋体" w:hAnsi="宋体" w:cs="宋体"/>
          <w:sz w:val="24"/>
        </w:rPr>
        <w:t>14.1  付款申请单</w:t>
      </w:r>
    </w:p>
    <w:p w14:paraId="180F9AB1">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14.1.1  在工程实际开工后14天内，承包人应当按照合同条款的约定，准备一份已完工程量报表、进度付款申请单和计量文件的格式等报送监理人，监理人应当在收到承包人报送的格式后7天内给予批复或者提出修改意见。</w:t>
      </w:r>
    </w:p>
    <w:p w14:paraId="49746A0B">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14.1.2  根据合同条款承包人应当在合同约定的每个付款周期末，对当期完成的各项工程量进行计量和计价，并按照合同条款的约定，对当期应增加和扣减的各类款项进行梳理和汇总，按经监理人批准的格式和合同条款约定的份数和内容准备并向监理人递交进度付款申请单，并将进度付款申请单连同已完工程量报表、有关计量资料以及能够证明其进度付款申请单中所索要款项符合合同约定的各个支持性文件同时报送监理人审批。</w:t>
      </w:r>
    </w:p>
    <w:p w14:paraId="5E443F7F">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14.1.3  竣工付款申请单的内容按合同条款的约定。采用单价合同形式的，竣工付款申请单应当附上按合同条款确定的结算工程量和最近一次进度付款和竣工付款之间完成的各子目的工程量计量文件。采用总价合同形式的，签约合同价所基于的工程量就是相应的竣工结算工程量，但是，变更应按合同约定进行计量和计价。</w:t>
      </w:r>
    </w:p>
    <w:p w14:paraId="612A30CB">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14.1.4  竣工结算总价（合同价格）应当按以下内容梳理：</w:t>
      </w:r>
    </w:p>
    <w:p w14:paraId="37B77158">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(1)签约合同价；</w:t>
      </w:r>
    </w:p>
    <w:p w14:paraId="1529087A">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(2)应当扣减的项目：</w:t>
      </w:r>
    </w:p>
    <w:p w14:paraId="1C4D1DF3">
      <w:pPr>
        <w:wordWrap w:val="0"/>
        <w:adjustRightInd w:val="0"/>
        <w:snapToGrid w:val="0"/>
        <w:spacing w:after="0" w:line="360" w:lineRule="auto"/>
        <w:ind w:left="993"/>
        <w:rPr>
          <w:rFonts w:hint="eastAsia" w:ascii="宋体" w:hAnsi="宋体" w:cs="宋体"/>
          <w:sz w:val="24"/>
        </w:rPr>
      </w:pPr>
      <w:r>
        <w:rPr>
          <w:rFonts w:hint="eastAsia" w:ascii="宋体" w:hAnsi="宋体" w:cs="宋体"/>
          <w:sz w:val="24"/>
        </w:rPr>
        <w:t>1）所有暂列金额；</w:t>
      </w:r>
    </w:p>
    <w:p w14:paraId="1DDA1745">
      <w:pPr>
        <w:wordWrap w:val="0"/>
        <w:adjustRightInd w:val="0"/>
        <w:snapToGrid w:val="0"/>
        <w:spacing w:after="0" w:line="360" w:lineRule="auto"/>
        <w:ind w:left="993"/>
        <w:rPr>
          <w:rFonts w:hint="eastAsia" w:ascii="宋体" w:hAnsi="宋体" w:cs="宋体"/>
          <w:sz w:val="24"/>
        </w:rPr>
      </w:pPr>
      <w:r>
        <w:rPr>
          <w:rFonts w:hint="eastAsia" w:ascii="宋体" w:hAnsi="宋体" w:cs="宋体"/>
          <w:sz w:val="24"/>
        </w:rPr>
        <w:t>2）所有暂估价；</w:t>
      </w:r>
    </w:p>
    <w:p w14:paraId="6DCF7EDD">
      <w:pPr>
        <w:wordWrap w:val="0"/>
        <w:adjustRightInd w:val="0"/>
        <w:snapToGrid w:val="0"/>
        <w:spacing w:after="0" w:line="360" w:lineRule="auto"/>
        <w:ind w:left="993"/>
        <w:rPr>
          <w:rFonts w:hint="eastAsia" w:ascii="宋体" w:hAnsi="宋体" w:cs="宋体"/>
          <w:sz w:val="24"/>
        </w:rPr>
      </w:pPr>
      <w:r>
        <w:rPr>
          <w:rFonts w:hint="eastAsia" w:ascii="宋体" w:hAnsi="宋体" w:cs="宋体"/>
          <w:sz w:val="24"/>
        </w:rPr>
        <w:t>3）根据合同条款应扣减的变更金额；</w:t>
      </w:r>
    </w:p>
    <w:p w14:paraId="3C5F2572">
      <w:pPr>
        <w:wordWrap w:val="0"/>
        <w:adjustRightInd w:val="0"/>
        <w:snapToGrid w:val="0"/>
        <w:spacing w:after="0" w:line="360" w:lineRule="auto"/>
        <w:ind w:left="993"/>
        <w:rPr>
          <w:rFonts w:hint="eastAsia" w:ascii="宋体" w:hAnsi="宋体" w:cs="宋体"/>
          <w:sz w:val="24"/>
        </w:rPr>
      </w:pPr>
      <w:r>
        <w:rPr>
          <w:rFonts w:hint="eastAsia" w:ascii="宋体" w:hAnsi="宋体" w:cs="宋体"/>
          <w:sz w:val="24"/>
        </w:rPr>
        <w:t>4）根据合同条款应扣减的价格调整（下调部分）；</w:t>
      </w:r>
    </w:p>
    <w:p w14:paraId="414295F2">
      <w:pPr>
        <w:wordWrap w:val="0"/>
        <w:adjustRightInd w:val="0"/>
        <w:snapToGrid w:val="0"/>
        <w:spacing w:after="0" w:line="360" w:lineRule="auto"/>
        <w:ind w:left="993"/>
        <w:rPr>
          <w:rFonts w:hint="eastAsia" w:ascii="宋体" w:hAnsi="宋体" w:cs="宋体"/>
          <w:sz w:val="24"/>
        </w:rPr>
      </w:pPr>
      <w:r>
        <w:rPr>
          <w:rFonts w:hint="eastAsia" w:ascii="宋体" w:hAnsi="宋体" w:cs="宋体"/>
          <w:sz w:val="24"/>
        </w:rPr>
        <w:t>5）根据合同条款应扣减的发包人索赔金额；</w:t>
      </w:r>
    </w:p>
    <w:p w14:paraId="4D3961E6">
      <w:pPr>
        <w:wordWrap w:val="0"/>
        <w:adjustRightInd w:val="0"/>
        <w:snapToGrid w:val="0"/>
        <w:spacing w:after="0" w:line="360" w:lineRule="auto"/>
        <w:ind w:left="993"/>
        <w:rPr>
          <w:rFonts w:hint="eastAsia" w:ascii="宋体" w:hAnsi="宋体" w:cs="宋体"/>
          <w:sz w:val="24"/>
        </w:rPr>
      </w:pPr>
      <w:r>
        <w:rPr>
          <w:rFonts w:hint="eastAsia" w:ascii="宋体" w:hAnsi="宋体" w:cs="宋体"/>
          <w:sz w:val="24"/>
        </w:rPr>
        <w:t>6）甩项工程的合同价值（如果有）；</w:t>
      </w:r>
    </w:p>
    <w:p w14:paraId="6B66DFFB">
      <w:pPr>
        <w:wordWrap w:val="0"/>
        <w:adjustRightInd w:val="0"/>
        <w:snapToGrid w:val="0"/>
        <w:spacing w:after="0" w:line="360" w:lineRule="auto"/>
        <w:ind w:left="993"/>
        <w:rPr>
          <w:rFonts w:hint="eastAsia" w:ascii="宋体" w:hAnsi="宋体" w:cs="宋体"/>
          <w:sz w:val="24"/>
        </w:rPr>
      </w:pPr>
      <w:r>
        <w:rPr>
          <w:rFonts w:hint="eastAsia" w:ascii="宋体" w:hAnsi="宋体" w:cs="宋体"/>
          <w:sz w:val="24"/>
        </w:rPr>
        <w:t>7）根据合同约定发包人应扣减的其他金额。</w:t>
      </w:r>
    </w:p>
    <w:p w14:paraId="6609B3ED">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(3)应当增加的项目：</w:t>
      </w:r>
    </w:p>
    <w:p w14:paraId="4D4E6D5F">
      <w:pPr>
        <w:wordWrap w:val="0"/>
        <w:adjustRightInd w:val="0"/>
        <w:snapToGrid w:val="0"/>
        <w:spacing w:after="0" w:line="360" w:lineRule="auto"/>
        <w:ind w:left="993"/>
        <w:rPr>
          <w:rFonts w:hint="eastAsia" w:ascii="宋体" w:hAnsi="宋体" w:cs="宋体"/>
          <w:sz w:val="24"/>
        </w:rPr>
      </w:pPr>
      <w:r>
        <w:rPr>
          <w:rFonts w:hint="eastAsia" w:ascii="宋体" w:hAnsi="宋体" w:cs="宋体"/>
          <w:sz w:val="24"/>
        </w:rPr>
        <w:t>1）实际发生的暂列金额（包括计日工）；</w:t>
      </w:r>
    </w:p>
    <w:p w14:paraId="320CBD13">
      <w:pPr>
        <w:wordWrap w:val="0"/>
        <w:adjustRightInd w:val="0"/>
        <w:snapToGrid w:val="0"/>
        <w:spacing w:after="0" w:line="360" w:lineRule="auto"/>
        <w:ind w:left="993"/>
        <w:rPr>
          <w:rFonts w:hint="eastAsia" w:ascii="宋体" w:hAnsi="宋体" w:cs="宋体"/>
          <w:sz w:val="24"/>
        </w:rPr>
      </w:pPr>
      <w:r>
        <w:rPr>
          <w:rFonts w:hint="eastAsia" w:ascii="宋体" w:hAnsi="宋体" w:cs="宋体"/>
          <w:sz w:val="24"/>
        </w:rPr>
        <w:t>2）实际发生的暂估价；</w:t>
      </w:r>
    </w:p>
    <w:p w14:paraId="607E1F6D">
      <w:pPr>
        <w:wordWrap w:val="0"/>
        <w:adjustRightInd w:val="0"/>
        <w:snapToGrid w:val="0"/>
        <w:spacing w:after="0" w:line="360" w:lineRule="auto"/>
        <w:ind w:left="993"/>
        <w:rPr>
          <w:rFonts w:hint="eastAsia" w:ascii="宋体" w:hAnsi="宋体" w:cs="宋体"/>
          <w:sz w:val="24"/>
        </w:rPr>
      </w:pPr>
      <w:r>
        <w:rPr>
          <w:rFonts w:hint="eastAsia" w:ascii="宋体" w:hAnsi="宋体" w:cs="宋体"/>
          <w:sz w:val="24"/>
        </w:rPr>
        <w:t>3）根据合同条款应增加的变更金额；</w:t>
      </w:r>
    </w:p>
    <w:p w14:paraId="6A0C59CE">
      <w:pPr>
        <w:wordWrap w:val="0"/>
        <w:adjustRightInd w:val="0"/>
        <w:snapToGrid w:val="0"/>
        <w:spacing w:after="0" w:line="360" w:lineRule="auto"/>
        <w:ind w:left="993"/>
        <w:rPr>
          <w:rFonts w:hint="eastAsia" w:ascii="宋体" w:hAnsi="宋体" w:cs="宋体"/>
          <w:sz w:val="24"/>
        </w:rPr>
      </w:pPr>
      <w:r>
        <w:rPr>
          <w:rFonts w:hint="eastAsia" w:ascii="宋体" w:hAnsi="宋体" w:cs="宋体"/>
          <w:sz w:val="24"/>
        </w:rPr>
        <w:t>4）根据合同条款应增加的价格调整（上调部分）；</w:t>
      </w:r>
    </w:p>
    <w:p w14:paraId="08B38C29">
      <w:pPr>
        <w:wordWrap w:val="0"/>
        <w:adjustRightInd w:val="0"/>
        <w:snapToGrid w:val="0"/>
        <w:spacing w:after="0" w:line="360" w:lineRule="auto"/>
        <w:ind w:left="993"/>
        <w:rPr>
          <w:rFonts w:hint="eastAsia" w:ascii="宋体" w:hAnsi="宋体" w:cs="宋体"/>
          <w:sz w:val="24"/>
        </w:rPr>
      </w:pPr>
      <w:r>
        <w:rPr>
          <w:rFonts w:hint="eastAsia" w:ascii="宋体" w:hAnsi="宋体" w:cs="宋体"/>
          <w:sz w:val="24"/>
        </w:rPr>
        <w:t>5）根据合同条款应增加的承包人索赔金额；</w:t>
      </w:r>
    </w:p>
    <w:p w14:paraId="524B4D6D">
      <w:pPr>
        <w:wordWrap w:val="0"/>
        <w:adjustRightInd w:val="0"/>
        <w:snapToGrid w:val="0"/>
        <w:spacing w:after="0" w:line="360" w:lineRule="auto"/>
        <w:ind w:left="993"/>
        <w:rPr>
          <w:rFonts w:hint="eastAsia" w:ascii="宋体" w:hAnsi="宋体" w:cs="宋体"/>
          <w:sz w:val="24"/>
        </w:rPr>
      </w:pPr>
      <w:r>
        <w:rPr>
          <w:rFonts w:hint="eastAsia" w:ascii="宋体" w:hAnsi="宋体" w:cs="宋体"/>
          <w:sz w:val="24"/>
        </w:rPr>
        <w:t>6）根据合同约定承包人应当得到的其他金额。</w:t>
      </w:r>
    </w:p>
    <w:p w14:paraId="3A37C0C7">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(4)规费和税金差额部分。</w:t>
      </w:r>
    </w:p>
    <w:p w14:paraId="688BCF42">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14.1.5  最终结清申请单的应付金额应当按下列内容梳理：</w:t>
      </w:r>
    </w:p>
    <w:p w14:paraId="0E3D3FC5">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(1)按合同约定扣留的质量保证金</w:t>
      </w:r>
    </w:p>
    <w:p w14:paraId="1238F034">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(2)应当扣除的金额：</w:t>
      </w:r>
    </w:p>
    <w:p w14:paraId="4730F155">
      <w:pPr>
        <w:wordWrap w:val="0"/>
        <w:adjustRightInd w:val="0"/>
        <w:snapToGrid w:val="0"/>
        <w:spacing w:after="0" w:line="360" w:lineRule="auto"/>
        <w:ind w:left="993"/>
        <w:rPr>
          <w:rFonts w:hint="eastAsia" w:ascii="宋体" w:hAnsi="宋体" w:cs="宋体"/>
          <w:sz w:val="24"/>
        </w:rPr>
      </w:pPr>
      <w:r>
        <w:rPr>
          <w:rFonts w:hint="eastAsia" w:ascii="宋体" w:hAnsi="宋体" w:cs="宋体"/>
          <w:sz w:val="24"/>
        </w:rPr>
        <w:t>1）按合同条款约定扣留的质量保证金；</w:t>
      </w:r>
    </w:p>
    <w:p w14:paraId="2757F1C1">
      <w:pPr>
        <w:wordWrap w:val="0"/>
        <w:adjustRightInd w:val="0"/>
        <w:snapToGrid w:val="0"/>
        <w:spacing w:after="0" w:line="360" w:lineRule="auto"/>
        <w:ind w:left="993"/>
        <w:rPr>
          <w:rFonts w:hint="eastAsia" w:ascii="宋体" w:hAnsi="宋体" w:cs="宋体"/>
          <w:sz w:val="24"/>
        </w:rPr>
      </w:pPr>
      <w:r>
        <w:rPr>
          <w:rFonts w:hint="eastAsia" w:ascii="宋体" w:hAnsi="宋体" w:cs="宋体"/>
          <w:sz w:val="24"/>
        </w:rPr>
        <w:t>2）按合同条款约定扣除的质量保证金；</w:t>
      </w:r>
    </w:p>
    <w:p w14:paraId="263BCC8F">
      <w:pPr>
        <w:wordWrap w:val="0"/>
        <w:adjustRightInd w:val="0"/>
        <w:snapToGrid w:val="0"/>
        <w:spacing w:after="0" w:line="360" w:lineRule="auto"/>
        <w:ind w:left="993"/>
        <w:rPr>
          <w:rFonts w:hint="eastAsia" w:ascii="宋体" w:hAnsi="宋体" w:cs="宋体"/>
          <w:sz w:val="24"/>
        </w:rPr>
      </w:pPr>
      <w:r>
        <w:rPr>
          <w:rFonts w:hint="eastAsia" w:ascii="宋体" w:hAnsi="宋体" w:cs="宋体"/>
          <w:sz w:val="24"/>
        </w:rPr>
        <w:t>3）根据合同条款应扣减的缺陷责任期内发生的发包人索赔金额；</w:t>
      </w:r>
    </w:p>
    <w:p w14:paraId="3774DDA8">
      <w:pPr>
        <w:wordWrap w:val="0"/>
        <w:adjustRightInd w:val="0"/>
        <w:snapToGrid w:val="0"/>
        <w:spacing w:after="0" w:line="360" w:lineRule="auto"/>
        <w:ind w:left="993"/>
        <w:rPr>
          <w:rFonts w:hint="eastAsia" w:ascii="宋体" w:hAnsi="宋体" w:cs="宋体"/>
          <w:sz w:val="24"/>
        </w:rPr>
      </w:pPr>
      <w:r>
        <w:rPr>
          <w:rFonts w:hint="eastAsia" w:ascii="宋体" w:hAnsi="宋体" w:cs="宋体"/>
          <w:sz w:val="24"/>
        </w:rPr>
        <w:t>4）根据合同约定应扣减的其他金额。</w:t>
      </w:r>
    </w:p>
    <w:p w14:paraId="75B717D0">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(3)应当增加的金额：</w:t>
      </w:r>
    </w:p>
    <w:p w14:paraId="3F41611A">
      <w:pPr>
        <w:wordWrap w:val="0"/>
        <w:adjustRightInd w:val="0"/>
        <w:snapToGrid w:val="0"/>
        <w:spacing w:after="0" w:line="360" w:lineRule="auto"/>
        <w:ind w:left="993"/>
        <w:rPr>
          <w:rFonts w:hint="eastAsia" w:ascii="宋体" w:hAnsi="宋体" w:cs="宋体"/>
          <w:sz w:val="24"/>
        </w:rPr>
      </w:pPr>
      <w:r>
        <w:rPr>
          <w:rFonts w:hint="eastAsia" w:ascii="宋体" w:hAnsi="宋体" w:cs="宋体"/>
          <w:sz w:val="24"/>
        </w:rPr>
        <w:t>1）已完且符合合同约定的甩项工程的价值；</w:t>
      </w:r>
    </w:p>
    <w:p w14:paraId="5809EA8F">
      <w:pPr>
        <w:wordWrap w:val="0"/>
        <w:adjustRightInd w:val="0"/>
        <w:snapToGrid w:val="0"/>
        <w:spacing w:after="0" w:line="360" w:lineRule="auto"/>
        <w:ind w:left="993"/>
        <w:rPr>
          <w:rFonts w:hint="eastAsia" w:ascii="宋体" w:hAnsi="宋体" w:cs="宋体"/>
          <w:sz w:val="24"/>
        </w:rPr>
      </w:pPr>
      <w:r>
        <w:rPr>
          <w:rFonts w:hint="eastAsia" w:ascii="宋体" w:hAnsi="宋体" w:cs="宋体"/>
          <w:sz w:val="24"/>
        </w:rPr>
        <w:t>2）按合同条款约定由承包人修复的发包人原因造成的缺陷的价值；</w:t>
      </w:r>
    </w:p>
    <w:p w14:paraId="50EF165C">
      <w:pPr>
        <w:wordWrap w:val="0"/>
        <w:adjustRightInd w:val="0"/>
        <w:snapToGrid w:val="0"/>
        <w:spacing w:after="0" w:line="360" w:lineRule="auto"/>
        <w:ind w:left="993"/>
        <w:rPr>
          <w:rFonts w:hint="eastAsia" w:ascii="宋体" w:hAnsi="宋体" w:cs="宋体"/>
          <w:sz w:val="24"/>
        </w:rPr>
      </w:pPr>
      <w:r>
        <w:rPr>
          <w:rFonts w:hint="eastAsia" w:ascii="宋体" w:hAnsi="宋体" w:cs="宋体"/>
          <w:sz w:val="24"/>
        </w:rPr>
        <w:t>3）根据合同条款应增加的缺陷责任期内发生的承包人索赔金额；</w:t>
      </w:r>
    </w:p>
    <w:p w14:paraId="3D6A3D64">
      <w:pPr>
        <w:wordWrap w:val="0"/>
        <w:adjustRightInd w:val="0"/>
        <w:snapToGrid w:val="0"/>
        <w:spacing w:after="0" w:line="360" w:lineRule="auto"/>
        <w:ind w:left="993"/>
        <w:rPr>
          <w:rFonts w:hint="eastAsia" w:ascii="宋体" w:hAnsi="宋体" w:cs="宋体"/>
          <w:sz w:val="24"/>
        </w:rPr>
      </w:pPr>
      <w:r>
        <w:rPr>
          <w:rFonts w:hint="eastAsia" w:ascii="宋体" w:hAnsi="宋体" w:cs="宋体"/>
          <w:sz w:val="24"/>
        </w:rPr>
        <w:t>4）根据合同约定承包人应当得到的其他金额。</w:t>
      </w:r>
    </w:p>
    <w:p w14:paraId="6F6A2076">
      <w:pPr>
        <w:wordWrap w:val="0"/>
        <w:adjustRightInd w:val="0"/>
        <w:snapToGrid w:val="0"/>
        <w:spacing w:after="0" w:line="360" w:lineRule="auto"/>
        <w:ind w:firstLine="720" w:firstLineChars="300"/>
        <w:rPr>
          <w:rFonts w:hint="eastAsia" w:ascii="宋体" w:hAnsi="宋体" w:cs="宋体"/>
          <w:sz w:val="24"/>
        </w:rPr>
      </w:pPr>
      <w:r>
        <w:rPr>
          <w:rFonts w:hint="eastAsia" w:ascii="宋体" w:hAnsi="宋体" w:cs="宋体"/>
          <w:sz w:val="24"/>
        </w:rPr>
        <w:t>最终结清应当由发包人和承包人按照“多退少补”的原则办理。</w:t>
      </w:r>
    </w:p>
    <w:p w14:paraId="17B3E0A2">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14.1.6  竣工付款申请单和最终结清申请单应当比照进度付款申请单的格式准备，并提供相关证明材料。</w:t>
      </w:r>
    </w:p>
    <w:p w14:paraId="516A816D">
      <w:pPr>
        <w:wordWrap w:val="0"/>
        <w:adjustRightInd w:val="0"/>
        <w:snapToGrid w:val="0"/>
        <w:spacing w:after="0" w:line="360" w:lineRule="auto"/>
        <w:rPr>
          <w:rFonts w:hint="eastAsia" w:ascii="宋体" w:hAnsi="宋体" w:cs="宋体"/>
          <w:sz w:val="24"/>
        </w:rPr>
      </w:pPr>
      <w:r>
        <w:rPr>
          <w:rFonts w:hint="eastAsia" w:ascii="宋体" w:hAnsi="宋体" w:cs="宋体"/>
          <w:sz w:val="24"/>
        </w:rPr>
        <w:t>14.2  其他约定</w:t>
      </w:r>
    </w:p>
    <w:p w14:paraId="24962FE4">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其他约定内容见技术标准和要求专用部分。</w:t>
      </w:r>
    </w:p>
    <w:p w14:paraId="6DA570F6">
      <w:pPr>
        <w:wordWrap w:val="0"/>
        <w:adjustRightInd w:val="0"/>
        <w:snapToGrid w:val="0"/>
        <w:spacing w:after="0" w:line="360" w:lineRule="auto"/>
        <w:outlineLvl w:val="3"/>
        <w:rPr>
          <w:rFonts w:hint="eastAsia" w:ascii="宋体" w:hAnsi="宋体" w:cs="宋体"/>
          <w:sz w:val="24"/>
        </w:rPr>
      </w:pPr>
      <w:bookmarkStart w:id="742" w:name="_Toc96352141"/>
      <w:bookmarkStart w:id="743" w:name="_Toc96505345"/>
      <w:bookmarkStart w:id="744" w:name="_Toc96529967"/>
      <w:bookmarkStart w:id="745" w:name="_Toc1293"/>
      <w:bookmarkStart w:id="746" w:name="_Toc96504956"/>
      <w:r>
        <w:rPr>
          <w:rFonts w:hint="eastAsia" w:ascii="宋体" w:hAnsi="宋体" w:cs="宋体"/>
          <w:sz w:val="24"/>
        </w:rPr>
        <w:t>15.竣工验收和工程移交</w:t>
      </w:r>
      <w:bookmarkEnd w:id="742"/>
      <w:bookmarkEnd w:id="743"/>
      <w:bookmarkEnd w:id="744"/>
      <w:bookmarkEnd w:id="745"/>
      <w:bookmarkEnd w:id="746"/>
    </w:p>
    <w:p w14:paraId="31DE77C6">
      <w:pPr>
        <w:wordWrap w:val="0"/>
        <w:adjustRightInd w:val="0"/>
        <w:snapToGrid w:val="0"/>
        <w:spacing w:after="0" w:line="360" w:lineRule="auto"/>
        <w:rPr>
          <w:rFonts w:hint="eastAsia" w:ascii="宋体" w:hAnsi="宋体" w:cs="宋体"/>
          <w:sz w:val="24"/>
        </w:rPr>
      </w:pPr>
      <w:r>
        <w:rPr>
          <w:rFonts w:hint="eastAsia" w:ascii="宋体" w:hAnsi="宋体" w:cs="宋体"/>
          <w:sz w:val="24"/>
        </w:rPr>
        <w:t>15.2  竣工验收申请报告</w:t>
      </w:r>
    </w:p>
    <w:p w14:paraId="1C9C8A3B">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15.2.1竣工验收申请报告，也称竣工验收报告，是承包人完成合同约定的工作内容后，按照国家有关施工质量验收标准的规定，经其自行检查，证明已经完成合同工作内容并符合合同约定，达到竣工验收标准，而向监理人或发包人提交的请求发包人组织进行合同工程竣工验收的一份书面申请函，合同约定的竣工验收资料和其他文件一般作为竣工验收申请报告的附件，是竣工验收申请报告的组成部分。</w:t>
      </w:r>
    </w:p>
    <w:p w14:paraId="792003D9">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15.2.2  竣工验收申请报告一般应当包括工程概况说明，承包范围，分包工程情况，主要材料、设备供应情况，采用的主要施工方法，新材料、新技术和新工艺采用情况，自检质量情况等的说明。竣工验收申请报告的格式和应当包括的内容应事先经过监理人的审批。</w:t>
      </w:r>
    </w:p>
    <w:p w14:paraId="0D9A54B0">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15.2.3  竣工验收申请报告应当按合同条款附上下列内容：</w:t>
      </w:r>
    </w:p>
    <w:p w14:paraId="1D0F12F0">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(1)承包人的自行检查和评定记录文件，即除监理人同意列入缺陷责任期内完成的尾工（甩项）工程和缺陷修补工作外，合同范围内的全部单位工程以及有关工作，包括合同要求的试验、试运行以及检验和验收均已完成，并符合合同要求；</w:t>
      </w:r>
    </w:p>
    <w:p w14:paraId="1D1165DD">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(2)按合同条款约定的内容和份数整理的符合要求的竣工资料；</w:t>
      </w:r>
    </w:p>
    <w:p w14:paraId="00242DFF">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(3)按监理人的要求编制了在缺陷责任期内完成的尾工（甩项）工程和缺陷修补工作清单以及相应施工计划；</w:t>
      </w:r>
    </w:p>
    <w:p w14:paraId="17A1A446">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(4)监理人要求在竣工验收前应完成的其他工作的证明材料；</w:t>
      </w:r>
    </w:p>
    <w:p w14:paraId="3BD7C9B1">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(5)监理人要求提交的竣工验收资料清单；</w:t>
      </w:r>
    </w:p>
    <w:p w14:paraId="2C01CBBB">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(6)合同条款约定的质量保修书（此前已经提交的不再提交）；</w:t>
      </w:r>
    </w:p>
    <w:p w14:paraId="03A8ED41">
      <w:pPr>
        <w:wordWrap w:val="0"/>
        <w:adjustRightInd w:val="0"/>
        <w:snapToGrid w:val="0"/>
        <w:spacing w:after="0" w:line="360" w:lineRule="auto"/>
        <w:ind w:firstLine="480" w:firstLineChars="200"/>
        <w:rPr>
          <w:rFonts w:hint="eastAsia" w:ascii="宋体" w:hAnsi="宋体" w:cs="宋体"/>
          <w:sz w:val="24"/>
        </w:rPr>
      </w:pPr>
      <w:r>
        <w:rPr>
          <w:rFonts w:hint="eastAsia" w:ascii="宋体" w:hAnsi="宋体" w:cs="宋体"/>
          <w:sz w:val="24"/>
        </w:rPr>
        <w:t>(7)其他要求见技术标准和要求专用部分。</w:t>
      </w:r>
    </w:p>
    <w:p w14:paraId="55A84093">
      <w:pPr>
        <w:wordWrap w:val="0"/>
        <w:adjustRightInd w:val="0"/>
        <w:snapToGrid w:val="0"/>
        <w:spacing w:after="0" w:line="360" w:lineRule="auto"/>
        <w:outlineLvl w:val="3"/>
        <w:rPr>
          <w:rFonts w:hint="eastAsia" w:ascii="宋体" w:hAnsi="宋体" w:cs="宋体"/>
          <w:sz w:val="24"/>
        </w:rPr>
      </w:pPr>
      <w:bookmarkStart w:id="747" w:name="_Toc96529968"/>
      <w:bookmarkStart w:id="748" w:name="_Toc96504957"/>
      <w:bookmarkStart w:id="749" w:name="_Toc96352142"/>
      <w:bookmarkStart w:id="750" w:name="_Toc12378"/>
      <w:bookmarkStart w:id="751" w:name="_Toc96505346"/>
      <w:r>
        <w:rPr>
          <w:rFonts w:hint="eastAsia" w:ascii="宋体" w:hAnsi="宋体" w:cs="宋体"/>
          <w:sz w:val="24"/>
        </w:rPr>
        <w:t>16.需要补充的其他要求</w:t>
      </w:r>
      <w:bookmarkEnd w:id="747"/>
      <w:bookmarkEnd w:id="748"/>
      <w:bookmarkEnd w:id="749"/>
      <w:bookmarkEnd w:id="750"/>
      <w:bookmarkEnd w:id="751"/>
    </w:p>
    <w:p w14:paraId="5A17FB70">
      <w:pPr>
        <w:wordWrap w:val="0"/>
        <w:spacing w:after="0" w:line="360" w:lineRule="auto"/>
        <w:ind w:firstLine="420"/>
        <w:rPr>
          <w:rFonts w:hint="eastAsia" w:ascii="宋体" w:hAnsi="宋体" w:cs="宋体"/>
          <w:b/>
          <w:sz w:val="24"/>
          <w:shd w:val="clear" w:color="auto" w:fill="FFFFFF"/>
        </w:rPr>
        <w:sectPr>
          <w:footerReference r:id="rId13" w:type="first"/>
          <w:headerReference r:id="rId10" w:type="default"/>
          <w:footerReference r:id="rId12" w:type="default"/>
          <w:headerReference r:id="rId11" w:type="even"/>
          <w:pgSz w:w="11905" w:h="16838"/>
          <w:pgMar w:top="1474" w:right="1474" w:bottom="1474" w:left="1474" w:header="850" w:footer="992" w:gutter="0"/>
          <w:pgNumType w:fmt="decimal"/>
          <w:cols w:space="720" w:num="1"/>
          <w:docGrid w:linePitch="312" w:charSpace="0"/>
        </w:sectPr>
      </w:pPr>
      <w:r>
        <w:rPr>
          <w:rFonts w:hint="eastAsia" w:ascii="宋体" w:hAnsi="宋体" w:cs="宋体"/>
          <w:sz w:val="24"/>
        </w:rPr>
        <w:t>需要补充的其他要求见技术标准和要求专用部分。</w:t>
      </w:r>
      <w:bookmarkStart w:id="752" w:name="_Toc497236021"/>
      <w:bookmarkStart w:id="753" w:name="_Toc480304504"/>
      <w:bookmarkStart w:id="754" w:name="_Toc486580462"/>
      <w:bookmarkStart w:id="755" w:name="_Toc490331745"/>
    </w:p>
    <w:bookmarkEnd w:id="752"/>
    <w:bookmarkEnd w:id="753"/>
    <w:bookmarkEnd w:id="754"/>
    <w:bookmarkEnd w:id="755"/>
    <w:p w14:paraId="5DB9C159">
      <w:pPr>
        <w:pStyle w:val="250"/>
        <w:wordWrap w:val="0"/>
        <w:spacing w:before="120" w:after="0"/>
        <w:outlineLvl w:val="2"/>
        <w:rPr>
          <w:rFonts w:hint="eastAsia" w:ascii="宋体" w:hAnsi="宋体" w:eastAsia="宋体"/>
          <w:sz w:val="24"/>
          <w:szCs w:val="24"/>
          <w:shd w:val="clear" w:color="auto" w:fill="FFFFFF"/>
        </w:rPr>
      </w:pPr>
      <w:bookmarkStart w:id="756" w:name="_Toc22264"/>
      <w:bookmarkStart w:id="757" w:name="_Toc96505347"/>
      <w:bookmarkStart w:id="758" w:name="_Toc96504958"/>
      <w:bookmarkStart w:id="759" w:name="_Toc96352143"/>
      <w:bookmarkStart w:id="760" w:name="_Hlk83577958"/>
      <w:bookmarkStart w:id="761" w:name="_Toc490331746"/>
      <w:bookmarkStart w:id="762" w:name="_Toc483581227"/>
      <w:bookmarkStart w:id="763" w:name="_Toc489280268"/>
      <w:bookmarkStart w:id="764" w:name="_Toc497298375"/>
      <w:bookmarkStart w:id="765" w:name="_Toc486580463"/>
      <w:bookmarkStart w:id="766" w:name="_Toc38037921"/>
      <w:bookmarkStart w:id="767" w:name="_Toc501055673"/>
      <w:bookmarkStart w:id="768" w:name="_Toc342296547"/>
      <w:bookmarkStart w:id="769" w:name="_Toc241459790"/>
      <w:r>
        <w:rPr>
          <w:rFonts w:hint="eastAsia" w:ascii="宋体" w:hAnsi="宋体" w:eastAsia="宋体"/>
          <w:b/>
          <w:sz w:val="24"/>
          <w:szCs w:val="24"/>
          <w:shd w:val="clear" w:color="auto" w:fill="FFFFFF"/>
        </w:rPr>
        <w:t>技术标准和要求专用部分</w:t>
      </w:r>
      <w:bookmarkEnd w:id="756"/>
      <w:bookmarkEnd w:id="757"/>
      <w:bookmarkEnd w:id="758"/>
      <w:bookmarkEnd w:id="759"/>
    </w:p>
    <w:bookmarkEnd w:id="760"/>
    <w:p w14:paraId="71818306">
      <w:pPr>
        <w:pStyle w:val="250"/>
        <w:wordWrap w:val="0"/>
        <w:spacing w:before="120" w:after="0"/>
        <w:outlineLvl w:val="3"/>
        <w:rPr>
          <w:rFonts w:hint="eastAsia" w:ascii="宋体" w:hAnsi="宋体" w:eastAsia="宋体"/>
          <w:sz w:val="24"/>
          <w:szCs w:val="24"/>
          <w:shd w:val="clear" w:color="auto" w:fill="FFFFFF"/>
        </w:rPr>
      </w:pPr>
      <w:bookmarkStart w:id="770" w:name="_Toc13757"/>
      <w:bookmarkStart w:id="771" w:name="_Toc96505348"/>
      <w:bookmarkStart w:id="772" w:name="_Toc96504959"/>
      <w:bookmarkStart w:id="773" w:name="_Toc96352144"/>
      <w:bookmarkStart w:id="774" w:name="_Toc96529970"/>
      <w:r>
        <w:rPr>
          <w:rFonts w:hint="eastAsia" w:ascii="宋体" w:hAnsi="宋体" w:eastAsia="宋体"/>
          <w:sz w:val="24"/>
          <w:szCs w:val="24"/>
          <w:shd w:val="clear" w:color="auto" w:fill="FFFFFF"/>
        </w:rPr>
        <w:t>1.工程说明</w:t>
      </w:r>
      <w:bookmarkEnd w:id="761"/>
      <w:bookmarkEnd w:id="762"/>
      <w:bookmarkEnd w:id="763"/>
      <w:bookmarkEnd w:id="764"/>
      <w:bookmarkEnd w:id="765"/>
      <w:bookmarkEnd w:id="766"/>
      <w:bookmarkEnd w:id="767"/>
      <w:bookmarkEnd w:id="770"/>
      <w:bookmarkEnd w:id="771"/>
      <w:bookmarkEnd w:id="772"/>
      <w:bookmarkEnd w:id="773"/>
      <w:bookmarkEnd w:id="774"/>
    </w:p>
    <w:p w14:paraId="7125FB6B">
      <w:pPr>
        <w:pStyle w:val="251"/>
        <w:wordWrap w:val="0"/>
        <w:spacing w:before="120" w:after="0"/>
        <w:outlineLvl w:val="4"/>
        <w:rPr>
          <w:rFonts w:hint="eastAsia" w:hAnsi="宋体" w:cs="宋体"/>
          <w:szCs w:val="24"/>
          <w:shd w:val="clear" w:color="auto" w:fill="FFFFFF"/>
        </w:rPr>
      </w:pPr>
      <w:bookmarkStart w:id="775" w:name="_Toc38037922"/>
      <w:bookmarkStart w:id="776" w:name="_Toc486580464"/>
      <w:bookmarkStart w:id="777" w:name="_Toc501055674"/>
      <w:bookmarkStart w:id="778" w:name="_Toc31999"/>
      <w:bookmarkStart w:id="779" w:name="_Toc96529971"/>
      <w:bookmarkStart w:id="780" w:name="_Toc483581228"/>
      <w:bookmarkStart w:id="781" w:name="_Toc96352145"/>
      <w:bookmarkStart w:id="782" w:name="_Toc96504960"/>
      <w:bookmarkStart w:id="783" w:name="_Toc489280269"/>
      <w:bookmarkStart w:id="784" w:name="_Toc96505349"/>
      <w:bookmarkStart w:id="785" w:name="_Toc497298376"/>
      <w:r>
        <w:rPr>
          <w:rFonts w:hint="eastAsia" w:hAnsi="宋体" w:cs="宋体"/>
          <w:szCs w:val="24"/>
          <w:shd w:val="clear" w:color="auto" w:fill="FFFFFF"/>
        </w:rPr>
        <w:t>1.1  工程概况</w:t>
      </w:r>
      <w:bookmarkEnd w:id="775"/>
      <w:bookmarkEnd w:id="776"/>
      <w:bookmarkEnd w:id="777"/>
      <w:bookmarkEnd w:id="778"/>
      <w:bookmarkEnd w:id="779"/>
      <w:bookmarkEnd w:id="780"/>
      <w:bookmarkEnd w:id="781"/>
      <w:bookmarkEnd w:id="782"/>
      <w:bookmarkEnd w:id="783"/>
      <w:bookmarkEnd w:id="784"/>
      <w:bookmarkEnd w:id="785"/>
    </w:p>
    <w:p w14:paraId="3B155BF4">
      <w:pPr>
        <w:wordWrap w:val="0"/>
        <w:spacing w:after="0" w:line="360" w:lineRule="auto"/>
        <w:ind w:firstLine="480" w:firstLineChars="200"/>
        <w:rPr>
          <w:rFonts w:hint="eastAsia" w:ascii="宋体" w:hAnsi="宋体" w:cs="宋体"/>
          <w:bCs/>
          <w:sz w:val="24"/>
          <w:shd w:val="clear" w:color="auto" w:fill="FFFFFF"/>
        </w:rPr>
      </w:pPr>
      <w:r>
        <w:rPr>
          <w:rFonts w:hint="eastAsia" w:ascii="宋体" w:hAnsi="宋体" w:cs="宋体"/>
          <w:sz w:val="24"/>
          <w:shd w:val="clear" w:color="auto" w:fill="FFFFFF"/>
        </w:rPr>
        <w:t>1.1.1  本工程基本情况</w:t>
      </w:r>
      <w:r>
        <w:rPr>
          <w:rFonts w:hint="eastAsia" w:ascii="宋体" w:hAnsi="宋体" w:cs="宋体"/>
          <w:bCs/>
          <w:sz w:val="24"/>
          <w:shd w:val="clear" w:color="auto" w:fill="FFFFFF"/>
        </w:rPr>
        <w:t>；</w:t>
      </w:r>
    </w:p>
    <w:p w14:paraId="5A1FA69A">
      <w:pPr>
        <w:wordWrap w:val="0"/>
        <w:spacing w:after="0" w:line="360" w:lineRule="auto"/>
        <w:ind w:firstLine="480" w:firstLineChars="200"/>
        <w:rPr>
          <w:rFonts w:hint="eastAsia" w:ascii="宋体" w:hAnsi="宋体" w:eastAsia="宋体" w:cs="宋体"/>
          <w:sz w:val="24"/>
          <w:lang w:eastAsia="zh-CN"/>
        </w:rPr>
      </w:pPr>
      <w:r>
        <w:rPr>
          <w:rFonts w:hint="eastAsia" w:ascii="宋体" w:hAnsi="宋体" w:cs="宋体"/>
          <w:bCs/>
          <w:sz w:val="24"/>
          <w:shd w:val="clear" w:color="auto" w:fill="FFFFFF"/>
        </w:rPr>
        <w:t>项目名称：</w:t>
      </w:r>
      <w:r>
        <w:rPr>
          <w:rFonts w:hint="eastAsia" w:ascii="宋体" w:hAnsi="宋体" w:cs="宋体"/>
          <w:sz w:val="24"/>
          <w:lang w:eastAsia="zh-CN"/>
        </w:rPr>
        <w:t>花卉大观园再生水智联灌溉提升项目</w:t>
      </w:r>
    </w:p>
    <w:p w14:paraId="5366076F">
      <w:pPr>
        <w:wordWrap w:val="0"/>
        <w:spacing w:after="0" w:line="360" w:lineRule="auto"/>
        <w:ind w:firstLine="480" w:firstLineChars="200"/>
        <w:rPr>
          <w:rFonts w:hint="eastAsia" w:ascii="宋体" w:hAnsi="宋体" w:cs="宋体"/>
          <w:sz w:val="24"/>
          <w:shd w:val="clear" w:color="auto" w:fill="FFFFFF"/>
        </w:rPr>
      </w:pPr>
      <w:r>
        <w:rPr>
          <w:rFonts w:hint="eastAsia" w:ascii="宋体" w:hAnsi="宋体" w:cs="宋体"/>
          <w:sz w:val="24"/>
          <w:shd w:val="clear" w:color="auto" w:fill="FFFFFF"/>
        </w:rPr>
        <w:t>建设地点：</w:t>
      </w:r>
      <w:r>
        <w:rPr>
          <w:rFonts w:hint="eastAsia" w:ascii="宋体" w:hAnsi="宋体" w:cs="宋体"/>
          <w:sz w:val="24"/>
          <w:u w:val="single"/>
          <w:shd w:val="clear" w:color="auto" w:fill="FFFFFF"/>
        </w:rPr>
        <w:t>北京市丰台区</w:t>
      </w:r>
    </w:p>
    <w:p w14:paraId="0E04B470">
      <w:pPr>
        <w:wordWrap w:val="0"/>
        <w:spacing w:after="0" w:line="360" w:lineRule="auto"/>
        <w:ind w:firstLine="480" w:firstLineChars="200"/>
        <w:rPr>
          <w:rFonts w:hint="eastAsia" w:ascii="宋体" w:hAnsi="宋体" w:cs="宋体"/>
          <w:sz w:val="24"/>
          <w:u w:val="single"/>
          <w:shd w:val="clear" w:color="auto" w:fill="FFFFFF"/>
        </w:rPr>
      </w:pPr>
      <w:r>
        <w:rPr>
          <w:rFonts w:hint="eastAsia" w:ascii="宋体" w:hAnsi="宋体" w:cs="宋体"/>
          <w:sz w:val="24"/>
          <w:shd w:val="clear" w:color="auto" w:fill="FFFFFF"/>
        </w:rPr>
        <w:t>招标范围：</w:t>
      </w:r>
      <w:r>
        <w:rPr>
          <w:rFonts w:hint="eastAsia" w:ascii="宋体" w:hAnsi="宋体" w:cs="宋体"/>
          <w:sz w:val="24"/>
          <w:u w:val="single"/>
          <w:lang w:eastAsia="zh-CN"/>
        </w:rPr>
        <w:t>花卉大观园再生水智联灌溉提升项目</w:t>
      </w:r>
      <w:r>
        <w:rPr>
          <w:rFonts w:hint="eastAsia" w:ascii="宋体" w:hAnsi="宋体" w:cs="宋体"/>
          <w:sz w:val="24"/>
          <w:u w:val="single"/>
        </w:rPr>
        <w:t>工程量清单及图纸显示的全部工程内容</w:t>
      </w:r>
      <w:r>
        <w:rPr>
          <w:rFonts w:hint="eastAsia" w:ascii="宋体" w:hAnsi="宋体" w:cs="宋体"/>
          <w:sz w:val="24"/>
          <w:u w:val="single"/>
          <w:shd w:val="clear" w:color="auto" w:fill="FFFFFF"/>
        </w:rPr>
        <w:t xml:space="preserve"> </w:t>
      </w:r>
    </w:p>
    <w:p w14:paraId="1F4A2019">
      <w:pPr>
        <w:wordWrap w:val="0"/>
        <w:spacing w:after="0" w:line="360" w:lineRule="auto"/>
        <w:ind w:firstLine="480" w:firstLineChars="200"/>
        <w:rPr>
          <w:rFonts w:hint="eastAsia" w:ascii="宋体" w:hAnsi="宋体" w:cs="宋体"/>
          <w:sz w:val="24"/>
          <w:shd w:val="clear" w:color="auto" w:fill="FFFFFF"/>
        </w:rPr>
      </w:pPr>
      <w:r>
        <w:rPr>
          <w:rFonts w:hint="eastAsia" w:ascii="宋体" w:hAnsi="宋体" w:cs="宋体"/>
          <w:sz w:val="24"/>
          <w:shd w:val="clear" w:color="auto" w:fill="FFFFFF"/>
        </w:rPr>
        <w:t>1.1.2  本工程施工场地（现场）具体地理位置</w:t>
      </w:r>
      <w:r>
        <w:rPr>
          <w:rFonts w:hint="eastAsia" w:ascii="宋体" w:hAnsi="宋体" w:cs="宋体"/>
          <w:bCs/>
          <w:sz w:val="24"/>
          <w:shd w:val="clear" w:color="auto" w:fill="FFFFFF"/>
        </w:rPr>
        <w:t>；</w:t>
      </w:r>
    </w:p>
    <w:p w14:paraId="01BD5744">
      <w:pPr>
        <w:pStyle w:val="251"/>
        <w:wordWrap w:val="0"/>
        <w:spacing w:before="120" w:after="0"/>
        <w:outlineLvl w:val="4"/>
        <w:rPr>
          <w:rFonts w:hint="eastAsia" w:hAnsi="宋体" w:cs="宋体"/>
          <w:szCs w:val="24"/>
          <w:shd w:val="clear" w:color="auto" w:fill="FFFFFF"/>
        </w:rPr>
      </w:pPr>
      <w:bookmarkStart w:id="786" w:name="_Toc38037923"/>
      <w:bookmarkStart w:id="787" w:name="_Toc96504961"/>
      <w:bookmarkStart w:id="788" w:name="_Toc96505350"/>
      <w:bookmarkStart w:id="789" w:name="_Toc96529972"/>
      <w:bookmarkStart w:id="790" w:name="_Toc497298377"/>
      <w:bookmarkStart w:id="791" w:name="_Toc483581229"/>
      <w:bookmarkStart w:id="792" w:name="_Toc96352146"/>
      <w:bookmarkStart w:id="793" w:name="_Toc10809"/>
      <w:bookmarkStart w:id="794" w:name="_Toc489280270"/>
      <w:bookmarkStart w:id="795" w:name="_Toc486580465"/>
      <w:bookmarkStart w:id="796" w:name="_Toc501055675"/>
      <w:r>
        <w:rPr>
          <w:rFonts w:hint="eastAsia" w:hAnsi="宋体" w:cs="宋体"/>
          <w:szCs w:val="24"/>
          <w:shd w:val="clear" w:color="auto" w:fill="FFFFFF"/>
        </w:rPr>
        <w:t>1.2  现场条件和周围环境</w:t>
      </w:r>
      <w:bookmarkEnd w:id="786"/>
      <w:bookmarkEnd w:id="787"/>
      <w:bookmarkEnd w:id="788"/>
      <w:bookmarkEnd w:id="789"/>
      <w:bookmarkEnd w:id="790"/>
      <w:bookmarkEnd w:id="791"/>
      <w:bookmarkEnd w:id="792"/>
      <w:bookmarkEnd w:id="793"/>
      <w:bookmarkEnd w:id="794"/>
      <w:bookmarkEnd w:id="795"/>
      <w:bookmarkEnd w:id="796"/>
    </w:p>
    <w:p w14:paraId="275D5B81">
      <w:pPr>
        <w:wordWrap w:val="0"/>
        <w:spacing w:after="0" w:line="360" w:lineRule="auto"/>
        <w:ind w:firstLine="480" w:firstLineChars="200"/>
        <w:rPr>
          <w:rFonts w:hint="eastAsia" w:ascii="宋体" w:hAnsi="宋体" w:cs="宋体"/>
          <w:bCs/>
          <w:sz w:val="24"/>
          <w:shd w:val="clear" w:color="auto" w:fill="FFFFFF"/>
        </w:rPr>
      </w:pPr>
      <w:r>
        <w:rPr>
          <w:rFonts w:hint="eastAsia" w:ascii="宋体" w:hAnsi="宋体" w:cs="宋体"/>
          <w:sz w:val="24"/>
          <w:shd w:val="clear" w:color="auto" w:fill="FFFFFF"/>
        </w:rPr>
        <w:t xml:space="preserve">1.2.2  </w:t>
      </w:r>
      <w:r>
        <w:rPr>
          <w:rFonts w:hint="eastAsia" w:ascii="宋体" w:hAnsi="宋体" w:cs="宋体"/>
          <w:bCs/>
          <w:sz w:val="24"/>
          <w:shd w:val="clear" w:color="auto" w:fill="FFFFFF"/>
        </w:rPr>
        <w:t>施工场地（现场）临时供水管径；</w:t>
      </w:r>
      <w:r>
        <w:rPr>
          <w:rFonts w:hint="eastAsia" w:ascii="宋体" w:hAnsi="宋体" w:cs="宋体"/>
          <w:bCs/>
          <w:sz w:val="24"/>
          <w:u w:val="single"/>
        </w:rPr>
        <w:t>在指定位置由承包人接入</w:t>
      </w:r>
    </w:p>
    <w:p w14:paraId="404A8BEF">
      <w:pPr>
        <w:wordWrap w:val="0"/>
        <w:spacing w:after="0" w:line="360" w:lineRule="auto"/>
        <w:ind w:firstLine="480" w:firstLineChars="200"/>
        <w:rPr>
          <w:rFonts w:hint="eastAsia" w:ascii="宋体" w:hAnsi="宋体" w:cs="宋体"/>
          <w:bCs/>
          <w:sz w:val="24"/>
          <w:shd w:val="clear" w:color="auto" w:fill="FFFFFF"/>
        </w:rPr>
      </w:pPr>
      <w:r>
        <w:rPr>
          <w:rFonts w:hint="eastAsia" w:ascii="宋体" w:hAnsi="宋体" w:cs="宋体"/>
          <w:sz w:val="24"/>
          <w:shd w:val="clear" w:color="auto" w:fill="FFFFFF"/>
        </w:rPr>
        <w:t>施工</w:t>
      </w:r>
      <w:r>
        <w:rPr>
          <w:rFonts w:hint="eastAsia" w:ascii="宋体" w:hAnsi="宋体" w:cs="宋体"/>
          <w:bCs/>
          <w:sz w:val="24"/>
          <w:shd w:val="clear" w:color="auto" w:fill="FFFFFF"/>
        </w:rPr>
        <w:t>场地（现场）临时排污管径；</w:t>
      </w:r>
      <w:r>
        <w:rPr>
          <w:rFonts w:hint="eastAsia" w:ascii="宋体" w:hAnsi="宋体" w:cs="宋体"/>
          <w:bCs/>
          <w:sz w:val="24"/>
          <w:u w:val="single"/>
        </w:rPr>
        <w:t>在指定位置由承包人接入</w:t>
      </w:r>
    </w:p>
    <w:p w14:paraId="3B78B199">
      <w:pPr>
        <w:wordWrap w:val="0"/>
        <w:spacing w:after="0" w:line="360" w:lineRule="auto"/>
        <w:ind w:firstLine="480" w:firstLineChars="200"/>
        <w:rPr>
          <w:rFonts w:hint="eastAsia" w:ascii="宋体" w:hAnsi="宋体" w:cs="宋体"/>
          <w:bCs/>
          <w:sz w:val="24"/>
          <w:shd w:val="clear" w:color="auto" w:fill="FFFFFF"/>
        </w:rPr>
      </w:pPr>
      <w:r>
        <w:rPr>
          <w:rFonts w:hint="eastAsia" w:ascii="宋体" w:hAnsi="宋体" w:cs="宋体"/>
          <w:sz w:val="24"/>
          <w:shd w:val="clear" w:color="auto" w:fill="FFFFFF"/>
        </w:rPr>
        <w:t>施工</w:t>
      </w:r>
      <w:r>
        <w:rPr>
          <w:rFonts w:hint="eastAsia" w:ascii="宋体" w:hAnsi="宋体" w:cs="宋体"/>
          <w:bCs/>
          <w:sz w:val="24"/>
          <w:shd w:val="clear" w:color="auto" w:fill="FFFFFF"/>
        </w:rPr>
        <w:t>场地（现场）临时雨水管径；</w:t>
      </w:r>
      <w:r>
        <w:rPr>
          <w:rFonts w:hint="eastAsia" w:ascii="宋体" w:hAnsi="宋体" w:cs="宋体"/>
          <w:bCs/>
          <w:sz w:val="24"/>
          <w:u w:val="single"/>
        </w:rPr>
        <w:t>在指定位置由承包人接入</w:t>
      </w:r>
    </w:p>
    <w:p w14:paraId="62C0A831">
      <w:pPr>
        <w:wordWrap w:val="0"/>
        <w:spacing w:after="0" w:line="360" w:lineRule="auto"/>
        <w:ind w:firstLine="480" w:firstLineChars="200"/>
        <w:rPr>
          <w:rFonts w:hint="eastAsia" w:ascii="宋体" w:hAnsi="宋体" w:cs="宋体"/>
          <w:bCs/>
          <w:sz w:val="24"/>
          <w:shd w:val="clear" w:color="auto" w:fill="FFFFFF"/>
        </w:rPr>
      </w:pPr>
      <w:r>
        <w:rPr>
          <w:rFonts w:hint="eastAsia" w:ascii="宋体" w:hAnsi="宋体" w:cs="宋体"/>
          <w:sz w:val="24"/>
          <w:shd w:val="clear" w:color="auto" w:fill="FFFFFF"/>
        </w:rPr>
        <w:t>施工</w:t>
      </w:r>
      <w:r>
        <w:rPr>
          <w:rFonts w:hint="eastAsia" w:ascii="宋体" w:hAnsi="宋体" w:cs="宋体"/>
          <w:bCs/>
          <w:sz w:val="24"/>
          <w:shd w:val="clear" w:color="auto" w:fill="FFFFFF"/>
        </w:rPr>
        <w:t>场地（现场）临时供电容量（变压器输出功率）：</w:t>
      </w:r>
      <w:r>
        <w:rPr>
          <w:rFonts w:hint="eastAsia" w:ascii="宋体" w:hAnsi="宋体" w:cs="宋体"/>
          <w:bCs/>
          <w:sz w:val="24"/>
          <w:u w:val="single"/>
        </w:rPr>
        <w:t>在指定位置由承包人接入</w:t>
      </w:r>
    </w:p>
    <w:p w14:paraId="48243DEB">
      <w:pPr>
        <w:wordWrap w:val="0"/>
        <w:spacing w:after="0" w:line="360" w:lineRule="auto"/>
        <w:ind w:firstLine="480" w:firstLineChars="200"/>
        <w:rPr>
          <w:rFonts w:hint="eastAsia" w:ascii="宋体" w:hAnsi="宋体" w:cs="宋体"/>
          <w:sz w:val="24"/>
          <w:u w:val="single"/>
          <w:shd w:val="clear" w:color="auto" w:fill="FFFFFF"/>
        </w:rPr>
      </w:pPr>
      <w:r>
        <w:rPr>
          <w:rFonts w:hint="eastAsia" w:ascii="宋体" w:hAnsi="宋体" w:cs="宋体"/>
          <w:sz w:val="24"/>
          <w:shd w:val="clear" w:color="auto" w:fill="FFFFFF"/>
        </w:rPr>
        <w:t>1.2.3  现场条件和周围环境的其他资料和信息数据；</w:t>
      </w:r>
      <w:r>
        <w:rPr>
          <w:rFonts w:hint="eastAsia" w:ascii="宋体" w:hAnsi="宋体" w:cs="宋体"/>
          <w:bCs/>
          <w:sz w:val="24"/>
          <w:u w:val="single"/>
        </w:rPr>
        <w:t>在指定位置由承包人接入</w:t>
      </w:r>
    </w:p>
    <w:p w14:paraId="255AFE21">
      <w:pPr>
        <w:pStyle w:val="251"/>
        <w:wordWrap w:val="0"/>
        <w:spacing w:before="120" w:after="0"/>
        <w:outlineLvl w:val="4"/>
        <w:rPr>
          <w:rFonts w:hint="eastAsia" w:hAnsi="宋体" w:cs="宋体"/>
          <w:szCs w:val="24"/>
          <w:shd w:val="clear" w:color="auto" w:fill="FFFFFF"/>
        </w:rPr>
      </w:pPr>
      <w:bookmarkStart w:id="797" w:name="_Toc96504962"/>
      <w:bookmarkStart w:id="798" w:name="_Toc489280271"/>
      <w:bookmarkStart w:id="799" w:name="_Toc497298378"/>
      <w:bookmarkStart w:id="800" w:name="_Toc96529973"/>
      <w:bookmarkStart w:id="801" w:name="_Toc501055676"/>
      <w:bookmarkStart w:id="802" w:name="_Toc96352147"/>
      <w:bookmarkStart w:id="803" w:name="_Toc96505351"/>
      <w:bookmarkStart w:id="804" w:name="_Toc483581230"/>
      <w:bookmarkStart w:id="805" w:name="_Toc20601"/>
      <w:bookmarkStart w:id="806" w:name="_Toc38037924"/>
      <w:r>
        <w:rPr>
          <w:rFonts w:hint="eastAsia" w:hAnsi="宋体" w:cs="宋体"/>
          <w:szCs w:val="24"/>
          <w:shd w:val="clear" w:color="auto" w:fill="FFFFFF"/>
        </w:rPr>
        <w:t>1.3  地质及水文资料</w:t>
      </w:r>
      <w:bookmarkEnd w:id="797"/>
      <w:bookmarkEnd w:id="798"/>
      <w:bookmarkEnd w:id="799"/>
      <w:bookmarkEnd w:id="800"/>
      <w:bookmarkEnd w:id="801"/>
      <w:bookmarkEnd w:id="802"/>
      <w:bookmarkEnd w:id="803"/>
      <w:bookmarkEnd w:id="804"/>
      <w:bookmarkEnd w:id="805"/>
      <w:bookmarkEnd w:id="806"/>
    </w:p>
    <w:p w14:paraId="67A0C9C5">
      <w:pPr>
        <w:wordWrap w:val="0"/>
        <w:spacing w:after="0" w:line="360" w:lineRule="auto"/>
        <w:ind w:firstLine="480" w:firstLineChars="200"/>
        <w:rPr>
          <w:rFonts w:hint="eastAsia" w:ascii="宋体" w:hAnsi="宋体" w:cs="宋体"/>
          <w:sz w:val="24"/>
          <w:u w:val="single"/>
          <w:shd w:val="clear" w:color="auto" w:fill="FFFFFF"/>
        </w:rPr>
      </w:pPr>
      <w:r>
        <w:rPr>
          <w:rFonts w:hint="eastAsia" w:ascii="宋体" w:hAnsi="宋体" w:cs="宋体"/>
          <w:sz w:val="24"/>
          <w:shd w:val="clear" w:color="auto" w:fill="FFFFFF"/>
        </w:rPr>
        <w:t>现场地质及水文资料和信息数据：</w:t>
      </w:r>
      <w:r>
        <w:rPr>
          <w:rFonts w:hint="eastAsia" w:ascii="宋体" w:hAnsi="宋体" w:cs="宋体"/>
          <w:sz w:val="24"/>
          <w:u w:val="single"/>
          <w:shd w:val="clear" w:color="auto" w:fill="FFFFFF"/>
        </w:rPr>
        <w:t xml:space="preserve">    /                              </w:t>
      </w:r>
    </w:p>
    <w:p w14:paraId="778FFB3E">
      <w:pPr>
        <w:pStyle w:val="250"/>
        <w:wordWrap w:val="0"/>
        <w:spacing w:before="120" w:after="0"/>
        <w:outlineLvl w:val="3"/>
        <w:rPr>
          <w:rFonts w:hint="eastAsia" w:ascii="宋体" w:hAnsi="宋体" w:eastAsia="宋体"/>
          <w:sz w:val="24"/>
          <w:szCs w:val="24"/>
          <w:shd w:val="clear" w:color="auto" w:fill="FFFFFF"/>
        </w:rPr>
      </w:pPr>
      <w:bookmarkStart w:id="807" w:name="_Toc497298379"/>
      <w:bookmarkStart w:id="808" w:name="_Toc96352148"/>
      <w:bookmarkStart w:id="809" w:name="_Toc501055677"/>
      <w:bookmarkStart w:id="810" w:name="_Toc483581231"/>
      <w:bookmarkStart w:id="811" w:name="_Toc28449"/>
      <w:bookmarkStart w:id="812" w:name="_Toc96529974"/>
      <w:bookmarkStart w:id="813" w:name="_Toc38037925"/>
      <w:bookmarkStart w:id="814" w:name="_Toc486580466"/>
      <w:bookmarkStart w:id="815" w:name="_Toc96504963"/>
      <w:bookmarkStart w:id="816" w:name="_Toc489280272"/>
      <w:bookmarkStart w:id="817" w:name="_Toc96505352"/>
      <w:bookmarkStart w:id="818" w:name="_Toc490331747"/>
      <w:r>
        <w:rPr>
          <w:rFonts w:hint="eastAsia" w:ascii="宋体" w:hAnsi="宋体" w:eastAsia="宋体"/>
          <w:sz w:val="24"/>
          <w:szCs w:val="24"/>
          <w:shd w:val="clear" w:color="auto" w:fill="FFFFFF"/>
        </w:rPr>
        <w:t>2.承包范围</w:t>
      </w:r>
      <w:bookmarkEnd w:id="807"/>
      <w:bookmarkEnd w:id="808"/>
      <w:bookmarkEnd w:id="809"/>
      <w:bookmarkEnd w:id="810"/>
      <w:bookmarkEnd w:id="811"/>
      <w:bookmarkEnd w:id="812"/>
      <w:bookmarkEnd w:id="813"/>
      <w:bookmarkEnd w:id="814"/>
      <w:bookmarkEnd w:id="815"/>
      <w:bookmarkEnd w:id="816"/>
      <w:bookmarkEnd w:id="817"/>
      <w:bookmarkEnd w:id="818"/>
    </w:p>
    <w:p w14:paraId="2DD53C4A">
      <w:pPr>
        <w:pStyle w:val="251"/>
        <w:wordWrap w:val="0"/>
        <w:spacing w:before="120" w:after="0"/>
        <w:outlineLvl w:val="4"/>
        <w:rPr>
          <w:rFonts w:hint="eastAsia" w:hAnsi="宋体" w:cs="宋体"/>
          <w:szCs w:val="24"/>
          <w:shd w:val="clear" w:color="auto" w:fill="FFFFFF"/>
        </w:rPr>
      </w:pPr>
      <w:bookmarkStart w:id="819" w:name="_Toc486580467"/>
      <w:bookmarkStart w:id="820" w:name="_Toc501055678"/>
      <w:bookmarkStart w:id="821" w:name="_Toc489280273"/>
      <w:bookmarkStart w:id="822" w:name="_Toc96505353"/>
      <w:bookmarkStart w:id="823" w:name="_Toc497298380"/>
      <w:bookmarkStart w:id="824" w:name="_Toc483581232"/>
      <w:bookmarkStart w:id="825" w:name="_Toc96352149"/>
      <w:bookmarkStart w:id="826" w:name="_Toc96529975"/>
      <w:bookmarkStart w:id="827" w:name="_Toc19806"/>
      <w:bookmarkStart w:id="828" w:name="_Toc96504964"/>
      <w:bookmarkStart w:id="829" w:name="_Toc38037926"/>
      <w:r>
        <w:rPr>
          <w:rFonts w:hint="eastAsia" w:hAnsi="宋体" w:cs="宋体"/>
          <w:szCs w:val="24"/>
          <w:shd w:val="clear" w:color="auto" w:fill="FFFFFF"/>
        </w:rPr>
        <w:t>2.1  承包范围</w:t>
      </w:r>
      <w:bookmarkEnd w:id="819"/>
      <w:bookmarkEnd w:id="820"/>
      <w:bookmarkEnd w:id="821"/>
      <w:bookmarkEnd w:id="822"/>
      <w:bookmarkEnd w:id="823"/>
      <w:bookmarkEnd w:id="824"/>
      <w:bookmarkEnd w:id="825"/>
      <w:bookmarkEnd w:id="826"/>
      <w:bookmarkEnd w:id="827"/>
      <w:bookmarkEnd w:id="828"/>
      <w:bookmarkEnd w:id="829"/>
    </w:p>
    <w:p w14:paraId="1F8AF3B9">
      <w:pPr>
        <w:wordWrap w:val="0"/>
        <w:spacing w:after="0" w:line="360" w:lineRule="auto"/>
        <w:ind w:firstLine="480" w:firstLineChars="200"/>
        <w:rPr>
          <w:rFonts w:hint="eastAsia" w:ascii="宋体" w:hAnsi="宋体" w:cs="宋体"/>
          <w:sz w:val="24"/>
          <w:shd w:val="clear" w:color="auto" w:fill="FFFFFF"/>
        </w:rPr>
      </w:pPr>
      <w:r>
        <w:rPr>
          <w:rFonts w:hint="eastAsia" w:ascii="宋体" w:hAnsi="宋体" w:cs="宋体"/>
          <w:sz w:val="24"/>
          <w:shd w:val="clear" w:color="auto" w:fill="FFFFFF"/>
        </w:rPr>
        <w:t>2.1.1  承包人施工范围</w:t>
      </w:r>
    </w:p>
    <w:p w14:paraId="3D51598D">
      <w:pPr>
        <w:wordWrap w:val="0"/>
        <w:spacing w:after="0" w:line="360" w:lineRule="auto"/>
        <w:ind w:firstLine="480" w:firstLineChars="200"/>
        <w:rPr>
          <w:rFonts w:hint="eastAsia" w:ascii="宋体" w:hAnsi="宋体" w:cs="宋体"/>
          <w:sz w:val="24"/>
          <w:u w:val="single"/>
          <w:shd w:val="clear" w:color="auto" w:fill="FFFFFF"/>
        </w:rPr>
      </w:pPr>
      <w:r>
        <w:rPr>
          <w:rFonts w:hint="eastAsia" w:ascii="宋体" w:hAnsi="宋体" w:cs="宋体"/>
          <w:sz w:val="24"/>
          <w:shd w:val="clear" w:color="auto" w:fill="FFFFFF"/>
        </w:rPr>
        <w:t>2.1.1.1  本工程承包人施工的工程范围：</w:t>
      </w:r>
      <w:r>
        <w:rPr>
          <w:rFonts w:hint="eastAsia" w:ascii="宋体" w:hAnsi="宋体" w:cs="宋体"/>
          <w:sz w:val="24"/>
          <w:lang w:eastAsia="zh-CN"/>
        </w:rPr>
        <w:t>花卉大观园再生水智联灌溉提升项目</w:t>
      </w:r>
      <w:r>
        <w:rPr>
          <w:rFonts w:hint="eastAsia" w:ascii="宋体" w:hAnsi="宋体" w:cs="宋体"/>
          <w:sz w:val="24"/>
        </w:rPr>
        <w:t>工程量清单及图纸显示的全部工程内容</w:t>
      </w:r>
      <w:r>
        <w:rPr>
          <w:rFonts w:hint="eastAsia" w:ascii="宋体" w:hAnsi="宋体" w:cs="宋体"/>
          <w:sz w:val="24"/>
          <w:shd w:val="clear" w:color="auto" w:fill="FFFFFF"/>
        </w:rPr>
        <w:t xml:space="preserve"> </w:t>
      </w:r>
    </w:p>
    <w:p w14:paraId="7CABEC7E">
      <w:pPr>
        <w:wordWrap w:val="0"/>
        <w:spacing w:after="0" w:line="360" w:lineRule="auto"/>
        <w:ind w:firstLine="720" w:firstLineChars="300"/>
        <w:rPr>
          <w:rFonts w:hint="eastAsia" w:ascii="宋体" w:hAnsi="宋体" w:cs="宋体"/>
          <w:sz w:val="24"/>
          <w:u w:val="single"/>
          <w:shd w:val="clear" w:color="auto" w:fill="FFFFFF"/>
        </w:rPr>
      </w:pPr>
    </w:p>
    <w:p w14:paraId="2CEEC43E">
      <w:pPr>
        <w:wordWrap w:val="0"/>
        <w:spacing w:after="0" w:line="360" w:lineRule="auto"/>
        <w:ind w:firstLine="720" w:firstLineChars="300"/>
        <w:rPr>
          <w:rFonts w:hint="eastAsia" w:ascii="宋体" w:hAnsi="宋体" w:cs="宋体"/>
          <w:sz w:val="24"/>
          <w:u w:val="single"/>
          <w:shd w:val="clear" w:color="auto" w:fill="FFFFFF"/>
        </w:rPr>
      </w:pPr>
      <w:bookmarkStart w:id="830" w:name="_Toc501055679"/>
      <w:r>
        <w:rPr>
          <w:rFonts w:hint="eastAsia" w:ascii="宋体" w:hAnsi="宋体" w:cs="宋体"/>
          <w:sz w:val="24"/>
          <w:shd w:val="clear" w:color="auto" w:fill="FFFFFF"/>
        </w:rPr>
        <w:t>2.1.1.2  承包人与其他独立承包人之间的工作界面划分：</w:t>
      </w:r>
      <w:bookmarkEnd w:id="830"/>
      <w:r>
        <w:rPr>
          <w:rFonts w:hint="eastAsia" w:ascii="宋体" w:hAnsi="宋体" w:cs="宋体"/>
          <w:sz w:val="24"/>
          <w:u w:val="single"/>
          <w:shd w:val="clear" w:color="auto" w:fill="FFFFFF"/>
        </w:rPr>
        <w:t xml:space="preserve">      /          </w:t>
      </w:r>
    </w:p>
    <w:p w14:paraId="0CCF3965">
      <w:pPr>
        <w:wordWrap w:val="0"/>
        <w:spacing w:after="0" w:line="360" w:lineRule="auto"/>
        <w:ind w:firstLine="480" w:firstLineChars="200"/>
        <w:rPr>
          <w:rFonts w:hint="eastAsia" w:ascii="宋体" w:hAnsi="宋体" w:cs="宋体"/>
          <w:sz w:val="24"/>
          <w:shd w:val="clear" w:color="auto" w:fill="FFFFFF"/>
        </w:rPr>
      </w:pPr>
      <w:r>
        <w:rPr>
          <w:rFonts w:hint="eastAsia" w:ascii="宋体" w:hAnsi="宋体" w:cs="宋体"/>
          <w:sz w:val="24"/>
          <w:shd w:val="clear" w:color="auto" w:fill="FFFFFF"/>
        </w:rPr>
        <w:t>2.1.2  承包范围内的暂估价材料和工程设备</w:t>
      </w:r>
    </w:p>
    <w:p w14:paraId="4107CCC1">
      <w:pPr>
        <w:wordWrap w:val="0"/>
        <w:spacing w:after="0" w:line="360" w:lineRule="auto"/>
        <w:ind w:firstLine="720" w:firstLineChars="300"/>
        <w:rPr>
          <w:rFonts w:hint="eastAsia" w:ascii="宋体" w:hAnsi="宋体" w:cs="宋体"/>
          <w:sz w:val="24"/>
          <w:u w:val="single"/>
          <w:shd w:val="clear" w:color="auto" w:fill="FFFFFF"/>
        </w:rPr>
      </w:pPr>
      <w:r>
        <w:rPr>
          <w:rFonts w:hint="eastAsia" w:ascii="宋体" w:hAnsi="宋体" w:cs="宋体"/>
          <w:sz w:val="24"/>
          <w:shd w:val="clear" w:color="auto" w:fill="FFFFFF"/>
        </w:rPr>
        <w:t>2.1.2.2  承包人与暂估价材料和工程设备的供应商之间的工作界面划分：</w:t>
      </w:r>
      <w:r>
        <w:rPr>
          <w:rFonts w:hint="eastAsia" w:ascii="宋体" w:hAnsi="宋体" w:cs="宋体"/>
          <w:sz w:val="24"/>
          <w:u w:val="single"/>
          <w:shd w:val="clear" w:color="auto" w:fill="FFFFFF"/>
        </w:rPr>
        <w:t xml:space="preserve">  / </w:t>
      </w:r>
    </w:p>
    <w:p w14:paraId="5662E604">
      <w:pPr>
        <w:wordWrap w:val="0"/>
        <w:spacing w:after="0" w:line="360" w:lineRule="auto"/>
        <w:ind w:firstLine="480" w:firstLineChars="200"/>
        <w:rPr>
          <w:rFonts w:hint="eastAsia" w:ascii="宋体" w:hAnsi="宋体" w:cs="宋体"/>
          <w:sz w:val="24"/>
          <w:shd w:val="clear" w:color="auto" w:fill="FFFFFF"/>
        </w:rPr>
      </w:pPr>
      <w:r>
        <w:rPr>
          <w:rFonts w:hint="eastAsia" w:ascii="宋体" w:hAnsi="宋体" w:cs="宋体"/>
          <w:sz w:val="24"/>
          <w:shd w:val="clear" w:color="auto" w:fill="FFFFFF"/>
        </w:rPr>
        <w:t>2.1.3  承包范围内的暂列金额项目</w:t>
      </w:r>
    </w:p>
    <w:p w14:paraId="3601CD2D">
      <w:pPr>
        <w:wordWrap w:val="0"/>
        <w:spacing w:after="0" w:line="360" w:lineRule="auto"/>
        <w:ind w:firstLine="720" w:firstLineChars="300"/>
        <w:rPr>
          <w:rFonts w:hint="eastAsia" w:ascii="宋体" w:hAnsi="宋体" w:cs="宋体"/>
          <w:sz w:val="24"/>
          <w:u w:val="single"/>
          <w:shd w:val="clear" w:color="auto" w:fill="FFFFFF"/>
        </w:rPr>
      </w:pPr>
      <w:r>
        <w:rPr>
          <w:rFonts w:hint="eastAsia" w:ascii="宋体" w:hAnsi="宋体" w:cs="宋体"/>
          <w:sz w:val="24"/>
          <w:shd w:val="clear" w:color="auto" w:fill="FFFFFF"/>
        </w:rPr>
        <w:t>2.1.3.4  关于暂列金额的其他说明：</w:t>
      </w:r>
      <w:r>
        <w:rPr>
          <w:rFonts w:hint="eastAsia" w:ascii="宋体" w:hAnsi="宋体" w:cs="宋体"/>
          <w:sz w:val="24"/>
          <w:u w:val="single"/>
          <w:shd w:val="clear" w:color="auto" w:fill="FFFFFF"/>
        </w:rPr>
        <w:t xml:space="preserve">      /                             </w:t>
      </w:r>
    </w:p>
    <w:p w14:paraId="4A0A0BF6">
      <w:pPr>
        <w:pStyle w:val="251"/>
        <w:wordWrap w:val="0"/>
        <w:spacing w:before="120" w:after="0"/>
        <w:outlineLvl w:val="4"/>
        <w:rPr>
          <w:rFonts w:hint="eastAsia" w:hAnsi="宋体" w:cs="宋体"/>
          <w:szCs w:val="24"/>
          <w:shd w:val="clear" w:color="auto" w:fill="FFFFFF"/>
        </w:rPr>
      </w:pPr>
      <w:bookmarkStart w:id="831" w:name="_Toc96529976"/>
      <w:bookmarkStart w:id="832" w:name="_Toc483581233"/>
      <w:bookmarkStart w:id="833" w:name="_Toc30904"/>
      <w:bookmarkStart w:id="834" w:name="_Toc96505354"/>
      <w:bookmarkStart w:id="835" w:name="_Toc497298381"/>
      <w:bookmarkStart w:id="836" w:name="_Toc38037927"/>
      <w:bookmarkStart w:id="837" w:name="_Toc96352150"/>
      <w:bookmarkStart w:id="838" w:name="_Toc489280274"/>
      <w:bookmarkStart w:id="839" w:name="_Toc486580468"/>
      <w:bookmarkStart w:id="840" w:name="_Toc96504965"/>
      <w:bookmarkStart w:id="841" w:name="_Toc501055680"/>
      <w:r>
        <w:rPr>
          <w:rFonts w:hint="eastAsia" w:hAnsi="宋体" w:cs="宋体"/>
          <w:szCs w:val="24"/>
          <w:shd w:val="clear" w:color="auto" w:fill="FFFFFF"/>
        </w:rPr>
        <w:t>2.2  发包人供应的材料和工程设备</w:t>
      </w:r>
      <w:bookmarkEnd w:id="831"/>
      <w:bookmarkEnd w:id="832"/>
      <w:bookmarkEnd w:id="833"/>
      <w:bookmarkEnd w:id="834"/>
      <w:bookmarkEnd w:id="835"/>
      <w:bookmarkEnd w:id="836"/>
      <w:bookmarkEnd w:id="837"/>
      <w:bookmarkEnd w:id="838"/>
      <w:bookmarkEnd w:id="839"/>
      <w:bookmarkEnd w:id="840"/>
      <w:bookmarkEnd w:id="841"/>
    </w:p>
    <w:p w14:paraId="21FB4D92">
      <w:pPr>
        <w:wordWrap w:val="0"/>
        <w:spacing w:after="0" w:line="360" w:lineRule="auto"/>
        <w:ind w:firstLine="480" w:firstLineChars="200"/>
        <w:rPr>
          <w:rFonts w:hint="eastAsia" w:ascii="宋体" w:hAnsi="宋体" w:cs="宋体"/>
          <w:sz w:val="24"/>
          <w:shd w:val="clear" w:color="auto" w:fill="FFFFFF"/>
        </w:rPr>
      </w:pPr>
      <w:r>
        <w:rPr>
          <w:rFonts w:hint="eastAsia" w:ascii="宋体" w:hAnsi="宋体" w:cs="宋体"/>
          <w:sz w:val="24"/>
          <w:shd w:val="clear" w:color="auto" w:fill="FFFFFF"/>
        </w:rPr>
        <w:t>2.2.2  承包人与发包人供应的材料和工程设备的供应商之间的工作界面划分如下：</w:t>
      </w:r>
      <w:r>
        <w:rPr>
          <w:rFonts w:hint="eastAsia" w:ascii="宋体" w:hAnsi="宋体" w:cs="宋体"/>
          <w:sz w:val="24"/>
          <w:u w:val="single"/>
          <w:shd w:val="clear" w:color="auto" w:fill="FFFFFF"/>
        </w:rPr>
        <w:t xml:space="preserve">  / </w:t>
      </w:r>
    </w:p>
    <w:p w14:paraId="1B3800AC">
      <w:pPr>
        <w:pStyle w:val="251"/>
        <w:wordWrap w:val="0"/>
        <w:spacing w:before="120" w:after="0"/>
        <w:outlineLvl w:val="4"/>
        <w:rPr>
          <w:rFonts w:hint="eastAsia" w:hAnsi="宋体" w:cs="宋体"/>
          <w:szCs w:val="24"/>
          <w:shd w:val="clear" w:color="auto" w:fill="FFFFFF"/>
        </w:rPr>
      </w:pPr>
      <w:bookmarkStart w:id="842" w:name="_Toc96352151"/>
      <w:bookmarkStart w:id="843" w:name="_Toc1642"/>
      <w:bookmarkStart w:id="844" w:name="_Toc96505355"/>
      <w:bookmarkStart w:id="845" w:name="_Toc483581235"/>
      <w:bookmarkStart w:id="846" w:name="_Toc486580470"/>
      <w:bookmarkStart w:id="847" w:name="_Toc497298383"/>
      <w:bookmarkStart w:id="848" w:name="_Toc489280276"/>
      <w:bookmarkStart w:id="849" w:name="_Toc96504966"/>
      <w:bookmarkStart w:id="850" w:name="_Toc501055681"/>
      <w:bookmarkStart w:id="851" w:name="_Toc38037928"/>
      <w:bookmarkStart w:id="852" w:name="_Toc96529977"/>
      <w:r>
        <w:rPr>
          <w:rFonts w:hint="eastAsia" w:hAnsi="宋体" w:cs="宋体"/>
          <w:szCs w:val="24"/>
          <w:shd w:val="clear" w:color="auto" w:fill="FFFFFF"/>
        </w:rPr>
        <w:t>2.3  承包人需要为发包人和监理人提供的现场办公条件和设施</w:t>
      </w:r>
      <w:bookmarkEnd w:id="842"/>
      <w:bookmarkEnd w:id="843"/>
      <w:bookmarkEnd w:id="844"/>
      <w:bookmarkEnd w:id="845"/>
      <w:bookmarkEnd w:id="846"/>
      <w:bookmarkEnd w:id="847"/>
      <w:bookmarkEnd w:id="848"/>
      <w:bookmarkEnd w:id="849"/>
      <w:bookmarkEnd w:id="850"/>
      <w:bookmarkEnd w:id="851"/>
      <w:bookmarkEnd w:id="852"/>
    </w:p>
    <w:p w14:paraId="3BDACE9D">
      <w:pPr>
        <w:wordWrap w:val="0"/>
        <w:spacing w:after="0" w:line="360" w:lineRule="auto"/>
        <w:ind w:firstLine="480" w:firstLineChars="200"/>
        <w:rPr>
          <w:rFonts w:hint="eastAsia" w:ascii="宋体" w:hAnsi="宋体" w:cs="宋体"/>
          <w:sz w:val="24"/>
          <w:u w:val="single"/>
          <w:shd w:val="clear" w:color="auto" w:fill="FFFFFF"/>
        </w:rPr>
      </w:pPr>
      <w:r>
        <w:rPr>
          <w:rFonts w:hint="eastAsia" w:ascii="宋体" w:hAnsi="宋体" w:cs="宋体"/>
          <w:sz w:val="24"/>
          <w:shd w:val="clear" w:color="auto" w:fill="FFFFFF"/>
        </w:rPr>
        <w:t>承包人需要为发包人和监理人提供的现场办公条件和设施及其详细要求：</w:t>
      </w:r>
      <w:r>
        <w:rPr>
          <w:rFonts w:hint="eastAsia" w:ascii="宋体" w:hAnsi="宋体" w:cs="宋体"/>
          <w:sz w:val="24"/>
          <w:u w:val="single"/>
          <w:shd w:val="clear" w:color="auto" w:fill="FFFFFF"/>
        </w:rPr>
        <w:t xml:space="preserve">    /  </w:t>
      </w:r>
    </w:p>
    <w:p w14:paraId="4172AF4F">
      <w:pPr>
        <w:pStyle w:val="250"/>
        <w:wordWrap w:val="0"/>
        <w:spacing w:before="120" w:after="0"/>
        <w:outlineLvl w:val="3"/>
        <w:rPr>
          <w:rFonts w:hint="eastAsia" w:ascii="宋体" w:hAnsi="宋体" w:eastAsia="宋体"/>
          <w:sz w:val="24"/>
          <w:szCs w:val="24"/>
          <w:shd w:val="clear" w:color="auto" w:fill="FFFFFF"/>
        </w:rPr>
      </w:pPr>
      <w:bookmarkStart w:id="853" w:name="_Toc96504967"/>
      <w:bookmarkStart w:id="854" w:name="_Toc38037929"/>
      <w:bookmarkStart w:id="855" w:name="_Toc96505356"/>
      <w:bookmarkStart w:id="856" w:name="_Toc18499"/>
      <w:bookmarkStart w:id="857" w:name="_Toc501055682"/>
      <w:bookmarkStart w:id="858" w:name="_Toc483581236"/>
      <w:bookmarkStart w:id="859" w:name="_Toc486580471"/>
      <w:bookmarkStart w:id="860" w:name="_Toc96352152"/>
      <w:bookmarkStart w:id="861" w:name="_Toc489280277"/>
      <w:bookmarkStart w:id="862" w:name="_Toc96529978"/>
      <w:bookmarkStart w:id="863" w:name="_Toc497298384"/>
      <w:bookmarkStart w:id="864" w:name="_Toc490331748"/>
      <w:r>
        <w:rPr>
          <w:rFonts w:hint="eastAsia" w:ascii="宋体" w:hAnsi="宋体" w:eastAsia="宋体"/>
          <w:sz w:val="24"/>
          <w:szCs w:val="24"/>
          <w:shd w:val="clear" w:color="auto" w:fill="FFFFFF"/>
        </w:rPr>
        <w:t>4.质量要求</w:t>
      </w:r>
      <w:bookmarkEnd w:id="853"/>
      <w:bookmarkEnd w:id="854"/>
      <w:bookmarkEnd w:id="855"/>
      <w:bookmarkEnd w:id="856"/>
      <w:bookmarkEnd w:id="857"/>
      <w:bookmarkEnd w:id="858"/>
      <w:bookmarkEnd w:id="859"/>
      <w:bookmarkEnd w:id="860"/>
      <w:bookmarkEnd w:id="861"/>
      <w:bookmarkEnd w:id="862"/>
      <w:bookmarkEnd w:id="863"/>
      <w:bookmarkEnd w:id="864"/>
    </w:p>
    <w:p w14:paraId="17C01656">
      <w:pPr>
        <w:pStyle w:val="251"/>
        <w:wordWrap w:val="0"/>
        <w:spacing w:before="120" w:after="0"/>
        <w:outlineLvl w:val="4"/>
        <w:rPr>
          <w:rFonts w:hint="eastAsia" w:hAnsi="宋体" w:cs="宋体"/>
          <w:szCs w:val="24"/>
          <w:shd w:val="clear" w:color="auto" w:fill="FFFFFF"/>
        </w:rPr>
      </w:pPr>
      <w:bookmarkStart w:id="865" w:name="_Toc489280278"/>
      <w:bookmarkStart w:id="866" w:name="_Toc96352153"/>
      <w:bookmarkStart w:id="867" w:name="_Toc38037930"/>
      <w:bookmarkStart w:id="868" w:name="_Toc96505357"/>
      <w:bookmarkStart w:id="869" w:name="_Toc96529979"/>
      <w:bookmarkStart w:id="870" w:name="_Toc501055683"/>
      <w:bookmarkStart w:id="871" w:name="_Toc497298385"/>
      <w:bookmarkStart w:id="872" w:name="_Toc96504968"/>
      <w:bookmarkStart w:id="873" w:name="_Toc13149"/>
      <w:bookmarkStart w:id="874" w:name="_Toc483581237"/>
      <w:bookmarkStart w:id="875" w:name="_Toc486580472"/>
      <w:r>
        <w:rPr>
          <w:rFonts w:hint="eastAsia" w:hAnsi="宋体" w:cs="宋体"/>
          <w:szCs w:val="24"/>
          <w:shd w:val="clear" w:color="auto" w:fill="FFFFFF"/>
        </w:rPr>
        <w:t>4.2  特殊质量要求</w:t>
      </w:r>
      <w:bookmarkEnd w:id="865"/>
      <w:bookmarkEnd w:id="866"/>
      <w:bookmarkEnd w:id="867"/>
      <w:bookmarkEnd w:id="868"/>
      <w:bookmarkEnd w:id="869"/>
      <w:bookmarkEnd w:id="870"/>
      <w:bookmarkEnd w:id="871"/>
      <w:bookmarkEnd w:id="872"/>
      <w:bookmarkEnd w:id="873"/>
      <w:bookmarkEnd w:id="874"/>
      <w:bookmarkEnd w:id="875"/>
    </w:p>
    <w:p w14:paraId="0030608A">
      <w:pPr>
        <w:wordWrap w:val="0"/>
        <w:spacing w:after="0" w:line="360" w:lineRule="auto"/>
        <w:ind w:firstLine="480" w:firstLineChars="200"/>
        <w:rPr>
          <w:rFonts w:hint="eastAsia" w:ascii="宋体" w:hAnsi="宋体" w:cs="宋体"/>
          <w:sz w:val="24"/>
          <w:u w:val="single"/>
          <w:shd w:val="clear" w:color="auto" w:fill="FFFFFF"/>
        </w:rPr>
      </w:pPr>
      <w:r>
        <w:rPr>
          <w:rFonts w:hint="eastAsia" w:ascii="宋体" w:hAnsi="宋体" w:cs="宋体"/>
          <w:sz w:val="24"/>
          <w:shd w:val="clear" w:color="auto" w:fill="FFFFFF"/>
        </w:rPr>
        <w:t>有关本工程质量方面的特殊要求：</w:t>
      </w:r>
      <w:r>
        <w:rPr>
          <w:rFonts w:hint="eastAsia" w:ascii="宋体" w:hAnsi="宋体" w:cs="宋体"/>
          <w:sz w:val="24"/>
          <w:u w:val="single"/>
          <w:shd w:val="clear" w:color="auto" w:fill="FFFFFF"/>
        </w:rPr>
        <w:t xml:space="preserve">         /                              </w:t>
      </w:r>
    </w:p>
    <w:p w14:paraId="1D6CA8F4">
      <w:pPr>
        <w:pStyle w:val="250"/>
        <w:wordWrap w:val="0"/>
        <w:spacing w:before="120" w:after="0"/>
        <w:outlineLvl w:val="3"/>
        <w:rPr>
          <w:rFonts w:hint="eastAsia" w:ascii="宋体" w:hAnsi="宋体" w:eastAsia="宋体"/>
          <w:sz w:val="24"/>
          <w:szCs w:val="24"/>
          <w:shd w:val="clear" w:color="auto" w:fill="FFFFFF"/>
        </w:rPr>
      </w:pPr>
      <w:bookmarkStart w:id="876" w:name="_Toc486580473"/>
      <w:bookmarkStart w:id="877" w:name="_Toc490331749"/>
      <w:bookmarkStart w:id="878" w:name="_Toc19402"/>
      <w:bookmarkStart w:id="879" w:name="_Toc497298386"/>
      <w:bookmarkStart w:id="880" w:name="_Toc96505358"/>
      <w:bookmarkStart w:id="881" w:name="_Toc96504969"/>
      <w:bookmarkStart w:id="882" w:name="_Toc96529980"/>
      <w:bookmarkStart w:id="883" w:name="_Toc483581238"/>
      <w:bookmarkStart w:id="884" w:name="_Toc489280279"/>
      <w:bookmarkStart w:id="885" w:name="_Toc96352154"/>
      <w:bookmarkStart w:id="886" w:name="_Toc38037931"/>
      <w:bookmarkStart w:id="887" w:name="_Toc501055684"/>
      <w:r>
        <w:rPr>
          <w:rFonts w:hint="eastAsia" w:ascii="宋体" w:hAnsi="宋体" w:eastAsia="宋体"/>
          <w:sz w:val="24"/>
          <w:szCs w:val="24"/>
          <w:shd w:val="clear" w:color="auto" w:fill="FFFFFF"/>
        </w:rPr>
        <w:t>5.适用规范和标准</w:t>
      </w:r>
      <w:bookmarkEnd w:id="876"/>
      <w:bookmarkEnd w:id="877"/>
      <w:bookmarkEnd w:id="878"/>
      <w:bookmarkEnd w:id="879"/>
      <w:bookmarkEnd w:id="880"/>
      <w:bookmarkEnd w:id="881"/>
      <w:bookmarkEnd w:id="882"/>
      <w:bookmarkEnd w:id="883"/>
      <w:bookmarkEnd w:id="884"/>
      <w:bookmarkEnd w:id="885"/>
      <w:bookmarkEnd w:id="886"/>
      <w:bookmarkEnd w:id="887"/>
    </w:p>
    <w:p w14:paraId="2E1F9606">
      <w:pPr>
        <w:wordWrap w:val="0"/>
        <w:spacing w:after="0" w:line="360" w:lineRule="auto"/>
        <w:ind w:firstLine="720" w:firstLineChars="300"/>
        <w:outlineLvl w:val="4"/>
        <w:rPr>
          <w:rFonts w:hint="eastAsia" w:ascii="宋体" w:hAnsi="宋体" w:cs="宋体"/>
          <w:sz w:val="24"/>
          <w:u w:val="single"/>
          <w:shd w:val="clear" w:color="auto" w:fill="FFFFFF"/>
        </w:rPr>
      </w:pPr>
      <w:r>
        <w:rPr>
          <w:rFonts w:hint="eastAsia" w:ascii="宋体" w:hAnsi="宋体" w:cs="宋体"/>
          <w:sz w:val="24"/>
          <w:shd w:val="clear" w:color="auto" w:fill="FFFFFF"/>
        </w:rPr>
        <w:t>5.1  适用本工程的国家、行业和地方规范、标准和规程：</w:t>
      </w:r>
      <w:r>
        <w:rPr>
          <w:rFonts w:hint="eastAsia" w:ascii="宋体" w:hAnsi="宋体" w:cs="宋体"/>
          <w:color w:val="000000"/>
          <w:sz w:val="24"/>
          <w:u w:val="single"/>
        </w:rPr>
        <w:t xml:space="preserve">按现行有效的规范、标准、和规程及相关性文件等 </w:t>
      </w:r>
    </w:p>
    <w:p w14:paraId="0850B8A5">
      <w:pPr>
        <w:pStyle w:val="250"/>
        <w:wordWrap w:val="0"/>
        <w:spacing w:before="120" w:after="0"/>
        <w:outlineLvl w:val="3"/>
        <w:rPr>
          <w:rFonts w:hint="eastAsia" w:ascii="宋体" w:hAnsi="宋体" w:eastAsia="宋体"/>
          <w:sz w:val="24"/>
          <w:szCs w:val="24"/>
          <w:shd w:val="clear" w:color="auto" w:fill="FFFFFF"/>
        </w:rPr>
      </w:pPr>
      <w:bookmarkStart w:id="888" w:name="_Toc29252"/>
      <w:bookmarkStart w:id="889" w:name="_Toc96505359"/>
      <w:bookmarkStart w:id="890" w:name="_Toc96352155"/>
      <w:bookmarkStart w:id="891" w:name="_Toc486580474"/>
      <w:bookmarkStart w:id="892" w:name="_Toc483581239"/>
      <w:bookmarkStart w:id="893" w:name="_Toc497298387"/>
      <w:bookmarkStart w:id="894" w:name="_Toc490331750"/>
      <w:bookmarkStart w:id="895" w:name="_Toc489280280"/>
      <w:bookmarkStart w:id="896" w:name="_Toc501055685"/>
      <w:bookmarkStart w:id="897" w:name="_Toc96529981"/>
      <w:bookmarkStart w:id="898" w:name="_Toc38037932"/>
      <w:bookmarkStart w:id="899" w:name="_Toc96504970"/>
      <w:r>
        <w:rPr>
          <w:rFonts w:hint="eastAsia" w:ascii="宋体" w:hAnsi="宋体" w:eastAsia="宋体"/>
          <w:sz w:val="24"/>
          <w:szCs w:val="24"/>
          <w:shd w:val="clear" w:color="auto" w:fill="FFFFFF"/>
        </w:rPr>
        <w:t>6.安全文明施工</w:t>
      </w:r>
      <w:bookmarkEnd w:id="888"/>
      <w:bookmarkEnd w:id="889"/>
      <w:bookmarkEnd w:id="890"/>
      <w:bookmarkEnd w:id="891"/>
      <w:bookmarkEnd w:id="892"/>
      <w:bookmarkEnd w:id="893"/>
      <w:bookmarkEnd w:id="894"/>
      <w:bookmarkEnd w:id="895"/>
      <w:bookmarkEnd w:id="896"/>
      <w:bookmarkEnd w:id="897"/>
      <w:bookmarkEnd w:id="898"/>
      <w:bookmarkEnd w:id="899"/>
    </w:p>
    <w:p w14:paraId="01832D5A">
      <w:pPr>
        <w:pStyle w:val="251"/>
        <w:wordWrap w:val="0"/>
        <w:spacing w:before="120" w:after="0"/>
        <w:outlineLvl w:val="4"/>
        <w:rPr>
          <w:rFonts w:hint="eastAsia" w:hAnsi="宋体" w:cs="宋体"/>
          <w:szCs w:val="24"/>
          <w:shd w:val="clear" w:color="auto" w:fill="FFFFFF"/>
        </w:rPr>
      </w:pPr>
      <w:bookmarkStart w:id="900" w:name="_Toc483581240"/>
      <w:bookmarkStart w:id="901" w:name="_Toc497298388"/>
      <w:bookmarkStart w:id="902" w:name="_Toc96504971"/>
      <w:bookmarkStart w:id="903" w:name="_Toc501055686"/>
      <w:bookmarkStart w:id="904" w:name="_Toc486580475"/>
      <w:bookmarkStart w:id="905" w:name="_Toc38037933"/>
      <w:bookmarkStart w:id="906" w:name="_Toc96505360"/>
      <w:bookmarkStart w:id="907" w:name="_Toc30917"/>
      <w:bookmarkStart w:id="908" w:name="_Toc489280281"/>
      <w:bookmarkStart w:id="909" w:name="_Toc96352156"/>
      <w:bookmarkStart w:id="910" w:name="_Toc96529982"/>
      <w:r>
        <w:rPr>
          <w:rFonts w:hint="eastAsia" w:hAnsi="宋体" w:cs="宋体"/>
          <w:szCs w:val="24"/>
          <w:shd w:val="clear" w:color="auto" w:fill="FFFFFF"/>
        </w:rPr>
        <w:t>6.1  安全防护</w:t>
      </w:r>
      <w:bookmarkEnd w:id="900"/>
      <w:bookmarkEnd w:id="901"/>
      <w:bookmarkEnd w:id="902"/>
      <w:bookmarkEnd w:id="903"/>
      <w:bookmarkEnd w:id="904"/>
      <w:bookmarkEnd w:id="905"/>
      <w:bookmarkEnd w:id="906"/>
      <w:bookmarkEnd w:id="907"/>
      <w:bookmarkEnd w:id="908"/>
      <w:bookmarkEnd w:id="909"/>
      <w:bookmarkEnd w:id="910"/>
    </w:p>
    <w:p w14:paraId="58802084">
      <w:pPr>
        <w:wordWrap w:val="0"/>
        <w:spacing w:after="0" w:line="360" w:lineRule="auto"/>
        <w:ind w:firstLine="480" w:firstLineChars="200"/>
        <w:rPr>
          <w:rFonts w:hint="eastAsia" w:ascii="宋体" w:hAnsi="宋体" w:cs="宋体"/>
          <w:sz w:val="24"/>
          <w:shd w:val="clear" w:color="auto" w:fill="FFFFFF"/>
        </w:rPr>
      </w:pPr>
      <w:r>
        <w:rPr>
          <w:rFonts w:hint="eastAsia" w:ascii="宋体" w:hAnsi="宋体" w:cs="宋体"/>
          <w:sz w:val="24"/>
          <w:shd w:val="clear" w:color="auto" w:fill="FFFFFF"/>
        </w:rPr>
        <w:t>6.1.2  在整个工程施工期间，承包人应在施工场地（现场）设立、提供和维护并在有关工作完成或竣工后撤除</w:t>
      </w:r>
      <w:bookmarkStart w:id="911" w:name="_Hlk524944452"/>
      <w:r>
        <w:rPr>
          <w:rFonts w:hint="eastAsia" w:ascii="宋体" w:hAnsi="宋体" w:cs="宋体"/>
          <w:sz w:val="24"/>
          <w:shd w:val="clear" w:color="auto" w:fill="FFFFFF"/>
        </w:rPr>
        <w:t>：</w:t>
      </w:r>
      <w:bookmarkEnd w:id="911"/>
    </w:p>
    <w:p w14:paraId="510B69D7">
      <w:pPr>
        <w:wordWrap w:val="0"/>
        <w:spacing w:after="0" w:line="360" w:lineRule="auto"/>
        <w:ind w:firstLine="480" w:firstLineChars="200"/>
        <w:rPr>
          <w:rFonts w:hint="eastAsia" w:ascii="宋体" w:hAnsi="宋体" w:cs="宋体"/>
          <w:sz w:val="24"/>
          <w:shd w:val="clear" w:color="auto" w:fill="FFFFFF"/>
        </w:rPr>
      </w:pPr>
      <w:r>
        <w:rPr>
          <w:rFonts w:hint="eastAsia" w:ascii="宋体" w:hAnsi="宋体" w:cs="宋体"/>
          <w:sz w:val="24"/>
          <w:shd w:val="clear" w:color="auto" w:fill="FFFFFF"/>
        </w:rPr>
        <w:t>（11）其他要求：</w:t>
      </w:r>
      <w:r>
        <w:rPr>
          <w:rFonts w:hint="eastAsia" w:ascii="宋体" w:hAnsi="宋体" w:cs="宋体"/>
          <w:sz w:val="24"/>
          <w:u w:val="single"/>
          <w:shd w:val="clear" w:color="auto" w:fill="FFFFFF"/>
        </w:rPr>
        <w:t xml:space="preserve">                       /                               </w:t>
      </w:r>
    </w:p>
    <w:p w14:paraId="293389BB">
      <w:pPr>
        <w:wordWrap w:val="0"/>
        <w:spacing w:after="0" w:line="360" w:lineRule="auto"/>
        <w:ind w:firstLine="480" w:firstLineChars="200"/>
        <w:rPr>
          <w:rFonts w:hint="eastAsia" w:ascii="宋体" w:hAnsi="宋体" w:cs="宋体"/>
          <w:sz w:val="24"/>
          <w:u w:val="single"/>
          <w:shd w:val="clear" w:color="auto" w:fill="FFFFFF"/>
        </w:rPr>
      </w:pPr>
      <w:r>
        <w:rPr>
          <w:rFonts w:hint="eastAsia" w:ascii="宋体" w:hAnsi="宋体" w:cs="宋体"/>
          <w:sz w:val="24"/>
          <w:shd w:val="clear" w:color="auto" w:fill="FFFFFF"/>
        </w:rPr>
        <w:t>6.1.18  安全防护方面的其他要求：</w:t>
      </w:r>
      <w:r>
        <w:rPr>
          <w:rFonts w:hint="eastAsia" w:ascii="宋体" w:hAnsi="宋体" w:cs="宋体"/>
          <w:sz w:val="24"/>
          <w:u w:val="single"/>
          <w:shd w:val="clear" w:color="auto" w:fill="FFFFFF"/>
        </w:rPr>
        <w:t xml:space="preserve">       /                               </w:t>
      </w:r>
    </w:p>
    <w:p w14:paraId="0C2A64B6">
      <w:pPr>
        <w:pStyle w:val="251"/>
        <w:wordWrap w:val="0"/>
        <w:spacing w:before="120" w:after="0"/>
        <w:outlineLvl w:val="4"/>
        <w:rPr>
          <w:rFonts w:hint="eastAsia" w:hAnsi="宋体" w:cs="宋体"/>
          <w:szCs w:val="24"/>
          <w:shd w:val="clear" w:color="auto" w:fill="FFFFFF"/>
        </w:rPr>
      </w:pPr>
      <w:bookmarkStart w:id="912" w:name="_Toc38037934"/>
      <w:bookmarkStart w:id="913" w:name="_Toc501055687"/>
      <w:bookmarkStart w:id="914" w:name="_Toc96505361"/>
      <w:bookmarkStart w:id="915" w:name="_Toc497298389"/>
      <w:bookmarkStart w:id="916" w:name="_Toc23525"/>
      <w:bookmarkStart w:id="917" w:name="_Toc96504972"/>
      <w:bookmarkStart w:id="918" w:name="_Toc489280282"/>
      <w:bookmarkStart w:id="919" w:name="_Toc483581241"/>
      <w:bookmarkStart w:id="920" w:name="_Toc96529983"/>
      <w:bookmarkStart w:id="921" w:name="_Toc486580476"/>
      <w:bookmarkStart w:id="922" w:name="_Toc96352157"/>
      <w:r>
        <w:rPr>
          <w:rFonts w:hint="eastAsia" w:hAnsi="宋体" w:cs="宋体"/>
          <w:szCs w:val="24"/>
          <w:shd w:val="clear" w:color="auto" w:fill="FFFFFF"/>
        </w:rPr>
        <w:t>6.2  临时消防</w:t>
      </w:r>
      <w:bookmarkEnd w:id="912"/>
      <w:bookmarkEnd w:id="913"/>
      <w:bookmarkEnd w:id="914"/>
      <w:bookmarkEnd w:id="915"/>
      <w:bookmarkEnd w:id="916"/>
      <w:bookmarkEnd w:id="917"/>
      <w:bookmarkEnd w:id="918"/>
      <w:bookmarkEnd w:id="919"/>
      <w:bookmarkEnd w:id="920"/>
      <w:bookmarkEnd w:id="921"/>
      <w:bookmarkEnd w:id="922"/>
    </w:p>
    <w:p w14:paraId="6081BFA3">
      <w:pPr>
        <w:wordWrap w:val="0"/>
        <w:spacing w:after="0" w:line="360" w:lineRule="auto"/>
        <w:ind w:firstLine="480" w:firstLineChars="200"/>
        <w:rPr>
          <w:rFonts w:hint="eastAsia" w:ascii="宋体" w:hAnsi="宋体" w:cs="宋体"/>
          <w:sz w:val="24"/>
          <w:u w:val="single"/>
          <w:shd w:val="clear" w:color="auto" w:fill="FFFFFF"/>
        </w:rPr>
      </w:pPr>
      <w:r>
        <w:rPr>
          <w:rFonts w:hint="eastAsia" w:ascii="宋体" w:hAnsi="宋体" w:cs="宋体"/>
          <w:sz w:val="24"/>
          <w:shd w:val="clear" w:color="auto" w:fill="FFFFFF"/>
        </w:rPr>
        <w:t>6.2.5  临时消防方面的其他要求：</w:t>
      </w:r>
      <w:r>
        <w:rPr>
          <w:rFonts w:hint="eastAsia" w:ascii="宋体" w:hAnsi="宋体" w:cs="宋体"/>
          <w:sz w:val="24"/>
          <w:u w:val="single"/>
          <w:shd w:val="clear" w:color="auto" w:fill="FFFFFF"/>
        </w:rPr>
        <w:t xml:space="preserve">        /                               </w:t>
      </w:r>
    </w:p>
    <w:p w14:paraId="6D059068">
      <w:pPr>
        <w:pStyle w:val="251"/>
        <w:wordWrap w:val="0"/>
        <w:spacing w:before="120" w:after="0"/>
        <w:outlineLvl w:val="4"/>
        <w:rPr>
          <w:rFonts w:hint="eastAsia" w:hAnsi="宋体" w:cs="宋体"/>
          <w:szCs w:val="24"/>
          <w:shd w:val="clear" w:color="auto" w:fill="FFFFFF"/>
        </w:rPr>
      </w:pPr>
      <w:bookmarkStart w:id="923" w:name="_Toc486580477"/>
      <w:bookmarkStart w:id="924" w:name="_Toc489280283"/>
      <w:bookmarkStart w:id="925" w:name="_Toc96529984"/>
      <w:bookmarkStart w:id="926" w:name="_Toc96352158"/>
      <w:bookmarkStart w:id="927" w:name="_Toc501055688"/>
      <w:bookmarkStart w:id="928" w:name="_Toc96504973"/>
      <w:bookmarkStart w:id="929" w:name="_Toc497298390"/>
      <w:bookmarkStart w:id="930" w:name="_Toc24903"/>
      <w:bookmarkStart w:id="931" w:name="_Toc96505362"/>
      <w:bookmarkStart w:id="932" w:name="_Toc483581242"/>
      <w:bookmarkStart w:id="933" w:name="_Toc38037935"/>
      <w:r>
        <w:rPr>
          <w:rFonts w:hint="eastAsia" w:hAnsi="宋体" w:cs="宋体"/>
          <w:szCs w:val="24"/>
          <w:shd w:val="clear" w:color="auto" w:fill="FFFFFF"/>
        </w:rPr>
        <w:t>6.3  临时供电</w:t>
      </w:r>
      <w:bookmarkEnd w:id="923"/>
      <w:bookmarkEnd w:id="924"/>
      <w:bookmarkEnd w:id="925"/>
      <w:bookmarkEnd w:id="926"/>
      <w:bookmarkEnd w:id="927"/>
      <w:bookmarkEnd w:id="928"/>
      <w:bookmarkEnd w:id="929"/>
      <w:bookmarkEnd w:id="930"/>
      <w:bookmarkEnd w:id="931"/>
      <w:bookmarkEnd w:id="932"/>
      <w:bookmarkEnd w:id="933"/>
    </w:p>
    <w:p w14:paraId="5AD7F53E">
      <w:pPr>
        <w:wordWrap w:val="0"/>
        <w:spacing w:after="0" w:line="360" w:lineRule="auto"/>
        <w:ind w:firstLine="480" w:firstLineChars="200"/>
        <w:rPr>
          <w:rFonts w:hint="eastAsia" w:ascii="宋体" w:hAnsi="宋体" w:cs="宋体"/>
          <w:sz w:val="24"/>
          <w:u w:val="single"/>
          <w:shd w:val="clear" w:color="auto" w:fill="FFFFFF"/>
        </w:rPr>
      </w:pPr>
      <w:r>
        <w:rPr>
          <w:rFonts w:hint="eastAsia" w:ascii="宋体" w:hAnsi="宋体" w:cs="宋体"/>
          <w:sz w:val="24"/>
          <w:shd w:val="clear" w:color="auto" w:fill="FFFFFF"/>
        </w:rPr>
        <w:t>6.3.6  临时用电方面的其他要求：</w:t>
      </w:r>
      <w:r>
        <w:rPr>
          <w:rFonts w:hint="eastAsia" w:ascii="宋体" w:hAnsi="宋体" w:cs="宋体"/>
          <w:sz w:val="24"/>
          <w:u w:val="single"/>
          <w:shd w:val="clear" w:color="auto" w:fill="FFFFFF"/>
        </w:rPr>
        <w:t xml:space="preserve">        /                               </w:t>
      </w:r>
    </w:p>
    <w:p w14:paraId="3402AC56">
      <w:pPr>
        <w:pStyle w:val="251"/>
        <w:wordWrap w:val="0"/>
        <w:spacing w:before="120" w:after="0"/>
        <w:outlineLvl w:val="4"/>
        <w:rPr>
          <w:rFonts w:hint="eastAsia" w:hAnsi="宋体" w:cs="宋体"/>
          <w:szCs w:val="24"/>
          <w:shd w:val="clear" w:color="auto" w:fill="FFFFFF"/>
        </w:rPr>
      </w:pPr>
      <w:bookmarkStart w:id="934" w:name="_Toc486580478"/>
      <w:bookmarkStart w:id="935" w:name="_Toc489280284"/>
      <w:bookmarkStart w:id="936" w:name="_Toc38037936"/>
      <w:bookmarkStart w:id="937" w:name="_Toc501055689"/>
      <w:bookmarkStart w:id="938" w:name="_Toc96504974"/>
      <w:bookmarkStart w:id="939" w:name="_Toc96352159"/>
      <w:bookmarkStart w:id="940" w:name="_Toc497298391"/>
      <w:bookmarkStart w:id="941" w:name="_Toc483581243"/>
      <w:bookmarkStart w:id="942" w:name="_Toc19663"/>
      <w:bookmarkStart w:id="943" w:name="_Toc96529985"/>
      <w:bookmarkStart w:id="944" w:name="_Toc96505363"/>
      <w:r>
        <w:rPr>
          <w:rFonts w:hint="eastAsia" w:hAnsi="宋体" w:cs="宋体"/>
          <w:szCs w:val="24"/>
          <w:shd w:val="clear" w:color="auto" w:fill="FFFFFF"/>
        </w:rPr>
        <w:t>6.4  劳动保护</w:t>
      </w:r>
      <w:bookmarkEnd w:id="934"/>
      <w:bookmarkEnd w:id="935"/>
      <w:bookmarkEnd w:id="936"/>
      <w:bookmarkEnd w:id="937"/>
      <w:bookmarkEnd w:id="938"/>
      <w:bookmarkEnd w:id="939"/>
      <w:bookmarkEnd w:id="940"/>
      <w:bookmarkEnd w:id="941"/>
      <w:bookmarkEnd w:id="942"/>
      <w:bookmarkEnd w:id="943"/>
      <w:bookmarkEnd w:id="944"/>
    </w:p>
    <w:p w14:paraId="7427E3EA">
      <w:pPr>
        <w:wordWrap w:val="0"/>
        <w:spacing w:after="0" w:line="360" w:lineRule="auto"/>
        <w:ind w:firstLine="480" w:firstLineChars="200"/>
        <w:rPr>
          <w:rFonts w:hint="eastAsia" w:ascii="宋体" w:hAnsi="宋体" w:cs="宋体"/>
          <w:sz w:val="24"/>
          <w:u w:val="single"/>
          <w:shd w:val="clear" w:color="auto" w:fill="FFFFFF"/>
        </w:rPr>
      </w:pPr>
      <w:r>
        <w:rPr>
          <w:rFonts w:hint="eastAsia" w:ascii="宋体" w:hAnsi="宋体" w:cs="宋体"/>
          <w:sz w:val="24"/>
          <w:shd w:val="clear" w:color="auto" w:fill="FFFFFF"/>
        </w:rPr>
        <w:t>6.4.6  劳动保护方面的其他要求：</w:t>
      </w:r>
      <w:r>
        <w:rPr>
          <w:rFonts w:hint="eastAsia" w:ascii="宋体" w:hAnsi="宋体" w:cs="宋体"/>
          <w:sz w:val="24"/>
          <w:u w:val="single"/>
          <w:shd w:val="clear" w:color="auto" w:fill="FFFFFF"/>
        </w:rPr>
        <w:t xml:space="preserve">        /                               </w:t>
      </w:r>
    </w:p>
    <w:p w14:paraId="2CA3D612">
      <w:pPr>
        <w:pStyle w:val="251"/>
        <w:wordWrap w:val="0"/>
        <w:spacing w:before="120" w:after="0"/>
        <w:outlineLvl w:val="4"/>
        <w:rPr>
          <w:rFonts w:hint="eastAsia" w:hAnsi="宋体" w:cs="宋体"/>
          <w:szCs w:val="24"/>
          <w:shd w:val="clear" w:color="auto" w:fill="FFFFFF"/>
        </w:rPr>
      </w:pPr>
      <w:bookmarkStart w:id="945" w:name="_Toc96504975"/>
      <w:bookmarkStart w:id="946" w:name="_Toc501055690"/>
      <w:bookmarkStart w:id="947" w:name="_Toc96352160"/>
      <w:bookmarkStart w:id="948" w:name="_Toc38037937"/>
      <w:bookmarkStart w:id="949" w:name="_Toc497298392"/>
      <w:bookmarkStart w:id="950" w:name="_Toc489280285"/>
      <w:bookmarkStart w:id="951" w:name="_Toc486580479"/>
      <w:bookmarkStart w:id="952" w:name="_Toc16227"/>
      <w:bookmarkStart w:id="953" w:name="_Toc96505364"/>
      <w:bookmarkStart w:id="954" w:name="_Toc96529986"/>
      <w:bookmarkStart w:id="955" w:name="_Toc483581244"/>
      <w:r>
        <w:rPr>
          <w:rFonts w:hint="eastAsia" w:hAnsi="宋体" w:cs="宋体"/>
          <w:szCs w:val="24"/>
          <w:shd w:val="clear" w:color="auto" w:fill="FFFFFF"/>
        </w:rPr>
        <w:t>6.5  脚手架</w:t>
      </w:r>
      <w:bookmarkEnd w:id="945"/>
      <w:bookmarkEnd w:id="946"/>
      <w:bookmarkEnd w:id="947"/>
      <w:bookmarkEnd w:id="948"/>
      <w:bookmarkEnd w:id="949"/>
      <w:bookmarkEnd w:id="950"/>
      <w:bookmarkEnd w:id="951"/>
      <w:bookmarkEnd w:id="952"/>
      <w:bookmarkEnd w:id="953"/>
      <w:bookmarkEnd w:id="954"/>
      <w:bookmarkEnd w:id="955"/>
    </w:p>
    <w:p w14:paraId="763F94D5">
      <w:pPr>
        <w:wordWrap w:val="0"/>
        <w:spacing w:after="0" w:line="360" w:lineRule="auto"/>
        <w:ind w:firstLine="480" w:firstLineChars="200"/>
        <w:rPr>
          <w:rFonts w:hint="eastAsia" w:ascii="宋体" w:hAnsi="宋体" w:cs="宋体"/>
          <w:sz w:val="24"/>
          <w:u w:val="single"/>
          <w:shd w:val="clear" w:color="auto" w:fill="FFFFFF"/>
        </w:rPr>
      </w:pPr>
      <w:r>
        <w:rPr>
          <w:rFonts w:hint="eastAsia" w:ascii="宋体" w:hAnsi="宋体" w:cs="宋体"/>
          <w:sz w:val="24"/>
          <w:shd w:val="clear" w:color="auto" w:fill="FFFFFF"/>
        </w:rPr>
        <w:t>6.5.6  脚手架的其他要求：</w:t>
      </w:r>
      <w:r>
        <w:rPr>
          <w:rFonts w:hint="eastAsia" w:ascii="宋体" w:hAnsi="宋体" w:cs="宋体"/>
          <w:sz w:val="24"/>
          <w:u w:val="single"/>
          <w:shd w:val="clear" w:color="auto" w:fill="FFFFFF"/>
        </w:rPr>
        <w:t xml:space="preserve">             /                                </w:t>
      </w:r>
    </w:p>
    <w:p w14:paraId="57E29E2C">
      <w:pPr>
        <w:pStyle w:val="251"/>
        <w:wordWrap w:val="0"/>
        <w:spacing w:before="120" w:after="0"/>
        <w:outlineLvl w:val="4"/>
        <w:rPr>
          <w:rFonts w:hint="eastAsia" w:hAnsi="宋体" w:cs="宋体"/>
          <w:szCs w:val="24"/>
          <w:shd w:val="clear" w:color="auto" w:fill="FFFFFF"/>
        </w:rPr>
      </w:pPr>
      <w:bookmarkStart w:id="956" w:name="_Toc96505365"/>
      <w:bookmarkStart w:id="957" w:name="_Toc489280286"/>
      <w:bookmarkStart w:id="958" w:name="_Toc497298393"/>
      <w:bookmarkStart w:id="959" w:name="_Toc96352161"/>
      <w:bookmarkStart w:id="960" w:name="_Toc38037938"/>
      <w:bookmarkStart w:id="961" w:name="_Toc486580480"/>
      <w:bookmarkStart w:id="962" w:name="_Toc501055691"/>
      <w:bookmarkStart w:id="963" w:name="_Toc3989"/>
      <w:bookmarkStart w:id="964" w:name="_Toc96504976"/>
      <w:bookmarkStart w:id="965" w:name="_Toc483581245"/>
      <w:bookmarkStart w:id="966" w:name="_Toc96529987"/>
      <w:r>
        <w:rPr>
          <w:rFonts w:hint="eastAsia" w:hAnsi="宋体" w:cs="宋体"/>
          <w:szCs w:val="24"/>
          <w:shd w:val="clear" w:color="auto" w:fill="FFFFFF"/>
        </w:rPr>
        <w:t>6.6  施工安全措施计划</w:t>
      </w:r>
      <w:bookmarkEnd w:id="956"/>
      <w:bookmarkEnd w:id="957"/>
      <w:bookmarkEnd w:id="958"/>
      <w:bookmarkEnd w:id="959"/>
      <w:bookmarkEnd w:id="960"/>
      <w:bookmarkEnd w:id="961"/>
      <w:bookmarkEnd w:id="962"/>
      <w:bookmarkEnd w:id="963"/>
      <w:bookmarkEnd w:id="964"/>
      <w:bookmarkEnd w:id="965"/>
      <w:bookmarkEnd w:id="966"/>
    </w:p>
    <w:p w14:paraId="6610FB3A">
      <w:pPr>
        <w:wordWrap w:val="0"/>
        <w:spacing w:after="0" w:line="360" w:lineRule="auto"/>
        <w:ind w:firstLine="480" w:firstLineChars="200"/>
        <w:rPr>
          <w:rFonts w:hint="eastAsia" w:ascii="宋体" w:hAnsi="宋体" w:cs="宋体"/>
          <w:sz w:val="24"/>
          <w:shd w:val="clear" w:color="auto" w:fill="FFFFFF"/>
        </w:rPr>
      </w:pPr>
      <w:r>
        <w:rPr>
          <w:rFonts w:hint="eastAsia" w:ascii="宋体" w:hAnsi="宋体" w:cs="宋体"/>
          <w:sz w:val="24"/>
          <w:shd w:val="clear" w:color="auto" w:fill="FFFFFF"/>
        </w:rPr>
        <w:t>6.6.2  施工安全措施计划内容包括：</w:t>
      </w:r>
    </w:p>
    <w:p w14:paraId="109B5510">
      <w:pPr>
        <w:wordWrap w:val="0"/>
        <w:spacing w:after="0" w:line="360" w:lineRule="auto"/>
        <w:ind w:firstLine="480" w:firstLineChars="200"/>
        <w:rPr>
          <w:rFonts w:hint="eastAsia" w:ascii="宋体" w:hAnsi="宋体" w:cs="宋体"/>
          <w:sz w:val="24"/>
          <w:shd w:val="clear" w:color="auto" w:fill="FFFFFF"/>
        </w:rPr>
      </w:pPr>
      <w:r>
        <w:rPr>
          <w:rFonts w:hint="eastAsia" w:ascii="宋体" w:hAnsi="宋体" w:cs="宋体"/>
          <w:sz w:val="24"/>
          <w:shd w:val="clear" w:color="auto" w:fill="FFFFFF"/>
        </w:rPr>
        <w:t>（9）其他要求：</w:t>
      </w:r>
      <w:r>
        <w:rPr>
          <w:rFonts w:hint="eastAsia" w:ascii="宋体" w:hAnsi="宋体" w:cs="宋体"/>
          <w:sz w:val="24"/>
          <w:u w:val="single"/>
          <w:shd w:val="clear" w:color="auto" w:fill="FFFFFF"/>
        </w:rPr>
        <w:t xml:space="preserve">                        /                               </w:t>
      </w:r>
    </w:p>
    <w:p w14:paraId="2825FEC4">
      <w:pPr>
        <w:pStyle w:val="251"/>
        <w:wordWrap w:val="0"/>
        <w:spacing w:before="120" w:after="0"/>
        <w:outlineLvl w:val="4"/>
        <w:rPr>
          <w:rFonts w:hint="eastAsia" w:hAnsi="宋体" w:cs="宋体"/>
          <w:szCs w:val="24"/>
          <w:shd w:val="clear" w:color="auto" w:fill="FFFFFF"/>
        </w:rPr>
      </w:pPr>
      <w:bookmarkStart w:id="967" w:name="_Toc501055692"/>
      <w:bookmarkStart w:id="968" w:name="_Toc4321"/>
      <w:bookmarkStart w:id="969" w:name="_Toc486580481"/>
      <w:bookmarkStart w:id="970" w:name="_Toc96529988"/>
      <w:bookmarkStart w:id="971" w:name="_Toc497298394"/>
      <w:bookmarkStart w:id="972" w:name="_Toc96504977"/>
      <w:bookmarkStart w:id="973" w:name="_Toc96352162"/>
      <w:bookmarkStart w:id="974" w:name="_Toc96505366"/>
      <w:bookmarkStart w:id="975" w:name="_Toc483581246"/>
      <w:bookmarkStart w:id="976" w:name="_Toc38037939"/>
      <w:bookmarkStart w:id="977" w:name="_Toc489280287"/>
      <w:r>
        <w:rPr>
          <w:rFonts w:hint="eastAsia" w:hAnsi="宋体" w:cs="宋体"/>
          <w:szCs w:val="24"/>
          <w:shd w:val="clear" w:color="auto" w:fill="FFFFFF"/>
        </w:rPr>
        <w:t>6.7  文明施工</w:t>
      </w:r>
      <w:bookmarkEnd w:id="967"/>
      <w:bookmarkEnd w:id="968"/>
      <w:bookmarkEnd w:id="969"/>
      <w:bookmarkEnd w:id="970"/>
      <w:bookmarkEnd w:id="971"/>
      <w:bookmarkEnd w:id="972"/>
      <w:bookmarkEnd w:id="973"/>
      <w:bookmarkEnd w:id="974"/>
      <w:bookmarkEnd w:id="975"/>
      <w:bookmarkEnd w:id="976"/>
      <w:bookmarkEnd w:id="977"/>
    </w:p>
    <w:p w14:paraId="6E97F6E7">
      <w:pPr>
        <w:wordWrap w:val="0"/>
        <w:spacing w:after="0" w:line="360" w:lineRule="auto"/>
        <w:ind w:firstLine="480" w:firstLineChars="200"/>
        <w:rPr>
          <w:rFonts w:hint="eastAsia" w:ascii="宋体" w:hAnsi="宋体" w:cs="宋体"/>
          <w:sz w:val="24"/>
          <w:u w:val="single"/>
          <w:shd w:val="clear" w:color="auto" w:fill="FFFFFF"/>
        </w:rPr>
      </w:pPr>
      <w:r>
        <w:rPr>
          <w:rFonts w:hint="eastAsia" w:ascii="宋体" w:hAnsi="宋体" w:cs="宋体"/>
          <w:sz w:val="24"/>
          <w:shd w:val="clear" w:color="auto" w:fill="FFFFFF"/>
        </w:rPr>
        <w:t>6.7.10  成品保护措施计划报监理人审批的时限：</w:t>
      </w:r>
      <w:r>
        <w:rPr>
          <w:rFonts w:hint="eastAsia" w:ascii="宋体" w:hAnsi="宋体" w:cs="宋体"/>
          <w:sz w:val="24"/>
          <w:u w:val="single"/>
          <w:shd w:val="clear" w:color="auto" w:fill="FFFFFF"/>
        </w:rPr>
        <w:t xml:space="preserve">          /                </w:t>
      </w:r>
    </w:p>
    <w:p w14:paraId="1AD2857A">
      <w:pPr>
        <w:wordWrap w:val="0"/>
        <w:spacing w:after="0" w:line="360" w:lineRule="auto"/>
        <w:ind w:firstLine="480" w:firstLineChars="200"/>
        <w:rPr>
          <w:rFonts w:hint="eastAsia" w:ascii="宋体" w:hAnsi="宋体" w:cs="宋体"/>
          <w:sz w:val="24"/>
          <w:u w:val="single"/>
          <w:shd w:val="clear" w:color="auto" w:fill="FFFFFF"/>
        </w:rPr>
      </w:pPr>
      <w:r>
        <w:rPr>
          <w:rFonts w:hint="eastAsia" w:ascii="宋体" w:hAnsi="宋体" w:cs="宋体"/>
          <w:sz w:val="24"/>
          <w:shd w:val="clear" w:color="auto" w:fill="FFFFFF"/>
        </w:rPr>
        <w:t>6.7.11  文明施工方面的其他要求：</w:t>
      </w:r>
      <w:r>
        <w:rPr>
          <w:rFonts w:hint="eastAsia" w:ascii="宋体" w:hAnsi="宋体" w:cs="宋体"/>
          <w:sz w:val="24"/>
          <w:u w:val="single"/>
          <w:shd w:val="clear" w:color="auto" w:fill="FFFFFF"/>
        </w:rPr>
        <w:t xml:space="preserve">                    /                  </w:t>
      </w:r>
    </w:p>
    <w:p w14:paraId="03E7C5F2">
      <w:pPr>
        <w:pStyle w:val="251"/>
        <w:wordWrap w:val="0"/>
        <w:spacing w:before="120" w:after="0"/>
        <w:outlineLvl w:val="4"/>
        <w:rPr>
          <w:rFonts w:hint="eastAsia" w:hAnsi="宋体" w:cs="宋体"/>
          <w:szCs w:val="24"/>
          <w:shd w:val="clear" w:color="auto" w:fill="FFFFFF"/>
        </w:rPr>
      </w:pPr>
      <w:bookmarkStart w:id="978" w:name="_Toc96504978"/>
      <w:bookmarkStart w:id="979" w:name="_Toc96505367"/>
      <w:bookmarkStart w:id="980" w:name="_Toc96352163"/>
      <w:bookmarkStart w:id="981" w:name="_Toc489280288"/>
      <w:bookmarkStart w:id="982" w:name="_Toc501055693"/>
      <w:bookmarkStart w:id="983" w:name="_Toc483581247"/>
      <w:bookmarkStart w:id="984" w:name="_Toc486580482"/>
      <w:bookmarkStart w:id="985" w:name="_Toc497298395"/>
      <w:bookmarkStart w:id="986" w:name="_Toc96529989"/>
      <w:bookmarkStart w:id="987" w:name="_Toc14914"/>
      <w:bookmarkStart w:id="988" w:name="_Toc38037940"/>
      <w:r>
        <w:rPr>
          <w:rFonts w:hint="eastAsia" w:hAnsi="宋体" w:cs="宋体"/>
          <w:szCs w:val="24"/>
          <w:shd w:val="clear" w:color="auto" w:fill="FFFFFF"/>
        </w:rPr>
        <w:t>6.8  环境保护</w:t>
      </w:r>
      <w:bookmarkEnd w:id="978"/>
      <w:bookmarkEnd w:id="979"/>
      <w:bookmarkEnd w:id="980"/>
      <w:bookmarkEnd w:id="981"/>
      <w:bookmarkEnd w:id="982"/>
      <w:bookmarkEnd w:id="983"/>
      <w:bookmarkEnd w:id="984"/>
      <w:bookmarkEnd w:id="985"/>
      <w:bookmarkEnd w:id="986"/>
      <w:bookmarkEnd w:id="987"/>
      <w:bookmarkEnd w:id="988"/>
    </w:p>
    <w:p w14:paraId="19535495">
      <w:pPr>
        <w:wordWrap w:val="0"/>
        <w:spacing w:after="0" w:line="360" w:lineRule="auto"/>
        <w:ind w:firstLine="480" w:firstLineChars="200"/>
        <w:rPr>
          <w:rFonts w:hint="eastAsia" w:ascii="宋体" w:hAnsi="宋体" w:cs="宋体"/>
          <w:sz w:val="24"/>
          <w:u w:val="single"/>
          <w:shd w:val="clear" w:color="auto" w:fill="FFFFFF"/>
        </w:rPr>
      </w:pPr>
      <w:r>
        <w:rPr>
          <w:rFonts w:hint="eastAsia" w:ascii="宋体" w:hAnsi="宋体" w:cs="宋体"/>
          <w:sz w:val="24"/>
          <w:shd w:val="clear" w:color="auto" w:fill="FFFFFF"/>
        </w:rPr>
        <w:t>6.8.10  环境保护方面的其他要求：</w:t>
      </w:r>
      <w:r>
        <w:rPr>
          <w:rFonts w:hint="eastAsia" w:ascii="宋体" w:hAnsi="宋体" w:cs="宋体"/>
          <w:sz w:val="24"/>
          <w:u w:val="single"/>
          <w:shd w:val="clear" w:color="auto" w:fill="FFFFFF"/>
        </w:rPr>
        <w:t xml:space="preserve">                  /                    </w:t>
      </w:r>
    </w:p>
    <w:p w14:paraId="03D334AB">
      <w:pPr>
        <w:pStyle w:val="251"/>
        <w:wordWrap w:val="0"/>
        <w:spacing w:before="120" w:after="0"/>
        <w:outlineLvl w:val="4"/>
        <w:rPr>
          <w:rFonts w:hint="eastAsia" w:hAnsi="宋体" w:cs="宋体"/>
          <w:szCs w:val="24"/>
          <w:shd w:val="clear" w:color="auto" w:fill="FFFFFF"/>
        </w:rPr>
      </w:pPr>
      <w:bookmarkStart w:id="989" w:name="_Toc497298396"/>
      <w:bookmarkStart w:id="990" w:name="_Toc489280289"/>
      <w:bookmarkStart w:id="991" w:name="_Toc483581248"/>
      <w:bookmarkStart w:id="992" w:name="_Toc96352164"/>
      <w:bookmarkStart w:id="993" w:name="_Toc96505368"/>
      <w:bookmarkStart w:id="994" w:name="_Toc96529990"/>
      <w:bookmarkStart w:id="995" w:name="_Toc486580483"/>
      <w:bookmarkStart w:id="996" w:name="_Toc38037941"/>
      <w:bookmarkStart w:id="997" w:name="_Toc28034"/>
      <w:bookmarkStart w:id="998" w:name="_Toc501055694"/>
      <w:bookmarkStart w:id="999" w:name="_Toc96504979"/>
      <w:r>
        <w:rPr>
          <w:rFonts w:hint="eastAsia" w:hAnsi="宋体" w:cs="宋体"/>
          <w:szCs w:val="24"/>
          <w:shd w:val="clear" w:color="auto" w:fill="FFFFFF"/>
        </w:rPr>
        <w:t>6.9  施工环保措施计划</w:t>
      </w:r>
      <w:bookmarkEnd w:id="989"/>
      <w:bookmarkEnd w:id="990"/>
      <w:bookmarkEnd w:id="991"/>
      <w:bookmarkEnd w:id="992"/>
      <w:bookmarkEnd w:id="993"/>
      <w:bookmarkEnd w:id="994"/>
      <w:bookmarkEnd w:id="995"/>
      <w:bookmarkEnd w:id="996"/>
      <w:bookmarkEnd w:id="997"/>
      <w:bookmarkEnd w:id="998"/>
      <w:bookmarkEnd w:id="999"/>
    </w:p>
    <w:p w14:paraId="616B04C8">
      <w:pPr>
        <w:wordWrap w:val="0"/>
        <w:spacing w:after="0" w:line="360" w:lineRule="auto"/>
        <w:ind w:firstLine="480" w:firstLineChars="200"/>
        <w:rPr>
          <w:rFonts w:hint="eastAsia" w:ascii="宋体" w:hAnsi="宋体" w:cs="宋体"/>
          <w:sz w:val="24"/>
          <w:shd w:val="clear" w:color="auto" w:fill="FFFFFF"/>
        </w:rPr>
      </w:pPr>
      <w:r>
        <w:rPr>
          <w:rFonts w:hint="eastAsia" w:ascii="宋体" w:hAnsi="宋体" w:cs="宋体"/>
          <w:sz w:val="24"/>
          <w:shd w:val="clear" w:color="auto" w:fill="FFFFFF"/>
        </w:rPr>
        <w:t>6.9.1  施工环保措施计划</w:t>
      </w:r>
      <w:r>
        <w:rPr>
          <w:rStyle w:val="252"/>
          <w:rFonts w:hint="eastAsia" w:ascii="宋体" w:hAnsi="宋体" w:cs="宋体"/>
          <w:sz w:val="24"/>
          <w:shd w:val="clear" w:color="auto" w:fill="FFFFFF"/>
        </w:rPr>
        <w:t>内容应包括：</w:t>
      </w:r>
    </w:p>
    <w:p w14:paraId="23578807">
      <w:pPr>
        <w:wordWrap w:val="0"/>
        <w:spacing w:after="0" w:line="360" w:lineRule="auto"/>
        <w:ind w:firstLine="480" w:firstLineChars="200"/>
        <w:rPr>
          <w:rStyle w:val="252"/>
          <w:rFonts w:hint="eastAsia" w:ascii="宋体" w:hAnsi="宋体" w:cs="宋体"/>
          <w:color w:val="000000"/>
          <w:sz w:val="24"/>
          <w:u w:val="single"/>
          <w:shd w:val="clear" w:color="auto" w:fill="FFFFFF"/>
        </w:rPr>
      </w:pPr>
      <w:r>
        <w:rPr>
          <w:rStyle w:val="252"/>
          <w:rFonts w:hint="eastAsia" w:ascii="宋体" w:hAnsi="宋体" w:cs="宋体"/>
          <w:color w:val="000000"/>
          <w:sz w:val="24"/>
          <w:shd w:val="clear" w:color="auto" w:fill="FFFFFF"/>
        </w:rPr>
        <w:t>（15）其他要求：</w:t>
      </w:r>
      <w:r>
        <w:rPr>
          <w:rStyle w:val="252"/>
          <w:rFonts w:hint="eastAsia" w:ascii="宋体" w:hAnsi="宋体" w:cs="宋体"/>
          <w:color w:val="000000"/>
          <w:sz w:val="24"/>
          <w:u w:val="single"/>
          <w:shd w:val="clear" w:color="auto" w:fill="FFFFFF"/>
        </w:rPr>
        <w:t xml:space="preserve">                           /                          </w:t>
      </w:r>
    </w:p>
    <w:p w14:paraId="20AAE864">
      <w:pPr>
        <w:keepNext/>
        <w:keepLines/>
        <w:wordWrap w:val="0"/>
        <w:spacing w:before="120" w:beforeLines="50" w:after="0" w:line="360" w:lineRule="auto"/>
        <w:outlineLvl w:val="4"/>
        <w:rPr>
          <w:rFonts w:hint="eastAsia" w:ascii="宋体" w:hAnsi="宋体" w:cs="宋体"/>
          <w:color w:val="000000"/>
          <w:sz w:val="24"/>
          <w:shd w:val="clear" w:color="auto" w:fill="FFFFFF"/>
        </w:rPr>
      </w:pPr>
      <w:bookmarkStart w:id="1000" w:name="_Toc96352165"/>
      <w:bookmarkStart w:id="1001" w:name="_Toc96504980"/>
      <w:bookmarkStart w:id="1002" w:name="_Toc96505369"/>
      <w:bookmarkStart w:id="1003" w:name="_Toc24584"/>
      <w:bookmarkStart w:id="1004" w:name="_Toc38037942"/>
      <w:bookmarkStart w:id="1005" w:name="_Toc96529991"/>
      <w:r>
        <w:rPr>
          <w:rFonts w:hint="eastAsia" w:ascii="宋体" w:hAnsi="宋体" w:cs="宋体"/>
          <w:color w:val="000000"/>
          <w:sz w:val="24"/>
          <w:shd w:val="clear" w:color="auto" w:fill="FFFFFF"/>
        </w:rPr>
        <w:t>6.10  施工现场安全生产标准化要求</w:t>
      </w:r>
      <w:bookmarkEnd w:id="1000"/>
      <w:bookmarkEnd w:id="1001"/>
      <w:bookmarkEnd w:id="1002"/>
      <w:bookmarkEnd w:id="1003"/>
      <w:bookmarkEnd w:id="1004"/>
      <w:bookmarkEnd w:id="1005"/>
    </w:p>
    <w:p w14:paraId="3D7B1C53">
      <w:pPr>
        <w:wordWrap w:val="0"/>
        <w:spacing w:after="0" w:line="360" w:lineRule="auto"/>
        <w:ind w:firstLine="480" w:firstLineChars="200"/>
        <w:rPr>
          <w:rFonts w:hint="eastAsia" w:ascii="宋体" w:hAnsi="宋体" w:cs="宋体"/>
          <w:color w:val="000000"/>
          <w:sz w:val="24"/>
          <w:u w:val="single"/>
        </w:rPr>
      </w:pPr>
      <w:r>
        <w:rPr>
          <w:rFonts w:hint="eastAsia" w:ascii="宋体" w:hAnsi="宋体" w:cs="宋体"/>
          <w:color w:val="000000"/>
          <w:sz w:val="24"/>
          <w:shd w:val="clear" w:color="auto" w:fill="FFFFFF"/>
        </w:rPr>
        <w:t xml:space="preserve">6.10.1  </w:t>
      </w:r>
      <w:r>
        <w:rPr>
          <w:rFonts w:hint="eastAsia" w:ascii="宋体" w:hAnsi="宋体" w:cs="宋体"/>
          <w:color w:val="000000"/>
          <w:sz w:val="24"/>
        </w:rPr>
        <w:t>施工现场安全生产标准化管理目标等级</w:t>
      </w:r>
      <w:r>
        <w:rPr>
          <w:rFonts w:hint="eastAsia" w:ascii="宋体" w:hAnsi="宋体" w:cs="宋体"/>
          <w:color w:val="000000"/>
          <w:sz w:val="24"/>
          <w:u w:val="single"/>
        </w:rPr>
        <w:t xml:space="preserve">     达标   </w:t>
      </w:r>
      <w:r>
        <w:rPr>
          <w:rFonts w:hint="eastAsia" w:ascii="宋体" w:hAnsi="宋体" w:cs="宋体"/>
          <w:color w:val="000000"/>
          <w:sz w:val="24"/>
        </w:rPr>
        <w:t>。</w:t>
      </w:r>
    </w:p>
    <w:p w14:paraId="100404CF">
      <w:pPr>
        <w:wordWrap w:val="0"/>
        <w:spacing w:after="0" w:line="360" w:lineRule="auto"/>
        <w:ind w:firstLine="480" w:firstLineChars="20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6.10.3  现行施工现场安全生产标准化分级管理标准：《北京市建设工程施工现场安全生产标准化管理图集》（2019版）。</w:t>
      </w:r>
    </w:p>
    <w:p w14:paraId="58C3DD5B">
      <w:pPr>
        <w:wordWrap w:val="0"/>
        <w:spacing w:after="0" w:line="360" w:lineRule="auto"/>
        <w:ind w:firstLine="480" w:firstLineChars="200"/>
        <w:rPr>
          <w:rFonts w:hint="eastAsia" w:ascii="宋体" w:hAnsi="宋体" w:cs="宋体"/>
          <w:sz w:val="24"/>
          <w:shd w:val="clear" w:color="auto" w:fill="FFFFFF"/>
        </w:rPr>
      </w:pPr>
      <w:r>
        <w:rPr>
          <w:rFonts w:hint="eastAsia" w:ascii="宋体" w:hAnsi="宋体" w:cs="宋体"/>
          <w:sz w:val="24"/>
          <w:shd w:val="clear" w:color="auto" w:fill="FFFFFF"/>
        </w:rPr>
        <w:t>6.10.4  特殊安全文明施工措施要求：</w:t>
      </w:r>
      <w:r>
        <w:rPr>
          <w:rFonts w:hint="eastAsia" w:ascii="宋体" w:hAnsi="宋体" w:cs="宋体"/>
          <w:sz w:val="24"/>
          <w:u w:val="single"/>
          <w:shd w:val="clear" w:color="auto" w:fill="FFFFFF"/>
        </w:rPr>
        <w:t xml:space="preserve">           /                        </w:t>
      </w:r>
    </w:p>
    <w:p w14:paraId="7F855AF3">
      <w:pPr>
        <w:pStyle w:val="250"/>
        <w:wordWrap w:val="0"/>
        <w:spacing w:before="120" w:after="0"/>
        <w:outlineLvl w:val="3"/>
        <w:rPr>
          <w:rFonts w:hint="eastAsia" w:ascii="宋体" w:hAnsi="宋体" w:eastAsia="宋体"/>
          <w:sz w:val="24"/>
          <w:szCs w:val="24"/>
          <w:shd w:val="clear" w:color="auto" w:fill="FFFFFF"/>
        </w:rPr>
      </w:pPr>
      <w:bookmarkStart w:id="1006" w:name="_Toc501055695"/>
      <w:bookmarkStart w:id="1007" w:name="_Toc38037943"/>
      <w:bookmarkStart w:id="1008" w:name="_Toc96505370"/>
      <w:bookmarkStart w:id="1009" w:name="_Toc96529992"/>
      <w:bookmarkStart w:id="1010" w:name="_Toc490331751"/>
      <w:bookmarkStart w:id="1011" w:name="_Toc21593"/>
      <w:bookmarkStart w:id="1012" w:name="_Toc96504981"/>
      <w:bookmarkStart w:id="1013" w:name="_Toc486580484"/>
      <w:bookmarkStart w:id="1014" w:name="_Toc483581249"/>
      <w:bookmarkStart w:id="1015" w:name="_Toc497298397"/>
      <w:bookmarkStart w:id="1016" w:name="_Toc96352166"/>
      <w:bookmarkStart w:id="1017" w:name="_Toc489280290"/>
      <w:r>
        <w:rPr>
          <w:rFonts w:hint="eastAsia" w:ascii="宋体" w:hAnsi="宋体" w:eastAsia="宋体"/>
          <w:sz w:val="24"/>
          <w:szCs w:val="24"/>
          <w:shd w:val="clear" w:color="auto" w:fill="FFFFFF"/>
        </w:rPr>
        <w:t>7.治安保卫</w:t>
      </w:r>
      <w:bookmarkEnd w:id="1006"/>
      <w:bookmarkEnd w:id="1007"/>
      <w:bookmarkEnd w:id="1008"/>
      <w:bookmarkEnd w:id="1009"/>
      <w:bookmarkEnd w:id="1010"/>
      <w:bookmarkEnd w:id="1011"/>
      <w:bookmarkEnd w:id="1012"/>
      <w:bookmarkEnd w:id="1013"/>
      <w:bookmarkEnd w:id="1014"/>
      <w:bookmarkEnd w:id="1015"/>
      <w:bookmarkEnd w:id="1016"/>
      <w:bookmarkEnd w:id="1017"/>
    </w:p>
    <w:p w14:paraId="6E48B142">
      <w:pPr>
        <w:wordWrap w:val="0"/>
        <w:spacing w:after="0" w:line="360" w:lineRule="auto"/>
        <w:ind w:firstLine="480" w:firstLineChars="200"/>
        <w:rPr>
          <w:rFonts w:hint="eastAsia" w:ascii="宋体" w:hAnsi="宋体" w:cs="宋体"/>
          <w:sz w:val="24"/>
          <w:shd w:val="clear" w:color="auto" w:fill="FFFFFF"/>
        </w:rPr>
      </w:pPr>
      <w:r>
        <w:rPr>
          <w:rFonts w:hint="eastAsia" w:ascii="宋体" w:hAnsi="宋体" w:cs="宋体"/>
          <w:sz w:val="24"/>
          <w:shd w:val="clear" w:color="auto" w:fill="FFFFFF"/>
        </w:rPr>
        <w:t>7.7  突发治安事件紧急预案的要求：</w:t>
      </w:r>
      <w:r>
        <w:rPr>
          <w:rFonts w:hint="eastAsia" w:ascii="宋体" w:hAnsi="宋体" w:cs="宋体"/>
          <w:sz w:val="24"/>
          <w:u w:val="single"/>
          <w:shd w:val="clear" w:color="auto" w:fill="FFFFFF"/>
        </w:rPr>
        <w:t xml:space="preserve">            /                        </w:t>
      </w:r>
    </w:p>
    <w:p w14:paraId="16C97FBC">
      <w:pPr>
        <w:wordWrap w:val="0"/>
        <w:spacing w:after="0" w:line="360" w:lineRule="auto"/>
        <w:ind w:firstLine="480" w:firstLineChars="200"/>
        <w:rPr>
          <w:rFonts w:hint="eastAsia" w:ascii="宋体" w:hAnsi="宋体" w:cs="宋体"/>
          <w:sz w:val="24"/>
          <w:u w:val="single"/>
          <w:shd w:val="clear" w:color="auto" w:fill="FFFFFF"/>
        </w:rPr>
      </w:pPr>
      <w:r>
        <w:rPr>
          <w:rFonts w:hint="eastAsia" w:ascii="宋体" w:hAnsi="宋体" w:cs="宋体"/>
          <w:sz w:val="24"/>
          <w:shd w:val="clear" w:color="auto" w:fill="FFFFFF"/>
        </w:rPr>
        <w:t>7.8  治安保卫管理方面的其他要求：</w:t>
      </w:r>
      <w:r>
        <w:rPr>
          <w:rFonts w:hint="eastAsia" w:ascii="宋体" w:hAnsi="宋体" w:cs="宋体"/>
          <w:sz w:val="24"/>
          <w:u w:val="single"/>
          <w:shd w:val="clear" w:color="auto" w:fill="FFFFFF"/>
        </w:rPr>
        <w:t xml:space="preserve">            /                         </w:t>
      </w:r>
    </w:p>
    <w:p w14:paraId="0007FFAC">
      <w:pPr>
        <w:pStyle w:val="250"/>
        <w:wordWrap w:val="0"/>
        <w:spacing w:before="120" w:after="0"/>
        <w:outlineLvl w:val="3"/>
        <w:rPr>
          <w:rFonts w:hint="eastAsia" w:ascii="宋体" w:hAnsi="宋体" w:eastAsia="宋体"/>
          <w:sz w:val="24"/>
          <w:szCs w:val="24"/>
          <w:shd w:val="clear" w:color="auto" w:fill="FFFFFF"/>
        </w:rPr>
      </w:pPr>
      <w:bookmarkStart w:id="1018" w:name="_Toc96352167"/>
      <w:bookmarkStart w:id="1019" w:name="_Toc428"/>
      <w:bookmarkStart w:id="1020" w:name="_Toc489280291"/>
      <w:bookmarkStart w:id="1021" w:name="_Toc483581250"/>
      <w:bookmarkStart w:id="1022" w:name="_Toc501055696"/>
      <w:bookmarkStart w:id="1023" w:name="_Toc96505371"/>
      <w:bookmarkStart w:id="1024" w:name="_Toc96504982"/>
      <w:bookmarkStart w:id="1025" w:name="_Toc490331752"/>
      <w:bookmarkStart w:id="1026" w:name="_Toc38037944"/>
      <w:bookmarkStart w:id="1027" w:name="_Toc497298398"/>
      <w:bookmarkStart w:id="1028" w:name="_Toc486580485"/>
      <w:bookmarkStart w:id="1029" w:name="_Toc96529993"/>
      <w:r>
        <w:rPr>
          <w:rFonts w:hint="eastAsia" w:ascii="宋体" w:hAnsi="宋体" w:eastAsia="宋体"/>
          <w:sz w:val="24"/>
          <w:szCs w:val="24"/>
          <w:shd w:val="clear" w:color="auto" w:fill="FFFFFF"/>
        </w:rPr>
        <w:t>8.地上、地下设施和周边建筑物的临时保护</w:t>
      </w:r>
      <w:bookmarkEnd w:id="1018"/>
      <w:bookmarkEnd w:id="1019"/>
      <w:bookmarkEnd w:id="1020"/>
      <w:bookmarkEnd w:id="1021"/>
      <w:bookmarkEnd w:id="1022"/>
      <w:bookmarkEnd w:id="1023"/>
      <w:bookmarkEnd w:id="1024"/>
      <w:bookmarkEnd w:id="1025"/>
      <w:bookmarkEnd w:id="1026"/>
      <w:bookmarkEnd w:id="1027"/>
      <w:bookmarkEnd w:id="1028"/>
      <w:bookmarkEnd w:id="1029"/>
    </w:p>
    <w:p w14:paraId="58766171">
      <w:pPr>
        <w:wordWrap w:val="0"/>
        <w:spacing w:after="0" w:line="360" w:lineRule="auto"/>
        <w:ind w:firstLine="480" w:firstLineChars="200"/>
        <w:rPr>
          <w:rFonts w:hint="eastAsia" w:ascii="宋体" w:hAnsi="宋体" w:cs="宋体"/>
          <w:sz w:val="24"/>
          <w:u w:val="single"/>
          <w:shd w:val="clear" w:color="auto" w:fill="FFFFFF"/>
        </w:rPr>
      </w:pPr>
      <w:r>
        <w:rPr>
          <w:rFonts w:hint="eastAsia" w:ascii="宋体" w:hAnsi="宋体" w:cs="宋体"/>
          <w:sz w:val="24"/>
          <w:shd w:val="clear" w:color="auto" w:fill="FFFFFF"/>
        </w:rPr>
        <w:t>8.3  发包人特别提醒承包人注意以下地上、地下设施和周边建筑物的保护：</w:t>
      </w:r>
      <w:r>
        <w:rPr>
          <w:rFonts w:hint="eastAsia" w:ascii="宋体" w:hAnsi="宋体" w:cs="宋体"/>
          <w:sz w:val="24"/>
          <w:u w:val="single"/>
          <w:shd w:val="clear" w:color="auto" w:fill="FFFFFF"/>
        </w:rPr>
        <w:t xml:space="preserve">  /</w:t>
      </w:r>
    </w:p>
    <w:p w14:paraId="4A719FA3">
      <w:pPr>
        <w:wordWrap w:val="0"/>
        <w:spacing w:after="0" w:line="360" w:lineRule="auto"/>
        <w:ind w:firstLine="480" w:firstLineChars="200"/>
        <w:rPr>
          <w:rFonts w:hint="eastAsia" w:ascii="宋体" w:hAnsi="宋体" w:cs="宋体"/>
          <w:sz w:val="24"/>
          <w:u w:val="single"/>
          <w:shd w:val="clear" w:color="auto" w:fill="FFFFFF"/>
        </w:rPr>
      </w:pPr>
      <w:r>
        <w:rPr>
          <w:rFonts w:hint="eastAsia" w:ascii="宋体" w:hAnsi="宋体" w:cs="宋体"/>
          <w:sz w:val="24"/>
          <w:shd w:val="clear" w:color="auto" w:fill="FFFFFF"/>
        </w:rPr>
        <w:t>8.4  地上、地下设施和周边建筑物的临时保护的其他要求：</w:t>
      </w:r>
      <w:r>
        <w:rPr>
          <w:rFonts w:hint="eastAsia" w:ascii="宋体" w:hAnsi="宋体" w:cs="宋体"/>
          <w:sz w:val="24"/>
          <w:u w:val="single"/>
          <w:shd w:val="clear" w:color="auto" w:fill="FFFFFF"/>
        </w:rPr>
        <w:t xml:space="preserve">          /      </w:t>
      </w:r>
    </w:p>
    <w:p w14:paraId="2712DF00">
      <w:pPr>
        <w:pStyle w:val="250"/>
        <w:wordWrap w:val="0"/>
        <w:spacing w:before="120" w:after="0"/>
        <w:outlineLvl w:val="3"/>
        <w:rPr>
          <w:rFonts w:hint="eastAsia" w:ascii="宋体" w:hAnsi="宋体" w:eastAsia="宋体"/>
          <w:sz w:val="24"/>
          <w:szCs w:val="24"/>
          <w:shd w:val="clear" w:color="auto" w:fill="FFFFFF"/>
        </w:rPr>
      </w:pPr>
      <w:bookmarkStart w:id="1030" w:name="_Toc96505372"/>
      <w:bookmarkStart w:id="1031" w:name="_Toc38037945"/>
      <w:bookmarkStart w:id="1032" w:name="_Toc489280292"/>
      <w:bookmarkStart w:id="1033" w:name="_Toc490331753"/>
      <w:bookmarkStart w:id="1034" w:name="_Toc497298399"/>
      <w:bookmarkStart w:id="1035" w:name="_Toc483581251"/>
      <w:bookmarkStart w:id="1036" w:name="_Toc486580486"/>
      <w:bookmarkStart w:id="1037" w:name="_Toc20747"/>
      <w:bookmarkStart w:id="1038" w:name="_Toc96352168"/>
      <w:bookmarkStart w:id="1039" w:name="_Toc96504983"/>
      <w:bookmarkStart w:id="1040" w:name="_Toc96529994"/>
      <w:bookmarkStart w:id="1041" w:name="_Toc501055697"/>
      <w:r>
        <w:rPr>
          <w:rFonts w:hint="eastAsia" w:ascii="宋体" w:hAnsi="宋体" w:eastAsia="宋体"/>
          <w:sz w:val="24"/>
          <w:szCs w:val="24"/>
          <w:shd w:val="clear" w:color="auto" w:fill="FFFFFF"/>
        </w:rPr>
        <w:t>9.样品和材料代换</w:t>
      </w:r>
      <w:bookmarkEnd w:id="1030"/>
      <w:bookmarkEnd w:id="1031"/>
      <w:bookmarkEnd w:id="1032"/>
      <w:bookmarkEnd w:id="1033"/>
      <w:bookmarkEnd w:id="1034"/>
      <w:bookmarkEnd w:id="1035"/>
      <w:bookmarkEnd w:id="1036"/>
      <w:bookmarkEnd w:id="1037"/>
      <w:bookmarkEnd w:id="1038"/>
      <w:bookmarkEnd w:id="1039"/>
      <w:bookmarkEnd w:id="1040"/>
      <w:bookmarkEnd w:id="1041"/>
    </w:p>
    <w:p w14:paraId="01BDAE06">
      <w:pPr>
        <w:pStyle w:val="251"/>
        <w:wordWrap w:val="0"/>
        <w:spacing w:before="120" w:after="0"/>
        <w:outlineLvl w:val="4"/>
        <w:rPr>
          <w:rFonts w:hint="eastAsia" w:hAnsi="宋体" w:cs="宋体"/>
          <w:szCs w:val="24"/>
          <w:shd w:val="clear" w:color="auto" w:fill="FFFFFF"/>
        </w:rPr>
      </w:pPr>
      <w:bookmarkStart w:id="1042" w:name="_Toc96352169"/>
      <w:bookmarkStart w:id="1043" w:name="_Toc96529995"/>
      <w:bookmarkStart w:id="1044" w:name="_Toc483581252"/>
      <w:bookmarkStart w:id="1045" w:name="_Toc96505373"/>
      <w:bookmarkStart w:id="1046" w:name="_Toc497298400"/>
      <w:bookmarkStart w:id="1047" w:name="_Toc486580487"/>
      <w:bookmarkStart w:id="1048" w:name="_Toc489280293"/>
      <w:bookmarkStart w:id="1049" w:name="_Toc96504984"/>
      <w:bookmarkStart w:id="1050" w:name="_Toc14934"/>
      <w:bookmarkStart w:id="1051" w:name="_Toc501055698"/>
      <w:bookmarkStart w:id="1052" w:name="_Toc38037946"/>
      <w:r>
        <w:rPr>
          <w:rFonts w:hint="eastAsia" w:hAnsi="宋体" w:cs="宋体"/>
          <w:szCs w:val="24"/>
          <w:shd w:val="clear" w:color="auto" w:fill="FFFFFF"/>
        </w:rPr>
        <w:t>9.1  样品</w:t>
      </w:r>
      <w:bookmarkEnd w:id="1042"/>
      <w:bookmarkEnd w:id="1043"/>
      <w:bookmarkEnd w:id="1044"/>
      <w:bookmarkEnd w:id="1045"/>
      <w:bookmarkEnd w:id="1046"/>
      <w:bookmarkEnd w:id="1047"/>
      <w:bookmarkEnd w:id="1048"/>
      <w:bookmarkEnd w:id="1049"/>
      <w:bookmarkEnd w:id="1050"/>
      <w:bookmarkEnd w:id="1051"/>
      <w:bookmarkEnd w:id="1052"/>
    </w:p>
    <w:p w14:paraId="35E341D4">
      <w:pPr>
        <w:wordWrap w:val="0"/>
        <w:spacing w:after="0" w:line="360" w:lineRule="auto"/>
        <w:ind w:firstLine="480" w:firstLineChars="200"/>
        <w:rPr>
          <w:rFonts w:hint="eastAsia" w:ascii="宋体" w:hAnsi="宋体" w:cs="宋体"/>
          <w:sz w:val="24"/>
          <w:u w:val="single"/>
          <w:shd w:val="clear" w:color="auto" w:fill="FFFFFF"/>
        </w:rPr>
      </w:pPr>
      <w:r>
        <w:rPr>
          <w:rFonts w:hint="eastAsia" w:ascii="宋体" w:hAnsi="宋体" w:cs="宋体"/>
          <w:sz w:val="24"/>
          <w:shd w:val="clear" w:color="auto" w:fill="FFFFFF"/>
        </w:rPr>
        <w:t>9.1.1  本工程需要承包人提供样品的材料和工程设备：</w:t>
      </w:r>
      <w:r>
        <w:rPr>
          <w:rFonts w:hint="eastAsia" w:ascii="宋体" w:hAnsi="宋体" w:cs="宋体"/>
          <w:sz w:val="24"/>
          <w:u w:val="single"/>
          <w:shd w:val="clear" w:color="auto" w:fill="FFFFFF"/>
        </w:rPr>
        <w:t xml:space="preserve">          /        </w:t>
      </w:r>
    </w:p>
    <w:p w14:paraId="5166202D">
      <w:pPr>
        <w:pStyle w:val="250"/>
        <w:wordWrap w:val="0"/>
        <w:spacing w:before="120" w:after="0"/>
        <w:outlineLvl w:val="3"/>
        <w:rPr>
          <w:rFonts w:hint="eastAsia" w:ascii="宋体" w:hAnsi="宋体" w:eastAsia="宋体"/>
          <w:sz w:val="24"/>
          <w:szCs w:val="24"/>
          <w:shd w:val="clear" w:color="auto" w:fill="FFFFFF"/>
        </w:rPr>
      </w:pPr>
      <w:bookmarkStart w:id="1053" w:name="_Toc96529996"/>
      <w:bookmarkStart w:id="1054" w:name="_Toc96352170"/>
      <w:bookmarkStart w:id="1055" w:name="_Toc96504985"/>
      <w:bookmarkStart w:id="1056" w:name="_Toc96505374"/>
      <w:bookmarkStart w:id="1057" w:name="_Toc486580488"/>
      <w:bookmarkStart w:id="1058" w:name="_Toc489280294"/>
      <w:bookmarkStart w:id="1059" w:name="_Toc38037947"/>
      <w:bookmarkStart w:id="1060" w:name="_Toc497298401"/>
      <w:bookmarkStart w:id="1061" w:name="_Toc8179"/>
      <w:bookmarkStart w:id="1062" w:name="_Toc483581253"/>
      <w:bookmarkStart w:id="1063" w:name="_Toc501055699"/>
      <w:bookmarkStart w:id="1064" w:name="_Toc490331754"/>
      <w:r>
        <w:rPr>
          <w:rFonts w:hint="eastAsia" w:ascii="宋体" w:hAnsi="宋体" w:eastAsia="宋体"/>
          <w:sz w:val="24"/>
          <w:szCs w:val="24"/>
          <w:shd w:val="clear" w:color="auto" w:fill="FFFFFF"/>
        </w:rPr>
        <w:t>10.特殊技术标准和要求</w:t>
      </w:r>
      <w:bookmarkEnd w:id="1053"/>
      <w:bookmarkEnd w:id="1054"/>
      <w:bookmarkEnd w:id="1055"/>
      <w:bookmarkEnd w:id="1056"/>
      <w:bookmarkEnd w:id="1057"/>
      <w:bookmarkEnd w:id="1058"/>
      <w:bookmarkEnd w:id="1059"/>
      <w:bookmarkEnd w:id="1060"/>
      <w:bookmarkEnd w:id="1061"/>
      <w:bookmarkEnd w:id="1062"/>
      <w:bookmarkEnd w:id="1063"/>
      <w:bookmarkEnd w:id="1064"/>
    </w:p>
    <w:p w14:paraId="330336D1">
      <w:pPr>
        <w:pStyle w:val="251"/>
        <w:wordWrap w:val="0"/>
        <w:spacing w:before="120" w:after="0"/>
        <w:outlineLvl w:val="4"/>
        <w:rPr>
          <w:rFonts w:hint="eastAsia" w:hAnsi="宋体" w:cs="宋体"/>
          <w:szCs w:val="24"/>
          <w:shd w:val="clear" w:color="auto" w:fill="FFFFFF"/>
        </w:rPr>
      </w:pPr>
      <w:bookmarkStart w:id="1065" w:name="_Toc21396"/>
      <w:bookmarkStart w:id="1066" w:name="_Toc96504986"/>
      <w:bookmarkStart w:id="1067" w:name="_Toc38037948"/>
      <w:bookmarkStart w:id="1068" w:name="_Toc489280295"/>
      <w:bookmarkStart w:id="1069" w:name="_Toc501055700"/>
      <w:bookmarkStart w:id="1070" w:name="_Toc483581254"/>
      <w:bookmarkStart w:id="1071" w:name="_Toc96505375"/>
      <w:bookmarkStart w:id="1072" w:name="_Toc497298402"/>
      <w:bookmarkStart w:id="1073" w:name="_Toc96529997"/>
      <w:bookmarkStart w:id="1074" w:name="_Toc96352171"/>
      <w:bookmarkStart w:id="1075" w:name="_Toc486580489"/>
      <w:r>
        <w:rPr>
          <w:rFonts w:hint="eastAsia" w:hAnsi="宋体" w:cs="宋体"/>
          <w:szCs w:val="24"/>
          <w:shd w:val="clear" w:color="auto" w:fill="FFFFFF"/>
        </w:rPr>
        <w:t>10.1  部分材料和工程设备特殊技术要求</w:t>
      </w:r>
      <w:bookmarkEnd w:id="1065"/>
      <w:bookmarkEnd w:id="1066"/>
      <w:bookmarkEnd w:id="1067"/>
      <w:bookmarkEnd w:id="1068"/>
      <w:bookmarkEnd w:id="1069"/>
      <w:bookmarkEnd w:id="1070"/>
      <w:bookmarkEnd w:id="1071"/>
      <w:bookmarkEnd w:id="1072"/>
      <w:bookmarkEnd w:id="1073"/>
      <w:bookmarkEnd w:id="1074"/>
      <w:bookmarkEnd w:id="1075"/>
    </w:p>
    <w:p w14:paraId="0D536BE5">
      <w:pPr>
        <w:wordWrap w:val="0"/>
        <w:spacing w:after="0" w:line="360" w:lineRule="auto"/>
        <w:ind w:firstLine="480" w:firstLineChars="200"/>
        <w:rPr>
          <w:rFonts w:hint="eastAsia" w:ascii="宋体" w:hAnsi="宋体" w:cs="宋体"/>
          <w:sz w:val="24"/>
          <w:shd w:val="clear" w:color="auto" w:fill="FFFFFF"/>
        </w:rPr>
      </w:pPr>
      <w:r>
        <w:rPr>
          <w:rFonts w:hint="eastAsia" w:ascii="宋体" w:hAnsi="宋体" w:cs="宋体"/>
          <w:sz w:val="24"/>
          <w:shd w:val="clear" w:color="auto" w:fill="FFFFFF"/>
        </w:rPr>
        <w:t>10.1.1 承包人自行施工范围内的部分材料和工程设备相关技术要求：</w:t>
      </w:r>
    </w:p>
    <w:tbl>
      <w:tblPr>
        <w:tblStyle w:val="4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3"/>
        <w:gridCol w:w="2773"/>
        <w:gridCol w:w="5517"/>
      </w:tblGrid>
      <w:tr w14:paraId="621DE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blHeader/>
          <w:jc w:val="center"/>
        </w:trPr>
        <w:tc>
          <w:tcPr>
            <w:tcW w:w="481" w:type="pct"/>
            <w:shd w:val="clear" w:color="000000" w:fill="FFFFFF"/>
            <w:noWrap/>
            <w:vAlign w:val="center"/>
          </w:tcPr>
          <w:p w14:paraId="45C54C67">
            <w:pPr>
              <w:pStyle w:val="253"/>
              <w:wordWrap w:val="0"/>
              <w:spacing w:after="0"/>
              <w:ind w:left="0" w:leftChars="-1" w:hanging="2" w:hangingChars="1"/>
              <w:jc w:val="center"/>
              <w:rPr>
                <w:rFonts w:hint="eastAsia" w:ascii="宋体" w:hAnsi="宋体" w:cs="宋体"/>
                <w:sz w:val="24"/>
                <w:szCs w:val="24"/>
              </w:rPr>
            </w:pPr>
            <w:r>
              <w:rPr>
                <w:rFonts w:hint="eastAsia" w:ascii="宋体" w:hAnsi="宋体" w:cs="宋体"/>
                <w:sz w:val="24"/>
                <w:szCs w:val="24"/>
              </w:rPr>
              <w:t>序号</w:t>
            </w:r>
          </w:p>
        </w:tc>
        <w:tc>
          <w:tcPr>
            <w:tcW w:w="1511" w:type="pct"/>
            <w:shd w:val="clear" w:color="000000" w:fill="FFFFFF"/>
            <w:noWrap/>
            <w:vAlign w:val="center"/>
          </w:tcPr>
          <w:p w14:paraId="7C67C0D9">
            <w:pPr>
              <w:pStyle w:val="253"/>
              <w:wordWrap w:val="0"/>
              <w:spacing w:after="0"/>
              <w:ind w:left="0" w:leftChars="-1" w:hanging="2" w:hangingChars="1"/>
              <w:jc w:val="center"/>
              <w:rPr>
                <w:rFonts w:hint="eastAsia" w:ascii="宋体" w:hAnsi="宋体" w:cs="宋体"/>
                <w:sz w:val="24"/>
                <w:szCs w:val="24"/>
              </w:rPr>
            </w:pPr>
            <w:r>
              <w:rPr>
                <w:rFonts w:hint="eastAsia" w:ascii="宋体" w:hAnsi="宋体" w:cs="宋体"/>
                <w:sz w:val="24"/>
                <w:szCs w:val="24"/>
              </w:rPr>
              <w:t>材料/设备名称</w:t>
            </w:r>
          </w:p>
        </w:tc>
        <w:tc>
          <w:tcPr>
            <w:tcW w:w="3006" w:type="pct"/>
            <w:shd w:val="clear" w:color="000000" w:fill="FFFFFF"/>
            <w:noWrap/>
            <w:vAlign w:val="center"/>
          </w:tcPr>
          <w:p w14:paraId="28291427">
            <w:pPr>
              <w:pStyle w:val="253"/>
              <w:wordWrap w:val="0"/>
              <w:spacing w:after="0"/>
              <w:ind w:left="0" w:leftChars="-1" w:hanging="2" w:hangingChars="1"/>
              <w:jc w:val="center"/>
              <w:rPr>
                <w:rFonts w:hint="eastAsia" w:ascii="宋体" w:hAnsi="宋体" w:cs="宋体"/>
                <w:sz w:val="24"/>
                <w:szCs w:val="24"/>
              </w:rPr>
            </w:pPr>
            <w:r>
              <w:rPr>
                <w:rFonts w:hint="eastAsia" w:ascii="宋体" w:hAnsi="宋体" w:cs="宋体"/>
                <w:sz w:val="24"/>
                <w:szCs w:val="24"/>
              </w:rPr>
              <w:t>参考材料/设备品牌</w:t>
            </w:r>
          </w:p>
        </w:tc>
      </w:tr>
      <w:tr w14:paraId="11370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481" w:type="pct"/>
            <w:tcBorders>
              <w:bottom w:val="single" w:color="auto" w:sz="4" w:space="0"/>
            </w:tcBorders>
            <w:shd w:val="clear" w:color="000000" w:fill="FFFFFF"/>
            <w:noWrap/>
            <w:vAlign w:val="center"/>
          </w:tcPr>
          <w:p w14:paraId="19E483A2">
            <w:pPr>
              <w:pStyle w:val="253"/>
              <w:wordWrap w:val="0"/>
              <w:spacing w:after="0"/>
              <w:jc w:val="center"/>
              <w:rPr>
                <w:rFonts w:hint="eastAsia" w:ascii="宋体" w:hAnsi="宋体" w:cs="宋体"/>
                <w:sz w:val="24"/>
                <w:szCs w:val="24"/>
              </w:rPr>
            </w:pPr>
            <w:r>
              <w:rPr>
                <w:rFonts w:hint="eastAsia" w:ascii="宋体" w:hAnsi="宋体" w:cs="宋体"/>
                <w:sz w:val="24"/>
                <w:szCs w:val="24"/>
              </w:rPr>
              <w:t>1</w:t>
            </w:r>
          </w:p>
        </w:tc>
        <w:tc>
          <w:tcPr>
            <w:tcW w:w="1511" w:type="pct"/>
            <w:tcBorders>
              <w:bottom w:val="single" w:color="auto" w:sz="4" w:space="0"/>
            </w:tcBorders>
            <w:shd w:val="clear" w:color="000000" w:fill="FFFFFF"/>
            <w:noWrap/>
            <w:vAlign w:val="center"/>
          </w:tcPr>
          <w:p w14:paraId="22B7E742">
            <w:pPr>
              <w:pStyle w:val="253"/>
              <w:wordWrap w:val="0"/>
              <w:spacing w:after="0"/>
              <w:jc w:val="center"/>
              <w:rPr>
                <w:rFonts w:hint="eastAsia" w:ascii="宋体" w:hAnsi="宋体" w:cs="宋体"/>
                <w:sz w:val="24"/>
                <w:szCs w:val="24"/>
                <w:lang w:eastAsia="zh-CN"/>
              </w:rPr>
            </w:pPr>
            <w:r>
              <w:rPr>
                <w:rFonts w:hint="eastAsia" w:ascii="宋体" w:hAnsi="宋体" w:cs="宋体"/>
                <w:sz w:val="24"/>
                <w:szCs w:val="24"/>
                <w:lang w:eastAsia="zh-CN"/>
              </w:rPr>
              <w:t>/</w:t>
            </w:r>
          </w:p>
        </w:tc>
        <w:tc>
          <w:tcPr>
            <w:tcW w:w="3006" w:type="pct"/>
            <w:tcBorders>
              <w:bottom w:val="single" w:color="auto" w:sz="4" w:space="0"/>
            </w:tcBorders>
            <w:shd w:val="clear" w:color="000000" w:fill="FFFFFF"/>
            <w:noWrap/>
            <w:vAlign w:val="center"/>
          </w:tcPr>
          <w:p w14:paraId="21B0BBBB">
            <w:pPr>
              <w:pStyle w:val="253"/>
              <w:wordWrap w:val="0"/>
              <w:spacing w:after="0"/>
              <w:jc w:val="center"/>
              <w:rPr>
                <w:rFonts w:hint="eastAsia" w:ascii="宋体" w:hAnsi="宋体" w:cs="宋体"/>
                <w:sz w:val="24"/>
                <w:szCs w:val="24"/>
                <w:lang w:eastAsia="zh-CN"/>
              </w:rPr>
            </w:pPr>
            <w:r>
              <w:rPr>
                <w:rFonts w:hint="eastAsia" w:ascii="宋体" w:hAnsi="宋体" w:cs="宋体"/>
                <w:sz w:val="24"/>
                <w:szCs w:val="24"/>
                <w:lang w:eastAsia="zh-CN"/>
              </w:rPr>
              <w:t>/</w:t>
            </w:r>
          </w:p>
        </w:tc>
      </w:tr>
    </w:tbl>
    <w:p w14:paraId="672DCD8F">
      <w:pPr>
        <w:wordWrap w:val="0"/>
        <w:spacing w:after="0" w:line="360" w:lineRule="auto"/>
        <w:ind w:firstLine="480" w:firstLineChars="200"/>
        <w:rPr>
          <w:rFonts w:hint="eastAsia" w:ascii="宋体" w:hAnsi="宋体" w:cs="宋体"/>
          <w:sz w:val="24"/>
          <w:u w:val="single"/>
          <w:shd w:val="clear" w:color="auto" w:fill="FFFFFF"/>
        </w:rPr>
      </w:pPr>
      <w:r>
        <w:rPr>
          <w:rFonts w:hint="eastAsia" w:ascii="宋体" w:hAnsi="宋体" w:cs="宋体"/>
          <w:sz w:val="24"/>
          <w:u w:val="single"/>
          <w:shd w:val="clear" w:color="auto" w:fill="FFFFFF"/>
        </w:rPr>
        <w:t>备注：1、上述品牌只作为投标参考品牌，供应商响应产品品牌不得低于上述标准。</w:t>
      </w:r>
    </w:p>
    <w:p w14:paraId="22364D4C">
      <w:pPr>
        <w:wordWrap w:val="0"/>
        <w:spacing w:after="0" w:line="360" w:lineRule="auto"/>
        <w:ind w:firstLine="480" w:firstLineChars="200"/>
        <w:rPr>
          <w:rFonts w:hint="eastAsia" w:ascii="宋体" w:hAnsi="宋体" w:cs="宋体"/>
          <w:sz w:val="24"/>
          <w:shd w:val="clear" w:color="auto" w:fill="FFFFFF"/>
        </w:rPr>
      </w:pPr>
      <w:r>
        <w:rPr>
          <w:rFonts w:hint="eastAsia" w:ascii="宋体" w:hAnsi="宋体" w:cs="宋体"/>
          <w:sz w:val="24"/>
          <w:shd w:val="clear" w:color="auto" w:fill="FFFFFF"/>
        </w:rPr>
        <w:t>10.1.2  承包人自行施工范围内的材料和工程设备选型允许的偏离：</w:t>
      </w: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2591"/>
        <w:gridCol w:w="1704"/>
        <w:gridCol w:w="1705"/>
        <w:gridCol w:w="1705"/>
      </w:tblGrid>
      <w:tr w14:paraId="27B65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ign w:val="center"/>
          </w:tcPr>
          <w:p w14:paraId="0A83430D">
            <w:pPr>
              <w:wordWrap w:val="0"/>
              <w:spacing w:after="0" w:line="360" w:lineRule="auto"/>
              <w:jc w:val="center"/>
              <w:rPr>
                <w:rFonts w:hint="eastAsia" w:ascii="宋体" w:hAnsi="宋体" w:cs="宋体"/>
                <w:sz w:val="24"/>
                <w:shd w:val="clear" w:color="auto" w:fill="FFFFFF"/>
              </w:rPr>
            </w:pPr>
            <w:r>
              <w:rPr>
                <w:rFonts w:hint="eastAsia" w:ascii="宋体" w:hAnsi="宋体" w:cs="宋体"/>
                <w:sz w:val="24"/>
                <w:shd w:val="clear" w:color="auto" w:fill="FFFFFF"/>
              </w:rPr>
              <w:t>序号</w:t>
            </w:r>
          </w:p>
        </w:tc>
        <w:tc>
          <w:tcPr>
            <w:tcW w:w="2591" w:type="dxa"/>
            <w:noWrap/>
            <w:vAlign w:val="center"/>
          </w:tcPr>
          <w:p w14:paraId="2EE1A20E">
            <w:pPr>
              <w:wordWrap w:val="0"/>
              <w:spacing w:after="0" w:line="360" w:lineRule="auto"/>
              <w:jc w:val="center"/>
              <w:rPr>
                <w:rFonts w:hint="eastAsia" w:ascii="宋体" w:hAnsi="宋体" w:cs="宋体"/>
                <w:sz w:val="24"/>
                <w:shd w:val="clear" w:color="auto" w:fill="FFFFFF"/>
              </w:rPr>
            </w:pPr>
            <w:r>
              <w:rPr>
                <w:rFonts w:hint="eastAsia" w:ascii="宋体" w:hAnsi="宋体" w:cs="宋体"/>
                <w:sz w:val="24"/>
                <w:shd w:val="clear" w:color="auto" w:fill="FFFFFF"/>
              </w:rPr>
              <w:t>材料和工程设备名称</w:t>
            </w:r>
          </w:p>
        </w:tc>
        <w:tc>
          <w:tcPr>
            <w:tcW w:w="1704" w:type="dxa"/>
            <w:noWrap/>
            <w:vAlign w:val="center"/>
          </w:tcPr>
          <w:p w14:paraId="0C12FF73">
            <w:pPr>
              <w:wordWrap w:val="0"/>
              <w:spacing w:after="0" w:line="360" w:lineRule="auto"/>
              <w:jc w:val="center"/>
              <w:rPr>
                <w:rFonts w:hint="eastAsia" w:ascii="宋体" w:hAnsi="宋体" w:cs="宋体"/>
                <w:sz w:val="24"/>
                <w:shd w:val="clear" w:color="auto" w:fill="FFFFFF"/>
              </w:rPr>
            </w:pPr>
            <w:r>
              <w:rPr>
                <w:rFonts w:hint="eastAsia" w:ascii="宋体" w:hAnsi="宋体" w:cs="宋体"/>
                <w:sz w:val="24"/>
                <w:shd w:val="clear" w:color="auto" w:fill="FFFFFF"/>
              </w:rPr>
              <w:t>技术指标</w:t>
            </w:r>
          </w:p>
        </w:tc>
        <w:tc>
          <w:tcPr>
            <w:tcW w:w="1705" w:type="dxa"/>
            <w:noWrap/>
            <w:vAlign w:val="center"/>
          </w:tcPr>
          <w:p w14:paraId="573E1619">
            <w:pPr>
              <w:wordWrap w:val="0"/>
              <w:spacing w:after="0" w:line="360" w:lineRule="auto"/>
              <w:jc w:val="center"/>
              <w:rPr>
                <w:rFonts w:hint="eastAsia" w:ascii="宋体" w:hAnsi="宋体" w:cs="宋体"/>
                <w:sz w:val="24"/>
                <w:shd w:val="clear" w:color="auto" w:fill="FFFFFF"/>
              </w:rPr>
            </w:pPr>
            <w:r>
              <w:rPr>
                <w:rFonts w:hint="eastAsia" w:ascii="宋体" w:hAnsi="宋体" w:cs="宋体"/>
                <w:sz w:val="24"/>
                <w:shd w:val="clear" w:color="auto" w:fill="FFFFFF"/>
              </w:rPr>
              <w:t>允许偏离范围</w:t>
            </w:r>
          </w:p>
        </w:tc>
        <w:tc>
          <w:tcPr>
            <w:tcW w:w="1705" w:type="dxa"/>
            <w:noWrap/>
            <w:vAlign w:val="center"/>
          </w:tcPr>
          <w:p w14:paraId="02164DDE">
            <w:pPr>
              <w:wordWrap w:val="0"/>
              <w:spacing w:after="0" w:line="360" w:lineRule="auto"/>
              <w:jc w:val="center"/>
              <w:rPr>
                <w:rFonts w:hint="eastAsia" w:ascii="宋体" w:hAnsi="宋体" w:cs="宋体"/>
                <w:sz w:val="24"/>
                <w:shd w:val="clear" w:color="auto" w:fill="FFFFFF"/>
              </w:rPr>
            </w:pPr>
            <w:r>
              <w:rPr>
                <w:rFonts w:hint="eastAsia" w:ascii="宋体" w:hAnsi="宋体" w:cs="宋体"/>
                <w:sz w:val="24"/>
                <w:shd w:val="clear" w:color="auto" w:fill="FFFFFF"/>
              </w:rPr>
              <w:t>备  注</w:t>
            </w:r>
          </w:p>
        </w:tc>
      </w:tr>
      <w:tr w14:paraId="0EE94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ign w:val="center"/>
          </w:tcPr>
          <w:p w14:paraId="518DF0A6">
            <w:pPr>
              <w:wordWrap w:val="0"/>
              <w:spacing w:after="0" w:line="360" w:lineRule="auto"/>
              <w:jc w:val="center"/>
              <w:rPr>
                <w:rFonts w:hint="eastAsia" w:ascii="宋体" w:hAnsi="宋体" w:cs="宋体"/>
                <w:sz w:val="24"/>
                <w:shd w:val="clear" w:color="auto" w:fill="FFFFFF"/>
              </w:rPr>
            </w:pPr>
            <w:r>
              <w:rPr>
                <w:rFonts w:hint="eastAsia" w:ascii="宋体" w:hAnsi="宋体" w:cs="宋体"/>
                <w:sz w:val="24"/>
                <w:shd w:val="clear" w:color="auto" w:fill="FFFFFF"/>
              </w:rPr>
              <w:t>1</w:t>
            </w:r>
          </w:p>
        </w:tc>
        <w:tc>
          <w:tcPr>
            <w:tcW w:w="2591" w:type="dxa"/>
            <w:noWrap/>
            <w:vAlign w:val="center"/>
          </w:tcPr>
          <w:p w14:paraId="1F3C4B9B">
            <w:pPr>
              <w:wordWrap w:val="0"/>
              <w:spacing w:after="0" w:line="360" w:lineRule="auto"/>
              <w:jc w:val="center"/>
              <w:rPr>
                <w:rFonts w:hint="eastAsia" w:ascii="宋体" w:hAnsi="宋体" w:cs="宋体"/>
                <w:b/>
                <w:sz w:val="24"/>
                <w:shd w:val="clear" w:color="auto" w:fill="FFFFFF"/>
              </w:rPr>
            </w:pPr>
            <w:r>
              <w:rPr>
                <w:rFonts w:hint="eastAsia" w:ascii="宋体" w:hAnsi="宋体" w:cs="宋体"/>
                <w:b/>
                <w:sz w:val="24"/>
                <w:shd w:val="clear" w:color="auto" w:fill="FFFFFF"/>
              </w:rPr>
              <w:t>/</w:t>
            </w:r>
          </w:p>
        </w:tc>
        <w:tc>
          <w:tcPr>
            <w:tcW w:w="1704" w:type="dxa"/>
            <w:noWrap/>
            <w:vAlign w:val="center"/>
          </w:tcPr>
          <w:p w14:paraId="27E040CF">
            <w:pPr>
              <w:wordWrap w:val="0"/>
              <w:spacing w:after="0" w:line="360" w:lineRule="auto"/>
              <w:jc w:val="center"/>
              <w:rPr>
                <w:rFonts w:hint="eastAsia" w:ascii="宋体" w:hAnsi="宋体" w:cs="宋体"/>
                <w:b/>
                <w:sz w:val="24"/>
                <w:shd w:val="clear" w:color="auto" w:fill="FFFFFF"/>
              </w:rPr>
            </w:pPr>
            <w:r>
              <w:rPr>
                <w:rFonts w:hint="eastAsia" w:ascii="宋体" w:hAnsi="宋体" w:cs="宋体"/>
                <w:b/>
                <w:sz w:val="24"/>
                <w:shd w:val="clear" w:color="auto" w:fill="FFFFFF"/>
              </w:rPr>
              <w:t>/</w:t>
            </w:r>
          </w:p>
        </w:tc>
        <w:tc>
          <w:tcPr>
            <w:tcW w:w="1705" w:type="dxa"/>
            <w:noWrap/>
            <w:vAlign w:val="center"/>
          </w:tcPr>
          <w:p w14:paraId="555568CE">
            <w:pPr>
              <w:wordWrap w:val="0"/>
              <w:spacing w:after="0" w:line="360" w:lineRule="auto"/>
              <w:jc w:val="center"/>
              <w:rPr>
                <w:rFonts w:hint="eastAsia" w:ascii="宋体" w:hAnsi="宋体" w:cs="宋体"/>
                <w:b/>
                <w:sz w:val="24"/>
                <w:shd w:val="clear" w:color="auto" w:fill="FFFFFF"/>
              </w:rPr>
            </w:pPr>
            <w:r>
              <w:rPr>
                <w:rFonts w:hint="eastAsia" w:ascii="宋体" w:hAnsi="宋体" w:cs="宋体"/>
                <w:b/>
                <w:sz w:val="24"/>
                <w:shd w:val="clear" w:color="auto" w:fill="FFFFFF"/>
              </w:rPr>
              <w:t>/</w:t>
            </w:r>
          </w:p>
        </w:tc>
        <w:tc>
          <w:tcPr>
            <w:tcW w:w="1705" w:type="dxa"/>
            <w:noWrap/>
            <w:vAlign w:val="center"/>
          </w:tcPr>
          <w:p w14:paraId="30395B7E">
            <w:pPr>
              <w:wordWrap w:val="0"/>
              <w:spacing w:after="0" w:line="360" w:lineRule="auto"/>
              <w:jc w:val="center"/>
              <w:rPr>
                <w:rFonts w:hint="eastAsia" w:ascii="宋体" w:hAnsi="宋体" w:cs="宋体"/>
                <w:b/>
                <w:sz w:val="24"/>
                <w:shd w:val="clear" w:color="auto" w:fill="FFFFFF"/>
              </w:rPr>
            </w:pPr>
            <w:r>
              <w:rPr>
                <w:rFonts w:hint="eastAsia" w:ascii="宋体" w:hAnsi="宋体" w:cs="宋体"/>
                <w:b/>
                <w:sz w:val="24"/>
                <w:shd w:val="clear" w:color="auto" w:fill="FFFFFF"/>
              </w:rPr>
              <w:t>/</w:t>
            </w:r>
          </w:p>
        </w:tc>
      </w:tr>
      <w:tr w14:paraId="2614D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ign w:val="center"/>
          </w:tcPr>
          <w:p w14:paraId="3FC3C0B6">
            <w:pPr>
              <w:wordWrap w:val="0"/>
              <w:spacing w:after="0" w:line="360" w:lineRule="auto"/>
              <w:jc w:val="center"/>
              <w:rPr>
                <w:rFonts w:hint="eastAsia" w:ascii="宋体" w:hAnsi="宋体" w:cs="宋体"/>
                <w:sz w:val="24"/>
                <w:shd w:val="clear" w:color="auto" w:fill="FFFFFF"/>
              </w:rPr>
            </w:pPr>
            <w:r>
              <w:rPr>
                <w:rFonts w:hint="eastAsia" w:ascii="宋体" w:hAnsi="宋体" w:cs="宋体"/>
                <w:sz w:val="24"/>
                <w:shd w:val="clear" w:color="auto" w:fill="FFFFFF"/>
              </w:rPr>
              <w:t>2</w:t>
            </w:r>
          </w:p>
        </w:tc>
        <w:tc>
          <w:tcPr>
            <w:tcW w:w="2591" w:type="dxa"/>
            <w:noWrap/>
            <w:vAlign w:val="center"/>
          </w:tcPr>
          <w:p w14:paraId="78DD8B32">
            <w:pPr>
              <w:wordWrap w:val="0"/>
              <w:spacing w:after="0" w:line="360" w:lineRule="auto"/>
              <w:rPr>
                <w:rFonts w:hint="eastAsia" w:ascii="宋体" w:hAnsi="宋体" w:cs="宋体"/>
                <w:b/>
                <w:sz w:val="24"/>
                <w:shd w:val="clear" w:color="auto" w:fill="FFFFFF"/>
              </w:rPr>
            </w:pPr>
          </w:p>
        </w:tc>
        <w:tc>
          <w:tcPr>
            <w:tcW w:w="1704" w:type="dxa"/>
            <w:noWrap/>
            <w:vAlign w:val="center"/>
          </w:tcPr>
          <w:p w14:paraId="389EB2EF">
            <w:pPr>
              <w:wordWrap w:val="0"/>
              <w:spacing w:after="0" w:line="360" w:lineRule="auto"/>
              <w:rPr>
                <w:rFonts w:hint="eastAsia" w:ascii="宋体" w:hAnsi="宋体" w:cs="宋体"/>
                <w:b/>
                <w:sz w:val="24"/>
                <w:shd w:val="clear" w:color="auto" w:fill="FFFFFF"/>
              </w:rPr>
            </w:pPr>
          </w:p>
        </w:tc>
        <w:tc>
          <w:tcPr>
            <w:tcW w:w="1705" w:type="dxa"/>
            <w:noWrap/>
            <w:vAlign w:val="center"/>
          </w:tcPr>
          <w:p w14:paraId="2A713C0A">
            <w:pPr>
              <w:wordWrap w:val="0"/>
              <w:spacing w:after="0" w:line="360" w:lineRule="auto"/>
              <w:rPr>
                <w:rFonts w:hint="eastAsia" w:ascii="宋体" w:hAnsi="宋体" w:cs="宋体"/>
                <w:b/>
                <w:sz w:val="24"/>
                <w:shd w:val="clear" w:color="auto" w:fill="FFFFFF"/>
              </w:rPr>
            </w:pPr>
          </w:p>
        </w:tc>
        <w:tc>
          <w:tcPr>
            <w:tcW w:w="1705" w:type="dxa"/>
            <w:noWrap/>
            <w:vAlign w:val="center"/>
          </w:tcPr>
          <w:p w14:paraId="1713A9ED">
            <w:pPr>
              <w:wordWrap w:val="0"/>
              <w:spacing w:after="0" w:line="360" w:lineRule="auto"/>
              <w:rPr>
                <w:rFonts w:hint="eastAsia" w:ascii="宋体" w:hAnsi="宋体" w:cs="宋体"/>
                <w:b/>
                <w:sz w:val="24"/>
                <w:shd w:val="clear" w:color="auto" w:fill="FFFFFF"/>
              </w:rPr>
            </w:pPr>
          </w:p>
        </w:tc>
      </w:tr>
      <w:tr w14:paraId="740A9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ign w:val="center"/>
          </w:tcPr>
          <w:p w14:paraId="2AC42EE4">
            <w:pPr>
              <w:wordWrap w:val="0"/>
              <w:spacing w:after="0" w:line="360" w:lineRule="auto"/>
              <w:jc w:val="center"/>
              <w:rPr>
                <w:rFonts w:hint="eastAsia" w:ascii="宋体" w:hAnsi="宋体" w:cs="宋体"/>
                <w:sz w:val="24"/>
                <w:shd w:val="clear" w:color="auto" w:fill="FFFFFF"/>
              </w:rPr>
            </w:pPr>
            <w:r>
              <w:rPr>
                <w:rFonts w:hint="eastAsia" w:ascii="宋体" w:hAnsi="宋体" w:cs="宋体"/>
                <w:sz w:val="24"/>
                <w:shd w:val="clear" w:color="auto" w:fill="FFFFFF"/>
              </w:rPr>
              <w:t>……</w:t>
            </w:r>
          </w:p>
        </w:tc>
        <w:tc>
          <w:tcPr>
            <w:tcW w:w="2591" w:type="dxa"/>
            <w:noWrap/>
            <w:vAlign w:val="center"/>
          </w:tcPr>
          <w:p w14:paraId="3504AFF5">
            <w:pPr>
              <w:wordWrap w:val="0"/>
              <w:spacing w:after="0" w:line="360" w:lineRule="auto"/>
              <w:rPr>
                <w:rFonts w:hint="eastAsia" w:ascii="宋体" w:hAnsi="宋体" w:cs="宋体"/>
                <w:b/>
                <w:sz w:val="24"/>
                <w:shd w:val="clear" w:color="auto" w:fill="FFFFFF"/>
              </w:rPr>
            </w:pPr>
          </w:p>
        </w:tc>
        <w:tc>
          <w:tcPr>
            <w:tcW w:w="1704" w:type="dxa"/>
            <w:noWrap/>
            <w:vAlign w:val="center"/>
          </w:tcPr>
          <w:p w14:paraId="7563F6F1">
            <w:pPr>
              <w:wordWrap w:val="0"/>
              <w:spacing w:after="0" w:line="360" w:lineRule="auto"/>
              <w:rPr>
                <w:rFonts w:hint="eastAsia" w:ascii="宋体" w:hAnsi="宋体" w:cs="宋体"/>
                <w:b/>
                <w:sz w:val="24"/>
                <w:shd w:val="clear" w:color="auto" w:fill="FFFFFF"/>
              </w:rPr>
            </w:pPr>
          </w:p>
        </w:tc>
        <w:tc>
          <w:tcPr>
            <w:tcW w:w="1705" w:type="dxa"/>
            <w:noWrap/>
            <w:vAlign w:val="center"/>
          </w:tcPr>
          <w:p w14:paraId="30865F1F">
            <w:pPr>
              <w:wordWrap w:val="0"/>
              <w:spacing w:after="0" w:line="360" w:lineRule="auto"/>
              <w:rPr>
                <w:rFonts w:hint="eastAsia" w:ascii="宋体" w:hAnsi="宋体" w:cs="宋体"/>
                <w:b/>
                <w:sz w:val="24"/>
                <w:shd w:val="clear" w:color="auto" w:fill="FFFFFF"/>
              </w:rPr>
            </w:pPr>
          </w:p>
        </w:tc>
        <w:tc>
          <w:tcPr>
            <w:tcW w:w="1705" w:type="dxa"/>
            <w:noWrap/>
            <w:vAlign w:val="center"/>
          </w:tcPr>
          <w:p w14:paraId="0563570C">
            <w:pPr>
              <w:wordWrap w:val="0"/>
              <w:spacing w:after="0" w:line="360" w:lineRule="auto"/>
              <w:rPr>
                <w:rFonts w:hint="eastAsia" w:ascii="宋体" w:hAnsi="宋体" w:cs="宋体"/>
                <w:b/>
                <w:sz w:val="24"/>
                <w:shd w:val="clear" w:color="auto" w:fill="FFFFFF"/>
              </w:rPr>
            </w:pPr>
          </w:p>
        </w:tc>
      </w:tr>
      <w:tr w14:paraId="49C01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ign w:val="center"/>
          </w:tcPr>
          <w:p w14:paraId="7062D224">
            <w:pPr>
              <w:wordWrap w:val="0"/>
              <w:spacing w:after="0" w:line="360" w:lineRule="auto"/>
              <w:jc w:val="center"/>
              <w:rPr>
                <w:rFonts w:hint="eastAsia" w:ascii="宋体" w:hAnsi="宋体" w:cs="宋体"/>
                <w:sz w:val="24"/>
                <w:shd w:val="clear" w:color="auto" w:fill="FFFFFF"/>
              </w:rPr>
            </w:pPr>
          </w:p>
        </w:tc>
        <w:tc>
          <w:tcPr>
            <w:tcW w:w="2591" w:type="dxa"/>
            <w:noWrap/>
            <w:vAlign w:val="center"/>
          </w:tcPr>
          <w:p w14:paraId="380EE947">
            <w:pPr>
              <w:wordWrap w:val="0"/>
              <w:spacing w:after="0" w:line="360" w:lineRule="auto"/>
              <w:rPr>
                <w:rFonts w:hint="eastAsia" w:ascii="宋体" w:hAnsi="宋体" w:cs="宋体"/>
                <w:b/>
                <w:sz w:val="24"/>
                <w:shd w:val="clear" w:color="auto" w:fill="FFFFFF"/>
              </w:rPr>
            </w:pPr>
          </w:p>
        </w:tc>
        <w:tc>
          <w:tcPr>
            <w:tcW w:w="1704" w:type="dxa"/>
            <w:noWrap/>
            <w:vAlign w:val="center"/>
          </w:tcPr>
          <w:p w14:paraId="08087225">
            <w:pPr>
              <w:wordWrap w:val="0"/>
              <w:spacing w:after="0" w:line="360" w:lineRule="auto"/>
              <w:rPr>
                <w:rFonts w:hint="eastAsia" w:ascii="宋体" w:hAnsi="宋体" w:cs="宋体"/>
                <w:b/>
                <w:sz w:val="24"/>
                <w:shd w:val="clear" w:color="auto" w:fill="FFFFFF"/>
              </w:rPr>
            </w:pPr>
          </w:p>
        </w:tc>
        <w:tc>
          <w:tcPr>
            <w:tcW w:w="1705" w:type="dxa"/>
            <w:noWrap/>
            <w:vAlign w:val="center"/>
          </w:tcPr>
          <w:p w14:paraId="6866D941">
            <w:pPr>
              <w:wordWrap w:val="0"/>
              <w:spacing w:after="0" w:line="360" w:lineRule="auto"/>
              <w:rPr>
                <w:rFonts w:hint="eastAsia" w:ascii="宋体" w:hAnsi="宋体" w:cs="宋体"/>
                <w:b/>
                <w:sz w:val="24"/>
                <w:shd w:val="clear" w:color="auto" w:fill="FFFFFF"/>
              </w:rPr>
            </w:pPr>
          </w:p>
        </w:tc>
        <w:tc>
          <w:tcPr>
            <w:tcW w:w="1705" w:type="dxa"/>
            <w:noWrap/>
            <w:vAlign w:val="center"/>
          </w:tcPr>
          <w:p w14:paraId="2558AE9D">
            <w:pPr>
              <w:wordWrap w:val="0"/>
              <w:spacing w:after="0" w:line="360" w:lineRule="auto"/>
              <w:rPr>
                <w:rFonts w:hint="eastAsia" w:ascii="宋体" w:hAnsi="宋体" w:cs="宋体"/>
                <w:b/>
                <w:sz w:val="24"/>
                <w:shd w:val="clear" w:color="auto" w:fill="FFFFFF"/>
              </w:rPr>
            </w:pPr>
          </w:p>
        </w:tc>
      </w:tr>
    </w:tbl>
    <w:p w14:paraId="0243A353">
      <w:pPr>
        <w:wordWrap w:val="0"/>
        <w:spacing w:after="0" w:line="360" w:lineRule="auto"/>
        <w:ind w:firstLine="480" w:firstLineChars="200"/>
        <w:rPr>
          <w:rFonts w:hint="eastAsia" w:ascii="宋体" w:hAnsi="宋体" w:cs="宋体"/>
          <w:sz w:val="24"/>
          <w:u w:val="single"/>
          <w:shd w:val="clear" w:color="auto" w:fill="FFFFFF"/>
        </w:rPr>
      </w:pPr>
      <w:r>
        <w:rPr>
          <w:rFonts w:hint="eastAsia" w:ascii="宋体" w:hAnsi="宋体" w:cs="宋体"/>
          <w:sz w:val="24"/>
          <w:shd w:val="clear" w:color="auto" w:fill="FFFFFF"/>
        </w:rPr>
        <w:t>10.1.3  本工程施工现场所用混凝土或砂浆的供应方式为</w:t>
      </w:r>
      <w:r>
        <w:rPr>
          <w:rFonts w:hint="eastAsia" w:ascii="宋体" w:hAnsi="宋体" w:cs="宋体"/>
          <w:color w:val="000000"/>
          <w:sz w:val="24"/>
          <w:u w:val="single"/>
        </w:rPr>
        <w:t>预拌混凝土、预拌砂浆</w:t>
      </w:r>
    </w:p>
    <w:p w14:paraId="20F3042A">
      <w:pPr>
        <w:pStyle w:val="251"/>
        <w:wordWrap w:val="0"/>
        <w:spacing w:before="120" w:after="0"/>
        <w:outlineLvl w:val="4"/>
        <w:rPr>
          <w:rFonts w:hint="eastAsia" w:hAnsi="宋体" w:cs="宋体"/>
          <w:szCs w:val="24"/>
          <w:shd w:val="clear" w:color="auto" w:fill="FFFFFF"/>
        </w:rPr>
      </w:pPr>
      <w:bookmarkStart w:id="1076" w:name="_Toc28793"/>
      <w:bookmarkStart w:id="1077" w:name="_Toc96505376"/>
      <w:bookmarkStart w:id="1078" w:name="_Toc497298403"/>
      <w:bookmarkStart w:id="1079" w:name="_Toc96352172"/>
      <w:bookmarkStart w:id="1080" w:name="_Toc38037949"/>
      <w:bookmarkStart w:id="1081" w:name="_Toc501055701"/>
      <w:bookmarkStart w:id="1082" w:name="_Toc96504987"/>
      <w:bookmarkStart w:id="1083" w:name="_Toc96529998"/>
      <w:bookmarkStart w:id="1084" w:name="_Toc489280296"/>
      <w:bookmarkStart w:id="1085" w:name="_Toc486580490"/>
      <w:bookmarkStart w:id="1086" w:name="_Toc483581255"/>
      <w:r>
        <w:rPr>
          <w:rFonts w:hint="eastAsia" w:hAnsi="宋体" w:cs="宋体"/>
          <w:szCs w:val="24"/>
          <w:shd w:val="clear" w:color="auto" w:fill="FFFFFF"/>
        </w:rPr>
        <w:t>10.2  进口材料和工程设备</w:t>
      </w:r>
      <w:bookmarkEnd w:id="1076"/>
      <w:bookmarkEnd w:id="1077"/>
      <w:bookmarkEnd w:id="1078"/>
      <w:bookmarkEnd w:id="1079"/>
      <w:bookmarkEnd w:id="1080"/>
      <w:bookmarkEnd w:id="1081"/>
      <w:bookmarkEnd w:id="1082"/>
      <w:bookmarkEnd w:id="1083"/>
      <w:bookmarkEnd w:id="1084"/>
      <w:bookmarkEnd w:id="1085"/>
      <w:bookmarkEnd w:id="1086"/>
    </w:p>
    <w:p w14:paraId="1683DFDA">
      <w:pPr>
        <w:wordWrap w:val="0"/>
        <w:spacing w:after="0" w:line="360" w:lineRule="auto"/>
        <w:rPr>
          <w:rFonts w:hint="eastAsia" w:ascii="宋体" w:hAnsi="宋体" w:cs="宋体"/>
          <w:sz w:val="24"/>
          <w:shd w:val="clear" w:color="auto" w:fill="FFFFFF"/>
        </w:rPr>
      </w:pPr>
      <w:r>
        <w:rPr>
          <w:rFonts w:hint="eastAsia" w:ascii="宋体" w:hAnsi="宋体" w:cs="宋体"/>
          <w:sz w:val="24"/>
          <w:shd w:val="clear" w:color="auto" w:fill="FFFFFF"/>
        </w:rPr>
        <w:t>10.2.1  本工程需要进口的材料和工程设备：</w:t>
      </w:r>
      <w:r>
        <w:rPr>
          <w:rFonts w:hint="eastAsia" w:ascii="宋体" w:hAnsi="宋体" w:cs="宋体"/>
          <w:sz w:val="24"/>
          <w:u w:val="single"/>
          <w:shd w:val="clear" w:color="auto" w:fill="FFFFFF"/>
        </w:rPr>
        <w:t xml:space="preserve">           /                       </w:t>
      </w:r>
    </w:p>
    <w:p w14:paraId="7AAF91EB">
      <w:pPr>
        <w:wordWrap w:val="0"/>
        <w:spacing w:after="0" w:line="360" w:lineRule="auto"/>
        <w:rPr>
          <w:rFonts w:hint="eastAsia" w:ascii="宋体" w:hAnsi="宋体" w:cs="宋体"/>
          <w:sz w:val="24"/>
          <w:shd w:val="clear" w:color="auto" w:fill="FFFFFF"/>
        </w:rPr>
      </w:pPr>
      <w:r>
        <w:rPr>
          <w:rFonts w:hint="eastAsia" w:ascii="宋体" w:hAnsi="宋体" w:cs="宋体"/>
          <w:sz w:val="24"/>
          <w:shd w:val="clear" w:color="auto" w:fill="FFFFFF"/>
        </w:rPr>
        <w:t>10.2.2  上述进口材料和工程设备采购、进口、报关、清关、商检、境内运输（包括保险）、保管的责任以及费用承担方式划分：</w:t>
      </w:r>
      <w:r>
        <w:rPr>
          <w:rFonts w:hint="eastAsia" w:ascii="宋体" w:hAnsi="宋体" w:cs="宋体"/>
          <w:sz w:val="24"/>
          <w:u w:val="single"/>
          <w:shd w:val="clear" w:color="auto" w:fill="FFFFFF"/>
        </w:rPr>
        <w:t xml:space="preserve">              /                    </w:t>
      </w:r>
    </w:p>
    <w:p w14:paraId="7577F5E4">
      <w:pPr>
        <w:pStyle w:val="251"/>
        <w:wordWrap w:val="0"/>
        <w:spacing w:before="120" w:after="0"/>
        <w:outlineLvl w:val="4"/>
        <w:rPr>
          <w:rFonts w:hint="eastAsia" w:hAnsi="宋体" w:cs="宋体"/>
          <w:szCs w:val="24"/>
          <w:shd w:val="clear" w:color="auto" w:fill="FFFFFF"/>
        </w:rPr>
      </w:pPr>
      <w:bookmarkStart w:id="1087" w:name="_Toc7975"/>
      <w:bookmarkStart w:id="1088" w:name="_Toc501055702"/>
      <w:bookmarkStart w:id="1089" w:name="_Toc497298404"/>
      <w:bookmarkStart w:id="1090" w:name="_Toc486580491"/>
      <w:bookmarkStart w:id="1091" w:name="_Toc96504988"/>
      <w:bookmarkStart w:id="1092" w:name="_Toc96505377"/>
      <w:bookmarkStart w:id="1093" w:name="_Toc96529999"/>
      <w:bookmarkStart w:id="1094" w:name="_Toc38037950"/>
      <w:bookmarkStart w:id="1095" w:name="_Toc96352173"/>
      <w:bookmarkStart w:id="1096" w:name="_Toc483581256"/>
      <w:bookmarkStart w:id="1097" w:name="_Toc489280297"/>
      <w:r>
        <w:rPr>
          <w:rFonts w:hint="eastAsia" w:hAnsi="宋体" w:cs="宋体"/>
          <w:szCs w:val="24"/>
          <w:shd w:val="clear" w:color="auto" w:fill="FFFFFF"/>
        </w:rPr>
        <w:t>10.3  新技术、新工艺和新材料</w:t>
      </w:r>
      <w:bookmarkEnd w:id="1087"/>
      <w:bookmarkEnd w:id="1088"/>
      <w:bookmarkEnd w:id="1089"/>
      <w:bookmarkEnd w:id="1090"/>
      <w:bookmarkEnd w:id="1091"/>
      <w:bookmarkEnd w:id="1092"/>
      <w:bookmarkEnd w:id="1093"/>
      <w:bookmarkEnd w:id="1094"/>
      <w:bookmarkEnd w:id="1095"/>
      <w:bookmarkEnd w:id="1096"/>
      <w:bookmarkEnd w:id="1097"/>
    </w:p>
    <w:p w14:paraId="00C79EFB">
      <w:pPr>
        <w:wordWrap w:val="0"/>
        <w:spacing w:after="0" w:line="360" w:lineRule="auto"/>
        <w:ind w:firstLine="480" w:firstLineChars="200"/>
        <w:outlineLvl w:val="5"/>
        <w:rPr>
          <w:rFonts w:hint="eastAsia" w:ascii="宋体" w:hAnsi="宋体" w:cs="宋体"/>
          <w:sz w:val="24"/>
          <w:u w:val="single"/>
          <w:shd w:val="clear" w:color="auto" w:fill="FFFFFF"/>
        </w:rPr>
      </w:pPr>
      <w:r>
        <w:rPr>
          <w:rFonts w:hint="eastAsia" w:ascii="宋体" w:hAnsi="宋体" w:cs="宋体"/>
          <w:sz w:val="24"/>
          <w:shd w:val="clear" w:color="auto" w:fill="FFFFFF"/>
        </w:rPr>
        <w:t>本工程涉及的新技术、新工艺和新材料及相应使用和操作说明：</w:t>
      </w:r>
      <w:r>
        <w:rPr>
          <w:rFonts w:hint="eastAsia" w:ascii="宋体" w:hAnsi="宋体" w:cs="宋体"/>
          <w:sz w:val="24"/>
          <w:u w:val="single"/>
          <w:shd w:val="clear" w:color="auto" w:fill="FFFFFF"/>
        </w:rPr>
        <w:t xml:space="preserve">     /         </w:t>
      </w:r>
    </w:p>
    <w:p w14:paraId="7EB7B610">
      <w:pPr>
        <w:pStyle w:val="251"/>
        <w:wordWrap w:val="0"/>
        <w:spacing w:before="120" w:after="0"/>
        <w:outlineLvl w:val="4"/>
        <w:rPr>
          <w:rFonts w:hint="eastAsia" w:hAnsi="宋体" w:cs="宋体"/>
          <w:szCs w:val="24"/>
          <w:shd w:val="clear" w:color="auto" w:fill="FFFFFF"/>
        </w:rPr>
      </w:pPr>
      <w:bookmarkStart w:id="1098" w:name="_Toc501055703"/>
      <w:bookmarkStart w:id="1099" w:name="_Toc497298405"/>
      <w:bookmarkStart w:id="1100" w:name="_Toc96504989"/>
      <w:bookmarkStart w:id="1101" w:name="_Toc489280298"/>
      <w:bookmarkStart w:id="1102" w:name="_Toc96352174"/>
      <w:bookmarkStart w:id="1103" w:name="_Toc486580492"/>
      <w:bookmarkStart w:id="1104" w:name="_Toc483581257"/>
      <w:bookmarkStart w:id="1105" w:name="_Toc38037951"/>
      <w:bookmarkStart w:id="1106" w:name="_Toc25564"/>
      <w:bookmarkStart w:id="1107" w:name="_Toc96505378"/>
      <w:bookmarkStart w:id="1108" w:name="_Toc96530000"/>
      <w:r>
        <w:rPr>
          <w:rFonts w:hint="eastAsia" w:hAnsi="宋体" w:cs="宋体"/>
          <w:szCs w:val="24"/>
          <w:shd w:val="clear" w:color="auto" w:fill="FFFFFF"/>
        </w:rPr>
        <w:t>10.4  其他特殊技术要求</w:t>
      </w:r>
      <w:bookmarkEnd w:id="1098"/>
      <w:bookmarkEnd w:id="1099"/>
      <w:bookmarkEnd w:id="1100"/>
      <w:bookmarkEnd w:id="1101"/>
      <w:bookmarkEnd w:id="1102"/>
      <w:bookmarkEnd w:id="1103"/>
      <w:bookmarkEnd w:id="1104"/>
      <w:bookmarkEnd w:id="1105"/>
      <w:bookmarkEnd w:id="1106"/>
      <w:bookmarkEnd w:id="1107"/>
      <w:bookmarkEnd w:id="1108"/>
    </w:p>
    <w:p w14:paraId="2B69CE56">
      <w:pPr>
        <w:wordWrap w:val="0"/>
        <w:spacing w:after="0" w:line="360" w:lineRule="auto"/>
        <w:ind w:firstLine="480" w:firstLineChars="200"/>
        <w:outlineLvl w:val="5"/>
        <w:rPr>
          <w:rFonts w:hint="eastAsia" w:ascii="宋体" w:hAnsi="宋体" w:cs="宋体"/>
          <w:sz w:val="24"/>
          <w:u w:val="single"/>
          <w:shd w:val="clear" w:color="auto" w:fill="FFFFFF"/>
        </w:rPr>
      </w:pPr>
      <w:r>
        <w:rPr>
          <w:rFonts w:hint="eastAsia" w:ascii="宋体" w:hAnsi="宋体" w:cs="宋体"/>
          <w:sz w:val="24"/>
          <w:shd w:val="clear" w:color="auto" w:fill="FFFFFF"/>
        </w:rPr>
        <w:t>本工程的特殊技术要求：</w:t>
      </w:r>
      <w:r>
        <w:rPr>
          <w:rFonts w:hint="eastAsia" w:ascii="宋体" w:hAnsi="宋体" w:cs="宋体"/>
          <w:sz w:val="24"/>
          <w:u w:val="single"/>
          <w:shd w:val="clear" w:color="auto" w:fill="FFFFFF"/>
        </w:rPr>
        <w:t xml:space="preserve">                    /                            </w:t>
      </w:r>
    </w:p>
    <w:p w14:paraId="4BA63979">
      <w:pPr>
        <w:pStyle w:val="250"/>
        <w:wordWrap w:val="0"/>
        <w:spacing w:before="120" w:after="0"/>
        <w:outlineLvl w:val="3"/>
        <w:rPr>
          <w:rFonts w:hint="eastAsia" w:ascii="宋体" w:hAnsi="宋体" w:eastAsia="宋体"/>
          <w:sz w:val="24"/>
          <w:szCs w:val="24"/>
          <w:shd w:val="clear" w:color="auto" w:fill="FFFFFF"/>
        </w:rPr>
      </w:pPr>
      <w:bookmarkStart w:id="1109" w:name="_Toc19761"/>
      <w:bookmarkStart w:id="1110" w:name="_Toc96352175"/>
      <w:bookmarkStart w:id="1111" w:name="_Toc486580493"/>
      <w:bookmarkStart w:id="1112" w:name="_Toc490331755"/>
      <w:bookmarkStart w:id="1113" w:name="_Toc96530001"/>
      <w:bookmarkStart w:id="1114" w:name="_Toc497298406"/>
      <w:bookmarkStart w:id="1115" w:name="_Toc96505379"/>
      <w:bookmarkStart w:id="1116" w:name="_Toc489280299"/>
      <w:bookmarkStart w:id="1117" w:name="_Toc38037952"/>
      <w:bookmarkStart w:id="1118" w:name="_Toc96504990"/>
      <w:bookmarkStart w:id="1119" w:name="_Toc501055704"/>
      <w:bookmarkStart w:id="1120" w:name="_Toc483581258"/>
      <w:r>
        <w:rPr>
          <w:rFonts w:hint="eastAsia" w:ascii="宋体" w:hAnsi="宋体" w:eastAsia="宋体"/>
          <w:sz w:val="24"/>
          <w:szCs w:val="24"/>
          <w:shd w:val="clear" w:color="auto" w:fill="FFFFFF"/>
        </w:rPr>
        <w:t>11.进度报告和进度例会</w:t>
      </w:r>
      <w:bookmarkEnd w:id="1109"/>
      <w:bookmarkEnd w:id="1110"/>
      <w:bookmarkEnd w:id="1111"/>
      <w:bookmarkEnd w:id="1112"/>
      <w:bookmarkEnd w:id="1113"/>
      <w:bookmarkEnd w:id="1114"/>
      <w:bookmarkEnd w:id="1115"/>
      <w:bookmarkEnd w:id="1116"/>
      <w:bookmarkEnd w:id="1117"/>
      <w:bookmarkEnd w:id="1118"/>
      <w:bookmarkEnd w:id="1119"/>
      <w:bookmarkEnd w:id="1120"/>
    </w:p>
    <w:p w14:paraId="5B8B05F7">
      <w:pPr>
        <w:pStyle w:val="251"/>
        <w:wordWrap w:val="0"/>
        <w:spacing w:before="120" w:after="0"/>
        <w:outlineLvl w:val="4"/>
        <w:rPr>
          <w:rFonts w:hint="eastAsia" w:hAnsi="宋体" w:cs="宋体"/>
          <w:szCs w:val="24"/>
          <w:shd w:val="clear" w:color="auto" w:fill="FFFFFF"/>
        </w:rPr>
      </w:pPr>
      <w:bookmarkStart w:id="1121" w:name="_Toc497298407"/>
      <w:bookmarkStart w:id="1122" w:name="_Toc7745"/>
      <w:bookmarkStart w:id="1123" w:name="_Toc38037953"/>
      <w:bookmarkStart w:id="1124" w:name="_Toc96504991"/>
      <w:bookmarkStart w:id="1125" w:name="_Toc489280300"/>
      <w:bookmarkStart w:id="1126" w:name="_Toc96530002"/>
      <w:bookmarkStart w:id="1127" w:name="_Toc486580494"/>
      <w:bookmarkStart w:id="1128" w:name="_Toc483581259"/>
      <w:bookmarkStart w:id="1129" w:name="_Toc96352176"/>
      <w:bookmarkStart w:id="1130" w:name="_Toc501055705"/>
      <w:bookmarkStart w:id="1131" w:name="_Toc96505380"/>
      <w:r>
        <w:rPr>
          <w:rFonts w:hint="eastAsia" w:hAnsi="宋体" w:cs="宋体"/>
          <w:szCs w:val="24"/>
          <w:shd w:val="clear" w:color="auto" w:fill="FFFFFF"/>
        </w:rPr>
        <w:t>11.1  进度报告</w:t>
      </w:r>
      <w:bookmarkEnd w:id="1121"/>
      <w:bookmarkEnd w:id="1122"/>
      <w:bookmarkEnd w:id="1123"/>
      <w:bookmarkEnd w:id="1124"/>
      <w:bookmarkEnd w:id="1125"/>
      <w:bookmarkEnd w:id="1126"/>
      <w:bookmarkEnd w:id="1127"/>
      <w:bookmarkEnd w:id="1128"/>
      <w:bookmarkEnd w:id="1129"/>
      <w:bookmarkEnd w:id="1130"/>
      <w:bookmarkEnd w:id="1131"/>
    </w:p>
    <w:p w14:paraId="130E3C4E">
      <w:pPr>
        <w:wordWrap w:val="0"/>
        <w:spacing w:after="0" w:line="360" w:lineRule="auto"/>
        <w:ind w:firstLine="480" w:firstLineChars="200"/>
        <w:rPr>
          <w:rFonts w:hint="eastAsia" w:ascii="宋体" w:hAnsi="宋体" w:cs="宋体"/>
          <w:sz w:val="24"/>
          <w:u w:val="single"/>
          <w:shd w:val="clear" w:color="auto" w:fill="FFFFFF"/>
        </w:rPr>
      </w:pPr>
      <w:r>
        <w:rPr>
          <w:rFonts w:hint="eastAsia" w:ascii="宋体" w:hAnsi="宋体" w:cs="宋体"/>
          <w:sz w:val="24"/>
          <w:shd w:val="clear" w:color="auto" w:fill="FFFFFF"/>
        </w:rPr>
        <w:t>11.1.7  有关进度报告的其他要求：</w:t>
      </w:r>
      <w:r>
        <w:rPr>
          <w:rFonts w:hint="eastAsia" w:ascii="宋体" w:hAnsi="宋体" w:cs="宋体"/>
          <w:sz w:val="24"/>
          <w:u w:val="single"/>
          <w:shd w:val="clear" w:color="auto" w:fill="FFFFFF"/>
        </w:rPr>
        <w:t xml:space="preserve">              /                       </w:t>
      </w:r>
    </w:p>
    <w:p w14:paraId="548332BF">
      <w:pPr>
        <w:pStyle w:val="251"/>
        <w:wordWrap w:val="0"/>
        <w:spacing w:before="120" w:after="0"/>
        <w:outlineLvl w:val="4"/>
        <w:rPr>
          <w:rFonts w:hint="eastAsia" w:hAnsi="宋体" w:cs="宋体"/>
          <w:szCs w:val="24"/>
          <w:shd w:val="clear" w:color="auto" w:fill="FFFFFF"/>
        </w:rPr>
      </w:pPr>
      <w:bookmarkStart w:id="1132" w:name="_Toc96530003"/>
      <w:bookmarkStart w:id="1133" w:name="_Toc483581260"/>
      <w:bookmarkStart w:id="1134" w:name="_Toc96352177"/>
      <w:bookmarkStart w:id="1135" w:name="_Toc489280301"/>
      <w:bookmarkStart w:id="1136" w:name="_Toc10649"/>
      <w:bookmarkStart w:id="1137" w:name="_Toc38037954"/>
      <w:bookmarkStart w:id="1138" w:name="_Toc497298408"/>
      <w:bookmarkStart w:id="1139" w:name="_Toc501055706"/>
      <w:bookmarkStart w:id="1140" w:name="_Toc486580495"/>
      <w:bookmarkStart w:id="1141" w:name="_Toc96504992"/>
      <w:bookmarkStart w:id="1142" w:name="_Toc96505381"/>
      <w:r>
        <w:rPr>
          <w:rFonts w:hint="eastAsia" w:hAnsi="宋体" w:cs="宋体"/>
          <w:szCs w:val="24"/>
          <w:shd w:val="clear" w:color="auto" w:fill="FFFFFF"/>
        </w:rPr>
        <w:t>11.2  进度例会</w:t>
      </w:r>
      <w:bookmarkEnd w:id="1132"/>
      <w:bookmarkEnd w:id="1133"/>
      <w:bookmarkEnd w:id="1134"/>
      <w:bookmarkEnd w:id="1135"/>
      <w:bookmarkEnd w:id="1136"/>
      <w:bookmarkEnd w:id="1137"/>
      <w:bookmarkEnd w:id="1138"/>
      <w:bookmarkEnd w:id="1139"/>
      <w:bookmarkEnd w:id="1140"/>
      <w:bookmarkEnd w:id="1141"/>
      <w:bookmarkEnd w:id="1142"/>
    </w:p>
    <w:p w14:paraId="7C8811E8">
      <w:pPr>
        <w:wordWrap w:val="0"/>
        <w:spacing w:after="0" w:line="360" w:lineRule="auto"/>
        <w:ind w:firstLine="480" w:firstLineChars="200"/>
        <w:rPr>
          <w:rFonts w:hint="eastAsia" w:ascii="宋体" w:hAnsi="宋体" w:cs="宋体"/>
          <w:sz w:val="24"/>
          <w:u w:val="single"/>
          <w:shd w:val="clear" w:color="auto" w:fill="FFFFFF"/>
        </w:rPr>
      </w:pPr>
      <w:r>
        <w:rPr>
          <w:rFonts w:hint="eastAsia" w:ascii="宋体" w:hAnsi="宋体" w:cs="宋体"/>
          <w:sz w:val="24"/>
          <w:shd w:val="clear" w:color="auto" w:fill="FFFFFF"/>
        </w:rPr>
        <w:t>11.2.4  有关进度例会的其他要求：</w:t>
      </w:r>
      <w:r>
        <w:rPr>
          <w:rFonts w:hint="eastAsia" w:ascii="宋体" w:hAnsi="宋体" w:cs="宋体"/>
          <w:sz w:val="24"/>
          <w:u w:val="single"/>
          <w:shd w:val="clear" w:color="auto" w:fill="FFFFFF"/>
        </w:rPr>
        <w:t xml:space="preserve">               /                       </w:t>
      </w:r>
    </w:p>
    <w:p w14:paraId="1EEDCCE4">
      <w:pPr>
        <w:pStyle w:val="250"/>
        <w:wordWrap w:val="0"/>
        <w:spacing w:before="120" w:after="0"/>
        <w:outlineLvl w:val="3"/>
        <w:rPr>
          <w:rFonts w:hint="eastAsia" w:ascii="宋体" w:hAnsi="宋体" w:eastAsia="宋体"/>
          <w:sz w:val="24"/>
          <w:szCs w:val="24"/>
          <w:shd w:val="clear" w:color="auto" w:fill="FFFFFF"/>
        </w:rPr>
      </w:pPr>
      <w:bookmarkStart w:id="1143" w:name="_Toc486580496"/>
      <w:bookmarkStart w:id="1144" w:name="_Toc501055707"/>
      <w:bookmarkStart w:id="1145" w:name="_Toc96530004"/>
      <w:bookmarkStart w:id="1146" w:name="_Toc96504993"/>
      <w:bookmarkStart w:id="1147" w:name="_Toc490331756"/>
      <w:bookmarkStart w:id="1148" w:name="_Toc489280302"/>
      <w:bookmarkStart w:id="1149" w:name="_Toc96505382"/>
      <w:bookmarkStart w:id="1150" w:name="_Toc483581261"/>
      <w:bookmarkStart w:id="1151" w:name="_Toc23276"/>
      <w:bookmarkStart w:id="1152" w:name="_Toc96352178"/>
      <w:bookmarkStart w:id="1153" w:name="_Toc38037955"/>
      <w:bookmarkStart w:id="1154" w:name="_Toc497298409"/>
      <w:r>
        <w:rPr>
          <w:rFonts w:hint="eastAsia" w:ascii="宋体" w:hAnsi="宋体" w:eastAsia="宋体"/>
          <w:sz w:val="24"/>
          <w:szCs w:val="24"/>
          <w:shd w:val="clear" w:color="auto" w:fill="FFFFFF"/>
        </w:rPr>
        <w:t>12.试验和检验</w:t>
      </w:r>
      <w:bookmarkEnd w:id="1143"/>
      <w:bookmarkEnd w:id="1144"/>
      <w:bookmarkEnd w:id="1145"/>
      <w:bookmarkEnd w:id="1146"/>
      <w:bookmarkEnd w:id="1147"/>
      <w:bookmarkEnd w:id="1148"/>
      <w:bookmarkEnd w:id="1149"/>
      <w:bookmarkEnd w:id="1150"/>
      <w:bookmarkEnd w:id="1151"/>
      <w:bookmarkEnd w:id="1152"/>
      <w:bookmarkEnd w:id="1153"/>
      <w:bookmarkEnd w:id="1154"/>
    </w:p>
    <w:p w14:paraId="4A863B9E">
      <w:pPr>
        <w:wordWrap w:val="0"/>
        <w:snapToGrid w:val="0"/>
        <w:spacing w:after="0" w:line="360" w:lineRule="auto"/>
        <w:rPr>
          <w:rFonts w:hint="eastAsia" w:ascii="宋体" w:hAnsi="宋体" w:cs="宋体"/>
          <w:sz w:val="24"/>
          <w:shd w:val="clear" w:color="auto" w:fill="FFFFFF"/>
        </w:rPr>
      </w:pPr>
      <w:bookmarkStart w:id="1155" w:name="_Toc483581262"/>
      <w:bookmarkStart w:id="1156" w:name="_Toc486580497"/>
      <w:r>
        <w:rPr>
          <w:rFonts w:hint="eastAsia" w:ascii="宋体" w:hAnsi="宋体" w:cs="宋体"/>
          <w:sz w:val="24"/>
          <w:shd w:val="clear" w:color="auto" w:fill="FFFFFF"/>
        </w:rPr>
        <w:t>12.1  本工程发包人委托检测单位进行试验和检验的其他材料、工程设备和工艺：</w:t>
      </w:r>
      <w:r>
        <w:rPr>
          <w:rFonts w:hint="eastAsia" w:ascii="宋体" w:hAnsi="宋体" w:cs="宋体"/>
          <w:sz w:val="24"/>
          <w:u w:val="single"/>
          <w:shd w:val="clear" w:color="auto" w:fill="FFFFFF"/>
        </w:rPr>
        <w:t xml:space="preserve"> / </w:t>
      </w:r>
    </w:p>
    <w:p w14:paraId="407D2DB7">
      <w:pPr>
        <w:wordWrap w:val="0"/>
        <w:snapToGrid w:val="0"/>
        <w:spacing w:after="0" w:line="360" w:lineRule="auto"/>
        <w:ind w:firstLine="480" w:firstLineChars="200"/>
        <w:rPr>
          <w:rFonts w:hint="eastAsia" w:ascii="宋体" w:hAnsi="宋体" w:cs="宋体"/>
          <w:sz w:val="24"/>
          <w:shd w:val="clear" w:color="auto" w:fill="FFFFFF"/>
        </w:rPr>
      </w:pPr>
      <w:r>
        <w:rPr>
          <w:rFonts w:hint="eastAsia" w:ascii="宋体" w:hAnsi="宋体" w:cs="宋体"/>
          <w:sz w:val="24"/>
          <w:shd w:val="clear" w:color="auto" w:fill="FFFFFF"/>
        </w:rPr>
        <w:t>12.3  本工程需要承包人进行试验和检验的材料、工程设备和工艺：</w:t>
      </w:r>
      <w:r>
        <w:rPr>
          <w:rFonts w:hint="eastAsia" w:ascii="宋体" w:hAnsi="宋体" w:cs="宋体"/>
          <w:color w:val="000000"/>
          <w:sz w:val="24"/>
          <w:u w:val="single"/>
        </w:rPr>
        <w:t>国家和北京市现行规范标准规定必须进行试验和检验的材料、工程设备和工艺。</w:t>
      </w:r>
    </w:p>
    <w:p w14:paraId="0C4D7C1C">
      <w:pPr>
        <w:pStyle w:val="25"/>
        <w:wordWrap w:val="0"/>
        <w:snapToGrid w:val="0"/>
        <w:spacing w:after="0" w:line="360" w:lineRule="auto"/>
        <w:ind w:left="426" w:leftChars="203"/>
        <w:jc w:val="left"/>
        <w:rPr>
          <w:rFonts w:hint="eastAsia" w:ascii="宋体" w:eastAsia="宋体" w:cs="宋体"/>
          <w:u w:val="single"/>
          <w:shd w:val="clear" w:color="auto" w:fill="FFFFFF"/>
        </w:rPr>
      </w:pPr>
      <w:r>
        <w:rPr>
          <w:rFonts w:hint="eastAsia" w:ascii="宋体" w:eastAsia="宋体" w:cs="宋体"/>
          <w:shd w:val="clear" w:color="auto" w:fill="FFFFFF"/>
        </w:rPr>
        <w:t>12.4  本工程需要由监理人和承包人共同进行试验和检验的材料、工程设备和工艺：</w:t>
      </w:r>
      <w:r>
        <w:rPr>
          <w:rFonts w:hint="eastAsia" w:ascii="宋体" w:eastAsia="宋体" w:cs="宋体"/>
          <w:u w:val="single"/>
          <w:shd w:val="clear" w:color="auto" w:fill="FFFFFF"/>
        </w:rPr>
        <w:t xml:space="preserve"> / </w:t>
      </w:r>
    </w:p>
    <w:p w14:paraId="7E8BEB35">
      <w:pPr>
        <w:wordWrap w:val="0"/>
        <w:snapToGrid w:val="0"/>
        <w:spacing w:after="0" w:line="360" w:lineRule="auto"/>
        <w:ind w:firstLine="480" w:firstLineChars="200"/>
        <w:rPr>
          <w:rFonts w:hint="eastAsia" w:ascii="宋体" w:hAnsi="宋体" w:cs="宋体"/>
          <w:sz w:val="24"/>
          <w:shd w:val="clear" w:color="auto" w:fill="FFFFFF"/>
        </w:rPr>
      </w:pPr>
      <w:r>
        <w:rPr>
          <w:rFonts w:hint="eastAsia" w:ascii="宋体" w:hAnsi="宋体" w:cs="宋体"/>
          <w:sz w:val="24"/>
          <w:shd w:val="clear" w:color="auto" w:fill="FFFFFF"/>
        </w:rPr>
        <w:t>12.8  涉及结构安全的试块、试件以及有关材料检测的质量检测单位：</w:t>
      </w:r>
      <w:r>
        <w:rPr>
          <w:rFonts w:hint="eastAsia" w:ascii="宋体" w:hAnsi="宋体" w:cs="宋体"/>
          <w:color w:val="000000"/>
          <w:sz w:val="24"/>
          <w:u w:val="single"/>
        </w:rPr>
        <w:t xml:space="preserve">建设单位所在地     </w:t>
      </w:r>
    </w:p>
    <w:p w14:paraId="70BCA833">
      <w:pPr>
        <w:pStyle w:val="250"/>
        <w:wordWrap w:val="0"/>
        <w:spacing w:before="120" w:after="0"/>
        <w:outlineLvl w:val="3"/>
        <w:rPr>
          <w:rFonts w:hint="eastAsia" w:ascii="宋体" w:hAnsi="宋体" w:eastAsia="宋体"/>
          <w:sz w:val="24"/>
          <w:szCs w:val="24"/>
          <w:shd w:val="clear" w:color="auto" w:fill="FFFFFF"/>
        </w:rPr>
      </w:pPr>
      <w:bookmarkStart w:id="1157" w:name="_Toc96505383"/>
      <w:bookmarkStart w:id="1158" w:name="_Toc96530005"/>
      <w:bookmarkStart w:id="1159" w:name="_Toc96504994"/>
      <w:bookmarkStart w:id="1160" w:name="_Toc489280303"/>
      <w:bookmarkStart w:id="1161" w:name="_Toc8210"/>
      <w:bookmarkStart w:id="1162" w:name="_Toc38037956"/>
      <w:bookmarkStart w:id="1163" w:name="_Toc490331757"/>
      <w:bookmarkStart w:id="1164" w:name="_Toc501055708"/>
      <w:bookmarkStart w:id="1165" w:name="_Toc497298410"/>
      <w:bookmarkStart w:id="1166" w:name="_Toc96352179"/>
      <w:r>
        <w:rPr>
          <w:rFonts w:hint="eastAsia" w:ascii="宋体" w:hAnsi="宋体" w:eastAsia="宋体"/>
          <w:sz w:val="24"/>
          <w:szCs w:val="24"/>
          <w:shd w:val="clear" w:color="auto" w:fill="FFFFFF"/>
        </w:rPr>
        <w:t>13.计日工</w:t>
      </w:r>
      <w:bookmarkEnd w:id="1155"/>
      <w:bookmarkEnd w:id="1156"/>
      <w:bookmarkEnd w:id="1157"/>
      <w:bookmarkEnd w:id="1158"/>
      <w:bookmarkEnd w:id="1159"/>
      <w:bookmarkEnd w:id="1160"/>
      <w:bookmarkEnd w:id="1161"/>
      <w:bookmarkEnd w:id="1162"/>
      <w:bookmarkEnd w:id="1163"/>
      <w:bookmarkEnd w:id="1164"/>
      <w:bookmarkEnd w:id="1165"/>
      <w:bookmarkEnd w:id="1166"/>
    </w:p>
    <w:p w14:paraId="675D9EBE">
      <w:pPr>
        <w:wordWrap w:val="0"/>
        <w:spacing w:after="0" w:line="360" w:lineRule="auto"/>
        <w:ind w:firstLine="480" w:firstLineChars="200"/>
        <w:rPr>
          <w:rFonts w:hint="eastAsia" w:ascii="宋体" w:hAnsi="宋体" w:cs="宋体"/>
          <w:sz w:val="24"/>
          <w:shd w:val="clear" w:color="auto" w:fill="FFFFFF"/>
        </w:rPr>
      </w:pPr>
      <w:r>
        <w:rPr>
          <w:rFonts w:hint="eastAsia" w:ascii="宋体" w:hAnsi="宋体" w:cs="宋体"/>
          <w:sz w:val="24"/>
          <w:shd w:val="clear" w:color="auto" w:fill="FFFFFF"/>
        </w:rPr>
        <w:t>13.7  关于计日工的其他约定：</w:t>
      </w:r>
      <w:r>
        <w:rPr>
          <w:rFonts w:hint="eastAsia" w:ascii="宋体" w:hAnsi="宋体" w:cs="宋体"/>
          <w:sz w:val="24"/>
          <w:u w:val="single"/>
          <w:shd w:val="clear" w:color="auto" w:fill="FFFFFF"/>
        </w:rPr>
        <w:t xml:space="preserve">            /                           </w:t>
      </w:r>
    </w:p>
    <w:p w14:paraId="35153885">
      <w:pPr>
        <w:pStyle w:val="250"/>
        <w:wordWrap w:val="0"/>
        <w:spacing w:before="120" w:after="0"/>
        <w:outlineLvl w:val="3"/>
        <w:rPr>
          <w:rFonts w:hint="eastAsia" w:ascii="宋体" w:hAnsi="宋体" w:eastAsia="宋体"/>
          <w:sz w:val="24"/>
          <w:szCs w:val="24"/>
          <w:shd w:val="clear" w:color="auto" w:fill="FFFFFF"/>
        </w:rPr>
      </w:pPr>
      <w:bookmarkStart w:id="1167" w:name="_Toc501055709"/>
      <w:bookmarkStart w:id="1168" w:name="_Toc486580498"/>
      <w:bookmarkStart w:id="1169" w:name="_Toc490331758"/>
      <w:bookmarkStart w:id="1170" w:name="_Toc96530006"/>
      <w:bookmarkStart w:id="1171" w:name="_Toc497298411"/>
      <w:bookmarkStart w:id="1172" w:name="_Toc489280304"/>
      <w:bookmarkStart w:id="1173" w:name="_Toc96352180"/>
      <w:bookmarkStart w:id="1174" w:name="_Toc38037957"/>
      <w:bookmarkStart w:id="1175" w:name="_Toc96505384"/>
      <w:bookmarkStart w:id="1176" w:name="_Toc2993"/>
      <w:bookmarkStart w:id="1177" w:name="_Toc96504995"/>
      <w:bookmarkStart w:id="1178" w:name="_Toc483581263"/>
      <w:r>
        <w:rPr>
          <w:rFonts w:hint="eastAsia" w:ascii="宋体" w:hAnsi="宋体" w:eastAsia="宋体"/>
          <w:sz w:val="24"/>
          <w:szCs w:val="24"/>
          <w:shd w:val="clear" w:color="auto" w:fill="FFFFFF"/>
        </w:rPr>
        <w:t>14.计量与支付</w:t>
      </w:r>
      <w:bookmarkEnd w:id="1167"/>
      <w:bookmarkEnd w:id="1168"/>
      <w:bookmarkEnd w:id="1169"/>
      <w:bookmarkEnd w:id="1170"/>
      <w:bookmarkEnd w:id="1171"/>
      <w:bookmarkEnd w:id="1172"/>
      <w:bookmarkEnd w:id="1173"/>
      <w:bookmarkEnd w:id="1174"/>
      <w:bookmarkEnd w:id="1175"/>
      <w:bookmarkEnd w:id="1176"/>
      <w:bookmarkEnd w:id="1177"/>
      <w:bookmarkEnd w:id="1178"/>
    </w:p>
    <w:p w14:paraId="352FD7C8">
      <w:pPr>
        <w:pStyle w:val="251"/>
        <w:wordWrap w:val="0"/>
        <w:spacing w:before="120" w:after="0"/>
        <w:outlineLvl w:val="4"/>
        <w:rPr>
          <w:rFonts w:hint="eastAsia" w:hAnsi="宋体" w:cs="宋体"/>
          <w:szCs w:val="24"/>
          <w:shd w:val="clear" w:color="auto" w:fill="FFFFFF"/>
        </w:rPr>
      </w:pPr>
      <w:bookmarkStart w:id="1179" w:name="_Toc501055710"/>
      <w:bookmarkStart w:id="1180" w:name="_Toc96530007"/>
      <w:bookmarkStart w:id="1181" w:name="_Toc497298412"/>
      <w:bookmarkStart w:id="1182" w:name="_Toc96352181"/>
      <w:bookmarkStart w:id="1183" w:name="_Toc486580499"/>
      <w:bookmarkStart w:id="1184" w:name="_Toc1099"/>
      <w:bookmarkStart w:id="1185" w:name="_Toc489280305"/>
      <w:bookmarkStart w:id="1186" w:name="_Toc96504996"/>
      <w:bookmarkStart w:id="1187" w:name="_Toc38037958"/>
      <w:bookmarkStart w:id="1188" w:name="_Toc96505385"/>
      <w:bookmarkStart w:id="1189" w:name="_Toc483581264"/>
      <w:r>
        <w:rPr>
          <w:rFonts w:hint="eastAsia" w:hAnsi="宋体" w:cs="宋体"/>
          <w:szCs w:val="24"/>
          <w:shd w:val="clear" w:color="auto" w:fill="FFFFFF"/>
        </w:rPr>
        <w:t>14.2  其他约定</w:t>
      </w:r>
      <w:bookmarkEnd w:id="1179"/>
      <w:bookmarkEnd w:id="1180"/>
      <w:bookmarkEnd w:id="1181"/>
      <w:bookmarkEnd w:id="1182"/>
      <w:bookmarkEnd w:id="1183"/>
      <w:bookmarkEnd w:id="1184"/>
      <w:bookmarkEnd w:id="1185"/>
      <w:bookmarkEnd w:id="1186"/>
      <w:bookmarkEnd w:id="1187"/>
      <w:bookmarkEnd w:id="1188"/>
      <w:bookmarkEnd w:id="1189"/>
    </w:p>
    <w:p w14:paraId="39CDF0E5">
      <w:pPr>
        <w:wordWrap w:val="0"/>
        <w:spacing w:after="0" w:line="360" w:lineRule="auto"/>
        <w:rPr>
          <w:rFonts w:hint="eastAsia" w:ascii="宋体" w:hAnsi="宋体" w:cs="宋体"/>
          <w:sz w:val="24"/>
          <w:shd w:val="clear" w:color="auto" w:fill="FFFFFF"/>
        </w:rPr>
      </w:pPr>
      <w:r>
        <w:rPr>
          <w:rFonts w:hint="eastAsia" w:ascii="宋体" w:hAnsi="宋体" w:cs="宋体"/>
          <w:sz w:val="24"/>
          <w:shd w:val="clear" w:color="auto" w:fill="FFFFFF"/>
        </w:rPr>
        <w:t>其他约定内容：</w:t>
      </w:r>
      <w:r>
        <w:rPr>
          <w:rFonts w:hint="eastAsia" w:ascii="宋体" w:hAnsi="宋体" w:cs="宋体"/>
          <w:sz w:val="24"/>
          <w:u w:val="single"/>
          <w:shd w:val="clear" w:color="auto" w:fill="FFFFFF"/>
        </w:rPr>
        <w:t xml:space="preserve">              /                              </w:t>
      </w:r>
    </w:p>
    <w:p w14:paraId="6CF117A7">
      <w:pPr>
        <w:pStyle w:val="250"/>
        <w:wordWrap w:val="0"/>
        <w:spacing w:before="120" w:after="0"/>
        <w:outlineLvl w:val="3"/>
        <w:rPr>
          <w:rFonts w:hint="eastAsia" w:ascii="宋体" w:hAnsi="宋体" w:eastAsia="宋体"/>
          <w:sz w:val="24"/>
          <w:szCs w:val="24"/>
          <w:shd w:val="clear" w:color="auto" w:fill="FFFFFF"/>
        </w:rPr>
      </w:pPr>
      <w:bookmarkStart w:id="1190" w:name="_Toc25100"/>
      <w:bookmarkStart w:id="1191" w:name="_Toc96505386"/>
      <w:bookmarkStart w:id="1192" w:name="_Toc486580500"/>
      <w:bookmarkStart w:id="1193" w:name="_Toc497298413"/>
      <w:bookmarkStart w:id="1194" w:name="_Toc96504997"/>
      <w:bookmarkStart w:id="1195" w:name="_Toc483581265"/>
      <w:bookmarkStart w:id="1196" w:name="_Toc96352182"/>
      <w:bookmarkStart w:id="1197" w:name="_Toc38037959"/>
      <w:bookmarkStart w:id="1198" w:name="_Toc501055711"/>
      <w:bookmarkStart w:id="1199" w:name="_Toc489280306"/>
      <w:bookmarkStart w:id="1200" w:name="_Toc96530008"/>
      <w:bookmarkStart w:id="1201" w:name="_Toc490331759"/>
      <w:r>
        <w:rPr>
          <w:rFonts w:hint="eastAsia" w:ascii="宋体" w:hAnsi="宋体" w:eastAsia="宋体"/>
          <w:sz w:val="24"/>
          <w:szCs w:val="24"/>
          <w:shd w:val="clear" w:color="auto" w:fill="FFFFFF"/>
        </w:rPr>
        <w:t>15.竣工验收和工程移交</w:t>
      </w:r>
      <w:bookmarkEnd w:id="1190"/>
      <w:bookmarkEnd w:id="1191"/>
      <w:bookmarkEnd w:id="1192"/>
      <w:bookmarkEnd w:id="1193"/>
      <w:bookmarkEnd w:id="1194"/>
      <w:bookmarkEnd w:id="1195"/>
      <w:bookmarkEnd w:id="1196"/>
      <w:bookmarkEnd w:id="1197"/>
      <w:bookmarkEnd w:id="1198"/>
      <w:bookmarkEnd w:id="1199"/>
      <w:bookmarkEnd w:id="1200"/>
      <w:bookmarkEnd w:id="1201"/>
    </w:p>
    <w:p w14:paraId="408835EF">
      <w:pPr>
        <w:pStyle w:val="251"/>
        <w:wordWrap w:val="0"/>
        <w:spacing w:before="120" w:after="0"/>
        <w:outlineLvl w:val="4"/>
        <w:rPr>
          <w:rFonts w:hint="eastAsia" w:hAnsi="宋体" w:cs="宋体"/>
          <w:szCs w:val="24"/>
          <w:shd w:val="clear" w:color="auto" w:fill="FFFFFF"/>
        </w:rPr>
      </w:pPr>
      <w:bookmarkStart w:id="1202" w:name="_Toc96505387"/>
      <w:bookmarkStart w:id="1203" w:name="_Toc96530009"/>
      <w:bookmarkStart w:id="1204" w:name="_Toc486580501"/>
      <w:bookmarkStart w:id="1205" w:name="_Toc483581266"/>
      <w:bookmarkStart w:id="1206" w:name="_Toc38037960"/>
      <w:bookmarkStart w:id="1207" w:name="_Toc96504998"/>
      <w:bookmarkStart w:id="1208" w:name="_Toc17486"/>
      <w:bookmarkStart w:id="1209" w:name="_Toc489280307"/>
      <w:bookmarkStart w:id="1210" w:name="_Toc501055712"/>
      <w:bookmarkStart w:id="1211" w:name="_Toc497298414"/>
      <w:bookmarkStart w:id="1212" w:name="_Toc96352183"/>
      <w:r>
        <w:rPr>
          <w:rFonts w:hint="eastAsia" w:hAnsi="宋体" w:cs="宋体"/>
          <w:szCs w:val="24"/>
          <w:shd w:val="clear" w:color="auto" w:fill="FFFFFF"/>
        </w:rPr>
        <w:t>15.2  竣工验收申请报告</w:t>
      </w:r>
      <w:bookmarkEnd w:id="1202"/>
      <w:bookmarkEnd w:id="1203"/>
      <w:bookmarkEnd w:id="1204"/>
      <w:bookmarkEnd w:id="1205"/>
      <w:bookmarkEnd w:id="1206"/>
      <w:bookmarkEnd w:id="1207"/>
      <w:bookmarkEnd w:id="1208"/>
      <w:bookmarkEnd w:id="1209"/>
      <w:bookmarkEnd w:id="1210"/>
      <w:bookmarkEnd w:id="1211"/>
      <w:bookmarkEnd w:id="1212"/>
    </w:p>
    <w:p w14:paraId="48C9268D">
      <w:pPr>
        <w:wordWrap w:val="0"/>
        <w:spacing w:after="0" w:line="360" w:lineRule="auto"/>
        <w:ind w:firstLine="480" w:firstLineChars="200"/>
        <w:rPr>
          <w:rFonts w:hint="eastAsia" w:ascii="宋体" w:hAnsi="宋体" w:cs="宋体"/>
          <w:sz w:val="24"/>
          <w:shd w:val="clear" w:color="auto" w:fill="FFFFFF"/>
        </w:rPr>
      </w:pPr>
      <w:r>
        <w:rPr>
          <w:rFonts w:hint="eastAsia" w:ascii="宋体" w:hAnsi="宋体" w:cs="宋体"/>
          <w:sz w:val="24"/>
          <w:shd w:val="clear" w:color="auto" w:fill="FFFFFF"/>
        </w:rPr>
        <w:t>15.2.3  竣工验收申请报告应当按合同条款附上下列内容：</w:t>
      </w:r>
    </w:p>
    <w:p w14:paraId="6C0E7533">
      <w:pPr>
        <w:wordWrap w:val="0"/>
        <w:spacing w:after="0" w:line="360" w:lineRule="auto"/>
        <w:ind w:firstLine="480" w:firstLineChars="200"/>
        <w:rPr>
          <w:rFonts w:hint="eastAsia" w:ascii="宋体" w:hAnsi="宋体" w:cs="宋体"/>
          <w:sz w:val="24"/>
          <w:shd w:val="clear" w:color="auto" w:fill="FFFFFF"/>
        </w:rPr>
      </w:pPr>
      <w:r>
        <w:rPr>
          <w:rFonts w:hint="eastAsia" w:ascii="宋体" w:hAnsi="宋体" w:cs="宋体"/>
          <w:sz w:val="24"/>
          <w:shd w:val="clear" w:color="auto" w:fill="FFFFFF"/>
        </w:rPr>
        <w:t>（7）其他要求：</w:t>
      </w:r>
      <w:r>
        <w:rPr>
          <w:rFonts w:hint="eastAsia" w:ascii="宋体" w:hAnsi="宋体" w:cs="宋体"/>
          <w:sz w:val="24"/>
          <w:u w:val="single"/>
          <w:shd w:val="clear" w:color="auto" w:fill="FFFFFF"/>
        </w:rPr>
        <w:t xml:space="preserve">              /                         </w:t>
      </w:r>
    </w:p>
    <w:p w14:paraId="7DD5E171">
      <w:pPr>
        <w:pStyle w:val="250"/>
        <w:wordWrap w:val="0"/>
        <w:spacing w:before="120" w:after="0"/>
        <w:outlineLvl w:val="3"/>
        <w:rPr>
          <w:rFonts w:hint="eastAsia" w:ascii="宋体" w:hAnsi="宋体" w:eastAsia="宋体"/>
          <w:sz w:val="24"/>
          <w:szCs w:val="24"/>
          <w:shd w:val="clear" w:color="auto" w:fill="FFFFFF"/>
        </w:rPr>
      </w:pPr>
      <w:bookmarkStart w:id="1213" w:name="_Toc490331760"/>
      <w:bookmarkStart w:id="1214" w:name="_Toc497298415"/>
      <w:bookmarkStart w:id="1215" w:name="_Toc96505388"/>
      <w:bookmarkStart w:id="1216" w:name="_Toc38037961"/>
      <w:bookmarkStart w:id="1217" w:name="_Toc96504999"/>
      <w:bookmarkStart w:id="1218" w:name="_Toc486580502"/>
      <w:bookmarkStart w:id="1219" w:name="_Toc96352184"/>
      <w:bookmarkStart w:id="1220" w:name="_Toc96530010"/>
      <w:bookmarkStart w:id="1221" w:name="_Toc489280308"/>
      <w:bookmarkStart w:id="1222" w:name="_Toc483581267"/>
      <w:bookmarkStart w:id="1223" w:name="_Toc501055713"/>
      <w:bookmarkStart w:id="1224" w:name="_Toc29804"/>
      <w:r>
        <w:rPr>
          <w:rFonts w:hint="eastAsia" w:ascii="宋体" w:hAnsi="宋体" w:eastAsia="宋体"/>
          <w:sz w:val="24"/>
          <w:szCs w:val="24"/>
          <w:shd w:val="clear" w:color="auto" w:fill="FFFFFF"/>
        </w:rPr>
        <w:t>16.需要补充的其他要求</w:t>
      </w:r>
      <w:bookmarkEnd w:id="768"/>
      <w:bookmarkEnd w:id="769"/>
      <w:bookmarkEnd w:id="1213"/>
      <w:bookmarkEnd w:id="1214"/>
      <w:bookmarkEnd w:id="1215"/>
      <w:bookmarkEnd w:id="1216"/>
      <w:bookmarkEnd w:id="1217"/>
      <w:bookmarkEnd w:id="1218"/>
      <w:bookmarkEnd w:id="1219"/>
      <w:bookmarkEnd w:id="1220"/>
      <w:bookmarkEnd w:id="1221"/>
      <w:bookmarkEnd w:id="1222"/>
      <w:bookmarkEnd w:id="1223"/>
      <w:bookmarkEnd w:id="1224"/>
    </w:p>
    <w:p w14:paraId="59AE52ED">
      <w:pPr>
        <w:bidi w:val="0"/>
        <w:spacing w:after="0"/>
        <w:rPr>
          <w:rFonts w:hint="eastAsia"/>
        </w:rPr>
      </w:pPr>
    </w:p>
    <w:p w14:paraId="4D5952D9">
      <w:pPr>
        <w:pageBreakBefore w:val="0"/>
        <w:wordWrap w:val="0"/>
        <w:topLinePunct w:val="0"/>
        <w:bidi w:val="0"/>
        <w:spacing w:after="0" w:line="360" w:lineRule="auto"/>
        <w:jc w:val="center"/>
        <w:textAlignment w:val="auto"/>
        <w:outlineLvl w:val="0"/>
        <w:rPr>
          <w:rFonts w:hint="eastAsia" w:ascii="宋体" w:hAnsi="宋体" w:eastAsia="宋体" w:cs="宋体"/>
          <w:b/>
          <w:bCs w:val="0"/>
          <w:i w:val="0"/>
          <w:iCs w:val="0"/>
          <w:sz w:val="36"/>
          <w:szCs w:val="36"/>
        </w:rPr>
        <w:sectPr>
          <w:headerReference r:id="rId14" w:type="default"/>
          <w:footerReference r:id="rId15" w:type="default"/>
          <w:pgSz w:w="11905" w:h="16838"/>
          <w:pgMar w:top="1474" w:right="1474" w:bottom="1474" w:left="1474" w:header="851" w:footer="992" w:gutter="0"/>
          <w:pgNumType w:fmt="decimal"/>
          <w:cols w:space="720" w:num="1"/>
          <w:rtlGutter w:val="0"/>
          <w:docGrid w:linePitch="462" w:charSpace="0"/>
        </w:sectPr>
      </w:pPr>
    </w:p>
    <w:p w14:paraId="22633B35">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6"/>
          <w:szCs w:val="36"/>
        </w:rPr>
      </w:pPr>
      <w:bookmarkStart w:id="1225" w:name="_Toc7375"/>
      <w:r>
        <w:rPr>
          <w:rFonts w:hint="eastAsia" w:ascii="宋体" w:hAnsi="宋体" w:eastAsia="宋体" w:cs="宋体"/>
          <w:b/>
          <w:i w:val="0"/>
          <w:iCs w:val="0"/>
          <w:sz w:val="36"/>
          <w:szCs w:val="36"/>
        </w:rPr>
        <w:t>第五章   合同草案条款</w:t>
      </w:r>
      <w:bookmarkEnd w:id="1225"/>
    </w:p>
    <w:p w14:paraId="667555DA">
      <w:pPr>
        <w:adjustRightInd w:val="0"/>
        <w:snapToGrid w:val="0"/>
        <w:spacing w:after="0" w:line="360" w:lineRule="auto"/>
        <w:ind w:firstLine="5250" w:firstLineChars="2500"/>
        <w:jc w:val="left"/>
        <w:rPr>
          <w:rFonts w:hint="eastAsia" w:ascii="宋体" w:hAnsi="宋体"/>
        </w:rPr>
      </w:pPr>
      <w:r>
        <w:rPr>
          <w:rFonts w:hint="eastAsia" w:ascii="宋体" w:hAnsi="宋体"/>
        </w:rPr>
        <w:t>合同编号：</w:t>
      </w:r>
      <w:r>
        <w:rPr>
          <w:rFonts w:ascii="宋体" w:hAnsi="宋体"/>
          <w:u w:val="single"/>
        </w:rPr>
        <w:t>___________________</w:t>
      </w:r>
    </w:p>
    <w:p w14:paraId="4EDCDB72">
      <w:pPr>
        <w:pStyle w:val="254"/>
        <w:spacing w:after="0" w:line="300" w:lineRule="auto"/>
        <w:ind w:left="0" w:right="32"/>
        <w:jc w:val="center"/>
        <w:rPr>
          <w:rFonts w:hint="eastAsia" w:ascii="宋体" w:hAnsi="宋体"/>
          <w:b/>
          <w:sz w:val="52"/>
          <w:szCs w:val="52"/>
        </w:rPr>
      </w:pPr>
    </w:p>
    <w:p w14:paraId="70EB0522">
      <w:pPr>
        <w:pStyle w:val="254"/>
        <w:spacing w:after="0" w:line="300" w:lineRule="auto"/>
        <w:ind w:left="0" w:right="32"/>
        <w:jc w:val="center"/>
        <w:rPr>
          <w:rFonts w:hint="eastAsia" w:ascii="宋体" w:hAnsi="宋体"/>
          <w:b/>
          <w:sz w:val="52"/>
          <w:szCs w:val="52"/>
        </w:rPr>
      </w:pPr>
    </w:p>
    <w:p w14:paraId="3FAE3A88">
      <w:pPr>
        <w:pStyle w:val="254"/>
        <w:spacing w:after="0" w:line="300" w:lineRule="auto"/>
        <w:ind w:left="0" w:right="32"/>
        <w:jc w:val="center"/>
        <w:rPr>
          <w:rFonts w:hint="eastAsia" w:ascii="宋体" w:hAnsi="宋体"/>
          <w:b/>
          <w:sz w:val="52"/>
          <w:szCs w:val="52"/>
        </w:rPr>
      </w:pPr>
      <w:r>
        <w:rPr>
          <w:rFonts w:hint="eastAsia" w:ascii="宋体" w:hAnsi="宋体"/>
          <w:b/>
          <w:sz w:val="52"/>
          <w:szCs w:val="52"/>
        </w:rPr>
        <w:t>建设工程施工合同</w:t>
      </w:r>
    </w:p>
    <w:p w14:paraId="23D7DBA5">
      <w:pPr>
        <w:pStyle w:val="254"/>
        <w:spacing w:after="0" w:line="300" w:lineRule="auto"/>
        <w:ind w:left="250" w:right="720"/>
        <w:jc w:val="center"/>
        <w:rPr>
          <w:rFonts w:hint="eastAsia" w:ascii="华文中宋" w:hAnsi="华文中宋" w:eastAsia="华文中宋"/>
          <w:b/>
          <w:sz w:val="36"/>
        </w:rPr>
      </w:pPr>
    </w:p>
    <w:p w14:paraId="063D51AB">
      <w:pPr>
        <w:spacing w:after="0" w:line="300" w:lineRule="auto"/>
      </w:pPr>
    </w:p>
    <w:p w14:paraId="5B41A9C3">
      <w:pPr>
        <w:spacing w:after="0" w:line="360" w:lineRule="auto"/>
        <w:jc w:val="left"/>
      </w:pPr>
    </w:p>
    <w:p w14:paraId="71EBC76C">
      <w:pPr>
        <w:pStyle w:val="2"/>
        <w:spacing w:after="0"/>
        <w:ind w:left="840" w:hanging="420"/>
      </w:pPr>
    </w:p>
    <w:p w14:paraId="5CCC9355">
      <w:pPr>
        <w:pStyle w:val="2"/>
        <w:spacing w:after="0"/>
        <w:ind w:left="840" w:hanging="420"/>
      </w:pPr>
    </w:p>
    <w:p w14:paraId="3DD1ED28">
      <w:pPr>
        <w:spacing w:after="0" w:line="360" w:lineRule="auto"/>
        <w:jc w:val="left"/>
      </w:pPr>
    </w:p>
    <w:p w14:paraId="642111D8">
      <w:pPr>
        <w:spacing w:after="0" w:line="360" w:lineRule="auto"/>
        <w:jc w:val="left"/>
        <w:rPr>
          <w:sz w:val="28"/>
          <w:szCs w:val="28"/>
        </w:rPr>
      </w:pPr>
      <w:r>
        <w:rPr>
          <w:rFonts w:hint="eastAsia" w:ascii="宋体" w:hAnsi="宋体" w:cs="Arial"/>
          <w:sz w:val="28"/>
          <w:szCs w:val="28"/>
        </w:rPr>
        <w:t>项目名称</w:t>
      </w:r>
      <w:r>
        <w:rPr>
          <w:rFonts w:ascii="宋体" w:hAnsi="宋体" w:cs="Arial"/>
          <w:sz w:val="28"/>
          <w:szCs w:val="28"/>
        </w:rPr>
        <w:t>：</w:t>
      </w:r>
      <w:r>
        <w:rPr>
          <w:rFonts w:hint="eastAsia" w:ascii="宋体" w:hAnsi="宋体"/>
          <w:bCs/>
          <w:sz w:val="28"/>
          <w:szCs w:val="28"/>
          <w:u w:val="single"/>
          <w:lang w:eastAsia="zh-CN" w:bidi="ar"/>
        </w:rPr>
        <w:t>花卉大观园再生水智联灌溉提升项目</w:t>
      </w:r>
    </w:p>
    <w:p w14:paraId="1AF2E92C">
      <w:pPr>
        <w:spacing w:after="0" w:line="360" w:lineRule="auto"/>
        <w:jc w:val="left"/>
      </w:pPr>
    </w:p>
    <w:p w14:paraId="0B4032FE">
      <w:pPr>
        <w:spacing w:after="0" w:line="360" w:lineRule="auto"/>
        <w:jc w:val="left"/>
        <w:rPr>
          <w:bCs/>
          <w:sz w:val="28"/>
          <w:szCs w:val="28"/>
        </w:rPr>
      </w:pPr>
      <w:r>
        <w:rPr>
          <w:rFonts w:hint="eastAsia" w:ascii="宋体" w:hAnsi="宋体" w:cs="Arial"/>
          <w:sz w:val="28"/>
          <w:szCs w:val="28"/>
        </w:rPr>
        <w:t>甲    方</w:t>
      </w:r>
      <w:r>
        <w:rPr>
          <w:rFonts w:ascii="宋体" w:hAnsi="宋体" w:cs="Arial"/>
          <w:sz w:val="28"/>
          <w:szCs w:val="28"/>
        </w:rPr>
        <w:t>：</w:t>
      </w:r>
      <w:r>
        <w:rPr>
          <w:rFonts w:hint="eastAsia" w:ascii="宋体" w:hAnsi="宋体" w:cs="Arial"/>
          <w:sz w:val="28"/>
          <w:szCs w:val="28"/>
          <w:u w:val="single"/>
        </w:rPr>
        <w:t xml:space="preserve">    </w:t>
      </w:r>
      <w:r>
        <w:rPr>
          <w:rFonts w:hint="eastAsia" w:ascii="宋体" w:hAnsi="宋体"/>
          <w:bCs/>
          <w:sz w:val="28"/>
          <w:szCs w:val="28"/>
          <w:u w:val="single"/>
          <w:lang w:bidi="ar"/>
        </w:rPr>
        <w:t xml:space="preserve">                        </w:t>
      </w:r>
      <w:r>
        <w:rPr>
          <w:rFonts w:hint="eastAsia" w:ascii="宋体" w:hAnsi="宋体"/>
          <w:bCs/>
          <w:sz w:val="28"/>
          <w:szCs w:val="28"/>
          <w:u w:val="single"/>
          <w:lang w:val="en-US" w:eastAsia="zh-CN" w:bidi="ar"/>
        </w:rPr>
        <w:t xml:space="preserve"> </w:t>
      </w:r>
      <w:r>
        <w:rPr>
          <w:rFonts w:hint="eastAsia" w:ascii="宋体" w:hAnsi="宋体"/>
          <w:bCs/>
          <w:sz w:val="28"/>
          <w:szCs w:val="28"/>
          <w:u w:val="single"/>
          <w:lang w:bidi="ar"/>
        </w:rPr>
        <w:t xml:space="preserve">   </w:t>
      </w:r>
    </w:p>
    <w:p w14:paraId="07C641E1">
      <w:pPr>
        <w:spacing w:after="0" w:line="360" w:lineRule="auto"/>
        <w:jc w:val="left"/>
        <w:rPr>
          <w:rFonts w:hint="eastAsia" w:ascii="宋体" w:hAnsi="宋体"/>
          <w:bCs/>
          <w:sz w:val="28"/>
          <w:szCs w:val="28"/>
        </w:rPr>
      </w:pPr>
    </w:p>
    <w:p w14:paraId="1C588716">
      <w:pPr>
        <w:spacing w:after="0" w:line="360" w:lineRule="auto"/>
        <w:jc w:val="left"/>
        <w:rPr>
          <w:bCs/>
          <w:sz w:val="28"/>
          <w:szCs w:val="28"/>
        </w:rPr>
      </w:pPr>
      <w:r>
        <w:rPr>
          <w:rFonts w:hint="eastAsia" w:ascii="宋体" w:hAnsi="宋体"/>
          <w:bCs/>
          <w:sz w:val="28"/>
          <w:szCs w:val="28"/>
        </w:rPr>
        <w:t>乙    方：</w:t>
      </w:r>
      <w:r>
        <w:rPr>
          <w:rFonts w:hint="eastAsia" w:ascii="宋体" w:hAnsi="宋体" w:cs="Arial"/>
          <w:bCs/>
          <w:sz w:val="28"/>
          <w:szCs w:val="28"/>
          <w:u w:val="single"/>
        </w:rPr>
        <w:t xml:space="preserve">    </w:t>
      </w:r>
      <w:r>
        <w:rPr>
          <w:rFonts w:hint="eastAsia" w:ascii="宋体" w:hAnsi="宋体"/>
          <w:bCs/>
          <w:sz w:val="28"/>
          <w:szCs w:val="28"/>
          <w:u w:val="single"/>
          <w:lang w:bidi="ar"/>
        </w:rPr>
        <w:t xml:space="preserve">                       </w:t>
      </w:r>
      <w:r>
        <w:rPr>
          <w:rFonts w:hint="eastAsia" w:ascii="宋体" w:hAnsi="宋体"/>
          <w:bCs/>
          <w:sz w:val="28"/>
          <w:szCs w:val="28"/>
          <w:u w:val="single"/>
          <w:lang w:val="en-US" w:eastAsia="zh-CN" w:bidi="ar"/>
        </w:rPr>
        <w:t xml:space="preserve"> </w:t>
      </w:r>
      <w:r>
        <w:rPr>
          <w:rFonts w:hint="eastAsia" w:ascii="宋体" w:hAnsi="宋体"/>
          <w:bCs/>
          <w:sz w:val="28"/>
          <w:szCs w:val="28"/>
          <w:u w:val="single"/>
          <w:lang w:bidi="ar"/>
        </w:rPr>
        <w:t xml:space="preserve">    </w:t>
      </w:r>
    </w:p>
    <w:p w14:paraId="1224CA13">
      <w:pPr>
        <w:spacing w:after="0" w:line="360" w:lineRule="auto"/>
        <w:jc w:val="left"/>
        <w:rPr>
          <w:sz w:val="28"/>
          <w:szCs w:val="28"/>
        </w:rPr>
      </w:pPr>
    </w:p>
    <w:p w14:paraId="2DF3972C">
      <w:pPr>
        <w:spacing w:after="0" w:line="360" w:lineRule="auto"/>
        <w:jc w:val="left"/>
        <w:rPr>
          <w:sz w:val="28"/>
          <w:szCs w:val="28"/>
        </w:rPr>
      </w:pPr>
      <w:r>
        <w:rPr>
          <w:rFonts w:hint="eastAsia"/>
          <w:sz w:val="28"/>
          <w:szCs w:val="28"/>
        </w:rPr>
        <w:t>签订日期：</w:t>
      </w:r>
      <w:r>
        <w:rPr>
          <w:rFonts w:hint="eastAsia" w:ascii="宋体" w:hAnsi="宋体"/>
          <w:sz w:val="28"/>
          <w:szCs w:val="28"/>
          <w:u w:val="single"/>
        </w:rPr>
        <w:t xml:space="preserve">  2026 </w:t>
      </w:r>
      <w:r>
        <w:rPr>
          <w:rFonts w:hint="eastAsia" w:ascii="宋体" w:hAnsi="宋体"/>
          <w:sz w:val="28"/>
          <w:szCs w:val="28"/>
        </w:rPr>
        <w:t xml:space="preserve">年 </w:t>
      </w:r>
      <w:r>
        <w:rPr>
          <w:rFonts w:hint="eastAsia" w:ascii="宋体" w:hAnsi="宋体"/>
          <w:sz w:val="28"/>
          <w:szCs w:val="28"/>
          <w:u w:val="single"/>
        </w:rPr>
        <w:t xml:space="preserve">     </w:t>
      </w:r>
      <w:r>
        <w:rPr>
          <w:rFonts w:hint="eastAsia" w:ascii="宋体" w:hAnsi="宋体"/>
          <w:sz w:val="28"/>
          <w:szCs w:val="28"/>
        </w:rPr>
        <w:t>月</w:t>
      </w:r>
      <w:r>
        <w:rPr>
          <w:rFonts w:hint="eastAsia" w:ascii="宋体" w:hAnsi="宋体"/>
          <w:sz w:val="28"/>
          <w:szCs w:val="28"/>
          <w:u w:val="single"/>
        </w:rPr>
        <w:t xml:space="preserve">      </w:t>
      </w:r>
      <w:r>
        <w:rPr>
          <w:rFonts w:hint="eastAsia" w:ascii="宋体" w:hAnsi="宋体"/>
          <w:sz w:val="28"/>
          <w:szCs w:val="28"/>
        </w:rPr>
        <w:t>日</w:t>
      </w:r>
    </w:p>
    <w:p w14:paraId="433145D0">
      <w:pPr>
        <w:spacing w:after="0" w:line="360" w:lineRule="auto"/>
        <w:jc w:val="left"/>
        <w:rPr>
          <w:sz w:val="28"/>
          <w:szCs w:val="28"/>
        </w:rPr>
      </w:pPr>
    </w:p>
    <w:p w14:paraId="67A98D59">
      <w:pPr>
        <w:spacing w:after="0" w:line="360" w:lineRule="auto"/>
        <w:jc w:val="left"/>
        <w:rPr>
          <w:sz w:val="28"/>
          <w:szCs w:val="28"/>
        </w:rPr>
      </w:pPr>
      <w:r>
        <w:rPr>
          <w:rFonts w:hint="eastAsia"/>
          <w:sz w:val="28"/>
          <w:szCs w:val="28"/>
        </w:rPr>
        <w:t>签约地点：</w:t>
      </w:r>
      <w:r>
        <w:rPr>
          <w:rFonts w:hint="eastAsia"/>
          <w:sz w:val="28"/>
          <w:szCs w:val="28"/>
          <w:u w:val="single"/>
        </w:rPr>
        <w:t xml:space="preserve">   北京市丰台区                       </w:t>
      </w:r>
    </w:p>
    <w:p w14:paraId="36535F5F">
      <w:pPr>
        <w:spacing w:after="0" w:line="360" w:lineRule="auto"/>
        <w:jc w:val="left"/>
        <w:rPr>
          <w:rFonts w:hint="eastAsia" w:ascii="宋体" w:hAnsi="宋体" w:cs="宋体"/>
          <w:sz w:val="24"/>
        </w:rPr>
      </w:pPr>
      <w:r>
        <w:rPr>
          <w:rFonts w:hint="eastAsia" w:ascii="宋体" w:hAnsi="宋体" w:cs="宋体"/>
          <w:sz w:val="24"/>
        </w:rPr>
        <w:br w:type="page"/>
      </w:r>
    </w:p>
    <w:p w14:paraId="168B8FF3">
      <w:pPr>
        <w:wordWrap w:val="0"/>
        <w:spacing w:after="0" w:line="360" w:lineRule="auto"/>
        <w:ind w:firstLine="480" w:firstLineChars="200"/>
        <w:rPr>
          <w:rFonts w:hint="eastAsia" w:ascii="宋体" w:hAnsi="宋体" w:cs="宋体"/>
          <w:sz w:val="24"/>
        </w:rPr>
      </w:pPr>
      <w:r>
        <w:rPr>
          <w:rFonts w:hint="eastAsia" w:ascii="宋体" w:hAnsi="宋体" w:cs="宋体"/>
          <w:sz w:val="24"/>
        </w:rPr>
        <w:t>依照《中华人民共和国民法典》、《中华人民共和国建筑法》及其他有关法律、行政法规等规定，就承包方承包工程事宜，发包方与承包方遵循平等、自愿、公平和诚实信用的原则，经双方协商一致达成如下协议：</w:t>
      </w:r>
    </w:p>
    <w:p w14:paraId="3034FCD0">
      <w:pPr>
        <w:tabs>
          <w:tab w:val="left" w:pos="567"/>
          <w:tab w:val="left" w:pos="709"/>
          <w:tab w:val="left" w:pos="1276"/>
        </w:tabs>
        <w:wordWrap w:val="0"/>
        <w:spacing w:after="0" w:line="360" w:lineRule="auto"/>
        <w:rPr>
          <w:rFonts w:hint="eastAsia" w:ascii="宋体" w:hAnsi="宋体" w:cs="宋体"/>
          <w:b/>
          <w:sz w:val="24"/>
        </w:rPr>
      </w:pPr>
      <w:r>
        <w:rPr>
          <w:rFonts w:hint="eastAsia" w:ascii="宋体" w:hAnsi="宋体" w:cs="宋体"/>
          <w:b/>
          <w:sz w:val="24"/>
        </w:rPr>
        <w:t>第1条工期</w:t>
      </w:r>
    </w:p>
    <w:p w14:paraId="226EB55B">
      <w:pPr>
        <w:wordWrap w:val="0"/>
        <w:spacing w:after="0" w:line="360" w:lineRule="auto"/>
        <w:rPr>
          <w:rFonts w:hint="eastAsia" w:ascii="宋体" w:hAnsi="宋体" w:cs="宋体"/>
          <w:color w:val="000000"/>
          <w:sz w:val="24"/>
        </w:rPr>
      </w:pPr>
      <w:r>
        <w:rPr>
          <w:rFonts w:hint="eastAsia" w:ascii="宋体" w:hAnsi="宋体" w:cs="宋体"/>
          <w:sz w:val="24"/>
        </w:rPr>
        <w:t>1.1</w:t>
      </w:r>
      <w:r>
        <w:rPr>
          <w:rFonts w:hint="eastAsia" w:ascii="宋体" w:hAnsi="宋体" w:cs="宋体"/>
          <w:color w:val="000000"/>
          <w:sz w:val="24"/>
        </w:rPr>
        <w:t>本合同工程计划开工日期：</w:t>
      </w:r>
      <w:r>
        <w:rPr>
          <w:rFonts w:hint="eastAsia" w:ascii="宋体" w:hAnsi="宋体" w:cs="宋体"/>
          <w:color w:val="000000"/>
          <w:sz w:val="24"/>
          <w:u w:val="single"/>
        </w:rPr>
        <w:t xml:space="preserve">    </w:t>
      </w:r>
      <w:r>
        <w:rPr>
          <w:rFonts w:hint="eastAsia" w:ascii="宋体" w:hAnsi="宋体" w:cs="宋体"/>
          <w:color w:val="000000"/>
          <w:sz w:val="24"/>
        </w:rPr>
        <w:t>年</w:t>
      </w:r>
      <w:r>
        <w:rPr>
          <w:rFonts w:hint="eastAsia" w:ascii="宋体" w:hAnsi="宋体" w:cs="宋体"/>
          <w:color w:val="000000"/>
          <w:sz w:val="24"/>
          <w:u w:val="single"/>
        </w:rPr>
        <w:t xml:space="preserve">   </w:t>
      </w:r>
      <w:r>
        <w:rPr>
          <w:rFonts w:hint="eastAsia" w:ascii="宋体" w:hAnsi="宋体" w:cs="宋体"/>
          <w:color w:val="000000"/>
          <w:sz w:val="24"/>
        </w:rPr>
        <w:t>月</w:t>
      </w:r>
      <w:r>
        <w:rPr>
          <w:rFonts w:hint="eastAsia" w:ascii="宋体" w:hAnsi="宋体" w:cs="宋体"/>
          <w:color w:val="000000"/>
          <w:sz w:val="24"/>
          <w:u w:val="single"/>
        </w:rPr>
        <w:t xml:space="preserve">   </w:t>
      </w:r>
      <w:r>
        <w:rPr>
          <w:rFonts w:hint="eastAsia" w:ascii="宋体" w:hAnsi="宋体" w:cs="宋体"/>
          <w:color w:val="000000"/>
          <w:sz w:val="24"/>
        </w:rPr>
        <w:t>日；</w:t>
      </w:r>
    </w:p>
    <w:p w14:paraId="75635210">
      <w:pPr>
        <w:wordWrap w:val="0"/>
        <w:spacing w:after="0" w:line="360" w:lineRule="auto"/>
        <w:ind w:firstLine="1480"/>
        <w:rPr>
          <w:rFonts w:hint="eastAsia" w:ascii="宋体" w:hAnsi="宋体" w:cs="宋体"/>
          <w:color w:val="000000"/>
          <w:sz w:val="24"/>
        </w:rPr>
      </w:pPr>
      <w:r>
        <w:rPr>
          <w:rFonts w:hint="eastAsia" w:ascii="宋体" w:hAnsi="宋体" w:cs="宋体"/>
          <w:color w:val="000000"/>
          <w:sz w:val="24"/>
        </w:rPr>
        <w:t>计划竣工日期：</w:t>
      </w:r>
      <w:r>
        <w:rPr>
          <w:rFonts w:hint="eastAsia" w:ascii="宋体" w:hAnsi="宋体" w:cs="宋体"/>
          <w:color w:val="000000"/>
          <w:sz w:val="24"/>
          <w:u w:val="single"/>
        </w:rPr>
        <w:t xml:space="preserve">     </w:t>
      </w:r>
      <w:r>
        <w:rPr>
          <w:rFonts w:hint="eastAsia" w:ascii="宋体" w:hAnsi="宋体" w:cs="宋体"/>
          <w:color w:val="000000"/>
          <w:sz w:val="24"/>
        </w:rPr>
        <w:t>年</w:t>
      </w:r>
      <w:r>
        <w:rPr>
          <w:rFonts w:hint="eastAsia" w:ascii="宋体" w:hAnsi="宋体" w:cs="宋体"/>
          <w:color w:val="000000"/>
          <w:sz w:val="24"/>
          <w:u w:val="single"/>
        </w:rPr>
        <w:t xml:space="preserve">   </w:t>
      </w:r>
      <w:r>
        <w:rPr>
          <w:rFonts w:hint="eastAsia" w:ascii="宋体" w:hAnsi="宋体" w:cs="宋体"/>
          <w:color w:val="000000"/>
          <w:sz w:val="24"/>
        </w:rPr>
        <w:t>月</w:t>
      </w:r>
      <w:r>
        <w:rPr>
          <w:rFonts w:hint="eastAsia" w:ascii="宋体" w:hAnsi="宋体" w:cs="宋体"/>
          <w:color w:val="000000"/>
          <w:sz w:val="24"/>
          <w:u w:val="single"/>
        </w:rPr>
        <w:t xml:space="preserve">   </w:t>
      </w:r>
      <w:r>
        <w:rPr>
          <w:rFonts w:hint="eastAsia" w:ascii="宋体" w:hAnsi="宋体" w:cs="宋体"/>
          <w:color w:val="000000"/>
          <w:sz w:val="24"/>
        </w:rPr>
        <w:t>日。</w:t>
      </w:r>
    </w:p>
    <w:p w14:paraId="28F49BD6">
      <w:pPr>
        <w:wordWrap w:val="0"/>
        <w:spacing w:after="0" w:line="360" w:lineRule="auto"/>
        <w:ind w:firstLine="1480"/>
        <w:rPr>
          <w:rFonts w:hint="eastAsia" w:ascii="宋体" w:hAnsi="宋体" w:cs="宋体"/>
          <w:color w:val="000000"/>
          <w:sz w:val="24"/>
        </w:rPr>
      </w:pPr>
      <w:r>
        <w:rPr>
          <w:rFonts w:hint="eastAsia" w:ascii="宋体" w:hAnsi="宋体" w:cs="宋体"/>
          <w:color w:val="000000"/>
          <w:sz w:val="24"/>
        </w:rPr>
        <w:t>合同工期总日历天数为</w:t>
      </w:r>
      <w:r>
        <w:rPr>
          <w:rFonts w:hint="eastAsia" w:ascii="宋体" w:hAnsi="宋体" w:cs="宋体"/>
          <w:color w:val="000000"/>
          <w:sz w:val="24"/>
          <w:u w:val="single"/>
        </w:rPr>
        <w:t xml:space="preserve">    </w:t>
      </w:r>
      <w:r>
        <w:rPr>
          <w:rFonts w:hint="eastAsia" w:ascii="宋体" w:hAnsi="宋体" w:cs="宋体"/>
          <w:color w:val="000000"/>
          <w:sz w:val="24"/>
        </w:rPr>
        <w:t>日。</w:t>
      </w:r>
    </w:p>
    <w:p w14:paraId="4B521CA4">
      <w:pPr>
        <w:wordWrap w:val="0"/>
        <w:spacing w:after="0" w:line="360" w:lineRule="auto"/>
        <w:ind w:firstLine="480" w:firstLineChars="200"/>
        <w:rPr>
          <w:rFonts w:hint="eastAsia" w:ascii="宋体" w:hAnsi="宋体" w:cs="宋体"/>
          <w:sz w:val="24"/>
        </w:rPr>
      </w:pPr>
      <w:r>
        <w:rPr>
          <w:rFonts w:hint="eastAsia" w:ascii="宋体" w:hAnsi="宋体" w:cs="宋体"/>
          <w:sz w:val="24"/>
        </w:rPr>
        <w:t>工期如需提前或迟延，以最终进场、撤场时间为准。承包方应根据发包方通知的时间开工。承包方于本合同工程实施完毕后，无条件退场。</w:t>
      </w:r>
    </w:p>
    <w:p w14:paraId="6DCF1BE4">
      <w:pPr>
        <w:tabs>
          <w:tab w:val="left" w:pos="567"/>
        </w:tabs>
        <w:wordWrap w:val="0"/>
        <w:spacing w:after="0" w:line="360" w:lineRule="auto"/>
        <w:rPr>
          <w:rFonts w:hint="eastAsia" w:ascii="宋体" w:hAnsi="宋体" w:cs="宋体"/>
          <w:sz w:val="24"/>
          <w:u w:val="single"/>
        </w:rPr>
      </w:pPr>
      <w:r>
        <w:rPr>
          <w:rFonts w:hint="eastAsia" w:ascii="宋体" w:hAnsi="宋体" w:cs="宋体"/>
          <w:sz w:val="24"/>
        </w:rPr>
        <w:t>1.2承包方为提前工期采取的相应措施及因此增加的经济支出：</w:t>
      </w:r>
    </w:p>
    <w:p w14:paraId="70DFEE49">
      <w:pPr>
        <w:wordWrap w:val="0"/>
        <w:spacing w:after="0" w:line="360" w:lineRule="auto"/>
        <w:rPr>
          <w:rFonts w:hint="eastAsia" w:ascii="宋体" w:hAnsi="宋体" w:cs="宋体"/>
          <w:sz w:val="24"/>
          <w:u w:val="single"/>
        </w:rPr>
      </w:pPr>
      <w:r>
        <w:rPr>
          <w:rFonts w:hint="eastAsia" w:ascii="宋体" w:hAnsi="宋体" w:cs="宋体"/>
          <w:sz w:val="24"/>
        </w:rPr>
        <w:t>1.3工期提前或延误的奖罚，由双方协商后在合同中约定。</w:t>
      </w:r>
    </w:p>
    <w:p w14:paraId="556B21DA">
      <w:pPr>
        <w:wordWrap w:val="0"/>
        <w:spacing w:after="0" w:line="360" w:lineRule="auto"/>
        <w:rPr>
          <w:rFonts w:hint="eastAsia" w:ascii="宋体" w:hAnsi="宋体" w:cs="宋体"/>
          <w:b/>
          <w:sz w:val="24"/>
        </w:rPr>
      </w:pPr>
      <w:r>
        <w:rPr>
          <w:rFonts w:hint="eastAsia" w:ascii="宋体" w:hAnsi="宋体" w:cs="宋体"/>
          <w:b/>
          <w:sz w:val="24"/>
        </w:rPr>
        <w:t>第2条图纸</w:t>
      </w:r>
    </w:p>
    <w:p w14:paraId="3D5E5403">
      <w:pPr>
        <w:wordWrap w:val="0"/>
        <w:spacing w:after="0" w:line="360" w:lineRule="auto"/>
        <w:rPr>
          <w:rFonts w:hint="eastAsia" w:ascii="宋体" w:hAnsi="宋体" w:cs="宋体"/>
          <w:sz w:val="24"/>
          <w:u w:val="single"/>
        </w:rPr>
      </w:pPr>
      <w:r>
        <w:rPr>
          <w:rFonts w:hint="eastAsia" w:ascii="宋体" w:hAnsi="宋体" w:cs="宋体"/>
          <w:sz w:val="24"/>
        </w:rPr>
        <w:t>承包方于/年/月/日向发包方提供施工图纸套，开工前双方应对施工图纸进行签章确认，承包方应严格按照图纸开始施工。</w:t>
      </w:r>
    </w:p>
    <w:p w14:paraId="213B3362">
      <w:pPr>
        <w:wordWrap w:val="0"/>
        <w:spacing w:after="0" w:line="360" w:lineRule="auto"/>
        <w:rPr>
          <w:rFonts w:hint="eastAsia" w:ascii="宋体" w:hAnsi="宋体" w:cs="宋体"/>
          <w:b/>
          <w:sz w:val="24"/>
        </w:rPr>
      </w:pPr>
      <w:r>
        <w:rPr>
          <w:rFonts w:hint="eastAsia" w:ascii="宋体" w:hAnsi="宋体" w:cs="宋体"/>
          <w:b/>
          <w:sz w:val="24"/>
        </w:rPr>
        <w:t>第3条驻工地代表</w:t>
      </w:r>
    </w:p>
    <w:p w14:paraId="6350A303">
      <w:pPr>
        <w:wordWrap w:val="0"/>
        <w:spacing w:after="0" w:line="360" w:lineRule="auto"/>
        <w:rPr>
          <w:rFonts w:hint="eastAsia" w:ascii="宋体" w:hAnsi="宋体" w:cs="宋体"/>
          <w:sz w:val="24"/>
        </w:rPr>
      </w:pPr>
      <w:r>
        <w:rPr>
          <w:rFonts w:hint="eastAsia" w:ascii="宋体" w:hAnsi="宋体" w:cs="宋体"/>
          <w:sz w:val="24"/>
        </w:rPr>
        <w:t>发包方联系人姓名：</w:t>
      </w:r>
      <w:r>
        <w:rPr>
          <w:rFonts w:hint="eastAsia" w:ascii="宋体" w:hAnsi="宋体" w:cs="宋体"/>
          <w:color w:val="000000"/>
          <w:sz w:val="24"/>
          <w:u w:val="single"/>
        </w:rPr>
        <w:t xml:space="preserve">     </w:t>
      </w:r>
      <w:r>
        <w:rPr>
          <w:rFonts w:hint="eastAsia" w:ascii="宋体" w:hAnsi="宋体" w:cs="宋体"/>
          <w:sz w:val="24"/>
        </w:rPr>
        <w:t>；项目经理：</w:t>
      </w:r>
      <w:r>
        <w:rPr>
          <w:rFonts w:hint="eastAsia" w:ascii="宋体" w:hAnsi="宋体" w:cs="宋体"/>
          <w:color w:val="000000"/>
          <w:sz w:val="24"/>
          <w:u w:val="single"/>
        </w:rPr>
        <w:t xml:space="preserve">     </w:t>
      </w:r>
      <w:r>
        <w:rPr>
          <w:rFonts w:hint="eastAsia" w:ascii="宋体" w:hAnsi="宋体" w:cs="宋体"/>
          <w:sz w:val="24"/>
        </w:rPr>
        <w:t>。</w:t>
      </w:r>
    </w:p>
    <w:p w14:paraId="18E1778C">
      <w:pPr>
        <w:widowControl/>
        <w:wordWrap w:val="0"/>
        <w:spacing w:after="0" w:line="360" w:lineRule="auto"/>
        <w:jc w:val="left"/>
        <w:rPr>
          <w:rFonts w:hint="eastAsia" w:ascii="宋体" w:hAnsi="宋体" w:cs="宋体"/>
          <w:sz w:val="24"/>
        </w:rPr>
      </w:pPr>
      <w:r>
        <w:rPr>
          <w:rFonts w:hint="eastAsia" w:ascii="宋体" w:hAnsi="宋体" w:cs="宋体"/>
          <w:sz w:val="24"/>
        </w:rPr>
        <w:t>承包方联系人姓名：</w:t>
      </w:r>
      <w:r>
        <w:rPr>
          <w:rFonts w:hint="eastAsia" w:ascii="宋体" w:hAnsi="宋体" w:cs="宋体"/>
          <w:color w:val="000000"/>
          <w:sz w:val="24"/>
          <w:u w:val="single"/>
        </w:rPr>
        <w:t xml:space="preserve">     </w:t>
      </w:r>
      <w:r>
        <w:rPr>
          <w:rFonts w:hint="eastAsia" w:ascii="宋体" w:hAnsi="宋体" w:cs="宋体"/>
          <w:sz w:val="24"/>
        </w:rPr>
        <w:t>；项目经理：</w:t>
      </w:r>
      <w:r>
        <w:rPr>
          <w:rFonts w:hint="eastAsia" w:ascii="宋体" w:hAnsi="宋体" w:cs="宋体"/>
          <w:color w:val="000000"/>
          <w:sz w:val="24"/>
          <w:u w:val="single"/>
        </w:rPr>
        <w:t xml:space="preserve">     </w:t>
      </w:r>
      <w:r>
        <w:rPr>
          <w:rFonts w:hint="eastAsia" w:ascii="宋体" w:hAnsi="宋体" w:cs="宋体"/>
          <w:sz w:val="24"/>
        </w:rPr>
        <w:t>。</w:t>
      </w:r>
    </w:p>
    <w:p w14:paraId="6E801D2A">
      <w:pPr>
        <w:wordWrap w:val="0"/>
        <w:spacing w:after="0" w:line="360" w:lineRule="auto"/>
        <w:rPr>
          <w:rFonts w:hint="eastAsia" w:ascii="宋体" w:hAnsi="宋体" w:cs="宋体"/>
          <w:sz w:val="24"/>
        </w:rPr>
      </w:pPr>
      <w:r>
        <w:rPr>
          <w:rFonts w:hint="eastAsia" w:ascii="宋体" w:hAnsi="宋体" w:cs="宋体"/>
          <w:sz w:val="24"/>
        </w:rPr>
        <w:t>监理人：</w:t>
      </w:r>
      <w:r>
        <w:rPr>
          <w:rFonts w:hint="eastAsia" w:ascii="宋体" w:hAnsi="宋体" w:cs="宋体"/>
          <w:color w:val="000000"/>
          <w:sz w:val="24"/>
          <w:u w:val="single"/>
        </w:rPr>
        <w:t xml:space="preserve">     </w:t>
      </w:r>
      <w:r>
        <w:rPr>
          <w:rFonts w:hint="eastAsia" w:ascii="宋体" w:hAnsi="宋体" w:cs="宋体"/>
          <w:sz w:val="24"/>
        </w:rPr>
        <w:t>。</w:t>
      </w:r>
    </w:p>
    <w:p w14:paraId="1ADF7F85">
      <w:pPr>
        <w:tabs>
          <w:tab w:val="left" w:pos="426"/>
        </w:tabs>
        <w:wordWrap w:val="0"/>
        <w:spacing w:after="0" w:line="360" w:lineRule="auto"/>
        <w:rPr>
          <w:rFonts w:hint="eastAsia" w:ascii="宋体" w:hAnsi="宋体" w:cs="宋体"/>
          <w:b/>
          <w:sz w:val="24"/>
        </w:rPr>
      </w:pPr>
      <w:r>
        <w:rPr>
          <w:rFonts w:hint="eastAsia" w:ascii="宋体" w:hAnsi="宋体" w:cs="宋体"/>
          <w:b/>
          <w:sz w:val="24"/>
        </w:rPr>
        <w:t>第4条发包方工作</w:t>
      </w:r>
    </w:p>
    <w:p w14:paraId="03DC0738">
      <w:pPr>
        <w:wordWrap w:val="0"/>
        <w:spacing w:after="0" w:line="360" w:lineRule="auto"/>
        <w:rPr>
          <w:rFonts w:hint="eastAsia" w:ascii="宋体" w:hAnsi="宋体" w:cs="宋体"/>
          <w:sz w:val="24"/>
        </w:rPr>
      </w:pPr>
      <w:r>
        <w:rPr>
          <w:rFonts w:hint="eastAsia" w:ascii="宋体" w:hAnsi="宋体" w:cs="宋体"/>
          <w:sz w:val="24"/>
        </w:rPr>
        <w:t>4.1发包方或发包方委托监理人按照合同约定的期限向承包方发出开工通知。</w:t>
      </w:r>
    </w:p>
    <w:p w14:paraId="69C99FE1">
      <w:pPr>
        <w:wordWrap w:val="0"/>
        <w:spacing w:after="0" w:line="360" w:lineRule="auto"/>
        <w:rPr>
          <w:rFonts w:hint="eastAsia" w:ascii="宋体" w:hAnsi="宋体" w:cs="宋体"/>
          <w:sz w:val="24"/>
        </w:rPr>
      </w:pPr>
      <w:r>
        <w:rPr>
          <w:rFonts w:hint="eastAsia" w:ascii="宋体" w:hAnsi="宋体" w:cs="宋体"/>
          <w:sz w:val="24"/>
        </w:rPr>
        <w:t>4.2 协助承包方将施工所需水、电线路、道路接通至施工现场，并于施工期间配合承包方的工作，向承包方提供施工现场资料。将水准点与座标控制点位置提交给承包方，并于现场交验，协调、处理施工现场周围建筑物、构筑物（含文物保护建筑）、古树名木和地下管线的保护及施工扰民问题。</w:t>
      </w:r>
    </w:p>
    <w:p w14:paraId="112414CD">
      <w:pPr>
        <w:wordWrap w:val="0"/>
        <w:spacing w:after="0" w:line="360" w:lineRule="auto"/>
        <w:rPr>
          <w:rFonts w:hint="eastAsia" w:ascii="宋体" w:hAnsi="宋体" w:cs="宋体"/>
          <w:sz w:val="24"/>
        </w:rPr>
      </w:pPr>
      <w:r>
        <w:rPr>
          <w:rFonts w:hint="eastAsia" w:ascii="宋体" w:hAnsi="宋体" w:cs="宋体"/>
          <w:sz w:val="24"/>
        </w:rPr>
        <w:t>4.3合同签订后7日内组织会审图纸和设计交底，在收到承包方提供的施工组织设计（或施工方案）和进度计划后5日内予以确认。</w:t>
      </w:r>
    </w:p>
    <w:p w14:paraId="4BB8C4CE">
      <w:pPr>
        <w:wordWrap w:val="0"/>
        <w:spacing w:after="0" w:line="360" w:lineRule="auto"/>
        <w:rPr>
          <w:rFonts w:hint="eastAsia" w:ascii="宋体" w:hAnsi="宋体" w:cs="宋体"/>
          <w:b/>
          <w:sz w:val="24"/>
        </w:rPr>
      </w:pPr>
      <w:r>
        <w:rPr>
          <w:rFonts w:hint="eastAsia" w:ascii="宋体" w:hAnsi="宋体" w:cs="宋体"/>
          <w:b/>
          <w:sz w:val="24"/>
        </w:rPr>
        <w:t>第5条承包方工作</w:t>
      </w:r>
    </w:p>
    <w:p w14:paraId="19377268">
      <w:pPr>
        <w:wordWrap w:val="0"/>
        <w:spacing w:after="0" w:line="360" w:lineRule="auto"/>
        <w:rPr>
          <w:rFonts w:hint="eastAsia" w:ascii="宋体" w:hAnsi="宋体" w:cs="宋体"/>
          <w:sz w:val="24"/>
        </w:rPr>
      </w:pPr>
      <w:r>
        <w:rPr>
          <w:rFonts w:hint="eastAsia" w:ascii="宋体" w:hAnsi="宋体" w:cs="宋体"/>
          <w:sz w:val="24"/>
        </w:rPr>
        <w:t>5.1承包方应保证其具有承接本合同项下工程的相关资质，并将加盖公章的资质复印件交付发包方备案，并保证其所派员工具备上岗资格。</w:t>
      </w:r>
    </w:p>
    <w:p w14:paraId="12FB927A">
      <w:pPr>
        <w:wordWrap w:val="0"/>
        <w:spacing w:after="0" w:line="360" w:lineRule="auto"/>
        <w:rPr>
          <w:rFonts w:hint="eastAsia" w:ascii="宋体" w:hAnsi="宋体" w:cs="宋体"/>
          <w:sz w:val="24"/>
        </w:rPr>
      </w:pPr>
      <w:r>
        <w:rPr>
          <w:rFonts w:hint="eastAsia" w:ascii="宋体" w:hAnsi="宋体" w:cs="宋体"/>
          <w:sz w:val="24"/>
        </w:rPr>
        <w:t>5.2开工后5日向发包方报送施工计划和已完工程进度统计报表。</w:t>
      </w:r>
    </w:p>
    <w:p w14:paraId="6C78BF79">
      <w:pPr>
        <w:tabs>
          <w:tab w:val="left" w:pos="709"/>
        </w:tabs>
        <w:wordWrap w:val="0"/>
        <w:spacing w:after="0" w:line="360" w:lineRule="auto"/>
        <w:rPr>
          <w:rFonts w:hint="eastAsia" w:ascii="宋体" w:hAnsi="宋体" w:cs="宋体"/>
          <w:sz w:val="24"/>
        </w:rPr>
      </w:pPr>
      <w:r>
        <w:rPr>
          <w:rFonts w:hint="eastAsia" w:ascii="宋体" w:hAnsi="宋体" w:cs="宋体"/>
          <w:sz w:val="24"/>
        </w:rPr>
        <w:t>5.3本合同项下工程由承包方包工包料。承包方负责本合同项下工程所需的全部施工材料及工具、零部件、设备的采购，所支出的费用由承包方自行负担。</w:t>
      </w:r>
    </w:p>
    <w:p w14:paraId="124292F0">
      <w:pPr>
        <w:wordWrap w:val="0"/>
        <w:spacing w:after="0" w:line="360" w:lineRule="auto"/>
        <w:rPr>
          <w:rFonts w:hint="eastAsia" w:ascii="宋体" w:hAnsi="宋体" w:cs="宋体"/>
          <w:sz w:val="24"/>
        </w:rPr>
      </w:pPr>
      <w:r>
        <w:rPr>
          <w:rFonts w:hint="eastAsia" w:ascii="宋体" w:hAnsi="宋体" w:cs="宋体"/>
          <w:sz w:val="24"/>
        </w:rPr>
        <w:t>5.4承包方负责将施工材料、设备等运送至施工场地，向发包方提交合格证、检测报告等证明施工材料、设备符合国家相关质量标准的证明文件。</w:t>
      </w:r>
    </w:p>
    <w:p w14:paraId="3B2C9B9C">
      <w:pPr>
        <w:wordWrap w:val="0"/>
        <w:spacing w:after="0" w:line="360" w:lineRule="auto"/>
        <w:rPr>
          <w:rFonts w:hint="eastAsia" w:ascii="宋体" w:hAnsi="宋体" w:cs="宋体"/>
          <w:sz w:val="24"/>
        </w:rPr>
      </w:pPr>
      <w:r>
        <w:rPr>
          <w:rFonts w:hint="eastAsia" w:ascii="宋体" w:hAnsi="宋体" w:cs="宋体"/>
          <w:sz w:val="24"/>
        </w:rPr>
        <w:t>5.5承包方应对本合同项下工程项目采取安全措施，确保工程及其人员、材料、设备的安全，避免造成财产、人员的损害。</w:t>
      </w:r>
    </w:p>
    <w:p w14:paraId="52B69168">
      <w:pPr>
        <w:wordWrap w:val="0"/>
        <w:spacing w:after="0" w:line="360" w:lineRule="auto"/>
        <w:rPr>
          <w:rFonts w:hint="eastAsia" w:ascii="宋体" w:hAnsi="宋体" w:cs="宋体"/>
          <w:sz w:val="24"/>
        </w:rPr>
      </w:pPr>
      <w:r>
        <w:rPr>
          <w:rFonts w:hint="eastAsia" w:ascii="宋体" w:hAnsi="宋体" w:cs="宋体"/>
          <w:sz w:val="24"/>
        </w:rPr>
        <w:t>5.6遵守国家及本市有关部门对施工现场的交通和施工噪音等管理规定，负责安全保卫、整洁卫生等各项工作，做好施工现场周围建筑物、构筑物（含文物保护建筑）、古树名木和地下管线的保护。发现地下障碍和文物时，及时报告有关部门并采取有效保护措施，按有关具体规定处置，此项费用已包含在本合同总价款内，延误的工期相应顺延。</w:t>
      </w:r>
    </w:p>
    <w:p w14:paraId="31B240D9">
      <w:pPr>
        <w:wordWrap w:val="0"/>
        <w:spacing w:after="0" w:line="360" w:lineRule="auto"/>
        <w:rPr>
          <w:rFonts w:hint="eastAsia" w:ascii="宋体" w:hAnsi="宋体" w:cs="宋体"/>
          <w:sz w:val="24"/>
        </w:rPr>
      </w:pPr>
      <w:r>
        <w:rPr>
          <w:rFonts w:hint="eastAsia" w:ascii="宋体" w:hAnsi="宋体" w:cs="宋体"/>
          <w:sz w:val="24"/>
        </w:rPr>
        <w:t>5.7 在图纸会审和设计交底后5日内向发包方提交施工组织设计（或施工方案）和进度计划。</w:t>
      </w:r>
    </w:p>
    <w:p w14:paraId="4BDEBEB0">
      <w:pPr>
        <w:tabs>
          <w:tab w:val="left" w:pos="1134"/>
        </w:tabs>
        <w:wordWrap w:val="0"/>
        <w:spacing w:after="0" w:line="360" w:lineRule="auto"/>
        <w:rPr>
          <w:rFonts w:hint="eastAsia" w:ascii="宋体" w:hAnsi="宋体" w:cs="宋体"/>
          <w:sz w:val="24"/>
        </w:rPr>
      </w:pPr>
      <w:r>
        <w:rPr>
          <w:rFonts w:hint="eastAsia" w:ascii="宋体" w:hAnsi="宋体" w:cs="宋体"/>
          <w:sz w:val="24"/>
        </w:rPr>
        <w:t>5.8承包方应严格遵守本合同的约定及工程质量相关标准。按照本合同约定及发包方的要求进行施工，具体施工内容详见施工方案，施工方案作为本合同附件。</w:t>
      </w:r>
    </w:p>
    <w:p w14:paraId="5B031702">
      <w:pPr>
        <w:wordWrap w:val="0"/>
        <w:spacing w:after="0" w:line="360" w:lineRule="auto"/>
        <w:rPr>
          <w:rFonts w:hint="eastAsia" w:ascii="宋体" w:hAnsi="宋体" w:cs="宋体"/>
          <w:sz w:val="24"/>
        </w:rPr>
      </w:pPr>
      <w:r>
        <w:rPr>
          <w:rFonts w:hint="eastAsia" w:ascii="宋体" w:hAnsi="宋体" w:cs="宋体"/>
          <w:sz w:val="24"/>
        </w:rPr>
        <w:t>5.9工程接收证书颁发前，承包方应负责照管和维护工程。工程接收证书颁发时尚有部分未竣工工程的，承包方还应负责该未竣工工程的照管和维护工作，直至竣工后移交给发包方为止。</w:t>
      </w:r>
    </w:p>
    <w:p w14:paraId="60841BF8">
      <w:pPr>
        <w:wordWrap w:val="0"/>
        <w:spacing w:after="0" w:line="360" w:lineRule="auto"/>
        <w:rPr>
          <w:rFonts w:hint="eastAsia" w:ascii="宋体" w:hAnsi="宋体" w:cs="宋体"/>
          <w:sz w:val="24"/>
        </w:rPr>
      </w:pPr>
      <w:r>
        <w:rPr>
          <w:rFonts w:hint="eastAsia" w:ascii="宋体" w:hAnsi="宋体" w:cs="宋体"/>
          <w:sz w:val="24"/>
        </w:rPr>
        <w:t>5.10承包方应为其工作人员办理意外保险并将保险材料复印件提交发包方留存审查，费用由承包方自行负担。</w:t>
      </w:r>
    </w:p>
    <w:p w14:paraId="41E32C53">
      <w:pPr>
        <w:wordWrap w:val="0"/>
        <w:spacing w:after="0" w:line="360" w:lineRule="auto"/>
        <w:rPr>
          <w:rFonts w:hint="eastAsia" w:ascii="宋体" w:hAnsi="宋体" w:cs="宋体"/>
          <w:sz w:val="24"/>
        </w:rPr>
      </w:pPr>
      <w:r>
        <w:rPr>
          <w:rFonts w:hint="eastAsia" w:ascii="宋体" w:hAnsi="宋体" w:cs="宋体"/>
          <w:sz w:val="24"/>
        </w:rPr>
        <w:t>5.11凡在有毒有害环境中施工时，承包方应按有关规定提供相应的防护措施。</w:t>
      </w:r>
    </w:p>
    <w:p w14:paraId="126B8770">
      <w:pPr>
        <w:wordWrap w:val="0"/>
        <w:spacing w:after="0" w:line="360" w:lineRule="auto"/>
        <w:rPr>
          <w:rFonts w:hint="eastAsia" w:ascii="宋体" w:hAnsi="宋体" w:cs="宋体"/>
          <w:sz w:val="24"/>
        </w:rPr>
      </w:pPr>
      <w:r>
        <w:rPr>
          <w:rFonts w:hint="eastAsia" w:ascii="宋体" w:hAnsi="宋体" w:cs="宋体"/>
          <w:sz w:val="24"/>
        </w:rPr>
        <w:t>5.12承包方不按合同约定完成各项工作时，应承担由此给发包方造成的全部经济损失，工期不予顺延。</w:t>
      </w:r>
    </w:p>
    <w:p w14:paraId="3A499C9A">
      <w:pPr>
        <w:wordWrap w:val="0"/>
        <w:spacing w:after="0" w:line="360" w:lineRule="auto"/>
        <w:rPr>
          <w:rFonts w:hint="eastAsia" w:ascii="宋体" w:hAnsi="宋体" w:cs="宋体"/>
          <w:sz w:val="24"/>
        </w:rPr>
      </w:pPr>
      <w:r>
        <w:rPr>
          <w:rFonts w:hint="eastAsia" w:ascii="宋体" w:hAnsi="宋体" w:cs="宋体"/>
          <w:sz w:val="24"/>
        </w:rPr>
        <w:t>5.13承包方施工完毕后应对施工改造的工程房屋室内进行甲醛等有毒有害气体检测，并将检测报告交付发包方。若室内空气污染物浓度不符合有关标准的，应采取有效措施去除室内有毒有害气体直至符合室内办公或居住环境止。</w:t>
      </w:r>
    </w:p>
    <w:p w14:paraId="512CD523">
      <w:pPr>
        <w:wordWrap w:val="0"/>
        <w:spacing w:after="0" w:line="360" w:lineRule="auto"/>
        <w:rPr>
          <w:rFonts w:hint="eastAsia" w:ascii="宋体" w:hAnsi="宋体" w:cs="宋体"/>
          <w:sz w:val="24"/>
        </w:rPr>
      </w:pPr>
      <w:r>
        <w:rPr>
          <w:rFonts w:hint="eastAsia" w:ascii="宋体" w:hAnsi="宋体" w:cs="宋体"/>
          <w:sz w:val="24"/>
        </w:rPr>
        <w:t>5.14如由于发包方无正当理由影响正常施工的的工期，承包方须向监理人申请工期顺延，若承包方在3日内未申请工期顺延的，视为承包方放弃申请工期顺延的权利，工期不予以顺延。</w:t>
      </w:r>
    </w:p>
    <w:p w14:paraId="7FE12145">
      <w:pPr>
        <w:wordWrap w:val="0"/>
        <w:spacing w:after="0" w:line="360" w:lineRule="auto"/>
        <w:rPr>
          <w:rFonts w:hint="eastAsia" w:ascii="宋体" w:hAnsi="宋体" w:cs="宋体"/>
          <w:b/>
          <w:sz w:val="24"/>
        </w:rPr>
      </w:pPr>
      <w:r>
        <w:rPr>
          <w:rFonts w:hint="eastAsia" w:ascii="宋体" w:hAnsi="宋体" w:cs="宋体"/>
          <w:b/>
          <w:sz w:val="24"/>
        </w:rPr>
        <w:t>第6条隐蔽工程验收</w:t>
      </w:r>
    </w:p>
    <w:p w14:paraId="557465F6">
      <w:pPr>
        <w:wordWrap w:val="0"/>
        <w:spacing w:after="0" w:line="360" w:lineRule="auto"/>
        <w:rPr>
          <w:rFonts w:hint="eastAsia" w:ascii="宋体" w:hAnsi="宋体" w:cs="宋体"/>
          <w:sz w:val="24"/>
        </w:rPr>
      </w:pPr>
      <w:r>
        <w:rPr>
          <w:rFonts w:hint="eastAsia" w:ascii="宋体" w:hAnsi="宋体" w:cs="宋体"/>
          <w:sz w:val="24"/>
        </w:rPr>
        <w:t>6.1当工程具备覆盖、掩盖条件或达到中间验收部位以前，由承包方自检，并于自检后48小时内通知发包方、监理人参加验收，验收合格且发包方在验收记录上签字后，方可进行隐蔽和继续施工，工程质量符合规范要求，但发包方未在验收记录签字，视为未经发包方批准，承包方不可进行隐蔽或继续施工。验收不合格的，承包方应在发包方限定时间内修复后重新申请验收，工期不予以顺延。</w:t>
      </w:r>
    </w:p>
    <w:p w14:paraId="79287617">
      <w:pPr>
        <w:wordWrap w:val="0"/>
        <w:spacing w:after="0" w:line="360" w:lineRule="auto"/>
        <w:rPr>
          <w:rFonts w:hint="eastAsia" w:ascii="宋体" w:hAnsi="宋体" w:cs="宋体"/>
          <w:sz w:val="24"/>
        </w:rPr>
      </w:pPr>
      <w:r>
        <w:rPr>
          <w:rFonts w:hint="eastAsia" w:ascii="宋体" w:hAnsi="宋体" w:cs="宋体"/>
          <w:sz w:val="24"/>
        </w:rPr>
        <w:t>6.2本项检验不应影响施工正常进行，如影响施工正常进行，因此造成的损失及工期延误由承包方承担。</w:t>
      </w:r>
    </w:p>
    <w:p w14:paraId="5F24B618">
      <w:pPr>
        <w:wordWrap w:val="0"/>
        <w:spacing w:after="0" w:line="360" w:lineRule="auto"/>
        <w:rPr>
          <w:rFonts w:hint="eastAsia" w:ascii="宋体" w:hAnsi="宋体" w:cs="宋体"/>
          <w:b/>
          <w:sz w:val="24"/>
        </w:rPr>
      </w:pPr>
      <w:r>
        <w:rPr>
          <w:rFonts w:hint="eastAsia" w:ascii="宋体" w:hAnsi="宋体" w:cs="宋体"/>
          <w:b/>
          <w:sz w:val="24"/>
        </w:rPr>
        <w:t>第7条 工程质量</w:t>
      </w:r>
    </w:p>
    <w:p w14:paraId="71BC8778">
      <w:pPr>
        <w:wordWrap w:val="0"/>
        <w:spacing w:after="0" w:line="360" w:lineRule="auto"/>
        <w:rPr>
          <w:rFonts w:hint="eastAsia" w:ascii="宋体" w:hAnsi="宋体" w:cs="宋体"/>
          <w:sz w:val="24"/>
        </w:rPr>
      </w:pPr>
      <w:r>
        <w:rPr>
          <w:rFonts w:hint="eastAsia" w:ascii="宋体" w:hAnsi="宋体" w:cs="宋体"/>
          <w:sz w:val="24"/>
        </w:rPr>
        <w:t>7.1本合同项目工程质量，承包方应严格按照现行国家有关标准、行业标准、企业标准及相关文件中有关标准中最严格标准执行，工程施工完毕后满足发包方的使用需求。</w:t>
      </w:r>
    </w:p>
    <w:p w14:paraId="5A436646">
      <w:pPr>
        <w:wordWrap w:val="0"/>
        <w:spacing w:after="0" w:line="360" w:lineRule="auto"/>
        <w:rPr>
          <w:rFonts w:hint="eastAsia" w:ascii="宋体" w:hAnsi="宋体" w:cs="宋体"/>
          <w:sz w:val="24"/>
        </w:rPr>
      </w:pPr>
      <w:r>
        <w:rPr>
          <w:rFonts w:hint="eastAsia" w:ascii="宋体" w:hAnsi="宋体" w:cs="宋体"/>
          <w:sz w:val="24"/>
        </w:rPr>
        <w:t>7.2本合同项下工程应符合建筑物工程室内环境质量要求，室内环境污染浓度经施工后不得超过国家、地方等最严格标准，若国外标准严于我国标准的，应执行国外标准。</w:t>
      </w:r>
    </w:p>
    <w:p w14:paraId="326FBED6">
      <w:pPr>
        <w:wordWrap w:val="0"/>
        <w:spacing w:after="0" w:line="360" w:lineRule="auto"/>
        <w:rPr>
          <w:rFonts w:hint="eastAsia" w:ascii="宋体" w:hAnsi="宋体" w:cs="宋体"/>
          <w:sz w:val="24"/>
        </w:rPr>
      </w:pPr>
      <w:r>
        <w:rPr>
          <w:rFonts w:hint="eastAsia" w:ascii="宋体" w:hAnsi="宋体" w:cs="宋体"/>
          <w:sz w:val="24"/>
        </w:rPr>
        <w:t>7.3发包方、承包方办理竣工验收手续后，发包方于10日内按有关规定向质量监督机构申报竣工工程质量备案。承包方应按法律、行政法规或国家关于工程质量保修的有关规定，对交付发包方使用的工程在质量保修期内承担质量保修责任。本合同项目工程验收合格，不免除承包方对工程质量应承担的相关责任。</w:t>
      </w:r>
    </w:p>
    <w:p w14:paraId="45981A53">
      <w:pPr>
        <w:tabs>
          <w:tab w:val="left" w:pos="426"/>
        </w:tabs>
        <w:wordWrap w:val="0"/>
        <w:spacing w:after="0" w:line="360" w:lineRule="auto"/>
        <w:rPr>
          <w:rFonts w:hint="eastAsia" w:ascii="宋体" w:hAnsi="宋体" w:cs="宋体"/>
          <w:b/>
          <w:sz w:val="24"/>
        </w:rPr>
      </w:pPr>
      <w:r>
        <w:rPr>
          <w:rFonts w:hint="eastAsia" w:ascii="宋体" w:hAnsi="宋体" w:cs="宋体"/>
          <w:b/>
          <w:sz w:val="24"/>
        </w:rPr>
        <w:t>第8条设计变更及合同价款的调整</w:t>
      </w:r>
    </w:p>
    <w:p w14:paraId="2C156784">
      <w:pPr>
        <w:wordWrap w:val="0"/>
        <w:spacing w:after="0" w:line="360" w:lineRule="auto"/>
        <w:rPr>
          <w:rFonts w:hint="eastAsia" w:ascii="宋体" w:hAnsi="宋体" w:cs="宋体"/>
          <w:sz w:val="24"/>
        </w:rPr>
      </w:pPr>
      <w:r>
        <w:rPr>
          <w:rFonts w:hint="eastAsia" w:ascii="宋体" w:hAnsi="宋体" w:cs="宋体"/>
          <w:sz w:val="24"/>
        </w:rPr>
        <w:t>8.1施工中发包方有权对原设计进行变更，但发包方应及时向承包方发出书面变更通知，否则，承包方有权拒绝变更。承包方应按通知进行变更，并于3日内根据发包方要求调整承包方式，提供变更后的完整资料，因变更导致的合理经济支出，由发包方承担。发包方收到变更价款报告之日起5日内予以签章确认。</w:t>
      </w:r>
    </w:p>
    <w:p w14:paraId="79575EA2">
      <w:pPr>
        <w:pStyle w:val="181"/>
        <w:numPr>
          <w:ilvl w:val="1"/>
          <w:numId w:val="11"/>
        </w:numPr>
        <w:wordWrap w:val="0"/>
        <w:spacing w:after="0" w:line="360" w:lineRule="auto"/>
        <w:ind w:firstLineChars="0"/>
        <w:rPr>
          <w:rFonts w:hint="eastAsia" w:ascii="宋体" w:hAnsi="宋体" w:cs="宋体"/>
          <w:sz w:val="24"/>
        </w:rPr>
      </w:pPr>
      <w:r>
        <w:rPr>
          <w:rFonts w:hint="eastAsia" w:ascii="宋体" w:hAnsi="宋体" w:cs="宋体"/>
          <w:sz w:val="24"/>
        </w:rPr>
        <w:t>本项目按可调整的承包方式对承包造价作如下调整：</w:t>
      </w:r>
    </w:p>
    <w:p w14:paraId="56D0D7BD">
      <w:pPr>
        <w:wordWrap w:val="0"/>
        <w:spacing w:after="0" w:line="360" w:lineRule="auto"/>
        <w:rPr>
          <w:rFonts w:hint="eastAsia" w:ascii="宋体" w:hAnsi="宋体" w:cs="宋体"/>
          <w:b/>
          <w:sz w:val="24"/>
        </w:rPr>
      </w:pPr>
      <w:r>
        <w:rPr>
          <w:rFonts w:hint="eastAsia" w:ascii="宋体" w:hAnsi="宋体" w:cs="宋体"/>
          <w:b/>
          <w:sz w:val="24"/>
        </w:rPr>
        <w:t>第9条竣工验收</w:t>
      </w:r>
    </w:p>
    <w:p w14:paraId="62F1EE8F">
      <w:pPr>
        <w:wordWrap w:val="0"/>
        <w:spacing w:after="0" w:line="360" w:lineRule="auto"/>
        <w:rPr>
          <w:rFonts w:hint="eastAsia" w:ascii="宋体" w:hAnsi="宋体" w:cs="宋体"/>
          <w:sz w:val="24"/>
        </w:rPr>
      </w:pPr>
      <w:bookmarkStart w:id="1226" w:name="_Toc450141310"/>
      <w:bookmarkStart w:id="1227" w:name="_Toc342296377"/>
      <w:bookmarkStart w:id="1228" w:name="_Toc152045726"/>
      <w:bookmarkStart w:id="1229" w:name="_Toc338944819"/>
      <w:bookmarkStart w:id="1230" w:name="_Toc144974697"/>
      <w:bookmarkStart w:id="1231" w:name="_Toc179632744"/>
      <w:bookmarkStart w:id="1232" w:name="_Toc152042505"/>
      <w:bookmarkStart w:id="1233" w:name="_Toc450142789"/>
      <w:r>
        <w:rPr>
          <w:rFonts w:hint="eastAsia" w:ascii="宋体" w:hAnsi="宋体" w:cs="宋体"/>
          <w:sz w:val="24"/>
        </w:rPr>
        <w:t>9.1竣工验收的含义</w:t>
      </w:r>
      <w:bookmarkEnd w:id="1226"/>
      <w:bookmarkEnd w:id="1227"/>
      <w:bookmarkEnd w:id="1228"/>
      <w:bookmarkEnd w:id="1229"/>
      <w:bookmarkEnd w:id="1230"/>
      <w:bookmarkEnd w:id="1231"/>
      <w:bookmarkEnd w:id="1232"/>
      <w:bookmarkEnd w:id="1233"/>
    </w:p>
    <w:p w14:paraId="46498E09">
      <w:pPr>
        <w:wordWrap w:val="0"/>
        <w:spacing w:after="0" w:line="360" w:lineRule="auto"/>
        <w:rPr>
          <w:rFonts w:hint="eastAsia" w:ascii="宋体" w:hAnsi="宋体" w:cs="宋体"/>
          <w:sz w:val="24"/>
        </w:rPr>
      </w:pPr>
      <w:r>
        <w:rPr>
          <w:rFonts w:hint="eastAsia" w:ascii="宋体" w:hAnsi="宋体" w:cs="宋体"/>
          <w:sz w:val="24"/>
        </w:rPr>
        <w:t>9.1.1竣工验收指承包方完成了全部合同工作后，发包方按合同要求进行的验收。</w:t>
      </w:r>
    </w:p>
    <w:p w14:paraId="6E75FACC">
      <w:pPr>
        <w:wordWrap w:val="0"/>
        <w:spacing w:after="0" w:line="360" w:lineRule="auto"/>
        <w:rPr>
          <w:rFonts w:hint="eastAsia" w:ascii="宋体" w:hAnsi="宋体" w:cs="宋体"/>
          <w:sz w:val="24"/>
        </w:rPr>
      </w:pPr>
      <w:r>
        <w:rPr>
          <w:rFonts w:hint="eastAsia" w:ascii="宋体" w:hAnsi="宋体" w:cs="宋体"/>
          <w:sz w:val="24"/>
        </w:rPr>
        <w:t>9.1.2竣工验收所采用的各项验收和评定标准应符合改造工程国家最新现行验收标准。发包方和承包方为竣工验收提供的各项竣工验收资料应符合国家验收的要求。</w:t>
      </w:r>
    </w:p>
    <w:p w14:paraId="65FF00C7">
      <w:pPr>
        <w:wordWrap w:val="0"/>
        <w:spacing w:after="0" w:line="360" w:lineRule="auto"/>
        <w:rPr>
          <w:rFonts w:hint="eastAsia" w:ascii="宋体" w:hAnsi="宋体" w:cs="宋体"/>
          <w:sz w:val="24"/>
        </w:rPr>
      </w:pPr>
      <w:bookmarkStart w:id="1234" w:name="_Toc450141311"/>
      <w:bookmarkStart w:id="1235" w:name="_Toc450142790"/>
      <w:bookmarkStart w:id="1236" w:name="_Toc342296378"/>
      <w:bookmarkStart w:id="1237" w:name="_Toc338944820"/>
      <w:r>
        <w:rPr>
          <w:rFonts w:hint="eastAsia" w:ascii="宋体" w:hAnsi="宋体" w:cs="宋体"/>
          <w:sz w:val="24"/>
        </w:rPr>
        <w:t>9.2竣工验收申请报告</w:t>
      </w:r>
      <w:bookmarkEnd w:id="1234"/>
      <w:bookmarkEnd w:id="1235"/>
      <w:bookmarkEnd w:id="1236"/>
      <w:bookmarkEnd w:id="1237"/>
    </w:p>
    <w:p w14:paraId="1CB700D8">
      <w:pPr>
        <w:wordWrap w:val="0"/>
        <w:spacing w:after="0" w:line="360" w:lineRule="auto"/>
        <w:rPr>
          <w:rFonts w:hint="eastAsia" w:ascii="宋体" w:hAnsi="宋体" w:cs="宋体"/>
          <w:sz w:val="24"/>
        </w:rPr>
      </w:pPr>
      <w:r>
        <w:rPr>
          <w:rFonts w:hint="eastAsia" w:ascii="宋体" w:hAnsi="宋体" w:cs="宋体"/>
          <w:sz w:val="24"/>
        </w:rPr>
        <w:t>当工程同时具备以下条件时，承包方即可向发包方或发包方委托的监理人报送竣工验收申请报告：</w:t>
      </w:r>
    </w:p>
    <w:p w14:paraId="132F8DE8">
      <w:pPr>
        <w:wordWrap w:val="0"/>
        <w:spacing w:after="0" w:line="360" w:lineRule="auto"/>
        <w:ind w:left="53" w:leftChars="25"/>
        <w:rPr>
          <w:rFonts w:hint="eastAsia" w:ascii="宋体" w:hAnsi="宋体" w:cs="宋体"/>
          <w:sz w:val="24"/>
        </w:rPr>
      </w:pPr>
      <w:r>
        <w:rPr>
          <w:rFonts w:hint="eastAsia" w:ascii="宋体" w:hAnsi="宋体" w:cs="宋体"/>
          <w:sz w:val="24"/>
        </w:rPr>
        <w:t>（1）除发包方或监理人同意列入缺陷责任期内完成的尾工（甩项）工程和缺陷修补工作外，合同范围内的全部单位工程以及有关工作，包括合同要求的试验、试运行以及检验和验收均已完成，并符合合同要求；</w:t>
      </w:r>
    </w:p>
    <w:p w14:paraId="20718938">
      <w:pPr>
        <w:wordWrap w:val="0"/>
        <w:spacing w:after="0" w:line="360" w:lineRule="auto"/>
        <w:rPr>
          <w:rFonts w:hint="eastAsia" w:ascii="宋体" w:hAnsi="宋体" w:cs="宋体"/>
          <w:sz w:val="24"/>
        </w:rPr>
      </w:pPr>
      <w:r>
        <w:rPr>
          <w:rFonts w:hint="eastAsia" w:ascii="宋体" w:hAnsi="宋体" w:cs="宋体"/>
          <w:sz w:val="24"/>
        </w:rPr>
        <w:t>（2）已按合同约定的内容和份数备齐了符合要求的竣工资料；</w:t>
      </w:r>
    </w:p>
    <w:p w14:paraId="759986DD">
      <w:pPr>
        <w:wordWrap w:val="0"/>
        <w:spacing w:after="0" w:line="360" w:lineRule="auto"/>
        <w:rPr>
          <w:rFonts w:hint="eastAsia" w:ascii="宋体" w:hAnsi="宋体" w:cs="宋体"/>
          <w:sz w:val="24"/>
        </w:rPr>
      </w:pPr>
      <w:r>
        <w:rPr>
          <w:rFonts w:hint="eastAsia" w:ascii="宋体" w:hAnsi="宋体" w:cs="宋体"/>
          <w:sz w:val="24"/>
        </w:rPr>
        <w:t>（3）已按发包方或监理人的要求编制了在缺陷责任期内完成的尾工（甩项）工程和缺陷修补工作清单以及相应施工计划；</w:t>
      </w:r>
    </w:p>
    <w:p w14:paraId="750D0B87">
      <w:pPr>
        <w:wordWrap w:val="0"/>
        <w:spacing w:after="0" w:line="360" w:lineRule="auto"/>
        <w:rPr>
          <w:rFonts w:hint="eastAsia" w:ascii="宋体" w:hAnsi="宋体" w:cs="宋体"/>
          <w:sz w:val="24"/>
        </w:rPr>
      </w:pPr>
      <w:r>
        <w:rPr>
          <w:rFonts w:hint="eastAsia" w:ascii="宋体" w:hAnsi="宋体" w:cs="宋体"/>
          <w:sz w:val="24"/>
        </w:rPr>
        <w:t>（4）已按发包方或监理人要求在竣工验收前完成了应完成的其他工作；</w:t>
      </w:r>
    </w:p>
    <w:p w14:paraId="2F38A4A3">
      <w:pPr>
        <w:wordWrap w:val="0"/>
        <w:spacing w:after="0" w:line="360" w:lineRule="auto"/>
        <w:rPr>
          <w:rFonts w:hint="eastAsia" w:ascii="宋体" w:hAnsi="宋体" w:cs="宋体"/>
          <w:sz w:val="24"/>
        </w:rPr>
      </w:pPr>
      <w:r>
        <w:rPr>
          <w:rFonts w:hint="eastAsia" w:ascii="宋体" w:hAnsi="宋体" w:cs="宋体"/>
          <w:sz w:val="24"/>
        </w:rPr>
        <w:t>（5）已按发包方或监理人要求提交了竣工验收资料清单。</w:t>
      </w:r>
    </w:p>
    <w:p w14:paraId="10D9E178">
      <w:pPr>
        <w:wordWrap w:val="0"/>
        <w:spacing w:after="0" w:line="360" w:lineRule="auto"/>
        <w:rPr>
          <w:rFonts w:hint="eastAsia" w:ascii="宋体" w:hAnsi="宋体" w:cs="宋体"/>
          <w:sz w:val="24"/>
        </w:rPr>
      </w:pPr>
      <w:bookmarkStart w:id="1238" w:name="_Toc450141312"/>
      <w:bookmarkStart w:id="1239" w:name="_Toc338944821"/>
      <w:bookmarkStart w:id="1240" w:name="_Toc450142791"/>
      <w:bookmarkStart w:id="1241" w:name="_Toc342296379"/>
      <w:r>
        <w:rPr>
          <w:rFonts w:hint="eastAsia" w:ascii="宋体" w:hAnsi="宋体" w:cs="宋体"/>
          <w:sz w:val="24"/>
        </w:rPr>
        <w:t>9.3验收</w:t>
      </w:r>
      <w:bookmarkEnd w:id="1238"/>
      <w:bookmarkEnd w:id="1239"/>
      <w:bookmarkEnd w:id="1240"/>
      <w:bookmarkEnd w:id="1241"/>
    </w:p>
    <w:p w14:paraId="67F68C97">
      <w:pPr>
        <w:wordWrap w:val="0"/>
        <w:spacing w:after="0" w:line="360" w:lineRule="auto"/>
        <w:ind w:firstLine="480" w:firstLineChars="200"/>
        <w:rPr>
          <w:rFonts w:hint="eastAsia" w:ascii="宋体" w:hAnsi="宋体" w:cs="宋体"/>
          <w:sz w:val="24"/>
        </w:rPr>
      </w:pPr>
      <w:r>
        <w:rPr>
          <w:rFonts w:hint="eastAsia" w:ascii="宋体" w:hAnsi="宋体" w:cs="宋体"/>
          <w:sz w:val="24"/>
        </w:rPr>
        <w:t>工程具备验收条件的，承包方按照国家改造工程竣工验收的有关标准向发包方或监理人提供完整的竣工资料及竣工验收报告，发包方或监理人收到承包方按合同约定提交的竣工验收申请报告后，应审查申请报告的各项内容，并按以下不同情况进行处理。</w:t>
      </w:r>
    </w:p>
    <w:p w14:paraId="7DA15850">
      <w:pPr>
        <w:wordWrap w:val="0"/>
        <w:spacing w:after="0" w:line="360" w:lineRule="auto"/>
        <w:rPr>
          <w:rFonts w:hint="eastAsia" w:ascii="宋体" w:hAnsi="宋体" w:cs="宋体"/>
          <w:sz w:val="24"/>
        </w:rPr>
      </w:pPr>
      <w:r>
        <w:rPr>
          <w:rFonts w:hint="eastAsia" w:ascii="宋体" w:hAnsi="宋体" w:cs="宋体"/>
          <w:sz w:val="24"/>
        </w:rPr>
        <w:t>9.3.1发包方或监理人审查后认为尚不具备竣工验收条件的，应在收到竣工验收申请报告后的2日内通知承包方，指出在颁发接收证书前承包方还需进行的工作内容。承包方完成发包方或监理人通知的全部工作内容后，应再次提交竣工验收申请报告，直至发包方或监理人认为符合竣工验收条件为止，工期不因申请验收予以顺延。</w:t>
      </w:r>
    </w:p>
    <w:p w14:paraId="21294A82">
      <w:pPr>
        <w:wordWrap w:val="0"/>
        <w:spacing w:after="0" w:line="360" w:lineRule="auto"/>
        <w:rPr>
          <w:rFonts w:hint="eastAsia" w:ascii="宋体" w:hAnsi="宋体" w:cs="宋体"/>
          <w:sz w:val="24"/>
        </w:rPr>
      </w:pPr>
      <w:r>
        <w:rPr>
          <w:rFonts w:hint="eastAsia" w:ascii="宋体" w:hAnsi="宋体" w:cs="宋体"/>
          <w:sz w:val="24"/>
        </w:rPr>
        <w:t>9.3.2监理人审查后认为已具备竣工验收条件的，应在收到竣工验收申请报告后的2日内提请发包方进行工程验收。</w:t>
      </w:r>
    </w:p>
    <w:p w14:paraId="0A2986AF">
      <w:pPr>
        <w:wordWrap w:val="0"/>
        <w:spacing w:after="0" w:line="360" w:lineRule="auto"/>
        <w:rPr>
          <w:rFonts w:hint="eastAsia" w:ascii="宋体" w:hAnsi="宋体" w:cs="宋体"/>
          <w:sz w:val="24"/>
        </w:rPr>
      </w:pPr>
      <w:r>
        <w:rPr>
          <w:rFonts w:hint="eastAsia" w:ascii="宋体" w:hAnsi="宋体" w:cs="宋体"/>
          <w:sz w:val="24"/>
        </w:rPr>
        <w:t>9.3.3发包方经过验收后同意接收工程的，应在收到竣工验收申请报告后向承包方出具经发包方签字确认的工程接收证书。发包方验收后同意接收工程但提出整修和完善要求的，有权缓发工程接收证书，并要求承包方予以返工。承包方在发包方要求的期限内整改完成后再次向发包方或监理人申请验收，经复查后承包方达到要求的，经发包方同意后，向承包方出具工程接收证书。</w:t>
      </w:r>
    </w:p>
    <w:p w14:paraId="76C3CD3D">
      <w:pPr>
        <w:wordWrap w:val="0"/>
        <w:spacing w:after="0" w:line="360" w:lineRule="auto"/>
        <w:rPr>
          <w:rFonts w:hint="eastAsia" w:ascii="宋体" w:hAnsi="宋体" w:cs="宋体"/>
          <w:sz w:val="24"/>
        </w:rPr>
      </w:pPr>
      <w:r>
        <w:rPr>
          <w:rFonts w:hint="eastAsia" w:ascii="宋体" w:hAnsi="宋体" w:cs="宋体"/>
          <w:sz w:val="24"/>
        </w:rPr>
        <w:t>9.3.4发包方验收后发现工程质量存在瑕疵或不合格，不同意接收工程的，发包方或监理人应按照发包方的验收意见发出指示，要求承包方对不合格工程认真返工重作或进行补救处理，由承包方承担由此产生的费用。承包方在完成不合格工程的返工重作或补救工作后，应重新提交竣工验收申请报告，按第9.3.1项、第9.3.2项和第9.3.3项的约定进行，工期不予以顺延。如工程经验收后再次不合格的，发包方有权选择解除合同，发包方解除合同的，有权要求承包方退还已支付的所有工程款项，并要求承包方按照合同总工程款的30%向发包方支付违约金。违约金难以弥补发包方损失的，发包方有权向承包方进行追偿；发包方不解除合同的，承包方对本合同项下工程须返工至验收合格止，工期不予以顺延。</w:t>
      </w:r>
    </w:p>
    <w:p w14:paraId="1DC29986">
      <w:pPr>
        <w:wordWrap w:val="0"/>
        <w:spacing w:after="0" w:line="360" w:lineRule="auto"/>
        <w:rPr>
          <w:rFonts w:hint="eastAsia" w:ascii="宋体" w:hAnsi="宋体" w:cs="宋体"/>
          <w:sz w:val="24"/>
        </w:rPr>
      </w:pPr>
      <w:r>
        <w:rPr>
          <w:rFonts w:hint="eastAsia" w:ascii="宋体" w:hAnsi="宋体" w:cs="宋体"/>
          <w:sz w:val="24"/>
        </w:rPr>
        <w:t>9.3.5经验收合格工程的实际竣工日期，以竣工验收合格之日为准，并在工程接收证书中写明。</w:t>
      </w:r>
    </w:p>
    <w:p w14:paraId="1FC0DF44">
      <w:pPr>
        <w:wordWrap w:val="0"/>
        <w:spacing w:after="0" w:line="360" w:lineRule="auto"/>
        <w:rPr>
          <w:rFonts w:hint="eastAsia" w:ascii="宋体" w:hAnsi="宋体" w:cs="宋体"/>
          <w:sz w:val="24"/>
        </w:rPr>
      </w:pPr>
      <w:r>
        <w:rPr>
          <w:rFonts w:hint="eastAsia" w:ascii="宋体" w:hAnsi="宋体" w:cs="宋体"/>
          <w:sz w:val="24"/>
        </w:rPr>
        <w:t>9.3.6发包方在收到承包方竣工验收申请报告7日后无正当理由未进行验收的，实际竣工日期以提交竣工验收申请报告的日期为准，但发包方由于不可抗力或法律、法规、政策性变更不能进行验收的除外。</w:t>
      </w:r>
    </w:p>
    <w:p w14:paraId="0CB0D23B">
      <w:pPr>
        <w:wordWrap w:val="0"/>
        <w:spacing w:after="0" w:line="360" w:lineRule="auto"/>
        <w:rPr>
          <w:rFonts w:hint="eastAsia" w:ascii="宋体" w:hAnsi="宋体" w:cs="宋体"/>
          <w:sz w:val="24"/>
        </w:rPr>
      </w:pPr>
      <w:bookmarkStart w:id="1242" w:name="_Toc450142795"/>
      <w:bookmarkStart w:id="1243" w:name="_Toc450141316"/>
      <w:bookmarkStart w:id="1244" w:name="_Toc338944825"/>
      <w:bookmarkStart w:id="1245" w:name="_Toc342296383"/>
      <w:r>
        <w:rPr>
          <w:rFonts w:hint="eastAsia" w:ascii="宋体" w:hAnsi="宋体" w:cs="宋体"/>
          <w:sz w:val="24"/>
        </w:rPr>
        <w:t>9.4竣工清场</w:t>
      </w:r>
      <w:bookmarkEnd w:id="1242"/>
      <w:bookmarkEnd w:id="1243"/>
      <w:bookmarkEnd w:id="1244"/>
      <w:bookmarkEnd w:id="1245"/>
    </w:p>
    <w:p w14:paraId="68287326">
      <w:pPr>
        <w:wordWrap w:val="0"/>
        <w:spacing w:after="0" w:line="360" w:lineRule="auto"/>
        <w:rPr>
          <w:rFonts w:hint="eastAsia" w:ascii="宋体" w:hAnsi="宋体" w:cs="宋体"/>
          <w:sz w:val="24"/>
        </w:rPr>
      </w:pPr>
      <w:r>
        <w:rPr>
          <w:rFonts w:hint="eastAsia" w:ascii="宋体" w:hAnsi="宋体" w:cs="宋体"/>
          <w:sz w:val="24"/>
        </w:rPr>
        <w:t>9.4.1除合同另有约定外，工程接收证书颁发后，承包方应按以下要求对施工场地进行清理，直至发包方或监理人检验合格为止。竣工清场费用由承包方承担。</w:t>
      </w:r>
    </w:p>
    <w:p w14:paraId="7AFC8050">
      <w:pPr>
        <w:wordWrap w:val="0"/>
        <w:spacing w:after="0" w:line="360" w:lineRule="auto"/>
        <w:rPr>
          <w:rFonts w:hint="eastAsia" w:ascii="宋体" w:hAnsi="宋体" w:cs="宋体"/>
          <w:sz w:val="24"/>
        </w:rPr>
      </w:pPr>
      <w:r>
        <w:rPr>
          <w:rFonts w:hint="eastAsia" w:ascii="宋体" w:hAnsi="宋体" w:cs="宋体"/>
          <w:sz w:val="24"/>
        </w:rPr>
        <w:t>（1）施工场地内残留的垃圾已全部清除出场；</w:t>
      </w:r>
    </w:p>
    <w:p w14:paraId="3CDDBC1C">
      <w:pPr>
        <w:wordWrap w:val="0"/>
        <w:spacing w:after="0" w:line="360" w:lineRule="auto"/>
        <w:rPr>
          <w:rFonts w:hint="eastAsia" w:ascii="宋体" w:hAnsi="宋体" w:cs="宋体"/>
          <w:sz w:val="24"/>
        </w:rPr>
      </w:pPr>
      <w:r>
        <w:rPr>
          <w:rFonts w:hint="eastAsia" w:ascii="宋体" w:hAnsi="宋体" w:cs="宋体"/>
          <w:sz w:val="24"/>
        </w:rPr>
        <w:t>（2）临时工程已拆除，场地已按合同要求进行清理、平整或复原；</w:t>
      </w:r>
    </w:p>
    <w:p w14:paraId="5309AB40">
      <w:pPr>
        <w:wordWrap w:val="0"/>
        <w:spacing w:after="0" w:line="360" w:lineRule="auto"/>
        <w:rPr>
          <w:rFonts w:hint="eastAsia" w:ascii="宋体" w:hAnsi="宋体" w:cs="宋体"/>
          <w:sz w:val="24"/>
        </w:rPr>
      </w:pPr>
      <w:r>
        <w:rPr>
          <w:rFonts w:hint="eastAsia" w:ascii="宋体" w:hAnsi="宋体" w:cs="宋体"/>
          <w:sz w:val="24"/>
        </w:rPr>
        <w:t>（3）按合同约定应撤离的承包方设备和剩余的材料，包括废弃的施工设备和材料，已按计划撤离施工场地；</w:t>
      </w:r>
    </w:p>
    <w:p w14:paraId="740916DB">
      <w:pPr>
        <w:wordWrap w:val="0"/>
        <w:spacing w:after="0" w:line="360" w:lineRule="auto"/>
        <w:rPr>
          <w:rFonts w:hint="eastAsia" w:ascii="宋体" w:hAnsi="宋体" w:cs="宋体"/>
          <w:sz w:val="24"/>
        </w:rPr>
      </w:pPr>
      <w:r>
        <w:rPr>
          <w:rFonts w:hint="eastAsia" w:ascii="宋体" w:hAnsi="宋体" w:cs="宋体"/>
          <w:sz w:val="24"/>
        </w:rPr>
        <w:t>（4）工程建筑物周边及其附近道路、河道的施工堆积物，已按发包方或监理人指示全部清理；</w:t>
      </w:r>
    </w:p>
    <w:p w14:paraId="440A679D">
      <w:pPr>
        <w:wordWrap w:val="0"/>
        <w:spacing w:after="0" w:line="360" w:lineRule="auto"/>
        <w:rPr>
          <w:rFonts w:hint="eastAsia" w:ascii="宋体" w:hAnsi="宋体" w:cs="宋体"/>
          <w:sz w:val="24"/>
        </w:rPr>
      </w:pPr>
      <w:r>
        <w:rPr>
          <w:rFonts w:hint="eastAsia" w:ascii="宋体" w:hAnsi="宋体" w:cs="宋体"/>
          <w:sz w:val="24"/>
        </w:rPr>
        <w:t>（5）发包方或监理人指示的其他场地清理工作已全部完成。</w:t>
      </w:r>
    </w:p>
    <w:p w14:paraId="30510466">
      <w:pPr>
        <w:wordWrap w:val="0"/>
        <w:spacing w:after="0" w:line="360" w:lineRule="auto"/>
        <w:rPr>
          <w:rFonts w:hint="eastAsia" w:ascii="宋体" w:hAnsi="宋体" w:cs="宋体"/>
          <w:sz w:val="24"/>
        </w:rPr>
      </w:pPr>
      <w:bookmarkStart w:id="1246" w:name="_Toc338944826"/>
      <w:bookmarkStart w:id="1247" w:name="_Toc342296384"/>
      <w:bookmarkStart w:id="1248" w:name="_Toc450142796"/>
      <w:bookmarkStart w:id="1249" w:name="_Toc450141317"/>
      <w:r>
        <w:rPr>
          <w:rFonts w:hint="eastAsia" w:ascii="宋体" w:hAnsi="宋体" w:cs="宋体"/>
          <w:sz w:val="24"/>
        </w:rPr>
        <w:t>9.5施工队伍的撤离</w:t>
      </w:r>
      <w:bookmarkEnd w:id="1246"/>
      <w:bookmarkEnd w:id="1247"/>
      <w:bookmarkEnd w:id="1248"/>
      <w:bookmarkEnd w:id="1249"/>
    </w:p>
    <w:p w14:paraId="64E3C500">
      <w:pPr>
        <w:wordWrap w:val="0"/>
        <w:spacing w:after="0" w:line="360" w:lineRule="auto"/>
        <w:rPr>
          <w:rFonts w:hint="eastAsia" w:ascii="宋体" w:hAnsi="宋体" w:cs="宋体"/>
          <w:sz w:val="24"/>
        </w:rPr>
      </w:pPr>
      <w:r>
        <w:rPr>
          <w:rFonts w:hint="eastAsia" w:ascii="宋体" w:hAnsi="宋体" w:cs="宋体"/>
          <w:sz w:val="24"/>
        </w:rPr>
        <w:t>工程接收证书颁发后的7日内，除了经发包方或监理人同意需在工程质保期内继续工作和使用的人员、施工设备和临时工程外，其余的人员、施工设备和临时工程均应撤离施工场地或拆除。除合同另有约定外，缺陷责任期满时，承包方的人员和施工设备应全部撤离施工场地，临时工程应予以全部拆除。</w:t>
      </w:r>
    </w:p>
    <w:p w14:paraId="6A12F980">
      <w:pPr>
        <w:wordWrap w:val="0"/>
        <w:spacing w:after="0" w:line="360" w:lineRule="auto"/>
        <w:rPr>
          <w:rFonts w:hint="eastAsia" w:ascii="宋体" w:hAnsi="宋体" w:cs="宋体"/>
          <w:b/>
          <w:sz w:val="24"/>
        </w:rPr>
      </w:pPr>
      <w:r>
        <w:rPr>
          <w:rFonts w:hint="eastAsia" w:ascii="宋体" w:hAnsi="宋体" w:cs="宋体"/>
          <w:sz w:val="24"/>
        </w:rPr>
        <w:t>9.6本项目竣工验收仅是对工程外观的验收，本合同工程验收合格并不导致免除承包方承担相应责任。因工程质量问题或缺陷给发包方造成的损失由承包方承担。</w:t>
      </w:r>
    </w:p>
    <w:p w14:paraId="05EE7C98">
      <w:pPr>
        <w:wordWrap w:val="0"/>
        <w:spacing w:after="0" w:line="360" w:lineRule="auto"/>
        <w:rPr>
          <w:rFonts w:hint="eastAsia" w:ascii="宋体" w:hAnsi="宋体" w:cs="宋体"/>
          <w:b/>
          <w:sz w:val="24"/>
        </w:rPr>
      </w:pPr>
      <w:r>
        <w:rPr>
          <w:rFonts w:hint="eastAsia" w:ascii="宋体" w:hAnsi="宋体" w:cs="宋体"/>
          <w:b/>
          <w:sz w:val="24"/>
        </w:rPr>
        <w:t>第10条工程质量保修责任</w:t>
      </w:r>
    </w:p>
    <w:p w14:paraId="64F9D7FB">
      <w:pPr>
        <w:wordWrap w:val="0"/>
        <w:spacing w:after="0" w:line="360" w:lineRule="auto"/>
        <w:rPr>
          <w:rFonts w:hint="eastAsia" w:ascii="宋体" w:hAnsi="宋体" w:cs="宋体"/>
          <w:sz w:val="24"/>
        </w:rPr>
      </w:pPr>
      <w:r>
        <w:rPr>
          <w:rFonts w:hint="eastAsia" w:ascii="宋体" w:hAnsi="宋体" w:cs="宋体"/>
          <w:sz w:val="24"/>
        </w:rPr>
        <w:t>10.1本合同项目工程质量保修期从本合同工程实际竣工验收合格之日起开始计算</w:t>
      </w:r>
      <w:r>
        <w:rPr>
          <w:rFonts w:hint="eastAsia" w:ascii="宋体" w:hAnsi="宋体" w:cs="宋体"/>
          <w:sz w:val="24"/>
          <w:u w:val="single"/>
        </w:rPr>
        <w:t>2</w:t>
      </w:r>
      <w:r>
        <w:rPr>
          <w:rFonts w:hint="eastAsia" w:ascii="宋体" w:hAnsi="宋体" w:cs="宋体"/>
          <w:b/>
          <w:sz w:val="24"/>
        </w:rPr>
        <w:t>年</w:t>
      </w:r>
      <w:r>
        <w:rPr>
          <w:rFonts w:hint="eastAsia" w:ascii="宋体" w:hAnsi="宋体" w:cs="宋体"/>
          <w:sz w:val="24"/>
        </w:rPr>
        <w:t>。分单项竣工验收的工程项目按单项工程分别计算质量保修期。</w:t>
      </w:r>
      <w:r>
        <w:rPr>
          <w:rFonts w:hint="eastAsia" w:ascii="宋体" w:hAnsi="宋体" w:cs="宋体"/>
          <w:b/>
          <w:sz w:val="24"/>
        </w:rPr>
        <w:t>承包方须对质保期进行承诺。</w:t>
      </w:r>
    </w:p>
    <w:p w14:paraId="41ACBAEB">
      <w:pPr>
        <w:wordWrap w:val="0"/>
        <w:spacing w:after="0" w:line="360" w:lineRule="auto"/>
        <w:rPr>
          <w:rFonts w:hint="eastAsia" w:ascii="宋体" w:hAnsi="宋体" w:cs="宋体"/>
          <w:sz w:val="24"/>
        </w:rPr>
      </w:pPr>
      <w:r>
        <w:rPr>
          <w:rFonts w:hint="eastAsia" w:ascii="宋体" w:hAnsi="宋体" w:cs="宋体"/>
          <w:sz w:val="24"/>
        </w:rPr>
        <w:t>10.2本合同项下工程质量保修应严格遵守《房屋建筑工程质量保修办法》，双方根据有关规定，结合本合同具体工程约定质量保修期如下：</w:t>
      </w:r>
    </w:p>
    <w:p w14:paraId="5069D7B9">
      <w:pPr>
        <w:wordWrap w:val="0"/>
        <w:spacing w:after="0" w:line="360" w:lineRule="auto"/>
        <w:rPr>
          <w:rFonts w:hint="eastAsia" w:ascii="宋体" w:hAnsi="宋体" w:cs="宋体"/>
          <w:sz w:val="24"/>
        </w:rPr>
      </w:pPr>
      <w:r>
        <w:rPr>
          <w:rFonts w:hint="eastAsia" w:ascii="宋体" w:hAnsi="宋体" w:cs="宋体"/>
          <w:sz w:val="24"/>
        </w:rPr>
        <w:t>（1）屋面防水工程、有防水要求的卫生间/房屋和外墙面的防渗漏工程为5年（最低为5年）；</w:t>
      </w:r>
    </w:p>
    <w:p w14:paraId="2CBACDB0">
      <w:pPr>
        <w:wordWrap w:val="0"/>
        <w:spacing w:after="0" w:line="360" w:lineRule="auto"/>
        <w:rPr>
          <w:rFonts w:hint="eastAsia" w:ascii="宋体" w:hAnsi="宋体" w:cs="宋体"/>
          <w:sz w:val="24"/>
        </w:rPr>
      </w:pPr>
      <w:r>
        <w:rPr>
          <w:rFonts w:hint="eastAsia" w:ascii="宋体" w:hAnsi="宋体" w:cs="宋体"/>
          <w:sz w:val="24"/>
        </w:rPr>
        <w:t>（2）点气管线工程、给排水工程、设备安装工程为2年（最低为2年）；</w:t>
      </w:r>
    </w:p>
    <w:p w14:paraId="687D5072">
      <w:pPr>
        <w:wordWrap w:val="0"/>
        <w:spacing w:after="0" w:line="360" w:lineRule="auto"/>
        <w:rPr>
          <w:rFonts w:hint="eastAsia" w:ascii="宋体" w:hAnsi="宋体" w:cs="宋体"/>
          <w:sz w:val="24"/>
        </w:rPr>
      </w:pPr>
      <w:r>
        <w:rPr>
          <w:rFonts w:hint="eastAsia" w:ascii="宋体" w:hAnsi="宋体" w:cs="宋体"/>
          <w:sz w:val="24"/>
        </w:rPr>
        <w:t>（3）采暖工程为2个（最低为2个）采暖期；</w:t>
      </w:r>
    </w:p>
    <w:p w14:paraId="2D45C8F5">
      <w:pPr>
        <w:wordWrap w:val="0"/>
        <w:spacing w:after="0" w:line="360" w:lineRule="auto"/>
        <w:rPr>
          <w:rFonts w:hint="eastAsia" w:ascii="宋体" w:hAnsi="宋体" w:cs="宋体"/>
          <w:sz w:val="24"/>
        </w:rPr>
      </w:pPr>
      <w:r>
        <w:rPr>
          <w:rFonts w:hint="eastAsia" w:ascii="宋体" w:hAnsi="宋体" w:cs="宋体"/>
          <w:sz w:val="24"/>
        </w:rPr>
        <w:t>（4）装修装饰工程为2年；</w:t>
      </w:r>
    </w:p>
    <w:p w14:paraId="50A639E1">
      <w:pPr>
        <w:wordWrap w:val="0"/>
        <w:spacing w:after="0" w:line="360" w:lineRule="auto"/>
        <w:rPr>
          <w:rFonts w:hint="eastAsia" w:ascii="宋体" w:hAnsi="宋体" w:cs="宋体"/>
          <w:sz w:val="24"/>
        </w:rPr>
      </w:pPr>
      <w:r>
        <w:rPr>
          <w:rFonts w:hint="eastAsia" w:ascii="宋体" w:hAnsi="宋体" w:cs="宋体"/>
          <w:sz w:val="24"/>
        </w:rPr>
        <w:t>（5）属于重大功能性工程及主体结构、基础工程提供终身保修。</w:t>
      </w:r>
    </w:p>
    <w:p w14:paraId="68A449CD">
      <w:pPr>
        <w:wordWrap w:val="0"/>
        <w:spacing w:after="0" w:line="360" w:lineRule="auto"/>
        <w:rPr>
          <w:rFonts w:hint="eastAsia" w:ascii="宋体" w:hAnsi="宋体" w:cs="宋体"/>
          <w:sz w:val="24"/>
        </w:rPr>
      </w:pPr>
      <w:r>
        <w:rPr>
          <w:rFonts w:hint="eastAsia" w:ascii="宋体" w:hAnsi="宋体" w:cs="宋体"/>
          <w:sz w:val="24"/>
        </w:rPr>
        <w:t>10.3根据有关法律规定，承包方应在保修期内承担工程质量责任，若保修期间出现工程质量瑕疵，承包方应及时修复，保证发包方的正常使用，修缮完毕后，保修期重新开始计算。如因承包方使用不符合约定或国家标准的建筑材料或未按照施工图纸及发包方要求进行施工的，保修期不受上述任何条款的限制，所产生的损失及违约责任由承包方承担。</w:t>
      </w:r>
    </w:p>
    <w:p w14:paraId="3A77D6BC">
      <w:pPr>
        <w:wordWrap w:val="0"/>
        <w:spacing w:after="0" w:line="360" w:lineRule="auto"/>
        <w:rPr>
          <w:rFonts w:hint="eastAsia" w:ascii="宋体" w:hAnsi="宋体" w:cs="宋体"/>
          <w:b/>
          <w:sz w:val="24"/>
        </w:rPr>
      </w:pPr>
      <w:r>
        <w:rPr>
          <w:rFonts w:hint="eastAsia" w:ascii="宋体" w:hAnsi="宋体" w:cs="宋体"/>
          <w:b/>
          <w:sz w:val="24"/>
        </w:rPr>
        <w:t>第11条工程价款及结算</w:t>
      </w:r>
    </w:p>
    <w:p w14:paraId="33E39CB7">
      <w:pPr>
        <w:wordWrap w:val="0"/>
        <w:spacing w:after="0" w:line="360" w:lineRule="auto"/>
        <w:rPr>
          <w:rFonts w:hint="eastAsia" w:ascii="宋体" w:hAnsi="宋体" w:cs="宋体"/>
          <w:color w:val="000000"/>
          <w:sz w:val="24"/>
          <w:highlight w:val="none"/>
        </w:rPr>
      </w:pPr>
      <w:r>
        <w:rPr>
          <w:rFonts w:hint="eastAsia" w:ascii="宋体" w:hAnsi="宋体" w:cs="宋体"/>
          <w:sz w:val="24"/>
          <w:highlight w:val="none"/>
        </w:rPr>
        <w:t>11.1签订合同后乙方提供发票，甲方按照财务制度流程，向乙方支付合同总价的30%，首付项目款￥：</w:t>
      </w:r>
      <w:r>
        <w:rPr>
          <w:rFonts w:hint="eastAsia" w:ascii="宋体" w:hAnsi="宋体" w:cs="宋体"/>
          <w:sz w:val="24"/>
          <w:highlight w:val="none"/>
          <w:u w:val="single"/>
        </w:rPr>
        <w:t xml:space="preserve">      </w:t>
      </w:r>
      <w:r>
        <w:rPr>
          <w:rFonts w:hint="eastAsia" w:ascii="宋体" w:hAnsi="宋体" w:cs="宋体"/>
          <w:sz w:val="24"/>
          <w:highlight w:val="none"/>
        </w:rPr>
        <w:t>元（人民币大写：</w:t>
      </w:r>
      <w:r>
        <w:rPr>
          <w:rFonts w:hint="eastAsia" w:ascii="宋体" w:hAnsi="宋体" w:cs="宋体"/>
          <w:sz w:val="24"/>
          <w:highlight w:val="none"/>
          <w:u w:val="single"/>
        </w:rPr>
        <w:t xml:space="preserve">      </w:t>
      </w:r>
      <w:r>
        <w:rPr>
          <w:rFonts w:hint="eastAsia" w:ascii="宋体" w:hAnsi="宋体" w:cs="宋体"/>
          <w:sz w:val="24"/>
          <w:highlight w:val="none"/>
        </w:rPr>
        <w:t>元整）；待项目全部完成，提交项目资料后，乙方提供发票，甲方按照财务制度流程向乙方支付合同总价的65%，付项目款￥：</w:t>
      </w:r>
      <w:r>
        <w:rPr>
          <w:rFonts w:hint="eastAsia" w:ascii="宋体" w:hAnsi="宋体" w:cs="宋体"/>
          <w:sz w:val="24"/>
          <w:highlight w:val="none"/>
          <w:u w:val="single"/>
        </w:rPr>
        <w:t xml:space="preserve">      </w:t>
      </w:r>
      <w:r>
        <w:rPr>
          <w:rFonts w:hint="eastAsia" w:ascii="宋体" w:hAnsi="宋体" w:cs="宋体"/>
          <w:sz w:val="24"/>
          <w:highlight w:val="none"/>
        </w:rPr>
        <w:t>元（人民币大写：</w:t>
      </w:r>
      <w:r>
        <w:rPr>
          <w:rFonts w:hint="eastAsia" w:ascii="宋体" w:hAnsi="宋体" w:cs="宋体"/>
          <w:sz w:val="24"/>
          <w:highlight w:val="none"/>
          <w:u w:val="single"/>
        </w:rPr>
        <w:t xml:space="preserve">      </w:t>
      </w:r>
      <w:r>
        <w:rPr>
          <w:rFonts w:hint="eastAsia" w:ascii="宋体" w:hAnsi="宋体" w:cs="宋体"/>
          <w:sz w:val="24"/>
          <w:highlight w:val="none"/>
        </w:rPr>
        <w:t>元整）； 待甲方组织验收合格后，乙方提供发票，甲方按照财务制度流程向乙方支付剩余合同总价的5%，支付项目余款￥：</w:t>
      </w:r>
      <w:r>
        <w:rPr>
          <w:rFonts w:hint="eastAsia" w:ascii="宋体" w:hAnsi="宋体" w:cs="宋体"/>
          <w:sz w:val="24"/>
          <w:highlight w:val="none"/>
          <w:u w:val="single"/>
        </w:rPr>
        <w:t xml:space="preserve">      </w:t>
      </w:r>
      <w:r>
        <w:rPr>
          <w:rFonts w:hint="eastAsia" w:ascii="宋体" w:hAnsi="宋体" w:cs="宋体"/>
          <w:sz w:val="24"/>
          <w:highlight w:val="none"/>
        </w:rPr>
        <w:t>元（人民币大写：</w:t>
      </w:r>
      <w:r>
        <w:rPr>
          <w:rFonts w:hint="eastAsia" w:ascii="宋体" w:hAnsi="宋体" w:cs="宋体"/>
          <w:sz w:val="24"/>
          <w:highlight w:val="none"/>
          <w:u w:val="single"/>
        </w:rPr>
        <w:t xml:space="preserve">      </w:t>
      </w:r>
      <w:r>
        <w:rPr>
          <w:rFonts w:hint="eastAsia" w:ascii="宋体" w:hAnsi="宋体" w:cs="宋体"/>
          <w:sz w:val="24"/>
          <w:highlight w:val="none"/>
        </w:rPr>
        <w:t>元整）。</w:t>
      </w:r>
    </w:p>
    <w:p w14:paraId="1DDD3DDF">
      <w:pPr>
        <w:wordWrap w:val="0"/>
        <w:spacing w:after="0" w:line="360" w:lineRule="auto"/>
        <w:rPr>
          <w:rFonts w:hint="eastAsia" w:ascii="宋体" w:hAnsi="宋体" w:cs="宋体"/>
          <w:sz w:val="24"/>
          <w:highlight w:val="none"/>
        </w:rPr>
      </w:pPr>
      <w:r>
        <w:rPr>
          <w:rFonts w:hint="eastAsia" w:ascii="宋体" w:hAnsi="宋体" w:cs="宋体"/>
          <w:sz w:val="24"/>
          <w:highlight w:val="none"/>
        </w:rPr>
        <w:t>11.2承包方指定收款账户信息如下：</w:t>
      </w:r>
    </w:p>
    <w:p w14:paraId="2C40FC97">
      <w:pPr>
        <w:wordWrap w:val="0"/>
        <w:spacing w:after="0" w:line="360" w:lineRule="auto"/>
        <w:rPr>
          <w:rFonts w:hint="eastAsia" w:ascii="宋体" w:hAnsi="宋体" w:cs="宋体"/>
          <w:b/>
          <w:sz w:val="24"/>
        </w:rPr>
      </w:pPr>
      <w:r>
        <w:rPr>
          <w:rFonts w:hint="eastAsia" w:ascii="宋体" w:hAnsi="宋体" w:cs="宋体"/>
          <w:b/>
          <w:sz w:val="24"/>
        </w:rPr>
        <w:t>账户名：</w:t>
      </w:r>
    </w:p>
    <w:p w14:paraId="54ECA889">
      <w:pPr>
        <w:wordWrap w:val="0"/>
        <w:spacing w:after="0" w:line="360" w:lineRule="auto"/>
        <w:rPr>
          <w:rFonts w:hint="eastAsia" w:ascii="宋体" w:hAnsi="宋体" w:cs="宋体"/>
          <w:b/>
          <w:sz w:val="24"/>
        </w:rPr>
      </w:pPr>
      <w:r>
        <w:rPr>
          <w:rFonts w:hint="eastAsia" w:ascii="宋体" w:hAnsi="宋体" w:cs="宋体"/>
          <w:b/>
          <w:sz w:val="24"/>
        </w:rPr>
        <w:t xml:space="preserve">开户行： </w:t>
      </w:r>
    </w:p>
    <w:p w14:paraId="706AAFB6">
      <w:pPr>
        <w:wordWrap w:val="0"/>
        <w:spacing w:after="0" w:line="360" w:lineRule="auto"/>
        <w:rPr>
          <w:rFonts w:hint="eastAsia" w:ascii="宋体" w:hAnsi="宋体" w:cs="宋体"/>
          <w:b/>
          <w:sz w:val="24"/>
        </w:rPr>
      </w:pPr>
      <w:r>
        <w:rPr>
          <w:rFonts w:hint="eastAsia" w:ascii="宋体" w:hAnsi="宋体" w:cs="宋体"/>
          <w:b/>
          <w:sz w:val="24"/>
        </w:rPr>
        <w:t xml:space="preserve">开户行号： </w:t>
      </w:r>
    </w:p>
    <w:p w14:paraId="3D533C38">
      <w:pPr>
        <w:wordWrap w:val="0"/>
        <w:spacing w:after="0" w:line="360" w:lineRule="auto"/>
        <w:rPr>
          <w:rFonts w:hint="eastAsia" w:ascii="宋体" w:hAnsi="宋体" w:cs="宋体"/>
          <w:sz w:val="24"/>
        </w:rPr>
      </w:pPr>
      <w:r>
        <w:rPr>
          <w:rFonts w:hint="eastAsia" w:ascii="宋体" w:hAnsi="宋体" w:cs="宋体"/>
          <w:sz w:val="24"/>
        </w:rPr>
        <w:t>上述账户信息为经承包方核实、确认后所提供的账户信息，如承包方账号变更，应书面方式提前三日向发包方告知。如未告知的，由承包方承担相应责任，发包方向上述账户付款视为已履行完毕付款义务。</w:t>
      </w:r>
    </w:p>
    <w:p w14:paraId="170F38F6">
      <w:pPr>
        <w:wordWrap w:val="0"/>
        <w:spacing w:after="0" w:line="360" w:lineRule="auto"/>
        <w:rPr>
          <w:rFonts w:hint="eastAsia" w:ascii="宋体" w:hAnsi="宋体" w:cs="宋体"/>
          <w:b/>
          <w:sz w:val="24"/>
        </w:rPr>
      </w:pPr>
      <w:r>
        <w:rPr>
          <w:rFonts w:hint="eastAsia" w:ascii="宋体" w:hAnsi="宋体" w:cs="宋体"/>
          <w:b/>
          <w:sz w:val="24"/>
        </w:rPr>
        <w:t>11.3质保金：本项目不要求</w:t>
      </w:r>
    </w:p>
    <w:p w14:paraId="01A0078E">
      <w:pPr>
        <w:wordWrap w:val="0"/>
        <w:spacing w:after="0" w:line="360" w:lineRule="auto"/>
        <w:rPr>
          <w:rFonts w:hint="eastAsia" w:ascii="宋体" w:hAnsi="宋体" w:cs="宋体"/>
          <w:b/>
          <w:sz w:val="24"/>
        </w:rPr>
      </w:pPr>
      <w:r>
        <w:rPr>
          <w:rFonts w:hint="eastAsia" w:ascii="宋体" w:hAnsi="宋体" w:cs="宋体"/>
          <w:b/>
          <w:sz w:val="24"/>
        </w:rPr>
        <w:t>第12条材料设备的供应</w:t>
      </w:r>
    </w:p>
    <w:p w14:paraId="2EFC3FE9">
      <w:pPr>
        <w:wordWrap w:val="0"/>
        <w:spacing w:after="0" w:line="360" w:lineRule="auto"/>
        <w:rPr>
          <w:rFonts w:hint="eastAsia" w:ascii="宋体" w:hAnsi="宋体" w:cs="宋体"/>
          <w:sz w:val="24"/>
        </w:rPr>
      </w:pPr>
      <w:r>
        <w:rPr>
          <w:rFonts w:hint="eastAsia" w:ascii="宋体" w:hAnsi="宋体" w:cs="宋体"/>
          <w:sz w:val="24"/>
        </w:rPr>
        <w:t>12.1承包方应对其负责供应的材料设备，提供产品合格证明；如提供与设计和规范要求不符的产品，应重新采购符合要求的产品，并承担由此发生的费用。</w:t>
      </w:r>
    </w:p>
    <w:p w14:paraId="10A90023">
      <w:pPr>
        <w:wordWrap w:val="0"/>
        <w:spacing w:after="0" w:line="360" w:lineRule="auto"/>
        <w:rPr>
          <w:rFonts w:hint="eastAsia" w:ascii="宋体" w:hAnsi="宋体" w:cs="宋体"/>
          <w:sz w:val="24"/>
        </w:rPr>
      </w:pPr>
      <w:r>
        <w:rPr>
          <w:rFonts w:hint="eastAsia" w:ascii="宋体" w:hAnsi="宋体" w:cs="宋体"/>
          <w:sz w:val="24"/>
        </w:rPr>
        <w:t>12.2承包方需使用代用材料时，须经发包方授权代表书面批准方可使用，由此产生的相关费用由承包方负担。</w:t>
      </w:r>
    </w:p>
    <w:p w14:paraId="10734C76">
      <w:pPr>
        <w:wordWrap w:val="0"/>
        <w:spacing w:after="0" w:line="360" w:lineRule="auto"/>
        <w:rPr>
          <w:rFonts w:hint="eastAsia" w:ascii="宋体" w:hAnsi="宋体" w:cs="宋体"/>
          <w:sz w:val="24"/>
        </w:rPr>
      </w:pPr>
      <w:r>
        <w:rPr>
          <w:rFonts w:hint="eastAsia" w:ascii="宋体" w:hAnsi="宋体" w:cs="宋体"/>
          <w:sz w:val="24"/>
        </w:rPr>
        <w:t>12.3承包方应对所提供的材料质量负责，不得使用含有甲醛等有毒有害材料、家具。对于瑕疵质量产品，承包方有义务免费及时进行更换直至整体工程验收合格。</w:t>
      </w:r>
    </w:p>
    <w:p w14:paraId="6A746684">
      <w:pPr>
        <w:wordWrap w:val="0"/>
        <w:spacing w:after="0" w:line="360" w:lineRule="auto"/>
        <w:rPr>
          <w:rFonts w:hint="eastAsia" w:ascii="宋体" w:hAnsi="宋体" w:cs="宋体"/>
          <w:b/>
          <w:sz w:val="24"/>
        </w:rPr>
      </w:pPr>
      <w:r>
        <w:rPr>
          <w:rFonts w:hint="eastAsia" w:ascii="宋体" w:hAnsi="宋体" w:cs="宋体"/>
          <w:b/>
          <w:sz w:val="24"/>
        </w:rPr>
        <w:t>第13条违约责任</w:t>
      </w:r>
    </w:p>
    <w:p w14:paraId="04108398">
      <w:pPr>
        <w:wordWrap w:val="0"/>
        <w:spacing w:after="0" w:line="360" w:lineRule="auto"/>
        <w:rPr>
          <w:rFonts w:hint="eastAsia" w:ascii="宋体" w:hAnsi="宋体" w:cs="宋体"/>
          <w:sz w:val="24"/>
        </w:rPr>
      </w:pPr>
      <w:r>
        <w:rPr>
          <w:rFonts w:hint="eastAsia" w:ascii="宋体" w:hAnsi="宋体" w:cs="宋体"/>
          <w:sz w:val="24"/>
        </w:rPr>
        <w:t>13.1承包方不得将其承包的全部或部分工程转包给第三人，或将其承包的全部或部分工程肢解后以分包的名义转包给第三人。一经发包方发现，发包方有权解除合同并要求承包方赔偿发包方所遭受的全部经济损失。</w:t>
      </w:r>
    </w:p>
    <w:p w14:paraId="7643E2C3">
      <w:pPr>
        <w:wordWrap w:val="0"/>
        <w:spacing w:after="0" w:line="360" w:lineRule="auto"/>
        <w:rPr>
          <w:rFonts w:hint="eastAsia" w:ascii="宋体" w:hAnsi="宋体" w:cs="宋体"/>
          <w:sz w:val="24"/>
        </w:rPr>
      </w:pPr>
      <w:r>
        <w:rPr>
          <w:rFonts w:hint="eastAsia" w:ascii="宋体" w:hAnsi="宋体" w:cs="宋体"/>
          <w:sz w:val="24"/>
        </w:rPr>
        <w:t>13.2承包方采购、使用不合格材料或工程设备，或工程质量不符合验收标准的，经返工后仍无法符合相关质量标准的，发包方有权解除合同并拒绝支付工程款项，同时有权要求承包方支付本合同总工程款30%的违约金，违约金无法弥补损失的，发包方有权向承包方进行追偿。</w:t>
      </w:r>
    </w:p>
    <w:p w14:paraId="675CBC16">
      <w:pPr>
        <w:wordWrap w:val="0"/>
        <w:spacing w:after="0" w:line="360" w:lineRule="auto"/>
        <w:rPr>
          <w:rFonts w:hint="eastAsia" w:ascii="宋体" w:hAnsi="宋体" w:cs="宋体"/>
          <w:sz w:val="24"/>
        </w:rPr>
      </w:pPr>
      <w:r>
        <w:rPr>
          <w:rFonts w:hint="eastAsia" w:ascii="宋体" w:hAnsi="宋体" w:cs="宋体"/>
          <w:sz w:val="24"/>
        </w:rPr>
        <w:t>13.3承包方未按照进度计划及时完成本合同约定的工程项目的，每逾期一日，承包方须向发包方支付总工程款千分之三的迟延违约金。逾期5日，发包方有权解除合同，并要求承包方支付本合同总工程款30%的违约金。</w:t>
      </w:r>
    </w:p>
    <w:p w14:paraId="69760AFB">
      <w:pPr>
        <w:wordWrap w:val="0"/>
        <w:spacing w:after="0" w:line="360" w:lineRule="auto"/>
        <w:rPr>
          <w:rFonts w:hint="eastAsia" w:ascii="宋体" w:hAnsi="宋体" w:cs="宋体"/>
          <w:sz w:val="24"/>
        </w:rPr>
      </w:pPr>
      <w:r>
        <w:rPr>
          <w:rFonts w:hint="eastAsia" w:ascii="宋体" w:hAnsi="宋体" w:cs="宋体"/>
          <w:sz w:val="24"/>
        </w:rPr>
        <w:t>13.4承包方未尽安全保障义务，造成承包方或发包方工作人员或第三方人身或财产损害的，由此所产生的全部经济损失应当由承包方全部承担，并由承包方承担相应法律责任。</w:t>
      </w:r>
    </w:p>
    <w:p w14:paraId="53865482">
      <w:pPr>
        <w:wordWrap w:val="0"/>
        <w:spacing w:after="0" w:line="360" w:lineRule="auto"/>
        <w:rPr>
          <w:rFonts w:hint="eastAsia" w:ascii="宋体" w:hAnsi="宋体" w:cs="宋体"/>
          <w:sz w:val="24"/>
        </w:rPr>
      </w:pPr>
      <w:r>
        <w:rPr>
          <w:rFonts w:hint="eastAsia" w:ascii="宋体" w:hAnsi="宋体" w:cs="宋体"/>
          <w:sz w:val="24"/>
        </w:rPr>
        <w:t>13.5发包方或承包方不能按本合同约定内容履行自己的各项义务及发生使合同无法履行的行为，应承担相应的违约责任，包括支付违约金，赔偿因其违约给对方造成的全部经济损失。</w:t>
      </w:r>
    </w:p>
    <w:p w14:paraId="5CDCA544">
      <w:pPr>
        <w:wordWrap w:val="0"/>
        <w:spacing w:after="0" w:line="360" w:lineRule="auto"/>
        <w:rPr>
          <w:rFonts w:hint="eastAsia" w:ascii="宋体" w:hAnsi="宋体" w:cs="宋体"/>
          <w:sz w:val="24"/>
        </w:rPr>
      </w:pPr>
      <w:r>
        <w:rPr>
          <w:rFonts w:hint="eastAsia" w:ascii="宋体" w:hAnsi="宋体" w:cs="宋体"/>
          <w:sz w:val="24"/>
        </w:rPr>
        <w:t>13.6除非双方协议将合同终止，或因一方违约使合同无法履行，违约方承担违约责任后仍应继续履行合同。</w:t>
      </w:r>
    </w:p>
    <w:p w14:paraId="12FDF181">
      <w:pPr>
        <w:wordWrap w:val="0"/>
        <w:spacing w:after="0" w:line="360" w:lineRule="auto"/>
        <w:rPr>
          <w:rFonts w:hint="eastAsia" w:ascii="宋体" w:hAnsi="宋体" w:cs="宋体"/>
          <w:b/>
          <w:sz w:val="24"/>
        </w:rPr>
      </w:pPr>
      <w:r>
        <w:rPr>
          <w:rFonts w:hint="eastAsia" w:ascii="宋体" w:hAnsi="宋体" w:cs="宋体"/>
          <w:b/>
          <w:sz w:val="24"/>
        </w:rPr>
        <w:t>第14条争议解决方式</w:t>
      </w:r>
    </w:p>
    <w:p w14:paraId="784930A2">
      <w:pPr>
        <w:wordWrap w:val="0"/>
        <w:spacing w:after="0" w:line="360" w:lineRule="auto"/>
        <w:rPr>
          <w:rFonts w:hint="eastAsia" w:ascii="宋体" w:hAnsi="宋体" w:cs="宋体"/>
          <w:sz w:val="24"/>
        </w:rPr>
      </w:pPr>
      <w:r>
        <w:rPr>
          <w:rFonts w:hint="eastAsia" w:ascii="宋体" w:hAnsi="宋体" w:cs="宋体"/>
          <w:sz w:val="24"/>
        </w:rPr>
        <w:t>发包方、承包方双方发生争议时，可以通过协商或者申请施工合同管理机构会同有关部门调解解决争议。不愿调解或调解不成的，任何一方均可向工程所在地有管辖权的人民法院提起诉讼。</w:t>
      </w:r>
    </w:p>
    <w:p w14:paraId="4FE26295">
      <w:pPr>
        <w:wordWrap w:val="0"/>
        <w:spacing w:after="0" w:line="360" w:lineRule="auto"/>
        <w:rPr>
          <w:rFonts w:hint="eastAsia" w:ascii="宋体" w:hAnsi="宋体" w:cs="宋体"/>
          <w:b/>
          <w:sz w:val="24"/>
        </w:rPr>
      </w:pPr>
      <w:r>
        <w:rPr>
          <w:rFonts w:hint="eastAsia" w:ascii="宋体" w:hAnsi="宋体" w:cs="宋体"/>
          <w:b/>
          <w:sz w:val="24"/>
        </w:rPr>
        <w:t>第15条合同份数</w:t>
      </w:r>
    </w:p>
    <w:p w14:paraId="2A9C2965">
      <w:pPr>
        <w:wordWrap w:val="0"/>
        <w:spacing w:after="0" w:line="360" w:lineRule="auto"/>
        <w:rPr>
          <w:rFonts w:hint="eastAsia" w:ascii="宋体" w:hAnsi="宋体" w:cs="宋体"/>
          <w:sz w:val="24"/>
        </w:rPr>
      </w:pPr>
      <w:r>
        <w:rPr>
          <w:rFonts w:hint="eastAsia" w:ascii="宋体" w:hAnsi="宋体" w:cs="宋体"/>
          <w:sz w:val="24"/>
        </w:rPr>
        <w:t>本合同一式</w:t>
      </w:r>
      <w:r>
        <w:rPr>
          <w:rFonts w:hint="eastAsia" w:ascii="宋体" w:hAnsi="宋体" w:cs="宋体"/>
          <w:sz w:val="24"/>
          <w:u w:val="single"/>
        </w:rPr>
        <w:t>陆</w:t>
      </w:r>
      <w:r>
        <w:rPr>
          <w:rFonts w:hint="eastAsia" w:ascii="宋体" w:hAnsi="宋体" w:cs="宋体"/>
          <w:sz w:val="24"/>
        </w:rPr>
        <w:t>份，发包方执</w:t>
      </w:r>
      <w:r>
        <w:rPr>
          <w:rFonts w:hint="eastAsia" w:ascii="宋体" w:hAnsi="宋体" w:cs="宋体"/>
          <w:sz w:val="24"/>
          <w:u w:val="single"/>
        </w:rPr>
        <w:t>肆</w:t>
      </w:r>
      <w:r>
        <w:rPr>
          <w:rFonts w:hint="eastAsia" w:ascii="宋体" w:hAnsi="宋体" w:cs="宋体"/>
          <w:sz w:val="24"/>
        </w:rPr>
        <w:t>份，承包方执</w:t>
      </w:r>
      <w:r>
        <w:rPr>
          <w:rFonts w:hint="eastAsia" w:ascii="宋体" w:hAnsi="宋体" w:cs="宋体"/>
          <w:sz w:val="24"/>
          <w:u w:val="single"/>
        </w:rPr>
        <w:t>贰</w:t>
      </w:r>
      <w:r>
        <w:rPr>
          <w:rFonts w:hint="eastAsia" w:ascii="宋体" w:hAnsi="宋体" w:cs="宋体"/>
          <w:sz w:val="24"/>
        </w:rPr>
        <w:t>份，每份具有同等法律效力。</w:t>
      </w:r>
    </w:p>
    <w:p w14:paraId="09A6F87C">
      <w:pPr>
        <w:wordWrap w:val="0"/>
        <w:spacing w:after="0" w:line="360" w:lineRule="auto"/>
        <w:rPr>
          <w:rFonts w:hint="eastAsia" w:ascii="宋体" w:hAnsi="宋体" w:cs="宋体"/>
          <w:b/>
          <w:sz w:val="24"/>
        </w:rPr>
      </w:pPr>
      <w:r>
        <w:rPr>
          <w:rFonts w:hint="eastAsia" w:ascii="宋体" w:hAnsi="宋体" w:cs="宋体"/>
          <w:b/>
          <w:sz w:val="24"/>
        </w:rPr>
        <w:t>第16条其他</w:t>
      </w:r>
    </w:p>
    <w:p w14:paraId="00AF34B6">
      <w:pPr>
        <w:wordWrap w:val="0"/>
        <w:spacing w:after="0" w:line="360" w:lineRule="auto"/>
        <w:rPr>
          <w:rFonts w:hint="eastAsia" w:ascii="宋体" w:hAnsi="宋体" w:cs="宋体"/>
          <w:sz w:val="24"/>
        </w:rPr>
      </w:pPr>
      <w:r>
        <w:rPr>
          <w:rFonts w:hint="eastAsia" w:ascii="宋体" w:hAnsi="宋体" w:cs="宋体"/>
          <w:sz w:val="24"/>
        </w:rPr>
        <w:t>16.1本合同自双方法定代表人(负责人)或其授权代表人签字并加盖公章后发生法律效力。</w:t>
      </w:r>
    </w:p>
    <w:p w14:paraId="299EA801">
      <w:pPr>
        <w:wordWrap w:val="0"/>
        <w:spacing w:after="0" w:line="360" w:lineRule="auto"/>
        <w:rPr>
          <w:rFonts w:hint="eastAsia" w:ascii="宋体" w:hAnsi="宋体" w:cs="宋体"/>
          <w:sz w:val="24"/>
        </w:rPr>
      </w:pPr>
      <w:r>
        <w:rPr>
          <w:rFonts w:hint="eastAsia" w:ascii="宋体" w:hAnsi="宋体" w:cs="宋体"/>
          <w:sz w:val="24"/>
        </w:rPr>
        <w:t>16.2合同未尽事宜，双方另行签订补充协议，但不得背离本合同的实质性内容。补充协议是合同文件的组成部分，与本合同具有同等法律效力，不一致处以补充协议为准。</w:t>
      </w:r>
    </w:p>
    <w:p w14:paraId="6E37369E">
      <w:pPr>
        <w:wordWrap w:val="0"/>
        <w:spacing w:after="0" w:line="360" w:lineRule="auto"/>
        <w:rPr>
          <w:rFonts w:hint="eastAsia" w:ascii="宋体" w:hAnsi="宋体" w:cs="宋体"/>
          <w:sz w:val="24"/>
        </w:rPr>
      </w:pPr>
      <w:r>
        <w:rPr>
          <w:rFonts w:hint="eastAsia" w:ascii="宋体" w:hAnsi="宋体" w:cs="宋体"/>
          <w:sz w:val="24"/>
        </w:rPr>
        <w:t>16.3本合同地址系真实、有效地址，作为接收司法通知及相关文书的有效地址。如一方联系人及地址发生变更的，应在变更前3日内通知相对方，未进行通知的，送达拒收或查无地址的，视为已送达。</w:t>
      </w:r>
    </w:p>
    <w:p w14:paraId="4D4676B5">
      <w:pPr>
        <w:wordWrap w:val="0"/>
        <w:spacing w:after="0" w:line="360" w:lineRule="auto"/>
        <w:rPr>
          <w:rFonts w:hint="eastAsia" w:ascii="宋体" w:hAnsi="宋体" w:cs="宋体"/>
          <w:sz w:val="24"/>
        </w:rPr>
      </w:pPr>
      <w:r>
        <w:rPr>
          <w:rFonts w:hint="eastAsia" w:ascii="宋体" w:hAnsi="宋体" w:cs="宋体"/>
          <w:sz w:val="24"/>
        </w:rPr>
        <w:t>16.4附件：</w:t>
      </w:r>
    </w:p>
    <w:p w14:paraId="20E87760">
      <w:pPr>
        <w:wordWrap w:val="0"/>
        <w:spacing w:after="0" w:line="360" w:lineRule="auto"/>
        <w:rPr>
          <w:rFonts w:hint="eastAsia" w:ascii="宋体" w:hAnsi="宋体" w:cs="宋体"/>
          <w:sz w:val="24"/>
        </w:rPr>
      </w:pPr>
      <w:r>
        <w:rPr>
          <w:rFonts w:hint="eastAsia" w:ascii="宋体" w:hAnsi="宋体" w:cs="宋体"/>
          <w:sz w:val="24"/>
        </w:rPr>
        <w:t>本合同附件与本合同具有同等法律效力，本合同约定与附件不一致的，以本合同约定为准。</w:t>
      </w:r>
    </w:p>
    <w:p w14:paraId="3B51EB0A">
      <w:pPr>
        <w:wordWrap w:val="0"/>
        <w:spacing w:after="0" w:line="360" w:lineRule="auto"/>
        <w:rPr>
          <w:rFonts w:hint="eastAsia" w:ascii="宋体" w:hAnsi="宋体" w:cs="宋体"/>
          <w:sz w:val="24"/>
        </w:rPr>
      </w:pPr>
      <w:r>
        <w:rPr>
          <w:rFonts w:hint="eastAsia" w:ascii="宋体" w:hAnsi="宋体" w:cs="宋体"/>
          <w:sz w:val="24"/>
        </w:rPr>
        <w:t>（以下无正文）</w:t>
      </w:r>
    </w:p>
    <w:p w14:paraId="2E7B9152">
      <w:pPr>
        <w:wordWrap w:val="0"/>
        <w:spacing w:after="0" w:line="360" w:lineRule="auto"/>
        <w:rPr>
          <w:rFonts w:hint="eastAsia" w:ascii="宋体" w:hAnsi="宋体" w:cs="宋体"/>
          <w:sz w:val="24"/>
        </w:rPr>
      </w:pPr>
    </w:p>
    <w:p w14:paraId="08737F51">
      <w:pPr>
        <w:wordWrap w:val="0"/>
        <w:spacing w:after="0" w:line="360" w:lineRule="auto"/>
        <w:rPr>
          <w:rFonts w:hint="eastAsia" w:ascii="宋体" w:hAnsi="宋体" w:cs="宋体"/>
          <w:sz w:val="24"/>
          <w:u w:val="single"/>
        </w:rPr>
      </w:pPr>
      <w:r>
        <w:rPr>
          <w:rFonts w:hint="eastAsia" w:ascii="宋体" w:hAnsi="宋体" w:cs="宋体"/>
          <w:sz w:val="24"/>
        </w:rPr>
        <w:t>发包方:                              承包方：</w:t>
      </w:r>
    </w:p>
    <w:p w14:paraId="72CE85B9">
      <w:pPr>
        <w:wordWrap w:val="0"/>
        <w:spacing w:after="0" w:line="360" w:lineRule="auto"/>
        <w:rPr>
          <w:rFonts w:hint="eastAsia" w:ascii="宋体" w:hAnsi="宋体" w:cs="宋体"/>
          <w:sz w:val="24"/>
        </w:rPr>
      </w:pPr>
    </w:p>
    <w:p w14:paraId="44B73472">
      <w:pPr>
        <w:wordWrap w:val="0"/>
        <w:spacing w:after="0" w:line="360" w:lineRule="auto"/>
        <w:rPr>
          <w:rFonts w:hint="eastAsia" w:ascii="宋体" w:hAnsi="宋体" w:cs="宋体"/>
          <w:sz w:val="24"/>
        </w:rPr>
      </w:pPr>
      <w:r>
        <w:rPr>
          <w:rFonts w:hint="eastAsia" w:ascii="宋体" w:hAnsi="宋体" w:cs="宋体"/>
          <w:sz w:val="24"/>
        </w:rPr>
        <w:t>负责人或授权代表：（签章）</w:t>
      </w:r>
      <w:r>
        <w:rPr>
          <w:rFonts w:hint="eastAsia" w:ascii="宋体" w:hAnsi="宋体" w:cs="宋体"/>
          <w:sz w:val="24"/>
        </w:rPr>
        <w:tab/>
      </w:r>
      <w:r>
        <w:rPr>
          <w:rFonts w:hint="eastAsia" w:ascii="宋体" w:hAnsi="宋体" w:cs="宋体"/>
          <w:sz w:val="24"/>
        </w:rPr>
        <w:tab/>
      </w:r>
      <w:r>
        <w:rPr>
          <w:rFonts w:hint="eastAsia" w:ascii="宋体" w:hAnsi="宋体" w:cs="宋体"/>
          <w:sz w:val="24"/>
        </w:rPr>
        <w:t xml:space="preserve">      法定代表人或授权代表：（签章）</w:t>
      </w:r>
    </w:p>
    <w:p w14:paraId="1FD154A7">
      <w:pPr>
        <w:wordWrap w:val="0"/>
        <w:spacing w:after="0" w:line="360" w:lineRule="auto"/>
        <w:ind w:firstLine="1440" w:firstLineChars="600"/>
        <w:rPr>
          <w:rFonts w:hint="eastAsia" w:ascii="宋体" w:hAnsi="宋体" w:cs="宋体"/>
          <w:sz w:val="24"/>
        </w:rPr>
      </w:pPr>
    </w:p>
    <w:p w14:paraId="2B03E701">
      <w:pPr>
        <w:wordWrap w:val="0"/>
        <w:spacing w:after="0" w:line="360" w:lineRule="auto"/>
        <w:ind w:firstLine="1440" w:firstLineChars="600"/>
        <w:rPr>
          <w:rFonts w:hint="eastAsia" w:ascii="宋体" w:hAnsi="宋体" w:cs="宋体"/>
          <w:b/>
          <w:sz w:val="24"/>
          <w:u w:val="single"/>
        </w:rPr>
      </w:pPr>
      <w:r>
        <w:rPr>
          <w:rFonts w:hint="eastAsia" w:ascii="宋体" w:hAnsi="宋体" w:cs="宋体"/>
          <w:sz w:val="24"/>
        </w:rPr>
        <w:t>年  月   日                    年   月    日</w:t>
      </w:r>
    </w:p>
    <w:p w14:paraId="6E38F40D">
      <w:pPr>
        <w:wordWrap w:val="0"/>
        <w:spacing w:after="0" w:line="360" w:lineRule="auto"/>
        <w:rPr>
          <w:rFonts w:hint="eastAsia" w:ascii="宋体" w:hAnsi="宋体" w:cs="宋体"/>
          <w:sz w:val="24"/>
        </w:rPr>
      </w:pPr>
    </w:p>
    <w:p w14:paraId="3A87D381">
      <w:pPr>
        <w:wordWrap w:val="0"/>
        <w:spacing w:after="0" w:line="360" w:lineRule="auto"/>
        <w:rPr>
          <w:rFonts w:hint="eastAsia" w:ascii="宋体" w:hAnsi="宋体" w:cs="宋体"/>
          <w:sz w:val="24"/>
        </w:rPr>
        <w:sectPr>
          <w:headerReference r:id="rId16" w:type="default"/>
          <w:footerReference r:id="rId17" w:type="default"/>
          <w:pgSz w:w="11905" w:h="16838"/>
          <w:pgMar w:top="1474" w:right="1474" w:bottom="1474" w:left="1474" w:header="850" w:footer="992" w:gutter="0"/>
          <w:cols w:space="0" w:num="1"/>
          <w:docGrid w:linePitch="312" w:charSpace="0"/>
        </w:sectPr>
      </w:pPr>
    </w:p>
    <w:p w14:paraId="54CFC286">
      <w:pPr>
        <w:wordWrap w:val="0"/>
        <w:spacing w:after="0" w:line="360" w:lineRule="auto"/>
        <w:jc w:val="center"/>
        <w:rPr>
          <w:rFonts w:hint="eastAsia" w:ascii="宋体" w:hAnsi="宋体" w:cs="宋体"/>
          <w:b/>
          <w:bCs/>
          <w:sz w:val="24"/>
        </w:rPr>
      </w:pPr>
      <w:r>
        <w:rPr>
          <w:rFonts w:hint="eastAsia" w:ascii="宋体" w:hAnsi="宋体" w:cs="宋体"/>
          <w:b/>
          <w:bCs/>
          <w:sz w:val="24"/>
        </w:rPr>
        <w:t>附件一：工程质量保修书</w:t>
      </w:r>
    </w:p>
    <w:p w14:paraId="665AD8F8">
      <w:pPr>
        <w:wordWrap w:val="0"/>
        <w:spacing w:after="0" w:line="360" w:lineRule="auto"/>
        <w:rPr>
          <w:rFonts w:hint="eastAsia" w:ascii="宋体" w:hAnsi="宋体" w:cs="宋体"/>
          <w:bCs/>
          <w:sz w:val="24"/>
          <w:u w:val="single"/>
        </w:rPr>
      </w:pPr>
      <w:r>
        <w:rPr>
          <w:rFonts w:hint="eastAsia" w:ascii="宋体" w:hAnsi="宋体" w:cs="宋体"/>
          <w:sz w:val="24"/>
        </w:rPr>
        <w:t xml:space="preserve">发包方（全称）： </w:t>
      </w:r>
    </w:p>
    <w:p w14:paraId="17C569B7">
      <w:pPr>
        <w:wordWrap w:val="0"/>
        <w:spacing w:after="0" w:line="360" w:lineRule="auto"/>
        <w:rPr>
          <w:rFonts w:hint="eastAsia" w:ascii="宋体" w:hAnsi="宋体" w:cs="宋体"/>
          <w:bCs/>
          <w:sz w:val="24"/>
          <w:u w:val="single"/>
        </w:rPr>
      </w:pPr>
      <w:r>
        <w:rPr>
          <w:rFonts w:hint="eastAsia" w:ascii="宋体" w:hAnsi="宋体" w:cs="宋体"/>
          <w:sz w:val="24"/>
        </w:rPr>
        <w:t>承包方（全称）：</w:t>
      </w:r>
    </w:p>
    <w:p w14:paraId="12F3C237">
      <w:pPr>
        <w:wordWrap w:val="0"/>
        <w:spacing w:after="0" w:line="360" w:lineRule="auto"/>
        <w:ind w:firstLine="420"/>
        <w:rPr>
          <w:rFonts w:hint="eastAsia" w:ascii="宋体" w:hAnsi="宋体" w:cs="宋体"/>
          <w:bCs/>
          <w:sz w:val="24"/>
        </w:rPr>
      </w:pPr>
      <w:r>
        <w:rPr>
          <w:rFonts w:hint="eastAsia" w:ascii="宋体" w:hAnsi="宋体" w:cs="宋体"/>
          <w:sz w:val="24"/>
        </w:rPr>
        <w:t>为保证本合同项下项目在合理使用期限内项目工程正常使用，双方协商一致签订工程质量保修书，承包方在质量保修期内按照有关管理规定及双方约定承担工程质量保修责任。</w:t>
      </w:r>
    </w:p>
    <w:p w14:paraId="3A446E6B">
      <w:pPr>
        <w:wordWrap w:val="0"/>
        <w:spacing w:after="0" w:line="360" w:lineRule="auto"/>
        <w:ind w:firstLine="420"/>
        <w:rPr>
          <w:rFonts w:hint="eastAsia" w:ascii="宋体" w:hAnsi="宋体" w:cs="宋体"/>
          <w:bCs/>
          <w:sz w:val="24"/>
        </w:rPr>
      </w:pPr>
      <w:r>
        <w:rPr>
          <w:rFonts w:hint="eastAsia" w:ascii="宋体" w:hAnsi="宋体" w:cs="宋体"/>
          <w:sz w:val="24"/>
        </w:rPr>
        <w:t>一、工程质量保修规范和内容：</w:t>
      </w:r>
    </w:p>
    <w:p w14:paraId="501B0352">
      <w:pPr>
        <w:wordWrap w:val="0"/>
        <w:spacing w:after="0" w:line="360" w:lineRule="auto"/>
        <w:ind w:firstLine="420"/>
        <w:rPr>
          <w:rFonts w:hint="eastAsia" w:ascii="宋体" w:hAnsi="宋体" w:cs="宋体"/>
          <w:bCs/>
          <w:sz w:val="24"/>
          <w:u w:val="single"/>
        </w:rPr>
      </w:pPr>
      <w:r>
        <w:rPr>
          <w:rFonts w:hint="eastAsia" w:ascii="宋体" w:hAnsi="宋体" w:cs="宋体"/>
          <w:sz w:val="24"/>
        </w:rPr>
        <w:t>质量保修规范包括主体结构工程和双方约定的其他项目。具体质量保修内容双方约定如下：</w:t>
      </w:r>
      <w:r>
        <w:rPr>
          <w:rFonts w:hint="eastAsia" w:ascii="宋体" w:hAnsi="宋体" w:cs="宋体"/>
          <w:sz w:val="24"/>
          <w:u w:val="single"/>
        </w:rPr>
        <w:t>合同约定的全部内容。</w:t>
      </w:r>
    </w:p>
    <w:p w14:paraId="7920B2EC">
      <w:pPr>
        <w:wordWrap w:val="0"/>
        <w:spacing w:after="0" w:line="360" w:lineRule="auto"/>
        <w:ind w:firstLine="420"/>
        <w:rPr>
          <w:rFonts w:hint="eastAsia" w:ascii="宋体" w:hAnsi="宋体" w:cs="宋体"/>
          <w:bCs/>
          <w:color w:val="000000"/>
          <w:sz w:val="24"/>
        </w:rPr>
      </w:pPr>
      <w:r>
        <w:rPr>
          <w:rFonts w:hint="eastAsia" w:ascii="宋体" w:hAnsi="宋体" w:cs="宋体"/>
          <w:color w:val="000000"/>
          <w:sz w:val="24"/>
        </w:rPr>
        <w:t>二、质量保修期：</w:t>
      </w:r>
    </w:p>
    <w:p w14:paraId="685EC904">
      <w:pPr>
        <w:wordWrap w:val="0"/>
        <w:spacing w:after="0" w:line="360" w:lineRule="auto"/>
        <w:ind w:firstLine="420"/>
        <w:rPr>
          <w:rFonts w:hint="eastAsia" w:ascii="宋体" w:hAnsi="宋体" w:cs="宋体"/>
          <w:bCs/>
          <w:color w:val="000000"/>
          <w:sz w:val="24"/>
        </w:rPr>
      </w:pPr>
      <w:r>
        <w:rPr>
          <w:rFonts w:hint="eastAsia" w:ascii="宋体" w:hAnsi="宋体" w:cs="宋体"/>
          <w:bCs/>
          <w:color w:val="000000"/>
          <w:sz w:val="24"/>
        </w:rPr>
        <w:t>质量保修期从工程实际竣工验收合格之日起开始计算年，分单项竣工验收的工程，按单项工程分别计算质量保修期。</w:t>
      </w:r>
    </w:p>
    <w:p w14:paraId="09FE2598">
      <w:pPr>
        <w:wordWrap w:val="0"/>
        <w:spacing w:after="0" w:line="360" w:lineRule="auto"/>
        <w:ind w:firstLine="420"/>
        <w:rPr>
          <w:rFonts w:hint="eastAsia" w:ascii="宋体" w:hAnsi="宋体" w:cs="宋体"/>
          <w:bCs/>
          <w:color w:val="000000"/>
          <w:sz w:val="24"/>
        </w:rPr>
      </w:pPr>
      <w:r>
        <w:rPr>
          <w:rFonts w:hint="eastAsia" w:ascii="宋体" w:hAnsi="宋体" w:cs="宋体"/>
          <w:bCs/>
          <w:color w:val="000000"/>
          <w:sz w:val="24"/>
        </w:rPr>
        <w:t>双方根据国家有关规定，结合具体工程约定质量保修期</w:t>
      </w:r>
      <w:r>
        <w:rPr>
          <w:rFonts w:hint="eastAsia" w:ascii="宋体" w:hAnsi="宋体" w:cs="宋体"/>
          <w:color w:val="000000"/>
          <w:sz w:val="24"/>
        </w:rPr>
        <w:t>如下：</w:t>
      </w:r>
    </w:p>
    <w:p w14:paraId="61B9CB74">
      <w:pPr>
        <w:wordWrap w:val="0"/>
        <w:spacing w:after="0" w:line="360" w:lineRule="auto"/>
        <w:ind w:firstLine="420"/>
        <w:rPr>
          <w:rFonts w:hint="eastAsia" w:ascii="宋体" w:hAnsi="宋体" w:cs="宋体"/>
          <w:bCs/>
          <w:sz w:val="24"/>
          <w:u w:val="single"/>
        </w:rPr>
      </w:pPr>
      <w:r>
        <w:rPr>
          <w:rFonts w:hint="eastAsia" w:ascii="宋体" w:hAnsi="宋体" w:cs="宋体"/>
          <w:color w:val="000000"/>
          <w:sz w:val="24"/>
        </w:rPr>
        <w:t>质量保修期间，承包方应负责维修，并承担鉴定及维修费用。</w:t>
      </w:r>
    </w:p>
    <w:p w14:paraId="025B02F5">
      <w:pPr>
        <w:wordWrap w:val="0"/>
        <w:spacing w:after="0" w:line="360" w:lineRule="auto"/>
        <w:ind w:firstLine="420"/>
        <w:rPr>
          <w:rFonts w:hint="eastAsia" w:ascii="宋体" w:hAnsi="宋体" w:cs="宋体"/>
          <w:bCs/>
          <w:sz w:val="24"/>
        </w:rPr>
      </w:pPr>
      <w:r>
        <w:rPr>
          <w:rFonts w:hint="eastAsia" w:ascii="宋体" w:hAnsi="宋体" w:cs="宋体"/>
          <w:color w:val="000000"/>
          <w:sz w:val="24"/>
        </w:rPr>
        <w:t>三、</w:t>
      </w:r>
      <w:r>
        <w:rPr>
          <w:rFonts w:hint="eastAsia" w:ascii="宋体" w:hAnsi="宋体" w:cs="宋体"/>
          <w:sz w:val="24"/>
        </w:rPr>
        <w:t>质量保修责任：</w:t>
      </w:r>
    </w:p>
    <w:p w14:paraId="072FC084">
      <w:pPr>
        <w:wordWrap w:val="0"/>
        <w:spacing w:after="0" w:line="360" w:lineRule="auto"/>
        <w:ind w:firstLine="420"/>
        <w:rPr>
          <w:rFonts w:hint="eastAsia" w:ascii="宋体" w:hAnsi="宋体" w:cs="宋体"/>
          <w:bCs/>
          <w:sz w:val="24"/>
        </w:rPr>
      </w:pPr>
      <w:r>
        <w:rPr>
          <w:rFonts w:hint="eastAsia" w:ascii="宋体" w:hAnsi="宋体" w:cs="宋体"/>
          <w:sz w:val="24"/>
        </w:rPr>
        <w:t>属于保修范围和内容的项目，承包应在接到修理通知之日后7日内派人修理。承包方不在约定期限内派人修理，发包方可委托其他人员修理，费用由承包方支付。</w:t>
      </w:r>
    </w:p>
    <w:p w14:paraId="3396EFBA">
      <w:pPr>
        <w:wordWrap w:val="0"/>
        <w:spacing w:after="0" w:line="360" w:lineRule="auto"/>
        <w:ind w:firstLine="420"/>
        <w:rPr>
          <w:rFonts w:hint="eastAsia" w:ascii="宋体" w:hAnsi="宋体" w:cs="宋体"/>
          <w:bCs/>
          <w:sz w:val="24"/>
        </w:rPr>
      </w:pPr>
      <w:r>
        <w:rPr>
          <w:rFonts w:hint="eastAsia" w:ascii="宋体" w:hAnsi="宋体" w:cs="宋体"/>
          <w:sz w:val="24"/>
        </w:rPr>
        <w:t>发生须紧急抢修事故，承包方接到事故通知后，应立即到达事故现场抢修。非承包方施工质量引起的事故，抢修费用由发包方承担。</w:t>
      </w:r>
    </w:p>
    <w:p w14:paraId="367577CE">
      <w:pPr>
        <w:wordWrap w:val="0"/>
        <w:spacing w:after="0" w:line="360" w:lineRule="auto"/>
        <w:ind w:firstLine="420"/>
        <w:rPr>
          <w:rFonts w:hint="eastAsia" w:ascii="宋体" w:hAnsi="宋体" w:cs="宋体"/>
          <w:bCs/>
          <w:sz w:val="24"/>
        </w:rPr>
      </w:pPr>
      <w:r>
        <w:rPr>
          <w:rFonts w:hint="eastAsia" w:ascii="宋体" w:hAnsi="宋体" w:cs="宋体"/>
          <w:sz w:val="24"/>
        </w:rPr>
        <w:t>在国家规定的工程合理使用期限内，承包方承担主体结构的质量保修责任。因承包方原因致使工程在合理使用期限内造成人身和财产损害的，承包方应承担损害赔偿责任。</w:t>
      </w:r>
    </w:p>
    <w:p w14:paraId="008E1909">
      <w:pPr>
        <w:wordWrap w:val="0"/>
        <w:spacing w:after="0" w:line="360" w:lineRule="auto"/>
        <w:ind w:firstLine="420"/>
        <w:rPr>
          <w:rFonts w:hint="eastAsia" w:ascii="宋体" w:hAnsi="宋体" w:cs="宋体"/>
          <w:bCs/>
          <w:sz w:val="24"/>
        </w:rPr>
      </w:pPr>
      <w:r>
        <w:rPr>
          <w:rFonts w:hint="eastAsia" w:ascii="宋体" w:hAnsi="宋体" w:cs="宋体"/>
          <w:color w:val="000000"/>
          <w:sz w:val="24"/>
        </w:rPr>
        <w:t>四、</w:t>
      </w:r>
      <w:r>
        <w:rPr>
          <w:rFonts w:hint="eastAsia" w:ascii="宋体" w:hAnsi="宋体" w:cs="宋体"/>
          <w:sz w:val="24"/>
        </w:rPr>
        <w:t>其他：</w:t>
      </w:r>
    </w:p>
    <w:p w14:paraId="7C90B27F">
      <w:pPr>
        <w:wordWrap w:val="0"/>
        <w:spacing w:after="0" w:line="360" w:lineRule="auto"/>
        <w:ind w:firstLine="420"/>
        <w:rPr>
          <w:rFonts w:hint="eastAsia" w:ascii="宋体" w:hAnsi="宋体" w:cs="宋体"/>
          <w:bCs/>
          <w:sz w:val="24"/>
          <w:u w:val="single"/>
        </w:rPr>
      </w:pPr>
      <w:r>
        <w:rPr>
          <w:rFonts w:hint="eastAsia" w:ascii="宋体" w:hAnsi="宋体" w:cs="宋体"/>
          <w:sz w:val="24"/>
        </w:rPr>
        <w:t>双方约定的其他工程质量保修事项：</w:t>
      </w:r>
      <w:r>
        <w:rPr>
          <w:rFonts w:hint="eastAsia" w:ascii="宋体" w:hAnsi="宋体" w:cs="宋体"/>
          <w:sz w:val="24"/>
          <w:u w:val="single"/>
        </w:rPr>
        <w:t>属于基本和重大使用功能，不受上述保修期限制，保修期为该工程的合理使用年限。</w:t>
      </w:r>
    </w:p>
    <w:p w14:paraId="6077F4CD">
      <w:pPr>
        <w:wordWrap w:val="0"/>
        <w:spacing w:after="0" w:line="360" w:lineRule="auto"/>
        <w:ind w:firstLine="420"/>
        <w:rPr>
          <w:rFonts w:hint="eastAsia" w:ascii="宋体" w:hAnsi="宋体" w:cs="宋体"/>
          <w:bCs/>
          <w:sz w:val="24"/>
        </w:rPr>
      </w:pPr>
      <w:r>
        <w:rPr>
          <w:rFonts w:hint="eastAsia" w:ascii="宋体" w:hAnsi="宋体" w:cs="宋体"/>
          <w:sz w:val="24"/>
        </w:rPr>
        <w:t>本项目质量保修书作为施工合同附件，由施工合同双方共同签署。</w:t>
      </w:r>
    </w:p>
    <w:p w14:paraId="23B083E0">
      <w:pPr>
        <w:wordWrap w:val="0"/>
        <w:spacing w:after="0" w:line="360" w:lineRule="auto"/>
        <w:ind w:left="4560" w:hanging="4560" w:hangingChars="1900"/>
        <w:rPr>
          <w:rFonts w:hint="eastAsia" w:ascii="宋体" w:hAnsi="宋体" w:cs="宋体"/>
          <w:sz w:val="24"/>
          <w:u w:val="single"/>
        </w:rPr>
      </w:pPr>
      <w:r>
        <w:rPr>
          <w:rFonts w:hint="eastAsia" w:ascii="宋体" w:hAnsi="宋体" w:cs="宋体"/>
          <w:sz w:val="24"/>
        </w:rPr>
        <w:t>发包方（公章）：                       承包方(公章)：</w:t>
      </w:r>
    </w:p>
    <w:p w14:paraId="0E73021D">
      <w:pPr>
        <w:wordWrap w:val="0"/>
        <w:spacing w:after="0" w:line="360" w:lineRule="auto"/>
        <w:rPr>
          <w:rFonts w:hint="eastAsia" w:ascii="宋体" w:hAnsi="宋体" w:cs="宋体"/>
          <w:bCs/>
          <w:sz w:val="24"/>
        </w:rPr>
      </w:pPr>
      <w:r>
        <w:rPr>
          <w:rFonts w:hint="eastAsia" w:ascii="宋体" w:hAnsi="宋体" w:cs="宋体"/>
          <w:sz w:val="24"/>
        </w:rPr>
        <w:t>负责人或授权代表人：                  法定代表人或授权代表人：</w:t>
      </w:r>
    </w:p>
    <w:p w14:paraId="45042894">
      <w:pPr>
        <w:wordWrap w:val="0"/>
        <w:spacing w:after="0" w:line="360" w:lineRule="auto"/>
        <w:ind w:firstLine="720" w:firstLineChars="300"/>
        <w:rPr>
          <w:rFonts w:hint="eastAsia" w:ascii="宋体" w:hAnsi="宋体" w:cs="宋体"/>
          <w:b/>
          <w:sz w:val="24"/>
          <w:u w:val="single"/>
        </w:rPr>
      </w:pPr>
      <w:r>
        <w:rPr>
          <w:rFonts w:hint="eastAsia" w:ascii="宋体" w:hAnsi="宋体" w:cs="宋体"/>
          <w:sz w:val="24"/>
        </w:rPr>
        <w:t>年   月   日                               年   月   日</w:t>
      </w:r>
    </w:p>
    <w:p w14:paraId="175F8877">
      <w:pPr>
        <w:wordWrap w:val="0"/>
        <w:spacing w:after="0" w:line="360" w:lineRule="auto"/>
        <w:rPr>
          <w:rFonts w:hint="eastAsia" w:ascii="宋体" w:hAnsi="宋体" w:cs="宋体"/>
          <w:sz w:val="24"/>
        </w:rPr>
        <w:sectPr>
          <w:pgSz w:w="11905" w:h="16838"/>
          <w:pgMar w:top="1474" w:right="1474" w:bottom="1474" w:left="1474" w:header="850" w:footer="992" w:gutter="0"/>
          <w:cols w:space="0" w:num="1"/>
          <w:docGrid w:linePitch="312" w:charSpace="0"/>
        </w:sectPr>
      </w:pPr>
    </w:p>
    <w:p w14:paraId="4C45494D">
      <w:pPr>
        <w:wordWrap w:val="0"/>
        <w:spacing w:after="0" w:line="360" w:lineRule="auto"/>
        <w:jc w:val="center"/>
        <w:rPr>
          <w:rFonts w:hint="eastAsia" w:ascii="宋体" w:hAnsi="宋体" w:cs="宋体"/>
          <w:b/>
          <w:bCs/>
          <w:sz w:val="24"/>
        </w:rPr>
      </w:pPr>
      <w:r>
        <w:rPr>
          <w:rFonts w:hint="eastAsia" w:ascii="宋体" w:hAnsi="宋体" w:cs="宋体"/>
          <w:b/>
          <w:bCs/>
          <w:sz w:val="24"/>
        </w:rPr>
        <w:t>附件二：安全协议书</w:t>
      </w:r>
    </w:p>
    <w:p w14:paraId="72C7D517">
      <w:pPr>
        <w:pStyle w:val="2"/>
        <w:spacing w:after="0"/>
        <w:ind w:left="1063" w:hanging="643"/>
        <w:jc w:val="center"/>
      </w:pPr>
      <w:r>
        <w:rPr>
          <w:rFonts w:hint="eastAsia" w:ascii="宋体" w:hAnsi="宋体" w:cs="宋体"/>
          <w:b/>
          <w:bCs/>
          <w:sz w:val="32"/>
          <w:szCs w:val="40"/>
        </w:rPr>
        <w:t>安全协议书</w:t>
      </w:r>
    </w:p>
    <w:p w14:paraId="384F0168">
      <w:pPr>
        <w:adjustRightInd w:val="0"/>
        <w:snapToGrid w:val="0"/>
        <w:spacing w:after="0" w:line="360" w:lineRule="auto"/>
        <w:ind w:firstLine="482" w:firstLineChars="200"/>
        <w:rPr>
          <w:rFonts w:hint="eastAsia" w:ascii="宋体" w:hAnsi="宋体" w:cs="宋体"/>
          <w:sz w:val="24"/>
        </w:rPr>
      </w:pPr>
      <w:r>
        <w:rPr>
          <w:rFonts w:hint="eastAsia" w:ascii="宋体" w:hAnsi="宋体" w:cs="宋体"/>
          <w:b/>
          <w:sz w:val="24"/>
        </w:rPr>
        <w:t>甲方：</w:t>
      </w:r>
      <w:r>
        <w:rPr>
          <w:rFonts w:hint="eastAsia" w:ascii="宋体" w:hAnsi="宋体" w:cs="宋体"/>
          <w:sz w:val="24"/>
          <w:u w:val="single"/>
        </w:rPr>
        <w:t xml:space="preserve">                                           </w:t>
      </w:r>
    </w:p>
    <w:p w14:paraId="6B2857D8">
      <w:pPr>
        <w:spacing w:after="0" w:line="360" w:lineRule="auto"/>
        <w:ind w:firstLine="482" w:firstLineChars="200"/>
        <w:rPr>
          <w:rFonts w:hint="eastAsia" w:ascii="宋体" w:hAnsi="宋体" w:cs="宋体"/>
          <w:sz w:val="24"/>
        </w:rPr>
      </w:pPr>
      <w:r>
        <w:rPr>
          <w:rFonts w:hint="eastAsia" w:ascii="宋体" w:hAnsi="宋体" w:cs="宋体"/>
          <w:b/>
          <w:sz w:val="24"/>
        </w:rPr>
        <w:t>乙方：</w:t>
      </w:r>
      <w:r>
        <w:rPr>
          <w:rFonts w:hint="eastAsia" w:ascii="宋体" w:hAnsi="宋体" w:cs="宋体"/>
          <w:sz w:val="24"/>
          <w:u w:val="single"/>
        </w:rPr>
        <w:t xml:space="preserve">                                           </w:t>
      </w:r>
    </w:p>
    <w:p w14:paraId="53F46F0E">
      <w:pPr>
        <w:spacing w:after="0" w:line="360" w:lineRule="auto"/>
        <w:rPr>
          <w:rFonts w:hint="eastAsia" w:ascii="宋体" w:hAnsi="宋体" w:cs="宋体"/>
          <w:sz w:val="24"/>
          <w:szCs w:val="32"/>
        </w:rPr>
      </w:pPr>
    </w:p>
    <w:p w14:paraId="441A07BA">
      <w:pPr>
        <w:spacing w:after="0" w:line="360" w:lineRule="auto"/>
        <w:ind w:firstLine="424" w:firstLineChars="177"/>
        <w:rPr>
          <w:rFonts w:hint="eastAsia" w:ascii="宋体" w:hAnsi="宋体" w:cs="宋体"/>
          <w:sz w:val="24"/>
          <w:szCs w:val="32"/>
        </w:rPr>
      </w:pPr>
      <w:r>
        <w:rPr>
          <w:rFonts w:hint="eastAsia" w:ascii="宋体" w:hAnsi="宋体" w:cs="宋体"/>
          <w:sz w:val="24"/>
          <w:szCs w:val="32"/>
        </w:rPr>
        <w:t>为维护甲乙双方的合法利益，明确双方的安全管理职责、权利和义务，确保项目过程中的安全与文明管理，保持良好的工作秩序和场所的环境卫生安全，经甲乙双方友好协商，在平等自愿、协商一致的情况下，就乙方在参与甲方发包的“花卉大观园再生水智联灌溉提升项目”，签订本协议并严格执行。</w:t>
      </w:r>
    </w:p>
    <w:p w14:paraId="41FA5355">
      <w:pPr>
        <w:spacing w:after="0" w:line="360" w:lineRule="auto"/>
        <w:ind w:firstLine="480" w:firstLineChars="200"/>
        <w:rPr>
          <w:rFonts w:hint="eastAsia" w:ascii="宋体" w:hAnsi="宋体" w:cs="宋体"/>
          <w:sz w:val="24"/>
          <w:szCs w:val="32"/>
        </w:rPr>
      </w:pPr>
      <w:r>
        <w:rPr>
          <w:rFonts w:hint="eastAsia" w:ascii="宋体" w:hAnsi="宋体" w:cs="宋体"/>
          <w:sz w:val="24"/>
          <w:szCs w:val="32"/>
        </w:rPr>
        <w:t>一、工作内容</w:t>
      </w:r>
    </w:p>
    <w:p w14:paraId="2D6FFEC1">
      <w:pPr>
        <w:spacing w:after="0" w:line="360" w:lineRule="auto"/>
        <w:ind w:firstLine="480" w:firstLineChars="200"/>
        <w:rPr>
          <w:rFonts w:hint="eastAsia" w:ascii="宋体" w:hAnsi="宋体" w:cs="宋体"/>
          <w:sz w:val="24"/>
          <w:szCs w:val="32"/>
        </w:rPr>
      </w:pPr>
      <w:r>
        <w:rPr>
          <w:rFonts w:hint="eastAsia" w:ascii="宋体" w:hAnsi="宋体" w:cs="宋体"/>
          <w:sz w:val="24"/>
          <w:szCs w:val="32"/>
        </w:rPr>
        <w:t>乙方在项目作业期间，应按照甲方要求，保质保量的完成花卉大观园再生水智联灌溉提升项目；</w:t>
      </w:r>
    </w:p>
    <w:p w14:paraId="51EDAD0F">
      <w:pPr>
        <w:spacing w:after="0" w:line="360" w:lineRule="auto"/>
        <w:ind w:left="480"/>
        <w:jc w:val="left"/>
        <w:rPr>
          <w:rFonts w:hint="eastAsia" w:ascii="宋体" w:hAnsi="宋体" w:cs="宋体"/>
          <w:sz w:val="24"/>
          <w:szCs w:val="32"/>
        </w:rPr>
      </w:pPr>
      <w:r>
        <w:rPr>
          <w:rFonts w:hint="eastAsia" w:ascii="宋体" w:hAnsi="宋体" w:cs="宋体"/>
          <w:sz w:val="24"/>
          <w:szCs w:val="32"/>
        </w:rPr>
        <w:t>二、协议内容</w:t>
      </w:r>
    </w:p>
    <w:p w14:paraId="21F77FE9">
      <w:pPr>
        <w:spacing w:after="0" w:line="360" w:lineRule="auto"/>
        <w:ind w:firstLine="480" w:firstLineChars="200"/>
        <w:rPr>
          <w:rFonts w:hint="eastAsia" w:ascii="宋体" w:hAnsi="宋体" w:cs="宋体"/>
          <w:sz w:val="24"/>
          <w:szCs w:val="32"/>
        </w:rPr>
      </w:pPr>
      <w:r>
        <w:rPr>
          <w:rFonts w:hint="eastAsia" w:ascii="宋体" w:hAnsi="宋体" w:cs="宋体"/>
          <w:sz w:val="24"/>
          <w:szCs w:val="32"/>
        </w:rPr>
        <w:t>1、甲方有权随时对乙方工作人员进行监督检查并责令整改，有权制止违章作业及一切不安全行为，有权对违反安全规定的行为进行停止提供服务的处理。</w:t>
      </w:r>
    </w:p>
    <w:p w14:paraId="1DE1D965">
      <w:pPr>
        <w:spacing w:after="0" w:line="360" w:lineRule="auto"/>
        <w:ind w:firstLine="480" w:firstLineChars="200"/>
        <w:rPr>
          <w:rFonts w:hint="eastAsia" w:ascii="宋体" w:hAnsi="宋体" w:cs="宋体"/>
          <w:sz w:val="24"/>
          <w:szCs w:val="32"/>
        </w:rPr>
      </w:pPr>
      <w:r>
        <w:rPr>
          <w:rFonts w:hint="eastAsia" w:ascii="宋体" w:hAnsi="宋体" w:cs="宋体"/>
          <w:sz w:val="24"/>
          <w:szCs w:val="32"/>
        </w:rPr>
        <w:t>2、乙方负有对其工作人员安全培训的责任，并管理工作人员严格遵守本协议。</w:t>
      </w:r>
    </w:p>
    <w:p w14:paraId="477D372A">
      <w:pPr>
        <w:spacing w:after="0" w:line="360" w:lineRule="auto"/>
        <w:ind w:firstLine="480" w:firstLineChars="200"/>
        <w:rPr>
          <w:rFonts w:hint="eastAsia" w:ascii="宋体" w:hAnsi="宋体" w:cs="宋体"/>
          <w:sz w:val="24"/>
          <w:szCs w:val="32"/>
        </w:rPr>
      </w:pPr>
      <w:r>
        <w:rPr>
          <w:rFonts w:hint="eastAsia" w:ascii="宋体" w:hAnsi="宋体" w:cs="宋体"/>
          <w:sz w:val="24"/>
          <w:szCs w:val="32"/>
        </w:rPr>
        <w:t>3、乙方保证其工作人员的身体健康，严格执行有关安全规定，对所有工作人员的安全全面负责，在工作过程中发生的各种人员伤亡及财产损失均由乙方全部承担，甲方不负任何责任。</w:t>
      </w:r>
    </w:p>
    <w:p w14:paraId="71078FCC">
      <w:pPr>
        <w:spacing w:after="0" w:line="360" w:lineRule="auto"/>
        <w:ind w:firstLine="480" w:firstLineChars="200"/>
        <w:rPr>
          <w:rFonts w:hint="eastAsia" w:ascii="宋体" w:hAnsi="宋体" w:cs="宋体"/>
          <w:sz w:val="24"/>
          <w:szCs w:val="32"/>
        </w:rPr>
      </w:pPr>
      <w:r>
        <w:rPr>
          <w:rFonts w:hint="eastAsia" w:ascii="宋体" w:hAnsi="宋体" w:cs="宋体"/>
          <w:sz w:val="24"/>
          <w:szCs w:val="32"/>
        </w:rPr>
        <w:t>4、由乙方提供的服务及相关工作，对甲方、客户及任何第三方造成各种人员伤亡及财产损失均由乙方全部承担，甲方不负任何责任。</w:t>
      </w:r>
    </w:p>
    <w:p w14:paraId="3A0DEE0B">
      <w:pPr>
        <w:spacing w:after="0" w:line="360" w:lineRule="auto"/>
        <w:ind w:firstLine="480" w:firstLineChars="200"/>
        <w:rPr>
          <w:rFonts w:hint="eastAsia" w:ascii="宋体" w:hAnsi="宋体" w:cs="宋体"/>
          <w:sz w:val="24"/>
          <w:szCs w:val="32"/>
        </w:rPr>
      </w:pPr>
      <w:r>
        <w:rPr>
          <w:rFonts w:hint="eastAsia" w:ascii="宋体" w:hAnsi="宋体" w:cs="宋体"/>
          <w:sz w:val="24"/>
          <w:szCs w:val="32"/>
        </w:rPr>
        <w:t>5、工程项目过程中产生的垃圾，由乙方负责环保处理，当日产生当日处理，不得影响环境卫生。</w:t>
      </w:r>
    </w:p>
    <w:p w14:paraId="56C070EE">
      <w:pPr>
        <w:spacing w:after="0" w:line="360" w:lineRule="auto"/>
        <w:ind w:firstLine="480" w:firstLineChars="200"/>
        <w:rPr>
          <w:rFonts w:hint="eastAsia" w:ascii="宋体" w:hAnsi="宋体" w:cs="宋体"/>
          <w:sz w:val="24"/>
          <w:szCs w:val="32"/>
        </w:rPr>
      </w:pPr>
      <w:r>
        <w:rPr>
          <w:rFonts w:hint="eastAsia" w:ascii="宋体" w:hAnsi="宋体" w:cs="宋体"/>
          <w:sz w:val="24"/>
          <w:szCs w:val="32"/>
        </w:rPr>
        <w:t>三、协议期限</w:t>
      </w:r>
    </w:p>
    <w:p w14:paraId="78341993">
      <w:pPr>
        <w:numPr>
          <w:ilvl w:val="0"/>
          <w:numId w:val="12"/>
        </w:numPr>
        <w:spacing w:after="0" w:line="360" w:lineRule="auto"/>
        <w:ind w:firstLine="480" w:firstLineChars="200"/>
        <w:rPr>
          <w:rFonts w:hint="eastAsia" w:ascii="宋体" w:hAnsi="宋体" w:cs="宋体"/>
          <w:sz w:val="24"/>
          <w:szCs w:val="32"/>
        </w:rPr>
      </w:pPr>
      <w:r>
        <w:rPr>
          <w:rFonts w:hint="eastAsia" w:ascii="宋体" w:hAnsi="宋体" w:cs="宋体"/>
          <w:sz w:val="24"/>
          <w:szCs w:val="32"/>
        </w:rPr>
        <w:t>本协议自签订之日起生效，有效期    年   月   日至    年   月   日止。</w:t>
      </w:r>
    </w:p>
    <w:p w14:paraId="1DF56B57">
      <w:pPr>
        <w:spacing w:after="0" w:line="360" w:lineRule="auto"/>
        <w:rPr>
          <w:rFonts w:hint="eastAsia" w:ascii="宋体" w:hAnsi="宋体" w:cs="宋体"/>
          <w:sz w:val="24"/>
          <w:szCs w:val="32"/>
        </w:rPr>
      </w:pPr>
      <w:r>
        <w:rPr>
          <w:rFonts w:hint="eastAsia" w:ascii="宋体" w:hAnsi="宋体" w:cs="宋体"/>
          <w:sz w:val="24"/>
          <w:szCs w:val="32"/>
        </w:rPr>
        <w:t xml:space="preserve">   四、其他</w:t>
      </w:r>
    </w:p>
    <w:p w14:paraId="52D2C6D5">
      <w:pPr>
        <w:spacing w:after="0" w:line="360" w:lineRule="auto"/>
        <w:ind w:firstLine="480" w:firstLineChars="200"/>
        <w:rPr>
          <w:rFonts w:hint="eastAsia" w:ascii="宋体" w:hAnsi="宋体" w:cs="宋体"/>
          <w:sz w:val="24"/>
          <w:szCs w:val="32"/>
        </w:rPr>
      </w:pPr>
      <w:r>
        <w:rPr>
          <w:rFonts w:hint="eastAsia" w:ascii="宋体" w:hAnsi="宋体" w:cs="宋体"/>
          <w:sz w:val="24"/>
          <w:szCs w:val="32"/>
        </w:rPr>
        <w:t>1、签署者对本协议条款的含义及相关法律后果已全部知晓并充分理解。本协议具有法律效力。</w:t>
      </w:r>
    </w:p>
    <w:p w14:paraId="72E6EA57">
      <w:pPr>
        <w:spacing w:after="0" w:line="360" w:lineRule="auto"/>
        <w:ind w:firstLine="480" w:firstLineChars="200"/>
        <w:rPr>
          <w:rFonts w:hint="eastAsia" w:ascii="宋体" w:hAnsi="宋体" w:cs="宋体"/>
          <w:sz w:val="24"/>
          <w:szCs w:val="32"/>
        </w:rPr>
      </w:pPr>
      <w:r>
        <w:rPr>
          <w:rFonts w:hint="eastAsia" w:ascii="宋体" w:hAnsi="宋体" w:cs="宋体"/>
          <w:kern w:val="0"/>
          <w:sz w:val="24"/>
        </w:rPr>
        <w:t>2、协议的实施或与协议有关的一切争端应通过双方友好协商解决。如果友好协商不能解决，任何一方都可依法向北京市丰台区人民法院提起诉讼。</w:t>
      </w:r>
    </w:p>
    <w:p w14:paraId="3C7F3D36">
      <w:pPr>
        <w:spacing w:after="0" w:line="360" w:lineRule="auto"/>
        <w:ind w:left="-567" w:leftChars="-270" w:right="-907" w:rightChars="-432"/>
        <w:rPr>
          <w:rFonts w:hint="eastAsia" w:ascii="宋体" w:hAnsi="宋体" w:cs="宋体"/>
          <w:sz w:val="24"/>
          <w:szCs w:val="32"/>
        </w:rPr>
      </w:pPr>
    </w:p>
    <w:p w14:paraId="1D546D85">
      <w:pPr>
        <w:spacing w:after="0" w:line="360" w:lineRule="auto"/>
        <w:ind w:left="-567" w:leftChars="-270" w:right="-907" w:rightChars="-432" w:firstLine="420"/>
        <w:rPr>
          <w:rFonts w:hint="eastAsia" w:ascii="宋体" w:hAnsi="宋体" w:cs="宋体"/>
          <w:sz w:val="24"/>
          <w:szCs w:val="32"/>
        </w:rPr>
      </w:pPr>
      <w:r>
        <w:rPr>
          <w:rFonts w:hint="eastAsia" w:ascii="宋体" w:hAnsi="宋体" w:cs="宋体"/>
          <w:sz w:val="24"/>
          <w:szCs w:val="32"/>
        </w:rPr>
        <w:t xml:space="preserve">甲方：                                    乙方： </w:t>
      </w:r>
    </w:p>
    <w:p w14:paraId="4B83F760">
      <w:pPr>
        <w:spacing w:after="0" w:line="360" w:lineRule="auto"/>
        <w:ind w:left="-567" w:leftChars="-270" w:right="-907" w:rightChars="-432"/>
        <w:rPr>
          <w:rFonts w:hint="eastAsia" w:ascii="宋体" w:hAnsi="宋体" w:cs="宋体"/>
          <w:sz w:val="24"/>
          <w:szCs w:val="32"/>
        </w:rPr>
      </w:pPr>
    </w:p>
    <w:p w14:paraId="5611A3F2">
      <w:pPr>
        <w:spacing w:after="0" w:line="360" w:lineRule="auto"/>
        <w:ind w:left="-567" w:leftChars="-270" w:right="-907" w:rightChars="-432" w:firstLine="420"/>
        <w:rPr>
          <w:rFonts w:hint="eastAsia" w:ascii="宋体" w:hAnsi="宋体" w:cs="宋体"/>
          <w:sz w:val="24"/>
          <w:szCs w:val="32"/>
        </w:rPr>
      </w:pPr>
      <w:r>
        <w:rPr>
          <w:rFonts w:hint="eastAsia" w:ascii="宋体" w:hAnsi="宋体" w:cs="宋体"/>
          <w:sz w:val="24"/>
          <w:szCs w:val="32"/>
        </w:rPr>
        <w:t>甲方单位负责人：                          乙方单位负责人：</w:t>
      </w:r>
    </w:p>
    <w:p w14:paraId="25442133">
      <w:pPr>
        <w:spacing w:after="0" w:line="360" w:lineRule="auto"/>
        <w:rPr>
          <w:rFonts w:hint="eastAsia" w:ascii="宋体" w:hAnsi="宋体" w:cs="宋体"/>
          <w:sz w:val="24"/>
          <w:szCs w:val="32"/>
        </w:rPr>
      </w:pPr>
    </w:p>
    <w:p w14:paraId="42265BFC">
      <w:pPr>
        <w:wordWrap w:val="0"/>
        <w:spacing w:after="0" w:line="360" w:lineRule="auto"/>
        <w:jc w:val="center"/>
        <w:rPr>
          <w:rFonts w:hint="eastAsia" w:ascii="宋体" w:hAnsi="宋体" w:cs="宋体"/>
          <w:b/>
          <w:bCs/>
          <w:sz w:val="24"/>
        </w:rPr>
        <w:sectPr>
          <w:pgSz w:w="11905" w:h="16838"/>
          <w:pgMar w:top="1474" w:right="1474" w:bottom="1474" w:left="1474" w:header="850" w:footer="992" w:gutter="0"/>
          <w:cols w:space="0" w:num="1"/>
          <w:docGrid w:linePitch="312" w:charSpace="0"/>
        </w:sectPr>
      </w:pPr>
      <w:r>
        <w:rPr>
          <w:rFonts w:hint="eastAsia" w:ascii="宋体" w:hAnsi="宋体" w:cs="宋体"/>
          <w:sz w:val="24"/>
          <w:szCs w:val="32"/>
        </w:rPr>
        <w:t xml:space="preserve">       年    月    日                                  年    月    日</w:t>
      </w:r>
    </w:p>
    <w:p w14:paraId="43CC5AE1">
      <w:pPr>
        <w:wordWrap w:val="0"/>
        <w:spacing w:after="0" w:line="360" w:lineRule="auto"/>
        <w:jc w:val="center"/>
        <w:rPr>
          <w:rFonts w:hint="eastAsia" w:ascii="宋体" w:hAnsi="宋体" w:cs="宋体"/>
          <w:b/>
          <w:bCs/>
          <w:sz w:val="24"/>
        </w:rPr>
      </w:pPr>
      <w:r>
        <w:rPr>
          <w:rFonts w:hint="eastAsia" w:ascii="宋体" w:hAnsi="宋体" w:cs="宋体"/>
          <w:b/>
          <w:bCs/>
          <w:sz w:val="24"/>
        </w:rPr>
        <w:t>附件三：保密责任书</w:t>
      </w:r>
    </w:p>
    <w:p w14:paraId="0B532C41">
      <w:pPr>
        <w:wordWrap w:val="0"/>
        <w:spacing w:after="0" w:line="360" w:lineRule="auto"/>
        <w:jc w:val="center"/>
        <w:rPr>
          <w:rFonts w:hint="eastAsia" w:ascii="宋体" w:hAnsi="宋体" w:cs="宋体"/>
          <w:sz w:val="24"/>
        </w:rPr>
      </w:pPr>
      <w:r>
        <w:rPr>
          <w:rFonts w:hint="eastAsia" w:ascii="宋体" w:hAnsi="宋体" w:cs="宋体"/>
          <w:sz w:val="24"/>
        </w:rPr>
        <w:t>北京市丰台区节约用水办公室</w:t>
      </w:r>
    </w:p>
    <w:p w14:paraId="3BCC8141">
      <w:pPr>
        <w:wordWrap w:val="0"/>
        <w:spacing w:after="0" w:line="360" w:lineRule="auto"/>
        <w:jc w:val="center"/>
        <w:rPr>
          <w:rFonts w:hint="eastAsia" w:ascii="宋体" w:hAnsi="宋体" w:cs="宋体"/>
          <w:sz w:val="24"/>
        </w:rPr>
      </w:pPr>
      <w:r>
        <w:rPr>
          <w:rFonts w:hint="eastAsia" w:ascii="宋体" w:hAnsi="宋体" w:cs="宋体"/>
          <w:sz w:val="24"/>
        </w:rPr>
        <w:t>保密责任书</w:t>
      </w:r>
    </w:p>
    <w:p w14:paraId="14271090">
      <w:pPr>
        <w:wordWrap w:val="0"/>
        <w:spacing w:after="0" w:line="360" w:lineRule="auto"/>
        <w:ind w:firstLine="420"/>
        <w:rPr>
          <w:rFonts w:hint="eastAsia" w:ascii="宋体" w:hAnsi="宋体" w:cs="宋体"/>
          <w:sz w:val="24"/>
        </w:rPr>
      </w:pPr>
      <w:r>
        <w:rPr>
          <w:rFonts w:hint="eastAsia" w:ascii="宋体" w:hAnsi="宋体" w:cs="宋体"/>
          <w:sz w:val="24"/>
        </w:rPr>
        <w:t>鉴于（承包方）为北京市丰台区节约用水办公室项目提供服务，为保证在服务过程中所涉秘密安全，承包方依据《中华人民共和国保守国家秘密法》的有关规定，自愿遵守以下保密条款：</w:t>
      </w:r>
    </w:p>
    <w:p w14:paraId="2DBF2B94">
      <w:pPr>
        <w:wordWrap w:val="0"/>
        <w:spacing w:after="0" w:line="360" w:lineRule="auto"/>
        <w:ind w:firstLine="420"/>
        <w:rPr>
          <w:rFonts w:hint="eastAsia" w:ascii="宋体" w:hAnsi="宋体" w:cs="宋体"/>
          <w:sz w:val="24"/>
        </w:rPr>
      </w:pPr>
      <w:r>
        <w:rPr>
          <w:rFonts w:hint="eastAsia" w:ascii="宋体" w:hAnsi="宋体" w:cs="宋体"/>
          <w:sz w:val="24"/>
        </w:rPr>
        <w:t>1. 本项目及履行合同过程中的下列信息属于保密信息：</w:t>
      </w:r>
    </w:p>
    <w:p w14:paraId="6C18E1A5">
      <w:pPr>
        <w:wordWrap w:val="0"/>
        <w:spacing w:after="0" w:line="360" w:lineRule="auto"/>
        <w:ind w:firstLine="420"/>
        <w:rPr>
          <w:rFonts w:hint="eastAsia" w:ascii="宋体" w:hAnsi="宋体" w:cs="宋体"/>
          <w:sz w:val="24"/>
        </w:rPr>
      </w:pPr>
      <w:r>
        <w:rPr>
          <w:rFonts w:hint="eastAsia" w:ascii="宋体" w:hAnsi="宋体" w:cs="宋体"/>
          <w:sz w:val="24"/>
        </w:rPr>
        <w:t>（1）发包方向承包方提供的所有资料，以及承包方编制的所有与本项目相关的信息、文档、资料，</w:t>
      </w:r>
    </w:p>
    <w:p w14:paraId="20465F77">
      <w:pPr>
        <w:wordWrap w:val="0"/>
        <w:spacing w:after="0" w:line="360" w:lineRule="auto"/>
        <w:ind w:firstLine="420"/>
        <w:rPr>
          <w:rFonts w:hint="eastAsia" w:ascii="宋体" w:hAnsi="宋体" w:cs="宋体"/>
          <w:sz w:val="24"/>
        </w:rPr>
      </w:pPr>
      <w:r>
        <w:rPr>
          <w:rFonts w:hint="eastAsia" w:ascii="宋体" w:hAnsi="宋体" w:cs="宋体"/>
          <w:sz w:val="24"/>
        </w:rPr>
        <w:t>（2）发包方通过注明“保密”、“涉密”字样等方式或其他技术手段采取保密措施的其他信息或资料。</w:t>
      </w:r>
    </w:p>
    <w:p w14:paraId="601ADC72">
      <w:pPr>
        <w:wordWrap w:val="0"/>
        <w:spacing w:after="0" w:line="360" w:lineRule="auto"/>
        <w:ind w:firstLine="420"/>
        <w:rPr>
          <w:rFonts w:hint="eastAsia" w:ascii="宋体" w:hAnsi="宋体" w:cs="宋体"/>
          <w:sz w:val="24"/>
        </w:rPr>
      </w:pPr>
      <w:r>
        <w:rPr>
          <w:rFonts w:hint="eastAsia" w:ascii="宋体" w:hAnsi="宋体" w:cs="宋体"/>
          <w:sz w:val="24"/>
        </w:rPr>
        <w:t>2. 本合同保密信息及资料仅供承包方本项目小组人员参考使用，承包方须严守资料中所涉秘密、妥善保管，不得遗失、转借、复印，未经发包方书面同意不得以任何方式使用、销售、或向第三方披露、泄漏。不得以任何形式进行模仿、抄袭或自身或许可第三方使用。</w:t>
      </w:r>
    </w:p>
    <w:p w14:paraId="699D6BA9">
      <w:pPr>
        <w:wordWrap w:val="0"/>
        <w:spacing w:after="0" w:line="360" w:lineRule="auto"/>
        <w:ind w:firstLine="420"/>
        <w:rPr>
          <w:rFonts w:hint="eastAsia" w:ascii="宋体" w:hAnsi="宋体" w:cs="宋体"/>
          <w:sz w:val="24"/>
        </w:rPr>
      </w:pPr>
      <w:r>
        <w:rPr>
          <w:rFonts w:hint="eastAsia" w:ascii="宋体" w:hAnsi="宋体" w:cs="宋体"/>
          <w:sz w:val="24"/>
        </w:rPr>
        <w:t>3.本项目完成后15天内，承包方应向发包方提交本项目全部合同资料及数据。承包方不得擅自复制、备份或用于其他项目。</w:t>
      </w:r>
    </w:p>
    <w:p w14:paraId="434D32E1">
      <w:pPr>
        <w:wordWrap w:val="0"/>
        <w:spacing w:after="0" w:line="360" w:lineRule="auto"/>
        <w:ind w:firstLine="420"/>
        <w:rPr>
          <w:rFonts w:hint="eastAsia" w:ascii="宋体" w:hAnsi="宋体" w:cs="宋体"/>
          <w:sz w:val="24"/>
        </w:rPr>
      </w:pPr>
      <w:r>
        <w:rPr>
          <w:rFonts w:hint="eastAsia" w:ascii="宋体" w:hAnsi="宋体" w:cs="宋体"/>
          <w:sz w:val="24"/>
        </w:rPr>
        <w:t>4.承包方在接受和退还涉密内容的资料时必须建立登记制度。</w:t>
      </w:r>
    </w:p>
    <w:p w14:paraId="4A88024C">
      <w:pPr>
        <w:wordWrap w:val="0"/>
        <w:spacing w:after="0" w:line="360" w:lineRule="auto"/>
        <w:ind w:firstLine="420"/>
        <w:rPr>
          <w:rFonts w:hint="eastAsia" w:ascii="宋体" w:hAnsi="宋体" w:cs="宋体"/>
          <w:sz w:val="24"/>
        </w:rPr>
      </w:pPr>
      <w:r>
        <w:rPr>
          <w:rFonts w:hint="eastAsia" w:ascii="宋体" w:hAnsi="宋体" w:cs="宋体"/>
          <w:sz w:val="24"/>
        </w:rPr>
        <w:t>5.在项目执行期间，承包方应保证承包方项目队伍人员严格遵守发包方的保密规定。</w:t>
      </w:r>
    </w:p>
    <w:p w14:paraId="11985330">
      <w:pPr>
        <w:wordWrap w:val="0"/>
        <w:spacing w:after="0" w:line="360" w:lineRule="auto"/>
        <w:ind w:firstLine="420"/>
        <w:rPr>
          <w:rFonts w:hint="eastAsia" w:ascii="宋体" w:hAnsi="宋体" w:cs="宋体"/>
          <w:sz w:val="24"/>
        </w:rPr>
      </w:pPr>
      <w:r>
        <w:rPr>
          <w:rFonts w:hint="eastAsia" w:ascii="宋体" w:hAnsi="宋体" w:cs="宋体"/>
          <w:sz w:val="24"/>
        </w:rPr>
        <w:t>6.承包方发现发包方的保密事项已经泄露或可能泄露时，应当立即采取补救措施，并及时报告发包方。如承包方造成的泄失密事件，承包方须承担有关法律责任。发包方解除合同的，承包方应退还本合同款项，按照合同金额30%标准支付违约金。</w:t>
      </w:r>
    </w:p>
    <w:p w14:paraId="6D429852">
      <w:pPr>
        <w:wordWrap w:val="0"/>
        <w:spacing w:after="0" w:line="360" w:lineRule="auto"/>
        <w:ind w:firstLine="420"/>
        <w:rPr>
          <w:rFonts w:hint="eastAsia" w:ascii="宋体" w:hAnsi="宋体" w:cs="宋体"/>
          <w:sz w:val="24"/>
        </w:rPr>
      </w:pPr>
      <w:r>
        <w:rPr>
          <w:rFonts w:hint="eastAsia" w:ascii="宋体" w:hAnsi="宋体" w:cs="宋体"/>
          <w:sz w:val="24"/>
        </w:rPr>
        <w:t>7.本项目保密期限为永久。</w:t>
      </w:r>
    </w:p>
    <w:p w14:paraId="1715DC9A">
      <w:pPr>
        <w:wordWrap w:val="0"/>
        <w:spacing w:after="0" w:line="360" w:lineRule="auto"/>
        <w:rPr>
          <w:rFonts w:hint="eastAsia" w:ascii="宋体" w:hAnsi="宋体" w:cs="宋体"/>
          <w:sz w:val="24"/>
        </w:rPr>
      </w:pPr>
      <w:r>
        <w:rPr>
          <w:rFonts w:hint="eastAsia" w:ascii="宋体" w:hAnsi="宋体" w:cs="宋体"/>
          <w:sz w:val="24"/>
        </w:rPr>
        <w:t>承诺公司名称：（印章）</w:t>
      </w:r>
    </w:p>
    <w:p w14:paraId="63479629">
      <w:pPr>
        <w:wordWrap w:val="0"/>
        <w:spacing w:after="0" w:line="360" w:lineRule="auto"/>
        <w:rPr>
          <w:rFonts w:hint="eastAsia" w:ascii="宋体" w:hAnsi="宋体" w:cs="宋体"/>
          <w:sz w:val="24"/>
        </w:rPr>
      </w:pPr>
      <w:r>
        <w:rPr>
          <w:rFonts w:hint="eastAsia" w:ascii="宋体" w:hAnsi="宋体" w:cs="宋体"/>
          <w:sz w:val="24"/>
        </w:rPr>
        <w:t>法定代表人：</w:t>
      </w:r>
    </w:p>
    <w:p w14:paraId="76C6E290">
      <w:pPr>
        <w:wordWrap w:val="0"/>
        <w:spacing w:after="0" w:line="360" w:lineRule="auto"/>
        <w:rPr>
          <w:rFonts w:hint="eastAsia" w:ascii="宋体" w:hAnsi="宋体" w:cs="宋体"/>
          <w:sz w:val="24"/>
        </w:rPr>
      </w:pPr>
      <w:r>
        <w:rPr>
          <w:rFonts w:hint="eastAsia" w:ascii="宋体" w:hAnsi="宋体" w:cs="宋体"/>
          <w:sz w:val="24"/>
        </w:rPr>
        <w:t>签字日期：     年    月    日</w:t>
      </w:r>
    </w:p>
    <w:p w14:paraId="2D6435FB">
      <w:pPr>
        <w:wordWrap w:val="0"/>
        <w:spacing w:after="0" w:line="360" w:lineRule="auto"/>
        <w:jc w:val="center"/>
        <w:rPr>
          <w:rFonts w:hint="eastAsia" w:ascii="宋体" w:hAnsi="宋体" w:cs="宋体"/>
          <w:b/>
          <w:bCs/>
          <w:sz w:val="24"/>
        </w:rPr>
      </w:pPr>
      <w:r>
        <w:rPr>
          <w:rFonts w:hint="eastAsia" w:ascii="宋体" w:hAnsi="宋体" w:cs="宋体"/>
          <w:b/>
          <w:bCs/>
          <w:sz w:val="24"/>
        </w:rPr>
        <w:br w:type="page"/>
      </w:r>
      <w:r>
        <w:rPr>
          <w:rFonts w:hint="eastAsia" w:ascii="宋体" w:hAnsi="宋体" w:cs="宋体"/>
          <w:b/>
          <w:bCs/>
          <w:sz w:val="24"/>
        </w:rPr>
        <w:t>附件四：廉政责任书</w:t>
      </w:r>
    </w:p>
    <w:p w14:paraId="53D0D8C9">
      <w:pPr>
        <w:spacing w:after="0" w:line="560" w:lineRule="exact"/>
        <w:jc w:val="center"/>
        <w:rPr>
          <w:rFonts w:hint="eastAsia" w:ascii="黑体" w:hAnsi="黑体" w:eastAsia="黑体" w:cs="黑体"/>
          <w:sz w:val="40"/>
          <w:szCs w:val="40"/>
        </w:rPr>
      </w:pPr>
      <w:r>
        <w:rPr>
          <w:rFonts w:hint="eastAsia" w:ascii="黑体" w:hAnsi="黑体" w:eastAsia="黑体" w:cs="黑体"/>
          <w:sz w:val="40"/>
          <w:szCs w:val="40"/>
        </w:rPr>
        <w:t>廉 政 责 任 书</w:t>
      </w:r>
    </w:p>
    <w:p w14:paraId="7B700F1E">
      <w:pPr>
        <w:spacing w:after="0" w:line="560" w:lineRule="exact"/>
        <w:ind w:firstLine="560" w:firstLineChars="200"/>
        <w:rPr>
          <w:rFonts w:hint="eastAsia" w:ascii="仿宋_GB2312" w:hAnsi="仿宋_GB2312" w:eastAsia="仿宋_GB2312" w:cs="仿宋_GB2312"/>
          <w:sz w:val="28"/>
          <w:szCs w:val="28"/>
        </w:rPr>
      </w:pPr>
    </w:p>
    <w:p w14:paraId="458DC13B">
      <w:pPr>
        <w:spacing w:after="0" w:line="560" w:lineRule="exact"/>
        <w:rPr>
          <w:rFonts w:hint="eastAsia" w:ascii="宋体" w:hAnsi="宋体" w:eastAsia="宋体" w:cs="宋体"/>
          <w:sz w:val="24"/>
          <w:szCs w:val="24"/>
        </w:rPr>
      </w:pPr>
      <w:r>
        <w:rPr>
          <w:rFonts w:hint="eastAsia" w:ascii="宋体" w:hAnsi="宋体" w:eastAsia="宋体" w:cs="宋体"/>
          <w:sz w:val="24"/>
          <w:szCs w:val="24"/>
        </w:rPr>
        <w:t>合同编号：</w:t>
      </w:r>
      <w:r>
        <w:rPr>
          <w:rFonts w:hint="eastAsia" w:ascii="宋体" w:hAnsi="宋体" w:eastAsia="宋体" w:cs="宋体"/>
          <w:sz w:val="24"/>
          <w:szCs w:val="24"/>
          <w:u w:val="single"/>
        </w:rPr>
        <w:t xml:space="preserve">                                      </w:t>
      </w:r>
    </w:p>
    <w:p w14:paraId="1C1E72B5">
      <w:pPr>
        <w:spacing w:after="0" w:line="560" w:lineRule="exact"/>
        <w:rPr>
          <w:rFonts w:hint="eastAsia" w:ascii="宋体" w:hAnsi="宋体" w:eastAsia="宋体" w:cs="宋体"/>
          <w:sz w:val="24"/>
          <w:szCs w:val="24"/>
          <w:u w:val="single"/>
        </w:rPr>
      </w:pPr>
      <w:r>
        <w:rPr>
          <w:rFonts w:hint="eastAsia" w:ascii="宋体" w:hAnsi="宋体" w:eastAsia="宋体" w:cs="宋体"/>
          <w:sz w:val="24"/>
          <w:szCs w:val="24"/>
        </w:rPr>
        <w:t>合同名称：</w:t>
      </w:r>
      <w:r>
        <w:rPr>
          <w:rFonts w:hint="eastAsia" w:ascii="宋体" w:hAnsi="宋体" w:eastAsia="宋体" w:cs="宋体"/>
          <w:sz w:val="24"/>
          <w:szCs w:val="24"/>
          <w:u w:val="single"/>
        </w:rPr>
        <w:t xml:space="preserve">                                      </w:t>
      </w:r>
    </w:p>
    <w:p w14:paraId="1FFC19CC">
      <w:pPr>
        <w:spacing w:after="0" w:line="560" w:lineRule="exact"/>
        <w:rPr>
          <w:rFonts w:hint="eastAsia" w:ascii="宋体" w:hAnsi="宋体" w:eastAsia="宋体" w:cs="宋体"/>
          <w:sz w:val="24"/>
          <w:szCs w:val="24"/>
        </w:rPr>
      </w:pPr>
      <w:r>
        <w:rPr>
          <w:rFonts w:hint="eastAsia" w:ascii="宋体" w:hAnsi="宋体" w:eastAsia="宋体" w:cs="宋体"/>
          <w:sz w:val="24"/>
          <w:szCs w:val="24"/>
        </w:rPr>
        <w:t>项目名称：</w:t>
      </w:r>
      <w:r>
        <w:rPr>
          <w:rFonts w:hint="eastAsia" w:ascii="宋体" w:hAnsi="宋体" w:eastAsia="宋体" w:cs="宋体"/>
          <w:sz w:val="24"/>
          <w:szCs w:val="24"/>
          <w:u w:val="single"/>
        </w:rPr>
        <w:t xml:space="preserve">                                      </w:t>
      </w:r>
    </w:p>
    <w:p w14:paraId="1E266D7B">
      <w:pPr>
        <w:spacing w:after="0" w:line="560" w:lineRule="exact"/>
        <w:rPr>
          <w:rFonts w:hint="eastAsia" w:ascii="宋体" w:hAnsi="宋体" w:eastAsia="宋体" w:cs="宋体"/>
          <w:sz w:val="24"/>
          <w:szCs w:val="24"/>
          <w:u w:val="single"/>
        </w:rPr>
      </w:pPr>
      <w:r>
        <w:rPr>
          <w:rFonts w:hint="eastAsia" w:ascii="宋体" w:hAnsi="宋体" w:eastAsia="宋体" w:cs="宋体"/>
          <w:sz w:val="24"/>
          <w:szCs w:val="24"/>
        </w:rPr>
        <w:t>甲    方：</w:t>
      </w:r>
      <w:r>
        <w:rPr>
          <w:rFonts w:hint="eastAsia" w:ascii="宋体" w:hAnsi="宋体" w:eastAsia="宋体" w:cs="宋体"/>
          <w:sz w:val="24"/>
          <w:szCs w:val="24"/>
          <w:u w:val="single"/>
        </w:rPr>
        <w:t xml:space="preserve">                                       </w:t>
      </w:r>
    </w:p>
    <w:p w14:paraId="24CA5F7F">
      <w:pPr>
        <w:spacing w:after="0" w:line="560" w:lineRule="exact"/>
        <w:rPr>
          <w:rFonts w:hint="eastAsia" w:ascii="宋体" w:hAnsi="宋体" w:eastAsia="宋体" w:cs="宋体"/>
          <w:sz w:val="24"/>
          <w:szCs w:val="24"/>
          <w:u w:val="single"/>
        </w:rPr>
      </w:pPr>
      <w:r>
        <w:rPr>
          <w:rFonts w:hint="eastAsia" w:ascii="宋体" w:hAnsi="宋体" w:eastAsia="宋体" w:cs="宋体"/>
          <w:sz w:val="24"/>
          <w:szCs w:val="24"/>
        </w:rPr>
        <w:t>乙    方：</w:t>
      </w:r>
      <w:r>
        <w:rPr>
          <w:rFonts w:hint="eastAsia" w:ascii="宋体" w:hAnsi="宋体" w:eastAsia="宋体" w:cs="宋体"/>
          <w:sz w:val="24"/>
          <w:szCs w:val="24"/>
          <w:u w:val="single"/>
        </w:rPr>
        <w:t xml:space="preserve">                                       </w:t>
      </w:r>
    </w:p>
    <w:p w14:paraId="5423EA39">
      <w:pPr>
        <w:widowControl/>
        <w:kinsoku w:val="0"/>
        <w:autoSpaceDE w:val="0"/>
        <w:autoSpaceDN w:val="0"/>
        <w:adjustRightInd w:val="0"/>
        <w:snapToGrid w:val="0"/>
        <w:spacing w:after="0" w:line="56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为加强项目管理中的廉政建设，规范双方的各项活动，防止发生各种谋取不正当利益的违法违纪行为，保护国家、集体和当事人的合法权益，根据国家有关法律法规和廉政建设责任制规定，特订立本廉政责任书。</w:t>
      </w:r>
    </w:p>
    <w:p w14:paraId="4139AE3E">
      <w:pPr>
        <w:widowControl/>
        <w:kinsoku w:val="0"/>
        <w:autoSpaceDE w:val="0"/>
        <w:autoSpaceDN w:val="0"/>
        <w:adjustRightInd w:val="0"/>
        <w:snapToGrid w:val="0"/>
        <w:spacing w:after="0" w:line="560" w:lineRule="exact"/>
        <w:ind w:firstLine="482" w:firstLineChars="200"/>
        <w:textAlignment w:val="baseline"/>
        <w:rPr>
          <w:rFonts w:hint="eastAsia" w:ascii="宋体" w:hAnsi="宋体" w:eastAsia="宋体" w:cs="宋体"/>
          <w:sz w:val="24"/>
          <w:szCs w:val="24"/>
        </w:rPr>
      </w:pPr>
      <w:r>
        <w:rPr>
          <w:rFonts w:hint="eastAsia" w:ascii="宋体" w:hAnsi="宋体" w:eastAsia="宋体" w:cs="宋体"/>
          <w:b/>
          <w:bCs/>
          <w:sz w:val="24"/>
          <w:szCs w:val="24"/>
        </w:rPr>
        <w:t>第一条</w:t>
      </w:r>
      <w:r>
        <w:rPr>
          <w:rFonts w:hint="eastAsia" w:ascii="宋体" w:hAnsi="宋体" w:eastAsia="宋体" w:cs="宋体"/>
          <w:sz w:val="24"/>
          <w:szCs w:val="24"/>
        </w:rPr>
        <w:t xml:space="preserve"> 甲乙双方的责任</w:t>
      </w:r>
    </w:p>
    <w:p w14:paraId="70BEB962">
      <w:pPr>
        <w:widowControl/>
        <w:kinsoku w:val="0"/>
        <w:autoSpaceDE w:val="0"/>
        <w:autoSpaceDN w:val="0"/>
        <w:adjustRightInd w:val="0"/>
        <w:snapToGrid w:val="0"/>
        <w:spacing w:after="0" w:line="56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（一）应严格遵守国家关于市场准入、项目招标投标、工程建设、勘察和市场活动等的有关法律、法规，相关政策，以及廉政建设的各项规定。</w:t>
      </w:r>
    </w:p>
    <w:p w14:paraId="3BFDD8AB">
      <w:pPr>
        <w:widowControl/>
        <w:kinsoku w:val="0"/>
        <w:autoSpaceDE w:val="0"/>
        <w:autoSpaceDN w:val="0"/>
        <w:adjustRightInd w:val="0"/>
        <w:snapToGrid w:val="0"/>
        <w:spacing w:after="0" w:line="56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（二）应严格执行甲乙双方签订的项目合同文件，自觉按合同办事。</w:t>
      </w:r>
    </w:p>
    <w:p w14:paraId="66940332">
      <w:pPr>
        <w:widowControl/>
        <w:kinsoku w:val="0"/>
        <w:autoSpaceDE w:val="0"/>
        <w:autoSpaceDN w:val="0"/>
        <w:adjustRightInd w:val="0"/>
        <w:snapToGrid w:val="0"/>
        <w:spacing w:after="0" w:line="56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（三）业务活动必须坚持公平、公开、公正、诚信、透明的原则(除法律法规另有规定者外)，不得为获取不正当的利益，损害国家、集体和对方利益，不得违反项目相关规章制度。</w:t>
      </w:r>
    </w:p>
    <w:p w14:paraId="45CDA055">
      <w:pPr>
        <w:widowControl/>
        <w:kinsoku w:val="0"/>
        <w:autoSpaceDE w:val="0"/>
        <w:autoSpaceDN w:val="0"/>
        <w:adjustRightInd w:val="0"/>
        <w:snapToGrid w:val="0"/>
        <w:spacing w:after="0" w:line="56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（四）发现对方在业务活动中有违规、违纪、违法行为的，应及时提醒对方，情节严重的，应向其上级主管部门或纪检监察、司法等有关机关举报。</w:t>
      </w:r>
    </w:p>
    <w:p w14:paraId="42FD5112">
      <w:pPr>
        <w:widowControl/>
        <w:kinsoku w:val="0"/>
        <w:autoSpaceDE w:val="0"/>
        <w:autoSpaceDN w:val="0"/>
        <w:adjustRightInd w:val="0"/>
        <w:snapToGrid w:val="0"/>
        <w:spacing w:before="1" w:after="0" w:line="560" w:lineRule="exact"/>
        <w:ind w:firstLine="482" w:firstLineChars="200"/>
        <w:textAlignment w:val="baseline"/>
        <w:rPr>
          <w:rFonts w:hint="eastAsia" w:ascii="宋体" w:hAnsi="宋体" w:eastAsia="宋体" w:cs="宋体"/>
          <w:sz w:val="24"/>
          <w:szCs w:val="24"/>
        </w:rPr>
      </w:pPr>
      <w:r>
        <w:rPr>
          <w:rFonts w:hint="eastAsia" w:ascii="宋体" w:hAnsi="宋体" w:eastAsia="宋体" w:cs="宋体"/>
          <w:b/>
          <w:bCs/>
          <w:sz w:val="24"/>
          <w:szCs w:val="24"/>
        </w:rPr>
        <w:t>第二条</w:t>
      </w:r>
      <w:r>
        <w:rPr>
          <w:rFonts w:hint="eastAsia" w:ascii="宋体" w:hAnsi="宋体" w:eastAsia="宋体" w:cs="宋体"/>
          <w:sz w:val="24"/>
          <w:szCs w:val="24"/>
        </w:rPr>
        <w:t xml:space="preserve"> 甲方责任</w:t>
      </w:r>
    </w:p>
    <w:p w14:paraId="0F4FD3AF">
      <w:pPr>
        <w:widowControl/>
        <w:kinsoku w:val="0"/>
        <w:autoSpaceDE w:val="0"/>
        <w:autoSpaceDN w:val="0"/>
        <w:adjustRightInd w:val="0"/>
        <w:snapToGrid w:val="0"/>
        <w:spacing w:before="1" w:after="0" w:line="56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甲方的领导和从事该项目的工作人员，在项目的事前、事中、事后应遵守以下规定：</w:t>
      </w:r>
    </w:p>
    <w:p w14:paraId="3E9507C2">
      <w:pPr>
        <w:widowControl/>
        <w:kinsoku w:val="0"/>
        <w:autoSpaceDE w:val="0"/>
        <w:autoSpaceDN w:val="0"/>
        <w:adjustRightInd w:val="0"/>
        <w:snapToGrid w:val="0"/>
        <w:spacing w:before="2" w:after="0" w:line="560" w:lineRule="exact"/>
        <w:ind w:right="149"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（一）不准向乙方和相关单位索要或接受回扣、礼金、有价证券、贵重物品和好处费、感谢费等。</w:t>
      </w:r>
    </w:p>
    <w:p w14:paraId="10AE233D">
      <w:pPr>
        <w:widowControl/>
        <w:kinsoku w:val="0"/>
        <w:autoSpaceDE w:val="0"/>
        <w:autoSpaceDN w:val="0"/>
        <w:adjustRightInd w:val="0"/>
        <w:snapToGrid w:val="0"/>
        <w:spacing w:before="2" w:after="0" w:line="560" w:lineRule="exact"/>
        <w:ind w:right="149"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（二）不准在乙方和相关单位报销任何应由甲方或个人支付的费用。</w:t>
      </w:r>
    </w:p>
    <w:p w14:paraId="090DBC85">
      <w:pPr>
        <w:widowControl/>
        <w:kinsoku w:val="0"/>
        <w:autoSpaceDE w:val="0"/>
        <w:autoSpaceDN w:val="0"/>
        <w:adjustRightInd w:val="0"/>
        <w:snapToGrid w:val="0"/>
        <w:spacing w:after="0" w:line="56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（三）不准要求、暗示或接受乙方和相关单位为个人装修住房、婚丧嫁娶、配偶子女的工作安排以及出国(境)、旅游等提供方便。</w:t>
      </w:r>
    </w:p>
    <w:p w14:paraId="24ED558C">
      <w:pPr>
        <w:widowControl/>
        <w:kinsoku w:val="0"/>
        <w:autoSpaceDE w:val="0"/>
        <w:autoSpaceDN w:val="0"/>
        <w:adjustRightInd w:val="0"/>
        <w:snapToGrid w:val="0"/>
        <w:spacing w:after="0" w:line="56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（四）不准参加有可能影响公正执行公务的乙方和相关单位的宴请、健身、娱乐等活动。</w:t>
      </w:r>
    </w:p>
    <w:p w14:paraId="5B806956">
      <w:pPr>
        <w:widowControl/>
        <w:kinsoku w:val="0"/>
        <w:autoSpaceDE w:val="0"/>
        <w:autoSpaceDN w:val="0"/>
        <w:adjustRightInd w:val="0"/>
        <w:snapToGrid w:val="0"/>
        <w:spacing w:after="0" w:line="56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五）不准向乙方和相关单位介绍或为配偶、子女、亲属参与同甲方项目合同有关的项目分包等活动。不准向乙方和相关单位介绍或为配偶、子女、亲属参加与同项目合同有关的设备、材料、工程分包、劳务等经济活动。不得以任何理由向乙方和相关单位推荐分包单位和要求购买与项目工程合同规定以外的材料、设备等。</w:t>
      </w:r>
    </w:p>
    <w:p w14:paraId="2CEF747D">
      <w:pPr>
        <w:widowControl/>
        <w:kinsoku w:val="0"/>
        <w:autoSpaceDE w:val="0"/>
        <w:autoSpaceDN w:val="0"/>
        <w:adjustRightInd w:val="0"/>
        <w:snapToGrid w:val="0"/>
        <w:spacing w:before="1" w:after="0" w:line="560" w:lineRule="exact"/>
        <w:ind w:firstLine="482" w:firstLineChars="200"/>
        <w:textAlignment w:val="baseline"/>
        <w:rPr>
          <w:rFonts w:hint="eastAsia" w:ascii="宋体" w:hAnsi="宋体" w:eastAsia="宋体" w:cs="宋体"/>
          <w:sz w:val="24"/>
          <w:szCs w:val="24"/>
        </w:rPr>
      </w:pPr>
      <w:r>
        <w:rPr>
          <w:rFonts w:hint="eastAsia" w:ascii="宋体" w:hAnsi="宋体" w:eastAsia="宋体" w:cs="宋体"/>
          <w:b/>
          <w:bCs/>
          <w:sz w:val="24"/>
          <w:szCs w:val="24"/>
        </w:rPr>
        <w:t>第三条</w:t>
      </w:r>
      <w:r>
        <w:rPr>
          <w:rFonts w:hint="eastAsia" w:ascii="宋体" w:hAnsi="宋体" w:eastAsia="宋体" w:cs="宋体"/>
          <w:sz w:val="24"/>
          <w:szCs w:val="24"/>
        </w:rPr>
        <w:t xml:space="preserve"> 乙方责任</w:t>
      </w:r>
    </w:p>
    <w:p w14:paraId="38AF9E77">
      <w:pPr>
        <w:widowControl/>
        <w:kinsoku w:val="0"/>
        <w:autoSpaceDE w:val="0"/>
        <w:autoSpaceDN w:val="0"/>
        <w:adjustRightInd w:val="0"/>
        <w:snapToGrid w:val="0"/>
        <w:spacing w:before="1" w:after="0" w:line="560" w:lineRule="exact"/>
        <w:ind w:right="148"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应与甲方保持正常的业务交往，按照有关法律法规和程序开展业务工作，严格执行项目的有关方针、政策，尤其是强制性标准和规范，以及相关法规，认真履行职责，并遵守以下规定：</w:t>
      </w:r>
    </w:p>
    <w:p w14:paraId="674317CC">
      <w:pPr>
        <w:widowControl/>
        <w:kinsoku w:val="0"/>
        <w:autoSpaceDE w:val="0"/>
        <w:autoSpaceDN w:val="0"/>
        <w:adjustRightInd w:val="0"/>
        <w:snapToGrid w:val="0"/>
        <w:spacing w:before="1" w:after="0" w:line="560" w:lineRule="exact"/>
        <w:ind w:right="148"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（一）不准以任何理由向甲方及其工作人员索要、接受或赠送礼金、有价证券、贵重物品及回扣、好处费、感谢费等。</w:t>
      </w:r>
    </w:p>
    <w:p w14:paraId="12986313">
      <w:pPr>
        <w:widowControl/>
        <w:kinsoku w:val="0"/>
        <w:autoSpaceDE w:val="0"/>
        <w:autoSpaceDN w:val="0"/>
        <w:adjustRightInd w:val="0"/>
        <w:snapToGrid w:val="0"/>
        <w:spacing w:after="0" w:line="56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（二）不准以任何理由为甲方和相关单位报销应由对方或个人支付的费用。</w:t>
      </w:r>
    </w:p>
    <w:p w14:paraId="3792D086">
      <w:pPr>
        <w:widowControl/>
        <w:kinsoku w:val="0"/>
        <w:autoSpaceDE w:val="0"/>
        <w:autoSpaceDN w:val="0"/>
        <w:adjustRightInd w:val="0"/>
        <w:snapToGrid w:val="0"/>
        <w:spacing w:after="0" w:line="56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（三）不准接受或暗示为甲方、相关单位或个人装修住房、婚丧嫁娶、配偶子女的工作安排以及出国(境)旅游等提供方便。</w:t>
      </w:r>
    </w:p>
    <w:p w14:paraId="7C251342">
      <w:pPr>
        <w:widowControl/>
        <w:kinsoku w:val="0"/>
        <w:autoSpaceDE w:val="0"/>
        <w:autoSpaceDN w:val="0"/>
        <w:adjustRightInd w:val="0"/>
        <w:snapToGrid w:val="0"/>
        <w:spacing w:before="1" w:after="0" w:line="56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（四）不准违反合同约定而使用甲方、相关单位提供的通信、交通工具和高档办公用品。</w:t>
      </w:r>
    </w:p>
    <w:p w14:paraId="172BCC89">
      <w:pPr>
        <w:widowControl/>
        <w:kinsoku w:val="0"/>
        <w:autoSpaceDE w:val="0"/>
        <w:autoSpaceDN w:val="0"/>
        <w:adjustRightInd w:val="0"/>
        <w:snapToGrid w:val="0"/>
        <w:spacing w:before="1" w:after="0" w:line="56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（五）不准以任何理由为甲方、相关单位或个人组织有可能影响公正执行公务的宴请、健身、娱乐等活动。</w:t>
      </w:r>
    </w:p>
    <w:p w14:paraId="627503FF">
      <w:pPr>
        <w:widowControl/>
        <w:kinsoku w:val="0"/>
        <w:autoSpaceDE w:val="0"/>
        <w:autoSpaceDN w:val="0"/>
        <w:adjustRightInd w:val="0"/>
        <w:snapToGrid w:val="0"/>
        <w:spacing w:after="0" w:line="560" w:lineRule="exact"/>
        <w:ind w:firstLine="482" w:firstLineChars="200"/>
        <w:textAlignment w:val="baseline"/>
        <w:rPr>
          <w:rFonts w:hint="eastAsia" w:ascii="宋体" w:hAnsi="宋体" w:eastAsia="宋体" w:cs="宋体"/>
          <w:sz w:val="24"/>
          <w:szCs w:val="24"/>
        </w:rPr>
      </w:pPr>
      <w:r>
        <w:rPr>
          <w:rFonts w:hint="eastAsia" w:ascii="宋体" w:hAnsi="宋体" w:eastAsia="宋体" w:cs="宋体"/>
          <w:b/>
          <w:bCs/>
          <w:sz w:val="24"/>
          <w:szCs w:val="24"/>
        </w:rPr>
        <w:t>第四条</w:t>
      </w:r>
      <w:r>
        <w:rPr>
          <w:rFonts w:hint="eastAsia" w:ascii="宋体" w:hAnsi="宋体" w:eastAsia="宋体" w:cs="宋体"/>
          <w:sz w:val="24"/>
          <w:szCs w:val="24"/>
        </w:rPr>
        <w:t xml:space="preserve">  违约责任</w:t>
      </w:r>
    </w:p>
    <w:p w14:paraId="057D2544">
      <w:pPr>
        <w:widowControl/>
        <w:kinsoku w:val="0"/>
        <w:autoSpaceDE w:val="0"/>
        <w:autoSpaceDN w:val="0"/>
        <w:adjustRightInd w:val="0"/>
        <w:snapToGrid w:val="0"/>
        <w:spacing w:after="0" w:line="56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（一）甲方工作人员有违反本合同第一、二条责任行为的，按照管理权限，依据有关法律法规和规定给与党纪、政纪处分或组织处理；涉嫌犯罪的，移交司法机关追究刑事责任。</w:t>
      </w:r>
    </w:p>
    <w:p w14:paraId="5AE4E6FC">
      <w:pPr>
        <w:widowControl/>
        <w:kinsoku w:val="0"/>
        <w:autoSpaceDE w:val="0"/>
        <w:autoSpaceDN w:val="0"/>
        <w:adjustRightInd w:val="0"/>
        <w:snapToGrid w:val="0"/>
        <w:spacing w:after="0" w:line="56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（二）乙方工作人员有违反本责任书第一、三条责任行为的，按照管理权限，依据有关法律法规和规定给与党纪、政纪处分或组织处理；涉嫌犯罪的，移交司法机关追究刑事责任。</w:t>
      </w:r>
    </w:p>
    <w:p w14:paraId="245A8739">
      <w:pPr>
        <w:widowControl/>
        <w:kinsoku w:val="0"/>
        <w:autoSpaceDE w:val="0"/>
        <w:autoSpaceDN w:val="0"/>
        <w:adjustRightInd w:val="0"/>
        <w:snapToGrid w:val="0"/>
        <w:spacing w:before="1" w:after="0" w:line="560" w:lineRule="exact"/>
        <w:ind w:right="148" w:firstLine="482" w:firstLineChars="200"/>
        <w:textAlignment w:val="baseline"/>
        <w:rPr>
          <w:rFonts w:hint="eastAsia" w:ascii="宋体" w:hAnsi="宋体" w:eastAsia="宋体" w:cs="宋体"/>
          <w:sz w:val="24"/>
          <w:szCs w:val="24"/>
        </w:rPr>
      </w:pPr>
      <w:r>
        <w:rPr>
          <w:rFonts w:hint="eastAsia" w:ascii="宋体" w:hAnsi="宋体" w:eastAsia="宋体" w:cs="宋体"/>
          <w:b/>
          <w:bCs/>
          <w:sz w:val="24"/>
          <w:szCs w:val="24"/>
        </w:rPr>
        <w:t>第五条</w:t>
      </w:r>
      <w:r>
        <w:rPr>
          <w:rFonts w:hint="eastAsia" w:ascii="宋体" w:hAnsi="宋体" w:eastAsia="宋体" w:cs="宋体"/>
          <w:sz w:val="24"/>
          <w:szCs w:val="24"/>
        </w:rPr>
        <w:t xml:space="preserve"> 本责任书作为项目合同的组成部分，与项目合同具有同等法律效力。经双方签署后立即生效。</w:t>
      </w:r>
    </w:p>
    <w:p w14:paraId="71B24619">
      <w:pPr>
        <w:widowControl/>
        <w:kinsoku w:val="0"/>
        <w:autoSpaceDE w:val="0"/>
        <w:autoSpaceDN w:val="0"/>
        <w:adjustRightInd w:val="0"/>
        <w:snapToGrid w:val="0"/>
        <w:spacing w:before="1" w:after="0" w:line="560" w:lineRule="exact"/>
        <w:ind w:right="148" w:firstLine="482" w:firstLineChars="200"/>
        <w:textAlignment w:val="baseline"/>
        <w:rPr>
          <w:rFonts w:hint="eastAsia" w:ascii="宋体" w:hAnsi="宋体" w:eastAsia="宋体" w:cs="宋体"/>
          <w:sz w:val="24"/>
          <w:szCs w:val="24"/>
        </w:rPr>
      </w:pPr>
      <w:r>
        <w:rPr>
          <w:rFonts w:hint="eastAsia" w:ascii="宋体" w:hAnsi="宋体" w:eastAsia="宋体" w:cs="宋体"/>
          <w:b/>
          <w:bCs/>
          <w:sz w:val="24"/>
          <w:szCs w:val="24"/>
        </w:rPr>
        <w:t>第六条</w:t>
      </w:r>
      <w:r>
        <w:rPr>
          <w:rFonts w:hint="eastAsia" w:ascii="宋体" w:hAnsi="宋体" w:eastAsia="宋体" w:cs="宋体"/>
          <w:sz w:val="24"/>
          <w:szCs w:val="24"/>
        </w:rPr>
        <w:t xml:space="preserve"> 本责任书的有效期为双方签署之日起至该项目合同约定的工作全部完成时止。</w:t>
      </w:r>
    </w:p>
    <w:p w14:paraId="2498D0B0">
      <w:pPr>
        <w:widowControl/>
        <w:kinsoku w:val="0"/>
        <w:autoSpaceDE w:val="0"/>
        <w:autoSpaceDN w:val="0"/>
        <w:adjustRightInd w:val="0"/>
        <w:snapToGrid w:val="0"/>
        <w:spacing w:before="1" w:after="0" w:line="560" w:lineRule="exact"/>
        <w:ind w:right="148" w:firstLine="482" w:firstLineChars="200"/>
        <w:textAlignment w:val="baseline"/>
        <w:rPr>
          <w:rFonts w:hint="eastAsia" w:ascii="宋体" w:hAnsi="宋体" w:eastAsia="宋体" w:cs="宋体"/>
          <w:sz w:val="24"/>
          <w:szCs w:val="24"/>
        </w:rPr>
      </w:pPr>
      <w:r>
        <w:rPr>
          <w:rFonts w:hint="eastAsia" w:ascii="宋体" w:hAnsi="宋体" w:eastAsia="宋体" w:cs="宋体"/>
          <w:b/>
          <w:bCs/>
          <w:sz w:val="24"/>
          <w:szCs w:val="24"/>
        </w:rPr>
        <w:t>第七条</w:t>
      </w:r>
      <w:r>
        <w:rPr>
          <w:rFonts w:hint="eastAsia" w:ascii="宋体" w:hAnsi="宋体" w:eastAsia="宋体" w:cs="宋体"/>
          <w:sz w:val="24"/>
          <w:szCs w:val="24"/>
        </w:rPr>
        <w:t xml:space="preserve"> 本责任书一式</w:t>
      </w:r>
      <w:r>
        <w:rPr>
          <w:rFonts w:hint="eastAsia" w:ascii="宋体" w:hAnsi="宋体" w:eastAsia="宋体" w:cs="宋体"/>
          <w:sz w:val="24"/>
          <w:szCs w:val="24"/>
          <w:u w:val="single"/>
        </w:rPr>
        <w:t>陆</w:t>
      </w:r>
      <w:r>
        <w:rPr>
          <w:rFonts w:hint="eastAsia" w:ascii="宋体" w:hAnsi="宋体" w:eastAsia="宋体" w:cs="宋体"/>
          <w:sz w:val="24"/>
          <w:szCs w:val="24"/>
        </w:rPr>
        <w:t>份，甲方</w:t>
      </w:r>
      <w:r>
        <w:rPr>
          <w:rFonts w:hint="eastAsia" w:ascii="宋体" w:hAnsi="宋体" w:eastAsia="宋体" w:cs="宋体"/>
          <w:sz w:val="24"/>
          <w:szCs w:val="24"/>
          <w:u w:val="single"/>
        </w:rPr>
        <w:t>贰</w:t>
      </w:r>
      <w:r>
        <w:rPr>
          <w:rFonts w:hint="eastAsia" w:ascii="宋体" w:hAnsi="宋体" w:eastAsia="宋体" w:cs="宋体"/>
          <w:sz w:val="24"/>
          <w:szCs w:val="24"/>
        </w:rPr>
        <w:t>份、乙方</w:t>
      </w:r>
      <w:r>
        <w:rPr>
          <w:rFonts w:hint="eastAsia" w:ascii="宋体" w:hAnsi="宋体" w:eastAsia="宋体" w:cs="宋体"/>
          <w:sz w:val="24"/>
          <w:szCs w:val="24"/>
          <w:u w:val="single"/>
        </w:rPr>
        <w:t>壹</w:t>
      </w:r>
      <w:r>
        <w:rPr>
          <w:rFonts w:hint="eastAsia" w:ascii="宋体" w:hAnsi="宋体" w:eastAsia="宋体" w:cs="宋体"/>
          <w:sz w:val="24"/>
          <w:szCs w:val="24"/>
        </w:rPr>
        <w:t>份、甲方监督单位</w:t>
      </w:r>
      <w:r>
        <w:rPr>
          <w:rFonts w:hint="eastAsia" w:ascii="宋体" w:hAnsi="宋体" w:eastAsia="宋体" w:cs="宋体"/>
          <w:sz w:val="24"/>
          <w:szCs w:val="24"/>
          <w:u w:val="single"/>
        </w:rPr>
        <w:t>贰</w:t>
      </w:r>
      <w:r>
        <w:rPr>
          <w:rFonts w:hint="eastAsia" w:ascii="宋体" w:hAnsi="宋体" w:eastAsia="宋体" w:cs="宋体"/>
          <w:sz w:val="24"/>
          <w:szCs w:val="24"/>
        </w:rPr>
        <w:t>份、乙方监督单位</w:t>
      </w:r>
      <w:r>
        <w:rPr>
          <w:rFonts w:hint="eastAsia" w:ascii="宋体" w:hAnsi="宋体" w:eastAsia="宋体" w:cs="宋体"/>
          <w:sz w:val="24"/>
          <w:szCs w:val="24"/>
          <w:u w:val="single"/>
        </w:rPr>
        <w:t>壹</w:t>
      </w:r>
      <w:r>
        <w:rPr>
          <w:rFonts w:hint="eastAsia" w:ascii="宋体" w:hAnsi="宋体" w:eastAsia="宋体" w:cs="宋体"/>
          <w:sz w:val="24"/>
          <w:szCs w:val="24"/>
        </w:rPr>
        <w:t>份，具有同等效力。</w:t>
      </w:r>
    </w:p>
    <w:p w14:paraId="6E147ACC">
      <w:pPr>
        <w:widowControl/>
        <w:kinsoku w:val="0"/>
        <w:autoSpaceDE w:val="0"/>
        <w:autoSpaceDN w:val="0"/>
        <w:adjustRightInd w:val="0"/>
        <w:snapToGrid w:val="0"/>
        <w:spacing w:before="1" w:after="0" w:line="560" w:lineRule="exact"/>
        <w:ind w:right="148" w:firstLine="485"/>
        <w:textAlignment w:val="baseline"/>
        <w:rPr>
          <w:rFonts w:hint="eastAsia" w:ascii="宋体" w:hAnsi="宋体" w:eastAsia="宋体" w:cs="宋体"/>
          <w:sz w:val="24"/>
          <w:szCs w:val="24"/>
        </w:rPr>
      </w:pPr>
      <w:r>
        <w:rPr>
          <w:rFonts w:hint="eastAsia" w:ascii="宋体" w:hAnsi="宋体" w:eastAsia="宋体" w:cs="宋体"/>
          <w:sz w:val="24"/>
          <w:szCs w:val="24"/>
        </w:rPr>
        <w:t>（以下无正文）</w:t>
      </w:r>
    </w:p>
    <w:p w14:paraId="3CA109FA">
      <w:pPr>
        <w:widowControl/>
        <w:kinsoku w:val="0"/>
        <w:autoSpaceDE w:val="0"/>
        <w:autoSpaceDN w:val="0"/>
        <w:adjustRightInd w:val="0"/>
        <w:snapToGrid w:val="0"/>
        <w:spacing w:after="0" w:line="560" w:lineRule="exact"/>
        <w:textAlignment w:val="baseline"/>
        <w:rPr>
          <w:rFonts w:hint="eastAsia" w:ascii="宋体" w:hAnsi="宋体" w:eastAsia="宋体" w:cs="宋体"/>
          <w:sz w:val="24"/>
          <w:szCs w:val="24"/>
        </w:rPr>
      </w:pPr>
    </w:p>
    <w:p w14:paraId="02EC227A">
      <w:pPr>
        <w:spacing w:after="0" w:line="560" w:lineRule="exact"/>
        <w:rPr>
          <w:rFonts w:hint="eastAsia" w:ascii="宋体" w:hAnsi="宋体" w:eastAsia="宋体" w:cs="宋体"/>
          <w:sz w:val="24"/>
          <w:szCs w:val="24"/>
        </w:rPr>
      </w:pPr>
      <w:r>
        <w:rPr>
          <w:rFonts w:hint="eastAsia" w:ascii="宋体" w:hAnsi="宋体" w:eastAsia="宋体" w:cs="宋体"/>
          <w:sz w:val="24"/>
          <w:szCs w:val="24"/>
        </w:rPr>
        <w:t xml:space="preserve">甲方单位：                      乙方单位： </w:t>
      </w:r>
    </w:p>
    <w:p w14:paraId="03B019F5">
      <w:pPr>
        <w:spacing w:after="0" w:line="560" w:lineRule="exact"/>
        <w:rPr>
          <w:rFonts w:hint="eastAsia" w:ascii="宋体" w:hAnsi="宋体" w:eastAsia="宋体" w:cs="宋体"/>
          <w:sz w:val="24"/>
          <w:szCs w:val="24"/>
        </w:rPr>
      </w:pPr>
      <w:r>
        <w:rPr>
          <w:rFonts w:hint="eastAsia" w:ascii="宋体" w:hAnsi="宋体" w:eastAsia="宋体" w:cs="宋体"/>
          <w:sz w:val="24"/>
          <w:szCs w:val="24"/>
        </w:rPr>
        <w:t>（盖单位章）                   （盖单位章）</w:t>
      </w:r>
    </w:p>
    <w:p w14:paraId="2FD91AA4">
      <w:pPr>
        <w:spacing w:after="0" w:line="560" w:lineRule="exact"/>
        <w:rPr>
          <w:rFonts w:hint="eastAsia" w:ascii="宋体" w:hAnsi="宋体" w:eastAsia="宋体" w:cs="宋体"/>
          <w:sz w:val="24"/>
          <w:szCs w:val="24"/>
        </w:rPr>
      </w:pPr>
      <w:r>
        <w:rPr>
          <w:rFonts w:hint="eastAsia" w:ascii="宋体" w:hAnsi="宋体" w:eastAsia="宋体" w:cs="宋体"/>
          <w:sz w:val="24"/>
          <w:szCs w:val="24"/>
        </w:rPr>
        <w:t xml:space="preserve">法定代表人：                   法定代表人： </w:t>
      </w:r>
    </w:p>
    <w:p w14:paraId="75ADD9A5">
      <w:pPr>
        <w:spacing w:after="0" w:line="560" w:lineRule="exact"/>
        <w:rPr>
          <w:rFonts w:hint="eastAsia" w:ascii="宋体" w:hAnsi="宋体" w:eastAsia="宋体" w:cs="宋体"/>
          <w:sz w:val="24"/>
          <w:szCs w:val="24"/>
        </w:rPr>
      </w:pPr>
      <w:r>
        <w:rPr>
          <w:rFonts w:hint="eastAsia" w:ascii="宋体" w:hAnsi="宋体" w:eastAsia="宋体" w:cs="宋体"/>
          <w:sz w:val="24"/>
          <w:szCs w:val="24"/>
        </w:rPr>
        <w:t xml:space="preserve">（签字或盖章）                  （签字或盖章） </w:t>
      </w:r>
    </w:p>
    <w:p w14:paraId="641C8C8E">
      <w:pPr>
        <w:spacing w:after="0" w:line="560" w:lineRule="exact"/>
        <w:rPr>
          <w:rFonts w:hint="eastAsia" w:ascii="宋体" w:hAnsi="宋体" w:eastAsia="宋体" w:cs="宋体"/>
          <w:sz w:val="24"/>
          <w:szCs w:val="24"/>
        </w:rPr>
      </w:pPr>
      <w:r>
        <w:rPr>
          <w:rFonts w:hint="eastAsia" w:ascii="宋体" w:hAnsi="宋体" w:eastAsia="宋体" w:cs="宋体"/>
          <w:sz w:val="24"/>
          <w:szCs w:val="24"/>
        </w:rPr>
        <w:t>地址：                         地址：</w:t>
      </w:r>
    </w:p>
    <w:p w14:paraId="2FD21CF5">
      <w:pPr>
        <w:spacing w:after="0" w:line="560" w:lineRule="exact"/>
        <w:rPr>
          <w:rFonts w:hint="eastAsia" w:ascii="宋体" w:hAnsi="宋体" w:eastAsia="宋体" w:cs="宋体"/>
          <w:sz w:val="24"/>
          <w:szCs w:val="24"/>
        </w:rPr>
      </w:pPr>
      <w:r>
        <w:rPr>
          <w:rFonts w:hint="eastAsia" w:ascii="宋体" w:hAnsi="宋体" w:eastAsia="宋体" w:cs="宋体"/>
          <w:sz w:val="24"/>
          <w:szCs w:val="24"/>
        </w:rPr>
        <w:t>电话：                         电话：</w:t>
      </w:r>
    </w:p>
    <w:p w14:paraId="57ED478A">
      <w:pPr>
        <w:spacing w:after="0" w:line="560" w:lineRule="exact"/>
        <w:rPr>
          <w:rFonts w:hint="eastAsia" w:ascii="宋体" w:hAnsi="宋体" w:eastAsia="宋体" w:cs="宋体"/>
          <w:sz w:val="24"/>
          <w:szCs w:val="24"/>
        </w:rPr>
      </w:pPr>
      <w:r>
        <w:rPr>
          <w:rFonts w:hint="eastAsia" w:ascii="宋体" w:hAnsi="宋体" w:eastAsia="宋体" w:cs="宋体"/>
          <w:sz w:val="24"/>
          <w:szCs w:val="24"/>
        </w:rPr>
        <w:t>日期：  年   月   日           日期：   年   月   日</w:t>
      </w:r>
    </w:p>
    <w:p w14:paraId="0B226FAE">
      <w:pPr>
        <w:spacing w:after="0" w:line="560" w:lineRule="exact"/>
        <w:rPr>
          <w:rFonts w:hint="eastAsia" w:ascii="宋体" w:hAnsi="宋体" w:eastAsia="宋体" w:cs="宋体"/>
          <w:sz w:val="24"/>
          <w:szCs w:val="24"/>
        </w:rPr>
      </w:pPr>
    </w:p>
    <w:p w14:paraId="51E6EF9C">
      <w:pPr>
        <w:spacing w:after="0" w:line="560" w:lineRule="exact"/>
        <w:rPr>
          <w:rFonts w:hint="eastAsia" w:ascii="宋体" w:hAnsi="宋体" w:eastAsia="宋体" w:cs="宋体"/>
          <w:sz w:val="24"/>
          <w:szCs w:val="24"/>
        </w:rPr>
      </w:pPr>
      <w:r>
        <w:rPr>
          <w:rFonts w:hint="eastAsia" w:ascii="宋体" w:hAnsi="宋体" w:eastAsia="宋体" w:cs="宋体"/>
          <w:sz w:val="24"/>
          <w:szCs w:val="24"/>
        </w:rPr>
        <w:t xml:space="preserve">甲方监督单位：（盖单位章）      乙方监督单位：（盖单位章） </w:t>
      </w:r>
    </w:p>
    <w:p w14:paraId="714AEEB3">
      <w:pPr>
        <w:spacing w:after="0" w:line="560" w:lineRule="exact"/>
        <w:rPr>
          <w:rFonts w:hint="eastAsia" w:ascii="宋体" w:hAnsi="宋体" w:eastAsia="宋体" w:cs="宋体"/>
          <w:sz w:val="24"/>
          <w:szCs w:val="24"/>
        </w:rPr>
      </w:pPr>
      <w:r>
        <w:rPr>
          <w:rFonts w:hint="eastAsia" w:ascii="宋体" w:hAnsi="宋体" w:eastAsia="宋体" w:cs="宋体"/>
          <w:sz w:val="24"/>
          <w:szCs w:val="24"/>
        </w:rPr>
        <w:t xml:space="preserve">法定代表人：（签字或盖章）      法定代表人：（签字或盖章） </w:t>
      </w:r>
    </w:p>
    <w:p w14:paraId="62F63D1E">
      <w:pPr>
        <w:spacing w:after="0" w:line="560" w:lineRule="exact"/>
        <w:rPr>
          <w:rFonts w:hint="eastAsia" w:ascii="宋体" w:hAnsi="宋体" w:eastAsia="宋体" w:cs="宋体"/>
          <w:sz w:val="24"/>
          <w:szCs w:val="24"/>
        </w:rPr>
      </w:pPr>
      <w:r>
        <w:rPr>
          <w:rFonts w:hint="eastAsia" w:ascii="宋体" w:hAnsi="宋体" w:eastAsia="宋体" w:cs="宋体"/>
          <w:sz w:val="24"/>
          <w:szCs w:val="24"/>
        </w:rPr>
        <w:t>地址：                         地址：</w:t>
      </w:r>
    </w:p>
    <w:p w14:paraId="70CC0F90">
      <w:pPr>
        <w:spacing w:after="0" w:line="560" w:lineRule="exact"/>
        <w:rPr>
          <w:rFonts w:hint="eastAsia" w:ascii="宋体" w:hAnsi="宋体" w:eastAsia="宋体" w:cs="宋体"/>
          <w:sz w:val="24"/>
          <w:szCs w:val="24"/>
        </w:rPr>
      </w:pPr>
      <w:r>
        <w:rPr>
          <w:rFonts w:hint="eastAsia" w:ascii="宋体" w:hAnsi="宋体" w:eastAsia="宋体" w:cs="宋体"/>
          <w:sz w:val="24"/>
          <w:szCs w:val="24"/>
        </w:rPr>
        <w:t>电话：                         电话：</w:t>
      </w:r>
    </w:p>
    <w:p w14:paraId="45F9EEA5">
      <w:pPr>
        <w:spacing w:after="0" w:line="560" w:lineRule="exact"/>
        <w:rPr>
          <w:rFonts w:hint="eastAsia" w:ascii="宋体" w:hAnsi="宋体" w:cs="宋体"/>
          <w:sz w:val="22"/>
          <w:szCs w:val="22"/>
        </w:rPr>
      </w:pPr>
      <w:r>
        <w:rPr>
          <w:rFonts w:hint="eastAsia" w:ascii="宋体" w:hAnsi="宋体" w:eastAsia="宋体" w:cs="宋体"/>
          <w:sz w:val="24"/>
          <w:szCs w:val="24"/>
        </w:rPr>
        <w:t>日期：  年   月   日           日期：   年   月   日</w:t>
      </w:r>
    </w:p>
    <w:p w14:paraId="1C9463CE">
      <w:pPr>
        <w:pageBreakBefore w:val="0"/>
        <w:wordWrap w:val="0"/>
        <w:topLinePunct w:val="0"/>
        <w:bidi w:val="0"/>
        <w:spacing w:after="0" w:line="360" w:lineRule="auto"/>
        <w:textAlignment w:val="auto"/>
        <w:rPr>
          <w:rFonts w:hint="eastAsia" w:ascii="宋体" w:hAnsi="宋体" w:eastAsia="宋体" w:cs="宋体"/>
          <w:i w:val="0"/>
          <w:iCs w:val="0"/>
          <w:sz w:val="24"/>
        </w:rPr>
      </w:pPr>
    </w:p>
    <w:p w14:paraId="3B193742">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24"/>
          <w:szCs w:val="24"/>
        </w:rPr>
        <w:sectPr>
          <w:headerReference r:id="rId18" w:type="default"/>
          <w:footerReference r:id="rId19" w:type="default"/>
          <w:pgSz w:w="11905" w:h="16838"/>
          <w:pgMar w:top="1474" w:right="1474" w:bottom="1474" w:left="1474" w:header="851" w:footer="992" w:gutter="0"/>
          <w:pgNumType w:fmt="decimal"/>
          <w:cols w:space="720" w:num="1"/>
          <w:rtlGutter w:val="0"/>
          <w:docGrid w:linePitch="462" w:charSpace="0"/>
        </w:sectPr>
      </w:pPr>
      <w:bookmarkStart w:id="1250" w:name="_Toc29176"/>
    </w:p>
    <w:p w14:paraId="65F8E3C0">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6"/>
          <w:szCs w:val="36"/>
        </w:rPr>
      </w:pPr>
      <w:r>
        <w:rPr>
          <w:rFonts w:hint="eastAsia" w:ascii="宋体" w:hAnsi="宋体" w:eastAsia="宋体" w:cs="宋体"/>
          <w:b/>
          <w:i w:val="0"/>
          <w:iCs w:val="0"/>
          <w:sz w:val="36"/>
          <w:szCs w:val="36"/>
        </w:rPr>
        <w:t>第六章   响应文件格式</w:t>
      </w:r>
      <w:bookmarkEnd w:id="1250"/>
    </w:p>
    <w:p w14:paraId="3FF81203">
      <w:pPr>
        <w:pageBreakBefore w:val="0"/>
        <w:widowControl/>
        <w:wordWrap w:val="0"/>
        <w:topLinePunct w:val="0"/>
        <w:bidi w:val="0"/>
        <w:spacing w:after="0" w:line="360" w:lineRule="auto"/>
        <w:jc w:val="left"/>
        <w:textAlignment w:val="auto"/>
        <w:rPr>
          <w:rFonts w:hint="eastAsia" w:ascii="宋体" w:hAnsi="宋体" w:eastAsia="宋体" w:cs="宋体"/>
          <w:b/>
          <w:i w:val="0"/>
          <w:iCs w:val="0"/>
          <w:sz w:val="24"/>
        </w:rPr>
      </w:pPr>
    </w:p>
    <w:p w14:paraId="2C0BCEF8">
      <w:pPr>
        <w:pageBreakBefore w:val="0"/>
        <w:tabs>
          <w:tab w:val="left" w:pos="900"/>
          <w:tab w:val="left" w:pos="1980"/>
        </w:tabs>
        <w:wordWrap w:val="0"/>
        <w:topLinePunct w:val="0"/>
        <w:bidi w:val="0"/>
        <w:snapToGrid w:val="0"/>
        <w:spacing w:after="0" w:line="360" w:lineRule="auto"/>
        <w:ind w:left="142"/>
        <w:textAlignment w:val="auto"/>
        <w:rPr>
          <w:rFonts w:hint="eastAsia" w:ascii="宋体" w:hAnsi="宋体" w:eastAsia="宋体" w:cs="宋体"/>
          <w:b/>
          <w:i w:val="0"/>
          <w:iCs w:val="0"/>
          <w:kern w:val="0"/>
          <w:sz w:val="24"/>
        </w:rPr>
      </w:pPr>
      <w:r>
        <w:rPr>
          <w:rFonts w:hint="eastAsia" w:ascii="宋体" w:hAnsi="宋体" w:eastAsia="宋体" w:cs="宋体"/>
          <w:b/>
          <w:i w:val="0"/>
          <w:iCs w:val="0"/>
          <w:kern w:val="0"/>
          <w:sz w:val="24"/>
        </w:rPr>
        <w:t>供应商编制文件须知</w:t>
      </w:r>
    </w:p>
    <w:p w14:paraId="3B235201">
      <w:pPr>
        <w:pageBreakBefore w:val="0"/>
        <w:tabs>
          <w:tab w:val="left" w:pos="900"/>
          <w:tab w:val="left" w:pos="1980"/>
        </w:tabs>
        <w:wordWrap w:val="0"/>
        <w:topLinePunct w:val="0"/>
        <w:bidi w:val="0"/>
        <w:snapToGrid w:val="0"/>
        <w:spacing w:after="0" w:line="360" w:lineRule="auto"/>
        <w:ind w:left="142"/>
        <w:textAlignment w:val="auto"/>
        <w:rPr>
          <w:rFonts w:hint="eastAsia" w:ascii="宋体" w:hAnsi="宋体" w:eastAsia="宋体" w:cs="宋体"/>
          <w:i w:val="0"/>
          <w:iCs w:val="0"/>
          <w:sz w:val="24"/>
        </w:rPr>
      </w:pPr>
      <w:r>
        <w:rPr>
          <w:rFonts w:hint="eastAsia" w:ascii="宋体" w:hAnsi="宋体" w:eastAsia="宋体" w:cs="宋体"/>
          <w:i w:val="0"/>
          <w:iCs w:val="0"/>
          <w:sz w:val="24"/>
        </w:rPr>
        <w:t>1、供应商按照本部分的顺序编制响应文件，编制中涉及格式资料的，应按照本部分提供的内容和格式（所有表格的格式可扩展）填写提交。</w:t>
      </w:r>
    </w:p>
    <w:p w14:paraId="74200E9C">
      <w:pPr>
        <w:pageBreakBefore w:val="0"/>
        <w:tabs>
          <w:tab w:val="left" w:pos="900"/>
          <w:tab w:val="left" w:pos="1980"/>
        </w:tabs>
        <w:wordWrap w:val="0"/>
        <w:topLinePunct w:val="0"/>
        <w:bidi w:val="0"/>
        <w:snapToGrid w:val="0"/>
        <w:spacing w:after="0" w:line="360" w:lineRule="auto"/>
        <w:ind w:left="142"/>
        <w:textAlignment w:val="auto"/>
        <w:rPr>
          <w:rFonts w:hint="eastAsia" w:ascii="宋体" w:hAnsi="宋体" w:eastAsia="宋体" w:cs="宋体"/>
          <w:i w:val="0"/>
          <w:iCs w:val="0"/>
          <w:kern w:val="0"/>
          <w:sz w:val="24"/>
        </w:rPr>
      </w:pPr>
      <w:r>
        <w:rPr>
          <w:rFonts w:hint="eastAsia" w:ascii="宋体" w:hAnsi="宋体" w:eastAsia="宋体" w:cs="宋体"/>
          <w:i w:val="0"/>
          <w:iCs w:val="0"/>
          <w:sz w:val="24"/>
        </w:rPr>
        <w:t>2、</w:t>
      </w:r>
      <w:r>
        <w:rPr>
          <w:rFonts w:hint="eastAsia" w:ascii="宋体" w:hAnsi="宋体" w:eastAsia="宋体" w:cs="宋体"/>
          <w:i w:val="0"/>
          <w:iCs w:val="0"/>
          <w:kern w:val="0"/>
          <w:sz w:val="24"/>
        </w:rPr>
        <w:t>对于竞争性磋商文件中标记了“实质性格式”文件的，供应商</w:t>
      </w:r>
      <w:r>
        <w:rPr>
          <w:rFonts w:hint="eastAsia" w:ascii="宋体" w:hAnsi="宋体" w:eastAsia="宋体" w:cs="宋体"/>
          <w:i w:val="0"/>
          <w:iCs w:val="0"/>
          <w:sz w:val="24"/>
        </w:rPr>
        <w:t>不得改变格式中给定的文字所表达的含义，不得删减格式中的实质性内容，不得自行添加与格式中给定的文字内容相矛盾的内容，不得对应当填写的空格不填写或不实质性响应，</w:t>
      </w:r>
      <w:r>
        <w:rPr>
          <w:rFonts w:hint="eastAsia" w:ascii="宋体" w:hAnsi="宋体" w:eastAsia="宋体" w:cs="宋体"/>
          <w:b/>
          <w:i w:val="0"/>
          <w:iCs w:val="0"/>
          <w:kern w:val="0"/>
          <w:sz w:val="24"/>
        </w:rPr>
        <w:t>否则响应无效</w:t>
      </w:r>
      <w:r>
        <w:rPr>
          <w:rFonts w:hint="eastAsia" w:ascii="宋体" w:hAnsi="宋体" w:eastAsia="宋体" w:cs="宋体"/>
          <w:i w:val="0"/>
          <w:iCs w:val="0"/>
          <w:kern w:val="0"/>
          <w:sz w:val="24"/>
        </w:rPr>
        <w:t>。未标记“实质性格式”的文件和竞争性磋商文件未提供格式的内容，可由供应商自行编写。</w:t>
      </w:r>
    </w:p>
    <w:p w14:paraId="60E95060">
      <w:pPr>
        <w:pageBreakBefore w:val="0"/>
        <w:tabs>
          <w:tab w:val="left" w:pos="900"/>
          <w:tab w:val="left" w:pos="1980"/>
        </w:tabs>
        <w:wordWrap w:val="0"/>
        <w:topLinePunct w:val="0"/>
        <w:bidi w:val="0"/>
        <w:snapToGrid w:val="0"/>
        <w:spacing w:after="0" w:line="360" w:lineRule="auto"/>
        <w:ind w:left="142"/>
        <w:textAlignment w:val="auto"/>
        <w:rPr>
          <w:rFonts w:hint="eastAsia" w:ascii="宋体" w:hAnsi="宋体" w:eastAsia="宋体" w:cs="宋体"/>
          <w:i w:val="0"/>
          <w:iCs w:val="0"/>
          <w:sz w:val="24"/>
        </w:rPr>
      </w:pPr>
      <w:r>
        <w:rPr>
          <w:rFonts w:hint="eastAsia" w:ascii="宋体" w:hAnsi="宋体" w:eastAsia="宋体" w:cs="宋体"/>
          <w:i w:val="0"/>
          <w:iCs w:val="0"/>
          <w:sz w:val="24"/>
        </w:rPr>
        <w:t>3、全部声明和问题的回答及所附材料必须是真实的、准确的和完整的。</w:t>
      </w:r>
    </w:p>
    <w:p w14:paraId="2B570617">
      <w:pPr>
        <w:pageBreakBefore w:val="0"/>
        <w:tabs>
          <w:tab w:val="left" w:pos="900"/>
          <w:tab w:val="left" w:pos="1980"/>
        </w:tabs>
        <w:wordWrap w:val="0"/>
        <w:topLinePunct w:val="0"/>
        <w:bidi w:val="0"/>
        <w:snapToGrid w:val="0"/>
        <w:spacing w:after="0" w:line="360" w:lineRule="auto"/>
        <w:ind w:left="142"/>
        <w:textAlignment w:val="auto"/>
        <w:rPr>
          <w:rFonts w:hint="eastAsia" w:ascii="宋体" w:hAnsi="宋体" w:eastAsia="宋体" w:cs="宋体"/>
          <w:i w:val="0"/>
          <w:iCs w:val="0"/>
          <w:sz w:val="24"/>
        </w:rPr>
      </w:pPr>
    </w:p>
    <w:p w14:paraId="7EEBA741">
      <w:pPr>
        <w:pageBreakBefore w:val="0"/>
        <w:widowControl/>
        <w:wordWrap w:val="0"/>
        <w:topLinePunct w:val="0"/>
        <w:bidi w:val="0"/>
        <w:spacing w:after="0" w:line="360" w:lineRule="auto"/>
        <w:jc w:val="left"/>
        <w:textAlignment w:val="auto"/>
        <w:rPr>
          <w:rFonts w:hint="eastAsia" w:ascii="宋体" w:hAnsi="宋体" w:eastAsia="宋体" w:cs="宋体"/>
          <w:i w:val="0"/>
          <w:iCs w:val="0"/>
          <w:sz w:val="24"/>
        </w:rPr>
      </w:pPr>
    </w:p>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14:paraId="4BF610C6">
      <w:pPr>
        <w:pageBreakBefore w:val="0"/>
        <w:wordWrap w:val="0"/>
        <w:topLinePunct w:val="0"/>
        <w:bidi w:val="0"/>
        <w:spacing w:after="0" w:line="360" w:lineRule="auto"/>
        <w:textAlignment w:val="auto"/>
        <w:rPr>
          <w:rFonts w:hint="eastAsia" w:ascii="宋体" w:hAnsi="宋体" w:eastAsia="宋体" w:cs="宋体"/>
          <w:b/>
          <w:i w:val="0"/>
          <w:iCs w:val="0"/>
          <w:spacing w:val="20"/>
          <w:szCs w:val="21"/>
        </w:rPr>
      </w:pPr>
    </w:p>
    <w:p w14:paraId="08DFBFCB">
      <w:pPr>
        <w:pageBreakBefore w:val="0"/>
        <w:wordWrap w:val="0"/>
        <w:topLinePunct w:val="0"/>
        <w:bidi w:val="0"/>
        <w:spacing w:after="0" w:line="360" w:lineRule="auto"/>
        <w:textAlignment w:val="auto"/>
        <w:rPr>
          <w:rFonts w:hint="eastAsia" w:ascii="宋体" w:hAnsi="宋体" w:eastAsia="宋体" w:cs="宋体"/>
          <w:b/>
          <w:i w:val="0"/>
          <w:iCs w:val="0"/>
          <w:spacing w:val="20"/>
          <w:sz w:val="24"/>
        </w:rPr>
        <w:sectPr>
          <w:pgSz w:w="11905" w:h="16838"/>
          <w:pgMar w:top="1474" w:right="1474" w:bottom="1474" w:left="1474" w:header="851" w:footer="992" w:gutter="0"/>
          <w:pgNumType w:fmt="decimal"/>
          <w:cols w:space="720" w:num="1"/>
          <w:rtlGutter w:val="0"/>
          <w:docGrid w:linePitch="462" w:charSpace="0"/>
        </w:sectPr>
      </w:pPr>
    </w:p>
    <w:p w14:paraId="48E37015">
      <w:pPr>
        <w:pageBreakBefore w:val="0"/>
        <w:wordWrap w:val="0"/>
        <w:topLinePunct w:val="0"/>
        <w:bidi w:val="0"/>
        <w:spacing w:after="0" w:line="360" w:lineRule="auto"/>
        <w:textAlignment w:val="auto"/>
        <w:rPr>
          <w:rFonts w:hint="eastAsia" w:ascii="宋体" w:hAnsi="宋体" w:eastAsia="宋体" w:cs="宋体"/>
          <w:b/>
          <w:i w:val="0"/>
          <w:iCs w:val="0"/>
          <w:sz w:val="24"/>
        </w:rPr>
      </w:pPr>
      <w:r>
        <w:rPr>
          <w:rFonts w:hint="eastAsia" w:ascii="宋体" w:hAnsi="宋体" w:eastAsia="宋体" w:cs="宋体"/>
          <w:b/>
          <w:i w:val="0"/>
          <w:iCs w:val="0"/>
          <w:spacing w:val="20"/>
          <w:sz w:val="24"/>
        </w:rPr>
        <w:t>响应文件</w:t>
      </w:r>
      <w:r>
        <w:rPr>
          <w:rFonts w:hint="eastAsia" w:ascii="宋体" w:hAnsi="宋体" w:eastAsia="宋体" w:cs="宋体"/>
          <w:b/>
          <w:i w:val="0"/>
          <w:iCs w:val="0"/>
          <w:sz w:val="24"/>
        </w:rPr>
        <w:t>封面（非实质性格式）</w:t>
      </w:r>
    </w:p>
    <w:p w14:paraId="1A40C9F7">
      <w:pPr>
        <w:pageBreakBefore w:val="0"/>
        <w:wordWrap w:val="0"/>
        <w:topLinePunct w:val="0"/>
        <w:bidi w:val="0"/>
        <w:spacing w:after="0" w:line="360" w:lineRule="auto"/>
        <w:jc w:val="center"/>
        <w:textAlignment w:val="auto"/>
        <w:rPr>
          <w:rFonts w:hint="eastAsia" w:ascii="宋体" w:hAnsi="宋体" w:eastAsia="宋体" w:cs="宋体"/>
          <w:i w:val="0"/>
          <w:iCs w:val="0"/>
          <w:szCs w:val="21"/>
        </w:rPr>
      </w:pPr>
    </w:p>
    <w:p w14:paraId="5F9AB131">
      <w:pPr>
        <w:pageBreakBefore w:val="0"/>
        <w:wordWrap w:val="0"/>
        <w:topLinePunct w:val="0"/>
        <w:bidi w:val="0"/>
        <w:spacing w:after="0" w:line="360" w:lineRule="auto"/>
        <w:jc w:val="center"/>
        <w:textAlignment w:val="auto"/>
        <w:rPr>
          <w:rFonts w:hint="eastAsia" w:ascii="宋体" w:hAnsi="宋体" w:eastAsia="宋体" w:cs="宋体"/>
          <w:b/>
          <w:i w:val="0"/>
          <w:iCs w:val="0"/>
          <w:spacing w:val="60"/>
          <w:sz w:val="84"/>
          <w:szCs w:val="84"/>
        </w:rPr>
      </w:pPr>
      <w:r>
        <w:rPr>
          <w:rFonts w:hint="eastAsia" w:ascii="宋体" w:hAnsi="宋体" w:eastAsia="宋体" w:cs="宋体"/>
          <w:b/>
          <w:i w:val="0"/>
          <w:iCs w:val="0"/>
          <w:spacing w:val="60"/>
          <w:sz w:val="84"/>
          <w:szCs w:val="84"/>
        </w:rPr>
        <w:t>响 应 文 件</w:t>
      </w:r>
    </w:p>
    <w:p w14:paraId="1AD572F8">
      <w:pPr>
        <w:pageBreakBefore w:val="0"/>
        <w:wordWrap w:val="0"/>
        <w:topLinePunct w:val="0"/>
        <w:bidi w:val="0"/>
        <w:spacing w:after="0" w:line="360" w:lineRule="auto"/>
        <w:jc w:val="center"/>
        <w:textAlignment w:val="auto"/>
        <w:rPr>
          <w:rFonts w:hint="eastAsia" w:ascii="宋体" w:hAnsi="宋体" w:eastAsia="宋体" w:cs="宋体"/>
          <w:b/>
          <w:i w:val="0"/>
          <w:iCs w:val="0"/>
          <w:spacing w:val="60"/>
          <w:sz w:val="52"/>
          <w:szCs w:val="52"/>
        </w:rPr>
      </w:pPr>
    </w:p>
    <w:p w14:paraId="6672FF37">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rPr>
      </w:pPr>
    </w:p>
    <w:p w14:paraId="08F7C500">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rPr>
      </w:pPr>
    </w:p>
    <w:p w14:paraId="6C7348F2">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rPr>
      </w:pPr>
      <w:r>
        <w:rPr>
          <w:rFonts w:hint="eastAsia" w:ascii="宋体" w:hAnsi="宋体" w:eastAsia="宋体" w:cs="宋体"/>
          <w:b/>
          <w:i w:val="0"/>
          <w:iCs w:val="0"/>
          <w:spacing w:val="20"/>
          <w:sz w:val="32"/>
          <w:szCs w:val="32"/>
        </w:rPr>
        <w:t>项目名称:</w:t>
      </w:r>
    </w:p>
    <w:p w14:paraId="4991F712">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rPr>
      </w:pPr>
      <w:r>
        <w:rPr>
          <w:rFonts w:hint="eastAsia" w:ascii="宋体" w:hAnsi="宋体" w:eastAsia="宋体" w:cs="宋体"/>
          <w:b/>
          <w:i w:val="0"/>
          <w:iCs w:val="0"/>
          <w:spacing w:val="20"/>
          <w:sz w:val="32"/>
          <w:szCs w:val="32"/>
        </w:rPr>
        <w:t>项目编号/包号：</w:t>
      </w:r>
    </w:p>
    <w:p w14:paraId="0213ECEF">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rPr>
      </w:pPr>
    </w:p>
    <w:p w14:paraId="166BEAC2">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rPr>
      </w:pPr>
    </w:p>
    <w:p w14:paraId="40FDC843">
      <w:pPr>
        <w:pageBreakBefore w:val="0"/>
        <w:wordWrap w:val="0"/>
        <w:topLinePunct w:val="0"/>
        <w:bidi w:val="0"/>
        <w:spacing w:after="0" w:line="360" w:lineRule="auto"/>
        <w:jc w:val="center"/>
        <w:textAlignment w:val="auto"/>
        <w:rPr>
          <w:rFonts w:hint="eastAsia" w:ascii="宋体" w:hAnsi="宋体" w:eastAsia="宋体" w:cs="宋体"/>
          <w:b/>
          <w:i w:val="0"/>
          <w:iCs w:val="0"/>
          <w:sz w:val="32"/>
          <w:szCs w:val="32"/>
        </w:rPr>
      </w:pPr>
    </w:p>
    <w:p w14:paraId="5ECF1579">
      <w:pPr>
        <w:pageBreakBefore w:val="0"/>
        <w:wordWrap w:val="0"/>
        <w:topLinePunct w:val="0"/>
        <w:bidi w:val="0"/>
        <w:spacing w:after="0" w:line="360" w:lineRule="auto"/>
        <w:jc w:val="center"/>
        <w:textAlignment w:val="auto"/>
        <w:rPr>
          <w:rFonts w:hint="eastAsia" w:ascii="宋体" w:hAnsi="宋体" w:eastAsia="宋体" w:cs="宋体"/>
          <w:b/>
          <w:i w:val="0"/>
          <w:iCs w:val="0"/>
          <w:sz w:val="32"/>
          <w:szCs w:val="32"/>
        </w:rPr>
      </w:pPr>
    </w:p>
    <w:p w14:paraId="5E975D9D">
      <w:pPr>
        <w:pageBreakBefore w:val="0"/>
        <w:wordWrap w:val="0"/>
        <w:topLinePunct w:val="0"/>
        <w:bidi w:val="0"/>
        <w:spacing w:after="0" w:line="360" w:lineRule="auto"/>
        <w:jc w:val="center"/>
        <w:textAlignment w:val="auto"/>
        <w:rPr>
          <w:rFonts w:hint="eastAsia" w:ascii="宋体" w:hAnsi="宋体" w:eastAsia="宋体" w:cs="宋体"/>
          <w:b/>
          <w:i w:val="0"/>
          <w:iCs w:val="0"/>
          <w:sz w:val="32"/>
          <w:szCs w:val="32"/>
        </w:rPr>
      </w:pPr>
    </w:p>
    <w:p w14:paraId="5B4D99DC">
      <w:pPr>
        <w:pageBreakBefore w:val="0"/>
        <w:wordWrap w:val="0"/>
        <w:topLinePunct w:val="0"/>
        <w:bidi w:val="0"/>
        <w:spacing w:after="0" w:line="360" w:lineRule="auto"/>
        <w:jc w:val="center"/>
        <w:textAlignment w:val="auto"/>
        <w:rPr>
          <w:rFonts w:hint="eastAsia" w:ascii="宋体" w:hAnsi="宋体" w:eastAsia="宋体" w:cs="宋体"/>
          <w:b/>
          <w:i w:val="0"/>
          <w:iCs w:val="0"/>
          <w:spacing w:val="20"/>
          <w:sz w:val="32"/>
          <w:szCs w:val="32"/>
        </w:rPr>
      </w:pPr>
    </w:p>
    <w:p w14:paraId="127F005A">
      <w:pPr>
        <w:pageBreakBefore w:val="0"/>
        <w:wordWrap w:val="0"/>
        <w:topLinePunct w:val="0"/>
        <w:bidi w:val="0"/>
        <w:spacing w:after="0" w:line="360" w:lineRule="auto"/>
        <w:jc w:val="center"/>
        <w:textAlignment w:val="auto"/>
        <w:rPr>
          <w:rFonts w:hint="eastAsia" w:ascii="宋体" w:hAnsi="宋体" w:eastAsia="宋体" w:cs="宋体"/>
          <w:b/>
          <w:i w:val="0"/>
          <w:iCs w:val="0"/>
          <w:spacing w:val="20"/>
          <w:sz w:val="32"/>
          <w:szCs w:val="32"/>
        </w:rPr>
      </w:pPr>
    </w:p>
    <w:p w14:paraId="7AD15396">
      <w:pPr>
        <w:pageBreakBefore w:val="0"/>
        <w:wordWrap w:val="0"/>
        <w:topLinePunct w:val="0"/>
        <w:bidi w:val="0"/>
        <w:spacing w:after="0" w:line="360" w:lineRule="auto"/>
        <w:jc w:val="center"/>
        <w:textAlignment w:val="auto"/>
        <w:rPr>
          <w:rFonts w:hint="eastAsia" w:ascii="宋体" w:hAnsi="宋体" w:eastAsia="宋体" w:cs="宋体"/>
          <w:b/>
          <w:i w:val="0"/>
          <w:iCs w:val="0"/>
          <w:spacing w:val="20"/>
          <w:sz w:val="32"/>
          <w:szCs w:val="32"/>
        </w:rPr>
      </w:pPr>
    </w:p>
    <w:p w14:paraId="6464BC0B">
      <w:pPr>
        <w:pageBreakBefore w:val="0"/>
        <w:wordWrap w:val="0"/>
        <w:topLinePunct w:val="0"/>
        <w:bidi w:val="0"/>
        <w:spacing w:after="0" w:line="360" w:lineRule="auto"/>
        <w:ind w:firstLine="1445" w:firstLineChars="400"/>
        <w:jc w:val="left"/>
        <w:textAlignment w:val="auto"/>
        <w:rPr>
          <w:rFonts w:hint="eastAsia" w:ascii="宋体" w:hAnsi="宋体" w:eastAsia="宋体" w:cs="宋体"/>
          <w:b/>
          <w:i w:val="0"/>
          <w:iCs w:val="0"/>
          <w:spacing w:val="20"/>
          <w:sz w:val="32"/>
          <w:szCs w:val="32"/>
        </w:rPr>
      </w:pPr>
      <w:r>
        <w:rPr>
          <w:rFonts w:hint="eastAsia" w:ascii="宋体" w:hAnsi="宋体" w:eastAsia="宋体" w:cs="宋体"/>
          <w:b/>
          <w:i w:val="0"/>
          <w:iCs w:val="0"/>
          <w:spacing w:val="20"/>
          <w:sz w:val="32"/>
          <w:szCs w:val="32"/>
        </w:rPr>
        <w:t>供应商名称：</w:t>
      </w:r>
    </w:p>
    <w:p w14:paraId="7260A7C8">
      <w:pPr>
        <w:pageBreakBefore w:val="0"/>
        <w:wordWrap w:val="0"/>
        <w:topLinePunct w:val="0"/>
        <w:bidi w:val="0"/>
        <w:spacing w:after="0" w:line="360" w:lineRule="auto"/>
        <w:jc w:val="center"/>
        <w:textAlignment w:val="auto"/>
        <w:rPr>
          <w:rFonts w:hint="eastAsia" w:ascii="宋体" w:hAnsi="宋体" w:eastAsia="宋体" w:cs="宋体"/>
          <w:b/>
          <w:i w:val="0"/>
          <w:iCs w:val="0"/>
          <w:sz w:val="32"/>
          <w:szCs w:val="32"/>
        </w:rPr>
      </w:pPr>
    </w:p>
    <w:p w14:paraId="783ACEA6">
      <w:pPr>
        <w:pageBreakBefore w:val="0"/>
        <w:wordWrap w:val="0"/>
        <w:topLinePunct w:val="0"/>
        <w:bidi w:val="0"/>
        <w:spacing w:after="0" w:line="360" w:lineRule="auto"/>
        <w:textAlignment w:val="auto"/>
        <w:rPr>
          <w:rFonts w:hint="eastAsia" w:ascii="宋体" w:hAnsi="宋体" w:eastAsia="宋体" w:cs="宋体"/>
          <w:b/>
          <w:i w:val="0"/>
          <w:iCs w:val="0"/>
        </w:rPr>
      </w:pPr>
    </w:p>
    <w:p w14:paraId="7A78E36B">
      <w:pPr>
        <w:pageBreakBefore w:val="0"/>
        <w:tabs>
          <w:tab w:val="left" w:pos="360"/>
        </w:tabs>
        <w:wordWrap w:val="0"/>
        <w:topLinePunct w:val="0"/>
        <w:bidi w:val="0"/>
        <w:snapToGrid w:val="0"/>
        <w:spacing w:after="0" w:line="360" w:lineRule="auto"/>
        <w:textAlignment w:val="auto"/>
        <w:outlineLvl w:val="1"/>
        <w:rPr>
          <w:rFonts w:hint="eastAsia" w:ascii="宋体" w:hAnsi="宋体" w:eastAsia="宋体" w:cs="宋体"/>
          <w:i w:val="0"/>
          <w:iCs w:val="0"/>
          <w:sz w:val="24"/>
          <w:highlight w:val="red"/>
        </w:rPr>
        <w:sectPr>
          <w:pgSz w:w="11905" w:h="16838"/>
          <w:pgMar w:top="1474" w:right="1474" w:bottom="1474" w:left="1474" w:header="851" w:footer="992" w:gutter="0"/>
          <w:pgNumType w:fmt="decimal"/>
          <w:cols w:space="720" w:num="1"/>
          <w:rtlGutter w:val="0"/>
          <w:docGrid w:linePitch="462" w:charSpace="0"/>
        </w:sectPr>
      </w:pPr>
    </w:p>
    <w:p w14:paraId="7893DED3">
      <w:pPr>
        <w:pageBreakBefore w:val="0"/>
        <w:tabs>
          <w:tab w:val="left" w:pos="360"/>
        </w:tabs>
        <w:wordWrap w:val="0"/>
        <w:topLinePunct w:val="0"/>
        <w:bidi w:val="0"/>
        <w:snapToGrid w:val="0"/>
        <w:spacing w:after="0" w:line="360" w:lineRule="auto"/>
        <w:textAlignment w:val="auto"/>
        <w:outlineLvl w:val="1"/>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 满足《中华人民共和国政府采购法》第二十二条规定</w:t>
      </w:r>
    </w:p>
    <w:p w14:paraId="7020D8CE">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1-1营业执照等证明文件</w:t>
      </w:r>
    </w:p>
    <w:p w14:paraId="79EC5485">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p>
    <w:p w14:paraId="21B6EEA2">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p w14:paraId="1E83B578">
      <w:pPr>
        <w:pStyle w:val="5"/>
        <w:pageBreakBefore w:val="0"/>
        <w:wordWrap w:val="0"/>
        <w:topLinePunct w:val="0"/>
        <w:bidi w:val="0"/>
        <w:spacing w:after="0" w:line="360" w:lineRule="auto"/>
        <w:textAlignment w:val="auto"/>
        <w:rPr>
          <w:rFonts w:hint="eastAsia" w:ascii="宋体" w:hAnsi="宋体" w:eastAsia="宋体" w:cs="宋体"/>
          <w:b w:val="0"/>
          <w:i w:val="0"/>
          <w:iCs w:val="0"/>
          <w:color w:val="000000"/>
          <w:szCs w:val="24"/>
          <w:highlight w:val="none"/>
          <w:u w:val="none"/>
        </w:rPr>
        <w:sectPr>
          <w:headerReference r:id="rId21" w:type="first"/>
          <w:footerReference r:id="rId23" w:type="first"/>
          <w:headerReference r:id="rId20" w:type="even"/>
          <w:footerReference r:id="rId22" w:type="even"/>
          <w:pgSz w:w="11905" w:h="16838"/>
          <w:pgMar w:top="1474" w:right="1474" w:bottom="1474" w:left="1474" w:header="851" w:footer="992" w:gutter="0"/>
          <w:pgNumType w:fmt="decimal"/>
          <w:cols w:space="720" w:num="1"/>
          <w:rtlGutter w:val="0"/>
          <w:docGrid w:linePitch="462" w:charSpace="0"/>
        </w:sectPr>
      </w:pPr>
    </w:p>
    <w:p w14:paraId="19A2F165">
      <w:pPr>
        <w:pStyle w:val="5"/>
        <w:pageBreakBefore w:val="0"/>
        <w:wordWrap w:val="0"/>
        <w:topLinePunct w:val="0"/>
        <w:bidi w:val="0"/>
        <w:spacing w:after="0" w:line="360" w:lineRule="auto"/>
        <w:textAlignment w:val="auto"/>
        <w:rPr>
          <w:rFonts w:hint="eastAsia" w:ascii="宋体" w:hAnsi="宋体" w:eastAsia="宋体" w:cs="宋体"/>
          <w:b w:val="0"/>
          <w:bCs/>
          <w:i w:val="0"/>
          <w:iCs w:val="0"/>
          <w:color w:val="000000"/>
          <w:szCs w:val="24"/>
          <w:highlight w:val="none"/>
          <w:u w:val="none"/>
        </w:rPr>
      </w:pPr>
      <w:r>
        <w:rPr>
          <w:rFonts w:hint="eastAsia" w:ascii="宋体" w:hAnsi="宋体" w:eastAsia="宋体" w:cs="宋体"/>
          <w:b w:val="0"/>
          <w:i w:val="0"/>
          <w:iCs w:val="0"/>
          <w:color w:val="000000"/>
          <w:szCs w:val="24"/>
          <w:highlight w:val="none"/>
          <w:u w:val="none"/>
        </w:rPr>
        <w:t>1-2 供应商资格声明书</w:t>
      </w:r>
    </w:p>
    <w:p w14:paraId="168CCA6C">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供应商资格声明书</w:t>
      </w:r>
    </w:p>
    <w:p w14:paraId="2A08A2DB">
      <w:pPr>
        <w:pageBreakBefore w:val="0"/>
        <w:tabs>
          <w:tab w:val="left" w:pos="5580"/>
        </w:tabs>
        <w:wordWrap w:val="0"/>
        <w:topLinePunct w:val="0"/>
        <w:bidi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致：</w:t>
      </w:r>
      <w:r>
        <w:rPr>
          <w:rFonts w:hint="eastAsia" w:ascii="宋体" w:hAnsi="宋体" w:eastAsia="宋体" w:cs="宋体"/>
          <w:i w:val="0"/>
          <w:iCs w:val="0"/>
          <w:sz w:val="24"/>
          <w:highlight w:val="none"/>
          <w:u w:val="single"/>
        </w:rPr>
        <w:t>采购人或采购代理机构</w:t>
      </w:r>
    </w:p>
    <w:p w14:paraId="3FC6F10F">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在参与本次项目磋商中，我单位承诺：</w:t>
      </w:r>
    </w:p>
    <w:p w14:paraId="033151D6">
      <w:pPr>
        <w:pageBreakBefore w:val="0"/>
        <w:numPr>
          <w:ilvl w:val="0"/>
          <w:numId w:val="13"/>
        </w:numPr>
        <w:wordWrap w:val="0"/>
        <w:topLinePunct w:val="0"/>
        <w:bidi w:val="0"/>
        <w:spacing w:after="0" w:line="360" w:lineRule="auto"/>
        <w:ind w:left="1134"/>
        <w:textAlignment w:val="auto"/>
        <w:rPr>
          <w:rFonts w:hint="eastAsia" w:ascii="宋体" w:hAnsi="宋体" w:eastAsia="宋体" w:cs="宋体"/>
          <w:i w:val="0"/>
          <w:iCs w:val="0"/>
          <w:sz w:val="24"/>
          <w:szCs w:val="22"/>
          <w:highlight w:val="none"/>
        </w:rPr>
      </w:pPr>
      <w:r>
        <w:rPr>
          <w:rFonts w:hint="eastAsia" w:ascii="宋体" w:hAnsi="宋体" w:eastAsia="宋体" w:cs="宋体"/>
          <w:i w:val="0"/>
          <w:iCs w:val="0"/>
          <w:sz w:val="24"/>
          <w:szCs w:val="22"/>
          <w:highlight w:val="none"/>
        </w:rPr>
        <w:t>具有良好的商业信誉和健全的财务会计制度；</w:t>
      </w:r>
    </w:p>
    <w:p w14:paraId="3B668CC2">
      <w:pPr>
        <w:pageBreakBefore w:val="0"/>
        <w:numPr>
          <w:ilvl w:val="0"/>
          <w:numId w:val="13"/>
        </w:numPr>
        <w:wordWrap w:val="0"/>
        <w:topLinePunct w:val="0"/>
        <w:bidi w:val="0"/>
        <w:spacing w:after="0" w:line="360" w:lineRule="auto"/>
        <w:ind w:left="1134"/>
        <w:textAlignment w:val="auto"/>
        <w:rPr>
          <w:rFonts w:hint="eastAsia" w:ascii="宋体" w:hAnsi="宋体" w:eastAsia="宋体" w:cs="宋体"/>
          <w:i w:val="0"/>
          <w:iCs w:val="0"/>
          <w:sz w:val="24"/>
          <w:szCs w:val="22"/>
          <w:highlight w:val="none"/>
        </w:rPr>
      </w:pPr>
      <w:r>
        <w:rPr>
          <w:rFonts w:hint="eastAsia" w:ascii="宋体" w:hAnsi="宋体" w:eastAsia="宋体" w:cs="宋体"/>
          <w:i w:val="0"/>
          <w:iCs w:val="0"/>
          <w:sz w:val="24"/>
          <w:szCs w:val="22"/>
          <w:highlight w:val="none"/>
        </w:rPr>
        <w:t>具有履行合同所必需的设备和专业技术能力；</w:t>
      </w:r>
    </w:p>
    <w:p w14:paraId="3436076E">
      <w:pPr>
        <w:pageBreakBefore w:val="0"/>
        <w:numPr>
          <w:ilvl w:val="0"/>
          <w:numId w:val="13"/>
        </w:numPr>
        <w:wordWrap w:val="0"/>
        <w:topLinePunct w:val="0"/>
        <w:bidi w:val="0"/>
        <w:spacing w:after="0" w:line="360" w:lineRule="auto"/>
        <w:ind w:left="1134"/>
        <w:textAlignment w:val="auto"/>
        <w:rPr>
          <w:rFonts w:hint="eastAsia" w:ascii="宋体" w:hAnsi="宋体" w:eastAsia="宋体" w:cs="宋体"/>
          <w:i w:val="0"/>
          <w:iCs w:val="0"/>
          <w:sz w:val="24"/>
          <w:szCs w:val="22"/>
          <w:highlight w:val="none"/>
        </w:rPr>
      </w:pPr>
      <w:r>
        <w:rPr>
          <w:rFonts w:hint="eastAsia" w:ascii="宋体" w:hAnsi="宋体" w:eastAsia="宋体" w:cs="宋体"/>
          <w:i w:val="0"/>
          <w:iCs w:val="0"/>
          <w:sz w:val="24"/>
          <w:szCs w:val="22"/>
          <w:highlight w:val="none"/>
        </w:rPr>
        <w:t>有依法缴纳税收和社会保障资金的良好记录；</w:t>
      </w:r>
    </w:p>
    <w:p w14:paraId="701E970C">
      <w:pPr>
        <w:pageBreakBefore w:val="0"/>
        <w:numPr>
          <w:ilvl w:val="0"/>
          <w:numId w:val="13"/>
        </w:numPr>
        <w:wordWrap w:val="0"/>
        <w:topLinePunct w:val="0"/>
        <w:bidi w:val="0"/>
        <w:spacing w:after="0" w:line="360" w:lineRule="auto"/>
        <w:ind w:left="1134"/>
        <w:textAlignment w:val="auto"/>
        <w:rPr>
          <w:rFonts w:hint="eastAsia" w:ascii="宋体" w:hAnsi="宋体" w:eastAsia="宋体" w:cs="宋体"/>
          <w:i w:val="0"/>
          <w:iCs w:val="0"/>
          <w:sz w:val="24"/>
          <w:szCs w:val="22"/>
          <w:highlight w:val="none"/>
        </w:rPr>
      </w:pPr>
      <w:r>
        <w:rPr>
          <w:rFonts w:hint="eastAsia" w:ascii="宋体" w:hAnsi="宋体" w:eastAsia="宋体" w:cs="宋体"/>
          <w:i w:val="0"/>
          <w:iCs w:val="0"/>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0389B2D0">
      <w:pPr>
        <w:pageBreakBefore w:val="0"/>
        <w:numPr>
          <w:ilvl w:val="0"/>
          <w:numId w:val="13"/>
        </w:numPr>
        <w:wordWrap w:val="0"/>
        <w:topLinePunct w:val="0"/>
        <w:bidi w:val="0"/>
        <w:spacing w:after="0" w:line="360" w:lineRule="auto"/>
        <w:ind w:left="1134"/>
        <w:textAlignment w:val="auto"/>
        <w:rPr>
          <w:rFonts w:hint="eastAsia" w:ascii="宋体" w:hAnsi="宋体" w:eastAsia="宋体" w:cs="宋体"/>
          <w:i w:val="0"/>
          <w:iCs w:val="0"/>
          <w:sz w:val="24"/>
          <w:szCs w:val="22"/>
          <w:highlight w:val="none"/>
        </w:rPr>
      </w:pPr>
      <w:r>
        <w:rPr>
          <w:rFonts w:hint="eastAsia" w:ascii="宋体" w:hAnsi="宋体" w:eastAsia="宋体" w:cs="宋体"/>
          <w:i w:val="0"/>
          <w:iCs w:val="0"/>
          <w:sz w:val="24"/>
          <w:szCs w:val="22"/>
          <w:highlight w:val="none"/>
        </w:rPr>
        <w:t>我单位不属于政府采购法律、行政法规规定的公益一类事业单位、或使用事业编制且由财政拨款保障的群团组织（仅适用于政府购买服务项目）；</w:t>
      </w:r>
    </w:p>
    <w:p w14:paraId="40EB3B1B">
      <w:pPr>
        <w:pageBreakBefore w:val="0"/>
        <w:numPr>
          <w:ilvl w:val="0"/>
          <w:numId w:val="13"/>
        </w:numPr>
        <w:wordWrap w:val="0"/>
        <w:topLinePunct w:val="0"/>
        <w:bidi w:val="0"/>
        <w:spacing w:after="0" w:line="360" w:lineRule="auto"/>
        <w:ind w:left="1134"/>
        <w:textAlignment w:val="auto"/>
        <w:rPr>
          <w:rFonts w:hint="eastAsia" w:ascii="宋体" w:hAnsi="宋体" w:eastAsia="宋体" w:cs="宋体"/>
          <w:i w:val="0"/>
          <w:iCs w:val="0"/>
          <w:sz w:val="24"/>
          <w:szCs w:val="22"/>
          <w:highlight w:val="none"/>
        </w:rPr>
      </w:pPr>
      <w:r>
        <w:rPr>
          <w:rFonts w:hint="eastAsia" w:ascii="宋体" w:hAnsi="宋体" w:eastAsia="宋体" w:cs="宋体"/>
          <w:i w:val="0"/>
          <w:iCs w:val="0"/>
          <w:sz w:val="24"/>
          <w:szCs w:val="22"/>
          <w:highlight w:val="none"/>
        </w:rPr>
        <w:t>我单位不存在为采购项目提供整体设计、规范编制或者项目管理、监理、检测等服务后，再参加该采购项目的其他采购活动的情形（单一来源采购项目除外）；</w:t>
      </w:r>
    </w:p>
    <w:p w14:paraId="3D00F70B">
      <w:pPr>
        <w:pageBreakBefore w:val="0"/>
        <w:numPr>
          <w:ilvl w:val="0"/>
          <w:numId w:val="13"/>
        </w:numPr>
        <w:wordWrap w:val="0"/>
        <w:topLinePunct w:val="0"/>
        <w:bidi w:val="0"/>
        <w:spacing w:after="0" w:line="360" w:lineRule="auto"/>
        <w:ind w:left="1134"/>
        <w:textAlignment w:val="auto"/>
        <w:rPr>
          <w:rFonts w:hint="eastAsia" w:ascii="宋体" w:hAnsi="宋体" w:eastAsia="宋体" w:cs="宋体"/>
          <w:i w:val="0"/>
          <w:iCs w:val="0"/>
          <w:sz w:val="24"/>
          <w:szCs w:val="22"/>
          <w:highlight w:val="none"/>
        </w:rPr>
      </w:pPr>
      <w:r>
        <w:rPr>
          <w:rFonts w:hint="eastAsia" w:ascii="宋体" w:hAnsi="宋体" w:eastAsia="宋体" w:cs="宋体"/>
          <w:i w:val="0"/>
          <w:iCs w:val="0"/>
          <w:sz w:val="24"/>
          <w:szCs w:val="22"/>
          <w:highlight w:val="none"/>
        </w:rPr>
        <w:t>与我单位存在“单位负责人为同一人或者存在直接控股、管理关系”的其他法人单位信息如下（如有，不论其是否参加同一合同项下的政府采购活动均须填写）：</w:t>
      </w:r>
    </w:p>
    <w:tbl>
      <w:tblPr>
        <w:tblStyle w:val="4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534FD1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noWrap w:val="0"/>
            <w:vAlign w:val="center"/>
          </w:tcPr>
          <w:p w14:paraId="10B8B146">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序号</w:t>
            </w:r>
          </w:p>
        </w:tc>
        <w:tc>
          <w:tcPr>
            <w:tcW w:w="4574" w:type="dxa"/>
            <w:noWrap w:val="0"/>
            <w:vAlign w:val="center"/>
          </w:tcPr>
          <w:p w14:paraId="11EAACD5">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单位名称</w:t>
            </w:r>
          </w:p>
        </w:tc>
        <w:tc>
          <w:tcPr>
            <w:tcW w:w="2976" w:type="dxa"/>
            <w:noWrap w:val="0"/>
            <w:vAlign w:val="center"/>
          </w:tcPr>
          <w:p w14:paraId="12444F0F">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相互关系</w:t>
            </w:r>
          </w:p>
        </w:tc>
      </w:tr>
      <w:tr w14:paraId="2F646F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noWrap w:val="0"/>
            <w:vAlign w:val="center"/>
          </w:tcPr>
          <w:p w14:paraId="5E27C755">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w:t>
            </w:r>
          </w:p>
        </w:tc>
        <w:tc>
          <w:tcPr>
            <w:tcW w:w="4574" w:type="dxa"/>
            <w:noWrap w:val="0"/>
            <w:vAlign w:val="center"/>
          </w:tcPr>
          <w:p w14:paraId="07B8996B">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2976" w:type="dxa"/>
            <w:noWrap w:val="0"/>
            <w:vAlign w:val="center"/>
          </w:tcPr>
          <w:p w14:paraId="37C2D44D">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p>
        </w:tc>
      </w:tr>
      <w:tr w14:paraId="02F087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noWrap w:val="0"/>
            <w:vAlign w:val="center"/>
          </w:tcPr>
          <w:p w14:paraId="0628F52A">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w:t>
            </w:r>
          </w:p>
        </w:tc>
        <w:tc>
          <w:tcPr>
            <w:tcW w:w="4574" w:type="dxa"/>
            <w:noWrap w:val="0"/>
            <w:vAlign w:val="center"/>
          </w:tcPr>
          <w:p w14:paraId="78BB744F">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2976" w:type="dxa"/>
            <w:noWrap w:val="0"/>
            <w:vAlign w:val="center"/>
          </w:tcPr>
          <w:p w14:paraId="6A1B34CC">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p>
        </w:tc>
      </w:tr>
      <w:tr w14:paraId="2AE8AF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noWrap w:val="0"/>
            <w:vAlign w:val="center"/>
          </w:tcPr>
          <w:p w14:paraId="5EDCC4D2">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w:t>
            </w:r>
          </w:p>
        </w:tc>
        <w:tc>
          <w:tcPr>
            <w:tcW w:w="4574" w:type="dxa"/>
            <w:noWrap w:val="0"/>
            <w:vAlign w:val="center"/>
          </w:tcPr>
          <w:p w14:paraId="403A51D3">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2976" w:type="dxa"/>
            <w:noWrap w:val="0"/>
            <w:vAlign w:val="center"/>
          </w:tcPr>
          <w:p w14:paraId="6DFCCE93">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p>
        </w:tc>
      </w:tr>
    </w:tbl>
    <w:p w14:paraId="585A651E">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szCs w:val="22"/>
          <w:highlight w:val="none"/>
        </w:rPr>
      </w:pPr>
      <w:r>
        <w:rPr>
          <w:rFonts w:hint="eastAsia" w:ascii="宋体" w:hAnsi="宋体" w:eastAsia="宋体" w:cs="宋体"/>
          <w:i w:val="0"/>
          <w:iCs w:val="0"/>
          <w:sz w:val="24"/>
          <w:highlight w:val="none"/>
        </w:rPr>
        <w:t>上述声明真实有效，否则我方负全部责任。</w:t>
      </w:r>
    </w:p>
    <w:p w14:paraId="3B243334">
      <w:pPr>
        <w:pageBreakBefore w:val="0"/>
        <w:wordWrap w:val="0"/>
        <w:topLinePunct w:val="0"/>
        <w:autoSpaceDE w:val="0"/>
        <w:autoSpaceDN w:val="0"/>
        <w:bidi w:val="0"/>
        <w:adjustRightInd w:val="0"/>
        <w:snapToGrid w:val="0"/>
        <w:spacing w:before="25" w:after="0" w:line="360" w:lineRule="auto"/>
        <w:ind w:right="360"/>
        <w:jc w:val="right"/>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供应商名称（加盖公章）</w:t>
      </w:r>
      <w:r>
        <w:rPr>
          <w:rFonts w:hint="eastAsia" w:ascii="宋体" w:hAnsi="宋体" w:eastAsia="宋体" w:cs="宋体"/>
          <w:i w:val="0"/>
          <w:iCs w:val="0"/>
          <w:color w:val="000000"/>
          <w:sz w:val="24"/>
          <w:highlight w:val="none"/>
          <w:lang w:val="zh-CN"/>
        </w:rPr>
        <w:t>：</w:t>
      </w:r>
      <w:r>
        <w:rPr>
          <w:rFonts w:hint="eastAsia" w:ascii="宋体" w:hAnsi="宋体" w:eastAsia="宋体" w:cs="宋体"/>
          <w:i w:val="0"/>
          <w:iCs w:val="0"/>
          <w:sz w:val="24"/>
          <w:highlight w:val="none"/>
        </w:rPr>
        <w:t>______</w:t>
      </w:r>
    </w:p>
    <w:p w14:paraId="25FB4F35">
      <w:pPr>
        <w:pageBreakBefore w:val="0"/>
        <w:wordWrap w:val="0"/>
        <w:topLinePunct w:val="0"/>
        <w:bidi w:val="0"/>
        <w:spacing w:after="0" w:line="360" w:lineRule="auto"/>
        <w:ind w:right="360" w:firstLine="480"/>
        <w:jc w:val="right"/>
        <w:textAlignment w:val="auto"/>
        <w:rPr>
          <w:rFonts w:hint="eastAsia" w:ascii="宋体" w:hAnsi="宋体" w:eastAsia="宋体" w:cs="宋体"/>
          <w:i w:val="0"/>
          <w:iCs w:val="0"/>
          <w:sz w:val="24"/>
          <w:highlight w:val="none"/>
        </w:rPr>
      </w:pPr>
      <w:r>
        <w:rPr>
          <w:rFonts w:hint="eastAsia" w:ascii="宋体" w:hAnsi="宋体" w:eastAsia="宋体" w:cs="宋体"/>
          <w:i w:val="0"/>
          <w:iCs w:val="0"/>
          <w:color w:val="000000"/>
          <w:sz w:val="24"/>
          <w:szCs w:val="20"/>
          <w:highlight w:val="none"/>
        </w:rPr>
        <w:t xml:space="preserve">日期：____年____月____日   </w:t>
      </w:r>
    </w:p>
    <w:p w14:paraId="1C71399B">
      <w:pPr>
        <w:pageBreakBefore w:val="0"/>
        <w:wordWrap w:val="0"/>
        <w:topLinePunct w:val="0"/>
        <w:bidi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说明：供应商承诺不实的，依据《政府采购法》第七十七条“提供虚假材料谋取中标、成交的”有关规定予以处理。</w:t>
      </w:r>
    </w:p>
    <w:p w14:paraId="093F3168">
      <w:pPr>
        <w:pageBreakBefore w:val="0"/>
        <w:tabs>
          <w:tab w:val="left" w:pos="360"/>
        </w:tabs>
        <w:wordWrap w:val="0"/>
        <w:topLinePunct w:val="0"/>
        <w:bidi w:val="0"/>
        <w:snapToGrid w:val="0"/>
        <w:spacing w:after="0" w:line="360" w:lineRule="auto"/>
        <w:textAlignment w:val="auto"/>
        <w:outlineLvl w:val="1"/>
        <w:rPr>
          <w:rFonts w:hint="eastAsia" w:ascii="宋体" w:hAnsi="宋体" w:eastAsia="宋体" w:cs="宋体"/>
          <w:i w:val="0"/>
          <w:iCs w:val="0"/>
          <w:sz w:val="24"/>
          <w:highlight w:val="none"/>
        </w:rPr>
        <w:sectPr>
          <w:pgSz w:w="11905" w:h="16838"/>
          <w:pgMar w:top="1474" w:right="1474" w:bottom="1474" w:left="1474" w:header="851" w:footer="992" w:gutter="0"/>
          <w:pgNumType w:fmt="decimal"/>
          <w:cols w:space="720" w:num="1"/>
          <w:rtlGutter w:val="0"/>
          <w:docGrid w:linePitch="462" w:charSpace="0"/>
        </w:sectPr>
      </w:pPr>
    </w:p>
    <w:p w14:paraId="6ACC83A9">
      <w:pPr>
        <w:pageBreakBefore w:val="0"/>
        <w:tabs>
          <w:tab w:val="left" w:pos="360"/>
        </w:tabs>
        <w:wordWrap w:val="0"/>
        <w:topLinePunct w:val="0"/>
        <w:bidi w:val="0"/>
        <w:snapToGrid w:val="0"/>
        <w:spacing w:after="0" w:line="360" w:lineRule="auto"/>
        <w:textAlignment w:val="auto"/>
        <w:outlineLvl w:val="1"/>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 落实政府采购政策需满足的资格要求（如有）</w:t>
      </w:r>
    </w:p>
    <w:p w14:paraId="61A9FE9C">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2-1中小企业政策证明文件</w:t>
      </w:r>
    </w:p>
    <w:p w14:paraId="46D82A29">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说明：</w:t>
      </w:r>
    </w:p>
    <w:p w14:paraId="1B48B27F">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1）如本项目（包）不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否则不享受相关中小企业扶持政策。</w:t>
      </w:r>
    </w:p>
    <w:p w14:paraId="360D560E">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2）如本项目（包）专门面向中小企业采购，响应文件中须提供《中小企业声明函》或《残疾人福利性单位声明函》，或提供由省级以上监狱管理局、戒毒管理局（含新疆生产建设兵团）出具的属于监狱企业的证明文件。</w:t>
      </w:r>
    </w:p>
    <w:p w14:paraId="118E5DDE">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3）如本项目（包）预留部分采购项目预算专门面向中小企业采购，且要求获得采购合同的供应商将采购项目中的一定比例分包给一家或者多家中小企业或要求供应商以联合体形式参加采购活动，响应文件中须提供《中小企业声明函》或《残疾人福利性单位声明函》或由省级以上监狱管理局、戒毒管理局（含新疆生产建设兵团）出具的属于监狱企业的证明文件。</w:t>
      </w:r>
    </w:p>
    <w:p w14:paraId="4899113E">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（4）中小企业声明函填写注意事项</w:t>
      </w:r>
    </w:p>
    <w:p w14:paraId="2CC09E96">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1）《中小企业声明函》由参加政府采购活动的供应商出具。联合体参与的，《中小企业声明函》可由牵头人出具。</w:t>
      </w:r>
    </w:p>
    <w:p w14:paraId="1B3F41A0">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C9F84D9">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3）对于多标的采购项目，供应商应充分、准确地了解所提供货物的制造企业、提供服务的承接企业信息。对相关情况了解不清楚的，不建议填报本声明函。</w:t>
      </w:r>
    </w:p>
    <w:p w14:paraId="4B163169">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eastAsia="zh-CN"/>
        </w:rPr>
        <w:t>（5）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本项目中小企业划分标准所属行业详见第二章《供应商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14:paraId="753A8985">
      <w:pPr>
        <w:pageBreakBefore w:val="0"/>
        <w:wordWrap w:val="0"/>
        <w:topLinePunct w:val="0"/>
        <w:bidi w:val="0"/>
        <w:spacing w:after="0" w:line="360" w:lineRule="auto"/>
        <w:textAlignment w:val="auto"/>
        <w:outlineLvl w:val="3"/>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2-1-1中小企业证明文件</w:t>
      </w:r>
    </w:p>
    <w:p w14:paraId="5D2DCDF1">
      <w:pPr>
        <w:pageBreakBefore w:val="0"/>
        <w:wordWrap w:val="0"/>
        <w:topLinePunct w:val="0"/>
        <w:bidi w:val="0"/>
        <w:spacing w:before="240" w:beforeLines="100" w:after="0" w:line="360" w:lineRule="auto"/>
        <w:jc w:val="center"/>
        <w:textAlignment w:val="auto"/>
        <w:rPr>
          <w:rFonts w:hint="eastAsia" w:ascii="宋体" w:hAnsi="宋体" w:eastAsia="宋体" w:cs="宋体"/>
          <w:b/>
          <w:bCs/>
          <w:i w:val="0"/>
          <w:iCs w:val="0"/>
          <w:color w:val="000000"/>
          <w:sz w:val="28"/>
          <w:szCs w:val="28"/>
          <w:highlight w:val="none"/>
        </w:rPr>
      </w:pPr>
      <w:r>
        <w:rPr>
          <w:rFonts w:hint="eastAsia" w:ascii="宋体" w:hAnsi="宋体" w:eastAsia="宋体" w:cs="宋体"/>
          <w:b/>
          <w:bCs/>
          <w:i w:val="0"/>
          <w:iCs w:val="0"/>
          <w:color w:val="000000"/>
          <w:sz w:val="28"/>
          <w:szCs w:val="28"/>
          <w:highlight w:val="none"/>
        </w:rPr>
        <w:t>中小企业声明函（工程）格式</w:t>
      </w:r>
    </w:p>
    <w:p w14:paraId="0D2BD913">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本公司（联合体）郑重声明，根据《政府采购促进中小企业发展管理办法》（财库﹝2020﹞46 号）的规定，本公司（联合体）参加</w:t>
      </w:r>
      <w:r>
        <w:rPr>
          <w:rFonts w:hint="eastAsia" w:ascii="宋体" w:hAnsi="宋体" w:eastAsia="宋体" w:cs="宋体"/>
          <w:i w:val="0"/>
          <w:iCs w:val="0"/>
          <w:spacing w:val="6"/>
          <w:sz w:val="24"/>
          <w:highlight w:val="none"/>
          <w:u w:val="single"/>
        </w:rPr>
        <w:t>（北京市丰台区节约用水办公室）</w:t>
      </w:r>
      <w:r>
        <w:rPr>
          <w:rFonts w:hint="eastAsia" w:ascii="宋体" w:hAnsi="宋体" w:eastAsia="宋体" w:cs="宋体"/>
          <w:i w:val="0"/>
          <w:iCs w:val="0"/>
          <w:spacing w:val="6"/>
          <w:sz w:val="24"/>
          <w:highlight w:val="none"/>
        </w:rPr>
        <w:t>的</w:t>
      </w:r>
      <w:r>
        <w:rPr>
          <w:rFonts w:hint="eastAsia" w:ascii="宋体" w:hAnsi="宋体" w:eastAsia="宋体" w:cs="宋体"/>
          <w:i w:val="0"/>
          <w:iCs w:val="0"/>
          <w:spacing w:val="6"/>
          <w:sz w:val="24"/>
          <w:highlight w:val="none"/>
          <w:u w:val="single"/>
        </w:rPr>
        <w:t>（</w:t>
      </w:r>
      <w:r>
        <w:rPr>
          <w:rFonts w:hint="eastAsia" w:ascii="宋体" w:hAnsi="宋体" w:cs="宋体"/>
          <w:i w:val="0"/>
          <w:iCs w:val="0"/>
          <w:spacing w:val="6"/>
          <w:sz w:val="24"/>
          <w:highlight w:val="none"/>
          <w:u w:val="single"/>
          <w:lang w:eastAsia="zh-CN"/>
        </w:rPr>
        <w:t>花卉大观园再生水智联灌溉提升项目</w:t>
      </w:r>
      <w:r>
        <w:rPr>
          <w:rFonts w:hint="eastAsia" w:ascii="宋体" w:hAnsi="宋体" w:eastAsia="宋体" w:cs="宋体"/>
          <w:i w:val="0"/>
          <w:iCs w:val="0"/>
          <w:spacing w:val="6"/>
          <w:sz w:val="24"/>
          <w:highlight w:val="none"/>
          <w:u w:val="single"/>
        </w:rPr>
        <w:t>）</w:t>
      </w:r>
      <w:r>
        <w:rPr>
          <w:rFonts w:hint="eastAsia" w:ascii="宋体" w:hAnsi="宋体" w:eastAsia="宋体" w:cs="宋体"/>
          <w:i w:val="0"/>
          <w:iCs w:val="0"/>
          <w:spacing w:val="6"/>
          <w:sz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52EF5D57">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1.</w:t>
      </w:r>
      <w:r>
        <w:rPr>
          <w:rFonts w:hint="eastAsia" w:ascii="宋体" w:hAnsi="宋体" w:eastAsia="宋体" w:cs="宋体"/>
          <w:i w:val="0"/>
          <w:iCs w:val="0"/>
          <w:spacing w:val="6"/>
          <w:sz w:val="24"/>
          <w:highlight w:val="none"/>
          <w:u w:val="single"/>
        </w:rPr>
        <w:t>（</w:t>
      </w:r>
      <w:r>
        <w:rPr>
          <w:rFonts w:hint="eastAsia" w:ascii="宋体" w:hAnsi="宋体" w:cs="宋体"/>
          <w:i w:val="0"/>
          <w:iCs w:val="0"/>
          <w:spacing w:val="6"/>
          <w:sz w:val="24"/>
          <w:highlight w:val="none"/>
          <w:u w:val="single"/>
          <w:lang w:eastAsia="zh-CN"/>
        </w:rPr>
        <w:t>花卉大观园再生水智联灌溉提升项目</w:t>
      </w:r>
      <w:r>
        <w:rPr>
          <w:rFonts w:hint="eastAsia" w:ascii="宋体" w:hAnsi="宋体" w:eastAsia="宋体" w:cs="宋体"/>
          <w:i w:val="0"/>
          <w:iCs w:val="0"/>
          <w:spacing w:val="6"/>
          <w:sz w:val="24"/>
          <w:highlight w:val="none"/>
          <w:u w:val="single"/>
        </w:rPr>
        <w:t>）</w:t>
      </w:r>
      <w:r>
        <w:rPr>
          <w:rFonts w:hint="eastAsia" w:ascii="宋体" w:hAnsi="宋体" w:eastAsia="宋体" w:cs="宋体"/>
          <w:i w:val="0"/>
          <w:iCs w:val="0"/>
          <w:spacing w:val="6"/>
          <w:sz w:val="24"/>
          <w:highlight w:val="none"/>
        </w:rPr>
        <w:t>，属于</w:t>
      </w:r>
      <w:r>
        <w:rPr>
          <w:rFonts w:hint="eastAsia" w:ascii="宋体" w:hAnsi="宋体" w:eastAsia="宋体" w:cs="宋体"/>
          <w:i w:val="0"/>
          <w:iCs w:val="0"/>
          <w:spacing w:val="6"/>
          <w:sz w:val="24"/>
          <w:highlight w:val="none"/>
          <w:u w:val="single"/>
        </w:rPr>
        <w:t>（建筑业）</w:t>
      </w:r>
      <w:r>
        <w:rPr>
          <w:rFonts w:hint="eastAsia" w:ascii="宋体" w:hAnsi="宋体" w:eastAsia="宋体" w:cs="宋体"/>
          <w:i w:val="0"/>
          <w:iCs w:val="0"/>
          <w:spacing w:val="6"/>
          <w:sz w:val="24"/>
          <w:highlight w:val="none"/>
        </w:rPr>
        <w:t>行业；承建（承接）企业为</w:t>
      </w:r>
      <w:r>
        <w:rPr>
          <w:rFonts w:hint="eastAsia" w:ascii="宋体" w:hAnsi="宋体" w:eastAsia="宋体" w:cs="宋体"/>
          <w:i w:val="0"/>
          <w:iCs w:val="0"/>
          <w:spacing w:val="6"/>
          <w:sz w:val="24"/>
          <w:highlight w:val="none"/>
          <w:u w:val="single"/>
        </w:rPr>
        <w:t>（企业名称）</w:t>
      </w:r>
      <w:r>
        <w:rPr>
          <w:rFonts w:hint="eastAsia" w:ascii="宋体" w:hAnsi="宋体" w:eastAsia="宋体" w:cs="宋体"/>
          <w:i w:val="0"/>
          <w:iCs w:val="0"/>
          <w:spacing w:val="6"/>
          <w:sz w:val="24"/>
          <w:highlight w:val="none"/>
        </w:rPr>
        <w:t>，从业人员</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人，营业收入为</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万元，资产总额为</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万元</w:t>
      </w:r>
      <w:r>
        <w:rPr>
          <w:rFonts w:hint="eastAsia" w:ascii="宋体" w:hAnsi="宋体" w:eastAsia="宋体" w:cs="宋体"/>
          <w:i w:val="0"/>
          <w:iCs w:val="0"/>
          <w:spacing w:val="6"/>
          <w:sz w:val="24"/>
          <w:highlight w:val="none"/>
          <w:vertAlign w:val="superscript"/>
        </w:rPr>
        <w:t>1</w:t>
      </w:r>
      <w:r>
        <w:rPr>
          <w:rFonts w:hint="eastAsia" w:ascii="宋体" w:hAnsi="宋体" w:eastAsia="宋体" w:cs="宋体"/>
          <w:i w:val="0"/>
          <w:iCs w:val="0"/>
          <w:spacing w:val="6"/>
          <w:sz w:val="24"/>
          <w:highlight w:val="none"/>
        </w:rPr>
        <w:t>，属于</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u w:val="single"/>
        </w:rPr>
        <w:t>（中型企业、小型企业、微型企业）</w:t>
      </w:r>
      <w:r>
        <w:rPr>
          <w:rFonts w:hint="eastAsia" w:ascii="宋体" w:hAnsi="宋体" w:eastAsia="宋体" w:cs="宋体"/>
          <w:i w:val="0"/>
          <w:iCs w:val="0"/>
          <w:spacing w:val="6"/>
          <w:sz w:val="24"/>
          <w:highlight w:val="none"/>
        </w:rPr>
        <w:t>；</w:t>
      </w:r>
    </w:p>
    <w:p w14:paraId="0616679A">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2.</w:t>
      </w:r>
      <w:r>
        <w:rPr>
          <w:rFonts w:hint="eastAsia" w:ascii="宋体" w:hAnsi="宋体" w:eastAsia="宋体" w:cs="宋体"/>
          <w:i w:val="0"/>
          <w:iCs w:val="0"/>
          <w:spacing w:val="6"/>
          <w:sz w:val="24"/>
          <w:highlight w:val="none"/>
          <w:u w:val="single"/>
        </w:rPr>
        <w:t>（标的名称）</w:t>
      </w:r>
      <w:r>
        <w:rPr>
          <w:rFonts w:hint="eastAsia" w:ascii="宋体" w:hAnsi="宋体" w:eastAsia="宋体" w:cs="宋体"/>
          <w:i w:val="0"/>
          <w:iCs w:val="0"/>
          <w:spacing w:val="6"/>
          <w:sz w:val="24"/>
          <w:highlight w:val="none"/>
        </w:rPr>
        <w:t>，属于</w:t>
      </w:r>
      <w:r>
        <w:rPr>
          <w:rFonts w:hint="eastAsia" w:ascii="宋体" w:hAnsi="宋体" w:eastAsia="宋体" w:cs="宋体"/>
          <w:i w:val="0"/>
          <w:iCs w:val="0"/>
          <w:spacing w:val="6"/>
          <w:sz w:val="24"/>
          <w:highlight w:val="none"/>
          <w:u w:val="single"/>
        </w:rPr>
        <w:t>（采购文件中明确的所属行业）</w:t>
      </w:r>
      <w:r>
        <w:rPr>
          <w:rFonts w:hint="eastAsia" w:ascii="宋体" w:hAnsi="宋体" w:eastAsia="宋体" w:cs="宋体"/>
          <w:i w:val="0"/>
          <w:iCs w:val="0"/>
          <w:spacing w:val="6"/>
          <w:sz w:val="24"/>
          <w:highlight w:val="none"/>
        </w:rPr>
        <w:t>行业；承建（承接）企业为</w:t>
      </w:r>
      <w:r>
        <w:rPr>
          <w:rFonts w:hint="eastAsia" w:ascii="宋体" w:hAnsi="宋体" w:eastAsia="宋体" w:cs="宋体"/>
          <w:i w:val="0"/>
          <w:iCs w:val="0"/>
          <w:spacing w:val="6"/>
          <w:sz w:val="24"/>
          <w:highlight w:val="none"/>
          <w:u w:val="single"/>
        </w:rPr>
        <w:t>（企业名称）</w:t>
      </w:r>
      <w:r>
        <w:rPr>
          <w:rFonts w:hint="eastAsia" w:ascii="宋体" w:hAnsi="宋体" w:eastAsia="宋体" w:cs="宋体"/>
          <w:i w:val="0"/>
          <w:iCs w:val="0"/>
          <w:spacing w:val="6"/>
          <w:sz w:val="24"/>
          <w:highlight w:val="none"/>
        </w:rPr>
        <w:t>，从业人员</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人，营业收入为</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万元，资产总额为</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万元，属于</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u w:val="single"/>
        </w:rPr>
        <w:t>（中型企业、小型企业、微型企业）</w:t>
      </w:r>
      <w:r>
        <w:rPr>
          <w:rFonts w:hint="eastAsia" w:ascii="宋体" w:hAnsi="宋体" w:eastAsia="宋体" w:cs="宋体"/>
          <w:i w:val="0"/>
          <w:iCs w:val="0"/>
          <w:spacing w:val="6"/>
          <w:sz w:val="24"/>
          <w:highlight w:val="none"/>
        </w:rPr>
        <w:t>；</w:t>
      </w:r>
    </w:p>
    <w:p w14:paraId="7D50A6A0">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p>
    <w:p w14:paraId="23F9D43A">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w:t>
      </w:r>
    </w:p>
    <w:p w14:paraId="72CACEA7">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以上企业，不属于大企业的分支机构，不存在控股股东为大企业的情形，也不存在与大企业的负责人为同一人的情形。</w:t>
      </w:r>
    </w:p>
    <w:p w14:paraId="21D3001E">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本企业对上述声明内容的真实性负责。如有虚假，将依法承担相应责任。</w:t>
      </w:r>
    </w:p>
    <w:p w14:paraId="1CDF1A55">
      <w:pPr>
        <w:pageBreakBefore w:val="0"/>
        <w:wordWrap w:val="0"/>
        <w:topLinePunct w:val="0"/>
        <w:bidi w:val="0"/>
        <w:spacing w:after="0" w:line="360" w:lineRule="auto"/>
        <w:ind w:right="360" w:firstLine="480"/>
        <w:jc w:val="right"/>
        <w:textAlignment w:val="auto"/>
        <w:rPr>
          <w:rFonts w:hint="eastAsia" w:ascii="宋体" w:hAnsi="宋体" w:eastAsia="宋体" w:cs="宋体"/>
          <w:i w:val="0"/>
          <w:iCs w:val="0"/>
          <w:color w:val="000000"/>
          <w:sz w:val="24"/>
          <w:highlight w:val="none"/>
        </w:rPr>
      </w:pPr>
    </w:p>
    <w:p w14:paraId="42CA5669">
      <w:pPr>
        <w:pageBreakBefore w:val="0"/>
        <w:wordWrap w:val="0"/>
        <w:topLinePunct w:val="0"/>
        <w:bidi w:val="0"/>
        <w:spacing w:after="0" w:line="360" w:lineRule="auto"/>
        <w:ind w:right="360" w:firstLine="3837" w:firstLineChars="0"/>
        <w:jc w:val="center"/>
        <w:textAlignment w:val="auto"/>
        <w:rPr>
          <w:rFonts w:hint="eastAsia" w:ascii="宋体" w:hAnsi="宋体" w:eastAsia="宋体" w:cs="宋体"/>
          <w:i w:val="0"/>
          <w:iCs w:val="0"/>
          <w:color w:val="000000"/>
          <w:sz w:val="24"/>
          <w:highlight w:val="none"/>
          <w:lang w:val="en-US" w:eastAsia="zh-CN"/>
        </w:rPr>
      </w:pPr>
      <w:r>
        <w:rPr>
          <w:rFonts w:hint="eastAsia" w:ascii="宋体" w:hAnsi="宋体" w:eastAsia="宋体" w:cs="宋体"/>
          <w:i w:val="0"/>
          <w:iCs w:val="0"/>
          <w:color w:val="000000"/>
          <w:sz w:val="24"/>
          <w:highlight w:val="none"/>
        </w:rPr>
        <w:t>企业名称（盖章）：</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lang w:val="en-US" w:eastAsia="zh-CN"/>
        </w:rPr>
        <w:t xml:space="preserve">   </w:t>
      </w:r>
    </w:p>
    <w:p w14:paraId="41A0021A">
      <w:pPr>
        <w:pageBreakBefore w:val="0"/>
        <w:wordWrap w:val="0"/>
        <w:topLinePunct w:val="0"/>
        <w:bidi w:val="0"/>
        <w:spacing w:after="0" w:line="360" w:lineRule="auto"/>
        <w:ind w:right="360" w:firstLine="3837" w:firstLineChars="0"/>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lang w:val="en-US" w:eastAsia="zh-CN"/>
        </w:rPr>
        <w:t xml:space="preserve">          </w:t>
      </w:r>
      <w:r>
        <w:rPr>
          <w:rFonts w:hint="eastAsia" w:ascii="宋体" w:hAnsi="宋体" w:eastAsia="宋体" w:cs="宋体"/>
          <w:i w:val="0"/>
          <w:iCs w:val="0"/>
          <w:color w:val="000000"/>
          <w:sz w:val="24"/>
          <w:highlight w:val="none"/>
        </w:rPr>
        <w:t>日 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p>
    <w:p w14:paraId="4C3F6C4E">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szCs w:val="21"/>
          <w:highlight w:val="none"/>
        </w:rPr>
      </w:pPr>
    </w:p>
    <w:p w14:paraId="22F4E39F">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szCs w:val="21"/>
          <w:highlight w:val="none"/>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2985D522">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noWrap w:val="0"/>
            <w:vAlign w:val="top"/>
          </w:tcPr>
          <w:p w14:paraId="4E754931">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Cs w:val="21"/>
                <w:highlight w:val="none"/>
              </w:rPr>
            </w:pPr>
            <w:r>
              <w:rPr>
                <w:rFonts w:hint="eastAsia" w:ascii="宋体" w:hAnsi="宋体" w:eastAsia="宋体" w:cs="宋体"/>
                <w:i w:val="0"/>
                <w:iCs w:val="0"/>
                <w:color w:val="000000"/>
                <w:szCs w:val="21"/>
                <w:highlight w:val="none"/>
                <w:vertAlign w:val="superscript"/>
              </w:rPr>
              <w:t>1</w:t>
            </w:r>
            <w:r>
              <w:rPr>
                <w:rFonts w:hint="eastAsia" w:ascii="宋体" w:hAnsi="宋体" w:eastAsia="宋体" w:cs="宋体"/>
                <w:i w:val="0"/>
                <w:iCs w:val="0"/>
                <w:color w:val="000000"/>
                <w:szCs w:val="21"/>
                <w:highlight w:val="none"/>
              </w:rPr>
              <w:t>从业人员、营业收入、资产总额填报上一年度数据，无上一年度数据的新成立企业可不填报。</w:t>
            </w:r>
          </w:p>
        </w:tc>
      </w:tr>
    </w:tbl>
    <w:p w14:paraId="4DEDCBAD">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Cs w:val="21"/>
          <w:highlight w:val="none"/>
          <w:vertAlign w:val="superscript"/>
        </w:rPr>
      </w:pPr>
    </w:p>
    <w:p w14:paraId="7FC330C5">
      <w:pPr>
        <w:pageBreakBefore w:val="0"/>
        <w:wordWrap w:val="0"/>
        <w:topLinePunct w:val="0"/>
        <w:bidi w:val="0"/>
        <w:spacing w:after="0" w:line="360" w:lineRule="auto"/>
        <w:ind w:right="360" w:firstLine="480"/>
        <w:jc w:val="right"/>
        <w:textAlignment w:val="auto"/>
        <w:rPr>
          <w:rFonts w:hint="eastAsia" w:ascii="宋体" w:hAnsi="宋体" w:eastAsia="宋体" w:cs="宋体"/>
          <w:i w:val="0"/>
          <w:iCs w:val="0"/>
          <w:color w:val="000000"/>
          <w:sz w:val="24"/>
          <w:highlight w:val="none"/>
        </w:rPr>
      </w:pPr>
    </w:p>
    <w:p w14:paraId="037B6B8E">
      <w:pPr>
        <w:pageBreakBefore w:val="0"/>
        <w:wordWrap w:val="0"/>
        <w:topLinePunct w:val="0"/>
        <w:bidi w:val="0"/>
        <w:spacing w:after="0" w:line="360" w:lineRule="auto"/>
        <w:textAlignment w:val="auto"/>
        <w:rPr>
          <w:rFonts w:hint="eastAsia" w:ascii="宋体" w:hAnsi="宋体" w:eastAsia="宋体" w:cs="宋体"/>
          <w:i w:val="0"/>
          <w:iCs w:val="0"/>
          <w:highlight w:val="none"/>
        </w:rPr>
      </w:pPr>
    </w:p>
    <w:p w14:paraId="7B088521">
      <w:pPr>
        <w:pageBreakBefore w:val="0"/>
        <w:wordWrap w:val="0"/>
        <w:topLinePunct w:val="0"/>
        <w:bidi w:val="0"/>
        <w:spacing w:before="240" w:beforeLines="100" w:after="0" w:line="360" w:lineRule="auto"/>
        <w:jc w:val="center"/>
        <w:textAlignment w:val="auto"/>
        <w:rPr>
          <w:rFonts w:hint="eastAsia" w:ascii="宋体" w:hAnsi="宋体" w:eastAsia="宋体" w:cs="宋体"/>
          <w:b/>
          <w:bCs/>
          <w:i w:val="0"/>
          <w:iCs w:val="0"/>
          <w:color w:val="000000"/>
          <w:sz w:val="28"/>
          <w:szCs w:val="28"/>
          <w:highlight w:val="none"/>
        </w:rPr>
        <w:sectPr>
          <w:pgSz w:w="11905" w:h="16838"/>
          <w:pgMar w:top="1474" w:right="1474" w:bottom="1474" w:left="1474" w:header="851" w:footer="992" w:gutter="0"/>
          <w:pgNumType w:fmt="decimal"/>
          <w:cols w:space="720" w:num="1"/>
          <w:rtlGutter w:val="0"/>
          <w:docGrid w:linePitch="462" w:charSpace="0"/>
        </w:sectPr>
      </w:pPr>
    </w:p>
    <w:p w14:paraId="0DE1C546">
      <w:pPr>
        <w:pageBreakBefore w:val="0"/>
        <w:wordWrap w:val="0"/>
        <w:topLinePunct w:val="0"/>
        <w:bidi w:val="0"/>
        <w:spacing w:before="240" w:beforeLines="100"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bCs/>
          <w:i w:val="0"/>
          <w:iCs w:val="0"/>
          <w:color w:val="000000"/>
          <w:sz w:val="28"/>
          <w:szCs w:val="28"/>
          <w:highlight w:val="none"/>
        </w:rPr>
        <w:t>残疾人福利性单位声明函格式</w:t>
      </w:r>
      <w:r>
        <w:rPr>
          <w:rFonts w:hint="eastAsia" w:ascii="宋体" w:hAnsi="宋体" w:eastAsia="宋体" w:cs="宋体"/>
          <w:b/>
          <w:i w:val="0"/>
          <w:iCs w:val="0"/>
          <w:color w:val="000000"/>
          <w:sz w:val="28"/>
          <w:szCs w:val="28"/>
          <w:highlight w:val="none"/>
        </w:rPr>
        <w:t xml:space="preserve">       </w:t>
      </w:r>
    </w:p>
    <w:p w14:paraId="22CB0338">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本单位郑重声明，根据《财政部 民政部 中国残疾人联合会关于促进残疾人就业政府采购政策的通知》（财库</w:t>
      </w:r>
      <w:r>
        <w:rPr>
          <w:rFonts w:hint="eastAsia" w:ascii="宋体" w:hAnsi="宋体" w:eastAsia="宋体" w:cs="宋体"/>
          <w:i w:val="0"/>
          <w:iCs w:val="0"/>
          <w:sz w:val="24"/>
          <w:highlight w:val="none"/>
        </w:rPr>
        <w:t>〔2017〕141</w:t>
      </w:r>
      <w:r>
        <w:rPr>
          <w:rFonts w:hint="eastAsia" w:ascii="宋体" w:hAnsi="宋体" w:eastAsia="宋体" w:cs="宋体"/>
          <w:i w:val="0"/>
          <w:iCs w:val="0"/>
          <w:spacing w:val="6"/>
          <w:sz w:val="24"/>
          <w:highlight w:val="none"/>
        </w:rPr>
        <w:t>号）的规定，本单位</w:t>
      </w:r>
      <w:r>
        <w:rPr>
          <w:rFonts w:hint="eastAsia" w:ascii="宋体" w:hAnsi="宋体" w:eastAsia="宋体" w:cs="宋体"/>
          <w:b/>
          <w:i w:val="0"/>
          <w:iCs w:val="0"/>
          <w:sz w:val="24"/>
          <w:highlight w:val="none"/>
        </w:rPr>
        <w:t>（请进行</w:t>
      </w:r>
      <w:r>
        <w:rPr>
          <w:rFonts w:hint="eastAsia" w:ascii="宋体" w:hAnsi="宋体" w:eastAsia="宋体" w:cs="宋体"/>
          <w:b/>
          <w:i w:val="0"/>
          <w:iCs w:val="0"/>
          <w:sz w:val="24"/>
          <w:highlight w:val="none"/>
          <w:lang w:val="en-US" w:eastAsia="zh-CN"/>
        </w:rPr>
        <w:t>选择</w:t>
      </w:r>
      <w:r>
        <w:rPr>
          <w:rFonts w:hint="eastAsia" w:ascii="宋体" w:hAnsi="宋体" w:eastAsia="宋体" w:cs="宋体"/>
          <w:b/>
          <w:i w:val="0"/>
          <w:iCs w:val="0"/>
          <w:sz w:val="24"/>
          <w:highlight w:val="none"/>
        </w:rPr>
        <w:t>）</w:t>
      </w:r>
      <w:r>
        <w:rPr>
          <w:rFonts w:hint="eastAsia" w:ascii="宋体" w:hAnsi="宋体" w:eastAsia="宋体" w:cs="宋体"/>
          <w:i w:val="0"/>
          <w:iCs w:val="0"/>
          <w:spacing w:val="6"/>
          <w:sz w:val="24"/>
          <w:highlight w:val="none"/>
        </w:rPr>
        <w:t>：</w:t>
      </w:r>
    </w:p>
    <w:p w14:paraId="3DAD9A21">
      <w:pPr>
        <w:pageBreakBefore w:val="0"/>
        <w:wordWrap w:val="0"/>
        <w:topLinePunct w:val="0"/>
        <w:bidi w:val="0"/>
        <w:spacing w:after="0" w:line="360" w:lineRule="auto"/>
        <w:ind w:firstLine="482"/>
        <w:textAlignment w:val="auto"/>
        <w:rPr>
          <w:rFonts w:hint="eastAsia" w:ascii="宋体" w:hAnsi="宋体" w:eastAsia="宋体" w:cs="宋体"/>
          <w:b/>
          <w:i w:val="0"/>
          <w:iCs w:val="0"/>
          <w:spacing w:val="6"/>
          <w:sz w:val="24"/>
          <w:highlight w:val="none"/>
        </w:rPr>
      </w:pPr>
      <w:r>
        <w:rPr>
          <w:rFonts w:hint="eastAsia" w:ascii="宋体" w:hAnsi="宋体" w:eastAsia="宋体" w:cs="宋体"/>
          <w:b/>
          <w:i w:val="0"/>
          <w:iCs w:val="0"/>
          <w:sz w:val="24"/>
          <w:highlight w:val="none"/>
        </w:rPr>
        <w:t>□</w:t>
      </w:r>
      <w:r>
        <w:rPr>
          <w:rFonts w:hint="eastAsia" w:ascii="宋体" w:hAnsi="宋体" w:eastAsia="宋体" w:cs="宋体"/>
          <w:b/>
          <w:i w:val="0"/>
          <w:iCs w:val="0"/>
          <w:spacing w:val="6"/>
          <w:sz w:val="24"/>
          <w:highlight w:val="none"/>
        </w:rPr>
        <w:t>不属于符合条件的残疾人福利性单位。</w:t>
      </w:r>
    </w:p>
    <w:p w14:paraId="32C913C6">
      <w:pPr>
        <w:pageBreakBefore w:val="0"/>
        <w:wordWrap w:val="0"/>
        <w:topLinePunct w:val="0"/>
        <w:bidi w:val="0"/>
        <w:spacing w:after="0" w:line="360" w:lineRule="auto"/>
        <w:ind w:firstLine="482"/>
        <w:textAlignment w:val="auto"/>
        <w:rPr>
          <w:rFonts w:hint="eastAsia" w:ascii="宋体" w:hAnsi="宋体" w:eastAsia="宋体" w:cs="宋体"/>
          <w:i w:val="0"/>
          <w:iCs w:val="0"/>
          <w:spacing w:val="6"/>
          <w:sz w:val="24"/>
          <w:highlight w:val="none"/>
        </w:rPr>
      </w:pPr>
      <w:r>
        <w:rPr>
          <w:rFonts w:hint="eastAsia" w:ascii="宋体" w:hAnsi="宋体" w:eastAsia="宋体" w:cs="宋体"/>
          <w:b/>
          <w:i w:val="0"/>
          <w:iCs w:val="0"/>
          <w:sz w:val="24"/>
          <w:highlight w:val="none"/>
        </w:rPr>
        <w:t>□</w:t>
      </w:r>
      <w:r>
        <w:rPr>
          <w:rFonts w:hint="eastAsia" w:ascii="宋体" w:hAnsi="宋体" w:eastAsia="宋体" w:cs="宋体"/>
          <w:b/>
          <w:i w:val="0"/>
          <w:iCs w:val="0"/>
          <w:spacing w:val="6"/>
          <w:sz w:val="24"/>
          <w:highlight w:val="none"/>
        </w:rPr>
        <w:t>属于符合条件的残疾人福利性单位，</w:t>
      </w:r>
      <w:r>
        <w:rPr>
          <w:rFonts w:hint="eastAsia" w:ascii="宋体" w:hAnsi="宋体" w:eastAsia="宋体" w:cs="宋体"/>
          <w:i w:val="0"/>
          <w:iCs w:val="0"/>
          <w:spacing w:val="6"/>
          <w:sz w:val="24"/>
          <w:highlight w:val="none"/>
        </w:rPr>
        <w:t>且本单位参加</w:t>
      </w:r>
      <w:r>
        <w:rPr>
          <w:rFonts w:hint="eastAsia" w:ascii="宋体" w:hAnsi="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单位的</w:t>
      </w:r>
      <w:r>
        <w:rPr>
          <w:rFonts w:hint="eastAsia" w:ascii="宋体" w:hAnsi="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项目采购活动提供本单位制造的货物（由本单位承担工程/提供服务），或者提供其他残疾人福利性单位制造的货物（不包括使用非残疾人福利性单位注册商标的货物）。</w:t>
      </w:r>
    </w:p>
    <w:p w14:paraId="06AA64CF">
      <w:pPr>
        <w:pageBreakBefore w:val="0"/>
        <w:wordWrap w:val="0"/>
        <w:topLinePunct w:val="0"/>
        <w:bidi w:val="0"/>
        <w:spacing w:after="0" w:line="360" w:lineRule="auto"/>
        <w:ind w:firstLine="506" w:firstLineChars="200"/>
        <w:textAlignment w:val="auto"/>
        <w:rPr>
          <w:rFonts w:hint="eastAsia" w:ascii="宋体" w:hAnsi="宋体" w:eastAsia="宋体" w:cs="宋体"/>
          <w:i w:val="0"/>
          <w:iCs w:val="0"/>
          <w:spacing w:val="6"/>
          <w:sz w:val="24"/>
          <w:highlight w:val="none"/>
        </w:rPr>
      </w:pPr>
      <w:r>
        <w:rPr>
          <w:rFonts w:hint="eastAsia" w:ascii="宋体" w:hAnsi="宋体" w:eastAsia="宋体" w:cs="宋体"/>
          <w:b/>
          <w:i w:val="0"/>
          <w:iCs w:val="0"/>
          <w:spacing w:val="6"/>
          <w:sz w:val="24"/>
          <w:highlight w:val="none"/>
        </w:rPr>
        <w:t>本单位对上述声明的真实性负责。如有虚假，将依法承担相应责任。</w:t>
      </w:r>
    </w:p>
    <w:p w14:paraId="25B0C5A4">
      <w:pPr>
        <w:pageBreakBefore w:val="0"/>
        <w:wordWrap w:val="0"/>
        <w:topLinePunct w:val="0"/>
        <w:bidi w:val="0"/>
        <w:spacing w:after="0" w:line="360" w:lineRule="auto"/>
        <w:ind w:firstLine="504" w:firstLineChars="200"/>
        <w:textAlignment w:val="auto"/>
        <w:rPr>
          <w:rFonts w:hint="eastAsia" w:ascii="宋体" w:hAnsi="宋体" w:eastAsia="宋体" w:cs="宋体"/>
          <w:i w:val="0"/>
          <w:iCs w:val="0"/>
          <w:spacing w:val="6"/>
          <w:sz w:val="24"/>
          <w:highlight w:val="none"/>
        </w:rPr>
      </w:pPr>
    </w:p>
    <w:p w14:paraId="2FEE854B">
      <w:pPr>
        <w:pageBreakBefore w:val="0"/>
        <w:wordWrap w:val="0"/>
        <w:topLinePunct w:val="0"/>
        <w:bidi w:val="0"/>
        <w:spacing w:after="0" w:line="360" w:lineRule="auto"/>
        <w:ind w:firstLine="504" w:firstLineChars="200"/>
        <w:textAlignment w:val="auto"/>
        <w:rPr>
          <w:rFonts w:hint="eastAsia" w:ascii="宋体" w:hAnsi="宋体" w:eastAsia="宋体" w:cs="宋体"/>
          <w:i w:val="0"/>
          <w:iCs w:val="0"/>
          <w:spacing w:val="6"/>
          <w:sz w:val="24"/>
          <w:highlight w:val="none"/>
        </w:rPr>
      </w:pPr>
    </w:p>
    <w:p w14:paraId="6FA2F5EA">
      <w:pPr>
        <w:pageBreakBefore w:val="0"/>
        <w:wordWrap w:val="0"/>
        <w:topLinePunct w:val="0"/>
        <w:bidi w:val="0"/>
        <w:spacing w:after="0" w:line="360" w:lineRule="auto"/>
        <w:ind w:right="360" w:firstLine="5108" w:firstLineChars="2027"/>
        <w:jc w:val="both"/>
        <w:textAlignment w:val="auto"/>
        <w:rPr>
          <w:rFonts w:hint="eastAsia" w:ascii="宋体" w:hAnsi="宋体" w:eastAsia="宋体" w:cs="宋体"/>
          <w:i w:val="0"/>
          <w:iCs w:val="0"/>
          <w:color w:val="000000"/>
          <w:sz w:val="24"/>
          <w:highlight w:val="none"/>
          <w:u w:val="single"/>
          <w:lang w:val="zh-CN"/>
        </w:rPr>
      </w:pPr>
      <w:r>
        <w:rPr>
          <w:rFonts w:hint="eastAsia" w:ascii="宋体" w:hAnsi="宋体" w:cs="宋体"/>
          <w:i w:val="0"/>
          <w:iCs w:val="0"/>
          <w:spacing w:val="6"/>
          <w:sz w:val="24"/>
          <w:highlight w:val="none"/>
          <w:lang w:val="en-US" w:eastAsia="zh-CN"/>
        </w:rPr>
        <w:t>单位</w:t>
      </w:r>
      <w:r>
        <w:rPr>
          <w:rFonts w:hint="eastAsia" w:ascii="宋体" w:hAnsi="宋体" w:eastAsia="宋体" w:cs="宋体"/>
          <w:i w:val="0"/>
          <w:iCs w:val="0"/>
          <w:color w:val="000000"/>
          <w:sz w:val="24"/>
          <w:highlight w:val="none"/>
        </w:rPr>
        <w:t>名称（盖章）：</w:t>
      </w:r>
      <w:r>
        <w:rPr>
          <w:rFonts w:hint="eastAsia" w:ascii="宋体" w:hAnsi="宋体" w:eastAsia="宋体" w:cs="宋体"/>
          <w:i w:val="0"/>
          <w:iCs w:val="0"/>
          <w:color w:val="000000"/>
          <w:sz w:val="24"/>
          <w:highlight w:val="none"/>
          <w:u w:val="single"/>
          <w:lang w:val="zh-CN"/>
        </w:rPr>
        <w:t xml:space="preserve">           </w:t>
      </w:r>
    </w:p>
    <w:p w14:paraId="1E7290B0">
      <w:pPr>
        <w:pageBreakBefore w:val="0"/>
        <w:tabs>
          <w:tab w:val="left" w:pos="4860"/>
          <w:tab w:val="left" w:pos="9040"/>
          <w:tab w:val="left" w:pos="9460"/>
        </w:tabs>
        <w:wordWrap w:val="0"/>
        <w:topLinePunct w:val="0"/>
        <w:bidi w:val="0"/>
        <w:spacing w:after="0" w:line="360" w:lineRule="auto"/>
        <w:ind w:right="337" w:rightChars="0" w:firstLine="480" w:firstLineChars="200"/>
        <w:jc w:val="center"/>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color w:val="000000"/>
          <w:sz w:val="24"/>
          <w:highlight w:val="none"/>
          <w:lang w:val="en-US" w:eastAsia="zh-CN"/>
        </w:rPr>
        <w:t xml:space="preserve">                                     </w:t>
      </w:r>
      <w:r>
        <w:rPr>
          <w:rFonts w:hint="eastAsia" w:ascii="宋体" w:hAnsi="宋体" w:eastAsia="宋体" w:cs="宋体"/>
          <w:i w:val="0"/>
          <w:iCs w:val="0"/>
          <w:color w:val="000000"/>
          <w:sz w:val="24"/>
          <w:highlight w:val="none"/>
        </w:rPr>
        <w:t>日 期：</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p>
    <w:p w14:paraId="1E02F09B">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p w14:paraId="1DCF81F5">
      <w:pPr>
        <w:pageBreakBefore w:val="0"/>
        <w:wordWrap w:val="0"/>
        <w:topLinePunct w:val="0"/>
        <w:bidi w:val="0"/>
        <w:spacing w:after="0" w:line="360" w:lineRule="auto"/>
        <w:textAlignment w:val="auto"/>
        <w:outlineLvl w:val="3"/>
        <w:rPr>
          <w:rFonts w:hint="eastAsia" w:ascii="宋体" w:hAnsi="宋体" w:eastAsia="宋体" w:cs="宋体"/>
          <w:i w:val="0"/>
          <w:iCs w:val="0"/>
          <w:color w:val="000000"/>
          <w:sz w:val="24"/>
          <w:szCs w:val="20"/>
          <w:highlight w:val="none"/>
        </w:rPr>
        <w:sectPr>
          <w:pgSz w:w="11905" w:h="16838"/>
          <w:pgMar w:top="1474" w:right="1474" w:bottom="1474" w:left="1474" w:header="851" w:footer="992" w:gutter="0"/>
          <w:pgNumType w:fmt="decimal"/>
          <w:cols w:space="720" w:num="1"/>
          <w:rtlGutter w:val="0"/>
          <w:docGrid w:linePitch="462" w:charSpace="0"/>
        </w:sectPr>
      </w:pPr>
    </w:p>
    <w:p w14:paraId="7784FEBD">
      <w:pPr>
        <w:pageBreakBefore w:val="0"/>
        <w:wordWrap w:val="0"/>
        <w:topLinePunct w:val="0"/>
        <w:bidi w:val="0"/>
        <w:spacing w:after="0" w:line="360" w:lineRule="auto"/>
        <w:textAlignment w:val="auto"/>
        <w:outlineLvl w:val="3"/>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2-1-</w:t>
      </w:r>
      <w:r>
        <w:rPr>
          <w:rFonts w:hint="eastAsia" w:ascii="宋体" w:hAnsi="宋体" w:cs="宋体"/>
          <w:i w:val="0"/>
          <w:iCs w:val="0"/>
          <w:color w:val="000000"/>
          <w:sz w:val="24"/>
          <w:szCs w:val="20"/>
          <w:highlight w:val="none"/>
          <w:lang w:val="en-US" w:eastAsia="zh-CN"/>
        </w:rPr>
        <w:t>2</w:t>
      </w:r>
      <w:r>
        <w:rPr>
          <w:rFonts w:hint="eastAsia" w:ascii="宋体" w:hAnsi="宋体" w:eastAsia="宋体" w:cs="宋体"/>
          <w:i w:val="0"/>
          <w:iCs w:val="0"/>
          <w:color w:val="000000"/>
          <w:sz w:val="24"/>
          <w:szCs w:val="20"/>
          <w:highlight w:val="none"/>
        </w:rPr>
        <w:t>拟分包情况说明及分包意向协议</w:t>
      </w:r>
    </w:p>
    <w:p w14:paraId="5921B385">
      <w:pPr>
        <w:pageBreakBefore w:val="0"/>
        <w:wordWrap w:val="0"/>
        <w:topLinePunct w:val="0"/>
        <w:bidi w:val="0"/>
        <w:spacing w:after="0" w:line="360" w:lineRule="auto"/>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说明：</w:t>
      </w:r>
    </w:p>
    <w:p w14:paraId="0113AA73">
      <w:pPr>
        <w:pageBreakBefore w:val="0"/>
        <w:wordWrap w:val="0"/>
        <w:topLinePunct w:val="0"/>
        <w:bidi w:val="0"/>
        <w:spacing w:after="0" w:line="360" w:lineRule="auto"/>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如本项目（包）允许分包，且供应商拟进行分包时，</w:t>
      </w:r>
    </w:p>
    <w:p w14:paraId="074A4B38">
      <w:pPr>
        <w:pageBreakBefore w:val="0"/>
        <w:wordWrap w:val="0"/>
        <w:topLinePunct w:val="0"/>
        <w:bidi w:val="0"/>
        <w:spacing w:after="0" w:line="360" w:lineRule="auto"/>
        <w:ind w:firstLine="420" w:firstLineChars="0"/>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（1）响应文件中须</w:t>
      </w:r>
      <w:r>
        <w:rPr>
          <w:rFonts w:hint="eastAsia" w:ascii="宋体" w:hAnsi="宋体" w:eastAsia="宋体" w:cs="宋体"/>
          <w:i w:val="0"/>
          <w:iCs w:val="0"/>
          <w:spacing w:val="6"/>
          <w:sz w:val="24"/>
          <w:highlight w:val="none"/>
          <w:lang w:eastAsia="zh-CN"/>
        </w:rPr>
        <w:t>提</w:t>
      </w:r>
      <w:r>
        <w:rPr>
          <w:rFonts w:hint="eastAsia" w:ascii="宋体" w:hAnsi="宋体" w:eastAsia="宋体" w:cs="宋体"/>
          <w:i w:val="0"/>
          <w:iCs w:val="0"/>
          <w:spacing w:val="6"/>
          <w:sz w:val="24"/>
          <w:highlight w:val="none"/>
        </w:rPr>
        <w:t xml:space="preserve">供《拟分包情况说明》，否则响应无效； </w:t>
      </w:r>
    </w:p>
    <w:p w14:paraId="477FC3D5">
      <w:pPr>
        <w:pageBreakBefore w:val="0"/>
        <w:wordWrap w:val="0"/>
        <w:topLinePunct w:val="0"/>
        <w:bidi w:val="0"/>
        <w:spacing w:after="0" w:line="360" w:lineRule="auto"/>
        <w:ind w:firstLine="420" w:firstLineChars="0"/>
        <w:textAlignment w:val="auto"/>
        <w:rPr>
          <w:rFonts w:hint="eastAsia" w:ascii="宋体" w:hAnsi="宋体" w:cs="宋体"/>
          <w:i w:val="0"/>
          <w:iCs w:val="0"/>
          <w:spacing w:val="6"/>
          <w:sz w:val="24"/>
          <w:highlight w:val="none"/>
          <w:lang w:val="en-US" w:eastAsia="zh-CN"/>
        </w:rPr>
      </w:pPr>
      <w:r>
        <w:rPr>
          <w:rFonts w:hint="eastAsia" w:ascii="宋体" w:hAnsi="宋体" w:eastAsia="宋体" w:cs="宋体"/>
          <w:i w:val="0"/>
          <w:iCs w:val="0"/>
          <w:spacing w:val="6"/>
          <w:sz w:val="24"/>
          <w:highlight w:val="none"/>
        </w:rPr>
        <w:t>（2）当同时符合下列情形时，响应文件还须</w:t>
      </w:r>
      <w:r>
        <w:rPr>
          <w:rFonts w:hint="eastAsia" w:ascii="宋体" w:hAnsi="宋体" w:eastAsia="宋体" w:cs="宋体"/>
          <w:i w:val="0"/>
          <w:iCs w:val="0"/>
          <w:spacing w:val="6"/>
          <w:sz w:val="24"/>
          <w:highlight w:val="none"/>
          <w:lang w:eastAsia="zh-CN"/>
        </w:rPr>
        <w:t>提</w:t>
      </w:r>
      <w:r>
        <w:rPr>
          <w:rFonts w:hint="eastAsia" w:ascii="宋体" w:hAnsi="宋体" w:eastAsia="宋体" w:cs="宋体"/>
          <w:i w:val="0"/>
          <w:iCs w:val="0"/>
          <w:spacing w:val="6"/>
          <w:sz w:val="24"/>
          <w:highlight w:val="none"/>
        </w:rPr>
        <w:t xml:space="preserve">供《分包意向协议》，否则响应无效： </w:t>
      </w:r>
      <w:r>
        <w:rPr>
          <w:rFonts w:hint="eastAsia" w:ascii="宋体" w:hAnsi="宋体" w:cs="宋体"/>
          <w:i w:val="0"/>
          <w:iCs w:val="0"/>
          <w:spacing w:val="6"/>
          <w:sz w:val="24"/>
          <w:highlight w:val="none"/>
          <w:lang w:val="en-US" w:eastAsia="zh-CN"/>
        </w:rPr>
        <w:tab/>
      </w:r>
    </w:p>
    <w:p w14:paraId="54D2B72C">
      <w:pPr>
        <w:pageBreakBefore w:val="0"/>
        <w:wordWrap w:val="0"/>
        <w:topLinePunct w:val="0"/>
        <w:bidi w:val="0"/>
        <w:spacing w:after="0" w:line="360" w:lineRule="auto"/>
        <w:ind w:left="420" w:leftChars="0" w:firstLine="420" w:firstLineChars="0"/>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A.本项目（包）预留部分采购项目预算专门面向中小企业采购，且要求获得采购合同的供应商将采购项目中的一定比例分包给一家或者多家中小企业的；</w:t>
      </w:r>
    </w:p>
    <w:p w14:paraId="1FB35794">
      <w:pPr>
        <w:pageBreakBefore w:val="0"/>
        <w:wordWrap w:val="0"/>
        <w:topLinePunct w:val="0"/>
        <w:bidi w:val="0"/>
        <w:spacing w:after="0" w:line="360" w:lineRule="auto"/>
        <w:ind w:left="420" w:leftChars="0" w:firstLine="420" w:firstLineChars="0"/>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B.供应商通过分包方式满足中小企业政策要求的。</w:t>
      </w:r>
    </w:p>
    <w:p w14:paraId="623F7B45">
      <w:pPr>
        <w:pageBreakBefore w:val="0"/>
        <w:wordWrap w:val="0"/>
        <w:topLinePunct w:val="0"/>
        <w:autoSpaceDE w:val="0"/>
        <w:autoSpaceDN w:val="0"/>
        <w:bidi w:val="0"/>
        <w:adjustRightInd w:val="0"/>
        <w:spacing w:after="0" w:line="360" w:lineRule="auto"/>
        <w:jc w:val="center"/>
        <w:textAlignment w:val="auto"/>
        <w:rPr>
          <w:rFonts w:hint="eastAsia" w:ascii="宋体" w:hAnsi="宋体" w:eastAsia="宋体" w:cs="宋体"/>
          <w:b/>
          <w:i w:val="0"/>
          <w:iCs w:val="0"/>
          <w:color w:val="000000"/>
          <w:sz w:val="28"/>
          <w:szCs w:val="28"/>
          <w:highlight w:val="none"/>
        </w:rPr>
      </w:pPr>
    </w:p>
    <w:p w14:paraId="20F7384C">
      <w:pPr>
        <w:pageBreakBefore w:val="0"/>
        <w:wordWrap w:val="0"/>
        <w:topLinePunct w:val="0"/>
        <w:autoSpaceDE w:val="0"/>
        <w:autoSpaceDN w:val="0"/>
        <w:bidi w:val="0"/>
        <w:adjustRightInd w:val="0"/>
        <w:spacing w:after="0" w:line="360" w:lineRule="auto"/>
        <w:jc w:val="center"/>
        <w:textAlignment w:val="auto"/>
        <w:rPr>
          <w:rFonts w:hint="eastAsia" w:ascii="宋体" w:hAnsi="宋体" w:eastAsia="宋体" w:cs="宋体"/>
          <w:b/>
          <w:i w:val="0"/>
          <w:iCs w:val="0"/>
          <w:color w:val="000000"/>
          <w:sz w:val="28"/>
          <w:szCs w:val="28"/>
          <w:highlight w:val="none"/>
        </w:rPr>
        <w:sectPr>
          <w:pgSz w:w="11905" w:h="16838"/>
          <w:pgMar w:top="1474" w:right="1474" w:bottom="1474" w:left="1474" w:header="851" w:footer="992" w:gutter="0"/>
          <w:pgNumType w:fmt="decimal"/>
          <w:cols w:space="720" w:num="1"/>
          <w:rtlGutter w:val="0"/>
          <w:docGrid w:linePitch="462" w:charSpace="0"/>
        </w:sectPr>
      </w:pPr>
    </w:p>
    <w:p w14:paraId="57B74501">
      <w:pPr>
        <w:pageBreakBefore w:val="0"/>
        <w:wordWrap w:val="0"/>
        <w:topLinePunct w:val="0"/>
        <w:autoSpaceDE w:val="0"/>
        <w:autoSpaceDN w:val="0"/>
        <w:bidi w:val="0"/>
        <w:adjustRightInd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拟分包情况说明</w:t>
      </w:r>
    </w:p>
    <w:p w14:paraId="0DD7678C">
      <w:pPr>
        <w:pageBreakBefore w:val="0"/>
        <w:tabs>
          <w:tab w:val="left" w:pos="5580"/>
        </w:tabs>
        <w:wordWrap w:val="0"/>
        <w:topLinePunct w:val="0"/>
        <w:bidi w:val="0"/>
        <w:spacing w:after="0" w:line="360" w:lineRule="auto"/>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致：</w:t>
      </w:r>
      <w:r>
        <w:rPr>
          <w:rFonts w:hint="eastAsia" w:ascii="宋体" w:hAnsi="宋体" w:eastAsia="宋体" w:cs="宋体"/>
          <w:i w:val="0"/>
          <w:iCs w:val="0"/>
          <w:color w:val="000000"/>
          <w:sz w:val="24"/>
          <w:highlight w:val="none"/>
          <w:u w:val="single"/>
        </w:rPr>
        <w:t>（采购人或采购代理机构）</w:t>
      </w:r>
    </w:p>
    <w:p w14:paraId="23F7D9ED">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我单位参加贵单位组织采购的项目编号为</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sz w:val="24"/>
          <w:highlight w:val="none"/>
        </w:rPr>
        <w:t>的</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sz w:val="24"/>
          <w:highlight w:val="none"/>
        </w:rPr>
        <w:t>项目（填写采购项目名称）中</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sz w:val="24"/>
          <w:highlight w:val="none"/>
        </w:rPr>
        <w:t>包（填写包号）的磋商。拟签订分包合同的单位情况如下表所示，我单位承诺一旦在该项目中获得采购合同将按下表所列情况进行分包，同时承诺分包承担主体不再次分包。</w:t>
      </w:r>
    </w:p>
    <w:tbl>
      <w:tblPr>
        <w:tblStyle w:val="247"/>
        <w:tblW w:w="90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7"/>
        <w:gridCol w:w="1286"/>
        <w:gridCol w:w="1512"/>
        <w:gridCol w:w="1125"/>
        <w:gridCol w:w="1560"/>
        <w:gridCol w:w="1497"/>
        <w:gridCol w:w="1563"/>
      </w:tblGrid>
      <w:tr w14:paraId="3D00C1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7" w:type="dxa"/>
            <w:tcBorders>
              <w:top w:val="single" w:color="000000" w:sz="4" w:space="0"/>
              <w:left w:val="single" w:color="000000" w:sz="4" w:space="0"/>
              <w:bottom w:val="single" w:color="000000" w:sz="4" w:space="0"/>
              <w:right w:val="single" w:color="000000" w:sz="4" w:space="0"/>
            </w:tcBorders>
            <w:noWrap w:val="0"/>
            <w:vAlign w:val="center"/>
          </w:tcPr>
          <w:p w14:paraId="2AF4D05F">
            <w:pPr>
              <w:pStyle w:val="246"/>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序号</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14:paraId="6F748F44">
            <w:pPr>
              <w:pStyle w:val="246"/>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分包承担</w:t>
            </w:r>
          </w:p>
          <w:p w14:paraId="105E5D3F">
            <w:pPr>
              <w:pStyle w:val="246"/>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主体名称</w:t>
            </w:r>
          </w:p>
        </w:tc>
        <w:tc>
          <w:tcPr>
            <w:tcW w:w="1512" w:type="dxa"/>
            <w:tcBorders>
              <w:top w:val="single" w:color="000000" w:sz="4" w:space="0"/>
              <w:left w:val="single" w:color="000000" w:sz="4" w:space="0"/>
              <w:bottom w:val="single" w:color="000000" w:sz="4" w:space="0"/>
              <w:right w:val="single" w:color="000000" w:sz="4" w:space="0"/>
            </w:tcBorders>
            <w:noWrap w:val="0"/>
            <w:vAlign w:val="center"/>
          </w:tcPr>
          <w:p w14:paraId="009F36A0">
            <w:pPr>
              <w:pStyle w:val="246"/>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分包承担</w:t>
            </w:r>
          </w:p>
          <w:p w14:paraId="2CB7CC04">
            <w:pPr>
              <w:pStyle w:val="246"/>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主体类型</w:t>
            </w:r>
          </w:p>
          <w:p w14:paraId="11C80EC2">
            <w:pPr>
              <w:pStyle w:val="246"/>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选择</w:t>
            </w:r>
            <w:r>
              <w:rPr>
                <w:rFonts w:hint="eastAsia" w:ascii="宋体" w:hAnsi="宋体" w:eastAsia="宋体" w:cs="宋体"/>
                <w:i w:val="0"/>
                <w:iCs w:val="0"/>
                <w:sz w:val="24"/>
                <w:highlight w:val="none"/>
                <w:lang w:eastAsia="zh-CN"/>
              </w:rPr>
              <w:t>）</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0C18C346">
            <w:pPr>
              <w:pStyle w:val="246"/>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资质等级</w:t>
            </w: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3E721C9A">
            <w:pPr>
              <w:pStyle w:val="246"/>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拟分包</w:t>
            </w:r>
          </w:p>
          <w:p w14:paraId="2555F610">
            <w:pPr>
              <w:pStyle w:val="246"/>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合同内容</w:t>
            </w:r>
          </w:p>
        </w:tc>
        <w:tc>
          <w:tcPr>
            <w:tcW w:w="1497" w:type="dxa"/>
            <w:tcBorders>
              <w:top w:val="single" w:color="000000" w:sz="4" w:space="0"/>
              <w:left w:val="single" w:color="000000" w:sz="4" w:space="0"/>
              <w:bottom w:val="single" w:color="000000" w:sz="4" w:space="0"/>
              <w:right w:val="single" w:color="000000" w:sz="4" w:space="0"/>
            </w:tcBorders>
            <w:noWrap w:val="0"/>
            <w:vAlign w:val="center"/>
          </w:tcPr>
          <w:p w14:paraId="46519059">
            <w:pPr>
              <w:pStyle w:val="246"/>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拟分包</w:t>
            </w:r>
          </w:p>
          <w:p w14:paraId="6493E9E0">
            <w:pPr>
              <w:pStyle w:val="246"/>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合同金额</w:t>
            </w:r>
          </w:p>
          <w:p w14:paraId="36B20D70">
            <w:pPr>
              <w:pStyle w:val="246"/>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（人民币元）</w:t>
            </w:r>
          </w:p>
        </w:tc>
        <w:tc>
          <w:tcPr>
            <w:tcW w:w="1563" w:type="dxa"/>
            <w:tcBorders>
              <w:top w:val="single" w:color="000000" w:sz="4" w:space="0"/>
              <w:left w:val="single" w:color="000000" w:sz="4" w:space="0"/>
              <w:bottom w:val="single" w:color="000000" w:sz="4" w:space="0"/>
              <w:right w:val="single" w:color="000000" w:sz="4" w:space="0"/>
            </w:tcBorders>
            <w:noWrap w:val="0"/>
            <w:vAlign w:val="center"/>
          </w:tcPr>
          <w:p w14:paraId="7EB99E10">
            <w:pPr>
              <w:pStyle w:val="246"/>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占该采购包</w:t>
            </w:r>
          </w:p>
          <w:p w14:paraId="5E9531A6">
            <w:pPr>
              <w:pStyle w:val="246"/>
              <w:pageBreakBefore w:val="0"/>
              <w:wordWrap w:val="0"/>
              <w:topLinePunct w:val="0"/>
              <w:bidi w:val="0"/>
              <w:spacing w:after="0" w:line="360" w:lineRule="auto"/>
              <w:jc w:val="center"/>
              <w:textAlignment w:val="auto"/>
              <w:rPr>
                <w:rFonts w:hint="eastAsia" w:ascii="宋体" w:hAnsi="宋体" w:eastAsia="宋体" w:cs="宋体"/>
                <w:b/>
                <w:i w:val="0"/>
                <w:iCs w:val="0"/>
                <w:sz w:val="24"/>
                <w:highlight w:val="none"/>
                <w:lang w:eastAsia="zh-CN"/>
              </w:rPr>
            </w:pPr>
            <w:r>
              <w:rPr>
                <w:rFonts w:hint="eastAsia" w:ascii="宋体" w:hAnsi="宋体" w:eastAsia="宋体" w:cs="宋体"/>
                <w:b/>
                <w:i w:val="0"/>
                <w:iCs w:val="0"/>
                <w:sz w:val="24"/>
                <w:highlight w:val="none"/>
                <w:lang w:val="en-US" w:eastAsia="zh-CN"/>
              </w:rPr>
              <w:t>合同</w:t>
            </w:r>
            <w:r>
              <w:rPr>
                <w:rFonts w:hint="eastAsia" w:ascii="宋体" w:hAnsi="宋体" w:eastAsia="宋体" w:cs="宋体"/>
                <w:b/>
                <w:i w:val="0"/>
                <w:iCs w:val="0"/>
                <w:sz w:val="24"/>
                <w:highlight w:val="none"/>
                <w:lang w:eastAsia="zh-CN"/>
              </w:rPr>
              <w:t>金额的</w:t>
            </w:r>
          </w:p>
          <w:p w14:paraId="5B060D44">
            <w:pPr>
              <w:pStyle w:val="246"/>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比例（%）</w:t>
            </w:r>
          </w:p>
        </w:tc>
      </w:tr>
      <w:tr w14:paraId="2AEEC5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7" w:type="dxa"/>
            <w:tcBorders>
              <w:top w:val="single" w:color="000000" w:sz="4" w:space="0"/>
              <w:left w:val="single" w:color="000000" w:sz="4" w:space="0"/>
              <w:bottom w:val="single" w:color="000000" w:sz="4" w:space="0"/>
              <w:right w:val="single" w:color="000000" w:sz="4" w:space="0"/>
            </w:tcBorders>
            <w:noWrap w:val="0"/>
            <w:vAlign w:val="center"/>
          </w:tcPr>
          <w:p w14:paraId="5D5FDB2E">
            <w:pPr>
              <w:pStyle w:val="246"/>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14:paraId="073794BD">
            <w:pPr>
              <w:pStyle w:val="246"/>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12" w:type="dxa"/>
            <w:tcBorders>
              <w:top w:val="single" w:color="000000" w:sz="4" w:space="0"/>
              <w:left w:val="single" w:color="000000" w:sz="4" w:space="0"/>
              <w:bottom w:val="single" w:color="000000" w:sz="4" w:space="0"/>
              <w:right w:val="single" w:color="000000" w:sz="4" w:space="0"/>
            </w:tcBorders>
            <w:noWrap w:val="0"/>
            <w:vAlign w:val="center"/>
          </w:tcPr>
          <w:p w14:paraId="100CB5FA">
            <w:pPr>
              <w:pStyle w:val="246"/>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□中型企业</w:t>
            </w:r>
          </w:p>
          <w:p w14:paraId="69C2F112">
            <w:pPr>
              <w:pStyle w:val="246"/>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□小微企业</w:t>
            </w:r>
          </w:p>
          <w:p w14:paraId="2907BCAC">
            <w:pPr>
              <w:pStyle w:val="246"/>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其他</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34BC6BEC">
            <w:pPr>
              <w:pStyle w:val="246"/>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40FD4761">
            <w:pPr>
              <w:pStyle w:val="246"/>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497" w:type="dxa"/>
            <w:tcBorders>
              <w:top w:val="single" w:color="000000" w:sz="4" w:space="0"/>
              <w:left w:val="single" w:color="000000" w:sz="4" w:space="0"/>
              <w:bottom w:val="single" w:color="000000" w:sz="4" w:space="0"/>
              <w:right w:val="single" w:color="000000" w:sz="4" w:space="0"/>
            </w:tcBorders>
            <w:noWrap w:val="0"/>
            <w:vAlign w:val="center"/>
          </w:tcPr>
          <w:p w14:paraId="762C7E67">
            <w:pPr>
              <w:pStyle w:val="246"/>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563" w:type="dxa"/>
            <w:tcBorders>
              <w:top w:val="single" w:color="000000" w:sz="4" w:space="0"/>
              <w:left w:val="single" w:color="000000" w:sz="4" w:space="0"/>
              <w:bottom w:val="single" w:color="000000" w:sz="4" w:space="0"/>
              <w:right w:val="single" w:color="000000" w:sz="4" w:space="0"/>
            </w:tcBorders>
            <w:noWrap w:val="0"/>
            <w:vAlign w:val="center"/>
          </w:tcPr>
          <w:p w14:paraId="539EAF4D">
            <w:pPr>
              <w:pStyle w:val="246"/>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r>
      <w:tr w14:paraId="2B101A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7" w:type="dxa"/>
            <w:tcBorders>
              <w:top w:val="single" w:color="000000" w:sz="4" w:space="0"/>
              <w:left w:val="single" w:color="000000" w:sz="4" w:space="0"/>
              <w:bottom w:val="single" w:color="000000" w:sz="4" w:space="0"/>
              <w:right w:val="single" w:color="000000" w:sz="4" w:space="0"/>
            </w:tcBorders>
            <w:noWrap w:val="0"/>
            <w:vAlign w:val="center"/>
          </w:tcPr>
          <w:p w14:paraId="45B58ADA">
            <w:pPr>
              <w:pStyle w:val="246"/>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2</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14:paraId="3B0DA39B">
            <w:pPr>
              <w:pStyle w:val="246"/>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12" w:type="dxa"/>
            <w:tcBorders>
              <w:top w:val="single" w:color="000000" w:sz="4" w:space="0"/>
              <w:left w:val="single" w:color="000000" w:sz="4" w:space="0"/>
              <w:bottom w:val="single" w:color="000000" w:sz="4" w:space="0"/>
              <w:right w:val="single" w:color="000000" w:sz="4" w:space="0"/>
            </w:tcBorders>
            <w:noWrap w:val="0"/>
            <w:vAlign w:val="center"/>
          </w:tcPr>
          <w:p w14:paraId="40993303">
            <w:pPr>
              <w:pStyle w:val="246"/>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□中型企业</w:t>
            </w:r>
          </w:p>
          <w:p w14:paraId="02594BDC">
            <w:pPr>
              <w:pStyle w:val="246"/>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□小微企业</w:t>
            </w:r>
          </w:p>
          <w:p w14:paraId="62635573">
            <w:pPr>
              <w:pStyle w:val="246"/>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kern w:val="0"/>
                <w:sz w:val="24"/>
                <w:szCs w:val="22"/>
                <w:highlight w:val="none"/>
                <w:lang w:val="en-US" w:eastAsia="zh-CN" w:bidi="ar-SA"/>
              </w:rPr>
            </w:pP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其他</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186B48BC">
            <w:pPr>
              <w:pStyle w:val="246"/>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1E4F5EBB">
            <w:pPr>
              <w:pStyle w:val="246"/>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497" w:type="dxa"/>
            <w:tcBorders>
              <w:top w:val="single" w:color="000000" w:sz="4" w:space="0"/>
              <w:left w:val="single" w:color="000000" w:sz="4" w:space="0"/>
              <w:bottom w:val="single" w:color="000000" w:sz="4" w:space="0"/>
              <w:right w:val="single" w:color="000000" w:sz="4" w:space="0"/>
            </w:tcBorders>
            <w:noWrap w:val="0"/>
            <w:vAlign w:val="center"/>
          </w:tcPr>
          <w:p w14:paraId="2220C3D2">
            <w:pPr>
              <w:pStyle w:val="246"/>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563" w:type="dxa"/>
            <w:tcBorders>
              <w:top w:val="single" w:color="000000" w:sz="4" w:space="0"/>
              <w:left w:val="single" w:color="000000" w:sz="4" w:space="0"/>
              <w:bottom w:val="single" w:color="000000" w:sz="4" w:space="0"/>
              <w:right w:val="single" w:color="000000" w:sz="4" w:space="0"/>
            </w:tcBorders>
            <w:noWrap w:val="0"/>
            <w:vAlign w:val="center"/>
          </w:tcPr>
          <w:p w14:paraId="7A410824">
            <w:pPr>
              <w:pStyle w:val="246"/>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r>
      <w:tr w14:paraId="70680A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7" w:type="dxa"/>
            <w:tcBorders>
              <w:top w:val="single" w:color="000000" w:sz="4" w:space="0"/>
              <w:left w:val="single" w:color="000000" w:sz="4" w:space="0"/>
              <w:bottom w:val="single" w:color="000000" w:sz="4" w:space="0"/>
              <w:right w:val="single" w:color="000000" w:sz="4" w:space="0"/>
            </w:tcBorders>
            <w:noWrap w:val="0"/>
            <w:vAlign w:val="center"/>
          </w:tcPr>
          <w:p w14:paraId="4552FAB3">
            <w:pPr>
              <w:pStyle w:val="246"/>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14:paraId="41B90368">
            <w:pPr>
              <w:pStyle w:val="246"/>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12" w:type="dxa"/>
            <w:tcBorders>
              <w:top w:val="single" w:color="000000" w:sz="4" w:space="0"/>
              <w:left w:val="single" w:color="000000" w:sz="4" w:space="0"/>
              <w:bottom w:val="single" w:color="000000" w:sz="4" w:space="0"/>
              <w:right w:val="single" w:color="000000" w:sz="4" w:space="0"/>
            </w:tcBorders>
            <w:noWrap w:val="0"/>
            <w:vAlign w:val="center"/>
          </w:tcPr>
          <w:p w14:paraId="37338B2F">
            <w:pPr>
              <w:pStyle w:val="246"/>
              <w:pageBreakBefore w:val="0"/>
              <w:tabs>
                <w:tab w:val="left" w:pos="235"/>
              </w:tabs>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2062E1E9">
            <w:pPr>
              <w:pStyle w:val="246"/>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3167D13E">
            <w:pPr>
              <w:pStyle w:val="246"/>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497" w:type="dxa"/>
            <w:tcBorders>
              <w:top w:val="single" w:color="000000" w:sz="4" w:space="0"/>
              <w:left w:val="single" w:color="000000" w:sz="4" w:space="0"/>
              <w:bottom w:val="single" w:color="000000" w:sz="4" w:space="0"/>
              <w:right w:val="single" w:color="000000" w:sz="4" w:space="0"/>
            </w:tcBorders>
            <w:noWrap w:val="0"/>
            <w:vAlign w:val="center"/>
          </w:tcPr>
          <w:p w14:paraId="2DA9330F">
            <w:pPr>
              <w:pStyle w:val="246"/>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63" w:type="dxa"/>
            <w:tcBorders>
              <w:top w:val="single" w:color="000000" w:sz="4" w:space="0"/>
              <w:left w:val="single" w:color="000000" w:sz="4" w:space="0"/>
              <w:bottom w:val="single" w:color="000000" w:sz="4" w:space="0"/>
              <w:right w:val="single" w:color="000000" w:sz="4" w:space="0"/>
            </w:tcBorders>
            <w:noWrap w:val="0"/>
            <w:vAlign w:val="center"/>
          </w:tcPr>
          <w:p w14:paraId="74E2A60E">
            <w:pPr>
              <w:pStyle w:val="246"/>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r>
      <w:tr w14:paraId="309D62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0" w:type="dxa"/>
            <w:gridSpan w:val="5"/>
            <w:tcBorders>
              <w:top w:val="single" w:color="000000" w:sz="4" w:space="0"/>
              <w:left w:val="single" w:color="000000" w:sz="4" w:space="0"/>
              <w:bottom w:val="single" w:color="000000" w:sz="4" w:space="0"/>
              <w:right w:val="single" w:color="000000" w:sz="4" w:space="0"/>
            </w:tcBorders>
            <w:noWrap w:val="0"/>
            <w:vAlign w:val="center"/>
          </w:tcPr>
          <w:p w14:paraId="2B0A9E27">
            <w:pPr>
              <w:pStyle w:val="246"/>
              <w:pageBreakBefore w:val="0"/>
              <w:wordWrap w:val="0"/>
              <w:topLinePunct w:val="0"/>
              <w:bidi w:val="0"/>
              <w:spacing w:after="0" w:line="360" w:lineRule="auto"/>
              <w:ind w:right="57" w:rightChars="27"/>
              <w:jc w:val="right"/>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合计：</w:t>
            </w:r>
          </w:p>
        </w:tc>
        <w:tc>
          <w:tcPr>
            <w:tcW w:w="1497" w:type="dxa"/>
            <w:tcBorders>
              <w:top w:val="single" w:color="000000" w:sz="4" w:space="0"/>
              <w:left w:val="single" w:color="000000" w:sz="4" w:space="0"/>
              <w:bottom w:val="single" w:color="000000" w:sz="4" w:space="0"/>
              <w:right w:val="single" w:color="000000" w:sz="4" w:space="0"/>
            </w:tcBorders>
            <w:noWrap w:val="0"/>
            <w:vAlign w:val="center"/>
          </w:tcPr>
          <w:p w14:paraId="0804AC85">
            <w:pPr>
              <w:pStyle w:val="246"/>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63" w:type="dxa"/>
            <w:tcBorders>
              <w:top w:val="single" w:color="000000" w:sz="4" w:space="0"/>
              <w:left w:val="single" w:color="000000" w:sz="4" w:space="0"/>
              <w:bottom w:val="single" w:color="000000" w:sz="4" w:space="0"/>
              <w:right w:val="single" w:color="000000" w:sz="4" w:space="0"/>
            </w:tcBorders>
            <w:noWrap w:val="0"/>
            <w:vAlign w:val="center"/>
          </w:tcPr>
          <w:p w14:paraId="11C2A57C">
            <w:pPr>
              <w:pStyle w:val="246"/>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r>
    </w:tbl>
    <w:p w14:paraId="25629283">
      <w:pPr>
        <w:pageBreakBefore w:val="0"/>
        <w:wordWrap w:val="0"/>
        <w:topLinePunct w:val="0"/>
        <w:autoSpaceDE w:val="0"/>
        <w:autoSpaceDN w:val="0"/>
        <w:bidi w:val="0"/>
        <w:adjustRightInd w:val="0"/>
        <w:snapToGrid w:val="0"/>
        <w:spacing w:before="25" w:after="0" w:line="360" w:lineRule="auto"/>
        <w:jc w:val="center"/>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lang w:val="en-US" w:eastAsia="zh-CN"/>
        </w:rPr>
        <w:t xml:space="preserve">                             </w:t>
      </w:r>
      <w:r>
        <w:rPr>
          <w:rFonts w:hint="eastAsia" w:ascii="宋体" w:hAnsi="宋体" w:eastAsia="宋体" w:cs="宋体"/>
          <w:i w:val="0"/>
          <w:iCs w:val="0"/>
          <w:color w:val="000000"/>
          <w:sz w:val="24"/>
          <w:highlight w:val="none"/>
        </w:rPr>
        <w:t>供应商名称（加盖公章）</w:t>
      </w:r>
      <w:r>
        <w:rPr>
          <w:rFonts w:hint="eastAsia" w:ascii="宋体" w:hAnsi="宋体" w:eastAsia="宋体" w:cs="宋体"/>
          <w:i w:val="0"/>
          <w:iCs w:val="0"/>
          <w:color w:val="000000"/>
          <w:sz w:val="24"/>
          <w:highlight w:val="none"/>
          <w:lang w:val="zh-CN"/>
        </w:rPr>
        <w:t>：</w:t>
      </w:r>
      <w:r>
        <w:rPr>
          <w:rFonts w:hint="eastAsia" w:ascii="宋体" w:hAnsi="宋体" w:eastAsia="宋体" w:cs="宋体"/>
          <w:i w:val="0"/>
          <w:iCs w:val="0"/>
          <w:color w:val="000000"/>
          <w:sz w:val="24"/>
          <w:highlight w:val="none"/>
          <w:u w:val="single"/>
          <w:lang w:val="zh-CN"/>
        </w:rPr>
        <w:t xml:space="preserve">           </w:t>
      </w:r>
    </w:p>
    <w:p w14:paraId="04F19BAB">
      <w:pPr>
        <w:pageBreakBefore w:val="0"/>
        <w:wordWrap w:val="0"/>
        <w:topLinePunct w:val="0"/>
        <w:bidi w:val="0"/>
        <w:spacing w:after="0" w:line="360" w:lineRule="auto"/>
        <w:ind w:right="-57" w:firstLine="480"/>
        <w:jc w:val="righ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日</w:t>
      </w:r>
    </w:p>
    <w:p w14:paraId="681B487D">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说明：</w:t>
      </w:r>
    </w:p>
    <w:p w14:paraId="1736289E">
      <w:pPr>
        <w:pageBreakBefore w:val="0"/>
        <w:wordWrap w:val="0"/>
        <w:topLinePunct w:val="0"/>
        <w:bidi w:val="0"/>
        <w:adjustRightInd w:val="0"/>
        <w:snapToGrid w:val="0"/>
        <w:spacing w:after="0" w:line="360" w:lineRule="auto"/>
        <w:ind w:firstLine="420" w:firstLineChars="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（1）当供应商属于本部分说明中第（1）类情形，如未</w:t>
      </w:r>
      <w:r>
        <w:rPr>
          <w:rFonts w:hint="eastAsia" w:ascii="宋体" w:hAnsi="宋体" w:eastAsia="宋体" w:cs="宋体"/>
          <w:i w:val="0"/>
          <w:iCs w:val="0"/>
          <w:sz w:val="24"/>
          <w:highlight w:val="none"/>
          <w:lang w:eastAsia="zh-CN"/>
        </w:rPr>
        <w:t>提</w:t>
      </w:r>
      <w:r>
        <w:rPr>
          <w:rFonts w:hint="eastAsia" w:ascii="宋体" w:hAnsi="宋体" w:eastAsia="宋体" w:cs="宋体"/>
          <w:i w:val="0"/>
          <w:iCs w:val="0"/>
          <w:sz w:val="24"/>
          <w:highlight w:val="none"/>
        </w:rPr>
        <w:t>供《拟分包情况说明》，或</w:t>
      </w:r>
      <w:r>
        <w:rPr>
          <w:rFonts w:hint="eastAsia" w:ascii="宋体" w:hAnsi="宋体" w:eastAsia="宋体" w:cs="宋体"/>
          <w:i w:val="0"/>
          <w:iCs w:val="0"/>
          <w:sz w:val="24"/>
          <w:highlight w:val="none"/>
          <w:lang w:eastAsia="zh-CN"/>
        </w:rPr>
        <w:t>提</w:t>
      </w:r>
      <w:r>
        <w:rPr>
          <w:rFonts w:hint="eastAsia" w:ascii="宋体" w:hAnsi="宋体" w:eastAsia="宋体" w:cs="宋体"/>
          <w:i w:val="0"/>
          <w:iCs w:val="0"/>
          <w:sz w:val="24"/>
          <w:highlight w:val="none"/>
        </w:rPr>
        <w:t>供了《拟分包情况说明》但未填写分包承担主体名称、拟分包合同内容、拟分包合同金额，其</w:t>
      </w:r>
      <w:r>
        <w:rPr>
          <w:rFonts w:hint="eastAsia" w:ascii="宋体" w:hAnsi="宋体" w:eastAsia="宋体" w:cs="宋体"/>
          <w:b/>
          <w:bCs/>
          <w:i w:val="0"/>
          <w:iCs w:val="0"/>
          <w:sz w:val="24"/>
          <w:highlight w:val="none"/>
        </w:rPr>
        <w:t>响应无效</w:t>
      </w:r>
      <w:r>
        <w:rPr>
          <w:rFonts w:hint="eastAsia" w:ascii="宋体" w:hAnsi="宋体" w:eastAsia="宋体" w:cs="宋体"/>
          <w:i w:val="0"/>
          <w:iCs w:val="0"/>
          <w:sz w:val="24"/>
          <w:highlight w:val="none"/>
        </w:rPr>
        <w:t>；</w:t>
      </w:r>
    </w:p>
    <w:p w14:paraId="51B3D50E">
      <w:pPr>
        <w:pageBreakBefore w:val="0"/>
        <w:wordWrap w:val="0"/>
        <w:topLinePunct w:val="0"/>
        <w:bidi w:val="0"/>
        <w:adjustRightInd w:val="0"/>
        <w:snapToGrid w:val="0"/>
        <w:spacing w:after="0" w:line="360" w:lineRule="auto"/>
        <w:ind w:firstLine="420" w:firstLineChars="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（2）当供应商属于本部分说明中第（2）类情形，如未</w:t>
      </w:r>
      <w:r>
        <w:rPr>
          <w:rFonts w:hint="eastAsia" w:ascii="宋体" w:hAnsi="宋体" w:eastAsia="宋体" w:cs="宋体"/>
          <w:i w:val="0"/>
          <w:iCs w:val="0"/>
          <w:sz w:val="24"/>
          <w:highlight w:val="none"/>
          <w:lang w:eastAsia="zh-CN"/>
        </w:rPr>
        <w:t>提</w:t>
      </w:r>
      <w:r>
        <w:rPr>
          <w:rFonts w:hint="eastAsia" w:ascii="宋体" w:hAnsi="宋体" w:eastAsia="宋体" w:cs="宋体"/>
          <w:i w:val="0"/>
          <w:iCs w:val="0"/>
          <w:sz w:val="24"/>
          <w:highlight w:val="none"/>
        </w:rPr>
        <w:t>供《拟分包情况说明》，或</w:t>
      </w:r>
      <w:r>
        <w:rPr>
          <w:rFonts w:hint="eastAsia" w:ascii="宋体" w:hAnsi="宋体" w:eastAsia="宋体" w:cs="宋体"/>
          <w:i w:val="0"/>
          <w:iCs w:val="0"/>
          <w:sz w:val="24"/>
          <w:highlight w:val="none"/>
          <w:lang w:eastAsia="zh-CN"/>
        </w:rPr>
        <w:t>提</w:t>
      </w:r>
      <w:r>
        <w:rPr>
          <w:rFonts w:hint="eastAsia" w:ascii="宋体" w:hAnsi="宋体" w:eastAsia="宋体" w:cs="宋体"/>
          <w:i w:val="0"/>
          <w:iCs w:val="0"/>
          <w:sz w:val="24"/>
          <w:highlight w:val="none"/>
        </w:rPr>
        <w:t>供了《拟分包情况说明》但未填写分包承担主体名称、分包承担主体类型、拟分包合同内容、拟分包合同金额，其</w:t>
      </w:r>
      <w:r>
        <w:rPr>
          <w:rFonts w:hint="eastAsia" w:ascii="宋体" w:hAnsi="宋体" w:eastAsia="宋体" w:cs="宋体"/>
          <w:b/>
          <w:bCs/>
          <w:i w:val="0"/>
          <w:iCs w:val="0"/>
          <w:sz w:val="24"/>
          <w:highlight w:val="none"/>
        </w:rPr>
        <w:t>响应无效</w:t>
      </w:r>
      <w:r>
        <w:rPr>
          <w:rFonts w:hint="eastAsia" w:ascii="宋体" w:hAnsi="宋体" w:eastAsia="宋体" w:cs="宋体"/>
          <w:i w:val="0"/>
          <w:iCs w:val="0"/>
          <w:sz w:val="24"/>
          <w:highlight w:val="none"/>
        </w:rPr>
        <w:t>；</w:t>
      </w:r>
    </w:p>
    <w:p w14:paraId="3F7C0599">
      <w:pPr>
        <w:pageBreakBefore w:val="0"/>
        <w:wordWrap w:val="0"/>
        <w:topLinePunct w:val="0"/>
        <w:bidi w:val="0"/>
        <w:adjustRightInd w:val="0"/>
        <w:snapToGrid w:val="0"/>
        <w:spacing w:after="0" w:line="360" w:lineRule="auto"/>
        <w:ind w:firstLine="420" w:firstLineChars="0"/>
        <w:jc w:val="left"/>
        <w:textAlignment w:val="auto"/>
        <w:rPr>
          <w:rFonts w:hint="eastAsia" w:ascii="宋体" w:hAnsi="宋体" w:eastAsia="宋体" w:cs="宋体"/>
          <w:i w:val="0"/>
          <w:iCs w:val="0"/>
          <w:color w:val="000000"/>
          <w:sz w:val="30"/>
          <w:szCs w:val="30"/>
          <w:highlight w:val="none"/>
        </w:rPr>
      </w:pPr>
      <w:r>
        <w:rPr>
          <w:rFonts w:hint="eastAsia" w:ascii="宋体" w:hAnsi="宋体" w:eastAsia="宋体" w:cs="宋体"/>
          <w:i w:val="0"/>
          <w:iCs w:val="0"/>
          <w:sz w:val="24"/>
          <w:highlight w:val="none"/>
        </w:rPr>
        <w:t>（3）如本采购文件《供应商须知资料表》载明本项目分包承担主体应具备的相应资质条件，则供应商须在本表中列明分包承担主体的资质等级，并后附资质证书电子件，否则响应无效。</w:t>
      </w:r>
    </w:p>
    <w:p w14:paraId="5FA6F48E">
      <w:pPr>
        <w:pageBreakBefore w:val="0"/>
        <w:wordWrap w:val="0"/>
        <w:topLinePunct w:val="0"/>
        <w:autoSpaceDE w:val="0"/>
        <w:autoSpaceDN w:val="0"/>
        <w:bidi w:val="0"/>
        <w:adjustRightInd w:val="0"/>
        <w:spacing w:after="0" w:line="360" w:lineRule="auto"/>
        <w:ind w:firstLine="420" w:firstLineChars="0"/>
        <w:jc w:val="center"/>
        <w:textAlignment w:val="auto"/>
        <w:rPr>
          <w:rFonts w:hint="eastAsia" w:ascii="宋体" w:hAnsi="宋体" w:eastAsia="宋体" w:cs="宋体"/>
          <w:b/>
          <w:i w:val="0"/>
          <w:iCs w:val="0"/>
          <w:color w:val="000000"/>
          <w:sz w:val="36"/>
          <w:szCs w:val="36"/>
          <w:highlight w:val="none"/>
        </w:rPr>
        <w:sectPr>
          <w:pgSz w:w="11905" w:h="16838"/>
          <w:pgMar w:top="1474" w:right="1474" w:bottom="1474" w:left="1474" w:header="851" w:footer="992" w:gutter="0"/>
          <w:pgNumType w:fmt="decimal"/>
          <w:cols w:space="720" w:num="1"/>
          <w:rtlGutter w:val="0"/>
          <w:docGrid w:linePitch="462" w:charSpace="0"/>
        </w:sectPr>
      </w:pPr>
    </w:p>
    <w:p w14:paraId="68D91DFD">
      <w:pPr>
        <w:pageBreakBefore w:val="0"/>
        <w:wordWrap w:val="0"/>
        <w:topLinePunct w:val="0"/>
        <w:autoSpaceDE w:val="0"/>
        <w:autoSpaceDN w:val="0"/>
        <w:bidi w:val="0"/>
        <w:adjustRightInd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分包意向协议</w:t>
      </w:r>
    </w:p>
    <w:p w14:paraId="18FA9BF0">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甲方（供应商）：</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p>
    <w:p w14:paraId="42D4C8A2">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乙方（拟分包单位）：</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p>
    <w:p w14:paraId="6F74E226">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甲方承诺，一旦在</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sz w:val="24"/>
          <w:highlight w:val="none"/>
        </w:rPr>
        <w:t>（采购项目名称）（项目编号/包号为：</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sz w:val="24"/>
          <w:highlight w:val="none"/>
        </w:rPr>
        <w:t>）采购项目中获得采购合同，将按照下述约定将合同项下部分内容分包给乙方：</w:t>
      </w:r>
    </w:p>
    <w:p w14:paraId="2A4AC572">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1.分包内容：</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sz w:val="24"/>
          <w:highlight w:val="none"/>
        </w:rPr>
        <w:t>。</w:t>
      </w:r>
    </w:p>
    <w:p w14:paraId="21B7AAE5">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2.分包金额：</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sz w:val="24"/>
          <w:highlight w:val="none"/>
        </w:rPr>
        <w:t>，该金额占该采购包</w:t>
      </w:r>
      <w:r>
        <w:rPr>
          <w:rFonts w:hint="eastAsia" w:ascii="宋体" w:hAnsi="宋体" w:eastAsia="宋体" w:cs="宋体"/>
          <w:i w:val="0"/>
          <w:iCs w:val="0"/>
          <w:sz w:val="24"/>
          <w:highlight w:val="none"/>
          <w:lang w:val="en-US" w:eastAsia="zh-CN"/>
        </w:rPr>
        <w:t>合同金额的</w:t>
      </w:r>
      <w:r>
        <w:rPr>
          <w:rFonts w:hint="eastAsia" w:ascii="宋体" w:hAnsi="宋体" w:eastAsia="宋体" w:cs="宋体"/>
          <w:i w:val="0"/>
          <w:iCs w:val="0"/>
          <w:sz w:val="24"/>
          <w:highlight w:val="none"/>
        </w:rPr>
        <w:t>比例为</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sz w:val="24"/>
          <w:highlight w:val="none"/>
        </w:rPr>
        <w:t>%。</w:t>
      </w:r>
    </w:p>
    <w:p w14:paraId="0870FE67">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bCs/>
          <w:i w:val="0"/>
          <w:iCs w:val="0"/>
          <w:color w:val="000000"/>
          <w:sz w:val="24"/>
          <w:highlight w:val="none"/>
        </w:rPr>
      </w:pPr>
      <w:r>
        <w:rPr>
          <w:rFonts w:hint="eastAsia" w:ascii="宋体" w:hAnsi="宋体" w:eastAsia="宋体" w:cs="宋体"/>
          <w:i w:val="0"/>
          <w:iCs w:val="0"/>
          <w:sz w:val="24"/>
          <w:highlight w:val="none"/>
        </w:rPr>
        <w:t>乙方承诺将在上述情况下与甲方签订分包合同。</w:t>
      </w:r>
    </w:p>
    <w:p w14:paraId="40220600">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本协议自各方盖章之日起生效，如甲方未在该项目（采购包）成交，本协议自动终止。</w:t>
      </w:r>
    </w:p>
    <w:p w14:paraId="5781A0A8">
      <w:pPr>
        <w:pageBreakBefore w:val="0"/>
        <w:wordWrap w:val="0"/>
        <w:topLinePunct w:val="0"/>
        <w:bidi w:val="0"/>
        <w:spacing w:after="0" w:line="360" w:lineRule="auto"/>
        <w:ind w:firstLine="471"/>
        <w:textAlignment w:val="auto"/>
        <w:rPr>
          <w:rFonts w:hint="eastAsia" w:ascii="宋体" w:hAnsi="宋体" w:eastAsia="宋体" w:cs="宋体"/>
          <w:b/>
          <w:i w:val="0"/>
          <w:iCs w:val="0"/>
          <w:color w:val="000000"/>
          <w:sz w:val="24"/>
          <w:highlight w:val="none"/>
        </w:rPr>
      </w:pPr>
    </w:p>
    <w:p w14:paraId="3DCDD139">
      <w:pPr>
        <w:pageBreakBefore w:val="0"/>
        <w:wordWrap w:val="0"/>
        <w:topLinePunct w:val="0"/>
        <w:bidi w:val="0"/>
        <w:spacing w:after="0" w:line="360" w:lineRule="auto"/>
        <w:ind w:firstLine="471"/>
        <w:textAlignment w:val="auto"/>
        <w:rPr>
          <w:rFonts w:hint="eastAsia" w:ascii="宋体" w:hAnsi="宋体" w:eastAsia="宋体" w:cs="宋体"/>
          <w:b/>
          <w:i w:val="0"/>
          <w:iCs w:val="0"/>
          <w:color w:val="000000"/>
          <w:sz w:val="24"/>
          <w:highlight w:val="none"/>
        </w:rPr>
      </w:pPr>
      <w:r>
        <w:rPr>
          <w:rFonts w:hint="eastAsia" w:ascii="宋体" w:hAnsi="宋体" w:eastAsia="宋体" w:cs="宋体"/>
          <w:i w:val="0"/>
          <w:iCs w:val="0"/>
          <w:color w:val="000000"/>
          <w:sz w:val="24"/>
          <w:highlight w:val="none"/>
        </w:rPr>
        <w:t>甲方（盖章）：</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rPr>
        <w:t xml:space="preserve">                     乙方（盖章）：</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p>
    <w:p w14:paraId="2D25BD30">
      <w:pPr>
        <w:pageBreakBefore w:val="0"/>
        <w:wordWrap w:val="0"/>
        <w:topLinePunct w:val="0"/>
        <w:bidi w:val="0"/>
        <w:spacing w:after="0" w:line="360" w:lineRule="auto"/>
        <w:ind w:left="480"/>
        <w:jc w:val="right"/>
        <w:textAlignment w:val="auto"/>
        <w:rPr>
          <w:rFonts w:hint="eastAsia" w:ascii="宋体" w:hAnsi="宋体" w:eastAsia="宋体" w:cs="宋体"/>
          <w:i w:val="0"/>
          <w:iCs w:val="0"/>
          <w:color w:val="000000"/>
          <w:sz w:val="24"/>
          <w:highlight w:val="none"/>
        </w:rPr>
      </w:pPr>
    </w:p>
    <w:p w14:paraId="0862AEF4">
      <w:pPr>
        <w:pageBreakBefore w:val="0"/>
        <w:wordWrap w:val="0"/>
        <w:topLinePunct w:val="0"/>
        <w:bidi w:val="0"/>
        <w:spacing w:after="0" w:line="360" w:lineRule="auto"/>
        <w:ind w:left="480"/>
        <w:jc w:val="right"/>
        <w:textAlignment w:val="auto"/>
        <w:rPr>
          <w:rFonts w:hint="eastAsia" w:ascii="宋体" w:hAnsi="宋体" w:eastAsia="宋体" w:cs="宋体"/>
          <w:b/>
          <w:i w:val="0"/>
          <w:iCs w:val="0"/>
          <w:color w:val="000000"/>
          <w:sz w:val="24"/>
          <w:highlight w:val="none"/>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 xml:space="preserve">日   </w:t>
      </w:r>
    </w:p>
    <w:p w14:paraId="11FEB9DE">
      <w:pPr>
        <w:pageBreakBefore w:val="0"/>
        <w:tabs>
          <w:tab w:val="left" w:pos="8280"/>
        </w:tabs>
        <w:wordWrap w:val="0"/>
        <w:topLinePunct w:val="0"/>
        <w:bidi w:val="0"/>
        <w:spacing w:after="0" w:line="360" w:lineRule="auto"/>
        <w:ind w:firstLine="480"/>
        <w:textAlignment w:val="auto"/>
        <w:rPr>
          <w:rFonts w:hint="eastAsia" w:ascii="宋体" w:hAnsi="宋体" w:eastAsia="宋体" w:cs="宋体"/>
          <w:i w:val="0"/>
          <w:iCs w:val="0"/>
          <w:color w:val="000000"/>
          <w:sz w:val="24"/>
          <w:highlight w:val="none"/>
        </w:rPr>
      </w:pPr>
    </w:p>
    <w:p w14:paraId="33DD2552">
      <w:pPr>
        <w:pageBreakBefore w:val="0"/>
        <w:tabs>
          <w:tab w:val="left" w:pos="8280"/>
        </w:tabs>
        <w:wordWrap w:val="0"/>
        <w:topLinePunct w:val="0"/>
        <w:bidi w:val="0"/>
        <w:spacing w:after="0" w:line="360" w:lineRule="auto"/>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说明：</w:t>
      </w:r>
    </w:p>
    <w:p w14:paraId="5C6D796F">
      <w:pPr>
        <w:pageBreakBefore w:val="0"/>
        <w:tabs>
          <w:tab w:val="left" w:pos="8280"/>
        </w:tabs>
        <w:wordWrap w:val="0"/>
        <w:topLinePunct w:val="0"/>
        <w:bidi w:val="0"/>
        <w:spacing w:after="0" w:line="360" w:lineRule="auto"/>
        <w:ind w:firstLine="420" w:firstLineChars="0"/>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（1）当供应商属于本部分说明中第（2）类情形，必须</w:t>
      </w:r>
      <w:r>
        <w:rPr>
          <w:rFonts w:hint="eastAsia" w:ascii="宋体" w:hAnsi="宋体" w:eastAsia="宋体" w:cs="宋体"/>
          <w:i w:val="0"/>
          <w:iCs w:val="0"/>
          <w:color w:val="000000"/>
          <w:sz w:val="24"/>
          <w:highlight w:val="none"/>
          <w:lang w:eastAsia="zh-CN"/>
        </w:rPr>
        <w:t>提</w:t>
      </w:r>
      <w:r>
        <w:rPr>
          <w:rFonts w:hint="eastAsia" w:ascii="宋体" w:hAnsi="宋体" w:eastAsia="宋体" w:cs="宋体"/>
          <w:i w:val="0"/>
          <w:iCs w:val="0"/>
          <w:color w:val="000000"/>
          <w:sz w:val="24"/>
          <w:highlight w:val="none"/>
        </w:rPr>
        <w:t>供，否则响应无效；其他情形无须</w:t>
      </w:r>
      <w:r>
        <w:rPr>
          <w:rFonts w:hint="eastAsia" w:ascii="宋体" w:hAnsi="宋体" w:eastAsia="宋体" w:cs="宋体"/>
          <w:i w:val="0"/>
          <w:iCs w:val="0"/>
          <w:color w:val="000000"/>
          <w:sz w:val="24"/>
          <w:highlight w:val="none"/>
          <w:lang w:eastAsia="zh-CN"/>
        </w:rPr>
        <w:t>提</w:t>
      </w:r>
      <w:r>
        <w:rPr>
          <w:rFonts w:hint="eastAsia" w:ascii="宋体" w:hAnsi="宋体" w:eastAsia="宋体" w:cs="宋体"/>
          <w:i w:val="0"/>
          <w:iCs w:val="0"/>
          <w:color w:val="000000"/>
          <w:sz w:val="24"/>
          <w:highlight w:val="none"/>
        </w:rPr>
        <w:t>供；</w:t>
      </w:r>
    </w:p>
    <w:p w14:paraId="25F845DD">
      <w:pPr>
        <w:pageBreakBefore w:val="0"/>
        <w:tabs>
          <w:tab w:val="left" w:pos="8280"/>
        </w:tabs>
        <w:wordWrap w:val="0"/>
        <w:topLinePunct w:val="0"/>
        <w:bidi w:val="0"/>
        <w:spacing w:after="0" w:line="360" w:lineRule="auto"/>
        <w:ind w:firstLine="420" w:firstLineChars="0"/>
        <w:textAlignment w:val="auto"/>
        <w:rPr>
          <w:rFonts w:hint="eastAsia" w:ascii="宋体" w:hAnsi="宋体" w:eastAsia="宋体" w:cs="宋体"/>
          <w:i w:val="0"/>
          <w:iCs w:val="0"/>
          <w:color w:val="000000"/>
          <w:sz w:val="24"/>
          <w:highlight w:val="none"/>
        </w:rPr>
        <w:sectPr>
          <w:pgSz w:w="11905" w:h="16838"/>
          <w:pgMar w:top="1474" w:right="1474" w:bottom="1474" w:left="1474" w:header="851" w:footer="992" w:gutter="0"/>
          <w:pgNumType w:fmt="decimal"/>
          <w:cols w:space="720" w:num="1"/>
          <w:rtlGutter w:val="0"/>
          <w:docGrid w:linePitch="462" w:charSpace="0"/>
        </w:sectPr>
      </w:pPr>
      <w:r>
        <w:rPr>
          <w:rFonts w:hint="eastAsia" w:ascii="宋体" w:hAnsi="宋体" w:eastAsia="宋体" w:cs="宋体"/>
          <w:i w:val="0"/>
          <w:iCs w:val="0"/>
          <w:color w:val="000000"/>
          <w:sz w:val="24"/>
          <w:highlight w:val="none"/>
        </w:rPr>
        <w:t>（2）供应商须与所有拟分包单位分别签订《分包意向协议》，每单位签订一份，并在响应文件中</w:t>
      </w:r>
      <w:r>
        <w:rPr>
          <w:rFonts w:hint="eastAsia" w:ascii="宋体" w:hAnsi="宋体" w:eastAsia="宋体" w:cs="宋体"/>
          <w:i w:val="0"/>
          <w:iCs w:val="0"/>
          <w:color w:val="000000"/>
          <w:sz w:val="24"/>
          <w:highlight w:val="none"/>
          <w:lang w:eastAsia="zh-CN"/>
        </w:rPr>
        <w:t>提</w:t>
      </w:r>
      <w:r>
        <w:rPr>
          <w:rFonts w:hint="eastAsia" w:ascii="宋体" w:hAnsi="宋体" w:eastAsia="宋体" w:cs="宋体"/>
          <w:i w:val="0"/>
          <w:iCs w:val="0"/>
          <w:color w:val="000000"/>
          <w:sz w:val="24"/>
          <w:highlight w:val="none"/>
        </w:rPr>
        <w:t>交全部协议原件的电子件，否则响应无效。</w:t>
      </w:r>
    </w:p>
    <w:p w14:paraId="7E2EAB85">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 xml:space="preserve">2-2 </w:t>
      </w:r>
      <w:r>
        <w:rPr>
          <w:rFonts w:hint="eastAsia" w:ascii="宋体" w:hAnsi="宋体" w:eastAsia="宋体" w:cs="宋体"/>
          <w:i w:val="0"/>
          <w:iCs w:val="0"/>
          <w:sz w:val="24"/>
          <w:highlight w:val="none"/>
        </w:rPr>
        <w:t>其它落实政府采购政策的资格要求</w:t>
      </w:r>
      <w:r>
        <w:rPr>
          <w:rFonts w:hint="eastAsia" w:ascii="宋体" w:hAnsi="宋体" w:eastAsia="宋体" w:cs="宋体"/>
          <w:i w:val="0"/>
          <w:iCs w:val="0"/>
          <w:color w:val="000000"/>
          <w:sz w:val="24"/>
          <w:szCs w:val="20"/>
          <w:highlight w:val="none"/>
        </w:rPr>
        <w:t>（如有）</w:t>
      </w:r>
    </w:p>
    <w:p w14:paraId="000FE7B3">
      <w:pPr>
        <w:pageBreakBefore w:val="0"/>
        <w:widowControl/>
        <w:wordWrap w:val="0"/>
        <w:topLinePunct w:val="0"/>
        <w:bidi w:val="0"/>
        <w:spacing w:after="0" w:line="360" w:lineRule="auto"/>
        <w:jc w:val="left"/>
        <w:textAlignment w:val="auto"/>
        <w:rPr>
          <w:rFonts w:hint="eastAsia" w:ascii="宋体" w:hAnsi="宋体" w:eastAsia="宋体" w:cs="宋体"/>
          <w:i w:val="0"/>
          <w:iCs w:val="0"/>
          <w:sz w:val="24"/>
          <w:highlight w:val="none"/>
        </w:rPr>
      </w:pPr>
    </w:p>
    <w:p w14:paraId="4E1BD425">
      <w:pPr>
        <w:pageBreakBefore w:val="0"/>
        <w:widowControl/>
        <w:wordWrap w:val="0"/>
        <w:topLinePunct w:val="0"/>
        <w:bidi w:val="0"/>
        <w:spacing w:after="0" w:line="360" w:lineRule="auto"/>
        <w:jc w:val="left"/>
        <w:textAlignment w:val="auto"/>
        <w:rPr>
          <w:rFonts w:hint="eastAsia" w:ascii="宋体" w:hAnsi="宋体" w:eastAsia="宋体" w:cs="宋体"/>
          <w:i w:val="0"/>
          <w:iCs w:val="0"/>
          <w:sz w:val="24"/>
          <w:highlight w:val="none"/>
        </w:rPr>
      </w:pPr>
    </w:p>
    <w:p w14:paraId="79AE068F">
      <w:pPr>
        <w:pageBreakBefore w:val="0"/>
        <w:tabs>
          <w:tab w:val="left" w:pos="360"/>
        </w:tabs>
        <w:wordWrap w:val="0"/>
        <w:topLinePunct w:val="0"/>
        <w:bidi w:val="0"/>
        <w:snapToGrid w:val="0"/>
        <w:spacing w:after="0" w:line="360" w:lineRule="auto"/>
        <w:textAlignment w:val="auto"/>
        <w:outlineLvl w:val="1"/>
        <w:rPr>
          <w:rFonts w:hint="eastAsia" w:ascii="宋体" w:hAnsi="宋体" w:eastAsia="宋体" w:cs="宋体"/>
          <w:i w:val="0"/>
          <w:iCs w:val="0"/>
          <w:sz w:val="24"/>
          <w:highlight w:val="none"/>
        </w:rPr>
        <w:sectPr>
          <w:headerReference r:id="rId25" w:type="first"/>
          <w:footerReference r:id="rId27" w:type="first"/>
          <w:headerReference r:id="rId24" w:type="even"/>
          <w:footerReference r:id="rId26" w:type="even"/>
          <w:pgSz w:w="11905" w:h="16838"/>
          <w:pgMar w:top="1474" w:right="1474" w:bottom="1474" w:left="1474" w:header="851" w:footer="992" w:gutter="0"/>
          <w:pgNumType w:fmt="decimal"/>
          <w:cols w:space="720" w:num="1"/>
          <w:rtlGutter w:val="0"/>
          <w:docGrid w:linePitch="462" w:charSpace="0"/>
        </w:sectPr>
      </w:pPr>
    </w:p>
    <w:p w14:paraId="01F43043">
      <w:pPr>
        <w:pageBreakBefore w:val="0"/>
        <w:tabs>
          <w:tab w:val="left" w:pos="360"/>
        </w:tabs>
        <w:wordWrap w:val="0"/>
        <w:topLinePunct w:val="0"/>
        <w:bidi w:val="0"/>
        <w:snapToGrid w:val="0"/>
        <w:spacing w:after="0" w:line="360" w:lineRule="auto"/>
        <w:textAlignment w:val="auto"/>
        <w:outlineLvl w:val="1"/>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 本项目的特定资格要求（如有）</w:t>
      </w:r>
    </w:p>
    <w:p w14:paraId="20FDAB93">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3-1联合协议（如有）</w:t>
      </w:r>
    </w:p>
    <w:p w14:paraId="250F56C1">
      <w:pPr>
        <w:pageBreakBefore w:val="0"/>
        <w:wordWrap w:val="0"/>
        <w:topLinePunct w:val="0"/>
        <w:autoSpaceDE w:val="0"/>
        <w:autoSpaceDN w:val="0"/>
        <w:bidi w:val="0"/>
        <w:adjustRightInd w:val="0"/>
        <w:spacing w:after="0" w:line="360" w:lineRule="auto"/>
        <w:jc w:val="center"/>
        <w:textAlignment w:val="auto"/>
        <w:rPr>
          <w:rFonts w:hint="eastAsia" w:ascii="宋体" w:hAnsi="宋体" w:eastAsia="宋体" w:cs="宋体"/>
          <w:b/>
          <w:i w:val="0"/>
          <w:iCs w:val="0"/>
          <w:color w:val="000000"/>
          <w:sz w:val="36"/>
          <w:szCs w:val="36"/>
          <w:highlight w:val="none"/>
        </w:rPr>
      </w:pPr>
      <w:r>
        <w:rPr>
          <w:rFonts w:hint="eastAsia" w:ascii="宋体" w:hAnsi="宋体" w:eastAsia="宋体" w:cs="宋体"/>
          <w:b/>
          <w:i w:val="0"/>
          <w:iCs w:val="0"/>
          <w:color w:val="000000"/>
          <w:sz w:val="36"/>
          <w:szCs w:val="36"/>
          <w:highlight w:val="none"/>
        </w:rPr>
        <w:t>联合协议</w:t>
      </w:r>
    </w:p>
    <w:p w14:paraId="301B2375">
      <w:pPr>
        <w:pageBreakBefore w:val="0"/>
        <w:wordWrap w:val="0"/>
        <w:topLinePunct w:val="0"/>
        <w:bidi w:val="0"/>
        <w:spacing w:after="0" w:line="360" w:lineRule="auto"/>
        <w:ind w:firstLine="828" w:firstLineChars="345"/>
        <w:textAlignment w:val="auto"/>
        <w:rPr>
          <w:rFonts w:hint="eastAsia" w:ascii="宋体" w:hAnsi="宋体" w:eastAsia="宋体" w:cs="宋体"/>
          <w:bCs/>
          <w:i w:val="0"/>
          <w:iCs w:val="0"/>
          <w:color w:val="000000"/>
          <w:highlight w:val="none"/>
        </w:rPr>
      </w:pP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bCs/>
          <w:i w:val="0"/>
          <w:iCs w:val="0"/>
          <w:color w:val="000000"/>
          <w:sz w:val="24"/>
          <w:highlight w:val="none"/>
        </w:rPr>
        <w:t>、</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bCs/>
          <w:i w:val="0"/>
          <w:iCs w:val="0"/>
          <w:color w:val="000000"/>
          <w:sz w:val="24"/>
          <w:highlight w:val="none"/>
        </w:rPr>
        <w:t>及</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bCs/>
          <w:i w:val="0"/>
          <w:iCs w:val="0"/>
          <w:color w:val="000000"/>
          <w:sz w:val="24"/>
          <w:highlight w:val="none"/>
        </w:rPr>
        <w:t>就“</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bCs/>
          <w:i w:val="0"/>
          <w:iCs w:val="0"/>
          <w:color w:val="000000"/>
          <w:sz w:val="24"/>
          <w:highlight w:val="none"/>
        </w:rPr>
        <w:t>（项目名称）</w:t>
      </w:r>
      <w:r>
        <w:rPr>
          <w:rFonts w:hint="eastAsia" w:ascii="宋体" w:hAnsi="宋体" w:eastAsia="宋体" w:cs="宋体"/>
          <w:i w:val="0"/>
          <w:iCs w:val="0"/>
          <w:color w:val="000000"/>
          <w:sz w:val="24"/>
          <w:highlight w:val="none"/>
        </w:rPr>
        <w:t>”</w:t>
      </w:r>
      <w:r>
        <w:rPr>
          <w:rFonts w:hint="eastAsia" w:ascii="宋体" w:hAnsi="宋体" w:eastAsia="宋体" w:cs="宋体"/>
          <w:i w:val="0"/>
          <w:iCs w:val="0"/>
          <w:sz w:val="24"/>
          <w:highlight w:val="none"/>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rPr>
        <w:t>包</w:t>
      </w:r>
      <w:r>
        <w:rPr>
          <w:rFonts w:hint="eastAsia" w:ascii="宋体" w:hAnsi="宋体" w:eastAsia="宋体" w:cs="宋体"/>
          <w:bCs/>
          <w:i w:val="0"/>
          <w:iCs w:val="0"/>
          <w:color w:val="000000"/>
          <w:sz w:val="24"/>
          <w:highlight w:val="none"/>
        </w:rPr>
        <w:t>采购项目的磋商事宜，经各方充分协商一致，达成如下协议：</w:t>
      </w:r>
    </w:p>
    <w:p w14:paraId="7E651401">
      <w:pPr>
        <w:pageBreakBefore w:val="0"/>
        <w:numPr>
          <w:ilvl w:val="0"/>
          <w:numId w:val="14"/>
        </w:numPr>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bCs/>
          <w:i w:val="0"/>
          <w:iCs w:val="0"/>
          <w:color w:val="000000"/>
          <w:sz w:val="24"/>
          <w:highlight w:val="none"/>
        </w:rPr>
        <w:t>由</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bCs/>
          <w:i w:val="0"/>
          <w:iCs w:val="0"/>
          <w:color w:val="000000"/>
          <w:sz w:val="24"/>
          <w:highlight w:val="none"/>
        </w:rPr>
        <w:t>牵头，</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bCs/>
          <w:i w:val="0"/>
          <w:iCs w:val="0"/>
          <w:color w:val="000000"/>
          <w:sz w:val="24"/>
          <w:highlight w:val="none"/>
        </w:rPr>
        <w:t>、</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bCs/>
          <w:i w:val="0"/>
          <w:iCs w:val="0"/>
          <w:color w:val="000000"/>
          <w:sz w:val="24"/>
          <w:highlight w:val="none"/>
        </w:rPr>
        <w:t>参加，组成联合体共同进行采购项目的磋商工作。</w:t>
      </w:r>
    </w:p>
    <w:p w14:paraId="56A513C3">
      <w:pPr>
        <w:pageBreakBefore w:val="0"/>
        <w:numPr>
          <w:ilvl w:val="0"/>
          <w:numId w:val="14"/>
        </w:numPr>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bCs/>
          <w:i w:val="0"/>
          <w:iCs w:val="0"/>
          <w:color w:val="000000"/>
          <w:sz w:val="24"/>
          <w:highlight w:val="none"/>
        </w:rPr>
        <w:t>联合体成交后，联合体各方共同与采购人签订合同，就</w:t>
      </w:r>
      <w:r>
        <w:rPr>
          <w:rFonts w:hint="eastAsia" w:ascii="宋体" w:hAnsi="宋体" w:eastAsia="宋体" w:cs="宋体"/>
          <w:i w:val="0"/>
          <w:iCs w:val="0"/>
          <w:color w:val="000000"/>
          <w:sz w:val="24"/>
          <w:szCs w:val="20"/>
          <w:highlight w:val="none"/>
        </w:rPr>
        <w:t>采购合同约定的事项</w:t>
      </w:r>
      <w:r>
        <w:rPr>
          <w:rFonts w:hint="eastAsia" w:ascii="宋体" w:hAnsi="宋体" w:eastAsia="宋体" w:cs="宋体"/>
          <w:bCs/>
          <w:i w:val="0"/>
          <w:iCs w:val="0"/>
          <w:color w:val="000000"/>
          <w:sz w:val="24"/>
          <w:highlight w:val="none"/>
        </w:rPr>
        <w:t>对采购人承担连带责任。</w:t>
      </w:r>
    </w:p>
    <w:p w14:paraId="797E497B">
      <w:pPr>
        <w:pageBreakBefore w:val="0"/>
        <w:numPr>
          <w:ilvl w:val="0"/>
          <w:numId w:val="14"/>
        </w:numPr>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bCs/>
          <w:i w:val="0"/>
          <w:iCs w:val="0"/>
          <w:color w:val="000000"/>
          <w:sz w:val="24"/>
          <w:highlight w:val="none"/>
        </w:rPr>
        <w:t>联合体各方均同意由牵头人代表其他联合体成员单位按竞争性磋商文件要求出具《授权委托书》。</w:t>
      </w:r>
    </w:p>
    <w:p w14:paraId="6C020F34">
      <w:pPr>
        <w:pageBreakBefore w:val="0"/>
        <w:numPr>
          <w:ilvl w:val="0"/>
          <w:numId w:val="14"/>
        </w:numPr>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bCs/>
          <w:i w:val="0"/>
          <w:iCs w:val="0"/>
          <w:color w:val="000000"/>
          <w:sz w:val="24"/>
          <w:highlight w:val="none"/>
        </w:rPr>
        <w:t>牵头人为项目的总负责单位；组织各参加方进行项目实施工作。</w:t>
      </w:r>
    </w:p>
    <w:p w14:paraId="517E152E">
      <w:pPr>
        <w:pageBreakBefore w:val="0"/>
        <w:numPr>
          <w:ilvl w:val="0"/>
          <w:numId w:val="14"/>
        </w:numPr>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bCs/>
          <w:i w:val="0"/>
          <w:iCs w:val="0"/>
          <w:color w:val="000000"/>
          <w:sz w:val="24"/>
          <w:highlight w:val="none"/>
        </w:rPr>
        <w:t>负责</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bCs/>
          <w:i w:val="0"/>
          <w:iCs w:val="0"/>
          <w:color w:val="000000"/>
          <w:sz w:val="24"/>
          <w:highlight w:val="none"/>
        </w:rPr>
        <w:t>，具体工作范围、内容以响应文件及合同为准。</w:t>
      </w:r>
    </w:p>
    <w:p w14:paraId="37563A45">
      <w:pPr>
        <w:pageBreakBefore w:val="0"/>
        <w:numPr>
          <w:ilvl w:val="0"/>
          <w:numId w:val="14"/>
        </w:numPr>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bCs/>
          <w:i w:val="0"/>
          <w:iCs w:val="0"/>
          <w:color w:val="000000"/>
          <w:sz w:val="24"/>
          <w:highlight w:val="none"/>
        </w:rPr>
        <w:t>负责</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bCs/>
          <w:i w:val="0"/>
          <w:iCs w:val="0"/>
          <w:color w:val="000000"/>
          <w:sz w:val="24"/>
          <w:highlight w:val="none"/>
        </w:rPr>
        <w:t>，具体工作范围、内容以响应文件及合同为准。</w:t>
      </w:r>
    </w:p>
    <w:p w14:paraId="610301E5">
      <w:pPr>
        <w:pageBreakBefore w:val="0"/>
        <w:numPr>
          <w:ilvl w:val="0"/>
          <w:numId w:val="14"/>
        </w:numPr>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bCs/>
          <w:i w:val="0"/>
          <w:iCs w:val="0"/>
          <w:color w:val="000000"/>
          <w:sz w:val="24"/>
          <w:highlight w:val="none"/>
        </w:rPr>
        <w:t>负责</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bCs/>
          <w:i w:val="0"/>
          <w:iCs w:val="0"/>
          <w:color w:val="000000"/>
          <w:sz w:val="24"/>
          <w:highlight w:val="none"/>
        </w:rPr>
        <w:t>（如有），具体工作范围、内容以响应文件及合同为准。</w:t>
      </w:r>
    </w:p>
    <w:p w14:paraId="4449307D">
      <w:pPr>
        <w:pageBreakBefore w:val="0"/>
        <w:numPr>
          <w:ilvl w:val="0"/>
          <w:numId w:val="14"/>
        </w:numPr>
        <w:wordWrap w:val="0"/>
        <w:topLinePunct w:val="0"/>
        <w:bidi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本项目联合协议合同总额为</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sz w:val="24"/>
          <w:highlight w:val="none"/>
        </w:rPr>
        <w:t>元，联合体各成员按照如下比例分摊（按联合体成员分别列明）：</w:t>
      </w:r>
    </w:p>
    <w:p w14:paraId="26DFAC6E">
      <w:pPr>
        <w:pageBreakBefore w:val="0"/>
        <w:tabs>
          <w:tab w:val="left" w:pos="720"/>
          <w:tab w:val="left" w:pos="900"/>
        </w:tabs>
        <w:wordWrap w:val="0"/>
        <w:topLinePunct w:val="0"/>
        <w:bidi w:val="0"/>
        <w:spacing w:after="0" w:line="360" w:lineRule="auto"/>
        <w:ind w:left="851"/>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（1）</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szCs w:val="20"/>
          <w:highlight w:val="none"/>
        </w:rPr>
        <w:t>为</w:t>
      </w:r>
      <w:r>
        <w:rPr>
          <w:rFonts w:hint="eastAsia" w:ascii="宋体" w:hAnsi="宋体" w:eastAsia="宋体" w:cs="宋体"/>
          <w:i w:val="0"/>
          <w:iCs w:val="0"/>
          <w:color w:val="000000"/>
          <w:sz w:val="24"/>
          <w:szCs w:val="20"/>
          <w:highlight w:val="none"/>
          <w:lang w:eastAsia="zh-CN"/>
        </w:rPr>
        <w:t>□</w:t>
      </w:r>
      <w:r>
        <w:rPr>
          <w:rFonts w:hint="eastAsia" w:ascii="宋体" w:hAnsi="宋体" w:eastAsia="宋体" w:cs="宋体"/>
          <w:i w:val="0"/>
          <w:iCs w:val="0"/>
          <w:color w:val="000000"/>
          <w:sz w:val="24"/>
          <w:szCs w:val="20"/>
          <w:highlight w:val="none"/>
        </w:rPr>
        <w:t>大型企业</w:t>
      </w:r>
      <w:r>
        <w:rPr>
          <w:rFonts w:hint="eastAsia" w:ascii="宋体" w:hAnsi="宋体" w:eastAsia="宋体" w:cs="宋体"/>
          <w:i w:val="0"/>
          <w:iCs w:val="0"/>
          <w:color w:val="000000"/>
          <w:sz w:val="24"/>
          <w:szCs w:val="20"/>
          <w:highlight w:val="none"/>
          <w:lang w:eastAsia="zh-CN"/>
        </w:rPr>
        <w:t>□</w:t>
      </w:r>
      <w:r>
        <w:rPr>
          <w:rFonts w:hint="eastAsia" w:ascii="宋体" w:hAnsi="宋体" w:eastAsia="宋体" w:cs="宋体"/>
          <w:i w:val="0"/>
          <w:iCs w:val="0"/>
          <w:color w:val="000000"/>
          <w:sz w:val="24"/>
          <w:szCs w:val="20"/>
          <w:highlight w:val="none"/>
        </w:rPr>
        <w:t>中型企业、</w:t>
      </w:r>
      <w:r>
        <w:rPr>
          <w:rFonts w:hint="eastAsia" w:ascii="宋体" w:hAnsi="宋体" w:eastAsia="宋体" w:cs="宋体"/>
          <w:i w:val="0"/>
          <w:iCs w:val="0"/>
          <w:color w:val="000000"/>
          <w:sz w:val="24"/>
          <w:szCs w:val="20"/>
          <w:highlight w:val="none"/>
          <w:lang w:eastAsia="zh-CN"/>
        </w:rPr>
        <w:t>□</w:t>
      </w:r>
      <w:r>
        <w:rPr>
          <w:rFonts w:hint="eastAsia" w:ascii="宋体" w:hAnsi="宋体" w:eastAsia="宋体" w:cs="宋体"/>
          <w:i w:val="0"/>
          <w:iCs w:val="0"/>
          <w:color w:val="000000"/>
          <w:sz w:val="24"/>
          <w:szCs w:val="20"/>
          <w:highlight w:val="none"/>
        </w:rPr>
        <w:t>小微企业（包含监狱企业、残疾人福利性单位）、</w:t>
      </w:r>
      <w:r>
        <w:rPr>
          <w:rFonts w:hint="eastAsia" w:ascii="宋体" w:hAnsi="宋体" w:eastAsia="宋体" w:cs="宋体"/>
          <w:i w:val="0"/>
          <w:iCs w:val="0"/>
          <w:color w:val="000000"/>
          <w:sz w:val="24"/>
          <w:szCs w:val="20"/>
          <w:highlight w:val="none"/>
          <w:lang w:eastAsia="zh-CN"/>
        </w:rPr>
        <w:t>□</w:t>
      </w:r>
      <w:r>
        <w:rPr>
          <w:rFonts w:hint="eastAsia" w:ascii="宋体" w:hAnsi="宋体" w:eastAsia="宋体" w:cs="宋体"/>
          <w:i w:val="0"/>
          <w:iCs w:val="0"/>
          <w:color w:val="000000"/>
          <w:sz w:val="24"/>
          <w:szCs w:val="20"/>
          <w:highlight w:val="none"/>
        </w:rPr>
        <w:t>其他，合同金额为</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szCs w:val="20"/>
          <w:highlight w:val="none"/>
        </w:rPr>
        <w:t>元；</w:t>
      </w:r>
    </w:p>
    <w:p w14:paraId="36897A3F">
      <w:pPr>
        <w:pageBreakBefore w:val="0"/>
        <w:tabs>
          <w:tab w:val="left" w:pos="720"/>
          <w:tab w:val="left" w:pos="900"/>
        </w:tabs>
        <w:wordWrap w:val="0"/>
        <w:topLinePunct w:val="0"/>
        <w:bidi w:val="0"/>
        <w:spacing w:after="0" w:line="360" w:lineRule="auto"/>
        <w:ind w:left="851"/>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（2）</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szCs w:val="20"/>
          <w:highlight w:val="none"/>
        </w:rPr>
        <w:t>为</w:t>
      </w:r>
      <w:r>
        <w:rPr>
          <w:rFonts w:hint="eastAsia" w:ascii="宋体" w:hAnsi="宋体" w:eastAsia="宋体" w:cs="宋体"/>
          <w:i w:val="0"/>
          <w:iCs w:val="0"/>
          <w:color w:val="000000"/>
          <w:sz w:val="24"/>
          <w:szCs w:val="20"/>
          <w:highlight w:val="none"/>
          <w:lang w:eastAsia="zh-CN"/>
        </w:rPr>
        <w:t>□</w:t>
      </w:r>
      <w:r>
        <w:rPr>
          <w:rFonts w:hint="eastAsia" w:ascii="宋体" w:hAnsi="宋体" w:eastAsia="宋体" w:cs="宋体"/>
          <w:i w:val="0"/>
          <w:iCs w:val="0"/>
          <w:color w:val="000000"/>
          <w:sz w:val="24"/>
          <w:szCs w:val="20"/>
          <w:highlight w:val="none"/>
        </w:rPr>
        <w:t>大型企业</w:t>
      </w:r>
      <w:r>
        <w:rPr>
          <w:rFonts w:hint="eastAsia" w:ascii="宋体" w:hAnsi="宋体" w:eastAsia="宋体" w:cs="宋体"/>
          <w:i w:val="0"/>
          <w:iCs w:val="0"/>
          <w:color w:val="000000"/>
          <w:sz w:val="24"/>
          <w:szCs w:val="20"/>
          <w:highlight w:val="none"/>
          <w:lang w:eastAsia="zh-CN"/>
        </w:rPr>
        <w:t>□</w:t>
      </w:r>
      <w:r>
        <w:rPr>
          <w:rFonts w:hint="eastAsia" w:ascii="宋体" w:hAnsi="宋体" w:eastAsia="宋体" w:cs="宋体"/>
          <w:i w:val="0"/>
          <w:iCs w:val="0"/>
          <w:color w:val="000000"/>
          <w:sz w:val="24"/>
          <w:szCs w:val="20"/>
          <w:highlight w:val="none"/>
        </w:rPr>
        <w:t>中型企业、</w:t>
      </w:r>
      <w:r>
        <w:rPr>
          <w:rFonts w:hint="eastAsia" w:ascii="宋体" w:hAnsi="宋体" w:eastAsia="宋体" w:cs="宋体"/>
          <w:i w:val="0"/>
          <w:iCs w:val="0"/>
          <w:color w:val="000000"/>
          <w:sz w:val="24"/>
          <w:szCs w:val="20"/>
          <w:highlight w:val="none"/>
          <w:lang w:eastAsia="zh-CN"/>
        </w:rPr>
        <w:t>□</w:t>
      </w:r>
      <w:r>
        <w:rPr>
          <w:rFonts w:hint="eastAsia" w:ascii="宋体" w:hAnsi="宋体" w:eastAsia="宋体" w:cs="宋体"/>
          <w:i w:val="0"/>
          <w:iCs w:val="0"/>
          <w:color w:val="000000"/>
          <w:sz w:val="24"/>
          <w:szCs w:val="20"/>
          <w:highlight w:val="none"/>
        </w:rPr>
        <w:t>小微企业（包含监狱企业、残疾人福利性单位）、</w:t>
      </w:r>
      <w:r>
        <w:rPr>
          <w:rFonts w:hint="eastAsia" w:ascii="宋体" w:hAnsi="宋体" w:eastAsia="宋体" w:cs="宋体"/>
          <w:i w:val="0"/>
          <w:iCs w:val="0"/>
          <w:color w:val="000000"/>
          <w:sz w:val="24"/>
          <w:szCs w:val="20"/>
          <w:highlight w:val="none"/>
          <w:lang w:eastAsia="zh-CN"/>
        </w:rPr>
        <w:t>□</w:t>
      </w:r>
      <w:r>
        <w:rPr>
          <w:rFonts w:hint="eastAsia" w:ascii="宋体" w:hAnsi="宋体" w:eastAsia="宋体" w:cs="宋体"/>
          <w:i w:val="0"/>
          <w:iCs w:val="0"/>
          <w:color w:val="000000"/>
          <w:sz w:val="24"/>
          <w:szCs w:val="20"/>
          <w:highlight w:val="none"/>
        </w:rPr>
        <w:t>其他，合同金额为</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szCs w:val="20"/>
          <w:highlight w:val="none"/>
        </w:rPr>
        <w:t>元；</w:t>
      </w:r>
    </w:p>
    <w:p w14:paraId="2A85C565">
      <w:pPr>
        <w:pageBreakBefore w:val="0"/>
        <w:tabs>
          <w:tab w:val="left" w:pos="720"/>
          <w:tab w:val="left" w:pos="900"/>
        </w:tabs>
        <w:wordWrap w:val="0"/>
        <w:topLinePunct w:val="0"/>
        <w:bidi w:val="0"/>
        <w:spacing w:after="0" w:line="360" w:lineRule="auto"/>
        <w:ind w:left="851"/>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szCs w:val="20"/>
          <w:highlight w:val="none"/>
        </w:rPr>
        <w:t>为</w:t>
      </w:r>
      <w:r>
        <w:rPr>
          <w:rFonts w:hint="eastAsia" w:ascii="宋体" w:hAnsi="宋体" w:eastAsia="宋体" w:cs="宋体"/>
          <w:i w:val="0"/>
          <w:iCs w:val="0"/>
          <w:color w:val="000000"/>
          <w:sz w:val="24"/>
          <w:szCs w:val="20"/>
          <w:highlight w:val="none"/>
          <w:lang w:eastAsia="zh-CN"/>
        </w:rPr>
        <w:t>□</w:t>
      </w:r>
      <w:r>
        <w:rPr>
          <w:rFonts w:hint="eastAsia" w:ascii="宋体" w:hAnsi="宋体" w:eastAsia="宋体" w:cs="宋体"/>
          <w:i w:val="0"/>
          <w:iCs w:val="0"/>
          <w:color w:val="000000"/>
          <w:sz w:val="24"/>
          <w:szCs w:val="20"/>
          <w:highlight w:val="none"/>
        </w:rPr>
        <w:t>大型企业</w:t>
      </w:r>
      <w:r>
        <w:rPr>
          <w:rFonts w:hint="eastAsia" w:ascii="宋体" w:hAnsi="宋体" w:eastAsia="宋体" w:cs="宋体"/>
          <w:i w:val="0"/>
          <w:iCs w:val="0"/>
          <w:color w:val="000000"/>
          <w:sz w:val="24"/>
          <w:szCs w:val="20"/>
          <w:highlight w:val="none"/>
          <w:lang w:eastAsia="zh-CN"/>
        </w:rPr>
        <w:t>□</w:t>
      </w:r>
      <w:r>
        <w:rPr>
          <w:rFonts w:hint="eastAsia" w:ascii="宋体" w:hAnsi="宋体" w:eastAsia="宋体" w:cs="宋体"/>
          <w:i w:val="0"/>
          <w:iCs w:val="0"/>
          <w:color w:val="000000"/>
          <w:sz w:val="24"/>
          <w:szCs w:val="20"/>
          <w:highlight w:val="none"/>
        </w:rPr>
        <w:t>中型企业、</w:t>
      </w:r>
      <w:r>
        <w:rPr>
          <w:rFonts w:hint="eastAsia" w:ascii="宋体" w:hAnsi="宋体" w:eastAsia="宋体" w:cs="宋体"/>
          <w:i w:val="0"/>
          <w:iCs w:val="0"/>
          <w:color w:val="000000"/>
          <w:sz w:val="24"/>
          <w:szCs w:val="20"/>
          <w:highlight w:val="none"/>
          <w:lang w:eastAsia="zh-CN"/>
        </w:rPr>
        <w:t>□</w:t>
      </w:r>
      <w:r>
        <w:rPr>
          <w:rFonts w:hint="eastAsia" w:ascii="宋体" w:hAnsi="宋体" w:eastAsia="宋体" w:cs="宋体"/>
          <w:i w:val="0"/>
          <w:iCs w:val="0"/>
          <w:color w:val="000000"/>
          <w:sz w:val="24"/>
          <w:szCs w:val="20"/>
          <w:highlight w:val="none"/>
        </w:rPr>
        <w:t>小微企业（包含监狱企业、残疾人福利性单位）、</w:t>
      </w:r>
      <w:r>
        <w:rPr>
          <w:rFonts w:hint="eastAsia" w:ascii="宋体" w:hAnsi="宋体" w:eastAsia="宋体" w:cs="宋体"/>
          <w:i w:val="0"/>
          <w:iCs w:val="0"/>
          <w:color w:val="000000"/>
          <w:sz w:val="24"/>
          <w:szCs w:val="20"/>
          <w:highlight w:val="none"/>
          <w:lang w:eastAsia="zh-CN"/>
        </w:rPr>
        <w:t>□</w:t>
      </w:r>
      <w:r>
        <w:rPr>
          <w:rFonts w:hint="eastAsia" w:ascii="宋体" w:hAnsi="宋体" w:eastAsia="宋体" w:cs="宋体"/>
          <w:i w:val="0"/>
          <w:iCs w:val="0"/>
          <w:color w:val="000000"/>
          <w:sz w:val="24"/>
          <w:szCs w:val="20"/>
          <w:highlight w:val="none"/>
        </w:rPr>
        <w:t>其他，合同金额为</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szCs w:val="20"/>
          <w:highlight w:val="none"/>
        </w:rPr>
        <w:t>元。</w:t>
      </w:r>
    </w:p>
    <w:p w14:paraId="1DA00096">
      <w:pPr>
        <w:pageBreakBefore w:val="0"/>
        <w:numPr>
          <w:ilvl w:val="0"/>
          <w:numId w:val="14"/>
        </w:numPr>
        <w:tabs>
          <w:tab w:val="left" w:pos="993"/>
        </w:tabs>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i w:val="0"/>
          <w:iCs w:val="0"/>
          <w:color w:val="000000"/>
          <w:sz w:val="24"/>
          <w:szCs w:val="20"/>
          <w:highlight w:val="none"/>
        </w:rPr>
        <w:t>以联合体形式参加政府采购活动的，联合体各方不得再单独参加或者与其他供应商另外组成联合体参加同一合同项下的政府采购活动。</w:t>
      </w:r>
    </w:p>
    <w:p w14:paraId="0C800512">
      <w:pPr>
        <w:pageBreakBefore w:val="0"/>
        <w:numPr>
          <w:ilvl w:val="0"/>
          <w:numId w:val="14"/>
        </w:numPr>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bCs/>
          <w:i w:val="0"/>
          <w:iCs w:val="0"/>
          <w:color w:val="000000"/>
          <w:sz w:val="24"/>
          <w:highlight w:val="none"/>
        </w:rPr>
        <w:t>其他约定（如有）：</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sz w:val="24"/>
          <w:highlight w:val="none"/>
        </w:rPr>
        <w:t>。</w:t>
      </w:r>
    </w:p>
    <w:p w14:paraId="076A9203">
      <w:pPr>
        <w:pageBreakBefore w:val="0"/>
        <w:tabs>
          <w:tab w:val="left" w:pos="780"/>
        </w:tabs>
        <w:wordWrap w:val="0"/>
        <w:topLinePunct w:val="0"/>
        <w:bidi w:val="0"/>
        <w:spacing w:after="0" w:line="360" w:lineRule="auto"/>
        <w:ind w:left="180" w:firstLine="480" w:firstLineChars="200"/>
        <w:textAlignment w:val="auto"/>
        <w:rPr>
          <w:rFonts w:hint="eastAsia" w:ascii="宋体" w:hAnsi="宋体" w:eastAsia="宋体" w:cs="宋体"/>
          <w:b/>
          <w:i w:val="0"/>
          <w:iCs w:val="0"/>
          <w:color w:val="000000"/>
          <w:sz w:val="24"/>
          <w:highlight w:val="none"/>
        </w:rPr>
      </w:pPr>
      <w:r>
        <w:rPr>
          <w:rFonts w:hint="eastAsia" w:ascii="宋体" w:hAnsi="宋体" w:eastAsia="宋体" w:cs="宋体"/>
          <w:bCs/>
          <w:i w:val="0"/>
          <w:iCs w:val="0"/>
          <w:color w:val="000000"/>
          <w:sz w:val="24"/>
          <w:highlight w:val="none"/>
        </w:rPr>
        <w:t>本协议自各方盖章后生效，采购合同履行完毕后自动失效。如未成交，本协议自动终止。</w:t>
      </w:r>
    </w:p>
    <w:p w14:paraId="4088E0AD">
      <w:pPr>
        <w:pageBreakBefore w:val="0"/>
        <w:wordWrap w:val="0"/>
        <w:topLinePunct w:val="0"/>
        <w:bidi w:val="0"/>
        <w:spacing w:after="0" w:line="360" w:lineRule="auto"/>
        <w:ind w:firstLine="471"/>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br w:type="page"/>
      </w:r>
    </w:p>
    <w:p w14:paraId="33E65A5F">
      <w:pPr>
        <w:pageBreakBefore w:val="0"/>
        <w:wordWrap w:val="0"/>
        <w:topLinePunct w:val="0"/>
        <w:bidi w:val="0"/>
        <w:spacing w:after="0" w:line="360" w:lineRule="auto"/>
        <w:ind w:firstLine="471"/>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联合体牵头人名称：</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rPr>
        <w:tab/>
      </w:r>
      <w:r>
        <w:rPr>
          <w:rFonts w:hint="eastAsia" w:ascii="宋体" w:hAnsi="宋体" w:eastAsia="宋体" w:cs="宋体"/>
          <w:i w:val="0"/>
          <w:iCs w:val="0"/>
          <w:color w:val="000000"/>
          <w:sz w:val="24"/>
          <w:highlight w:val="none"/>
        </w:rPr>
        <w:tab/>
      </w:r>
      <w:r>
        <w:rPr>
          <w:rFonts w:hint="eastAsia" w:ascii="宋体" w:hAnsi="宋体" w:eastAsia="宋体" w:cs="宋体"/>
          <w:i w:val="0"/>
          <w:iCs w:val="0"/>
          <w:color w:val="000000"/>
          <w:sz w:val="24"/>
          <w:highlight w:val="none"/>
        </w:rPr>
        <w:tab/>
      </w:r>
      <w:r>
        <w:rPr>
          <w:rFonts w:hint="eastAsia" w:ascii="宋体" w:hAnsi="宋体" w:eastAsia="宋体" w:cs="宋体"/>
          <w:i w:val="0"/>
          <w:iCs w:val="0"/>
          <w:color w:val="000000"/>
          <w:sz w:val="24"/>
          <w:highlight w:val="none"/>
        </w:rPr>
        <w:tab/>
      </w:r>
      <w:r>
        <w:rPr>
          <w:rFonts w:hint="eastAsia" w:ascii="宋体" w:hAnsi="宋体" w:eastAsia="宋体" w:cs="宋体"/>
          <w:i w:val="0"/>
          <w:iCs w:val="0"/>
          <w:color w:val="000000"/>
          <w:sz w:val="24"/>
          <w:highlight w:val="none"/>
        </w:rPr>
        <w:tab/>
      </w:r>
      <w:r>
        <w:rPr>
          <w:rFonts w:hint="eastAsia" w:ascii="宋体" w:hAnsi="宋体" w:eastAsia="宋体" w:cs="宋体"/>
          <w:i w:val="0"/>
          <w:iCs w:val="0"/>
          <w:color w:val="000000"/>
          <w:sz w:val="24"/>
          <w:highlight w:val="none"/>
        </w:rPr>
        <w:t xml:space="preserve"> 联合体成员名称：</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p>
    <w:p w14:paraId="319EB554">
      <w:pPr>
        <w:pageBreakBefore w:val="0"/>
        <w:wordWrap w:val="0"/>
        <w:topLinePunct w:val="0"/>
        <w:bidi w:val="0"/>
        <w:spacing w:after="0" w:line="360" w:lineRule="auto"/>
        <w:ind w:firstLine="471"/>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盖章：</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rPr>
        <w:t xml:space="preserve">                           盖章：</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p>
    <w:p w14:paraId="363DBCC5">
      <w:pPr>
        <w:pageBreakBefore w:val="0"/>
        <w:wordWrap w:val="0"/>
        <w:topLinePunct w:val="0"/>
        <w:bidi w:val="0"/>
        <w:spacing w:after="0" w:line="360" w:lineRule="auto"/>
        <w:ind w:firstLine="471"/>
        <w:textAlignment w:val="auto"/>
        <w:rPr>
          <w:rFonts w:hint="eastAsia" w:ascii="宋体" w:hAnsi="宋体" w:eastAsia="宋体" w:cs="宋体"/>
          <w:i w:val="0"/>
          <w:iCs w:val="0"/>
          <w:color w:val="000000"/>
          <w:sz w:val="24"/>
          <w:highlight w:val="none"/>
        </w:rPr>
      </w:pPr>
    </w:p>
    <w:p w14:paraId="55BBDDCA">
      <w:pPr>
        <w:pageBreakBefore w:val="0"/>
        <w:wordWrap w:val="0"/>
        <w:topLinePunct w:val="0"/>
        <w:bidi w:val="0"/>
        <w:spacing w:after="0" w:line="360" w:lineRule="auto"/>
        <w:ind w:firstLine="471"/>
        <w:textAlignment w:val="auto"/>
        <w:rPr>
          <w:rFonts w:hint="eastAsia" w:ascii="宋体" w:hAnsi="宋体" w:eastAsia="宋体" w:cs="宋体"/>
          <w:i w:val="0"/>
          <w:iCs w:val="0"/>
          <w:color w:val="000000"/>
          <w:sz w:val="24"/>
          <w:highlight w:val="none"/>
        </w:rPr>
      </w:pPr>
    </w:p>
    <w:p w14:paraId="6FCBC736">
      <w:pPr>
        <w:pageBreakBefore w:val="0"/>
        <w:wordWrap w:val="0"/>
        <w:topLinePunct w:val="0"/>
        <w:bidi w:val="0"/>
        <w:spacing w:after="0" w:line="360" w:lineRule="auto"/>
        <w:ind w:firstLine="471"/>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联合体成员名称：</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p>
    <w:p w14:paraId="17108589">
      <w:pPr>
        <w:pageBreakBefore w:val="0"/>
        <w:widowControl/>
        <w:wordWrap w:val="0"/>
        <w:topLinePunct w:val="0"/>
        <w:bidi w:val="0"/>
        <w:spacing w:after="0" w:line="360" w:lineRule="auto"/>
        <w:ind w:firstLine="480" w:firstLineChars="200"/>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盖章：</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rPr>
        <w:t xml:space="preserve">         </w:t>
      </w:r>
    </w:p>
    <w:p w14:paraId="18E4C5C4">
      <w:pPr>
        <w:pageBreakBefore w:val="0"/>
        <w:wordWrap w:val="0"/>
        <w:topLinePunct w:val="0"/>
        <w:bidi w:val="0"/>
        <w:spacing w:after="0" w:line="360" w:lineRule="auto"/>
        <w:ind w:left="480"/>
        <w:jc w:val="right"/>
        <w:textAlignment w:val="auto"/>
        <w:rPr>
          <w:rFonts w:hint="eastAsia" w:ascii="宋体" w:hAnsi="宋体" w:eastAsia="宋体" w:cs="宋体"/>
          <w:i w:val="0"/>
          <w:iCs w:val="0"/>
          <w:color w:val="000000"/>
          <w:sz w:val="24"/>
          <w:highlight w:val="none"/>
        </w:rPr>
      </w:pPr>
    </w:p>
    <w:p w14:paraId="2F78CC7B">
      <w:pPr>
        <w:pageBreakBefore w:val="0"/>
        <w:wordWrap w:val="0"/>
        <w:topLinePunct w:val="0"/>
        <w:bidi w:val="0"/>
        <w:spacing w:after="0" w:line="360" w:lineRule="auto"/>
        <w:ind w:left="480"/>
        <w:jc w:val="righ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日</w:t>
      </w:r>
    </w:p>
    <w:p w14:paraId="436D4DE3">
      <w:pPr>
        <w:pageBreakBefore w:val="0"/>
        <w:wordWrap w:val="0"/>
        <w:topLinePunct w:val="0"/>
        <w:bidi w:val="0"/>
        <w:spacing w:after="0" w:line="360" w:lineRule="auto"/>
        <w:ind w:left="480"/>
        <w:jc w:val="right"/>
        <w:textAlignment w:val="auto"/>
        <w:rPr>
          <w:rFonts w:hint="eastAsia" w:ascii="宋体" w:hAnsi="宋体" w:eastAsia="宋体" w:cs="宋体"/>
          <w:b/>
          <w:i w:val="0"/>
          <w:iCs w:val="0"/>
          <w:color w:val="000000"/>
          <w:sz w:val="24"/>
          <w:highlight w:val="none"/>
        </w:rPr>
      </w:pPr>
    </w:p>
    <w:p w14:paraId="0BDF9857">
      <w:pPr>
        <w:pageBreakBefore w:val="0"/>
        <w:tabs>
          <w:tab w:val="left" w:pos="8280"/>
        </w:tabs>
        <w:wordWrap w:val="0"/>
        <w:topLinePunct w:val="0"/>
        <w:bidi w:val="0"/>
        <w:spacing w:after="0" w:line="360" w:lineRule="auto"/>
        <w:ind w:firstLine="480"/>
        <w:textAlignment w:val="auto"/>
        <w:rPr>
          <w:rFonts w:hint="eastAsia" w:ascii="宋体" w:hAnsi="宋体" w:eastAsia="宋体" w:cs="宋体"/>
          <w:i w:val="0"/>
          <w:iCs w:val="0"/>
          <w:color w:val="000000"/>
          <w:sz w:val="24"/>
          <w:highlight w:val="none"/>
        </w:rPr>
      </w:pPr>
    </w:p>
    <w:p w14:paraId="024628B8">
      <w:pPr>
        <w:pageBreakBefore w:val="0"/>
        <w:wordWrap w:val="0"/>
        <w:topLinePunct w:val="0"/>
        <w:bidi w:val="0"/>
        <w:spacing w:after="0" w:line="360" w:lineRule="auto"/>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注：</w:t>
      </w:r>
    </w:p>
    <w:p w14:paraId="60374C38">
      <w:pPr>
        <w:pageBreakBefore w:val="0"/>
        <w:wordWrap w:val="0"/>
        <w:topLinePunct w:val="0"/>
        <w:bidi w:val="0"/>
        <w:spacing w:after="0" w:line="360" w:lineRule="auto"/>
        <w:ind w:firstLine="420" w:firstLineChars="0"/>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1. 如本项目（包）接受供应商以联合体形式参加采购活动，且供应商以联合体形式参与时，须</w:t>
      </w:r>
      <w:r>
        <w:rPr>
          <w:rFonts w:hint="eastAsia" w:ascii="宋体" w:hAnsi="宋体" w:eastAsia="宋体" w:cs="宋体"/>
          <w:i w:val="0"/>
          <w:iCs w:val="0"/>
          <w:color w:val="000000"/>
          <w:sz w:val="24"/>
          <w:highlight w:val="none"/>
          <w:lang w:eastAsia="zh-CN"/>
        </w:rPr>
        <w:t>提</w:t>
      </w:r>
      <w:r>
        <w:rPr>
          <w:rFonts w:hint="eastAsia" w:ascii="宋体" w:hAnsi="宋体" w:eastAsia="宋体" w:cs="宋体"/>
          <w:i w:val="0"/>
          <w:iCs w:val="0"/>
          <w:color w:val="000000"/>
          <w:sz w:val="24"/>
          <w:highlight w:val="none"/>
        </w:rPr>
        <w:t xml:space="preserve">供《联合协议》，否则响应无效。 </w:t>
      </w:r>
    </w:p>
    <w:p w14:paraId="5F460C9B">
      <w:pPr>
        <w:pageBreakBefore w:val="0"/>
        <w:wordWrap w:val="0"/>
        <w:topLinePunct w:val="0"/>
        <w:bidi w:val="0"/>
        <w:spacing w:after="0" w:line="360" w:lineRule="auto"/>
        <w:ind w:firstLine="420" w:firstLineChars="0"/>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2. 联合体各方成员需在本协议上共同盖章。</w:t>
      </w:r>
    </w:p>
    <w:p w14:paraId="2F2E8D3C">
      <w:pPr>
        <w:pageBreakBefore w:val="0"/>
        <w:widowControl/>
        <w:wordWrap w:val="0"/>
        <w:topLinePunct w:val="0"/>
        <w:bidi w:val="0"/>
        <w:spacing w:after="0" w:line="360" w:lineRule="auto"/>
        <w:jc w:val="left"/>
        <w:textAlignment w:val="auto"/>
        <w:rPr>
          <w:rFonts w:hint="eastAsia" w:ascii="宋体" w:hAnsi="宋体" w:eastAsia="宋体" w:cs="宋体"/>
          <w:i w:val="0"/>
          <w:iCs w:val="0"/>
          <w:sz w:val="24"/>
          <w:highlight w:val="none"/>
        </w:rPr>
      </w:pPr>
    </w:p>
    <w:p w14:paraId="5A43A98E">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sectPr>
          <w:pgSz w:w="11905" w:h="16838"/>
          <w:pgMar w:top="1474" w:right="1474" w:bottom="1474" w:left="1474" w:header="851" w:footer="992" w:gutter="0"/>
          <w:pgNumType w:fmt="decimal"/>
          <w:cols w:space="720" w:num="1"/>
          <w:rtlGutter w:val="0"/>
          <w:docGrid w:linePitch="462" w:charSpace="0"/>
        </w:sectPr>
      </w:pPr>
    </w:p>
    <w:p w14:paraId="714AEDC0">
      <w:pPr>
        <w:pageBreakBefore w:val="0"/>
        <w:wordWrap w:val="0"/>
        <w:topLinePunct w:val="0"/>
        <w:bidi w:val="0"/>
        <w:spacing w:after="0" w:line="360" w:lineRule="auto"/>
        <w:textAlignment w:val="auto"/>
        <w:outlineLvl w:val="2"/>
        <w:rPr>
          <w:rFonts w:hint="eastAsia" w:ascii="宋体" w:hAnsi="宋体" w:eastAsia="宋体" w:cs="宋体"/>
          <w:i w:val="0"/>
          <w:iCs w:val="0"/>
          <w:sz w:val="24"/>
          <w:szCs w:val="20"/>
          <w:highlight w:val="none"/>
        </w:rPr>
      </w:pPr>
      <w:r>
        <w:rPr>
          <w:rFonts w:hint="eastAsia" w:ascii="宋体" w:hAnsi="宋体" w:eastAsia="宋体" w:cs="宋体"/>
          <w:i w:val="0"/>
          <w:iCs w:val="0"/>
          <w:color w:val="000000"/>
          <w:sz w:val="24"/>
          <w:szCs w:val="20"/>
          <w:highlight w:val="none"/>
        </w:rPr>
        <w:t>3-2其他</w:t>
      </w:r>
      <w:r>
        <w:rPr>
          <w:rFonts w:hint="eastAsia" w:ascii="宋体" w:hAnsi="宋体" w:eastAsia="宋体" w:cs="宋体"/>
          <w:i w:val="0"/>
          <w:iCs w:val="0"/>
          <w:sz w:val="24"/>
          <w:szCs w:val="20"/>
          <w:highlight w:val="none"/>
        </w:rPr>
        <w:t>特定资格要求</w:t>
      </w:r>
    </w:p>
    <w:p w14:paraId="5E6C6930">
      <w:pPr>
        <w:pageBreakBefore w:val="0"/>
        <w:tabs>
          <w:tab w:val="left" w:pos="5580"/>
        </w:tabs>
        <w:wordWrap w:val="0"/>
        <w:topLinePunct w:val="0"/>
        <w:bidi w:val="0"/>
        <w:spacing w:after="0" w:line="360" w:lineRule="auto"/>
        <w:textAlignment w:val="auto"/>
        <w:rPr>
          <w:rFonts w:hint="eastAsia" w:ascii="宋体" w:hAnsi="宋体" w:eastAsia="宋体" w:cs="宋体"/>
          <w:i w:val="0"/>
          <w:iCs w:val="0"/>
          <w:sz w:val="24"/>
          <w:highlight w:val="none"/>
        </w:rPr>
      </w:pPr>
    </w:p>
    <w:p w14:paraId="28996C06">
      <w:pPr>
        <w:pageBreakBefore w:val="0"/>
        <w:widowControl/>
        <w:wordWrap w:val="0"/>
        <w:topLinePunct w:val="0"/>
        <w:bidi w:val="0"/>
        <w:spacing w:after="0" w:line="360" w:lineRule="auto"/>
        <w:jc w:val="left"/>
        <w:textAlignment w:val="auto"/>
        <w:rPr>
          <w:rFonts w:hint="eastAsia" w:ascii="宋体" w:hAnsi="宋体" w:eastAsia="宋体" w:cs="宋体"/>
          <w:i w:val="0"/>
          <w:iCs w:val="0"/>
          <w:sz w:val="24"/>
          <w:szCs w:val="20"/>
          <w:highlight w:val="none"/>
        </w:rPr>
      </w:pPr>
    </w:p>
    <w:p w14:paraId="2C80104D">
      <w:pPr>
        <w:pageBreakBefore w:val="0"/>
        <w:tabs>
          <w:tab w:val="left" w:pos="360"/>
        </w:tabs>
        <w:wordWrap w:val="0"/>
        <w:topLinePunct w:val="0"/>
        <w:bidi w:val="0"/>
        <w:snapToGrid w:val="0"/>
        <w:spacing w:after="0" w:line="360" w:lineRule="auto"/>
        <w:textAlignment w:val="auto"/>
        <w:outlineLvl w:val="1"/>
        <w:rPr>
          <w:rFonts w:hint="eastAsia" w:ascii="宋体" w:hAnsi="宋体" w:eastAsia="宋体" w:cs="宋体"/>
          <w:i w:val="0"/>
          <w:iCs w:val="0"/>
          <w:sz w:val="24"/>
          <w:highlight w:val="none"/>
        </w:rPr>
        <w:sectPr>
          <w:pgSz w:w="11905" w:h="16838"/>
          <w:pgMar w:top="1474" w:right="1474" w:bottom="1474" w:left="1474" w:header="851" w:footer="992" w:gutter="0"/>
          <w:pgNumType w:fmt="decimal"/>
          <w:cols w:space="720" w:num="1"/>
          <w:rtlGutter w:val="0"/>
          <w:docGrid w:linePitch="462" w:charSpace="0"/>
        </w:sectPr>
      </w:pPr>
    </w:p>
    <w:p w14:paraId="6C21B1D8">
      <w:pPr>
        <w:pageBreakBefore w:val="0"/>
        <w:tabs>
          <w:tab w:val="left" w:pos="360"/>
        </w:tabs>
        <w:wordWrap w:val="0"/>
        <w:topLinePunct w:val="0"/>
        <w:bidi w:val="0"/>
        <w:snapToGrid w:val="0"/>
        <w:spacing w:after="0" w:line="360" w:lineRule="auto"/>
        <w:textAlignment w:val="auto"/>
        <w:outlineLvl w:val="1"/>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4 磋商保证金凭证/交款单据电子件</w:t>
      </w:r>
    </w:p>
    <w:p w14:paraId="0072A431">
      <w:pPr>
        <w:pageBreakBefore w:val="0"/>
        <w:widowControl/>
        <w:wordWrap w:val="0"/>
        <w:topLinePunct w:val="0"/>
        <w:bidi w:val="0"/>
        <w:spacing w:after="0" w:line="360" w:lineRule="auto"/>
        <w:jc w:val="left"/>
        <w:textAlignment w:val="auto"/>
        <w:rPr>
          <w:rFonts w:hint="eastAsia" w:ascii="宋体" w:hAnsi="宋体" w:eastAsia="宋体" w:cs="宋体"/>
          <w:i w:val="0"/>
          <w:iCs w:val="0"/>
          <w:kern w:val="0"/>
          <w:sz w:val="24"/>
          <w:szCs w:val="20"/>
          <w:highlight w:val="none"/>
        </w:rPr>
      </w:pPr>
    </w:p>
    <w:p w14:paraId="1325B584">
      <w:pPr>
        <w:pageBreakBefore w:val="0"/>
        <w:widowControl/>
        <w:wordWrap w:val="0"/>
        <w:topLinePunct w:val="0"/>
        <w:bidi w:val="0"/>
        <w:spacing w:after="0" w:line="360" w:lineRule="auto"/>
        <w:jc w:val="left"/>
        <w:textAlignment w:val="auto"/>
        <w:rPr>
          <w:rFonts w:hint="eastAsia" w:ascii="宋体" w:hAnsi="宋体" w:eastAsia="宋体" w:cs="宋体"/>
          <w:b/>
          <w:i w:val="0"/>
          <w:iCs w:val="0"/>
          <w:sz w:val="24"/>
          <w:highlight w:val="none"/>
        </w:rPr>
      </w:pPr>
    </w:p>
    <w:p w14:paraId="4038D666">
      <w:pPr>
        <w:pageBreakBefore w:val="0"/>
        <w:tabs>
          <w:tab w:val="left" w:pos="360"/>
        </w:tabs>
        <w:wordWrap w:val="0"/>
        <w:topLinePunct w:val="0"/>
        <w:bidi w:val="0"/>
        <w:snapToGrid w:val="0"/>
        <w:spacing w:after="0" w:line="360" w:lineRule="auto"/>
        <w:textAlignment w:val="auto"/>
        <w:outlineLvl w:val="1"/>
        <w:rPr>
          <w:rFonts w:hint="eastAsia" w:ascii="宋体" w:hAnsi="宋体" w:eastAsia="宋体" w:cs="宋体"/>
          <w:i w:val="0"/>
          <w:iCs w:val="0"/>
          <w:sz w:val="24"/>
          <w:highlight w:val="none"/>
        </w:rPr>
        <w:sectPr>
          <w:pgSz w:w="11905" w:h="16838"/>
          <w:pgMar w:top="1474" w:right="1474" w:bottom="1474" w:left="1474" w:header="851" w:footer="992" w:gutter="0"/>
          <w:pgNumType w:fmt="decimal"/>
          <w:cols w:space="720" w:num="1"/>
          <w:rtlGutter w:val="0"/>
          <w:docGrid w:linePitch="462" w:charSpace="0"/>
        </w:sectPr>
      </w:pPr>
      <w:bookmarkStart w:id="1251" w:name="_Hlt520273711"/>
      <w:bookmarkEnd w:id="1251"/>
      <w:bookmarkStart w:id="1252" w:name="_Hlt520274407"/>
      <w:bookmarkEnd w:id="1252"/>
      <w:bookmarkStart w:id="1253" w:name="_Hlt520271212"/>
      <w:bookmarkEnd w:id="1253"/>
      <w:bookmarkStart w:id="1254" w:name="_Hlt520343392"/>
      <w:bookmarkEnd w:id="1254"/>
      <w:bookmarkStart w:id="1255" w:name="_Hlt520343000"/>
      <w:bookmarkEnd w:id="1255"/>
      <w:bookmarkStart w:id="1256" w:name="_Hlt520274393"/>
      <w:bookmarkEnd w:id="1256"/>
      <w:bookmarkStart w:id="1257" w:name="_Hlt520274121"/>
      <w:bookmarkEnd w:id="1257"/>
      <w:bookmarkStart w:id="1258" w:name="_Hlt520350918"/>
      <w:bookmarkEnd w:id="1258"/>
      <w:bookmarkStart w:id="1259" w:name="_Hlt520274065"/>
      <w:bookmarkEnd w:id="1259"/>
      <w:bookmarkStart w:id="1260" w:name="_Hlt520355504"/>
      <w:bookmarkEnd w:id="1260"/>
      <w:bookmarkStart w:id="1261" w:name="_Toc480942349"/>
      <w:bookmarkStart w:id="1262" w:name="_Ref467988698"/>
      <w:bookmarkStart w:id="1263" w:name="_Toc195842921"/>
      <w:bookmarkStart w:id="1264" w:name="_Toc127151556"/>
      <w:bookmarkStart w:id="1265" w:name="_Toc142311058"/>
      <w:bookmarkStart w:id="1266" w:name="_Toc150480794"/>
      <w:bookmarkStart w:id="1267" w:name="_Toc520356217"/>
      <w:bookmarkStart w:id="1268" w:name="_Toc226965746"/>
      <w:bookmarkStart w:id="1269" w:name="_Toc226337252"/>
      <w:bookmarkStart w:id="1270" w:name="_Toc150774761"/>
      <w:bookmarkStart w:id="1271" w:name="_Toc226965829"/>
      <w:bookmarkStart w:id="1272" w:name="_Toc226309800"/>
    </w:p>
    <w:p w14:paraId="4244DB02">
      <w:pPr>
        <w:pageBreakBefore w:val="0"/>
        <w:tabs>
          <w:tab w:val="left" w:pos="360"/>
        </w:tabs>
        <w:wordWrap w:val="0"/>
        <w:topLinePunct w:val="0"/>
        <w:bidi w:val="0"/>
        <w:snapToGrid w:val="0"/>
        <w:spacing w:after="0" w:line="360" w:lineRule="auto"/>
        <w:textAlignment w:val="auto"/>
        <w:outlineLvl w:val="1"/>
        <w:rPr>
          <w:rFonts w:hint="eastAsia" w:ascii="宋体" w:hAnsi="宋体" w:eastAsia="宋体" w:cs="宋体"/>
          <w:i w:val="0"/>
          <w:iCs w:val="0"/>
          <w:color w:val="000000"/>
          <w:sz w:val="24"/>
          <w:highlight w:val="none"/>
        </w:rPr>
      </w:pPr>
      <w:r>
        <w:rPr>
          <w:rFonts w:hint="eastAsia" w:ascii="宋体" w:hAnsi="宋体" w:eastAsia="宋体" w:cs="宋体"/>
          <w:i w:val="0"/>
          <w:iCs w:val="0"/>
          <w:sz w:val="24"/>
          <w:highlight w:val="none"/>
        </w:rPr>
        <w:t xml:space="preserve">5 </w:t>
      </w:r>
      <w:bookmarkEnd w:id="1261"/>
      <w:bookmarkEnd w:id="1262"/>
      <w:r>
        <w:rPr>
          <w:rFonts w:hint="eastAsia" w:ascii="宋体" w:hAnsi="宋体" w:eastAsia="宋体" w:cs="宋体"/>
          <w:i w:val="0"/>
          <w:iCs w:val="0"/>
          <w:sz w:val="24"/>
          <w:highlight w:val="none"/>
        </w:rPr>
        <w:t>响应书</w:t>
      </w:r>
      <w:bookmarkEnd w:id="1263"/>
      <w:bookmarkEnd w:id="1264"/>
      <w:bookmarkEnd w:id="1265"/>
      <w:bookmarkEnd w:id="1266"/>
      <w:bookmarkEnd w:id="1267"/>
      <w:bookmarkEnd w:id="1268"/>
      <w:bookmarkEnd w:id="1269"/>
      <w:bookmarkEnd w:id="1270"/>
      <w:bookmarkEnd w:id="1271"/>
      <w:bookmarkEnd w:id="1272"/>
      <w:r>
        <w:rPr>
          <w:rFonts w:hint="eastAsia" w:ascii="宋体" w:hAnsi="宋体" w:eastAsia="宋体" w:cs="宋体"/>
          <w:i w:val="0"/>
          <w:iCs w:val="0"/>
          <w:sz w:val="24"/>
          <w:highlight w:val="none"/>
        </w:rPr>
        <w:t>（实质性格式）</w:t>
      </w:r>
    </w:p>
    <w:p w14:paraId="2FFD25B5">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响应书</w:t>
      </w:r>
    </w:p>
    <w:p w14:paraId="516BA985">
      <w:pPr>
        <w:pageBreakBefore w:val="0"/>
        <w:tabs>
          <w:tab w:val="left" w:pos="5580"/>
        </w:tabs>
        <w:wordWrap w:val="0"/>
        <w:topLinePunct w:val="0"/>
        <w:bidi w:val="0"/>
        <w:spacing w:after="0" w:line="360" w:lineRule="auto"/>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致：</w:t>
      </w:r>
      <w:r>
        <w:rPr>
          <w:rFonts w:hint="eastAsia" w:ascii="宋体" w:hAnsi="宋体" w:eastAsia="宋体" w:cs="宋体"/>
          <w:i w:val="0"/>
          <w:iCs w:val="0"/>
          <w:color w:val="000000"/>
          <w:sz w:val="24"/>
          <w:highlight w:val="none"/>
          <w:u w:val="single"/>
        </w:rPr>
        <w:t>（采购人或采购代理机构）</w:t>
      </w:r>
    </w:p>
    <w:p w14:paraId="147E9AE0">
      <w:pPr>
        <w:pageBreakBefore w:val="0"/>
        <w:tabs>
          <w:tab w:val="left" w:pos="5580"/>
        </w:tabs>
        <w:wordWrap w:val="0"/>
        <w:topLinePunct w:val="0"/>
        <w:bidi w:val="0"/>
        <w:spacing w:after="0" w:line="360" w:lineRule="auto"/>
        <w:textAlignment w:val="auto"/>
        <w:rPr>
          <w:rFonts w:hint="eastAsia" w:ascii="宋体" w:hAnsi="宋体" w:eastAsia="宋体" w:cs="宋体"/>
          <w:i w:val="0"/>
          <w:iCs w:val="0"/>
          <w:color w:val="000000"/>
          <w:sz w:val="24"/>
          <w:szCs w:val="20"/>
          <w:highlight w:val="none"/>
        </w:rPr>
      </w:pPr>
    </w:p>
    <w:p w14:paraId="6F6F4810">
      <w:pPr>
        <w:pageBreakBefore w:val="0"/>
        <w:tabs>
          <w:tab w:val="left" w:pos="5580"/>
        </w:tabs>
        <w:wordWrap w:val="0"/>
        <w:topLinePunct w:val="0"/>
        <w:bidi w:val="0"/>
        <w:spacing w:after="0" w:line="360" w:lineRule="auto"/>
        <w:ind w:firstLine="408"/>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我方参加你方就</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color w:val="000000"/>
          <w:sz w:val="24"/>
          <w:szCs w:val="20"/>
          <w:highlight w:val="none"/>
        </w:rPr>
        <w:t>（项目名称，项目编号/包号）组织的采购活动，并对此项目进行磋商。</w:t>
      </w:r>
    </w:p>
    <w:p w14:paraId="23F076CD">
      <w:pPr>
        <w:pageBreakBefore w:val="0"/>
        <w:tabs>
          <w:tab w:val="left" w:pos="5580"/>
        </w:tabs>
        <w:wordWrap w:val="0"/>
        <w:topLinePunct w:val="0"/>
        <w:bidi w:val="0"/>
        <w:spacing w:after="0" w:line="360" w:lineRule="auto"/>
        <w:ind w:firstLine="408"/>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1. 我方</w:t>
      </w:r>
      <w:r>
        <w:rPr>
          <w:rFonts w:hint="eastAsia" w:ascii="宋体" w:hAnsi="宋体" w:eastAsia="宋体" w:cs="宋体"/>
          <w:i w:val="0"/>
          <w:iCs w:val="0"/>
          <w:color w:val="000000"/>
          <w:sz w:val="24"/>
          <w:highlight w:val="none"/>
        </w:rPr>
        <w:t>已详细审查全部竞争性磋商文件</w:t>
      </w:r>
      <w:r>
        <w:rPr>
          <w:rFonts w:hint="eastAsia" w:ascii="宋体" w:hAnsi="宋体" w:eastAsia="宋体" w:cs="宋体"/>
          <w:i w:val="0"/>
          <w:iCs w:val="0"/>
          <w:color w:val="000000"/>
          <w:sz w:val="24"/>
          <w:szCs w:val="20"/>
          <w:highlight w:val="none"/>
        </w:rPr>
        <w:t>，自愿参与磋商并承诺如下：</w:t>
      </w:r>
    </w:p>
    <w:p w14:paraId="4A5FD2C9">
      <w:pPr>
        <w:pageBreakBefore w:val="0"/>
        <w:tabs>
          <w:tab w:val="left" w:pos="720"/>
          <w:tab w:val="left" w:pos="900"/>
        </w:tabs>
        <w:wordWrap w:val="0"/>
        <w:topLinePunct w:val="0"/>
        <w:bidi w:val="0"/>
        <w:spacing w:after="0" w:line="360" w:lineRule="auto"/>
        <w:ind w:left="360" w:firstLine="72" w:firstLineChars="3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（1）本响应有效期为自响应文件提交截止之日起</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color w:val="000000"/>
          <w:sz w:val="24"/>
          <w:szCs w:val="20"/>
          <w:highlight w:val="none"/>
        </w:rPr>
        <w:t>个日历日。</w:t>
      </w:r>
    </w:p>
    <w:p w14:paraId="61896AEA">
      <w:pPr>
        <w:pageBreakBefore w:val="0"/>
        <w:tabs>
          <w:tab w:val="left" w:pos="720"/>
          <w:tab w:val="left" w:pos="900"/>
        </w:tabs>
        <w:wordWrap w:val="0"/>
        <w:topLinePunct w:val="0"/>
        <w:bidi w:val="0"/>
        <w:spacing w:after="0" w:line="360" w:lineRule="auto"/>
        <w:ind w:left="360" w:firstLine="72" w:firstLineChars="3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（2）除合同条款及采购需求偏离表列出的偏离外，我方响应竞争性磋商文件的全部要求。</w:t>
      </w:r>
    </w:p>
    <w:p w14:paraId="1B1DA901">
      <w:pPr>
        <w:pageBreakBefore w:val="0"/>
        <w:tabs>
          <w:tab w:val="left" w:pos="5580"/>
        </w:tabs>
        <w:wordWrap w:val="0"/>
        <w:topLinePunct w:val="0"/>
        <w:bidi w:val="0"/>
        <w:spacing w:after="0" w:line="360" w:lineRule="auto"/>
        <w:ind w:firstLine="420" w:firstLineChars="175"/>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（3）我方已提供的全部文件资料是真实、准确的，并对此承担一切法律后果。</w:t>
      </w:r>
    </w:p>
    <w:p w14:paraId="127C8820">
      <w:pPr>
        <w:pageBreakBefore w:val="0"/>
        <w:tabs>
          <w:tab w:val="left" w:pos="5580"/>
        </w:tabs>
        <w:wordWrap w:val="0"/>
        <w:topLinePunct w:val="0"/>
        <w:bidi w:val="0"/>
        <w:spacing w:after="0" w:line="360" w:lineRule="auto"/>
        <w:ind w:firstLine="420" w:firstLineChars="17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szCs w:val="20"/>
          <w:highlight w:val="none"/>
        </w:rPr>
        <w:t>（4）如我方成交，我方将在法律规定的期限内与你方签订合同，按照竞争性磋商文件要求提交履约保证金，并在合同约定的期限内完成合同规定的全部义务。</w:t>
      </w:r>
    </w:p>
    <w:p w14:paraId="5A64E97B">
      <w:pPr>
        <w:pageBreakBefore w:val="0"/>
        <w:wordWrap w:val="0"/>
        <w:topLinePunct w:val="0"/>
        <w:bidi w:val="0"/>
        <w:spacing w:after="0" w:line="360" w:lineRule="auto"/>
        <w:ind w:left="420"/>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2. 其他补充条款（如有）：</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color w:val="000000"/>
          <w:sz w:val="24"/>
          <w:highlight w:val="none"/>
        </w:rPr>
        <w:t>。</w:t>
      </w:r>
    </w:p>
    <w:p w14:paraId="6544CA86">
      <w:pPr>
        <w:pageBreakBefore w:val="0"/>
        <w:wordWrap w:val="0"/>
        <w:topLinePunct w:val="0"/>
        <w:bidi w:val="0"/>
        <w:spacing w:after="0" w:line="360" w:lineRule="auto"/>
        <w:ind w:firstLine="480" w:firstLineChars="200"/>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与本磋商有关的一切正式往来信函请寄：</w:t>
      </w:r>
    </w:p>
    <w:p w14:paraId="7B9A7361">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rPr>
      </w:pPr>
    </w:p>
    <w:p w14:paraId="6CE70A84">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地址</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color w:val="000000"/>
          <w:sz w:val="24"/>
          <w:szCs w:val="20"/>
          <w:highlight w:val="none"/>
        </w:rPr>
        <w:t xml:space="preserve">     </w:t>
      </w:r>
    </w:p>
    <w:p w14:paraId="489B2C85">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传真</w:t>
      </w:r>
      <w:r>
        <w:rPr>
          <w:rFonts w:hint="eastAsia" w:ascii="宋体" w:hAnsi="宋体" w:eastAsia="宋体" w:cs="宋体"/>
          <w:i w:val="0"/>
          <w:iCs w:val="0"/>
          <w:sz w:val="24"/>
          <w:highlight w:val="none"/>
          <w:u w:val="single"/>
          <w:lang w:val="en-US" w:eastAsia="zh-CN"/>
        </w:rPr>
        <w:t xml:space="preserve">                  </w:t>
      </w:r>
    </w:p>
    <w:p w14:paraId="16AE613F">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电话</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color w:val="000000"/>
          <w:sz w:val="24"/>
          <w:szCs w:val="20"/>
          <w:highlight w:val="none"/>
        </w:rPr>
        <w:t xml:space="preserve">      </w:t>
      </w:r>
    </w:p>
    <w:p w14:paraId="0A037369">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电子函件</w:t>
      </w:r>
      <w:r>
        <w:rPr>
          <w:rFonts w:hint="eastAsia" w:ascii="宋体" w:hAnsi="宋体" w:eastAsia="宋体" w:cs="宋体"/>
          <w:i w:val="0"/>
          <w:iCs w:val="0"/>
          <w:sz w:val="24"/>
          <w:highlight w:val="none"/>
          <w:u w:val="single"/>
          <w:lang w:val="en-US" w:eastAsia="zh-CN"/>
        </w:rPr>
        <w:t xml:space="preserve">                  </w:t>
      </w:r>
    </w:p>
    <w:p w14:paraId="17293165">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rPr>
      </w:pPr>
    </w:p>
    <w:p w14:paraId="42658A4A">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rPr>
      </w:pPr>
    </w:p>
    <w:p w14:paraId="7B7A7AC2">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rPr>
      </w:pPr>
    </w:p>
    <w:p w14:paraId="62FC55E3">
      <w:pPr>
        <w:pageBreakBefore w:val="0"/>
        <w:wordWrap w:val="0"/>
        <w:topLinePunct w:val="0"/>
        <w:autoSpaceDE w:val="0"/>
        <w:autoSpaceDN w:val="0"/>
        <w:bidi w:val="0"/>
        <w:adjustRightInd w:val="0"/>
        <w:snapToGrid w:val="0"/>
        <w:spacing w:before="25" w:after="0" w:line="360" w:lineRule="auto"/>
        <w:ind w:right="360" w:firstLine="360" w:firstLineChars="150"/>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供应商名称（加盖公章）</w:t>
      </w:r>
      <w:r>
        <w:rPr>
          <w:rFonts w:hint="eastAsia" w:ascii="宋体" w:hAnsi="宋体" w:eastAsia="宋体" w:cs="宋体"/>
          <w:i w:val="0"/>
          <w:iCs w:val="0"/>
          <w:color w:val="000000"/>
          <w:sz w:val="24"/>
          <w:highlight w:val="none"/>
          <w:lang w:val="zh-CN"/>
        </w:rPr>
        <w:t>：</w:t>
      </w:r>
      <w:r>
        <w:rPr>
          <w:rFonts w:hint="eastAsia" w:ascii="宋体" w:hAnsi="宋体" w:eastAsia="宋体" w:cs="宋体"/>
          <w:i w:val="0"/>
          <w:iCs w:val="0"/>
          <w:color w:val="000000"/>
          <w:sz w:val="24"/>
          <w:highlight w:val="none"/>
          <w:u w:val="single"/>
          <w:lang w:val="zh-CN"/>
        </w:rPr>
        <w:t xml:space="preserve">           </w:t>
      </w:r>
    </w:p>
    <w:p w14:paraId="5AE2BF3C">
      <w:pPr>
        <w:pageBreakBefore w:val="0"/>
        <w:tabs>
          <w:tab w:val="left" w:pos="5580"/>
        </w:tabs>
        <w:wordWrap w:val="0"/>
        <w:topLinePunct w:val="0"/>
        <w:bidi w:val="0"/>
        <w:spacing w:after="0" w:line="360" w:lineRule="auto"/>
        <w:ind w:firstLine="360" w:firstLineChars="15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 xml:space="preserve">日  </w:t>
      </w:r>
    </w:p>
    <w:p w14:paraId="364C1FF8">
      <w:pPr>
        <w:pageBreakBefore w:val="0"/>
        <w:widowControl/>
        <w:wordWrap w:val="0"/>
        <w:topLinePunct w:val="0"/>
        <w:bidi w:val="0"/>
        <w:spacing w:after="0" w:line="360" w:lineRule="auto"/>
        <w:jc w:val="left"/>
        <w:textAlignment w:val="auto"/>
        <w:rPr>
          <w:rFonts w:hint="eastAsia" w:ascii="宋体" w:hAnsi="宋体" w:eastAsia="宋体" w:cs="宋体"/>
          <w:b/>
          <w:i w:val="0"/>
          <w:iCs w:val="0"/>
          <w:color w:val="000000"/>
          <w:sz w:val="24"/>
          <w:szCs w:val="20"/>
          <w:highlight w:val="none"/>
        </w:rPr>
      </w:pPr>
    </w:p>
    <w:p w14:paraId="080BCD97">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sz w:val="24"/>
          <w:highlight w:val="none"/>
        </w:rPr>
      </w:pPr>
      <w:bookmarkStart w:id="1273" w:name="_Hlt520356243"/>
      <w:bookmarkEnd w:id="1273"/>
      <w:bookmarkStart w:id="1274" w:name="_Hlt520355938"/>
      <w:bookmarkEnd w:id="1274"/>
      <w:bookmarkStart w:id="1275" w:name="_Toc150480795"/>
      <w:bookmarkStart w:id="1276" w:name="_Toc142311059"/>
      <w:bookmarkStart w:id="1277" w:name="_Toc480942350"/>
      <w:bookmarkStart w:id="1278" w:name="_Toc265228395"/>
      <w:bookmarkStart w:id="1279" w:name="_Toc226337253"/>
      <w:bookmarkStart w:id="1280" w:name="_Ref467988705"/>
      <w:bookmarkStart w:id="1281" w:name="_Toc195842922"/>
      <w:bookmarkStart w:id="1282" w:name="_Toc127151557"/>
      <w:bookmarkStart w:id="1283" w:name="_Toc305158825"/>
      <w:bookmarkStart w:id="1284" w:name="_Toc226965747"/>
      <w:bookmarkStart w:id="1285" w:name="_Toc305158899"/>
      <w:bookmarkStart w:id="1286" w:name="_Toc226309801"/>
      <w:bookmarkStart w:id="1287" w:name="_Toc520356218"/>
      <w:bookmarkStart w:id="1288" w:name="_Toc264969247"/>
      <w:bookmarkStart w:id="1289" w:name="_Toc226965830"/>
      <w:bookmarkStart w:id="1290" w:name="_Toc150774762"/>
    </w:p>
    <w:p w14:paraId="433DA688">
      <w:pPr>
        <w:pageBreakBefore w:val="0"/>
        <w:tabs>
          <w:tab w:val="left" w:pos="360"/>
        </w:tabs>
        <w:wordWrap w:val="0"/>
        <w:topLinePunct w:val="0"/>
        <w:bidi w:val="0"/>
        <w:snapToGrid w:val="0"/>
        <w:spacing w:after="0" w:line="360" w:lineRule="auto"/>
        <w:textAlignment w:val="auto"/>
        <w:outlineLvl w:val="1"/>
        <w:rPr>
          <w:rFonts w:hint="eastAsia" w:ascii="宋体" w:hAnsi="宋体" w:eastAsia="宋体" w:cs="宋体"/>
          <w:i w:val="0"/>
          <w:iCs w:val="0"/>
          <w:sz w:val="24"/>
          <w:highlight w:val="none"/>
        </w:rPr>
        <w:sectPr>
          <w:pgSz w:w="11905" w:h="16838"/>
          <w:pgMar w:top="1474" w:right="1474" w:bottom="1474" w:left="1474" w:header="851" w:footer="992" w:gutter="0"/>
          <w:pgNumType w:fmt="decimal"/>
          <w:cols w:space="720" w:num="1"/>
          <w:rtlGutter w:val="0"/>
          <w:docGrid w:linePitch="462" w:charSpace="0"/>
        </w:sectPr>
      </w:pPr>
    </w:p>
    <w:p w14:paraId="192896A8">
      <w:pPr>
        <w:pageBreakBefore w:val="0"/>
        <w:tabs>
          <w:tab w:val="left" w:pos="360"/>
        </w:tabs>
        <w:wordWrap w:val="0"/>
        <w:topLinePunct w:val="0"/>
        <w:bidi w:val="0"/>
        <w:snapToGrid w:val="0"/>
        <w:spacing w:after="0" w:line="360" w:lineRule="auto"/>
        <w:textAlignment w:val="auto"/>
        <w:outlineLvl w:val="1"/>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rPr>
        <w:t>6 授权委托书</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实质性格式</w:t>
      </w:r>
      <w:r>
        <w:rPr>
          <w:rFonts w:hint="eastAsia" w:ascii="宋体" w:hAnsi="宋体" w:eastAsia="宋体" w:cs="宋体"/>
          <w:i w:val="0"/>
          <w:iCs w:val="0"/>
          <w:sz w:val="24"/>
          <w:highlight w:val="none"/>
          <w:lang w:eastAsia="zh-CN"/>
        </w:rPr>
        <w:t>）</w:t>
      </w:r>
    </w:p>
    <w:p w14:paraId="0270F5BA">
      <w:pPr>
        <w:pageBreakBefore w:val="0"/>
        <w:wordWrap w:val="0"/>
        <w:topLinePunct w:val="0"/>
        <w:autoSpaceDE w:val="0"/>
        <w:autoSpaceDN w:val="0"/>
        <w:bidi w:val="0"/>
        <w:adjustRightInd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授权委托书</w:t>
      </w:r>
    </w:p>
    <w:p w14:paraId="6F8CBAB2">
      <w:pPr>
        <w:pageBreakBefore w:val="0"/>
        <w:wordWrap w:val="0"/>
        <w:topLinePunct w:val="0"/>
        <w:bidi w:val="0"/>
        <w:spacing w:after="0" w:line="360" w:lineRule="auto"/>
        <w:ind w:firstLine="42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本人</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color w:val="000000"/>
          <w:sz w:val="24"/>
          <w:szCs w:val="20"/>
          <w:highlight w:val="none"/>
        </w:rPr>
        <w:t>（姓名）系</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color w:val="000000"/>
          <w:sz w:val="24"/>
          <w:szCs w:val="20"/>
          <w:highlight w:val="none"/>
        </w:rPr>
        <w:t>（供应商名称）的法定代表人（单位负责人），现委托</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color w:val="000000"/>
          <w:sz w:val="24"/>
          <w:szCs w:val="20"/>
          <w:highlight w:val="none"/>
        </w:rPr>
        <w:t>（姓名）为我方代理人。代理人根据授权，以我方名义签署、澄清确认、递交、撤回、修改</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color w:val="000000"/>
          <w:sz w:val="24"/>
          <w:szCs w:val="20"/>
          <w:highlight w:val="none"/>
        </w:rPr>
        <w:t>（项目名称）响应文件和处理有关事宜，其法律后果由我方承担。</w:t>
      </w:r>
    </w:p>
    <w:p w14:paraId="2DA8E5EF">
      <w:pPr>
        <w:pageBreakBefore w:val="0"/>
        <w:wordWrap w:val="0"/>
        <w:topLinePunct w:val="0"/>
        <w:bidi w:val="0"/>
        <w:spacing w:after="0" w:line="360" w:lineRule="auto"/>
        <w:ind w:firstLine="42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委托期限：自本授权委托书签署之日起至响应有效期届满之日止。</w:t>
      </w:r>
    </w:p>
    <w:p w14:paraId="311B213B">
      <w:pPr>
        <w:pageBreakBefore w:val="0"/>
        <w:wordWrap w:val="0"/>
        <w:topLinePunct w:val="0"/>
        <w:bidi w:val="0"/>
        <w:spacing w:after="0" w:line="360" w:lineRule="auto"/>
        <w:ind w:firstLine="42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代理人无转委托权。</w:t>
      </w:r>
      <w:r>
        <w:rPr>
          <w:rFonts w:hint="eastAsia" w:ascii="宋体" w:hAnsi="宋体" w:eastAsia="宋体" w:cs="宋体"/>
          <w:i w:val="0"/>
          <w:iCs w:val="0"/>
          <w:color w:val="000000"/>
          <w:sz w:val="24"/>
          <w:szCs w:val="20"/>
          <w:highlight w:val="none"/>
        </w:rPr>
        <w:cr/>
      </w:r>
    </w:p>
    <w:p w14:paraId="33F2359F">
      <w:pPr>
        <w:pageBreakBefore w:val="0"/>
        <w:wordWrap w:val="0"/>
        <w:topLinePunct w:val="0"/>
        <w:bidi w:val="0"/>
        <w:spacing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供应商名称（加盖公章）</w:t>
      </w:r>
      <w:r>
        <w:rPr>
          <w:rFonts w:hint="eastAsia" w:ascii="宋体" w:hAnsi="宋体" w:eastAsia="宋体" w:cs="宋体"/>
          <w:i w:val="0"/>
          <w:iCs w:val="0"/>
          <w:color w:val="000000"/>
          <w:sz w:val="24"/>
          <w:highlight w:val="none"/>
          <w:lang w:val="zh-CN"/>
        </w:rPr>
        <w:t>：</w:t>
      </w:r>
      <w:r>
        <w:rPr>
          <w:rFonts w:hint="eastAsia" w:ascii="宋体" w:hAnsi="宋体" w:eastAsia="宋体" w:cs="宋体"/>
          <w:i w:val="0"/>
          <w:iCs w:val="0"/>
          <w:color w:val="000000"/>
          <w:sz w:val="24"/>
          <w:highlight w:val="none"/>
          <w:u w:val="single"/>
          <w:lang w:val="zh-CN"/>
        </w:rPr>
        <w:t xml:space="preserve">           </w:t>
      </w:r>
    </w:p>
    <w:p w14:paraId="5D939D9F">
      <w:pPr>
        <w:pageBreakBefore w:val="0"/>
        <w:wordWrap w:val="0"/>
        <w:topLinePunct w:val="0"/>
        <w:bidi w:val="0"/>
        <w:spacing w:after="0" w:line="360" w:lineRule="auto"/>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法定代表人（单位负责人）（签字</w:t>
      </w:r>
      <w:r>
        <w:rPr>
          <w:rFonts w:hint="eastAsia" w:ascii="宋体" w:hAnsi="宋体" w:eastAsia="宋体" w:cs="宋体"/>
          <w:i w:val="0"/>
          <w:iCs w:val="0"/>
          <w:color w:val="000000"/>
          <w:sz w:val="24"/>
          <w:szCs w:val="20"/>
          <w:highlight w:val="none"/>
          <w:lang w:val="en-US" w:eastAsia="zh-CN"/>
        </w:rPr>
        <w:t>或</w:t>
      </w:r>
      <w:r>
        <w:rPr>
          <w:rFonts w:hint="eastAsia" w:ascii="宋体" w:hAnsi="宋体" w:eastAsia="宋体" w:cs="宋体"/>
          <w:i w:val="0"/>
          <w:iCs w:val="0"/>
          <w:color w:val="000000"/>
          <w:sz w:val="24"/>
          <w:szCs w:val="20"/>
          <w:highlight w:val="none"/>
        </w:rPr>
        <w:t>签章）：</w:t>
      </w:r>
      <w:r>
        <w:rPr>
          <w:rFonts w:hint="eastAsia" w:ascii="宋体" w:hAnsi="宋体" w:eastAsia="宋体" w:cs="宋体"/>
          <w:i w:val="0"/>
          <w:iCs w:val="0"/>
          <w:sz w:val="24"/>
          <w:highlight w:val="none"/>
          <w:u w:val="single"/>
          <w:lang w:val="en-US" w:eastAsia="zh-CN"/>
        </w:rPr>
        <w:t xml:space="preserve">          </w:t>
      </w:r>
    </w:p>
    <w:p w14:paraId="288B6D52">
      <w:pPr>
        <w:pageBreakBefore w:val="0"/>
        <w:wordWrap w:val="0"/>
        <w:topLinePunct w:val="0"/>
        <w:autoSpaceDE w:val="0"/>
        <w:autoSpaceDN w:val="0"/>
        <w:bidi w:val="0"/>
        <w:adjustRightInd w:val="0"/>
        <w:snapToGrid w:val="0"/>
        <w:spacing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委托代理人（签字</w:t>
      </w:r>
      <w:r>
        <w:rPr>
          <w:rFonts w:hint="eastAsia" w:ascii="宋体" w:hAnsi="宋体" w:eastAsia="宋体" w:cs="宋体"/>
          <w:i w:val="0"/>
          <w:iCs w:val="0"/>
          <w:color w:val="000000"/>
          <w:sz w:val="24"/>
          <w:highlight w:val="none"/>
          <w:lang w:val="en-US" w:eastAsia="zh-CN"/>
        </w:rPr>
        <w:t>或</w:t>
      </w:r>
      <w:r>
        <w:rPr>
          <w:rFonts w:hint="eastAsia" w:ascii="宋体" w:hAnsi="宋体" w:eastAsia="宋体" w:cs="宋体"/>
          <w:i w:val="0"/>
          <w:iCs w:val="0"/>
          <w:color w:val="000000"/>
          <w:sz w:val="24"/>
          <w:szCs w:val="20"/>
          <w:highlight w:val="none"/>
        </w:rPr>
        <w:t>签章</w:t>
      </w:r>
      <w:r>
        <w:rPr>
          <w:rFonts w:hint="eastAsia" w:ascii="宋体" w:hAnsi="宋体" w:eastAsia="宋体" w:cs="宋体"/>
          <w:i w:val="0"/>
          <w:iCs w:val="0"/>
          <w:color w:val="000000"/>
          <w:sz w:val="24"/>
          <w:highlight w:val="none"/>
        </w:rPr>
        <w:t>）：</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color w:val="000000"/>
          <w:sz w:val="24"/>
          <w:highlight w:val="none"/>
          <w:lang w:val="zh-CN"/>
        </w:rPr>
        <w:t xml:space="preserve">        </w:t>
      </w:r>
    </w:p>
    <w:p w14:paraId="7375980C">
      <w:pPr>
        <w:pageBreakBefore w:val="0"/>
        <w:wordWrap w:val="0"/>
        <w:topLinePunct w:val="0"/>
        <w:autoSpaceDE w:val="0"/>
        <w:autoSpaceDN w:val="0"/>
        <w:bidi w:val="0"/>
        <w:adjustRightInd w:val="0"/>
        <w:snapToGrid w:val="0"/>
        <w:spacing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日</w:t>
      </w:r>
    </w:p>
    <w:p w14:paraId="72344F99">
      <w:pPr>
        <w:pageBreakBefore w:val="0"/>
        <w:tabs>
          <w:tab w:val="left" w:pos="5580"/>
        </w:tabs>
        <w:wordWrap w:val="0"/>
        <w:topLinePunct w:val="0"/>
        <w:bidi w:val="0"/>
        <w:spacing w:after="0" w:line="360" w:lineRule="auto"/>
        <w:ind w:firstLine="480" w:firstLineChars="200"/>
        <w:textAlignment w:val="auto"/>
        <w:rPr>
          <w:rFonts w:hint="eastAsia" w:ascii="宋体" w:hAnsi="宋体" w:eastAsia="宋体" w:cs="宋体"/>
          <w:i w:val="0"/>
          <w:iCs w:val="0"/>
          <w:color w:val="000000"/>
          <w:sz w:val="24"/>
          <w:szCs w:val="20"/>
          <w:highlight w:val="none"/>
        </w:rPr>
      </w:pPr>
    </w:p>
    <w:p w14:paraId="320EAA73">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附：法定代表人（单位负责人）及委托代理人身份证明文件电子件：</w:t>
      </w:r>
    </w:p>
    <w:tbl>
      <w:tblPr>
        <w:tblStyle w:val="42"/>
        <w:tblW w:w="882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820"/>
      </w:tblGrid>
      <w:tr w14:paraId="20E755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68" w:hRule="atLeast"/>
        </w:trPr>
        <w:tc>
          <w:tcPr>
            <w:tcW w:w="8820" w:type="dxa"/>
            <w:noWrap w:val="0"/>
            <w:vAlign w:val="top"/>
          </w:tcPr>
          <w:p w14:paraId="70B832D3">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p w14:paraId="13174562">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p w14:paraId="194A6F1F">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p w14:paraId="4807E899">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tc>
      </w:tr>
    </w:tbl>
    <w:p w14:paraId="6B5E01F8">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说明：</w:t>
      </w:r>
    </w:p>
    <w:p w14:paraId="049B0932">
      <w:pPr>
        <w:pageBreakBefore w:val="0"/>
        <w:tabs>
          <w:tab w:val="left" w:pos="5580"/>
        </w:tabs>
        <w:wordWrap w:val="0"/>
        <w:topLinePunct w:val="0"/>
        <w:bidi w:val="0"/>
        <w:spacing w:after="0" w:line="360" w:lineRule="auto"/>
        <w:ind w:firstLine="420" w:firstLineChars="0"/>
        <w:jc w:val="left"/>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1.若供应商为事业单位或其他组织或分支机构，则法定代表人（单位负责人）处的签署人可为单位负责人。</w:t>
      </w:r>
    </w:p>
    <w:p w14:paraId="385F7A0B">
      <w:pPr>
        <w:pageBreakBefore w:val="0"/>
        <w:tabs>
          <w:tab w:val="left" w:pos="5580"/>
        </w:tabs>
        <w:wordWrap w:val="0"/>
        <w:topLinePunct w:val="0"/>
        <w:bidi w:val="0"/>
        <w:spacing w:after="0" w:line="360" w:lineRule="auto"/>
        <w:ind w:firstLine="420" w:firstLineChars="0"/>
        <w:jc w:val="left"/>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2.若响应文件中签字之处均为法定代表人（单位负责人）本人签署，则可不</w:t>
      </w:r>
      <w:r>
        <w:rPr>
          <w:rFonts w:hint="eastAsia" w:ascii="宋体" w:hAnsi="宋体" w:eastAsia="宋体" w:cs="宋体"/>
          <w:i w:val="0"/>
          <w:iCs w:val="0"/>
          <w:color w:val="000000"/>
          <w:sz w:val="24"/>
          <w:szCs w:val="20"/>
          <w:highlight w:val="none"/>
          <w:lang w:eastAsia="zh-CN"/>
        </w:rPr>
        <w:t>提</w:t>
      </w:r>
      <w:r>
        <w:rPr>
          <w:rFonts w:hint="eastAsia" w:ascii="宋体" w:hAnsi="宋体" w:eastAsia="宋体" w:cs="宋体"/>
          <w:i w:val="0"/>
          <w:iCs w:val="0"/>
          <w:color w:val="000000"/>
          <w:sz w:val="24"/>
          <w:szCs w:val="20"/>
          <w:highlight w:val="none"/>
        </w:rPr>
        <w:t>供本《授权委托书》，但须</w:t>
      </w:r>
      <w:r>
        <w:rPr>
          <w:rFonts w:hint="eastAsia" w:ascii="宋体" w:hAnsi="宋体" w:eastAsia="宋体" w:cs="宋体"/>
          <w:i w:val="0"/>
          <w:iCs w:val="0"/>
          <w:color w:val="000000"/>
          <w:sz w:val="24"/>
          <w:szCs w:val="20"/>
          <w:highlight w:val="none"/>
          <w:lang w:eastAsia="zh-CN"/>
        </w:rPr>
        <w:t>提</w:t>
      </w:r>
      <w:r>
        <w:rPr>
          <w:rFonts w:hint="eastAsia" w:ascii="宋体" w:hAnsi="宋体" w:eastAsia="宋体" w:cs="宋体"/>
          <w:i w:val="0"/>
          <w:iCs w:val="0"/>
          <w:color w:val="000000"/>
          <w:sz w:val="24"/>
          <w:szCs w:val="20"/>
          <w:highlight w:val="none"/>
        </w:rPr>
        <w:t>供《法定代表人（单位负责人）身份证明》；否则，不需要</w:t>
      </w:r>
      <w:r>
        <w:rPr>
          <w:rFonts w:hint="eastAsia" w:ascii="宋体" w:hAnsi="宋体" w:eastAsia="宋体" w:cs="宋体"/>
          <w:i w:val="0"/>
          <w:iCs w:val="0"/>
          <w:color w:val="000000"/>
          <w:sz w:val="24"/>
          <w:szCs w:val="20"/>
          <w:highlight w:val="none"/>
          <w:lang w:eastAsia="zh-CN"/>
        </w:rPr>
        <w:t>提</w:t>
      </w:r>
      <w:r>
        <w:rPr>
          <w:rFonts w:hint="eastAsia" w:ascii="宋体" w:hAnsi="宋体" w:eastAsia="宋体" w:cs="宋体"/>
          <w:i w:val="0"/>
          <w:iCs w:val="0"/>
          <w:color w:val="000000"/>
          <w:sz w:val="24"/>
          <w:szCs w:val="20"/>
          <w:highlight w:val="none"/>
        </w:rPr>
        <w:t>供《法定代表人（单位负责人）身份证明》。</w:t>
      </w:r>
    </w:p>
    <w:p w14:paraId="3B849416">
      <w:pPr>
        <w:pageBreakBefore w:val="0"/>
        <w:tabs>
          <w:tab w:val="left" w:pos="5580"/>
        </w:tabs>
        <w:wordWrap w:val="0"/>
        <w:topLinePunct w:val="0"/>
        <w:bidi w:val="0"/>
        <w:spacing w:after="0" w:line="360" w:lineRule="auto"/>
        <w:ind w:firstLine="420" w:firstLineChars="0"/>
        <w:jc w:val="left"/>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3.供应商为自然人的情形，可不</w:t>
      </w:r>
      <w:r>
        <w:rPr>
          <w:rFonts w:hint="eastAsia" w:ascii="宋体" w:hAnsi="宋体" w:eastAsia="宋体" w:cs="宋体"/>
          <w:i w:val="0"/>
          <w:iCs w:val="0"/>
          <w:color w:val="000000"/>
          <w:sz w:val="24"/>
          <w:szCs w:val="20"/>
          <w:highlight w:val="none"/>
          <w:lang w:eastAsia="zh-CN"/>
        </w:rPr>
        <w:t>提</w:t>
      </w:r>
      <w:r>
        <w:rPr>
          <w:rFonts w:hint="eastAsia" w:ascii="宋体" w:hAnsi="宋体" w:eastAsia="宋体" w:cs="宋体"/>
          <w:i w:val="0"/>
          <w:iCs w:val="0"/>
          <w:color w:val="000000"/>
          <w:sz w:val="24"/>
          <w:szCs w:val="20"/>
          <w:highlight w:val="none"/>
        </w:rPr>
        <w:t>供本《授权委托书》。</w:t>
      </w:r>
    </w:p>
    <w:p w14:paraId="14480E2D">
      <w:pPr>
        <w:pageBreakBefore w:val="0"/>
        <w:tabs>
          <w:tab w:val="left" w:pos="5580"/>
        </w:tabs>
        <w:wordWrap w:val="0"/>
        <w:topLinePunct w:val="0"/>
        <w:bidi w:val="0"/>
        <w:spacing w:after="0" w:line="360" w:lineRule="auto"/>
        <w:ind w:firstLine="420" w:firstLineChars="0"/>
        <w:jc w:val="left"/>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4.供应商应随本《授权委托书》同时</w:t>
      </w:r>
      <w:r>
        <w:rPr>
          <w:rFonts w:hint="eastAsia" w:ascii="宋体" w:hAnsi="宋体" w:eastAsia="宋体" w:cs="宋体"/>
          <w:i w:val="0"/>
          <w:iCs w:val="0"/>
          <w:color w:val="000000"/>
          <w:sz w:val="24"/>
          <w:szCs w:val="20"/>
          <w:highlight w:val="none"/>
          <w:lang w:eastAsia="zh-CN"/>
        </w:rPr>
        <w:t>提</w:t>
      </w:r>
      <w:r>
        <w:rPr>
          <w:rFonts w:hint="eastAsia" w:ascii="宋体" w:hAnsi="宋体" w:eastAsia="宋体" w:cs="宋体"/>
          <w:i w:val="0"/>
          <w:iCs w:val="0"/>
          <w:color w:val="000000"/>
          <w:sz w:val="24"/>
          <w:szCs w:val="20"/>
          <w:highlight w:val="none"/>
        </w:rPr>
        <w:t>供法定代表人（单位负责人）及委托代理人的有效的身份证</w:t>
      </w:r>
      <w:r>
        <w:rPr>
          <w:rFonts w:hint="eastAsia" w:ascii="宋体" w:hAnsi="宋体" w:cs="宋体"/>
          <w:i w:val="0"/>
          <w:iCs w:val="0"/>
          <w:color w:val="000000"/>
          <w:sz w:val="24"/>
          <w:szCs w:val="20"/>
          <w:highlight w:val="none"/>
          <w:lang w:val="en-US" w:eastAsia="zh-CN"/>
        </w:rPr>
        <w:t>或</w:t>
      </w:r>
      <w:r>
        <w:rPr>
          <w:rFonts w:hint="eastAsia" w:ascii="宋体" w:hAnsi="宋体" w:eastAsia="宋体" w:cs="宋体"/>
          <w:i w:val="0"/>
          <w:iCs w:val="0"/>
          <w:color w:val="000000"/>
          <w:sz w:val="24"/>
          <w:szCs w:val="20"/>
          <w:highlight w:val="none"/>
        </w:rPr>
        <w:t>护照等身份证明文件电子件。</w:t>
      </w:r>
      <w:r>
        <w:rPr>
          <w:rFonts w:hint="eastAsia" w:ascii="宋体" w:hAnsi="宋体" w:eastAsia="宋体" w:cs="宋体"/>
          <w:i w:val="0"/>
          <w:iCs w:val="0"/>
          <w:color w:val="000000"/>
          <w:sz w:val="24"/>
          <w:szCs w:val="20"/>
          <w:highlight w:val="none"/>
          <w:lang w:eastAsia="zh-CN"/>
        </w:rPr>
        <w:t>提</w:t>
      </w:r>
      <w:r>
        <w:rPr>
          <w:rFonts w:hint="eastAsia" w:ascii="宋体" w:hAnsi="宋体" w:eastAsia="宋体" w:cs="宋体"/>
          <w:i w:val="0"/>
          <w:iCs w:val="0"/>
          <w:color w:val="000000"/>
          <w:sz w:val="24"/>
          <w:szCs w:val="20"/>
          <w:highlight w:val="none"/>
        </w:rPr>
        <w:t>供身份证的，应同时</w:t>
      </w:r>
      <w:r>
        <w:rPr>
          <w:rFonts w:hint="eastAsia" w:ascii="宋体" w:hAnsi="宋体" w:eastAsia="宋体" w:cs="宋体"/>
          <w:i w:val="0"/>
          <w:iCs w:val="0"/>
          <w:color w:val="000000"/>
          <w:sz w:val="24"/>
          <w:szCs w:val="20"/>
          <w:highlight w:val="none"/>
          <w:lang w:eastAsia="zh-CN"/>
        </w:rPr>
        <w:t>提</w:t>
      </w:r>
      <w:r>
        <w:rPr>
          <w:rFonts w:hint="eastAsia" w:ascii="宋体" w:hAnsi="宋体" w:eastAsia="宋体" w:cs="宋体"/>
          <w:i w:val="0"/>
          <w:iCs w:val="0"/>
          <w:color w:val="000000"/>
          <w:sz w:val="24"/>
          <w:szCs w:val="20"/>
          <w:highlight w:val="none"/>
        </w:rPr>
        <w:t>供身份证双面电子件。</w:t>
      </w:r>
    </w:p>
    <w:p w14:paraId="71ACF6AF">
      <w:pPr>
        <w:pageBreakBefore w:val="0"/>
        <w:wordWrap w:val="0"/>
        <w:topLinePunct w:val="0"/>
        <w:autoSpaceDE w:val="0"/>
        <w:autoSpaceDN w:val="0"/>
        <w:bidi w:val="0"/>
        <w:adjustRightInd w:val="0"/>
        <w:spacing w:after="0" w:line="360" w:lineRule="auto"/>
        <w:jc w:val="center"/>
        <w:textAlignment w:val="auto"/>
        <w:rPr>
          <w:rFonts w:hint="eastAsia" w:ascii="宋体" w:hAnsi="宋体" w:eastAsia="宋体" w:cs="宋体"/>
          <w:b/>
          <w:i w:val="0"/>
          <w:iCs w:val="0"/>
          <w:color w:val="000000"/>
          <w:sz w:val="36"/>
          <w:szCs w:val="36"/>
          <w:highlight w:val="none"/>
        </w:rPr>
        <w:sectPr>
          <w:pgSz w:w="11905" w:h="16838"/>
          <w:pgMar w:top="1474" w:right="1474" w:bottom="1474" w:left="1474" w:header="851" w:footer="992" w:gutter="0"/>
          <w:pgNumType w:fmt="decimal"/>
          <w:cols w:space="720" w:num="1"/>
          <w:rtlGutter w:val="0"/>
          <w:docGrid w:linePitch="462" w:charSpace="0"/>
        </w:sectPr>
      </w:pPr>
    </w:p>
    <w:p w14:paraId="0EF52384">
      <w:pPr>
        <w:pageBreakBefore w:val="0"/>
        <w:wordWrap w:val="0"/>
        <w:topLinePunct w:val="0"/>
        <w:autoSpaceDE w:val="0"/>
        <w:autoSpaceDN w:val="0"/>
        <w:bidi w:val="0"/>
        <w:adjustRightInd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法定代表人（单位负责人）身份证明</w:t>
      </w:r>
    </w:p>
    <w:p w14:paraId="4ECB300D">
      <w:pPr>
        <w:pageBreakBefore w:val="0"/>
        <w:kinsoku w:val="0"/>
        <w:wordWrap w:val="0"/>
        <w:overflowPunct w:val="0"/>
        <w:topLinePunct w:val="0"/>
        <w:bidi w:val="0"/>
        <w:spacing w:after="0" w:line="360" w:lineRule="auto"/>
        <w:textAlignment w:val="auto"/>
        <w:rPr>
          <w:rFonts w:hint="eastAsia" w:ascii="宋体" w:hAnsi="宋体" w:eastAsia="宋体" w:cs="宋体"/>
          <w:i w:val="0"/>
          <w:iCs w:val="0"/>
          <w:sz w:val="20"/>
          <w:szCs w:val="20"/>
          <w:highlight w:val="none"/>
        </w:rPr>
      </w:pPr>
    </w:p>
    <w:p w14:paraId="6765DC04">
      <w:pPr>
        <w:pageBreakBefore w:val="0"/>
        <w:tabs>
          <w:tab w:val="left" w:pos="5580"/>
        </w:tabs>
        <w:wordWrap w:val="0"/>
        <w:topLinePunct w:val="0"/>
        <w:bidi w:val="0"/>
        <w:spacing w:after="0" w:line="360" w:lineRule="auto"/>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致：</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color w:val="000000"/>
          <w:sz w:val="24"/>
          <w:highlight w:val="none"/>
        </w:rPr>
        <w:t>（采购人或采购代理机构）</w:t>
      </w:r>
    </w:p>
    <w:p w14:paraId="540325F7">
      <w:pPr>
        <w:pStyle w:val="18"/>
        <w:pageBreakBefore w:val="0"/>
        <w:tabs>
          <w:tab w:val="left" w:pos="2412"/>
          <w:tab w:val="left" w:pos="3883"/>
          <w:tab w:val="left" w:pos="5352"/>
          <w:tab w:val="left" w:pos="6821"/>
        </w:tabs>
        <w:kinsoku w:val="0"/>
        <w:wordWrap w:val="0"/>
        <w:overflowPunct w:val="0"/>
        <w:topLinePunct w:val="0"/>
        <w:bidi w:val="0"/>
        <w:spacing w:after="0" w:line="360" w:lineRule="auto"/>
        <w:ind w:firstLine="480" w:firstLineChars="200"/>
        <w:textAlignment w:val="auto"/>
        <w:rPr>
          <w:rFonts w:hint="eastAsia" w:ascii="宋体" w:hAnsi="宋体" w:eastAsia="宋体" w:cs="宋体"/>
          <w:i w:val="0"/>
          <w:iCs w:val="0"/>
          <w:highlight w:val="none"/>
        </w:rPr>
      </w:pPr>
      <w:r>
        <w:rPr>
          <w:rFonts w:hint="eastAsia" w:ascii="宋体" w:hAnsi="宋体" w:eastAsia="宋体" w:cs="宋体"/>
          <w:i w:val="0"/>
          <w:iCs w:val="0"/>
          <w:highlight w:val="none"/>
        </w:rPr>
        <w:t>兹证明，</w:t>
      </w:r>
    </w:p>
    <w:p w14:paraId="393BE0DB">
      <w:pPr>
        <w:pStyle w:val="18"/>
        <w:pageBreakBefore w:val="0"/>
        <w:tabs>
          <w:tab w:val="left" w:pos="1690"/>
          <w:tab w:val="left" w:pos="3400"/>
          <w:tab w:val="left" w:pos="5110"/>
          <w:tab w:val="left" w:pos="6821"/>
        </w:tabs>
        <w:kinsoku w:val="0"/>
        <w:wordWrap w:val="0"/>
        <w:overflowPunct w:val="0"/>
        <w:topLinePunct w:val="0"/>
        <w:bidi w:val="0"/>
        <w:spacing w:after="0" w:line="360" w:lineRule="auto"/>
        <w:textAlignment w:val="auto"/>
        <w:rPr>
          <w:rFonts w:hint="eastAsia" w:ascii="宋体" w:hAnsi="宋体" w:eastAsia="宋体" w:cs="宋体"/>
          <w:i w:val="0"/>
          <w:iCs w:val="0"/>
          <w:highlight w:val="none"/>
        </w:rPr>
      </w:pPr>
      <w:r>
        <w:rPr>
          <w:rFonts w:hint="eastAsia" w:ascii="宋体" w:hAnsi="宋体" w:eastAsia="宋体" w:cs="宋体"/>
          <w:i w:val="0"/>
          <w:iCs w:val="0"/>
          <w:highlight w:val="none"/>
        </w:rPr>
        <w:t>姓名：</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highlight w:val="none"/>
        </w:rPr>
        <w:t>性别：</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highlight w:val="none"/>
        </w:rPr>
        <w:t>年龄：</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highlight w:val="none"/>
        </w:rPr>
        <w:t>职务：</w:t>
      </w:r>
      <w:r>
        <w:rPr>
          <w:rFonts w:hint="eastAsia" w:ascii="宋体" w:hAnsi="宋体" w:eastAsia="宋体" w:cs="宋体"/>
          <w:i w:val="0"/>
          <w:iCs w:val="0"/>
          <w:sz w:val="24"/>
          <w:highlight w:val="none"/>
          <w:u w:val="single"/>
          <w:lang w:val="en-US" w:eastAsia="zh-CN"/>
        </w:rPr>
        <w:t xml:space="preserve">        </w:t>
      </w:r>
    </w:p>
    <w:p w14:paraId="41506665">
      <w:pPr>
        <w:pStyle w:val="18"/>
        <w:pageBreakBefore w:val="0"/>
        <w:tabs>
          <w:tab w:val="left" w:pos="2412"/>
          <w:tab w:val="left" w:pos="3883"/>
          <w:tab w:val="left" w:pos="5352"/>
          <w:tab w:val="left" w:pos="6821"/>
        </w:tabs>
        <w:kinsoku w:val="0"/>
        <w:wordWrap w:val="0"/>
        <w:overflowPunct w:val="0"/>
        <w:topLinePunct w:val="0"/>
        <w:bidi w:val="0"/>
        <w:spacing w:after="0" w:line="360" w:lineRule="auto"/>
        <w:textAlignment w:val="auto"/>
        <w:rPr>
          <w:rFonts w:hint="eastAsia" w:ascii="宋体" w:hAnsi="宋体" w:eastAsia="宋体" w:cs="宋体"/>
          <w:i w:val="0"/>
          <w:iCs w:val="0"/>
          <w:highlight w:val="none"/>
        </w:rPr>
      </w:pPr>
    </w:p>
    <w:p w14:paraId="2039BC34">
      <w:pPr>
        <w:pStyle w:val="18"/>
        <w:pageBreakBefore w:val="0"/>
        <w:tabs>
          <w:tab w:val="left" w:pos="2250"/>
          <w:tab w:val="left" w:pos="2412"/>
          <w:tab w:val="left" w:pos="3883"/>
          <w:tab w:val="left" w:pos="5352"/>
          <w:tab w:val="left" w:pos="6821"/>
          <w:tab w:val="clear" w:pos="567"/>
        </w:tabs>
        <w:kinsoku w:val="0"/>
        <w:wordWrap w:val="0"/>
        <w:overflowPunct w:val="0"/>
        <w:topLinePunct w:val="0"/>
        <w:bidi w:val="0"/>
        <w:spacing w:after="0" w:line="360" w:lineRule="auto"/>
        <w:textAlignment w:val="auto"/>
        <w:rPr>
          <w:rFonts w:hint="eastAsia" w:ascii="宋体" w:hAnsi="宋体" w:eastAsia="宋体" w:cs="宋体"/>
          <w:i w:val="0"/>
          <w:iCs w:val="0"/>
          <w:highlight w:val="none"/>
        </w:rPr>
      </w:pPr>
      <w:r>
        <w:rPr>
          <w:rFonts w:hint="eastAsia" w:ascii="宋体" w:hAnsi="宋体" w:eastAsia="宋体" w:cs="宋体"/>
          <w:i w:val="0"/>
          <w:iCs w:val="0"/>
          <w:highlight w:val="none"/>
        </w:rPr>
        <w:t>系</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highlight w:val="none"/>
        </w:rPr>
        <w:t>（供应商名称）的法定代表人（单位负责人）。</w:t>
      </w:r>
    </w:p>
    <w:p w14:paraId="24BA639C">
      <w:pPr>
        <w:pStyle w:val="18"/>
        <w:pageBreakBefore w:val="0"/>
        <w:tabs>
          <w:tab w:val="left" w:pos="2412"/>
          <w:tab w:val="left" w:pos="3883"/>
          <w:tab w:val="left" w:pos="5352"/>
          <w:tab w:val="left" w:pos="6821"/>
        </w:tabs>
        <w:kinsoku w:val="0"/>
        <w:wordWrap w:val="0"/>
        <w:overflowPunct w:val="0"/>
        <w:topLinePunct w:val="0"/>
        <w:bidi w:val="0"/>
        <w:spacing w:after="0" w:line="360" w:lineRule="auto"/>
        <w:textAlignment w:val="auto"/>
        <w:rPr>
          <w:rFonts w:hint="eastAsia" w:ascii="宋体" w:hAnsi="宋体" w:eastAsia="宋体" w:cs="宋体"/>
          <w:i w:val="0"/>
          <w:iCs w:val="0"/>
          <w:highlight w:val="none"/>
        </w:rPr>
      </w:pPr>
    </w:p>
    <w:p w14:paraId="44F022D5">
      <w:pPr>
        <w:pStyle w:val="18"/>
        <w:pageBreakBefore w:val="0"/>
        <w:tabs>
          <w:tab w:val="left" w:pos="2412"/>
          <w:tab w:val="left" w:pos="3883"/>
          <w:tab w:val="left" w:pos="5352"/>
          <w:tab w:val="left" w:pos="6821"/>
        </w:tabs>
        <w:kinsoku w:val="0"/>
        <w:wordWrap w:val="0"/>
        <w:overflowPunct w:val="0"/>
        <w:topLinePunct w:val="0"/>
        <w:bidi w:val="0"/>
        <w:spacing w:after="0" w:line="360" w:lineRule="auto"/>
        <w:textAlignment w:val="auto"/>
        <w:rPr>
          <w:rFonts w:hint="eastAsia" w:ascii="宋体" w:hAnsi="宋体" w:eastAsia="宋体" w:cs="宋体"/>
          <w:i w:val="0"/>
          <w:iCs w:val="0"/>
          <w:highlight w:val="none"/>
        </w:rPr>
      </w:pPr>
    </w:p>
    <w:p w14:paraId="0BADFEB7">
      <w:pPr>
        <w:pStyle w:val="18"/>
        <w:pageBreakBefore w:val="0"/>
        <w:tabs>
          <w:tab w:val="left" w:pos="2412"/>
          <w:tab w:val="left" w:pos="3883"/>
          <w:tab w:val="left" w:pos="5352"/>
          <w:tab w:val="left" w:pos="6821"/>
        </w:tabs>
        <w:kinsoku w:val="0"/>
        <w:wordWrap w:val="0"/>
        <w:overflowPunct w:val="0"/>
        <w:topLinePunct w:val="0"/>
        <w:bidi w:val="0"/>
        <w:spacing w:after="0" w:line="360" w:lineRule="auto"/>
        <w:textAlignment w:val="auto"/>
        <w:rPr>
          <w:rFonts w:hint="eastAsia" w:ascii="宋体" w:hAnsi="宋体" w:eastAsia="宋体" w:cs="宋体"/>
          <w:i w:val="0"/>
          <w:iCs w:val="0"/>
          <w:highlight w:val="none"/>
        </w:rPr>
      </w:pPr>
    </w:p>
    <w:p w14:paraId="4844384E">
      <w:pPr>
        <w:pStyle w:val="18"/>
        <w:pageBreakBefore w:val="0"/>
        <w:kinsoku w:val="0"/>
        <w:wordWrap w:val="0"/>
        <w:overflowPunct w:val="0"/>
        <w:topLinePunct w:val="0"/>
        <w:bidi w:val="0"/>
        <w:spacing w:after="0" w:line="360" w:lineRule="auto"/>
        <w:ind w:right="-46"/>
        <w:textAlignment w:val="auto"/>
        <w:rPr>
          <w:rFonts w:hint="eastAsia" w:ascii="宋体" w:hAnsi="宋体" w:eastAsia="宋体" w:cs="宋体"/>
          <w:i w:val="0"/>
          <w:iCs w:val="0"/>
          <w:spacing w:val="-3"/>
          <w:highlight w:val="none"/>
          <w:lang w:eastAsia="zh-CN"/>
        </w:rPr>
      </w:pPr>
      <w:r>
        <w:rPr>
          <w:rFonts w:hint="eastAsia" w:ascii="宋体" w:hAnsi="宋体" w:eastAsia="宋体" w:cs="宋体"/>
          <w:i w:val="0"/>
          <w:iCs w:val="0"/>
          <w:spacing w:val="-3"/>
          <w:highlight w:val="none"/>
        </w:rPr>
        <w:t>附：法定代表人（单位负责人）身份证</w:t>
      </w:r>
      <w:r>
        <w:rPr>
          <w:rFonts w:hint="eastAsia" w:cs="宋体"/>
          <w:i w:val="0"/>
          <w:iCs w:val="0"/>
          <w:spacing w:val="-3"/>
          <w:highlight w:val="none"/>
          <w:lang w:val="en-US" w:eastAsia="zh-CN"/>
        </w:rPr>
        <w:t>或</w:t>
      </w:r>
      <w:r>
        <w:rPr>
          <w:rFonts w:hint="eastAsia" w:ascii="宋体" w:hAnsi="宋体" w:eastAsia="宋体" w:cs="宋体"/>
          <w:i w:val="0"/>
          <w:iCs w:val="0"/>
          <w:spacing w:val="-3"/>
          <w:highlight w:val="none"/>
        </w:rPr>
        <w:t>护照等身份证明文件电子件</w:t>
      </w:r>
      <w:r>
        <w:rPr>
          <w:rFonts w:hint="eastAsia" w:ascii="宋体" w:hAnsi="宋体" w:eastAsia="宋体" w:cs="宋体"/>
          <w:i w:val="0"/>
          <w:iCs w:val="0"/>
          <w:spacing w:val="-3"/>
          <w:highlight w:val="none"/>
          <w:lang w:eastAsia="zh-CN"/>
        </w:rPr>
        <w:t>：</w:t>
      </w:r>
    </w:p>
    <w:tbl>
      <w:tblPr>
        <w:tblStyle w:val="42"/>
        <w:tblW w:w="852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520"/>
      </w:tblGrid>
      <w:tr w14:paraId="025983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08" w:hRule="atLeast"/>
        </w:trPr>
        <w:tc>
          <w:tcPr>
            <w:tcW w:w="8520" w:type="dxa"/>
            <w:noWrap w:val="0"/>
            <w:vAlign w:val="top"/>
          </w:tcPr>
          <w:p w14:paraId="76218FB3">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p w14:paraId="457AC531">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tc>
      </w:tr>
    </w:tbl>
    <w:p w14:paraId="77DBCE81">
      <w:pPr>
        <w:pStyle w:val="18"/>
        <w:pageBreakBefore w:val="0"/>
        <w:kinsoku w:val="0"/>
        <w:wordWrap w:val="0"/>
        <w:overflowPunct w:val="0"/>
        <w:topLinePunct w:val="0"/>
        <w:bidi w:val="0"/>
        <w:spacing w:after="0" w:line="360" w:lineRule="auto"/>
        <w:ind w:right="4305"/>
        <w:textAlignment w:val="auto"/>
        <w:rPr>
          <w:rFonts w:hint="eastAsia" w:ascii="宋体" w:hAnsi="宋体" w:eastAsia="宋体" w:cs="宋体"/>
          <w:i w:val="0"/>
          <w:iCs w:val="0"/>
          <w:spacing w:val="-3"/>
          <w:highlight w:val="none"/>
        </w:rPr>
      </w:pPr>
    </w:p>
    <w:p w14:paraId="2CB02C42">
      <w:pPr>
        <w:pStyle w:val="18"/>
        <w:pageBreakBefore w:val="0"/>
        <w:kinsoku w:val="0"/>
        <w:wordWrap w:val="0"/>
        <w:overflowPunct w:val="0"/>
        <w:topLinePunct w:val="0"/>
        <w:bidi w:val="0"/>
        <w:spacing w:after="0" w:line="360" w:lineRule="auto"/>
        <w:ind w:right="4305"/>
        <w:textAlignment w:val="auto"/>
        <w:rPr>
          <w:rFonts w:hint="eastAsia" w:ascii="宋体" w:hAnsi="宋体" w:eastAsia="宋体" w:cs="宋体"/>
          <w:i w:val="0"/>
          <w:iCs w:val="0"/>
          <w:spacing w:val="-3"/>
          <w:highlight w:val="none"/>
        </w:rPr>
      </w:pPr>
    </w:p>
    <w:p w14:paraId="1FB69B80">
      <w:pPr>
        <w:pStyle w:val="18"/>
        <w:pageBreakBefore w:val="0"/>
        <w:kinsoku w:val="0"/>
        <w:wordWrap w:val="0"/>
        <w:overflowPunct w:val="0"/>
        <w:topLinePunct w:val="0"/>
        <w:bidi w:val="0"/>
        <w:spacing w:after="0" w:line="360" w:lineRule="auto"/>
        <w:ind w:right="4305"/>
        <w:textAlignment w:val="auto"/>
        <w:rPr>
          <w:rFonts w:hint="eastAsia" w:ascii="宋体" w:hAnsi="宋体" w:eastAsia="宋体" w:cs="宋体"/>
          <w:i w:val="0"/>
          <w:iCs w:val="0"/>
          <w:spacing w:val="-3"/>
          <w:highlight w:val="none"/>
        </w:rPr>
      </w:pPr>
    </w:p>
    <w:p w14:paraId="7C3EA70A">
      <w:pPr>
        <w:pageBreakBefore w:val="0"/>
        <w:wordWrap w:val="0"/>
        <w:topLinePunct w:val="0"/>
        <w:autoSpaceDE w:val="0"/>
        <w:autoSpaceDN w:val="0"/>
        <w:bidi w:val="0"/>
        <w:adjustRightInd w:val="0"/>
        <w:snapToGrid w:val="0"/>
        <w:spacing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供应商名称（加盖公章）</w:t>
      </w:r>
      <w:r>
        <w:rPr>
          <w:rFonts w:hint="eastAsia" w:ascii="宋体" w:hAnsi="宋体" w:eastAsia="宋体" w:cs="宋体"/>
          <w:i w:val="0"/>
          <w:iCs w:val="0"/>
          <w:color w:val="000000"/>
          <w:sz w:val="24"/>
          <w:highlight w:val="none"/>
          <w:lang w:val="zh-CN"/>
        </w:rPr>
        <w:t>：</w:t>
      </w:r>
      <w:r>
        <w:rPr>
          <w:rFonts w:hint="eastAsia" w:ascii="宋体" w:hAnsi="宋体" w:eastAsia="宋体" w:cs="宋体"/>
          <w:i w:val="0"/>
          <w:iCs w:val="0"/>
          <w:color w:val="000000"/>
          <w:sz w:val="24"/>
          <w:highlight w:val="none"/>
          <w:u w:val="single"/>
          <w:lang w:val="zh-CN"/>
        </w:rPr>
        <w:t xml:space="preserve">           </w:t>
      </w:r>
    </w:p>
    <w:p w14:paraId="73C619B9">
      <w:pPr>
        <w:pageBreakBefore w:val="0"/>
        <w:wordWrap w:val="0"/>
        <w:topLinePunct w:val="0"/>
        <w:autoSpaceDE w:val="0"/>
        <w:autoSpaceDN w:val="0"/>
        <w:bidi w:val="0"/>
        <w:adjustRightInd w:val="0"/>
        <w:snapToGrid w:val="0"/>
        <w:spacing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spacing w:val="-3"/>
          <w:sz w:val="24"/>
          <w:highlight w:val="none"/>
        </w:rPr>
        <w:t>法定代表人（</w:t>
      </w:r>
      <w:r>
        <w:rPr>
          <w:rFonts w:hint="eastAsia" w:ascii="宋体" w:hAnsi="宋体" w:eastAsia="宋体" w:cs="宋体"/>
          <w:i w:val="0"/>
          <w:iCs w:val="0"/>
          <w:sz w:val="24"/>
          <w:highlight w:val="none"/>
        </w:rPr>
        <w:t>单位负责人</w:t>
      </w:r>
      <w:r>
        <w:rPr>
          <w:rFonts w:hint="eastAsia" w:ascii="宋体" w:hAnsi="宋体" w:eastAsia="宋体" w:cs="宋体"/>
          <w:i w:val="0"/>
          <w:iCs w:val="0"/>
          <w:spacing w:val="-3"/>
          <w:sz w:val="24"/>
          <w:highlight w:val="none"/>
        </w:rPr>
        <w:t>）（签字</w:t>
      </w:r>
      <w:r>
        <w:rPr>
          <w:rFonts w:hint="eastAsia" w:ascii="宋体" w:hAnsi="宋体" w:eastAsia="宋体" w:cs="宋体"/>
          <w:i w:val="0"/>
          <w:iCs w:val="0"/>
          <w:spacing w:val="-3"/>
          <w:sz w:val="24"/>
          <w:highlight w:val="none"/>
          <w:lang w:val="en-US" w:eastAsia="zh-CN"/>
        </w:rPr>
        <w:t>或</w:t>
      </w:r>
      <w:r>
        <w:rPr>
          <w:rFonts w:hint="eastAsia" w:ascii="宋体" w:hAnsi="宋体" w:eastAsia="宋体" w:cs="宋体"/>
          <w:i w:val="0"/>
          <w:iCs w:val="0"/>
          <w:color w:val="000000"/>
          <w:sz w:val="24"/>
          <w:szCs w:val="20"/>
          <w:highlight w:val="none"/>
        </w:rPr>
        <w:t>签章</w:t>
      </w:r>
      <w:r>
        <w:rPr>
          <w:rFonts w:hint="eastAsia" w:ascii="宋体" w:hAnsi="宋体" w:eastAsia="宋体" w:cs="宋体"/>
          <w:i w:val="0"/>
          <w:iCs w:val="0"/>
          <w:spacing w:val="-3"/>
          <w:sz w:val="24"/>
          <w:highlight w:val="none"/>
        </w:rPr>
        <w:t>）：</w:t>
      </w:r>
      <w:r>
        <w:rPr>
          <w:rFonts w:hint="eastAsia" w:ascii="宋体" w:hAnsi="宋体" w:eastAsia="宋体" w:cs="宋体"/>
          <w:i w:val="0"/>
          <w:iCs w:val="0"/>
          <w:color w:val="000000"/>
          <w:sz w:val="24"/>
          <w:highlight w:val="none"/>
          <w:u w:val="single"/>
          <w:lang w:val="zh-CN"/>
        </w:rPr>
        <w:t xml:space="preserve">           </w:t>
      </w:r>
    </w:p>
    <w:p w14:paraId="65C09F92">
      <w:pPr>
        <w:pageBreakBefore w:val="0"/>
        <w:wordWrap w:val="0"/>
        <w:topLinePunct w:val="0"/>
        <w:autoSpaceDE w:val="0"/>
        <w:autoSpaceDN w:val="0"/>
        <w:bidi w:val="0"/>
        <w:adjustRightInd w:val="0"/>
        <w:snapToGrid w:val="0"/>
        <w:spacing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日</w:t>
      </w:r>
    </w:p>
    <w:p w14:paraId="64DCE301">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u w:val="single"/>
        </w:rPr>
      </w:pPr>
    </w:p>
    <w:p w14:paraId="37CD97BD">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p w14:paraId="590F0CE1">
      <w:pPr>
        <w:pageBreakBefore w:val="0"/>
        <w:tabs>
          <w:tab w:val="left" w:pos="360"/>
        </w:tabs>
        <w:wordWrap w:val="0"/>
        <w:topLinePunct w:val="0"/>
        <w:bidi w:val="0"/>
        <w:snapToGrid w:val="0"/>
        <w:spacing w:after="0" w:line="360" w:lineRule="auto"/>
        <w:textAlignment w:val="auto"/>
        <w:outlineLvl w:val="1"/>
        <w:rPr>
          <w:rFonts w:hint="eastAsia" w:ascii="宋体" w:hAnsi="宋体" w:eastAsia="宋体" w:cs="宋体"/>
          <w:i w:val="0"/>
          <w:iCs w:val="0"/>
          <w:sz w:val="24"/>
          <w:highlight w:val="none"/>
        </w:rPr>
        <w:sectPr>
          <w:pgSz w:w="11905" w:h="16838"/>
          <w:pgMar w:top="1474" w:right="1474" w:bottom="1474" w:left="1474" w:header="851" w:footer="992" w:gutter="0"/>
          <w:pgNumType w:fmt="decimal"/>
          <w:cols w:space="720" w:num="1"/>
          <w:rtlGutter w:val="0"/>
          <w:docGrid w:linePitch="462" w:charSpace="0"/>
        </w:sectPr>
      </w:pPr>
    </w:p>
    <w:p w14:paraId="060DCE97">
      <w:pPr>
        <w:pageBreakBefore w:val="0"/>
        <w:tabs>
          <w:tab w:val="left" w:pos="360"/>
        </w:tabs>
        <w:wordWrap w:val="0"/>
        <w:topLinePunct w:val="0"/>
        <w:bidi w:val="0"/>
        <w:snapToGrid w:val="0"/>
        <w:spacing w:after="0" w:line="360" w:lineRule="auto"/>
        <w:textAlignment w:val="auto"/>
        <w:outlineLvl w:val="1"/>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7 报价一览表</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14:paraId="66B524A3">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8"/>
          <w:szCs w:val="28"/>
          <w:highlight w:val="none"/>
        </w:rPr>
      </w:pPr>
      <w:bookmarkStart w:id="1291" w:name="_Toc305158900"/>
      <w:bookmarkStart w:id="1292" w:name="_Toc305158826"/>
      <w:bookmarkStart w:id="1293" w:name="_Toc265228396"/>
      <w:bookmarkStart w:id="1294" w:name="_Toc226965748"/>
      <w:bookmarkStart w:id="1295" w:name="_Toc164608827"/>
      <w:bookmarkStart w:id="1296" w:name="_Toc195842923"/>
      <w:bookmarkStart w:id="1297" w:name="_Toc226965831"/>
      <w:bookmarkStart w:id="1298" w:name="_Toc164608672"/>
      <w:bookmarkStart w:id="1299" w:name="_Toc226337254"/>
      <w:bookmarkStart w:id="1300" w:name="_Toc264969248"/>
      <w:bookmarkStart w:id="1301" w:name="_Toc226309802"/>
      <w:r>
        <w:rPr>
          <w:rFonts w:hint="eastAsia" w:ascii="宋体" w:hAnsi="宋体" w:eastAsia="宋体" w:cs="宋体"/>
          <w:b/>
          <w:i w:val="0"/>
          <w:iCs w:val="0"/>
          <w:color w:val="000000"/>
          <w:sz w:val="28"/>
          <w:szCs w:val="28"/>
          <w:highlight w:val="none"/>
        </w:rPr>
        <w:t>报价一览表</w:t>
      </w:r>
      <w:bookmarkEnd w:id="1291"/>
      <w:bookmarkEnd w:id="1292"/>
      <w:bookmarkEnd w:id="1293"/>
      <w:bookmarkEnd w:id="1294"/>
      <w:bookmarkEnd w:id="1295"/>
      <w:bookmarkEnd w:id="1296"/>
      <w:bookmarkEnd w:id="1297"/>
      <w:bookmarkEnd w:id="1298"/>
      <w:bookmarkEnd w:id="1299"/>
      <w:bookmarkEnd w:id="1300"/>
      <w:bookmarkEnd w:id="1301"/>
    </w:p>
    <w:p w14:paraId="684C0203">
      <w:pPr>
        <w:pageBreakBefore w:val="0"/>
        <w:tabs>
          <w:tab w:val="left" w:pos="1800"/>
          <w:tab w:val="left" w:pos="5580"/>
        </w:tabs>
        <w:wordWrap w:val="0"/>
        <w:topLinePunct w:val="0"/>
        <w:bidi w:val="0"/>
        <w:spacing w:after="0" w:line="360" w:lineRule="auto"/>
        <w:ind w:firstLine="240" w:firstLineChars="100"/>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项目编号：</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rPr>
        <w:t xml:space="preserve">     </w:t>
      </w:r>
    </w:p>
    <w:p w14:paraId="4801520C">
      <w:pPr>
        <w:pageBreakBefore w:val="0"/>
        <w:tabs>
          <w:tab w:val="left" w:pos="1800"/>
          <w:tab w:val="left" w:pos="5580"/>
        </w:tabs>
        <w:wordWrap w:val="0"/>
        <w:topLinePunct w:val="0"/>
        <w:bidi w:val="0"/>
        <w:spacing w:after="0" w:line="360" w:lineRule="auto"/>
        <w:ind w:firstLine="240" w:firstLineChars="100"/>
        <w:jc w:val="left"/>
        <w:textAlignment w:val="auto"/>
        <w:rPr>
          <w:rFonts w:hint="eastAsia" w:ascii="宋体" w:hAnsi="宋体" w:eastAsia="宋体" w:cs="宋体"/>
          <w:i w:val="0"/>
          <w:iCs w:val="0"/>
          <w:color w:val="000000"/>
          <w:sz w:val="24"/>
          <w:highlight w:val="none"/>
          <w:u w:val="single"/>
        </w:rPr>
      </w:pPr>
      <w:r>
        <w:rPr>
          <w:rFonts w:hint="eastAsia" w:ascii="宋体" w:hAnsi="宋体" w:eastAsia="宋体" w:cs="宋体"/>
          <w:i w:val="0"/>
          <w:iCs w:val="0"/>
          <w:color w:val="000000"/>
          <w:sz w:val="24"/>
          <w:highlight w:val="none"/>
        </w:rPr>
        <w:t>项目名称：</w:t>
      </w:r>
      <w:r>
        <w:rPr>
          <w:rFonts w:hint="eastAsia" w:ascii="宋体" w:hAnsi="宋体" w:eastAsia="宋体" w:cs="宋体"/>
          <w:i w:val="0"/>
          <w:iCs w:val="0"/>
          <w:color w:val="000000"/>
          <w:sz w:val="24"/>
          <w:highlight w:val="none"/>
          <w:u w:val="single"/>
          <w:lang w:val="zh-CN"/>
        </w:rPr>
        <w:t xml:space="preserve">           </w:t>
      </w:r>
    </w:p>
    <w:tbl>
      <w:tblPr>
        <w:tblStyle w:val="42"/>
        <w:tblW w:w="44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00"/>
        <w:gridCol w:w="3164"/>
        <w:gridCol w:w="2000"/>
        <w:gridCol w:w="2105"/>
      </w:tblGrid>
      <w:tr w14:paraId="23B7C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96" w:type="pct"/>
            <w:vMerge w:val="restart"/>
            <w:tcBorders>
              <w:top w:val="single" w:color="auto" w:sz="4" w:space="0"/>
              <w:left w:val="single" w:color="auto" w:sz="4" w:space="0"/>
              <w:bottom w:val="single" w:color="auto" w:sz="4" w:space="0"/>
              <w:right w:val="single" w:color="auto" w:sz="4" w:space="0"/>
            </w:tcBorders>
            <w:noWrap w:val="0"/>
            <w:vAlign w:val="center"/>
          </w:tcPr>
          <w:p w14:paraId="27F263DC">
            <w:pPr>
              <w:pageBreakBefore w:val="0"/>
              <w:tabs>
                <w:tab w:val="left" w:pos="5580"/>
              </w:tabs>
              <w:wordWrap w:val="0"/>
              <w:topLinePunct w:val="0"/>
              <w:bidi w:val="0"/>
              <w:spacing w:after="0" w:line="360" w:lineRule="auto"/>
              <w:jc w:val="center"/>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lang w:val="en-US" w:eastAsia="zh-CN"/>
              </w:rPr>
              <w:t>包</w:t>
            </w:r>
            <w:r>
              <w:rPr>
                <w:rFonts w:hint="eastAsia" w:ascii="宋体" w:hAnsi="宋体" w:eastAsia="宋体" w:cs="宋体"/>
                <w:b/>
                <w:i w:val="0"/>
                <w:iCs w:val="0"/>
                <w:sz w:val="24"/>
                <w:highlight w:val="none"/>
              </w:rPr>
              <w:t>号</w:t>
            </w:r>
          </w:p>
        </w:tc>
        <w:tc>
          <w:tcPr>
            <w:tcW w:w="1960" w:type="pct"/>
            <w:vMerge w:val="restart"/>
            <w:tcBorders>
              <w:top w:val="single" w:color="auto" w:sz="4" w:space="0"/>
              <w:left w:val="single" w:color="auto" w:sz="4" w:space="0"/>
              <w:bottom w:val="single" w:color="auto" w:sz="4" w:space="0"/>
              <w:right w:val="single" w:color="auto" w:sz="4" w:space="0"/>
            </w:tcBorders>
            <w:noWrap w:val="0"/>
            <w:vAlign w:val="center"/>
          </w:tcPr>
          <w:p w14:paraId="7F4A0551">
            <w:pPr>
              <w:pageBreakBefore w:val="0"/>
              <w:tabs>
                <w:tab w:val="left" w:pos="5580"/>
              </w:tabs>
              <w:wordWrap w:val="0"/>
              <w:topLinePunct w:val="0"/>
              <w:bidi w:val="0"/>
              <w:spacing w:after="0" w:line="360" w:lineRule="auto"/>
              <w:jc w:val="center"/>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供应商名称</w:t>
            </w:r>
          </w:p>
        </w:tc>
        <w:tc>
          <w:tcPr>
            <w:tcW w:w="2543" w:type="pct"/>
            <w:gridSpan w:val="2"/>
            <w:tcBorders>
              <w:top w:val="single" w:color="auto" w:sz="4" w:space="0"/>
              <w:left w:val="single" w:color="auto" w:sz="4" w:space="0"/>
              <w:bottom w:val="single" w:color="auto" w:sz="4" w:space="0"/>
              <w:right w:val="single" w:color="auto" w:sz="4" w:space="0"/>
            </w:tcBorders>
            <w:noWrap w:val="0"/>
            <w:vAlign w:val="center"/>
          </w:tcPr>
          <w:p w14:paraId="5F376319">
            <w:pPr>
              <w:pageBreakBefore w:val="0"/>
              <w:tabs>
                <w:tab w:val="left" w:pos="5580"/>
              </w:tabs>
              <w:wordWrap w:val="0"/>
              <w:topLinePunct w:val="0"/>
              <w:bidi w:val="0"/>
              <w:spacing w:after="0" w:line="360" w:lineRule="auto"/>
              <w:jc w:val="center"/>
              <w:textAlignment w:val="auto"/>
              <w:rPr>
                <w:rFonts w:hint="eastAsia" w:ascii="宋体" w:hAnsi="宋体" w:eastAsia="宋体" w:cs="宋体"/>
                <w:b/>
                <w:i w:val="0"/>
                <w:iCs w:val="0"/>
                <w:sz w:val="24"/>
                <w:highlight w:val="none"/>
                <w:lang w:eastAsia="zh-CN"/>
              </w:rPr>
            </w:pPr>
            <w:r>
              <w:rPr>
                <w:rFonts w:hint="eastAsia" w:ascii="宋体" w:hAnsi="宋体" w:eastAsia="宋体" w:cs="宋体"/>
                <w:b/>
                <w:i w:val="0"/>
                <w:iCs w:val="0"/>
                <w:sz w:val="24"/>
                <w:highlight w:val="none"/>
              </w:rPr>
              <w:t>报价</w:t>
            </w:r>
            <w:r>
              <w:rPr>
                <w:rFonts w:hint="eastAsia" w:ascii="宋体" w:hAnsi="宋体" w:eastAsia="宋体" w:cs="宋体"/>
                <w:b/>
                <w:i w:val="0"/>
                <w:iCs w:val="0"/>
                <w:sz w:val="24"/>
                <w:highlight w:val="none"/>
                <w:lang w:eastAsia="zh-CN"/>
              </w:rPr>
              <w:t>（</w:t>
            </w:r>
            <w:r>
              <w:rPr>
                <w:rFonts w:hint="eastAsia" w:ascii="宋体" w:hAnsi="宋体" w:eastAsia="宋体" w:cs="宋体"/>
                <w:b/>
                <w:i w:val="0"/>
                <w:iCs w:val="0"/>
                <w:sz w:val="24"/>
                <w:highlight w:val="none"/>
                <w:lang w:val="en-US" w:eastAsia="zh-CN"/>
              </w:rPr>
              <w:t>元</w:t>
            </w:r>
            <w:r>
              <w:rPr>
                <w:rFonts w:hint="eastAsia" w:ascii="宋体" w:hAnsi="宋体" w:eastAsia="宋体" w:cs="宋体"/>
                <w:b/>
                <w:i w:val="0"/>
                <w:iCs w:val="0"/>
                <w:sz w:val="24"/>
                <w:highlight w:val="none"/>
                <w:lang w:eastAsia="zh-CN"/>
              </w:rPr>
              <w:t>）</w:t>
            </w:r>
          </w:p>
        </w:tc>
      </w:tr>
      <w:tr w14:paraId="19A8A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2B7C40CA">
            <w:pPr>
              <w:pageBreakBefore w:val="0"/>
              <w:widowControl/>
              <w:wordWrap w:val="0"/>
              <w:topLinePunct w:val="0"/>
              <w:bidi w:val="0"/>
              <w:spacing w:after="0" w:line="360" w:lineRule="auto"/>
              <w:jc w:val="left"/>
              <w:textAlignment w:val="auto"/>
              <w:rPr>
                <w:rFonts w:hint="eastAsia" w:ascii="宋体" w:hAnsi="宋体" w:eastAsia="宋体" w:cs="宋体"/>
                <w:b/>
                <w:i w:val="0"/>
                <w:iCs w:val="0"/>
                <w:sz w:val="24"/>
                <w:highlight w:val="none"/>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31203E07">
            <w:pPr>
              <w:pageBreakBefore w:val="0"/>
              <w:widowControl/>
              <w:wordWrap w:val="0"/>
              <w:topLinePunct w:val="0"/>
              <w:bidi w:val="0"/>
              <w:spacing w:after="0" w:line="360" w:lineRule="auto"/>
              <w:jc w:val="left"/>
              <w:textAlignment w:val="auto"/>
              <w:rPr>
                <w:rFonts w:hint="eastAsia" w:ascii="宋体" w:hAnsi="宋体" w:eastAsia="宋体" w:cs="宋体"/>
                <w:b/>
                <w:i w:val="0"/>
                <w:iCs w:val="0"/>
                <w:sz w:val="24"/>
                <w:highlight w:val="none"/>
              </w:rPr>
            </w:pPr>
          </w:p>
        </w:tc>
        <w:tc>
          <w:tcPr>
            <w:tcW w:w="1239" w:type="pct"/>
            <w:tcBorders>
              <w:top w:val="single" w:color="auto" w:sz="4" w:space="0"/>
              <w:left w:val="single" w:color="auto" w:sz="4" w:space="0"/>
              <w:bottom w:val="single" w:color="auto" w:sz="4" w:space="0"/>
              <w:right w:val="single" w:color="auto" w:sz="4" w:space="0"/>
            </w:tcBorders>
            <w:noWrap w:val="0"/>
            <w:vAlign w:val="center"/>
          </w:tcPr>
          <w:p w14:paraId="6E930DB5">
            <w:pPr>
              <w:pageBreakBefore w:val="0"/>
              <w:tabs>
                <w:tab w:val="left" w:pos="5580"/>
              </w:tabs>
              <w:wordWrap w:val="0"/>
              <w:topLinePunct w:val="0"/>
              <w:bidi w:val="0"/>
              <w:spacing w:after="0" w:line="360" w:lineRule="auto"/>
              <w:jc w:val="center"/>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大写</w:t>
            </w:r>
          </w:p>
        </w:tc>
        <w:tc>
          <w:tcPr>
            <w:tcW w:w="1304" w:type="pct"/>
            <w:tcBorders>
              <w:top w:val="single" w:color="auto" w:sz="4" w:space="0"/>
              <w:left w:val="single" w:color="auto" w:sz="4" w:space="0"/>
              <w:bottom w:val="single" w:color="auto" w:sz="4" w:space="0"/>
              <w:right w:val="single" w:color="auto" w:sz="4" w:space="0"/>
            </w:tcBorders>
            <w:noWrap w:val="0"/>
            <w:vAlign w:val="center"/>
          </w:tcPr>
          <w:p w14:paraId="74B53C3D">
            <w:pPr>
              <w:pageBreakBefore w:val="0"/>
              <w:tabs>
                <w:tab w:val="left" w:pos="5580"/>
              </w:tabs>
              <w:wordWrap w:val="0"/>
              <w:topLinePunct w:val="0"/>
              <w:bidi w:val="0"/>
              <w:spacing w:after="0" w:line="360" w:lineRule="auto"/>
              <w:jc w:val="center"/>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小写</w:t>
            </w:r>
          </w:p>
        </w:tc>
      </w:tr>
      <w:tr w14:paraId="1E422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96" w:type="pct"/>
            <w:tcBorders>
              <w:top w:val="single" w:color="auto" w:sz="4" w:space="0"/>
              <w:left w:val="single" w:color="auto" w:sz="4" w:space="0"/>
              <w:bottom w:val="single" w:color="auto" w:sz="4" w:space="0"/>
              <w:right w:val="single" w:color="auto" w:sz="4" w:space="0"/>
            </w:tcBorders>
            <w:noWrap w:val="0"/>
            <w:vAlign w:val="center"/>
          </w:tcPr>
          <w:p w14:paraId="7A1E1D35">
            <w:pPr>
              <w:pageBreakBefore w:val="0"/>
              <w:tabs>
                <w:tab w:val="left" w:pos="5580"/>
              </w:tabs>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1960" w:type="pct"/>
            <w:tcBorders>
              <w:top w:val="single" w:color="auto" w:sz="4" w:space="0"/>
              <w:left w:val="single" w:color="auto" w:sz="4" w:space="0"/>
              <w:bottom w:val="single" w:color="auto" w:sz="4" w:space="0"/>
              <w:right w:val="single" w:color="auto" w:sz="4" w:space="0"/>
            </w:tcBorders>
            <w:noWrap w:val="0"/>
            <w:vAlign w:val="center"/>
          </w:tcPr>
          <w:p w14:paraId="4B257F72">
            <w:pPr>
              <w:pageBreakBefore w:val="0"/>
              <w:tabs>
                <w:tab w:val="left" w:pos="5580"/>
              </w:tabs>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1239" w:type="pct"/>
            <w:tcBorders>
              <w:top w:val="single" w:color="auto" w:sz="4" w:space="0"/>
              <w:left w:val="single" w:color="auto" w:sz="4" w:space="0"/>
              <w:bottom w:val="single" w:color="auto" w:sz="4" w:space="0"/>
              <w:right w:val="single" w:color="auto" w:sz="4" w:space="0"/>
            </w:tcBorders>
            <w:noWrap w:val="0"/>
            <w:vAlign w:val="center"/>
          </w:tcPr>
          <w:p w14:paraId="67A1809B">
            <w:pPr>
              <w:pageBreakBefore w:val="0"/>
              <w:tabs>
                <w:tab w:val="left" w:pos="5580"/>
              </w:tabs>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1304" w:type="pct"/>
            <w:tcBorders>
              <w:top w:val="single" w:color="auto" w:sz="4" w:space="0"/>
              <w:left w:val="single" w:color="auto" w:sz="4" w:space="0"/>
              <w:bottom w:val="single" w:color="auto" w:sz="4" w:space="0"/>
              <w:right w:val="single" w:color="auto" w:sz="4" w:space="0"/>
            </w:tcBorders>
            <w:noWrap w:val="0"/>
            <w:vAlign w:val="center"/>
          </w:tcPr>
          <w:p w14:paraId="5768049F">
            <w:pPr>
              <w:pageBreakBefore w:val="0"/>
              <w:tabs>
                <w:tab w:val="left" w:pos="5580"/>
              </w:tabs>
              <w:wordWrap w:val="0"/>
              <w:topLinePunct w:val="0"/>
              <w:bidi w:val="0"/>
              <w:spacing w:after="0" w:line="360" w:lineRule="auto"/>
              <w:jc w:val="center"/>
              <w:textAlignment w:val="auto"/>
              <w:rPr>
                <w:rFonts w:hint="eastAsia" w:ascii="宋体" w:hAnsi="宋体" w:eastAsia="宋体" w:cs="宋体"/>
                <w:i w:val="0"/>
                <w:iCs w:val="0"/>
                <w:sz w:val="24"/>
                <w:highlight w:val="none"/>
              </w:rPr>
            </w:pPr>
          </w:p>
        </w:tc>
      </w:tr>
    </w:tbl>
    <w:p w14:paraId="28BE81EC">
      <w:pPr>
        <w:pageBreakBefore w:val="0"/>
        <w:wordWrap w:val="0"/>
        <w:topLinePunct w:val="0"/>
        <w:autoSpaceDE w:val="0"/>
        <w:autoSpaceDN w:val="0"/>
        <w:bidi w:val="0"/>
        <w:adjustRightInd w:val="0"/>
        <w:spacing w:after="0" w:line="360" w:lineRule="auto"/>
        <w:jc w:val="left"/>
        <w:textAlignment w:val="auto"/>
        <w:rPr>
          <w:rFonts w:hint="eastAsia" w:ascii="宋体" w:hAnsi="宋体" w:eastAsia="宋体" w:cs="宋体"/>
          <w:i w:val="0"/>
          <w:iCs w:val="0"/>
          <w:color w:val="000000"/>
          <w:kern w:val="0"/>
          <w:sz w:val="24"/>
          <w:highlight w:val="none"/>
        </w:rPr>
      </w:pPr>
    </w:p>
    <w:p w14:paraId="30DB3B25">
      <w:pPr>
        <w:pageBreakBefore w:val="0"/>
        <w:wordWrap w:val="0"/>
        <w:topLinePunct w:val="0"/>
        <w:autoSpaceDE w:val="0"/>
        <w:autoSpaceDN w:val="0"/>
        <w:bidi w:val="0"/>
        <w:adjustRightInd w:val="0"/>
        <w:spacing w:after="0" w:line="360" w:lineRule="auto"/>
        <w:jc w:val="left"/>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kern w:val="0"/>
          <w:sz w:val="24"/>
          <w:highlight w:val="none"/>
        </w:rPr>
        <w:t>注：1</w:t>
      </w:r>
      <w:r>
        <w:rPr>
          <w:rFonts w:hint="eastAsia" w:ascii="宋体" w:hAnsi="宋体" w:eastAsia="宋体" w:cs="宋体"/>
          <w:i w:val="0"/>
          <w:iCs w:val="0"/>
          <w:color w:val="000000"/>
          <w:sz w:val="24"/>
          <w:szCs w:val="20"/>
          <w:highlight w:val="none"/>
        </w:rPr>
        <w:t>.此表中，每包的报价应和《分项报价表》中的总价相一致。</w:t>
      </w:r>
    </w:p>
    <w:p w14:paraId="11EA392E">
      <w:pPr>
        <w:pageBreakBefore w:val="0"/>
        <w:tabs>
          <w:tab w:val="left" w:pos="5580"/>
        </w:tabs>
        <w:wordWrap w:val="0"/>
        <w:topLinePunct w:val="0"/>
        <w:bidi w:val="0"/>
        <w:spacing w:after="0" w:line="360" w:lineRule="auto"/>
        <w:ind w:firstLine="480" w:firstLineChars="20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2.本表必须按包分别填写。</w:t>
      </w:r>
    </w:p>
    <w:p w14:paraId="1A7BAE31">
      <w:pPr>
        <w:pageBreakBefore w:val="0"/>
        <w:tabs>
          <w:tab w:val="left" w:pos="5580"/>
        </w:tabs>
        <w:wordWrap w:val="0"/>
        <w:topLinePunct w:val="0"/>
        <w:bidi w:val="0"/>
        <w:spacing w:after="0" w:line="360" w:lineRule="auto"/>
        <w:ind w:firstLine="480" w:firstLineChars="200"/>
        <w:textAlignment w:val="auto"/>
        <w:rPr>
          <w:rFonts w:hint="eastAsia" w:ascii="宋体" w:hAnsi="宋体" w:eastAsia="宋体" w:cs="宋体"/>
          <w:i w:val="0"/>
          <w:iCs w:val="0"/>
          <w:color w:val="000000"/>
          <w:sz w:val="24"/>
          <w:szCs w:val="20"/>
          <w:highlight w:val="none"/>
        </w:rPr>
      </w:pPr>
    </w:p>
    <w:p w14:paraId="319109C9">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p>
    <w:p w14:paraId="775ADA8E">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lang w:val="zh-CN"/>
        </w:rPr>
        <w:t xml:space="preserve">   </w:t>
      </w:r>
    </w:p>
    <w:p w14:paraId="10DC11E6">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供应商名称（加盖公章）</w:t>
      </w:r>
      <w:r>
        <w:rPr>
          <w:rFonts w:hint="eastAsia" w:ascii="宋体" w:hAnsi="宋体" w:eastAsia="宋体" w:cs="宋体"/>
          <w:i w:val="0"/>
          <w:iCs w:val="0"/>
          <w:color w:val="000000"/>
          <w:sz w:val="24"/>
          <w:highlight w:val="none"/>
          <w:lang w:val="zh-CN"/>
        </w:rPr>
        <w:t>：</w:t>
      </w:r>
      <w:r>
        <w:rPr>
          <w:rFonts w:hint="eastAsia" w:ascii="宋体" w:hAnsi="宋体" w:eastAsia="宋体" w:cs="宋体"/>
          <w:i w:val="0"/>
          <w:iCs w:val="0"/>
          <w:color w:val="000000"/>
          <w:sz w:val="24"/>
          <w:highlight w:val="none"/>
          <w:u w:val="single"/>
          <w:lang w:val="zh-CN"/>
        </w:rPr>
        <w:t xml:space="preserve">           </w:t>
      </w:r>
    </w:p>
    <w:p w14:paraId="058D71B9">
      <w:pPr>
        <w:pageBreakBefore w:val="0"/>
        <w:wordWrap w:val="0"/>
        <w:topLinePunct w:val="0"/>
        <w:autoSpaceDE w:val="0"/>
        <w:autoSpaceDN w:val="0"/>
        <w:bidi w:val="0"/>
        <w:adjustRightInd w:val="0"/>
        <w:snapToGrid w:val="0"/>
        <w:spacing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日</w:t>
      </w:r>
    </w:p>
    <w:p w14:paraId="736CADA1">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szCs w:val="20"/>
          <w:highlight w:val="none"/>
        </w:rPr>
        <w:t xml:space="preserve">  </w:t>
      </w:r>
    </w:p>
    <w:p w14:paraId="136946EB">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bookmarkStart w:id="1302" w:name="_Toc226337255"/>
      <w:bookmarkStart w:id="1303" w:name="_Toc305158901"/>
      <w:bookmarkStart w:id="1304" w:name="_Toc127151558"/>
      <w:bookmarkStart w:id="1305" w:name="_Toc305158827"/>
      <w:bookmarkStart w:id="1306" w:name="_Toc226965749"/>
      <w:bookmarkStart w:id="1307" w:name="_Toc150774763"/>
      <w:bookmarkStart w:id="1308" w:name="_Toc195842924"/>
      <w:bookmarkStart w:id="1309" w:name="_Toc264969249"/>
      <w:bookmarkStart w:id="1310" w:name="_Toc142311060"/>
      <w:bookmarkStart w:id="1311" w:name="_Toc226309803"/>
      <w:bookmarkStart w:id="1312" w:name="_Toc150480796"/>
      <w:bookmarkStart w:id="1313" w:name="_Toc265228397"/>
      <w:bookmarkStart w:id="1314" w:name="_Toc226965832"/>
    </w:p>
    <w:p w14:paraId="32EA7C88">
      <w:pPr>
        <w:pageBreakBefore w:val="0"/>
        <w:tabs>
          <w:tab w:val="left" w:pos="360"/>
        </w:tabs>
        <w:wordWrap w:val="0"/>
        <w:topLinePunct w:val="0"/>
        <w:bidi w:val="0"/>
        <w:snapToGrid w:val="0"/>
        <w:spacing w:after="0" w:line="360" w:lineRule="auto"/>
        <w:textAlignment w:val="auto"/>
        <w:outlineLvl w:val="1"/>
        <w:rPr>
          <w:rFonts w:hint="eastAsia" w:ascii="宋体" w:hAnsi="宋体" w:eastAsia="宋体" w:cs="宋体"/>
          <w:i w:val="0"/>
          <w:iCs w:val="0"/>
          <w:sz w:val="24"/>
          <w:highlight w:val="none"/>
        </w:rPr>
        <w:sectPr>
          <w:pgSz w:w="11905" w:h="16838"/>
          <w:pgMar w:top="1474" w:right="1474" w:bottom="1474" w:left="1474" w:header="851" w:footer="992" w:gutter="0"/>
          <w:pgNumType w:fmt="decimal"/>
          <w:cols w:space="720" w:num="1"/>
          <w:rtlGutter w:val="0"/>
          <w:docGrid w:linePitch="462" w:charSpace="0"/>
        </w:sectPr>
      </w:pPr>
    </w:p>
    <w:p w14:paraId="5F0AF463">
      <w:pPr>
        <w:pageBreakBefore w:val="0"/>
        <w:tabs>
          <w:tab w:val="left" w:pos="360"/>
        </w:tabs>
        <w:wordWrap w:val="0"/>
        <w:topLinePunct w:val="0"/>
        <w:bidi w:val="0"/>
        <w:snapToGrid w:val="0"/>
        <w:spacing w:after="0" w:line="360" w:lineRule="auto"/>
        <w:textAlignment w:val="auto"/>
        <w:outlineLvl w:val="1"/>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8 分项报价表</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14:paraId="6EB51BAF">
      <w:pPr>
        <w:wordWrap w:val="0"/>
        <w:spacing w:after="0" w:line="360" w:lineRule="auto"/>
        <w:jc w:val="center"/>
        <w:rPr>
          <w:rFonts w:hint="eastAsia" w:ascii="宋体" w:hAnsi="宋体" w:cs="宋体"/>
          <w:b/>
          <w:color w:val="000000"/>
          <w:sz w:val="28"/>
          <w:szCs w:val="28"/>
        </w:rPr>
      </w:pPr>
      <w:bookmarkStart w:id="1315" w:name="_Toc226309806"/>
      <w:bookmarkStart w:id="1316" w:name="_Toc226337258"/>
      <w:bookmarkStart w:id="1317" w:name="_Toc305158904"/>
      <w:bookmarkStart w:id="1318" w:name="_Toc264969252"/>
      <w:bookmarkStart w:id="1319" w:name="_Toc127151562"/>
      <w:bookmarkStart w:id="1320" w:name="_Toc150774765"/>
      <w:bookmarkStart w:id="1321" w:name="_Toc305158830"/>
      <w:bookmarkStart w:id="1322" w:name="_Toc142311062"/>
      <w:bookmarkStart w:id="1323" w:name="_Toc265228400"/>
      <w:bookmarkStart w:id="1324" w:name="_Toc195842927"/>
      <w:bookmarkStart w:id="1325" w:name="_Toc226965752"/>
      <w:bookmarkStart w:id="1326" w:name="_Toc150480798"/>
      <w:bookmarkStart w:id="1327" w:name="_Toc226965835"/>
      <w:bookmarkStart w:id="1328" w:name="_Toc127151561"/>
      <w:bookmarkStart w:id="1329" w:name="_Toc265228399"/>
      <w:bookmarkStart w:id="1330" w:name="_Toc226965834"/>
      <w:bookmarkStart w:id="1331" w:name="_Toc150480797"/>
      <w:bookmarkStart w:id="1332" w:name="_Toc142311061"/>
      <w:bookmarkStart w:id="1333" w:name="_Toc226337257"/>
      <w:bookmarkStart w:id="1334" w:name="_Toc305158829"/>
      <w:bookmarkStart w:id="1335" w:name="_Toc305158903"/>
      <w:bookmarkStart w:id="1336" w:name="_Toc226309805"/>
      <w:bookmarkStart w:id="1337" w:name="_Toc264969251"/>
      <w:bookmarkStart w:id="1338" w:name="_Toc195842926"/>
      <w:bookmarkStart w:id="1339" w:name="_Toc226965751"/>
      <w:bookmarkStart w:id="1340" w:name="_Toc150774764"/>
      <w:r>
        <w:rPr>
          <w:rFonts w:hint="eastAsia" w:ascii="宋体" w:hAnsi="宋体" w:cs="宋体"/>
          <w:b/>
          <w:color w:val="000000"/>
          <w:sz w:val="28"/>
          <w:szCs w:val="28"/>
        </w:rPr>
        <w:t>分项报价表</w:t>
      </w:r>
    </w:p>
    <w:p w14:paraId="644EC701">
      <w:pPr>
        <w:wordWrap w:val="0"/>
        <w:spacing w:after="0" w:line="360" w:lineRule="auto"/>
        <w:jc w:val="center"/>
        <w:rPr>
          <w:rFonts w:hint="eastAsia" w:ascii="宋体" w:hAnsi="宋体" w:cs="宋体"/>
          <w:b/>
          <w:color w:val="000000"/>
          <w:sz w:val="28"/>
          <w:szCs w:val="28"/>
        </w:rPr>
      </w:pPr>
      <w:r>
        <w:rPr>
          <w:rFonts w:hint="eastAsia" w:ascii="宋体" w:hAnsi="宋体" w:cs="宋体"/>
          <w:b/>
          <w:color w:val="000000"/>
          <w:sz w:val="28"/>
          <w:szCs w:val="28"/>
        </w:rPr>
        <w:t>分项报价表(清单计价表格)</w:t>
      </w:r>
    </w:p>
    <w:p w14:paraId="67CD7F0B">
      <w:pPr>
        <w:tabs>
          <w:tab w:val="left" w:pos="1800"/>
          <w:tab w:val="left" w:pos="5580"/>
        </w:tabs>
        <w:wordWrap w:val="0"/>
        <w:spacing w:after="0" w:line="360" w:lineRule="auto"/>
        <w:jc w:val="left"/>
        <w:rPr>
          <w:rFonts w:hint="eastAsia" w:ascii="宋体" w:hAnsi="宋体" w:cs="宋体"/>
          <w:color w:val="000000"/>
          <w:sz w:val="24"/>
        </w:rPr>
      </w:pPr>
    </w:p>
    <w:p w14:paraId="1FE53C7F">
      <w:pPr>
        <w:tabs>
          <w:tab w:val="left" w:pos="1800"/>
          <w:tab w:val="left" w:pos="5580"/>
        </w:tabs>
        <w:wordWrap w:val="0"/>
        <w:spacing w:after="0" w:line="360" w:lineRule="auto"/>
        <w:jc w:val="left"/>
        <w:rPr>
          <w:rFonts w:hint="eastAsia" w:ascii="宋体" w:hAnsi="宋体" w:cs="宋体"/>
          <w:color w:val="000000"/>
          <w:sz w:val="24"/>
        </w:rPr>
      </w:pPr>
      <w:r>
        <w:rPr>
          <w:rFonts w:hint="eastAsia" w:ascii="宋体" w:hAnsi="宋体" w:cs="宋体"/>
          <w:color w:val="000000"/>
          <w:sz w:val="24"/>
        </w:rPr>
        <w:t>注：</w:t>
      </w:r>
    </w:p>
    <w:p w14:paraId="1E7858F9">
      <w:pPr>
        <w:tabs>
          <w:tab w:val="left" w:pos="1800"/>
          <w:tab w:val="left" w:pos="5580"/>
        </w:tabs>
        <w:wordWrap w:val="0"/>
        <w:spacing w:after="0" w:line="360" w:lineRule="auto"/>
        <w:ind w:firstLine="480" w:firstLineChars="200"/>
        <w:jc w:val="left"/>
        <w:rPr>
          <w:rFonts w:hint="eastAsia" w:ascii="宋体" w:hAnsi="宋体" w:cs="宋体"/>
          <w:color w:val="000000"/>
          <w:sz w:val="24"/>
        </w:rPr>
      </w:pPr>
      <w:r>
        <w:rPr>
          <w:rFonts w:hint="eastAsia" w:ascii="宋体" w:hAnsi="宋体" w:cs="宋体"/>
          <w:color w:val="000000"/>
          <w:sz w:val="24"/>
        </w:rPr>
        <w:t>1.本表应按包分别填写。</w:t>
      </w:r>
    </w:p>
    <w:p w14:paraId="71040E54">
      <w:pPr>
        <w:tabs>
          <w:tab w:val="left" w:pos="1800"/>
          <w:tab w:val="left" w:pos="5580"/>
        </w:tabs>
        <w:wordWrap w:val="0"/>
        <w:spacing w:after="0" w:line="360" w:lineRule="auto"/>
        <w:ind w:firstLine="480" w:firstLineChars="200"/>
        <w:jc w:val="left"/>
        <w:rPr>
          <w:rFonts w:hint="eastAsia" w:ascii="宋体" w:hAnsi="宋体" w:cs="宋体"/>
          <w:color w:val="000000"/>
          <w:sz w:val="24"/>
        </w:rPr>
      </w:pPr>
      <w:r>
        <w:rPr>
          <w:rFonts w:hint="eastAsia" w:ascii="宋体" w:hAnsi="宋体" w:cs="宋体"/>
          <w:color w:val="000000"/>
          <w:sz w:val="24"/>
        </w:rPr>
        <w:t>2.如果不提供分项报价将视为没有实质性响应磋商文件。</w:t>
      </w:r>
    </w:p>
    <w:p w14:paraId="2E6E0012">
      <w:pPr>
        <w:tabs>
          <w:tab w:val="left" w:pos="1800"/>
          <w:tab w:val="left" w:pos="5580"/>
        </w:tabs>
        <w:wordWrap w:val="0"/>
        <w:spacing w:after="0" w:line="360" w:lineRule="auto"/>
        <w:ind w:firstLine="480" w:firstLineChars="200"/>
        <w:jc w:val="left"/>
        <w:rPr>
          <w:rFonts w:hint="eastAsia" w:ascii="宋体" w:hAnsi="宋体" w:cs="宋体"/>
          <w:color w:val="000000"/>
          <w:sz w:val="24"/>
        </w:rPr>
      </w:pPr>
      <w:r>
        <w:rPr>
          <w:rFonts w:hint="eastAsia" w:ascii="宋体" w:hAnsi="宋体" w:cs="宋体"/>
          <w:color w:val="000000"/>
          <w:sz w:val="24"/>
        </w:rPr>
        <w:t>3.上述各项的详细规格（如有），可另页描述。</w:t>
      </w:r>
    </w:p>
    <w:p w14:paraId="29616BEA">
      <w:pPr>
        <w:pageBreakBefore w:val="0"/>
        <w:tabs>
          <w:tab w:val="left" w:pos="360"/>
        </w:tabs>
        <w:wordWrap w:val="0"/>
        <w:topLinePunct w:val="0"/>
        <w:bidi w:val="0"/>
        <w:snapToGrid w:val="0"/>
        <w:spacing w:after="0" w:line="360" w:lineRule="auto"/>
        <w:textAlignment w:val="auto"/>
        <w:outlineLvl w:val="1"/>
        <w:rPr>
          <w:rFonts w:hint="eastAsia" w:ascii="宋体" w:hAnsi="宋体" w:eastAsia="宋体" w:cs="宋体"/>
          <w:i w:val="0"/>
          <w:iCs w:val="0"/>
          <w:sz w:val="24"/>
          <w:highlight w:val="none"/>
        </w:rPr>
        <w:sectPr>
          <w:pgSz w:w="16838" w:h="11905" w:orient="landscape"/>
          <w:pgMar w:top="1474" w:right="1474" w:bottom="1474" w:left="1474" w:header="851" w:footer="992" w:gutter="0"/>
          <w:pgNumType w:fmt="decimal"/>
          <w:cols w:space="720" w:num="1"/>
          <w:rtlGutter w:val="0"/>
          <w:docGrid w:linePitch="462" w:charSpace="0"/>
        </w:sectPr>
      </w:pPr>
    </w:p>
    <w:p w14:paraId="79E173E0">
      <w:pPr>
        <w:pageBreakBefore w:val="0"/>
        <w:tabs>
          <w:tab w:val="left" w:pos="360"/>
        </w:tabs>
        <w:wordWrap w:val="0"/>
        <w:topLinePunct w:val="0"/>
        <w:bidi w:val="0"/>
        <w:snapToGrid w:val="0"/>
        <w:spacing w:after="0" w:line="360" w:lineRule="auto"/>
        <w:textAlignment w:val="auto"/>
        <w:outlineLvl w:val="1"/>
        <w:rPr>
          <w:rFonts w:hint="eastAsia" w:ascii="宋体" w:hAnsi="宋体" w:eastAsia="宋体" w:cs="宋体"/>
          <w:i w:val="0"/>
          <w:iCs w:val="0"/>
          <w:color w:val="000000"/>
          <w:sz w:val="24"/>
          <w:szCs w:val="20"/>
          <w:highlight w:val="none"/>
          <w:lang w:eastAsia="zh-CN"/>
        </w:rPr>
      </w:pPr>
      <w:r>
        <w:rPr>
          <w:rFonts w:hint="eastAsia" w:ascii="宋体" w:hAnsi="宋体" w:eastAsia="宋体" w:cs="宋体"/>
          <w:i w:val="0"/>
          <w:iCs w:val="0"/>
          <w:sz w:val="24"/>
          <w:highlight w:val="none"/>
        </w:rPr>
        <w:t>9 合同条款偏离表</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实质性格式</w:t>
      </w:r>
      <w:r>
        <w:rPr>
          <w:rFonts w:hint="eastAsia" w:ascii="宋体" w:hAnsi="宋体" w:eastAsia="宋体" w:cs="宋体"/>
          <w:i w:val="0"/>
          <w:iCs w:val="0"/>
          <w:sz w:val="24"/>
          <w:highlight w:val="none"/>
          <w:lang w:eastAsia="zh-CN"/>
        </w:rPr>
        <w:t>）</w:t>
      </w:r>
    </w:p>
    <w:p w14:paraId="4BDC35C5">
      <w:pPr>
        <w:pageBreakBefore w:val="0"/>
        <w:tabs>
          <w:tab w:val="left" w:pos="2775"/>
          <w:tab w:val="center" w:pos="4153"/>
        </w:tabs>
        <w:wordWrap w:val="0"/>
        <w:topLinePunct w:val="0"/>
        <w:autoSpaceDE w:val="0"/>
        <w:autoSpaceDN w:val="0"/>
        <w:bidi w:val="0"/>
        <w:adjustRightInd w:val="0"/>
        <w:spacing w:after="0" w:line="360" w:lineRule="auto"/>
        <w:jc w:val="left"/>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i w:val="0"/>
          <w:iCs w:val="0"/>
          <w:color w:val="000000"/>
          <w:sz w:val="28"/>
          <w:szCs w:val="28"/>
          <w:highlight w:val="none"/>
        </w:rPr>
        <w:tab/>
      </w:r>
      <w:r>
        <w:rPr>
          <w:rFonts w:hint="eastAsia" w:ascii="宋体" w:hAnsi="宋体" w:eastAsia="宋体" w:cs="宋体"/>
          <w:b/>
          <w:i w:val="0"/>
          <w:iCs w:val="0"/>
          <w:color w:val="000000"/>
          <w:sz w:val="28"/>
          <w:szCs w:val="28"/>
          <w:highlight w:val="none"/>
        </w:rPr>
        <w:tab/>
      </w:r>
      <w:r>
        <w:rPr>
          <w:rFonts w:hint="eastAsia" w:ascii="宋体" w:hAnsi="宋体" w:eastAsia="宋体" w:cs="宋体"/>
          <w:b/>
          <w:i w:val="0"/>
          <w:iCs w:val="0"/>
          <w:color w:val="000000"/>
          <w:sz w:val="28"/>
          <w:szCs w:val="28"/>
          <w:highlight w:val="none"/>
        </w:rPr>
        <w:t>合同条款偏离表</w:t>
      </w:r>
    </w:p>
    <w:p w14:paraId="10AF3093">
      <w:pPr>
        <w:pageBreakBefore w:val="0"/>
        <w:tabs>
          <w:tab w:val="left" w:pos="1800"/>
          <w:tab w:val="left" w:pos="5580"/>
        </w:tabs>
        <w:wordWrap w:val="0"/>
        <w:topLinePunct w:val="0"/>
        <w:bidi w:val="0"/>
        <w:spacing w:after="0" w:line="360" w:lineRule="auto"/>
        <w:ind w:firstLine="360" w:firstLineChars="150"/>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项目编号/包号：</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rPr>
        <w:t xml:space="preserve">     </w:t>
      </w:r>
    </w:p>
    <w:p w14:paraId="10C4016B">
      <w:pPr>
        <w:pageBreakBefore w:val="0"/>
        <w:tabs>
          <w:tab w:val="left" w:pos="1800"/>
          <w:tab w:val="left" w:pos="5580"/>
        </w:tabs>
        <w:wordWrap w:val="0"/>
        <w:topLinePunct w:val="0"/>
        <w:bidi w:val="0"/>
        <w:spacing w:after="0" w:line="360" w:lineRule="auto"/>
        <w:ind w:firstLine="360" w:firstLineChars="150"/>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项目名称：</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0"/>
        <w:gridCol w:w="1498"/>
        <w:gridCol w:w="1732"/>
        <w:gridCol w:w="1952"/>
        <w:gridCol w:w="2394"/>
        <w:gridCol w:w="777"/>
      </w:tblGrid>
      <w:tr w14:paraId="5C0E4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0" w:type="dxa"/>
            <w:noWrap w:val="0"/>
            <w:vAlign w:val="center"/>
          </w:tcPr>
          <w:p w14:paraId="1917C06E">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序号</w:t>
            </w:r>
          </w:p>
        </w:tc>
        <w:tc>
          <w:tcPr>
            <w:tcW w:w="1498" w:type="dxa"/>
            <w:noWrap w:val="0"/>
            <w:vAlign w:val="center"/>
          </w:tcPr>
          <w:p w14:paraId="51CBE279">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szCs w:val="21"/>
                <w:highlight w:val="none"/>
              </w:rPr>
              <w:t>竞争性磋商文件</w:t>
            </w:r>
            <w:r>
              <w:rPr>
                <w:rFonts w:hint="eastAsia" w:ascii="宋体" w:hAnsi="宋体" w:eastAsia="宋体" w:cs="宋体"/>
                <w:i w:val="0"/>
                <w:iCs w:val="0"/>
                <w:color w:val="000000"/>
                <w:sz w:val="24"/>
                <w:highlight w:val="none"/>
              </w:rPr>
              <w:t>条目号（页码）</w:t>
            </w:r>
          </w:p>
        </w:tc>
        <w:tc>
          <w:tcPr>
            <w:tcW w:w="1732" w:type="dxa"/>
            <w:noWrap w:val="0"/>
            <w:vAlign w:val="center"/>
          </w:tcPr>
          <w:p w14:paraId="52E657F8">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szCs w:val="21"/>
                <w:highlight w:val="none"/>
              </w:rPr>
            </w:pPr>
            <w:r>
              <w:rPr>
                <w:rFonts w:hint="eastAsia" w:ascii="宋体" w:hAnsi="宋体" w:eastAsia="宋体" w:cs="宋体"/>
                <w:i w:val="0"/>
                <w:iCs w:val="0"/>
                <w:color w:val="000000"/>
                <w:sz w:val="24"/>
                <w:szCs w:val="21"/>
                <w:highlight w:val="none"/>
              </w:rPr>
              <w:t>竞争性磋商</w:t>
            </w:r>
          </w:p>
          <w:p w14:paraId="4B4EE0EB">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szCs w:val="21"/>
                <w:highlight w:val="none"/>
              </w:rPr>
              <w:t>文件</w:t>
            </w:r>
            <w:r>
              <w:rPr>
                <w:rFonts w:hint="eastAsia" w:ascii="宋体" w:hAnsi="宋体" w:eastAsia="宋体" w:cs="宋体"/>
                <w:i w:val="0"/>
                <w:iCs w:val="0"/>
                <w:color w:val="000000"/>
                <w:sz w:val="24"/>
                <w:highlight w:val="none"/>
              </w:rPr>
              <w:t>要求</w:t>
            </w:r>
          </w:p>
        </w:tc>
        <w:tc>
          <w:tcPr>
            <w:tcW w:w="1952" w:type="dxa"/>
            <w:noWrap w:val="0"/>
            <w:vAlign w:val="center"/>
          </w:tcPr>
          <w:p w14:paraId="754E8279">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响应文件内容</w:t>
            </w:r>
          </w:p>
        </w:tc>
        <w:tc>
          <w:tcPr>
            <w:tcW w:w="2394" w:type="dxa"/>
            <w:noWrap w:val="0"/>
            <w:vAlign w:val="center"/>
          </w:tcPr>
          <w:p w14:paraId="0BC4A9FD">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偏离情况</w:t>
            </w:r>
          </w:p>
        </w:tc>
        <w:tc>
          <w:tcPr>
            <w:tcW w:w="777" w:type="dxa"/>
            <w:noWrap w:val="0"/>
            <w:vAlign w:val="center"/>
          </w:tcPr>
          <w:p w14:paraId="4B00CFFD">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说明</w:t>
            </w:r>
          </w:p>
        </w:tc>
      </w:tr>
      <w:tr w14:paraId="6B08A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173" w:type="dxa"/>
            <w:gridSpan w:val="6"/>
            <w:noWrap w:val="0"/>
            <w:vAlign w:val="center"/>
          </w:tcPr>
          <w:p w14:paraId="77E471EE">
            <w:pPr>
              <w:pageBreakBefore w:val="0"/>
              <w:wordWrap w:val="0"/>
              <w:topLinePunct w:val="0"/>
              <w:bidi w:val="0"/>
              <w:adjustRightInd w:val="0"/>
              <w:snapToGrid w:val="0"/>
              <w:spacing w:after="0" w:line="360" w:lineRule="auto"/>
              <w:jc w:val="left"/>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color w:val="000000"/>
                <w:sz w:val="24"/>
                <w:highlight w:val="none"/>
              </w:rPr>
              <w:t>对本项目合同条款的偏离情况（应进行选择，未选择响应无效）：</w:t>
            </w:r>
          </w:p>
          <w:p w14:paraId="5678BED4">
            <w:pPr>
              <w:pageBreakBefore w:val="0"/>
              <w:wordWrap w:val="0"/>
              <w:topLinePunct w:val="0"/>
              <w:bidi w:val="0"/>
              <w:adjustRightInd w:val="0"/>
              <w:snapToGrid w:val="0"/>
              <w:spacing w:after="0" w:line="360" w:lineRule="auto"/>
              <w:jc w:val="left"/>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color w:val="000000"/>
                <w:sz w:val="24"/>
                <w:highlight w:val="none"/>
                <w:lang w:eastAsia="zh-CN"/>
              </w:rPr>
              <w:t>□</w:t>
            </w:r>
            <w:r>
              <w:rPr>
                <w:rFonts w:hint="eastAsia" w:ascii="宋体" w:hAnsi="宋体" w:eastAsia="宋体" w:cs="宋体"/>
                <w:b/>
                <w:i w:val="0"/>
                <w:iCs w:val="0"/>
                <w:color w:val="000000"/>
                <w:sz w:val="24"/>
                <w:highlight w:val="none"/>
              </w:rPr>
              <w:t>无偏离</w:t>
            </w:r>
            <w:r>
              <w:rPr>
                <w:rFonts w:hint="eastAsia" w:ascii="宋体" w:hAnsi="宋体" w:eastAsia="宋体" w:cs="宋体"/>
                <w:i w:val="0"/>
                <w:iCs w:val="0"/>
                <w:color w:val="000000"/>
                <w:sz w:val="24"/>
                <w:highlight w:val="none"/>
              </w:rPr>
              <w:t>（如无偏离，仅选择无偏离即可；无偏离即为对合同条款中的所有要求，均视作供应商已对之理解和响应</w:t>
            </w:r>
            <w:r>
              <w:rPr>
                <w:rFonts w:hint="eastAsia" w:ascii="宋体" w:hAnsi="宋体" w:cs="宋体"/>
                <w:i w:val="0"/>
                <w:iCs w:val="0"/>
                <w:color w:val="000000"/>
                <w:sz w:val="24"/>
                <w:highlight w:val="none"/>
                <w:lang w:eastAsia="zh-CN"/>
              </w:rPr>
              <w:t>。</w:t>
            </w:r>
            <w:r>
              <w:rPr>
                <w:rFonts w:hint="eastAsia" w:ascii="宋体" w:hAnsi="宋体" w:eastAsia="宋体" w:cs="宋体"/>
                <w:i w:val="0"/>
                <w:iCs w:val="0"/>
                <w:color w:val="000000"/>
                <w:sz w:val="24"/>
                <w:highlight w:val="none"/>
              </w:rPr>
              <w:t>）</w:t>
            </w:r>
          </w:p>
          <w:p w14:paraId="51BF267A">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kern w:val="2"/>
                <w:sz w:val="24"/>
                <w:szCs w:val="24"/>
                <w:highlight w:val="none"/>
                <w:lang w:val="en-US" w:eastAsia="zh-CN" w:bidi="ar-SA"/>
              </w:rPr>
            </w:pPr>
            <w:r>
              <w:rPr>
                <w:rFonts w:hint="eastAsia" w:ascii="宋体" w:hAnsi="宋体" w:eastAsia="宋体" w:cs="宋体"/>
                <w:b/>
                <w:i w:val="0"/>
                <w:iCs w:val="0"/>
                <w:color w:val="000000"/>
                <w:sz w:val="24"/>
                <w:highlight w:val="none"/>
                <w:lang w:eastAsia="zh-CN"/>
              </w:rPr>
              <w:t>□</w:t>
            </w:r>
            <w:r>
              <w:rPr>
                <w:rFonts w:hint="eastAsia" w:ascii="宋体" w:hAnsi="宋体" w:eastAsia="宋体" w:cs="宋体"/>
                <w:b/>
                <w:i w:val="0"/>
                <w:iCs w:val="0"/>
                <w:color w:val="000000"/>
                <w:sz w:val="24"/>
                <w:highlight w:val="none"/>
              </w:rPr>
              <w:t>有偏离</w:t>
            </w:r>
            <w:r>
              <w:rPr>
                <w:rFonts w:hint="eastAsia" w:ascii="宋体" w:hAnsi="宋体" w:eastAsia="宋体" w:cs="宋体"/>
                <w:i w:val="0"/>
                <w:iCs w:val="0"/>
                <w:color w:val="000000"/>
                <w:sz w:val="24"/>
                <w:highlight w:val="none"/>
              </w:rPr>
              <w:t>（如有偏离，则应在本表中对负偏离项逐一列明，否则响应无效；对合同条款中的所有要求，除本表列明的偏离外，均视作供应商已对之理解和响应</w:t>
            </w:r>
            <w:r>
              <w:rPr>
                <w:rFonts w:hint="eastAsia" w:ascii="宋体" w:hAnsi="宋体" w:cs="宋体"/>
                <w:i w:val="0"/>
                <w:iCs w:val="0"/>
                <w:color w:val="000000"/>
                <w:sz w:val="24"/>
                <w:highlight w:val="none"/>
                <w:lang w:eastAsia="zh-CN"/>
              </w:rPr>
              <w:t>。</w:t>
            </w:r>
            <w:r>
              <w:rPr>
                <w:rFonts w:hint="eastAsia" w:ascii="宋体" w:hAnsi="宋体" w:eastAsia="宋体" w:cs="宋体"/>
                <w:i w:val="0"/>
                <w:iCs w:val="0"/>
                <w:color w:val="000000"/>
                <w:sz w:val="24"/>
                <w:highlight w:val="none"/>
              </w:rPr>
              <w:t>）</w:t>
            </w:r>
          </w:p>
        </w:tc>
      </w:tr>
      <w:tr w14:paraId="60CF5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0" w:type="dxa"/>
            <w:noWrap w:val="0"/>
            <w:vAlign w:val="center"/>
          </w:tcPr>
          <w:p w14:paraId="18ABD3BD">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498" w:type="dxa"/>
            <w:noWrap w:val="0"/>
            <w:vAlign w:val="center"/>
          </w:tcPr>
          <w:p w14:paraId="7D0B102B">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732" w:type="dxa"/>
            <w:noWrap w:val="0"/>
            <w:vAlign w:val="center"/>
          </w:tcPr>
          <w:p w14:paraId="3051C407">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952" w:type="dxa"/>
            <w:noWrap w:val="0"/>
            <w:vAlign w:val="center"/>
          </w:tcPr>
          <w:p w14:paraId="1D02BC46">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94" w:type="dxa"/>
            <w:noWrap w:val="0"/>
            <w:vAlign w:val="center"/>
          </w:tcPr>
          <w:p w14:paraId="579504FC">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777" w:type="dxa"/>
            <w:noWrap w:val="0"/>
            <w:vAlign w:val="center"/>
          </w:tcPr>
          <w:p w14:paraId="56DDD7C2">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r w14:paraId="1AEE2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0" w:type="dxa"/>
            <w:noWrap w:val="0"/>
            <w:vAlign w:val="center"/>
          </w:tcPr>
          <w:p w14:paraId="6510EC4A">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498" w:type="dxa"/>
            <w:noWrap w:val="0"/>
            <w:vAlign w:val="center"/>
          </w:tcPr>
          <w:p w14:paraId="1CD85DFA">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732" w:type="dxa"/>
            <w:noWrap w:val="0"/>
            <w:vAlign w:val="center"/>
          </w:tcPr>
          <w:p w14:paraId="0D4865DA">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952" w:type="dxa"/>
            <w:noWrap w:val="0"/>
            <w:vAlign w:val="center"/>
          </w:tcPr>
          <w:p w14:paraId="4AB08175">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94" w:type="dxa"/>
            <w:noWrap w:val="0"/>
            <w:vAlign w:val="center"/>
          </w:tcPr>
          <w:p w14:paraId="637215D7">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777" w:type="dxa"/>
            <w:noWrap w:val="0"/>
            <w:vAlign w:val="center"/>
          </w:tcPr>
          <w:p w14:paraId="186A5641">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r w14:paraId="59E23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0" w:type="dxa"/>
            <w:noWrap w:val="0"/>
            <w:vAlign w:val="center"/>
          </w:tcPr>
          <w:p w14:paraId="2225C13A">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498" w:type="dxa"/>
            <w:noWrap w:val="0"/>
            <w:vAlign w:val="center"/>
          </w:tcPr>
          <w:p w14:paraId="2F665DA0">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732" w:type="dxa"/>
            <w:noWrap w:val="0"/>
            <w:vAlign w:val="center"/>
          </w:tcPr>
          <w:p w14:paraId="66DE7A47">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952" w:type="dxa"/>
            <w:noWrap w:val="0"/>
            <w:vAlign w:val="center"/>
          </w:tcPr>
          <w:p w14:paraId="23AABFB0">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94" w:type="dxa"/>
            <w:noWrap w:val="0"/>
            <w:vAlign w:val="center"/>
          </w:tcPr>
          <w:p w14:paraId="4228CB9F">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777" w:type="dxa"/>
            <w:noWrap w:val="0"/>
            <w:vAlign w:val="center"/>
          </w:tcPr>
          <w:p w14:paraId="1061E61E">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r w14:paraId="0AC23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0" w:type="dxa"/>
            <w:noWrap w:val="0"/>
            <w:vAlign w:val="center"/>
          </w:tcPr>
          <w:p w14:paraId="1FE661B2">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498" w:type="dxa"/>
            <w:noWrap w:val="0"/>
            <w:vAlign w:val="center"/>
          </w:tcPr>
          <w:p w14:paraId="6901305C">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732" w:type="dxa"/>
            <w:noWrap w:val="0"/>
            <w:vAlign w:val="center"/>
          </w:tcPr>
          <w:p w14:paraId="378DE00D">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952" w:type="dxa"/>
            <w:noWrap w:val="0"/>
            <w:vAlign w:val="center"/>
          </w:tcPr>
          <w:p w14:paraId="221DB076">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94" w:type="dxa"/>
            <w:noWrap w:val="0"/>
            <w:vAlign w:val="center"/>
          </w:tcPr>
          <w:p w14:paraId="134AC72B">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777" w:type="dxa"/>
            <w:noWrap w:val="0"/>
            <w:vAlign w:val="center"/>
          </w:tcPr>
          <w:p w14:paraId="0394B33A">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bl>
    <w:p w14:paraId="35BF89E0">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highlight w:val="none"/>
        </w:rPr>
      </w:pPr>
    </w:p>
    <w:p w14:paraId="7993948D">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注：</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偏离情况</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列应据实填写</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正偏离</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或</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负偏离</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w:t>
      </w:r>
    </w:p>
    <w:p w14:paraId="26485EAD">
      <w:pPr>
        <w:pageBreakBefore w:val="0"/>
        <w:wordWrap w:val="0"/>
        <w:topLinePunct w:val="0"/>
        <w:bidi w:val="0"/>
        <w:spacing w:after="0" w:line="360" w:lineRule="auto"/>
        <w:textAlignment w:val="auto"/>
        <w:rPr>
          <w:rFonts w:hint="eastAsia" w:ascii="宋体" w:hAnsi="宋体" w:eastAsia="宋体" w:cs="宋体"/>
          <w:i w:val="0"/>
          <w:iCs w:val="0"/>
          <w:color w:val="000000"/>
          <w:sz w:val="24"/>
          <w:szCs w:val="20"/>
          <w:highlight w:val="none"/>
        </w:rPr>
      </w:pPr>
    </w:p>
    <w:p w14:paraId="5AA80BC5">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供应商名称（加盖公章）</w:t>
      </w:r>
      <w:r>
        <w:rPr>
          <w:rFonts w:hint="eastAsia" w:ascii="宋体" w:hAnsi="宋体" w:eastAsia="宋体" w:cs="宋体"/>
          <w:i w:val="0"/>
          <w:iCs w:val="0"/>
          <w:color w:val="000000"/>
          <w:sz w:val="24"/>
          <w:highlight w:val="none"/>
          <w:lang w:val="zh-CN"/>
        </w:rPr>
        <w:t>：</w:t>
      </w:r>
      <w:r>
        <w:rPr>
          <w:rFonts w:hint="eastAsia" w:ascii="宋体" w:hAnsi="宋体" w:eastAsia="宋体" w:cs="宋体"/>
          <w:i w:val="0"/>
          <w:iCs w:val="0"/>
          <w:color w:val="000000"/>
          <w:sz w:val="24"/>
          <w:highlight w:val="none"/>
          <w:u w:val="single"/>
          <w:lang w:val="zh-CN"/>
        </w:rPr>
        <w:t xml:space="preserve">           </w:t>
      </w:r>
    </w:p>
    <w:p w14:paraId="168A9493">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 xml:space="preserve">日    </w:t>
      </w:r>
    </w:p>
    <w:p w14:paraId="527382FD">
      <w:pPr>
        <w:pageBreakBefore w:val="0"/>
        <w:tabs>
          <w:tab w:val="left" w:pos="360"/>
        </w:tabs>
        <w:wordWrap w:val="0"/>
        <w:topLinePunct w:val="0"/>
        <w:bidi w:val="0"/>
        <w:snapToGrid w:val="0"/>
        <w:spacing w:after="0" w:line="360" w:lineRule="auto"/>
        <w:textAlignment w:val="auto"/>
        <w:outlineLvl w:val="1"/>
        <w:rPr>
          <w:rFonts w:hint="eastAsia" w:ascii="宋体" w:hAnsi="宋体" w:eastAsia="宋体" w:cs="宋体"/>
          <w:i w:val="0"/>
          <w:iCs w:val="0"/>
          <w:sz w:val="24"/>
          <w:highlight w:val="none"/>
        </w:rPr>
        <w:sectPr>
          <w:pgSz w:w="11905" w:h="16838"/>
          <w:pgMar w:top="1474" w:right="1474" w:bottom="1474" w:left="1474" w:header="851" w:footer="992" w:gutter="0"/>
          <w:pgNumType w:fmt="decimal"/>
          <w:cols w:space="720" w:num="1"/>
          <w:rtlGutter w:val="0"/>
          <w:docGrid w:linePitch="462" w:charSpace="0"/>
        </w:sectPr>
      </w:pPr>
    </w:p>
    <w:p w14:paraId="28EC8BD3">
      <w:pPr>
        <w:pageBreakBefore w:val="0"/>
        <w:tabs>
          <w:tab w:val="left" w:pos="360"/>
        </w:tabs>
        <w:wordWrap w:val="0"/>
        <w:topLinePunct w:val="0"/>
        <w:bidi w:val="0"/>
        <w:snapToGrid w:val="0"/>
        <w:spacing w:after="0" w:line="360" w:lineRule="auto"/>
        <w:textAlignment w:val="auto"/>
        <w:outlineLvl w:val="1"/>
        <w:rPr>
          <w:rFonts w:hint="eastAsia" w:ascii="宋体" w:hAnsi="宋体" w:eastAsia="宋体" w:cs="宋体"/>
          <w:i w:val="0"/>
          <w:iCs w:val="0"/>
          <w:color w:val="000000"/>
          <w:sz w:val="24"/>
          <w:szCs w:val="20"/>
          <w:highlight w:val="none"/>
        </w:rPr>
      </w:pPr>
      <w:r>
        <w:rPr>
          <w:rFonts w:hint="eastAsia" w:ascii="宋体" w:hAnsi="宋体" w:eastAsia="宋体" w:cs="宋体"/>
          <w:i w:val="0"/>
          <w:iCs w:val="0"/>
          <w:sz w:val="24"/>
          <w:highlight w:val="none"/>
        </w:rPr>
        <w:t xml:space="preserve">10 </w:t>
      </w:r>
      <w:bookmarkEnd w:id="1328"/>
      <w:bookmarkEnd w:id="1329"/>
      <w:bookmarkEnd w:id="1330"/>
      <w:bookmarkEnd w:id="1331"/>
      <w:bookmarkEnd w:id="1332"/>
      <w:bookmarkEnd w:id="1333"/>
      <w:bookmarkEnd w:id="1334"/>
      <w:bookmarkEnd w:id="1335"/>
      <w:bookmarkEnd w:id="1336"/>
      <w:bookmarkEnd w:id="1337"/>
      <w:bookmarkEnd w:id="1338"/>
      <w:bookmarkEnd w:id="1339"/>
      <w:bookmarkEnd w:id="1340"/>
      <w:r>
        <w:rPr>
          <w:rFonts w:hint="eastAsia" w:ascii="宋体" w:hAnsi="宋体" w:eastAsia="宋体" w:cs="宋体"/>
          <w:i w:val="0"/>
          <w:iCs w:val="0"/>
          <w:sz w:val="24"/>
          <w:highlight w:val="none"/>
        </w:rPr>
        <w:t>采购需求偏离表</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实质性格式</w:t>
      </w:r>
      <w:r>
        <w:rPr>
          <w:rFonts w:hint="eastAsia" w:ascii="宋体" w:hAnsi="宋体" w:eastAsia="宋体" w:cs="宋体"/>
          <w:i w:val="0"/>
          <w:iCs w:val="0"/>
          <w:sz w:val="24"/>
          <w:highlight w:val="none"/>
          <w:lang w:eastAsia="zh-CN"/>
        </w:rPr>
        <w:t>）</w:t>
      </w:r>
    </w:p>
    <w:p w14:paraId="724D3CD8">
      <w:pPr>
        <w:pageBreakBefore w:val="0"/>
        <w:wordWrap w:val="0"/>
        <w:topLinePunct w:val="0"/>
        <w:autoSpaceDE w:val="0"/>
        <w:autoSpaceDN w:val="0"/>
        <w:bidi w:val="0"/>
        <w:adjustRightInd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采购需求偏离表</w:t>
      </w:r>
    </w:p>
    <w:p w14:paraId="2C99168B">
      <w:pPr>
        <w:pageBreakBefore w:val="0"/>
        <w:tabs>
          <w:tab w:val="left" w:pos="1800"/>
          <w:tab w:val="left" w:pos="5580"/>
        </w:tabs>
        <w:wordWrap w:val="0"/>
        <w:topLinePunct w:val="0"/>
        <w:bidi w:val="0"/>
        <w:spacing w:after="0" w:line="360" w:lineRule="auto"/>
        <w:ind w:firstLine="360" w:firstLineChars="150"/>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项目编号/包号：</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rPr>
        <w:t xml:space="preserve">     </w:t>
      </w:r>
    </w:p>
    <w:p w14:paraId="02C97C39">
      <w:pPr>
        <w:pageBreakBefore w:val="0"/>
        <w:tabs>
          <w:tab w:val="left" w:pos="1800"/>
          <w:tab w:val="left" w:pos="5580"/>
        </w:tabs>
        <w:wordWrap w:val="0"/>
        <w:topLinePunct w:val="0"/>
        <w:bidi w:val="0"/>
        <w:spacing w:after="0" w:line="360" w:lineRule="auto"/>
        <w:ind w:firstLine="360" w:firstLineChars="150"/>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项目名称：</w:t>
      </w:r>
      <w:r>
        <w:rPr>
          <w:rFonts w:hint="eastAsia" w:ascii="宋体" w:hAnsi="宋体" w:eastAsia="宋体" w:cs="宋体"/>
          <w:i w:val="0"/>
          <w:iCs w:val="0"/>
          <w:color w:val="000000"/>
          <w:sz w:val="24"/>
          <w:highlight w:val="none"/>
          <w:u w:val="single"/>
          <w:lang w:val="zh-CN"/>
        </w:rPr>
        <w:t xml:space="preserve">         </w:t>
      </w:r>
      <w:r>
        <w:rPr>
          <w:rFonts w:hint="eastAsia" w:ascii="宋体" w:hAnsi="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p>
    <w:tbl>
      <w:tblPr>
        <w:tblStyle w:val="42"/>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34A84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noWrap w:val="0"/>
            <w:vAlign w:val="center"/>
          </w:tcPr>
          <w:p w14:paraId="1EBEDBD0">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序号</w:t>
            </w:r>
          </w:p>
        </w:tc>
        <w:tc>
          <w:tcPr>
            <w:tcW w:w="1482" w:type="dxa"/>
            <w:noWrap w:val="0"/>
            <w:vAlign w:val="center"/>
          </w:tcPr>
          <w:p w14:paraId="0571134C">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竞争性磋商文件条目号(页码)</w:t>
            </w:r>
          </w:p>
        </w:tc>
        <w:tc>
          <w:tcPr>
            <w:tcW w:w="2384" w:type="dxa"/>
            <w:noWrap w:val="0"/>
            <w:vAlign w:val="center"/>
          </w:tcPr>
          <w:p w14:paraId="5126FF2A">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竞争性磋商文件要求</w:t>
            </w:r>
          </w:p>
        </w:tc>
        <w:tc>
          <w:tcPr>
            <w:tcW w:w="2126" w:type="dxa"/>
            <w:noWrap w:val="0"/>
            <w:vAlign w:val="center"/>
          </w:tcPr>
          <w:p w14:paraId="26CEBC97">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响应内容</w:t>
            </w:r>
          </w:p>
        </w:tc>
        <w:tc>
          <w:tcPr>
            <w:tcW w:w="1875" w:type="dxa"/>
            <w:noWrap w:val="0"/>
            <w:vAlign w:val="center"/>
          </w:tcPr>
          <w:p w14:paraId="0786CDA8">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偏离情况</w:t>
            </w:r>
          </w:p>
        </w:tc>
        <w:tc>
          <w:tcPr>
            <w:tcW w:w="1009" w:type="dxa"/>
            <w:noWrap w:val="0"/>
            <w:vAlign w:val="center"/>
          </w:tcPr>
          <w:p w14:paraId="1DA9A6B6">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说明</w:t>
            </w:r>
          </w:p>
        </w:tc>
      </w:tr>
      <w:tr w14:paraId="02720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77A59F31">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482" w:type="dxa"/>
            <w:noWrap w:val="0"/>
            <w:vAlign w:val="center"/>
          </w:tcPr>
          <w:p w14:paraId="14D3ED5A">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4" w:type="dxa"/>
            <w:noWrap w:val="0"/>
            <w:vAlign w:val="center"/>
          </w:tcPr>
          <w:p w14:paraId="2894936F">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126" w:type="dxa"/>
            <w:noWrap w:val="0"/>
            <w:vAlign w:val="center"/>
          </w:tcPr>
          <w:p w14:paraId="7992232A">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875" w:type="dxa"/>
            <w:noWrap w:val="0"/>
            <w:vAlign w:val="center"/>
          </w:tcPr>
          <w:p w14:paraId="1EEFA7C0">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009" w:type="dxa"/>
            <w:noWrap w:val="0"/>
            <w:vAlign w:val="center"/>
          </w:tcPr>
          <w:p w14:paraId="6D8DFECB">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r w14:paraId="69CE8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5EB33301">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482" w:type="dxa"/>
            <w:noWrap w:val="0"/>
            <w:vAlign w:val="center"/>
          </w:tcPr>
          <w:p w14:paraId="5E229243">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4" w:type="dxa"/>
            <w:noWrap w:val="0"/>
            <w:vAlign w:val="center"/>
          </w:tcPr>
          <w:p w14:paraId="290D0C39">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126" w:type="dxa"/>
            <w:noWrap w:val="0"/>
            <w:vAlign w:val="center"/>
          </w:tcPr>
          <w:p w14:paraId="420C6FE5">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875" w:type="dxa"/>
            <w:noWrap w:val="0"/>
            <w:vAlign w:val="center"/>
          </w:tcPr>
          <w:p w14:paraId="10ADAB24">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009" w:type="dxa"/>
            <w:noWrap w:val="0"/>
            <w:vAlign w:val="center"/>
          </w:tcPr>
          <w:p w14:paraId="50CA1510">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r w14:paraId="44B9C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54F0254A">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482" w:type="dxa"/>
            <w:noWrap w:val="0"/>
            <w:vAlign w:val="center"/>
          </w:tcPr>
          <w:p w14:paraId="457FE8D9">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4" w:type="dxa"/>
            <w:noWrap w:val="0"/>
            <w:vAlign w:val="center"/>
          </w:tcPr>
          <w:p w14:paraId="43FABE71">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126" w:type="dxa"/>
            <w:noWrap w:val="0"/>
            <w:vAlign w:val="center"/>
          </w:tcPr>
          <w:p w14:paraId="4E8AF33C">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875" w:type="dxa"/>
            <w:noWrap w:val="0"/>
            <w:vAlign w:val="center"/>
          </w:tcPr>
          <w:p w14:paraId="4A5E2793">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009" w:type="dxa"/>
            <w:noWrap w:val="0"/>
            <w:vAlign w:val="center"/>
          </w:tcPr>
          <w:p w14:paraId="686701F6">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r w14:paraId="48B7A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7C7A9931">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482" w:type="dxa"/>
            <w:noWrap w:val="0"/>
            <w:vAlign w:val="center"/>
          </w:tcPr>
          <w:p w14:paraId="4231274D">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4" w:type="dxa"/>
            <w:noWrap w:val="0"/>
            <w:vAlign w:val="center"/>
          </w:tcPr>
          <w:p w14:paraId="1589F826">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126" w:type="dxa"/>
            <w:noWrap w:val="0"/>
            <w:vAlign w:val="center"/>
          </w:tcPr>
          <w:p w14:paraId="0123A643">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875" w:type="dxa"/>
            <w:noWrap w:val="0"/>
            <w:vAlign w:val="center"/>
          </w:tcPr>
          <w:p w14:paraId="7FE87A75">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009" w:type="dxa"/>
            <w:noWrap w:val="0"/>
            <w:vAlign w:val="center"/>
          </w:tcPr>
          <w:p w14:paraId="2844FA5A">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r w14:paraId="1BFA2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29A853CA">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482" w:type="dxa"/>
            <w:noWrap w:val="0"/>
            <w:vAlign w:val="center"/>
          </w:tcPr>
          <w:p w14:paraId="6F506B81">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4" w:type="dxa"/>
            <w:noWrap w:val="0"/>
            <w:vAlign w:val="center"/>
          </w:tcPr>
          <w:p w14:paraId="4ACB8DCB">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126" w:type="dxa"/>
            <w:noWrap w:val="0"/>
            <w:vAlign w:val="center"/>
          </w:tcPr>
          <w:p w14:paraId="1814D1AD">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875" w:type="dxa"/>
            <w:noWrap w:val="0"/>
            <w:vAlign w:val="center"/>
          </w:tcPr>
          <w:p w14:paraId="7B7A6C43">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009" w:type="dxa"/>
            <w:noWrap w:val="0"/>
            <w:vAlign w:val="center"/>
          </w:tcPr>
          <w:p w14:paraId="1959723D">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r w14:paraId="7DE43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648E27EA">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482" w:type="dxa"/>
            <w:noWrap w:val="0"/>
            <w:vAlign w:val="center"/>
          </w:tcPr>
          <w:p w14:paraId="5DBBEFE4">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4" w:type="dxa"/>
            <w:noWrap w:val="0"/>
            <w:vAlign w:val="center"/>
          </w:tcPr>
          <w:p w14:paraId="1624D721">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126" w:type="dxa"/>
            <w:noWrap w:val="0"/>
            <w:vAlign w:val="center"/>
          </w:tcPr>
          <w:p w14:paraId="0A6D091B">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875" w:type="dxa"/>
            <w:noWrap w:val="0"/>
            <w:vAlign w:val="center"/>
          </w:tcPr>
          <w:p w14:paraId="0210D677">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009" w:type="dxa"/>
            <w:noWrap w:val="0"/>
            <w:vAlign w:val="center"/>
          </w:tcPr>
          <w:p w14:paraId="24CBE3A4">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bl>
    <w:p w14:paraId="4E30F44E">
      <w:pPr>
        <w:pageBreakBefore w:val="0"/>
        <w:tabs>
          <w:tab w:val="left" w:pos="1800"/>
          <w:tab w:val="left" w:pos="5580"/>
        </w:tabs>
        <w:wordWrap w:val="0"/>
        <w:topLinePunct w:val="0"/>
        <w:bidi w:val="0"/>
        <w:spacing w:after="0" w:line="360" w:lineRule="auto"/>
        <w:ind w:firstLine="360" w:firstLineChars="150"/>
        <w:jc w:val="left"/>
        <w:textAlignment w:val="auto"/>
        <w:rPr>
          <w:rFonts w:hint="eastAsia" w:ascii="宋体" w:hAnsi="宋体" w:eastAsia="宋体" w:cs="宋体"/>
          <w:i w:val="0"/>
          <w:iCs w:val="0"/>
          <w:color w:val="000000"/>
          <w:sz w:val="24"/>
          <w:highlight w:val="none"/>
          <w:u w:val="single"/>
        </w:rPr>
      </w:pPr>
    </w:p>
    <w:p w14:paraId="0DC1468A">
      <w:pPr>
        <w:pageBreakBefore w:val="0"/>
        <w:tabs>
          <w:tab w:val="left" w:pos="1800"/>
          <w:tab w:val="left" w:pos="5580"/>
        </w:tabs>
        <w:wordWrap w:val="0"/>
        <w:topLinePunct w:val="0"/>
        <w:bidi w:val="0"/>
        <w:spacing w:after="0" w:line="360" w:lineRule="auto"/>
        <w:ind w:firstLine="360" w:firstLineChars="150"/>
        <w:jc w:val="left"/>
        <w:textAlignment w:val="auto"/>
        <w:rPr>
          <w:rFonts w:hint="eastAsia" w:ascii="宋体" w:hAnsi="宋体" w:eastAsia="宋体" w:cs="宋体"/>
          <w:i w:val="0"/>
          <w:iCs w:val="0"/>
          <w:color w:val="000000"/>
          <w:sz w:val="24"/>
          <w:highlight w:val="none"/>
          <w:u w:val="single"/>
        </w:rPr>
      </w:pPr>
    </w:p>
    <w:p w14:paraId="0234E0EB">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注：</w:t>
      </w:r>
    </w:p>
    <w:p w14:paraId="1453D4B0">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color w:val="000000"/>
          <w:sz w:val="24"/>
          <w:highlight w:val="none"/>
        </w:rPr>
        <w:t xml:space="preserve">1. </w:t>
      </w:r>
      <w:r>
        <w:rPr>
          <w:rFonts w:hint="eastAsia" w:ascii="宋体" w:hAnsi="宋体" w:eastAsia="宋体" w:cs="宋体"/>
          <w:i w:val="0"/>
          <w:iCs w:val="0"/>
          <w:sz w:val="24"/>
          <w:highlight w:val="none"/>
        </w:rPr>
        <w:t>对竞争性磋商文件中的所有商务、技术要求，除本表所列明的所有偏离外，均视作供应商已对之理解和响应。此表中若无任何文字说明，内容为空白的</w:t>
      </w:r>
      <w:r>
        <w:rPr>
          <w:rFonts w:hint="eastAsia" w:ascii="宋体" w:hAnsi="宋体" w:eastAsia="宋体" w:cs="宋体"/>
          <w:i w:val="0"/>
          <w:iCs w:val="0"/>
          <w:sz w:val="24"/>
          <w:highlight w:val="none"/>
          <w:lang w:eastAsia="zh-CN"/>
        </w:rPr>
        <w:t>，</w:t>
      </w:r>
      <w:r>
        <w:rPr>
          <w:rFonts w:hint="eastAsia" w:ascii="宋体" w:hAnsi="宋体" w:eastAsia="宋体" w:cs="宋体"/>
          <w:b/>
          <w:i w:val="0"/>
          <w:iCs w:val="0"/>
          <w:sz w:val="24"/>
          <w:highlight w:val="none"/>
        </w:rPr>
        <w:t>响应无效</w:t>
      </w:r>
      <w:r>
        <w:rPr>
          <w:rFonts w:hint="eastAsia" w:ascii="宋体" w:hAnsi="宋体" w:eastAsia="宋体" w:cs="宋体"/>
          <w:i w:val="0"/>
          <w:iCs w:val="0"/>
          <w:sz w:val="24"/>
          <w:highlight w:val="none"/>
        </w:rPr>
        <w:t>。</w:t>
      </w:r>
    </w:p>
    <w:p w14:paraId="596101E0">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sz w:val="24"/>
          <w:highlight w:val="none"/>
        </w:rPr>
        <w:t>2.“偏离情况”列应</w:t>
      </w:r>
      <w:r>
        <w:rPr>
          <w:rFonts w:hint="eastAsia" w:ascii="宋体" w:hAnsi="宋体" w:eastAsia="宋体" w:cs="宋体"/>
          <w:i w:val="0"/>
          <w:iCs w:val="0"/>
          <w:color w:val="000000"/>
          <w:sz w:val="24"/>
          <w:highlight w:val="none"/>
        </w:rPr>
        <w:t>据实</w:t>
      </w:r>
      <w:r>
        <w:rPr>
          <w:rFonts w:hint="eastAsia" w:ascii="宋体" w:hAnsi="宋体" w:eastAsia="宋体" w:cs="宋体"/>
          <w:i w:val="0"/>
          <w:iCs w:val="0"/>
          <w:sz w:val="24"/>
          <w:highlight w:val="none"/>
        </w:rPr>
        <w:t>填写</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无偏离</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“正偏离”或“负偏离”。</w:t>
      </w:r>
    </w:p>
    <w:p w14:paraId="1F83938F">
      <w:pPr>
        <w:pageBreakBefore w:val="0"/>
        <w:wordWrap w:val="0"/>
        <w:topLinePunct w:val="0"/>
        <w:bidi w:val="0"/>
        <w:spacing w:after="0" w:line="360" w:lineRule="auto"/>
        <w:textAlignment w:val="auto"/>
        <w:rPr>
          <w:rFonts w:hint="eastAsia" w:ascii="宋体" w:hAnsi="宋体" w:eastAsia="宋体" w:cs="宋体"/>
          <w:i w:val="0"/>
          <w:iCs w:val="0"/>
          <w:color w:val="000000"/>
          <w:sz w:val="24"/>
          <w:szCs w:val="20"/>
          <w:highlight w:val="none"/>
        </w:rPr>
      </w:pPr>
    </w:p>
    <w:p w14:paraId="0ED2C1E2">
      <w:pPr>
        <w:pageBreakBefore w:val="0"/>
        <w:wordWrap w:val="0"/>
        <w:topLinePunct w:val="0"/>
        <w:autoSpaceDE w:val="0"/>
        <w:autoSpaceDN w:val="0"/>
        <w:bidi w:val="0"/>
        <w:adjustRightInd w:val="0"/>
        <w:snapToGrid w:val="0"/>
        <w:spacing w:before="25" w:after="0" w:line="360" w:lineRule="auto"/>
        <w:ind w:right="360"/>
        <w:jc w:val="left"/>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供应商名称（加盖公章）</w:t>
      </w:r>
      <w:r>
        <w:rPr>
          <w:rFonts w:hint="eastAsia" w:ascii="宋体" w:hAnsi="宋体" w:eastAsia="宋体" w:cs="宋体"/>
          <w:i w:val="0"/>
          <w:iCs w:val="0"/>
          <w:color w:val="000000"/>
          <w:sz w:val="24"/>
          <w:highlight w:val="none"/>
          <w:lang w:val="zh-CN"/>
        </w:rPr>
        <w:t>：</w:t>
      </w:r>
      <w:r>
        <w:rPr>
          <w:rFonts w:hint="eastAsia" w:ascii="宋体" w:hAnsi="宋体" w:eastAsia="宋体" w:cs="宋体"/>
          <w:i w:val="0"/>
          <w:iCs w:val="0"/>
          <w:color w:val="000000"/>
          <w:sz w:val="24"/>
          <w:highlight w:val="none"/>
          <w:u w:val="single"/>
          <w:lang w:val="zh-CN"/>
        </w:rPr>
        <w:t xml:space="preserve">           </w:t>
      </w:r>
    </w:p>
    <w:p w14:paraId="71D90783">
      <w:pPr>
        <w:pageBreakBefore w:val="0"/>
        <w:wordWrap w:val="0"/>
        <w:topLinePunct w:val="0"/>
        <w:autoSpaceDE w:val="0"/>
        <w:autoSpaceDN w:val="0"/>
        <w:bidi w:val="0"/>
        <w:adjustRightInd w:val="0"/>
        <w:snapToGrid w:val="0"/>
        <w:spacing w:before="25" w:after="0" w:line="360" w:lineRule="auto"/>
        <w:ind w:right="360"/>
        <w:jc w:val="left"/>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日</w:t>
      </w:r>
    </w:p>
    <w:p w14:paraId="460616C5">
      <w:pPr>
        <w:pageBreakBefore w:val="0"/>
        <w:tabs>
          <w:tab w:val="left" w:pos="360"/>
        </w:tabs>
        <w:wordWrap w:val="0"/>
        <w:topLinePunct w:val="0"/>
        <w:bidi w:val="0"/>
        <w:snapToGrid w:val="0"/>
        <w:spacing w:after="0" w:line="360" w:lineRule="auto"/>
        <w:textAlignment w:val="auto"/>
        <w:outlineLvl w:val="1"/>
        <w:rPr>
          <w:rFonts w:hint="eastAsia" w:ascii="宋体" w:hAnsi="宋体" w:eastAsia="宋体" w:cs="宋体"/>
          <w:i w:val="0"/>
          <w:iCs w:val="0"/>
          <w:sz w:val="24"/>
          <w:highlight w:val="none"/>
        </w:rPr>
        <w:sectPr>
          <w:pgSz w:w="11905" w:h="16838"/>
          <w:pgMar w:top="1474" w:right="1474" w:bottom="1474" w:left="1474" w:header="851" w:footer="992" w:gutter="0"/>
          <w:pgNumType w:fmt="decimal"/>
          <w:cols w:space="720" w:num="1"/>
          <w:rtlGutter w:val="0"/>
          <w:docGrid w:linePitch="462" w:charSpace="0"/>
        </w:sectPr>
      </w:pPr>
    </w:p>
    <w:p w14:paraId="73C726AB">
      <w:pPr>
        <w:pageBreakBefore w:val="0"/>
        <w:tabs>
          <w:tab w:val="left" w:pos="360"/>
        </w:tabs>
        <w:wordWrap w:val="0"/>
        <w:topLinePunct w:val="0"/>
        <w:bidi w:val="0"/>
        <w:snapToGrid w:val="0"/>
        <w:spacing w:after="0" w:line="360" w:lineRule="auto"/>
        <w:textAlignment w:val="auto"/>
        <w:outlineLvl w:val="1"/>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1</w:t>
      </w:r>
      <w:r>
        <w:rPr>
          <w:rFonts w:hint="eastAsia" w:ascii="宋体" w:hAnsi="宋体" w:eastAsia="宋体" w:cs="宋体"/>
          <w:i w:val="0"/>
          <w:iCs w:val="0"/>
          <w:sz w:val="24"/>
          <w:highlight w:val="none"/>
          <w:lang w:val="en-US" w:eastAsia="zh-CN"/>
        </w:rPr>
        <w:t>1 本国产品标准证明文件</w:t>
      </w:r>
    </w:p>
    <w:p w14:paraId="43A09239">
      <w:pPr>
        <w:pageBreakBefore w:val="0"/>
        <w:shd w:val="clear" w:color="auto" w:fill="auto"/>
        <w:wordWrap w:val="0"/>
        <w:topLinePunct w:val="0"/>
        <w:bidi w:val="0"/>
        <w:spacing w:before="240" w:beforeLines="100" w:after="0" w:line="360" w:lineRule="auto"/>
        <w:jc w:val="center"/>
        <w:textAlignment w:val="auto"/>
        <w:rPr>
          <w:rFonts w:hint="eastAsia" w:ascii="宋体" w:hAnsi="宋体" w:eastAsia="宋体" w:cs="宋体"/>
          <w:b/>
          <w:bCs/>
          <w:i w:val="0"/>
          <w:iCs w:val="0"/>
          <w:color w:val="auto"/>
          <w:sz w:val="28"/>
          <w:szCs w:val="28"/>
          <w:highlight w:val="none"/>
        </w:rPr>
      </w:pPr>
      <w:r>
        <w:rPr>
          <w:rFonts w:hint="eastAsia" w:ascii="宋体" w:hAnsi="宋体" w:eastAsia="宋体" w:cs="宋体"/>
          <w:b/>
          <w:bCs/>
          <w:i w:val="0"/>
          <w:iCs w:val="0"/>
          <w:color w:val="auto"/>
          <w:sz w:val="28"/>
          <w:szCs w:val="28"/>
          <w:highlight w:val="none"/>
        </w:rPr>
        <w:t>关于符合本国产品标准的声明函</w:t>
      </w:r>
    </w:p>
    <w:p w14:paraId="1702DA13">
      <w:pPr>
        <w:pStyle w:val="37"/>
        <w:shd w:val="clear" w:color="auto" w:fill="auto"/>
        <w:spacing w:before="0" w:beforeAutospacing="0" w:after="0" w:afterAutospacing="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44894C05">
      <w:pPr>
        <w:pStyle w:val="37"/>
        <w:shd w:val="clear" w:color="auto" w:fill="auto"/>
        <w:spacing w:before="0" w:beforeAutospacing="0" w:after="0" w:afterAutospacing="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1.</w:t>
      </w:r>
      <w:r>
        <w:rPr>
          <w:rStyle w:val="49"/>
          <w:rFonts w:hint="eastAsia" w:ascii="宋体" w:hAnsi="宋体" w:eastAsia="宋体" w:cs="宋体"/>
          <w:color w:val="auto"/>
          <w:sz w:val="24"/>
          <w:szCs w:val="24"/>
          <w:highlight w:val="none"/>
          <w:u w:val="single"/>
          <w:shd w:val="clear" w:color="auto" w:fill="FFFFFF"/>
        </w:rPr>
        <w:t>（产品名称1）</w:t>
      </w:r>
      <w:r>
        <w:rPr>
          <w:rStyle w:val="49"/>
          <w:rFonts w:hint="eastAsia" w:ascii="宋体" w:hAnsi="宋体" w:eastAsia="宋体" w:cs="宋体"/>
          <w:color w:val="auto"/>
          <w:sz w:val="24"/>
          <w:szCs w:val="24"/>
          <w:highlight w:val="none"/>
          <w:shd w:val="clear" w:color="auto" w:fill="FFFFFF"/>
          <w:vertAlign w:val="superscript"/>
        </w:rPr>
        <w:t>1</w:t>
      </w:r>
      <w:r>
        <w:rPr>
          <w:rFonts w:hint="eastAsia" w:ascii="宋体" w:hAnsi="宋体" w:eastAsia="宋体" w:cs="宋体"/>
          <w:color w:val="auto"/>
          <w:sz w:val="24"/>
          <w:szCs w:val="24"/>
          <w:highlight w:val="none"/>
          <w:shd w:val="clear" w:color="auto" w:fill="FFFFFF"/>
        </w:rPr>
        <w:t>，生产厂为</w:t>
      </w:r>
      <w:r>
        <w:rPr>
          <w:rStyle w:val="49"/>
          <w:rFonts w:hint="eastAsia" w:ascii="宋体" w:hAnsi="宋体" w:eastAsia="宋体" w:cs="宋体"/>
          <w:color w:val="auto"/>
          <w:sz w:val="24"/>
          <w:szCs w:val="24"/>
          <w:highlight w:val="none"/>
          <w:u w:val="single"/>
          <w:shd w:val="clear" w:color="auto" w:fill="FFFFFF"/>
        </w:rPr>
        <w:t>（厂名）</w:t>
      </w:r>
      <w:r>
        <w:rPr>
          <w:rStyle w:val="49"/>
          <w:rFonts w:hint="eastAsia" w:ascii="宋体" w:hAnsi="宋体" w:eastAsia="宋体" w:cs="宋体"/>
          <w:color w:val="auto"/>
          <w:sz w:val="24"/>
          <w:szCs w:val="24"/>
          <w:highlight w:val="none"/>
          <w:shd w:val="clear" w:color="auto" w:fill="FFFFFF"/>
          <w:vertAlign w:val="superscript"/>
        </w:rPr>
        <w:t>2</w:t>
      </w:r>
      <w:r>
        <w:rPr>
          <w:rFonts w:hint="eastAsia" w:ascii="宋体" w:hAnsi="宋体" w:eastAsia="宋体" w:cs="宋体"/>
          <w:color w:val="auto"/>
          <w:sz w:val="24"/>
          <w:szCs w:val="24"/>
          <w:highlight w:val="none"/>
          <w:shd w:val="clear" w:color="auto" w:fill="FFFFFF"/>
        </w:rPr>
        <w:t>，厂址为</w:t>
      </w:r>
      <w:r>
        <w:rPr>
          <w:rStyle w:val="49"/>
          <w:rFonts w:hint="eastAsia" w:ascii="宋体" w:hAnsi="宋体" w:eastAsia="宋体" w:cs="宋体"/>
          <w:color w:val="auto"/>
          <w:sz w:val="24"/>
          <w:szCs w:val="24"/>
          <w:highlight w:val="none"/>
          <w:u w:val="single"/>
          <w:shd w:val="clear" w:color="auto" w:fill="FFFFFF"/>
        </w:rPr>
        <w:t>（生产厂址）</w:t>
      </w:r>
      <w:r>
        <w:rPr>
          <w:rFonts w:hint="eastAsia" w:ascii="宋体" w:hAnsi="宋体" w:eastAsia="宋体" w:cs="宋体"/>
          <w:color w:val="auto"/>
          <w:sz w:val="24"/>
          <w:szCs w:val="24"/>
          <w:highlight w:val="none"/>
          <w:shd w:val="clear" w:color="auto" w:fill="FFFFFF"/>
        </w:rPr>
        <w:t>。</w:t>
      </w:r>
      <w:r>
        <w:rPr>
          <w:rStyle w:val="49"/>
          <w:rFonts w:hint="eastAsia" w:ascii="宋体" w:hAnsi="宋体" w:eastAsia="宋体" w:cs="宋体"/>
          <w:color w:val="auto"/>
          <w:sz w:val="24"/>
          <w:szCs w:val="24"/>
          <w:highlight w:val="none"/>
          <w:u w:val="single"/>
          <w:shd w:val="clear" w:color="auto" w:fill="FFFFFF"/>
        </w:rPr>
        <w:t>（产品名称1）</w:t>
      </w:r>
      <w:r>
        <w:rPr>
          <w:rFonts w:hint="eastAsia" w:ascii="宋体" w:hAnsi="宋体" w:eastAsia="宋体" w:cs="宋体"/>
          <w:color w:val="auto"/>
          <w:sz w:val="24"/>
          <w:szCs w:val="24"/>
          <w:highlight w:val="none"/>
          <w:shd w:val="clear" w:color="auto" w:fill="FFFFFF"/>
        </w:rPr>
        <w:t>的中国境内生产的组件成本占比≥</w:t>
      </w:r>
      <w:r>
        <w:rPr>
          <w:rStyle w:val="49"/>
          <w:rFonts w:hint="eastAsia" w:ascii="宋体" w:hAnsi="宋体" w:eastAsia="宋体" w:cs="宋体"/>
          <w:color w:val="auto"/>
          <w:sz w:val="24"/>
          <w:szCs w:val="24"/>
          <w:highlight w:val="none"/>
          <w:u w:val="single"/>
          <w:shd w:val="clear" w:color="auto" w:fill="FFFFFF"/>
        </w:rPr>
        <w:t>（规定比例）</w:t>
      </w:r>
      <w:r>
        <w:rPr>
          <w:rStyle w:val="49"/>
          <w:rFonts w:hint="eastAsia" w:ascii="宋体" w:hAnsi="宋体" w:eastAsia="宋体" w:cs="宋体"/>
          <w:color w:val="auto"/>
          <w:sz w:val="24"/>
          <w:szCs w:val="24"/>
          <w:highlight w:val="none"/>
          <w:shd w:val="clear" w:color="auto" w:fill="FFFFFF"/>
          <w:vertAlign w:val="superscript"/>
        </w:rPr>
        <w:t>3</w:t>
      </w:r>
      <w:r>
        <w:rPr>
          <w:rFonts w:hint="eastAsia" w:ascii="宋体" w:hAnsi="宋体" w:eastAsia="宋体" w:cs="宋体"/>
          <w:color w:val="auto"/>
          <w:sz w:val="24"/>
          <w:szCs w:val="24"/>
          <w:highlight w:val="none"/>
          <w:shd w:val="clear" w:color="auto" w:fill="FFFFFF"/>
        </w:rPr>
        <w:t>。</w:t>
      </w:r>
      <w:r>
        <w:rPr>
          <w:rStyle w:val="49"/>
          <w:rFonts w:hint="eastAsia" w:ascii="宋体" w:hAnsi="宋体" w:eastAsia="宋体" w:cs="宋体"/>
          <w:color w:val="auto"/>
          <w:sz w:val="24"/>
          <w:szCs w:val="24"/>
          <w:highlight w:val="none"/>
          <w:u w:val="single"/>
          <w:shd w:val="clear" w:color="auto" w:fill="FFFFFF"/>
        </w:rPr>
        <w:t>（产品名称1）</w:t>
      </w:r>
      <w:r>
        <w:rPr>
          <w:rFonts w:hint="eastAsia" w:ascii="宋体" w:hAnsi="宋体" w:eastAsia="宋体" w:cs="宋体"/>
          <w:color w:val="auto"/>
          <w:sz w:val="24"/>
          <w:szCs w:val="24"/>
          <w:highlight w:val="none"/>
          <w:shd w:val="clear" w:color="auto" w:fill="FFFFFF"/>
        </w:rPr>
        <w:t>的</w:t>
      </w:r>
      <w:r>
        <w:rPr>
          <w:rStyle w:val="49"/>
          <w:rFonts w:hint="eastAsia" w:ascii="宋体" w:hAnsi="宋体" w:eastAsia="宋体" w:cs="宋体"/>
          <w:color w:val="auto"/>
          <w:sz w:val="24"/>
          <w:szCs w:val="24"/>
          <w:highlight w:val="none"/>
          <w:u w:val="single"/>
          <w:shd w:val="clear" w:color="auto" w:fill="FFFFFF"/>
        </w:rPr>
        <w:t>（关键组件）</w:t>
      </w:r>
      <w:r>
        <w:rPr>
          <w:rStyle w:val="49"/>
          <w:rFonts w:hint="eastAsia" w:ascii="宋体" w:hAnsi="宋体" w:eastAsia="宋体" w:cs="宋体"/>
          <w:color w:val="auto"/>
          <w:sz w:val="24"/>
          <w:szCs w:val="24"/>
          <w:highlight w:val="none"/>
          <w:shd w:val="clear" w:color="auto" w:fill="FFFFFF"/>
          <w:vertAlign w:val="superscript"/>
        </w:rPr>
        <w:t>4</w:t>
      </w:r>
      <w:r>
        <w:rPr>
          <w:rFonts w:hint="eastAsia" w:ascii="宋体" w:hAnsi="宋体" w:eastAsia="宋体" w:cs="宋体"/>
          <w:color w:val="auto"/>
          <w:sz w:val="24"/>
          <w:szCs w:val="24"/>
          <w:highlight w:val="none"/>
          <w:shd w:val="clear" w:color="auto" w:fill="FFFFFF"/>
        </w:rPr>
        <w:t>在中国境内生产。</w:t>
      </w:r>
      <w:r>
        <w:rPr>
          <w:rStyle w:val="49"/>
          <w:rFonts w:hint="eastAsia" w:ascii="宋体" w:hAnsi="宋体" w:eastAsia="宋体" w:cs="宋体"/>
          <w:color w:val="auto"/>
          <w:sz w:val="24"/>
          <w:szCs w:val="24"/>
          <w:highlight w:val="none"/>
          <w:u w:val="single"/>
          <w:shd w:val="clear" w:color="auto" w:fill="FFFFFF"/>
        </w:rPr>
        <w:t>（产品名称1）</w:t>
      </w:r>
      <w:r>
        <w:rPr>
          <w:rFonts w:hint="eastAsia" w:ascii="宋体" w:hAnsi="宋体" w:eastAsia="宋体" w:cs="宋体"/>
          <w:color w:val="auto"/>
          <w:sz w:val="24"/>
          <w:szCs w:val="24"/>
          <w:highlight w:val="none"/>
          <w:shd w:val="clear" w:color="auto" w:fill="FFFFFF"/>
        </w:rPr>
        <w:t>的</w:t>
      </w:r>
      <w:r>
        <w:rPr>
          <w:rStyle w:val="49"/>
          <w:rFonts w:hint="eastAsia" w:ascii="宋体" w:hAnsi="宋体" w:eastAsia="宋体" w:cs="宋体"/>
          <w:color w:val="auto"/>
          <w:sz w:val="24"/>
          <w:szCs w:val="24"/>
          <w:highlight w:val="none"/>
          <w:u w:val="single"/>
          <w:shd w:val="clear" w:color="auto" w:fill="FFFFFF"/>
        </w:rPr>
        <w:t>（关键工序）</w:t>
      </w:r>
      <w:r>
        <w:rPr>
          <w:rStyle w:val="49"/>
          <w:rFonts w:hint="eastAsia" w:ascii="宋体" w:hAnsi="宋体" w:eastAsia="宋体" w:cs="宋体"/>
          <w:color w:val="auto"/>
          <w:sz w:val="24"/>
          <w:szCs w:val="24"/>
          <w:highlight w:val="none"/>
          <w:shd w:val="clear" w:color="auto" w:fill="FFFFFF"/>
          <w:vertAlign w:val="superscript"/>
        </w:rPr>
        <w:t>5</w:t>
      </w:r>
      <w:r>
        <w:rPr>
          <w:rFonts w:hint="eastAsia" w:ascii="宋体" w:hAnsi="宋体" w:eastAsia="宋体" w:cs="宋体"/>
          <w:color w:val="auto"/>
          <w:sz w:val="24"/>
          <w:szCs w:val="24"/>
          <w:highlight w:val="none"/>
          <w:shd w:val="clear" w:color="auto" w:fill="FFFFFF"/>
        </w:rPr>
        <w:t>在中国境内完成。</w:t>
      </w:r>
    </w:p>
    <w:p w14:paraId="6C58E386">
      <w:pPr>
        <w:pStyle w:val="37"/>
        <w:shd w:val="clear" w:color="auto" w:fill="auto"/>
        <w:spacing w:before="0" w:beforeAutospacing="0" w:after="0" w:afterAutospacing="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2.</w:t>
      </w:r>
      <w:r>
        <w:rPr>
          <w:rStyle w:val="49"/>
          <w:rFonts w:hint="eastAsia" w:ascii="宋体" w:hAnsi="宋体" w:eastAsia="宋体" w:cs="宋体"/>
          <w:color w:val="auto"/>
          <w:sz w:val="24"/>
          <w:szCs w:val="24"/>
          <w:highlight w:val="none"/>
          <w:u w:val="single"/>
          <w:shd w:val="clear" w:color="auto" w:fill="FFFFFF"/>
        </w:rPr>
        <w:t>（产品名称2）</w:t>
      </w:r>
      <w:r>
        <w:rPr>
          <w:rFonts w:hint="eastAsia" w:ascii="宋体" w:hAnsi="宋体" w:eastAsia="宋体" w:cs="宋体"/>
          <w:color w:val="auto"/>
          <w:sz w:val="24"/>
          <w:szCs w:val="24"/>
          <w:highlight w:val="none"/>
          <w:shd w:val="clear" w:color="auto" w:fill="FFFFFF"/>
        </w:rPr>
        <w:t>，生产厂为</w:t>
      </w:r>
      <w:r>
        <w:rPr>
          <w:rStyle w:val="49"/>
          <w:rFonts w:hint="eastAsia" w:ascii="宋体" w:hAnsi="宋体" w:eastAsia="宋体" w:cs="宋体"/>
          <w:color w:val="auto"/>
          <w:sz w:val="24"/>
          <w:szCs w:val="24"/>
          <w:highlight w:val="none"/>
          <w:u w:val="single"/>
          <w:shd w:val="clear" w:color="auto" w:fill="FFFFFF"/>
        </w:rPr>
        <w:t>（厂名）</w:t>
      </w:r>
      <w:r>
        <w:rPr>
          <w:rFonts w:hint="eastAsia" w:ascii="宋体" w:hAnsi="宋体" w:eastAsia="宋体" w:cs="宋体"/>
          <w:color w:val="auto"/>
          <w:sz w:val="24"/>
          <w:szCs w:val="24"/>
          <w:highlight w:val="none"/>
          <w:shd w:val="clear" w:color="auto" w:fill="FFFFFF"/>
        </w:rPr>
        <w:t>，厂址为</w:t>
      </w:r>
      <w:r>
        <w:rPr>
          <w:rStyle w:val="49"/>
          <w:rFonts w:hint="eastAsia" w:ascii="宋体" w:hAnsi="宋体" w:eastAsia="宋体" w:cs="宋体"/>
          <w:color w:val="auto"/>
          <w:sz w:val="24"/>
          <w:szCs w:val="24"/>
          <w:highlight w:val="none"/>
          <w:u w:val="single"/>
          <w:shd w:val="clear" w:color="auto" w:fill="FFFFFF"/>
        </w:rPr>
        <w:t>（生产厂址）</w:t>
      </w:r>
      <w:r>
        <w:rPr>
          <w:rFonts w:hint="eastAsia" w:ascii="宋体" w:hAnsi="宋体" w:eastAsia="宋体" w:cs="宋体"/>
          <w:color w:val="auto"/>
          <w:sz w:val="24"/>
          <w:szCs w:val="24"/>
          <w:highlight w:val="none"/>
          <w:shd w:val="clear" w:color="auto" w:fill="FFFFFF"/>
        </w:rPr>
        <w:t>。</w:t>
      </w:r>
      <w:r>
        <w:rPr>
          <w:rStyle w:val="49"/>
          <w:rFonts w:hint="eastAsia" w:ascii="宋体" w:hAnsi="宋体" w:eastAsia="宋体" w:cs="宋体"/>
          <w:color w:val="auto"/>
          <w:sz w:val="24"/>
          <w:szCs w:val="24"/>
          <w:highlight w:val="none"/>
          <w:u w:val="single"/>
          <w:shd w:val="clear" w:color="auto" w:fill="FFFFFF"/>
        </w:rPr>
        <w:t>（产品名称2）</w:t>
      </w:r>
      <w:r>
        <w:rPr>
          <w:rFonts w:hint="eastAsia" w:ascii="宋体" w:hAnsi="宋体" w:eastAsia="宋体" w:cs="宋体"/>
          <w:color w:val="auto"/>
          <w:sz w:val="24"/>
          <w:szCs w:val="24"/>
          <w:highlight w:val="none"/>
          <w:shd w:val="clear" w:color="auto" w:fill="FFFFFF"/>
        </w:rPr>
        <w:t>的中国境内生产的组件成本占比≥</w:t>
      </w:r>
      <w:r>
        <w:rPr>
          <w:rStyle w:val="49"/>
          <w:rFonts w:hint="eastAsia" w:ascii="宋体" w:hAnsi="宋体" w:eastAsia="宋体" w:cs="宋体"/>
          <w:color w:val="auto"/>
          <w:sz w:val="24"/>
          <w:szCs w:val="24"/>
          <w:highlight w:val="none"/>
          <w:u w:val="single"/>
          <w:shd w:val="clear" w:color="auto" w:fill="FFFFFF"/>
        </w:rPr>
        <w:t>（规定比例）</w:t>
      </w:r>
      <w:r>
        <w:rPr>
          <w:rFonts w:hint="eastAsia" w:ascii="宋体" w:hAnsi="宋体" w:eastAsia="宋体" w:cs="宋体"/>
          <w:color w:val="auto"/>
          <w:sz w:val="24"/>
          <w:szCs w:val="24"/>
          <w:highlight w:val="none"/>
          <w:shd w:val="clear" w:color="auto" w:fill="FFFFFF"/>
        </w:rPr>
        <w:t>。</w:t>
      </w:r>
      <w:r>
        <w:rPr>
          <w:rStyle w:val="49"/>
          <w:rFonts w:hint="eastAsia" w:ascii="宋体" w:hAnsi="宋体" w:eastAsia="宋体" w:cs="宋体"/>
          <w:color w:val="auto"/>
          <w:sz w:val="24"/>
          <w:szCs w:val="24"/>
          <w:highlight w:val="none"/>
          <w:u w:val="single"/>
          <w:shd w:val="clear" w:color="auto" w:fill="FFFFFF"/>
        </w:rPr>
        <w:t>（产品名称2）</w:t>
      </w:r>
      <w:r>
        <w:rPr>
          <w:rFonts w:hint="eastAsia" w:ascii="宋体" w:hAnsi="宋体" w:eastAsia="宋体" w:cs="宋体"/>
          <w:color w:val="auto"/>
          <w:sz w:val="24"/>
          <w:szCs w:val="24"/>
          <w:highlight w:val="none"/>
          <w:shd w:val="clear" w:color="auto" w:fill="FFFFFF"/>
        </w:rPr>
        <w:t>的</w:t>
      </w:r>
      <w:r>
        <w:rPr>
          <w:rStyle w:val="49"/>
          <w:rFonts w:hint="eastAsia" w:ascii="宋体" w:hAnsi="宋体" w:eastAsia="宋体" w:cs="宋体"/>
          <w:color w:val="auto"/>
          <w:sz w:val="24"/>
          <w:szCs w:val="24"/>
          <w:highlight w:val="none"/>
          <w:u w:val="single"/>
          <w:shd w:val="clear" w:color="auto" w:fill="FFFFFF"/>
        </w:rPr>
        <w:t>（关键组件）</w:t>
      </w:r>
      <w:r>
        <w:rPr>
          <w:rFonts w:hint="eastAsia" w:ascii="宋体" w:hAnsi="宋体" w:eastAsia="宋体" w:cs="宋体"/>
          <w:color w:val="auto"/>
          <w:sz w:val="24"/>
          <w:szCs w:val="24"/>
          <w:highlight w:val="none"/>
          <w:shd w:val="clear" w:color="auto" w:fill="FFFFFF"/>
        </w:rPr>
        <w:t>在中国境内生产。</w:t>
      </w:r>
      <w:r>
        <w:rPr>
          <w:rStyle w:val="49"/>
          <w:rFonts w:hint="eastAsia" w:ascii="宋体" w:hAnsi="宋体" w:eastAsia="宋体" w:cs="宋体"/>
          <w:color w:val="auto"/>
          <w:sz w:val="24"/>
          <w:szCs w:val="24"/>
          <w:highlight w:val="none"/>
          <w:u w:val="single"/>
          <w:shd w:val="clear" w:color="auto" w:fill="FFFFFF"/>
        </w:rPr>
        <w:t>（产品名称2）</w:t>
      </w:r>
      <w:r>
        <w:rPr>
          <w:rFonts w:hint="eastAsia" w:ascii="宋体" w:hAnsi="宋体" w:eastAsia="宋体" w:cs="宋体"/>
          <w:color w:val="auto"/>
          <w:sz w:val="24"/>
          <w:szCs w:val="24"/>
          <w:highlight w:val="none"/>
          <w:shd w:val="clear" w:color="auto" w:fill="FFFFFF"/>
        </w:rPr>
        <w:t>的</w:t>
      </w:r>
      <w:r>
        <w:rPr>
          <w:rStyle w:val="49"/>
          <w:rFonts w:hint="eastAsia" w:ascii="宋体" w:hAnsi="宋体" w:eastAsia="宋体" w:cs="宋体"/>
          <w:color w:val="auto"/>
          <w:sz w:val="24"/>
          <w:szCs w:val="24"/>
          <w:highlight w:val="none"/>
          <w:u w:val="single"/>
          <w:shd w:val="clear" w:color="auto" w:fill="FFFFFF"/>
        </w:rPr>
        <w:t>（关键工序）</w:t>
      </w:r>
      <w:r>
        <w:rPr>
          <w:rFonts w:hint="eastAsia" w:ascii="宋体" w:hAnsi="宋体" w:eastAsia="宋体" w:cs="宋体"/>
          <w:color w:val="auto"/>
          <w:sz w:val="24"/>
          <w:szCs w:val="24"/>
          <w:highlight w:val="none"/>
          <w:shd w:val="clear" w:color="auto" w:fill="FFFFFF"/>
        </w:rPr>
        <w:t>在中国境内完成。</w:t>
      </w:r>
    </w:p>
    <w:p w14:paraId="4ECC94E4">
      <w:pPr>
        <w:pStyle w:val="37"/>
        <w:shd w:val="clear" w:color="auto" w:fill="auto"/>
        <w:spacing w:before="0" w:beforeAutospacing="0" w:after="0" w:afterAutospacing="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w:t>
      </w:r>
    </w:p>
    <w:p w14:paraId="550510F9">
      <w:pPr>
        <w:pStyle w:val="37"/>
        <w:shd w:val="clear" w:color="auto" w:fill="auto"/>
        <w:spacing w:before="0" w:beforeAutospacing="0" w:after="0" w:afterAutospacing="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本公司（单位）对上述声明内容的真实性负责。如有虚假，愿承担相应法律责任。</w:t>
      </w:r>
    </w:p>
    <w:p w14:paraId="7A3A4CD7">
      <w:pPr>
        <w:pStyle w:val="37"/>
        <w:shd w:val="clear" w:color="auto" w:fill="auto"/>
        <w:spacing w:before="0" w:beforeAutospacing="0" w:after="0" w:afterAutospacing="0" w:line="360" w:lineRule="auto"/>
        <w:rPr>
          <w:rFonts w:hint="eastAsia" w:ascii="宋体" w:hAnsi="宋体" w:eastAsia="宋体" w:cs="宋体"/>
          <w:color w:val="auto"/>
          <w:sz w:val="24"/>
          <w:szCs w:val="24"/>
          <w:highlight w:val="none"/>
        </w:rPr>
      </w:pPr>
    </w:p>
    <w:p w14:paraId="03F9BF3A">
      <w:pPr>
        <w:pStyle w:val="37"/>
        <w:shd w:val="clear" w:color="auto" w:fill="auto"/>
        <w:spacing w:before="0" w:beforeAutospacing="0" w:after="0" w:afterAutospacing="0" w:line="360" w:lineRule="auto"/>
        <w:jc w:val="right"/>
        <w:rPr>
          <w:rFonts w:hint="eastAsia" w:ascii="宋体" w:hAnsi="宋体" w:eastAsia="宋体" w:cs="宋体"/>
          <w:color w:val="auto"/>
          <w:sz w:val="24"/>
          <w:szCs w:val="24"/>
          <w:highlight w:val="none"/>
          <w:shd w:val="clear" w:color="auto" w:fill="FFFFFF"/>
        </w:rPr>
      </w:pPr>
    </w:p>
    <w:p w14:paraId="2D56FD34">
      <w:pPr>
        <w:pStyle w:val="37"/>
        <w:shd w:val="clear" w:color="auto" w:fill="auto"/>
        <w:spacing w:before="0" w:beforeAutospacing="0" w:after="0" w:afterAutospacing="0" w:line="360" w:lineRule="auto"/>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公司（单位）名称（盖章）：　        </w:t>
      </w:r>
    </w:p>
    <w:p w14:paraId="1B95CB14">
      <w:pPr>
        <w:pStyle w:val="37"/>
        <w:shd w:val="clear" w:color="auto" w:fill="auto"/>
        <w:spacing w:before="0" w:beforeAutospacing="0" w:after="0" w:afterAutospacing="0" w:line="360" w:lineRule="auto"/>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日期：　     年　  月　  日         </w:t>
      </w:r>
    </w:p>
    <w:p w14:paraId="1D935F88">
      <w:pPr>
        <w:pStyle w:val="37"/>
        <w:shd w:val="clear" w:color="auto" w:fill="auto"/>
        <w:spacing w:before="0" w:beforeAutospacing="0" w:after="0" w:afterAutospacing="0" w:line="360" w:lineRule="auto"/>
        <w:rPr>
          <w:rFonts w:hint="eastAsia" w:ascii="宋体" w:hAnsi="宋体" w:eastAsia="宋体" w:cs="宋体"/>
          <w:color w:val="auto"/>
          <w:sz w:val="24"/>
          <w:szCs w:val="24"/>
          <w:highlight w:val="none"/>
          <w:shd w:val="clear" w:color="auto" w:fill="FFFFFF"/>
        </w:rPr>
      </w:pPr>
    </w:p>
    <w:p w14:paraId="17CB9422">
      <w:pPr>
        <w:pStyle w:val="37"/>
        <w:shd w:val="clear" w:color="auto" w:fill="auto"/>
        <w:spacing w:before="0" w:beforeAutospacing="0" w:after="0" w:afterAutospacing="0" w:line="360" w:lineRule="auto"/>
        <w:rPr>
          <w:rFonts w:hint="eastAsia" w:ascii="宋体" w:hAnsi="宋体" w:eastAsia="宋体" w:cs="宋体"/>
          <w:color w:val="auto"/>
          <w:sz w:val="24"/>
          <w:szCs w:val="24"/>
          <w:highlight w:val="none"/>
          <w:shd w:val="clear" w:color="auto" w:fill="FFFFFF"/>
        </w:rPr>
      </w:pPr>
    </w:p>
    <w:p w14:paraId="30BAAA41">
      <w:pPr>
        <w:shd w:val="clear" w:color="auto" w:fill="auto"/>
        <w:spacing w:after="0" w:line="360" w:lineRule="auto"/>
        <w:ind w:left="484" w:leftChars="1" w:hanging="482" w:hangingChars="201"/>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注：1.产品如有型号，请在“产品名称”栏一并填写。</w:t>
      </w:r>
    </w:p>
    <w:p w14:paraId="261E1A69">
      <w:pPr>
        <w:shd w:val="clear" w:color="auto" w:fill="auto"/>
        <w:spacing w:after="0" w:line="360" w:lineRule="auto"/>
        <w:ind w:left="420" w:leftChars="200"/>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2.生产厂名与厂址应与生产厂营业执照载明的相关信息保持一致。</w:t>
      </w:r>
    </w:p>
    <w:p w14:paraId="344C7CB9">
      <w:pPr>
        <w:shd w:val="clear" w:color="auto" w:fill="auto"/>
        <w:spacing w:after="0" w:line="360" w:lineRule="auto"/>
        <w:ind w:left="420" w:leftChars="200"/>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3.该产品的中国境内生产的组件成本占比相关要求实施前，“规定比例”栏可不填。</w:t>
      </w:r>
    </w:p>
    <w:p w14:paraId="5CED9B0B">
      <w:pPr>
        <w:shd w:val="clear" w:color="auto" w:fill="auto"/>
        <w:spacing w:after="0" w:line="360" w:lineRule="auto"/>
        <w:ind w:left="420" w:leftChars="200"/>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4.该产品的关键组件要求实施前，“关键组件”栏可不填。</w:t>
      </w:r>
    </w:p>
    <w:p w14:paraId="3D1DC9C9">
      <w:pPr>
        <w:pageBreakBefore w:val="0"/>
        <w:shd w:val="clear" w:color="auto" w:fill="auto"/>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color w:val="auto"/>
          <w:sz w:val="24"/>
          <w:szCs w:val="24"/>
          <w:highlight w:val="none"/>
        </w:rPr>
      </w:pPr>
      <w:r>
        <w:rPr>
          <w:rFonts w:hint="eastAsia" w:ascii="宋体" w:hAnsi="宋体" w:eastAsia="宋体" w:cs="宋体"/>
          <w:color w:val="auto"/>
          <w:sz w:val="24"/>
          <w:szCs w:val="24"/>
          <w:highlight w:val="none"/>
          <w:shd w:val="clear" w:color="auto" w:fill="FFFFFF"/>
        </w:rPr>
        <w:t>5.该产品的关键工序要求实施前，“关键工序”栏可不填</w:t>
      </w:r>
      <w:r>
        <w:rPr>
          <w:rFonts w:hint="eastAsia" w:ascii="宋体" w:hAnsi="宋体" w:eastAsia="宋体" w:cs="宋体"/>
          <w:i w:val="0"/>
          <w:iCs w:val="0"/>
          <w:color w:val="auto"/>
          <w:sz w:val="24"/>
          <w:szCs w:val="24"/>
          <w:highlight w:val="none"/>
        </w:rPr>
        <w:t>。</w:t>
      </w:r>
    </w:p>
    <w:p w14:paraId="77952357">
      <w:pPr>
        <w:pageBreakBefore w:val="0"/>
        <w:shd w:val="clear" w:color="auto" w:fill="auto"/>
        <w:wordWrap w:val="0"/>
        <w:topLinePunct w:val="0"/>
        <w:bidi w:val="0"/>
        <w:spacing w:after="0" w:line="360" w:lineRule="auto"/>
        <w:textAlignment w:val="auto"/>
        <w:outlineLvl w:val="2"/>
        <w:rPr>
          <w:rFonts w:hint="eastAsia" w:ascii="宋体" w:hAnsi="宋体" w:eastAsia="宋体" w:cs="宋体"/>
          <w:i w:val="0"/>
          <w:iCs w:val="0"/>
          <w:color w:val="auto"/>
          <w:sz w:val="24"/>
          <w:szCs w:val="24"/>
          <w:highlight w:val="none"/>
        </w:rPr>
        <w:sectPr>
          <w:pgSz w:w="11907" w:h="16840"/>
          <w:pgMar w:top="1474" w:right="1474" w:bottom="1474" w:left="1474" w:header="851" w:footer="850" w:gutter="0"/>
          <w:pgNumType w:fmt="decimal"/>
          <w:cols w:space="720" w:num="1"/>
          <w:titlePg/>
          <w:rtlGutter w:val="0"/>
          <w:docGrid w:linePitch="462" w:charSpace="0"/>
        </w:sectPr>
      </w:pPr>
    </w:p>
    <w:p w14:paraId="4D00C81C">
      <w:pPr>
        <w:pageBreakBefore w:val="0"/>
        <w:shd w:val="clear" w:color="auto" w:fill="auto"/>
        <w:wordWrap w:val="0"/>
        <w:topLinePunct w:val="0"/>
        <w:bidi w:val="0"/>
        <w:spacing w:before="240" w:beforeLines="100" w:after="0" w:line="360" w:lineRule="auto"/>
        <w:jc w:val="center"/>
        <w:textAlignment w:val="auto"/>
        <w:rPr>
          <w:rFonts w:hint="eastAsia" w:ascii="宋体" w:hAnsi="宋体" w:eastAsia="宋体" w:cs="宋体"/>
          <w:b/>
          <w:bCs/>
          <w:i w:val="0"/>
          <w:iCs w:val="0"/>
          <w:color w:val="auto"/>
          <w:sz w:val="28"/>
          <w:szCs w:val="28"/>
          <w:highlight w:val="none"/>
        </w:rPr>
      </w:pPr>
      <w:r>
        <w:rPr>
          <w:rFonts w:hint="eastAsia" w:ascii="宋体" w:hAnsi="宋体" w:eastAsia="宋体" w:cs="宋体"/>
          <w:b/>
          <w:bCs/>
          <w:i w:val="0"/>
          <w:iCs w:val="0"/>
          <w:color w:val="auto"/>
          <w:sz w:val="28"/>
          <w:szCs w:val="28"/>
          <w:highlight w:val="none"/>
        </w:rPr>
        <w:t>产品成本占比承诺函</w:t>
      </w:r>
    </w:p>
    <w:p w14:paraId="2747479C">
      <w:pPr>
        <w:pStyle w:val="37"/>
        <w:shd w:val="clear" w:color="auto" w:fill="auto"/>
        <w:spacing w:before="30" w:beforeAutospacing="0" w:after="0" w:afterAutospacing="0"/>
        <w:rPr>
          <w:rStyle w:val="46"/>
          <w:rFonts w:hint="eastAsia" w:ascii="宋体" w:hAnsi="宋体" w:eastAsia="宋体" w:cs="宋体"/>
          <w:sz w:val="24"/>
          <w:szCs w:val="24"/>
          <w:highlight w:val="none"/>
        </w:rPr>
      </w:pPr>
    </w:p>
    <w:p w14:paraId="19AC8429">
      <w:pPr>
        <w:widowControl/>
        <w:shd w:val="clear" w:color="auto" w:fill="auto"/>
        <w:spacing w:after="0" w:line="360" w:lineRule="auto"/>
        <w:ind w:firstLine="480" w:firstLineChars="200"/>
        <w:jc w:val="left"/>
        <w:rPr>
          <w:rFonts w:hint="eastAsia" w:ascii="宋体" w:hAnsi="宋体" w:eastAsia="宋体" w:cs="宋体"/>
          <w:color w:val="333333"/>
          <w:sz w:val="24"/>
          <w:szCs w:val="24"/>
          <w:highlight w:val="none"/>
          <w:shd w:val="clear" w:color="auto" w:fill="FFFFFF"/>
        </w:rPr>
      </w:pPr>
      <w:r>
        <w:rPr>
          <w:rFonts w:hint="eastAsia" w:ascii="宋体" w:hAnsi="宋体" w:eastAsia="宋体" w:cs="宋体"/>
          <w:color w:val="333333"/>
          <w:sz w:val="24"/>
          <w:szCs w:val="24"/>
          <w:highlight w:val="none"/>
          <w:shd w:val="clear" w:color="auto" w:fill="FFFFFF"/>
        </w:rPr>
        <w:t>我公司（单位）郑重承诺，我公司已阅读并理解《国务院办公厅关于在政府采购中实施本国产品标准及相关政策的通知》（国办发〔2025〕34号）的规定。据此承诺如下：</w:t>
      </w:r>
    </w:p>
    <w:p w14:paraId="0B12A756">
      <w:pPr>
        <w:widowControl/>
        <w:shd w:val="clear" w:color="auto" w:fill="auto"/>
        <w:spacing w:after="0" w:line="360" w:lineRule="auto"/>
        <w:ind w:firstLine="480" w:firstLineChars="200"/>
        <w:jc w:val="left"/>
        <w:rPr>
          <w:rFonts w:hint="eastAsia" w:ascii="宋体" w:hAnsi="宋体" w:eastAsia="宋体" w:cs="宋体"/>
          <w:spacing w:val="6"/>
          <w:sz w:val="24"/>
          <w:szCs w:val="24"/>
          <w:highlight w:val="none"/>
        </w:rPr>
      </w:pPr>
      <w:r>
        <w:rPr>
          <w:rFonts w:hint="eastAsia" w:ascii="宋体" w:hAnsi="宋体" w:eastAsia="宋体" w:cs="宋体"/>
          <w:color w:val="333333"/>
          <w:sz w:val="24"/>
          <w:szCs w:val="24"/>
          <w:highlight w:val="none"/>
          <w:shd w:val="clear" w:color="auto" w:fill="FFFFFF"/>
        </w:rPr>
        <w:t>为本采购项目或者采购包提供的符合本国产品标准的产品成本之和占提供的全部产品成本之和的比例为</w:t>
      </w:r>
      <w:r>
        <w:rPr>
          <w:rFonts w:hint="eastAsia" w:ascii="宋体" w:hAnsi="宋体" w:cs="宋体"/>
          <w:spacing w:val="6"/>
          <w:sz w:val="24"/>
          <w:szCs w:val="24"/>
          <w:highlight w:val="none"/>
          <w:u w:val="single"/>
          <w:lang w:val="en-US" w:eastAsia="zh-CN"/>
        </w:rPr>
        <w:t xml:space="preserve">     </w:t>
      </w:r>
      <w:r>
        <w:rPr>
          <w:rFonts w:hint="eastAsia" w:ascii="宋体" w:hAnsi="宋体" w:eastAsia="宋体" w:cs="宋体"/>
          <w:spacing w:val="6"/>
          <w:sz w:val="24"/>
          <w:szCs w:val="24"/>
          <w:highlight w:val="none"/>
        </w:rPr>
        <w:t>%。</w:t>
      </w:r>
    </w:p>
    <w:p w14:paraId="0B50A9AB">
      <w:pPr>
        <w:widowControl/>
        <w:shd w:val="clear" w:color="auto" w:fill="auto"/>
        <w:spacing w:after="0" w:line="360" w:lineRule="auto"/>
        <w:ind w:firstLine="480" w:firstLineChars="200"/>
        <w:jc w:val="left"/>
        <w:rPr>
          <w:rFonts w:hint="eastAsia" w:ascii="宋体" w:hAnsi="宋体" w:eastAsia="宋体" w:cs="宋体"/>
          <w:color w:val="000000"/>
          <w:sz w:val="24"/>
          <w:szCs w:val="24"/>
          <w:highlight w:val="none"/>
        </w:rPr>
      </w:pPr>
    </w:p>
    <w:p w14:paraId="729731D8">
      <w:pPr>
        <w:pStyle w:val="37"/>
        <w:shd w:val="clear" w:color="auto" w:fill="auto"/>
        <w:spacing w:before="0" w:beforeAutospacing="0" w:after="0" w:afterAutospacing="0" w:line="360" w:lineRule="auto"/>
        <w:jc w:val="right"/>
        <w:rPr>
          <w:rFonts w:hint="eastAsia" w:ascii="宋体" w:hAnsi="宋体" w:eastAsia="宋体" w:cs="宋体"/>
          <w:color w:val="333333"/>
          <w:sz w:val="24"/>
          <w:szCs w:val="24"/>
          <w:highlight w:val="none"/>
        </w:rPr>
      </w:pPr>
      <w:r>
        <w:rPr>
          <w:rFonts w:hint="eastAsia" w:ascii="宋体" w:hAnsi="宋体" w:eastAsia="宋体" w:cs="宋体"/>
          <w:color w:val="333333"/>
          <w:sz w:val="24"/>
          <w:szCs w:val="24"/>
          <w:highlight w:val="none"/>
          <w:shd w:val="clear" w:color="auto" w:fill="FFFFFF"/>
        </w:rPr>
        <w:t>公司（单位）名称（盖章）：　        </w:t>
      </w:r>
    </w:p>
    <w:p w14:paraId="03C05E14">
      <w:pPr>
        <w:widowControl/>
        <w:shd w:val="clear" w:color="auto" w:fill="auto"/>
        <w:spacing w:after="0" w:line="360" w:lineRule="auto"/>
        <w:ind w:firstLine="480" w:firstLineChars="200"/>
        <w:jc w:val="right"/>
        <w:rPr>
          <w:rFonts w:hint="eastAsia" w:ascii="宋体" w:hAnsi="宋体" w:eastAsia="宋体" w:cs="宋体"/>
          <w:color w:val="000000"/>
          <w:sz w:val="24"/>
          <w:szCs w:val="24"/>
          <w:highlight w:val="none"/>
        </w:rPr>
      </w:pPr>
      <w:r>
        <w:rPr>
          <w:rFonts w:hint="eastAsia" w:ascii="宋体" w:hAnsi="宋体" w:eastAsia="宋体" w:cs="宋体"/>
          <w:color w:val="333333"/>
          <w:sz w:val="24"/>
          <w:szCs w:val="24"/>
          <w:highlight w:val="none"/>
          <w:shd w:val="clear" w:color="auto" w:fill="FFFFFF"/>
        </w:rPr>
        <w:t>日期：　     年　  月　  日     </w:t>
      </w:r>
    </w:p>
    <w:p w14:paraId="086EDD3C">
      <w:pPr>
        <w:widowControl/>
        <w:shd w:val="clear" w:color="auto" w:fill="auto"/>
        <w:spacing w:after="0" w:line="360" w:lineRule="auto"/>
        <w:jc w:val="left"/>
        <w:rPr>
          <w:rFonts w:hint="eastAsia" w:ascii="宋体" w:hAnsi="宋体" w:eastAsia="宋体" w:cs="宋体"/>
          <w:color w:val="000000"/>
          <w:sz w:val="24"/>
          <w:szCs w:val="24"/>
          <w:highlight w:val="none"/>
        </w:rPr>
      </w:pPr>
    </w:p>
    <w:p w14:paraId="198614D3">
      <w:pPr>
        <w:widowControl/>
        <w:shd w:val="clear" w:color="auto" w:fill="auto"/>
        <w:spacing w:after="0" w:line="360" w:lineRule="auto"/>
        <w:jc w:val="left"/>
        <w:rPr>
          <w:rFonts w:hint="eastAsia" w:ascii="宋体" w:hAnsi="宋体" w:eastAsia="宋体" w:cs="宋体"/>
          <w:color w:val="000000"/>
          <w:sz w:val="24"/>
          <w:szCs w:val="24"/>
          <w:highlight w:val="none"/>
        </w:rPr>
      </w:pPr>
    </w:p>
    <w:p w14:paraId="49F3BD39">
      <w:pPr>
        <w:spacing w:after="0"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注：</w:t>
      </w:r>
    </w:p>
    <w:p w14:paraId="2E6373E9">
      <w:pPr>
        <w:spacing w:after="0" w:line="360" w:lineRule="auto"/>
        <w:rPr>
          <w:rFonts w:hint="eastAsia" w:ascii="宋体" w:hAnsi="宋体" w:eastAsia="宋体" w:cs="宋体"/>
          <w:color w:val="333333"/>
          <w:sz w:val="24"/>
          <w:szCs w:val="24"/>
          <w:highlight w:val="none"/>
          <w:shd w:val="clear" w:color="auto" w:fill="FFFFFF"/>
        </w:rPr>
      </w:pPr>
      <w:r>
        <w:rPr>
          <w:rFonts w:hint="eastAsia" w:ascii="宋体" w:hAnsi="宋体" w:eastAsia="宋体" w:cs="宋体"/>
          <w:color w:val="333333"/>
          <w:sz w:val="24"/>
          <w:szCs w:val="24"/>
          <w:highlight w:val="none"/>
          <w:shd w:val="clear" w:color="auto" w:fill="FFFFFF"/>
        </w:rPr>
        <w:t>1. 本承诺函应按包分别提供。</w:t>
      </w:r>
    </w:p>
    <w:p w14:paraId="638C88EB">
      <w:pPr>
        <w:spacing w:after="0" w:line="360" w:lineRule="auto"/>
        <w:rPr>
          <w:rFonts w:hint="eastAsia" w:ascii="宋体" w:hAnsi="宋体" w:eastAsia="宋体" w:cs="宋体"/>
          <w:color w:val="333333"/>
          <w:sz w:val="24"/>
          <w:szCs w:val="24"/>
          <w:highlight w:val="none"/>
          <w:shd w:val="clear" w:color="auto" w:fill="FFFFFF"/>
        </w:rPr>
      </w:pPr>
      <w:r>
        <w:rPr>
          <w:rFonts w:hint="eastAsia" w:ascii="宋体" w:hAnsi="宋体" w:eastAsia="宋体" w:cs="宋体"/>
          <w:color w:val="333333"/>
          <w:sz w:val="24"/>
          <w:szCs w:val="24"/>
          <w:highlight w:val="none"/>
          <w:shd w:val="clear" w:color="auto" w:fill="FFFFFF"/>
        </w:rPr>
        <w:t>2. 单一产品采购无须提供本承诺函；供应商提供产品全部为本国产品，且提供了《关于符合本国产品标准的声明函》时，无须提供本承诺函。</w:t>
      </w:r>
    </w:p>
    <w:p w14:paraId="6190775E">
      <w:pPr>
        <w:bidi w:val="0"/>
        <w:spacing w:after="0" w:line="360" w:lineRule="auto"/>
        <w:rPr>
          <w:rFonts w:hint="eastAsia"/>
          <w:highlight w:val="none"/>
          <w:lang w:val="en-US" w:eastAsia="zh-CN"/>
        </w:rPr>
      </w:pPr>
      <w:r>
        <w:rPr>
          <w:rFonts w:hint="eastAsia" w:ascii="宋体" w:hAnsi="宋体" w:eastAsia="宋体" w:cs="宋体"/>
          <w:color w:val="333333"/>
          <w:sz w:val="24"/>
          <w:szCs w:val="24"/>
          <w:highlight w:val="none"/>
          <w:shd w:val="clear" w:color="auto" w:fill="FFFFFF"/>
        </w:rPr>
        <w:t>3. 当采购项目或单个采购包中含有多种产品，且供应商提供的产品同时包含本国产品及非本国产品，则供应商除需提供《关于符合本国产品标准的声明函》外，还需提供本承诺函；否则，不享受价格评审优惠。</w:t>
      </w:r>
    </w:p>
    <w:p w14:paraId="31098EFC">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sz w:val="24"/>
          <w:highlight w:val="none"/>
        </w:rPr>
        <w:sectPr>
          <w:pgSz w:w="11905" w:h="16838"/>
          <w:pgMar w:top="1474" w:right="1474" w:bottom="1474" w:left="1474" w:header="851" w:footer="992" w:gutter="0"/>
          <w:pgNumType w:fmt="decimal"/>
          <w:cols w:space="720" w:num="1"/>
          <w:rtlGutter w:val="0"/>
          <w:docGrid w:linePitch="462" w:charSpace="0"/>
        </w:sectPr>
      </w:pPr>
    </w:p>
    <w:p w14:paraId="5767051C">
      <w:pPr>
        <w:pageBreakBefore w:val="0"/>
        <w:tabs>
          <w:tab w:val="left" w:pos="360"/>
        </w:tabs>
        <w:wordWrap w:val="0"/>
        <w:topLinePunct w:val="0"/>
        <w:bidi w:val="0"/>
        <w:snapToGrid w:val="0"/>
        <w:spacing w:after="0" w:line="360" w:lineRule="auto"/>
        <w:textAlignment w:val="auto"/>
        <w:outlineLvl w:val="1"/>
        <w:rPr>
          <w:rFonts w:hint="eastAsia" w:ascii="宋体" w:hAnsi="宋体" w:eastAsia="宋体" w:cs="宋体"/>
          <w:i w:val="0"/>
          <w:iCs w:val="0"/>
          <w:color w:val="000000"/>
          <w:sz w:val="24"/>
          <w:szCs w:val="20"/>
          <w:highlight w:val="none"/>
        </w:rPr>
      </w:pPr>
      <w:r>
        <w:rPr>
          <w:rFonts w:hint="eastAsia" w:ascii="宋体" w:hAnsi="宋体" w:eastAsia="宋体" w:cs="宋体"/>
          <w:i w:val="0"/>
          <w:iCs w:val="0"/>
          <w:sz w:val="24"/>
          <w:highlight w:val="none"/>
        </w:rPr>
        <w:t>1</w:t>
      </w:r>
      <w:r>
        <w:rPr>
          <w:rFonts w:hint="eastAsia" w:ascii="宋体" w:hAnsi="宋体" w:cs="宋体"/>
          <w:i w:val="0"/>
          <w:iCs w:val="0"/>
          <w:sz w:val="24"/>
          <w:highlight w:val="none"/>
          <w:lang w:val="en-US" w:eastAsia="zh-CN"/>
        </w:rPr>
        <w:t>2</w:t>
      </w:r>
      <w:r>
        <w:rPr>
          <w:rFonts w:hint="eastAsia" w:ascii="宋体" w:hAnsi="宋体" w:eastAsia="宋体" w:cs="宋体"/>
          <w:i w:val="0"/>
          <w:iCs w:val="0"/>
          <w:sz w:val="24"/>
          <w:highlight w:val="none"/>
          <w:lang w:val="en-US" w:eastAsia="zh-CN"/>
        </w:rPr>
        <w:t xml:space="preserve"> </w:t>
      </w:r>
      <w:r>
        <w:rPr>
          <w:rFonts w:hint="eastAsia" w:ascii="宋体" w:hAnsi="宋体" w:eastAsia="宋体" w:cs="宋体"/>
          <w:i w:val="0"/>
          <w:iCs w:val="0"/>
          <w:sz w:val="24"/>
          <w:highlight w:val="none"/>
        </w:rPr>
        <w:t>竞争性磋商文件要求提供或供应商认为应附的其他材料</w:t>
      </w:r>
    </w:p>
    <w:p w14:paraId="36281C44">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val="en-US" w:eastAsia="zh-CN"/>
        </w:rPr>
        <w:t>1</w:t>
      </w:r>
      <w:r>
        <w:rPr>
          <w:rFonts w:hint="eastAsia" w:ascii="宋体" w:hAnsi="宋体" w:cs="宋体"/>
          <w:i w:val="0"/>
          <w:iCs w:val="0"/>
          <w:sz w:val="24"/>
          <w:highlight w:val="none"/>
          <w:lang w:val="en-US" w:eastAsia="zh-CN"/>
        </w:rPr>
        <w:t>2</w:t>
      </w:r>
      <w:r>
        <w:rPr>
          <w:rFonts w:hint="eastAsia" w:ascii="宋体" w:hAnsi="宋体" w:eastAsia="宋体" w:cs="宋体"/>
          <w:i w:val="0"/>
          <w:iCs w:val="0"/>
          <w:sz w:val="24"/>
          <w:highlight w:val="none"/>
        </w:rPr>
        <w:t>-1 供应商信息采集表</w:t>
      </w:r>
    </w:p>
    <w:tbl>
      <w:tblPr>
        <w:tblStyle w:val="247"/>
        <w:tblW w:w="929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99"/>
        <w:gridCol w:w="3095"/>
        <w:gridCol w:w="3098"/>
      </w:tblGrid>
      <w:tr w14:paraId="21D5D4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3099" w:type="dxa"/>
            <w:noWrap w:val="0"/>
            <w:vAlign w:val="center"/>
          </w:tcPr>
          <w:p w14:paraId="71306565">
            <w:pPr>
              <w:pageBreakBefore w:val="0"/>
              <w:wordWrap w:val="0"/>
              <w:topLinePunct w:val="0"/>
              <w:autoSpaceDE w:val="0"/>
              <w:autoSpaceDN w:val="0"/>
              <w:bidi w:val="0"/>
              <w:adjustRightInd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供应商名称</w:t>
            </w:r>
          </w:p>
        </w:tc>
        <w:tc>
          <w:tcPr>
            <w:tcW w:w="3095" w:type="dxa"/>
            <w:noWrap w:val="0"/>
            <w:vAlign w:val="center"/>
          </w:tcPr>
          <w:p w14:paraId="1ED934D3">
            <w:pPr>
              <w:pageBreakBefore w:val="0"/>
              <w:wordWrap w:val="0"/>
              <w:topLinePunct w:val="0"/>
              <w:autoSpaceDE w:val="0"/>
              <w:autoSpaceDN w:val="0"/>
              <w:bidi w:val="0"/>
              <w:adjustRightInd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供应商所属性别</w:t>
            </w:r>
          </w:p>
        </w:tc>
        <w:tc>
          <w:tcPr>
            <w:tcW w:w="3098" w:type="dxa"/>
            <w:noWrap w:val="0"/>
            <w:vAlign w:val="center"/>
          </w:tcPr>
          <w:p w14:paraId="795C4F0B">
            <w:pPr>
              <w:pageBreakBefore w:val="0"/>
              <w:wordWrap w:val="0"/>
              <w:topLinePunct w:val="0"/>
              <w:autoSpaceDE w:val="0"/>
              <w:autoSpaceDN w:val="0"/>
              <w:bidi w:val="0"/>
              <w:adjustRightInd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外商投资类型</w:t>
            </w:r>
          </w:p>
        </w:tc>
      </w:tr>
      <w:tr w14:paraId="6C4F6F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3099" w:type="dxa"/>
            <w:noWrap w:val="0"/>
            <w:vAlign w:val="center"/>
          </w:tcPr>
          <w:p w14:paraId="089A0FF7">
            <w:pPr>
              <w:pageBreakBefore w:val="0"/>
              <w:wordWrap w:val="0"/>
              <w:topLinePunct w:val="0"/>
              <w:autoSpaceDE w:val="0"/>
              <w:autoSpaceDN w:val="0"/>
              <w:bidi w:val="0"/>
              <w:adjustRightInd w:val="0"/>
              <w:snapToGrid w:val="0"/>
              <w:spacing w:after="0" w:line="360" w:lineRule="auto"/>
              <w:jc w:val="center"/>
              <w:textAlignment w:val="auto"/>
              <w:rPr>
                <w:rFonts w:hint="eastAsia" w:ascii="宋体" w:hAnsi="宋体" w:eastAsia="宋体" w:cs="宋体"/>
                <w:i w:val="0"/>
                <w:iCs w:val="0"/>
                <w:sz w:val="24"/>
                <w:highlight w:val="none"/>
              </w:rPr>
            </w:pPr>
          </w:p>
        </w:tc>
        <w:tc>
          <w:tcPr>
            <w:tcW w:w="3095" w:type="dxa"/>
            <w:noWrap w:val="0"/>
            <w:vAlign w:val="center"/>
          </w:tcPr>
          <w:p w14:paraId="39A1CB1C">
            <w:pPr>
              <w:pageBreakBefore w:val="0"/>
              <w:wordWrap w:val="0"/>
              <w:topLinePunct w:val="0"/>
              <w:autoSpaceDE w:val="0"/>
              <w:autoSpaceDN w:val="0"/>
              <w:bidi w:val="0"/>
              <w:adjustRightInd w:val="0"/>
              <w:snapToGrid w:val="0"/>
              <w:spacing w:after="0" w:line="360" w:lineRule="auto"/>
              <w:jc w:val="center"/>
              <w:textAlignment w:val="auto"/>
              <w:rPr>
                <w:rFonts w:hint="eastAsia" w:ascii="宋体" w:hAnsi="宋体" w:eastAsia="宋体" w:cs="宋体"/>
                <w:i w:val="0"/>
                <w:iCs w:val="0"/>
                <w:sz w:val="24"/>
                <w:highlight w:val="none"/>
              </w:rPr>
            </w:pPr>
          </w:p>
        </w:tc>
        <w:tc>
          <w:tcPr>
            <w:tcW w:w="3098" w:type="dxa"/>
            <w:noWrap w:val="0"/>
            <w:vAlign w:val="center"/>
          </w:tcPr>
          <w:p w14:paraId="54D10A47">
            <w:pPr>
              <w:pageBreakBefore w:val="0"/>
              <w:wordWrap w:val="0"/>
              <w:topLinePunct w:val="0"/>
              <w:autoSpaceDE w:val="0"/>
              <w:autoSpaceDN w:val="0"/>
              <w:bidi w:val="0"/>
              <w:adjustRightInd w:val="0"/>
              <w:snapToGrid w:val="0"/>
              <w:spacing w:after="0" w:line="360" w:lineRule="auto"/>
              <w:jc w:val="center"/>
              <w:textAlignment w:val="auto"/>
              <w:rPr>
                <w:rFonts w:hint="eastAsia" w:ascii="宋体" w:hAnsi="宋体" w:eastAsia="宋体" w:cs="宋体"/>
                <w:i w:val="0"/>
                <w:iCs w:val="0"/>
                <w:sz w:val="24"/>
                <w:highlight w:val="none"/>
              </w:rPr>
            </w:pPr>
          </w:p>
        </w:tc>
      </w:tr>
      <w:tr w14:paraId="171063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3" w:hRule="atLeast"/>
        </w:trPr>
        <w:tc>
          <w:tcPr>
            <w:tcW w:w="3099" w:type="dxa"/>
            <w:noWrap w:val="0"/>
            <w:vAlign w:val="center"/>
          </w:tcPr>
          <w:p w14:paraId="15879676">
            <w:pPr>
              <w:pageBreakBefore w:val="0"/>
              <w:wordWrap w:val="0"/>
              <w:topLinePunct w:val="0"/>
              <w:autoSpaceDE w:val="0"/>
              <w:autoSpaceDN w:val="0"/>
              <w:bidi w:val="0"/>
              <w:adjustRightInd w:val="0"/>
              <w:snapToGrid w:val="0"/>
              <w:spacing w:after="0" w:line="360" w:lineRule="auto"/>
              <w:jc w:val="center"/>
              <w:textAlignment w:val="auto"/>
              <w:rPr>
                <w:rFonts w:hint="eastAsia" w:ascii="宋体" w:hAnsi="宋体" w:eastAsia="宋体" w:cs="宋体"/>
                <w:i w:val="0"/>
                <w:iCs w:val="0"/>
                <w:sz w:val="24"/>
                <w:highlight w:val="none"/>
              </w:rPr>
            </w:pPr>
          </w:p>
        </w:tc>
        <w:tc>
          <w:tcPr>
            <w:tcW w:w="3095" w:type="dxa"/>
            <w:noWrap w:val="0"/>
            <w:vAlign w:val="center"/>
          </w:tcPr>
          <w:p w14:paraId="12CF93AB">
            <w:pPr>
              <w:pageBreakBefore w:val="0"/>
              <w:wordWrap w:val="0"/>
              <w:topLinePunct w:val="0"/>
              <w:autoSpaceDE w:val="0"/>
              <w:autoSpaceDN w:val="0"/>
              <w:bidi w:val="0"/>
              <w:adjustRightInd w:val="0"/>
              <w:snapToGrid w:val="0"/>
              <w:spacing w:after="0" w:line="360" w:lineRule="auto"/>
              <w:jc w:val="center"/>
              <w:textAlignment w:val="auto"/>
              <w:rPr>
                <w:rFonts w:hint="eastAsia" w:ascii="宋体" w:hAnsi="宋体" w:eastAsia="宋体" w:cs="宋体"/>
                <w:i w:val="0"/>
                <w:iCs w:val="0"/>
                <w:sz w:val="24"/>
                <w:highlight w:val="none"/>
              </w:rPr>
            </w:pPr>
          </w:p>
        </w:tc>
        <w:tc>
          <w:tcPr>
            <w:tcW w:w="3098" w:type="dxa"/>
            <w:noWrap w:val="0"/>
            <w:vAlign w:val="center"/>
          </w:tcPr>
          <w:p w14:paraId="211D95F9">
            <w:pPr>
              <w:pageBreakBefore w:val="0"/>
              <w:wordWrap w:val="0"/>
              <w:topLinePunct w:val="0"/>
              <w:autoSpaceDE w:val="0"/>
              <w:autoSpaceDN w:val="0"/>
              <w:bidi w:val="0"/>
              <w:adjustRightInd w:val="0"/>
              <w:snapToGrid w:val="0"/>
              <w:spacing w:after="0" w:line="360" w:lineRule="auto"/>
              <w:jc w:val="center"/>
              <w:textAlignment w:val="auto"/>
              <w:rPr>
                <w:rFonts w:hint="eastAsia" w:ascii="宋体" w:hAnsi="宋体" w:eastAsia="宋体" w:cs="宋体"/>
                <w:i w:val="0"/>
                <w:iCs w:val="0"/>
                <w:sz w:val="24"/>
                <w:highlight w:val="none"/>
              </w:rPr>
            </w:pPr>
          </w:p>
        </w:tc>
      </w:tr>
      <w:tr w14:paraId="745633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3099" w:type="dxa"/>
            <w:noWrap w:val="0"/>
            <w:vAlign w:val="center"/>
          </w:tcPr>
          <w:p w14:paraId="7337C497">
            <w:pPr>
              <w:pageBreakBefore w:val="0"/>
              <w:wordWrap w:val="0"/>
              <w:topLinePunct w:val="0"/>
              <w:autoSpaceDE w:val="0"/>
              <w:autoSpaceDN w:val="0"/>
              <w:bidi w:val="0"/>
              <w:adjustRightInd w:val="0"/>
              <w:snapToGrid w:val="0"/>
              <w:spacing w:after="0" w:line="360" w:lineRule="auto"/>
              <w:jc w:val="center"/>
              <w:textAlignment w:val="auto"/>
              <w:rPr>
                <w:rFonts w:hint="eastAsia" w:ascii="宋体" w:hAnsi="宋体" w:eastAsia="宋体" w:cs="宋体"/>
                <w:i w:val="0"/>
                <w:iCs w:val="0"/>
                <w:sz w:val="24"/>
                <w:highlight w:val="none"/>
              </w:rPr>
            </w:pPr>
          </w:p>
        </w:tc>
        <w:tc>
          <w:tcPr>
            <w:tcW w:w="3095" w:type="dxa"/>
            <w:noWrap w:val="0"/>
            <w:vAlign w:val="center"/>
          </w:tcPr>
          <w:p w14:paraId="33D90CE0">
            <w:pPr>
              <w:pageBreakBefore w:val="0"/>
              <w:wordWrap w:val="0"/>
              <w:topLinePunct w:val="0"/>
              <w:autoSpaceDE w:val="0"/>
              <w:autoSpaceDN w:val="0"/>
              <w:bidi w:val="0"/>
              <w:adjustRightInd w:val="0"/>
              <w:snapToGrid w:val="0"/>
              <w:spacing w:after="0" w:line="360" w:lineRule="auto"/>
              <w:jc w:val="center"/>
              <w:textAlignment w:val="auto"/>
              <w:rPr>
                <w:rFonts w:hint="eastAsia" w:ascii="宋体" w:hAnsi="宋体" w:eastAsia="宋体" w:cs="宋体"/>
                <w:i w:val="0"/>
                <w:iCs w:val="0"/>
                <w:sz w:val="24"/>
                <w:highlight w:val="none"/>
              </w:rPr>
            </w:pPr>
          </w:p>
        </w:tc>
        <w:tc>
          <w:tcPr>
            <w:tcW w:w="3098" w:type="dxa"/>
            <w:noWrap w:val="0"/>
            <w:vAlign w:val="center"/>
          </w:tcPr>
          <w:p w14:paraId="082ED0BC">
            <w:pPr>
              <w:pageBreakBefore w:val="0"/>
              <w:wordWrap w:val="0"/>
              <w:topLinePunct w:val="0"/>
              <w:autoSpaceDE w:val="0"/>
              <w:autoSpaceDN w:val="0"/>
              <w:bidi w:val="0"/>
              <w:adjustRightInd w:val="0"/>
              <w:snapToGrid w:val="0"/>
              <w:spacing w:after="0" w:line="360" w:lineRule="auto"/>
              <w:jc w:val="center"/>
              <w:textAlignment w:val="auto"/>
              <w:rPr>
                <w:rFonts w:hint="eastAsia" w:ascii="宋体" w:hAnsi="宋体" w:eastAsia="宋体" w:cs="宋体"/>
                <w:i w:val="0"/>
                <w:iCs w:val="0"/>
                <w:sz w:val="24"/>
                <w:highlight w:val="none"/>
              </w:rPr>
            </w:pPr>
          </w:p>
        </w:tc>
      </w:tr>
      <w:tr w14:paraId="16D2E1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3099" w:type="dxa"/>
            <w:noWrap w:val="0"/>
            <w:vAlign w:val="center"/>
          </w:tcPr>
          <w:p w14:paraId="1CC602AD">
            <w:pPr>
              <w:pageBreakBefore w:val="0"/>
              <w:wordWrap w:val="0"/>
              <w:topLinePunct w:val="0"/>
              <w:autoSpaceDE w:val="0"/>
              <w:autoSpaceDN w:val="0"/>
              <w:bidi w:val="0"/>
              <w:adjustRightInd w:val="0"/>
              <w:snapToGrid w:val="0"/>
              <w:spacing w:after="0" w:line="360" w:lineRule="auto"/>
              <w:jc w:val="center"/>
              <w:textAlignment w:val="auto"/>
              <w:rPr>
                <w:rFonts w:hint="eastAsia" w:ascii="宋体" w:hAnsi="宋体" w:eastAsia="宋体" w:cs="宋体"/>
                <w:i w:val="0"/>
                <w:iCs w:val="0"/>
                <w:sz w:val="24"/>
                <w:highlight w:val="none"/>
              </w:rPr>
            </w:pPr>
          </w:p>
        </w:tc>
        <w:tc>
          <w:tcPr>
            <w:tcW w:w="3095" w:type="dxa"/>
            <w:noWrap w:val="0"/>
            <w:vAlign w:val="center"/>
          </w:tcPr>
          <w:p w14:paraId="2B3202C4">
            <w:pPr>
              <w:pageBreakBefore w:val="0"/>
              <w:wordWrap w:val="0"/>
              <w:topLinePunct w:val="0"/>
              <w:autoSpaceDE w:val="0"/>
              <w:autoSpaceDN w:val="0"/>
              <w:bidi w:val="0"/>
              <w:adjustRightInd w:val="0"/>
              <w:snapToGrid w:val="0"/>
              <w:spacing w:after="0" w:line="360" w:lineRule="auto"/>
              <w:jc w:val="center"/>
              <w:textAlignment w:val="auto"/>
              <w:rPr>
                <w:rFonts w:hint="eastAsia" w:ascii="宋体" w:hAnsi="宋体" w:eastAsia="宋体" w:cs="宋体"/>
                <w:i w:val="0"/>
                <w:iCs w:val="0"/>
                <w:sz w:val="24"/>
                <w:highlight w:val="none"/>
              </w:rPr>
            </w:pPr>
          </w:p>
        </w:tc>
        <w:tc>
          <w:tcPr>
            <w:tcW w:w="3098" w:type="dxa"/>
            <w:noWrap w:val="0"/>
            <w:vAlign w:val="center"/>
          </w:tcPr>
          <w:p w14:paraId="3031FB18">
            <w:pPr>
              <w:pageBreakBefore w:val="0"/>
              <w:wordWrap w:val="0"/>
              <w:topLinePunct w:val="0"/>
              <w:autoSpaceDE w:val="0"/>
              <w:autoSpaceDN w:val="0"/>
              <w:bidi w:val="0"/>
              <w:adjustRightInd w:val="0"/>
              <w:snapToGrid w:val="0"/>
              <w:spacing w:after="0" w:line="360" w:lineRule="auto"/>
              <w:jc w:val="center"/>
              <w:textAlignment w:val="auto"/>
              <w:rPr>
                <w:rFonts w:hint="eastAsia" w:ascii="宋体" w:hAnsi="宋体" w:eastAsia="宋体" w:cs="宋体"/>
                <w:i w:val="0"/>
                <w:iCs w:val="0"/>
                <w:sz w:val="24"/>
                <w:highlight w:val="none"/>
              </w:rPr>
            </w:pPr>
          </w:p>
        </w:tc>
      </w:tr>
    </w:tbl>
    <w:p w14:paraId="2FA50931">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注：1.供应商如为联合体，则应填写联合体各成员信息。</w:t>
      </w:r>
    </w:p>
    <w:p w14:paraId="44D718B9">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2.供应商所属性别请填写“男”或“女”，指拥有供应商51%以上绝对所有权的性别；绝对所有权拥有者可以是一个人，也可以是多人合计计算。</w:t>
      </w:r>
    </w:p>
    <w:p w14:paraId="4D1943B3">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3.外商投资类型请填写“外商单独投资”、“外商部分投资”或“内资”。</w:t>
      </w:r>
    </w:p>
    <w:p w14:paraId="170C1752">
      <w:pPr>
        <w:pageBreakBefore w:val="0"/>
        <w:widowControl/>
        <w:wordWrap w:val="0"/>
        <w:topLinePunct w:val="0"/>
        <w:bidi w:val="0"/>
        <w:spacing w:after="0" w:line="360" w:lineRule="auto"/>
        <w:jc w:val="left"/>
        <w:textAlignment w:val="auto"/>
        <w:rPr>
          <w:rFonts w:hint="eastAsia" w:ascii="宋体" w:hAnsi="宋体" w:eastAsia="宋体" w:cs="宋体"/>
          <w:b/>
          <w:i w:val="0"/>
          <w:iCs w:val="0"/>
          <w:sz w:val="36"/>
          <w:szCs w:val="36"/>
          <w:highlight w:val="none"/>
        </w:rPr>
      </w:pPr>
    </w:p>
    <w:p w14:paraId="52AF9C93">
      <w:pPr>
        <w:pageBreakBefore w:val="0"/>
        <w:widowControl/>
        <w:wordWrap w:val="0"/>
        <w:topLinePunct w:val="0"/>
        <w:bidi w:val="0"/>
        <w:spacing w:after="0" w:line="360" w:lineRule="auto"/>
        <w:jc w:val="left"/>
        <w:textAlignment w:val="auto"/>
        <w:rPr>
          <w:rFonts w:hint="eastAsia" w:ascii="宋体" w:hAnsi="宋体" w:eastAsia="宋体" w:cs="宋体"/>
          <w:b/>
          <w:i w:val="0"/>
          <w:iCs w:val="0"/>
          <w:sz w:val="36"/>
          <w:szCs w:val="36"/>
          <w:highlight w:val="none"/>
        </w:rPr>
      </w:pPr>
    </w:p>
    <w:p w14:paraId="536FE800">
      <w:pPr>
        <w:pageBreakBefore w:val="0"/>
        <w:tabs>
          <w:tab w:val="left" w:pos="1800"/>
          <w:tab w:val="left" w:pos="5580"/>
        </w:tabs>
        <w:wordWrap w:val="0"/>
        <w:topLinePunct w:val="0"/>
        <w:bidi w:val="0"/>
        <w:spacing w:after="0" w:line="360" w:lineRule="auto"/>
        <w:jc w:val="left"/>
        <w:textAlignment w:val="auto"/>
        <w:rPr>
          <w:rFonts w:hint="eastAsia" w:ascii="宋体" w:hAnsi="宋体" w:cs="宋体"/>
          <w:i w:val="0"/>
          <w:iCs w:val="0"/>
          <w:color w:val="000000"/>
          <w:sz w:val="24"/>
          <w:highlight w:val="none"/>
          <w:lang w:eastAsia="zh-CN"/>
        </w:rPr>
      </w:pPr>
    </w:p>
    <w:sectPr>
      <w:pgSz w:w="11905" w:h="16838"/>
      <w:pgMar w:top="1474" w:right="1474" w:bottom="1474" w:left="1474" w:header="851" w:footer="992" w:gutter="0"/>
      <w:pgNumType w:fmt="decimal"/>
      <w:cols w:space="720" w:num="1"/>
      <w:rtlGutter w:val="0"/>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华文宋体">
    <w:altName w:val="宋体"/>
    <w:panose1 w:val="02010600040101010101"/>
    <w:charset w:val="86"/>
    <w:family w:val="auto"/>
    <w:pitch w:val="default"/>
    <w:sig w:usb0="00000000" w:usb1="00000000" w:usb2="00000000" w:usb3="00000000" w:csb0="0004009F" w:csb1="DFD7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altName w:val="ksdb"/>
    <w:panose1 w:val="020B0502020202020204"/>
    <w:charset w:val="00"/>
    <w:family w:val="swiss"/>
    <w:pitch w:val="default"/>
    <w:sig w:usb0="00000000" w:usb1="00000000" w:usb2="00000000" w:usb3="00000000" w:csb0="2000009F" w:csb1="DFD7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KSOFF9CBECC6">
    <w:panose1 w:val="02010609060101010101"/>
    <w:charset w:val="86"/>
    <w:family w:val="auto"/>
    <w:pitch w:val="default"/>
    <w:sig w:usb0="00000001" w:usb1="00000000" w:usb2="00000000" w:usb3="00000000" w:csb0="00040001" w:csb1="00000000"/>
  </w:font>
  <w:font w:name="ksdb">
    <w:panose1 w:val="02000500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85B83">
    <w:pPr>
      <w:pStyle w:val="28"/>
      <w:jc w:val="center"/>
    </w:pPr>
    <w:r>
      <w:fldChar w:fldCharType="begin"/>
    </w:r>
    <w:r>
      <w:instrText xml:space="preserve">PAGE   \* MERGEFORMAT</w:instrText>
    </w:r>
    <w:r>
      <w:fldChar w:fldCharType="separate"/>
    </w:r>
    <w:r>
      <w:rPr>
        <w:lang w:val="zh-CN"/>
      </w:rP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9E143">
    <w:pPr>
      <w:pStyle w:val="2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88A21D9">
                          <w:pPr>
                            <w:pStyle w:val="28"/>
                          </w:pPr>
                          <w:r>
                            <w:fldChar w:fldCharType="begin"/>
                          </w:r>
                          <w:r>
                            <w:instrText xml:space="preserve"> PAGE  \* MERGEFORMAT </w:instrText>
                          </w:r>
                          <w:r>
                            <w:fldChar w:fldCharType="separate"/>
                          </w:r>
                          <w:r>
                            <w:t>1</w:t>
                          </w:r>
                          <w:r>
                            <w:fldChar w:fldCharType="end"/>
                          </w:r>
                        </w:p>
                      </w:txbxContent>
                    </wps:txbx>
                    <wps:bodyPr vert="horz" wrap="none" lIns="0" tIns="0" rIns="0" bIns="0" anchor="t" anchorCtr="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ql5uc8AAAAFAQAADwAAAAAAAAABACAAAAAiAAAA&#10;ZHJzL2Rvd25yZXYueG1sUEsBAhQAFAAAAAgAh07iQOZsrmXXAQAAsgMAAA4AAAAAAAAAAQAgAAAA&#10;HgEAAGRycy9lMm9Eb2MueG1sUEsFBgAAAAAGAAYAWQEAAGcFAAAAAA==&#10;">
              <v:fill on="f" focussize="0,0"/>
              <v:stroke on="f"/>
              <v:imagedata o:title=""/>
              <o:lock v:ext="edit" aspectratio="f"/>
              <v:textbox inset="0mm,0mm,0mm,0mm" style="mso-fit-shape-to-text:t;">
                <w:txbxContent>
                  <w:p w14:paraId="588A21D9">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CEC4A">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separate"/>
    </w:r>
    <w:r>
      <w:rPr>
        <w:rStyle w:val="47"/>
      </w:rPr>
      <w:fldChar w:fldCharType="end"/>
    </w:r>
  </w:p>
  <w:p w14:paraId="0EBF5347">
    <w:pPr>
      <w:pStyle w:val="2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6F2B0">
    <w:pPr>
      <w:pStyle w:val="2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9CF96">
    <w:pPr>
      <w:pStyle w:val="2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57EF718">
                          <w:pPr>
                            <w:pStyle w:val="28"/>
                          </w:pPr>
                          <w:r>
                            <w:fldChar w:fldCharType="begin"/>
                          </w:r>
                          <w:r>
                            <w:instrText xml:space="preserve"> PAGE  \* MERGEFORMAT </w:instrText>
                          </w:r>
                          <w:r>
                            <w:fldChar w:fldCharType="separate"/>
                          </w:r>
                          <w:r>
                            <w:t>36</w:t>
                          </w:r>
                          <w:r>
                            <w:fldChar w:fldCharType="end"/>
                          </w:r>
                        </w:p>
                      </w:txbxContent>
                    </wps:txbx>
                    <wps:bodyPr vert="horz" wrap="none" lIns="0" tIns="0" rIns="0" bIns="0" anchor="t" anchorCtr="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ql5uc8AAAAFAQAADwAAAAAAAAABACAAAAAiAAAA&#10;ZHJzL2Rvd25yZXYueG1sUEsBAhQAFAAAAAgAh07iQGae2UrXAQAAsgMAAA4AAAAAAAAAAQAgAAAA&#10;HgEAAGRycy9lMm9Eb2MueG1sUEsFBgAAAAAGAAYAWQEAAGcFAAAAAA==&#10;">
              <v:fill on="f" focussize="0,0"/>
              <v:stroke on="f"/>
              <v:imagedata o:title=""/>
              <o:lock v:ext="edit" aspectratio="f"/>
              <v:textbox inset="0mm,0mm,0mm,0mm" style="mso-fit-shape-to-text:t;">
                <w:txbxContent>
                  <w:p w14:paraId="457EF718">
                    <w:pPr>
                      <w:pStyle w:val="28"/>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417501">
    <w:pPr>
      <w:pStyle w:val="28"/>
      <w:jc w:val="center"/>
    </w:pPr>
    <w:r>
      <w:fldChar w:fldCharType="begin"/>
    </w:r>
    <w:r>
      <w:instrText xml:space="preserve"> PAGE   \* MERGEFORMAT </w:instrText>
    </w:r>
    <w:r>
      <w:fldChar w:fldCharType="separate"/>
    </w:r>
    <w:r>
      <w:rPr>
        <w:lang w:val="zh-CN"/>
      </w:rPr>
      <w:t>267</w:t>
    </w:r>
    <w:r>
      <w:rPr>
        <w:lang w:val="zh-CN"/>
      </w:rPr>
      <w:fldChar w:fldCharType="end"/>
    </w:r>
  </w:p>
  <w:p w14:paraId="31EF11B2">
    <w:pPr>
      <w:pStyle w:val="28"/>
      <w:tabs>
        <w:tab w:val="left" w:pos="4668"/>
        <w:tab w:val="clear" w:pos="4153"/>
        <w:tab w:val="clear" w:pos="8306"/>
      </w:tabs>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A6A5A">
    <w:pPr>
      <w:pStyle w:val="28"/>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336BF12">
                          <w:pPr>
                            <w:pStyle w:val="28"/>
                          </w:pPr>
                          <w:r>
                            <w:fldChar w:fldCharType="begin"/>
                          </w:r>
                          <w:r>
                            <w:instrText xml:space="preserve"> PAGE  \* MERGEFORMAT </w:instrText>
                          </w:r>
                          <w:r>
                            <w:fldChar w:fldCharType="separate"/>
                          </w:r>
                          <w:r>
                            <w:t>64</w:t>
                          </w:r>
                          <w:r>
                            <w:fldChar w:fldCharType="end"/>
                          </w:r>
                        </w:p>
                      </w:txbxContent>
                    </wps:txbx>
                    <wps:bodyPr vert="horz" wrap="none" lIns="0" tIns="0" rIns="0" bIns="0" anchor="t" anchorCtr="0">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ql5uc8AAAAFAQAADwAAAAAAAAABACAAAAAiAAAA&#10;ZHJzL2Rvd25yZXYueG1sUEsBAhQAFAAAAAgAh07iQNnN2+bXAQAAsgMAAA4AAAAAAAAAAQAgAAAA&#10;HgEAAGRycy9lMm9Eb2MueG1sUEsFBgAAAAAGAAYAWQEAAGcFAAAAAA==&#10;">
              <v:fill on="f" focussize="0,0"/>
              <v:stroke on="f"/>
              <v:imagedata o:title=""/>
              <o:lock v:ext="edit" aspectratio="f"/>
              <v:textbox inset="0mm,0mm,0mm,0mm" style="mso-fit-shape-to-text:t;">
                <w:txbxContent>
                  <w:p w14:paraId="2336BF12">
                    <w:pPr>
                      <w:pStyle w:val="28"/>
                    </w:pPr>
                    <w:r>
                      <w:fldChar w:fldCharType="begin"/>
                    </w:r>
                    <w:r>
                      <w:instrText xml:space="preserve"> PAGE  \* MERGEFORMAT </w:instrText>
                    </w:r>
                    <w:r>
                      <w:fldChar w:fldCharType="separate"/>
                    </w:r>
                    <w:r>
                      <w:t>64</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47D13">
    <w:pPr>
      <w:pStyle w:val="28"/>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C49108">
                          <w:pPr>
                            <w:pStyle w:val="28"/>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05C49108">
                    <w:pPr>
                      <w:pStyle w:val="28"/>
                    </w:pPr>
                    <w:r>
                      <w:fldChar w:fldCharType="begin"/>
                    </w:r>
                    <w:r>
                      <w:instrText xml:space="preserve"> PAGE  \* MERGEFORMAT </w:instrText>
                    </w:r>
                    <w:r>
                      <w:fldChar w:fldCharType="separate"/>
                    </w:r>
                    <w:r>
                      <w:t>65</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349CF7">
    <w:pPr>
      <w:pStyle w:val="28"/>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0A3BA59">
                          <w:pPr>
                            <w:pStyle w:val="28"/>
                          </w:pPr>
                          <w:r>
                            <w:fldChar w:fldCharType="begin"/>
                          </w:r>
                          <w:r>
                            <w:instrText xml:space="preserve"> PAGE  \* MERGEFORMAT </w:instrText>
                          </w:r>
                          <w:r>
                            <w:fldChar w:fldCharType="separate"/>
                          </w:r>
                          <w:r>
                            <w:t>81</w:t>
                          </w:r>
                          <w:r>
                            <w:fldChar w:fldCharType="end"/>
                          </w:r>
                        </w:p>
                      </w:txbxContent>
                    </wps:txbx>
                    <wps:bodyPr vert="horz" wrap="none" lIns="0" tIns="0" rIns="0" bIns="0" anchor="t" anchorCtr="0">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ql5uc8AAAAFAQAADwAAAAAAAAABACAAAAAiAAAA&#10;ZHJzL2Rvd25yZXYueG1sUEsBAhQAFAAAAAgAh07iQICaauTXAQAAsgMAAA4AAAAAAAAAAQAgAAAA&#10;HgEAAGRycy9lMm9Eb2MueG1sUEsFBgAAAAAGAAYAWQEAAGcFAAAAAA==&#10;">
              <v:fill on="f" focussize="0,0"/>
              <v:stroke on="f"/>
              <v:imagedata o:title=""/>
              <o:lock v:ext="edit" aspectratio="f"/>
              <v:textbox inset="0mm,0mm,0mm,0mm" style="mso-fit-shape-to-text:t;">
                <w:txbxContent>
                  <w:p w14:paraId="30A3BA59">
                    <w:pPr>
                      <w:pStyle w:val="28"/>
                    </w:pPr>
                    <w:r>
                      <w:fldChar w:fldCharType="begin"/>
                    </w:r>
                    <w:r>
                      <w:instrText xml:space="preserve"> PAGE  \* MERGEFORMAT </w:instrText>
                    </w:r>
                    <w:r>
                      <w:fldChar w:fldCharType="separate"/>
                    </w:r>
                    <w:r>
                      <w:t>81</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3C7BE9">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separate"/>
    </w:r>
    <w:r>
      <w:rPr>
        <w:rStyle w:val="47"/>
      </w:rPr>
      <w:fldChar w:fldCharType="end"/>
    </w:r>
  </w:p>
  <w:p w14:paraId="3AA673F0">
    <w:pPr>
      <w:pStyle w:val="28"/>
      <w:ind w:right="360"/>
    </w:pPr>
  </w:p>
  <w:p w14:paraId="7992FF43"/>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EAB172">
    <w:pPr>
      <w:pStyle w:val="28"/>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00AB45">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separate"/>
    </w:r>
    <w:r>
      <w:rPr>
        <w:rStyle w:val="47"/>
      </w:rPr>
      <w:fldChar w:fldCharType="end"/>
    </w:r>
  </w:p>
  <w:p w14:paraId="4152B96D">
    <w:pPr>
      <w:pStyle w:val="28"/>
      <w:ind w:right="360"/>
    </w:pPr>
  </w:p>
  <w:p w14:paraId="614B065F"/>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EE3E6">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64BF1">
    <w:pPr>
      <w:pStyle w:val="29"/>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7515B4">
    <w:pPr>
      <w:pStyle w:val="2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A2FCA">
    <w:pPr>
      <w:pStyle w:val="2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AACD12"/>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64A36E">
    <w:pPr>
      <w:pStyle w:val="29"/>
      <w:pBdr>
        <w:bottom w:val="thinThickSmallGap" w:color="auto" w:sz="12" w:space="2"/>
      </w:pBdr>
      <w:ind w:left="400"/>
      <w:jc w:val="left"/>
      <w:rPr>
        <w:shd w:val="clear" w:color="auto" w:fill="FFFFFF"/>
      </w:rPr>
    </w:pPr>
    <w:r>
      <w:rPr>
        <w:rFonts w:hint="eastAsia"/>
        <w:shd w:val="clear" w:color="auto" w:fill="FFFFFF"/>
      </w:rPr>
      <w:t>.</w:t>
    </w:r>
    <w:r>
      <w:rPr>
        <w:shd w:val="clear" w:color="auto" w:fill="FFFFFF"/>
      </w:rPr>
      <w:fldChar w:fldCharType="begin"/>
    </w:r>
    <w:r>
      <w:rPr>
        <w:shd w:val="clear" w:color="auto" w:fill="FFFFFF"/>
      </w:rPr>
      <w:instrText xml:space="preserve">PAGE   \* MERGEFORMAT</w:instrText>
    </w:r>
    <w:r>
      <w:rPr>
        <w:shd w:val="clear" w:color="auto" w:fill="FFFFFF"/>
      </w:rPr>
      <w:fldChar w:fldCharType="separate"/>
    </w:r>
    <w:r>
      <w:rPr>
        <w:bCs/>
        <w:shd w:val="clear" w:color="auto" w:fill="FFFFFF"/>
      </w:rPr>
      <w:t>6</w:t>
    </w:r>
    <w:r>
      <w:rPr>
        <w:bCs/>
        <w:shd w:val="clear" w:color="auto" w:fill="FFFFFF"/>
      </w:rPr>
      <w:fldChar w:fldCharType="end"/>
    </w:r>
    <w:r>
      <w:rPr>
        <w:rFonts w:hint="eastAsia"/>
        <w:shd w:val="clear" w:color="auto" w:fill="FFFFFF"/>
      </w:rPr>
      <w:t>.</w:t>
    </w:r>
    <w:bookmarkStart w:id="1341" w:name="_Hlk517857777"/>
    <w:r>
      <w:rPr>
        <w:rFonts w:hint="eastAsia"/>
        <w:shd w:val="clear" w:color="auto" w:fill="FFFFFF"/>
      </w:rPr>
      <w:t>北京市房屋建筑和市政工程专业承包施工招标文件示范文本（</w:t>
    </w:r>
    <w:r>
      <w:rPr>
        <w:shd w:val="clear" w:color="auto" w:fill="FFFFFF"/>
      </w:rPr>
      <w:t>2018</w:t>
    </w:r>
    <w:r>
      <w:rPr>
        <w:rFonts w:hint="eastAsia"/>
        <w:shd w:val="clear" w:color="auto" w:fill="FFFFFF"/>
      </w:rPr>
      <w:t>版）专用部分</w:t>
    </w:r>
    <w:bookmarkEnd w:id="1341"/>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2B3BA1"/>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26C1E0">
    <w:pPr>
      <w:pStyle w:val="29"/>
      <w:pBdr>
        <w:bottom w:val="none" w:color="auto" w:sz="0" w:space="1"/>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2F59A">
    <w:pPr>
      <w:pStyle w:val="29"/>
      <w:pBdr>
        <w:bottom w:val="none" w:color="auto" w:sz="0" w:space="1"/>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DF843">
    <w:pPr>
      <w:pStyle w:val="29"/>
    </w:pPr>
  </w:p>
  <w:p w14:paraId="5FA4B2E2"/>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697D17">
    <w:pPr>
      <w:pStyle w:val="29"/>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5A73B">
    <w:pPr>
      <w:pStyle w:val="29"/>
    </w:pPr>
  </w:p>
  <w:p w14:paraId="3588A302"/>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177E5">
    <w:pPr>
      <w:pStyle w:val="29"/>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110"/>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85"/>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55"/>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104"/>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03"/>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4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3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48"/>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61"/>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24"/>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42"/>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109"/>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E230849"/>
    <w:multiLevelType w:val="multilevel"/>
    <w:tmpl w:val="0E230849"/>
    <w:lvl w:ilvl="0" w:tentative="0">
      <w:start w:val="1"/>
      <w:numFmt w:val="decimal"/>
      <w:pStyle w:val="210"/>
      <w:lvlText w:val="%1"/>
      <w:lvlJc w:val="left"/>
      <w:pPr>
        <w:ind w:left="680" w:hanging="680"/>
      </w:pPr>
      <w:rPr>
        <w:rFonts w:hint="eastAsia" w:ascii="宋体" w:hAnsi="宋体" w:eastAsia="宋体"/>
      </w:rPr>
    </w:lvl>
    <w:lvl w:ilvl="1" w:tentative="0">
      <w:start w:val="1"/>
      <w:numFmt w:val="decimal"/>
      <w:pStyle w:val="211"/>
      <w:lvlText w:val="%1.%2"/>
      <w:lvlJc w:val="left"/>
      <w:pPr>
        <w:ind w:left="851" w:hanging="851"/>
      </w:pPr>
      <w:rPr>
        <w:rFonts w:hint="eastAsia" w:ascii="宋体" w:hAnsi="宋体" w:eastAsia="宋体"/>
        <w:color w:val="auto"/>
      </w:rPr>
    </w:lvl>
    <w:lvl w:ilvl="2" w:tentative="0">
      <w:start w:val="1"/>
      <w:numFmt w:val="decimal"/>
      <w:pStyle w:val="212"/>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9">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b w:val="0"/>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0">
    <w:nsid w:val="28FA4154"/>
    <w:multiLevelType w:val="multilevel"/>
    <w:tmpl w:val="28FA4154"/>
    <w:lvl w:ilvl="0" w:tentative="0">
      <w:start w:val="8"/>
      <w:numFmt w:val="decimal"/>
      <w:lvlText w:val="%1"/>
      <w:lvlJc w:val="left"/>
      <w:pPr>
        <w:tabs>
          <w:tab w:val="left" w:pos="0"/>
        </w:tabs>
        <w:ind w:left="360" w:hanging="360"/>
      </w:pPr>
      <w:rPr>
        <w:rFonts w:hint="default"/>
      </w:rPr>
    </w:lvl>
    <w:lvl w:ilvl="1" w:tentative="0">
      <w:start w:val="2"/>
      <w:numFmt w:val="decimal"/>
      <w:lvlText w:val="%1.%2"/>
      <w:lvlJc w:val="left"/>
      <w:pPr>
        <w:tabs>
          <w:tab w:val="left" w:pos="0"/>
        </w:tabs>
        <w:ind w:left="360" w:hanging="360"/>
      </w:pPr>
      <w:rPr>
        <w:rFonts w:hint="default"/>
      </w:rPr>
    </w:lvl>
    <w:lvl w:ilvl="2" w:tentative="0">
      <w:start w:val="1"/>
      <w:numFmt w:val="decimal"/>
      <w:lvlText w:val="%1.%2.%3"/>
      <w:lvlJc w:val="left"/>
      <w:pPr>
        <w:tabs>
          <w:tab w:val="left" w:pos="0"/>
        </w:tabs>
        <w:ind w:left="720" w:hanging="720"/>
      </w:pPr>
      <w:rPr>
        <w:rFonts w:hint="default"/>
      </w:rPr>
    </w:lvl>
    <w:lvl w:ilvl="3" w:tentative="0">
      <w:start w:val="1"/>
      <w:numFmt w:val="decimal"/>
      <w:lvlText w:val="%1.%2.%3.%4"/>
      <w:lvlJc w:val="left"/>
      <w:pPr>
        <w:tabs>
          <w:tab w:val="left" w:pos="0"/>
        </w:tabs>
        <w:ind w:left="1080" w:hanging="1080"/>
      </w:pPr>
      <w:rPr>
        <w:rFonts w:hint="default"/>
      </w:rPr>
    </w:lvl>
    <w:lvl w:ilvl="4" w:tentative="0">
      <w:start w:val="1"/>
      <w:numFmt w:val="decimal"/>
      <w:lvlText w:val="%1.%2.%3.%4.%5"/>
      <w:lvlJc w:val="left"/>
      <w:pPr>
        <w:tabs>
          <w:tab w:val="left" w:pos="0"/>
        </w:tabs>
        <w:ind w:left="1080" w:hanging="1080"/>
      </w:pPr>
      <w:rPr>
        <w:rFonts w:hint="default"/>
      </w:rPr>
    </w:lvl>
    <w:lvl w:ilvl="5" w:tentative="0">
      <w:start w:val="1"/>
      <w:numFmt w:val="decimal"/>
      <w:lvlText w:val="%1.%2.%3.%4.%5.%6"/>
      <w:lvlJc w:val="left"/>
      <w:pPr>
        <w:tabs>
          <w:tab w:val="left" w:pos="0"/>
        </w:tabs>
        <w:ind w:left="1440" w:hanging="1440"/>
      </w:pPr>
      <w:rPr>
        <w:rFonts w:hint="default"/>
      </w:rPr>
    </w:lvl>
    <w:lvl w:ilvl="6" w:tentative="0">
      <w:start w:val="1"/>
      <w:numFmt w:val="decimal"/>
      <w:lvlText w:val="%1.%2.%3.%4.%5.%6.%7"/>
      <w:lvlJc w:val="left"/>
      <w:pPr>
        <w:tabs>
          <w:tab w:val="left" w:pos="0"/>
        </w:tabs>
        <w:ind w:left="1440" w:hanging="1440"/>
      </w:pPr>
      <w:rPr>
        <w:rFonts w:hint="default"/>
      </w:rPr>
    </w:lvl>
    <w:lvl w:ilvl="7" w:tentative="0">
      <w:start w:val="1"/>
      <w:numFmt w:val="decimal"/>
      <w:lvlText w:val="%1.%2.%3.%4.%5.%6.%7.%8"/>
      <w:lvlJc w:val="left"/>
      <w:pPr>
        <w:tabs>
          <w:tab w:val="left" w:pos="0"/>
        </w:tabs>
        <w:ind w:left="1800" w:hanging="1800"/>
      </w:pPr>
      <w:rPr>
        <w:rFonts w:hint="default"/>
      </w:rPr>
    </w:lvl>
    <w:lvl w:ilvl="8" w:tentative="0">
      <w:start w:val="1"/>
      <w:numFmt w:val="decimal"/>
      <w:lvlText w:val="%1.%2.%3.%4.%5.%6.%7.%8.%9"/>
      <w:lvlJc w:val="left"/>
      <w:pPr>
        <w:tabs>
          <w:tab w:val="left" w:pos="0"/>
        </w:tabs>
        <w:ind w:left="1800" w:hanging="1800"/>
      </w:pPr>
      <w:rPr>
        <w:rFonts w:hint="default"/>
      </w:rPr>
    </w:lvl>
  </w:abstractNum>
  <w:abstractNum w:abstractNumId="11">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2">
    <w:nsid w:val="3FA984D9"/>
    <w:multiLevelType w:val="singleLevel"/>
    <w:tmpl w:val="3FA984D9"/>
    <w:lvl w:ilvl="0" w:tentative="0">
      <w:start w:val="1"/>
      <w:numFmt w:val="decimal"/>
      <w:suff w:val="nothing"/>
      <w:lvlText w:val="%1、"/>
      <w:lvlJc w:val="left"/>
    </w:lvl>
  </w:abstractNum>
  <w:abstractNum w:abstractNumId="13">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8"/>
  </w:num>
  <w:num w:numId="8">
    <w:abstractNumId w:val="6"/>
  </w:num>
  <w:num w:numId="9">
    <w:abstractNumId w:val="0"/>
  </w:num>
  <w:num w:numId="10">
    <w:abstractNumId w:val="9"/>
  </w:num>
  <w:num w:numId="11">
    <w:abstractNumId w:val="10"/>
    <w:lvlOverride w:ilvl="0">
      <w:startOverride w:val="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1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0" w:hash="9oFHcDhnDnA61zIi3W/P8TpiOBU=" w:salt="I1+Q0Jis+K4iznZeMnloow=="/>
  <w:defaultTabStop w:val="420"/>
  <w:drawingGridHorizontalSpacing w:val="105"/>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commondata" w:val="eyJoZGlkIjoiNDY0YWEyYmFkODQ0ODkxYWM0YzViNGVlOWMzMzVlNzkifQ=="/>
    <w:docVar w:name="var评审项目" w:val="$评审项目$"/>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0CF"/>
    <w:rsid w:val="00001711"/>
    <w:rsid w:val="00001895"/>
    <w:rsid w:val="00001948"/>
    <w:rsid w:val="00001F9C"/>
    <w:rsid w:val="000020BD"/>
    <w:rsid w:val="0000218D"/>
    <w:rsid w:val="00002358"/>
    <w:rsid w:val="0000240B"/>
    <w:rsid w:val="000026F7"/>
    <w:rsid w:val="0000279B"/>
    <w:rsid w:val="000027EB"/>
    <w:rsid w:val="00002944"/>
    <w:rsid w:val="00002D16"/>
    <w:rsid w:val="00002F3D"/>
    <w:rsid w:val="00002FE1"/>
    <w:rsid w:val="000031CE"/>
    <w:rsid w:val="00003279"/>
    <w:rsid w:val="00003711"/>
    <w:rsid w:val="00003804"/>
    <w:rsid w:val="000039FD"/>
    <w:rsid w:val="00003A41"/>
    <w:rsid w:val="00003D6A"/>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31"/>
    <w:rsid w:val="00005AF1"/>
    <w:rsid w:val="00005DF0"/>
    <w:rsid w:val="00005EC8"/>
    <w:rsid w:val="000060A7"/>
    <w:rsid w:val="000064B2"/>
    <w:rsid w:val="00006923"/>
    <w:rsid w:val="00006BD5"/>
    <w:rsid w:val="00006CD1"/>
    <w:rsid w:val="00006CD3"/>
    <w:rsid w:val="000073B1"/>
    <w:rsid w:val="000073E8"/>
    <w:rsid w:val="0000781A"/>
    <w:rsid w:val="00007A5A"/>
    <w:rsid w:val="00007DA4"/>
    <w:rsid w:val="00007F7A"/>
    <w:rsid w:val="00010010"/>
    <w:rsid w:val="000100A2"/>
    <w:rsid w:val="000100B6"/>
    <w:rsid w:val="000104BA"/>
    <w:rsid w:val="000106FC"/>
    <w:rsid w:val="00010763"/>
    <w:rsid w:val="00010962"/>
    <w:rsid w:val="00010DB9"/>
    <w:rsid w:val="00010E8F"/>
    <w:rsid w:val="0001121F"/>
    <w:rsid w:val="0001127B"/>
    <w:rsid w:val="000112A5"/>
    <w:rsid w:val="0001156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21"/>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8B"/>
    <w:rsid w:val="000151D7"/>
    <w:rsid w:val="00015316"/>
    <w:rsid w:val="000154B9"/>
    <w:rsid w:val="00015645"/>
    <w:rsid w:val="000156A3"/>
    <w:rsid w:val="0001576D"/>
    <w:rsid w:val="000157C2"/>
    <w:rsid w:val="00015C1D"/>
    <w:rsid w:val="00015D20"/>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EB"/>
    <w:rsid w:val="00021C9E"/>
    <w:rsid w:val="00021F1F"/>
    <w:rsid w:val="00021F66"/>
    <w:rsid w:val="0002210E"/>
    <w:rsid w:val="0002216A"/>
    <w:rsid w:val="0002217C"/>
    <w:rsid w:val="0002226B"/>
    <w:rsid w:val="000222D0"/>
    <w:rsid w:val="00022354"/>
    <w:rsid w:val="000223C3"/>
    <w:rsid w:val="00022526"/>
    <w:rsid w:val="00022562"/>
    <w:rsid w:val="000227DC"/>
    <w:rsid w:val="000227F5"/>
    <w:rsid w:val="00022BE1"/>
    <w:rsid w:val="00022C7A"/>
    <w:rsid w:val="00022D53"/>
    <w:rsid w:val="00022F7D"/>
    <w:rsid w:val="0002328F"/>
    <w:rsid w:val="00023458"/>
    <w:rsid w:val="000234AD"/>
    <w:rsid w:val="00023CAF"/>
    <w:rsid w:val="00023D59"/>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353"/>
    <w:rsid w:val="000265E5"/>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4E9"/>
    <w:rsid w:val="00030640"/>
    <w:rsid w:val="0003072E"/>
    <w:rsid w:val="000307A8"/>
    <w:rsid w:val="00030887"/>
    <w:rsid w:val="00030993"/>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AFA"/>
    <w:rsid w:val="00032B14"/>
    <w:rsid w:val="00032C55"/>
    <w:rsid w:val="00032E71"/>
    <w:rsid w:val="00033034"/>
    <w:rsid w:val="00033192"/>
    <w:rsid w:val="00033263"/>
    <w:rsid w:val="00033483"/>
    <w:rsid w:val="00033665"/>
    <w:rsid w:val="000337D2"/>
    <w:rsid w:val="00033A69"/>
    <w:rsid w:val="0003416B"/>
    <w:rsid w:val="00034376"/>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0D67"/>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88D"/>
    <w:rsid w:val="0004597F"/>
    <w:rsid w:val="00045A76"/>
    <w:rsid w:val="00045BF7"/>
    <w:rsid w:val="00046001"/>
    <w:rsid w:val="000460A7"/>
    <w:rsid w:val="0004611A"/>
    <w:rsid w:val="000461DC"/>
    <w:rsid w:val="00046309"/>
    <w:rsid w:val="0004639F"/>
    <w:rsid w:val="00046737"/>
    <w:rsid w:val="0004680B"/>
    <w:rsid w:val="00046872"/>
    <w:rsid w:val="00046939"/>
    <w:rsid w:val="00046963"/>
    <w:rsid w:val="00046C5C"/>
    <w:rsid w:val="000470D5"/>
    <w:rsid w:val="00047207"/>
    <w:rsid w:val="00047479"/>
    <w:rsid w:val="000476F9"/>
    <w:rsid w:val="00047889"/>
    <w:rsid w:val="00047AB3"/>
    <w:rsid w:val="00047ADA"/>
    <w:rsid w:val="00047BBA"/>
    <w:rsid w:val="00047E61"/>
    <w:rsid w:val="000500A2"/>
    <w:rsid w:val="000502FD"/>
    <w:rsid w:val="00050351"/>
    <w:rsid w:val="00050606"/>
    <w:rsid w:val="00050747"/>
    <w:rsid w:val="00050899"/>
    <w:rsid w:val="000508C4"/>
    <w:rsid w:val="00050A3F"/>
    <w:rsid w:val="00050AEA"/>
    <w:rsid w:val="00050C78"/>
    <w:rsid w:val="000514DF"/>
    <w:rsid w:val="0005161F"/>
    <w:rsid w:val="00051756"/>
    <w:rsid w:val="000517DD"/>
    <w:rsid w:val="0005182E"/>
    <w:rsid w:val="0005191F"/>
    <w:rsid w:val="0005192B"/>
    <w:rsid w:val="00051C52"/>
    <w:rsid w:val="00052978"/>
    <w:rsid w:val="00052D2A"/>
    <w:rsid w:val="00052FD2"/>
    <w:rsid w:val="00053251"/>
    <w:rsid w:val="000535E6"/>
    <w:rsid w:val="00053890"/>
    <w:rsid w:val="000539CC"/>
    <w:rsid w:val="00053AC5"/>
    <w:rsid w:val="00053B80"/>
    <w:rsid w:val="00054265"/>
    <w:rsid w:val="0005434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B14"/>
    <w:rsid w:val="00055DD7"/>
    <w:rsid w:val="00055F08"/>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57B08"/>
    <w:rsid w:val="000600AF"/>
    <w:rsid w:val="000600DF"/>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741"/>
    <w:rsid w:val="00063AB9"/>
    <w:rsid w:val="00063C49"/>
    <w:rsid w:val="000640A5"/>
    <w:rsid w:val="00064564"/>
    <w:rsid w:val="000645FE"/>
    <w:rsid w:val="000649EC"/>
    <w:rsid w:val="00064E78"/>
    <w:rsid w:val="00065020"/>
    <w:rsid w:val="00065240"/>
    <w:rsid w:val="00065259"/>
    <w:rsid w:val="0006564E"/>
    <w:rsid w:val="000659A7"/>
    <w:rsid w:val="00065B6B"/>
    <w:rsid w:val="00065C44"/>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02"/>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4D7"/>
    <w:rsid w:val="000725F4"/>
    <w:rsid w:val="00072698"/>
    <w:rsid w:val="000726DA"/>
    <w:rsid w:val="00072873"/>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670"/>
    <w:rsid w:val="00074780"/>
    <w:rsid w:val="00074786"/>
    <w:rsid w:val="00074C28"/>
    <w:rsid w:val="00074FC7"/>
    <w:rsid w:val="000752FF"/>
    <w:rsid w:val="000756AC"/>
    <w:rsid w:val="00075879"/>
    <w:rsid w:val="00075941"/>
    <w:rsid w:val="00075AFF"/>
    <w:rsid w:val="00075BC6"/>
    <w:rsid w:val="00075C77"/>
    <w:rsid w:val="00076259"/>
    <w:rsid w:val="0007662D"/>
    <w:rsid w:val="000768C5"/>
    <w:rsid w:val="00076D3D"/>
    <w:rsid w:val="00076E3C"/>
    <w:rsid w:val="00076E8A"/>
    <w:rsid w:val="00076EFF"/>
    <w:rsid w:val="00076F9C"/>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A02"/>
    <w:rsid w:val="00080C51"/>
    <w:rsid w:val="00081030"/>
    <w:rsid w:val="00081713"/>
    <w:rsid w:val="000817A1"/>
    <w:rsid w:val="00081948"/>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B1"/>
    <w:rsid w:val="00085227"/>
    <w:rsid w:val="000852B5"/>
    <w:rsid w:val="00085AF9"/>
    <w:rsid w:val="00085B15"/>
    <w:rsid w:val="00085C48"/>
    <w:rsid w:val="00085D2A"/>
    <w:rsid w:val="00085D4B"/>
    <w:rsid w:val="00085D71"/>
    <w:rsid w:val="00085F6D"/>
    <w:rsid w:val="0008601C"/>
    <w:rsid w:val="00086020"/>
    <w:rsid w:val="000861B9"/>
    <w:rsid w:val="000861C0"/>
    <w:rsid w:val="0008620D"/>
    <w:rsid w:val="0008626C"/>
    <w:rsid w:val="00086927"/>
    <w:rsid w:val="00086998"/>
    <w:rsid w:val="00086C03"/>
    <w:rsid w:val="00086EFE"/>
    <w:rsid w:val="00087001"/>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B6D"/>
    <w:rsid w:val="00093DF7"/>
    <w:rsid w:val="00093EE8"/>
    <w:rsid w:val="00093F6E"/>
    <w:rsid w:val="0009426B"/>
    <w:rsid w:val="000944DB"/>
    <w:rsid w:val="000945AA"/>
    <w:rsid w:val="00094A82"/>
    <w:rsid w:val="00094BE8"/>
    <w:rsid w:val="00094C51"/>
    <w:rsid w:val="00094C99"/>
    <w:rsid w:val="00094CC8"/>
    <w:rsid w:val="00094CE8"/>
    <w:rsid w:val="000950F5"/>
    <w:rsid w:val="00095312"/>
    <w:rsid w:val="00095435"/>
    <w:rsid w:val="0009559F"/>
    <w:rsid w:val="000956AB"/>
    <w:rsid w:val="00095B18"/>
    <w:rsid w:val="00095B23"/>
    <w:rsid w:val="00095BE5"/>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C2"/>
    <w:rsid w:val="000A1F58"/>
    <w:rsid w:val="000A2051"/>
    <w:rsid w:val="000A2497"/>
    <w:rsid w:val="000A2766"/>
    <w:rsid w:val="000A2DA2"/>
    <w:rsid w:val="000A2DAE"/>
    <w:rsid w:val="000A2E01"/>
    <w:rsid w:val="000A311C"/>
    <w:rsid w:val="000A32EB"/>
    <w:rsid w:val="000A34BA"/>
    <w:rsid w:val="000A34F3"/>
    <w:rsid w:val="000A38B4"/>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27"/>
    <w:rsid w:val="000A6F72"/>
    <w:rsid w:val="000A6F99"/>
    <w:rsid w:val="000A6FE6"/>
    <w:rsid w:val="000A721F"/>
    <w:rsid w:val="000A72B1"/>
    <w:rsid w:val="000A77E9"/>
    <w:rsid w:val="000A79A7"/>
    <w:rsid w:val="000A7ACC"/>
    <w:rsid w:val="000A7D7F"/>
    <w:rsid w:val="000B0123"/>
    <w:rsid w:val="000B0141"/>
    <w:rsid w:val="000B0529"/>
    <w:rsid w:val="000B07B3"/>
    <w:rsid w:val="000B086E"/>
    <w:rsid w:val="000B09B0"/>
    <w:rsid w:val="000B09FF"/>
    <w:rsid w:val="000B0BBF"/>
    <w:rsid w:val="000B0C83"/>
    <w:rsid w:val="000B0D2B"/>
    <w:rsid w:val="000B0E8D"/>
    <w:rsid w:val="000B0F08"/>
    <w:rsid w:val="000B0FDB"/>
    <w:rsid w:val="000B1128"/>
    <w:rsid w:val="000B1135"/>
    <w:rsid w:val="000B1156"/>
    <w:rsid w:val="000B1513"/>
    <w:rsid w:val="000B15B4"/>
    <w:rsid w:val="000B1772"/>
    <w:rsid w:val="000B1A73"/>
    <w:rsid w:val="000B1B49"/>
    <w:rsid w:val="000B1CAA"/>
    <w:rsid w:val="000B2097"/>
    <w:rsid w:val="000B21DC"/>
    <w:rsid w:val="000B224F"/>
    <w:rsid w:val="000B2473"/>
    <w:rsid w:val="000B2535"/>
    <w:rsid w:val="000B2E06"/>
    <w:rsid w:val="000B2E78"/>
    <w:rsid w:val="000B2F43"/>
    <w:rsid w:val="000B330A"/>
    <w:rsid w:val="000B3874"/>
    <w:rsid w:val="000B394D"/>
    <w:rsid w:val="000B3B3B"/>
    <w:rsid w:val="000B3FFC"/>
    <w:rsid w:val="000B3FFE"/>
    <w:rsid w:val="000B43F5"/>
    <w:rsid w:val="000B43FB"/>
    <w:rsid w:val="000B44D3"/>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0D9E"/>
    <w:rsid w:val="000C1275"/>
    <w:rsid w:val="000C15B8"/>
    <w:rsid w:val="000C1698"/>
    <w:rsid w:val="000C1890"/>
    <w:rsid w:val="000C196B"/>
    <w:rsid w:val="000C1B49"/>
    <w:rsid w:val="000C1E46"/>
    <w:rsid w:val="000C1F62"/>
    <w:rsid w:val="000C206A"/>
    <w:rsid w:val="000C2090"/>
    <w:rsid w:val="000C2095"/>
    <w:rsid w:val="000C210C"/>
    <w:rsid w:val="000C219A"/>
    <w:rsid w:val="000C24A8"/>
    <w:rsid w:val="000C2612"/>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ED7"/>
    <w:rsid w:val="000C5F12"/>
    <w:rsid w:val="000C5FA7"/>
    <w:rsid w:val="000C6043"/>
    <w:rsid w:val="000C6211"/>
    <w:rsid w:val="000C6255"/>
    <w:rsid w:val="000C627A"/>
    <w:rsid w:val="000C655D"/>
    <w:rsid w:val="000C692E"/>
    <w:rsid w:val="000C69D5"/>
    <w:rsid w:val="000C6D78"/>
    <w:rsid w:val="000C6EBF"/>
    <w:rsid w:val="000C6F06"/>
    <w:rsid w:val="000C70D6"/>
    <w:rsid w:val="000C7581"/>
    <w:rsid w:val="000C76DD"/>
    <w:rsid w:val="000C7E46"/>
    <w:rsid w:val="000C7EAD"/>
    <w:rsid w:val="000D02EB"/>
    <w:rsid w:val="000D0723"/>
    <w:rsid w:val="000D07F4"/>
    <w:rsid w:val="000D0953"/>
    <w:rsid w:val="000D0D09"/>
    <w:rsid w:val="000D0E8B"/>
    <w:rsid w:val="000D0F36"/>
    <w:rsid w:val="000D0F46"/>
    <w:rsid w:val="000D10B3"/>
    <w:rsid w:val="000D11FA"/>
    <w:rsid w:val="000D144A"/>
    <w:rsid w:val="000D16DF"/>
    <w:rsid w:val="000D1A8A"/>
    <w:rsid w:val="000D1AC6"/>
    <w:rsid w:val="000D1B3E"/>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1C0"/>
    <w:rsid w:val="000D524E"/>
    <w:rsid w:val="000D54BA"/>
    <w:rsid w:val="000D5B64"/>
    <w:rsid w:val="000D5C3A"/>
    <w:rsid w:val="000D6209"/>
    <w:rsid w:val="000D643C"/>
    <w:rsid w:val="000D64DD"/>
    <w:rsid w:val="000D6AEB"/>
    <w:rsid w:val="000D6C0B"/>
    <w:rsid w:val="000D6C2E"/>
    <w:rsid w:val="000D7460"/>
    <w:rsid w:val="000D7971"/>
    <w:rsid w:val="000D79DB"/>
    <w:rsid w:val="000D7D7F"/>
    <w:rsid w:val="000D7D9A"/>
    <w:rsid w:val="000D7E52"/>
    <w:rsid w:val="000D7EEC"/>
    <w:rsid w:val="000E00B1"/>
    <w:rsid w:val="000E0249"/>
    <w:rsid w:val="000E0865"/>
    <w:rsid w:val="000E0994"/>
    <w:rsid w:val="000E09FF"/>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D24"/>
    <w:rsid w:val="000E2F58"/>
    <w:rsid w:val="000E2F7A"/>
    <w:rsid w:val="000E321B"/>
    <w:rsid w:val="000E3359"/>
    <w:rsid w:val="000E371C"/>
    <w:rsid w:val="000E37B4"/>
    <w:rsid w:val="000E3A1B"/>
    <w:rsid w:val="000E3C86"/>
    <w:rsid w:val="000E3D59"/>
    <w:rsid w:val="000E3DAC"/>
    <w:rsid w:val="000E401D"/>
    <w:rsid w:val="000E41A7"/>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60DC"/>
    <w:rsid w:val="000E62CE"/>
    <w:rsid w:val="000E62D4"/>
    <w:rsid w:val="000E62F5"/>
    <w:rsid w:val="000E6382"/>
    <w:rsid w:val="000E6393"/>
    <w:rsid w:val="000E678B"/>
    <w:rsid w:val="000E6A44"/>
    <w:rsid w:val="000E6EA3"/>
    <w:rsid w:val="000E7231"/>
    <w:rsid w:val="000E7316"/>
    <w:rsid w:val="000E74CA"/>
    <w:rsid w:val="000E77B6"/>
    <w:rsid w:val="000E7838"/>
    <w:rsid w:val="000E7901"/>
    <w:rsid w:val="000E7910"/>
    <w:rsid w:val="000E795C"/>
    <w:rsid w:val="000E7A0C"/>
    <w:rsid w:val="000E7AF9"/>
    <w:rsid w:val="000E7C99"/>
    <w:rsid w:val="000E7EFD"/>
    <w:rsid w:val="000F0028"/>
    <w:rsid w:val="000F01E6"/>
    <w:rsid w:val="000F0397"/>
    <w:rsid w:val="000F0873"/>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4FF0"/>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A6E"/>
    <w:rsid w:val="00100CF1"/>
    <w:rsid w:val="00100EF3"/>
    <w:rsid w:val="00100FA0"/>
    <w:rsid w:val="001011B1"/>
    <w:rsid w:val="00101254"/>
    <w:rsid w:val="0010166A"/>
    <w:rsid w:val="00101C2D"/>
    <w:rsid w:val="00101CD7"/>
    <w:rsid w:val="00101E70"/>
    <w:rsid w:val="0010209B"/>
    <w:rsid w:val="00102313"/>
    <w:rsid w:val="0010234F"/>
    <w:rsid w:val="00102653"/>
    <w:rsid w:val="0010270C"/>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C6"/>
    <w:rsid w:val="00104C7F"/>
    <w:rsid w:val="00104E4C"/>
    <w:rsid w:val="00104EA1"/>
    <w:rsid w:val="001051DA"/>
    <w:rsid w:val="00105422"/>
    <w:rsid w:val="00105502"/>
    <w:rsid w:val="00106284"/>
    <w:rsid w:val="0010635B"/>
    <w:rsid w:val="00106636"/>
    <w:rsid w:val="00106A5A"/>
    <w:rsid w:val="00106D64"/>
    <w:rsid w:val="00106E02"/>
    <w:rsid w:val="00107187"/>
    <w:rsid w:val="001073A4"/>
    <w:rsid w:val="0010780D"/>
    <w:rsid w:val="0010782F"/>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D"/>
    <w:rsid w:val="00110D04"/>
    <w:rsid w:val="00110F91"/>
    <w:rsid w:val="0011139D"/>
    <w:rsid w:val="0011174B"/>
    <w:rsid w:val="0011199A"/>
    <w:rsid w:val="00111AB0"/>
    <w:rsid w:val="00111B72"/>
    <w:rsid w:val="00111BB5"/>
    <w:rsid w:val="00111C2B"/>
    <w:rsid w:val="00111D5C"/>
    <w:rsid w:val="00111DD5"/>
    <w:rsid w:val="0011204B"/>
    <w:rsid w:val="00112212"/>
    <w:rsid w:val="001125D6"/>
    <w:rsid w:val="0011261B"/>
    <w:rsid w:val="00112659"/>
    <w:rsid w:val="0011279B"/>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AEF"/>
    <w:rsid w:val="00113C06"/>
    <w:rsid w:val="001140D4"/>
    <w:rsid w:val="001141CF"/>
    <w:rsid w:val="00114447"/>
    <w:rsid w:val="001146A0"/>
    <w:rsid w:val="0011490F"/>
    <w:rsid w:val="00114978"/>
    <w:rsid w:val="00114A55"/>
    <w:rsid w:val="00114A83"/>
    <w:rsid w:val="00114D97"/>
    <w:rsid w:val="00114FDE"/>
    <w:rsid w:val="001151F2"/>
    <w:rsid w:val="00115203"/>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CF7"/>
    <w:rsid w:val="00116D7F"/>
    <w:rsid w:val="00116EC4"/>
    <w:rsid w:val="00117108"/>
    <w:rsid w:val="00117175"/>
    <w:rsid w:val="00117253"/>
    <w:rsid w:val="00117358"/>
    <w:rsid w:val="001174DD"/>
    <w:rsid w:val="00117562"/>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75A"/>
    <w:rsid w:val="001218AD"/>
    <w:rsid w:val="00121CCD"/>
    <w:rsid w:val="00121D83"/>
    <w:rsid w:val="00122567"/>
    <w:rsid w:val="001226E3"/>
    <w:rsid w:val="0012282D"/>
    <w:rsid w:val="001229F8"/>
    <w:rsid w:val="00122A53"/>
    <w:rsid w:val="00122A5B"/>
    <w:rsid w:val="00122DB8"/>
    <w:rsid w:val="00122E2E"/>
    <w:rsid w:val="00122EC6"/>
    <w:rsid w:val="00122EF1"/>
    <w:rsid w:val="00122F50"/>
    <w:rsid w:val="0012309F"/>
    <w:rsid w:val="001233F3"/>
    <w:rsid w:val="0012341B"/>
    <w:rsid w:val="00123451"/>
    <w:rsid w:val="0012354D"/>
    <w:rsid w:val="0012358D"/>
    <w:rsid w:val="0012386D"/>
    <w:rsid w:val="00123C6B"/>
    <w:rsid w:val="00123C87"/>
    <w:rsid w:val="00123CD1"/>
    <w:rsid w:val="00123E00"/>
    <w:rsid w:val="00123FDC"/>
    <w:rsid w:val="00124151"/>
    <w:rsid w:val="001241ED"/>
    <w:rsid w:val="00124210"/>
    <w:rsid w:val="00124248"/>
    <w:rsid w:val="00124732"/>
    <w:rsid w:val="001248A3"/>
    <w:rsid w:val="001248FD"/>
    <w:rsid w:val="00124C8B"/>
    <w:rsid w:val="00124D00"/>
    <w:rsid w:val="00124E36"/>
    <w:rsid w:val="00124EAB"/>
    <w:rsid w:val="001251E2"/>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6F"/>
    <w:rsid w:val="001275B2"/>
    <w:rsid w:val="001278ED"/>
    <w:rsid w:val="00127B9E"/>
    <w:rsid w:val="00127CA5"/>
    <w:rsid w:val="00127D7F"/>
    <w:rsid w:val="00127EBF"/>
    <w:rsid w:val="00127FC5"/>
    <w:rsid w:val="00130315"/>
    <w:rsid w:val="0013043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2024"/>
    <w:rsid w:val="00132696"/>
    <w:rsid w:val="001328EB"/>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8D1"/>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1FEF"/>
    <w:rsid w:val="00142005"/>
    <w:rsid w:val="001421FC"/>
    <w:rsid w:val="001423BC"/>
    <w:rsid w:val="0014257F"/>
    <w:rsid w:val="001426BC"/>
    <w:rsid w:val="00142714"/>
    <w:rsid w:val="00142776"/>
    <w:rsid w:val="00142876"/>
    <w:rsid w:val="00142EA5"/>
    <w:rsid w:val="00142F2B"/>
    <w:rsid w:val="00143045"/>
    <w:rsid w:val="001436C2"/>
    <w:rsid w:val="001436DC"/>
    <w:rsid w:val="00143844"/>
    <w:rsid w:val="00143A06"/>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05"/>
    <w:rsid w:val="0014676D"/>
    <w:rsid w:val="00146782"/>
    <w:rsid w:val="00146993"/>
    <w:rsid w:val="00146C9F"/>
    <w:rsid w:val="00146CFB"/>
    <w:rsid w:val="00146F6C"/>
    <w:rsid w:val="00146FDE"/>
    <w:rsid w:val="00147261"/>
    <w:rsid w:val="00147382"/>
    <w:rsid w:val="001473A6"/>
    <w:rsid w:val="001473C3"/>
    <w:rsid w:val="00147723"/>
    <w:rsid w:val="00147A05"/>
    <w:rsid w:val="00147FCF"/>
    <w:rsid w:val="00147FEA"/>
    <w:rsid w:val="001501D5"/>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731"/>
    <w:rsid w:val="00152850"/>
    <w:rsid w:val="0015290E"/>
    <w:rsid w:val="00152991"/>
    <w:rsid w:val="00152ABC"/>
    <w:rsid w:val="00152DB1"/>
    <w:rsid w:val="00152FE4"/>
    <w:rsid w:val="001532A4"/>
    <w:rsid w:val="001537A4"/>
    <w:rsid w:val="001537D0"/>
    <w:rsid w:val="00153B7D"/>
    <w:rsid w:val="00153BC8"/>
    <w:rsid w:val="00153F15"/>
    <w:rsid w:val="00154401"/>
    <w:rsid w:val="001545AD"/>
    <w:rsid w:val="00154682"/>
    <w:rsid w:val="001547EA"/>
    <w:rsid w:val="001547F6"/>
    <w:rsid w:val="00154E2A"/>
    <w:rsid w:val="00154E60"/>
    <w:rsid w:val="00155202"/>
    <w:rsid w:val="0015538F"/>
    <w:rsid w:val="00155434"/>
    <w:rsid w:val="00155982"/>
    <w:rsid w:val="001564FC"/>
    <w:rsid w:val="00156D28"/>
    <w:rsid w:val="00156D64"/>
    <w:rsid w:val="00156EF9"/>
    <w:rsid w:val="001570D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A84"/>
    <w:rsid w:val="00161AF3"/>
    <w:rsid w:val="001620A0"/>
    <w:rsid w:val="001620E1"/>
    <w:rsid w:val="0016216F"/>
    <w:rsid w:val="0016223A"/>
    <w:rsid w:val="001623B5"/>
    <w:rsid w:val="001624B5"/>
    <w:rsid w:val="001627F3"/>
    <w:rsid w:val="001629D3"/>
    <w:rsid w:val="00162A50"/>
    <w:rsid w:val="00162D12"/>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0B0"/>
    <w:rsid w:val="001655BB"/>
    <w:rsid w:val="001657CC"/>
    <w:rsid w:val="00165B61"/>
    <w:rsid w:val="00165F07"/>
    <w:rsid w:val="001664DB"/>
    <w:rsid w:val="0016655E"/>
    <w:rsid w:val="00166A93"/>
    <w:rsid w:val="00166C93"/>
    <w:rsid w:val="00166E60"/>
    <w:rsid w:val="00166EBE"/>
    <w:rsid w:val="00166F3F"/>
    <w:rsid w:val="001670EA"/>
    <w:rsid w:val="001674A5"/>
    <w:rsid w:val="0016784B"/>
    <w:rsid w:val="001679B2"/>
    <w:rsid w:val="00167A55"/>
    <w:rsid w:val="00167AB6"/>
    <w:rsid w:val="00167EBA"/>
    <w:rsid w:val="00167FB2"/>
    <w:rsid w:val="00167FD9"/>
    <w:rsid w:val="001700A5"/>
    <w:rsid w:val="001703B4"/>
    <w:rsid w:val="001705E4"/>
    <w:rsid w:val="00170D89"/>
    <w:rsid w:val="00170FF3"/>
    <w:rsid w:val="0017116A"/>
    <w:rsid w:val="001711DB"/>
    <w:rsid w:val="001712A1"/>
    <w:rsid w:val="001712C4"/>
    <w:rsid w:val="00171325"/>
    <w:rsid w:val="00171451"/>
    <w:rsid w:val="00171482"/>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B73"/>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149"/>
    <w:rsid w:val="0017622F"/>
    <w:rsid w:val="0017623A"/>
    <w:rsid w:val="00176250"/>
    <w:rsid w:val="00176399"/>
    <w:rsid w:val="00176768"/>
    <w:rsid w:val="00176794"/>
    <w:rsid w:val="001767E0"/>
    <w:rsid w:val="0017690B"/>
    <w:rsid w:val="001769DC"/>
    <w:rsid w:val="00176DE2"/>
    <w:rsid w:val="00176E48"/>
    <w:rsid w:val="001770BF"/>
    <w:rsid w:val="001770D4"/>
    <w:rsid w:val="0017712C"/>
    <w:rsid w:val="00177148"/>
    <w:rsid w:val="0017727A"/>
    <w:rsid w:val="001772BB"/>
    <w:rsid w:val="00177385"/>
    <w:rsid w:val="001776C7"/>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C7"/>
    <w:rsid w:val="00180D52"/>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2DE9"/>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57B"/>
    <w:rsid w:val="00185A00"/>
    <w:rsid w:val="00185BBA"/>
    <w:rsid w:val="0018614B"/>
    <w:rsid w:val="001862B1"/>
    <w:rsid w:val="001862ED"/>
    <w:rsid w:val="00186763"/>
    <w:rsid w:val="0018676E"/>
    <w:rsid w:val="0018693D"/>
    <w:rsid w:val="00186AEB"/>
    <w:rsid w:val="00186BD5"/>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935"/>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4D42"/>
    <w:rsid w:val="00194D65"/>
    <w:rsid w:val="001950C6"/>
    <w:rsid w:val="0019525E"/>
    <w:rsid w:val="00195427"/>
    <w:rsid w:val="001954DF"/>
    <w:rsid w:val="00195515"/>
    <w:rsid w:val="0019580B"/>
    <w:rsid w:val="001958C9"/>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AFE"/>
    <w:rsid w:val="001A3094"/>
    <w:rsid w:val="001A35AC"/>
    <w:rsid w:val="001A390C"/>
    <w:rsid w:val="001A3985"/>
    <w:rsid w:val="001A399C"/>
    <w:rsid w:val="001A3B4D"/>
    <w:rsid w:val="001A3B68"/>
    <w:rsid w:val="001A3CCC"/>
    <w:rsid w:val="001A4045"/>
    <w:rsid w:val="001A40CF"/>
    <w:rsid w:val="001A4877"/>
    <w:rsid w:val="001A4A0B"/>
    <w:rsid w:val="001A4EBF"/>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C0B"/>
    <w:rsid w:val="001B1D06"/>
    <w:rsid w:val="001B1F85"/>
    <w:rsid w:val="001B2015"/>
    <w:rsid w:val="001B2049"/>
    <w:rsid w:val="001B2067"/>
    <w:rsid w:val="001B2322"/>
    <w:rsid w:val="001B28F9"/>
    <w:rsid w:val="001B2A06"/>
    <w:rsid w:val="001B2D3E"/>
    <w:rsid w:val="001B2EB9"/>
    <w:rsid w:val="001B2FD0"/>
    <w:rsid w:val="001B302C"/>
    <w:rsid w:val="001B30FE"/>
    <w:rsid w:val="001B3159"/>
    <w:rsid w:val="001B3793"/>
    <w:rsid w:val="001B38ED"/>
    <w:rsid w:val="001B39CE"/>
    <w:rsid w:val="001B39DF"/>
    <w:rsid w:val="001B3B2F"/>
    <w:rsid w:val="001B3B98"/>
    <w:rsid w:val="001B3BBA"/>
    <w:rsid w:val="001B3EF9"/>
    <w:rsid w:val="001B40F1"/>
    <w:rsid w:val="001B43B1"/>
    <w:rsid w:val="001B4499"/>
    <w:rsid w:val="001B47AF"/>
    <w:rsid w:val="001B49F0"/>
    <w:rsid w:val="001B504D"/>
    <w:rsid w:val="001B5307"/>
    <w:rsid w:val="001B53EE"/>
    <w:rsid w:val="001B56F4"/>
    <w:rsid w:val="001B5918"/>
    <w:rsid w:val="001B5BA3"/>
    <w:rsid w:val="001B5CD4"/>
    <w:rsid w:val="001B64C1"/>
    <w:rsid w:val="001B6C13"/>
    <w:rsid w:val="001B6F07"/>
    <w:rsid w:val="001B7015"/>
    <w:rsid w:val="001B702C"/>
    <w:rsid w:val="001B732E"/>
    <w:rsid w:val="001B73F3"/>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23"/>
    <w:rsid w:val="001C2145"/>
    <w:rsid w:val="001C255E"/>
    <w:rsid w:val="001C2695"/>
    <w:rsid w:val="001C29BE"/>
    <w:rsid w:val="001C2DCD"/>
    <w:rsid w:val="001C2E41"/>
    <w:rsid w:val="001C2ED2"/>
    <w:rsid w:val="001C2F65"/>
    <w:rsid w:val="001C326E"/>
    <w:rsid w:val="001C33D5"/>
    <w:rsid w:val="001C34AE"/>
    <w:rsid w:val="001C34EC"/>
    <w:rsid w:val="001C3701"/>
    <w:rsid w:val="001C38DF"/>
    <w:rsid w:val="001C3982"/>
    <w:rsid w:val="001C3EBD"/>
    <w:rsid w:val="001C41EB"/>
    <w:rsid w:val="001C4429"/>
    <w:rsid w:val="001C47A0"/>
    <w:rsid w:val="001C47E6"/>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91"/>
    <w:rsid w:val="001C7E5E"/>
    <w:rsid w:val="001C7F13"/>
    <w:rsid w:val="001D021A"/>
    <w:rsid w:val="001D03AD"/>
    <w:rsid w:val="001D046C"/>
    <w:rsid w:val="001D0528"/>
    <w:rsid w:val="001D057E"/>
    <w:rsid w:val="001D0778"/>
    <w:rsid w:val="001D07CF"/>
    <w:rsid w:val="001D0985"/>
    <w:rsid w:val="001D0BEB"/>
    <w:rsid w:val="001D0C91"/>
    <w:rsid w:val="001D112C"/>
    <w:rsid w:val="001D165E"/>
    <w:rsid w:val="001D1689"/>
    <w:rsid w:val="001D1980"/>
    <w:rsid w:val="001D1F85"/>
    <w:rsid w:val="001D27F7"/>
    <w:rsid w:val="001D2889"/>
    <w:rsid w:val="001D28C9"/>
    <w:rsid w:val="001D2936"/>
    <w:rsid w:val="001D2BF6"/>
    <w:rsid w:val="001D2D30"/>
    <w:rsid w:val="001D309E"/>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13"/>
    <w:rsid w:val="001D55D6"/>
    <w:rsid w:val="001D5897"/>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37E"/>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2AC"/>
    <w:rsid w:val="001F0615"/>
    <w:rsid w:val="001F07D6"/>
    <w:rsid w:val="001F07F7"/>
    <w:rsid w:val="001F08D7"/>
    <w:rsid w:val="001F0958"/>
    <w:rsid w:val="001F0C50"/>
    <w:rsid w:val="001F126A"/>
    <w:rsid w:val="001F137C"/>
    <w:rsid w:val="001F17AB"/>
    <w:rsid w:val="001F1B18"/>
    <w:rsid w:val="001F1D26"/>
    <w:rsid w:val="001F1E70"/>
    <w:rsid w:val="001F2402"/>
    <w:rsid w:val="001F28AA"/>
    <w:rsid w:val="001F2AB7"/>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6084"/>
    <w:rsid w:val="001F61FB"/>
    <w:rsid w:val="001F6421"/>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5B4"/>
    <w:rsid w:val="00202B06"/>
    <w:rsid w:val="00202B44"/>
    <w:rsid w:val="00203118"/>
    <w:rsid w:val="00203153"/>
    <w:rsid w:val="002033CB"/>
    <w:rsid w:val="002034C2"/>
    <w:rsid w:val="00203726"/>
    <w:rsid w:val="00203A4A"/>
    <w:rsid w:val="00203BF8"/>
    <w:rsid w:val="00203DAD"/>
    <w:rsid w:val="00203E7F"/>
    <w:rsid w:val="00204574"/>
    <w:rsid w:val="00204728"/>
    <w:rsid w:val="00204761"/>
    <w:rsid w:val="002047C4"/>
    <w:rsid w:val="00204865"/>
    <w:rsid w:val="00204D86"/>
    <w:rsid w:val="00204E72"/>
    <w:rsid w:val="00204FA5"/>
    <w:rsid w:val="002057C1"/>
    <w:rsid w:val="00205CED"/>
    <w:rsid w:val="00205D16"/>
    <w:rsid w:val="00205F4E"/>
    <w:rsid w:val="00206410"/>
    <w:rsid w:val="00206722"/>
    <w:rsid w:val="002067CB"/>
    <w:rsid w:val="00206A04"/>
    <w:rsid w:val="00206BE4"/>
    <w:rsid w:val="00206D3E"/>
    <w:rsid w:val="00206D5B"/>
    <w:rsid w:val="002074D2"/>
    <w:rsid w:val="0020761E"/>
    <w:rsid w:val="002077D3"/>
    <w:rsid w:val="002078ED"/>
    <w:rsid w:val="00207913"/>
    <w:rsid w:val="002079D2"/>
    <w:rsid w:val="00207CF8"/>
    <w:rsid w:val="00207E99"/>
    <w:rsid w:val="00207F97"/>
    <w:rsid w:val="002105B2"/>
    <w:rsid w:val="002105C3"/>
    <w:rsid w:val="0021063C"/>
    <w:rsid w:val="0021085B"/>
    <w:rsid w:val="00210A3A"/>
    <w:rsid w:val="00210C07"/>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9C6"/>
    <w:rsid w:val="00213B0D"/>
    <w:rsid w:val="00213B31"/>
    <w:rsid w:val="00213EC0"/>
    <w:rsid w:val="00213EE5"/>
    <w:rsid w:val="00213F17"/>
    <w:rsid w:val="00214137"/>
    <w:rsid w:val="002141E2"/>
    <w:rsid w:val="00214368"/>
    <w:rsid w:val="00214B2B"/>
    <w:rsid w:val="00214D0B"/>
    <w:rsid w:val="00214F86"/>
    <w:rsid w:val="00214FA6"/>
    <w:rsid w:val="0021509C"/>
    <w:rsid w:val="002152AD"/>
    <w:rsid w:val="00215476"/>
    <w:rsid w:val="0021554A"/>
    <w:rsid w:val="0021618E"/>
    <w:rsid w:val="002161B4"/>
    <w:rsid w:val="00216642"/>
    <w:rsid w:val="002166AF"/>
    <w:rsid w:val="002167D9"/>
    <w:rsid w:val="00216A22"/>
    <w:rsid w:val="00216EEC"/>
    <w:rsid w:val="00216F78"/>
    <w:rsid w:val="00217445"/>
    <w:rsid w:val="0021798F"/>
    <w:rsid w:val="00217C37"/>
    <w:rsid w:val="00217CB8"/>
    <w:rsid w:val="00217E13"/>
    <w:rsid w:val="00217E62"/>
    <w:rsid w:val="00217EA8"/>
    <w:rsid w:val="0022004D"/>
    <w:rsid w:val="002202F6"/>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D2A"/>
    <w:rsid w:val="00221E82"/>
    <w:rsid w:val="00221EA7"/>
    <w:rsid w:val="00222202"/>
    <w:rsid w:val="00222614"/>
    <w:rsid w:val="00222706"/>
    <w:rsid w:val="00222A23"/>
    <w:rsid w:val="00222B6A"/>
    <w:rsid w:val="00222B97"/>
    <w:rsid w:val="00222CE5"/>
    <w:rsid w:val="00223224"/>
    <w:rsid w:val="0022334D"/>
    <w:rsid w:val="002239ED"/>
    <w:rsid w:val="002239F5"/>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17"/>
    <w:rsid w:val="0022656B"/>
    <w:rsid w:val="00226831"/>
    <w:rsid w:val="00226BA4"/>
    <w:rsid w:val="00226F38"/>
    <w:rsid w:val="00226FD1"/>
    <w:rsid w:val="0022737E"/>
    <w:rsid w:val="00227679"/>
    <w:rsid w:val="002278C1"/>
    <w:rsid w:val="00227B21"/>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1FFD"/>
    <w:rsid w:val="00232100"/>
    <w:rsid w:val="0023249D"/>
    <w:rsid w:val="002324FB"/>
    <w:rsid w:val="0023250D"/>
    <w:rsid w:val="00232793"/>
    <w:rsid w:val="002327DD"/>
    <w:rsid w:val="0023295E"/>
    <w:rsid w:val="00232AC0"/>
    <w:rsid w:val="00232EAF"/>
    <w:rsid w:val="0023302F"/>
    <w:rsid w:val="002332CE"/>
    <w:rsid w:val="00233389"/>
    <w:rsid w:val="002334AF"/>
    <w:rsid w:val="002335F7"/>
    <w:rsid w:val="0023385B"/>
    <w:rsid w:val="002339B5"/>
    <w:rsid w:val="00233BE4"/>
    <w:rsid w:val="00233CFD"/>
    <w:rsid w:val="00233DA6"/>
    <w:rsid w:val="00234295"/>
    <w:rsid w:val="00234AA6"/>
    <w:rsid w:val="00234AED"/>
    <w:rsid w:val="00234B77"/>
    <w:rsid w:val="00234BF1"/>
    <w:rsid w:val="002351F1"/>
    <w:rsid w:val="00235450"/>
    <w:rsid w:val="002355E5"/>
    <w:rsid w:val="00235640"/>
    <w:rsid w:val="00235BDF"/>
    <w:rsid w:val="00235BEE"/>
    <w:rsid w:val="00235DA2"/>
    <w:rsid w:val="00235FCF"/>
    <w:rsid w:val="00236642"/>
    <w:rsid w:val="00236765"/>
    <w:rsid w:val="00236AC5"/>
    <w:rsid w:val="00236BA3"/>
    <w:rsid w:val="00236C96"/>
    <w:rsid w:val="00237125"/>
    <w:rsid w:val="002371F0"/>
    <w:rsid w:val="00237712"/>
    <w:rsid w:val="00237B33"/>
    <w:rsid w:val="00237C8B"/>
    <w:rsid w:val="00237DF5"/>
    <w:rsid w:val="00237E9C"/>
    <w:rsid w:val="00240071"/>
    <w:rsid w:val="00240426"/>
    <w:rsid w:val="00240561"/>
    <w:rsid w:val="00240852"/>
    <w:rsid w:val="00240AC8"/>
    <w:rsid w:val="00240D6D"/>
    <w:rsid w:val="00240F8A"/>
    <w:rsid w:val="0024101A"/>
    <w:rsid w:val="002412CB"/>
    <w:rsid w:val="002412F8"/>
    <w:rsid w:val="00241447"/>
    <w:rsid w:val="0024168E"/>
    <w:rsid w:val="00241690"/>
    <w:rsid w:val="0024172C"/>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A0"/>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7B8"/>
    <w:rsid w:val="00245972"/>
    <w:rsid w:val="002460FE"/>
    <w:rsid w:val="00246133"/>
    <w:rsid w:val="0024623F"/>
    <w:rsid w:val="00246812"/>
    <w:rsid w:val="002469F5"/>
    <w:rsid w:val="00246BC6"/>
    <w:rsid w:val="00246C6D"/>
    <w:rsid w:val="00246D51"/>
    <w:rsid w:val="00246E3E"/>
    <w:rsid w:val="00246FBC"/>
    <w:rsid w:val="0024701C"/>
    <w:rsid w:val="0024706D"/>
    <w:rsid w:val="00247A52"/>
    <w:rsid w:val="00247C47"/>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69F"/>
    <w:rsid w:val="00251844"/>
    <w:rsid w:val="002518B2"/>
    <w:rsid w:val="00251A07"/>
    <w:rsid w:val="00251B30"/>
    <w:rsid w:val="00251D5A"/>
    <w:rsid w:val="00251FDC"/>
    <w:rsid w:val="002522D3"/>
    <w:rsid w:val="0025234D"/>
    <w:rsid w:val="00252427"/>
    <w:rsid w:val="002525FE"/>
    <w:rsid w:val="002527A2"/>
    <w:rsid w:val="002527B3"/>
    <w:rsid w:val="0025298E"/>
    <w:rsid w:val="00252DF4"/>
    <w:rsid w:val="00252E4C"/>
    <w:rsid w:val="00252F1B"/>
    <w:rsid w:val="00252F1D"/>
    <w:rsid w:val="002531AA"/>
    <w:rsid w:val="0025371C"/>
    <w:rsid w:val="0025374F"/>
    <w:rsid w:val="00253AA7"/>
    <w:rsid w:val="00253CA5"/>
    <w:rsid w:val="00253F9B"/>
    <w:rsid w:val="002540B5"/>
    <w:rsid w:val="002543A7"/>
    <w:rsid w:val="00254481"/>
    <w:rsid w:val="00254AEF"/>
    <w:rsid w:val="00254DFD"/>
    <w:rsid w:val="00254E22"/>
    <w:rsid w:val="00254EFD"/>
    <w:rsid w:val="0025510B"/>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615"/>
    <w:rsid w:val="0025784D"/>
    <w:rsid w:val="0025796D"/>
    <w:rsid w:val="00257BBD"/>
    <w:rsid w:val="00257EAF"/>
    <w:rsid w:val="00257EC6"/>
    <w:rsid w:val="00257ED6"/>
    <w:rsid w:val="002601B4"/>
    <w:rsid w:val="00260201"/>
    <w:rsid w:val="0026037B"/>
    <w:rsid w:val="002604FD"/>
    <w:rsid w:val="002605E4"/>
    <w:rsid w:val="00260C7F"/>
    <w:rsid w:val="00260CD6"/>
    <w:rsid w:val="0026110D"/>
    <w:rsid w:val="002615F1"/>
    <w:rsid w:val="00261A56"/>
    <w:rsid w:val="00261B80"/>
    <w:rsid w:val="00261DE7"/>
    <w:rsid w:val="002622C9"/>
    <w:rsid w:val="002622ED"/>
    <w:rsid w:val="00262352"/>
    <w:rsid w:val="002623EE"/>
    <w:rsid w:val="00262400"/>
    <w:rsid w:val="002628C6"/>
    <w:rsid w:val="0026296A"/>
    <w:rsid w:val="00262A15"/>
    <w:rsid w:val="00262A99"/>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0FD"/>
    <w:rsid w:val="002654F2"/>
    <w:rsid w:val="00265791"/>
    <w:rsid w:val="00265EFB"/>
    <w:rsid w:val="00266784"/>
    <w:rsid w:val="002667BA"/>
    <w:rsid w:val="00266A1C"/>
    <w:rsid w:val="00266BF6"/>
    <w:rsid w:val="0026712C"/>
    <w:rsid w:val="00267217"/>
    <w:rsid w:val="00267471"/>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20D3"/>
    <w:rsid w:val="0027225F"/>
    <w:rsid w:val="00272537"/>
    <w:rsid w:val="00272769"/>
    <w:rsid w:val="00272E7F"/>
    <w:rsid w:val="00273108"/>
    <w:rsid w:val="002731C8"/>
    <w:rsid w:val="0027386E"/>
    <w:rsid w:val="002739CA"/>
    <w:rsid w:val="002739ED"/>
    <w:rsid w:val="00273A94"/>
    <w:rsid w:val="00273E7D"/>
    <w:rsid w:val="00274416"/>
    <w:rsid w:val="002745F8"/>
    <w:rsid w:val="002746C7"/>
    <w:rsid w:val="00274816"/>
    <w:rsid w:val="002748DF"/>
    <w:rsid w:val="0027490A"/>
    <w:rsid w:val="00274969"/>
    <w:rsid w:val="00274991"/>
    <w:rsid w:val="00274A08"/>
    <w:rsid w:val="00274B8B"/>
    <w:rsid w:val="00274C67"/>
    <w:rsid w:val="00274FAE"/>
    <w:rsid w:val="002751EC"/>
    <w:rsid w:val="00275316"/>
    <w:rsid w:val="002753AF"/>
    <w:rsid w:val="002755A1"/>
    <w:rsid w:val="002756B4"/>
    <w:rsid w:val="002758A0"/>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9A3"/>
    <w:rsid w:val="00276AEA"/>
    <w:rsid w:val="00276B43"/>
    <w:rsid w:val="00276B8D"/>
    <w:rsid w:val="00276DA3"/>
    <w:rsid w:val="00276E70"/>
    <w:rsid w:val="00277058"/>
    <w:rsid w:val="0027711C"/>
    <w:rsid w:val="00277147"/>
    <w:rsid w:val="002771C6"/>
    <w:rsid w:val="002772BA"/>
    <w:rsid w:val="00277401"/>
    <w:rsid w:val="0027742A"/>
    <w:rsid w:val="002775CA"/>
    <w:rsid w:val="002776D8"/>
    <w:rsid w:val="002777C0"/>
    <w:rsid w:val="002777D6"/>
    <w:rsid w:val="00277856"/>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8C2"/>
    <w:rsid w:val="00282F4A"/>
    <w:rsid w:val="00283031"/>
    <w:rsid w:val="002832A6"/>
    <w:rsid w:val="002834E4"/>
    <w:rsid w:val="002837B1"/>
    <w:rsid w:val="00283AA1"/>
    <w:rsid w:val="00283C48"/>
    <w:rsid w:val="00283D5E"/>
    <w:rsid w:val="00283E2E"/>
    <w:rsid w:val="00283ED2"/>
    <w:rsid w:val="00283FC0"/>
    <w:rsid w:val="002846A1"/>
    <w:rsid w:val="00284859"/>
    <w:rsid w:val="00284905"/>
    <w:rsid w:val="00284C10"/>
    <w:rsid w:val="00284F69"/>
    <w:rsid w:val="00285306"/>
    <w:rsid w:val="00285314"/>
    <w:rsid w:val="002856BE"/>
    <w:rsid w:val="00285712"/>
    <w:rsid w:val="0028577F"/>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FB1"/>
    <w:rsid w:val="00292078"/>
    <w:rsid w:val="00292359"/>
    <w:rsid w:val="002923D5"/>
    <w:rsid w:val="00292ACA"/>
    <w:rsid w:val="00292C09"/>
    <w:rsid w:val="00292D49"/>
    <w:rsid w:val="00292E74"/>
    <w:rsid w:val="00293012"/>
    <w:rsid w:val="00293497"/>
    <w:rsid w:val="00293919"/>
    <w:rsid w:val="002939AF"/>
    <w:rsid w:val="00293BA4"/>
    <w:rsid w:val="00293BCF"/>
    <w:rsid w:val="00293D57"/>
    <w:rsid w:val="00293F96"/>
    <w:rsid w:val="0029467E"/>
    <w:rsid w:val="00294B02"/>
    <w:rsid w:val="00294EEB"/>
    <w:rsid w:val="0029533F"/>
    <w:rsid w:val="0029552E"/>
    <w:rsid w:val="00295708"/>
    <w:rsid w:val="002957E5"/>
    <w:rsid w:val="00295929"/>
    <w:rsid w:val="00295B27"/>
    <w:rsid w:val="00295FC1"/>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6B2"/>
    <w:rsid w:val="002A09EF"/>
    <w:rsid w:val="002A0D46"/>
    <w:rsid w:val="002A0DD7"/>
    <w:rsid w:val="002A0E44"/>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75F"/>
    <w:rsid w:val="002A4847"/>
    <w:rsid w:val="002A4DA4"/>
    <w:rsid w:val="002A524C"/>
    <w:rsid w:val="002A5749"/>
    <w:rsid w:val="002A5B18"/>
    <w:rsid w:val="002A5D23"/>
    <w:rsid w:val="002A5D36"/>
    <w:rsid w:val="002A5ECF"/>
    <w:rsid w:val="002A6032"/>
    <w:rsid w:val="002A60AE"/>
    <w:rsid w:val="002A6390"/>
    <w:rsid w:val="002A6B4C"/>
    <w:rsid w:val="002A6C81"/>
    <w:rsid w:val="002A6CB1"/>
    <w:rsid w:val="002A6CBC"/>
    <w:rsid w:val="002A6CFE"/>
    <w:rsid w:val="002A71C9"/>
    <w:rsid w:val="002A7544"/>
    <w:rsid w:val="002A77D7"/>
    <w:rsid w:val="002A7A0F"/>
    <w:rsid w:val="002A7B62"/>
    <w:rsid w:val="002A7CF1"/>
    <w:rsid w:val="002A7F5B"/>
    <w:rsid w:val="002B00E2"/>
    <w:rsid w:val="002B02F2"/>
    <w:rsid w:val="002B04FD"/>
    <w:rsid w:val="002B05CF"/>
    <w:rsid w:val="002B0621"/>
    <w:rsid w:val="002B066E"/>
    <w:rsid w:val="002B06F7"/>
    <w:rsid w:val="002B073A"/>
    <w:rsid w:val="002B087D"/>
    <w:rsid w:val="002B0D06"/>
    <w:rsid w:val="002B0FF8"/>
    <w:rsid w:val="002B10A5"/>
    <w:rsid w:val="002B10CA"/>
    <w:rsid w:val="002B1700"/>
    <w:rsid w:val="002B1C7E"/>
    <w:rsid w:val="002B1EAA"/>
    <w:rsid w:val="002B1EF8"/>
    <w:rsid w:val="002B20CC"/>
    <w:rsid w:val="002B211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C1"/>
    <w:rsid w:val="002B45BD"/>
    <w:rsid w:val="002B45DC"/>
    <w:rsid w:val="002B46EB"/>
    <w:rsid w:val="002B4988"/>
    <w:rsid w:val="002B4A39"/>
    <w:rsid w:val="002B4AC8"/>
    <w:rsid w:val="002B4BF5"/>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0EE"/>
    <w:rsid w:val="002C02E5"/>
    <w:rsid w:val="002C067A"/>
    <w:rsid w:val="002C0957"/>
    <w:rsid w:val="002C09AB"/>
    <w:rsid w:val="002C0BC7"/>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639"/>
    <w:rsid w:val="002C6AE7"/>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0F"/>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556A"/>
    <w:rsid w:val="002D5656"/>
    <w:rsid w:val="002D5B33"/>
    <w:rsid w:val="002D5B5C"/>
    <w:rsid w:val="002D5E24"/>
    <w:rsid w:val="002D6234"/>
    <w:rsid w:val="002D6392"/>
    <w:rsid w:val="002D6402"/>
    <w:rsid w:val="002D6554"/>
    <w:rsid w:val="002D66E1"/>
    <w:rsid w:val="002D67DB"/>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B"/>
    <w:rsid w:val="002E3DDA"/>
    <w:rsid w:val="002E421F"/>
    <w:rsid w:val="002E4257"/>
    <w:rsid w:val="002E4721"/>
    <w:rsid w:val="002E4723"/>
    <w:rsid w:val="002E4E06"/>
    <w:rsid w:val="002E4F75"/>
    <w:rsid w:val="002E51A3"/>
    <w:rsid w:val="002E54A1"/>
    <w:rsid w:val="002E5586"/>
    <w:rsid w:val="002E5875"/>
    <w:rsid w:val="002E58BE"/>
    <w:rsid w:val="002E59B7"/>
    <w:rsid w:val="002E6163"/>
    <w:rsid w:val="002E61AA"/>
    <w:rsid w:val="002E622F"/>
    <w:rsid w:val="002E62DD"/>
    <w:rsid w:val="002E6383"/>
    <w:rsid w:val="002E6675"/>
    <w:rsid w:val="002E6C8A"/>
    <w:rsid w:val="002E6E1F"/>
    <w:rsid w:val="002E6ED1"/>
    <w:rsid w:val="002E6ED6"/>
    <w:rsid w:val="002E6EDD"/>
    <w:rsid w:val="002E70A9"/>
    <w:rsid w:val="002E73BC"/>
    <w:rsid w:val="002E7454"/>
    <w:rsid w:val="002E7602"/>
    <w:rsid w:val="002E7684"/>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6C"/>
    <w:rsid w:val="002F7EEB"/>
    <w:rsid w:val="002F7F33"/>
    <w:rsid w:val="002F7F95"/>
    <w:rsid w:val="003003E9"/>
    <w:rsid w:val="00300607"/>
    <w:rsid w:val="00300BFC"/>
    <w:rsid w:val="00300CAB"/>
    <w:rsid w:val="00300D8B"/>
    <w:rsid w:val="00301052"/>
    <w:rsid w:val="00301186"/>
    <w:rsid w:val="003012F3"/>
    <w:rsid w:val="003013BA"/>
    <w:rsid w:val="003013BF"/>
    <w:rsid w:val="003013F3"/>
    <w:rsid w:val="00301620"/>
    <w:rsid w:val="00301668"/>
    <w:rsid w:val="003016CA"/>
    <w:rsid w:val="003016F0"/>
    <w:rsid w:val="003017D5"/>
    <w:rsid w:val="003017ED"/>
    <w:rsid w:val="003018F5"/>
    <w:rsid w:val="00301987"/>
    <w:rsid w:val="00301EE9"/>
    <w:rsid w:val="00301FBC"/>
    <w:rsid w:val="003023CD"/>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9"/>
    <w:rsid w:val="00303A1D"/>
    <w:rsid w:val="00303AB7"/>
    <w:rsid w:val="00303E6A"/>
    <w:rsid w:val="00304335"/>
    <w:rsid w:val="0030441F"/>
    <w:rsid w:val="00304454"/>
    <w:rsid w:val="003046D0"/>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9F"/>
    <w:rsid w:val="00306DA5"/>
    <w:rsid w:val="00306E6D"/>
    <w:rsid w:val="00306FC9"/>
    <w:rsid w:val="0030730A"/>
    <w:rsid w:val="0030730E"/>
    <w:rsid w:val="00307877"/>
    <w:rsid w:val="0030792F"/>
    <w:rsid w:val="003079D0"/>
    <w:rsid w:val="00307A94"/>
    <w:rsid w:val="00307C74"/>
    <w:rsid w:val="00307F89"/>
    <w:rsid w:val="0031003F"/>
    <w:rsid w:val="00310638"/>
    <w:rsid w:val="00310741"/>
    <w:rsid w:val="003113D7"/>
    <w:rsid w:val="003114A8"/>
    <w:rsid w:val="003115F6"/>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BEE"/>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028"/>
    <w:rsid w:val="00320187"/>
    <w:rsid w:val="00320305"/>
    <w:rsid w:val="003203EF"/>
    <w:rsid w:val="00320658"/>
    <w:rsid w:val="003207F3"/>
    <w:rsid w:val="0032088E"/>
    <w:rsid w:val="00320E72"/>
    <w:rsid w:val="003213AC"/>
    <w:rsid w:val="0032187C"/>
    <w:rsid w:val="00321898"/>
    <w:rsid w:val="003219FA"/>
    <w:rsid w:val="00321F0D"/>
    <w:rsid w:val="0032215D"/>
    <w:rsid w:val="00322197"/>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E7"/>
    <w:rsid w:val="003265F3"/>
    <w:rsid w:val="0032669D"/>
    <w:rsid w:val="00326A80"/>
    <w:rsid w:val="00326B2E"/>
    <w:rsid w:val="00326FF0"/>
    <w:rsid w:val="00327291"/>
    <w:rsid w:val="003275CB"/>
    <w:rsid w:val="003278B6"/>
    <w:rsid w:val="00327C96"/>
    <w:rsid w:val="00327F45"/>
    <w:rsid w:val="00327FE1"/>
    <w:rsid w:val="0033004E"/>
    <w:rsid w:val="0033016A"/>
    <w:rsid w:val="003301B9"/>
    <w:rsid w:val="003301C3"/>
    <w:rsid w:val="00330B18"/>
    <w:rsid w:val="00330D71"/>
    <w:rsid w:val="003315DC"/>
    <w:rsid w:val="00331758"/>
    <w:rsid w:val="00331C1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8FF"/>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014"/>
    <w:rsid w:val="00340245"/>
    <w:rsid w:val="0034060B"/>
    <w:rsid w:val="0034065D"/>
    <w:rsid w:val="00340718"/>
    <w:rsid w:val="00340888"/>
    <w:rsid w:val="00340B47"/>
    <w:rsid w:val="00340BDC"/>
    <w:rsid w:val="00340F1F"/>
    <w:rsid w:val="00341185"/>
    <w:rsid w:val="0034179B"/>
    <w:rsid w:val="00341A17"/>
    <w:rsid w:val="00341A8B"/>
    <w:rsid w:val="00341CFB"/>
    <w:rsid w:val="00341E81"/>
    <w:rsid w:val="00342094"/>
    <w:rsid w:val="003421D1"/>
    <w:rsid w:val="0034225D"/>
    <w:rsid w:val="003426DD"/>
    <w:rsid w:val="00342785"/>
    <w:rsid w:val="003428E8"/>
    <w:rsid w:val="00342B67"/>
    <w:rsid w:val="00342C1D"/>
    <w:rsid w:val="00343098"/>
    <w:rsid w:val="00343555"/>
    <w:rsid w:val="00343567"/>
    <w:rsid w:val="003435AD"/>
    <w:rsid w:val="0034379F"/>
    <w:rsid w:val="0034386E"/>
    <w:rsid w:val="00343CCD"/>
    <w:rsid w:val="00343F1C"/>
    <w:rsid w:val="00344001"/>
    <w:rsid w:val="0034434F"/>
    <w:rsid w:val="003445C2"/>
    <w:rsid w:val="003445D6"/>
    <w:rsid w:val="00344893"/>
    <w:rsid w:val="00344CA2"/>
    <w:rsid w:val="00344E50"/>
    <w:rsid w:val="00345469"/>
    <w:rsid w:val="003457B8"/>
    <w:rsid w:val="0034581F"/>
    <w:rsid w:val="00345A10"/>
    <w:rsid w:val="00345F57"/>
    <w:rsid w:val="003460FF"/>
    <w:rsid w:val="00346218"/>
    <w:rsid w:val="00346850"/>
    <w:rsid w:val="003469F1"/>
    <w:rsid w:val="00346A6F"/>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39"/>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51B"/>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9F6"/>
    <w:rsid w:val="00361A16"/>
    <w:rsid w:val="00361B86"/>
    <w:rsid w:val="00361D07"/>
    <w:rsid w:val="00361E23"/>
    <w:rsid w:val="00361F38"/>
    <w:rsid w:val="00361FDF"/>
    <w:rsid w:val="003622AC"/>
    <w:rsid w:val="00362303"/>
    <w:rsid w:val="0036251F"/>
    <w:rsid w:val="00362BEA"/>
    <w:rsid w:val="00362D7C"/>
    <w:rsid w:val="00362DBD"/>
    <w:rsid w:val="00362F4E"/>
    <w:rsid w:val="00362F81"/>
    <w:rsid w:val="0036303C"/>
    <w:rsid w:val="00363098"/>
    <w:rsid w:val="0036320F"/>
    <w:rsid w:val="00363307"/>
    <w:rsid w:val="0036371D"/>
    <w:rsid w:val="00363886"/>
    <w:rsid w:val="003648EB"/>
    <w:rsid w:val="00364CF8"/>
    <w:rsid w:val="00364DBC"/>
    <w:rsid w:val="00364E75"/>
    <w:rsid w:val="00364EE4"/>
    <w:rsid w:val="00365073"/>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63"/>
    <w:rsid w:val="003718C3"/>
    <w:rsid w:val="00371B5B"/>
    <w:rsid w:val="00371BB8"/>
    <w:rsid w:val="00371DE5"/>
    <w:rsid w:val="00371E3E"/>
    <w:rsid w:val="00371EF8"/>
    <w:rsid w:val="003720D2"/>
    <w:rsid w:val="00372165"/>
    <w:rsid w:val="003723CB"/>
    <w:rsid w:val="0037249A"/>
    <w:rsid w:val="003725BC"/>
    <w:rsid w:val="003729BC"/>
    <w:rsid w:val="00372A01"/>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40D"/>
    <w:rsid w:val="00375648"/>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03"/>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130C"/>
    <w:rsid w:val="003818E3"/>
    <w:rsid w:val="00381AF0"/>
    <w:rsid w:val="00381F0C"/>
    <w:rsid w:val="00382135"/>
    <w:rsid w:val="003822BF"/>
    <w:rsid w:val="003823AA"/>
    <w:rsid w:val="0038240E"/>
    <w:rsid w:val="00382746"/>
    <w:rsid w:val="003827DA"/>
    <w:rsid w:val="0038296E"/>
    <w:rsid w:val="003829B4"/>
    <w:rsid w:val="00382B44"/>
    <w:rsid w:val="00382C3E"/>
    <w:rsid w:val="00382C85"/>
    <w:rsid w:val="00382E18"/>
    <w:rsid w:val="00382F72"/>
    <w:rsid w:val="003834F9"/>
    <w:rsid w:val="0038369C"/>
    <w:rsid w:val="00383D1B"/>
    <w:rsid w:val="00383D65"/>
    <w:rsid w:val="00383D69"/>
    <w:rsid w:val="00383E08"/>
    <w:rsid w:val="00384368"/>
    <w:rsid w:val="003844D1"/>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197"/>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699"/>
    <w:rsid w:val="003917E3"/>
    <w:rsid w:val="00391CA6"/>
    <w:rsid w:val="0039213A"/>
    <w:rsid w:val="003921D2"/>
    <w:rsid w:val="0039230A"/>
    <w:rsid w:val="00392327"/>
    <w:rsid w:val="00392353"/>
    <w:rsid w:val="0039239D"/>
    <w:rsid w:val="003923B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5B5"/>
    <w:rsid w:val="00395876"/>
    <w:rsid w:val="00395967"/>
    <w:rsid w:val="00395B6B"/>
    <w:rsid w:val="00395C2B"/>
    <w:rsid w:val="00395CAE"/>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0FB"/>
    <w:rsid w:val="003A03C1"/>
    <w:rsid w:val="003A0486"/>
    <w:rsid w:val="003A057E"/>
    <w:rsid w:val="003A067E"/>
    <w:rsid w:val="003A0AB9"/>
    <w:rsid w:val="003A0AD7"/>
    <w:rsid w:val="003A0D5B"/>
    <w:rsid w:val="003A0EF0"/>
    <w:rsid w:val="003A0FFF"/>
    <w:rsid w:val="003A10D5"/>
    <w:rsid w:val="003A1113"/>
    <w:rsid w:val="003A1194"/>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EB"/>
    <w:rsid w:val="003A745D"/>
    <w:rsid w:val="003A753E"/>
    <w:rsid w:val="003A7605"/>
    <w:rsid w:val="003A78C5"/>
    <w:rsid w:val="003A7AA7"/>
    <w:rsid w:val="003A7C53"/>
    <w:rsid w:val="003A7D05"/>
    <w:rsid w:val="003A7D64"/>
    <w:rsid w:val="003B00AE"/>
    <w:rsid w:val="003B0306"/>
    <w:rsid w:val="003B0365"/>
    <w:rsid w:val="003B07AC"/>
    <w:rsid w:val="003B08E8"/>
    <w:rsid w:val="003B09EC"/>
    <w:rsid w:val="003B0B19"/>
    <w:rsid w:val="003B0CA6"/>
    <w:rsid w:val="003B0D96"/>
    <w:rsid w:val="003B0D9A"/>
    <w:rsid w:val="003B0E65"/>
    <w:rsid w:val="003B0EF6"/>
    <w:rsid w:val="003B0FFF"/>
    <w:rsid w:val="003B121F"/>
    <w:rsid w:val="003B122B"/>
    <w:rsid w:val="003B126E"/>
    <w:rsid w:val="003B1A0F"/>
    <w:rsid w:val="003B1AC0"/>
    <w:rsid w:val="003B1D6F"/>
    <w:rsid w:val="003B1FE6"/>
    <w:rsid w:val="003B2035"/>
    <w:rsid w:val="003B2168"/>
    <w:rsid w:val="003B21DA"/>
    <w:rsid w:val="003B223B"/>
    <w:rsid w:val="003B2502"/>
    <w:rsid w:val="003B2664"/>
    <w:rsid w:val="003B27CC"/>
    <w:rsid w:val="003B2CF2"/>
    <w:rsid w:val="003B2F25"/>
    <w:rsid w:val="003B3002"/>
    <w:rsid w:val="003B30AB"/>
    <w:rsid w:val="003B3E4A"/>
    <w:rsid w:val="003B480C"/>
    <w:rsid w:val="003B486E"/>
    <w:rsid w:val="003B48F2"/>
    <w:rsid w:val="003B4956"/>
    <w:rsid w:val="003B497D"/>
    <w:rsid w:val="003B4AA6"/>
    <w:rsid w:val="003B4E1F"/>
    <w:rsid w:val="003B4E60"/>
    <w:rsid w:val="003B5128"/>
    <w:rsid w:val="003B5268"/>
    <w:rsid w:val="003B5445"/>
    <w:rsid w:val="003B5675"/>
    <w:rsid w:val="003B58A1"/>
    <w:rsid w:val="003B5B4D"/>
    <w:rsid w:val="003B60FB"/>
    <w:rsid w:val="003B6C76"/>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233"/>
    <w:rsid w:val="003C43A6"/>
    <w:rsid w:val="003C43D1"/>
    <w:rsid w:val="003C4515"/>
    <w:rsid w:val="003C4840"/>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3DE"/>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61"/>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3C0"/>
    <w:rsid w:val="003D6498"/>
    <w:rsid w:val="003D6899"/>
    <w:rsid w:val="003D6B8C"/>
    <w:rsid w:val="003D6C7D"/>
    <w:rsid w:val="003D7368"/>
    <w:rsid w:val="003D7589"/>
    <w:rsid w:val="003D775F"/>
    <w:rsid w:val="003D7A34"/>
    <w:rsid w:val="003D7A93"/>
    <w:rsid w:val="003D7AB7"/>
    <w:rsid w:val="003D7AF8"/>
    <w:rsid w:val="003D7BA7"/>
    <w:rsid w:val="003E0153"/>
    <w:rsid w:val="003E051D"/>
    <w:rsid w:val="003E05FE"/>
    <w:rsid w:val="003E0645"/>
    <w:rsid w:val="003E06E1"/>
    <w:rsid w:val="003E0902"/>
    <w:rsid w:val="003E119D"/>
    <w:rsid w:val="003E1223"/>
    <w:rsid w:val="003E12C2"/>
    <w:rsid w:val="003E135D"/>
    <w:rsid w:val="003E1520"/>
    <w:rsid w:val="003E1DC8"/>
    <w:rsid w:val="003E1EEF"/>
    <w:rsid w:val="003E21A8"/>
    <w:rsid w:val="003E22EF"/>
    <w:rsid w:val="003E2554"/>
    <w:rsid w:val="003E281C"/>
    <w:rsid w:val="003E292E"/>
    <w:rsid w:val="003E2A2E"/>
    <w:rsid w:val="003E2B3B"/>
    <w:rsid w:val="003E2B91"/>
    <w:rsid w:val="003E2D06"/>
    <w:rsid w:val="003E2F5F"/>
    <w:rsid w:val="003E2F7A"/>
    <w:rsid w:val="003E30A6"/>
    <w:rsid w:val="003E3327"/>
    <w:rsid w:val="003E3356"/>
    <w:rsid w:val="003E3366"/>
    <w:rsid w:val="003E36B2"/>
    <w:rsid w:val="003E373A"/>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BE1"/>
    <w:rsid w:val="003E703A"/>
    <w:rsid w:val="003E7118"/>
    <w:rsid w:val="003E723A"/>
    <w:rsid w:val="003E738E"/>
    <w:rsid w:val="003E744C"/>
    <w:rsid w:val="003E778B"/>
    <w:rsid w:val="003E77E1"/>
    <w:rsid w:val="003E792A"/>
    <w:rsid w:val="003E7BD4"/>
    <w:rsid w:val="003E7DFC"/>
    <w:rsid w:val="003F0228"/>
    <w:rsid w:val="003F022F"/>
    <w:rsid w:val="003F0461"/>
    <w:rsid w:val="003F0781"/>
    <w:rsid w:val="003F07E2"/>
    <w:rsid w:val="003F0A92"/>
    <w:rsid w:val="003F0C88"/>
    <w:rsid w:val="003F0D04"/>
    <w:rsid w:val="003F0F52"/>
    <w:rsid w:val="003F10D9"/>
    <w:rsid w:val="003F122D"/>
    <w:rsid w:val="003F14D8"/>
    <w:rsid w:val="003F158D"/>
    <w:rsid w:val="003F1718"/>
    <w:rsid w:val="003F2191"/>
    <w:rsid w:val="003F21E4"/>
    <w:rsid w:val="003F2D0B"/>
    <w:rsid w:val="003F2E4F"/>
    <w:rsid w:val="003F306A"/>
    <w:rsid w:val="003F3126"/>
    <w:rsid w:val="003F31C1"/>
    <w:rsid w:val="003F3204"/>
    <w:rsid w:val="003F34D0"/>
    <w:rsid w:val="003F3583"/>
    <w:rsid w:val="003F35C9"/>
    <w:rsid w:val="003F36A6"/>
    <w:rsid w:val="003F380E"/>
    <w:rsid w:val="003F3847"/>
    <w:rsid w:val="003F3888"/>
    <w:rsid w:val="003F3DC8"/>
    <w:rsid w:val="003F3DD4"/>
    <w:rsid w:val="003F3F77"/>
    <w:rsid w:val="003F4362"/>
    <w:rsid w:val="003F479B"/>
    <w:rsid w:val="003F4827"/>
    <w:rsid w:val="003F4839"/>
    <w:rsid w:val="003F4843"/>
    <w:rsid w:val="003F494E"/>
    <w:rsid w:val="003F4950"/>
    <w:rsid w:val="003F4AF4"/>
    <w:rsid w:val="003F4BB2"/>
    <w:rsid w:val="003F4BC8"/>
    <w:rsid w:val="003F4E62"/>
    <w:rsid w:val="003F4F42"/>
    <w:rsid w:val="003F5537"/>
    <w:rsid w:val="003F55BE"/>
    <w:rsid w:val="003F57E9"/>
    <w:rsid w:val="003F583E"/>
    <w:rsid w:val="003F5CFF"/>
    <w:rsid w:val="003F6044"/>
    <w:rsid w:val="003F6088"/>
    <w:rsid w:val="003F6454"/>
    <w:rsid w:val="003F66BB"/>
    <w:rsid w:val="003F6817"/>
    <w:rsid w:val="003F6A80"/>
    <w:rsid w:val="003F6D84"/>
    <w:rsid w:val="003F6E46"/>
    <w:rsid w:val="003F6E64"/>
    <w:rsid w:val="003F6E8E"/>
    <w:rsid w:val="003F6EC1"/>
    <w:rsid w:val="003F73F7"/>
    <w:rsid w:val="003F7435"/>
    <w:rsid w:val="003F7536"/>
    <w:rsid w:val="003F78D1"/>
    <w:rsid w:val="003F7AB6"/>
    <w:rsid w:val="003F7D52"/>
    <w:rsid w:val="003F7EAC"/>
    <w:rsid w:val="003F7F50"/>
    <w:rsid w:val="00400054"/>
    <w:rsid w:val="0040014D"/>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432"/>
    <w:rsid w:val="00401613"/>
    <w:rsid w:val="004017EC"/>
    <w:rsid w:val="00401B1F"/>
    <w:rsid w:val="00401BF6"/>
    <w:rsid w:val="00401D93"/>
    <w:rsid w:val="00402436"/>
    <w:rsid w:val="004027F9"/>
    <w:rsid w:val="004029DF"/>
    <w:rsid w:val="004029EC"/>
    <w:rsid w:val="00402ABC"/>
    <w:rsid w:val="00402B02"/>
    <w:rsid w:val="00402B36"/>
    <w:rsid w:val="00402FE5"/>
    <w:rsid w:val="0040303D"/>
    <w:rsid w:val="004031A5"/>
    <w:rsid w:val="004032E4"/>
    <w:rsid w:val="00403574"/>
    <w:rsid w:val="004037EE"/>
    <w:rsid w:val="00403820"/>
    <w:rsid w:val="00403C92"/>
    <w:rsid w:val="00403D62"/>
    <w:rsid w:val="00403EDA"/>
    <w:rsid w:val="004040A9"/>
    <w:rsid w:val="00404198"/>
    <w:rsid w:val="00404311"/>
    <w:rsid w:val="004043B8"/>
    <w:rsid w:val="0040448E"/>
    <w:rsid w:val="00404538"/>
    <w:rsid w:val="0040453F"/>
    <w:rsid w:val="00404553"/>
    <w:rsid w:val="004046A0"/>
    <w:rsid w:val="004046AC"/>
    <w:rsid w:val="004047F7"/>
    <w:rsid w:val="00404BC7"/>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AC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7CB"/>
    <w:rsid w:val="00411897"/>
    <w:rsid w:val="004118CE"/>
    <w:rsid w:val="004119DC"/>
    <w:rsid w:val="004119FE"/>
    <w:rsid w:val="00411C38"/>
    <w:rsid w:val="00411E61"/>
    <w:rsid w:val="00411EE0"/>
    <w:rsid w:val="00411F0E"/>
    <w:rsid w:val="0041230E"/>
    <w:rsid w:val="00412548"/>
    <w:rsid w:val="00412715"/>
    <w:rsid w:val="00412768"/>
    <w:rsid w:val="00412CAE"/>
    <w:rsid w:val="0041333F"/>
    <w:rsid w:val="00413352"/>
    <w:rsid w:val="0041350D"/>
    <w:rsid w:val="00413546"/>
    <w:rsid w:val="00413562"/>
    <w:rsid w:val="004137C5"/>
    <w:rsid w:val="00413AD8"/>
    <w:rsid w:val="00413CEA"/>
    <w:rsid w:val="00413FF3"/>
    <w:rsid w:val="0041402C"/>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8B4"/>
    <w:rsid w:val="00417A97"/>
    <w:rsid w:val="00417CB1"/>
    <w:rsid w:val="00417E6C"/>
    <w:rsid w:val="00417F67"/>
    <w:rsid w:val="004201A9"/>
    <w:rsid w:val="00420342"/>
    <w:rsid w:val="0042035E"/>
    <w:rsid w:val="0042059F"/>
    <w:rsid w:val="0042075F"/>
    <w:rsid w:val="00420950"/>
    <w:rsid w:val="00420A3C"/>
    <w:rsid w:val="00420A7F"/>
    <w:rsid w:val="00420C49"/>
    <w:rsid w:val="00420DA9"/>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A5B"/>
    <w:rsid w:val="00424BC4"/>
    <w:rsid w:val="00424E92"/>
    <w:rsid w:val="004250B7"/>
    <w:rsid w:val="0042512C"/>
    <w:rsid w:val="00425318"/>
    <w:rsid w:val="00425693"/>
    <w:rsid w:val="004257F4"/>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D3F"/>
    <w:rsid w:val="00426F2B"/>
    <w:rsid w:val="00426F88"/>
    <w:rsid w:val="004270A2"/>
    <w:rsid w:val="004272F1"/>
    <w:rsid w:val="00427334"/>
    <w:rsid w:val="00427411"/>
    <w:rsid w:val="004279F1"/>
    <w:rsid w:val="00427ADF"/>
    <w:rsid w:val="00427BC9"/>
    <w:rsid w:val="00427D91"/>
    <w:rsid w:val="00427EB3"/>
    <w:rsid w:val="00430090"/>
    <w:rsid w:val="004300C8"/>
    <w:rsid w:val="004300DC"/>
    <w:rsid w:val="004302BA"/>
    <w:rsid w:val="004304C5"/>
    <w:rsid w:val="004305CC"/>
    <w:rsid w:val="004306C8"/>
    <w:rsid w:val="004306F8"/>
    <w:rsid w:val="00430815"/>
    <w:rsid w:val="00430A3E"/>
    <w:rsid w:val="00430BC1"/>
    <w:rsid w:val="00430BDB"/>
    <w:rsid w:val="00430DE2"/>
    <w:rsid w:val="004310ED"/>
    <w:rsid w:val="00431249"/>
    <w:rsid w:val="004313E7"/>
    <w:rsid w:val="0043176C"/>
    <w:rsid w:val="00431A06"/>
    <w:rsid w:val="00431EB8"/>
    <w:rsid w:val="00431FE3"/>
    <w:rsid w:val="00432295"/>
    <w:rsid w:val="004322D9"/>
    <w:rsid w:val="004323E2"/>
    <w:rsid w:val="0043266A"/>
    <w:rsid w:val="00432B79"/>
    <w:rsid w:val="00432BDB"/>
    <w:rsid w:val="00432C5E"/>
    <w:rsid w:val="00432DDB"/>
    <w:rsid w:val="00432DDF"/>
    <w:rsid w:val="00432EBF"/>
    <w:rsid w:val="00432ED6"/>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62A"/>
    <w:rsid w:val="00434840"/>
    <w:rsid w:val="004348A3"/>
    <w:rsid w:val="0043498E"/>
    <w:rsid w:val="004349BF"/>
    <w:rsid w:val="00434D74"/>
    <w:rsid w:val="00434F95"/>
    <w:rsid w:val="0043505E"/>
    <w:rsid w:val="00435337"/>
    <w:rsid w:val="004353C7"/>
    <w:rsid w:val="00435519"/>
    <w:rsid w:val="00435536"/>
    <w:rsid w:val="0043555B"/>
    <w:rsid w:val="00435F99"/>
    <w:rsid w:val="00436013"/>
    <w:rsid w:val="004364B0"/>
    <w:rsid w:val="004365B7"/>
    <w:rsid w:val="0043666B"/>
    <w:rsid w:val="004369BA"/>
    <w:rsid w:val="00436B53"/>
    <w:rsid w:val="00436BFB"/>
    <w:rsid w:val="00437070"/>
    <w:rsid w:val="004370F8"/>
    <w:rsid w:val="004376DC"/>
    <w:rsid w:val="0043770F"/>
    <w:rsid w:val="0043793E"/>
    <w:rsid w:val="00437A34"/>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243"/>
    <w:rsid w:val="004423DE"/>
    <w:rsid w:val="004423F4"/>
    <w:rsid w:val="0044240E"/>
    <w:rsid w:val="00442431"/>
    <w:rsid w:val="00442543"/>
    <w:rsid w:val="004428A3"/>
    <w:rsid w:val="00442A84"/>
    <w:rsid w:val="00442BC6"/>
    <w:rsid w:val="004430BB"/>
    <w:rsid w:val="004431A7"/>
    <w:rsid w:val="00443636"/>
    <w:rsid w:val="0044365F"/>
    <w:rsid w:val="0044383B"/>
    <w:rsid w:val="00443B3F"/>
    <w:rsid w:val="00443B9B"/>
    <w:rsid w:val="00443BD1"/>
    <w:rsid w:val="0044440B"/>
    <w:rsid w:val="0044472F"/>
    <w:rsid w:val="00444783"/>
    <w:rsid w:val="00444C59"/>
    <w:rsid w:val="00444ED1"/>
    <w:rsid w:val="00444FC6"/>
    <w:rsid w:val="0044506C"/>
    <w:rsid w:val="00445422"/>
    <w:rsid w:val="0044563B"/>
    <w:rsid w:val="004457C8"/>
    <w:rsid w:val="004457EE"/>
    <w:rsid w:val="00445971"/>
    <w:rsid w:val="00445ABE"/>
    <w:rsid w:val="00445BC2"/>
    <w:rsid w:val="00445C65"/>
    <w:rsid w:val="00445C71"/>
    <w:rsid w:val="00445F8D"/>
    <w:rsid w:val="00446100"/>
    <w:rsid w:val="004461DB"/>
    <w:rsid w:val="00446268"/>
    <w:rsid w:val="00446335"/>
    <w:rsid w:val="00446497"/>
    <w:rsid w:val="004464FA"/>
    <w:rsid w:val="004466E4"/>
    <w:rsid w:val="00446A37"/>
    <w:rsid w:val="00446AB1"/>
    <w:rsid w:val="00446B58"/>
    <w:rsid w:val="00446C4E"/>
    <w:rsid w:val="00446C69"/>
    <w:rsid w:val="00446E59"/>
    <w:rsid w:val="004473B1"/>
    <w:rsid w:val="00447D56"/>
    <w:rsid w:val="00447E53"/>
    <w:rsid w:val="00447EB6"/>
    <w:rsid w:val="00447F16"/>
    <w:rsid w:val="004504F0"/>
    <w:rsid w:val="004504FE"/>
    <w:rsid w:val="00450D50"/>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E48"/>
    <w:rsid w:val="00452F1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253"/>
    <w:rsid w:val="004564C9"/>
    <w:rsid w:val="00456556"/>
    <w:rsid w:val="00456AA0"/>
    <w:rsid w:val="00456B07"/>
    <w:rsid w:val="00456C34"/>
    <w:rsid w:val="00456CE2"/>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CDF"/>
    <w:rsid w:val="00462F1C"/>
    <w:rsid w:val="00462F92"/>
    <w:rsid w:val="004632F6"/>
    <w:rsid w:val="0046349B"/>
    <w:rsid w:val="00463507"/>
    <w:rsid w:val="004635E0"/>
    <w:rsid w:val="004637A0"/>
    <w:rsid w:val="004637D6"/>
    <w:rsid w:val="004638F4"/>
    <w:rsid w:val="00463A6B"/>
    <w:rsid w:val="00463E7C"/>
    <w:rsid w:val="00463F8B"/>
    <w:rsid w:val="00463F8F"/>
    <w:rsid w:val="00463FFE"/>
    <w:rsid w:val="004640D7"/>
    <w:rsid w:val="0046415A"/>
    <w:rsid w:val="004641E8"/>
    <w:rsid w:val="0046420E"/>
    <w:rsid w:val="00464298"/>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A43"/>
    <w:rsid w:val="00466FCB"/>
    <w:rsid w:val="004671AE"/>
    <w:rsid w:val="004672B1"/>
    <w:rsid w:val="004672EF"/>
    <w:rsid w:val="0046732E"/>
    <w:rsid w:val="00467A55"/>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8DE"/>
    <w:rsid w:val="0047297D"/>
    <w:rsid w:val="00472C48"/>
    <w:rsid w:val="00472EB7"/>
    <w:rsid w:val="00472EF7"/>
    <w:rsid w:val="004730D6"/>
    <w:rsid w:val="0047351A"/>
    <w:rsid w:val="004736AF"/>
    <w:rsid w:val="00473B52"/>
    <w:rsid w:val="00473BCA"/>
    <w:rsid w:val="00473DDD"/>
    <w:rsid w:val="00473E75"/>
    <w:rsid w:val="00473F03"/>
    <w:rsid w:val="00473F20"/>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47F"/>
    <w:rsid w:val="00476816"/>
    <w:rsid w:val="00476822"/>
    <w:rsid w:val="004768A1"/>
    <w:rsid w:val="004769D3"/>
    <w:rsid w:val="004769D5"/>
    <w:rsid w:val="00477938"/>
    <w:rsid w:val="00477B54"/>
    <w:rsid w:val="00477B57"/>
    <w:rsid w:val="00480096"/>
    <w:rsid w:val="004802F4"/>
    <w:rsid w:val="004807A8"/>
    <w:rsid w:val="0048093B"/>
    <w:rsid w:val="004809A3"/>
    <w:rsid w:val="00480F1D"/>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03"/>
    <w:rsid w:val="00482B33"/>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75"/>
    <w:rsid w:val="004844DB"/>
    <w:rsid w:val="00484762"/>
    <w:rsid w:val="0048479B"/>
    <w:rsid w:val="00484B12"/>
    <w:rsid w:val="00484B2D"/>
    <w:rsid w:val="00484B3E"/>
    <w:rsid w:val="00484EE4"/>
    <w:rsid w:val="004852EE"/>
    <w:rsid w:val="00485858"/>
    <w:rsid w:val="00485904"/>
    <w:rsid w:val="004859CD"/>
    <w:rsid w:val="00485C1D"/>
    <w:rsid w:val="00485C55"/>
    <w:rsid w:val="00485E19"/>
    <w:rsid w:val="004860C5"/>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B65"/>
    <w:rsid w:val="00490CE2"/>
    <w:rsid w:val="00490F7C"/>
    <w:rsid w:val="004910E9"/>
    <w:rsid w:val="00491173"/>
    <w:rsid w:val="00491443"/>
    <w:rsid w:val="004915BF"/>
    <w:rsid w:val="00491711"/>
    <w:rsid w:val="00491735"/>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1DB"/>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5188"/>
    <w:rsid w:val="0049534C"/>
    <w:rsid w:val="00495397"/>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636"/>
    <w:rsid w:val="004A1C93"/>
    <w:rsid w:val="004A1F90"/>
    <w:rsid w:val="004A24C2"/>
    <w:rsid w:val="004A2583"/>
    <w:rsid w:val="004A273A"/>
    <w:rsid w:val="004A27FC"/>
    <w:rsid w:val="004A2810"/>
    <w:rsid w:val="004A2945"/>
    <w:rsid w:val="004A2C49"/>
    <w:rsid w:val="004A2EE3"/>
    <w:rsid w:val="004A30E8"/>
    <w:rsid w:val="004A35D1"/>
    <w:rsid w:val="004A3719"/>
    <w:rsid w:val="004A3941"/>
    <w:rsid w:val="004A3C5F"/>
    <w:rsid w:val="004A3C67"/>
    <w:rsid w:val="004A3CE4"/>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F52"/>
    <w:rsid w:val="004A4F88"/>
    <w:rsid w:val="004A4FB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86A"/>
    <w:rsid w:val="004A78F8"/>
    <w:rsid w:val="004B00A9"/>
    <w:rsid w:val="004B0420"/>
    <w:rsid w:val="004B0461"/>
    <w:rsid w:val="004B0495"/>
    <w:rsid w:val="004B0575"/>
    <w:rsid w:val="004B07E2"/>
    <w:rsid w:val="004B0983"/>
    <w:rsid w:val="004B0A52"/>
    <w:rsid w:val="004B0BD6"/>
    <w:rsid w:val="004B0FCE"/>
    <w:rsid w:val="004B1124"/>
    <w:rsid w:val="004B1186"/>
    <w:rsid w:val="004B14FA"/>
    <w:rsid w:val="004B1565"/>
    <w:rsid w:val="004B1687"/>
    <w:rsid w:val="004B1D68"/>
    <w:rsid w:val="004B1FD7"/>
    <w:rsid w:val="004B2764"/>
    <w:rsid w:val="004B2C16"/>
    <w:rsid w:val="004B2C7A"/>
    <w:rsid w:val="004B2EF7"/>
    <w:rsid w:val="004B2FC6"/>
    <w:rsid w:val="004B350E"/>
    <w:rsid w:val="004B3630"/>
    <w:rsid w:val="004B39DB"/>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3F3"/>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371"/>
    <w:rsid w:val="004C03CD"/>
    <w:rsid w:val="004C0490"/>
    <w:rsid w:val="004C0721"/>
    <w:rsid w:val="004C100B"/>
    <w:rsid w:val="004C11AB"/>
    <w:rsid w:val="004C130F"/>
    <w:rsid w:val="004C1409"/>
    <w:rsid w:val="004C147D"/>
    <w:rsid w:val="004C153A"/>
    <w:rsid w:val="004C16AA"/>
    <w:rsid w:val="004C19F0"/>
    <w:rsid w:val="004C1C8D"/>
    <w:rsid w:val="004C1D42"/>
    <w:rsid w:val="004C1D65"/>
    <w:rsid w:val="004C1F3B"/>
    <w:rsid w:val="004C2112"/>
    <w:rsid w:val="004C2120"/>
    <w:rsid w:val="004C228C"/>
    <w:rsid w:val="004C22D4"/>
    <w:rsid w:val="004C22FC"/>
    <w:rsid w:val="004C2840"/>
    <w:rsid w:val="004C288A"/>
    <w:rsid w:val="004C2F53"/>
    <w:rsid w:val="004C2F6C"/>
    <w:rsid w:val="004C306D"/>
    <w:rsid w:val="004C3202"/>
    <w:rsid w:val="004C325D"/>
    <w:rsid w:val="004C3317"/>
    <w:rsid w:val="004C36AD"/>
    <w:rsid w:val="004C36B4"/>
    <w:rsid w:val="004C3976"/>
    <w:rsid w:val="004C39EC"/>
    <w:rsid w:val="004C3AC3"/>
    <w:rsid w:val="004C3D8B"/>
    <w:rsid w:val="004C3DB9"/>
    <w:rsid w:val="004C3DCE"/>
    <w:rsid w:val="004C3F4B"/>
    <w:rsid w:val="004C4082"/>
    <w:rsid w:val="004C40CF"/>
    <w:rsid w:val="004C43B8"/>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F6"/>
    <w:rsid w:val="004C6756"/>
    <w:rsid w:val="004C6B5D"/>
    <w:rsid w:val="004C6C22"/>
    <w:rsid w:val="004C704C"/>
    <w:rsid w:val="004C7211"/>
    <w:rsid w:val="004C72E1"/>
    <w:rsid w:val="004C7D3A"/>
    <w:rsid w:val="004D03CC"/>
    <w:rsid w:val="004D053C"/>
    <w:rsid w:val="004D05FF"/>
    <w:rsid w:val="004D074C"/>
    <w:rsid w:val="004D0872"/>
    <w:rsid w:val="004D0C2E"/>
    <w:rsid w:val="004D0CF5"/>
    <w:rsid w:val="004D0E23"/>
    <w:rsid w:val="004D0FEC"/>
    <w:rsid w:val="004D10AC"/>
    <w:rsid w:val="004D10FD"/>
    <w:rsid w:val="004D1154"/>
    <w:rsid w:val="004D1191"/>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633"/>
    <w:rsid w:val="004D57ED"/>
    <w:rsid w:val="004D598D"/>
    <w:rsid w:val="004D5BC2"/>
    <w:rsid w:val="004D5BE8"/>
    <w:rsid w:val="004D5D2E"/>
    <w:rsid w:val="004D5E46"/>
    <w:rsid w:val="004D64B2"/>
    <w:rsid w:val="004D66C9"/>
    <w:rsid w:val="004D66D9"/>
    <w:rsid w:val="004D6765"/>
    <w:rsid w:val="004D6B60"/>
    <w:rsid w:val="004D6FC1"/>
    <w:rsid w:val="004D7442"/>
    <w:rsid w:val="004D7568"/>
    <w:rsid w:val="004D75A7"/>
    <w:rsid w:val="004D78AA"/>
    <w:rsid w:val="004D79C6"/>
    <w:rsid w:val="004D7DEA"/>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CA9"/>
    <w:rsid w:val="004E1D7B"/>
    <w:rsid w:val="004E1FF2"/>
    <w:rsid w:val="004E2740"/>
    <w:rsid w:val="004E2772"/>
    <w:rsid w:val="004E2DF0"/>
    <w:rsid w:val="004E2EAE"/>
    <w:rsid w:val="004E31D9"/>
    <w:rsid w:val="004E3204"/>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E7E0B"/>
    <w:rsid w:val="004F0319"/>
    <w:rsid w:val="004F0731"/>
    <w:rsid w:val="004F0747"/>
    <w:rsid w:val="004F0ACD"/>
    <w:rsid w:val="004F0DC1"/>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D17"/>
    <w:rsid w:val="004F4FDD"/>
    <w:rsid w:val="004F50AD"/>
    <w:rsid w:val="004F535D"/>
    <w:rsid w:val="004F54BD"/>
    <w:rsid w:val="004F55EA"/>
    <w:rsid w:val="004F599C"/>
    <w:rsid w:val="004F6066"/>
    <w:rsid w:val="004F61E3"/>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4F7FC7"/>
    <w:rsid w:val="0050023C"/>
    <w:rsid w:val="00500AC9"/>
    <w:rsid w:val="00500DA9"/>
    <w:rsid w:val="00500FA8"/>
    <w:rsid w:val="005013E9"/>
    <w:rsid w:val="005015E0"/>
    <w:rsid w:val="00501649"/>
    <w:rsid w:val="00501682"/>
    <w:rsid w:val="005016C9"/>
    <w:rsid w:val="005017FC"/>
    <w:rsid w:val="00501942"/>
    <w:rsid w:val="00501BD4"/>
    <w:rsid w:val="00501E75"/>
    <w:rsid w:val="00502355"/>
    <w:rsid w:val="005024F5"/>
    <w:rsid w:val="00502573"/>
    <w:rsid w:val="0050271D"/>
    <w:rsid w:val="00502728"/>
    <w:rsid w:val="00502DA6"/>
    <w:rsid w:val="0050319D"/>
    <w:rsid w:val="005031B4"/>
    <w:rsid w:val="00503228"/>
    <w:rsid w:val="00503327"/>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780"/>
    <w:rsid w:val="0050693D"/>
    <w:rsid w:val="00506B42"/>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76"/>
    <w:rsid w:val="00507EC6"/>
    <w:rsid w:val="005100D9"/>
    <w:rsid w:val="005104C5"/>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E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9B6"/>
    <w:rsid w:val="00516B04"/>
    <w:rsid w:val="00516F93"/>
    <w:rsid w:val="00517139"/>
    <w:rsid w:val="0051713F"/>
    <w:rsid w:val="00517299"/>
    <w:rsid w:val="00517441"/>
    <w:rsid w:val="005176F7"/>
    <w:rsid w:val="005177DB"/>
    <w:rsid w:val="00517871"/>
    <w:rsid w:val="005178F0"/>
    <w:rsid w:val="00517A3D"/>
    <w:rsid w:val="00517A74"/>
    <w:rsid w:val="00517EE4"/>
    <w:rsid w:val="00517F52"/>
    <w:rsid w:val="0052017B"/>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C0A"/>
    <w:rsid w:val="00533C2D"/>
    <w:rsid w:val="00533F25"/>
    <w:rsid w:val="00533FD9"/>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BD7"/>
    <w:rsid w:val="00540C88"/>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33E9"/>
    <w:rsid w:val="00543555"/>
    <w:rsid w:val="0054384C"/>
    <w:rsid w:val="00543983"/>
    <w:rsid w:val="00543AC9"/>
    <w:rsid w:val="00543AE6"/>
    <w:rsid w:val="00543B25"/>
    <w:rsid w:val="00543BCD"/>
    <w:rsid w:val="00543DE6"/>
    <w:rsid w:val="00543DF4"/>
    <w:rsid w:val="00543F80"/>
    <w:rsid w:val="0054402D"/>
    <w:rsid w:val="00544325"/>
    <w:rsid w:val="005446DB"/>
    <w:rsid w:val="0054492F"/>
    <w:rsid w:val="00544BD5"/>
    <w:rsid w:val="00544C4D"/>
    <w:rsid w:val="00545039"/>
    <w:rsid w:val="00545139"/>
    <w:rsid w:val="00545171"/>
    <w:rsid w:val="00545239"/>
    <w:rsid w:val="00545306"/>
    <w:rsid w:val="0054552D"/>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7183"/>
    <w:rsid w:val="005471CF"/>
    <w:rsid w:val="0054720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FE7"/>
    <w:rsid w:val="0055508D"/>
    <w:rsid w:val="005550F2"/>
    <w:rsid w:val="00555341"/>
    <w:rsid w:val="005559CB"/>
    <w:rsid w:val="00555A56"/>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B7"/>
    <w:rsid w:val="00556E9E"/>
    <w:rsid w:val="005571A1"/>
    <w:rsid w:val="00557648"/>
    <w:rsid w:val="005577C4"/>
    <w:rsid w:val="00557D30"/>
    <w:rsid w:val="00560344"/>
    <w:rsid w:val="005603D9"/>
    <w:rsid w:val="00560420"/>
    <w:rsid w:val="0056044E"/>
    <w:rsid w:val="0056055F"/>
    <w:rsid w:val="005607CA"/>
    <w:rsid w:val="005608DB"/>
    <w:rsid w:val="00561001"/>
    <w:rsid w:val="00561038"/>
    <w:rsid w:val="00561075"/>
    <w:rsid w:val="005611A8"/>
    <w:rsid w:val="00561329"/>
    <w:rsid w:val="00561446"/>
    <w:rsid w:val="0056153B"/>
    <w:rsid w:val="005617D0"/>
    <w:rsid w:val="005618F1"/>
    <w:rsid w:val="00561AC8"/>
    <w:rsid w:val="00561AD8"/>
    <w:rsid w:val="00561C44"/>
    <w:rsid w:val="00561E31"/>
    <w:rsid w:val="00561FAD"/>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0"/>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4C2"/>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707"/>
    <w:rsid w:val="00570896"/>
    <w:rsid w:val="005708B3"/>
    <w:rsid w:val="00571152"/>
    <w:rsid w:val="005715E8"/>
    <w:rsid w:val="005717D2"/>
    <w:rsid w:val="00571987"/>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40C0"/>
    <w:rsid w:val="00574280"/>
    <w:rsid w:val="005742E1"/>
    <w:rsid w:val="00574424"/>
    <w:rsid w:val="005744BF"/>
    <w:rsid w:val="00574529"/>
    <w:rsid w:val="0057456B"/>
    <w:rsid w:val="00574C88"/>
    <w:rsid w:val="00574F21"/>
    <w:rsid w:val="00575315"/>
    <w:rsid w:val="00575378"/>
    <w:rsid w:val="00575506"/>
    <w:rsid w:val="00575AEB"/>
    <w:rsid w:val="00575E57"/>
    <w:rsid w:val="0057601E"/>
    <w:rsid w:val="00576180"/>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3C7"/>
    <w:rsid w:val="0057777F"/>
    <w:rsid w:val="005779CF"/>
    <w:rsid w:val="00577BEE"/>
    <w:rsid w:val="00577DDD"/>
    <w:rsid w:val="00577F0C"/>
    <w:rsid w:val="00577F3D"/>
    <w:rsid w:val="00577FA5"/>
    <w:rsid w:val="00580073"/>
    <w:rsid w:val="00580602"/>
    <w:rsid w:val="00580669"/>
    <w:rsid w:val="00580B68"/>
    <w:rsid w:val="00580D5A"/>
    <w:rsid w:val="00580F2F"/>
    <w:rsid w:val="00581066"/>
    <w:rsid w:val="005811FF"/>
    <w:rsid w:val="00581413"/>
    <w:rsid w:val="00581442"/>
    <w:rsid w:val="00581498"/>
    <w:rsid w:val="0058159F"/>
    <w:rsid w:val="005815A1"/>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42B"/>
    <w:rsid w:val="0058361D"/>
    <w:rsid w:val="005839EF"/>
    <w:rsid w:val="00583E24"/>
    <w:rsid w:val="00584267"/>
    <w:rsid w:val="00584368"/>
    <w:rsid w:val="005845B8"/>
    <w:rsid w:val="005845EF"/>
    <w:rsid w:val="00584865"/>
    <w:rsid w:val="00584D9D"/>
    <w:rsid w:val="00584EAC"/>
    <w:rsid w:val="00585427"/>
    <w:rsid w:val="0058555E"/>
    <w:rsid w:val="0058561C"/>
    <w:rsid w:val="00585846"/>
    <w:rsid w:val="00585CE1"/>
    <w:rsid w:val="00585D4C"/>
    <w:rsid w:val="00585D87"/>
    <w:rsid w:val="00585DE7"/>
    <w:rsid w:val="00585ECD"/>
    <w:rsid w:val="005863A7"/>
    <w:rsid w:val="005864DF"/>
    <w:rsid w:val="00586571"/>
    <w:rsid w:val="005865DE"/>
    <w:rsid w:val="005865EA"/>
    <w:rsid w:val="005866D5"/>
    <w:rsid w:val="00586D23"/>
    <w:rsid w:val="00586D58"/>
    <w:rsid w:val="00586D72"/>
    <w:rsid w:val="00586F1B"/>
    <w:rsid w:val="0058716D"/>
    <w:rsid w:val="0058773E"/>
    <w:rsid w:val="00587A6C"/>
    <w:rsid w:val="005900BF"/>
    <w:rsid w:val="005902D0"/>
    <w:rsid w:val="005907FE"/>
    <w:rsid w:val="00590CA6"/>
    <w:rsid w:val="00590CB2"/>
    <w:rsid w:val="00590CFA"/>
    <w:rsid w:val="00590F63"/>
    <w:rsid w:val="005915BE"/>
    <w:rsid w:val="005917C0"/>
    <w:rsid w:val="0059195C"/>
    <w:rsid w:val="00591A04"/>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C7C"/>
    <w:rsid w:val="00593D33"/>
    <w:rsid w:val="0059405A"/>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9F7"/>
    <w:rsid w:val="005A2F44"/>
    <w:rsid w:val="005A2F45"/>
    <w:rsid w:val="005A2F85"/>
    <w:rsid w:val="005A307E"/>
    <w:rsid w:val="005A30B5"/>
    <w:rsid w:val="005A36BC"/>
    <w:rsid w:val="005A37E5"/>
    <w:rsid w:val="005A3933"/>
    <w:rsid w:val="005A3B89"/>
    <w:rsid w:val="005A3DBA"/>
    <w:rsid w:val="005A3EAD"/>
    <w:rsid w:val="005A3EC6"/>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0E7"/>
    <w:rsid w:val="005B02E6"/>
    <w:rsid w:val="005B03D8"/>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888"/>
    <w:rsid w:val="005B49B4"/>
    <w:rsid w:val="005B4B6C"/>
    <w:rsid w:val="005B4D05"/>
    <w:rsid w:val="005B5189"/>
    <w:rsid w:val="005B57CD"/>
    <w:rsid w:val="005B58F8"/>
    <w:rsid w:val="005B5AEA"/>
    <w:rsid w:val="005B5BFF"/>
    <w:rsid w:val="005B5F99"/>
    <w:rsid w:val="005B5FF2"/>
    <w:rsid w:val="005B603E"/>
    <w:rsid w:val="005B60C4"/>
    <w:rsid w:val="005B60D3"/>
    <w:rsid w:val="005B65A2"/>
    <w:rsid w:val="005B670A"/>
    <w:rsid w:val="005B6903"/>
    <w:rsid w:val="005B6996"/>
    <w:rsid w:val="005B69B6"/>
    <w:rsid w:val="005B6A92"/>
    <w:rsid w:val="005B6B20"/>
    <w:rsid w:val="005B6BD4"/>
    <w:rsid w:val="005B6C58"/>
    <w:rsid w:val="005B6DDD"/>
    <w:rsid w:val="005B6E54"/>
    <w:rsid w:val="005B7074"/>
    <w:rsid w:val="005B71B7"/>
    <w:rsid w:val="005B7328"/>
    <w:rsid w:val="005B752A"/>
    <w:rsid w:val="005B752E"/>
    <w:rsid w:val="005B7BBC"/>
    <w:rsid w:val="005C0398"/>
    <w:rsid w:val="005C04CD"/>
    <w:rsid w:val="005C0C8D"/>
    <w:rsid w:val="005C0D6F"/>
    <w:rsid w:val="005C0E2C"/>
    <w:rsid w:val="005C0F0C"/>
    <w:rsid w:val="005C11B0"/>
    <w:rsid w:val="005C129A"/>
    <w:rsid w:val="005C17B9"/>
    <w:rsid w:val="005C1913"/>
    <w:rsid w:val="005C1B09"/>
    <w:rsid w:val="005C1E5C"/>
    <w:rsid w:val="005C1E93"/>
    <w:rsid w:val="005C21A6"/>
    <w:rsid w:val="005C2210"/>
    <w:rsid w:val="005C239D"/>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4F4B"/>
    <w:rsid w:val="005C54D3"/>
    <w:rsid w:val="005C5540"/>
    <w:rsid w:val="005C5719"/>
    <w:rsid w:val="005C58BB"/>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3EA"/>
    <w:rsid w:val="005C740B"/>
    <w:rsid w:val="005C76C6"/>
    <w:rsid w:val="005C7811"/>
    <w:rsid w:val="005C7C45"/>
    <w:rsid w:val="005C7F60"/>
    <w:rsid w:val="005D0079"/>
    <w:rsid w:val="005D02EF"/>
    <w:rsid w:val="005D032D"/>
    <w:rsid w:val="005D0456"/>
    <w:rsid w:val="005D04B0"/>
    <w:rsid w:val="005D0859"/>
    <w:rsid w:val="005D088A"/>
    <w:rsid w:val="005D0980"/>
    <w:rsid w:val="005D10FC"/>
    <w:rsid w:val="005D15F9"/>
    <w:rsid w:val="005D1785"/>
    <w:rsid w:val="005D1BD8"/>
    <w:rsid w:val="005D1CE6"/>
    <w:rsid w:val="005D23E7"/>
    <w:rsid w:val="005D24D1"/>
    <w:rsid w:val="005D2975"/>
    <w:rsid w:val="005D2AB7"/>
    <w:rsid w:val="005D2CCA"/>
    <w:rsid w:val="005D2DE0"/>
    <w:rsid w:val="005D2FFC"/>
    <w:rsid w:val="005D3143"/>
    <w:rsid w:val="005D336D"/>
    <w:rsid w:val="005D33A1"/>
    <w:rsid w:val="005D35FD"/>
    <w:rsid w:val="005D362F"/>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76"/>
    <w:rsid w:val="005D6EF2"/>
    <w:rsid w:val="005D70EF"/>
    <w:rsid w:val="005D7117"/>
    <w:rsid w:val="005D7261"/>
    <w:rsid w:val="005D72C9"/>
    <w:rsid w:val="005D770B"/>
    <w:rsid w:val="005D7A07"/>
    <w:rsid w:val="005D7C2A"/>
    <w:rsid w:val="005D7CC7"/>
    <w:rsid w:val="005D7DA9"/>
    <w:rsid w:val="005D7DAC"/>
    <w:rsid w:val="005E00A6"/>
    <w:rsid w:val="005E019B"/>
    <w:rsid w:val="005E0B26"/>
    <w:rsid w:val="005E1590"/>
    <w:rsid w:val="005E1749"/>
    <w:rsid w:val="005E1848"/>
    <w:rsid w:val="005E1921"/>
    <w:rsid w:val="005E1C8A"/>
    <w:rsid w:val="005E1DA5"/>
    <w:rsid w:val="005E202B"/>
    <w:rsid w:val="005E222A"/>
    <w:rsid w:val="005E23B5"/>
    <w:rsid w:val="005E23E1"/>
    <w:rsid w:val="005E291A"/>
    <w:rsid w:val="005E2B37"/>
    <w:rsid w:val="005E33C3"/>
    <w:rsid w:val="005E3679"/>
    <w:rsid w:val="005E38EB"/>
    <w:rsid w:val="005E3A8C"/>
    <w:rsid w:val="005E3DB2"/>
    <w:rsid w:val="005E4759"/>
    <w:rsid w:val="005E47C2"/>
    <w:rsid w:val="005E4A56"/>
    <w:rsid w:val="005E4BD8"/>
    <w:rsid w:val="005E4F07"/>
    <w:rsid w:val="005E4F2D"/>
    <w:rsid w:val="005E4FE1"/>
    <w:rsid w:val="005E5327"/>
    <w:rsid w:val="005E5605"/>
    <w:rsid w:val="005E5AC7"/>
    <w:rsid w:val="005E5B6D"/>
    <w:rsid w:val="005E5D33"/>
    <w:rsid w:val="005E6164"/>
    <w:rsid w:val="005E6402"/>
    <w:rsid w:val="005E6430"/>
    <w:rsid w:val="005E6457"/>
    <w:rsid w:val="005E64C2"/>
    <w:rsid w:val="005E6E35"/>
    <w:rsid w:val="005E6EB7"/>
    <w:rsid w:val="005E72AA"/>
    <w:rsid w:val="005E73CA"/>
    <w:rsid w:val="005E74F8"/>
    <w:rsid w:val="005E76B5"/>
    <w:rsid w:val="005E792F"/>
    <w:rsid w:val="005E7E29"/>
    <w:rsid w:val="005F035F"/>
    <w:rsid w:val="005F0396"/>
    <w:rsid w:val="005F03BF"/>
    <w:rsid w:val="005F048D"/>
    <w:rsid w:val="005F049F"/>
    <w:rsid w:val="005F0553"/>
    <w:rsid w:val="005F0580"/>
    <w:rsid w:val="005F0801"/>
    <w:rsid w:val="005F0BFE"/>
    <w:rsid w:val="005F0F57"/>
    <w:rsid w:val="005F0FC1"/>
    <w:rsid w:val="005F0FD2"/>
    <w:rsid w:val="005F173C"/>
    <w:rsid w:val="005F18D0"/>
    <w:rsid w:val="005F1AED"/>
    <w:rsid w:val="005F1D62"/>
    <w:rsid w:val="005F215B"/>
    <w:rsid w:val="005F22AF"/>
    <w:rsid w:val="005F25BE"/>
    <w:rsid w:val="005F2711"/>
    <w:rsid w:val="005F2739"/>
    <w:rsid w:val="005F27CD"/>
    <w:rsid w:val="005F2AB4"/>
    <w:rsid w:val="005F2BAE"/>
    <w:rsid w:val="005F2D37"/>
    <w:rsid w:val="005F311F"/>
    <w:rsid w:val="005F3171"/>
    <w:rsid w:val="005F31BB"/>
    <w:rsid w:val="005F32DD"/>
    <w:rsid w:val="005F36BE"/>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F4"/>
    <w:rsid w:val="005F741B"/>
    <w:rsid w:val="005F74FA"/>
    <w:rsid w:val="005F7602"/>
    <w:rsid w:val="005F7682"/>
    <w:rsid w:val="005F7CBF"/>
    <w:rsid w:val="005F7E87"/>
    <w:rsid w:val="005F7E9E"/>
    <w:rsid w:val="005F7ED5"/>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963"/>
    <w:rsid w:val="00603A39"/>
    <w:rsid w:val="006043FC"/>
    <w:rsid w:val="006046C4"/>
    <w:rsid w:val="00604734"/>
    <w:rsid w:val="00604770"/>
    <w:rsid w:val="00604AD6"/>
    <w:rsid w:val="00604D09"/>
    <w:rsid w:val="00604EDD"/>
    <w:rsid w:val="00604FBF"/>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EA5"/>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7B1"/>
    <w:rsid w:val="00615B17"/>
    <w:rsid w:val="00615E7C"/>
    <w:rsid w:val="00615FA2"/>
    <w:rsid w:val="00616057"/>
    <w:rsid w:val="0061636D"/>
    <w:rsid w:val="00616373"/>
    <w:rsid w:val="006168DF"/>
    <w:rsid w:val="0061698F"/>
    <w:rsid w:val="00616A4C"/>
    <w:rsid w:val="00616B70"/>
    <w:rsid w:val="006174C4"/>
    <w:rsid w:val="00617613"/>
    <w:rsid w:val="0061776F"/>
    <w:rsid w:val="00617B36"/>
    <w:rsid w:val="00620093"/>
    <w:rsid w:val="006202D7"/>
    <w:rsid w:val="006203E2"/>
    <w:rsid w:val="00620414"/>
    <w:rsid w:val="0062047E"/>
    <w:rsid w:val="0062051B"/>
    <w:rsid w:val="006206D0"/>
    <w:rsid w:val="006207AE"/>
    <w:rsid w:val="00620976"/>
    <w:rsid w:val="00620AAA"/>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7"/>
    <w:rsid w:val="0062335C"/>
    <w:rsid w:val="006234BB"/>
    <w:rsid w:val="006236F1"/>
    <w:rsid w:val="00623B86"/>
    <w:rsid w:val="00623E9D"/>
    <w:rsid w:val="00624010"/>
    <w:rsid w:val="006242E3"/>
    <w:rsid w:val="006242F5"/>
    <w:rsid w:val="006247DF"/>
    <w:rsid w:val="00624804"/>
    <w:rsid w:val="00624919"/>
    <w:rsid w:val="006249AF"/>
    <w:rsid w:val="00624A21"/>
    <w:rsid w:val="00624AAA"/>
    <w:rsid w:val="00624BC5"/>
    <w:rsid w:val="0062528A"/>
    <w:rsid w:val="006252D0"/>
    <w:rsid w:val="00625701"/>
    <w:rsid w:val="006259FA"/>
    <w:rsid w:val="00625AFD"/>
    <w:rsid w:val="00625E11"/>
    <w:rsid w:val="00626043"/>
    <w:rsid w:val="0062606A"/>
    <w:rsid w:val="006264C7"/>
    <w:rsid w:val="00626513"/>
    <w:rsid w:val="00626622"/>
    <w:rsid w:val="00626664"/>
    <w:rsid w:val="00626959"/>
    <w:rsid w:val="006269EF"/>
    <w:rsid w:val="006269F6"/>
    <w:rsid w:val="00626DBE"/>
    <w:rsid w:val="0062711B"/>
    <w:rsid w:val="006274B7"/>
    <w:rsid w:val="0062759C"/>
    <w:rsid w:val="006275B6"/>
    <w:rsid w:val="0062791B"/>
    <w:rsid w:val="00627D8F"/>
    <w:rsid w:val="00627E72"/>
    <w:rsid w:val="00627EA6"/>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01"/>
    <w:rsid w:val="00631426"/>
    <w:rsid w:val="006314B3"/>
    <w:rsid w:val="006315D7"/>
    <w:rsid w:val="006317F0"/>
    <w:rsid w:val="006318C2"/>
    <w:rsid w:val="00631A0C"/>
    <w:rsid w:val="00631A74"/>
    <w:rsid w:val="00631C70"/>
    <w:rsid w:val="00631D94"/>
    <w:rsid w:val="00631EB7"/>
    <w:rsid w:val="00631F57"/>
    <w:rsid w:val="00631F8E"/>
    <w:rsid w:val="00631FC4"/>
    <w:rsid w:val="006322A4"/>
    <w:rsid w:val="006322FC"/>
    <w:rsid w:val="006323A0"/>
    <w:rsid w:val="006325B9"/>
    <w:rsid w:val="0063276B"/>
    <w:rsid w:val="006327B3"/>
    <w:rsid w:val="00632A0D"/>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428"/>
    <w:rsid w:val="00635674"/>
    <w:rsid w:val="00635835"/>
    <w:rsid w:val="00635F69"/>
    <w:rsid w:val="00636142"/>
    <w:rsid w:val="006362B2"/>
    <w:rsid w:val="00636440"/>
    <w:rsid w:val="0063675D"/>
    <w:rsid w:val="00636942"/>
    <w:rsid w:val="006369C7"/>
    <w:rsid w:val="00636A13"/>
    <w:rsid w:val="00636A1E"/>
    <w:rsid w:val="00636AB1"/>
    <w:rsid w:val="00636BC1"/>
    <w:rsid w:val="00636BE3"/>
    <w:rsid w:val="00636C82"/>
    <w:rsid w:val="00637207"/>
    <w:rsid w:val="00637418"/>
    <w:rsid w:val="006374C1"/>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78B"/>
    <w:rsid w:val="006448CC"/>
    <w:rsid w:val="00644CBB"/>
    <w:rsid w:val="00644D6E"/>
    <w:rsid w:val="00644EBD"/>
    <w:rsid w:val="00645218"/>
    <w:rsid w:val="0064573F"/>
    <w:rsid w:val="00645AE4"/>
    <w:rsid w:val="006463DB"/>
    <w:rsid w:val="006464DA"/>
    <w:rsid w:val="006465F8"/>
    <w:rsid w:val="0064695D"/>
    <w:rsid w:val="00646A70"/>
    <w:rsid w:val="00646C62"/>
    <w:rsid w:val="00646DDB"/>
    <w:rsid w:val="00646DFA"/>
    <w:rsid w:val="00646E0D"/>
    <w:rsid w:val="00646F0D"/>
    <w:rsid w:val="00646F40"/>
    <w:rsid w:val="0064725E"/>
    <w:rsid w:val="0064736E"/>
    <w:rsid w:val="006473D3"/>
    <w:rsid w:val="00647402"/>
    <w:rsid w:val="00647B99"/>
    <w:rsid w:val="00647D06"/>
    <w:rsid w:val="00647E7B"/>
    <w:rsid w:val="00647ED1"/>
    <w:rsid w:val="00650002"/>
    <w:rsid w:val="006500B8"/>
    <w:rsid w:val="006502FC"/>
    <w:rsid w:val="00650441"/>
    <w:rsid w:val="00650683"/>
    <w:rsid w:val="00650A9A"/>
    <w:rsid w:val="00650D13"/>
    <w:rsid w:val="00650D42"/>
    <w:rsid w:val="00650F31"/>
    <w:rsid w:val="00650F5C"/>
    <w:rsid w:val="00651076"/>
    <w:rsid w:val="00651223"/>
    <w:rsid w:val="0065133D"/>
    <w:rsid w:val="00651373"/>
    <w:rsid w:val="00651490"/>
    <w:rsid w:val="006514DB"/>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69D"/>
    <w:rsid w:val="006556CF"/>
    <w:rsid w:val="0065577D"/>
    <w:rsid w:val="006557DC"/>
    <w:rsid w:val="006559E7"/>
    <w:rsid w:val="00655F67"/>
    <w:rsid w:val="00656011"/>
    <w:rsid w:val="006563B4"/>
    <w:rsid w:val="006567CE"/>
    <w:rsid w:val="00656ACD"/>
    <w:rsid w:val="006574DF"/>
    <w:rsid w:val="006575D0"/>
    <w:rsid w:val="006579FD"/>
    <w:rsid w:val="00657D0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0EF8"/>
    <w:rsid w:val="00661191"/>
    <w:rsid w:val="0066119E"/>
    <w:rsid w:val="006612D1"/>
    <w:rsid w:val="0066138A"/>
    <w:rsid w:val="0066157A"/>
    <w:rsid w:val="0066162F"/>
    <w:rsid w:val="006618D4"/>
    <w:rsid w:val="006619A4"/>
    <w:rsid w:val="006621EF"/>
    <w:rsid w:val="0066247E"/>
    <w:rsid w:val="00662533"/>
    <w:rsid w:val="00662727"/>
    <w:rsid w:val="00662898"/>
    <w:rsid w:val="00662A95"/>
    <w:rsid w:val="00662E68"/>
    <w:rsid w:val="00662EB7"/>
    <w:rsid w:val="00662EE5"/>
    <w:rsid w:val="006630CB"/>
    <w:rsid w:val="0066327C"/>
    <w:rsid w:val="0066354E"/>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9C6"/>
    <w:rsid w:val="00665A65"/>
    <w:rsid w:val="00665B53"/>
    <w:rsid w:val="00665C03"/>
    <w:rsid w:val="00665C67"/>
    <w:rsid w:val="00665EC5"/>
    <w:rsid w:val="00666097"/>
    <w:rsid w:val="00666355"/>
    <w:rsid w:val="00666528"/>
    <w:rsid w:val="0066659E"/>
    <w:rsid w:val="00666962"/>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B0F"/>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288"/>
    <w:rsid w:val="006733C6"/>
    <w:rsid w:val="00673687"/>
    <w:rsid w:val="006739BF"/>
    <w:rsid w:val="00673BA1"/>
    <w:rsid w:val="00673BE3"/>
    <w:rsid w:val="00673E19"/>
    <w:rsid w:val="00674596"/>
    <w:rsid w:val="006747E7"/>
    <w:rsid w:val="00674BD5"/>
    <w:rsid w:val="00674DAE"/>
    <w:rsid w:val="00674F95"/>
    <w:rsid w:val="00675379"/>
    <w:rsid w:val="0067561D"/>
    <w:rsid w:val="00675628"/>
    <w:rsid w:val="00675B79"/>
    <w:rsid w:val="00675C31"/>
    <w:rsid w:val="00676065"/>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25D"/>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2A"/>
    <w:rsid w:val="006875FB"/>
    <w:rsid w:val="0068768A"/>
    <w:rsid w:val="00687AFD"/>
    <w:rsid w:val="00687C7A"/>
    <w:rsid w:val="00687D9F"/>
    <w:rsid w:val="006901A5"/>
    <w:rsid w:val="006902AC"/>
    <w:rsid w:val="0069030C"/>
    <w:rsid w:val="0069032C"/>
    <w:rsid w:val="00690509"/>
    <w:rsid w:val="006906AD"/>
    <w:rsid w:val="00690722"/>
    <w:rsid w:val="0069072C"/>
    <w:rsid w:val="00690740"/>
    <w:rsid w:val="00690C47"/>
    <w:rsid w:val="00690D91"/>
    <w:rsid w:val="00691377"/>
    <w:rsid w:val="00691490"/>
    <w:rsid w:val="0069155C"/>
    <w:rsid w:val="006917AE"/>
    <w:rsid w:val="00691B47"/>
    <w:rsid w:val="00691B6D"/>
    <w:rsid w:val="00691C82"/>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047"/>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5DB7"/>
    <w:rsid w:val="00695E83"/>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BDA"/>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2B7"/>
    <w:rsid w:val="006A440E"/>
    <w:rsid w:val="006A4510"/>
    <w:rsid w:val="006A4732"/>
    <w:rsid w:val="006A474E"/>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60E"/>
    <w:rsid w:val="006B261E"/>
    <w:rsid w:val="006B29B7"/>
    <w:rsid w:val="006B29C5"/>
    <w:rsid w:val="006B2DC8"/>
    <w:rsid w:val="006B3054"/>
    <w:rsid w:val="006B36B9"/>
    <w:rsid w:val="006B37B0"/>
    <w:rsid w:val="006B3809"/>
    <w:rsid w:val="006B398D"/>
    <w:rsid w:val="006B3B6C"/>
    <w:rsid w:val="006B3D55"/>
    <w:rsid w:val="006B3F75"/>
    <w:rsid w:val="006B4499"/>
    <w:rsid w:val="006B48A6"/>
    <w:rsid w:val="006B49A8"/>
    <w:rsid w:val="006B4CAE"/>
    <w:rsid w:val="006B4E36"/>
    <w:rsid w:val="006B4FD1"/>
    <w:rsid w:val="006B53C2"/>
    <w:rsid w:val="006B5575"/>
    <w:rsid w:val="006B5619"/>
    <w:rsid w:val="006B5624"/>
    <w:rsid w:val="006B58D8"/>
    <w:rsid w:val="006B5A24"/>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548"/>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2C2"/>
    <w:rsid w:val="006C44AB"/>
    <w:rsid w:val="006C44F0"/>
    <w:rsid w:val="006C453E"/>
    <w:rsid w:val="006C4872"/>
    <w:rsid w:val="006C4980"/>
    <w:rsid w:val="006C4C23"/>
    <w:rsid w:val="006C4E50"/>
    <w:rsid w:val="006C4E9A"/>
    <w:rsid w:val="006C512C"/>
    <w:rsid w:val="006C52A4"/>
    <w:rsid w:val="006C55E2"/>
    <w:rsid w:val="006C5614"/>
    <w:rsid w:val="006C57DE"/>
    <w:rsid w:val="006C58ED"/>
    <w:rsid w:val="006C5E1A"/>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0FE9"/>
    <w:rsid w:val="006D1130"/>
    <w:rsid w:val="006D15BE"/>
    <w:rsid w:val="006D1725"/>
    <w:rsid w:val="006D191A"/>
    <w:rsid w:val="006D1935"/>
    <w:rsid w:val="006D19C7"/>
    <w:rsid w:val="006D19FF"/>
    <w:rsid w:val="006D1D65"/>
    <w:rsid w:val="006D1E43"/>
    <w:rsid w:val="006D20DB"/>
    <w:rsid w:val="006D21DA"/>
    <w:rsid w:val="006D2615"/>
    <w:rsid w:val="006D2631"/>
    <w:rsid w:val="006D29B4"/>
    <w:rsid w:val="006D2A8E"/>
    <w:rsid w:val="006D2B4E"/>
    <w:rsid w:val="006D2EF2"/>
    <w:rsid w:val="006D3042"/>
    <w:rsid w:val="006D30DF"/>
    <w:rsid w:val="006D342A"/>
    <w:rsid w:val="006D34DF"/>
    <w:rsid w:val="006D38A7"/>
    <w:rsid w:val="006D3A97"/>
    <w:rsid w:val="006D3B23"/>
    <w:rsid w:val="006D3BF5"/>
    <w:rsid w:val="006D3CA6"/>
    <w:rsid w:val="006D42C5"/>
    <w:rsid w:val="006D455A"/>
    <w:rsid w:val="006D4588"/>
    <w:rsid w:val="006D476E"/>
    <w:rsid w:val="006D4A83"/>
    <w:rsid w:val="006D4DD2"/>
    <w:rsid w:val="006D4E72"/>
    <w:rsid w:val="006D4E86"/>
    <w:rsid w:val="006D5150"/>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D7C8A"/>
    <w:rsid w:val="006D7E46"/>
    <w:rsid w:val="006E0388"/>
    <w:rsid w:val="006E03F6"/>
    <w:rsid w:val="006E0413"/>
    <w:rsid w:val="006E056A"/>
    <w:rsid w:val="006E05F2"/>
    <w:rsid w:val="006E080B"/>
    <w:rsid w:val="006E0ABA"/>
    <w:rsid w:val="006E0AFE"/>
    <w:rsid w:val="006E0BE7"/>
    <w:rsid w:val="006E0C33"/>
    <w:rsid w:val="006E0C48"/>
    <w:rsid w:val="006E0CD0"/>
    <w:rsid w:val="006E0D88"/>
    <w:rsid w:val="006E0DDD"/>
    <w:rsid w:val="006E0E66"/>
    <w:rsid w:val="006E0F8E"/>
    <w:rsid w:val="006E10FC"/>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4AB"/>
    <w:rsid w:val="006E2649"/>
    <w:rsid w:val="006E27AC"/>
    <w:rsid w:val="006E2B6F"/>
    <w:rsid w:val="006E3029"/>
    <w:rsid w:val="006E316F"/>
    <w:rsid w:val="006E32BB"/>
    <w:rsid w:val="006E3340"/>
    <w:rsid w:val="006E33DD"/>
    <w:rsid w:val="006E361A"/>
    <w:rsid w:val="006E39A4"/>
    <w:rsid w:val="006E3A24"/>
    <w:rsid w:val="006E3D1B"/>
    <w:rsid w:val="006E3D46"/>
    <w:rsid w:val="006E42A7"/>
    <w:rsid w:val="006E456D"/>
    <w:rsid w:val="006E45E5"/>
    <w:rsid w:val="006E474D"/>
    <w:rsid w:val="006E4C0A"/>
    <w:rsid w:val="006E4C39"/>
    <w:rsid w:val="006E4D1E"/>
    <w:rsid w:val="006E4D65"/>
    <w:rsid w:val="006E4F8F"/>
    <w:rsid w:val="006E5092"/>
    <w:rsid w:val="006E55C2"/>
    <w:rsid w:val="006E55F8"/>
    <w:rsid w:val="006E592C"/>
    <w:rsid w:val="006E5CB6"/>
    <w:rsid w:val="006E5ECA"/>
    <w:rsid w:val="006E61F1"/>
    <w:rsid w:val="006E650E"/>
    <w:rsid w:val="006E6590"/>
    <w:rsid w:val="006E65D7"/>
    <w:rsid w:val="006E6602"/>
    <w:rsid w:val="006E665D"/>
    <w:rsid w:val="006E6877"/>
    <w:rsid w:val="006E697D"/>
    <w:rsid w:val="006E6AA9"/>
    <w:rsid w:val="006E6C24"/>
    <w:rsid w:val="006E6C36"/>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BDA"/>
    <w:rsid w:val="006F6CD0"/>
    <w:rsid w:val="006F6EFC"/>
    <w:rsid w:val="006F725F"/>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2107"/>
    <w:rsid w:val="007025C2"/>
    <w:rsid w:val="007025F4"/>
    <w:rsid w:val="007026F3"/>
    <w:rsid w:val="007028AC"/>
    <w:rsid w:val="00702926"/>
    <w:rsid w:val="00702B46"/>
    <w:rsid w:val="0070331E"/>
    <w:rsid w:val="007037AA"/>
    <w:rsid w:val="00703821"/>
    <w:rsid w:val="00703A67"/>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3F"/>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139"/>
    <w:rsid w:val="007123E6"/>
    <w:rsid w:val="00712646"/>
    <w:rsid w:val="0071286D"/>
    <w:rsid w:val="00712958"/>
    <w:rsid w:val="00712B26"/>
    <w:rsid w:val="00712C92"/>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0B"/>
    <w:rsid w:val="0072048E"/>
    <w:rsid w:val="0072076D"/>
    <w:rsid w:val="007207C8"/>
    <w:rsid w:val="007207E9"/>
    <w:rsid w:val="00720C4C"/>
    <w:rsid w:val="00720E64"/>
    <w:rsid w:val="00720EED"/>
    <w:rsid w:val="00720F2B"/>
    <w:rsid w:val="0072110E"/>
    <w:rsid w:val="0072118B"/>
    <w:rsid w:val="007212AB"/>
    <w:rsid w:val="007212F3"/>
    <w:rsid w:val="00721725"/>
    <w:rsid w:val="00721779"/>
    <w:rsid w:val="00721C43"/>
    <w:rsid w:val="00721C65"/>
    <w:rsid w:val="0072231C"/>
    <w:rsid w:val="0072236A"/>
    <w:rsid w:val="00722838"/>
    <w:rsid w:val="00722864"/>
    <w:rsid w:val="00722BB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76"/>
    <w:rsid w:val="007243E5"/>
    <w:rsid w:val="007246A6"/>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27DD8"/>
    <w:rsid w:val="0073000A"/>
    <w:rsid w:val="007300F6"/>
    <w:rsid w:val="0073016A"/>
    <w:rsid w:val="007301A7"/>
    <w:rsid w:val="007307C9"/>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C3C"/>
    <w:rsid w:val="00731D06"/>
    <w:rsid w:val="00731D9B"/>
    <w:rsid w:val="00731EF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0FE"/>
    <w:rsid w:val="00734121"/>
    <w:rsid w:val="0073414A"/>
    <w:rsid w:val="007343BA"/>
    <w:rsid w:val="0073465A"/>
    <w:rsid w:val="007348C3"/>
    <w:rsid w:val="00734B38"/>
    <w:rsid w:val="00734B51"/>
    <w:rsid w:val="00734CDA"/>
    <w:rsid w:val="00734EE0"/>
    <w:rsid w:val="00735030"/>
    <w:rsid w:val="00735455"/>
    <w:rsid w:val="00735530"/>
    <w:rsid w:val="0073572B"/>
    <w:rsid w:val="00735A94"/>
    <w:rsid w:val="00735E0B"/>
    <w:rsid w:val="00735EA0"/>
    <w:rsid w:val="00735F71"/>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6E9"/>
    <w:rsid w:val="0074088B"/>
    <w:rsid w:val="00740A2B"/>
    <w:rsid w:val="00740A8B"/>
    <w:rsid w:val="00740F1F"/>
    <w:rsid w:val="00740F28"/>
    <w:rsid w:val="00741013"/>
    <w:rsid w:val="007419EE"/>
    <w:rsid w:val="00741A5E"/>
    <w:rsid w:val="00741CCC"/>
    <w:rsid w:val="00742141"/>
    <w:rsid w:val="0074221D"/>
    <w:rsid w:val="0074224C"/>
    <w:rsid w:val="00742252"/>
    <w:rsid w:val="0074263F"/>
    <w:rsid w:val="007426B7"/>
    <w:rsid w:val="007426EA"/>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C79"/>
    <w:rsid w:val="00743F37"/>
    <w:rsid w:val="00744040"/>
    <w:rsid w:val="00744091"/>
    <w:rsid w:val="00744295"/>
    <w:rsid w:val="007442B6"/>
    <w:rsid w:val="007443F7"/>
    <w:rsid w:val="00744430"/>
    <w:rsid w:val="0074495E"/>
    <w:rsid w:val="00744B85"/>
    <w:rsid w:val="00744E0F"/>
    <w:rsid w:val="00745083"/>
    <w:rsid w:val="007451F9"/>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BE"/>
    <w:rsid w:val="00746CFB"/>
    <w:rsid w:val="00746FCE"/>
    <w:rsid w:val="00747030"/>
    <w:rsid w:val="007473E7"/>
    <w:rsid w:val="00747411"/>
    <w:rsid w:val="007479EB"/>
    <w:rsid w:val="00747CF9"/>
    <w:rsid w:val="00747F2A"/>
    <w:rsid w:val="007500D3"/>
    <w:rsid w:val="00750376"/>
    <w:rsid w:val="00750408"/>
    <w:rsid w:val="00750915"/>
    <w:rsid w:val="00750B42"/>
    <w:rsid w:val="00750DB3"/>
    <w:rsid w:val="00750E44"/>
    <w:rsid w:val="00750EC3"/>
    <w:rsid w:val="00751199"/>
    <w:rsid w:val="00751311"/>
    <w:rsid w:val="007515BE"/>
    <w:rsid w:val="0075161A"/>
    <w:rsid w:val="00751695"/>
    <w:rsid w:val="00751BEF"/>
    <w:rsid w:val="00751F9F"/>
    <w:rsid w:val="00752031"/>
    <w:rsid w:val="007521BC"/>
    <w:rsid w:val="007522FD"/>
    <w:rsid w:val="0075237B"/>
    <w:rsid w:val="00752532"/>
    <w:rsid w:val="00752757"/>
    <w:rsid w:val="00752C38"/>
    <w:rsid w:val="00752E6D"/>
    <w:rsid w:val="00752EC9"/>
    <w:rsid w:val="00752FEA"/>
    <w:rsid w:val="007530B3"/>
    <w:rsid w:val="007532EF"/>
    <w:rsid w:val="00753453"/>
    <w:rsid w:val="00753646"/>
    <w:rsid w:val="007539A9"/>
    <w:rsid w:val="00753A77"/>
    <w:rsid w:val="00753AC1"/>
    <w:rsid w:val="00753B72"/>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57AF7"/>
    <w:rsid w:val="00760008"/>
    <w:rsid w:val="007600FB"/>
    <w:rsid w:val="00760258"/>
    <w:rsid w:val="007602C9"/>
    <w:rsid w:val="00760816"/>
    <w:rsid w:val="00760C0D"/>
    <w:rsid w:val="00760FB1"/>
    <w:rsid w:val="0076128B"/>
    <w:rsid w:val="007612CA"/>
    <w:rsid w:val="00761924"/>
    <w:rsid w:val="00761A15"/>
    <w:rsid w:val="00761A4D"/>
    <w:rsid w:val="00761ADD"/>
    <w:rsid w:val="00761DFA"/>
    <w:rsid w:val="00761E2D"/>
    <w:rsid w:val="00761EA7"/>
    <w:rsid w:val="00762346"/>
    <w:rsid w:val="007623CF"/>
    <w:rsid w:val="0076249C"/>
    <w:rsid w:val="00762547"/>
    <w:rsid w:val="007628B8"/>
    <w:rsid w:val="00762B1E"/>
    <w:rsid w:val="00762B2A"/>
    <w:rsid w:val="00762D3A"/>
    <w:rsid w:val="00762D8E"/>
    <w:rsid w:val="00762DDF"/>
    <w:rsid w:val="00762F77"/>
    <w:rsid w:val="007632B8"/>
    <w:rsid w:val="007634BF"/>
    <w:rsid w:val="00763623"/>
    <w:rsid w:val="007636DA"/>
    <w:rsid w:val="0076395A"/>
    <w:rsid w:val="00763999"/>
    <w:rsid w:val="00763A7E"/>
    <w:rsid w:val="00764095"/>
    <w:rsid w:val="00764200"/>
    <w:rsid w:val="00764235"/>
    <w:rsid w:val="00764241"/>
    <w:rsid w:val="007643DD"/>
    <w:rsid w:val="007648C5"/>
    <w:rsid w:val="00764BAB"/>
    <w:rsid w:val="00764BF4"/>
    <w:rsid w:val="00764CD3"/>
    <w:rsid w:val="00764D59"/>
    <w:rsid w:val="00764DA1"/>
    <w:rsid w:val="00764E09"/>
    <w:rsid w:val="00764E22"/>
    <w:rsid w:val="00764F8F"/>
    <w:rsid w:val="007651ED"/>
    <w:rsid w:val="007651FA"/>
    <w:rsid w:val="0076543B"/>
    <w:rsid w:val="00765567"/>
    <w:rsid w:val="007655FE"/>
    <w:rsid w:val="00765A17"/>
    <w:rsid w:val="00765C2F"/>
    <w:rsid w:val="00765C6A"/>
    <w:rsid w:val="00765E51"/>
    <w:rsid w:val="007660A3"/>
    <w:rsid w:val="00766142"/>
    <w:rsid w:val="007661D1"/>
    <w:rsid w:val="007662BE"/>
    <w:rsid w:val="00766480"/>
    <w:rsid w:val="007664C0"/>
    <w:rsid w:val="00766703"/>
    <w:rsid w:val="00766763"/>
    <w:rsid w:val="0076680D"/>
    <w:rsid w:val="00766AD4"/>
    <w:rsid w:val="00766F8B"/>
    <w:rsid w:val="00767563"/>
    <w:rsid w:val="007677FF"/>
    <w:rsid w:val="00767818"/>
    <w:rsid w:val="00767B17"/>
    <w:rsid w:val="00767C00"/>
    <w:rsid w:val="00767C58"/>
    <w:rsid w:val="00767CCF"/>
    <w:rsid w:val="0077016F"/>
    <w:rsid w:val="00770319"/>
    <w:rsid w:val="007705C5"/>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8DD"/>
    <w:rsid w:val="007749EF"/>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25"/>
    <w:rsid w:val="0077709D"/>
    <w:rsid w:val="007772F6"/>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42"/>
    <w:rsid w:val="00781AEB"/>
    <w:rsid w:val="00781CF8"/>
    <w:rsid w:val="00781DDE"/>
    <w:rsid w:val="00782139"/>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ACD"/>
    <w:rsid w:val="00783BC4"/>
    <w:rsid w:val="00783BD9"/>
    <w:rsid w:val="00783D62"/>
    <w:rsid w:val="00783E57"/>
    <w:rsid w:val="00783F10"/>
    <w:rsid w:val="00784065"/>
    <w:rsid w:val="00784123"/>
    <w:rsid w:val="00784241"/>
    <w:rsid w:val="00784282"/>
    <w:rsid w:val="00784308"/>
    <w:rsid w:val="00784408"/>
    <w:rsid w:val="00784541"/>
    <w:rsid w:val="00784788"/>
    <w:rsid w:val="00784C5A"/>
    <w:rsid w:val="00784CBE"/>
    <w:rsid w:val="00784CD4"/>
    <w:rsid w:val="00784E3B"/>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CEA"/>
    <w:rsid w:val="00790E54"/>
    <w:rsid w:val="00790EDE"/>
    <w:rsid w:val="00790FCA"/>
    <w:rsid w:val="00791637"/>
    <w:rsid w:val="007917BA"/>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504B"/>
    <w:rsid w:val="00795104"/>
    <w:rsid w:val="007955F7"/>
    <w:rsid w:val="0079571B"/>
    <w:rsid w:val="007957DE"/>
    <w:rsid w:val="007958CE"/>
    <w:rsid w:val="00795905"/>
    <w:rsid w:val="007959D6"/>
    <w:rsid w:val="00795A58"/>
    <w:rsid w:val="00795EE5"/>
    <w:rsid w:val="00795F87"/>
    <w:rsid w:val="007961C9"/>
    <w:rsid w:val="00796337"/>
    <w:rsid w:val="00796383"/>
    <w:rsid w:val="007964B2"/>
    <w:rsid w:val="007964DB"/>
    <w:rsid w:val="007967B9"/>
    <w:rsid w:val="007967D0"/>
    <w:rsid w:val="00796858"/>
    <w:rsid w:val="00796AB3"/>
    <w:rsid w:val="00796B09"/>
    <w:rsid w:val="00796BEB"/>
    <w:rsid w:val="00796E3D"/>
    <w:rsid w:val="0079766C"/>
    <w:rsid w:val="007976C5"/>
    <w:rsid w:val="00797773"/>
    <w:rsid w:val="00797A33"/>
    <w:rsid w:val="00797C4B"/>
    <w:rsid w:val="00797DF7"/>
    <w:rsid w:val="007A019B"/>
    <w:rsid w:val="007A0367"/>
    <w:rsid w:val="007A04BC"/>
    <w:rsid w:val="007A0599"/>
    <w:rsid w:val="007A082D"/>
    <w:rsid w:val="007A08DE"/>
    <w:rsid w:val="007A0D87"/>
    <w:rsid w:val="007A0DC0"/>
    <w:rsid w:val="007A0FD5"/>
    <w:rsid w:val="007A155E"/>
    <w:rsid w:val="007A157D"/>
    <w:rsid w:val="007A163F"/>
    <w:rsid w:val="007A167F"/>
    <w:rsid w:val="007A193C"/>
    <w:rsid w:val="007A1E12"/>
    <w:rsid w:val="007A1EE0"/>
    <w:rsid w:val="007A1EE3"/>
    <w:rsid w:val="007A20DD"/>
    <w:rsid w:val="007A2243"/>
    <w:rsid w:val="007A234F"/>
    <w:rsid w:val="007A23D1"/>
    <w:rsid w:val="007A2429"/>
    <w:rsid w:val="007A2455"/>
    <w:rsid w:val="007A2457"/>
    <w:rsid w:val="007A2483"/>
    <w:rsid w:val="007A2630"/>
    <w:rsid w:val="007A27A0"/>
    <w:rsid w:val="007A2C36"/>
    <w:rsid w:val="007A2C72"/>
    <w:rsid w:val="007A2D17"/>
    <w:rsid w:val="007A2ECA"/>
    <w:rsid w:val="007A3003"/>
    <w:rsid w:val="007A3986"/>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B54"/>
    <w:rsid w:val="007A6C2B"/>
    <w:rsid w:val="007A70AB"/>
    <w:rsid w:val="007A70C1"/>
    <w:rsid w:val="007A7128"/>
    <w:rsid w:val="007A736E"/>
    <w:rsid w:val="007A743B"/>
    <w:rsid w:val="007A74E1"/>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90"/>
    <w:rsid w:val="007B6BEF"/>
    <w:rsid w:val="007B6C3E"/>
    <w:rsid w:val="007B6D96"/>
    <w:rsid w:val="007B6DF1"/>
    <w:rsid w:val="007B6E3C"/>
    <w:rsid w:val="007B6E50"/>
    <w:rsid w:val="007B73E4"/>
    <w:rsid w:val="007B7A3A"/>
    <w:rsid w:val="007B7AE6"/>
    <w:rsid w:val="007C04B1"/>
    <w:rsid w:val="007C0B09"/>
    <w:rsid w:val="007C0DC3"/>
    <w:rsid w:val="007C1117"/>
    <w:rsid w:val="007C1443"/>
    <w:rsid w:val="007C156D"/>
    <w:rsid w:val="007C1981"/>
    <w:rsid w:val="007C1ADC"/>
    <w:rsid w:val="007C1EBE"/>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654"/>
    <w:rsid w:val="007C4864"/>
    <w:rsid w:val="007C49D2"/>
    <w:rsid w:val="007C4D9C"/>
    <w:rsid w:val="007C4DFD"/>
    <w:rsid w:val="007C50A8"/>
    <w:rsid w:val="007C51A4"/>
    <w:rsid w:val="007C51FA"/>
    <w:rsid w:val="007C5514"/>
    <w:rsid w:val="007C55C2"/>
    <w:rsid w:val="007C59E7"/>
    <w:rsid w:val="007C5B04"/>
    <w:rsid w:val="007C5D1D"/>
    <w:rsid w:val="007C5DE1"/>
    <w:rsid w:val="007C5F5F"/>
    <w:rsid w:val="007C6407"/>
    <w:rsid w:val="007C6835"/>
    <w:rsid w:val="007C688F"/>
    <w:rsid w:val="007C68D6"/>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7F1"/>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191"/>
    <w:rsid w:val="007E13A3"/>
    <w:rsid w:val="007E1435"/>
    <w:rsid w:val="007E14CF"/>
    <w:rsid w:val="007E1531"/>
    <w:rsid w:val="007E15CA"/>
    <w:rsid w:val="007E167C"/>
    <w:rsid w:val="007E16CF"/>
    <w:rsid w:val="007E1BEF"/>
    <w:rsid w:val="007E1C1C"/>
    <w:rsid w:val="007E1F90"/>
    <w:rsid w:val="007E2293"/>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50A"/>
    <w:rsid w:val="007E761A"/>
    <w:rsid w:val="007E7AD7"/>
    <w:rsid w:val="007E7DF4"/>
    <w:rsid w:val="007E7ED3"/>
    <w:rsid w:val="007E7EE2"/>
    <w:rsid w:val="007E7F95"/>
    <w:rsid w:val="007F02BA"/>
    <w:rsid w:val="007F075E"/>
    <w:rsid w:val="007F07AE"/>
    <w:rsid w:val="007F08B3"/>
    <w:rsid w:val="007F09FA"/>
    <w:rsid w:val="007F0C35"/>
    <w:rsid w:val="007F0C6A"/>
    <w:rsid w:val="007F0FD6"/>
    <w:rsid w:val="007F109E"/>
    <w:rsid w:val="007F1320"/>
    <w:rsid w:val="007F16CB"/>
    <w:rsid w:val="007F1709"/>
    <w:rsid w:val="007F1864"/>
    <w:rsid w:val="007F199C"/>
    <w:rsid w:val="007F1AF1"/>
    <w:rsid w:val="007F1B3D"/>
    <w:rsid w:val="007F1B44"/>
    <w:rsid w:val="007F1BB4"/>
    <w:rsid w:val="007F22F9"/>
    <w:rsid w:val="007F2509"/>
    <w:rsid w:val="007F255E"/>
    <w:rsid w:val="007F2637"/>
    <w:rsid w:val="007F26A3"/>
    <w:rsid w:val="007F2B0C"/>
    <w:rsid w:val="007F2EDF"/>
    <w:rsid w:val="007F31AB"/>
    <w:rsid w:val="007F32AE"/>
    <w:rsid w:val="007F33C2"/>
    <w:rsid w:val="007F34BD"/>
    <w:rsid w:val="007F3802"/>
    <w:rsid w:val="007F3AD1"/>
    <w:rsid w:val="007F3C5D"/>
    <w:rsid w:val="007F3D8E"/>
    <w:rsid w:val="007F3EB7"/>
    <w:rsid w:val="007F3F48"/>
    <w:rsid w:val="007F4162"/>
    <w:rsid w:val="007F457B"/>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B9A"/>
    <w:rsid w:val="007F6EFD"/>
    <w:rsid w:val="007F6F15"/>
    <w:rsid w:val="007F7080"/>
    <w:rsid w:val="007F70A1"/>
    <w:rsid w:val="007F72CE"/>
    <w:rsid w:val="007F74F9"/>
    <w:rsid w:val="007F7528"/>
    <w:rsid w:val="0080016C"/>
    <w:rsid w:val="008001CE"/>
    <w:rsid w:val="00800249"/>
    <w:rsid w:val="00800280"/>
    <w:rsid w:val="00800904"/>
    <w:rsid w:val="00800919"/>
    <w:rsid w:val="00800A8E"/>
    <w:rsid w:val="00800C4E"/>
    <w:rsid w:val="00800D8E"/>
    <w:rsid w:val="00800DEE"/>
    <w:rsid w:val="00800E4F"/>
    <w:rsid w:val="0080104C"/>
    <w:rsid w:val="008014CF"/>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BBD"/>
    <w:rsid w:val="00804C23"/>
    <w:rsid w:val="00804D33"/>
    <w:rsid w:val="00804F05"/>
    <w:rsid w:val="008052FD"/>
    <w:rsid w:val="00805538"/>
    <w:rsid w:val="00805763"/>
    <w:rsid w:val="00805C03"/>
    <w:rsid w:val="00805D99"/>
    <w:rsid w:val="0080611C"/>
    <w:rsid w:val="008061FF"/>
    <w:rsid w:val="0080631D"/>
    <w:rsid w:val="0080668A"/>
    <w:rsid w:val="00806957"/>
    <w:rsid w:val="008069EC"/>
    <w:rsid w:val="00806C4A"/>
    <w:rsid w:val="00806DDE"/>
    <w:rsid w:val="00807183"/>
    <w:rsid w:val="0080721C"/>
    <w:rsid w:val="008073FA"/>
    <w:rsid w:val="00807499"/>
    <w:rsid w:val="00807525"/>
    <w:rsid w:val="008075F7"/>
    <w:rsid w:val="008077D5"/>
    <w:rsid w:val="00807869"/>
    <w:rsid w:val="008078BF"/>
    <w:rsid w:val="00807A30"/>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1B"/>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7FA"/>
    <w:rsid w:val="00812D05"/>
    <w:rsid w:val="00812E97"/>
    <w:rsid w:val="00813005"/>
    <w:rsid w:val="008133C1"/>
    <w:rsid w:val="008135FE"/>
    <w:rsid w:val="00813756"/>
    <w:rsid w:val="008137B4"/>
    <w:rsid w:val="00813BE7"/>
    <w:rsid w:val="00813C24"/>
    <w:rsid w:val="00813F08"/>
    <w:rsid w:val="00813F36"/>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D77"/>
    <w:rsid w:val="00817EEC"/>
    <w:rsid w:val="00820288"/>
    <w:rsid w:val="008206CD"/>
    <w:rsid w:val="00820AB3"/>
    <w:rsid w:val="00821209"/>
    <w:rsid w:val="00821281"/>
    <w:rsid w:val="00821348"/>
    <w:rsid w:val="00821370"/>
    <w:rsid w:val="008214FC"/>
    <w:rsid w:val="0082174C"/>
    <w:rsid w:val="00821753"/>
    <w:rsid w:val="008218B4"/>
    <w:rsid w:val="008219D5"/>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473"/>
    <w:rsid w:val="00823672"/>
    <w:rsid w:val="00823849"/>
    <w:rsid w:val="00823979"/>
    <w:rsid w:val="00823B04"/>
    <w:rsid w:val="00823BC5"/>
    <w:rsid w:val="00823C8B"/>
    <w:rsid w:val="00823CBE"/>
    <w:rsid w:val="00823CE7"/>
    <w:rsid w:val="00823E22"/>
    <w:rsid w:val="008247AE"/>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92"/>
    <w:rsid w:val="008260AB"/>
    <w:rsid w:val="008263C1"/>
    <w:rsid w:val="008263E1"/>
    <w:rsid w:val="00826907"/>
    <w:rsid w:val="00826C10"/>
    <w:rsid w:val="00826CB3"/>
    <w:rsid w:val="00826EB9"/>
    <w:rsid w:val="0082700E"/>
    <w:rsid w:val="008270A9"/>
    <w:rsid w:val="00827320"/>
    <w:rsid w:val="00827366"/>
    <w:rsid w:val="008273DE"/>
    <w:rsid w:val="008274CC"/>
    <w:rsid w:val="00827F5D"/>
    <w:rsid w:val="008300DC"/>
    <w:rsid w:val="00830300"/>
    <w:rsid w:val="00830623"/>
    <w:rsid w:val="0083090B"/>
    <w:rsid w:val="00830A8F"/>
    <w:rsid w:val="00830C2B"/>
    <w:rsid w:val="0083123C"/>
    <w:rsid w:val="008312B0"/>
    <w:rsid w:val="008313E5"/>
    <w:rsid w:val="00831774"/>
    <w:rsid w:val="0083183F"/>
    <w:rsid w:val="00831A3C"/>
    <w:rsid w:val="00831B3D"/>
    <w:rsid w:val="00831BD9"/>
    <w:rsid w:val="00831D99"/>
    <w:rsid w:val="00831FA9"/>
    <w:rsid w:val="008323B0"/>
    <w:rsid w:val="008324E0"/>
    <w:rsid w:val="008326FC"/>
    <w:rsid w:val="00832890"/>
    <w:rsid w:val="0083290A"/>
    <w:rsid w:val="00832F7A"/>
    <w:rsid w:val="00833677"/>
    <w:rsid w:val="008337A3"/>
    <w:rsid w:val="0083395D"/>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77"/>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C1B"/>
    <w:rsid w:val="00843FB9"/>
    <w:rsid w:val="0084415C"/>
    <w:rsid w:val="00844428"/>
    <w:rsid w:val="0084476C"/>
    <w:rsid w:val="00844A39"/>
    <w:rsid w:val="0084509D"/>
    <w:rsid w:val="0084534E"/>
    <w:rsid w:val="00845604"/>
    <w:rsid w:val="00845C18"/>
    <w:rsid w:val="00845D51"/>
    <w:rsid w:val="00845D5A"/>
    <w:rsid w:val="008462D7"/>
    <w:rsid w:val="00846875"/>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7C5"/>
    <w:rsid w:val="00852842"/>
    <w:rsid w:val="0085291D"/>
    <w:rsid w:val="00852A4F"/>
    <w:rsid w:val="00852A85"/>
    <w:rsid w:val="00852EA6"/>
    <w:rsid w:val="00852F47"/>
    <w:rsid w:val="00852F5D"/>
    <w:rsid w:val="0085329A"/>
    <w:rsid w:val="00853515"/>
    <w:rsid w:val="008536A0"/>
    <w:rsid w:val="0085385B"/>
    <w:rsid w:val="008539BA"/>
    <w:rsid w:val="00853A25"/>
    <w:rsid w:val="00853A4A"/>
    <w:rsid w:val="00853C8C"/>
    <w:rsid w:val="00853D1D"/>
    <w:rsid w:val="00853D2C"/>
    <w:rsid w:val="00853DCF"/>
    <w:rsid w:val="00853F87"/>
    <w:rsid w:val="00853F94"/>
    <w:rsid w:val="008540C6"/>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45"/>
    <w:rsid w:val="008564A8"/>
    <w:rsid w:val="00856753"/>
    <w:rsid w:val="008568E5"/>
    <w:rsid w:val="00856A89"/>
    <w:rsid w:val="0085742E"/>
    <w:rsid w:val="00857749"/>
    <w:rsid w:val="00857882"/>
    <w:rsid w:val="00857889"/>
    <w:rsid w:val="0085793E"/>
    <w:rsid w:val="00857AF5"/>
    <w:rsid w:val="008600D4"/>
    <w:rsid w:val="00860211"/>
    <w:rsid w:val="00860418"/>
    <w:rsid w:val="008604D4"/>
    <w:rsid w:val="00860614"/>
    <w:rsid w:val="0086081D"/>
    <w:rsid w:val="00860AE9"/>
    <w:rsid w:val="00860BD7"/>
    <w:rsid w:val="00860E03"/>
    <w:rsid w:val="008611C9"/>
    <w:rsid w:val="008613B8"/>
    <w:rsid w:val="008618B4"/>
    <w:rsid w:val="008618FA"/>
    <w:rsid w:val="00861B50"/>
    <w:rsid w:val="00861B6C"/>
    <w:rsid w:val="00861C42"/>
    <w:rsid w:val="00861C46"/>
    <w:rsid w:val="00861C4F"/>
    <w:rsid w:val="00861D04"/>
    <w:rsid w:val="00861D84"/>
    <w:rsid w:val="008622FF"/>
    <w:rsid w:val="00862479"/>
    <w:rsid w:val="008625A1"/>
    <w:rsid w:val="008626CC"/>
    <w:rsid w:val="008627F4"/>
    <w:rsid w:val="008628E9"/>
    <w:rsid w:val="00862AC5"/>
    <w:rsid w:val="00862B0F"/>
    <w:rsid w:val="00862B1B"/>
    <w:rsid w:val="00862C8A"/>
    <w:rsid w:val="00862CB3"/>
    <w:rsid w:val="00862F19"/>
    <w:rsid w:val="008633A2"/>
    <w:rsid w:val="008634F7"/>
    <w:rsid w:val="008638CC"/>
    <w:rsid w:val="00863BBD"/>
    <w:rsid w:val="00863C9D"/>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74D3"/>
    <w:rsid w:val="00867712"/>
    <w:rsid w:val="00867B19"/>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0F1"/>
    <w:rsid w:val="008727CF"/>
    <w:rsid w:val="008727D4"/>
    <w:rsid w:val="00872A17"/>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D85"/>
    <w:rsid w:val="00875ED9"/>
    <w:rsid w:val="00875EEA"/>
    <w:rsid w:val="00875FAB"/>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BA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F12"/>
    <w:rsid w:val="008850C2"/>
    <w:rsid w:val="008850EF"/>
    <w:rsid w:val="008851ED"/>
    <w:rsid w:val="00885409"/>
    <w:rsid w:val="00885448"/>
    <w:rsid w:val="00885633"/>
    <w:rsid w:val="00885811"/>
    <w:rsid w:val="00885D46"/>
    <w:rsid w:val="00885D73"/>
    <w:rsid w:val="00885EB7"/>
    <w:rsid w:val="00885F02"/>
    <w:rsid w:val="008861C6"/>
    <w:rsid w:val="0088631A"/>
    <w:rsid w:val="00886533"/>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C8C"/>
    <w:rsid w:val="00887E69"/>
    <w:rsid w:val="00887F78"/>
    <w:rsid w:val="008900C0"/>
    <w:rsid w:val="008900F3"/>
    <w:rsid w:val="00890728"/>
    <w:rsid w:val="00890780"/>
    <w:rsid w:val="00890812"/>
    <w:rsid w:val="00890A87"/>
    <w:rsid w:val="00890FAB"/>
    <w:rsid w:val="0089125B"/>
    <w:rsid w:val="008912F8"/>
    <w:rsid w:val="0089130C"/>
    <w:rsid w:val="00891B95"/>
    <w:rsid w:val="00891CB4"/>
    <w:rsid w:val="00891CBC"/>
    <w:rsid w:val="008923EF"/>
    <w:rsid w:val="00892554"/>
    <w:rsid w:val="008927ED"/>
    <w:rsid w:val="0089297A"/>
    <w:rsid w:val="00892A3A"/>
    <w:rsid w:val="00892A8C"/>
    <w:rsid w:val="00892DD0"/>
    <w:rsid w:val="00892DDB"/>
    <w:rsid w:val="00893391"/>
    <w:rsid w:val="008933EB"/>
    <w:rsid w:val="00893435"/>
    <w:rsid w:val="00893470"/>
    <w:rsid w:val="0089394D"/>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5BD8"/>
    <w:rsid w:val="00896127"/>
    <w:rsid w:val="00896206"/>
    <w:rsid w:val="008968C2"/>
    <w:rsid w:val="00896964"/>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CC1"/>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398"/>
    <w:rsid w:val="008A5582"/>
    <w:rsid w:val="008A5883"/>
    <w:rsid w:val="008A5A2E"/>
    <w:rsid w:val="008A5A78"/>
    <w:rsid w:val="008A5EC5"/>
    <w:rsid w:val="008A5ED2"/>
    <w:rsid w:val="008A5F93"/>
    <w:rsid w:val="008A6082"/>
    <w:rsid w:val="008A60B6"/>
    <w:rsid w:val="008A613D"/>
    <w:rsid w:val="008A632B"/>
    <w:rsid w:val="008A6594"/>
    <w:rsid w:val="008A66CE"/>
    <w:rsid w:val="008A6703"/>
    <w:rsid w:val="008A678E"/>
    <w:rsid w:val="008A6819"/>
    <w:rsid w:val="008A6B15"/>
    <w:rsid w:val="008A6E91"/>
    <w:rsid w:val="008A7036"/>
    <w:rsid w:val="008A7407"/>
    <w:rsid w:val="008A7410"/>
    <w:rsid w:val="008A7567"/>
    <w:rsid w:val="008A75EE"/>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3FC"/>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075"/>
    <w:rsid w:val="008B3113"/>
    <w:rsid w:val="008B350D"/>
    <w:rsid w:val="008B3586"/>
    <w:rsid w:val="008B3CD3"/>
    <w:rsid w:val="008B3EB4"/>
    <w:rsid w:val="008B3EE8"/>
    <w:rsid w:val="008B400F"/>
    <w:rsid w:val="008B4139"/>
    <w:rsid w:val="008B41F0"/>
    <w:rsid w:val="008B42B2"/>
    <w:rsid w:val="008B44EB"/>
    <w:rsid w:val="008B4527"/>
    <w:rsid w:val="008B4566"/>
    <w:rsid w:val="008B482A"/>
    <w:rsid w:val="008B49B0"/>
    <w:rsid w:val="008B4A8E"/>
    <w:rsid w:val="008B4C73"/>
    <w:rsid w:val="008B4DD3"/>
    <w:rsid w:val="008B4E26"/>
    <w:rsid w:val="008B4E67"/>
    <w:rsid w:val="008B5270"/>
    <w:rsid w:val="008B5336"/>
    <w:rsid w:val="008B5785"/>
    <w:rsid w:val="008B59C0"/>
    <w:rsid w:val="008B5AB2"/>
    <w:rsid w:val="008B5FFB"/>
    <w:rsid w:val="008B6197"/>
    <w:rsid w:val="008B6220"/>
    <w:rsid w:val="008B63E5"/>
    <w:rsid w:val="008B640F"/>
    <w:rsid w:val="008B645E"/>
    <w:rsid w:val="008B675D"/>
    <w:rsid w:val="008B6A03"/>
    <w:rsid w:val="008B6A3E"/>
    <w:rsid w:val="008B6AAE"/>
    <w:rsid w:val="008B6B85"/>
    <w:rsid w:val="008B7090"/>
    <w:rsid w:val="008B71F9"/>
    <w:rsid w:val="008B7214"/>
    <w:rsid w:val="008B7283"/>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431"/>
    <w:rsid w:val="008C245A"/>
    <w:rsid w:val="008C25BB"/>
    <w:rsid w:val="008C2847"/>
    <w:rsid w:val="008C29A0"/>
    <w:rsid w:val="008C2ADD"/>
    <w:rsid w:val="008C2C38"/>
    <w:rsid w:val="008C2D87"/>
    <w:rsid w:val="008C2E0B"/>
    <w:rsid w:val="008C30E5"/>
    <w:rsid w:val="008C3214"/>
    <w:rsid w:val="008C3AB7"/>
    <w:rsid w:val="008C3C01"/>
    <w:rsid w:val="008C3F40"/>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D28"/>
    <w:rsid w:val="008E06D4"/>
    <w:rsid w:val="008E07AB"/>
    <w:rsid w:val="008E07E6"/>
    <w:rsid w:val="008E0855"/>
    <w:rsid w:val="008E099B"/>
    <w:rsid w:val="008E0A61"/>
    <w:rsid w:val="008E0FBB"/>
    <w:rsid w:val="008E1624"/>
    <w:rsid w:val="008E180F"/>
    <w:rsid w:val="008E1970"/>
    <w:rsid w:val="008E1A99"/>
    <w:rsid w:val="008E1D36"/>
    <w:rsid w:val="008E1E77"/>
    <w:rsid w:val="008E1EC8"/>
    <w:rsid w:val="008E1F5F"/>
    <w:rsid w:val="008E1FA7"/>
    <w:rsid w:val="008E207F"/>
    <w:rsid w:val="008E20F0"/>
    <w:rsid w:val="008E20FC"/>
    <w:rsid w:val="008E218C"/>
    <w:rsid w:val="008E28A5"/>
    <w:rsid w:val="008E298E"/>
    <w:rsid w:val="008E2DEF"/>
    <w:rsid w:val="008E2EA9"/>
    <w:rsid w:val="008E2F78"/>
    <w:rsid w:val="008E2FB9"/>
    <w:rsid w:val="008E308B"/>
    <w:rsid w:val="008E3292"/>
    <w:rsid w:val="008E3B5B"/>
    <w:rsid w:val="008E3C89"/>
    <w:rsid w:val="008E3CA1"/>
    <w:rsid w:val="008E3CEB"/>
    <w:rsid w:val="008E3CF9"/>
    <w:rsid w:val="008E3D68"/>
    <w:rsid w:val="008E4046"/>
    <w:rsid w:val="008E41CA"/>
    <w:rsid w:val="008E4234"/>
    <w:rsid w:val="008E4366"/>
    <w:rsid w:val="008E43BE"/>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45E"/>
    <w:rsid w:val="008E6638"/>
    <w:rsid w:val="008E6698"/>
    <w:rsid w:val="008E66F0"/>
    <w:rsid w:val="008E69A1"/>
    <w:rsid w:val="008E6A88"/>
    <w:rsid w:val="008E6ACE"/>
    <w:rsid w:val="008E6AF8"/>
    <w:rsid w:val="008E6DA9"/>
    <w:rsid w:val="008E7545"/>
    <w:rsid w:val="008F0102"/>
    <w:rsid w:val="008F01F5"/>
    <w:rsid w:val="008F0795"/>
    <w:rsid w:val="008F07C6"/>
    <w:rsid w:val="008F084E"/>
    <w:rsid w:val="008F08B0"/>
    <w:rsid w:val="008F0F1F"/>
    <w:rsid w:val="008F0FEA"/>
    <w:rsid w:val="008F115D"/>
    <w:rsid w:val="008F13B1"/>
    <w:rsid w:val="008F13F7"/>
    <w:rsid w:val="008F1714"/>
    <w:rsid w:val="008F179C"/>
    <w:rsid w:val="008F1957"/>
    <w:rsid w:val="008F19F6"/>
    <w:rsid w:val="008F1D28"/>
    <w:rsid w:val="008F2218"/>
    <w:rsid w:val="008F22A6"/>
    <w:rsid w:val="008F2342"/>
    <w:rsid w:val="008F23EF"/>
    <w:rsid w:val="008F245D"/>
    <w:rsid w:val="008F24D9"/>
    <w:rsid w:val="008F2700"/>
    <w:rsid w:val="008F2982"/>
    <w:rsid w:val="008F298A"/>
    <w:rsid w:val="008F2A75"/>
    <w:rsid w:val="008F2DCE"/>
    <w:rsid w:val="008F2F30"/>
    <w:rsid w:val="008F334F"/>
    <w:rsid w:val="008F3A24"/>
    <w:rsid w:val="008F3CB2"/>
    <w:rsid w:val="008F3DCB"/>
    <w:rsid w:val="008F40F9"/>
    <w:rsid w:val="008F475C"/>
    <w:rsid w:val="008F47BE"/>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FE"/>
    <w:rsid w:val="0090404C"/>
    <w:rsid w:val="009043BA"/>
    <w:rsid w:val="009044EA"/>
    <w:rsid w:val="0090463B"/>
    <w:rsid w:val="009046D4"/>
    <w:rsid w:val="00904925"/>
    <w:rsid w:val="00904AF3"/>
    <w:rsid w:val="00904DCE"/>
    <w:rsid w:val="0090517C"/>
    <w:rsid w:val="0090539C"/>
    <w:rsid w:val="009053FA"/>
    <w:rsid w:val="009057AC"/>
    <w:rsid w:val="00905823"/>
    <w:rsid w:val="00905A08"/>
    <w:rsid w:val="00905BC2"/>
    <w:rsid w:val="00905C79"/>
    <w:rsid w:val="00905E5C"/>
    <w:rsid w:val="00905EAF"/>
    <w:rsid w:val="00905FC6"/>
    <w:rsid w:val="00906996"/>
    <w:rsid w:val="009069A3"/>
    <w:rsid w:val="00906D3B"/>
    <w:rsid w:val="00906E61"/>
    <w:rsid w:val="00907066"/>
    <w:rsid w:val="0090717F"/>
    <w:rsid w:val="009075C0"/>
    <w:rsid w:val="00907B53"/>
    <w:rsid w:val="00907DC8"/>
    <w:rsid w:val="00910070"/>
    <w:rsid w:val="00910091"/>
    <w:rsid w:val="0091013C"/>
    <w:rsid w:val="00910446"/>
    <w:rsid w:val="00910647"/>
    <w:rsid w:val="0091081D"/>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1A7"/>
    <w:rsid w:val="00912218"/>
    <w:rsid w:val="009125E8"/>
    <w:rsid w:val="0091271A"/>
    <w:rsid w:val="0091285C"/>
    <w:rsid w:val="00912C4A"/>
    <w:rsid w:val="00913077"/>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A84"/>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94"/>
    <w:rsid w:val="00922AA6"/>
    <w:rsid w:val="00922BE5"/>
    <w:rsid w:val="00922C9F"/>
    <w:rsid w:val="00923034"/>
    <w:rsid w:val="009231DA"/>
    <w:rsid w:val="00923234"/>
    <w:rsid w:val="00923842"/>
    <w:rsid w:val="009238E8"/>
    <w:rsid w:val="009239EC"/>
    <w:rsid w:val="00923C11"/>
    <w:rsid w:val="00923CEE"/>
    <w:rsid w:val="00923DA7"/>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B27"/>
    <w:rsid w:val="00932B6D"/>
    <w:rsid w:val="00932D38"/>
    <w:rsid w:val="00932D76"/>
    <w:rsid w:val="00932EB3"/>
    <w:rsid w:val="00932F41"/>
    <w:rsid w:val="00933004"/>
    <w:rsid w:val="00933215"/>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0EF"/>
    <w:rsid w:val="009401D0"/>
    <w:rsid w:val="00940263"/>
    <w:rsid w:val="009403C7"/>
    <w:rsid w:val="00940474"/>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A0D"/>
    <w:rsid w:val="00943170"/>
    <w:rsid w:val="009431E8"/>
    <w:rsid w:val="00943325"/>
    <w:rsid w:val="009436D4"/>
    <w:rsid w:val="0094371D"/>
    <w:rsid w:val="00943A66"/>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DB"/>
    <w:rsid w:val="009465FF"/>
    <w:rsid w:val="00946666"/>
    <w:rsid w:val="009468A6"/>
    <w:rsid w:val="009469D8"/>
    <w:rsid w:val="00946AA1"/>
    <w:rsid w:val="00946BDB"/>
    <w:rsid w:val="00946CCD"/>
    <w:rsid w:val="00946DF8"/>
    <w:rsid w:val="00947531"/>
    <w:rsid w:val="0094774C"/>
    <w:rsid w:val="00947C7A"/>
    <w:rsid w:val="00950054"/>
    <w:rsid w:val="009500EF"/>
    <w:rsid w:val="009503F9"/>
    <w:rsid w:val="0095068D"/>
    <w:rsid w:val="00950706"/>
    <w:rsid w:val="009508D2"/>
    <w:rsid w:val="00950AAC"/>
    <w:rsid w:val="00950AB4"/>
    <w:rsid w:val="00951531"/>
    <w:rsid w:val="00951758"/>
    <w:rsid w:val="009517B8"/>
    <w:rsid w:val="009519F3"/>
    <w:rsid w:val="00951A27"/>
    <w:rsid w:val="00951D82"/>
    <w:rsid w:val="00951DE6"/>
    <w:rsid w:val="00952277"/>
    <w:rsid w:val="0095251F"/>
    <w:rsid w:val="009525DB"/>
    <w:rsid w:val="00952604"/>
    <w:rsid w:val="00952779"/>
    <w:rsid w:val="00952801"/>
    <w:rsid w:val="00952846"/>
    <w:rsid w:val="00952860"/>
    <w:rsid w:val="0095293C"/>
    <w:rsid w:val="00952AF8"/>
    <w:rsid w:val="00952BCC"/>
    <w:rsid w:val="00952DF4"/>
    <w:rsid w:val="00952F68"/>
    <w:rsid w:val="00952FDE"/>
    <w:rsid w:val="00952FF7"/>
    <w:rsid w:val="009533F0"/>
    <w:rsid w:val="0095370F"/>
    <w:rsid w:val="00953740"/>
    <w:rsid w:val="009538E8"/>
    <w:rsid w:val="00953904"/>
    <w:rsid w:val="00953A28"/>
    <w:rsid w:val="00953C20"/>
    <w:rsid w:val="00953EB0"/>
    <w:rsid w:val="009540A7"/>
    <w:rsid w:val="00954128"/>
    <w:rsid w:val="009547A7"/>
    <w:rsid w:val="00954DB9"/>
    <w:rsid w:val="00954F12"/>
    <w:rsid w:val="0095502C"/>
    <w:rsid w:val="009552E8"/>
    <w:rsid w:val="00955C13"/>
    <w:rsid w:val="00955DA2"/>
    <w:rsid w:val="00955EE1"/>
    <w:rsid w:val="00956060"/>
    <w:rsid w:val="009561D9"/>
    <w:rsid w:val="0095632F"/>
    <w:rsid w:val="0095634D"/>
    <w:rsid w:val="00956636"/>
    <w:rsid w:val="00956C12"/>
    <w:rsid w:val="00956DAB"/>
    <w:rsid w:val="009576B3"/>
    <w:rsid w:val="00957747"/>
    <w:rsid w:val="009578F0"/>
    <w:rsid w:val="00957AE1"/>
    <w:rsid w:val="00957C00"/>
    <w:rsid w:val="00957C4E"/>
    <w:rsid w:val="00957CB5"/>
    <w:rsid w:val="00957FBA"/>
    <w:rsid w:val="009606E9"/>
    <w:rsid w:val="0096076A"/>
    <w:rsid w:val="00960981"/>
    <w:rsid w:val="009609D0"/>
    <w:rsid w:val="00960C9C"/>
    <w:rsid w:val="00960E19"/>
    <w:rsid w:val="00960E79"/>
    <w:rsid w:val="00960E85"/>
    <w:rsid w:val="00960EF2"/>
    <w:rsid w:val="00960F82"/>
    <w:rsid w:val="009610BE"/>
    <w:rsid w:val="0096114D"/>
    <w:rsid w:val="00961307"/>
    <w:rsid w:val="0096138C"/>
    <w:rsid w:val="009614A4"/>
    <w:rsid w:val="009615D5"/>
    <w:rsid w:val="0096191D"/>
    <w:rsid w:val="00961935"/>
    <w:rsid w:val="00961E94"/>
    <w:rsid w:val="0096204D"/>
    <w:rsid w:val="009620AB"/>
    <w:rsid w:val="009623CA"/>
    <w:rsid w:val="0096292A"/>
    <w:rsid w:val="00962995"/>
    <w:rsid w:val="0096299A"/>
    <w:rsid w:val="00962B1A"/>
    <w:rsid w:val="00962B51"/>
    <w:rsid w:val="009632EE"/>
    <w:rsid w:val="009634DD"/>
    <w:rsid w:val="00963547"/>
    <w:rsid w:val="009636E9"/>
    <w:rsid w:val="00963710"/>
    <w:rsid w:val="009637A9"/>
    <w:rsid w:val="00963872"/>
    <w:rsid w:val="00963C5A"/>
    <w:rsid w:val="00963F36"/>
    <w:rsid w:val="00964197"/>
    <w:rsid w:val="00964293"/>
    <w:rsid w:val="00964A43"/>
    <w:rsid w:val="00964B95"/>
    <w:rsid w:val="00964C01"/>
    <w:rsid w:val="00964C61"/>
    <w:rsid w:val="00964C79"/>
    <w:rsid w:val="00964CEF"/>
    <w:rsid w:val="00964DC8"/>
    <w:rsid w:val="00964F8C"/>
    <w:rsid w:val="0096555E"/>
    <w:rsid w:val="0096572F"/>
    <w:rsid w:val="00965818"/>
    <w:rsid w:val="00965B06"/>
    <w:rsid w:val="00965E07"/>
    <w:rsid w:val="00965F96"/>
    <w:rsid w:val="0096609A"/>
    <w:rsid w:val="00966189"/>
    <w:rsid w:val="00966A2D"/>
    <w:rsid w:val="00966D41"/>
    <w:rsid w:val="0096713B"/>
    <w:rsid w:val="0096720F"/>
    <w:rsid w:val="00967210"/>
    <w:rsid w:val="009672D3"/>
    <w:rsid w:val="00967513"/>
    <w:rsid w:val="00967A58"/>
    <w:rsid w:val="00967D01"/>
    <w:rsid w:val="00967D0F"/>
    <w:rsid w:val="00967E67"/>
    <w:rsid w:val="00967ECC"/>
    <w:rsid w:val="009706BF"/>
    <w:rsid w:val="00970862"/>
    <w:rsid w:val="0097086F"/>
    <w:rsid w:val="00970C01"/>
    <w:rsid w:val="00970E59"/>
    <w:rsid w:val="00970F06"/>
    <w:rsid w:val="00971237"/>
    <w:rsid w:val="00971511"/>
    <w:rsid w:val="0097185C"/>
    <w:rsid w:val="0097190C"/>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EBB"/>
    <w:rsid w:val="00973416"/>
    <w:rsid w:val="0097347E"/>
    <w:rsid w:val="009736C3"/>
    <w:rsid w:val="0097397D"/>
    <w:rsid w:val="00973C21"/>
    <w:rsid w:val="00973C4C"/>
    <w:rsid w:val="00973C88"/>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649"/>
    <w:rsid w:val="009808AF"/>
    <w:rsid w:val="009809EA"/>
    <w:rsid w:val="00980A46"/>
    <w:rsid w:val="00980AEB"/>
    <w:rsid w:val="00980B8F"/>
    <w:rsid w:val="00980EC9"/>
    <w:rsid w:val="00981009"/>
    <w:rsid w:val="00981129"/>
    <w:rsid w:val="0098138D"/>
    <w:rsid w:val="0098165B"/>
    <w:rsid w:val="00981D34"/>
    <w:rsid w:val="00981DCC"/>
    <w:rsid w:val="009820D0"/>
    <w:rsid w:val="0098229E"/>
    <w:rsid w:val="00982649"/>
    <w:rsid w:val="009827D6"/>
    <w:rsid w:val="009828C1"/>
    <w:rsid w:val="00982AB7"/>
    <w:rsid w:val="00982C2F"/>
    <w:rsid w:val="00982E88"/>
    <w:rsid w:val="00982EDC"/>
    <w:rsid w:val="009836AB"/>
    <w:rsid w:val="009836F3"/>
    <w:rsid w:val="009839ED"/>
    <w:rsid w:val="00983DF4"/>
    <w:rsid w:val="00984072"/>
    <w:rsid w:val="009840B2"/>
    <w:rsid w:val="009841EB"/>
    <w:rsid w:val="0098446D"/>
    <w:rsid w:val="009846CB"/>
    <w:rsid w:val="00984798"/>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5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D30"/>
    <w:rsid w:val="00997E5D"/>
    <w:rsid w:val="009A021D"/>
    <w:rsid w:val="009A0512"/>
    <w:rsid w:val="009A0D3B"/>
    <w:rsid w:val="009A0F97"/>
    <w:rsid w:val="009A120B"/>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45C"/>
    <w:rsid w:val="009A496E"/>
    <w:rsid w:val="009A4BFB"/>
    <w:rsid w:val="009A4C5A"/>
    <w:rsid w:val="009A4C6B"/>
    <w:rsid w:val="009A4D1D"/>
    <w:rsid w:val="009A5244"/>
    <w:rsid w:val="009A534F"/>
    <w:rsid w:val="009A5429"/>
    <w:rsid w:val="009A5677"/>
    <w:rsid w:val="009A585D"/>
    <w:rsid w:val="009A59E9"/>
    <w:rsid w:val="009A5D2A"/>
    <w:rsid w:val="009A5E2B"/>
    <w:rsid w:val="009A62D2"/>
    <w:rsid w:val="009A6737"/>
    <w:rsid w:val="009A6B12"/>
    <w:rsid w:val="009A6E3E"/>
    <w:rsid w:val="009A715B"/>
    <w:rsid w:val="009A720E"/>
    <w:rsid w:val="009A72D1"/>
    <w:rsid w:val="009A73D5"/>
    <w:rsid w:val="009A76CA"/>
    <w:rsid w:val="009A7727"/>
    <w:rsid w:val="009A78B4"/>
    <w:rsid w:val="009A7D7B"/>
    <w:rsid w:val="009A7E5E"/>
    <w:rsid w:val="009B0014"/>
    <w:rsid w:val="009B0059"/>
    <w:rsid w:val="009B017F"/>
    <w:rsid w:val="009B03C2"/>
    <w:rsid w:val="009B04AB"/>
    <w:rsid w:val="009B091A"/>
    <w:rsid w:val="009B0A64"/>
    <w:rsid w:val="009B0AD7"/>
    <w:rsid w:val="009B0BE2"/>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9A1"/>
    <w:rsid w:val="009B3A11"/>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50D4"/>
    <w:rsid w:val="009B511C"/>
    <w:rsid w:val="009B51FB"/>
    <w:rsid w:val="009B53FA"/>
    <w:rsid w:val="009B5488"/>
    <w:rsid w:val="009B55F9"/>
    <w:rsid w:val="009B573E"/>
    <w:rsid w:val="009B5ABB"/>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E93"/>
    <w:rsid w:val="009C004B"/>
    <w:rsid w:val="009C02F4"/>
    <w:rsid w:val="009C0529"/>
    <w:rsid w:val="009C08FE"/>
    <w:rsid w:val="009C0B37"/>
    <w:rsid w:val="009C0E08"/>
    <w:rsid w:val="009C113D"/>
    <w:rsid w:val="009C11C0"/>
    <w:rsid w:val="009C15EC"/>
    <w:rsid w:val="009C15F0"/>
    <w:rsid w:val="009C16A5"/>
    <w:rsid w:val="009C1993"/>
    <w:rsid w:val="009C199B"/>
    <w:rsid w:val="009C1D81"/>
    <w:rsid w:val="009C1D8C"/>
    <w:rsid w:val="009C1FBB"/>
    <w:rsid w:val="009C1FCE"/>
    <w:rsid w:val="009C2579"/>
    <w:rsid w:val="009C25D7"/>
    <w:rsid w:val="009C2819"/>
    <w:rsid w:val="009C2AD3"/>
    <w:rsid w:val="009C2E42"/>
    <w:rsid w:val="009C3097"/>
    <w:rsid w:val="009C32A3"/>
    <w:rsid w:val="009C3486"/>
    <w:rsid w:val="009C3875"/>
    <w:rsid w:val="009C3CF4"/>
    <w:rsid w:val="009C3CFE"/>
    <w:rsid w:val="009C3EA4"/>
    <w:rsid w:val="009C406A"/>
    <w:rsid w:val="009C42EE"/>
    <w:rsid w:val="009C44CD"/>
    <w:rsid w:val="009C45C5"/>
    <w:rsid w:val="009C45EF"/>
    <w:rsid w:val="009C49DA"/>
    <w:rsid w:val="009C4B2A"/>
    <w:rsid w:val="009C4C3A"/>
    <w:rsid w:val="009C4CA4"/>
    <w:rsid w:val="009C504B"/>
    <w:rsid w:val="009C51B7"/>
    <w:rsid w:val="009C51EC"/>
    <w:rsid w:val="009C5292"/>
    <w:rsid w:val="009C5545"/>
    <w:rsid w:val="009C56FA"/>
    <w:rsid w:val="009C5A5E"/>
    <w:rsid w:val="009C5CBE"/>
    <w:rsid w:val="009C6149"/>
    <w:rsid w:val="009C6159"/>
    <w:rsid w:val="009C6161"/>
    <w:rsid w:val="009C61AE"/>
    <w:rsid w:val="009C62AC"/>
    <w:rsid w:val="009C62D6"/>
    <w:rsid w:val="009C63AB"/>
    <w:rsid w:val="009C64C7"/>
    <w:rsid w:val="009C66AE"/>
    <w:rsid w:val="009C671A"/>
    <w:rsid w:val="009C687F"/>
    <w:rsid w:val="009C692B"/>
    <w:rsid w:val="009C6CAF"/>
    <w:rsid w:val="009C6CBB"/>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8D0"/>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316B"/>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166"/>
    <w:rsid w:val="009E027C"/>
    <w:rsid w:val="009E064C"/>
    <w:rsid w:val="009E06B6"/>
    <w:rsid w:val="009E0759"/>
    <w:rsid w:val="009E07FC"/>
    <w:rsid w:val="009E08D7"/>
    <w:rsid w:val="009E0BBC"/>
    <w:rsid w:val="009E0D71"/>
    <w:rsid w:val="009E0DDB"/>
    <w:rsid w:val="009E1097"/>
    <w:rsid w:val="009E1130"/>
    <w:rsid w:val="009E11CA"/>
    <w:rsid w:val="009E12DF"/>
    <w:rsid w:val="009E143A"/>
    <w:rsid w:val="009E154F"/>
    <w:rsid w:val="009E1AC7"/>
    <w:rsid w:val="009E1ACA"/>
    <w:rsid w:val="009E1B56"/>
    <w:rsid w:val="009E1DFD"/>
    <w:rsid w:val="009E1E0B"/>
    <w:rsid w:val="009E1E2C"/>
    <w:rsid w:val="009E2533"/>
    <w:rsid w:val="009E25AA"/>
    <w:rsid w:val="009E267A"/>
    <w:rsid w:val="009E2709"/>
    <w:rsid w:val="009E271E"/>
    <w:rsid w:val="009E28FB"/>
    <w:rsid w:val="009E302B"/>
    <w:rsid w:val="009E3533"/>
    <w:rsid w:val="009E398D"/>
    <w:rsid w:val="009E39AA"/>
    <w:rsid w:val="009E4A6A"/>
    <w:rsid w:val="009E505E"/>
    <w:rsid w:val="009E51F0"/>
    <w:rsid w:val="009E53B0"/>
    <w:rsid w:val="009E5427"/>
    <w:rsid w:val="009E55B5"/>
    <w:rsid w:val="009E5615"/>
    <w:rsid w:val="009E568E"/>
    <w:rsid w:val="009E56FE"/>
    <w:rsid w:val="009E5C9C"/>
    <w:rsid w:val="009E5DAC"/>
    <w:rsid w:val="009E5E80"/>
    <w:rsid w:val="009E5E96"/>
    <w:rsid w:val="009E5EDD"/>
    <w:rsid w:val="009E5FEB"/>
    <w:rsid w:val="009E6181"/>
    <w:rsid w:val="009E6204"/>
    <w:rsid w:val="009E634C"/>
    <w:rsid w:val="009E63CD"/>
    <w:rsid w:val="009E6783"/>
    <w:rsid w:val="009E688E"/>
    <w:rsid w:val="009E69D7"/>
    <w:rsid w:val="009E6A7A"/>
    <w:rsid w:val="009E6A9C"/>
    <w:rsid w:val="009E6B2A"/>
    <w:rsid w:val="009E6C6E"/>
    <w:rsid w:val="009E6F1A"/>
    <w:rsid w:val="009E7A72"/>
    <w:rsid w:val="009E7EC0"/>
    <w:rsid w:val="009F0011"/>
    <w:rsid w:val="009F062E"/>
    <w:rsid w:val="009F066D"/>
    <w:rsid w:val="009F06A9"/>
    <w:rsid w:val="009F0D6F"/>
    <w:rsid w:val="009F0FFD"/>
    <w:rsid w:val="009F1428"/>
    <w:rsid w:val="009F152C"/>
    <w:rsid w:val="009F178C"/>
    <w:rsid w:val="009F19FC"/>
    <w:rsid w:val="009F1AAB"/>
    <w:rsid w:val="009F1B6E"/>
    <w:rsid w:val="009F1E22"/>
    <w:rsid w:val="009F2076"/>
    <w:rsid w:val="009F2295"/>
    <w:rsid w:val="009F2467"/>
    <w:rsid w:val="009F297A"/>
    <w:rsid w:val="009F2B85"/>
    <w:rsid w:val="009F302A"/>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C1B"/>
    <w:rsid w:val="009F4ED4"/>
    <w:rsid w:val="009F4F96"/>
    <w:rsid w:val="009F503C"/>
    <w:rsid w:val="009F50B1"/>
    <w:rsid w:val="009F5151"/>
    <w:rsid w:val="009F515D"/>
    <w:rsid w:val="009F51C0"/>
    <w:rsid w:val="009F5335"/>
    <w:rsid w:val="009F5469"/>
    <w:rsid w:val="009F54C4"/>
    <w:rsid w:val="009F587E"/>
    <w:rsid w:val="009F58AE"/>
    <w:rsid w:val="009F60B3"/>
    <w:rsid w:val="009F6157"/>
    <w:rsid w:val="009F62E7"/>
    <w:rsid w:val="009F6691"/>
    <w:rsid w:val="009F6825"/>
    <w:rsid w:val="009F6847"/>
    <w:rsid w:val="009F6B7C"/>
    <w:rsid w:val="009F6DF8"/>
    <w:rsid w:val="009F6E76"/>
    <w:rsid w:val="009F7088"/>
    <w:rsid w:val="009F727D"/>
    <w:rsid w:val="009F736A"/>
    <w:rsid w:val="009F761D"/>
    <w:rsid w:val="009F7866"/>
    <w:rsid w:val="009F7902"/>
    <w:rsid w:val="00A00029"/>
    <w:rsid w:val="00A000E8"/>
    <w:rsid w:val="00A00524"/>
    <w:rsid w:val="00A00581"/>
    <w:rsid w:val="00A0083F"/>
    <w:rsid w:val="00A008A5"/>
    <w:rsid w:val="00A0092F"/>
    <w:rsid w:val="00A00AFF"/>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C10"/>
    <w:rsid w:val="00A01DC9"/>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026"/>
    <w:rsid w:val="00A0511E"/>
    <w:rsid w:val="00A052ED"/>
    <w:rsid w:val="00A05371"/>
    <w:rsid w:val="00A054C9"/>
    <w:rsid w:val="00A05AC6"/>
    <w:rsid w:val="00A060B4"/>
    <w:rsid w:val="00A060EB"/>
    <w:rsid w:val="00A0636B"/>
    <w:rsid w:val="00A06CF7"/>
    <w:rsid w:val="00A06D47"/>
    <w:rsid w:val="00A06D88"/>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E32"/>
    <w:rsid w:val="00A11F12"/>
    <w:rsid w:val="00A11FD6"/>
    <w:rsid w:val="00A12425"/>
    <w:rsid w:val="00A12641"/>
    <w:rsid w:val="00A126A9"/>
    <w:rsid w:val="00A1279B"/>
    <w:rsid w:val="00A12815"/>
    <w:rsid w:val="00A128F8"/>
    <w:rsid w:val="00A12AB9"/>
    <w:rsid w:val="00A12F49"/>
    <w:rsid w:val="00A12FA4"/>
    <w:rsid w:val="00A130CE"/>
    <w:rsid w:val="00A131A5"/>
    <w:rsid w:val="00A132A9"/>
    <w:rsid w:val="00A132EA"/>
    <w:rsid w:val="00A132F6"/>
    <w:rsid w:val="00A1361A"/>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CFA"/>
    <w:rsid w:val="00A14D1C"/>
    <w:rsid w:val="00A14DF4"/>
    <w:rsid w:val="00A14FC0"/>
    <w:rsid w:val="00A14FF6"/>
    <w:rsid w:val="00A15341"/>
    <w:rsid w:val="00A155F1"/>
    <w:rsid w:val="00A15748"/>
    <w:rsid w:val="00A15789"/>
    <w:rsid w:val="00A158D0"/>
    <w:rsid w:val="00A15A0C"/>
    <w:rsid w:val="00A15BD6"/>
    <w:rsid w:val="00A15D2E"/>
    <w:rsid w:val="00A15D94"/>
    <w:rsid w:val="00A15E30"/>
    <w:rsid w:val="00A15F56"/>
    <w:rsid w:val="00A15FD3"/>
    <w:rsid w:val="00A16AFB"/>
    <w:rsid w:val="00A16B6B"/>
    <w:rsid w:val="00A16BD2"/>
    <w:rsid w:val="00A170A8"/>
    <w:rsid w:val="00A17670"/>
    <w:rsid w:val="00A17926"/>
    <w:rsid w:val="00A17D36"/>
    <w:rsid w:val="00A17D8D"/>
    <w:rsid w:val="00A17D96"/>
    <w:rsid w:val="00A17EB7"/>
    <w:rsid w:val="00A17FEF"/>
    <w:rsid w:val="00A20035"/>
    <w:rsid w:val="00A2035D"/>
    <w:rsid w:val="00A203F0"/>
    <w:rsid w:val="00A20477"/>
    <w:rsid w:val="00A2059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DDE"/>
    <w:rsid w:val="00A23076"/>
    <w:rsid w:val="00A238DC"/>
    <w:rsid w:val="00A239B8"/>
    <w:rsid w:val="00A23CA3"/>
    <w:rsid w:val="00A23D26"/>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17"/>
    <w:rsid w:val="00A266AD"/>
    <w:rsid w:val="00A26739"/>
    <w:rsid w:val="00A267BC"/>
    <w:rsid w:val="00A268AF"/>
    <w:rsid w:val="00A269EB"/>
    <w:rsid w:val="00A26B67"/>
    <w:rsid w:val="00A26C30"/>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DB6"/>
    <w:rsid w:val="00A31059"/>
    <w:rsid w:val="00A31572"/>
    <w:rsid w:val="00A317A5"/>
    <w:rsid w:val="00A3190D"/>
    <w:rsid w:val="00A319E6"/>
    <w:rsid w:val="00A31B12"/>
    <w:rsid w:val="00A31BBD"/>
    <w:rsid w:val="00A31C94"/>
    <w:rsid w:val="00A31CB4"/>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4FE4"/>
    <w:rsid w:val="00A353E5"/>
    <w:rsid w:val="00A35417"/>
    <w:rsid w:val="00A35486"/>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4E3"/>
    <w:rsid w:val="00A40558"/>
    <w:rsid w:val="00A40AB2"/>
    <w:rsid w:val="00A40AED"/>
    <w:rsid w:val="00A40B5C"/>
    <w:rsid w:val="00A40BE8"/>
    <w:rsid w:val="00A40C65"/>
    <w:rsid w:val="00A40DFC"/>
    <w:rsid w:val="00A41273"/>
    <w:rsid w:val="00A415E6"/>
    <w:rsid w:val="00A41676"/>
    <w:rsid w:val="00A4189F"/>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70"/>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83B"/>
    <w:rsid w:val="00A50851"/>
    <w:rsid w:val="00A50B6E"/>
    <w:rsid w:val="00A50BEE"/>
    <w:rsid w:val="00A50C46"/>
    <w:rsid w:val="00A50F5C"/>
    <w:rsid w:val="00A50FC2"/>
    <w:rsid w:val="00A514E9"/>
    <w:rsid w:val="00A5162C"/>
    <w:rsid w:val="00A51DA9"/>
    <w:rsid w:val="00A521D5"/>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43B"/>
    <w:rsid w:val="00A545D5"/>
    <w:rsid w:val="00A546C5"/>
    <w:rsid w:val="00A54B2F"/>
    <w:rsid w:val="00A54C74"/>
    <w:rsid w:val="00A54D26"/>
    <w:rsid w:val="00A54D4F"/>
    <w:rsid w:val="00A54E86"/>
    <w:rsid w:val="00A551E5"/>
    <w:rsid w:val="00A55260"/>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4CB"/>
    <w:rsid w:val="00A606DD"/>
    <w:rsid w:val="00A60707"/>
    <w:rsid w:val="00A608BC"/>
    <w:rsid w:val="00A608F4"/>
    <w:rsid w:val="00A60920"/>
    <w:rsid w:val="00A60AB1"/>
    <w:rsid w:val="00A60ACC"/>
    <w:rsid w:val="00A60D21"/>
    <w:rsid w:val="00A60FAF"/>
    <w:rsid w:val="00A610FF"/>
    <w:rsid w:val="00A6134C"/>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3F08"/>
    <w:rsid w:val="00A64055"/>
    <w:rsid w:val="00A64171"/>
    <w:rsid w:val="00A6455B"/>
    <w:rsid w:val="00A64582"/>
    <w:rsid w:val="00A64805"/>
    <w:rsid w:val="00A648EF"/>
    <w:rsid w:val="00A64924"/>
    <w:rsid w:val="00A6493F"/>
    <w:rsid w:val="00A6499E"/>
    <w:rsid w:val="00A64A40"/>
    <w:rsid w:val="00A64CA7"/>
    <w:rsid w:val="00A64DC9"/>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90D"/>
    <w:rsid w:val="00A67C35"/>
    <w:rsid w:val="00A70367"/>
    <w:rsid w:val="00A7040A"/>
    <w:rsid w:val="00A704FC"/>
    <w:rsid w:val="00A70505"/>
    <w:rsid w:val="00A70812"/>
    <w:rsid w:val="00A7096A"/>
    <w:rsid w:val="00A709A7"/>
    <w:rsid w:val="00A709FA"/>
    <w:rsid w:val="00A70CD7"/>
    <w:rsid w:val="00A71159"/>
    <w:rsid w:val="00A71190"/>
    <w:rsid w:val="00A711B4"/>
    <w:rsid w:val="00A712E1"/>
    <w:rsid w:val="00A7132A"/>
    <w:rsid w:val="00A71903"/>
    <w:rsid w:val="00A7199F"/>
    <w:rsid w:val="00A71A1F"/>
    <w:rsid w:val="00A71C5E"/>
    <w:rsid w:val="00A71D29"/>
    <w:rsid w:val="00A71E77"/>
    <w:rsid w:val="00A71ECA"/>
    <w:rsid w:val="00A71F32"/>
    <w:rsid w:val="00A72194"/>
    <w:rsid w:val="00A72306"/>
    <w:rsid w:val="00A725D9"/>
    <w:rsid w:val="00A72707"/>
    <w:rsid w:val="00A72774"/>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5A4"/>
    <w:rsid w:val="00A7563F"/>
    <w:rsid w:val="00A757BF"/>
    <w:rsid w:val="00A7581D"/>
    <w:rsid w:val="00A75A91"/>
    <w:rsid w:val="00A75AC9"/>
    <w:rsid w:val="00A75B1C"/>
    <w:rsid w:val="00A75C5A"/>
    <w:rsid w:val="00A75E2B"/>
    <w:rsid w:val="00A75EEF"/>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47F"/>
    <w:rsid w:val="00A81590"/>
    <w:rsid w:val="00A81693"/>
    <w:rsid w:val="00A81825"/>
    <w:rsid w:val="00A819B1"/>
    <w:rsid w:val="00A81C5F"/>
    <w:rsid w:val="00A81CA7"/>
    <w:rsid w:val="00A81D0F"/>
    <w:rsid w:val="00A81D22"/>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CF5"/>
    <w:rsid w:val="00A83EC4"/>
    <w:rsid w:val="00A83F88"/>
    <w:rsid w:val="00A83FA8"/>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7D7"/>
    <w:rsid w:val="00A93C9B"/>
    <w:rsid w:val="00A93D0E"/>
    <w:rsid w:val="00A93F0B"/>
    <w:rsid w:val="00A93F4F"/>
    <w:rsid w:val="00A940DF"/>
    <w:rsid w:val="00A9421F"/>
    <w:rsid w:val="00A94354"/>
    <w:rsid w:val="00A94843"/>
    <w:rsid w:val="00A94BD7"/>
    <w:rsid w:val="00A94DED"/>
    <w:rsid w:val="00A94EA5"/>
    <w:rsid w:val="00A94F39"/>
    <w:rsid w:val="00A950FC"/>
    <w:rsid w:val="00A95198"/>
    <w:rsid w:val="00A95399"/>
    <w:rsid w:val="00A95740"/>
    <w:rsid w:val="00A95962"/>
    <w:rsid w:val="00A95A4A"/>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FF2"/>
    <w:rsid w:val="00AA003E"/>
    <w:rsid w:val="00AA007C"/>
    <w:rsid w:val="00AA00EC"/>
    <w:rsid w:val="00AA03E9"/>
    <w:rsid w:val="00AA0746"/>
    <w:rsid w:val="00AA089A"/>
    <w:rsid w:val="00AA09A4"/>
    <w:rsid w:val="00AA0A27"/>
    <w:rsid w:val="00AA0AA9"/>
    <w:rsid w:val="00AA125A"/>
    <w:rsid w:val="00AA1285"/>
    <w:rsid w:val="00AA1692"/>
    <w:rsid w:val="00AA1718"/>
    <w:rsid w:val="00AA17CC"/>
    <w:rsid w:val="00AA1937"/>
    <w:rsid w:val="00AA1A34"/>
    <w:rsid w:val="00AA1AE8"/>
    <w:rsid w:val="00AA1C95"/>
    <w:rsid w:val="00AA214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E77"/>
    <w:rsid w:val="00AA3F07"/>
    <w:rsid w:val="00AA4003"/>
    <w:rsid w:val="00AA44DF"/>
    <w:rsid w:val="00AA47D6"/>
    <w:rsid w:val="00AA480C"/>
    <w:rsid w:val="00AA4D54"/>
    <w:rsid w:val="00AA4E39"/>
    <w:rsid w:val="00AA4E8D"/>
    <w:rsid w:val="00AA54CD"/>
    <w:rsid w:val="00AA5555"/>
    <w:rsid w:val="00AA5760"/>
    <w:rsid w:val="00AA5B08"/>
    <w:rsid w:val="00AA5C8A"/>
    <w:rsid w:val="00AA5CD0"/>
    <w:rsid w:val="00AA5EDA"/>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0A"/>
    <w:rsid w:val="00AB0869"/>
    <w:rsid w:val="00AB0990"/>
    <w:rsid w:val="00AB0A9D"/>
    <w:rsid w:val="00AB0B8A"/>
    <w:rsid w:val="00AB0B8D"/>
    <w:rsid w:val="00AB1678"/>
    <w:rsid w:val="00AB16D4"/>
    <w:rsid w:val="00AB17A8"/>
    <w:rsid w:val="00AB1967"/>
    <w:rsid w:val="00AB1FCB"/>
    <w:rsid w:val="00AB26B5"/>
    <w:rsid w:val="00AB2E6E"/>
    <w:rsid w:val="00AB2EC7"/>
    <w:rsid w:val="00AB2FA7"/>
    <w:rsid w:val="00AB303F"/>
    <w:rsid w:val="00AB3097"/>
    <w:rsid w:val="00AB3197"/>
    <w:rsid w:val="00AB31EB"/>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65B"/>
    <w:rsid w:val="00AC182D"/>
    <w:rsid w:val="00AC1871"/>
    <w:rsid w:val="00AC18CE"/>
    <w:rsid w:val="00AC1B93"/>
    <w:rsid w:val="00AC20E6"/>
    <w:rsid w:val="00AC210F"/>
    <w:rsid w:val="00AC23F5"/>
    <w:rsid w:val="00AC2748"/>
    <w:rsid w:val="00AC2CC1"/>
    <w:rsid w:val="00AC2D3F"/>
    <w:rsid w:val="00AC2DD6"/>
    <w:rsid w:val="00AC2E89"/>
    <w:rsid w:val="00AC2F2D"/>
    <w:rsid w:val="00AC31D1"/>
    <w:rsid w:val="00AC33F1"/>
    <w:rsid w:val="00AC3717"/>
    <w:rsid w:val="00AC39D0"/>
    <w:rsid w:val="00AC3A68"/>
    <w:rsid w:val="00AC3B16"/>
    <w:rsid w:val="00AC3FBF"/>
    <w:rsid w:val="00AC424F"/>
    <w:rsid w:val="00AC45E1"/>
    <w:rsid w:val="00AC4C08"/>
    <w:rsid w:val="00AC511C"/>
    <w:rsid w:val="00AC5357"/>
    <w:rsid w:val="00AC566A"/>
    <w:rsid w:val="00AC5DDE"/>
    <w:rsid w:val="00AC5F08"/>
    <w:rsid w:val="00AC614A"/>
    <w:rsid w:val="00AC62F8"/>
    <w:rsid w:val="00AC64A3"/>
    <w:rsid w:val="00AC652D"/>
    <w:rsid w:val="00AC6845"/>
    <w:rsid w:val="00AC6A5A"/>
    <w:rsid w:val="00AC6A9B"/>
    <w:rsid w:val="00AC6CA4"/>
    <w:rsid w:val="00AC6F2E"/>
    <w:rsid w:val="00AC7115"/>
    <w:rsid w:val="00AC736F"/>
    <w:rsid w:val="00AC756F"/>
    <w:rsid w:val="00AC7694"/>
    <w:rsid w:val="00AC7D08"/>
    <w:rsid w:val="00AC7DAA"/>
    <w:rsid w:val="00AD0099"/>
    <w:rsid w:val="00AD0135"/>
    <w:rsid w:val="00AD06E3"/>
    <w:rsid w:val="00AD0AF2"/>
    <w:rsid w:val="00AD0D6E"/>
    <w:rsid w:val="00AD0F8B"/>
    <w:rsid w:val="00AD1124"/>
    <w:rsid w:val="00AD1174"/>
    <w:rsid w:val="00AD176A"/>
    <w:rsid w:val="00AD1808"/>
    <w:rsid w:val="00AD19BD"/>
    <w:rsid w:val="00AD1AFF"/>
    <w:rsid w:val="00AD209C"/>
    <w:rsid w:val="00AD235D"/>
    <w:rsid w:val="00AD2668"/>
    <w:rsid w:val="00AD293E"/>
    <w:rsid w:val="00AD2D43"/>
    <w:rsid w:val="00AD34AA"/>
    <w:rsid w:val="00AD351F"/>
    <w:rsid w:val="00AD35EE"/>
    <w:rsid w:val="00AD36DC"/>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5DD1"/>
    <w:rsid w:val="00AD600F"/>
    <w:rsid w:val="00AD63B1"/>
    <w:rsid w:val="00AD65A4"/>
    <w:rsid w:val="00AD678D"/>
    <w:rsid w:val="00AD67CF"/>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F81"/>
    <w:rsid w:val="00AE1330"/>
    <w:rsid w:val="00AE138C"/>
    <w:rsid w:val="00AE1634"/>
    <w:rsid w:val="00AE16FE"/>
    <w:rsid w:val="00AE1733"/>
    <w:rsid w:val="00AE17BC"/>
    <w:rsid w:val="00AE17FC"/>
    <w:rsid w:val="00AE1A0B"/>
    <w:rsid w:val="00AE1FE4"/>
    <w:rsid w:val="00AE262B"/>
    <w:rsid w:val="00AE27F4"/>
    <w:rsid w:val="00AE27F9"/>
    <w:rsid w:val="00AE2C2B"/>
    <w:rsid w:val="00AE3058"/>
    <w:rsid w:val="00AE3310"/>
    <w:rsid w:val="00AE354F"/>
    <w:rsid w:val="00AE37A1"/>
    <w:rsid w:val="00AE3956"/>
    <w:rsid w:val="00AE3A4F"/>
    <w:rsid w:val="00AE3D5E"/>
    <w:rsid w:val="00AE3D85"/>
    <w:rsid w:val="00AE41EF"/>
    <w:rsid w:val="00AE4703"/>
    <w:rsid w:val="00AE4BF3"/>
    <w:rsid w:val="00AE4FE2"/>
    <w:rsid w:val="00AE516D"/>
    <w:rsid w:val="00AE517E"/>
    <w:rsid w:val="00AE5246"/>
    <w:rsid w:val="00AE5292"/>
    <w:rsid w:val="00AE52B4"/>
    <w:rsid w:val="00AE56A2"/>
    <w:rsid w:val="00AE56C7"/>
    <w:rsid w:val="00AE586E"/>
    <w:rsid w:val="00AE58C5"/>
    <w:rsid w:val="00AE5993"/>
    <w:rsid w:val="00AE5B55"/>
    <w:rsid w:val="00AE5BF8"/>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6F29"/>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03A"/>
    <w:rsid w:val="00AF32EB"/>
    <w:rsid w:val="00AF333E"/>
    <w:rsid w:val="00AF37FA"/>
    <w:rsid w:val="00AF38BE"/>
    <w:rsid w:val="00AF3928"/>
    <w:rsid w:val="00AF3B06"/>
    <w:rsid w:val="00AF3C4D"/>
    <w:rsid w:val="00AF3D18"/>
    <w:rsid w:val="00AF40A0"/>
    <w:rsid w:val="00AF44F8"/>
    <w:rsid w:val="00AF4514"/>
    <w:rsid w:val="00AF46C4"/>
    <w:rsid w:val="00AF46C7"/>
    <w:rsid w:val="00AF4717"/>
    <w:rsid w:val="00AF4956"/>
    <w:rsid w:val="00AF53A4"/>
    <w:rsid w:val="00AF5798"/>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959"/>
    <w:rsid w:val="00B00B19"/>
    <w:rsid w:val="00B00D80"/>
    <w:rsid w:val="00B00F03"/>
    <w:rsid w:val="00B012CC"/>
    <w:rsid w:val="00B01732"/>
    <w:rsid w:val="00B0177D"/>
    <w:rsid w:val="00B01887"/>
    <w:rsid w:val="00B01E07"/>
    <w:rsid w:val="00B0237B"/>
    <w:rsid w:val="00B02557"/>
    <w:rsid w:val="00B02BFB"/>
    <w:rsid w:val="00B030F8"/>
    <w:rsid w:val="00B03106"/>
    <w:rsid w:val="00B03253"/>
    <w:rsid w:val="00B0332F"/>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1B2"/>
    <w:rsid w:val="00B063D3"/>
    <w:rsid w:val="00B06D28"/>
    <w:rsid w:val="00B06D9A"/>
    <w:rsid w:val="00B06DB4"/>
    <w:rsid w:val="00B06EB7"/>
    <w:rsid w:val="00B070B0"/>
    <w:rsid w:val="00B070CE"/>
    <w:rsid w:val="00B073F0"/>
    <w:rsid w:val="00B07756"/>
    <w:rsid w:val="00B07799"/>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246F"/>
    <w:rsid w:val="00B12729"/>
    <w:rsid w:val="00B12B30"/>
    <w:rsid w:val="00B12DED"/>
    <w:rsid w:val="00B131F1"/>
    <w:rsid w:val="00B13222"/>
    <w:rsid w:val="00B1388B"/>
    <w:rsid w:val="00B138BE"/>
    <w:rsid w:val="00B13AB7"/>
    <w:rsid w:val="00B13BCC"/>
    <w:rsid w:val="00B13D36"/>
    <w:rsid w:val="00B13DDF"/>
    <w:rsid w:val="00B14018"/>
    <w:rsid w:val="00B1410B"/>
    <w:rsid w:val="00B143D6"/>
    <w:rsid w:val="00B14457"/>
    <w:rsid w:val="00B14596"/>
    <w:rsid w:val="00B147F7"/>
    <w:rsid w:val="00B14EA4"/>
    <w:rsid w:val="00B1504B"/>
    <w:rsid w:val="00B150C9"/>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C66"/>
    <w:rsid w:val="00B23D98"/>
    <w:rsid w:val="00B23DCC"/>
    <w:rsid w:val="00B23F89"/>
    <w:rsid w:val="00B2413F"/>
    <w:rsid w:val="00B246A8"/>
    <w:rsid w:val="00B24B3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586"/>
    <w:rsid w:val="00B2775D"/>
    <w:rsid w:val="00B279A8"/>
    <w:rsid w:val="00B27C91"/>
    <w:rsid w:val="00B27E12"/>
    <w:rsid w:val="00B30180"/>
    <w:rsid w:val="00B30817"/>
    <w:rsid w:val="00B3086D"/>
    <w:rsid w:val="00B308F0"/>
    <w:rsid w:val="00B30920"/>
    <w:rsid w:val="00B30A5C"/>
    <w:rsid w:val="00B30AFC"/>
    <w:rsid w:val="00B30C8B"/>
    <w:rsid w:val="00B30CFB"/>
    <w:rsid w:val="00B30E52"/>
    <w:rsid w:val="00B31025"/>
    <w:rsid w:val="00B31204"/>
    <w:rsid w:val="00B314AB"/>
    <w:rsid w:val="00B31566"/>
    <w:rsid w:val="00B31581"/>
    <w:rsid w:val="00B31982"/>
    <w:rsid w:val="00B319BB"/>
    <w:rsid w:val="00B31A2B"/>
    <w:rsid w:val="00B31A5C"/>
    <w:rsid w:val="00B31FDF"/>
    <w:rsid w:val="00B3227B"/>
    <w:rsid w:val="00B322F9"/>
    <w:rsid w:val="00B3235B"/>
    <w:rsid w:val="00B3261B"/>
    <w:rsid w:val="00B3269A"/>
    <w:rsid w:val="00B32BB0"/>
    <w:rsid w:val="00B33185"/>
    <w:rsid w:val="00B33196"/>
    <w:rsid w:val="00B331B4"/>
    <w:rsid w:val="00B3334F"/>
    <w:rsid w:val="00B333C6"/>
    <w:rsid w:val="00B34035"/>
    <w:rsid w:val="00B341E3"/>
    <w:rsid w:val="00B3449D"/>
    <w:rsid w:val="00B34511"/>
    <w:rsid w:val="00B34768"/>
    <w:rsid w:val="00B34929"/>
    <w:rsid w:val="00B34B78"/>
    <w:rsid w:val="00B34BD6"/>
    <w:rsid w:val="00B34D6A"/>
    <w:rsid w:val="00B34F23"/>
    <w:rsid w:val="00B34F3A"/>
    <w:rsid w:val="00B35083"/>
    <w:rsid w:val="00B35799"/>
    <w:rsid w:val="00B357D5"/>
    <w:rsid w:val="00B357EA"/>
    <w:rsid w:val="00B35A02"/>
    <w:rsid w:val="00B35C09"/>
    <w:rsid w:val="00B35FBF"/>
    <w:rsid w:val="00B36604"/>
    <w:rsid w:val="00B36817"/>
    <w:rsid w:val="00B36A04"/>
    <w:rsid w:val="00B36D32"/>
    <w:rsid w:val="00B3722B"/>
    <w:rsid w:val="00B3733A"/>
    <w:rsid w:val="00B373A4"/>
    <w:rsid w:val="00B373B1"/>
    <w:rsid w:val="00B3763C"/>
    <w:rsid w:val="00B37640"/>
    <w:rsid w:val="00B37769"/>
    <w:rsid w:val="00B378BB"/>
    <w:rsid w:val="00B37A70"/>
    <w:rsid w:val="00B37C5E"/>
    <w:rsid w:val="00B4009E"/>
    <w:rsid w:val="00B4013A"/>
    <w:rsid w:val="00B4031E"/>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00"/>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2E"/>
    <w:rsid w:val="00B466E4"/>
    <w:rsid w:val="00B4682D"/>
    <w:rsid w:val="00B46989"/>
    <w:rsid w:val="00B46CAE"/>
    <w:rsid w:val="00B46EF0"/>
    <w:rsid w:val="00B47049"/>
    <w:rsid w:val="00B47289"/>
    <w:rsid w:val="00B47A9B"/>
    <w:rsid w:val="00B47E82"/>
    <w:rsid w:val="00B47EAF"/>
    <w:rsid w:val="00B47EF4"/>
    <w:rsid w:val="00B47F59"/>
    <w:rsid w:val="00B5005D"/>
    <w:rsid w:val="00B501AD"/>
    <w:rsid w:val="00B502E7"/>
    <w:rsid w:val="00B50454"/>
    <w:rsid w:val="00B5048E"/>
    <w:rsid w:val="00B504D4"/>
    <w:rsid w:val="00B50566"/>
    <w:rsid w:val="00B505FD"/>
    <w:rsid w:val="00B50711"/>
    <w:rsid w:val="00B50AB8"/>
    <w:rsid w:val="00B50C6A"/>
    <w:rsid w:val="00B50C8A"/>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2D"/>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3D1"/>
    <w:rsid w:val="00B55433"/>
    <w:rsid w:val="00B55894"/>
    <w:rsid w:val="00B558F6"/>
    <w:rsid w:val="00B55B8F"/>
    <w:rsid w:val="00B55D61"/>
    <w:rsid w:val="00B55F8D"/>
    <w:rsid w:val="00B5600E"/>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4FB"/>
    <w:rsid w:val="00B615B0"/>
    <w:rsid w:val="00B6161C"/>
    <w:rsid w:val="00B61741"/>
    <w:rsid w:val="00B61C14"/>
    <w:rsid w:val="00B61E60"/>
    <w:rsid w:val="00B61EEC"/>
    <w:rsid w:val="00B62057"/>
    <w:rsid w:val="00B620EB"/>
    <w:rsid w:val="00B62742"/>
    <w:rsid w:val="00B6277A"/>
    <w:rsid w:val="00B627DF"/>
    <w:rsid w:val="00B62A1E"/>
    <w:rsid w:val="00B62A55"/>
    <w:rsid w:val="00B62B23"/>
    <w:rsid w:val="00B62C60"/>
    <w:rsid w:val="00B62DF4"/>
    <w:rsid w:val="00B62DFA"/>
    <w:rsid w:val="00B632AA"/>
    <w:rsid w:val="00B63385"/>
    <w:rsid w:val="00B635F8"/>
    <w:rsid w:val="00B6387E"/>
    <w:rsid w:val="00B6391C"/>
    <w:rsid w:val="00B639A5"/>
    <w:rsid w:val="00B63AB7"/>
    <w:rsid w:val="00B63C37"/>
    <w:rsid w:val="00B63CBC"/>
    <w:rsid w:val="00B63E94"/>
    <w:rsid w:val="00B63F7D"/>
    <w:rsid w:val="00B64064"/>
    <w:rsid w:val="00B6437B"/>
    <w:rsid w:val="00B64439"/>
    <w:rsid w:val="00B64479"/>
    <w:rsid w:val="00B644CF"/>
    <w:rsid w:val="00B645A6"/>
    <w:rsid w:val="00B64BC8"/>
    <w:rsid w:val="00B64D0E"/>
    <w:rsid w:val="00B654E9"/>
    <w:rsid w:val="00B65616"/>
    <w:rsid w:val="00B656C5"/>
    <w:rsid w:val="00B656FE"/>
    <w:rsid w:val="00B66018"/>
    <w:rsid w:val="00B66127"/>
    <w:rsid w:val="00B6616E"/>
    <w:rsid w:val="00B663DD"/>
    <w:rsid w:val="00B6647A"/>
    <w:rsid w:val="00B6687A"/>
    <w:rsid w:val="00B6691F"/>
    <w:rsid w:val="00B66C15"/>
    <w:rsid w:val="00B66F68"/>
    <w:rsid w:val="00B67187"/>
    <w:rsid w:val="00B6733A"/>
    <w:rsid w:val="00B6766B"/>
    <w:rsid w:val="00B67681"/>
    <w:rsid w:val="00B67741"/>
    <w:rsid w:val="00B6789A"/>
    <w:rsid w:val="00B67A47"/>
    <w:rsid w:val="00B67B72"/>
    <w:rsid w:val="00B67FAD"/>
    <w:rsid w:val="00B7022A"/>
    <w:rsid w:val="00B7048E"/>
    <w:rsid w:val="00B705FC"/>
    <w:rsid w:val="00B70771"/>
    <w:rsid w:val="00B709B3"/>
    <w:rsid w:val="00B71188"/>
    <w:rsid w:val="00B71267"/>
    <w:rsid w:val="00B714AC"/>
    <w:rsid w:val="00B7153E"/>
    <w:rsid w:val="00B71628"/>
    <w:rsid w:val="00B716A9"/>
    <w:rsid w:val="00B71770"/>
    <w:rsid w:val="00B71881"/>
    <w:rsid w:val="00B71BFD"/>
    <w:rsid w:val="00B7217B"/>
    <w:rsid w:val="00B721D9"/>
    <w:rsid w:val="00B7226F"/>
    <w:rsid w:val="00B72639"/>
    <w:rsid w:val="00B72767"/>
    <w:rsid w:val="00B7282B"/>
    <w:rsid w:val="00B72948"/>
    <w:rsid w:val="00B72C26"/>
    <w:rsid w:val="00B72E2A"/>
    <w:rsid w:val="00B72F6D"/>
    <w:rsid w:val="00B72FA9"/>
    <w:rsid w:val="00B73062"/>
    <w:rsid w:val="00B7372C"/>
    <w:rsid w:val="00B738DB"/>
    <w:rsid w:val="00B73B96"/>
    <w:rsid w:val="00B73D9B"/>
    <w:rsid w:val="00B740D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5BBA"/>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9DA"/>
    <w:rsid w:val="00B81AED"/>
    <w:rsid w:val="00B81DB6"/>
    <w:rsid w:val="00B81F79"/>
    <w:rsid w:val="00B81FBD"/>
    <w:rsid w:val="00B8224B"/>
    <w:rsid w:val="00B8252D"/>
    <w:rsid w:val="00B8275D"/>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AFC"/>
    <w:rsid w:val="00B84C82"/>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85"/>
    <w:rsid w:val="00B879A4"/>
    <w:rsid w:val="00B879AB"/>
    <w:rsid w:val="00B87A8B"/>
    <w:rsid w:val="00B87DBE"/>
    <w:rsid w:val="00B87EEE"/>
    <w:rsid w:val="00B87EF2"/>
    <w:rsid w:val="00B900E9"/>
    <w:rsid w:val="00B9012D"/>
    <w:rsid w:val="00B90535"/>
    <w:rsid w:val="00B90566"/>
    <w:rsid w:val="00B905E0"/>
    <w:rsid w:val="00B90619"/>
    <w:rsid w:val="00B908C8"/>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79"/>
    <w:rsid w:val="00B95DBF"/>
    <w:rsid w:val="00B95E24"/>
    <w:rsid w:val="00B96224"/>
    <w:rsid w:val="00B9626C"/>
    <w:rsid w:val="00B962F3"/>
    <w:rsid w:val="00B96418"/>
    <w:rsid w:val="00B9649D"/>
    <w:rsid w:val="00B96C70"/>
    <w:rsid w:val="00B96D23"/>
    <w:rsid w:val="00B96D4F"/>
    <w:rsid w:val="00B96D54"/>
    <w:rsid w:val="00B96ED9"/>
    <w:rsid w:val="00B97104"/>
    <w:rsid w:val="00B977B6"/>
    <w:rsid w:val="00B97934"/>
    <w:rsid w:val="00B97A1F"/>
    <w:rsid w:val="00B97A26"/>
    <w:rsid w:val="00B97A7A"/>
    <w:rsid w:val="00B97D6A"/>
    <w:rsid w:val="00B97D76"/>
    <w:rsid w:val="00B97FA4"/>
    <w:rsid w:val="00BA01F4"/>
    <w:rsid w:val="00BA0325"/>
    <w:rsid w:val="00BA03BD"/>
    <w:rsid w:val="00BA04CC"/>
    <w:rsid w:val="00BA0564"/>
    <w:rsid w:val="00BA070E"/>
    <w:rsid w:val="00BA083E"/>
    <w:rsid w:val="00BA08F2"/>
    <w:rsid w:val="00BA0A5E"/>
    <w:rsid w:val="00BA0BB1"/>
    <w:rsid w:val="00BA0D70"/>
    <w:rsid w:val="00BA0E24"/>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7FC"/>
    <w:rsid w:val="00BA3271"/>
    <w:rsid w:val="00BA3A40"/>
    <w:rsid w:val="00BA3FED"/>
    <w:rsid w:val="00BA401F"/>
    <w:rsid w:val="00BA424C"/>
    <w:rsid w:val="00BA43C9"/>
    <w:rsid w:val="00BA48DE"/>
    <w:rsid w:val="00BA4931"/>
    <w:rsid w:val="00BA4950"/>
    <w:rsid w:val="00BA4A43"/>
    <w:rsid w:val="00BA4AC6"/>
    <w:rsid w:val="00BA4CD6"/>
    <w:rsid w:val="00BA4CFB"/>
    <w:rsid w:val="00BA4D1B"/>
    <w:rsid w:val="00BA5729"/>
    <w:rsid w:val="00BA578E"/>
    <w:rsid w:val="00BA5CD2"/>
    <w:rsid w:val="00BA5CF4"/>
    <w:rsid w:val="00BA5DA3"/>
    <w:rsid w:val="00BA5E0C"/>
    <w:rsid w:val="00BA5EA4"/>
    <w:rsid w:val="00BA5F47"/>
    <w:rsid w:val="00BA615C"/>
    <w:rsid w:val="00BA62AC"/>
    <w:rsid w:val="00BA639F"/>
    <w:rsid w:val="00BA650B"/>
    <w:rsid w:val="00BA6B0A"/>
    <w:rsid w:val="00BA6C68"/>
    <w:rsid w:val="00BA7008"/>
    <w:rsid w:val="00BA7068"/>
    <w:rsid w:val="00BA71B4"/>
    <w:rsid w:val="00BA7218"/>
    <w:rsid w:val="00BA72BD"/>
    <w:rsid w:val="00BA73E5"/>
    <w:rsid w:val="00BA73F4"/>
    <w:rsid w:val="00BA78BA"/>
    <w:rsid w:val="00BA7AB7"/>
    <w:rsid w:val="00BA7E56"/>
    <w:rsid w:val="00BB00AA"/>
    <w:rsid w:val="00BB00FE"/>
    <w:rsid w:val="00BB046D"/>
    <w:rsid w:val="00BB04FF"/>
    <w:rsid w:val="00BB0673"/>
    <w:rsid w:val="00BB09BC"/>
    <w:rsid w:val="00BB0A06"/>
    <w:rsid w:val="00BB0B5D"/>
    <w:rsid w:val="00BB0C8E"/>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2"/>
    <w:rsid w:val="00BB2883"/>
    <w:rsid w:val="00BB29BF"/>
    <w:rsid w:val="00BB2B37"/>
    <w:rsid w:val="00BB2CC6"/>
    <w:rsid w:val="00BB30FF"/>
    <w:rsid w:val="00BB3306"/>
    <w:rsid w:val="00BB33C2"/>
    <w:rsid w:val="00BB3442"/>
    <w:rsid w:val="00BB38EA"/>
    <w:rsid w:val="00BB39E4"/>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DAA"/>
    <w:rsid w:val="00BB7EEF"/>
    <w:rsid w:val="00BB7F93"/>
    <w:rsid w:val="00BC0005"/>
    <w:rsid w:val="00BC001B"/>
    <w:rsid w:val="00BC003D"/>
    <w:rsid w:val="00BC02EA"/>
    <w:rsid w:val="00BC0561"/>
    <w:rsid w:val="00BC0766"/>
    <w:rsid w:val="00BC082A"/>
    <w:rsid w:val="00BC0B24"/>
    <w:rsid w:val="00BC0DBD"/>
    <w:rsid w:val="00BC0E3E"/>
    <w:rsid w:val="00BC0EBB"/>
    <w:rsid w:val="00BC0EF4"/>
    <w:rsid w:val="00BC0FF3"/>
    <w:rsid w:val="00BC13D1"/>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25"/>
    <w:rsid w:val="00BC3E8D"/>
    <w:rsid w:val="00BC41B4"/>
    <w:rsid w:val="00BC44C8"/>
    <w:rsid w:val="00BC452B"/>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7DF"/>
    <w:rsid w:val="00BC6C1B"/>
    <w:rsid w:val="00BC703D"/>
    <w:rsid w:val="00BC721C"/>
    <w:rsid w:val="00BC7362"/>
    <w:rsid w:val="00BC75DF"/>
    <w:rsid w:val="00BC7825"/>
    <w:rsid w:val="00BC7915"/>
    <w:rsid w:val="00BC79A7"/>
    <w:rsid w:val="00BC7A40"/>
    <w:rsid w:val="00BC7AE1"/>
    <w:rsid w:val="00BC7E8F"/>
    <w:rsid w:val="00BC7EA1"/>
    <w:rsid w:val="00BC7EC1"/>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66"/>
    <w:rsid w:val="00BD2AE5"/>
    <w:rsid w:val="00BD2C5F"/>
    <w:rsid w:val="00BD2D35"/>
    <w:rsid w:val="00BD2E77"/>
    <w:rsid w:val="00BD30CC"/>
    <w:rsid w:val="00BD32B6"/>
    <w:rsid w:val="00BD34DB"/>
    <w:rsid w:val="00BD3819"/>
    <w:rsid w:val="00BD3855"/>
    <w:rsid w:val="00BD3919"/>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C3F"/>
    <w:rsid w:val="00BD5CEA"/>
    <w:rsid w:val="00BD5E45"/>
    <w:rsid w:val="00BD5FDF"/>
    <w:rsid w:val="00BD64AF"/>
    <w:rsid w:val="00BD6552"/>
    <w:rsid w:val="00BD65DA"/>
    <w:rsid w:val="00BD66D6"/>
    <w:rsid w:val="00BD68EA"/>
    <w:rsid w:val="00BD6CD9"/>
    <w:rsid w:val="00BD6D6D"/>
    <w:rsid w:val="00BD7023"/>
    <w:rsid w:val="00BD720C"/>
    <w:rsid w:val="00BD7317"/>
    <w:rsid w:val="00BD732A"/>
    <w:rsid w:val="00BD7F8E"/>
    <w:rsid w:val="00BE02B3"/>
    <w:rsid w:val="00BE050B"/>
    <w:rsid w:val="00BE0590"/>
    <w:rsid w:val="00BE080D"/>
    <w:rsid w:val="00BE0AB8"/>
    <w:rsid w:val="00BE0E8B"/>
    <w:rsid w:val="00BE0FB8"/>
    <w:rsid w:val="00BE13D8"/>
    <w:rsid w:val="00BE14A0"/>
    <w:rsid w:val="00BE1866"/>
    <w:rsid w:val="00BE19F0"/>
    <w:rsid w:val="00BE1D5A"/>
    <w:rsid w:val="00BE1E31"/>
    <w:rsid w:val="00BE1F26"/>
    <w:rsid w:val="00BE21BC"/>
    <w:rsid w:val="00BE2249"/>
    <w:rsid w:val="00BE248C"/>
    <w:rsid w:val="00BE2593"/>
    <w:rsid w:val="00BE26BD"/>
    <w:rsid w:val="00BE26D7"/>
    <w:rsid w:val="00BE27F3"/>
    <w:rsid w:val="00BE2CD1"/>
    <w:rsid w:val="00BE3451"/>
    <w:rsid w:val="00BE3506"/>
    <w:rsid w:val="00BE3990"/>
    <w:rsid w:val="00BE3AE6"/>
    <w:rsid w:val="00BE3CA2"/>
    <w:rsid w:val="00BE3E18"/>
    <w:rsid w:val="00BE3FAB"/>
    <w:rsid w:val="00BE4A40"/>
    <w:rsid w:val="00BE4B1D"/>
    <w:rsid w:val="00BE53DF"/>
    <w:rsid w:val="00BE54CF"/>
    <w:rsid w:val="00BE5604"/>
    <w:rsid w:val="00BE5642"/>
    <w:rsid w:val="00BE5713"/>
    <w:rsid w:val="00BE5749"/>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8C"/>
    <w:rsid w:val="00BE69C2"/>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B7"/>
    <w:rsid w:val="00BF114E"/>
    <w:rsid w:val="00BF1401"/>
    <w:rsid w:val="00BF1480"/>
    <w:rsid w:val="00BF1651"/>
    <w:rsid w:val="00BF1A35"/>
    <w:rsid w:val="00BF1BD7"/>
    <w:rsid w:val="00BF1CA3"/>
    <w:rsid w:val="00BF1D73"/>
    <w:rsid w:val="00BF225C"/>
    <w:rsid w:val="00BF26BE"/>
    <w:rsid w:val="00BF26C3"/>
    <w:rsid w:val="00BF2803"/>
    <w:rsid w:val="00BF2D63"/>
    <w:rsid w:val="00BF33AD"/>
    <w:rsid w:val="00BF344D"/>
    <w:rsid w:val="00BF34E7"/>
    <w:rsid w:val="00BF3777"/>
    <w:rsid w:val="00BF3914"/>
    <w:rsid w:val="00BF3A01"/>
    <w:rsid w:val="00BF3BF6"/>
    <w:rsid w:val="00BF3EC6"/>
    <w:rsid w:val="00BF48F4"/>
    <w:rsid w:val="00BF497A"/>
    <w:rsid w:val="00BF4B98"/>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60A"/>
    <w:rsid w:val="00BF67EF"/>
    <w:rsid w:val="00BF68A0"/>
    <w:rsid w:val="00BF68D9"/>
    <w:rsid w:val="00BF6AB5"/>
    <w:rsid w:val="00BF6B12"/>
    <w:rsid w:val="00BF6B85"/>
    <w:rsid w:val="00BF721B"/>
    <w:rsid w:val="00BF727A"/>
    <w:rsid w:val="00BF73F0"/>
    <w:rsid w:val="00BF744E"/>
    <w:rsid w:val="00BF7780"/>
    <w:rsid w:val="00BF7813"/>
    <w:rsid w:val="00BF7845"/>
    <w:rsid w:val="00BF7865"/>
    <w:rsid w:val="00BF7BF2"/>
    <w:rsid w:val="00BF7C8B"/>
    <w:rsid w:val="00C0000C"/>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77E"/>
    <w:rsid w:val="00C029EA"/>
    <w:rsid w:val="00C02A20"/>
    <w:rsid w:val="00C02B39"/>
    <w:rsid w:val="00C02B4F"/>
    <w:rsid w:val="00C02DE3"/>
    <w:rsid w:val="00C02ECB"/>
    <w:rsid w:val="00C02FE1"/>
    <w:rsid w:val="00C03012"/>
    <w:rsid w:val="00C03526"/>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08D"/>
    <w:rsid w:val="00C10462"/>
    <w:rsid w:val="00C106BA"/>
    <w:rsid w:val="00C10792"/>
    <w:rsid w:val="00C108D4"/>
    <w:rsid w:val="00C1092E"/>
    <w:rsid w:val="00C10B90"/>
    <w:rsid w:val="00C10C7E"/>
    <w:rsid w:val="00C10DC1"/>
    <w:rsid w:val="00C112DF"/>
    <w:rsid w:val="00C1166D"/>
    <w:rsid w:val="00C1195F"/>
    <w:rsid w:val="00C119A8"/>
    <w:rsid w:val="00C119EF"/>
    <w:rsid w:val="00C11AAC"/>
    <w:rsid w:val="00C11D8F"/>
    <w:rsid w:val="00C11E99"/>
    <w:rsid w:val="00C11EE1"/>
    <w:rsid w:val="00C123F5"/>
    <w:rsid w:val="00C12574"/>
    <w:rsid w:val="00C125F2"/>
    <w:rsid w:val="00C12A56"/>
    <w:rsid w:val="00C12BF3"/>
    <w:rsid w:val="00C12C47"/>
    <w:rsid w:val="00C12C7C"/>
    <w:rsid w:val="00C12DE2"/>
    <w:rsid w:val="00C12E59"/>
    <w:rsid w:val="00C12E7E"/>
    <w:rsid w:val="00C12E82"/>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2E"/>
    <w:rsid w:val="00C16AAA"/>
    <w:rsid w:val="00C16CBF"/>
    <w:rsid w:val="00C176E9"/>
    <w:rsid w:val="00C178E6"/>
    <w:rsid w:val="00C179EB"/>
    <w:rsid w:val="00C17EA5"/>
    <w:rsid w:val="00C17FC3"/>
    <w:rsid w:val="00C2012B"/>
    <w:rsid w:val="00C203E8"/>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417"/>
    <w:rsid w:val="00C245B1"/>
    <w:rsid w:val="00C24672"/>
    <w:rsid w:val="00C246EA"/>
    <w:rsid w:val="00C247C0"/>
    <w:rsid w:val="00C248A8"/>
    <w:rsid w:val="00C24FF6"/>
    <w:rsid w:val="00C250CC"/>
    <w:rsid w:val="00C253D2"/>
    <w:rsid w:val="00C25A2D"/>
    <w:rsid w:val="00C25EFB"/>
    <w:rsid w:val="00C26018"/>
    <w:rsid w:val="00C267F3"/>
    <w:rsid w:val="00C2684E"/>
    <w:rsid w:val="00C26B1C"/>
    <w:rsid w:val="00C26BBA"/>
    <w:rsid w:val="00C26BE9"/>
    <w:rsid w:val="00C26D6D"/>
    <w:rsid w:val="00C26E34"/>
    <w:rsid w:val="00C2730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BE3"/>
    <w:rsid w:val="00C30C25"/>
    <w:rsid w:val="00C30D7D"/>
    <w:rsid w:val="00C30DE6"/>
    <w:rsid w:val="00C31173"/>
    <w:rsid w:val="00C312DF"/>
    <w:rsid w:val="00C31501"/>
    <w:rsid w:val="00C315AB"/>
    <w:rsid w:val="00C316DD"/>
    <w:rsid w:val="00C31CD6"/>
    <w:rsid w:val="00C31DE7"/>
    <w:rsid w:val="00C31E10"/>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312"/>
    <w:rsid w:val="00C35562"/>
    <w:rsid w:val="00C3571B"/>
    <w:rsid w:val="00C35744"/>
    <w:rsid w:val="00C35A5F"/>
    <w:rsid w:val="00C35AA4"/>
    <w:rsid w:val="00C35B2C"/>
    <w:rsid w:val="00C35D8E"/>
    <w:rsid w:val="00C35E70"/>
    <w:rsid w:val="00C360CA"/>
    <w:rsid w:val="00C36143"/>
    <w:rsid w:val="00C361B3"/>
    <w:rsid w:val="00C361FF"/>
    <w:rsid w:val="00C36550"/>
    <w:rsid w:val="00C367C7"/>
    <w:rsid w:val="00C367EC"/>
    <w:rsid w:val="00C3691E"/>
    <w:rsid w:val="00C36963"/>
    <w:rsid w:val="00C369A6"/>
    <w:rsid w:val="00C369AA"/>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AA1"/>
    <w:rsid w:val="00C40B04"/>
    <w:rsid w:val="00C40B8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70C"/>
    <w:rsid w:val="00C53937"/>
    <w:rsid w:val="00C53BD5"/>
    <w:rsid w:val="00C53D31"/>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CBF"/>
    <w:rsid w:val="00C55CE9"/>
    <w:rsid w:val="00C55D12"/>
    <w:rsid w:val="00C55DBC"/>
    <w:rsid w:val="00C55E8F"/>
    <w:rsid w:val="00C55EC4"/>
    <w:rsid w:val="00C561BB"/>
    <w:rsid w:val="00C56708"/>
    <w:rsid w:val="00C56779"/>
    <w:rsid w:val="00C5683B"/>
    <w:rsid w:val="00C56842"/>
    <w:rsid w:val="00C56861"/>
    <w:rsid w:val="00C568F7"/>
    <w:rsid w:val="00C56901"/>
    <w:rsid w:val="00C56E1F"/>
    <w:rsid w:val="00C5707C"/>
    <w:rsid w:val="00C572B3"/>
    <w:rsid w:val="00C57632"/>
    <w:rsid w:val="00C576D9"/>
    <w:rsid w:val="00C5776B"/>
    <w:rsid w:val="00C5797D"/>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710"/>
    <w:rsid w:val="00C6283E"/>
    <w:rsid w:val="00C62C6C"/>
    <w:rsid w:val="00C63336"/>
    <w:rsid w:val="00C63370"/>
    <w:rsid w:val="00C636BA"/>
    <w:rsid w:val="00C638E0"/>
    <w:rsid w:val="00C63D71"/>
    <w:rsid w:val="00C63DEE"/>
    <w:rsid w:val="00C63EE7"/>
    <w:rsid w:val="00C63F9C"/>
    <w:rsid w:val="00C64232"/>
    <w:rsid w:val="00C6452E"/>
    <w:rsid w:val="00C645FE"/>
    <w:rsid w:val="00C64994"/>
    <w:rsid w:val="00C64E9E"/>
    <w:rsid w:val="00C65012"/>
    <w:rsid w:val="00C653A3"/>
    <w:rsid w:val="00C6549F"/>
    <w:rsid w:val="00C65635"/>
    <w:rsid w:val="00C6572B"/>
    <w:rsid w:val="00C65838"/>
    <w:rsid w:val="00C65A2C"/>
    <w:rsid w:val="00C65BFD"/>
    <w:rsid w:val="00C65E23"/>
    <w:rsid w:val="00C65EA3"/>
    <w:rsid w:val="00C65FCA"/>
    <w:rsid w:val="00C6609F"/>
    <w:rsid w:val="00C6633B"/>
    <w:rsid w:val="00C667C4"/>
    <w:rsid w:val="00C6681D"/>
    <w:rsid w:val="00C66B29"/>
    <w:rsid w:val="00C6703C"/>
    <w:rsid w:val="00C6742F"/>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B23"/>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D74"/>
    <w:rsid w:val="00C72EA2"/>
    <w:rsid w:val="00C72EBD"/>
    <w:rsid w:val="00C72F03"/>
    <w:rsid w:val="00C7322E"/>
    <w:rsid w:val="00C73443"/>
    <w:rsid w:val="00C7349A"/>
    <w:rsid w:val="00C73553"/>
    <w:rsid w:val="00C73633"/>
    <w:rsid w:val="00C736EA"/>
    <w:rsid w:val="00C73803"/>
    <w:rsid w:val="00C73918"/>
    <w:rsid w:val="00C73965"/>
    <w:rsid w:val="00C739FE"/>
    <w:rsid w:val="00C73CEC"/>
    <w:rsid w:val="00C73DCD"/>
    <w:rsid w:val="00C73EA6"/>
    <w:rsid w:val="00C745C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CC0"/>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283"/>
    <w:rsid w:val="00C85287"/>
    <w:rsid w:val="00C85567"/>
    <w:rsid w:val="00C85753"/>
    <w:rsid w:val="00C85814"/>
    <w:rsid w:val="00C85816"/>
    <w:rsid w:val="00C85A0A"/>
    <w:rsid w:val="00C85D43"/>
    <w:rsid w:val="00C85F9E"/>
    <w:rsid w:val="00C85FD2"/>
    <w:rsid w:val="00C85FD9"/>
    <w:rsid w:val="00C8602D"/>
    <w:rsid w:val="00C8609E"/>
    <w:rsid w:val="00C860A9"/>
    <w:rsid w:val="00C86277"/>
    <w:rsid w:val="00C862C8"/>
    <w:rsid w:val="00C863DC"/>
    <w:rsid w:val="00C8665D"/>
    <w:rsid w:val="00C8675E"/>
    <w:rsid w:val="00C86873"/>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004"/>
    <w:rsid w:val="00C9112C"/>
    <w:rsid w:val="00C9116D"/>
    <w:rsid w:val="00C911DB"/>
    <w:rsid w:val="00C9186A"/>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FC4"/>
    <w:rsid w:val="00CA03BA"/>
    <w:rsid w:val="00CA043C"/>
    <w:rsid w:val="00CA057D"/>
    <w:rsid w:val="00CA0A26"/>
    <w:rsid w:val="00CA0A48"/>
    <w:rsid w:val="00CA0BEF"/>
    <w:rsid w:val="00CA0D2F"/>
    <w:rsid w:val="00CA0E21"/>
    <w:rsid w:val="00CA0EF4"/>
    <w:rsid w:val="00CA1363"/>
    <w:rsid w:val="00CA13E0"/>
    <w:rsid w:val="00CA1414"/>
    <w:rsid w:val="00CA1505"/>
    <w:rsid w:val="00CA16B4"/>
    <w:rsid w:val="00CA17E9"/>
    <w:rsid w:val="00CA1851"/>
    <w:rsid w:val="00CA189C"/>
    <w:rsid w:val="00CA18FF"/>
    <w:rsid w:val="00CA1C56"/>
    <w:rsid w:val="00CA1FE9"/>
    <w:rsid w:val="00CA213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338"/>
    <w:rsid w:val="00CA4534"/>
    <w:rsid w:val="00CA49D0"/>
    <w:rsid w:val="00CA4B1F"/>
    <w:rsid w:val="00CA4BFB"/>
    <w:rsid w:val="00CA4E3D"/>
    <w:rsid w:val="00CA4E51"/>
    <w:rsid w:val="00CA514E"/>
    <w:rsid w:val="00CA51B8"/>
    <w:rsid w:val="00CA5654"/>
    <w:rsid w:val="00CA5663"/>
    <w:rsid w:val="00CA5698"/>
    <w:rsid w:val="00CA5789"/>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8D3"/>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50B"/>
    <w:rsid w:val="00CC259B"/>
    <w:rsid w:val="00CC2701"/>
    <w:rsid w:val="00CC293A"/>
    <w:rsid w:val="00CC2A27"/>
    <w:rsid w:val="00CC2DC0"/>
    <w:rsid w:val="00CC2E12"/>
    <w:rsid w:val="00CC2E8A"/>
    <w:rsid w:val="00CC3237"/>
    <w:rsid w:val="00CC32E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4AC"/>
    <w:rsid w:val="00CC64D4"/>
    <w:rsid w:val="00CC6763"/>
    <w:rsid w:val="00CC699C"/>
    <w:rsid w:val="00CC6CEB"/>
    <w:rsid w:val="00CC71CB"/>
    <w:rsid w:val="00CC734D"/>
    <w:rsid w:val="00CC74FD"/>
    <w:rsid w:val="00CC7542"/>
    <w:rsid w:val="00CC769A"/>
    <w:rsid w:val="00CC780A"/>
    <w:rsid w:val="00CC7813"/>
    <w:rsid w:val="00CC7ACA"/>
    <w:rsid w:val="00CC7D29"/>
    <w:rsid w:val="00CC7E8B"/>
    <w:rsid w:val="00CD001A"/>
    <w:rsid w:val="00CD009E"/>
    <w:rsid w:val="00CD00A8"/>
    <w:rsid w:val="00CD02DC"/>
    <w:rsid w:val="00CD0351"/>
    <w:rsid w:val="00CD0989"/>
    <w:rsid w:val="00CD0AE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10F"/>
    <w:rsid w:val="00CD445C"/>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620A"/>
    <w:rsid w:val="00CD69E7"/>
    <w:rsid w:val="00CD6A76"/>
    <w:rsid w:val="00CD6D39"/>
    <w:rsid w:val="00CD6EAC"/>
    <w:rsid w:val="00CD6F01"/>
    <w:rsid w:val="00CD73DB"/>
    <w:rsid w:val="00CD7575"/>
    <w:rsid w:val="00CD767C"/>
    <w:rsid w:val="00CD7F16"/>
    <w:rsid w:val="00CE0296"/>
    <w:rsid w:val="00CE0318"/>
    <w:rsid w:val="00CE03FE"/>
    <w:rsid w:val="00CE099E"/>
    <w:rsid w:val="00CE0B02"/>
    <w:rsid w:val="00CE0C3C"/>
    <w:rsid w:val="00CE0DED"/>
    <w:rsid w:val="00CE0FA8"/>
    <w:rsid w:val="00CE1767"/>
    <w:rsid w:val="00CE1B9A"/>
    <w:rsid w:val="00CE1D2D"/>
    <w:rsid w:val="00CE1F90"/>
    <w:rsid w:val="00CE2209"/>
    <w:rsid w:val="00CE222E"/>
    <w:rsid w:val="00CE2560"/>
    <w:rsid w:val="00CE26B4"/>
    <w:rsid w:val="00CE278A"/>
    <w:rsid w:val="00CE2C72"/>
    <w:rsid w:val="00CE2C9E"/>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C9C"/>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2E7"/>
    <w:rsid w:val="00CF635E"/>
    <w:rsid w:val="00CF63C0"/>
    <w:rsid w:val="00CF660A"/>
    <w:rsid w:val="00CF669A"/>
    <w:rsid w:val="00CF66A1"/>
    <w:rsid w:val="00CF7036"/>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BD1"/>
    <w:rsid w:val="00D02C48"/>
    <w:rsid w:val="00D02E63"/>
    <w:rsid w:val="00D02E8D"/>
    <w:rsid w:val="00D02FBF"/>
    <w:rsid w:val="00D03384"/>
    <w:rsid w:val="00D036AA"/>
    <w:rsid w:val="00D037CD"/>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3FC"/>
    <w:rsid w:val="00D0652C"/>
    <w:rsid w:val="00D06785"/>
    <w:rsid w:val="00D067B2"/>
    <w:rsid w:val="00D06A3B"/>
    <w:rsid w:val="00D06C03"/>
    <w:rsid w:val="00D06ED5"/>
    <w:rsid w:val="00D06EED"/>
    <w:rsid w:val="00D0734A"/>
    <w:rsid w:val="00D0734B"/>
    <w:rsid w:val="00D073A2"/>
    <w:rsid w:val="00D0763B"/>
    <w:rsid w:val="00D07EB3"/>
    <w:rsid w:val="00D1008B"/>
    <w:rsid w:val="00D10096"/>
    <w:rsid w:val="00D10632"/>
    <w:rsid w:val="00D106A0"/>
    <w:rsid w:val="00D10784"/>
    <w:rsid w:val="00D10D36"/>
    <w:rsid w:val="00D10D3B"/>
    <w:rsid w:val="00D10DD2"/>
    <w:rsid w:val="00D10EEB"/>
    <w:rsid w:val="00D10FBC"/>
    <w:rsid w:val="00D111D2"/>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999"/>
    <w:rsid w:val="00D12D74"/>
    <w:rsid w:val="00D12F06"/>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B41"/>
    <w:rsid w:val="00D14B54"/>
    <w:rsid w:val="00D14CF3"/>
    <w:rsid w:val="00D14E2E"/>
    <w:rsid w:val="00D1520A"/>
    <w:rsid w:val="00D1542D"/>
    <w:rsid w:val="00D15649"/>
    <w:rsid w:val="00D1577A"/>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01F"/>
    <w:rsid w:val="00D23286"/>
    <w:rsid w:val="00D23416"/>
    <w:rsid w:val="00D236C2"/>
    <w:rsid w:val="00D238CB"/>
    <w:rsid w:val="00D238D9"/>
    <w:rsid w:val="00D238FA"/>
    <w:rsid w:val="00D2391D"/>
    <w:rsid w:val="00D23C54"/>
    <w:rsid w:val="00D23CF1"/>
    <w:rsid w:val="00D23F9C"/>
    <w:rsid w:val="00D24196"/>
    <w:rsid w:val="00D241E2"/>
    <w:rsid w:val="00D24784"/>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CEA"/>
    <w:rsid w:val="00D26D28"/>
    <w:rsid w:val="00D27362"/>
    <w:rsid w:val="00D27423"/>
    <w:rsid w:val="00D27428"/>
    <w:rsid w:val="00D274B4"/>
    <w:rsid w:val="00D278A2"/>
    <w:rsid w:val="00D2796E"/>
    <w:rsid w:val="00D279E0"/>
    <w:rsid w:val="00D27D25"/>
    <w:rsid w:val="00D27D58"/>
    <w:rsid w:val="00D27FC8"/>
    <w:rsid w:val="00D3013A"/>
    <w:rsid w:val="00D30348"/>
    <w:rsid w:val="00D3057A"/>
    <w:rsid w:val="00D305D6"/>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4A"/>
    <w:rsid w:val="00D33C96"/>
    <w:rsid w:val="00D341CB"/>
    <w:rsid w:val="00D342A1"/>
    <w:rsid w:val="00D3431B"/>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A0F"/>
    <w:rsid w:val="00D37EC3"/>
    <w:rsid w:val="00D37FF0"/>
    <w:rsid w:val="00D40246"/>
    <w:rsid w:val="00D403B4"/>
    <w:rsid w:val="00D403BF"/>
    <w:rsid w:val="00D40B51"/>
    <w:rsid w:val="00D40CD6"/>
    <w:rsid w:val="00D40E05"/>
    <w:rsid w:val="00D41072"/>
    <w:rsid w:val="00D4108F"/>
    <w:rsid w:val="00D410DF"/>
    <w:rsid w:val="00D410E6"/>
    <w:rsid w:val="00D413F9"/>
    <w:rsid w:val="00D4168F"/>
    <w:rsid w:val="00D41691"/>
    <w:rsid w:val="00D418E0"/>
    <w:rsid w:val="00D4194B"/>
    <w:rsid w:val="00D419E2"/>
    <w:rsid w:val="00D419F8"/>
    <w:rsid w:val="00D41B77"/>
    <w:rsid w:val="00D41DC9"/>
    <w:rsid w:val="00D4205D"/>
    <w:rsid w:val="00D420B7"/>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75F"/>
    <w:rsid w:val="00D447CB"/>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04"/>
    <w:rsid w:val="00D46C89"/>
    <w:rsid w:val="00D47101"/>
    <w:rsid w:val="00D47755"/>
    <w:rsid w:val="00D4791C"/>
    <w:rsid w:val="00D479F7"/>
    <w:rsid w:val="00D47B6E"/>
    <w:rsid w:val="00D47D59"/>
    <w:rsid w:val="00D47DCD"/>
    <w:rsid w:val="00D47F5F"/>
    <w:rsid w:val="00D5044A"/>
    <w:rsid w:val="00D50805"/>
    <w:rsid w:val="00D50820"/>
    <w:rsid w:val="00D509E9"/>
    <w:rsid w:val="00D50E0F"/>
    <w:rsid w:val="00D50E2C"/>
    <w:rsid w:val="00D50F79"/>
    <w:rsid w:val="00D510E8"/>
    <w:rsid w:val="00D512E5"/>
    <w:rsid w:val="00D513FC"/>
    <w:rsid w:val="00D51E5C"/>
    <w:rsid w:val="00D5201B"/>
    <w:rsid w:val="00D520B1"/>
    <w:rsid w:val="00D52174"/>
    <w:rsid w:val="00D522C6"/>
    <w:rsid w:val="00D522EC"/>
    <w:rsid w:val="00D5240E"/>
    <w:rsid w:val="00D52643"/>
    <w:rsid w:val="00D5269C"/>
    <w:rsid w:val="00D52B21"/>
    <w:rsid w:val="00D52EC1"/>
    <w:rsid w:val="00D5311C"/>
    <w:rsid w:val="00D533C3"/>
    <w:rsid w:val="00D534A9"/>
    <w:rsid w:val="00D53605"/>
    <w:rsid w:val="00D536B9"/>
    <w:rsid w:val="00D53823"/>
    <w:rsid w:val="00D5393A"/>
    <w:rsid w:val="00D5396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4A8"/>
    <w:rsid w:val="00D55619"/>
    <w:rsid w:val="00D5577E"/>
    <w:rsid w:val="00D559C0"/>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B11"/>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C09"/>
    <w:rsid w:val="00D63C7D"/>
    <w:rsid w:val="00D63DB7"/>
    <w:rsid w:val="00D63E54"/>
    <w:rsid w:val="00D63E7D"/>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EE3"/>
    <w:rsid w:val="00D67254"/>
    <w:rsid w:val="00D67324"/>
    <w:rsid w:val="00D673EA"/>
    <w:rsid w:val="00D67939"/>
    <w:rsid w:val="00D679A2"/>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8D0"/>
    <w:rsid w:val="00D71BB0"/>
    <w:rsid w:val="00D71C4C"/>
    <w:rsid w:val="00D71D10"/>
    <w:rsid w:val="00D71F28"/>
    <w:rsid w:val="00D72069"/>
    <w:rsid w:val="00D720C6"/>
    <w:rsid w:val="00D720E8"/>
    <w:rsid w:val="00D72112"/>
    <w:rsid w:val="00D722D1"/>
    <w:rsid w:val="00D724CE"/>
    <w:rsid w:val="00D72561"/>
    <w:rsid w:val="00D725A3"/>
    <w:rsid w:val="00D725D7"/>
    <w:rsid w:val="00D727AF"/>
    <w:rsid w:val="00D72B7F"/>
    <w:rsid w:val="00D72BDE"/>
    <w:rsid w:val="00D73015"/>
    <w:rsid w:val="00D7308C"/>
    <w:rsid w:val="00D731D6"/>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4DF5"/>
    <w:rsid w:val="00D74E6A"/>
    <w:rsid w:val="00D750F8"/>
    <w:rsid w:val="00D75177"/>
    <w:rsid w:val="00D7528F"/>
    <w:rsid w:val="00D752E8"/>
    <w:rsid w:val="00D75304"/>
    <w:rsid w:val="00D75566"/>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D28"/>
    <w:rsid w:val="00D77EF4"/>
    <w:rsid w:val="00D77EF6"/>
    <w:rsid w:val="00D801B7"/>
    <w:rsid w:val="00D80432"/>
    <w:rsid w:val="00D8056F"/>
    <w:rsid w:val="00D80697"/>
    <w:rsid w:val="00D806E4"/>
    <w:rsid w:val="00D807BB"/>
    <w:rsid w:val="00D8081D"/>
    <w:rsid w:val="00D80B51"/>
    <w:rsid w:val="00D80C62"/>
    <w:rsid w:val="00D80C86"/>
    <w:rsid w:val="00D80D5E"/>
    <w:rsid w:val="00D80DA2"/>
    <w:rsid w:val="00D80E22"/>
    <w:rsid w:val="00D81231"/>
    <w:rsid w:val="00D8183C"/>
    <w:rsid w:val="00D818A4"/>
    <w:rsid w:val="00D8242C"/>
    <w:rsid w:val="00D827D1"/>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F0"/>
    <w:rsid w:val="00D84D6A"/>
    <w:rsid w:val="00D84DD6"/>
    <w:rsid w:val="00D8533B"/>
    <w:rsid w:val="00D855CF"/>
    <w:rsid w:val="00D85876"/>
    <w:rsid w:val="00D85942"/>
    <w:rsid w:val="00D85CB6"/>
    <w:rsid w:val="00D8615E"/>
    <w:rsid w:val="00D86240"/>
    <w:rsid w:val="00D8627B"/>
    <w:rsid w:val="00D8653D"/>
    <w:rsid w:val="00D86588"/>
    <w:rsid w:val="00D86907"/>
    <w:rsid w:val="00D86A8A"/>
    <w:rsid w:val="00D86D62"/>
    <w:rsid w:val="00D86EC6"/>
    <w:rsid w:val="00D86FFA"/>
    <w:rsid w:val="00D870D2"/>
    <w:rsid w:val="00D87219"/>
    <w:rsid w:val="00D8736B"/>
    <w:rsid w:val="00D87463"/>
    <w:rsid w:val="00D879FB"/>
    <w:rsid w:val="00D87BB6"/>
    <w:rsid w:val="00D87CC8"/>
    <w:rsid w:val="00D87CCC"/>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B53"/>
    <w:rsid w:val="00D93C24"/>
    <w:rsid w:val="00D94234"/>
    <w:rsid w:val="00D94689"/>
    <w:rsid w:val="00D948A7"/>
    <w:rsid w:val="00D94B94"/>
    <w:rsid w:val="00D94DE7"/>
    <w:rsid w:val="00D950A6"/>
    <w:rsid w:val="00D952DD"/>
    <w:rsid w:val="00D95787"/>
    <w:rsid w:val="00D9585A"/>
    <w:rsid w:val="00D958DF"/>
    <w:rsid w:val="00D9591B"/>
    <w:rsid w:val="00D959AF"/>
    <w:rsid w:val="00D95B05"/>
    <w:rsid w:val="00D95C5C"/>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654"/>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835"/>
    <w:rsid w:val="00DA2B9E"/>
    <w:rsid w:val="00DA2D8E"/>
    <w:rsid w:val="00DA2E17"/>
    <w:rsid w:val="00DA2E2C"/>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2B8"/>
    <w:rsid w:val="00DA53BC"/>
    <w:rsid w:val="00DA53CC"/>
    <w:rsid w:val="00DA5593"/>
    <w:rsid w:val="00DA55FB"/>
    <w:rsid w:val="00DA58FB"/>
    <w:rsid w:val="00DA59BE"/>
    <w:rsid w:val="00DA5A6E"/>
    <w:rsid w:val="00DA5D0E"/>
    <w:rsid w:val="00DA5D33"/>
    <w:rsid w:val="00DA5E8D"/>
    <w:rsid w:val="00DA6059"/>
    <w:rsid w:val="00DA609E"/>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A8"/>
    <w:rsid w:val="00DB0CDD"/>
    <w:rsid w:val="00DB0D8F"/>
    <w:rsid w:val="00DB1192"/>
    <w:rsid w:val="00DB12C2"/>
    <w:rsid w:val="00DB13ED"/>
    <w:rsid w:val="00DB13F3"/>
    <w:rsid w:val="00DB1666"/>
    <w:rsid w:val="00DB1B8E"/>
    <w:rsid w:val="00DB1C7C"/>
    <w:rsid w:val="00DB1CF8"/>
    <w:rsid w:val="00DB1D67"/>
    <w:rsid w:val="00DB1D97"/>
    <w:rsid w:val="00DB1F48"/>
    <w:rsid w:val="00DB21EB"/>
    <w:rsid w:val="00DB2247"/>
    <w:rsid w:val="00DB243C"/>
    <w:rsid w:val="00DB25EC"/>
    <w:rsid w:val="00DB2686"/>
    <w:rsid w:val="00DB341E"/>
    <w:rsid w:val="00DB34E0"/>
    <w:rsid w:val="00DB3623"/>
    <w:rsid w:val="00DB367D"/>
    <w:rsid w:val="00DB399C"/>
    <w:rsid w:val="00DB3C3F"/>
    <w:rsid w:val="00DB41C2"/>
    <w:rsid w:val="00DB4261"/>
    <w:rsid w:val="00DB472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D76"/>
    <w:rsid w:val="00DB7116"/>
    <w:rsid w:val="00DB7125"/>
    <w:rsid w:val="00DB71A1"/>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406"/>
    <w:rsid w:val="00DC3536"/>
    <w:rsid w:val="00DC38A7"/>
    <w:rsid w:val="00DC3AE7"/>
    <w:rsid w:val="00DC400F"/>
    <w:rsid w:val="00DC4088"/>
    <w:rsid w:val="00DC4174"/>
    <w:rsid w:val="00DC4572"/>
    <w:rsid w:val="00DC49D5"/>
    <w:rsid w:val="00DC4AFB"/>
    <w:rsid w:val="00DC4BE5"/>
    <w:rsid w:val="00DC4CA1"/>
    <w:rsid w:val="00DC4F15"/>
    <w:rsid w:val="00DC4F38"/>
    <w:rsid w:val="00DC4F9B"/>
    <w:rsid w:val="00DC500E"/>
    <w:rsid w:val="00DC53E8"/>
    <w:rsid w:val="00DC54CE"/>
    <w:rsid w:val="00DC5651"/>
    <w:rsid w:val="00DC5BF7"/>
    <w:rsid w:val="00DC5C3B"/>
    <w:rsid w:val="00DC5D7B"/>
    <w:rsid w:val="00DC5ED1"/>
    <w:rsid w:val="00DC6038"/>
    <w:rsid w:val="00DC618E"/>
    <w:rsid w:val="00DC665F"/>
    <w:rsid w:val="00DC681A"/>
    <w:rsid w:val="00DC6B57"/>
    <w:rsid w:val="00DC6CC8"/>
    <w:rsid w:val="00DC6D51"/>
    <w:rsid w:val="00DC6DBC"/>
    <w:rsid w:val="00DC6F41"/>
    <w:rsid w:val="00DC7238"/>
    <w:rsid w:val="00DC7489"/>
    <w:rsid w:val="00DC7553"/>
    <w:rsid w:val="00DC766F"/>
    <w:rsid w:val="00DC76B5"/>
    <w:rsid w:val="00DC7888"/>
    <w:rsid w:val="00DC78B7"/>
    <w:rsid w:val="00DC7921"/>
    <w:rsid w:val="00DC7B36"/>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B30"/>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6AA"/>
    <w:rsid w:val="00DD37A4"/>
    <w:rsid w:val="00DD37C0"/>
    <w:rsid w:val="00DD39AA"/>
    <w:rsid w:val="00DD3D7B"/>
    <w:rsid w:val="00DD40A6"/>
    <w:rsid w:val="00DD40C0"/>
    <w:rsid w:val="00DD4281"/>
    <w:rsid w:val="00DD4321"/>
    <w:rsid w:val="00DD4406"/>
    <w:rsid w:val="00DD449F"/>
    <w:rsid w:val="00DD44EF"/>
    <w:rsid w:val="00DD453C"/>
    <w:rsid w:val="00DD46FA"/>
    <w:rsid w:val="00DD47EE"/>
    <w:rsid w:val="00DD4815"/>
    <w:rsid w:val="00DD4E56"/>
    <w:rsid w:val="00DD501C"/>
    <w:rsid w:val="00DD501E"/>
    <w:rsid w:val="00DD50FA"/>
    <w:rsid w:val="00DD5262"/>
    <w:rsid w:val="00DD52A7"/>
    <w:rsid w:val="00DD531D"/>
    <w:rsid w:val="00DD56B9"/>
    <w:rsid w:val="00DD588A"/>
    <w:rsid w:val="00DD5955"/>
    <w:rsid w:val="00DD59A4"/>
    <w:rsid w:val="00DD5A0C"/>
    <w:rsid w:val="00DD5BA4"/>
    <w:rsid w:val="00DD5BB8"/>
    <w:rsid w:val="00DD5D7A"/>
    <w:rsid w:val="00DD5D9E"/>
    <w:rsid w:val="00DD6558"/>
    <w:rsid w:val="00DD6731"/>
    <w:rsid w:val="00DD6A2A"/>
    <w:rsid w:val="00DD6CFF"/>
    <w:rsid w:val="00DD735E"/>
    <w:rsid w:val="00DD7362"/>
    <w:rsid w:val="00DD739E"/>
    <w:rsid w:val="00DD74C3"/>
    <w:rsid w:val="00DD7674"/>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E8"/>
    <w:rsid w:val="00DE0B69"/>
    <w:rsid w:val="00DE0DF4"/>
    <w:rsid w:val="00DE0E10"/>
    <w:rsid w:val="00DE0E7E"/>
    <w:rsid w:val="00DE10A1"/>
    <w:rsid w:val="00DE10E3"/>
    <w:rsid w:val="00DE10F5"/>
    <w:rsid w:val="00DE1692"/>
    <w:rsid w:val="00DE18EC"/>
    <w:rsid w:val="00DE1C22"/>
    <w:rsid w:val="00DE23FF"/>
    <w:rsid w:val="00DE249D"/>
    <w:rsid w:val="00DE2804"/>
    <w:rsid w:val="00DE2AC1"/>
    <w:rsid w:val="00DE2CEF"/>
    <w:rsid w:val="00DE2D73"/>
    <w:rsid w:val="00DE2F65"/>
    <w:rsid w:val="00DE31EA"/>
    <w:rsid w:val="00DE3265"/>
    <w:rsid w:val="00DE35D3"/>
    <w:rsid w:val="00DE36D4"/>
    <w:rsid w:val="00DE38E4"/>
    <w:rsid w:val="00DE3A0B"/>
    <w:rsid w:val="00DE3F06"/>
    <w:rsid w:val="00DE4552"/>
    <w:rsid w:val="00DE4720"/>
    <w:rsid w:val="00DE48A4"/>
    <w:rsid w:val="00DE4B9F"/>
    <w:rsid w:val="00DE4C0C"/>
    <w:rsid w:val="00DE4EA3"/>
    <w:rsid w:val="00DE502D"/>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F05C8"/>
    <w:rsid w:val="00DF0768"/>
    <w:rsid w:val="00DF0C29"/>
    <w:rsid w:val="00DF0C96"/>
    <w:rsid w:val="00DF0FD9"/>
    <w:rsid w:val="00DF15B0"/>
    <w:rsid w:val="00DF1795"/>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BA0"/>
    <w:rsid w:val="00DF3E29"/>
    <w:rsid w:val="00DF3ED6"/>
    <w:rsid w:val="00DF4065"/>
    <w:rsid w:val="00DF40E0"/>
    <w:rsid w:val="00DF4192"/>
    <w:rsid w:val="00DF41CC"/>
    <w:rsid w:val="00DF430A"/>
    <w:rsid w:val="00DF45C8"/>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3F34"/>
    <w:rsid w:val="00E045C3"/>
    <w:rsid w:val="00E048FF"/>
    <w:rsid w:val="00E04AB7"/>
    <w:rsid w:val="00E05064"/>
    <w:rsid w:val="00E050EF"/>
    <w:rsid w:val="00E05400"/>
    <w:rsid w:val="00E0556C"/>
    <w:rsid w:val="00E05789"/>
    <w:rsid w:val="00E05A4D"/>
    <w:rsid w:val="00E05AC4"/>
    <w:rsid w:val="00E05E9E"/>
    <w:rsid w:val="00E06073"/>
    <w:rsid w:val="00E06096"/>
    <w:rsid w:val="00E060E3"/>
    <w:rsid w:val="00E06402"/>
    <w:rsid w:val="00E064D9"/>
    <w:rsid w:val="00E06708"/>
    <w:rsid w:val="00E06B00"/>
    <w:rsid w:val="00E06F85"/>
    <w:rsid w:val="00E07354"/>
    <w:rsid w:val="00E074FB"/>
    <w:rsid w:val="00E076FC"/>
    <w:rsid w:val="00E07897"/>
    <w:rsid w:val="00E07ACC"/>
    <w:rsid w:val="00E07B1B"/>
    <w:rsid w:val="00E07C91"/>
    <w:rsid w:val="00E07D0C"/>
    <w:rsid w:val="00E1056D"/>
    <w:rsid w:val="00E10788"/>
    <w:rsid w:val="00E109C4"/>
    <w:rsid w:val="00E10C6A"/>
    <w:rsid w:val="00E10D28"/>
    <w:rsid w:val="00E10F98"/>
    <w:rsid w:val="00E110A4"/>
    <w:rsid w:val="00E11213"/>
    <w:rsid w:val="00E115D7"/>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8D8"/>
    <w:rsid w:val="00E13A86"/>
    <w:rsid w:val="00E13C9E"/>
    <w:rsid w:val="00E13DFD"/>
    <w:rsid w:val="00E13E06"/>
    <w:rsid w:val="00E140C2"/>
    <w:rsid w:val="00E14237"/>
    <w:rsid w:val="00E1428C"/>
    <w:rsid w:val="00E14756"/>
    <w:rsid w:val="00E14C91"/>
    <w:rsid w:val="00E14F41"/>
    <w:rsid w:val="00E1562D"/>
    <w:rsid w:val="00E1598D"/>
    <w:rsid w:val="00E159AC"/>
    <w:rsid w:val="00E16030"/>
    <w:rsid w:val="00E163CF"/>
    <w:rsid w:val="00E16862"/>
    <w:rsid w:val="00E16868"/>
    <w:rsid w:val="00E16869"/>
    <w:rsid w:val="00E16D8A"/>
    <w:rsid w:val="00E16E34"/>
    <w:rsid w:val="00E16EEE"/>
    <w:rsid w:val="00E173C1"/>
    <w:rsid w:val="00E174E6"/>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BB5"/>
    <w:rsid w:val="00E21D2F"/>
    <w:rsid w:val="00E21DA1"/>
    <w:rsid w:val="00E22052"/>
    <w:rsid w:val="00E222A0"/>
    <w:rsid w:val="00E222FD"/>
    <w:rsid w:val="00E225C4"/>
    <w:rsid w:val="00E22624"/>
    <w:rsid w:val="00E22FEC"/>
    <w:rsid w:val="00E2326C"/>
    <w:rsid w:val="00E233C7"/>
    <w:rsid w:val="00E23528"/>
    <w:rsid w:val="00E23723"/>
    <w:rsid w:val="00E23918"/>
    <w:rsid w:val="00E23940"/>
    <w:rsid w:val="00E23B7A"/>
    <w:rsid w:val="00E23ED8"/>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6B7"/>
    <w:rsid w:val="00E277D4"/>
    <w:rsid w:val="00E27B37"/>
    <w:rsid w:val="00E27BE4"/>
    <w:rsid w:val="00E27D57"/>
    <w:rsid w:val="00E27DF1"/>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26A7"/>
    <w:rsid w:val="00E3275F"/>
    <w:rsid w:val="00E3279C"/>
    <w:rsid w:val="00E327F0"/>
    <w:rsid w:val="00E32B0C"/>
    <w:rsid w:val="00E32BBD"/>
    <w:rsid w:val="00E32C82"/>
    <w:rsid w:val="00E32CB2"/>
    <w:rsid w:val="00E32EC7"/>
    <w:rsid w:val="00E33065"/>
    <w:rsid w:val="00E330D5"/>
    <w:rsid w:val="00E33237"/>
    <w:rsid w:val="00E333F7"/>
    <w:rsid w:val="00E33484"/>
    <w:rsid w:val="00E335F7"/>
    <w:rsid w:val="00E3367F"/>
    <w:rsid w:val="00E33745"/>
    <w:rsid w:val="00E3409A"/>
    <w:rsid w:val="00E34475"/>
    <w:rsid w:val="00E3448C"/>
    <w:rsid w:val="00E347A5"/>
    <w:rsid w:val="00E34DFA"/>
    <w:rsid w:val="00E34F03"/>
    <w:rsid w:val="00E3516E"/>
    <w:rsid w:val="00E35233"/>
    <w:rsid w:val="00E353C2"/>
    <w:rsid w:val="00E3571D"/>
    <w:rsid w:val="00E3578F"/>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299"/>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CF4"/>
    <w:rsid w:val="00E42E09"/>
    <w:rsid w:val="00E430C6"/>
    <w:rsid w:val="00E43475"/>
    <w:rsid w:val="00E4362C"/>
    <w:rsid w:val="00E43637"/>
    <w:rsid w:val="00E43686"/>
    <w:rsid w:val="00E436CB"/>
    <w:rsid w:val="00E43729"/>
    <w:rsid w:val="00E4376E"/>
    <w:rsid w:val="00E437BD"/>
    <w:rsid w:val="00E43819"/>
    <w:rsid w:val="00E43A01"/>
    <w:rsid w:val="00E43BE1"/>
    <w:rsid w:val="00E43D20"/>
    <w:rsid w:val="00E4427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445"/>
    <w:rsid w:val="00E46553"/>
    <w:rsid w:val="00E46758"/>
    <w:rsid w:val="00E467F7"/>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BE6"/>
    <w:rsid w:val="00E50D06"/>
    <w:rsid w:val="00E50E90"/>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2FC4"/>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A9B"/>
    <w:rsid w:val="00E54E0A"/>
    <w:rsid w:val="00E55056"/>
    <w:rsid w:val="00E55079"/>
    <w:rsid w:val="00E556E9"/>
    <w:rsid w:val="00E557A0"/>
    <w:rsid w:val="00E557B2"/>
    <w:rsid w:val="00E5589A"/>
    <w:rsid w:val="00E55AA5"/>
    <w:rsid w:val="00E562E2"/>
    <w:rsid w:val="00E564EC"/>
    <w:rsid w:val="00E5659C"/>
    <w:rsid w:val="00E568D0"/>
    <w:rsid w:val="00E56965"/>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82F"/>
    <w:rsid w:val="00E61DC9"/>
    <w:rsid w:val="00E62006"/>
    <w:rsid w:val="00E62015"/>
    <w:rsid w:val="00E62336"/>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9BB"/>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064"/>
    <w:rsid w:val="00E66293"/>
    <w:rsid w:val="00E66479"/>
    <w:rsid w:val="00E667E3"/>
    <w:rsid w:val="00E669C1"/>
    <w:rsid w:val="00E66E5F"/>
    <w:rsid w:val="00E670A6"/>
    <w:rsid w:val="00E673CC"/>
    <w:rsid w:val="00E673DD"/>
    <w:rsid w:val="00E674AE"/>
    <w:rsid w:val="00E67716"/>
    <w:rsid w:val="00E67893"/>
    <w:rsid w:val="00E67AD0"/>
    <w:rsid w:val="00E67C1F"/>
    <w:rsid w:val="00E67CF6"/>
    <w:rsid w:val="00E67D1E"/>
    <w:rsid w:val="00E70276"/>
    <w:rsid w:val="00E703A4"/>
    <w:rsid w:val="00E705CB"/>
    <w:rsid w:val="00E705F0"/>
    <w:rsid w:val="00E70C77"/>
    <w:rsid w:val="00E70CB0"/>
    <w:rsid w:val="00E70DFF"/>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6C"/>
    <w:rsid w:val="00E74287"/>
    <w:rsid w:val="00E743DB"/>
    <w:rsid w:val="00E744A0"/>
    <w:rsid w:val="00E74679"/>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8CF"/>
    <w:rsid w:val="00E769E0"/>
    <w:rsid w:val="00E76A29"/>
    <w:rsid w:val="00E77248"/>
    <w:rsid w:val="00E77435"/>
    <w:rsid w:val="00E774EA"/>
    <w:rsid w:val="00E77521"/>
    <w:rsid w:val="00E77601"/>
    <w:rsid w:val="00E776BC"/>
    <w:rsid w:val="00E777D8"/>
    <w:rsid w:val="00E77821"/>
    <w:rsid w:val="00E77A94"/>
    <w:rsid w:val="00E77AF5"/>
    <w:rsid w:val="00E77D78"/>
    <w:rsid w:val="00E803F4"/>
    <w:rsid w:val="00E80409"/>
    <w:rsid w:val="00E805F0"/>
    <w:rsid w:val="00E80C1B"/>
    <w:rsid w:val="00E80D88"/>
    <w:rsid w:val="00E80EA1"/>
    <w:rsid w:val="00E80F72"/>
    <w:rsid w:val="00E81056"/>
    <w:rsid w:val="00E810B2"/>
    <w:rsid w:val="00E8118B"/>
    <w:rsid w:val="00E81272"/>
    <w:rsid w:val="00E814FD"/>
    <w:rsid w:val="00E81877"/>
    <w:rsid w:val="00E81D81"/>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3FF0"/>
    <w:rsid w:val="00E84004"/>
    <w:rsid w:val="00E841A5"/>
    <w:rsid w:val="00E8431B"/>
    <w:rsid w:val="00E8439A"/>
    <w:rsid w:val="00E8492C"/>
    <w:rsid w:val="00E84B4C"/>
    <w:rsid w:val="00E84C10"/>
    <w:rsid w:val="00E84CF5"/>
    <w:rsid w:val="00E84D2B"/>
    <w:rsid w:val="00E8506A"/>
    <w:rsid w:val="00E850A9"/>
    <w:rsid w:val="00E85376"/>
    <w:rsid w:val="00E853FC"/>
    <w:rsid w:val="00E85A25"/>
    <w:rsid w:val="00E85ABB"/>
    <w:rsid w:val="00E85C65"/>
    <w:rsid w:val="00E85E24"/>
    <w:rsid w:val="00E86246"/>
    <w:rsid w:val="00E86506"/>
    <w:rsid w:val="00E867C7"/>
    <w:rsid w:val="00E869B1"/>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E62"/>
    <w:rsid w:val="00E94035"/>
    <w:rsid w:val="00E940E2"/>
    <w:rsid w:val="00E943EC"/>
    <w:rsid w:val="00E9461A"/>
    <w:rsid w:val="00E946F8"/>
    <w:rsid w:val="00E94726"/>
    <w:rsid w:val="00E94786"/>
    <w:rsid w:val="00E94861"/>
    <w:rsid w:val="00E949DB"/>
    <w:rsid w:val="00E94AF7"/>
    <w:rsid w:val="00E95513"/>
    <w:rsid w:val="00E95556"/>
    <w:rsid w:val="00E956C4"/>
    <w:rsid w:val="00E95B1C"/>
    <w:rsid w:val="00E95BA3"/>
    <w:rsid w:val="00E95CF4"/>
    <w:rsid w:val="00E95E85"/>
    <w:rsid w:val="00E962AA"/>
    <w:rsid w:val="00E964AA"/>
    <w:rsid w:val="00E96896"/>
    <w:rsid w:val="00E968F5"/>
    <w:rsid w:val="00E9692F"/>
    <w:rsid w:val="00E96949"/>
    <w:rsid w:val="00E96B09"/>
    <w:rsid w:val="00E96FCA"/>
    <w:rsid w:val="00E9700B"/>
    <w:rsid w:val="00E9702D"/>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7C0"/>
    <w:rsid w:val="00EA1A59"/>
    <w:rsid w:val="00EA1CF1"/>
    <w:rsid w:val="00EA1D0F"/>
    <w:rsid w:val="00EA1DB6"/>
    <w:rsid w:val="00EA1FC5"/>
    <w:rsid w:val="00EA219F"/>
    <w:rsid w:val="00EA22C2"/>
    <w:rsid w:val="00EA23E6"/>
    <w:rsid w:val="00EA25D3"/>
    <w:rsid w:val="00EA2618"/>
    <w:rsid w:val="00EA2665"/>
    <w:rsid w:val="00EA2893"/>
    <w:rsid w:val="00EA2A3E"/>
    <w:rsid w:val="00EA2B7F"/>
    <w:rsid w:val="00EA2F8C"/>
    <w:rsid w:val="00EA3110"/>
    <w:rsid w:val="00EA32C4"/>
    <w:rsid w:val="00EA342F"/>
    <w:rsid w:val="00EA3D1F"/>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6B2"/>
    <w:rsid w:val="00EA67F5"/>
    <w:rsid w:val="00EA6D06"/>
    <w:rsid w:val="00EA736E"/>
    <w:rsid w:val="00EA7648"/>
    <w:rsid w:val="00EA7934"/>
    <w:rsid w:val="00EA7F07"/>
    <w:rsid w:val="00EA7FC3"/>
    <w:rsid w:val="00EB0190"/>
    <w:rsid w:val="00EB02A1"/>
    <w:rsid w:val="00EB0500"/>
    <w:rsid w:val="00EB07BC"/>
    <w:rsid w:val="00EB0A07"/>
    <w:rsid w:val="00EB0BD6"/>
    <w:rsid w:val="00EB0DFC"/>
    <w:rsid w:val="00EB13BB"/>
    <w:rsid w:val="00EB161C"/>
    <w:rsid w:val="00EB1636"/>
    <w:rsid w:val="00EB1C84"/>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075"/>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525"/>
    <w:rsid w:val="00EC066F"/>
    <w:rsid w:val="00EC06A4"/>
    <w:rsid w:val="00EC077E"/>
    <w:rsid w:val="00EC0801"/>
    <w:rsid w:val="00EC1046"/>
    <w:rsid w:val="00EC10C6"/>
    <w:rsid w:val="00EC10E0"/>
    <w:rsid w:val="00EC1172"/>
    <w:rsid w:val="00EC1494"/>
    <w:rsid w:val="00EC1572"/>
    <w:rsid w:val="00EC158A"/>
    <w:rsid w:val="00EC1743"/>
    <w:rsid w:val="00EC17D1"/>
    <w:rsid w:val="00EC1993"/>
    <w:rsid w:val="00EC19AE"/>
    <w:rsid w:val="00EC2123"/>
    <w:rsid w:val="00EC2364"/>
    <w:rsid w:val="00EC25F1"/>
    <w:rsid w:val="00EC266E"/>
    <w:rsid w:val="00EC29CF"/>
    <w:rsid w:val="00EC2C48"/>
    <w:rsid w:val="00EC306F"/>
    <w:rsid w:val="00EC3331"/>
    <w:rsid w:val="00EC335F"/>
    <w:rsid w:val="00EC34D1"/>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380"/>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19A1"/>
    <w:rsid w:val="00ED2146"/>
    <w:rsid w:val="00ED21DF"/>
    <w:rsid w:val="00ED2759"/>
    <w:rsid w:val="00ED2DCB"/>
    <w:rsid w:val="00ED3131"/>
    <w:rsid w:val="00ED34D6"/>
    <w:rsid w:val="00ED3555"/>
    <w:rsid w:val="00ED3658"/>
    <w:rsid w:val="00ED36CB"/>
    <w:rsid w:val="00ED386C"/>
    <w:rsid w:val="00ED388D"/>
    <w:rsid w:val="00ED3F2C"/>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6057"/>
    <w:rsid w:val="00ED6102"/>
    <w:rsid w:val="00ED612A"/>
    <w:rsid w:val="00ED64C8"/>
    <w:rsid w:val="00ED66D4"/>
    <w:rsid w:val="00ED67AC"/>
    <w:rsid w:val="00ED67D5"/>
    <w:rsid w:val="00ED68E4"/>
    <w:rsid w:val="00ED6A48"/>
    <w:rsid w:val="00ED6E81"/>
    <w:rsid w:val="00ED7019"/>
    <w:rsid w:val="00ED7599"/>
    <w:rsid w:val="00ED7626"/>
    <w:rsid w:val="00ED7B25"/>
    <w:rsid w:val="00ED7B82"/>
    <w:rsid w:val="00ED7E8F"/>
    <w:rsid w:val="00ED7ED4"/>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7E3"/>
    <w:rsid w:val="00EE4A17"/>
    <w:rsid w:val="00EE4A2C"/>
    <w:rsid w:val="00EE4C46"/>
    <w:rsid w:val="00EE4CA5"/>
    <w:rsid w:val="00EE4E37"/>
    <w:rsid w:val="00EE52B7"/>
    <w:rsid w:val="00EE534C"/>
    <w:rsid w:val="00EE5677"/>
    <w:rsid w:val="00EE5806"/>
    <w:rsid w:val="00EE5B34"/>
    <w:rsid w:val="00EE5BAF"/>
    <w:rsid w:val="00EE6104"/>
    <w:rsid w:val="00EE6500"/>
    <w:rsid w:val="00EE6898"/>
    <w:rsid w:val="00EE6984"/>
    <w:rsid w:val="00EE69A4"/>
    <w:rsid w:val="00EE6C8E"/>
    <w:rsid w:val="00EE71D1"/>
    <w:rsid w:val="00EE7277"/>
    <w:rsid w:val="00EE7804"/>
    <w:rsid w:val="00EE78C0"/>
    <w:rsid w:val="00EE7A4F"/>
    <w:rsid w:val="00EE7C07"/>
    <w:rsid w:val="00EE7D09"/>
    <w:rsid w:val="00EE7D7C"/>
    <w:rsid w:val="00EE7DE0"/>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39"/>
    <w:rsid w:val="00EF1C9B"/>
    <w:rsid w:val="00EF2956"/>
    <w:rsid w:val="00EF2EEA"/>
    <w:rsid w:val="00EF2FF5"/>
    <w:rsid w:val="00EF32EF"/>
    <w:rsid w:val="00EF3821"/>
    <w:rsid w:val="00EF3AFF"/>
    <w:rsid w:val="00EF3C24"/>
    <w:rsid w:val="00EF3F75"/>
    <w:rsid w:val="00EF3FAA"/>
    <w:rsid w:val="00EF409D"/>
    <w:rsid w:val="00EF4185"/>
    <w:rsid w:val="00EF421E"/>
    <w:rsid w:val="00EF4329"/>
    <w:rsid w:val="00EF4717"/>
    <w:rsid w:val="00EF4A02"/>
    <w:rsid w:val="00EF4CD2"/>
    <w:rsid w:val="00EF4E7D"/>
    <w:rsid w:val="00EF4FE3"/>
    <w:rsid w:val="00EF5016"/>
    <w:rsid w:val="00EF51F9"/>
    <w:rsid w:val="00EF5211"/>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BEC"/>
    <w:rsid w:val="00EF7D5D"/>
    <w:rsid w:val="00F001AC"/>
    <w:rsid w:val="00F0045B"/>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1C04"/>
    <w:rsid w:val="00F020E4"/>
    <w:rsid w:val="00F02245"/>
    <w:rsid w:val="00F025AA"/>
    <w:rsid w:val="00F026AE"/>
    <w:rsid w:val="00F02AB2"/>
    <w:rsid w:val="00F02B09"/>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4CE1"/>
    <w:rsid w:val="00F0507E"/>
    <w:rsid w:val="00F050A7"/>
    <w:rsid w:val="00F05190"/>
    <w:rsid w:val="00F054D8"/>
    <w:rsid w:val="00F0559B"/>
    <w:rsid w:val="00F0561B"/>
    <w:rsid w:val="00F05755"/>
    <w:rsid w:val="00F05789"/>
    <w:rsid w:val="00F05BA9"/>
    <w:rsid w:val="00F06199"/>
    <w:rsid w:val="00F06919"/>
    <w:rsid w:val="00F06A73"/>
    <w:rsid w:val="00F06B95"/>
    <w:rsid w:val="00F06C2C"/>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AA0"/>
    <w:rsid w:val="00F11C1D"/>
    <w:rsid w:val="00F11DB5"/>
    <w:rsid w:val="00F11EA8"/>
    <w:rsid w:val="00F120BE"/>
    <w:rsid w:val="00F12108"/>
    <w:rsid w:val="00F12232"/>
    <w:rsid w:val="00F1251D"/>
    <w:rsid w:val="00F12573"/>
    <w:rsid w:val="00F1269E"/>
    <w:rsid w:val="00F126A8"/>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6066"/>
    <w:rsid w:val="00F26125"/>
    <w:rsid w:val="00F261FB"/>
    <w:rsid w:val="00F2622B"/>
    <w:rsid w:val="00F262C1"/>
    <w:rsid w:val="00F2650D"/>
    <w:rsid w:val="00F26A49"/>
    <w:rsid w:val="00F26CF1"/>
    <w:rsid w:val="00F26FC4"/>
    <w:rsid w:val="00F272AD"/>
    <w:rsid w:val="00F2785A"/>
    <w:rsid w:val="00F279DD"/>
    <w:rsid w:val="00F27A21"/>
    <w:rsid w:val="00F27D20"/>
    <w:rsid w:val="00F27DCE"/>
    <w:rsid w:val="00F300C2"/>
    <w:rsid w:val="00F3037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155"/>
    <w:rsid w:val="00F352F9"/>
    <w:rsid w:val="00F353BF"/>
    <w:rsid w:val="00F356B2"/>
    <w:rsid w:val="00F3575A"/>
    <w:rsid w:val="00F35BDB"/>
    <w:rsid w:val="00F35E57"/>
    <w:rsid w:val="00F3609A"/>
    <w:rsid w:val="00F363BA"/>
    <w:rsid w:val="00F36520"/>
    <w:rsid w:val="00F3653E"/>
    <w:rsid w:val="00F3654E"/>
    <w:rsid w:val="00F36AED"/>
    <w:rsid w:val="00F36E70"/>
    <w:rsid w:val="00F37085"/>
    <w:rsid w:val="00F37181"/>
    <w:rsid w:val="00F372F6"/>
    <w:rsid w:val="00F373F7"/>
    <w:rsid w:val="00F37425"/>
    <w:rsid w:val="00F3742D"/>
    <w:rsid w:val="00F374C7"/>
    <w:rsid w:val="00F37823"/>
    <w:rsid w:val="00F37ABA"/>
    <w:rsid w:val="00F37C40"/>
    <w:rsid w:val="00F37CA7"/>
    <w:rsid w:val="00F37CB0"/>
    <w:rsid w:val="00F37CC0"/>
    <w:rsid w:val="00F37D4B"/>
    <w:rsid w:val="00F37E74"/>
    <w:rsid w:val="00F37FF9"/>
    <w:rsid w:val="00F4016F"/>
    <w:rsid w:val="00F402AB"/>
    <w:rsid w:val="00F4056B"/>
    <w:rsid w:val="00F40647"/>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38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B87"/>
    <w:rsid w:val="00F44172"/>
    <w:rsid w:val="00F44214"/>
    <w:rsid w:val="00F44521"/>
    <w:rsid w:val="00F445DC"/>
    <w:rsid w:val="00F445FB"/>
    <w:rsid w:val="00F44818"/>
    <w:rsid w:val="00F44C27"/>
    <w:rsid w:val="00F44CD6"/>
    <w:rsid w:val="00F44D4F"/>
    <w:rsid w:val="00F4528E"/>
    <w:rsid w:val="00F452C3"/>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33"/>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46A3"/>
    <w:rsid w:val="00F646A8"/>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C4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1B2"/>
    <w:rsid w:val="00F7120C"/>
    <w:rsid w:val="00F712EE"/>
    <w:rsid w:val="00F71383"/>
    <w:rsid w:val="00F714A8"/>
    <w:rsid w:val="00F716BF"/>
    <w:rsid w:val="00F7170C"/>
    <w:rsid w:val="00F71753"/>
    <w:rsid w:val="00F72086"/>
    <w:rsid w:val="00F721FA"/>
    <w:rsid w:val="00F7226B"/>
    <w:rsid w:val="00F7257C"/>
    <w:rsid w:val="00F728DC"/>
    <w:rsid w:val="00F72A45"/>
    <w:rsid w:val="00F72C7E"/>
    <w:rsid w:val="00F72E31"/>
    <w:rsid w:val="00F73078"/>
    <w:rsid w:val="00F73194"/>
    <w:rsid w:val="00F7324A"/>
    <w:rsid w:val="00F7342F"/>
    <w:rsid w:val="00F73720"/>
    <w:rsid w:val="00F737C0"/>
    <w:rsid w:val="00F7384E"/>
    <w:rsid w:val="00F738A5"/>
    <w:rsid w:val="00F73A9B"/>
    <w:rsid w:val="00F73FBA"/>
    <w:rsid w:val="00F743D0"/>
    <w:rsid w:val="00F7448A"/>
    <w:rsid w:val="00F7473A"/>
    <w:rsid w:val="00F747BE"/>
    <w:rsid w:val="00F749BA"/>
    <w:rsid w:val="00F74EFA"/>
    <w:rsid w:val="00F74FD2"/>
    <w:rsid w:val="00F754A0"/>
    <w:rsid w:val="00F7577D"/>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37A5"/>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C2A"/>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7D1"/>
    <w:rsid w:val="00F878B7"/>
    <w:rsid w:val="00F878BA"/>
    <w:rsid w:val="00F87B05"/>
    <w:rsid w:val="00F87ED9"/>
    <w:rsid w:val="00F9094D"/>
    <w:rsid w:val="00F90952"/>
    <w:rsid w:val="00F90B92"/>
    <w:rsid w:val="00F9127C"/>
    <w:rsid w:val="00F91315"/>
    <w:rsid w:val="00F914FA"/>
    <w:rsid w:val="00F9159D"/>
    <w:rsid w:val="00F917D3"/>
    <w:rsid w:val="00F918F5"/>
    <w:rsid w:val="00F91A25"/>
    <w:rsid w:val="00F91F72"/>
    <w:rsid w:val="00F923AD"/>
    <w:rsid w:val="00F92A28"/>
    <w:rsid w:val="00F92B4C"/>
    <w:rsid w:val="00F92CDA"/>
    <w:rsid w:val="00F92E24"/>
    <w:rsid w:val="00F934CB"/>
    <w:rsid w:val="00F93541"/>
    <w:rsid w:val="00F9354E"/>
    <w:rsid w:val="00F936A7"/>
    <w:rsid w:val="00F9389D"/>
    <w:rsid w:val="00F939D0"/>
    <w:rsid w:val="00F93C7F"/>
    <w:rsid w:val="00F93FDB"/>
    <w:rsid w:val="00F9410B"/>
    <w:rsid w:val="00F94214"/>
    <w:rsid w:val="00F943B5"/>
    <w:rsid w:val="00F9455B"/>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9A0"/>
    <w:rsid w:val="00FA09FA"/>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80D"/>
    <w:rsid w:val="00FA5D4E"/>
    <w:rsid w:val="00FA5F08"/>
    <w:rsid w:val="00FA5F91"/>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28D"/>
    <w:rsid w:val="00FB14ED"/>
    <w:rsid w:val="00FB1A20"/>
    <w:rsid w:val="00FB1BBE"/>
    <w:rsid w:val="00FB1C91"/>
    <w:rsid w:val="00FB1C98"/>
    <w:rsid w:val="00FB1CB3"/>
    <w:rsid w:val="00FB1E07"/>
    <w:rsid w:val="00FB21AF"/>
    <w:rsid w:val="00FB2262"/>
    <w:rsid w:val="00FB2290"/>
    <w:rsid w:val="00FB231B"/>
    <w:rsid w:val="00FB23DB"/>
    <w:rsid w:val="00FB2423"/>
    <w:rsid w:val="00FB24A7"/>
    <w:rsid w:val="00FB24FE"/>
    <w:rsid w:val="00FB2665"/>
    <w:rsid w:val="00FB29E0"/>
    <w:rsid w:val="00FB2ADA"/>
    <w:rsid w:val="00FB2DA9"/>
    <w:rsid w:val="00FB2F46"/>
    <w:rsid w:val="00FB330B"/>
    <w:rsid w:val="00FB35F4"/>
    <w:rsid w:val="00FB36A0"/>
    <w:rsid w:val="00FB3B9C"/>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73"/>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D68"/>
    <w:rsid w:val="00FC0E38"/>
    <w:rsid w:val="00FC12B0"/>
    <w:rsid w:val="00FC16BF"/>
    <w:rsid w:val="00FC1858"/>
    <w:rsid w:val="00FC1900"/>
    <w:rsid w:val="00FC1937"/>
    <w:rsid w:val="00FC1A78"/>
    <w:rsid w:val="00FC1C90"/>
    <w:rsid w:val="00FC1CC8"/>
    <w:rsid w:val="00FC1F5E"/>
    <w:rsid w:val="00FC1F95"/>
    <w:rsid w:val="00FC20E9"/>
    <w:rsid w:val="00FC217D"/>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844"/>
    <w:rsid w:val="00FC7D4D"/>
    <w:rsid w:val="00FC7E5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1EA"/>
    <w:rsid w:val="00FD5672"/>
    <w:rsid w:val="00FD56D4"/>
    <w:rsid w:val="00FD5982"/>
    <w:rsid w:val="00FD59F8"/>
    <w:rsid w:val="00FD5B63"/>
    <w:rsid w:val="00FD5B91"/>
    <w:rsid w:val="00FD5BD3"/>
    <w:rsid w:val="00FD5D9B"/>
    <w:rsid w:val="00FD649F"/>
    <w:rsid w:val="00FD660F"/>
    <w:rsid w:val="00FD699B"/>
    <w:rsid w:val="00FD6A78"/>
    <w:rsid w:val="00FD6C8A"/>
    <w:rsid w:val="00FD7033"/>
    <w:rsid w:val="00FD737E"/>
    <w:rsid w:val="00FD743B"/>
    <w:rsid w:val="00FD75A6"/>
    <w:rsid w:val="00FD7650"/>
    <w:rsid w:val="00FD7805"/>
    <w:rsid w:val="00FD7864"/>
    <w:rsid w:val="00FD7B88"/>
    <w:rsid w:val="00FD7C8B"/>
    <w:rsid w:val="00FD7DCF"/>
    <w:rsid w:val="00FD7F14"/>
    <w:rsid w:val="00FD7FDF"/>
    <w:rsid w:val="00FE00AA"/>
    <w:rsid w:val="00FE03E4"/>
    <w:rsid w:val="00FE04AB"/>
    <w:rsid w:val="00FE055F"/>
    <w:rsid w:val="00FE0863"/>
    <w:rsid w:val="00FE0A0C"/>
    <w:rsid w:val="00FE0D8A"/>
    <w:rsid w:val="00FE0F06"/>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9"/>
    <w:rsid w:val="00FE3D93"/>
    <w:rsid w:val="00FE3E5C"/>
    <w:rsid w:val="00FE3EA0"/>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646"/>
    <w:rsid w:val="00FE669B"/>
    <w:rsid w:val="00FE714D"/>
    <w:rsid w:val="00FE7352"/>
    <w:rsid w:val="00FE7D6A"/>
    <w:rsid w:val="00FF018D"/>
    <w:rsid w:val="00FF01B0"/>
    <w:rsid w:val="00FF029E"/>
    <w:rsid w:val="00FF034B"/>
    <w:rsid w:val="00FF03B0"/>
    <w:rsid w:val="00FF0403"/>
    <w:rsid w:val="00FF05A6"/>
    <w:rsid w:val="00FF0655"/>
    <w:rsid w:val="00FF0961"/>
    <w:rsid w:val="00FF09F9"/>
    <w:rsid w:val="00FF0C30"/>
    <w:rsid w:val="00FF1007"/>
    <w:rsid w:val="00FF122C"/>
    <w:rsid w:val="00FF13B9"/>
    <w:rsid w:val="00FF1660"/>
    <w:rsid w:val="00FF1842"/>
    <w:rsid w:val="00FF196B"/>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5ED"/>
    <w:rsid w:val="00FF48E6"/>
    <w:rsid w:val="00FF4ACE"/>
    <w:rsid w:val="00FF4AD0"/>
    <w:rsid w:val="00FF4B29"/>
    <w:rsid w:val="00FF4B4F"/>
    <w:rsid w:val="00FF4D99"/>
    <w:rsid w:val="00FF4DA1"/>
    <w:rsid w:val="00FF5225"/>
    <w:rsid w:val="00FF5450"/>
    <w:rsid w:val="00FF547C"/>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636"/>
    <w:rsid w:val="00FF765F"/>
    <w:rsid w:val="00FF7989"/>
    <w:rsid w:val="00FF7D03"/>
    <w:rsid w:val="01260E98"/>
    <w:rsid w:val="01303AC5"/>
    <w:rsid w:val="013B4944"/>
    <w:rsid w:val="01527EDF"/>
    <w:rsid w:val="019404F8"/>
    <w:rsid w:val="01C963F3"/>
    <w:rsid w:val="01DD3C4D"/>
    <w:rsid w:val="01EA0118"/>
    <w:rsid w:val="01EA70B3"/>
    <w:rsid w:val="01FD42EF"/>
    <w:rsid w:val="020624C0"/>
    <w:rsid w:val="021533E7"/>
    <w:rsid w:val="021A6C4F"/>
    <w:rsid w:val="021F6013"/>
    <w:rsid w:val="02301FCF"/>
    <w:rsid w:val="026003DA"/>
    <w:rsid w:val="0264611C"/>
    <w:rsid w:val="0288005D"/>
    <w:rsid w:val="029F7154"/>
    <w:rsid w:val="02C60B85"/>
    <w:rsid w:val="02EF1E8A"/>
    <w:rsid w:val="02FA25DD"/>
    <w:rsid w:val="030F42DA"/>
    <w:rsid w:val="03123DCA"/>
    <w:rsid w:val="03465822"/>
    <w:rsid w:val="03A82039"/>
    <w:rsid w:val="03C30C20"/>
    <w:rsid w:val="03DD1CE2"/>
    <w:rsid w:val="03E2379C"/>
    <w:rsid w:val="03F84D6E"/>
    <w:rsid w:val="0418323B"/>
    <w:rsid w:val="043B1F2D"/>
    <w:rsid w:val="046225B0"/>
    <w:rsid w:val="04714B20"/>
    <w:rsid w:val="04787C5D"/>
    <w:rsid w:val="04790B2A"/>
    <w:rsid w:val="04A22F2C"/>
    <w:rsid w:val="04B62533"/>
    <w:rsid w:val="04C44C50"/>
    <w:rsid w:val="04C64E6C"/>
    <w:rsid w:val="04C759C7"/>
    <w:rsid w:val="05085485"/>
    <w:rsid w:val="05184F9C"/>
    <w:rsid w:val="05436F4F"/>
    <w:rsid w:val="05687CD1"/>
    <w:rsid w:val="05B9052D"/>
    <w:rsid w:val="05F11A75"/>
    <w:rsid w:val="05FD48BE"/>
    <w:rsid w:val="06064044"/>
    <w:rsid w:val="065B7836"/>
    <w:rsid w:val="0687062B"/>
    <w:rsid w:val="068B1EC9"/>
    <w:rsid w:val="06A411DD"/>
    <w:rsid w:val="06B07B82"/>
    <w:rsid w:val="06DF0467"/>
    <w:rsid w:val="06EB6E0C"/>
    <w:rsid w:val="06ED4906"/>
    <w:rsid w:val="070B6B66"/>
    <w:rsid w:val="070E2AFA"/>
    <w:rsid w:val="071360F1"/>
    <w:rsid w:val="074F208F"/>
    <w:rsid w:val="079F3753"/>
    <w:rsid w:val="07BC2556"/>
    <w:rsid w:val="07BE007D"/>
    <w:rsid w:val="07CD02C0"/>
    <w:rsid w:val="07D7113E"/>
    <w:rsid w:val="08145EEF"/>
    <w:rsid w:val="081952B3"/>
    <w:rsid w:val="08202AE5"/>
    <w:rsid w:val="088E2BEB"/>
    <w:rsid w:val="08D3272D"/>
    <w:rsid w:val="08E458C1"/>
    <w:rsid w:val="09297778"/>
    <w:rsid w:val="092D54BA"/>
    <w:rsid w:val="09475E50"/>
    <w:rsid w:val="095011A8"/>
    <w:rsid w:val="09664528"/>
    <w:rsid w:val="099C619C"/>
    <w:rsid w:val="09B41A54"/>
    <w:rsid w:val="09B71227"/>
    <w:rsid w:val="09B80F59"/>
    <w:rsid w:val="09EF451D"/>
    <w:rsid w:val="0A0A1357"/>
    <w:rsid w:val="0A1E12A6"/>
    <w:rsid w:val="0A3C5699"/>
    <w:rsid w:val="0A3D172D"/>
    <w:rsid w:val="0A6A0048"/>
    <w:rsid w:val="0A6D18E6"/>
    <w:rsid w:val="0A856C30"/>
    <w:rsid w:val="0AA122E7"/>
    <w:rsid w:val="0B00275A"/>
    <w:rsid w:val="0B071EAE"/>
    <w:rsid w:val="0B0D1E69"/>
    <w:rsid w:val="0B2823DD"/>
    <w:rsid w:val="0B5C5BE2"/>
    <w:rsid w:val="0B660C1A"/>
    <w:rsid w:val="0B845139"/>
    <w:rsid w:val="0B884C29"/>
    <w:rsid w:val="0BB9606D"/>
    <w:rsid w:val="0BDC31C7"/>
    <w:rsid w:val="0BFC1173"/>
    <w:rsid w:val="0C040028"/>
    <w:rsid w:val="0C142961"/>
    <w:rsid w:val="0C2A22FA"/>
    <w:rsid w:val="0C3B196A"/>
    <w:rsid w:val="0C3E0055"/>
    <w:rsid w:val="0C476893"/>
    <w:rsid w:val="0C760F26"/>
    <w:rsid w:val="0CC25F19"/>
    <w:rsid w:val="0CC55A09"/>
    <w:rsid w:val="0CD619C5"/>
    <w:rsid w:val="0CDF2F6F"/>
    <w:rsid w:val="0CEE4F60"/>
    <w:rsid w:val="0CFA1B57"/>
    <w:rsid w:val="0CFB142B"/>
    <w:rsid w:val="0CFB58CF"/>
    <w:rsid w:val="0D156991"/>
    <w:rsid w:val="0DA87805"/>
    <w:rsid w:val="0DAF0B93"/>
    <w:rsid w:val="0DC14423"/>
    <w:rsid w:val="0DCE6B40"/>
    <w:rsid w:val="0DD57ECE"/>
    <w:rsid w:val="0DE85E53"/>
    <w:rsid w:val="0DF447F8"/>
    <w:rsid w:val="0DF90060"/>
    <w:rsid w:val="0E0B38F0"/>
    <w:rsid w:val="0E3C38B9"/>
    <w:rsid w:val="0E464928"/>
    <w:rsid w:val="0E59465B"/>
    <w:rsid w:val="0E5E1DF5"/>
    <w:rsid w:val="0E8F2773"/>
    <w:rsid w:val="0EA55CAA"/>
    <w:rsid w:val="0EA95AE9"/>
    <w:rsid w:val="0EC86A0D"/>
    <w:rsid w:val="0EC95F88"/>
    <w:rsid w:val="0EFB3964"/>
    <w:rsid w:val="0F4446C6"/>
    <w:rsid w:val="0F452E31"/>
    <w:rsid w:val="0F4B669A"/>
    <w:rsid w:val="0F4C5F6E"/>
    <w:rsid w:val="0F59068B"/>
    <w:rsid w:val="0F735BF1"/>
    <w:rsid w:val="0FD04DF1"/>
    <w:rsid w:val="0FEC61F7"/>
    <w:rsid w:val="0FF7237E"/>
    <w:rsid w:val="10044A9B"/>
    <w:rsid w:val="10046849"/>
    <w:rsid w:val="100827DD"/>
    <w:rsid w:val="10195736"/>
    <w:rsid w:val="1034712E"/>
    <w:rsid w:val="10505F32"/>
    <w:rsid w:val="10525806"/>
    <w:rsid w:val="10594DE6"/>
    <w:rsid w:val="10640EFB"/>
    <w:rsid w:val="108F6A5A"/>
    <w:rsid w:val="10A818CA"/>
    <w:rsid w:val="10B10889"/>
    <w:rsid w:val="10F1501F"/>
    <w:rsid w:val="10FE14EA"/>
    <w:rsid w:val="11063FEA"/>
    <w:rsid w:val="11405FA6"/>
    <w:rsid w:val="1143601D"/>
    <w:rsid w:val="115C2EBC"/>
    <w:rsid w:val="11916802"/>
    <w:rsid w:val="11B06FD4"/>
    <w:rsid w:val="11C72224"/>
    <w:rsid w:val="11E44B84"/>
    <w:rsid w:val="11E65BE0"/>
    <w:rsid w:val="11F72B09"/>
    <w:rsid w:val="121216F1"/>
    <w:rsid w:val="12176D07"/>
    <w:rsid w:val="125735A8"/>
    <w:rsid w:val="126D2DCB"/>
    <w:rsid w:val="12706417"/>
    <w:rsid w:val="128123D2"/>
    <w:rsid w:val="128C628C"/>
    <w:rsid w:val="12B04A66"/>
    <w:rsid w:val="12DC585B"/>
    <w:rsid w:val="12E15BF5"/>
    <w:rsid w:val="12F2507E"/>
    <w:rsid w:val="13062F3C"/>
    <w:rsid w:val="1315735E"/>
    <w:rsid w:val="13394A5B"/>
    <w:rsid w:val="133D09EF"/>
    <w:rsid w:val="13631AD8"/>
    <w:rsid w:val="13675A6C"/>
    <w:rsid w:val="137912FC"/>
    <w:rsid w:val="138A52B7"/>
    <w:rsid w:val="13AC7923"/>
    <w:rsid w:val="13CA2663"/>
    <w:rsid w:val="13D36C5E"/>
    <w:rsid w:val="1404150D"/>
    <w:rsid w:val="1432607A"/>
    <w:rsid w:val="14353475"/>
    <w:rsid w:val="143C2A55"/>
    <w:rsid w:val="143D057B"/>
    <w:rsid w:val="147F0B94"/>
    <w:rsid w:val="14951E1C"/>
    <w:rsid w:val="14A30D26"/>
    <w:rsid w:val="14BC3B96"/>
    <w:rsid w:val="14E31122"/>
    <w:rsid w:val="14E76E65"/>
    <w:rsid w:val="15007F26"/>
    <w:rsid w:val="15155054"/>
    <w:rsid w:val="1518551B"/>
    <w:rsid w:val="1525173B"/>
    <w:rsid w:val="15267261"/>
    <w:rsid w:val="152F25BA"/>
    <w:rsid w:val="1565422D"/>
    <w:rsid w:val="157B75AD"/>
    <w:rsid w:val="15AC59B8"/>
    <w:rsid w:val="15C26F8A"/>
    <w:rsid w:val="15C9016D"/>
    <w:rsid w:val="15C9656A"/>
    <w:rsid w:val="15CC7E09"/>
    <w:rsid w:val="15CE1DD3"/>
    <w:rsid w:val="15DB629E"/>
    <w:rsid w:val="15E45152"/>
    <w:rsid w:val="15EA64E1"/>
    <w:rsid w:val="15FB249C"/>
    <w:rsid w:val="16070817"/>
    <w:rsid w:val="1609105D"/>
    <w:rsid w:val="162E461F"/>
    <w:rsid w:val="16556050"/>
    <w:rsid w:val="16557DFE"/>
    <w:rsid w:val="1675224E"/>
    <w:rsid w:val="16AB3EC2"/>
    <w:rsid w:val="16C72D23"/>
    <w:rsid w:val="16D03928"/>
    <w:rsid w:val="16F413C5"/>
    <w:rsid w:val="171F21BA"/>
    <w:rsid w:val="172B6DB1"/>
    <w:rsid w:val="17312619"/>
    <w:rsid w:val="17463BEB"/>
    <w:rsid w:val="17544559"/>
    <w:rsid w:val="17577BA6"/>
    <w:rsid w:val="17740758"/>
    <w:rsid w:val="17B15508"/>
    <w:rsid w:val="17B44FF8"/>
    <w:rsid w:val="17D46287"/>
    <w:rsid w:val="17D74D17"/>
    <w:rsid w:val="17F93E0B"/>
    <w:rsid w:val="17FF2924"/>
    <w:rsid w:val="18194E5B"/>
    <w:rsid w:val="18226406"/>
    <w:rsid w:val="18383533"/>
    <w:rsid w:val="183879D7"/>
    <w:rsid w:val="183D4FEE"/>
    <w:rsid w:val="18473363"/>
    <w:rsid w:val="184D216A"/>
    <w:rsid w:val="18581E27"/>
    <w:rsid w:val="187229F5"/>
    <w:rsid w:val="188624F1"/>
    <w:rsid w:val="18890233"/>
    <w:rsid w:val="189270E7"/>
    <w:rsid w:val="19067AD5"/>
    <w:rsid w:val="192817FA"/>
    <w:rsid w:val="19341F4D"/>
    <w:rsid w:val="19375EE1"/>
    <w:rsid w:val="19406B43"/>
    <w:rsid w:val="194128BC"/>
    <w:rsid w:val="194D2C0B"/>
    <w:rsid w:val="19744A3F"/>
    <w:rsid w:val="19A05834"/>
    <w:rsid w:val="19AC242B"/>
    <w:rsid w:val="19B808EA"/>
    <w:rsid w:val="19D76D7C"/>
    <w:rsid w:val="1A1A55E6"/>
    <w:rsid w:val="1A2024D1"/>
    <w:rsid w:val="1A2975D8"/>
    <w:rsid w:val="1A401FFC"/>
    <w:rsid w:val="1A4E34E2"/>
    <w:rsid w:val="1A4F7BE7"/>
    <w:rsid w:val="1A654388"/>
    <w:rsid w:val="1A6A7BF0"/>
    <w:rsid w:val="1AB8095B"/>
    <w:rsid w:val="1ABC48F0"/>
    <w:rsid w:val="1ABD41C4"/>
    <w:rsid w:val="1ABD5F72"/>
    <w:rsid w:val="1AE50ED5"/>
    <w:rsid w:val="1AE71241"/>
    <w:rsid w:val="1AFC1190"/>
    <w:rsid w:val="1B261D69"/>
    <w:rsid w:val="1B3C158C"/>
    <w:rsid w:val="1B3F2E2B"/>
    <w:rsid w:val="1B6A60FA"/>
    <w:rsid w:val="1B813443"/>
    <w:rsid w:val="1B8D003A"/>
    <w:rsid w:val="1B8F790E"/>
    <w:rsid w:val="1BA55384"/>
    <w:rsid w:val="1BAD5FE6"/>
    <w:rsid w:val="1BD17F27"/>
    <w:rsid w:val="1BF06CD1"/>
    <w:rsid w:val="1C00080C"/>
    <w:rsid w:val="1C0425CF"/>
    <w:rsid w:val="1C071B9A"/>
    <w:rsid w:val="1C4050AC"/>
    <w:rsid w:val="1C455CA5"/>
    <w:rsid w:val="1C694603"/>
    <w:rsid w:val="1C6A3ED7"/>
    <w:rsid w:val="1C8925AF"/>
    <w:rsid w:val="1CB3762C"/>
    <w:rsid w:val="1CCE4466"/>
    <w:rsid w:val="1CF06AD2"/>
    <w:rsid w:val="1D2C69D2"/>
    <w:rsid w:val="1D383FD6"/>
    <w:rsid w:val="1D412E8A"/>
    <w:rsid w:val="1D4604A0"/>
    <w:rsid w:val="1D5D57EA"/>
    <w:rsid w:val="1D69418F"/>
    <w:rsid w:val="1D9E652E"/>
    <w:rsid w:val="1DA82F09"/>
    <w:rsid w:val="1DAA4ED3"/>
    <w:rsid w:val="1DC51D0D"/>
    <w:rsid w:val="1DDF0751"/>
    <w:rsid w:val="1DE859FC"/>
    <w:rsid w:val="1E075E82"/>
    <w:rsid w:val="1E18008F"/>
    <w:rsid w:val="1E7F389C"/>
    <w:rsid w:val="1E8C604D"/>
    <w:rsid w:val="1E960FB4"/>
    <w:rsid w:val="1E9D2342"/>
    <w:rsid w:val="1EB06519"/>
    <w:rsid w:val="1EB51A08"/>
    <w:rsid w:val="1EC43D73"/>
    <w:rsid w:val="1ED41ADC"/>
    <w:rsid w:val="1ED85A70"/>
    <w:rsid w:val="1F150595"/>
    <w:rsid w:val="1F3C7DAD"/>
    <w:rsid w:val="1F6E6131"/>
    <w:rsid w:val="1F861028"/>
    <w:rsid w:val="1F86727A"/>
    <w:rsid w:val="1F9951FF"/>
    <w:rsid w:val="1FA769AC"/>
    <w:rsid w:val="1FDC50EC"/>
    <w:rsid w:val="1FF561AE"/>
    <w:rsid w:val="201E16E6"/>
    <w:rsid w:val="202076CF"/>
    <w:rsid w:val="207F2647"/>
    <w:rsid w:val="208748C4"/>
    <w:rsid w:val="208E288A"/>
    <w:rsid w:val="208F03B0"/>
    <w:rsid w:val="20BD316F"/>
    <w:rsid w:val="20C20786"/>
    <w:rsid w:val="20D3029D"/>
    <w:rsid w:val="20D364EF"/>
    <w:rsid w:val="20D81D57"/>
    <w:rsid w:val="20E97AC1"/>
    <w:rsid w:val="20EA55E7"/>
    <w:rsid w:val="21333432"/>
    <w:rsid w:val="213A031C"/>
    <w:rsid w:val="218C77AC"/>
    <w:rsid w:val="21C1390C"/>
    <w:rsid w:val="21CC4F84"/>
    <w:rsid w:val="21EB1616"/>
    <w:rsid w:val="21F735E1"/>
    <w:rsid w:val="22275183"/>
    <w:rsid w:val="222F1E4B"/>
    <w:rsid w:val="224F429B"/>
    <w:rsid w:val="225C60FA"/>
    <w:rsid w:val="22791318"/>
    <w:rsid w:val="2298377C"/>
    <w:rsid w:val="22BB548D"/>
    <w:rsid w:val="22C500B9"/>
    <w:rsid w:val="22D402FC"/>
    <w:rsid w:val="22EF3388"/>
    <w:rsid w:val="231A0405"/>
    <w:rsid w:val="23386ADD"/>
    <w:rsid w:val="23623B5A"/>
    <w:rsid w:val="2369313B"/>
    <w:rsid w:val="239E00B4"/>
    <w:rsid w:val="23A10B26"/>
    <w:rsid w:val="23B23B5F"/>
    <w:rsid w:val="23D83E1C"/>
    <w:rsid w:val="240510B5"/>
    <w:rsid w:val="24391784"/>
    <w:rsid w:val="245A2A83"/>
    <w:rsid w:val="245E4322"/>
    <w:rsid w:val="248D4C07"/>
    <w:rsid w:val="249E0BC2"/>
    <w:rsid w:val="24B46637"/>
    <w:rsid w:val="24D07C50"/>
    <w:rsid w:val="24F46A34"/>
    <w:rsid w:val="25140E84"/>
    <w:rsid w:val="251E74A4"/>
    <w:rsid w:val="252E056F"/>
    <w:rsid w:val="25590984"/>
    <w:rsid w:val="255D3476"/>
    <w:rsid w:val="25651981"/>
    <w:rsid w:val="25764C42"/>
    <w:rsid w:val="25AC730F"/>
    <w:rsid w:val="25B34B41"/>
    <w:rsid w:val="25BF7042"/>
    <w:rsid w:val="25E20F82"/>
    <w:rsid w:val="25E940BF"/>
    <w:rsid w:val="25F52A64"/>
    <w:rsid w:val="25FB5AD5"/>
    <w:rsid w:val="26154EB4"/>
    <w:rsid w:val="262339B3"/>
    <w:rsid w:val="262B2929"/>
    <w:rsid w:val="265453B2"/>
    <w:rsid w:val="265E0AEC"/>
    <w:rsid w:val="26647BE9"/>
    <w:rsid w:val="2666570F"/>
    <w:rsid w:val="266876DA"/>
    <w:rsid w:val="26926505"/>
    <w:rsid w:val="26AA1AA0"/>
    <w:rsid w:val="26D44D6F"/>
    <w:rsid w:val="26D92385"/>
    <w:rsid w:val="26E86A6C"/>
    <w:rsid w:val="26F176CF"/>
    <w:rsid w:val="27084A19"/>
    <w:rsid w:val="27174A32"/>
    <w:rsid w:val="274E68CF"/>
    <w:rsid w:val="2755685C"/>
    <w:rsid w:val="2765535C"/>
    <w:rsid w:val="27843CE5"/>
    <w:rsid w:val="278542BB"/>
    <w:rsid w:val="27897907"/>
    <w:rsid w:val="278C73F8"/>
    <w:rsid w:val="27910EB2"/>
    <w:rsid w:val="27962024"/>
    <w:rsid w:val="279D33B3"/>
    <w:rsid w:val="27B32BD6"/>
    <w:rsid w:val="27B4707A"/>
    <w:rsid w:val="27CD77DA"/>
    <w:rsid w:val="27DD7C53"/>
    <w:rsid w:val="27DF5779"/>
    <w:rsid w:val="27E92A9C"/>
    <w:rsid w:val="28017DE6"/>
    <w:rsid w:val="280478D6"/>
    <w:rsid w:val="280E605F"/>
    <w:rsid w:val="282A33AF"/>
    <w:rsid w:val="285A74F6"/>
    <w:rsid w:val="28CF62FC"/>
    <w:rsid w:val="28D64DCE"/>
    <w:rsid w:val="28E31299"/>
    <w:rsid w:val="28F2772E"/>
    <w:rsid w:val="29057462"/>
    <w:rsid w:val="29192F0D"/>
    <w:rsid w:val="291F1B43"/>
    <w:rsid w:val="29325D7D"/>
    <w:rsid w:val="29341449"/>
    <w:rsid w:val="2973261D"/>
    <w:rsid w:val="297B5976"/>
    <w:rsid w:val="29C235A5"/>
    <w:rsid w:val="29C76E0D"/>
    <w:rsid w:val="29F319B0"/>
    <w:rsid w:val="29FF0355"/>
    <w:rsid w:val="2A1831C5"/>
    <w:rsid w:val="2A1C2CB5"/>
    <w:rsid w:val="2A4B359A"/>
    <w:rsid w:val="2A4D10C0"/>
    <w:rsid w:val="2A7D4187"/>
    <w:rsid w:val="2AB50D09"/>
    <w:rsid w:val="2AD03A9F"/>
    <w:rsid w:val="2AD27817"/>
    <w:rsid w:val="2AFE060C"/>
    <w:rsid w:val="2B053749"/>
    <w:rsid w:val="2B3E4EAD"/>
    <w:rsid w:val="2B3F2B94"/>
    <w:rsid w:val="2B4029D3"/>
    <w:rsid w:val="2B54663C"/>
    <w:rsid w:val="2B724B56"/>
    <w:rsid w:val="2B8B7D15"/>
    <w:rsid w:val="2BBF5C96"/>
    <w:rsid w:val="2BC74EA2"/>
    <w:rsid w:val="2BD82C0B"/>
    <w:rsid w:val="2BDA67DF"/>
    <w:rsid w:val="2BF5596C"/>
    <w:rsid w:val="2BFA5278"/>
    <w:rsid w:val="2C2E4F21"/>
    <w:rsid w:val="2C300CD1"/>
    <w:rsid w:val="2C3818FC"/>
    <w:rsid w:val="2C412EA7"/>
    <w:rsid w:val="2C4402A1"/>
    <w:rsid w:val="2C610E53"/>
    <w:rsid w:val="2C66290D"/>
    <w:rsid w:val="2C697D08"/>
    <w:rsid w:val="2CA62D0A"/>
    <w:rsid w:val="2CC82C80"/>
    <w:rsid w:val="2CC94C4A"/>
    <w:rsid w:val="2CDE06F5"/>
    <w:rsid w:val="2CEC1B4E"/>
    <w:rsid w:val="2CF75313"/>
    <w:rsid w:val="2D12039F"/>
    <w:rsid w:val="2D1C0C0C"/>
    <w:rsid w:val="2D481418"/>
    <w:rsid w:val="2D5704A8"/>
    <w:rsid w:val="2D8B00C8"/>
    <w:rsid w:val="2D9139BA"/>
    <w:rsid w:val="2DB72CF5"/>
    <w:rsid w:val="2DC84F02"/>
    <w:rsid w:val="2DEE2BBA"/>
    <w:rsid w:val="2E033291"/>
    <w:rsid w:val="2E051CB2"/>
    <w:rsid w:val="2E0E0B66"/>
    <w:rsid w:val="2E156399"/>
    <w:rsid w:val="2E2A1718"/>
    <w:rsid w:val="2E2C36E3"/>
    <w:rsid w:val="2E33681F"/>
    <w:rsid w:val="2E3D144C"/>
    <w:rsid w:val="2E3F51C4"/>
    <w:rsid w:val="2E4722CA"/>
    <w:rsid w:val="2E70537D"/>
    <w:rsid w:val="2F177EEF"/>
    <w:rsid w:val="2F5D0776"/>
    <w:rsid w:val="2F6B1FE9"/>
    <w:rsid w:val="2FD8767E"/>
    <w:rsid w:val="30006BD5"/>
    <w:rsid w:val="30010B15"/>
    <w:rsid w:val="30093CDB"/>
    <w:rsid w:val="30191A45"/>
    <w:rsid w:val="3029612C"/>
    <w:rsid w:val="30395C43"/>
    <w:rsid w:val="306A22A0"/>
    <w:rsid w:val="30717AD3"/>
    <w:rsid w:val="30990960"/>
    <w:rsid w:val="30A457B2"/>
    <w:rsid w:val="30DD6F16"/>
    <w:rsid w:val="30F5600E"/>
    <w:rsid w:val="31046251"/>
    <w:rsid w:val="312468F3"/>
    <w:rsid w:val="31336B36"/>
    <w:rsid w:val="31400623"/>
    <w:rsid w:val="3148438F"/>
    <w:rsid w:val="3183186B"/>
    <w:rsid w:val="31927D00"/>
    <w:rsid w:val="31B00187"/>
    <w:rsid w:val="31B86918"/>
    <w:rsid w:val="31D420C7"/>
    <w:rsid w:val="32116E77"/>
    <w:rsid w:val="322D17D7"/>
    <w:rsid w:val="32554A80"/>
    <w:rsid w:val="325D20BC"/>
    <w:rsid w:val="32650F71"/>
    <w:rsid w:val="32CE6B16"/>
    <w:rsid w:val="32D3237F"/>
    <w:rsid w:val="32E14A9C"/>
    <w:rsid w:val="32EB653A"/>
    <w:rsid w:val="32EE71B8"/>
    <w:rsid w:val="32F02F31"/>
    <w:rsid w:val="32F26CA9"/>
    <w:rsid w:val="32F50547"/>
    <w:rsid w:val="332E1CAB"/>
    <w:rsid w:val="33613E2E"/>
    <w:rsid w:val="336A2CE3"/>
    <w:rsid w:val="337D69FA"/>
    <w:rsid w:val="338418CB"/>
    <w:rsid w:val="33CF2B46"/>
    <w:rsid w:val="33DC34B5"/>
    <w:rsid w:val="33F001AC"/>
    <w:rsid w:val="34050F42"/>
    <w:rsid w:val="34056568"/>
    <w:rsid w:val="34160775"/>
    <w:rsid w:val="344572AC"/>
    <w:rsid w:val="346314E0"/>
    <w:rsid w:val="34675474"/>
    <w:rsid w:val="346F60D7"/>
    <w:rsid w:val="34757B91"/>
    <w:rsid w:val="34781430"/>
    <w:rsid w:val="34A2025B"/>
    <w:rsid w:val="34AC10D9"/>
    <w:rsid w:val="34C208FD"/>
    <w:rsid w:val="34D05CDE"/>
    <w:rsid w:val="34D10B40"/>
    <w:rsid w:val="34DF14AF"/>
    <w:rsid w:val="34E42621"/>
    <w:rsid w:val="35154ED0"/>
    <w:rsid w:val="351729F7"/>
    <w:rsid w:val="351C000D"/>
    <w:rsid w:val="35417A73"/>
    <w:rsid w:val="3587330E"/>
    <w:rsid w:val="359A6C78"/>
    <w:rsid w:val="35D83DA9"/>
    <w:rsid w:val="35E46651"/>
    <w:rsid w:val="35EA010B"/>
    <w:rsid w:val="35ED7BFB"/>
    <w:rsid w:val="35FE7442"/>
    <w:rsid w:val="36254F67"/>
    <w:rsid w:val="36301896"/>
    <w:rsid w:val="36541A28"/>
    <w:rsid w:val="3660217B"/>
    <w:rsid w:val="366C0B20"/>
    <w:rsid w:val="36743E79"/>
    <w:rsid w:val="367E6AA5"/>
    <w:rsid w:val="3683176F"/>
    <w:rsid w:val="369462C9"/>
    <w:rsid w:val="36C26992"/>
    <w:rsid w:val="36C3270A"/>
    <w:rsid w:val="36C50230"/>
    <w:rsid w:val="36DE12F2"/>
    <w:rsid w:val="36E27034"/>
    <w:rsid w:val="36F079A3"/>
    <w:rsid w:val="36F77460"/>
    <w:rsid w:val="370E1BD7"/>
    <w:rsid w:val="370E7E29"/>
    <w:rsid w:val="373A29CC"/>
    <w:rsid w:val="379540A7"/>
    <w:rsid w:val="37AB1B1C"/>
    <w:rsid w:val="37B81B43"/>
    <w:rsid w:val="37BC7885"/>
    <w:rsid w:val="37DE77FC"/>
    <w:rsid w:val="37E868CC"/>
    <w:rsid w:val="37FE7E9E"/>
    <w:rsid w:val="382275F5"/>
    <w:rsid w:val="384855BD"/>
    <w:rsid w:val="38507FCD"/>
    <w:rsid w:val="38563836"/>
    <w:rsid w:val="38804D57"/>
    <w:rsid w:val="38962DE1"/>
    <w:rsid w:val="38C05153"/>
    <w:rsid w:val="38CA7D80"/>
    <w:rsid w:val="38D64977"/>
    <w:rsid w:val="38E76B84"/>
    <w:rsid w:val="38F2694B"/>
    <w:rsid w:val="39335925"/>
    <w:rsid w:val="3958538C"/>
    <w:rsid w:val="395A1104"/>
    <w:rsid w:val="39627FB8"/>
    <w:rsid w:val="397228F1"/>
    <w:rsid w:val="397C551E"/>
    <w:rsid w:val="39861EF9"/>
    <w:rsid w:val="398E5251"/>
    <w:rsid w:val="39AD3929"/>
    <w:rsid w:val="39EA2D8B"/>
    <w:rsid w:val="39F8091D"/>
    <w:rsid w:val="3A0B4AF4"/>
    <w:rsid w:val="3A5550BD"/>
    <w:rsid w:val="3A940645"/>
    <w:rsid w:val="3AB900AC"/>
    <w:rsid w:val="3ACC4283"/>
    <w:rsid w:val="3AD15273"/>
    <w:rsid w:val="3AE36D39"/>
    <w:rsid w:val="3AE72E6B"/>
    <w:rsid w:val="3AEC222F"/>
    <w:rsid w:val="3AFB2473"/>
    <w:rsid w:val="3B014914"/>
    <w:rsid w:val="3B334302"/>
    <w:rsid w:val="3B3B4F65"/>
    <w:rsid w:val="3B5F6EA5"/>
    <w:rsid w:val="3B602C1D"/>
    <w:rsid w:val="3B611832"/>
    <w:rsid w:val="3B8B7C9A"/>
    <w:rsid w:val="3BA90120"/>
    <w:rsid w:val="3BC046A9"/>
    <w:rsid w:val="3BC1190E"/>
    <w:rsid w:val="3BCB0097"/>
    <w:rsid w:val="3BCB6780"/>
    <w:rsid w:val="3BD322AF"/>
    <w:rsid w:val="3BDA477E"/>
    <w:rsid w:val="3C487939"/>
    <w:rsid w:val="3C5E715D"/>
    <w:rsid w:val="3C9B3F0D"/>
    <w:rsid w:val="3CA134EE"/>
    <w:rsid w:val="3CC21B20"/>
    <w:rsid w:val="3D08531B"/>
    <w:rsid w:val="3D0D2931"/>
    <w:rsid w:val="3D2A6394"/>
    <w:rsid w:val="3D597924"/>
    <w:rsid w:val="3D6C7658"/>
    <w:rsid w:val="3DA45043"/>
    <w:rsid w:val="3DBA6615"/>
    <w:rsid w:val="3DD516A1"/>
    <w:rsid w:val="3DD60F75"/>
    <w:rsid w:val="3DE25B6C"/>
    <w:rsid w:val="3DF5764D"/>
    <w:rsid w:val="3E3143FD"/>
    <w:rsid w:val="3E530817"/>
    <w:rsid w:val="3EA572C5"/>
    <w:rsid w:val="3EB968CD"/>
    <w:rsid w:val="3EC7672F"/>
    <w:rsid w:val="3ECD05CA"/>
    <w:rsid w:val="3ED71FF0"/>
    <w:rsid w:val="3F253D28"/>
    <w:rsid w:val="3F32189E"/>
    <w:rsid w:val="3F476B9F"/>
    <w:rsid w:val="3F5356B7"/>
    <w:rsid w:val="3F584337"/>
    <w:rsid w:val="3F743FC9"/>
    <w:rsid w:val="3F7B6278"/>
    <w:rsid w:val="3F9335C1"/>
    <w:rsid w:val="3FAB2131"/>
    <w:rsid w:val="3FAE3F57"/>
    <w:rsid w:val="3FC63871"/>
    <w:rsid w:val="3FE91433"/>
    <w:rsid w:val="3FF5F3AE"/>
    <w:rsid w:val="3FFA53EF"/>
    <w:rsid w:val="3FFA719D"/>
    <w:rsid w:val="40240823"/>
    <w:rsid w:val="40381A73"/>
    <w:rsid w:val="403A57EB"/>
    <w:rsid w:val="403E0931"/>
    <w:rsid w:val="40416B7A"/>
    <w:rsid w:val="405F5252"/>
    <w:rsid w:val="407056B1"/>
    <w:rsid w:val="4077259B"/>
    <w:rsid w:val="40A13ABC"/>
    <w:rsid w:val="40AC39CF"/>
    <w:rsid w:val="40AF61D9"/>
    <w:rsid w:val="40BA4B7E"/>
    <w:rsid w:val="40CF687B"/>
    <w:rsid w:val="40F0234E"/>
    <w:rsid w:val="40F025E8"/>
    <w:rsid w:val="40F736DC"/>
    <w:rsid w:val="40FD49D1"/>
    <w:rsid w:val="41474664"/>
    <w:rsid w:val="414F176A"/>
    <w:rsid w:val="41566655"/>
    <w:rsid w:val="418A4550"/>
    <w:rsid w:val="418D5DEE"/>
    <w:rsid w:val="41AA69A0"/>
    <w:rsid w:val="41FF0A9A"/>
    <w:rsid w:val="42254279"/>
    <w:rsid w:val="42446DF5"/>
    <w:rsid w:val="42733236"/>
    <w:rsid w:val="4278084D"/>
    <w:rsid w:val="42903DE8"/>
    <w:rsid w:val="429513FF"/>
    <w:rsid w:val="429C09DF"/>
    <w:rsid w:val="429C278D"/>
    <w:rsid w:val="42C13A57"/>
    <w:rsid w:val="42CD0A98"/>
    <w:rsid w:val="42D27F5D"/>
    <w:rsid w:val="42DA5063"/>
    <w:rsid w:val="42DB6C41"/>
    <w:rsid w:val="431A0C09"/>
    <w:rsid w:val="432F1853"/>
    <w:rsid w:val="432F3601"/>
    <w:rsid w:val="43727992"/>
    <w:rsid w:val="43A044FF"/>
    <w:rsid w:val="43BD6E5F"/>
    <w:rsid w:val="43C04259"/>
    <w:rsid w:val="43DB72E5"/>
    <w:rsid w:val="43EC504E"/>
    <w:rsid w:val="441A7E0D"/>
    <w:rsid w:val="444F55DD"/>
    <w:rsid w:val="445448B1"/>
    <w:rsid w:val="4464463F"/>
    <w:rsid w:val="446A6C6D"/>
    <w:rsid w:val="447A2AD1"/>
    <w:rsid w:val="44A122DD"/>
    <w:rsid w:val="44AB4F09"/>
    <w:rsid w:val="44D22552"/>
    <w:rsid w:val="4517434D"/>
    <w:rsid w:val="451A5BEB"/>
    <w:rsid w:val="45392515"/>
    <w:rsid w:val="4574179F"/>
    <w:rsid w:val="45864B7E"/>
    <w:rsid w:val="45921C25"/>
    <w:rsid w:val="45A51959"/>
    <w:rsid w:val="45BE0C6C"/>
    <w:rsid w:val="461D5993"/>
    <w:rsid w:val="46340F2E"/>
    <w:rsid w:val="46362EF9"/>
    <w:rsid w:val="463D4287"/>
    <w:rsid w:val="464E0242"/>
    <w:rsid w:val="46A00372"/>
    <w:rsid w:val="46B349B9"/>
    <w:rsid w:val="46C202E8"/>
    <w:rsid w:val="46C6602A"/>
    <w:rsid w:val="46EE10DD"/>
    <w:rsid w:val="46FC7EB2"/>
    <w:rsid w:val="47022DDB"/>
    <w:rsid w:val="47060B1D"/>
    <w:rsid w:val="4710374A"/>
    <w:rsid w:val="475E44B5"/>
    <w:rsid w:val="47633879"/>
    <w:rsid w:val="479C4FDD"/>
    <w:rsid w:val="479E0D55"/>
    <w:rsid w:val="47A125F4"/>
    <w:rsid w:val="47B02837"/>
    <w:rsid w:val="47E250E6"/>
    <w:rsid w:val="47E349BA"/>
    <w:rsid w:val="47F15329"/>
    <w:rsid w:val="480E2158"/>
    <w:rsid w:val="48202FFE"/>
    <w:rsid w:val="482079BC"/>
    <w:rsid w:val="48384D06"/>
    <w:rsid w:val="483B65A4"/>
    <w:rsid w:val="48480CC1"/>
    <w:rsid w:val="485853A8"/>
    <w:rsid w:val="486024AF"/>
    <w:rsid w:val="48684BFE"/>
    <w:rsid w:val="48B16866"/>
    <w:rsid w:val="48C12F4D"/>
    <w:rsid w:val="48C52312"/>
    <w:rsid w:val="48C90054"/>
    <w:rsid w:val="48FC21D7"/>
    <w:rsid w:val="490966A2"/>
    <w:rsid w:val="490E3CB9"/>
    <w:rsid w:val="492C413F"/>
    <w:rsid w:val="49351245"/>
    <w:rsid w:val="49366D6C"/>
    <w:rsid w:val="4968130F"/>
    <w:rsid w:val="49731D6E"/>
    <w:rsid w:val="49B26D3A"/>
    <w:rsid w:val="49CD147E"/>
    <w:rsid w:val="49F17862"/>
    <w:rsid w:val="4A064EEE"/>
    <w:rsid w:val="4A1946C3"/>
    <w:rsid w:val="4A203CA4"/>
    <w:rsid w:val="4A6F69D9"/>
    <w:rsid w:val="4A930919"/>
    <w:rsid w:val="4AC7411F"/>
    <w:rsid w:val="4AEB42B2"/>
    <w:rsid w:val="4AEC002A"/>
    <w:rsid w:val="4B007631"/>
    <w:rsid w:val="4B241572"/>
    <w:rsid w:val="4B3053A6"/>
    <w:rsid w:val="4B407F2F"/>
    <w:rsid w:val="4B425E9C"/>
    <w:rsid w:val="4B65373A"/>
    <w:rsid w:val="4B6D116B"/>
    <w:rsid w:val="4B83273C"/>
    <w:rsid w:val="4B920BD1"/>
    <w:rsid w:val="4BB36591"/>
    <w:rsid w:val="4BB943B0"/>
    <w:rsid w:val="4BC92119"/>
    <w:rsid w:val="4BC93EC7"/>
    <w:rsid w:val="4BD74836"/>
    <w:rsid w:val="4BDC009E"/>
    <w:rsid w:val="4BE56F53"/>
    <w:rsid w:val="4BEF1B80"/>
    <w:rsid w:val="4C03387D"/>
    <w:rsid w:val="4C0F3FD0"/>
    <w:rsid w:val="4C1930A0"/>
    <w:rsid w:val="4C371778"/>
    <w:rsid w:val="4C4243A5"/>
    <w:rsid w:val="4C59524B"/>
    <w:rsid w:val="4C6C1422"/>
    <w:rsid w:val="4C6D0CF6"/>
    <w:rsid w:val="4C8524E4"/>
    <w:rsid w:val="4CA806BF"/>
    <w:rsid w:val="4CA87F80"/>
    <w:rsid w:val="4CE0596C"/>
    <w:rsid w:val="4CE213BE"/>
    <w:rsid w:val="4CE216E4"/>
    <w:rsid w:val="4CF82CB6"/>
    <w:rsid w:val="4D00163A"/>
    <w:rsid w:val="4D4B7289"/>
    <w:rsid w:val="4D515FE8"/>
    <w:rsid w:val="4D9A1FBF"/>
    <w:rsid w:val="4DB34E2F"/>
    <w:rsid w:val="4DD76D6F"/>
    <w:rsid w:val="4DEB281B"/>
    <w:rsid w:val="4DEB6377"/>
    <w:rsid w:val="4DF40F90"/>
    <w:rsid w:val="4DF571F5"/>
    <w:rsid w:val="4E08517B"/>
    <w:rsid w:val="4E157897"/>
    <w:rsid w:val="4E261AA5"/>
    <w:rsid w:val="4E2B2C17"/>
    <w:rsid w:val="4E320449"/>
    <w:rsid w:val="4E3C4E24"/>
    <w:rsid w:val="4E3C6BD2"/>
    <w:rsid w:val="4E5818E4"/>
    <w:rsid w:val="4E743CAB"/>
    <w:rsid w:val="4E8D38D2"/>
    <w:rsid w:val="4E916F1E"/>
    <w:rsid w:val="4EA76741"/>
    <w:rsid w:val="4EB8094F"/>
    <w:rsid w:val="4EDB288F"/>
    <w:rsid w:val="4EE03A01"/>
    <w:rsid w:val="4EE259CC"/>
    <w:rsid w:val="4EEE3858"/>
    <w:rsid w:val="4EF63225"/>
    <w:rsid w:val="4F02606E"/>
    <w:rsid w:val="4F0F5BE3"/>
    <w:rsid w:val="4F225FB1"/>
    <w:rsid w:val="4F231B40"/>
    <w:rsid w:val="4F244236"/>
    <w:rsid w:val="4F253B0A"/>
    <w:rsid w:val="4F2A1121"/>
    <w:rsid w:val="4F2A7373"/>
    <w:rsid w:val="4F7F35E3"/>
    <w:rsid w:val="4F8E7901"/>
    <w:rsid w:val="4FC34D5C"/>
    <w:rsid w:val="4FF83F0C"/>
    <w:rsid w:val="4FFD05E3"/>
    <w:rsid w:val="500876B4"/>
    <w:rsid w:val="500B0F52"/>
    <w:rsid w:val="501047BA"/>
    <w:rsid w:val="50210776"/>
    <w:rsid w:val="503F0BFC"/>
    <w:rsid w:val="509D5ABF"/>
    <w:rsid w:val="50A76ECD"/>
    <w:rsid w:val="50CF3D2E"/>
    <w:rsid w:val="5100482F"/>
    <w:rsid w:val="51022355"/>
    <w:rsid w:val="511A58F1"/>
    <w:rsid w:val="512C5624"/>
    <w:rsid w:val="51312E45"/>
    <w:rsid w:val="5133684B"/>
    <w:rsid w:val="513D439B"/>
    <w:rsid w:val="514C537E"/>
    <w:rsid w:val="51532BB1"/>
    <w:rsid w:val="515E50B1"/>
    <w:rsid w:val="51A46F68"/>
    <w:rsid w:val="51A90A23"/>
    <w:rsid w:val="51B55619"/>
    <w:rsid w:val="51E23F34"/>
    <w:rsid w:val="520C2D5F"/>
    <w:rsid w:val="522D2BC8"/>
    <w:rsid w:val="523522B6"/>
    <w:rsid w:val="52422029"/>
    <w:rsid w:val="526C36B4"/>
    <w:rsid w:val="527F3531"/>
    <w:rsid w:val="5286561A"/>
    <w:rsid w:val="529C2335"/>
    <w:rsid w:val="52A35472"/>
    <w:rsid w:val="52BA27BB"/>
    <w:rsid w:val="52C8312A"/>
    <w:rsid w:val="52E361B6"/>
    <w:rsid w:val="52F201A7"/>
    <w:rsid w:val="531B5950"/>
    <w:rsid w:val="53373E0C"/>
    <w:rsid w:val="536524C3"/>
    <w:rsid w:val="537D2167"/>
    <w:rsid w:val="53AF7E46"/>
    <w:rsid w:val="53B51901"/>
    <w:rsid w:val="53CB2ED2"/>
    <w:rsid w:val="53CE4770"/>
    <w:rsid w:val="53DF24DA"/>
    <w:rsid w:val="54370608"/>
    <w:rsid w:val="5438608E"/>
    <w:rsid w:val="544D1B39"/>
    <w:rsid w:val="54817A35"/>
    <w:rsid w:val="548412D3"/>
    <w:rsid w:val="54B27BEE"/>
    <w:rsid w:val="54CD4A28"/>
    <w:rsid w:val="54D04518"/>
    <w:rsid w:val="55032DA2"/>
    <w:rsid w:val="55040901"/>
    <w:rsid w:val="55173EF5"/>
    <w:rsid w:val="553920BD"/>
    <w:rsid w:val="555B0286"/>
    <w:rsid w:val="556709D9"/>
    <w:rsid w:val="556E620B"/>
    <w:rsid w:val="558F7F2F"/>
    <w:rsid w:val="55A52326"/>
    <w:rsid w:val="55A61974"/>
    <w:rsid w:val="55D025B4"/>
    <w:rsid w:val="55D41DE6"/>
    <w:rsid w:val="55DA73FC"/>
    <w:rsid w:val="55F10BEA"/>
    <w:rsid w:val="56097CE2"/>
    <w:rsid w:val="560C1580"/>
    <w:rsid w:val="561641AD"/>
    <w:rsid w:val="561A3DA8"/>
    <w:rsid w:val="561F12B3"/>
    <w:rsid w:val="56665134"/>
    <w:rsid w:val="56794E67"/>
    <w:rsid w:val="56B51C18"/>
    <w:rsid w:val="56C1236A"/>
    <w:rsid w:val="56D92565"/>
    <w:rsid w:val="56DF05DE"/>
    <w:rsid w:val="570010E5"/>
    <w:rsid w:val="571526B6"/>
    <w:rsid w:val="571A483D"/>
    <w:rsid w:val="57356112"/>
    <w:rsid w:val="57376AD1"/>
    <w:rsid w:val="573B29D2"/>
    <w:rsid w:val="57723665"/>
    <w:rsid w:val="57776ECD"/>
    <w:rsid w:val="57792C45"/>
    <w:rsid w:val="57996E43"/>
    <w:rsid w:val="57CC7219"/>
    <w:rsid w:val="57CF0AB7"/>
    <w:rsid w:val="57DD4F82"/>
    <w:rsid w:val="57FC6189"/>
    <w:rsid w:val="58030761"/>
    <w:rsid w:val="58125365"/>
    <w:rsid w:val="58195595"/>
    <w:rsid w:val="58331046"/>
    <w:rsid w:val="583A23D4"/>
    <w:rsid w:val="586631C9"/>
    <w:rsid w:val="58845D45"/>
    <w:rsid w:val="58B06B3A"/>
    <w:rsid w:val="58E32A6C"/>
    <w:rsid w:val="58EA21DF"/>
    <w:rsid w:val="58F20F01"/>
    <w:rsid w:val="58FB698C"/>
    <w:rsid w:val="590824D3"/>
    <w:rsid w:val="59154BEF"/>
    <w:rsid w:val="591E0896"/>
    <w:rsid w:val="5923730C"/>
    <w:rsid w:val="59367040"/>
    <w:rsid w:val="593E7CA2"/>
    <w:rsid w:val="594E239C"/>
    <w:rsid w:val="596040BD"/>
    <w:rsid w:val="596174A9"/>
    <w:rsid w:val="59777658"/>
    <w:rsid w:val="597E2795"/>
    <w:rsid w:val="599C2C1B"/>
    <w:rsid w:val="59B85CA7"/>
    <w:rsid w:val="59C53F20"/>
    <w:rsid w:val="59EA607C"/>
    <w:rsid w:val="59F6057D"/>
    <w:rsid w:val="5A0232D6"/>
    <w:rsid w:val="5A0A5DD6"/>
    <w:rsid w:val="5A0C1B4F"/>
    <w:rsid w:val="5A1B6236"/>
    <w:rsid w:val="5A32392B"/>
    <w:rsid w:val="5A9906B2"/>
    <w:rsid w:val="5AB04BD0"/>
    <w:rsid w:val="5AB83A84"/>
    <w:rsid w:val="5AC71F19"/>
    <w:rsid w:val="5ADD39F1"/>
    <w:rsid w:val="5AE26D53"/>
    <w:rsid w:val="5AF26F96"/>
    <w:rsid w:val="5B0809A3"/>
    <w:rsid w:val="5B1038C0"/>
    <w:rsid w:val="5B3D3F8A"/>
    <w:rsid w:val="5B7C4516"/>
    <w:rsid w:val="5B9718EC"/>
    <w:rsid w:val="5B9C6F02"/>
    <w:rsid w:val="5BC85F49"/>
    <w:rsid w:val="5BCD17B1"/>
    <w:rsid w:val="5BD26DC8"/>
    <w:rsid w:val="5BE82147"/>
    <w:rsid w:val="5BF141C0"/>
    <w:rsid w:val="5BF22FC6"/>
    <w:rsid w:val="5BF7509C"/>
    <w:rsid w:val="5C003935"/>
    <w:rsid w:val="5C0A3512"/>
    <w:rsid w:val="5C0F2BFF"/>
    <w:rsid w:val="5C3B671B"/>
    <w:rsid w:val="5C4D7325"/>
    <w:rsid w:val="5C6E4D42"/>
    <w:rsid w:val="5C7834CB"/>
    <w:rsid w:val="5C8E7193"/>
    <w:rsid w:val="5C9C18B0"/>
    <w:rsid w:val="5CCC1A69"/>
    <w:rsid w:val="5CD31049"/>
    <w:rsid w:val="5CD41832"/>
    <w:rsid w:val="5CDD77D2"/>
    <w:rsid w:val="5CDF354A"/>
    <w:rsid w:val="5CE70651"/>
    <w:rsid w:val="5D1A4582"/>
    <w:rsid w:val="5D2E6280"/>
    <w:rsid w:val="5D5A52C7"/>
    <w:rsid w:val="5D683540"/>
    <w:rsid w:val="5DB03139"/>
    <w:rsid w:val="5DB20C5F"/>
    <w:rsid w:val="5DC310BE"/>
    <w:rsid w:val="5DD24E5D"/>
    <w:rsid w:val="5DD5494D"/>
    <w:rsid w:val="5DD92690"/>
    <w:rsid w:val="5DF50900"/>
    <w:rsid w:val="5DFC31B0"/>
    <w:rsid w:val="5DFF33CE"/>
    <w:rsid w:val="5E084D23"/>
    <w:rsid w:val="5E167440"/>
    <w:rsid w:val="5E260E6F"/>
    <w:rsid w:val="5E2C27BF"/>
    <w:rsid w:val="5E3839B8"/>
    <w:rsid w:val="5E4C2E61"/>
    <w:rsid w:val="5E6A153A"/>
    <w:rsid w:val="5E7E6D93"/>
    <w:rsid w:val="5E9A1E1F"/>
    <w:rsid w:val="5EA734E4"/>
    <w:rsid w:val="5EDD7F5D"/>
    <w:rsid w:val="5EE929C8"/>
    <w:rsid w:val="5F036867"/>
    <w:rsid w:val="5F073306"/>
    <w:rsid w:val="5F17346F"/>
    <w:rsid w:val="5F1C6CD8"/>
    <w:rsid w:val="5F2B6F1B"/>
    <w:rsid w:val="5F426012"/>
    <w:rsid w:val="5F4678B1"/>
    <w:rsid w:val="5F473629"/>
    <w:rsid w:val="5F585836"/>
    <w:rsid w:val="5F5F73B9"/>
    <w:rsid w:val="5F9C1BC7"/>
    <w:rsid w:val="603911C4"/>
    <w:rsid w:val="60457B68"/>
    <w:rsid w:val="60600E46"/>
    <w:rsid w:val="606049A2"/>
    <w:rsid w:val="60771CEC"/>
    <w:rsid w:val="609A1FB7"/>
    <w:rsid w:val="60BE4E23"/>
    <w:rsid w:val="61077514"/>
    <w:rsid w:val="61204131"/>
    <w:rsid w:val="6146003C"/>
    <w:rsid w:val="61534507"/>
    <w:rsid w:val="616621EC"/>
    <w:rsid w:val="61776447"/>
    <w:rsid w:val="617F70AA"/>
    <w:rsid w:val="618B1EF3"/>
    <w:rsid w:val="619B7808"/>
    <w:rsid w:val="61CB73F0"/>
    <w:rsid w:val="61CD42B9"/>
    <w:rsid w:val="61D41430"/>
    <w:rsid w:val="61F9582E"/>
    <w:rsid w:val="61FC06FB"/>
    <w:rsid w:val="620123E4"/>
    <w:rsid w:val="621243C2"/>
    <w:rsid w:val="623068C3"/>
    <w:rsid w:val="624D53FA"/>
    <w:rsid w:val="625C5701"/>
    <w:rsid w:val="62712E97"/>
    <w:rsid w:val="6299063F"/>
    <w:rsid w:val="629B43B7"/>
    <w:rsid w:val="62AC5F30"/>
    <w:rsid w:val="62C31A1B"/>
    <w:rsid w:val="62E43D52"/>
    <w:rsid w:val="62E775FD"/>
    <w:rsid w:val="62EC69C1"/>
    <w:rsid w:val="62F330EE"/>
    <w:rsid w:val="631A1780"/>
    <w:rsid w:val="6320666B"/>
    <w:rsid w:val="63260125"/>
    <w:rsid w:val="63267317"/>
    <w:rsid w:val="63350368"/>
    <w:rsid w:val="63715118"/>
    <w:rsid w:val="637B1AF3"/>
    <w:rsid w:val="63AB062A"/>
    <w:rsid w:val="63BC2837"/>
    <w:rsid w:val="63C94F54"/>
    <w:rsid w:val="63EE0517"/>
    <w:rsid w:val="63F7561D"/>
    <w:rsid w:val="641461CF"/>
    <w:rsid w:val="642D54E3"/>
    <w:rsid w:val="64303292"/>
    <w:rsid w:val="644B5969"/>
    <w:rsid w:val="64520AA6"/>
    <w:rsid w:val="64552344"/>
    <w:rsid w:val="648C045C"/>
    <w:rsid w:val="64AD03D2"/>
    <w:rsid w:val="64AF7CA6"/>
    <w:rsid w:val="64EB5977"/>
    <w:rsid w:val="65044496"/>
    <w:rsid w:val="650A1380"/>
    <w:rsid w:val="6549634D"/>
    <w:rsid w:val="657A4758"/>
    <w:rsid w:val="65B86A3A"/>
    <w:rsid w:val="65EB7404"/>
    <w:rsid w:val="65F40283"/>
    <w:rsid w:val="6603529D"/>
    <w:rsid w:val="662D17CA"/>
    <w:rsid w:val="66495ED8"/>
    <w:rsid w:val="6663343E"/>
    <w:rsid w:val="667B2536"/>
    <w:rsid w:val="668A2779"/>
    <w:rsid w:val="6695111E"/>
    <w:rsid w:val="66B1690D"/>
    <w:rsid w:val="66C37A39"/>
    <w:rsid w:val="66C57C55"/>
    <w:rsid w:val="66DB2FD4"/>
    <w:rsid w:val="66EC3434"/>
    <w:rsid w:val="66F145A6"/>
    <w:rsid w:val="67000C8D"/>
    <w:rsid w:val="670D6F06"/>
    <w:rsid w:val="6727621A"/>
    <w:rsid w:val="67424E02"/>
    <w:rsid w:val="67582877"/>
    <w:rsid w:val="67713939"/>
    <w:rsid w:val="677551D7"/>
    <w:rsid w:val="677F6056"/>
    <w:rsid w:val="67B36BCE"/>
    <w:rsid w:val="67B53825"/>
    <w:rsid w:val="67DD25EC"/>
    <w:rsid w:val="68024591"/>
    <w:rsid w:val="68100512"/>
    <w:rsid w:val="68246BFD"/>
    <w:rsid w:val="682664D1"/>
    <w:rsid w:val="6838144E"/>
    <w:rsid w:val="686A21E8"/>
    <w:rsid w:val="68815DFE"/>
    <w:rsid w:val="688F051A"/>
    <w:rsid w:val="68953657"/>
    <w:rsid w:val="68994EF5"/>
    <w:rsid w:val="68AA5354"/>
    <w:rsid w:val="68AA7398"/>
    <w:rsid w:val="68BE2BAE"/>
    <w:rsid w:val="69085BD7"/>
    <w:rsid w:val="690A5DF3"/>
    <w:rsid w:val="69132EFA"/>
    <w:rsid w:val="69472BA3"/>
    <w:rsid w:val="69733998"/>
    <w:rsid w:val="69C61FB9"/>
    <w:rsid w:val="69D1246D"/>
    <w:rsid w:val="6A022F6E"/>
    <w:rsid w:val="6A2C58F8"/>
    <w:rsid w:val="6A707ED8"/>
    <w:rsid w:val="6ABA2512"/>
    <w:rsid w:val="6ABE6E95"/>
    <w:rsid w:val="6AD00976"/>
    <w:rsid w:val="6B080110"/>
    <w:rsid w:val="6B1765A5"/>
    <w:rsid w:val="6B1C3BBC"/>
    <w:rsid w:val="6B364C7D"/>
    <w:rsid w:val="6B3709F5"/>
    <w:rsid w:val="6B594E10"/>
    <w:rsid w:val="6B797260"/>
    <w:rsid w:val="6B9B0F84"/>
    <w:rsid w:val="6BBE2E94"/>
    <w:rsid w:val="6BC02799"/>
    <w:rsid w:val="6BE7241B"/>
    <w:rsid w:val="6C172D01"/>
    <w:rsid w:val="6C393FD2"/>
    <w:rsid w:val="6C474C68"/>
    <w:rsid w:val="6C494E84"/>
    <w:rsid w:val="6C823EF2"/>
    <w:rsid w:val="6C874CC2"/>
    <w:rsid w:val="6CA0308B"/>
    <w:rsid w:val="6CB00A5F"/>
    <w:rsid w:val="6CB0535E"/>
    <w:rsid w:val="6CB73B9C"/>
    <w:rsid w:val="6CC1022B"/>
    <w:rsid w:val="6CC369E5"/>
    <w:rsid w:val="6CEE3336"/>
    <w:rsid w:val="6D093549"/>
    <w:rsid w:val="6D45564C"/>
    <w:rsid w:val="6D480C98"/>
    <w:rsid w:val="6D5533B5"/>
    <w:rsid w:val="6D68133A"/>
    <w:rsid w:val="6D760E66"/>
    <w:rsid w:val="6D7D5608"/>
    <w:rsid w:val="6D8C327A"/>
    <w:rsid w:val="6D9E6B0A"/>
    <w:rsid w:val="6DBA24F0"/>
    <w:rsid w:val="6DC76061"/>
    <w:rsid w:val="6DCC7B1B"/>
    <w:rsid w:val="6DDF784E"/>
    <w:rsid w:val="6DE54739"/>
    <w:rsid w:val="6DFB5D0A"/>
    <w:rsid w:val="6E001573"/>
    <w:rsid w:val="6E0332E1"/>
    <w:rsid w:val="6E070B53"/>
    <w:rsid w:val="6E1E6B73"/>
    <w:rsid w:val="6E4A38CD"/>
    <w:rsid w:val="6E731D44"/>
    <w:rsid w:val="6E7F693B"/>
    <w:rsid w:val="6E881C94"/>
    <w:rsid w:val="6EB34837"/>
    <w:rsid w:val="6EB64310"/>
    <w:rsid w:val="6EC16F54"/>
    <w:rsid w:val="6EE113A4"/>
    <w:rsid w:val="6F0B6421"/>
    <w:rsid w:val="6F430380"/>
    <w:rsid w:val="6F5C6C7D"/>
    <w:rsid w:val="6F6A1CC7"/>
    <w:rsid w:val="6F6D4110"/>
    <w:rsid w:val="6F773AB6"/>
    <w:rsid w:val="6F7A7103"/>
    <w:rsid w:val="6F8B1310"/>
    <w:rsid w:val="6F9465BC"/>
    <w:rsid w:val="6F993A2D"/>
    <w:rsid w:val="6FD76303"/>
    <w:rsid w:val="6FDB2297"/>
    <w:rsid w:val="6FE54EC4"/>
    <w:rsid w:val="70076BE8"/>
    <w:rsid w:val="704A2F79"/>
    <w:rsid w:val="707D334E"/>
    <w:rsid w:val="708C17E3"/>
    <w:rsid w:val="70C90342"/>
    <w:rsid w:val="70D2369A"/>
    <w:rsid w:val="70D54F38"/>
    <w:rsid w:val="70FE623D"/>
    <w:rsid w:val="713559D7"/>
    <w:rsid w:val="71445C1A"/>
    <w:rsid w:val="716167CC"/>
    <w:rsid w:val="71625D14"/>
    <w:rsid w:val="71663DE2"/>
    <w:rsid w:val="71752972"/>
    <w:rsid w:val="71C8627B"/>
    <w:rsid w:val="71D52E2E"/>
    <w:rsid w:val="71DE7E1D"/>
    <w:rsid w:val="71EA67C2"/>
    <w:rsid w:val="72035AD5"/>
    <w:rsid w:val="72071122"/>
    <w:rsid w:val="72086C48"/>
    <w:rsid w:val="720F7FD6"/>
    <w:rsid w:val="723637B5"/>
    <w:rsid w:val="723E2669"/>
    <w:rsid w:val="725917E7"/>
    <w:rsid w:val="72606A84"/>
    <w:rsid w:val="726E11A1"/>
    <w:rsid w:val="727A5D97"/>
    <w:rsid w:val="728C1627"/>
    <w:rsid w:val="729D3834"/>
    <w:rsid w:val="72BD5C84"/>
    <w:rsid w:val="72DA6836"/>
    <w:rsid w:val="72EE408F"/>
    <w:rsid w:val="72F5541E"/>
    <w:rsid w:val="730E4732"/>
    <w:rsid w:val="73214465"/>
    <w:rsid w:val="73263829"/>
    <w:rsid w:val="73655314"/>
    <w:rsid w:val="7375030D"/>
    <w:rsid w:val="73880040"/>
    <w:rsid w:val="73966C01"/>
    <w:rsid w:val="73A806E2"/>
    <w:rsid w:val="73B25A48"/>
    <w:rsid w:val="73CA0460"/>
    <w:rsid w:val="73E060CE"/>
    <w:rsid w:val="73E7745D"/>
    <w:rsid w:val="73F456D6"/>
    <w:rsid w:val="742A7349"/>
    <w:rsid w:val="742C597A"/>
    <w:rsid w:val="746C4BA1"/>
    <w:rsid w:val="746F1200"/>
    <w:rsid w:val="74934EEE"/>
    <w:rsid w:val="74BB2697"/>
    <w:rsid w:val="74DA0D6F"/>
    <w:rsid w:val="74E92D60"/>
    <w:rsid w:val="74FF4332"/>
    <w:rsid w:val="75120509"/>
    <w:rsid w:val="751A5610"/>
    <w:rsid w:val="7530273D"/>
    <w:rsid w:val="75363ACC"/>
    <w:rsid w:val="753C7334"/>
    <w:rsid w:val="75630AF4"/>
    <w:rsid w:val="759C7D7F"/>
    <w:rsid w:val="75BE41ED"/>
    <w:rsid w:val="75CB4B5C"/>
    <w:rsid w:val="75E25E8E"/>
    <w:rsid w:val="76193DFA"/>
    <w:rsid w:val="76216C45"/>
    <w:rsid w:val="762F50EB"/>
    <w:rsid w:val="763077F0"/>
    <w:rsid w:val="76326989"/>
    <w:rsid w:val="763919D9"/>
    <w:rsid w:val="763E532E"/>
    <w:rsid w:val="76937428"/>
    <w:rsid w:val="76A41635"/>
    <w:rsid w:val="76A96C4B"/>
    <w:rsid w:val="76AC2297"/>
    <w:rsid w:val="76AF1D88"/>
    <w:rsid w:val="76CF5F86"/>
    <w:rsid w:val="76D81E31"/>
    <w:rsid w:val="77737259"/>
    <w:rsid w:val="77770AF7"/>
    <w:rsid w:val="777D66FD"/>
    <w:rsid w:val="77974CF6"/>
    <w:rsid w:val="779C40BA"/>
    <w:rsid w:val="77B238DE"/>
    <w:rsid w:val="77B51620"/>
    <w:rsid w:val="77B91110"/>
    <w:rsid w:val="77BC29AE"/>
    <w:rsid w:val="78715547"/>
    <w:rsid w:val="78762B5D"/>
    <w:rsid w:val="7893651F"/>
    <w:rsid w:val="78947487"/>
    <w:rsid w:val="78E026CC"/>
    <w:rsid w:val="78E73A5B"/>
    <w:rsid w:val="79004B1D"/>
    <w:rsid w:val="790E0FE8"/>
    <w:rsid w:val="796230E1"/>
    <w:rsid w:val="79696D5B"/>
    <w:rsid w:val="799768F0"/>
    <w:rsid w:val="79A11E5C"/>
    <w:rsid w:val="79A951B4"/>
    <w:rsid w:val="79A96F62"/>
    <w:rsid w:val="79AC25AE"/>
    <w:rsid w:val="79D12015"/>
    <w:rsid w:val="79D7587D"/>
    <w:rsid w:val="79D97847"/>
    <w:rsid w:val="79F20909"/>
    <w:rsid w:val="7A1545F8"/>
    <w:rsid w:val="7A28128D"/>
    <w:rsid w:val="7A287E87"/>
    <w:rsid w:val="7A2E1215"/>
    <w:rsid w:val="7A3031E0"/>
    <w:rsid w:val="7A5B64AE"/>
    <w:rsid w:val="7A5E7D4D"/>
    <w:rsid w:val="7A7F3E50"/>
    <w:rsid w:val="7A897628"/>
    <w:rsid w:val="7AA5772A"/>
    <w:rsid w:val="7ABB519F"/>
    <w:rsid w:val="7AD46261"/>
    <w:rsid w:val="7AE5221C"/>
    <w:rsid w:val="7B0C77A9"/>
    <w:rsid w:val="7B474C85"/>
    <w:rsid w:val="7B5D1DB2"/>
    <w:rsid w:val="7B647318"/>
    <w:rsid w:val="7B694BFB"/>
    <w:rsid w:val="7B7A0BB6"/>
    <w:rsid w:val="7B7B66DC"/>
    <w:rsid w:val="7B7E3E42"/>
    <w:rsid w:val="7B841A35"/>
    <w:rsid w:val="7B9D26BC"/>
    <w:rsid w:val="7BB73BB8"/>
    <w:rsid w:val="7BC77B74"/>
    <w:rsid w:val="7BF70459"/>
    <w:rsid w:val="7C0D22DA"/>
    <w:rsid w:val="7C1F350C"/>
    <w:rsid w:val="7C3C40BE"/>
    <w:rsid w:val="7C3E1BE4"/>
    <w:rsid w:val="7C5E1F34"/>
    <w:rsid w:val="7C624616"/>
    <w:rsid w:val="7C683105"/>
    <w:rsid w:val="7C727ADF"/>
    <w:rsid w:val="7C773348"/>
    <w:rsid w:val="7C790E6E"/>
    <w:rsid w:val="7C815F74"/>
    <w:rsid w:val="7C920181"/>
    <w:rsid w:val="7CA26617"/>
    <w:rsid w:val="7CB2612E"/>
    <w:rsid w:val="7CB4634A"/>
    <w:rsid w:val="7CB65C1E"/>
    <w:rsid w:val="7CB70C1D"/>
    <w:rsid w:val="7CC85A70"/>
    <w:rsid w:val="7CD04806"/>
    <w:rsid w:val="7CD71AFC"/>
    <w:rsid w:val="7CDB38D7"/>
    <w:rsid w:val="7CF90201"/>
    <w:rsid w:val="7D1D3EEF"/>
    <w:rsid w:val="7D3B25C7"/>
    <w:rsid w:val="7D513B99"/>
    <w:rsid w:val="7D5D42EC"/>
    <w:rsid w:val="7D6E02A7"/>
    <w:rsid w:val="7DA33564"/>
    <w:rsid w:val="7DAE0FEB"/>
    <w:rsid w:val="7DC73E5B"/>
    <w:rsid w:val="7DCB56F9"/>
    <w:rsid w:val="7DCC321F"/>
    <w:rsid w:val="7DCE51E9"/>
    <w:rsid w:val="7DD65A11"/>
    <w:rsid w:val="7DDA4A6C"/>
    <w:rsid w:val="7DE44A0D"/>
    <w:rsid w:val="7DFA7D8C"/>
    <w:rsid w:val="7E06015E"/>
    <w:rsid w:val="7E327526"/>
    <w:rsid w:val="7E4436FD"/>
    <w:rsid w:val="7E5971A9"/>
    <w:rsid w:val="7E5B5E17"/>
    <w:rsid w:val="7E7C69F3"/>
    <w:rsid w:val="7EB77A2B"/>
    <w:rsid w:val="7EEC1DCB"/>
    <w:rsid w:val="7EEF5417"/>
    <w:rsid w:val="7EF7251E"/>
    <w:rsid w:val="7F127358"/>
    <w:rsid w:val="7F3C0728"/>
    <w:rsid w:val="7F3D2627"/>
    <w:rsid w:val="7F3E639F"/>
    <w:rsid w:val="7F871AF4"/>
    <w:rsid w:val="7F8E4C30"/>
    <w:rsid w:val="7F98785D"/>
    <w:rsid w:val="7F9F0FE3"/>
    <w:rsid w:val="7FAC4C99"/>
    <w:rsid w:val="7FAE08F2"/>
    <w:rsid w:val="7FB1091F"/>
    <w:rsid w:val="DF7AD8D6"/>
    <w:rsid w:val="F3EFEC6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55"/>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1"/>
    <w:link w:val="5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1"/>
    <w:link w:val="56"/>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57"/>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7">
    <w:name w:val="heading 5"/>
    <w:basedOn w:val="1"/>
    <w:next w:val="1"/>
    <w:link w:val="58"/>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59"/>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60"/>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61"/>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62"/>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5">
    <w:name w:val="Default Paragraph Font"/>
    <w:unhideWhenUsed/>
    <w:qFormat/>
    <w:uiPriority w:val="1"/>
  </w:style>
  <w:style w:type="table" w:default="1" w:styleId="42">
    <w:name w:val="Normal Table"/>
    <w:unhideWhenUsed/>
    <w:qFormat/>
    <w:uiPriority w:val="99"/>
    <w:tblPr>
      <w:tblCellMar>
        <w:top w:w="0" w:type="dxa"/>
        <w:left w:w="108" w:type="dxa"/>
        <w:bottom w:w="0" w:type="dxa"/>
        <w:right w:w="108" w:type="dxa"/>
      </w:tblCellMar>
    </w:tblPr>
  </w:style>
  <w:style w:type="paragraph" w:styleId="2">
    <w:name w:val="List 2"/>
    <w:basedOn w:val="1"/>
    <w:qFormat/>
    <w:uiPriority w:val="0"/>
    <w:pPr>
      <w:ind w:left="100" w:leftChars="200" w:hanging="200" w:hangingChars="200"/>
    </w:pPr>
  </w:style>
  <w:style w:type="paragraph" w:styleId="12">
    <w:name w:val="toc 7"/>
    <w:basedOn w:val="1"/>
    <w:next w:val="1"/>
    <w:qFormat/>
    <w:uiPriority w:val="0"/>
    <w:pPr>
      <w:ind w:left="2520" w:leftChars="1200"/>
    </w:pPr>
  </w:style>
  <w:style w:type="paragraph" w:styleId="13">
    <w:name w:val="Normal Indent"/>
    <w:basedOn w:val="1"/>
    <w:link w:val="63"/>
    <w:qFormat/>
    <w:uiPriority w:val="0"/>
    <w:pPr>
      <w:autoSpaceDE w:val="0"/>
      <w:autoSpaceDN w:val="0"/>
      <w:adjustRightInd w:val="0"/>
      <w:ind w:firstLine="420"/>
      <w:jc w:val="left"/>
    </w:pPr>
    <w:rPr>
      <w:rFonts w:ascii="宋体"/>
      <w:sz w:val="24"/>
    </w:rPr>
  </w:style>
  <w:style w:type="paragraph" w:styleId="14">
    <w:name w:val="caption"/>
    <w:basedOn w:val="1"/>
    <w:next w:val="1"/>
    <w:qFormat/>
    <w:uiPriority w:val="0"/>
    <w:pPr>
      <w:spacing w:line="480" w:lineRule="auto"/>
    </w:pPr>
    <w:rPr>
      <w:rFonts w:ascii="华文中宋" w:hAnsi="华文中宋" w:eastAsia="华文中宋"/>
      <w:sz w:val="36"/>
      <w:szCs w:val="20"/>
    </w:rPr>
  </w:style>
  <w:style w:type="paragraph" w:styleId="15">
    <w:name w:val="Document Map"/>
    <w:basedOn w:val="1"/>
    <w:link w:val="64"/>
    <w:qFormat/>
    <w:uiPriority w:val="0"/>
    <w:pPr>
      <w:shd w:val="clear" w:color="auto" w:fill="000080"/>
    </w:pPr>
  </w:style>
  <w:style w:type="paragraph" w:styleId="16">
    <w:name w:val="annotation text"/>
    <w:basedOn w:val="1"/>
    <w:link w:val="65"/>
    <w:qFormat/>
    <w:uiPriority w:val="99"/>
    <w:pPr>
      <w:jc w:val="left"/>
    </w:pPr>
  </w:style>
  <w:style w:type="paragraph" w:styleId="17">
    <w:name w:val="Body Text 3"/>
    <w:basedOn w:val="1"/>
    <w:link w:val="66"/>
    <w:qFormat/>
    <w:uiPriority w:val="0"/>
    <w:pPr>
      <w:spacing w:after="120"/>
    </w:pPr>
    <w:rPr>
      <w:sz w:val="16"/>
      <w:szCs w:val="16"/>
    </w:rPr>
  </w:style>
  <w:style w:type="paragraph" w:styleId="18">
    <w:name w:val="Body Text"/>
    <w:basedOn w:val="1"/>
    <w:next w:val="1"/>
    <w:link w:val="67"/>
    <w:qFormat/>
    <w:uiPriority w:val="0"/>
    <w:pPr>
      <w:tabs>
        <w:tab w:val="left" w:pos="567"/>
      </w:tabs>
      <w:spacing w:before="120" w:line="22" w:lineRule="atLeast"/>
    </w:pPr>
    <w:rPr>
      <w:rFonts w:ascii="宋体" w:hAnsi="宋体"/>
      <w:sz w:val="24"/>
    </w:rPr>
  </w:style>
  <w:style w:type="paragraph" w:styleId="19">
    <w:name w:val="Body Text Indent"/>
    <w:basedOn w:val="1"/>
    <w:link w:val="68"/>
    <w:qFormat/>
    <w:uiPriority w:val="0"/>
    <w:pPr>
      <w:spacing w:line="360" w:lineRule="auto"/>
      <w:ind w:firstLine="570"/>
    </w:pPr>
    <w:rPr>
      <w:sz w:val="24"/>
    </w:r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69"/>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70"/>
    <w:qFormat/>
    <w:uiPriority w:val="0"/>
    <w:pPr>
      <w:ind w:left="100" w:leftChars="2500"/>
    </w:pPr>
    <w:rPr>
      <w:rFonts w:ascii="仿宋_GB2312" w:hAnsi="宋体" w:eastAsia="仿宋_GB2312"/>
      <w:color w:val="000000"/>
      <w:sz w:val="24"/>
    </w:rPr>
  </w:style>
  <w:style w:type="paragraph" w:styleId="26">
    <w:name w:val="Body Text Indent 2"/>
    <w:basedOn w:val="1"/>
    <w:link w:val="71"/>
    <w:qFormat/>
    <w:uiPriority w:val="0"/>
    <w:pPr>
      <w:ind w:firstLine="480" w:firstLineChars="200"/>
    </w:pPr>
    <w:rPr>
      <w:rFonts w:ascii="仿宋_GB2312" w:eastAsia="仿宋_GB2312"/>
      <w:sz w:val="24"/>
    </w:rPr>
  </w:style>
  <w:style w:type="paragraph" w:styleId="27">
    <w:name w:val="Balloon Text"/>
    <w:basedOn w:val="1"/>
    <w:link w:val="72"/>
    <w:qFormat/>
    <w:uiPriority w:val="0"/>
    <w:rPr>
      <w:sz w:val="18"/>
      <w:szCs w:val="18"/>
    </w:rPr>
  </w:style>
  <w:style w:type="paragraph" w:styleId="28">
    <w:name w:val="footer"/>
    <w:basedOn w:val="1"/>
    <w:link w:val="73"/>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4"/>
    <w:qFormat/>
    <w:uiPriority w:val="99"/>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75"/>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7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77"/>
    <w:qFormat/>
    <w:uiPriority w:val="0"/>
    <w:pPr>
      <w:jc w:val="center"/>
      <w:outlineLvl w:val="0"/>
    </w:pPr>
    <w:rPr>
      <w:b/>
      <w:sz w:val="32"/>
      <w:szCs w:val="20"/>
    </w:rPr>
  </w:style>
  <w:style w:type="paragraph" w:styleId="40">
    <w:name w:val="annotation subject"/>
    <w:basedOn w:val="16"/>
    <w:next w:val="16"/>
    <w:link w:val="78"/>
    <w:qFormat/>
    <w:uiPriority w:val="0"/>
    <w:rPr>
      <w:b/>
      <w:bCs/>
    </w:rPr>
  </w:style>
  <w:style w:type="paragraph" w:styleId="41">
    <w:name w:val="Body Text First Indent 2"/>
    <w:basedOn w:val="19"/>
    <w:link w:val="80"/>
    <w:qFormat/>
    <w:uiPriority w:val="0"/>
    <w:pPr>
      <w:spacing w:after="120" w:line="480" w:lineRule="exact"/>
      <w:ind w:left="420" w:leftChars="200" w:firstLine="420" w:firstLineChars="200"/>
    </w:pPr>
    <w:rPr>
      <w:szCs w:val="20"/>
    </w:rPr>
  </w:style>
  <w:style w:type="table" w:styleId="43">
    <w:name w:val="Table Grid"/>
    <w:basedOn w:val="4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
    <w:name w:val="Medium Grid 1 Accent 2"/>
    <w:basedOn w:val="4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6">
    <w:name w:val="Strong"/>
    <w:qFormat/>
    <w:uiPriority w:val="0"/>
    <w:rPr>
      <w:b/>
      <w:bCs/>
    </w:rPr>
  </w:style>
  <w:style w:type="character" w:styleId="47">
    <w:name w:val="page number"/>
    <w:basedOn w:val="45"/>
    <w:qFormat/>
    <w:uiPriority w:val="0"/>
  </w:style>
  <w:style w:type="character" w:styleId="48">
    <w:name w:val="FollowedHyperlink"/>
    <w:qFormat/>
    <w:uiPriority w:val="0"/>
    <w:rPr>
      <w:color w:val="800080"/>
      <w:u w:val="single"/>
    </w:rPr>
  </w:style>
  <w:style w:type="character" w:styleId="49">
    <w:name w:val="Emphasis"/>
    <w:qFormat/>
    <w:uiPriority w:val="0"/>
    <w:rPr>
      <w:color w:val="CC0033"/>
    </w:rPr>
  </w:style>
  <w:style w:type="character" w:styleId="50">
    <w:name w:val="Hyperlink"/>
    <w:qFormat/>
    <w:uiPriority w:val="99"/>
    <w:rPr>
      <w:color w:val="0000FF"/>
      <w:u w:val="single"/>
    </w:rPr>
  </w:style>
  <w:style w:type="character" w:styleId="51">
    <w:name w:val="annotation reference"/>
    <w:qFormat/>
    <w:uiPriority w:val="99"/>
    <w:rPr>
      <w:sz w:val="21"/>
      <w:szCs w:val="21"/>
    </w:rPr>
  </w:style>
  <w:style w:type="character" w:styleId="52">
    <w:name w:val="HTML Cite"/>
    <w:qFormat/>
    <w:uiPriority w:val="0"/>
    <w:rPr>
      <w:i/>
      <w:iCs/>
    </w:rPr>
  </w:style>
  <w:style w:type="character" w:customStyle="1" w:styleId="53">
    <w:name w:val="标题 2 字符"/>
    <w:link w:val="4"/>
    <w:qFormat/>
    <w:uiPriority w:val="0"/>
    <w:rPr>
      <w:rFonts w:ascii="Arial" w:hAnsi="Arial" w:eastAsia="黑体"/>
      <w:b/>
      <w:sz w:val="30"/>
      <w:lang w:val="en-US" w:eastAsia="zh-CN" w:bidi="ar-SA"/>
    </w:rPr>
  </w:style>
  <w:style w:type="character" w:customStyle="1" w:styleId="54">
    <w:name w:val="标题 3 Char"/>
    <w:qFormat/>
    <w:uiPriority w:val="0"/>
    <w:rPr>
      <w:rFonts w:ascii="宋体" w:eastAsia="宋体"/>
      <w:b/>
      <w:sz w:val="24"/>
      <w:u w:val="single"/>
      <w:lang w:val="en-US" w:eastAsia="zh-CN" w:bidi="ar-SA"/>
    </w:rPr>
  </w:style>
  <w:style w:type="character" w:customStyle="1" w:styleId="55">
    <w:name w:val="标题 1 字符"/>
    <w:basedOn w:val="45"/>
    <w:link w:val="3"/>
    <w:qFormat/>
    <w:uiPriority w:val="0"/>
    <w:rPr>
      <w:rFonts w:ascii="宋体"/>
      <w:b/>
      <w:kern w:val="44"/>
      <w:sz w:val="32"/>
    </w:rPr>
  </w:style>
  <w:style w:type="character" w:customStyle="1" w:styleId="56">
    <w:name w:val="标题 3 字符"/>
    <w:link w:val="5"/>
    <w:qFormat/>
    <w:uiPriority w:val="0"/>
    <w:rPr>
      <w:rFonts w:ascii="宋体" w:eastAsia="宋体"/>
      <w:b/>
      <w:sz w:val="24"/>
      <w:u w:val="single"/>
      <w:lang w:val="en-US" w:eastAsia="zh-CN" w:bidi="ar-SA"/>
    </w:rPr>
  </w:style>
  <w:style w:type="character" w:customStyle="1" w:styleId="57">
    <w:name w:val="标题 4 字符"/>
    <w:basedOn w:val="45"/>
    <w:link w:val="6"/>
    <w:qFormat/>
    <w:uiPriority w:val="0"/>
    <w:rPr>
      <w:rFonts w:ascii="Arial" w:hAnsi="Arial" w:eastAsia="黑体"/>
      <w:b/>
      <w:sz w:val="28"/>
    </w:rPr>
  </w:style>
  <w:style w:type="character" w:customStyle="1" w:styleId="58">
    <w:name w:val="标题 5 字符"/>
    <w:basedOn w:val="45"/>
    <w:link w:val="7"/>
    <w:qFormat/>
    <w:uiPriority w:val="0"/>
    <w:rPr>
      <w:b/>
      <w:sz w:val="28"/>
    </w:rPr>
  </w:style>
  <w:style w:type="character" w:customStyle="1" w:styleId="59">
    <w:name w:val="标题 6 字符"/>
    <w:basedOn w:val="45"/>
    <w:link w:val="8"/>
    <w:qFormat/>
    <w:uiPriority w:val="0"/>
    <w:rPr>
      <w:rFonts w:ascii="Arial" w:hAnsi="Arial" w:eastAsia="黑体"/>
      <w:b/>
      <w:sz w:val="24"/>
    </w:rPr>
  </w:style>
  <w:style w:type="character" w:customStyle="1" w:styleId="60">
    <w:name w:val="标题 7 字符"/>
    <w:basedOn w:val="45"/>
    <w:link w:val="9"/>
    <w:qFormat/>
    <w:uiPriority w:val="0"/>
    <w:rPr>
      <w:b/>
      <w:sz w:val="24"/>
    </w:rPr>
  </w:style>
  <w:style w:type="character" w:customStyle="1" w:styleId="61">
    <w:name w:val="标题 8 字符"/>
    <w:basedOn w:val="45"/>
    <w:link w:val="10"/>
    <w:qFormat/>
    <w:uiPriority w:val="0"/>
    <w:rPr>
      <w:rFonts w:ascii="Arial" w:hAnsi="Arial" w:eastAsia="黑体"/>
      <w:sz w:val="24"/>
    </w:rPr>
  </w:style>
  <w:style w:type="character" w:customStyle="1" w:styleId="62">
    <w:name w:val="标题 9 字符"/>
    <w:basedOn w:val="45"/>
    <w:link w:val="11"/>
    <w:qFormat/>
    <w:uiPriority w:val="0"/>
    <w:rPr>
      <w:rFonts w:ascii="Arial" w:hAnsi="Arial" w:eastAsia="黑体"/>
      <w:sz w:val="21"/>
    </w:rPr>
  </w:style>
  <w:style w:type="character" w:customStyle="1" w:styleId="63">
    <w:name w:val="正文缩进 字符"/>
    <w:link w:val="13"/>
    <w:qFormat/>
    <w:uiPriority w:val="0"/>
    <w:rPr>
      <w:rFonts w:ascii="宋体" w:eastAsia="宋体"/>
      <w:kern w:val="2"/>
      <w:sz w:val="24"/>
      <w:szCs w:val="24"/>
      <w:lang w:val="en-US" w:eastAsia="zh-CN" w:bidi="ar-SA"/>
    </w:rPr>
  </w:style>
  <w:style w:type="character" w:customStyle="1" w:styleId="64">
    <w:name w:val="文档结构图 字符"/>
    <w:basedOn w:val="45"/>
    <w:link w:val="15"/>
    <w:qFormat/>
    <w:uiPriority w:val="0"/>
    <w:rPr>
      <w:kern w:val="2"/>
      <w:sz w:val="21"/>
      <w:szCs w:val="24"/>
      <w:shd w:val="clear" w:color="auto" w:fill="000080"/>
    </w:rPr>
  </w:style>
  <w:style w:type="character" w:customStyle="1" w:styleId="65">
    <w:name w:val="批注文字 字符1"/>
    <w:link w:val="16"/>
    <w:qFormat/>
    <w:uiPriority w:val="99"/>
    <w:rPr>
      <w:kern w:val="2"/>
      <w:sz w:val="21"/>
      <w:szCs w:val="24"/>
    </w:rPr>
  </w:style>
  <w:style w:type="character" w:customStyle="1" w:styleId="66">
    <w:name w:val="正文文本 3 字符"/>
    <w:basedOn w:val="45"/>
    <w:link w:val="17"/>
    <w:qFormat/>
    <w:uiPriority w:val="0"/>
    <w:rPr>
      <w:kern w:val="2"/>
      <w:sz w:val="16"/>
      <w:szCs w:val="16"/>
    </w:rPr>
  </w:style>
  <w:style w:type="character" w:customStyle="1" w:styleId="67">
    <w:name w:val="正文文本 字符"/>
    <w:basedOn w:val="45"/>
    <w:link w:val="18"/>
    <w:qFormat/>
    <w:uiPriority w:val="0"/>
    <w:rPr>
      <w:rFonts w:ascii="宋体" w:hAnsi="宋体"/>
      <w:kern w:val="2"/>
      <w:sz w:val="24"/>
      <w:szCs w:val="24"/>
    </w:rPr>
  </w:style>
  <w:style w:type="character" w:customStyle="1" w:styleId="68">
    <w:name w:val="正文文本缩进 字符"/>
    <w:link w:val="19"/>
    <w:qFormat/>
    <w:uiPriority w:val="0"/>
    <w:rPr>
      <w:rFonts w:eastAsia="宋体"/>
      <w:kern w:val="2"/>
      <w:sz w:val="24"/>
      <w:szCs w:val="24"/>
      <w:lang w:val="en-US" w:eastAsia="zh-CN" w:bidi="ar-SA"/>
    </w:rPr>
  </w:style>
  <w:style w:type="character" w:customStyle="1" w:styleId="69">
    <w:name w:val="纯文本 字符2"/>
    <w:basedOn w:val="45"/>
    <w:link w:val="23"/>
    <w:qFormat/>
    <w:uiPriority w:val="0"/>
    <w:rPr>
      <w:rFonts w:hint="eastAsia" w:ascii="宋体" w:hAnsi="Courier New" w:eastAsia="宋体" w:cs="宋体"/>
      <w:kern w:val="2"/>
      <w:sz w:val="21"/>
    </w:rPr>
  </w:style>
  <w:style w:type="character" w:customStyle="1" w:styleId="70">
    <w:name w:val="日期 字符"/>
    <w:basedOn w:val="45"/>
    <w:link w:val="25"/>
    <w:qFormat/>
    <w:uiPriority w:val="0"/>
    <w:rPr>
      <w:rFonts w:ascii="仿宋_GB2312" w:hAnsi="宋体" w:eastAsia="仿宋_GB2312"/>
      <w:color w:val="000000"/>
      <w:kern w:val="2"/>
      <w:sz w:val="24"/>
      <w:szCs w:val="24"/>
    </w:rPr>
  </w:style>
  <w:style w:type="character" w:customStyle="1" w:styleId="71">
    <w:name w:val="正文文本缩进 2 字符"/>
    <w:basedOn w:val="45"/>
    <w:link w:val="26"/>
    <w:qFormat/>
    <w:uiPriority w:val="0"/>
    <w:rPr>
      <w:rFonts w:ascii="仿宋_GB2312" w:eastAsia="仿宋_GB2312"/>
      <w:kern w:val="2"/>
      <w:sz w:val="24"/>
      <w:szCs w:val="24"/>
    </w:rPr>
  </w:style>
  <w:style w:type="character" w:customStyle="1" w:styleId="72">
    <w:name w:val="批注框文本 字符"/>
    <w:basedOn w:val="45"/>
    <w:link w:val="27"/>
    <w:qFormat/>
    <w:uiPriority w:val="0"/>
    <w:rPr>
      <w:kern w:val="2"/>
      <w:sz w:val="18"/>
      <w:szCs w:val="18"/>
    </w:rPr>
  </w:style>
  <w:style w:type="character" w:customStyle="1" w:styleId="73">
    <w:name w:val="页脚 字符"/>
    <w:link w:val="28"/>
    <w:qFormat/>
    <w:uiPriority w:val="99"/>
    <w:rPr>
      <w:rFonts w:ascii="宋体" w:eastAsia="宋体"/>
      <w:sz w:val="18"/>
      <w:lang w:val="en-US" w:eastAsia="zh-CN" w:bidi="ar-SA"/>
    </w:rPr>
  </w:style>
  <w:style w:type="character" w:customStyle="1" w:styleId="74">
    <w:name w:val="页眉 字符"/>
    <w:link w:val="29"/>
    <w:qFormat/>
    <w:uiPriority w:val="99"/>
    <w:rPr>
      <w:rFonts w:eastAsia="宋体"/>
      <w:kern w:val="2"/>
      <w:sz w:val="18"/>
      <w:szCs w:val="18"/>
      <w:lang w:val="en-US" w:eastAsia="zh-CN" w:bidi="ar-SA"/>
    </w:rPr>
  </w:style>
  <w:style w:type="character" w:customStyle="1" w:styleId="75">
    <w:name w:val="正文文本缩进 3 字符"/>
    <w:basedOn w:val="45"/>
    <w:link w:val="33"/>
    <w:qFormat/>
    <w:uiPriority w:val="0"/>
    <w:rPr>
      <w:rFonts w:ascii="宋体"/>
      <w:sz w:val="24"/>
    </w:rPr>
  </w:style>
  <w:style w:type="character" w:customStyle="1" w:styleId="76">
    <w:name w:val="HTML 预设格式 字符"/>
    <w:basedOn w:val="45"/>
    <w:link w:val="36"/>
    <w:qFormat/>
    <w:uiPriority w:val="0"/>
    <w:rPr>
      <w:rFonts w:ascii="宋体" w:hAnsi="宋体" w:cs="宋体"/>
      <w:sz w:val="24"/>
      <w:szCs w:val="24"/>
    </w:rPr>
  </w:style>
  <w:style w:type="character" w:customStyle="1" w:styleId="77">
    <w:name w:val="标题 字符"/>
    <w:link w:val="39"/>
    <w:qFormat/>
    <w:uiPriority w:val="0"/>
    <w:rPr>
      <w:b/>
      <w:kern w:val="2"/>
      <w:sz w:val="32"/>
    </w:rPr>
  </w:style>
  <w:style w:type="character" w:customStyle="1" w:styleId="78">
    <w:name w:val="批注主题 字符"/>
    <w:basedOn w:val="79"/>
    <w:link w:val="40"/>
    <w:qFormat/>
    <w:uiPriority w:val="0"/>
    <w:rPr>
      <w:rFonts w:ascii="Times New Roman" w:hAnsi="Times New Roman" w:eastAsia="宋体" w:cs="Times New Roman"/>
      <w:b/>
      <w:bCs/>
      <w:kern w:val="2"/>
      <w:sz w:val="21"/>
      <w:szCs w:val="24"/>
      <w:lang w:val="en-US" w:eastAsia="zh-CN" w:bidi="ar-SA"/>
    </w:rPr>
  </w:style>
  <w:style w:type="character" w:customStyle="1" w:styleId="79">
    <w:name w:val="批注文字 字符"/>
    <w:qFormat/>
    <w:uiPriority w:val="99"/>
    <w:rPr>
      <w:rFonts w:ascii="Times New Roman" w:hAnsi="Times New Roman" w:eastAsia="宋体" w:cs="Times New Roman"/>
      <w:sz w:val="24"/>
      <w:lang w:val="en-US" w:eastAsia="zh-CN" w:bidi="ar-SA"/>
    </w:rPr>
  </w:style>
  <w:style w:type="character" w:customStyle="1" w:styleId="80">
    <w:name w:val="正文首行缩进 2 字符"/>
    <w:basedOn w:val="68"/>
    <w:link w:val="41"/>
    <w:qFormat/>
    <w:uiPriority w:val="0"/>
    <w:rPr>
      <w:rFonts w:eastAsia="宋体"/>
      <w:kern w:val="2"/>
      <w:sz w:val="24"/>
      <w:szCs w:val="24"/>
      <w:lang w:val="en-US" w:eastAsia="zh-CN" w:bidi="ar-SA"/>
    </w:rPr>
  </w:style>
  <w:style w:type="character" w:customStyle="1" w:styleId="81">
    <w:name w:val="c21"/>
    <w:qFormat/>
    <w:uiPriority w:val="0"/>
    <w:rPr>
      <w:rFonts w:hint="default" w:ascii="ˎ̥" w:hAnsi="ˎ̥"/>
      <w:color w:val="000000"/>
      <w:sz w:val="20"/>
      <w:szCs w:val="20"/>
      <w:u w:val="none"/>
    </w:rPr>
  </w:style>
  <w:style w:type="character" w:customStyle="1" w:styleId="82">
    <w:name w:val="title4"/>
    <w:qFormat/>
    <w:uiPriority w:val="0"/>
    <w:rPr>
      <w:b/>
      <w:bCs/>
      <w:color w:val="1D87B3"/>
      <w:sz w:val="15"/>
      <w:szCs w:val="15"/>
    </w:rPr>
  </w:style>
  <w:style w:type="character" w:customStyle="1" w:styleId="83">
    <w:name w:val="标题 2 Char Char"/>
    <w:qFormat/>
    <w:uiPriority w:val="0"/>
    <w:rPr>
      <w:rFonts w:ascii="Arial" w:hAnsi="Arial" w:eastAsia="黑体"/>
      <w:b/>
      <w:bCs/>
      <w:kern w:val="2"/>
      <w:sz w:val="32"/>
      <w:szCs w:val="32"/>
      <w:lang w:val="en-US" w:eastAsia="zh-CN" w:bidi="ar-SA"/>
    </w:rPr>
  </w:style>
  <w:style w:type="character" w:customStyle="1" w:styleId="84">
    <w:name w:val="black1"/>
    <w:qFormat/>
    <w:uiPriority w:val="0"/>
    <w:rPr>
      <w:color w:val="000000"/>
    </w:rPr>
  </w:style>
  <w:style w:type="character" w:customStyle="1" w:styleId="85">
    <w:name w:val="street-address"/>
    <w:basedOn w:val="45"/>
    <w:qFormat/>
    <w:uiPriority w:val="0"/>
  </w:style>
  <w:style w:type="character" w:customStyle="1" w:styleId="86">
    <w:name w:val="locality"/>
    <w:basedOn w:val="45"/>
    <w:qFormat/>
    <w:uiPriority w:val="0"/>
  </w:style>
  <w:style w:type="character" w:customStyle="1" w:styleId="87">
    <w:name w:val="正文文本缩进 Char1"/>
    <w:link w:val="88"/>
    <w:qFormat/>
    <w:uiPriority w:val="0"/>
    <w:rPr>
      <w:rFonts w:ascii="宋体" w:hAnsi="宋体" w:eastAsia="宋体"/>
      <w:sz w:val="24"/>
      <w:szCs w:val="24"/>
      <w:lang w:bidi="ar-SA"/>
    </w:rPr>
  </w:style>
  <w:style w:type="paragraph" w:customStyle="1" w:styleId="88">
    <w:name w:val="正文文本缩进1"/>
    <w:basedOn w:val="1"/>
    <w:link w:val="87"/>
    <w:qFormat/>
    <w:uiPriority w:val="0"/>
    <w:pPr>
      <w:spacing w:line="480" w:lineRule="exact"/>
      <w:ind w:firstLine="480" w:firstLineChars="200"/>
    </w:pPr>
    <w:rPr>
      <w:rFonts w:ascii="宋体" w:hAnsi="宋体"/>
      <w:kern w:val="0"/>
      <w:sz w:val="24"/>
    </w:rPr>
  </w:style>
  <w:style w:type="character" w:customStyle="1" w:styleId="89">
    <w:name w:val="Char Char11"/>
    <w:qFormat/>
    <w:uiPriority w:val="0"/>
    <w:rPr>
      <w:rFonts w:ascii="宋体" w:eastAsia="宋体"/>
      <w:b/>
      <w:sz w:val="24"/>
      <w:u w:val="single"/>
      <w:lang w:val="en-US" w:eastAsia="zh-CN" w:bidi="ar-SA"/>
    </w:rPr>
  </w:style>
  <w:style w:type="character" w:customStyle="1" w:styleId="90">
    <w:name w:val="txt"/>
    <w:basedOn w:val="45"/>
    <w:qFormat/>
    <w:uiPriority w:val="0"/>
  </w:style>
  <w:style w:type="character" w:customStyle="1" w:styleId="91">
    <w:name w:val="正文缩进 Char Char"/>
    <w:link w:val="92"/>
    <w:qFormat/>
    <w:uiPriority w:val="0"/>
    <w:rPr>
      <w:rFonts w:ascii="宋体" w:eastAsia="宋体"/>
      <w:snapToGrid w:val="0"/>
      <w:color w:val="000000"/>
      <w:kern w:val="28"/>
      <w:sz w:val="28"/>
      <w:lang w:bidi="ar-SA"/>
    </w:rPr>
  </w:style>
  <w:style w:type="paragraph" w:customStyle="1" w:styleId="92">
    <w:name w:val="正文缩进1"/>
    <w:basedOn w:val="1"/>
    <w:link w:val="91"/>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93">
    <w:name w:val="普通文字1 Char1"/>
    <w:qFormat/>
    <w:uiPriority w:val="0"/>
    <w:rPr>
      <w:rFonts w:ascii="宋体" w:hAnsi="Courier New" w:eastAsia="宋体"/>
      <w:kern w:val="2"/>
      <w:sz w:val="21"/>
      <w:lang w:val="en-US" w:eastAsia="zh-CN" w:bidi="ar-SA"/>
    </w:rPr>
  </w:style>
  <w:style w:type="character" w:customStyle="1" w:styleId="94">
    <w:name w:val="chanpin1"/>
    <w:qFormat/>
    <w:uiPriority w:val="0"/>
    <w:rPr>
      <w:rFonts w:hint="default" w:ascii="ˎ̥" w:hAnsi="ˎ̥"/>
      <w:color w:val="000000"/>
      <w:sz w:val="20"/>
      <w:szCs w:val="20"/>
      <w:u w:val="none"/>
    </w:rPr>
  </w:style>
  <w:style w:type="character" w:customStyle="1" w:styleId="95">
    <w:name w:val="列出段落 字符"/>
    <w:link w:val="96"/>
    <w:qFormat/>
    <w:uiPriority w:val="34"/>
    <w:rPr>
      <w:rFonts w:ascii="Calibri" w:hAnsi="Calibri" w:eastAsia="宋体"/>
      <w:kern w:val="2"/>
      <w:sz w:val="21"/>
      <w:szCs w:val="22"/>
      <w:lang w:val="en-US" w:eastAsia="zh-CN" w:bidi="ar-SA"/>
    </w:rPr>
  </w:style>
  <w:style w:type="paragraph" w:styleId="96">
    <w:name w:val="List Paragraph"/>
    <w:basedOn w:val="1"/>
    <w:link w:val="95"/>
    <w:qFormat/>
    <w:uiPriority w:val="34"/>
    <w:pPr>
      <w:ind w:firstLine="420" w:firstLineChars="200"/>
    </w:pPr>
    <w:rPr>
      <w:rFonts w:ascii="Calibri" w:hAnsi="Calibri"/>
      <w:szCs w:val="22"/>
    </w:rPr>
  </w:style>
  <w:style w:type="character" w:customStyle="1" w:styleId="97">
    <w:name w:val="标题 3 Char Char"/>
    <w:qFormat/>
    <w:uiPriority w:val="0"/>
    <w:rPr>
      <w:rFonts w:eastAsia="宋体"/>
      <w:b/>
      <w:bCs/>
      <w:kern w:val="2"/>
      <w:sz w:val="32"/>
      <w:szCs w:val="32"/>
      <w:lang w:val="en-US" w:eastAsia="zh-CN" w:bidi="ar-SA"/>
    </w:rPr>
  </w:style>
  <w:style w:type="character" w:customStyle="1" w:styleId="98">
    <w:name w:val="段1 Char"/>
    <w:qFormat/>
    <w:uiPriority w:val="0"/>
    <w:rPr>
      <w:rFonts w:ascii="宋体" w:eastAsia="宋体"/>
      <w:sz w:val="24"/>
      <w:lang w:val="en-US" w:eastAsia="zh-CN" w:bidi="ar-SA"/>
    </w:rPr>
  </w:style>
  <w:style w:type="character" w:customStyle="1" w:styleId="99">
    <w:name w:val="chanpin拷贝"/>
    <w:basedOn w:val="45"/>
    <w:qFormat/>
    <w:uiPriority w:val="0"/>
  </w:style>
  <w:style w:type="character" w:customStyle="1" w:styleId="100">
    <w:name w:val="纯文本 Char1"/>
    <w:qFormat/>
    <w:uiPriority w:val="0"/>
    <w:rPr>
      <w:rFonts w:ascii="宋体" w:hAnsi="Courier New" w:eastAsia="宋体"/>
      <w:kern w:val="2"/>
      <w:sz w:val="21"/>
      <w:lang w:val="en-US" w:eastAsia="zh-CN" w:bidi="ar-SA"/>
    </w:rPr>
  </w:style>
  <w:style w:type="character" w:customStyle="1" w:styleId="101">
    <w:name w:val="apple-style-span"/>
    <w:qFormat/>
    <w:uiPriority w:val="0"/>
    <w:rPr>
      <w:rFonts w:cs="Times New Roman"/>
    </w:rPr>
  </w:style>
  <w:style w:type="paragraph" w:customStyle="1" w:styleId="102">
    <w:name w:val="二级条标题"/>
    <w:basedOn w:val="103"/>
    <w:next w:val="1"/>
    <w:qFormat/>
    <w:uiPriority w:val="0"/>
    <w:pPr>
      <w:numPr>
        <w:ilvl w:val="0"/>
        <w:numId w:val="0"/>
      </w:numPr>
      <w:tabs>
        <w:tab w:val="left" w:pos="360"/>
        <w:tab w:val="left" w:pos="840"/>
      </w:tabs>
      <w:ind w:hanging="840"/>
      <w:outlineLvl w:val="2"/>
    </w:pPr>
    <w:rPr>
      <w:rFonts w:ascii="宋体" w:eastAsia="宋体"/>
      <w:b w:val="0"/>
    </w:rPr>
  </w:style>
  <w:style w:type="paragraph" w:customStyle="1" w:styleId="103">
    <w:name w:val="一级条标题"/>
    <w:basedOn w:val="104"/>
    <w:next w:val="1"/>
    <w:qFormat/>
    <w:uiPriority w:val="0"/>
    <w:pPr>
      <w:numPr>
        <w:ilvl w:val="1"/>
      </w:numPr>
      <w:tabs>
        <w:tab w:val="left" w:pos="360"/>
        <w:tab w:val="left" w:pos="840"/>
      </w:tabs>
      <w:ind w:left="0" w:hanging="840"/>
      <w:outlineLvl w:val="1"/>
    </w:pPr>
  </w:style>
  <w:style w:type="paragraph" w:customStyle="1" w:styleId="104">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105">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06">
    <w:name w:val="字元 字元"/>
    <w:basedOn w:val="1"/>
    <w:qFormat/>
    <w:uiPriority w:val="0"/>
    <w:rPr>
      <w:rFonts w:ascii="Tahoma" w:hAnsi="Tahoma"/>
      <w:sz w:val="24"/>
      <w:szCs w:val="20"/>
    </w:rPr>
  </w:style>
  <w:style w:type="paragraph" w:customStyle="1" w:styleId="107">
    <w:name w:val="Char3 Char Char Char"/>
    <w:basedOn w:val="1"/>
    <w:qFormat/>
    <w:uiPriority w:val="0"/>
    <w:rPr>
      <w:rFonts w:ascii="Tahoma" w:hAnsi="Tahoma"/>
      <w:sz w:val="24"/>
      <w:szCs w:val="20"/>
    </w:rPr>
  </w:style>
  <w:style w:type="paragraph" w:customStyle="1" w:styleId="10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09">
    <w:name w:val="项目编号2"/>
    <w:basedOn w:val="110"/>
    <w:qFormat/>
    <w:uiPriority w:val="0"/>
    <w:pPr>
      <w:numPr>
        <w:numId w:val="2"/>
      </w:numPr>
    </w:pPr>
  </w:style>
  <w:style w:type="paragraph" w:customStyle="1" w:styleId="110">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111">
    <w:name w:val="图中文字"/>
    <w:basedOn w:val="1"/>
    <w:qFormat/>
    <w:uiPriority w:val="0"/>
    <w:pPr>
      <w:adjustRightInd w:val="0"/>
      <w:snapToGrid w:val="0"/>
      <w:spacing w:line="0" w:lineRule="atLeast"/>
      <w:jc w:val="center"/>
    </w:pPr>
    <w:rPr>
      <w:sz w:val="24"/>
      <w:szCs w:val="20"/>
    </w:rPr>
  </w:style>
  <w:style w:type="paragraph" w:customStyle="1" w:styleId="112">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14">
    <w:name w:val="Char2"/>
    <w:basedOn w:val="1"/>
    <w:qFormat/>
    <w:uiPriority w:val="0"/>
    <w:rPr>
      <w:rFonts w:ascii="Tahoma" w:hAnsi="Tahoma"/>
      <w:sz w:val="24"/>
      <w:szCs w:val="20"/>
    </w:rPr>
  </w:style>
  <w:style w:type="paragraph" w:customStyle="1" w:styleId="115">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7">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18">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9">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2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21">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22">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3">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24">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2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6">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28">
    <w:name w:val="font8"/>
    <w:basedOn w:val="1"/>
    <w:qFormat/>
    <w:uiPriority w:val="0"/>
    <w:pPr>
      <w:widowControl/>
      <w:spacing w:before="100" w:beforeAutospacing="1" w:after="100" w:afterAutospacing="1"/>
      <w:jc w:val="left"/>
    </w:pPr>
    <w:rPr>
      <w:kern w:val="0"/>
      <w:sz w:val="36"/>
      <w:szCs w:val="36"/>
    </w:rPr>
  </w:style>
  <w:style w:type="paragraph" w:customStyle="1" w:styleId="129">
    <w:name w:val="Char"/>
    <w:basedOn w:val="1"/>
    <w:qFormat/>
    <w:uiPriority w:val="0"/>
    <w:pPr>
      <w:tabs>
        <w:tab w:val="left" w:pos="360"/>
      </w:tabs>
    </w:pPr>
    <w:rPr>
      <w:sz w:val="24"/>
    </w:rPr>
  </w:style>
  <w:style w:type="paragraph" w:customStyle="1" w:styleId="130">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31">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32">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33">
    <w:name w:val="Char Char1"/>
    <w:basedOn w:val="15"/>
    <w:qFormat/>
    <w:uiPriority w:val="0"/>
    <w:rPr>
      <w:rFonts w:ascii="Tahoma" w:hAnsi="Tahoma"/>
      <w:sz w:val="24"/>
    </w:rPr>
  </w:style>
  <w:style w:type="paragraph" w:customStyle="1" w:styleId="13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3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3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37">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38">
    <w:name w:val="Char1 Char Char Char1"/>
    <w:basedOn w:val="1"/>
    <w:qFormat/>
    <w:uiPriority w:val="0"/>
    <w:rPr>
      <w:rFonts w:ascii="Tahoma" w:hAnsi="Tahoma" w:cs="仿宋_GB2312"/>
      <w:sz w:val="24"/>
      <w:szCs w:val="28"/>
    </w:rPr>
  </w:style>
  <w:style w:type="paragraph" w:customStyle="1" w:styleId="139">
    <w:name w:val="四级条标题"/>
    <w:basedOn w:val="140"/>
    <w:next w:val="1"/>
    <w:qFormat/>
    <w:uiPriority w:val="0"/>
    <w:pPr>
      <w:numPr>
        <w:ilvl w:val="4"/>
      </w:numPr>
      <w:tabs>
        <w:tab w:val="left" w:pos="360"/>
        <w:tab w:val="left" w:pos="840"/>
      </w:tabs>
      <w:ind w:left="0" w:hanging="840"/>
      <w:outlineLvl w:val="4"/>
    </w:pPr>
  </w:style>
  <w:style w:type="paragraph" w:customStyle="1" w:styleId="140">
    <w:name w:val="三级条标题"/>
    <w:basedOn w:val="102"/>
    <w:next w:val="1"/>
    <w:qFormat/>
    <w:uiPriority w:val="0"/>
    <w:pPr>
      <w:numPr>
        <w:ilvl w:val="3"/>
        <w:numId w:val="1"/>
      </w:numPr>
      <w:ind w:left="0" w:hanging="840"/>
      <w:outlineLvl w:val="3"/>
    </w:pPr>
  </w:style>
  <w:style w:type="paragraph" w:customStyle="1" w:styleId="141">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42">
    <w:name w:val="样式 标题 2 + 宋体 五号 行距: 单倍行距"/>
    <w:basedOn w:val="4"/>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43">
    <w:name w:val="List Paragraph1"/>
    <w:basedOn w:val="1"/>
    <w:qFormat/>
    <w:uiPriority w:val="0"/>
    <w:pPr>
      <w:ind w:firstLine="420" w:firstLineChars="200"/>
    </w:pPr>
    <w:rPr>
      <w:rFonts w:ascii="Calibri" w:hAnsi="Calibri"/>
      <w:szCs w:val="22"/>
    </w:rPr>
  </w:style>
  <w:style w:type="paragraph" w:customStyle="1" w:styleId="144">
    <w:name w:val="项目符号1"/>
    <w:basedOn w:val="145"/>
    <w:qFormat/>
    <w:uiPriority w:val="0"/>
    <w:pPr>
      <w:ind w:left="-25" w:firstLine="0"/>
    </w:pPr>
  </w:style>
  <w:style w:type="paragraph" w:customStyle="1" w:styleId="145">
    <w:name w:val="正文文本样式"/>
    <w:basedOn w:val="1"/>
    <w:qFormat/>
    <w:uiPriority w:val="0"/>
    <w:pPr>
      <w:spacing w:line="360" w:lineRule="auto"/>
      <w:ind w:firstLine="482"/>
    </w:pPr>
    <w:rPr>
      <w:rFonts w:cs="宋体"/>
      <w:sz w:val="24"/>
      <w:szCs w:val="20"/>
    </w:rPr>
  </w:style>
  <w:style w:type="paragraph" w:customStyle="1" w:styleId="146">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4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48">
    <w:name w:val="五级条标题"/>
    <w:basedOn w:val="139"/>
    <w:next w:val="1"/>
    <w:qFormat/>
    <w:uiPriority w:val="0"/>
    <w:pPr>
      <w:numPr>
        <w:ilvl w:val="5"/>
      </w:numPr>
      <w:ind w:left="0" w:hanging="840"/>
      <w:outlineLvl w:val="5"/>
    </w:pPr>
  </w:style>
  <w:style w:type="paragraph" w:customStyle="1" w:styleId="149">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50">
    <w:name w:val="文档正文"/>
    <w:basedOn w:val="1"/>
    <w:qFormat/>
    <w:uiPriority w:val="0"/>
    <w:pPr>
      <w:snapToGrid w:val="0"/>
      <w:spacing w:before="120" w:after="120" w:line="180" w:lineRule="auto"/>
    </w:pPr>
    <w:rPr>
      <w:rFonts w:ascii="Arial" w:hAnsi="Arial"/>
      <w:szCs w:val="20"/>
    </w:rPr>
  </w:style>
  <w:style w:type="paragraph" w:customStyle="1" w:styleId="15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52">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53">
    <w:name w:val="Char Char Char1 Char"/>
    <w:basedOn w:val="1"/>
    <w:qFormat/>
    <w:uiPriority w:val="0"/>
    <w:rPr>
      <w:rFonts w:ascii="Tahoma" w:hAnsi="Tahoma"/>
      <w:sz w:val="24"/>
      <w:szCs w:val="20"/>
    </w:rPr>
  </w:style>
  <w:style w:type="paragraph" w:customStyle="1" w:styleId="154">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55">
    <w:name w:val="1名"/>
    <w:basedOn w:val="1"/>
    <w:qFormat/>
    <w:uiPriority w:val="0"/>
    <w:pPr>
      <w:numPr>
        <w:ilvl w:val="0"/>
        <w:numId w:val="5"/>
      </w:numPr>
      <w:spacing w:before="120"/>
    </w:pPr>
    <w:rPr>
      <w:rFonts w:ascii="宋体"/>
      <w:sz w:val="28"/>
      <w:szCs w:val="20"/>
    </w:rPr>
  </w:style>
  <w:style w:type="paragraph" w:customStyle="1" w:styleId="156">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57">
    <w:name w:val="Char Char Char1 Char1"/>
    <w:basedOn w:val="1"/>
    <w:qFormat/>
    <w:uiPriority w:val="0"/>
    <w:rPr>
      <w:rFonts w:ascii="Tahoma" w:hAnsi="Tahoma"/>
      <w:sz w:val="24"/>
      <w:szCs w:val="20"/>
    </w:rPr>
  </w:style>
  <w:style w:type="paragraph" w:customStyle="1" w:styleId="158">
    <w:name w:val="Char Char Char Char Char Char Char Char Char Char"/>
    <w:basedOn w:val="1"/>
    <w:qFormat/>
    <w:uiPriority w:val="0"/>
  </w:style>
  <w:style w:type="paragraph" w:customStyle="1" w:styleId="159">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60">
    <w:name w:val="Char1"/>
    <w:basedOn w:val="1"/>
    <w:qFormat/>
    <w:uiPriority w:val="0"/>
    <w:pPr>
      <w:tabs>
        <w:tab w:val="left" w:pos="360"/>
      </w:tabs>
    </w:pPr>
    <w:rPr>
      <w:sz w:val="24"/>
    </w:rPr>
  </w:style>
  <w:style w:type="paragraph" w:customStyle="1" w:styleId="161">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62">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63">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64">
    <w:name w:val="默认段落字体 Para Char Char Char Char"/>
    <w:basedOn w:val="1"/>
    <w:qFormat/>
    <w:uiPriority w:val="0"/>
    <w:rPr>
      <w:rFonts w:ascii="Arial" w:hAnsi="Arial" w:cs="Arial"/>
      <w:szCs w:val="21"/>
    </w:rPr>
  </w:style>
  <w:style w:type="paragraph" w:customStyle="1" w:styleId="165">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66">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67">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68">
    <w:name w:val="Char Char Char"/>
    <w:basedOn w:val="1"/>
    <w:qFormat/>
    <w:uiPriority w:val="0"/>
    <w:rPr>
      <w:rFonts w:ascii="Tahoma" w:hAnsi="Tahoma"/>
      <w:sz w:val="24"/>
      <w:szCs w:val="20"/>
    </w:rPr>
  </w:style>
  <w:style w:type="paragraph" w:customStyle="1" w:styleId="169">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70">
    <w:name w:val="缺省文本"/>
    <w:basedOn w:val="1"/>
    <w:qFormat/>
    <w:uiPriority w:val="0"/>
    <w:pPr>
      <w:autoSpaceDE w:val="0"/>
      <w:autoSpaceDN w:val="0"/>
      <w:adjustRightInd w:val="0"/>
      <w:jc w:val="left"/>
    </w:pPr>
    <w:rPr>
      <w:kern w:val="0"/>
      <w:sz w:val="24"/>
    </w:rPr>
  </w:style>
  <w:style w:type="paragraph" w:customStyle="1" w:styleId="171">
    <w:name w:val="Char Char Char1"/>
    <w:basedOn w:val="1"/>
    <w:qFormat/>
    <w:uiPriority w:val="0"/>
    <w:rPr>
      <w:rFonts w:ascii="Tahoma" w:hAnsi="Tahoma"/>
      <w:sz w:val="24"/>
      <w:szCs w:val="20"/>
    </w:rPr>
  </w:style>
  <w:style w:type="paragraph" w:customStyle="1" w:styleId="172">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73">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74">
    <w:name w:val="样式2"/>
    <w:basedOn w:val="38"/>
    <w:qFormat/>
    <w:uiPriority w:val="0"/>
    <w:pPr>
      <w:spacing w:line="360" w:lineRule="auto"/>
      <w:jc w:val="center"/>
    </w:pPr>
    <w:rPr>
      <w:sz w:val="24"/>
    </w:rPr>
  </w:style>
  <w:style w:type="paragraph" w:customStyle="1" w:styleId="17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7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77">
    <w:name w:val="正文 + 楷体_GB2312"/>
    <w:basedOn w:val="1"/>
    <w:qFormat/>
    <w:uiPriority w:val="0"/>
    <w:pPr>
      <w:widowControl/>
      <w:jc w:val="left"/>
    </w:pPr>
    <w:rPr>
      <w:rFonts w:ascii="楷体_GB2312" w:eastAsia="楷体_GB2312" w:cs="Arial"/>
      <w:kern w:val="0"/>
      <w:sz w:val="24"/>
    </w:rPr>
  </w:style>
  <w:style w:type="paragraph" w:customStyle="1" w:styleId="178">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79">
    <w:name w:val="1 Char Char Char Char"/>
    <w:basedOn w:val="1"/>
    <w:qFormat/>
    <w:uiPriority w:val="0"/>
    <w:rPr>
      <w:rFonts w:ascii="Tahoma" w:hAnsi="Tahoma"/>
      <w:sz w:val="24"/>
      <w:szCs w:val="20"/>
    </w:rPr>
  </w:style>
  <w:style w:type="paragraph" w:customStyle="1" w:styleId="180">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81">
    <w:name w:val="列出段落1"/>
    <w:basedOn w:val="1"/>
    <w:qFormat/>
    <w:uiPriority w:val="0"/>
    <w:pPr>
      <w:ind w:firstLine="420" w:firstLineChars="200"/>
    </w:pPr>
    <w:rPr>
      <w:rFonts w:ascii="Calibri" w:hAnsi="Calibri"/>
      <w:szCs w:val="22"/>
    </w:rPr>
  </w:style>
  <w:style w:type="paragraph" w:customStyle="1" w:styleId="182">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83">
    <w:name w:val="字元 字元1"/>
    <w:basedOn w:val="1"/>
    <w:qFormat/>
    <w:uiPriority w:val="0"/>
    <w:rPr>
      <w:rFonts w:ascii="Tahoma" w:hAnsi="Tahoma"/>
      <w:sz w:val="24"/>
      <w:szCs w:val="20"/>
    </w:rPr>
  </w:style>
  <w:style w:type="paragraph" w:customStyle="1" w:styleId="184">
    <w:name w:val="_Style 160"/>
    <w:qFormat/>
    <w:uiPriority w:val="0"/>
    <w:rPr>
      <w:rFonts w:ascii="Times New Roman" w:hAnsi="Times New Roman" w:eastAsia="宋体" w:cs="Times New Roman"/>
      <w:kern w:val="2"/>
      <w:sz w:val="21"/>
      <w:szCs w:val="24"/>
      <w:lang w:val="en-US" w:eastAsia="zh-CN" w:bidi="ar-SA"/>
    </w:rPr>
  </w:style>
  <w:style w:type="paragraph" w:customStyle="1" w:styleId="185">
    <w:name w:val="项目编号3"/>
    <w:basedOn w:val="145"/>
    <w:qFormat/>
    <w:uiPriority w:val="0"/>
    <w:pPr>
      <w:numPr>
        <w:ilvl w:val="0"/>
        <w:numId w:val="6"/>
      </w:numPr>
    </w:pPr>
  </w:style>
  <w:style w:type="paragraph" w:customStyle="1" w:styleId="186">
    <w:name w:val="Char21"/>
    <w:basedOn w:val="1"/>
    <w:qFormat/>
    <w:uiPriority w:val="0"/>
    <w:rPr>
      <w:rFonts w:ascii="Tahoma" w:hAnsi="Tahoma"/>
      <w:sz w:val="24"/>
      <w:szCs w:val="20"/>
    </w:rPr>
  </w:style>
  <w:style w:type="paragraph" w:customStyle="1" w:styleId="187">
    <w:name w:val="表格文字"/>
    <w:basedOn w:val="19"/>
    <w:qFormat/>
    <w:uiPriority w:val="0"/>
    <w:pPr>
      <w:spacing w:before="20" w:after="20" w:line="240" w:lineRule="auto"/>
      <w:ind w:firstLine="0"/>
    </w:pPr>
    <w:rPr>
      <w:rFonts w:ascii="Century Gothic" w:hAnsi="Century Gothic"/>
      <w:sz w:val="20"/>
      <w:szCs w:val="20"/>
    </w:rPr>
  </w:style>
  <w:style w:type="paragraph" w:customStyle="1" w:styleId="188">
    <w:name w:val="Char Char Char Char Char Char Char Char Char Char1"/>
    <w:basedOn w:val="1"/>
    <w:qFormat/>
    <w:uiPriority w:val="0"/>
    <w:rPr>
      <w:rFonts w:ascii="宋体" w:hAnsi="宋体" w:cs="Courier New"/>
      <w:sz w:val="32"/>
      <w:szCs w:val="32"/>
    </w:rPr>
  </w:style>
  <w:style w:type="paragraph" w:customStyle="1" w:styleId="189">
    <w:name w:val="正文文本样式 加粗"/>
    <w:basedOn w:val="145"/>
    <w:qFormat/>
    <w:uiPriority w:val="0"/>
    <w:rPr>
      <w:b/>
    </w:rPr>
  </w:style>
  <w:style w:type="paragraph" w:customStyle="1" w:styleId="190">
    <w:name w:val="Char2 Char Char Char Char Char Char"/>
    <w:basedOn w:val="1"/>
    <w:qFormat/>
    <w:uiPriority w:val="0"/>
    <w:pPr>
      <w:widowControl/>
      <w:spacing w:line="400" w:lineRule="exact"/>
      <w:jc w:val="center"/>
    </w:pPr>
  </w:style>
  <w:style w:type="paragraph" w:customStyle="1" w:styleId="191">
    <w:name w:val="Char Char4"/>
    <w:basedOn w:val="1"/>
    <w:qFormat/>
    <w:uiPriority w:val="0"/>
    <w:pPr>
      <w:widowControl/>
      <w:spacing w:line="400" w:lineRule="exact"/>
      <w:jc w:val="center"/>
    </w:pPr>
  </w:style>
  <w:style w:type="paragraph" w:customStyle="1" w:styleId="192">
    <w:name w:val="Char3 Char Char Char1"/>
    <w:basedOn w:val="1"/>
    <w:qFormat/>
    <w:uiPriority w:val="0"/>
    <w:rPr>
      <w:rFonts w:ascii="Tahoma" w:hAnsi="Tahoma"/>
      <w:sz w:val="24"/>
      <w:szCs w:val="20"/>
    </w:rPr>
  </w:style>
  <w:style w:type="paragraph" w:styleId="193">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4">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95">
    <w:name w:val="中等深浅网格 1 - 强调文字颜色 2 Char"/>
    <w:link w:val="196"/>
    <w:qFormat/>
    <w:uiPriority w:val="0"/>
    <w:rPr>
      <w:kern w:val="2"/>
      <w:sz w:val="21"/>
      <w:szCs w:val="24"/>
      <w:lang w:val="zh-CN" w:eastAsia="zh-CN"/>
    </w:rPr>
  </w:style>
  <w:style w:type="paragraph" w:customStyle="1" w:styleId="196">
    <w:name w:val="1"/>
    <w:link w:val="195"/>
    <w:qFormat/>
    <w:uiPriority w:val="0"/>
    <w:rPr>
      <w:rFonts w:ascii="Times New Roman" w:hAnsi="Times New Roman" w:eastAsia="宋体" w:cs="Times New Roman"/>
      <w:kern w:val="2"/>
      <w:sz w:val="21"/>
      <w:szCs w:val="24"/>
      <w:lang w:val="zh-CN" w:eastAsia="zh-CN" w:bidi="ar-SA"/>
    </w:rPr>
  </w:style>
  <w:style w:type="paragraph" w:customStyle="1" w:styleId="197">
    <w:name w:val="图文"/>
    <w:basedOn w:val="1"/>
    <w:qFormat/>
    <w:uiPriority w:val="0"/>
    <w:pPr>
      <w:adjustRightInd w:val="0"/>
      <w:snapToGrid w:val="0"/>
      <w:spacing w:after="50" w:line="360" w:lineRule="auto"/>
    </w:pPr>
    <w:rPr>
      <w:sz w:val="24"/>
    </w:rPr>
  </w:style>
  <w:style w:type="paragraph" w:customStyle="1" w:styleId="198">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99">
    <w:name w:val="正文表格"/>
    <w:basedOn w:val="1"/>
    <w:link w:val="200"/>
    <w:qFormat/>
    <w:uiPriority w:val="0"/>
    <w:pPr>
      <w:adjustRightInd w:val="0"/>
      <w:snapToGrid w:val="0"/>
      <w:jc w:val="left"/>
    </w:pPr>
    <w:rPr>
      <w:rFonts w:ascii="宋体" w:hAnsi="宋体"/>
      <w:color w:val="000000"/>
      <w:szCs w:val="21"/>
    </w:rPr>
  </w:style>
  <w:style w:type="character" w:customStyle="1" w:styleId="200">
    <w:name w:val="正文表格 Char"/>
    <w:link w:val="199"/>
    <w:qFormat/>
    <w:uiPriority w:val="0"/>
    <w:rPr>
      <w:rFonts w:ascii="宋体" w:hAnsi="宋体"/>
      <w:color w:val="000000"/>
      <w:kern w:val="2"/>
      <w:sz w:val="21"/>
      <w:szCs w:val="21"/>
    </w:rPr>
  </w:style>
  <w:style w:type="paragraph" w:customStyle="1" w:styleId="201">
    <w:name w:val="正文重点"/>
    <w:basedOn w:val="1"/>
    <w:link w:val="202"/>
    <w:qFormat/>
    <w:uiPriority w:val="0"/>
    <w:pPr>
      <w:adjustRightInd w:val="0"/>
      <w:spacing w:line="360" w:lineRule="auto"/>
      <w:ind w:firstLine="482" w:firstLineChars="200"/>
      <w:jc w:val="left"/>
      <w:textAlignment w:val="baseline"/>
    </w:pPr>
    <w:rPr>
      <w:b/>
      <w:kern w:val="0"/>
      <w:sz w:val="24"/>
      <w:szCs w:val="20"/>
    </w:rPr>
  </w:style>
  <w:style w:type="character" w:customStyle="1" w:styleId="202">
    <w:name w:val="正文重点 Char"/>
    <w:link w:val="201"/>
    <w:qFormat/>
    <w:uiPriority w:val="0"/>
    <w:rPr>
      <w:b/>
      <w:sz w:val="24"/>
    </w:rPr>
  </w:style>
  <w:style w:type="paragraph" w:customStyle="1" w:styleId="203">
    <w:name w:val="标题1-附件"/>
    <w:basedOn w:val="3"/>
    <w:qFormat/>
    <w:uiPriority w:val="0"/>
    <w:pPr>
      <w:jc w:val="left"/>
    </w:pPr>
    <w:rPr>
      <w:sz w:val="24"/>
      <w:szCs w:val="24"/>
    </w:rPr>
  </w:style>
  <w:style w:type="paragraph" w:customStyle="1" w:styleId="204">
    <w:name w:val="正文小标题"/>
    <w:basedOn w:val="1"/>
    <w:next w:val="13"/>
    <w:link w:val="205"/>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205">
    <w:name w:val="正文小标题 Char"/>
    <w:link w:val="204"/>
    <w:qFormat/>
    <w:uiPriority w:val="0"/>
    <w:rPr>
      <w:rFonts w:ascii="宋体" w:hAnsi="宋体"/>
      <w:b/>
      <w:i/>
      <w:color w:val="FF0000"/>
      <w:kern w:val="2"/>
      <w:sz w:val="24"/>
    </w:rPr>
  </w:style>
  <w:style w:type="paragraph" w:customStyle="1" w:styleId="206">
    <w:name w:val="正文大标题"/>
    <w:basedOn w:val="204"/>
    <w:next w:val="13"/>
    <w:link w:val="207"/>
    <w:qFormat/>
    <w:uiPriority w:val="0"/>
    <w:pPr>
      <w:jc w:val="center"/>
    </w:pPr>
    <w:rPr>
      <w:i w:val="0"/>
      <w:color w:val="000000"/>
      <w:sz w:val="28"/>
      <w:szCs w:val="21"/>
    </w:rPr>
  </w:style>
  <w:style w:type="character" w:customStyle="1" w:styleId="207">
    <w:name w:val="正文大标题 Char"/>
    <w:link w:val="206"/>
    <w:qFormat/>
    <w:uiPriority w:val="0"/>
    <w:rPr>
      <w:rFonts w:ascii="宋体" w:hAnsi="宋体"/>
      <w:b/>
      <w:color w:val="000000"/>
      <w:kern w:val="2"/>
      <w:sz w:val="28"/>
      <w:szCs w:val="21"/>
    </w:rPr>
  </w:style>
  <w:style w:type="paragraph" w:customStyle="1" w:styleId="208">
    <w:name w:val="注释"/>
    <w:basedOn w:val="1"/>
    <w:link w:val="209"/>
    <w:qFormat/>
    <w:uiPriority w:val="0"/>
    <w:pPr>
      <w:adjustRightInd w:val="0"/>
      <w:snapToGrid w:val="0"/>
      <w:ind w:left="420" w:hanging="420" w:hangingChars="200"/>
      <w:jc w:val="left"/>
    </w:pPr>
    <w:rPr>
      <w:rFonts w:ascii="宋体" w:hAnsi="宋体"/>
      <w:szCs w:val="21"/>
    </w:rPr>
  </w:style>
  <w:style w:type="character" w:customStyle="1" w:styleId="209">
    <w:name w:val="注释 Char"/>
    <w:link w:val="208"/>
    <w:qFormat/>
    <w:uiPriority w:val="0"/>
    <w:rPr>
      <w:rFonts w:ascii="宋体" w:hAnsi="宋体"/>
      <w:kern w:val="2"/>
      <w:sz w:val="21"/>
      <w:szCs w:val="21"/>
    </w:rPr>
  </w:style>
  <w:style w:type="paragraph" w:customStyle="1" w:styleId="210">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211">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212">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213">
    <w:name w:val="纯文本 字符"/>
    <w:qFormat/>
    <w:uiPriority w:val="99"/>
    <w:rPr>
      <w:rFonts w:ascii="宋体" w:hAnsi="Courier New" w:eastAsia="宋体" w:cs="Times New Roman"/>
      <w:kern w:val="2"/>
      <w:sz w:val="21"/>
      <w:szCs w:val="21"/>
      <w:lang w:val="en-US" w:eastAsia="zh-CN" w:bidi="ar-SA"/>
    </w:rPr>
  </w:style>
  <w:style w:type="paragraph" w:customStyle="1" w:styleId="214">
    <w:name w:val="表格1"/>
    <w:basedOn w:val="1"/>
    <w:qFormat/>
    <w:uiPriority w:val="0"/>
    <w:pPr>
      <w:ind w:firstLine="480" w:firstLineChars="200"/>
      <w:jc w:val="center"/>
    </w:pPr>
    <w:rPr>
      <w:sz w:val="24"/>
      <w:szCs w:val="20"/>
    </w:rPr>
  </w:style>
  <w:style w:type="character" w:customStyle="1" w:styleId="215">
    <w:name w:val="纯文本 字符1"/>
    <w:qFormat/>
    <w:uiPriority w:val="0"/>
    <w:rPr>
      <w:rFonts w:ascii="宋体" w:hAnsi="Courier New"/>
    </w:rPr>
  </w:style>
  <w:style w:type="character" w:customStyle="1" w:styleId="216">
    <w:name w:val="bjh-p"/>
    <w:qFormat/>
    <w:uiPriority w:val="0"/>
  </w:style>
  <w:style w:type="paragraph" w:customStyle="1" w:styleId="217">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18">
    <w:name w:val="正文格式 Char"/>
    <w:link w:val="219"/>
    <w:qFormat/>
    <w:locked/>
    <w:uiPriority w:val="0"/>
    <w:rPr>
      <w:rFonts w:ascii="宋体" w:hAnsi="宋体"/>
      <w:sz w:val="24"/>
      <w:szCs w:val="24"/>
      <w:lang w:val="en-GB"/>
    </w:rPr>
  </w:style>
  <w:style w:type="paragraph" w:customStyle="1" w:styleId="219">
    <w:name w:val="正文格式"/>
    <w:basedOn w:val="1"/>
    <w:link w:val="218"/>
    <w:qFormat/>
    <w:uiPriority w:val="0"/>
    <w:pPr>
      <w:spacing w:beforeLines="50" w:line="360" w:lineRule="auto"/>
      <w:ind w:firstLine="480" w:firstLineChars="200"/>
    </w:pPr>
    <w:rPr>
      <w:rFonts w:ascii="宋体" w:hAnsi="宋体"/>
      <w:kern w:val="0"/>
      <w:sz w:val="24"/>
      <w:lang w:val="en-GB"/>
    </w:rPr>
  </w:style>
  <w:style w:type="character" w:customStyle="1" w:styleId="220">
    <w:name w:val="正文缩进 Char"/>
    <w:qFormat/>
    <w:uiPriority w:val="0"/>
    <w:rPr>
      <w:rFonts w:ascii="宋体" w:eastAsia="宋体"/>
      <w:kern w:val="2"/>
      <w:sz w:val="24"/>
      <w:szCs w:val="24"/>
      <w:lang w:val="en-US" w:eastAsia="zh-CN" w:bidi="ar-SA"/>
    </w:rPr>
  </w:style>
  <w:style w:type="character" w:customStyle="1" w:styleId="221">
    <w:name w:val="Char Char111"/>
    <w:qFormat/>
    <w:uiPriority w:val="0"/>
    <w:rPr>
      <w:rFonts w:ascii="宋体" w:eastAsia="宋体"/>
      <w:b/>
      <w:sz w:val="24"/>
      <w:u w:val="single"/>
      <w:lang w:val="en-US" w:eastAsia="zh-CN" w:bidi="ar-SA"/>
    </w:rPr>
  </w:style>
  <w:style w:type="character" w:customStyle="1" w:styleId="222">
    <w:name w:val="正文文本缩进 Char"/>
    <w:qFormat/>
    <w:uiPriority w:val="0"/>
    <w:rPr>
      <w:rFonts w:eastAsia="宋体"/>
      <w:kern w:val="2"/>
      <w:sz w:val="24"/>
      <w:szCs w:val="24"/>
      <w:lang w:val="en-US" w:eastAsia="zh-CN" w:bidi="ar-SA"/>
    </w:rPr>
  </w:style>
  <w:style w:type="character" w:customStyle="1" w:styleId="223">
    <w:name w:val="列出段落 Char"/>
    <w:qFormat/>
    <w:uiPriority w:val="0"/>
    <w:rPr>
      <w:rFonts w:ascii="Calibri" w:hAnsi="Calibri" w:eastAsia="宋体"/>
      <w:kern w:val="2"/>
      <w:sz w:val="21"/>
      <w:szCs w:val="22"/>
      <w:lang w:val="en-US" w:eastAsia="zh-CN" w:bidi="ar-SA"/>
    </w:rPr>
  </w:style>
  <w:style w:type="character" w:customStyle="1" w:styleId="224">
    <w:name w:val="页眉 Char"/>
    <w:qFormat/>
    <w:uiPriority w:val="0"/>
    <w:rPr>
      <w:rFonts w:eastAsia="宋体"/>
      <w:kern w:val="2"/>
      <w:sz w:val="18"/>
      <w:szCs w:val="18"/>
      <w:lang w:val="en-US" w:eastAsia="zh-CN" w:bidi="ar-SA"/>
    </w:rPr>
  </w:style>
  <w:style w:type="character" w:customStyle="1" w:styleId="225">
    <w:name w:val="标题 2 Char"/>
    <w:qFormat/>
    <w:uiPriority w:val="0"/>
    <w:rPr>
      <w:rFonts w:ascii="Arial" w:hAnsi="Arial" w:eastAsia="黑体"/>
      <w:b/>
      <w:sz w:val="30"/>
      <w:lang w:val="en-US" w:eastAsia="zh-CN" w:bidi="ar-SA"/>
    </w:rPr>
  </w:style>
  <w:style w:type="paragraph" w:customStyle="1" w:styleId="226">
    <w:name w:val="字元 字元2"/>
    <w:basedOn w:val="1"/>
    <w:qFormat/>
    <w:uiPriority w:val="0"/>
    <w:rPr>
      <w:rFonts w:ascii="Tahoma" w:hAnsi="Tahoma"/>
      <w:sz w:val="24"/>
      <w:szCs w:val="20"/>
    </w:rPr>
  </w:style>
  <w:style w:type="paragraph" w:customStyle="1" w:styleId="227">
    <w:name w:val="Char3 Char Char Char2"/>
    <w:basedOn w:val="1"/>
    <w:qFormat/>
    <w:uiPriority w:val="0"/>
    <w:rPr>
      <w:rFonts w:ascii="Tahoma" w:hAnsi="Tahoma"/>
      <w:sz w:val="24"/>
      <w:szCs w:val="20"/>
    </w:rPr>
  </w:style>
  <w:style w:type="paragraph" w:customStyle="1" w:styleId="228">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29">
    <w:name w:val="Char3"/>
    <w:basedOn w:val="1"/>
    <w:qFormat/>
    <w:uiPriority w:val="0"/>
    <w:pPr>
      <w:tabs>
        <w:tab w:val="left" w:pos="360"/>
      </w:tabs>
    </w:pPr>
    <w:rPr>
      <w:sz w:val="24"/>
    </w:rPr>
  </w:style>
  <w:style w:type="paragraph" w:customStyle="1" w:styleId="230">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31">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2">
    <w:name w:val="列出段落2"/>
    <w:basedOn w:val="1"/>
    <w:qFormat/>
    <w:uiPriority w:val="0"/>
    <w:pPr>
      <w:ind w:firstLine="420" w:firstLineChars="200"/>
    </w:pPr>
    <w:rPr>
      <w:rFonts w:ascii="Calibri" w:hAnsi="Calibri"/>
      <w:szCs w:val="22"/>
    </w:rPr>
  </w:style>
  <w:style w:type="paragraph" w:customStyle="1" w:styleId="233">
    <w:name w:val="Char Char Char1 Char2"/>
    <w:basedOn w:val="1"/>
    <w:qFormat/>
    <w:uiPriority w:val="0"/>
    <w:rPr>
      <w:rFonts w:ascii="Tahoma" w:hAnsi="Tahoma"/>
      <w:sz w:val="24"/>
      <w:szCs w:val="20"/>
    </w:rPr>
  </w:style>
  <w:style w:type="paragraph" w:customStyle="1" w:styleId="234">
    <w:name w:val="Char Char Char2"/>
    <w:basedOn w:val="1"/>
    <w:qFormat/>
    <w:uiPriority w:val="0"/>
    <w:rPr>
      <w:rFonts w:ascii="Tahoma" w:hAnsi="Tahoma"/>
      <w:sz w:val="24"/>
      <w:szCs w:val="20"/>
    </w:rPr>
  </w:style>
  <w:style w:type="paragraph" w:customStyle="1" w:styleId="235">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36">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37">
    <w:name w:val="Revision"/>
    <w:qFormat/>
    <w:uiPriority w:val="0"/>
    <w:rPr>
      <w:rFonts w:ascii="Times New Roman" w:hAnsi="Times New Roman" w:eastAsia="宋体" w:cs="Times New Roman"/>
      <w:kern w:val="2"/>
      <w:sz w:val="21"/>
      <w:szCs w:val="24"/>
      <w:lang w:val="en-US" w:eastAsia="zh-CN" w:bidi="ar-SA"/>
    </w:rPr>
  </w:style>
  <w:style w:type="paragraph" w:customStyle="1" w:styleId="238">
    <w:name w:val="Char22"/>
    <w:basedOn w:val="1"/>
    <w:qFormat/>
    <w:uiPriority w:val="0"/>
    <w:rPr>
      <w:rFonts w:ascii="Tahoma" w:hAnsi="Tahoma"/>
      <w:sz w:val="24"/>
      <w:szCs w:val="20"/>
    </w:rPr>
  </w:style>
  <w:style w:type="paragraph" w:customStyle="1" w:styleId="239">
    <w:name w:val="Char Char Char Char Char Char Char Char Char Char2"/>
    <w:basedOn w:val="1"/>
    <w:qFormat/>
    <w:uiPriority w:val="0"/>
    <w:rPr>
      <w:rFonts w:ascii="宋体" w:hAnsi="宋体" w:cs="Courier New"/>
      <w:sz w:val="32"/>
      <w:szCs w:val="32"/>
    </w:rPr>
  </w:style>
  <w:style w:type="paragraph" w:customStyle="1" w:styleId="240">
    <w:name w:val="Char2 Char Char Char Char Char Char1"/>
    <w:basedOn w:val="1"/>
    <w:qFormat/>
    <w:uiPriority w:val="0"/>
    <w:pPr>
      <w:widowControl/>
      <w:spacing w:line="400" w:lineRule="exact"/>
      <w:jc w:val="center"/>
    </w:pPr>
  </w:style>
  <w:style w:type="character" w:customStyle="1" w:styleId="241">
    <w:name w:val="页脚 Char"/>
    <w:qFormat/>
    <w:uiPriority w:val="0"/>
    <w:rPr>
      <w:rFonts w:ascii="宋体" w:eastAsia="宋体"/>
      <w:sz w:val="18"/>
      <w:lang w:val="en-US" w:eastAsia="zh-CN" w:bidi="ar-SA"/>
    </w:rPr>
  </w:style>
  <w:style w:type="paragraph" w:customStyle="1" w:styleId="242">
    <w:name w:val="Char Char41"/>
    <w:basedOn w:val="1"/>
    <w:qFormat/>
    <w:uiPriority w:val="0"/>
    <w:pPr>
      <w:widowControl/>
      <w:spacing w:line="400" w:lineRule="exact"/>
      <w:jc w:val="center"/>
    </w:pPr>
  </w:style>
  <w:style w:type="character" w:customStyle="1" w:styleId="243">
    <w:name w:val="批注文字 Char"/>
    <w:qFormat/>
    <w:uiPriority w:val="99"/>
    <w:rPr>
      <w:kern w:val="2"/>
      <w:sz w:val="21"/>
      <w:szCs w:val="24"/>
    </w:rPr>
  </w:style>
  <w:style w:type="character" w:customStyle="1" w:styleId="244">
    <w:name w:val="标题 Char"/>
    <w:qFormat/>
    <w:uiPriority w:val="0"/>
    <w:rPr>
      <w:b/>
      <w:kern w:val="2"/>
      <w:sz w:val="32"/>
    </w:rPr>
  </w:style>
  <w:style w:type="paragraph" w:customStyle="1" w:styleId="245">
    <w:name w:val="图例"/>
    <w:basedOn w:val="1"/>
    <w:qFormat/>
    <w:uiPriority w:val="0"/>
    <w:pPr>
      <w:spacing w:before="120" w:after="120" w:line="360" w:lineRule="auto"/>
      <w:jc w:val="center"/>
    </w:pPr>
    <w:rPr>
      <w:rFonts w:eastAsia="仿宋_GB2312"/>
      <w:b/>
      <w:sz w:val="24"/>
      <w:szCs w:val="20"/>
    </w:rPr>
  </w:style>
  <w:style w:type="paragraph" w:customStyle="1" w:styleId="246">
    <w:name w:val="Table Paragraph"/>
    <w:basedOn w:val="1"/>
    <w:qFormat/>
    <w:uiPriority w:val="1"/>
    <w:pPr>
      <w:autoSpaceDE w:val="0"/>
      <w:autoSpaceDN w:val="0"/>
      <w:jc w:val="left"/>
    </w:pPr>
    <w:rPr>
      <w:rFonts w:ascii="宋体" w:hAnsi="宋体" w:cs="宋体"/>
      <w:kern w:val="0"/>
      <w:sz w:val="22"/>
      <w:szCs w:val="22"/>
      <w:lang w:eastAsia="en-US"/>
    </w:rPr>
  </w:style>
  <w:style w:type="table" w:customStyle="1" w:styleId="247">
    <w:name w:val="Table Normal_0"/>
    <w:semiHidden/>
    <w:qFormat/>
    <w:uiPriority w:val="2"/>
    <w:pPr>
      <w:widowControl w:val="0"/>
      <w:autoSpaceDE w:val="0"/>
      <w:autoSpaceDN w:val="0"/>
    </w:pPr>
    <w:rPr>
      <w:rFonts w:ascii="Calibri" w:hAnsi="Calibri" w:eastAsia="宋体" w:cs="Times New Roman"/>
      <w:sz w:val="22"/>
      <w:szCs w:val="22"/>
      <w:lang w:eastAsia="en-US"/>
    </w:rPr>
    <w:tblPr>
      <w:tblCellMar>
        <w:top w:w="0" w:type="dxa"/>
        <w:left w:w="0" w:type="dxa"/>
        <w:bottom w:w="0" w:type="dxa"/>
        <w:right w:w="0" w:type="dxa"/>
      </w:tblCellMar>
    </w:tblPr>
  </w:style>
  <w:style w:type="paragraph" w:customStyle="1" w:styleId="248">
    <w:name w:val="Table Text"/>
    <w:basedOn w:val="1"/>
    <w:semiHidden/>
    <w:qFormat/>
    <w:uiPriority w:val="0"/>
    <w:rPr>
      <w:rFonts w:ascii="Arial" w:hAnsi="Arial" w:eastAsia="Arial" w:cs="Arial"/>
      <w:sz w:val="21"/>
      <w:szCs w:val="21"/>
      <w:lang w:val="en-US" w:eastAsia="en-US" w:bidi="ar-SA"/>
    </w:rPr>
  </w:style>
  <w:style w:type="table" w:customStyle="1" w:styleId="249">
    <w:name w:val="Table Grid_6"/>
    <w:basedOn w:val="42"/>
    <w:qFormat/>
    <w:uiPriority w:val="59"/>
    <w:rPr>
      <w:rFonts w:ascii="等线" w:hAnsi="等线" w:eastAsia="Times New Roman"/>
      <w:kern w:val="2"/>
      <w:sz w:val="21"/>
      <w:szCs w:val="22"/>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50">
    <w:name w:val="样式 标题 2 + Times New Roman 四号 非加粗 段前: 5 磅 段后: 0 磅 行距: 固定值 20..."/>
    <w:basedOn w:val="4"/>
    <w:qFormat/>
    <w:uiPriority w:val="0"/>
    <w:pPr>
      <w:spacing w:before="100" w:line="400" w:lineRule="exact"/>
    </w:pPr>
    <w:rPr>
      <w:rFonts w:ascii="Times New Roman" w:hAnsi="Times New Roman" w:cs="宋体"/>
      <w:b w:val="0"/>
      <w:sz w:val="28"/>
    </w:rPr>
  </w:style>
  <w:style w:type="paragraph" w:customStyle="1" w:styleId="251">
    <w:name w:val="样式 标题 3 + (中文) 黑体 小四 非加粗 段前: 7.8 磅 段后: 0 磅 行距: 固定值 20 磅"/>
    <w:basedOn w:val="5"/>
    <w:qFormat/>
    <w:uiPriority w:val="0"/>
    <w:pPr>
      <w:spacing w:beforeLines="50" w:afterLines="50" w:line="360" w:lineRule="auto"/>
      <w:jc w:val="both"/>
    </w:pPr>
    <w:rPr>
      <w:b w:val="0"/>
    </w:rPr>
  </w:style>
  <w:style w:type="character" w:customStyle="1" w:styleId="252">
    <w:name w:val="样式 粉红"/>
    <w:qFormat/>
    <w:uiPriority w:val="0"/>
    <w:rPr>
      <w:color w:val="auto"/>
      <w:u w:val="none"/>
    </w:rPr>
  </w:style>
  <w:style w:type="paragraph" w:customStyle="1" w:styleId="253">
    <w:name w:val="Normal_0"/>
    <w:qFormat/>
    <w:uiPriority w:val="99"/>
    <w:pPr>
      <w:spacing w:before="120" w:after="240"/>
      <w:jc w:val="both"/>
    </w:pPr>
    <w:rPr>
      <w:rFonts w:ascii="Times New Roman" w:hAnsi="Times New Roman" w:eastAsia="宋体" w:cs="Times New Roman"/>
      <w:sz w:val="22"/>
      <w:szCs w:val="22"/>
      <w:lang w:val="ru-RU" w:eastAsia="en-US" w:bidi="ar-SA"/>
    </w:rPr>
  </w:style>
  <w:style w:type="paragraph" w:customStyle="1" w:styleId="254">
    <w:name w:val="Blockquote"/>
    <w:basedOn w:val="1"/>
    <w:qFormat/>
    <w:uiPriority w:val="0"/>
    <w:pPr>
      <w:autoSpaceDE w:val="0"/>
      <w:autoSpaceDN w:val="0"/>
      <w:adjustRightInd w:val="0"/>
      <w:spacing w:before="100" w:after="100" w:line="240" w:lineRule="auto"/>
      <w:ind w:left="360" w:right="360"/>
      <w:jc w:val="left"/>
    </w:pPr>
    <w:rPr>
      <w:rFonts w:ascii="Calibri" w:hAnsi="Calibri" w:eastAsia="宋体" w:cs="Times New Roman"/>
      <w:kern w:val="0"/>
      <w:sz w:val="24"/>
      <w:szCs w:val="20"/>
    </w:rPr>
  </w:style>
  <w:style w:type="table" w:customStyle="1" w:styleId="255">
    <w:name w:val="Table Grid_0"/>
    <w:basedOn w:val="42"/>
    <w:qFormat/>
    <w:uiPriority w:val="59"/>
    <w:rPr>
      <w:rFonts w:ascii="等线" w:hAnsi="等线" w:eastAsia="Times New Roman"/>
      <w:kern w:val="2"/>
      <w:sz w:val="21"/>
      <w:szCs w:val="22"/>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6">
    <w:name w:val="Table Grid_1"/>
    <w:basedOn w:val="42"/>
    <w:qFormat/>
    <w:uiPriority w:val="59"/>
    <w:rPr>
      <w:rFonts w:ascii="等线" w:hAnsi="等线" w:eastAsia="Times New Roman"/>
      <w:kern w:val="2"/>
      <w:sz w:val="21"/>
      <w:szCs w:val="22"/>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7">
    <w:name w:val="Table Grid_2"/>
    <w:basedOn w:val="42"/>
    <w:qFormat/>
    <w:uiPriority w:val="59"/>
    <w:rPr>
      <w:rFonts w:ascii="等线" w:hAnsi="等线" w:eastAsia="Times New Roman"/>
      <w:kern w:val="2"/>
      <w:sz w:val="21"/>
      <w:szCs w:val="22"/>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8">
    <w:name w:val="Table Grid_3"/>
    <w:basedOn w:val="42"/>
    <w:uiPriority w:val="59"/>
    <w:rPr>
      <w:rFonts w:ascii="等线" w:hAnsi="等线" w:eastAsia="Times New Roman"/>
      <w:kern w:val="2"/>
      <w:sz w:val="21"/>
      <w:szCs w:val="22"/>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9">
    <w:name w:val="Table Grid_4"/>
    <w:basedOn w:val="42"/>
    <w:qFormat/>
    <w:uiPriority w:val="59"/>
    <w:rPr>
      <w:rFonts w:ascii="等线" w:hAnsi="等线" w:eastAsia="Times New Roman"/>
      <w:kern w:val="2"/>
      <w:sz w:val="21"/>
      <w:szCs w:val="22"/>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0">
    <w:name w:val="Table Grid_5"/>
    <w:basedOn w:val="42"/>
    <w:uiPriority w:val="59"/>
    <w:rPr>
      <w:rFonts w:ascii="等线" w:hAnsi="等线" w:eastAsia="Times New Roman"/>
      <w:kern w:val="2"/>
      <w:sz w:val="21"/>
      <w:szCs w:val="22"/>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1" Type="http://schemas.openxmlformats.org/officeDocument/2006/relationships/fontTable" Target="fontTable.xml"/><Relationship Id="rId30" Type="http://schemas.openxmlformats.org/officeDocument/2006/relationships/numbering" Target="numbering.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theme" Target="theme/theme1.xml"/><Relationship Id="rId27" Type="http://schemas.openxmlformats.org/officeDocument/2006/relationships/footer" Target="footer13.xml"/><Relationship Id="rId26" Type="http://schemas.openxmlformats.org/officeDocument/2006/relationships/footer" Target="footer12.xml"/><Relationship Id="rId25" Type="http://schemas.openxmlformats.org/officeDocument/2006/relationships/header" Target="header12.xml"/><Relationship Id="rId24" Type="http://schemas.openxmlformats.org/officeDocument/2006/relationships/header" Target="header11.xml"/><Relationship Id="rId23" Type="http://schemas.openxmlformats.org/officeDocument/2006/relationships/footer" Target="footer11.xml"/><Relationship Id="rId22" Type="http://schemas.openxmlformats.org/officeDocument/2006/relationships/footer" Target="footer10.xml"/><Relationship Id="rId21" Type="http://schemas.openxmlformats.org/officeDocument/2006/relationships/header" Target="head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8.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122</Pages>
  <Words>17828</Words>
  <Characters>18589</Characters>
  <Lines>202</Lines>
  <Paragraphs>57</Paragraphs>
  <TotalTime>56</TotalTime>
  <ScaleCrop>false</ScaleCrop>
  <LinksUpToDate>false</LinksUpToDate>
  <CharactersWithSpaces>18855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2022-03-28T10:53:00Z</dcterms:created>
  <dc:creator>Yin Hao</dc:creator>
  <cp:lastModifiedBy>寒寒</cp:lastModifiedBy>
  <cp:lastPrinted>2020-04-02T03:13:00Z</cp:lastPrinted>
  <dcterms:modified xsi:type="dcterms:W3CDTF">2026-10-10T02:52:55Z</dcterms:modified>
  <dc:title>02年杜范本稿</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39DE2599B2C34A8188F8493A608E9A1B_13</vt:lpwstr>
  </property>
  <property fmtid="{D5CDD505-2E9C-101B-9397-08002B2CF9AE}" pid="3" name="KSOProductBuildVer">
    <vt:lpwstr>2052-12.1.0.28505</vt:lpwstr>
  </property>
  <property fmtid="{D5CDD505-2E9C-101B-9397-08002B2CF9AE}" pid="4" name="KSOTemplateDocerSaveRecord">
    <vt:lpwstr>eyJoZGlkIjoiMjhmYjJjNDk5Mzc4OTMwZGFiZmNlYzgyNjdhMGUyNzUiLCJ1c2VySWQiOiIzNTQzNzQyNzAifQ==</vt:lpwstr>
  </property>
</Properties>
</file>