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AE69242">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A4E3387">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F3E9438">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北京市政府采购项目</w:t>
      </w:r>
    </w:p>
    <w:p w14:paraId="0B7F49B4">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公开招标文件示范文本</w:t>
      </w:r>
    </w:p>
    <w:p w14:paraId="3746D2D0">
      <w:pPr>
        <w:pageBreakBefore w:val="0"/>
        <w:wordWrap/>
        <w:topLinePunct w:val="0"/>
        <w:bidi w:val="0"/>
        <w:spacing w:line="360" w:lineRule="auto"/>
        <w:jc w:val="center"/>
        <w:rPr>
          <w:rFonts w:hint="eastAsia" w:ascii="宋体" w:hAnsi="宋体" w:eastAsia="宋体" w:cs="宋体"/>
          <w:b/>
          <w:bCs/>
          <w:i w:val="0"/>
          <w:iCs w:val="0"/>
          <w:color w:val="auto"/>
          <w:spacing w:val="0"/>
          <w:position w:val="0"/>
          <w:sz w:val="60"/>
          <w:szCs w:val="60"/>
          <w:highlight w:val="none"/>
        </w:rPr>
      </w:pPr>
      <w:r>
        <w:rPr>
          <w:rFonts w:hint="eastAsia" w:ascii="宋体" w:hAnsi="宋体" w:eastAsia="宋体" w:cs="宋体"/>
          <w:b/>
          <w:bCs/>
          <w:i w:val="0"/>
          <w:iCs w:val="0"/>
          <w:color w:val="auto"/>
          <w:spacing w:val="0"/>
          <w:position w:val="0"/>
          <w:sz w:val="60"/>
          <w:szCs w:val="60"/>
          <w:highlight w:val="none"/>
        </w:rPr>
        <w:t>（2026年版）</w:t>
      </w:r>
    </w:p>
    <w:p w14:paraId="1843529D">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68F4E2CD">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0724C806">
      <w:pPr>
        <w:pageBreakBefore w:val="0"/>
        <w:wordWrap/>
        <w:topLinePunct w:val="0"/>
        <w:bidi w:val="0"/>
        <w:spacing w:line="360" w:lineRule="auto"/>
        <w:rPr>
          <w:rFonts w:hint="eastAsia" w:ascii="宋体" w:hAnsi="宋体" w:eastAsia="宋体" w:cs="宋体"/>
          <w:i w:val="0"/>
          <w:iCs w:val="0"/>
          <w:color w:val="auto"/>
          <w:spacing w:val="0"/>
          <w:position w:val="0"/>
          <w:sz w:val="32"/>
          <w:szCs w:val="32"/>
          <w:highlight w:val="none"/>
        </w:rPr>
      </w:pPr>
    </w:p>
    <w:p w14:paraId="174B5FDD">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lang w:eastAsia="zh-CN"/>
        </w:rPr>
      </w:pPr>
      <w:r>
        <w:rPr>
          <w:rFonts w:hint="eastAsia" w:ascii="宋体" w:hAnsi="宋体" w:eastAsia="宋体" w:cs="宋体"/>
          <w:bCs/>
          <w:i w:val="0"/>
          <w:iCs w:val="0"/>
          <w:color w:val="auto"/>
          <w:spacing w:val="0"/>
          <w:position w:val="0"/>
          <w:sz w:val="36"/>
          <w:szCs w:val="36"/>
          <w:highlight w:val="none"/>
        </w:rPr>
        <w:t>项目名称：</w:t>
      </w:r>
      <w:r>
        <w:rPr>
          <w:rFonts w:hint="eastAsia" w:ascii="宋体" w:hAnsi="宋体" w:cs="宋体"/>
          <w:bCs/>
          <w:i w:val="0"/>
          <w:iCs w:val="0"/>
          <w:color w:val="auto"/>
          <w:spacing w:val="0"/>
          <w:position w:val="0"/>
          <w:sz w:val="36"/>
          <w:szCs w:val="36"/>
          <w:highlight w:val="none"/>
          <w:lang w:eastAsia="zh-CN"/>
        </w:rPr>
        <w:t>通州区重点区域大气精细化治理项目</w:t>
      </w:r>
    </w:p>
    <w:p w14:paraId="506D7C55">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rPr>
      </w:pPr>
      <w:r>
        <w:rPr>
          <w:rFonts w:hint="eastAsia" w:ascii="宋体" w:hAnsi="宋体" w:eastAsia="宋体" w:cs="宋体"/>
          <w:bCs/>
          <w:i w:val="0"/>
          <w:iCs w:val="0"/>
          <w:color w:val="auto"/>
          <w:spacing w:val="0"/>
          <w:position w:val="0"/>
          <w:sz w:val="36"/>
          <w:szCs w:val="36"/>
          <w:highlight w:val="none"/>
        </w:rPr>
        <w:t>项目编号：11011226210200022309-XM001</w:t>
      </w:r>
    </w:p>
    <w:p w14:paraId="132BA6AD">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Cs/>
          <w:i w:val="0"/>
          <w:iCs w:val="0"/>
          <w:color w:val="auto"/>
          <w:spacing w:val="0"/>
          <w:position w:val="0"/>
          <w:sz w:val="36"/>
          <w:szCs w:val="36"/>
          <w:highlight w:val="none"/>
          <w:lang w:eastAsia="zh-CN"/>
        </w:rPr>
      </w:pPr>
      <w:r>
        <w:rPr>
          <w:rFonts w:hint="eastAsia" w:ascii="宋体" w:hAnsi="宋体" w:eastAsia="宋体" w:cs="宋体"/>
          <w:bCs/>
          <w:i w:val="0"/>
          <w:iCs w:val="0"/>
          <w:color w:val="auto"/>
          <w:spacing w:val="0"/>
          <w:position w:val="0"/>
          <w:sz w:val="36"/>
          <w:szCs w:val="36"/>
          <w:highlight w:val="none"/>
        </w:rPr>
        <w:t>采 购 人：</w:t>
      </w:r>
      <w:r>
        <w:rPr>
          <w:rFonts w:hint="eastAsia" w:ascii="宋体" w:hAnsi="宋体" w:cs="宋体"/>
          <w:bCs/>
          <w:i w:val="0"/>
          <w:iCs w:val="0"/>
          <w:color w:val="auto"/>
          <w:spacing w:val="0"/>
          <w:position w:val="0"/>
          <w:sz w:val="36"/>
          <w:szCs w:val="36"/>
          <w:highlight w:val="none"/>
          <w:lang w:eastAsia="zh-CN"/>
        </w:rPr>
        <w:t>北京市通州区生态环境局</w:t>
      </w:r>
    </w:p>
    <w:p w14:paraId="746582E2">
      <w:pPr>
        <w:keepNext w:val="0"/>
        <w:keepLines w:val="0"/>
        <w:pageBreakBefore w:val="0"/>
        <w:widowControl w:val="0"/>
        <w:tabs>
          <w:tab w:val="left" w:pos="3240"/>
          <w:tab w:val="left" w:pos="3420"/>
        </w:tabs>
        <w:kinsoku/>
        <w:wordWrap/>
        <w:overflowPunct/>
        <w:topLinePunct w:val="0"/>
        <w:autoSpaceDE/>
        <w:autoSpaceDN/>
        <w:bidi w:val="0"/>
        <w:adjustRightInd/>
        <w:snapToGrid/>
        <w:spacing w:line="360" w:lineRule="auto"/>
        <w:ind w:left="2530" w:leftChars="300" w:hanging="1900" w:hangingChars="528"/>
        <w:jc w:val="left"/>
        <w:textAlignment w:val="auto"/>
        <w:rPr>
          <w:rFonts w:hint="eastAsia" w:ascii="宋体" w:hAnsi="宋体" w:eastAsia="宋体" w:cs="宋体"/>
          <w:b/>
          <w:bCs/>
          <w:i w:val="0"/>
          <w:iCs w:val="0"/>
          <w:color w:val="auto"/>
          <w:spacing w:val="0"/>
          <w:position w:val="0"/>
          <w:sz w:val="44"/>
          <w:highlight w:val="none"/>
          <w:lang w:eastAsia="zh-CN"/>
        </w:rPr>
      </w:pPr>
      <w:r>
        <w:rPr>
          <w:rFonts w:hint="eastAsia" w:ascii="宋体" w:hAnsi="宋体" w:eastAsia="宋体" w:cs="宋体"/>
          <w:bCs/>
          <w:i w:val="0"/>
          <w:iCs w:val="0"/>
          <w:color w:val="auto"/>
          <w:spacing w:val="0"/>
          <w:position w:val="0"/>
          <w:sz w:val="36"/>
          <w:szCs w:val="36"/>
          <w:highlight w:val="none"/>
        </w:rPr>
        <w:t>采购代理机构：</w:t>
      </w:r>
      <w:r>
        <w:rPr>
          <w:rFonts w:hint="eastAsia" w:ascii="宋体" w:hAnsi="宋体" w:eastAsia="宋体" w:cs="宋体"/>
          <w:bCs/>
          <w:i w:val="0"/>
          <w:iCs w:val="0"/>
          <w:color w:val="auto"/>
          <w:spacing w:val="0"/>
          <w:position w:val="0"/>
          <w:sz w:val="36"/>
          <w:szCs w:val="36"/>
          <w:highlight w:val="none"/>
          <w:lang w:eastAsia="zh-CN"/>
        </w:rPr>
        <w:t>中归咨询管理（北京）有限公司</w:t>
      </w:r>
    </w:p>
    <w:p w14:paraId="382BAECF">
      <w:pPr>
        <w:pageBreakBefore w:val="0"/>
        <w:widowControl/>
        <w:wordWrap/>
        <w:topLinePunct w:val="0"/>
        <w:bidi w:val="0"/>
        <w:spacing w:line="360" w:lineRule="auto"/>
        <w:jc w:val="left"/>
        <w:rPr>
          <w:rFonts w:hint="eastAsia" w:ascii="宋体" w:hAnsi="宋体" w:eastAsia="宋体" w:cs="宋体"/>
          <w:b/>
          <w:bCs/>
          <w:i w:val="0"/>
          <w:iCs w:val="0"/>
          <w:color w:val="auto"/>
          <w:spacing w:val="0"/>
          <w:position w:val="0"/>
          <w:sz w:val="44"/>
          <w:highlight w:val="none"/>
        </w:rPr>
      </w:pPr>
    </w:p>
    <w:p w14:paraId="5CC68394">
      <w:pPr>
        <w:pageBreakBefore w:val="0"/>
        <w:widowControl/>
        <w:wordWrap/>
        <w:topLinePunct w:val="0"/>
        <w:bidi w:val="0"/>
        <w:spacing w:line="360" w:lineRule="auto"/>
        <w:jc w:val="left"/>
        <w:rPr>
          <w:rFonts w:hint="eastAsia" w:ascii="宋体" w:hAnsi="宋体" w:eastAsia="宋体" w:cs="宋体"/>
          <w:b/>
          <w:bCs/>
          <w:i w:val="0"/>
          <w:iCs w:val="0"/>
          <w:color w:val="auto"/>
          <w:spacing w:val="0"/>
          <w:position w:val="0"/>
          <w:sz w:val="44"/>
          <w:highlight w:val="none"/>
        </w:rPr>
        <w:sectPr>
          <w:headerReference r:id="rId4" w:type="first"/>
          <w:footerReference r:id="rId7" w:type="first"/>
          <w:headerReference r:id="rId3" w:type="default"/>
          <w:footerReference r:id="rId5" w:type="default"/>
          <w:footerReference r:id="rId6" w:type="even"/>
          <w:type w:val="nextColumn"/>
          <w:pgSz w:w="11907" w:h="16840"/>
          <w:pgMar w:top="1417" w:right="1417" w:bottom="1417" w:left="1417" w:header="1134" w:footer="1134" w:gutter="0"/>
          <w:pgBorders>
            <w:top w:val="none" w:sz="0" w:space="0"/>
            <w:left w:val="none" w:sz="0" w:space="0"/>
            <w:bottom w:val="none" w:sz="0" w:space="0"/>
            <w:right w:val="none" w:sz="0" w:space="0"/>
          </w:pgBorders>
          <w:pgNumType w:fmt="decimal" w:start="1"/>
          <w:cols w:space="0" w:num="1"/>
          <w:titlePg/>
          <w:rtlGutter w:val="0"/>
          <w:docGrid w:linePitch="462" w:charSpace="0"/>
        </w:sectPr>
      </w:pPr>
    </w:p>
    <w:p w14:paraId="5728C943">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0" w:name="_Toc99301418"/>
      <w:bookmarkStart w:id="1" w:name="_Toc16168"/>
      <w:r>
        <w:rPr>
          <w:rFonts w:hint="eastAsia" w:ascii="宋体" w:hAnsi="宋体" w:eastAsia="宋体" w:cs="宋体"/>
          <w:b/>
          <w:i w:val="0"/>
          <w:iCs w:val="0"/>
          <w:color w:val="auto"/>
          <w:spacing w:val="0"/>
          <w:position w:val="0"/>
          <w:sz w:val="36"/>
          <w:szCs w:val="36"/>
          <w:highlight w:val="none"/>
        </w:rPr>
        <w:t>目   录</w:t>
      </w:r>
      <w:bookmarkEnd w:id="0"/>
      <w:bookmarkEnd w:id="1"/>
    </w:p>
    <w:p w14:paraId="5DD8AD00">
      <w:pPr>
        <w:pStyle w:val="31"/>
        <w:pageBreakBefore w:val="0"/>
        <w:tabs>
          <w:tab w:val="right" w:leader="dot" w:pos="8675"/>
          <w:tab w:val="clear" w:pos="1050"/>
          <w:tab w:val="clear" w:pos="8937"/>
        </w:tabs>
        <w:wordWrap/>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b w:val="0"/>
          <w:i w:val="0"/>
          <w:iCs w:val="0"/>
          <w:color w:val="auto"/>
          <w:spacing w:val="0"/>
          <w:position w:val="0"/>
          <w:highlight w:val="none"/>
        </w:rPr>
        <w:fldChar w:fldCharType="begin"/>
      </w:r>
      <w:r>
        <w:rPr>
          <w:rFonts w:hint="eastAsia" w:ascii="宋体" w:hAnsi="宋体" w:eastAsia="宋体" w:cs="宋体"/>
          <w:b w:val="0"/>
          <w:i w:val="0"/>
          <w:iCs w:val="0"/>
          <w:color w:val="auto"/>
          <w:spacing w:val="0"/>
          <w:position w:val="0"/>
          <w:highlight w:val="none"/>
        </w:rPr>
        <w:instrText xml:space="preserve"> TOC \o "1-1" \h \z \u </w:instrText>
      </w:r>
      <w:r>
        <w:rPr>
          <w:rFonts w:hint="eastAsia" w:ascii="宋体" w:hAnsi="宋体" w:eastAsia="宋体" w:cs="宋体"/>
          <w:b w:val="0"/>
          <w:i w:val="0"/>
          <w:iCs w:val="0"/>
          <w:color w:val="auto"/>
          <w:spacing w:val="0"/>
          <w:position w:val="0"/>
          <w:highlight w:val="none"/>
        </w:rPr>
        <w:fldChar w:fldCharType="separate"/>
      </w:r>
    </w:p>
    <w:p w14:paraId="3D250B84">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_Toc3372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第一章   投标邀请</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_Toc3372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2</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6B50C30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_Toc26061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第二章   投标人须知</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_Toc26061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6</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4FABC4FC">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_Toc1361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第三章   资格审查</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_Toc1361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25</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001FC850">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_Toc5695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第四章   评标程序、评标方法和评标标准</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_Toc5695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31</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4BC1DDF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_Toc4598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第五章   采购需求</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_Toc4598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48</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309B3EC3">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_Toc23678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第六章   拟签订的合同文本</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_Toc23678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88</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6AC769A6">
      <w:pPr>
        <w:pStyle w:val="31"/>
        <w:keepNext w:val="0"/>
        <w:keepLines w:val="0"/>
        <w:pageBreakBefore w:val="0"/>
        <w:widowControl w:val="0"/>
        <w:tabs>
          <w:tab w:val="right" w:leader="dot" w:pos="8675"/>
          <w:tab w:val="clear" w:pos="1050"/>
          <w:tab w:val="clear" w:pos="8937"/>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_Toc10315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szCs w:val="36"/>
          <w:highlight w:val="none"/>
        </w:rPr>
        <w:t>第七章   投标文件格式</w:t>
      </w:r>
      <w:r>
        <w:rPr>
          <w:rFonts w:hint="eastAsia" w:ascii="宋体" w:hAnsi="宋体" w:eastAsia="宋体" w:cs="宋体"/>
          <w:i w:val="0"/>
          <w:iCs w:val="0"/>
          <w:color w:val="auto"/>
          <w:spacing w:val="0"/>
          <w:position w:val="0"/>
          <w:highlight w:val="none"/>
        </w:rPr>
        <w:tab/>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PAGEREF _Toc10315 \h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position w:val="0"/>
          <w:highlight w:val="none"/>
        </w:rPr>
        <w:t>89</w:t>
      </w:r>
      <w:r>
        <w:rPr>
          <w:rFonts w:hint="eastAsia" w:ascii="宋体" w:hAnsi="宋体" w:eastAsia="宋体" w:cs="宋体"/>
          <w:i w:val="0"/>
          <w:iCs w:val="0"/>
          <w:color w:val="auto"/>
          <w:spacing w:val="0"/>
          <w:position w:val="0"/>
          <w:highlight w:val="none"/>
        </w:rPr>
        <w:fldChar w:fldCharType="end"/>
      </w:r>
      <w:r>
        <w:rPr>
          <w:rFonts w:hint="eastAsia" w:ascii="宋体" w:hAnsi="宋体" w:eastAsia="宋体" w:cs="宋体"/>
          <w:i w:val="0"/>
          <w:iCs w:val="0"/>
          <w:color w:val="auto"/>
          <w:spacing w:val="0"/>
          <w:position w:val="0"/>
          <w:highlight w:val="none"/>
        </w:rPr>
        <w:fldChar w:fldCharType="end"/>
      </w:r>
    </w:p>
    <w:p w14:paraId="7F8A89EC">
      <w:pPr>
        <w:pStyle w:val="31"/>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i w:val="0"/>
          <w:iCs w:val="0"/>
          <w:color w:val="auto"/>
          <w:spacing w:val="0"/>
          <w:position w:val="0"/>
          <w:highlight w:val="none"/>
        </w:rPr>
      </w:pPr>
      <w:r>
        <w:rPr>
          <w:rFonts w:hint="eastAsia" w:ascii="宋体" w:hAnsi="宋体" w:eastAsia="宋体" w:cs="宋体"/>
          <w:i w:val="0"/>
          <w:iCs w:val="0"/>
          <w:color w:val="auto"/>
          <w:spacing w:val="0"/>
          <w:position w:val="0"/>
          <w:highlight w:val="none"/>
        </w:rPr>
        <w:fldChar w:fldCharType="end"/>
      </w:r>
    </w:p>
    <w:p w14:paraId="4CBFC833">
      <w:pPr>
        <w:pageBreakBefore w:val="0"/>
        <w:wordWrap/>
        <w:topLinePunct w:val="0"/>
        <w:bidi w:val="0"/>
        <w:spacing w:line="360" w:lineRule="auto"/>
        <w:rPr>
          <w:rFonts w:hint="eastAsia" w:ascii="宋体" w:hAnsi="宋体" w:eastAsia="宋体" w:cs="宋体"/>
          <w:i w:val="0"/>
          <w:iCs w:val="0"/>
          <w:color w:val="auto"/>
          <w:spacing w:val="0"/>
          <w:position w:val="0"/>
          <w:highlight w:val="none"/>
        </w:rPr>
      </w:pPr>
    </w:p>
    <w:p w14:paraId="166770A4">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注：采购文件条款中以 “■”形式标记的内容适用于本项目，以“□”形式标记的内容不适用于本项目。</w:t>
      </w:r>
    </w:p>
    <w:p w14:paraId="53EC384F">
      <w:pPr>
        <w:pStyle w:val="31"/>
        <w:pageBreakBefore w:val="0"/>
        <w:wordWrap/>
        <w:topLinePunct w:val="0"/>
        <w:bidi w:val="0"/>
        <w:spacing w:line="360" w:lineRule="auto"/>
        <w:rPr>
          <w:rFonts w:hint="eastAsia" w:ascii="宋体" w:hAnsi="宋体" w:eastAsia="宋体" w:cs="宋体"/>
          <w:b w:val="0"/>
          <w:i w:val="0"/>
          <w:iCs w:val="0"/>
          <w:color w:val="auto"/>
          <w:spacing w:val="0"/>
          <w:position w:val="0"/>
          <w:highlight w:val="none"/>
        </w:rPr>
      </w:pPr>
    </w:p>
    <w:p w14:paraId="1F8D6C79">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sectPr>
          <w:headerReference r:id="rId9" w:type="first"/>
          <w:footerReference r:id="rId11" w:type="first"/>
          <w:headerReference r:id="rId8" w:type="default"/>
          <w:footerReference r:id="rId10" w:type="default"/>
          <w:pgSz w:w="11907" w:h="16840"/>
          <w:pgMar w:top="1417" w:right="1417" w:bottom="1417" w:left="1417" w:header="1134" w:footer="1134" w:gutter="0"/>
          <w:pgBorders>
            <w:top w:val="none" w:sz="0" w:space="0"/>
            <w:left w:val="none" w:sz="0" w:space="0"/>
            <w:bottom w:val="none" w:sz="0" w:space="0"/>
            <w:right w:val="none" w:sz="0" w:space="0"/>
          </w:pgBorders>
          <w:pgNumType w:fmt="decimal" w:start="1"/>
          <w:cols w:space="0" w:num="1"/>
          <w:titlePg/>
          <w:rtlGutter w:val="0"/>
          <w:docGrid w:linePitch="462" w:charSpace="0"/>
        </w:sectPr>
      </w:pPr>
    </w:p>
    <w:p w14:paraId="410675A6">
      <w:pPr>
        <w:pageBreakBefore w:val="0"/>
        <w:wordWrap/>
        <w:topLinePunct w:val="0"/>
        <w:bidi w:val="0"/>
        <w:spacing w:line="360" w:lineRule="auto"/>
        <w:jc w:val="center"/>
        <w:outlineLvl w:val="0"/>
        <w:rPr>
          <w:rFonts w:hint="eastAsia" w:ascii="宋体" w:hAnsi="宋体" w:eastAsia="宋体" w:cs="宋体"/>
          <w:i w:val="0"/>
          <w:iCs w:val="0"/>
          <w:color w:val="auto"/>
          <w:spacing w:val="0"/>
          <w:position w:val="0"/>
          <w:sz w:val="32"/>
          <w:szCs w:val="32"/>
          <w:highlight w:val="none"/>
        </w:rPr>
      </w:pPr>
      <w:bookmarkStart w:id="2" w:name="_Toc3372"/>
      <w:r>
        <w:rPr>
          <w:rFonts w:hint="eastAsia" w:ascii="宋体" w:hAnsi="宋体" w:eastAsia="宋体" w:cs="宋体"/>
          <w:b/>
          <w:i w:val="0"/>
          <w:iCs w:val="0"/>
          <w:color w:val="auto"/>
          <w:spacing w:val="0"/>
          <w:position w:val="0"/>
          <w:sz w:val="36"/>
          <w:szCs w:val="36"/>
          <w:highlight w:val="none"/>
        </w:rPr>
        <w:t>第一章   投标邀请</w:t>
      </w:r>
      <w:bookmarkEnd w:id="2"/>
    </w:p>
    <w:p w14:paraId="74C8FE91">
      <w:pPr>
        <w:pStyle w:val="4"/>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3" w:name="_Toc35393790"/>
      <w:bookmarkStart w:id="4" w:name="_Toc28359002"/>
      <w:bookmarkStart w:id="5" w:name="_Toc28359079"/>
      <w:bookmarkStart w:id="6" w:name="_Toc35393621"/>
      <w:bookmarkStart w:id="7" w:name="_Hlk24379207"/>
      <w:r>
        <w:rPr>
          <w:rFonts w:hint="eastAsia" w:ascii="宋体" w:hAnsi="宋体" w:eastAsia="宋体" w:cs="宋体"/>
          <w:i w:val="0"/>
          <w:iCs w:val="0"/>
          <w:color w:val="auto"/>
          <w:spacing w:val="0"/>
          <w:position w:val="0"/>
          <w:sz w:val="24"/>
          <w:szCs w:val="24"/>
          <w:highlight w:val="none"/>
        </w:rPr>
        <w:t>一、项目基本情况</w:t>
      </w:r>
      <w:bookmarkEnd w:id="3"/>
      <w:bookmarkEnd w:id="4"/>
      <w:bookmarkEnd w:id="5"/>
      <w:bookmarkEnd w:id="6"/>
    </w:p>
    <w:p w14:paraId="21B8685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rPr>
        <w:t>1.项目编号：11011226210200022309-XM001</w:t>
      </w:r>
    </w:p>
    <w:p w14:paraId="1FB5E22C">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2.项目名称：</w:t>
      </w:r>
      <w:r>
        <w:rPr>
          <w:rFonts w:hint="eastAsia" w:ascii="宋体" w:hAnsi="宋体" w:cs="宋体"/>
          <w:i w:val="0"/>
          <w:iCs w:val="0"/>
          <w:color w:val="auto"/>
          <w:spacing w:val="0"/>
          <w:position w:val="0"/>
          <w:sz w:val="24"/>
          <w:highlight w:val="none"/>
          <w:lang w:eastAsia="zh-CN"/>
        </w:rPr>
        <w:t>通州区重点区域大气精细化治理项目</w:t>
      </w:r>
    </w:p>
    <w:bookmarkEnd w:id="7"/>
    <w:p w14:paraId="657C52E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3.项目预算金额：</w:t>
      </w:r>
      <w:r>
        <w:rPr>
          <w:rFonts w:hint="eastAsia" w:ascii="宋体" w:hAnsi="宋体" w:cs="宋体"/>
          <w:i w:val="0"/>
          <w:iCs w:val="0"/>
          <w:color w:val="auto"/>
          <w:spacing w:val="0"/>
          <w:position w:val="0"/>
          <w:sz w:val="24"/>
          <w:highlight w:val="none"/>
          <w:lang w:eastAsia="zh-CN"/>
        </w:rPr>
        <w:t xml:space="preserve"> 780.9084</w:t>
      </w:r>
      <w:r>
        <w:rPr>
          <w:rFonts w:hint="eastAsia" w:ascii="宋体" w:hAnsi="宋体" w:cs="宋体"/>
          <w:i w:val="0"/>
          <w:iCs w:val="0"/>
          <w:color w:val="auto"/>
          <w:spacing w:val="0"/>
          <w:position w:val="0"/>
          <w:sz w:val="24"/>
          <w:highlight w:val="none"/>
          <w:lang w:val="en-US" w:eastAsia="zh-CN"/>
        </w:rPr>
        <w:t>7</w:t>
      </w:r>
      <w:r>
        <w:rPr>
          <w:rFonts w:hint="eastAsia" w:ascii="宋体" w:hAnsi="宋体" w:cs="宋体"/>
          <w:i w:val="0"/>
          <w:iCs w:val="0"/>
          <w:color w:val="auto"/>
          <w:spacing w:val="0"/>
          <w:position w:val="0"/>
          <w:sz w:val="24"/>
          <w:highlight w:val="none"/>
          <w:lang w:eastAsia="zh-CN"/>
        </w:rPr>
        <w:t xml:space="preserve">1  </w:t>
      </w:r>
      <w:r>
        <w:rPr>
          <w:rFonts w:hint="eastAsia" w:ascii="宋体" w:hAnsi="宋体" w:eastAsia="宋体" w:cs="宋体"/>
          <w:i w:val="0"/>
          <w:iCs w:val="0"/>
          <w:color w:val="auto"/>
          <w:spacing w:val="0"/>
          <w:position w:val="0"/>
          <w:sz w:val="24"/>
          <w:highlight w:val="none"/>
        </w:rPr>
        <w:t>万元、项目最高限价（如有）：</w:t>
      </w:r>
      <w:r>
        <w:rPr>
          <w:rFonts w:hint="eastAsia" w:ascii="宋体" w:hAnsi="宋体" w:cs="宋体"/>
          <w:i w:val="0"/>
          <w:iCs w:val="0"/>
          <w:color w:val="auto"/>
          <w:spacing w:val="0"/>
          <w:position w:val="0"/>
          <w:sz w:val="24"/>
          <w:highlight w:val="none"/>
          <w:lang w:eastAsia="zh-CN"/>
        </w:rPr>
        <w:t xml:space="preserve"> 780.9084</w:t>
      </w:r>
      <w:r>
        <w:rPr>
          <w:rFonts w:hint="eastAsia" w:ascii="宋体" w:hAnsi="宋体" w:cs="宋体"/>
          <w:i w:val="0"/>
          <w:iCs w:val="0"/>
          <w:color w:val="auto"/>
          <w:spacing w:val="0"/>
          <w:position w:val="0"/>
          <w:sz w:val="24"/>
          <w:highlight w:val="none"/>
          <w:lang w:val="en-US" w:eastAsia="zh-CN"/>
        </w:rPr>
        <w:t>7</w:t>
      </w:r>
      <w:r>
        <w:rPr>
          <w:rFonts w:hint="eastAsia" w:ascii="宋体" w:hAnsi="宋体" w:cs="宋体"/>
          <w:i w:val="0"/>
          <w:iCs w:val="0"/>
          <w:color w:val="auto"/>
          <w:spacing w:val="0"/>
          <w:position w:val="0"/>
          <w:sz w:val="24"/>
          <w:highlight w:val="none"/>
          <w:lang w:eastAsia="zh-CN"/>
        </w:rPr>
        <w:t xml:space="preserve">1  </w:t>
      </w:r>
      <w:r>
        <w:rPr>
          <w:rFonts w:hint="eastAsia" w:ascii="宋体" w:hAnsi="宋体" w:eastAsia="宋体" w:cs="宋体"/>
          <w:i w:val="0"/>
          <w:iCs w:val="0"/>
          <w:color w:val="auto"/>
          <w:spacing w:val="0"/>
          <w:position w:val="0"/>
          <w:sz w:val="24"/>
          <w:highlight w:val="none"/>
        </w:rPr>
        <w:t>万元</w:t>
      </w:r>
    </w:p>
    <w:p w14:paraId="268DCB1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4.采购需求：</w:t>
      </w:r>
    </w:p>
    <w:tbl>
      <w:tblPr>
        <w:tblStyle w:val="45"/>
        <w:tblW w:w="481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3"/>
        <w:gridCol w:w="1865"/>
        <w:gridCol w:w="1909"/>
        <w:gridCol w:w="1022"/>
        <w:gridCol w:w="2597"/>
      </w:tblGrid>
      <w:tr w14:paraId="5F6C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377" w:type="pct"/>
            <w:vAlign w:val="center"/>
          </w:tcPr>
          <w:p w14:paraId="3DA5983D">
            <w:pPr>
              <w:jc w:val="center"/>
              <w:rPr>
                <w:rFonts w:hint="eastAsia" w:ascii="宋体" w:hAnsi="宋体" w:eastAsia="宋体" w:cs="宋体"/>
                <w:bCs/>
                <w:sz w:val="24"/>
                <w:szCs w:val="24"/>
              </w:rPr>
            </w:pPr>
            <w:r>
              <w:rPr>
                <w:rFonts w:hint="eastAsia" w:ascii="宋体" w:hAnsi="宋体" w:eastAsia="宋体" w:cs="宋体"/>
                <w:bCs/>
                <w:sz w:val="24"/>
                <w:szCs w:val="24"/>
              </w:rPr>
              <w:t>包号</w:t>
            </w:r>
          </w:p>
        </w:tc>
        <w:tc>
          <w:tcPr>
            <w:tcW w:w="1166" w:type="pct"/>
            <w:vAlign w:val="center"/>
          </w:tcPr>
          <w:p w14:paraId="4A3669CF">
            <w:pPr>
              <w:jc w:val="center"/>
              <w:rPr>
                <w:rFonts w:hint="eastAsia" w:ascii="宋体" w:hAnsi="宋体" w:eastAsia="宋体" w:cs="宋体"/>
                <w:bCs/>
                <w:sz w:val="24"/>
                <w:szCs w:val="24"/>
              </w:rPr>
            </w:pPr>
            <w:r>
              <w:rPr>
                <w:rFonts w:hint="eastAsia" w:ascii="宋体" w:hAnsi="宋体" w:eastAsia="宋体" w:cs="宋体"/>
                <w:bCs/>
                <w:sz w:val="24"/>
                <w:szCs w:val="24"/>
              </w:rPr>
              <w:t>标的名称</w:t>
            </w:r>
          </w:p>
        </w:tc>
        <w:tc>
          <w:tcPr>
            <w:tcW w:w="1193" w:type="pct"/>
            <w:vAlign w:val="center"/>
          </w:tcPr>
          <w:p w14:paraId="6D8E73BB">
            <w:pPr>
              <w:jc w:val="center"/>
              <w:rPr>
                <w:rFonts w:hint="eastAsia" w:ascii="宋体" w:hAnsi="宋体" w:eastAsia="宋体" w:cs="宋体"/>
                <w:bCs/>
                <w:sz w:val="24"/>
                <w:szCs w:val="24"/>
              </w:rPr>
            </w:pPr>
            <w:r>
              <w:rPr>
                <w:rFonts w:hint="eastAsia" w:ascii="宋体" w:hAnsi="宋体" w:eastAsia="宋体" w:cs="宋体"/>
                <w:bCs/>
                <w:sz w:val="24"/>
                <w:szCs w:val="24"/>
              </w:rPr>
              <w:t>采购包</w:t>
            </w:r>
          </w:p>
          <w:p w14:paraId="0CDF056D">
            <w:pPr>
              <w:jc w:val="center"/>
              <w:rPr>
                <w:rFonts w:hint="eastAsia" w:ascii="宋体" w:hAnsi="宋体" w:eastAsia="宋体" w:cs="宋体"/>
                <w:bCs/>
                <w:sz w:val="24"/>
                <w:szCs w:val="24"/>
              </w:rPr>
            </w:pPr>
            <w:r>
              <w:rPr>
                <w:rFonts w:hint="eastAsia" w:ascii="宋体" w:hAnsi="宋体" w:eastAsia="宋体" w:cs="宋体"/>
                <w:bCs/>
                <w:sz w:val="24"/>
                <w:szCs w:val="24"/>
              </w:rPr>
              <w:t>预算金额</w:t>
            </w:r>
          </w:p>
          <w:p w14:paraId="03DA0A5F">
            <w:pPr>
              <w:jc w:val="center"/>
              <w:rPr>
                <w:rFonts w:hint="eastAsia" w:ascii="宋体" w:hAnsi="宋体" w:eastAsia="宋体" w:cs="宋体"/>
                <w:bCs/>
                <w:sz w:val="24"/>
                <w:szCs w:val="24"/>
              </w:rPr>
            </w:pPr>
            <w:r>
              <w:rPr>
                <w:rFonts w:hint="eastAsia" w:ascii="宋体" w:hAnsi="宋体" w:eastAsia="宋体" w:cs="宋体"/>
                <w:bCs/>
                <w:sz w:val="24"/>
                <w:szCs w:val="24"/>
              </w:rPr>
              <w:t>（万元）</w:t>
            </w:r>
          </w:p>
        </w:tc>
        <w:tc>
          <w:tcPr>
            <w:tcW w:w="639" w:type="pct"/>
            <w:vAlign w:val="center"/>
          </w:tcPr>
          <w:p w14:paraId="02193AD1">
            <w:pPr>
              <w:jc w:val="center"/>
              <w:rPr>
                <w:rFonts w:hint="eastAsia" w:ascii="宋体" w:hAnsi="宋体" w:eastAsia="宋体" w:cs="宋体"/>
                <w:bCs/>
                <w:sz w:val="24"/>
                <w:szCs w:val="24"/>
              </w:rPr>
            </w:pPr>
            <w:r>
              <w:rPr>
                <w:rFonts w:hint="eastAsia" w:ascii="宋体" w:hAnsi="宋体" w:eastAsia="宋体" w:cs="宋体"/>
                <w:bCs/>
                <w:sz w:val="24"/>
                <w:szCs w:val="24"/>
              </w:rPr>
              <w:t>数量</w:t>
            </w:r>
          </w:p>
        </w:tc>
        <w:tc>
          <w:tcPr>
            <w:tcW w:w="1623" w:type="pct"/>
            <w:vAlign w:val="center"/>
          </w:tcPr>
          <w:p w14:paraId="51EB64DC">
            <w:pPr>
              <w:jc w:val="center"/>
              <w:rPr>
                <w:rFonts w:hint="eastAsia" w:ascii="宋体" w:hAnsi="宋体" w:eastAsia="宋体" w:cs="宋体"/>
                <w:sz w:val="24"/>
                <w:szCs w:val="24"/>
              </w:rPr>
            </w:pPr>
            <w:r>
              <w:rPr>
                <w:rFonts w:hint="eastAsia" w:ascii="宋体" w:hAnsi="宋体" w:eastAsia="宋体" w:cs="宋体"/>
                <w:sz w:val="24"/>
                <w:szCs w:val="24"/>
              </w:rPr>
              <w:t>简要技术需求或服务要求</w:t>
            </w:r>
          </w:p>
        </w:tc>
      </w:tr>
      <w:tr w14:paraId="727D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377" w:type="pct"/>
            <w:vAlign w:val="center"/>
          </w:tcPr>
          <w:p w14:paraId="16F89DF9">
            <w:pPr>
              <w:jc w:val="center"/>
              <w:rPr>
                <w:rFonts w:hint="eastAsia" w:ascii="宋体" w:hAnsi="宋体" w:eastAsia="宋体" w:cs="宋体"/>
                <w:bCs/>
                <w:sz w:val="24"/>
                <w:szCs w:val="24"/>
              </w:rPr>
            </w:pPr>
            <w:r>
              <w:rPr>
                <w:rFonts w:hint="eastAsia" w:ascii="宋体" w:hAnsi="宋体" w:eastAsia="宋体" w:cs="宋体"/>
                <w:bCs/>
                <w:sz w:val="24"/>
                <w:szCs w:val="24"/>
              </w:rPr>
              <w:t>01</w:t>
            </w:r>
          </w:p>
        </w:tc>
        <w:tc>
          <w:tcPr>
            <w:tcW w:w="1166" w:type="pct"/>
            <w:vAlign w:val="center"/>
          </w:tcPr>
          <w:p w14:paraId="7F80D03A">
            <w:pPr>
              <w:jc w:val="center"/>
              <w:rPr>
                <w:rFonts w:hint="eastAsia" w:ascii="宋体" w:hAnsi="宋体" w:eastAsia="宋体" w:cs="宋体"/>
                <w:bCs/>
                <w:sz w:val="24"/>
                <w:szCs w:val="24"/>
              </w:rPr>
            </w:pPr>
            <w:r>
              <w:rPr>
                <w:rFonts w:hint="eastAsia" w:ascii="宋体" w:hAnsi="宋体" w:eastAsia="宋体" w:cs="宋体"/>
                <w:bCs/>
                <w:sz w:val="24"/>
                <w:szCs w:val="24"/>
              </w:rPr>
              <w:t>通州区重点区域大气精细化治理项目</w:t>
            </w:r>
          </w:p>
        </w:tc>
        <w:tc>
          <w:tcPr>
            <w:tcW w:w="1193" w:type="pct"/>
            <w:vAlign w:val="center"/>
          </w:tcPr>
          <w:p w14:paraId="0614756D">
            <w:pPr>
              <w:jc w:val="center"/>
              <w:rPr>
                <w:rFonts w:hint="eastAsia" w:ascii="宋体" w:hAnsi="宋体" w:eastAsia="宋体" w:cs="宋体"/>
                <w:bCs/>
                <w:sz w:val="24"/>
                <w:szCs w:val="24"/>
                <w:lang w:eastAsia="zh-CN"/>
              </w:rPr>
            </w:pPr>
            <w:r>
              <w:rPr>
                <w:rFonts w:hint="eastAsia" w:ascii="宋体" w:hAnsi="宋体" w:cs="宋体"/>
                <w:bCs/>
                <w:sz w:val="24"/>
                <w:szCs w:val="24"/>
                <w:lang w:eastAsia="zh-CN"/>
              </w:rPr>
              <w:t xml:space="preserve"> 780.9084</w:t>
            </w:r>
            <w:r>
              <w:rPr>
                <w:rFonts w:hint="eastAsia" w:ascii="宋体" w:hAnsi="宋体" w:cs="宋体"/>
                <w:bCs/>
                <w:sz w:val="24"/>
                <w:szCs w:val="24"/>
                <w:lang w:val="en-US" w:eastAsia="zh-CN"/>
              </w:rPr>
              <w:t>7</w:t>
            </w:r>
            <w:r>
              <w:rPr>
                <w:rFonts w:hint="eastAsia" w:ascii="宋体" w:hAnsi="宋体" w:cs="宋体"/>
                <w:bCs/>
                <w:sz w:val="24"/>
                <w:szCs w:val="24"/>
                <w:lang w:eastAsia="zh-CN"/>
              </w:rPr>
              <w:t xml:space="preserve">1  </w:t>
            </w:r>
          </w:p>
        </w:tc>
        <w:tc>
          <w:tcPr>
            <w:tcW w:w="639" w:type="pct"/>
            <w:vAlign w:val="center"/>
          </w:tcPr>
          <w:p w14:paraId="4BB57971">
            <w:pPr>
              <w:jc w:val="center"/>
              <w:rPr>
                <w:rFonts w:hint="default" w:ascii="宋体" w:hAnsi="宋体" w:eastAsia="宋体" w:cs="宋体"/>
                <w:bCs/>
                <w:sz w:val="24"/>
                <w:szCs w:val="24"/>
                <w:lang w:val="en-US" w:eastAsia="zh-CN"/>
              </w:rPr>
            </w:pPr>
            <w:r>
              <w:rPr>
                <w:rFonts w:hint="eastAsia" w:ascii="宋体" w:hAnsi="宋体" w:cs="宋体"/>
                <w:bCs/>
                <w:sz w:val="24"/>
                <w:szCs w:val="24"/>
                <w:lang w:val="en-US" w:eastAsia="zh-CN"/>
              </w:rPr>
              <w:t>1</w:t>
            </w:r>
          </w:p>
        </w:tc>
        <w:tc>
          <w:tcPr>
            <w:tcW w:w="1623" w:type="pct"/>
            <w:vAlign w:val="center"/>
          </w:tcPr>
          <w:p w14:paraId="7D2BB6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详见第五章采购需求</w:t>
            </w:r>
          </w:p>
        </w:tc>
      </w:tr>
    </w:tbl>
    <w:p w14:paraId="5AFA9E84">
      <w:pPr>
        <w:keepNext w:val="0"/>
        <w:keepLines w:val="0"/>
        <w:pageBreakBefore w:val="0"/>
        <w:widowControl w:val="0"/>
        <w:kinsoku/>
        <w:wordWrap/>
        <w:overflowPunct/>
        <w:topLinePunct w:val="0"/>
        <w:autoSpaceDE/>
        <w:autoSpaceDN/>
        <w:bidi w:val="0"/>
        <w:adjustRightInd/>
        <w:snapToGrid/>
        <w:spacing w:before="464" w:beforeLines="100" w:line="360" w:lineRule="auto"/>
        <w:ind w:firstLine="480" w:firstLineChars="200"/>
        <w:textAlignment w:val="auto"/>
        <w:rPr>
          <w:rFonts w:hint="eastAsia" w:ascii="宋体" w:hAnsi="宋体" w:eastAsia="宋体" w:cs="宋体"/>
          <w:i w:val="0"/>
          <w:iCs w:val="0"/>
          <w:color w:val="auto"/>
          <w:spacing w:val="0"/>
          <w:position w:val="0"/>
          <w:sz w:val="24"/>
          <w:highlight w:val="none"/>
          <w:u w:val="single"/>
          <w:lang w:val="en-US" w:eastAsia="zh-CN"/>
        </w:rPr>
      </w:pPr>
      <w:r>
        <w:rPr>
          <w:rFonts w:hint="eastAsia" w:ascii="宋体" w:hAnsi="宋体" w:eastAsia="宋体" w:cs="宋体"/>
          <w:i w:val="0"/>
          <w:iCs w:val="0"/>
          <w:color w:val="auto"/>
          <w:spacing w:val="0"/>
          <w:position w:val="0"/>
          <w:sz w:val="24"/>
          <w:highlight w:val="none"/>
        </w:rPr>
        <w:t>5.合同履行期限：自合同签订之日起</w:t>
      </w:r>
      <w:r>
        <w:rPr>
          <w:rFonts w:hint="eastAsia" w:ascii="宋体" w:hAnsi="宋体" w:eastAsia="宋体" w:cs="宋体"/>
          <w:i w:val="0"/>
          <w:iCs w:val="0"/>
          <w:color w:val="auto"/>
          <w:spacing w:val="0"/>
          <w:position w:val="0"/>
          <w:sz w:val="24"/>
          <w:highlight w:val="none"/>
          <w:lang w:val="en-US" w:eastAsia="zh-CN"/>
        </w:rPr>
        <w:t>13个月</w:t>
      </w:r>
      <w:r>
        <w:rPr>
          <w:rFonts w:hint="eastAsia" w:ascii="宋体" w:hAnsi="宋体" w:cs="宋体"/>
          <w:i w:val="0"/>
          <w:iCs w:val="0"/>
          <w:color w:val="auto"/>
          <w:spacing w:val="0"/>
          <w:position w:val="0"/>
          <w:sz w:val="24"/>
          <w:highlight w:val="none"/>
          <w:lang w:val="en-US" w:eastAsia="zh-CN"/>
        </w:rPr>
        <w:t>。</w:t>
      </w:r>
    </w:p>
    <w:p w14:paraId="05771F4E">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6.本项目是否接受联合体投标：</w:t>
      </w: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 xml:space="preserve">是  </w:t>
      </w: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否。</w:t>
      </w:r>
    </w:p>
    <w:p w14:paraId="4FA25951">
      <w:pPr>
        <w:pStyle w:val="4"/>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8" w:name="_Toc35393791"/>
      <w:bookmarkStart w:id="9" w:name="_Toc28359003"/>
      <w:bookmarkStart w:id="10" w:name="_Toc28359080"/>
      <w:bookmarkStart w:id="11" w:name="_Toc35393622"/>
      <w:r>
        <w:rPr>
          <w:rFonts w:hint="eastAsia" w:ascii="宋体" w:hAnsi="宋体" w:eastAsia="宋体" w:cs="宋体"/>
          <w:i w:val="0"/>
          <w:iCs w:val="0"/>
          <w:color w:val="auto"/>
          <w:spacing w:val="0"/>
          <w:position w:val="0"/>
          <w:sz w:val="24"/>
          <w:szCs w:val="24"/>
          <w:highlight w:val="none"/>
        </w:rPr>
        <w:t>二、申请人的资格要求（须同时满足）</w:t>
      </w:r>
      <w:bookmarkEnd w:id="8"/>
      <w:bookmarkEnd w:id="9"/>
      <w:bookmarkEnd w:id="10"/>
      <w:bookmarkEnd w:id="11"/>
    </w:p>
    <w:p w14:paraId="0713F1C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1.满足《中华人民共和国政府采购法》第二十二条规定；</w:t>
      </w:r>
    </w:p>
    <w:p w14:paraId="07AC7E9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bookmarkStart w:id="12" w:name="_Toc28359081"/>
      <w:bookmarkStart w:id="13" w:name="_Toc28359004"/>
      <w:r>
        <w:rPr>
          <w:rFonts w:hint="eastAsia" w:ascii="宋体" w:hAnsi="宋体" w:eastAsia="宋体" w:cs="宋体"/>
          <w:i w:val="0"/>
          <w:iCs w:val="0"/>
          <w:color w:val="auto"/>
          <w:spacing w:val="0"/>
          <w:position w:val="0"/>
          <w:sz w:val="24"/>
          <w:highlight w:val="none"/>
        </w:rPr>
        <w:t>2.落实政府采购政策需满足的资格要求：</w:t>
      </w:r>
    </w:p>
    <w:p w14:paraId="6CD47936">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 中小企业政策</w:t>
      </w:r>
    </w:p>
    <w:p w14:paraId="06E9409C">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本项目不专门面向中小企业预留采购份额。</w:t>
      </w:r>
    </w:p>
    <w:p w14:paraId="3E6981B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 xml:space="preserve">本项目专门面向  </w:t>
      </w:r>
      <w:r>
        <w:rPr>
          <w:rFonts w:hint="eastAsia" w:ascii="宋体" w:hAnsi="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中小</w:t>
      </w:r>
      <w:r>
        <w:rPr>
          <w:rFonts w:hint="eastAsia" w:ascii="宋体" w:hAnsi="宋体" w:eastAsia="宋体" w:cs="宋体"/>
          <w:i w:val="0"/>
          <w:iCs w:val="0"/>
          <w:color w:val="auto"/>
          <w:spacing w:val="0"/>
          <w:position w:val="0"/>
          <w:sz w:val="24"/>
          <w:highlight w:val="none"/>
          <w:lang w:val="en-US" w:eastAsia="zh-CN"/>
        </w:rPr>
        <w:t xml:space="preserve"> </w:t>
      </w:r>
      <w:r>
        <w:rPr>
          <w:rFonts w:hint="eastAsia" w:ascii="宋体" w:hAnsi="宋体" w:eastAsia="宋体" w:cs="宋体"/>
          <w:i w:val="0"/>
          <w:iCs w:val="0"/>
          <w:color w:val="auto"/>
          <w:spacing w:val="0"/>
          <w:position w:val="0"/>
          <w:sz w:val="24"/>
          <w:highlight w:val="none"/>
        </w:rPr>
        <w:t xml:space="preserve"> </w:t>
      </w: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小微企业  采购。即：提供的货物全部由符合政策要求的中小/小微企业制造、服务全部由符合政策要求的中小/小微企业承接。</w:t>
      </w:r>
    </w:p>
    <w:p w14:paraId="406DDED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4EF8CE8B">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2.2 其它落实政府采购政策的资格要求（如有）：</w:t>
      </w:r>
      <w:r>
        <w:rPr>
          <w:rFonts w:hint="eastAsia" w:ascii="宋体" w:hAnsi="宋体" w:cs="宋体"/>
          <w:i w:val="0"/>
          <w:iCs w:val="0"/>
          <w:color w:val="auto"/>
          <w:spacing w:val="0"/>
          <w:position w:val="0"/>
          <w:sz w:val="24"/>
          <w:highlight w:val="none"/>
          <w:u w:val="single"/>
          <w:lang w:val="en-US" w:eastAsia="zh-CN"/>
        </w:rPr>
        <w:t xml:space="preserve">  /  </w:t>
      </w:r>
      <w:r>
        <w:rPr>
          <w:rFonts w:hint="eastAsia" w:ascii="宋体" w:hAnsi="宋体" w:eastAsia="宋体" w:cs="宋体"/>
          <w:i w:val="0"/>
          <w:iCs w:val="0"/>
          <w:color w:val="auto"/>
          <w:spacing w:val="0"/>
          <w:position w:val="0"/>
          <w:sz w:val="24"/>
          <w:highlight w:val="none"/>
        </w:rPr>
        <w:t>。</w:t>
      </w:r>
    </w:p>
    <w:p w14:paraId="608E258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u w:val="single"/>
          <w:lang w:val="en-US" w:eastAsia="zh-CN"/>
        </w:rPr>
      </w:pPr>
      <w:r>
        <w:rPr>
          <w:rFonts w:hint="eastAsia" w:ascii="宋体" w:hAnsi="宋体" w:eastAsia="宋体" w:cs="宋体"/>
          <w:i w:val="0"/>
          <w:iCs w:val="0"/>
          <w:color w:val="auto"/>
          <w:spacing w:val="0"/>
          <w:position w:val="0"/>
          <w:sz w:val="24"/>
          <w:highlight w:val="none"/>
        </w:rPr>
        <w:t>3.本项目的特定资格要求：</w:t>
      </w:r>
      <w:r>
        <w:rPr>
          <w:rFonts w:hint="eastAsia" w:ascii="宋体" w:hAnsi="宋体" w:cs="宋体"/>
          <w:i w:val="0"/>
          <w:iCs w:val="0"/>
          <w:color w:val="auto"/>
          <w:spacing w:val="0"/>
          <w:position w:val="0"/>
          <w:sz w:val="24"/>
          <w:highlight w:val="none"/>
          <w:u w:val="single"/>
          <w:lang w:val="en-US" w:eastAsia="zh-CN"/>
        </w:rPr>
        <w:t xml:space="preserve">  /  </w:t>
      </w:r>
      <w:r>
        <w:rPr>
          <w:rFonts w:hint="eastAsia" w:ascii="宋体" w:hAnsi="宋体" w:cs="宋体"/>
          <w:i w:val="0"/>
          <w:iCs w:val="0"/>
          <w:color w:val="auto"/>
          <w:spacing w:val="0"/>
          <w:position w:val="0"/>
          <w:sz w:val="24"/>
          <w:highlight w:val="none"/>
          <w:u w:val="none"/>
          <w:lang w:val="en-US" w:eastAsia="zh-CN"/>
        </w:rPr>
        <w:t>。</w:t>
      </w:r>
    </w:p>
    <w:p w14:paraId="3AF109C6">
      <w:pPr>
        <w:pageBreakBefore w:val="0"/>
        <w:tabs>
          <w:tab w:val="left" w:pos="900"/>
          <w:tab w:val="left" w:pos="1134"/>
          <w:tab w:val="left" w:pos="1589"/>
          <w:tab w:val="left" w:pos="5521"/>
        </w:tabs>
        <w:wordWrap/>
        <w:topLinePunct w:val="0"/>
        <w:bidi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3.1本项目是否属于政府购买服务：</w:t>
      </w:r>
    </w:p>
    <w:p w14:paraId="586AD88B">
      <w:pPr>
        <w:pageBreakBefore w:val="0"/>
        <w:tabs>
          <w:tab w:val="left" w:pos="900"/>
          <w:tab w:val="left" w:pos="1134"/>
          <w:tab w:val="left" w:pos="1589"/>
          <w:tab w:val="left" w:pos="5521"/>
        </w:tabs>
        <w:wordWrap/>
        <w:topLinePunct w:val="0"/>
        <w:bidi w:val="0"/>
        <w:snapToGrid w:val="0"/>
        <w:spacing w:line="360" w:lineRule="auto"/>
        <w:ind w:firstLine="960" w:firstLineChars="4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□否</w:t>
      </w:r>
    </w:p>
    <w:p w14:paraId="02002562">
      <w:pPr>
        <w:pageBreakBefore w:val="0"/>
        <w:tabs>
          <w:tab w:val="left" w:pos="900"/>
          <w:tab w:val="left" w:pos="1134"/>
          <w:tab w:val="left" w:pos="1589"/>
          <w:tab w:val="left" w:pos="5521"/>
        </w:tabs>
        <w:wordWrap/>
        <w:topLinePunct w:val="0"/>
        <w:bidi w:val="0"/>
        <w:snapToGrid w:val="0"/>
        <w:spacing w:line="360" w:lineRule="auto"/>
        <w:ind w:firstLine="960" w:firstLineChars="4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■是，公益一类事业单位、使用事业编制且由财政拨款保障的群团组织，不得作为承接主体；</w:t>
      </w:r>
    </w:p>
    <w:p w14:paraId="1C1B78F4">
      <w:pPr>
        <w:pageBreakBefore w:val="0"/>
        <w:tabs>
          <w:tab w:val="left" w:pos="900"/>
          <w:tab w:val="left" w:pos="1134"/>
          <w:tab w:val="left" w:pos="1589"/>
          <w:tab w:val="left" w:pos="5521"/>
        </w:tabs>
        <w:wordWrap/>
        <w:topLinePunct w:val="0"/>
        <w:bidi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3.2其他特定资格要求：</w:t>
      </w:r>
    </w:p>
    <w:bookmarkEnd w:id="12"/>
    <w:bookmarkEnd w:id="13"/>
    <w:p w14:paraId="0C455633">
      <w:pPr>
        <w:pageBreakBefore w:val="0"/>
        <w:topLinePunct w:val="0"/>
        <w:bidi w:val="0"/>
        <w:spacing w:before="94" w:beforeLines="20" w:after="94" w:afterLines="20" w:line="360" w:lineRule="auto"/>
        <w:ind w:firstLine="480" w:firstLineChars="200"/>
        <w:rPr>
          <w:rFonts w:hint="eastAsia" w:ascii="宋体" w:hAnsi="宋体" w:eastAsia="宋体" w:cs="宋体"/>
          <w:i w:val="0"/>
          <w:iCs w:val="0"/>
          <w:color w:val="auto"/>
          <w:spacing w:val="0"/>
          <w:position w:val="0"/>
          <w:sz w:val="24"/>
          <w:highlight w:val="none"/>
          <w:u w:val="single"/>
        </w:rPr>
      </w:pPr>
      <w:bookmarkStart w:id="14" w:name="_Toc35393792"/>
      <w:bookmarkStart w:id="15" w:name="_Toc35393623"/>
      <w:r>
        <w:rPr>
          <w:rFonts w:hint="eastAsia" w:ascii="宋体" w:hAnsi="宋体" w:eastAsia="宋体" w:cs="宋体"/>
          <w:i w:val="0"/>
          <w:iCs w:val="0"/>
          <w:color w:val="auto"/>
          <w:spacing w:val="0"/>
          <w:position w:val="0"/>
          <w:sz w:val="24"/>
          <w:highlight w:val="none"/>
          <w:u w:val="single"/>
        </w:rPr>
        <w:t>（1）供应商未被“信用中国”</w:t>
      </w:r>
      <w:r>
        <w:rPr>
          <w:rFonts w:hint="eastAsia" w:ascii="宋体" w:hAnsi="宋体" w:eastAsia="宋体" w:cs="宋体"/>
          <w:i w:val="0"/>
          <w:iCs w:val="0"/>
          <w:color w:val="auto"/>
          <w:spacing w:val="0"/>
          <w:position w:val="0"/>
          <w:sz w:val="24"/>
          <w:highlight w:val="none"/>
          <w:u w:val="single"/>
          <w:shd w:val="clear"/>
        </w:rPr>
        <w:t>网站列入</w:t>
      </w:r>
      <w:r>
        <w:rPr>
          <w:rFonts w:hint="eastAsia" w:ascii="宋体" w:hAnsi="宋体" w:eastAsia="宋体" w:cs="宋体"/>
          <w:i w:val="0"/>
          <w:iCs w:val="0"/>
          <w:color w:val="auto"/>
          <w:spacing w:val="0"/>
          <w:position w:val="0"/>
          <w:sz w:val="24"/>
          <w:highlight w:val="none"/>
          <w:u w:val="single"/>
          <w:shd w:val="clear"/>
          <w:lang w:val="en-US" w:eastAsia="zh-CN"/>
        </w:rPr>
        <w:t>失信被执行人</w:t>
      </w:r>
      <w:r>
        <w:rPr>
          <w:rFonts w:hint="eastAsia" w:ascii="宋体" w:hAnsi="宋体" w:eastAsia="宋体" w:cs="宋体"/>
          <w:i w:val="0"/>
          <w:iCs w:val="0"/>
          <w:color w:val="auto"/>
          <w:spacing w:val="0"/>
          <w:position w:val="0"/>
          <w:sz w:val="24"/>
          <w:highlight w:val="none"/>
          <w:u w:val="single"/>
          <w:shd w:val="clear"/>
        </w:rPr>
        <w:t>、重大税收违法失信主体名单、</w:t>
      </w:r>
      <w:r>
        <w:rPr>
          <w:rFonts w:hint="eastAsia" w:ascii="宋体" w:hAnsi="宋体" w:eastAsia="宋体" w:cs="宋体"/>
          <w:i w:val="0"/>
          <w:iCs w:val="0"/>
          <w:color w:val="auto"/>
          <w:spacing w:val="0"/>
          <w:position w:val="0"/>
          <w:sz w:val="24"/>
          <w:highlight w:val="none"/>
          <w:u w:val="single"/>
        </w:rPr>
        <w:t>政府采购严重违法失信行为记录名单</w:t>
      </w:r>
      <w:r>
        <w:rPr>
          <w:rFonts w:hint="eastAsia" w:ascii="宋体" w:hAnsi="宋体" w:eastAsia="宋体" w:cs="宋体"/>
          <w:i w:val="0"/>
          <w:iCs w:val="0"/>
          <w:color w:val="auto"/>
          <w:spacing w:val="0"/>
          <w:position w:val="0"/>
          <w:sz w:val="24"/>
          <w:highlight w:val="none"/>
          <w:u w:val="single"/>
          <w:shd w:val="clear"/>
        </w:rPr>
        <w:t>，未被“中国政府采购网”网站列入</w:t>
      </w:r>
      <w:r>
        <w:rPr>
          <w:rFonts w:hint="eastAsia" w:ascii="宋体" w:hAnsi="宋体" w:eastAsia="宋体" w:cs="宋体"/>
          <w:i w:val="0"/>
          <w:iCs w:val="0"/>
          <w:color w:val="auto"/>
          <w:spacing w:val="0"/>
          <w:position w:val="0"/>
          <w:sz w:val="24"/>
          <w:highlight w:val="none"/>
          <w:u w:val="single"/>
        </w:rPr>
        <w:t>政府采购严重违法失信行为记录名单。</w:t>
      </w:r>
    </w:p>
    <w:p w14:paraId="627D4D1E">
      <w:pPr>
        <w:pStyle w:val="4"/>
        <w:pageBreakBefore w:val="0"/>
        <w:widowControl/>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三、获取招标文件</w:t>
      </w:r>
      <w:bookmarkEnd w:id="14"/>
      <w:bookmarkEnd w:id="15"/>
    </w:p>
    <w:p w14:paraId="7BDA34F4">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1.时间：</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09</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30</w:t>
      </w:r>
      <w:r>
        <w:rPr>
          <w:rFonts w:hint="eastAsia" w:ascii="宋体" w:hAnsi="宋体" w:eastAsia="宋体" w:cs="宋体"/>
          <w:i w:val="0"/>
          <w:iCs w:val="0"/>
          <w:color w:val="auto"/>
          <w:spacing w:val="0"/>
          <w:position w:val="0"/>
          <w:sz w:val="24"/>
          <w:highlight w:val="none"/>
          <w:lang w:bidi="ar"/>
        </w:rPr>
        <w:t>日至</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10</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12</w:t>
      </w:r>
      <w:r>
        <w:rPr>
          <w:rFonts w:hint="eastAsia" w:ascii="宋体" w:hAnsi="宋体" w:eastAsia="宋体" w:cs="宋体"/>
          <w:i w:val="0"/>
          <w:iCs w:val="0"/>
          <w:color w:val="auto"/>
          <w:spacing w:val="0"/>
          <w:position w:val="0"/>
          <w:sz w:val="24"/>
          <w:highlight w:val="none"/>
          <w:lang w:bidi="ar"/>
        </w:rPr>
        <w:t>日，</w:t>
      </w:r>
      <w:r>
        <w:rPr>
          <w:rFonts w:hint="eastAsia" w:ascii="宋体" w:hAnsi="宋体" w:eastAsia="宋体" w:cs="宋体"/>
          <w:i w:val="0"/>
          <w:iCs w:val="0"/>
          <w:color w:val="auto"/>
          <w:spacing w:val="0"/>
          <w:kern w:val="0"/>
          <w:position w:val="0"/>
          <w:sz w:val="24"/>
          <w:highlight w:val="none"/>
          <w:lang w:bidi="ar"/>
        </w:rPr>
        <w:t>每天上午</w:t>
      </w:r>
      <w:r>
        <w:rPr>
          <w:rFonts w:hint="eastAsia" w:ascii="宋体" w:hAnsi="宋体" w:eastAsia="宋体" w:cs="宋体"/>
          <w:i w:val="0"/>
          <w:iCs w:val="0"/>
          <w:color w:val="auto"/>
          <w:spacing w:val="0"/>
          <w:kern w:val="0"/>
          <w:position w:val="0"/>
          <w:sz w:val="24"/>
          <w:highlight w:val="none"/>
          <w:u w:val="single"/>
          <w:lang w:val="en-US" w:eastAsia="zh-CN" w:bidi="ar"/>
        </w:rPr>
        <w:t>09：00</w:t>
      </w:r>
      <w:r>
        <w:rPr>
          <w:rFonts w:hint="eastAsia" w:ascii="宋体" w:hAnsi="宋体" w:eastAsia="宋体" w:cs="宋体"/>
          <w:i w:val="0"/>
          <w:iCs w:val="0"/>
          <w:color w:val="auto"/>
          <w:spacing w:val="0"/>
          <w:kern w:val="0"/>
          <w:position w:val="0"/>
          <w:sz w:val="24"/>
          <w:highlight w:val="none"/>
          <w:lang w:bidi="ar"/>
        </w:rPr>
        <w:t>至</w:t>
      </w:r>
      <w:r>
        <w:rPr>
          <w:rFonts w:hint="eastAsia" w:ascii="宋体" w:hAnsi="宋体" w:eastAsia="宋体" w:cs="宋体"/>
          <w:i w:val="0"/>
          <w:iCs w:val="0"/>
          <w:color w:val="auto"/>
          <w:spacing w:val="0"/>
          <w:kern w:val="0"/>
          <w:position w:val="0"/>
          <w:sz w:val="24"/>
          <w:highlight w:val="none"/>
          <w:u w:val="single"/>
          <w:lang w:val="en-US" w:eastAsia="zh-CN" w:bidi="ar"/>
        </w:rPr>
        <w:t>12：00</w:t>
      </w:r>
      <w:r>
        <w:rPr>
          <w:rFonts w:hint="eastAsia" w:ascii="宋体" w:hAnsi="宋体" w:eastAsia="宋体" w:cs="宋体"/>
          <w:i w:val="0"/>
          <w:iCs w:val="0"/>
          <w:color w:val="auto"/>
          <w:spacing w:val="0"/>
          <w:kern w:val="0"/>
          <w:position w:val="0"/>
          <w:sz w:val="24"/>
          <w:highlight w:val="none"/>
          <w:lang w:bidi="ar"/>
        </w:rPr>
        <w:t>，下午</w:t>
      </w:r>
      <w:r>
        <w:rPr>
          <w:rFonts w:hint="eastAsia" w:ascii="宋体" w:hAnsi="宋体" w:eastAsia="宋体" w:cs="宋体"/>
          <w:i w:val="0"/>
          <w:iCs w:val="0"/>
          <w:color w:val="auto"/>
          <w:spacing w:val="0"/>
          <w:kern w:val="0"/>
          <w:position w:val="0"/>
          <w:sz w:val="24"/>
          <w:highlight w:val="none"/>
          <w:u w:val="single"/>
          <w:lang w:val="en-US" w:eastAsia="zh-CN" w:bidi="ar"/>
        </w:rPr>
        <w:t>12：00</w:t>
      </w:r>
      <w:r>
        <w:rPr>
          <w:rFonts w:hint="eastAsia" w:ascii="宋体" w:hAnsi="宋体" w:eastAsia="宋体" w:cs="宋体"/>
          <w:i w:val="0"/>
          <w:iCs w:val="0"/>
          <w:color w:val="auto"/>
          <w:spacing w:val="0"/>
          <w:kern w:val="0"/>
          <w:position w:val="0"/>
          <w:sz w:val="24"/>
          <w:highlight w:val="none"/>
          <w:lang w:bidi="ar"/>
        </w:rPr>
        <w:t>至</w:t>
      </w:r>
      <w:r>
        <w:rPr>
          <w:rFonts w:hint="eastAsia" w:ascii="宋体" w:hAnsi="宋体" w:cs="宋体"/>
          <w:i w:val="0"/>
          <w:iCs w:val="0"/>
          <w:color w:val="auto"/>
          <w:spacing w:val="0"/>
          <w:kern w:val="0"/>
          <w:position w:val="0"/>
          <w:sz w:val="24"/>
          <w:highlight w:val="none"/>
          <w:u w:val="single"/>
          <w:lang w:val="en-US" w:eastAsia="zh-CN" w:bidi="ar"/>
        </w:rPr>
        <w:t>17</w:t>
      </w:r>
      <w:r>
        <w:rPr>
          <w:rFonts w:hint="eastAsia" w:ascii="宋体" w:hAnsi="宋体" w:eastAsia="宋体" w:cs="宋体"/>
          <w:i w:val="0"/>
          <w:iCs w:val="0"/>
          <w:color w:val="auto"/>
          <w:spacing w:val="0"/>
          <w:kern w:val="0"/>
          <w:position w:val="0"/>
          <w:sz w:val="24"/>
          <w:highlight w:val="none"/>
          <w:u w:val="single"/>
          <w:lang w:val="en-US" w:eastAsia="zh-CN" w:bidi="ar"/>
        </w:rPr>
        <w:t>：</w:t>
      </w:r>
      <w:r>
        <w:rPr>
          <w:rFonts w:hint="eastAsia" w:ascii="宋体" w:hAnsi="宋体" w:cs="宋体"/>
          <w:i w:val="0"/>
          <w:iCs w:val="0"/>
          <w:color w:val="auto"/>
          <w:spacing w:val="0"/>
          <w:kern w:val="0"/>
          <w:position w:val="0"/>
          <w:sz w:val="24"/>
          <w:highlight w:val="none"/>
          <w:u w:val="single"/>
          <w:lang w:val="en-US" w:eastAsia="zh-CN" w:bidi="ar"/>
        </w:rPr>
        <w:t>00</w:t>
      </w:r>
      <w:r>
        <w:rPr>
          <w:rFonts w:hint="eastAsia" w:ascii="宋体" w:hAnsi="宋体" w:eastAsia="宋体" w:cs="宋体"/>
          <w:i w:val="0"/>
          <w:iCs w:val="0"/>
          <w:color w:val="auto"/>
          <w:spacing w:val="0"/>
          <w:kern w:val="0"/>
          <w:position w:val="0"/>
          <w:sz w:val="24"/>
          <w:highlight w:val="none"/>
          <w:lang w:bidi="ar"/>
        </w:rPr>
        <w:t>（</w:t>
      </w:r>
      <w:r>
        <w:rPr>
          <w:rFonts w:hint="eastAsia" w:ascii="宋体" w:hAnsi="宋体" w:eastAsia="宋体" w:cs="宋体"/>
          <w:i w:val="0"/>
          <w:iCs w:val="0"/>
          <w:color w:val="auto"/>
          <w:spacing w:val="0"/>
          <w:position w:val="0"/>
          <w:sz w:val="24"/>
          <w:highlight w:val="none"/>
          <w:lang w:bidi="ar"/>
        </w:rPr>
        <w:t>（北京时间，法定节假日除外）。</w:t>
      </w:r>
    </w:p>
    <w:p w14:paraId="337FE780">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2.地点：北京市政府采购电子交易平台</w:t>
      </w:r>
    </w:p>
    <w:p w14:paraId="5E013F6D">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3.方式：供应商使用CA数字证书或电子营业执照登录北京市政府采购电子交易平台（http</w:t>
      </w:r>
      <w:r>
        <w:rPr>
          <w:rFonts w:hint="eastAsia" w:ascii="宋体" w:hAnsi="宋体" w:eastAsia="宋体" w:cs="宋体"/>
          <w:i w:val="0"/>
          <w:iCs w:val="0"/>
          <w:color w:val="auto"/>
          <w:spacing w:val="0"/>
          <w:position w:val="0"/>
          <w:sz w:val="24"/>
          <w:highlight w:val="none"/>
          <w:lang w:eastAsia="zh-CN" w:bidi="ar"/>
        </w:rPr>
        <w:t>：</w:t>
      </w:r>
      <w:r>
        <w:rPr>
          <w:rFonts w:hint="eastAsia" w:ascii="宋体" w:hAnsi="宋体" w:eastAsia="宋体" w:cs="宋体"/>
          <w:i w:val="0"/>
          <w:iCs w:val="0"/>
          <w:color w:val="auto"/>
          <w:spacing w:val="0"/>
          <w:position w:val="0"/>
          <w:sz w:val="24"/>
          <w:highlight w:val="none"/>
          <w:lang w:bidi="ar"/>
        </w:rPr>
        <w:t>//zbcg-bjzc.zhongcy.com/bjczj-portal-site/index.html#/home）获取电子版招标文件。</w:t>
      </w:r>
    </w:p>
    <w:p w14:paraId="6D146243">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4.售价：0元。</w:t>
      </w:r>
    </w:p>
    <w:p w14:paraId="40B848C6">
      <w:pPr>
        <w:pStyle w:val="4"/>
        <w:pageBreakBefore w:val="0"/>
        <w:widowControl/>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16" w:name="_Toc28359005"/>
      <w:bookmarkStart w:id="17" w:name="_Toc28359082"/>
      <w:bookmarkStart w:id="18" w:name="_Toc35393624"/>
      <w:bookmarkStart w:id="19" w:name="_Toc35393793"/>
      <w:r>
        <w:rPr>
          <w:rFonts w:hint="eastAsia" w:ascii="宋体" w:hAnsi="宋体" w:eastAsia="宋体" w:cs="宋体"/>
          <w:i w:val="0"/>
          <w:iCs w:val="0"/>
          <w:color w:val="auto"/>
          <w:spacing w:val="0"/>
          <w:position w:val="0"/>
          <w:sz w:val="24"/>
          <w:szCs w:val="24"/>
          <w:highlight w:val="none"/>
        </w:rPr>
        <w:t>四、提交投标文件</w:t>
      </w:r>
      <w:bookmarkEnd w:id="16"/>
      <w:bookmarkEnd w:id="17"/>
      <w:r>
        <w:rPr>
          <w:rFonts w:hint="eastAsia" w:ascii="宋体" w:hAnsi="宋体" w:eastAsia="宋体" w:cs="宋体"/>
          <w:i w:val="0"/>
          <w:iCs w:val="0"/>
          <w:color w:val="auto"/>
          <w:spacing w:val="0"/>
          <w:position w:val="0"/>
          <w:sz w:val="24"/>
          <w:szCs w:val="24"/>
          <w:highlight w:val="none"/>
        </w:rPr>
        <w:t>截止时间、开标时间和地点</w:t>
      </w:r>
      <w:bookmarkEnd w:id="18"/>
      <w:bookmarkEnd w:id="19"/>
    </w:p>
    <w:p w14:paraId="72FA4597">
      <w:pPr>
        <w:pageBreakBefore w:val="0"/>
        <w:wordWrap/>
        <w:topLinePunct w:val="0"/>
        <w:bidi w:val="0"/>
        <w:spacing w:line="360" w:lineRule="auto"/>
        <w:ind w:firstLine="480" w:firstLineChars="200"/>
        <w:rPr>
          <w:rFonts w:hint="eastAsia" w:ascii="宋体" w:hAnsi="宋体" w:eastAsia="宋体" w:cs="宋体"/>
          <w:bCs/>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bidi="ar"/>
        </w:rPr>
        <w:t>投标截止时间、开标时间：</w:t>
      </w:r>
      <w:r>
        <w:rPr>
          <w:rFonts w:hint="eastAsia" w:ascii="宋体" w:hAnsi="宋体" w:eastAsia="宋体" w:cs="宋体"/>
          <w:i w:val="0"/>
          <w:iCs w:val="0"/>
          <w:color w:val="auto"/>
          <w:spacing w:val="0"/>
          <w:position w:val="0"/>
          <w:sz w:val="24"/>
          <w:highlight w:val="none"/>
          <w:u w:val="single"/>
          <w:lang w:val="en-US" w:eastAsia="zh-CN" w:bidi="ar"/>
        </w:rPr>
        <w:t>2026</w:t>
      </w:r>
      <w:r>
        <w:rPr>
          <w:rFonts w:hint="eastAsia" w:ascii="宋体" w:hAnsi="宋体" w:eastAsia="宋体" w:cs="宋体"/>
          <w:i w:val="0"/>
          <w:iCs w:val="0"/>
          <w:color w:val="auto"/>
          <w:spacing w:val="0"/>
          <w:position w:val="0"/>
          <w:sz w:val="24"/>
          <w:highlight w:val="none"/>
          <w:lang w:bidi="ar"/>
        </w:rPr>
        <w:t>年</w:t>
      </w:r>
      <w:r>
        <w:rPr>
          <w:rFonts w:hint="eastAsia" w:ascii="宋体" w:hAnsi="宋体" w:cs="宋体"/>
          <w:i w:val="0"/>
          <w:iCs w:val="0"/>
          <w:color w:val="auto"/>
          <w:spacing w:val="0"/>
          <w:position w:val="0"/>
          <w:sz w:val="24"/>
          <w:highlight w:val="none"/>
          <w:u w:val="single"/>
          <w:lang w:val="en-US" w:eastAsia="zh-CN" w:bidi="ar"/>
        </w:rPr>
        <w:t>10</w:t>
      </w:r>
      <w:r>
        <w:rPr>
          <w:rFonts w:hint="eastAsia" w:ascii="宋体" w:hAnsi="宋体" w:eastAsia="宋体" w:cs="宋体"/>
          <w:i w:val="0"/>
          <w:iCs w:val="0"/>
          <w:color w:val="auto"/>
          <w:spacing w:val="0"/>
          <w:position w:val="0"/>
          <w:sz w:val="24"/>
          <w:highlight w:val="none"/>
          <w:lang w:bidi="ar"/>
        </w:rPr>
        <w:t>月</w:t>
      </w:r>
      <w:r>
        <w:rPr>
          <w:rFonts w:hint="eastAsia" w:ascii="宋体" w:hAnsi="宋体" w:cs="宋体"/>
          <w:i w:val="0"/>
          <w:iCs w:val="0"/>
          <w:color w:val="auto"/>
          <w:spacing w:val="0"/>
          <w:position w:val="0"/>
          <w:sz w:val="24"/>
          <w:highlight w:val="none"/>
          <w:u w:val="single"/>
          <w:lang w:val="en-US" w:eastAsia="zh-CN" w:bidi="ar"/>
        </w:rPr>
        <w:t>21</w:t>
      </w:r>
      <w:r>
        <w:rPr>
          <w:rFonts w:hint="eastAsia" w:ascii="宋体" w:hAnsi="宋体" w:eastAsia="宋体" w:cs="宋体"/>
          <w:i w:val="0"/>
          <w:iCs w:val="0"/>
          <w:color w:val="auto"/>
          <w:spacing w:val="0"/>
          <w:position w:val="0"/>
          <w:sz w:val="24"/>
          <w:highlight w:val="none"/>
          <w:lang w:bidi="ar"/>
        </w:rPr>
        <w:t>日</w:t>
      </w:r>
      <w:r>
        <w:rPr>
          <w:rFonts w:hint="eastAsia" w:ascii="宋体" w:hAnsi="宋体" w:eastAsia="宋体" w:cs="宋体"/>
          <w:i w:val="0"/>
          <w:iCs w:val="0"/>
          <w:color w:val="auto"/>
          <w:spacing w:val="0"/>
          <w:kern w:val="0"/>
          <w:position w:val="0"/>
          <w:sz w:val="24"/>
          <w:highlight w:val="none"/>
          <w:u w:val="single"/>
          <w:lang w:val="en-US" w:eastAsia="zh-CN" w:bidi="ar"/>
        </w:rPr>
        <w:t>09</w:t>
      </w:r>
      <w:r>
        <w:rPr>
          <w:rFonts w:hint="eastAsia" w:ascii="宋体" w:hAnsi="宋体" w:eastAsia="宋体" w:cs="宋体"/>
          <w:i w:val="0"/>
          <w:iCs w:val="0"/>
          <w:color w:val="auto"/>
          <w:spacing w:val="0"/>
          <w:kern w:val="0"/>
          <w:position w:val="0"/>
          <w:sz w:val="24"/>
          <w:highlight w:val="none"/>
          <w:lang w:bidi="ar"/>
        </w:rPr>
        <w:t>点</w:t>
      </w:r>
      <w:r>
        <w:rPr>
          <w:rFonts w:hint="eastAsia" w:ascii="宋体" w:hAnsi="宋体" w:cs="宋体"/>
          <w:i w:val="0"/>
          <w:iCs w:val="0"/>
          <w:color w:val="auto"/>
          <w:spacing w:val="0"/>
          <w:kern w:val="0"/>
          <w:position w:val="0"/>
          <w:sz w:val="24"/>
          <w:highlight w:val="none"/>
          <w:u w:val="single"/>
          <w:lang w:val="en-US" w:eastAsia="zh-CN" w:bidi="ar"/>
        </w:rPr>
        <w:t>0</w:t>
      </w:r>
      <w:r>
        <w:rPr>
          <w:rFonts w:hint="eastAsia" w:ascii="宋体" w:hAnsi="宋体" w:eastAsia="宋体" w:cs="宋体"/>
          <w:i w:val="0"/>
          <w:iCs w:val="0"/>
          <w:color w:val="auto"/>
          <w:spacing w:val="0"/>
          <w:kern w:val="0"/>
          <w:position w:val="0"/>
          <w:sz w:val="24"/>
          <w:highlight w:val="none"/>
          <w:u w:val="single"/>
          <w:lang w:val="en-US" w:eastAsia="zh-CN" w:bidi="ar"/>
        </w:rPr>
        <w:t>0</w:t>
      </w:r>
      <w:r>
        <w:rPr>
          <w:rFonts w:hint="eastAsia" w:ascii="宋体" w:hAnsi="宋体" w:eastAsia="宋体" w:cs="宋体"/>
          <w:i w:val="0"/>
          <w:iCs w:val="0"/>
          <w:color w:val="auto"/>
          <w:spacing w:val="0"/>
          <w:kern w:val="0"/>
          <w:position w:val="0"/>
          <w:sz w:val="24"/>
          <w:highlight w:val="none"/>
          <w:lang w:bidi="ar"/>
        </w:rPr>
        <w:t>分</w:t>
      </w:r>
      <w:r>
        <w:rPr>
          <w:rFonts w:hint="eastAsia" w:ascii="宋体" w:hAnsi="宋体" w:eastAsia="宋体" w:cs="宋体"/>
          <w:bCs/>
          <w:i w:val="0"/>
          <w:iCs w:val="0"/>
          <w:color w:val="auto"/>
          <w:spacing w:val="0"/>
          <w:position w:val="0"/>
          <w:sz w:val="24"/>
          <w:highlight w:val="none"/>
          <w:lang w:bidi="ar"/>
        </w:rPr>
        <w:t>（北京时间）</w:t>
      </w:r>
      <w:r>
        <w:rPr>
          <w:rFonts w:hint="eastAsia" w:ascii="宋体" w:hAnsi="宋体" w:eastAsia="宋体" w:cs="宋体"/>
          <w:i w:val="0"/>
          <w:iCs w:val="0"/>
          <w:color w:val="auto"/>
          <w:spacing w:val="0"/>
          <w:position w:val="0"/>
          <w:sz w:val="24"/>
          <w:highlight w:val="none"/>
          <w:lang w:bidi="ar"/>
        </w:rPr>
        <w:t>。</w:t>
      </w:r>
    </w:p>
    <w:p w14:paraId="7DE255A9">
      <w:pPr>
        <w:pageBreakBefore w:val="0"/>
        <w:wordWrap/>
        <w:topLinePunct w:val="0"/>
        <w:bidi w:val="0"/>
        <w:spacing w:line="360" w:lineRule="auto"/>
        <w:ind w:firstLine="480" w:firstLineChars="200"/>
        <w:rPr>
          <w:rFonts w:hint="eastAsia" w:ascii="宋体" w:hAnsi="宋体" w:eastAsia="宋体" w:cs="宋体"/>
          <w:bCs/>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bidi="ar"/>
        </w:rPr>
        <w:t>地点：北京市政府采购电子交易平台</w:t>
      </w:r>
      <w:r>
        <w:rPr>
          <w:rFonts w:hint="eastAsia" w:ascii="宋体" w:hAnsi="宋体" w:eastAsia="宋体" w:cs="宋体"/>
          <w:i w:val="0"/>
          <w:iCs w:val="0"/>
          <w:color w:val="auto"/>
          <w:spacing w:val="0"/>
          <w:position w:val="0"/>
          <w:sz w:val="24"/>
          <w:highlight w:val="none"/>
          <w:lang w:val="zh-TW" w:bidi="ar"/>
        </w:rPr>
        <w:t>。</w:t>
      </w:r>
    </w:p>
    <w:p w14:paraId="65E373E0">
      <w:pPr>
        <w:pStyle w:val="4"/>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0" w:name="_Toc28359084"/>
      <w:bookmarkStart w:id="21" w:name="_Toc35393625"/>
      <w:bookmarkStart w:id="22" w:name="_Toc28359007"/>
      <w:bookmarkStart w:id="23" w:name="_Toc35393794"/>
      <w:r>
        <w:rPr>
          <w:rFonts w:hint="eastAsia" w:ascii="宋体" w:hAnsi="宋体" w:eastAsia="宋体" w:cs="宋体"/>
          <w:i w:val="0"/>
          <w:iCs w:val="0"/>
          <w:color w:val="auto"/>
          <w:spacing w:val="0"/>
          <w:position w:val="0"/>
          <w:sz w:val="24"/>
          <w:szCs w:val="24"/>
          <w:highlight w:val="none"/>
        </w:rPr>
        <w:t>五、公告期限</w:t>
      </w:r>
      <w:bookmarkEnd w:id="20"/>
      <w:bookmarkEnd w:id="21"/>
      <w:bookmarkEnd w:id="22"/>
      <w:bookmarkEnd w:id="23"/>
    </w:p>
    <w:p w14:paraId="050E14D9">
      <w:pPr>
        <w:pageBreakBefore w:val="0"/>
        <w:wordWrap/>
        <w:topLinePunct w:val="0"/>
        <w:bidi w:val="0"/>
        <w:spacing w:line="360" w:lineRule="auto"/>
        <w:ind w:firstLine="480" w:firstLineChars="200"/>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自本公告发布之日起5个工作日。</w:t>
      </w:r>
    </w:p>
    <w:p w14:paraId="1BA8C220">
      <w:pPr>
        <w:pStyle w:val="4"/>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4" w:name="_Toc35393795"/>
      <w:bookmarkStart w:id="25" w:name="_Toc35393626"/>
      <w:r>
        <w:rPr>
          <w:rFonts w:hint="eastAsia" w:ascii="宋体" w:hAnsi="宋体" w:eastAsia="宋体" w:cs="宋体"/>
          <w:i w:val="0"/>
          <w:iCs w:val="0"/>
          <w:color w:val="auto"/>
          <w:spacing w:val="0"/>
          <w:position w:val="0"/>
          <w:sz w:val="24"/>
          <w:szCs w:val="24"/>
          <w:highlight w:val="none"/>
        </w:rPr>
        <w:t>六、其他补充事宜</w:t>
      </w:r>
      <w:bookmarkEnd w:id="24"/>
      <w:bookmarkEnd w:id="25"/>
    </w:p>
    <w:p w14:paraId="3B045D2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1.本项目需要落实的政府采购政策：</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1）</w:t>
      </w:r>
      <w:r>
        <w:rPr>
          <w:rFonts w:hint="eastAsia" w:ascii="宋体" w:hAnsi="宋体" w:eastAsia="宋体" w:cs="宋体"/>
          <w:i w:val="0"/>
          <w:iCs w:val="0"/>
          <w:color w:val="auto"/>
          <w:spacing w:val="0"/>
          <w:position w:val="0"/>
          <w:sz w:val="24"/>
          <w:highlight w:val="none"/>
          <w:u w:val="single"/>
          <w:lang w:bidi="ar"/>
        </w:rPr>
        <w:t>政府采购异常低价审查</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2）</w:t>
      </w:r>
      <w:r>
        <w:rPr>
          <w:rFonts w:hint="eastAsia" w:ascii="宋体" w:hAnsi="宋体" w:eastAsia="宋体" w:cs="宋体"/>
          <w:i w:val="0"/>
          <w:iCs w:val="0"/>
          <w:color w:val="auto"/>
          <w:spacing w:val="0"/>
          <w:position w:val="0"/>
          <w:sz w:val="24"/>
          <w:highlight w:val="none"/>
          <w:u w:val="single"/>
          <w:lang w:bidi="ar"/>
        </w:rPr>
        <w:t>政府采购促进中小企业发展；</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3）</w:t>
      </w:r>
      <w:r>
        <w:rPr>
          <w:rFonts w:hint="eastAsia" w:ascii="宋体" w:hAnsi="宋体" w:eastAsia="宋体" w:cs="宋体"/>
          <w:i w:val="0"/>
          <w:iCs w:val="0"/>
          <w:color w:val="auto"/>
          <w:spacing w:val="0"/>
          <w:position w:val="0"/>
          <w:sz w:val="24"/>
          <w:highlight w:val="none"/>
          <w:u w:val="single"/>
          <w:lang w:bidi="ar"/>
        </w:rPr>
        <w:t>政府采购促进残疾人就业；</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4）</w:t>
      </w:r>
      <w:r>
        <w:rPr>
          <w:rFonts w:hint="eastAsia" w:ascii="宋体" w:hAnsi="宋体" w:eastAsia="宋体" w:cs="宋体"/>
          <w:i w:val="0"/>
          <w:iCs w:val="0"/>
          <w:color w:val="auto"/>
          <w:spacing w:val="0"/>
          <w:position w:val="0"/>
          <w:sz w:val="24"/>
          <w:highlight w:val="none"/>
          <w:u w:val="single"/>
          <w:lang w:bidi="ar"/>
        </w:rPr>
        <w:t>政府采购项目支持监狱企业发展；</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5）</w:t>
      </w:r>
      <w:r>
        <w:rPr>
          <w:rFonts w:hint="eastAsia" w:ascii="宋体" w:hAnsi="宋体" w:eastAsia="宋体" w:cs="宋体"/>
          <w:i w:val="0"/>
          <w:iCs w:val="0"/>
          <w:color w:val="auto"/>
          <w:spacing w:val="0"/>
          <w:position w:val="0"/>
          <w:sz w:val="24"/>
          <w:highlight w:val="none"/>
          <w:u w:val="single"/>
          <w:lang w:bidi="ar"/>
        </w:rPr>
        <w:t>扶持不发达地区和少数民族地区；</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6）</w:t>
      </w:r>
      <w:r>
        <w:rPr>
          <w:rFonts w:hint="eastAsia" w:ascii="宋体" w:hAnsi="宋体" w:eastAsia="宋体" w:cs="宋体"/>
          <w:i w:val="0"/>
          <w:iCs w:val="0"/>
          <w:color w:val="auto"/>
          <w:spacing w:val="0"/>
          <w:position w:val="0"/>
          <w:sz w:val="24"/>
          <w:highlight w:val="none"/>
          <w:u w:val="single"/>
          <w:lang w:bidi="ar"/>
        </w:rPr>
        <w:t>本国产品</w:t>
      </w:r>
      <w:r>
        <w:rPr>
          <w:rFonts w:hint="eastAsia" w:ascii="宋体" w:hAnsi="宋体" w:eastAsia="宋体" w:cs="宋体"/>
          <w:i w:val="0"/>
          <w:iCs w:val="0"/>
          <w:color w:val="auto"/>
          <w:spacing w:val="0"/>
          <w:position w:val="0"/>
          <w:sz w:val="24"/>
          <w:highlight w:val="none"/>
          <w:u w:val="single"/>
          <w:lang w:val="en-US" w:eastAsia="zh-CN" w:bidi="ar"/>
        </w:rPr>
        <w:t>标准及要求</w:t>
      </w:r>
      <w:r>
        <w:rPr>
          <w:rFonts w:hint="eastAsia" w:ascii="宋体" w:hAnsi="宋体" w:eastAsia="宋体" w:cs="宋体"/>
          <w:i w:val="0"/>
          <w:iCs w:val="0"/>
          <w:color w:val="auto"/>
          <w:spacing w:val="0"/>
          <w:position w:val="0"/>
          <w:sz w:val="24"/>
          <w:highlight w:val="none"/>
          <w:u w:val="single"/>
          <w:lang w:bidi="ar"/>
        </w:rPr>
        <w:t>；</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7）</w:t>
      </w:r>
      <w:r>
        <w:rPr>
          <w:rFonts w:hint="eastAsia" w:ascii="宋体" w:hAnsi="宋体" w:eastAsia="宋体" w:cs="宋体"/>
          <w:i w:val="0"/>
          <w:iCs w:val="0"/>
          <w:color w:val="auto"/>
          <w:spacing w:val="0"/>
          <w:position w:val="0"/>
          <w:sz w:val="24"/>
          <w:highlight w:val="none"/>
          <w:u w:val="single"/>
          <w:lang w:bidi="ar"/>
        </w:rPr>
        <w:t>节能产品强制采购；</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8）</w:t>
      </w:r>
      <w:r>
        <w:rPr>
          <w:rFonts w:hint="eastAsia" w:ascii="宋体" w:hAnsi="宋体" w:eastAsia="宋体" w:cs="宋体"/>
          <w:i w:val="0"/>
          <w:iCs w:val="0"/>
          <w:color w:val="auto"/>
          <w:spacing w:val="0"/>
          <w:position w:val="0"/>
          <w:sz w:val="24"/>
          <w:highlight w:val="none"/>
          <w:u w:val="single"/>
          <w:lang w:bidi="ar"/>
        </w:rPr>
        <w:t>节能产品、环境标志产品优先采购；</w:t>
      </w:r>
      <w:r>
        <w:rPr>
          <w:rFonts w:hint="eastAsia" w:ascii="宋体" w:hAnsi="宋体" w:eastAsia="宋体" w:cs="宋体"/>
          <w:i w:val="0"/>
          <w:iCs w:val="0"/>
          <w:color w:val="auto"/>
          <w:spacing w:val="0"/>
          <w:position w:val="0"/>
          <w:sz w:val="24"/>
          <w:highlight w:val="none"/>
          <w:u w:val="single"/>
          <w:lang w:eastAsia="zh-CN" w:bidi="ar"/>
        </w:rPr>
        <w:t>（</w:t>
      </w:r>
      <w:r>
        <w:rPr>
          <w:rFonts w:hint="eastAsia" w:ascii="宋体" w:hAnsi="宋体" w:eastAsia="宋体" w:cs="宋体"/>
          <w:i w:val="0"/>
          <w:iCs w:val="0"/>
          <w:color w:val="auto"/>
          <w:spacing w:val="0"/>
          <w:position w:val="0"/>
          <w:sz w:val="24"/>
          <w:highlight w:val="none"/>
          <w:u w:val="single"/>
          <w:lang w:val="en-US" w:eastAsia="zh-CN" w:bidi="ar"/>
        </w:rPr>
        <w:t>9）</w:t>
      </w:r>
      <w:r>
        <w:rPr>
          <w:rFonts w:hint="eastAsia" w:ascii="宋体" w:hAnsi="宋体" w:eastAsia="宋体" w:cs="宋体"/>
          <w:i w:val="0"/>
          <w:iCs w:val="0"/>
          <w:color w:val="auto"/>
          <w:spacing w:val="0"/>
          <w:position w:val="0"/>
          <w:sz w:val="24"/>
          <w:highlight w:val="none"/>
          <w:u w:val="single"/>
          <w:lang w:bidi="ar"/>
        </w:rPr>
        <w:t>政府采购信用担保。</w:t>
      </w:r>
    </w:p>
    <w:p w14:paraId="4FCAC379">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bCs/>
          <w:i w:val="0"/>
          <w:iCs w:val="0"/>
          <w:color w:val="auto"/>
          <w:spacing w:val="0"/>
          <w:position w:val="0"/>
          <w:sz w:val="24"/>
          <w:highlight w:val="none"/>
          <w:lang w:bidi="ar"/>
        </w:rPr>
      </w:pPr>
      <w:r>
        <w:rPr>
          <w:rFonts w:hint="eastAsia" w:ascii="宋体" w:hAnsi="宋体" w:cs="宋体"/>
          <w:b w:val="0"/>
          <w:bCs w:val="0"/>
          <w:i w:val="0"/>
          <w:iCs w:val="0"/>
          <w:color w:val="auto"/>
          <w:spacing w:val="0"/>
          <w:position w:val="0"/>
          <w:sz w:val="24"/>
          <w:highlight w:val="none"/>
          <w:lang w:val="en-US" w:eastAsia="zh-CN" w:bidi="ar"/>
        </w:rPr>
        <w:t>2</w:t>
      </w:r>
      <w:r>
        <w:rPr>
          <w:rFonts w:hint="eastAsia" w:ascii="宋体" w:hAnsi="宋体" w:eastAsia="宋体" w:cs="宋体"/>
          <w:b w:val="0"/>
          <w:bCs w:val="0"/>
          <w:i w:val="0"/>
          <w:iCs w:val="0"/>
          <w:color w:val="auto"/>
          <w:spacing w:val="0"/>
          <w:position w:val="0"/>
          <w:sz w:val="24"/>
          <w:highlight w:val="none"/>
          <w:lang w:bidi="ar"/>
        </w:rPr>
        <w:t>.本项目采用全流程电子化采购方式，请供应商认真学习北京市政府采购电子交易平台发布的相关操作手册（供应商可在交易平台下载相关手册），办理CA数字证书或电子营业执照、进行北京市政府采购电子交</w:t>
      </w:r>
      <w:r>
        <w:rPr>
          <w:rFonts w:hint="eastAsia" w:ascii="宋体" w:hAnsi="宋体" w:eastAsia="宋体" w:cs="宋体"/>
          <w:i w:val="0"/>
          <w:iCs w:val="0"/>
          <w:color w:val="auto"/>
          <w:spacing w:val="0"/>
          <w:position w:val="0"/>
          <w:sz w:val="24"/>
          <w:highlight w:val="none"/>
          <w:lang w:bidi="ar"/>
        </w:rPr>
        <w:t>易平台注册绑定，并认真核实</w:t>
      </w:r>
      <w:r>
        <w:rPr>
          <w:rFonts w:hint="eastAsia" w:ascii="宋体" w:hAnsi="宋体" w:eastAsia="宋体" w:cs="宋体"/>
          <w:bCs/>
          <w:i w:val="0"/>
          <w:iCs w:val="0"/>
          <w:color w:val="auto"/>
          <w:spacing w:val="0"/>
          <w:position w:val="0"/>
          <w:sz w:val="24"/>
          <w:highlight w:val="none"/>
          <w:lang w:bidi="ar"/>
        </w:rPr>
        <w:t>CA数字证书</w:t>
      </w:r>
      <w:r>
        <w:rPr>
          <w:rFonts w:hint="eastAsia" w:ascii="宋体" w:hAnsi="宋体" w:eastAsia="宋体" w:cs="宋体"/>
          <w:i w:val="0"/>
          <w:iCs w:val="0"/>
          <w:color w:val="auto"/>
          <w:spacing w:val="0"/>
          <w:position w:val="0"/>
          <w:sz w:val="24"/>
          <w:highlight w:val="none"/>
          <w:lang w:bidi="ar"/>
        </w:rPr>
        <w:t>或电子营业执照</w:t>
      </w:r>
      <w:r>
        <w:rPr>
          <w:rFonts w:hint="eastAsia" w:ascii="宋体" w:hAnsi="宋体" w:eastAsia="宋体" w:cs="宋体"/>
          <w:bCs/>
          <w:i w:val="0"/>
          <w:iCs w:val="0"/>
          <w:color w:val="auto"/>
          <w:spacing w:val="0"/>
          <w:position w:val="0"/>
          <w:sz w:val="24"/>
          <w:highlight w:val="none"/>
          <w:lang w:bidi="ar"/>
        </w:rPr>
        <w:t>情况确认是否符合本项目电子化采购流程要求。</w:t>
      </w:r>
    </w:p>
    <w:p w14:paraId="0EFF827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CA数字证书服务热线 010-58511086</w:t>
      </w:r>
    </w:p>
    <w:p w14:paraId="321A260E">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电子营业执照服务热线 400-699-7000</w:t>
      </w:r>
    </w:p>
    <w:p w14:paraId="0B29A92A">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技术支持服务热线    010-86483801</w:t>
      </w:r>
    </w:p>
    <w:p w14:paraId="3E8E4E2C">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.1办理CA数字证书或电子营业执照</w:t>
      </w:r>
    </w:p>
    <w:p w14:paraId="6E56F483">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供应商登录北京市政府采购电子交易平台查阅 “用户指南”—“操作指南”—“市场主体CA办理操作流程指引”/“电子营业执照使用指南”，按照程序要求办理。</w:t>
      </w:r>
    </w:p>
    <w:p w14:paraId="595D49C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.2注册</w:t>
      </w:r>
    </w:p>
    <w:p w14:paraId="1F7FE91F">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供应商登录北京市政府采购电子交易平台“用户指南”—“操作指南”—“市场主体注册入库操作流程指引”进行自助注册绑定。</w:t>
      </w:r>
    </w:p>
    <w:p w14:paraId="1B14B7E1">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3.3驱动、客户端下载</w:t>
      </w:r>
    </w:p>
    <w:p w14:paraId="2B709FE8">
      <w:pPr>
        <w:pageBreakBefore w:val="0"/>
        <w:widowControl/>
        <w:wordWrap/>
        <w:topLinePunct w:val="0"/>
        <w:bidi w:val="0"/>
        <w:adjustRightInd w:val="0"/>
        <w:snapToGrid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lang w:bidi="ar"/>
        </w:rPr>
        <w:t>供应商登录北京市政府采购电子交易平台“用户指南”—“工具下载”—“招标采购系统文件驱动安装包”下载相关驱动。</w:t>
      </w:r>
    </w:p>
    <w:p w14:paraId="1AC331BE">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供应商登录北京市政府采购电子交易平台“用户指南”—“工具下载”—“投标文件编制工具”下载相关客户端。</w:t>
      </w:r>
    </w:p>
    <w:p w14:paraId="2B12E185">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.4 获取电子招标文件</w:t>
      </w:r>
    </w:p>
    <w:p w14:paraId="6803B586">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供应商使用CA数字证书或电子营业执照登录北京市政府采购电子交易平台获取电子招标文件。</w:t>
      </w:r>
    </w:p>
    <w:p w14:paraId="6CF1280B">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7746C74">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bidi="ar"/>
        </w:rPr>
        <w:t>.5编制电子投标文件</w:t>
      </w:r>
    </w:p>
    <w:p w14:paraId="14A5BE35">
      <w:pPr>
        <w:pageBreakBefore w:val="0"/>
        <w:wordWrap/>
        <w:topLinePunct w:val="0"/>
        <w:bidi w:val="0"/>
        <w:adjustRightInd w:val="0"/>
        <w:snapToGrid w:val="0"/>
        <w:spacing w:line="360" w:lineRule="auto"/>
        <w:ind w:firstLine="480" w:firstLineChars="200"/>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供应商应使用电子投标客户端编制电子投标文件并进行线上投标，供应商电子投标文件需要加密并加盖电子签章</w:t>
      </w:r>
      <w:r>
        <w:rPr>
          <w:rFonts w:hint="eastAsia" w:ascii="宋体" w:hAnsi="宋体" w:eastAsia="宋体" w:cs="宋体"/>
          <w:bCs/>
          <w:i w:val="0"/>
          <w:iCs w:val="0"/>
          <w:color w:val="auto"/>
          <w:spacing w:val="0"/>
          <w:position w:val="0"/>
          <w:sz w:val="24"/>
          <w:highlight w:val="none"/>
          <w:lang w:bidi="ar"/>
        </w:rPr>
        <w:t>，如无法按照要求在电子投标文件中加盖电子签章和加密，请及时通过技术支持服务热线联系技术人员</w:t>
      </w:r>
      <w:r>
        <w:rPr>
          <w:rFonts w:hint="eastAsia" w:ascii="宋体" w:hAnsi="宋体" w:eastAsia="宋体" w:cs="宋体"/>
          <w:i w:val="0"/>
          <w:iCs w:val="0"/>
          <w:color w:val="auto"/>
          <w:spacing w:val="0"/>
          <w:position w:val="0"/>
          <w:sz w:val="24"/>
          <w:highlight w:val="none"/>
          <w:lang w:bidi="ar"/>
        </w:rPr>
        <w:t>。</w:t>
      </w:r>
    </w:p>
    <w:p w14:paraId="43AC9D00">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val="zh-TW"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val="zh-TW" w:eastAsia="zh-TW" w:bidi="ar"/>
        </w:rPr>
        <w:t>.6</w:t>
      </w:r>
      <w:r>
        <w:rPr>
          <w:rFonts w:hint="eastAsia" w:ascii="宋体" w:hAnsi="宋体" w:eastAsia="宋体" w:cs="宋体"/>
          <w:i w:val="0"/>
          <w:iCs w:val="0"/>
          <w:color w:val="auto"/>
          <w:spacing w:val="0"/>
          <w:position w:val="0"/>
          <w:sz w:val="24"/>
          <w:highlight w:val="none"/>
          <w:lang w:val="zh-TW" w:bidi="ar"/>
        </w:rPr>
        <w:t>提交电子投标文件</w:t>
      </w:r>
    </w:p>
    <w:p w14:paraId="622645D4">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bidi="ar"/>
        </w:rPr>
      </w:pPr>
      <w:r>
        <w:rPr>
          <w:rFonts w:hint="eastAsia" w:ascii="宋体" w:hAnsi="宋体" w:eastAsia="宋体" w:cs="宋体"/>
          <w:i w:val="0"/>
          <w:iCs w:val="0"/>
          <w:color w:val="auto"/>
          <w:spacing w:val="0"/>
          <w:position w:val="0"/>
          <w:sz w:val="24"/>
          <w:highlight w:val="none"/>
          <w:lang w:bidi="ar"/>
        </w:rPr>
        <w:t>供应商应于投标截止时间前在北京市政府采购电子交易平台提交电子投标文件，上传电子投标文件过程中请保持与互联网的连接畅通。</w:t>
      </w:r>
    </w:p>
    <w:p w14:paraId="6D5F3E92">
      <w:pPr>
        <w:pageBreakBefore w:val="0"/>
        <w:widowControl/>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lang w:eastAsia="zh-TW" w:bidi="ar"/>
        </w:rPr>
      </w:pPr>
      <w:r>
        <w:rPr>
          <w:rFonts w:hint="eastAsia" w:ascii="宋体" w:hAnsi="宋体" w:cs="宋体"/>
          <w:i w:val="0"/>
          <w:iCs w:val="0"/>
          <w:color w:val="auto"/>
          <w:spacing w:val="0"/>
          <w:position w:val="0"/>
          <w:sz w:val="24"/>
          <w:highlight w:val="none"/>
          <w:lang w:val="en-US" w:eastAsia="zh-CN" w:bidi="ar"/>
        </w:rPr>
        <w:t>2</w:t>
      </w:r>
      <w:r>
        <w:rPr>
          <w:rFonts w:hint="eastAsia" w:ascii="宋体" w:hAnsi="宋体" w:eastAsia="宋体" w:cs="宋体"/>
          <w:i w:val="0"/>
          <w:iCs w:val="0"/>
          <w:color w:val="auto"/>
          <w:spacing w:val="0"/>
          <w:position w:val="0"/>
          <w:sz w:val="24"/>
          <w:highlight w:val="none"/>
          <w:lang w:val="zh-TW" w:bidi="ar"/>
        </w:rPr>
        <w:t>.</w:t>
      </w:r>
      <w:r>
        <w:rPr>
          <w:rFonts w:hint="eastAsia" w:ascii="宋体" w:hAnsi="宋体" w:eastAsia="宋体" w:cs="宋体"/>
          <w:i w:val="0"/>
          <w:iCs w:val="0"/>
          <w:color w:val="auto"/>
          <w:spacing w:val="0"/>
          <w:position w:val="0"/>
          <w:sz w:val="24"/>
          <w:highlight w:val="none"/>
          <w:lang w:val="zh-TW" w:eastAsia="zh-TW" w:bidi="ar"/>
        </w:rPr>
        <w:t>7</w:t>
      </w:r>
      <w:r>
        <w:rPr>
          <w:rFonts w:hint="eastAsia" w:ascii="宋体" w:hAnsi="宋体" w:eastAsia="宋体" w:cs="宋体"/>
          <w:i w:val="0"/>
          <w:iCs w:val="0"/>
          <w:color w:val="auto"/>
          <w:spacing w:val="0"/>
          <w:position w:val="0"/>
          <w:sz w:val="24"/>
          <w:highlight w:val="none"/>
          <w:lang w:val="zh-TW" w:bidi="ar"/>
        </w:rPr>
        <w:t>电子开标</w:t>
      </w:r>
    </w:p>
    <w:p w14:paraId="736D9323">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lang w:val="zh-TW" w:bidi="ar"/>
        </w:rPr>
      </w:pPr>
      <w:r>
        <w:rPr>
          <w:rFonts w:hint="eastAsia" w:ascii="宋体" w:hAnsi="宋体" w:eastAsia="宋体" w:cs="宋体"/>
          <w:i w:val="0"/>
          <w:iCs w:val="0"/>
          <w:color w:val="auto"/>
          <w:spacing w:val="0"/>
          <w:position w:val="0"/>
          <w:sz w:val="24"/>
          <w:highlight w:val="none"/>
          <w:lang w:val="zh-TW" w:bidi="ar"/>
        </w:rPr>
        <w:t>供应商在开标地点使用</w:t>
      </w:r>
      <w:r>
        <w:rPr>
          <w:rFonts w:hint="eastAsia" w:ascii="宋体" w:hAnsi="宋体" w:eastAsia="宋体" w:cs="宋体"/>
          <w:i w:val="0"/>
          <w:iCs w:val="0"/>
          <w:color w:val="auto"/>
          <w:spacing w:val="0"/>
          <w:position w:val="0"/>
          <w:sz w:val="24"/>
          <w:highlight w:val="none"/>
          <w:lang w:bidi="ar"/>
        </w:rPr>
        <w:t>CA数字证书或电子营业执照</w:t>
      </w:r>
      <w:r>
        <w:rPr>
          <w:rFonts w:hint="eastAsia" w:ascii="宋体" w:hAnsi="宋体" w:eastAsia="宋体" w:cs="宋体"/>
          <w:i w:val="0"/>
          <w:iCs w:val="0"/>
          <w:color w:val="auto"/>
          <w:spacing w:val="0"/>
          <w:position w:val="0"/>
          <w:sz w:val="24"/>
          <w:highlight w:val="none"/>
          <w:lang w:val="zh-TW" w:bidi="ar"/>
        </w:rPr>
        <w:t>登录</w:t>
      </w:r>
      <w:r>
        <w:rPr>
          <w:rFonts w:hint="eastAsia" w:ascii="宋体" w:hAnsi="宋体" w:eastAsia="宋体" w:cs="宋体"/>
          <w:i w:val="0"/>
          <w:iCs w:val="0"/>
          <w:color w:val="auto"/>
          <w:spacing w:val="0"/>
          <w:position w:val="0"/>
          <w:sz w:val="24"/>
          <w:highlight w:val="none"/>
          <w:lang w:bidi="ar"/>
        </w:rPr>
        <w:t>北京市政府采购电子交易平台进行电子开标</w:t>
      </w:r>
      <w:r>
        <w:rPr>
          <w:rFonts w:hint="eastAsia" w:ascii="宋体" w:hAnsi="宋体" w:eastAsia="宋体" w:cs="宋体"/>
          <w:i w:val="0"/>
          <w:iCs w:val="0"/>
          <w:color w:val="auto"/>
          <w:spacing w:val="0"/>
          <w:position w:val="0"/>
          <w:sz w:val="24"/>
          <w:highlight w:val="none"/>
          <w:lang w:val="zh-TW" w:bidi="ar"/>
        </w:rPr>
        <w:t>。</w:t>
      </w:r>
    </w:p>
    <w:p w14:paraId="72C1B2A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u w:val="single"/>
          <w:lang w:val="en-US" w:eastAsia="zh-CN"/>
        </w:rPr>
      </w:pPr>
    </w:p>
    <w:p w14:paraId="65B6CECD">
      <w:pPr>
        <w:pStyle w:val="4"/>
        <w:pageBreakBefore w:val="0"/>
        <w:wordWrap/>
        <w:topLinePunct w:val="0"/>
        <w:bidi w:val="0"/>
        <w:spacing w:before="0" w:line="360" w:lineRule="auto"/>
        <w:jc w:val="left"/>
        <w:rPr>
          <w:rFonts w:hint="eastAsia" w:ascii="宋体" w:hAnsi="宋体" w:eastAsia="宋体" w:cs="宋体"/>
          <w:i w:val="0"/>
          <w:iCs w:val="0"/>
          <w:color w:val="auto"/>
          <w:spacing w:val="0"/>
          <w:position w:val="0"/>
          <w:sz w:val="24"/>
          <w:szCs w:val="24"/>
          <w:highlight w:val="none"/>
        </w:rPr>
      </w:pPr>
      <w:bookmarkStart w:id="26" w:name="_Toc35393627"/>
      <w:bookmarkStart w:id="27" w:name="_Toc28359008"/>
      <w:bookmarkStart w:id="28" w:name="_Toc35393796"/>
      <w:bookmarkStart w:id="29" w:name="_Toc28359085"/>
      <w:r>
        <w:rPr>
          <w:rFonts w:hint="eastAsia" w:ascii="宋体" w:hAnsi="宋体" w:eastAsia="宋体" w:cs="宋体"/>
          <w:i w:val="0"/>
          <w:iCs w:val="0"/>
          <w:color w:val="auto"/>
          <w:spacing w:val="0"/>
          <w:position w:val="0"/>
          <w:sz w:val="24"/>
          <w:szCs w:val="24"/>
          <w:highlight w:val="none"/>
        </w:rPr>
        <w:t>七、对本次招标提出询问，请按以下方式联系。</w:t>
      </w:r>
      <w:bookmarkEnd w:id="26"/>
      <w:bookmarkEnd w:id="27"/>
      <w:bookmarkEnd w:id="28"/>
      <w:bookmarkEnd w:id="29"/>
    </w:p>
    <w:p w14:paraId="7A51B41D">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1.采购人信息</w:t>
      </w:r>
    </w:p>
    <w:p w14:paraId="48AFEC8A">
      <w:pPr>
        <w:pageBreakBefore w:val="0"/>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bookmarkStart w:id="30" w:name="_Toc28359009"/>
      <w:bookmarkStart w:id="31" w:name="_Toc28359086"/>
      <w:r>
        <w:rPr>
          <w:rFonts w:hint="eastAsia" w:ascii="宋体" w:hAnsi="宋体" w:eastAsia="宋体" w:cs="宋体"/>
          <w:i w:val="0"/>
          <w:iCs w:val="0"/>
          <w:color w:val="auto"/>
          <w:spacing w:val="0"/>
          <w:position w:val="0"/>
          <w:sz w:val="24"/>
          <w:highlight w:val="none"/>
        </w:rPr>
        <w:t>名    称：</w:t>
      </w:r>
      <w:r>
        <w:rPr>
          <w:rFonts w:hint="eastAsia" w:ascii="宋体" w:hAnsi="宋体" w:cs="宋体"/>
          <w:i w:val="0"/>
          <w:iCs w:val="0"/>
          <w:color w:val="auto"/>
          <w:spacing w:val="0"/>
          <w:position w:val="0"/>
          <w:sz w:val="24"/>
          <w:highlight w:val="none"/>
          <w:u w:val="single"/>
          <w:lang w:eastAsia="zh-CN"/>
        </w:rPr>
        <w:t>北京市通州区生态环境局</w:t>
      </w:r>
    </w:p>
    <w:p w14:paraId="089E06DA">
      <w:pPr>
        <w:pageBreakBefore w:val="0"/>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地    址：</w:t>
      </w:r>
      <w:r>
        <w:rPr>
          <w:rFonts w:hint="eastAsia" w:ascii="宋体" w:hAnsi="宋体" w:eastAsia="宋体" w:cs="宋体"/>
          <w:i w:val="0"/>
          <w:iCs w:val="0"/>
          <w:color w:val="auto"/>
          <w:spacing w:val="0"/>
          <w:position w:val="0"/>
          <w:sz w:val="24"/>
          <w:highlight w:val="none"/>
          <w:u w:val="single"/>
        </w:rPr>
        <w:t>北京市通州区运河西大街248号</w:t>
      </w:r>
    </w:p>
    <w:p w14:paraId="5095FE9D">
      <w:pPr>
        <w:keepNext w:val="0"/>
        <w:keepLines w:val="0"/>
        <w:pageBreakBefore w:val="0"/>
        <w:kinsoku/>
        <w:wordWrap/>
        <w:overflowPunct/>
        <w:topLinePunct w:val="0"/>
        <w:autoSpaceDE/>
        <w:autoSpaceDN/>
        <w:bidi w:val="0"/>
        <w:adjustRightInd/>
        <w:snapToGrid/>
        <w:spacing w:line="360" w:lineRule="auto"/>
        <w:ind w:left="1079" w:leftChars="371" w:hanging="300" w:hangingChars="125"/>
        <w:jc w:val="left"/>
        <w:textAlignment w:val="auto"/>
        <w:outlineLvl w:val="9"/>
        <w:rPr>
          <w:rFonts w:hint="default" w:ascii="宋体" w:hAnsi="宋体" w:eastAsia="宋体" w:cs="宋体"/>
          <w:i w:val="0"/>
          <w:iCs w:val="0"/>
          <w:color w:val="auto"/>
          <w:spacing w:val="0"/>
          <w:position w:val="0"/>
          <w:sz w:val="24"/>
          <w:highlight w:val="none"/>
          <w:u w:val="single"/>
          <w:lang w:val="en-US" w:eastAsia="zh-CN"/>
        </w:rPr>
      </w:pPr>
      <w:r>
        <w:rPr>
          <w:rFonts w:hint="eastAsia" w:ascii="宋体" w:hAnsi="宋体" w:eastAsia="宋体" w:cs="宋体"/>
          <w:i w:val="0"/>
          <w:iCs w:val="0"/>
          <w:color w:val="auto"/>
          <w:spacing w:val="0"/>
          <w:position w:val="0"/>
          <w:sz w:val="24"/>
          <w:highlight w:val="none"/>
        </w:rPr>
        <w:t>联系方式：</w:t>
      </w:r>
      <w:r>
        <w:rPr>
          <w:rFonts w:hint="eastAsia" w:ascii="宋体" w:hAnsi="宋体" w:cs="宋体"/>
          <w:i w:val="0"/>
          <w:iCs w:val="0"/>
          <w:color w:val="auto"/>
          <w:spacing w:val="0"/>
          <w:position w:val="0"/>
          <w:sz w:val="24"/>
          <w:highlight w:val="none"/>
          <w:u w:val="single"/>
          <w:lang w:eastAsia="zh-CN"/>
        </w:rPr>
        <w:t>刘老师</w:t>
      </w:r>
      <w:r>
        <w:rPr>
          <w:rFonts w:hint="eastAsia" w:ascii="宋体" w:hAnsi="宋体" w:cs="宋体"/>
          <w:i w:val="0"/>
          <w:iCs w:val="0"/>
          <w:color w:val="auto"/>
          <w:spacing w:val="0"/>
          <w:position w:val="0"/>
          <w:sz w:val="24"/>
          <w:highlight w:val="none"/>
          <w:u w:val="single"/>
          <w:lang w:val="en-US" w:eastAsia="zh-CN"/>
        </w:rPr>
        <w:t xml:space="preserve"> </w:t>
      </w:r>
      <w:r>
        <w:rPr>
          <w:rFonts w:hint="eastAsia" w:ascii="宋体" w:hAnsi="宋体" w:eastAsia="宋体" w:cs="宋体"/>
          <w:color w:val="auto"/>
          <w:kern w:val="0"/>
          <w:sz w:val="24"/>
          <w:highlight w:val="none"/>
          <w:u w:val="single"/>
          <w:lang w:val="en-US" w:eastAsia="zh-CN"/>
        </w:rPr>
        <w:t>010-60527053</w:t>
      </w:r>
    </w:p>
    <w:p w14:paraId="215B1A53">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2.采购代理机构信息</w:t>
      </w:r>
      <w:bookmarkEnd w:id="30"/>
      <w:bookmarkEnd w:id="31"/>
    </w:p>
    <w:p w14:paraId="7411B5EF">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bookmarkStart w:id="32" w:name="_Toc28359010"/>
      <w:bookmarkStart w:id="33" w:name="_Toc28359087"/>
      <w:r>
        <w:rPr>
          <w:rFonts w:hint="eastAsia" w:ascii="宋体" w:hAnsi="宋体" w:eastAsia="宋体" w:cs="宋体"/>
          <w:i w:val="0"/>
          <w:iCs w:val="0"/>
          <w:color w:val="auto"/>
          <w:spacing w:val="0"/>
          <w:position w:val="0"/>
          <w:sz w:val="24"/>
          <w:highlight w:val="none"/>
        </w:rPr>
        <w:t>名    称：</w:t>
      </w:r>
      <w:r>
        <w:rPr>
          <w:rFonts w:hint="eastAsia" w:ascii="宋体" w:hAnsi="宋体" w:eastAsia="宋体" w:cs="宋体"/>
          <w:i w:val="0"/>
          <w:iCs w:val="0"/>
          <w:color w:val="auto"/>
          <w:spacing w:val="0"/>
          <w:position w:val="0"/>
          <w:sz w:val="24"/>
          <w:highlight w:val="none"/>
          <w:u w:val="single"/>
          <w:lang w:eastAsia="zh-CN"/>
        </w:rPr>
        <w:t>中归咨询管理（北京）有限公司</w:t>
      </w:r>
    </w:p>
    <w:p w14:paraId="50FA05DF">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地    址：</w:t>
      </w:r>
      <w:r>
        <w:rPr>
          <w:rFonts w:hint="eastAsia" w:ascii="宋体" w:hAnsi="宋体" w:eastAsia="宋体" w:cs="宋体"/>
          <w:i w:val="0"/>
          <w:iCs w:val="0"/>
          <w:color w:val="auto"/>
          <w:spacing w:val="0"/>
          <w:position w:val="0"/>
          <w:sz w:val="24"/>
          <w:highlight w:val="none"/>
          <w:u w:val="single"/>
          <w:lang w:eastAsia="zh-CN"/>
        </w:rPr>
        <w:t>北京市怀柔区迎宾南路11号五幢二层2213室</w:t>
      </w:r>
    </w:p>
    <w:p w14:paraId="6B1357F5">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联系方式：</w:t>
      </w:r>
      <w:r>
        <w:rPr>
          <w:rFonts w:hint="eastAsia" w:ascii="宋体" w:hAnsi="宋体" w:eastAsia="宋体" w:cs="宋体"/>
          <w:i w:val="0"/>
          <w:iCs w:val="0"/>
          <w:color w:val="auto"/>
          <w:spacing w:val="0"/>
          <w:position w:val="0"/>
          <w:sz w:val="24"/>
          <w:highlight w:val="none"/>
          <w:u w:val="single"/>
          <w:lang w:eastAsia="zh-CN"/>
        </w:rPr>
        <w:t>师博科； 010-53606938；</w:t>
      </w:r>
      <w:r>
        <w:rPr>
          <w:rFonts w:hint="eastAsia" w:ascii="宋体" w:hAnsi="宋体" w:eastAsia="宋体" w:cs="宋体"/>
          <w:i w:val="0"/>
          <w:iCs w:val="0"/>
          <w:color w:val="auto"/>
          <w:spacing w:val="0"/>
          <w:position w:val="0"/>
          <w:sz w:val="24"/>
          <w:highlight w:val="none"/>
          <w:u w:val="single"/>
        </w:rPr>
        <w:t>15718869895</w:t>
      </w:r>
    </w:p>
    <w:p w14:paraId="78495410">
      <w:pPr>
        <w:pageBreakBefore w:val="0"/>
        <w:wordWrap/>
        <w:topLinePunct w:val="0"/>
        <w:bidi w:val="0"/>
        <w:spacing w:line="360" w:lineRule="auto"/>
        <w:ind w:left="1080" w:leftChars="371" w:hanging="301" w:hangingChars="125"/>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3.项目联系方式</w:t>
      </w:r>
      <w:bookmarkEnd w:id="32"/>
      <w:bookmarkEnd w:id="33"/>
    </w:p>
    <w:p w14:paraId="0B584222">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项目联系人：</w:t>
      </w:r>
      <w:r>
        <w:rPr>
          <w:rFonts w:hint="eastAsia" w:ascii="宋体" w:hAnsi="宋体" w:eastAsia="宋体" w:cs="宋体"/>
          <w:i w:val="0"/>
          <w:iCs w:val="0"/>
          <w:color w:val="auto"/>
          <w:spacing w:val="0"/>
          <w:position w:val="0"/>
          <w:sz w:val="24"/>
          <w:highlight w:val="none"/>
          <w:u w:val="single"/>
          <w:lang w:eastAsia="zh-CN"/>
        </w:rPr>
        <w:t>师博科</w:t>
      </w:r>
      <w:r>
        <w:rPr>
          <w:rFonts w:hint="eastAsia" w:ascii="宋体" w:hAnsi="宋体" w:eastAsia="宋体" w:cs="宋体"/>
          <w:i w:val="0"/>
          <w:iCs w:val="0"/>
          <w:color w:val="auto"/>
          <w:spacing w:val="0"/>
          <w:position w:val="0"/>
          <w:sz w:val="24"/>
          <w:highlight w:val="none"/>
        </w:rPr>
        <w:t xml:space="preserve"> </w:t>
      </w:r>
    </w:p>
    <w:p w14:paraId="0839D3FD">
      <w:pPr>
        <w:pageBreakBefore w:val="0"/>
        <w:shd w:val="clear"/>
        <w:wordWrap/>
        <w:topLinePunct w:val="0"/>
        <w:bidi w:val="0"/>
        <w:spacing w:line="360" w:lineRule="auto"/>
        <w:ind w:left="1079" w:leftChars="371" w:hanging="300" w:hangingChars="125"/>
        <w:jc w:val="left"/>
        <w:rPr>
          <w:rFonts w:hint="eastAsia" w:ascii="宋体" w:hAnsi="宋体" w:eastAsia="宋体" w:cs="宋体"/>
          <w:i w:val="0"/>
          <w:iCs w:val="0"/>
          <w:color w:val="auto"/>
          <w:spacing w:val="0"/>
          <w:position w:val="0"/>
          <w:sz w:val="24"/>
          <w:highlight w:val="none"/>
          <w:lang w:eastAsia="zh-CN"/>
        </w:rPr>
      </w:pPr>
      <w:r>
        <w:rPr>
          <w:rFonts w:hint="eastAsia" w:ascii="宋体" w:hAnsi="宋体" w:eastAsia="宋体" w:cs="宋体"/>
          <w:i w:val="0"/>
          <w:iCs w:val="0"/>
          <w:color w:val="auto"/>
          <w:spacing w:val="0"/>
          <w:position w:val="0"/>
          <w:sz w:val="24"/>
          <w:highlight w:val="none"/>
        </w:rPr>
        <w:t>电      话：</w:t>
      </w:r>
      <w:r>
        <w:rPr>
          <w:rFonts w:hint="eastAsia" w:ascii="宋体" w:hAnsi="宋体" w:eastAsia="宋体" w:cs="宋体"/>
          <w:i w:val="0"/>
          <w:iCs w:val="0"/>
          <w:color w:val="auto"/>
          <w:spacing w:val="0"/>
          <w:position w:val="0"/>
          <w:sz w:val="24"/>
          <w:highlight w:val="none"/>
          <w:u w:val="single"/>
          <w:lang w:eastAsia="zh-CN"/>
        </w:rPr>
        <w:t>010-53606938；</w:t>
      </w:r>
      <w:r>
        <w:rPr>
          <w:rFonts w:hint="eastAsia" w:ascii="宋体" w:hAnsi="宋体" w:eastAsia="宋体" w:cs="宋体"/>
          <w:i w:val="0"/>
          <w:iCs w:val="0"/>
          <w:color w:val="auto"/>
          <w:spacing w:val="0"/>
          <w:position w:val="0"/>
          <w:sz w:val="24"/>
          <w:highlight w:val="none"/>
          <w:u w:val="single"/>
        </w:rPr>
        <w:t>15718869895</w:t>
      </w:r>
    </w:p>
    <w:p w14:paraId="4EEAF5D7">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i w:val="0"/>
          <w:iCs w:val="0"/>
          <w:color w:val="auto"/>
          <w:spacing w:val="0"/>
          <w:position w:val="0"/>
          <w:sz w:val="24"/>
          <w:highlight w:val="none"/>
        </w:rPr>
        <w:br w:type="page"/>
      </w:r>
      <w:bookmarkStart w:id="34" w:name="_Toc305158928"/>
      <w:bookmarkStart w:id="35" w:name="_Toc353873938"/>
      <w:bookmarkStart w:id="36" w:name="_Toc305158854"/>
      <w:bookmarkStart w:id="37" w:name="_Toc195842950"/>
      <w:bookmarkStart w:id="38" w:name="_Toc150774783"/>
      <w:bookmarkStart w:id="39" w:name="_Toc264969275"/>
      <w:bookmarkStart w:id="40" w:name="_Toc226965856"/>
      <w:bookmarkStart w:id="41" w:name="_Toc127151777"/>
      <w:bookmarkStart w:id="42" w:name="_Toc512937850"/>
      <w:bookmarkStart w:id="43" w:name="_Toc127161488"/>
      <w:bookmarkStart w:id="44" w:name="_Toc265228423"/>
      <w:bookmarkStart w:id="45" w:name="_Toc26061"/>
      <w:bookmarkStart w:id="46" w:name="_Toc353825548"/>
      <w:r>
        <w:rPr>
          <w:rFonts w:hint="eastAsia" w:ascii="宋体" w:hAnsi="宋体" w:eastAsia="宋体" w:cs="宋体"/>
          <w:b/>
          <w:i w:val="0"/>
          <w:iCs w:val="0"/>
          <w:color w:val="auto"/>
          <w:spacing w:val="0"/>
          <w:position w:val="0"/>
          <w:sz w:val="36"/>
          <w:szCs w:val="36"/>
          <w:highlight w:val="none"/>
        </w:rPr>
        <w:t>第二章   投标人须知</w:t>
      </w:r>
      <w:bookmarkEnd w:id="34"/>
      <w:bookmarkEnd w:id="35"/>
      <w:bookmarkEnd w:id="36"/>
      <w:bookmarkEnd w:id="37"/>
      <w:bookmarkEnd w:id="38"/>
      <w:bookmarkEnd w:id="39"/>
      <w:bookmarkEnd w:id="40"/>
      <w:bookmarkEnd w:id="41"/>
      <w:bookmarkEnd w:id="42"/>
      <w:bookmarkEnd w:id="43"/>
      <w:bookmarkEnd w:id="44"/>
      <w:bookmarkEnd w:id="45"/>
      <w:bookmarkEnd w:id="46"/>
    </w:p>
    <w:p w14:paraId="368E11D3">
      <w:pPr>
        <w:pStyle w:val="4"/>
        <w:pageBreakBefore w:val="0"/>
        <w:tabs>
          <w:tab w:val="center" w:pos="4592"/>
          <w:tab w:val="left" w:pos="7860"/>
        </w:tabs>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47" w:name="_Toc226337215"/>
      <w:bookmarkStart w:id="48" w:name="_Toc164608788"/>
      <w:bookmarkStart w:id="49" w:name="_Toc151193689"/>
      <w:bookmarkStart w:id="50" w:name="_Toc151193761"/>
      <w:bookmarkStart w:id="51" w:name="_Toc164351613"/>
      <w:bookmarkStart w:id="52" w:name="_Toc150774619"/>
      <w:bookmarkStart w:id="53" w:name="_Toc226309763"/>
      <w:bookmarkStart w:id="54" w:name="_Toc164229360"/>
      <w:bookmarkStart w:id="55" w:name="_Toc195842884"/>
      <w:bookmarkStart w:id="56" w:name="_Toc150509270"/>
      <w:bookmarkStart w:id="57" w:name="_Toc127151519"/>
      <w:bookmarkStart w:id="58" w:name="_Toc127151720"/>
      <w:bookmarkStart w:id="59" w:name="_Toc149720812"/>
      <w:bookmarkStart w:id="60" w:name="_Toc127161433"/>
      <w:bookmarkStart w:id="61" w:name="_Toc226965709"/>
      <w:bookmarkStart w:id="62" w:name="_Toc151193617"/>
      <w:bookmarkStart w:id="63" w:name="_Toc150480757"/>
      <w:bookmarkStart w:id="64" w:name="_Toc226965792"/>
      <w:bookmarkStart w:id="65" w:name="_Toc151193907"/>
      <w:bookmarkStart w:id="66" w:name="_Toc164608633"/>
      <w:bookmarkStart w:id="67" w:name="_Toc164229214"/>
      <w:bookmarkStart w:id="68" w:name="_Toc150774724"/>
      <w:bookmarkStart w:id="69" w:name="_Toc151190146"/>
      <w:bookmarkStart w:id="70" w:name="_Toc151193833"/>
      <w:bookmarkStart w:id="71" w:name="_Toc142311021"/>
      <w:bookmarkStart w:id="72" w:name="_Toc520356144"/>
      <w:r>
        <w:rPr>
          <w:rFonts w:hint="eastAsia" w:ascii="宋体" w:hAnsi="宋体" w:eastAsia="宋体" w:cs="宋体"/>
          <w:i w:val="0"/>
          <w:iCs w:val="0"/>
          <w:color w:val="auto"/>
          <w:spacing w:val="0"/>
          <w:position w:val="0"/>
          <w:sz w:val="28"/>
          <w:highlight w:val="none"/>
        </w:rPr>
        <w:t>投标人须知资料表</w:t>
      </w:r>
    </w:p>
    <w:p w14:paraId="39722FF4">
      <w:pPr>
        <w:pageBreakBefore w:val="0"/>
        <w:wordWrap/>
        <w:topLinePunct w:val="0"/>
        <w:bidi w:val="0"/>
        <w:spacing w:line="360" w:lineRule="auto"/>
        <w:ind w:firstLine="48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本表是对投标人须知的具体补充和修改，如有矛盾，均以本资料表为准。</w:t>
      </w:r>
    </w:p>
    <w:tbl>
      <w:tblPr>
        <w:tblStyle w:val="45"/>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6244"/>
      </w:tblGrid>
      <w:tr w14:paraId="4FC9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646AB1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i w:val="0"/>
                <w:iCs w:val="0"/>
                <w:color w:val="auto"/>
                <w:spacing w:val="0"/>
                <w:position w:val="0"/>
                <w:sz w:val="24"/>
                <w:szCs w:val="24"/>
                <w:highlight w:val="none"/>
              </w:rPr>
              <w:t>条款号</w:t>
            </w:r>
          </w:p>
        </w:tc>
        <w:tc>
          <w:tcPr>
            <w:tcW w:w="1701" w:type="dxa"/>
            <w:vAlign w:val="center"/>
          </w:tcPr>
          <w:p w14:paraId="30CD9D2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szCs w:val="24"/>
                <w:highlight w:val="none"/>
              </w:rPr>
              <w:t>条目</w:t>
            </w:r>
          </w:p>
        </w:tc>
        <w:tc>
          <w:tcPr>
            <w:tcW w:w="6244" w:type="dxa"/>
            <w:vAlign w:val="center"/>
          </w:tcPr>
          <w:p w14:paraId="3CA69812">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b/>
                <w:bCs/>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szCs w:val="24"/>
                <w:highlight w:val="none"/>
              </w:rPr>
              <w:t>内容</w:t>
            </w:r>
          </w:p>
        </w:tc>
      </w:tr>
      <w:tr w14:paraId="78C61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478BB74">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2.2</w:t>
            </w:r>
          </w:p>
        </w:tc>
        <w:tc>
          <w:tcPr>
            <w:tcW w:w="1701" w:type="dxa"/>
            <w:vAlign w:val="center"/>
          </w:tcPr>
          <w:p w14:paraId="3DEFAB34">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项目属性</w:t>
            </w:r>
          </w:p>
        </w:tc>
        <w:tc>
          <w:tcPr>
            <w:tcW w:w="6244" w:type="dxa"/>
            <w:vAlign w:val="center"/>
          </w:tcPr>
          <w:p w14:paraId="4D23378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项目属性：</w:t>
            </w:r>
          </w:p>
          <w:p w14:paraId="5586871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服务</w:t>
            </w:r>
          </w:p>
          <w:p w14:paraId="3F04E25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lang w:val="en-US"/>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货物</w:t>
            </w:r>
          </w:p>
        </w:tc>
      </w:tr>
      <w:tr w14:paraId="1939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C32823">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2.3</w:t>
            </w:r>
          </w:p>
        </w:tc>
        <w:tc>
          <w:tcPr>
            <w:tcW w:w="1701" w:type="dxa"/>
            <w:vAlign w:val="center"/>
          </w:tcPr>
          <w:p w14:paraId="3D979AED">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科研仪器设备</w:t>
            </w:r>
          </w:p>
        </w:tc>
        <w:tc>
          <w:tcPr>
            <w:tcW w:w="6244" w:type="dxa"/>
            <w:vAlign w:val="center"/>
          </w:tcPr>
          <w:p w14:paraId="4CE2267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是否属于科研仪器设备采购项目：</w:t>
            </w:r>
          </w:p>
          <w:p w14:paraId="6AC890B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是</w:t>
            </w:r>
          </w:p>
          <w:p w14:paraId="089BFA1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否</w:t>
            </w:r>
          </w:p>
        </w:tc>
      </w:tr>
      <w:tr w14:paraId="7248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221E2C5">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2.4</w:t>
            </w:r>
          </w:p>
        </w:tc>
        <w:tc>
          <w:tcPr>
            <w:tcW w:w="1701" w:type="dxa"/>
            <w:vAlign w:val="center"/>
          </w:tcPr>
          <w:p w14:paraId="439D27F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核心产品</w:t>
            </w:r>
          </w:p>
        </w:tc>
        <w:tc>
          <w:tcPr>
            <w:tcW w:w="6244" w:type="dxa"/>
            <w:vAlign w:val="center"/>
          </w:tcPr>
          <w:p w14:paraId="3258555B">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关于核心产品本项目</w:t>
            </w:r>
            <w:r>
              <w:rPr>
                <w:rFonts w:hint="eastAsia" w:ascii="宋体" w:hAnsi="宋体" w:eastAsia="宋体" w:cs="宋体"/>
                <w:i w:val="0"/>
                <w:iCs w:val="0"/>
                <w:color w:val="auto"/>
                <w:spacing w:val="0"/>
                <w:position w:val="0"/>
                <w:sz w:val="24"/>
                <w:szCs w:val="24"/>
                <w:highlight w:val="none"/>
                <w:u w:val="single"/>
                <w:lang w:val="en-US" w:eastAsia="zh-CN"/>
              </w:rPr>
              <w:t xml:space="preserve"> / </w:t>
            </w:r>
            <w:r>
              <w:rPr>
                <w:rFonts w:hint="eastAsia" w:ascii="宋体" w:hAnsi="宋体" w:eastAsia="宋体" w:cs="宋体"/>
                <w:i w:val="0"/>
                <w:iCs w:val="0"/>
                <w:color w:val="auto"/>
                <w:spacing w:val="0"/>
                <w:position w:val="0"/>
                <w:sz w:val="24"/>
                <w:szCs w:val="24"/>
                <w:highlight w:val="none"/>
                <w:lang w:val="en-US" w:eastAsia="zh-CN"/>
              </w:rPr>
              <w:t>包</w:t>
            </w:r>
            <w:r>
              <w:rPr>
                <w:rFonts w:hint="eastAsia" w:ascii="宋体" w:hAnsi="宋体" w:eastAsia="宋体" w:cs="宋体"/>
                <w:i w:val="0"/>
                <w:iCs w:val="0"/>
                <w:color w:val="auto"/>
                <w:spacing w:val="0"/>
                <w:position w:val="0"/>
                <w:sz w:val="24"/>
                <w:szCs w:val="24"/>
                <w:highlight w:val="none"/>
              </w:rPr>
              <w:t>不适用。</w:t>
            </w:r>
          </w:p>
          <w:p w14:paraId="456FA6D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本项目__包为单一产品采购项目。</w:t>
            </w:r>
          </w:p>
          <w:p w14:paraId="6C1E7BD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本项目__包为非单一产品采购项目，核心产品为：____。</w:t>
            </w:r>
          </w:p>
        </w:tc>
      </w:tr>
      <w:tr w14:paraId="10B90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19247354">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3.1</w:t>
            </w:r>
          </w:p>
        </w:tc>
        <w:tc>
          <w:tcPr>
            <w:tcW w:w="1701" w:type="dxa"/>
            <w:vAlign w:val="center"/>
          </w:tcPr>
          <w:p w14:paraId="33B74520">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现场考察</w:t>
            </w:r>
          </w:p>
        </w:tc>
        <w:tc>
          <w:tcPr>
            <w:tcW w:w="6244" w:type="dxa"/>
            <w:vAlign w:val="center"/>
          </w:tcPr>
          <w:p w14:paraId="333A5F4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不组织</w:t>
            </w:r>
          </w:p>
          <w:p w14:paraId="208EF4B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组织，考察时间：__年_月_日_</w:t>
            </w:r>
            <w:r>
              <w:rPr>
                <w:rFonts w:hint="eastAsia" w:ascii="宋体" w:hAnsi="宋体" w:eastAsia="宋体" w:cs="宋体"/>
                <w:bCs/>
                <w:i w:val="0"/>
                <w:iCs w:val="0"/>
                <w:color w:val="auto"/>
                <w:spacing w:val="0"/>
                <w:position w:val="0"/>
                <w:sz w:val="24"/>
                <w:szCs w:val="24"/>
                <w:highlight w:val="none"/>
              </w:rPr>
              <w:t>点</w:t>
            </w:r>
            <w:r>
              <w:rPr>
                <w:rFonts w:hint="eastAsia" w:ascii="宋体" w:hAnsi="宋体" w:eastAsia="宋体" w:cs="宋体"/>
                <w:i w:val="0"/>
                <w:iCs w:val="0"/>
                <w:color w:val="auto"/>
                <w:spacing w:val="0"/>
                <w:position w:val="0"/>
                <w:sz w:val="24"/>
                <w:szCs w:val="24"/>
                <w:highlight w:val="none"/>
              </w:rPr>
              <w:t>_</w:t>
            </w:r>
            <w:r>
              <w:rPr>
                <w:rFonts w:hint="eastAsia" w:ascii="宋体" w:hAnsi="宋体" w:eastAsia="宋体" w:cs="宋体"/>
                <w:bCs/>
                <w:i w:val="0"/>
                <w:iCs w:val="0"/>
                <w:color w:val="auto"/>
                <w:spacing w:val="0"/>
                <w:position w:val="0"/>
                <w:sz w:val="24"/>
                <w:szCs w:val="24"/>
                <w:highlight w:val="none"/>
              </w:rPr>
              <w:t>分</w:t>
            </w:r>
          </w:p>
          <w:p w14:paraId="23FD6B39">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考察地点：____________。</w:t>
            </w:r>
          </w:p>
        </w:tc>
      </w:tr>
      <w:tr w14:paraId="0716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30305C23">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p>
        </w:tc>
        <w:tc>
          <w:tcPr>
            <w:tcW w:w="1701" w:type="dxa"/>
            <w:vAlign w:val="center"/>
          </w:tcPr>
          <w:p w14:paraId="21BCB1BB">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开标前答疑会</w:t>
            </w:r>
          </w:p>
        </w:tc>
        <w:tc>
          <w:tcPr>
            <w:tcW w:w="6244" w:type="dxa"/>
            <w:vAlign w:val="center"/>
          </w:tcPr>
          <w:p w14:paraId="5FC5D15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不召开</w:t>
            </w:r>
          </w:p>
          <w:p w14:paraId="154F190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召开，召开时间：__年_月_日_</w:t>
            </w:r>
            <w:r>
              <w:rPr>
                <w:rFonts w:hint="eastAsia" w:ascii="宋体" w:hAnsi="宋体" w:eastAsia="宋体" w:cs="宋体"/>
                <w:bCs/>
                <w:i w:val="0"/>
                <w:iCs w:val="0"/>
                <w:color w:val="auto"/>
                <w:spacing w:val="0"/>
                <w:position w:val="0"/>
                <w:sz w:val="24"/>
                <w:szCs w:val="24"/>
                <w:highlight w:val="none"/>
              </w:rPr>
              <w:t>点</w:t>
            </w:r>
            <w:r>
              <w:rPr>
                <w:rFonts w:hint="eastAsia" w:ascii="宋体" w:hAnsi="宋体" w:eastAsia="宋体" w:cs="宋体"/>
                <w:i w:val="0"/>
                <w:iCs w:val="0"/>
                <w:color w:val="auto"/>
                <w:spacing w:val="0"/>
                <w:position w:val="0"/>
                <w:sz w:val="24"/>
                <w:szCs w:val="24"/>
                <w:highlight w:val="none"/>
              </w:rPr>
              <w:t>_</w:t>
            </w:r>
            <w:r>
              <w:rPr>
                <w:rFonts w:hint="eastAsia" w:ascii="宋体" w:hAnsi="宋体" w:eastAsia="宋体" w:cs="宋体"/>
                <w:bCs/>
                <w:i w:val="0"/>
                <w:iCs w:val="0"/>
                <w:color w:val="auto"/>
                <w:spacing w:val="0"/>
                <w:position w:val="0"/>
                <w:sz w:val="24"/>
                <w:szCs w:val="24"/>
                <w:highlight w:val="none"/>
              </w:rPr>
              <w:t>分</w:t>
            </w:r>
          </w:p>
          <w:p w14:paraId="4C232F6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召开地点：____________。</w:t>
            </w:r>
          </w:p>
        </w:tc>
      </w:tr>
      <w:tr w14:paraId="30966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FED28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4.1</w:t>
            </w:r>
          </w:p>
        </w:tc>
        <w:tc>
          <w:tcPr>
            <w:tcW w:w="1701" w:type="dxa"/>
            <w:vAlign w:val="center"/>
          </w:tcPr>
          <w:p w14:paraId="7239CEC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样品</w:t>
            </w:r>
          </w:p>
        </w:tc>
        <w:tc>
          <w:tcPr>
            <w:tcW w:w="6244" w:type="dxa"/>
            <w:vAlign w:val="center"/>
          </w:tcPr>
          <w:p w14:paraId="2E12CD1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投标样品递交：</w:t>
            </w:r>
          </w:p>
          <w:p w14:paraId="793F1DD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不需要</w:t>
            </w:r>
          </w:p>
          <w:p w14:paraId="45FCC2A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需要，具体要求如下：</w:t>
            </w:r>
          </w:p>
          <w:p w14:paraId="380358E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（1）样品制作的标准和要求：_________；</w:t>
            </w:r>
          </w:p>
          <w:p w14:paraId="26FA789E">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（2）是否需要随样品提交相关检测报告：</w:t>
            </w:r>
          </w:p>
          <w:p w14:paraId="4176E78F">
            <w:pPr>
              <w:keepNext w:val="0"/>
              <w:keepLines w:val="0"/>
              <w:pageBreakBefore w:val="0"/>
              <w:widowControl w:val="0"/>
              <w:kinsoku/>
              <w:wordWrap/>
              <w:overflowPunct/>
              <w:topLinePunct w:val="0"/>
              <w:autoSpaceDE/>
              <w:autoSpaceDN/>
              <w:bidi w:val="0"/>
              <w:spacing w:line="360" w:lineRule="auto"/>
              <w:ind w:firstLine="600" w:firstLineChars="250"/>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不需要</w:t>
            </w:r>
          </w:p>
          <w:p w14:paraId="45614339">
            <w:pPr>
              <w:keepNext w:val="0"/>
              <w:keepLines w:val="0"/>
              <w:pageBreakBefore w:val="0"/>
              <w:widowControl w:val="0"/>
              <w:kinsoku/>
              <w:wordWrap/>
              <w:overflowPunct/>
              <w:topLinePunct w:val="0"/>
              <w:autoSpaceDE/>
              <w:autoSpaceDN/>
              <w:bidi w:val="0"/>
              <w:spacing w:line="360" w:lineRule="auto"/>
              <w:ind w:firstLine="600" w:firstLineChars="250"/>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需要</w:t>
            </w:r>
          </w:p>
          <w:p w14:paraId="2F61F3AC">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（3）样品递交要求：_________；</w:t>
            </w:r>
          </w:p>
          <w:p w14:paraId="5EBEF52C">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（4）未中标人样品退还：_________；</w:t>
            </w:r>
          </w:p>
          <w:p w14:paraId="28E5315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（5）中标人样品保管、封存及退还：_________；</w:t>
            </w:r>
          </w:p>
          <w:p w14:paraId="631278F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（6）其他要求（如有）：_________。</w:t>
            </w:r>
          </w:p>
        </w:tc>
      </w:tr>
      <w:tr w14:paraId="3186C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0E7522B">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5.3.5</w:t>
            </w:r>
          </w:p>
        </w:tc>
        <w:tc>
          <w:tcPr>
            <w:tcW w:w="1701" w:type="dxa"/>
            <w:vAlign w:val="center"/>
          </w:tcPr>
          <w:p w14:paraId="1FCEF21A">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标的所属行业</w:t>
            </w:r>
          </w:p>
        </w:tc>
        <w:tc>
          <w:tcPr>
            <w:tcW w:w="6244" w:type="dxa"/>
            <w:vAlign w:val="center"/>
          </w:tcPr>
          <w:p w14:paraId="042276D0">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本项目采购标的对应的中小企业划分标准所属行业：</w:t>
            </w:r>
          </w:p>
          <w:tbl>
            <w:tblPr>
              <w:tblStyle w:val="45"/>
              <w:tblW w:w="6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2968"/>
              <w:gridCol w:w="2421"/>
            </w:tblGrid>
            <w:tr w14:paraId="6443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5" w:type="pct"/>
                  <w:tcBorders>
                    <w:top w:val="single" w:color="auto" w:sz="4" w:space="0"/>
                    <w:left w:val="single" w:color="auto" w:sz="4" w:space="0"/>
                    <w:bottom w:val="single" w:color="auto" w:sz="4" w:space="0"/>
                    <w:right w:val="single" w:color="auto" w:sz="4" w:space="0"/>
                  </w:tcBorders>
                  <w:vAlign w:val="center"/>
                </w:tcPr>
                <w:p w14:paraId="1FA9CD9C">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bCs/>
                      <w:i w:val="0"/>
                      <w:iCs w:val="0"/>
                      <w:color w:val="auto"/>
                      <w:spacing w:val="0"/>
                      <w:position w:val="0"/>
                      <w:sz w:val="24"/>
                      <w:szCs w:val="24"/>
                      <w:highlight w:val="none"/>
                    </w:rPr>
                    <w:t>包号</w:t>
                  </w:r>
                </w:p>
              </w:tc>
              <w:tc>
                <w:tcPr>
                  <w:tcW w:w="2425" w:type="pct"/>
                  <w:tcBorders>
                    <w:top w:val="single" w:color="auto" w:sz="4" w:space="0"/>
                    <w:left w:val="single" w:color="auto" w:sz="4" w:space="0"/>
                    <w:bottom w:val="single" w:color="auto" w:sz="4" w:space="0"/>
                    <w:right w:val="single" w:color="auto" w:sz="4" w:space="0"/>
                  </w:tcBorders>
                  <w:vAlign w:val="center"/>
                </w:tcPr>
                <w:p w14:paraId="491E5C62">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rPr>
                  </w:pPr>
                  <w:r>
                    <w:rPr>
                      <w:rFonts w:hint="eastAsia" w:ascii="宋体" w:hAnsi="宋体" w:eastAsia="宋体" w:cs="宋体"/>
                      <w:bCs/>
                      <w:i w:val="0"/>
                      <w:iCs w:val="0"/>
                      <w:color w:val="auto"/>
                      <w:spacing w:val="0"/>
                      <w:position w:val="0"/>
                      <w:sz w:val="24"/>
                      <w:szCs w:val="24"/>
                      <w:highlight w:val="none"/>
                    </w:rPr>
                    <w:t>标的名称</w:t>
                  </w:r>
                </w:p>
              </w:tc>
              <w:tc>
                <w:tcPr>
                  <w:tcW w:w="1978" w:type="pct"/>
                  <w:tcBorders>
                    <w:top w:val="single" w:color="auto" w:sz="4" w:space="0"/>
                    <w:left w:val="single" w:color="auto" w:sz="4" w:space="0"/>
                    <w:bottom w:val="single" w:color="auto" w:sz="4" w:space="0"/>
                    <w:right w:val="single" w:color="auto" w:sz="4" w:space="0"/>
                  </w:tcBorders>
                  <w:vAlign w:val="center"/>
                </w:tcPr>
                <w:p w14:paraId="62629E79">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中小企业划分标准所属行业</w:t>
                  </w:r>
                </w:p>
              </w:tc>
            </w:tr>
            <w:tr w14:paraId="28DD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5" w:type="pct"/>
                  <w:tcBorders>
                    <w:top w:val="single" w:color="auto" w:sz="4" w:space="0"/>
                    <w:left w:val="single" w:color="auto" w:sz="4" w:space="0"/>
                    <w:bottom w:val="single" w:color="auto" w:sz="4" w:space="0"/>
                    <w:right w:val="single" w:color="auto" w:sz="4" w:space="0"/>
                  </w:tcBorders>
                  <w:vAlign w:val="center"/>
                </w:tcPr>
                <w:p w14:paraId="6A498DBB">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val="en-US" w:eastAsia="zh-CN"/>
                    </w:rPr>
                  </w:pPr>
                  <w:r>
                    <w:rPr>
                      <w:rFonts w:hint="eastAsia" w:ascii="宋体" w:hAnsi="宋体" w:eastAsia="宋体" w:cs="宋体"/>
                      <w:bCs/>
                      <w:i w:val="0"/>
                      <w:iCs w:val="0"/>
                      <w:color w:val="auto"/>
                      <w:spacing w:val="0"/>
                      <w:position w:val="0"/>
                      <w:sz w:val="24"/>
                      <w:szCs w:val="24"/>
                      <w:highlight w:val="none"/>
                      <w:lang w:val="en-US" w:eastAsia="zh-CN"/>
                    </w:rPr>
                    <w:t>01</w:t>
                  </w:r>
                </w:p>
              </w:tc>
              <w:tc>
                <w:tcPr>
                  <w:tcW w:w="2425" w:type="pct"/>
                  <w:tcBorders>
                    <w:top w:val="single" w:color="auto" w:sz="4" w:space="0"/>
                    <w:left w:val="single" w:color="auto" w:sz="4" w:space="0"/>
                    <w:bottom w:val="single" w:color="auto" w:sz="4" w:space="0"/>
                    <w:right w:val="single" w:color="auto" w:sz="4" w:space="0"/>
                  </w:tcBorders>
                  <w:vAlign w:val="center"/>
                </w:tcPr>
                <w:p w14:paraId="1CB63D5B">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bCs/>
                      <w:i w:val="0"/>
                      <w:iCs w:val="0"/>
                      <w:color w:val="auto"/>
                      <w:spacing w:val="0"/>
                      <w:position w:val="0"/>
                      <w:sz w:val="24"/>
                      <w:szCs w:val="24"/>
                      <w:highlight w:val="none"/>
                      <w:lang w:eastAsia="zh-CN"/>
                    </w:rPr>
                  </w:pPr>
                  <w:r>
                    <w:rPr>
                      <w:rFonts w:hint="eastAsia" w:ascii="宋体" w:hAnsi="宋体" w:cs="宋体"/>
                      <w:bCs/>
                      <w:i w:val="0"/>
                      <w:iCs w:val="0"/>
                      <w:color w:val="auto"/>
                      <w:spacing w:val="0"/>
                      <w:position w:val="0"/>
                      <w:sz w:val="24"/>
                      <w:szCs w:val="24"/>
                      <w:highlight w:val="none"/>
                      <w:lang w:eastAsia="zh-CN"/>
                    </w:rPr>
                    <w:t>通州区重点区域大气精细化治理项目</w:t>
                  </w:r>
                </w:p>
              </w:tc>
              <w:tc>
                <w:tcPr>
                  <w:tcW w:w="1978" w:type="pct"/>
                  <w:tcBorders>
                    <w:top w:val="single" w:color="auto" w:sz="4" w:space="0"/>
                    <w:left w:val="single" w:color="auto" w:sz="4" w:space="0"/>
                    <w:bottom w:val="single" w:color="auto" w:sz="4" w:space="0"/>
                    <w:right w:val="single" w:color="auto" w:sz="4" w:space="0"/>
                  </w:tcBorders>
                  <w:vAlign w:val="center"/>
                </w:tcPr>
                <w:p w14:paraId="51F9A0B0">
                  <w:pPr>
                    <w:keepNext w:val="0"/>
                    <w:keepLines w:val="0"/>
                    <w:pageBreakBefore w:val="0"/>
                    <w:widowControl w:val="0"/>
                    <w:shd w:val="clear"/>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kern w:val="0"/>
                      <w:position w:val="0"/>
                      <w:sz w:val="24"/>
                      <w:szCs w:val="24"/>
                      <w:highlight w:val="none"/>
                      <w:lang w:eastAsia="zh-CN"/>
                    </w:rPr>
                  </w:pPr>
                  <w:r>
                    <w:rPr>
                      <w:rFonts w:hint="eastAsia" w:ascii="宋体" w:hAnsi="宋体" w:cs="宋体"/>
                      <w:i w:val="0"/>
                      <w:iCs w:val="0"/>
                      <w:color w:val="auto"/>
                      <w:spacing w:val="0"/>
                      <w:kern w:val="0"/>
                      <w:position w:val="0"/>
                      <w:sz w:val="24"/>
                      <w:szCs w:val="24"/>
                      <w:highlight w:val="none"/>
                      <w:lang w:eastAsia="zh-CN"/>
                    </w:rPr>
                    <w:t>其他</w:t>
                  </w:r>
                  <w:r>
                    <w:rPr>
                      <w:rFonts w:hint="eastAsia" w:ascii="宋体" w:hAnsi="宋体" w:cs="宋体"/>
                      <w:i w:val="0"/>
                      <w:iCs w:val="0"/>
                      <w:color w:val="auto"/>
                      <w:spacing w:val="0"/>
                      <w:kern w:val="0"/>
                      <w:position w:val="0"/>
                      <w:sz w:val="24"/>
                      <w:szCs w:val="24"/>
                      <w:highlight w:val="none"/>
                      <w:lang w:val="en-US" w:eastAsia="zh-CN"/>
                    </w:rPr>
                    <w:t>未</w:t>
                  </w:r>
                  <w:r>
                    <w:rPr>
                      <w:rFonts w:hint="eastAsia" w:ascii="宋体" w:hAnsi="宋体" w:cs="宋体"/>
                      <w:i w:val="0"/>
                      <w:iCs w:val="0"/>
                      <w:color w:val="auto"/>
                      <w:spacing w:val="0"/>
                      <w:kern w:val="0"/>
                      <w:position w:val="0"/>
                      <w:sz w:val="24"/>
                      <w:szCs w:val="24"/>
                      <w:highlight w:val="none"/>
                      <w:lang w:eastAsia="zh-CN"/>
                    </w:rPr>
                    <w:t>列明行业</w:t>
                  </w:r>
                </w:p>
              </w:tc>
            </w:tr>
          </w:tbl>
          <w:p w14:paraId="35322F34">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szCs w:val="24"/>
                <w:highlight w:val="none"/>
              </w:rPr>
              <w:t>其他未列明行业</w:t>
            </w:r>
            <w:r>
              <w:rPr>
                <w:rFonts w:hint="eastAsia" w:ascii="宋体" w:hAnsi="宋体" w:eastAsia="宋体" w:cs="宋体"/>
                <w:i w:val="0"/>
                <w:iCs w:val="0"/>
                <w:color w:val="auto"/>
                <w:spacing w:val="0"/>
                <w:kern w:val="0"/>
                <w:position w:val="0"/>
                <w:sz w:val="24"/>
                <w:szCs w:val="24"/>
                <w:highlight w:val="none"/>
                <w:lang w:eastAsia="zh-CN"/>
              </w:rPr>
              <w:t>：</w:t>
            </w:r>
            <w:r>
              <w:rPr>
                <w:rFonts w:hint="eastAsia" w:ascii="宋体" w:hAnsi="宋体" w:eastAsia="宋体" w:cs="宋体"/>
                <w:i w:val="0"/>
                <w:iCs w:val="0"/>
                <w:color w:val="auto"/>
                <w:spacing w:val="0"/>
                <w:kern w:val="0"/>
                <w:position w:val="0"/>
                <w:sz w:val="24"/>
                <w:szCs w:val="24"/>
                <w:highlight w:val="none"/>
                <w:u w:val="single"/>
                <w:lang w:eastAsia="zh-CN"/>
              </w:rPr>
              <w:t>从业人员300人以下的为中小微型企业。其中，从业人员100人及以上的为中型企业；从业人员10人及以上的为小型企业；从业人员10人以下的为微型企业。</w:t>
            </w:r>
          </w:p>
        </w:tc>
      </w:tr>
      <w:tr w14:paraId="1ED3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86DC075">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br w:type="page"/>
            </w:r>
            <w:r>
              <w:rPr>
                <w:rFonts w:hint="eastAsia" w:ascii="宋体" w:hAnsi="宋体" w:eastAsia="宋体" w:cs="宋体"/>
                <w:i w:val="0"/>
                <w:iCs w:val="0"/>
                <w:color w:val="auto"/>
                <w:spacing w:val="0"/>
                <w:position w:val="0"/>
                <w:sz w:val="24"/>
                <w:szCs w:val="24"/>
                <w:highlight w:val="none"/>
              </w:rPr>
              <w:t>11.2</w:t>
            </w:r>
          </w:p>
        </w:tc>
        <w:tc>
          <w:tcPr>
            <w:tcW w:w="1701" w:type="dxa"/>
            <w:vAlign w:val="center"/>
          </w:tcPr>
          <w:p w14:paraId="0BDBBBD5">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投标报价</w:t>
            </w:r>
          </w:p>
        </w:tc>
        <w:tc>
          <w:tcPr>
            <w:tcW w:w="6244" w:type="dxa"/>
            <w:vAlign w:val="center"/>
          </w:tcPr>
          <w:p w14:paraId="5F35114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投标报价的特殊规定：</w:t>
            </w:r>
          </w:p>
          <w:p w14:paraId="5810554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无</w:t>
            </w:r>
          </w:p>
          <w:p w14:paraId="68D2D45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有，具体情形：</w:t>
            </w:r>
            <w:r>
              <w:rPr>
                <w:rFonts w:hint="eastAsia" w:ascii="宋体" w:hAnsi="宋体" w:eastAsia="宋体" w:cs="宋体"/>
                <w:i w:val="0"/>
                <w:iCs w:val="0"/>
                <w:color w:val="auto"/>
                <w:spacing w:val="0"/>
                <w:position w:val="0"/>
                <w:sz w:val="24"/>
                <w:highlight w:val="none"/>
                <w:u w:val="single"/>
                <w:lang w:val="en-US" w:eastAsia="zh-CN"/>
              </w:rPr>
              <w:t xml:space="preserve">                </w:t>
            </w:r>
            <w:r>
              <w:rPr>
                <w:rFonts w:hint="eastAsia" w:ascii="宋体" w:hAnsi="宋体" w:eastAsia="宋体" w:cs="宋体"/>
                <w:i w:val="0"/>
                <w:iCs w:val="0"/>
                <w:color w:val="auto"/>
                <w:spacing w:val="0"/>
                <w:position w:val="0"/>
                <w:sz w:val="24"/>
                <w:szCs w:val="24"/>
                <w:highlight w:val="none"/>
              </w:rPr>
              <w:t>。</w:t>
            </w:r>
          </w:p>
        </w:tc>
      </w:tr>
      <w:tr w14:paraId="3939A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0F8700D">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12.1</w:t>
            </w:r>
          </w:p>
        </w:tc>
        <w:tc>
          <w:tcPr>
            <w:tcW w:w="1701" w:type="dxa"/>
            <w:vMerge w:val="restart"/>
            <w:vAlign w:val="center"/>
          </w:tcPr>
          <w:p w14:paraId="3A3B3F0E">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w:t>
            </w:r>
          </w:p>
        </w:tc>
        <w:tc>
          <w:tcPr>
            <w:tcW w:w="6244" w:type="dxa"/>
            <w:vAlign w:val="center"/>
          </w:tcPr>
          <w:p w14:paraId="34558F5D">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投标保证金金额：</w:t>
            </w:r>
          </w:p>
          <w:p w14:paraId="1D875EB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b/>
                <w:bCs/>
                <w:i w:val="0"/>
                <w:iCs w:val="0"/>
                <w:color w:val="auto"/>
                <w:spacing w:val="0"/>
                <w:position w:val="0"/>
                <w:sz w:val="24"/>
                <w:szCs w:val="24"/>
                <w:highlight w:val="none"/>
                <w:lang w:eastAsia="zh-CN"/>
              </w:rPr>
            </w:pPr>
            <w:r>
              <w:rPr>
                <w:rFonts w:hint="eastAsia" w:ascii="宋体" w:hAnsi="宋体" w:eastAsia="宋体" w:cs="宋体"/>
                <w:b/>
                <w:bCs/>
                <w:i w:val="0"/>
                <w:iCs w:val="0"/>
                <w:color w:val="auto"/>
                <w:spacing w:val="0"/>
                <w:position w:val="0"/>
                <w:sz w:val="24"/>
                <w:szCs w:val="24"/>
                <w:highlight w:val="none"/>
              </w:rPr>
              <w:t>01包</w:t>
            </w:r>
            <w:r>
              <w:rPr>
                <w:rFonts w:hint="eastAsia" w:ascii="宋体" w:hAnsi="宋体" w:eastAsia="宋体" w:cs="宋体"/>
                <w:i w:val="0"/>
                <w:iCs w:val="0"/>
                <w:color w:val="auto"/>
                <w:spacing w:val="0"/>
                <w:position w:val="0"/>
                <w:sz w:val="24"/>
                <w:szCs w:val="24"/>
                <w:highlight w:val="none"/>
              </w:rPr>
              <w:t>：</w:t>
            </w:r>
            <w:r>
              <w:rPr>
                <w:rFonts w:hint="eastAsia" w:ascii="宋体" w:hAnsi="宋体" w:cs="宋体"/>
                <w:b/>
                <w:bCs/>
                <w:i w:val="0"/>
                <w:iCs w:val="0"/>
                <w:color w:val="auto"/>
                <w:spacing w:val="0"/>
                <w:position w:val="0"/>
                <w:sz w:val="24"/>
                <w:szCs w:val="24"/>
                <w:highlight w:val="none"/>
                <w:lang w:val="en-US" w:eastAsia="zh-CN"/>
              </w:rPr>
              <w:t>5万</w:t>
            </w:r>
            <w:r>
              <w:rPr>
                <w:rFonts w:hint="eastAsia" w:ascii="宋体" w:hAnsi="宋体" w:eastAsia="宋体" w:cs="宋体"/>
                <w:b/>
                <w:bCs/>
                <w:i w:val="0"/>
                <w:iCs w:val="0"/>
                <w:color w:val="auto"/>
                <w:spacing w:val="0"/>
                <w:position w:val="0"/>
                <w:sz w:val="24"/>
                <w:szCs w:val="24"/>
                <w:highlight w:val="none"/>
                <w:lang w:val="en-US" w:eastAsia="zh-CN"/>
              </w:rPr>
              <w:t>元</w:t>
            </w:r>
            <w:r>
              <w:rPr>
                <w:rFonts w:hint="eastAsia" w:ascii="宋体" w:hAnsi="宋体" w:eastAsia="宋体" w:cs="宋体"/>
                <w:b/>
                <w:bCs/>
                <w:i w:val="0"/>
                <w:iCs w:val="0"/>
                <w:color w:val="auto"/>
                <w:spacing w:val="0"/>
                <w:position w:val="0"/>
                <w:sz w:val="24"/>
                <w:szCs w:val="24"/>
                <w:highlight w:val="none"/>
                <w:lang w:eastAsia="zh-CN"/>
              </w:rPr>
              <w:t>。</w:t>
            </w:r>
          </w:p>
          <w:p w14:paraId="4CA163C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w w:val="100"/>
                <w:kern w:val="0"/>
                <w:position w:val="0"/>
                <w:highlight w:val="none"/>
                <w:lang w:eastAsia="zh-CN"/>
              </w:rPr>
            </w:pPr>
            <w:r>
              <w:rPr>
                <w:rFonts w:hint="eastAsia" w:ascii="宋体" w:hAnsi="宋体" w:eastAsia="宋体" w:cs="宋体"/>
                <w:b/>
                <w:bCs/>
                <w:i w:val="0"/>
                <w:iCs w:val="0"/>
                <w:color w:val="auto"/>
                <w:spacing w:val="0"/>
                <w:position w:val="0"/>
                <w:sz w:val="24"/>
                <w:szCs w:val="24"/>
                <w:highlight w:val="none"/>
              </w:rPr>
              <w:t>投标保证金递交形式</w:t>
            </w:r>
            <w:r>
              <w:rPr>
                <w:rFonts w:hint="eastAsia" w:ascii="宋体" w:hAnsi="宋体" w:eastAsia="宋体" w:cs="宋体"/>
                <w:b/>
                <w:bCs/>
                <w:i w:val="0"/>
                <w:iCs w:val="0"/>
                <w:color w:val="auto"/>
                <w:spacing w:val="0"/>
                <w:position w:val="0"/>
                <w:sz w:val="24"/>
                <w:szCs w:val="24"/>
                <w:highlight w:val="none"/>
                <w:lang w:eastAsia="zh-CN"/>
              </w:rPr>
              <w:t>：</w:t>
            </w:r>
            <w:r>
              <w:rPr>
                <w:rFonts w:hint="eastAsia" w:ascii="宋体" w:hAnsi="宋体" w:eastAsia="宋体" w:cs="宋体"/>
                <w:b/>
                <w:bCs/>
                <w:i w:val="0"/>
                <w:iCs w:val="0"/>
                <w:color w:val="auto"/>
                <w:spacing w:val="0"/>
                <w:position w:val="0"/>
                <w:sz w:val="24"/>
                <w:szCs w:val="24"/>
                <w:highlight w:val="none"/>
                <w:u w:val="single"/>
                <w:lang w:val="en-US" w:eastAsia="zh-CN"/>
              </w:rPr>
              <w:t>无其他特殊要求，按投标人须知约定提交。</w:t>
            </w:r>
          </w:p>
          <w:p w14:paraId="4CBA3CF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b/>
                <w:bCs/>
                <w:i w:val="0"/>
                <w:iCs w:val="0"/>
                <w:color w:val="auto"/>
                <w:spacing w:val="0"/>
                <w:position w:val="0"/>
                <w:sz w:val="24"/>
                <w:highlight w:val="none"/>
                <w:lang w:val="en-US" w:eastAsia="zh-CN"/>
              </w:rPr>
              <w:t>投标保证金缴款信息：</w:t>
            </w:r>
            <w:r>
              <w:rPr>
                <w:rFonts w:hint="eastAsia" w:ascii="宋体" w:hAnsi="宋体" w:eastAsia="宋体" w:cs="宋体"/>
                <w:i w:val="0"/>
                <w:iCs w:val="0"/>
                <w:color w:val="auto"/>
                <w:spacing w:val="0"/>
                <w:position w:val="0"/>
                <w:sz w:val="24"/>
                <w:highlight w:val="none"/>
                <w:lang w:val="en-US" w:eastAsia="zh-CN"/>
              </w:rPr>
              <w:t>投标人登录该网站链接获取缴纳账户信息https：//s8giz9twlp.jiandaoyun.com/f/6866a233c47e3c423e2b11be并上传缴纳凭证。如投标人不按照以上要求缴纳投标保证金，可能会造成投标过程的不利情形。</w:t>
            </w:r>
          </w:p>
          <w:p w14:paraId="0A31C5A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b/>
                <w:bCs/>
                <w:i w:val="0"/>
                <w:iCs w:val="0"/>
                <w:color w:val="auto"/>
                <w:spacing w:val="0"/>
                <w:position w:val="0"/>
                <w:sz w:val="24"/>
                <w:highlight w:val="none"/>
                <w:lang w:val="en-US" w:eastAsia="zh-CN"/>
              </w:rPr>
              <w:t>提示</w:t>
            </w:r>
            <w:r>
              <w:rPr>
                <w:rFonts w:hint="eastAsia" w:ascii="宋体" w:hAnsi="宋体" w:eastAsia="宋体" w:cs="宋体"/>
                <w:b/>
                <w:bCs/>
                <w:i w:val="0"/>
                <w:iCs w:val="0"/>
                <w:color w:val="auto"/>
                <w:spacing w:val="0"/>
                <w:position w:val="0"/>
                <w:sz w:val="24"/>
                <w:highlight w:val="none"/>
              </w:rPr>
              <w:t>：</w:t>
            </w:r>
            <w:r>
              <w:rPr>
                <w:rFonts w:hint="eastAsia" w:ascii="宋体" w:hAnsi="宋体" w:eastAsia="宋体" w:cs="宋体"/>
                <w:b/>
                <w:bCs/>
                <w:i w:val="0"/>
                <w:iCs w:val="0"/>
                <w:color w:val="auto"/>
                <w:spacing w:val="0"/>
                <w:position w:val="0"/>
                <w:sz w:val="24"/>
                <w:highlight w:val="none"/>
                <w:lang w:val="en-US" w:eastAsia="zh-CN"/>
              </w:rPr>
              <w:t>缴纳完成后需将电子回单上传至</w:t>
            </w:r>
            <w:r>
              <w:rPr>
                <w:rFonts w:hint="eastAsia" w:ascii="宋体" w:hAnsi="宋体" w:eastAsia="宋体" w:cs="宋体"/>
                <w:b/>
                <w:bCs/>
                <w:i w:val="0"/>
                <w:iCs w:val="0"/>
                <w:color w:val="auto"/>
                <w:spacing w:val="0"/>
                <w:position w:val="0"/>
                <w:sz w:val="24"/>
                <w:highlight w:val="none"/>
                <w:lang w:bidi="ar"/>
              </w:rPr>
              <w:t>北京市政府采购电子交易平台</w:t>
            </w:r>
          </w:p>
        </w:tc>
      </w:tr>
      <w:tr w14:paraId="25F5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B9F031">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12.8.2</w:t>
            </w:r>
          </w:p>
        </w:tc>
        <w:tc>
          <w:tcPr>
            <w:tcW w:w="1701" w:type="dxa"/>
            <w:vMerge w:val="continue"/>
            <w:vAlign w:val="center"/>
          </w:tcPr>
          <w:p w14:paraId="5041CC26">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p>
        </w:tc>
        <w:tc>
          <w:tcPr>
            <w:tcW w:w="6244" w:type="dxa"/>
            <w:vAlign w:val="center"/>
          </w:tcPr>
          <w:p w14:paraId="79679C5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投标保证金可以不予退还的其他情形：</w:t>
            </w:r>
          </w:p>
          <w:p w14:paraId="514B048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szCs w:val="24"/>
                <w:highlight w:val="none"/>
                <w:lang w:eastAsia="zh-CN"/>
              </w:rPr>
              <w:t>□</w:t>
            </w:r>
            <w:r>
              <w:rPr>
                <w:rFonts w:hint="eastAsia" w:ascii="宋体" w:hAnsi="宋体" w:eastAsia="宋体" w:cs="宋体"/>
                <w:i w:val="0"/>
                <w:iCs w:val="0"/>
                <w:color w:val="auto"/>
                <w:spacing w:val="0"/>
                <w:position w:val="0"/>
                <w:sz w:val="24"/>
                <w:szCs w:val="24"/>
                <w:highlight w:val="none"/>
              </w:rPr>
              <w:t>无</w:t>
            </w:r>
          </w:p>
          <w:p w14:paraId="2A1BA95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有，具体情形：</w:t>
            </w:r>
          </w:p>
          <w:p w14:paraId="22BA7678">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w w:val="100"/>
                <w:kern w:val="0"/>
                <w:position w:val="0"/>
                <w:sz w:val="24"/>
                <w:szCs w:val="24"/>
                <w:highlight w:val="none"/>
                <w:u w:val="single" w:color="auto"/>
                <w:lang w:eastAsia="zh-CN"/>
              </w:rPr>
            </w:pP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color w:val="auto"/>
                <w:spacing w:val="0"/>
                <w:w w:val="100"/>
                <w:kern w:val="0"/>
                <w:position w:val="0"/>
                <w:sz w:val="24"/>
                <w:szCs w:val="24"/>
                <w:highlight w:val="none"/>
                <w:u w:val="single" w:color="auto"/>
                <w:lang w:val="en-US" w:eastAsia="zh-CN"/>
              </w:rPr>
              <w:t>1</w:t>
            </w: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snapToGrid w:val="0"/>
                <w:color w:val="auto"/>
                <w:spacing w:val="0"/>
                <w:position w:val="0"/>
                <w:sz w:val="24"/>
                <w:szCs w:val="24"/>
                <w:highlight w:val="none"/>
                <w:u w:val="single" w:color="auto"/>
              </w:rPr>
              <w:t>在投标有效期内，投标人擅自撤销投标文件的</w:t>
            </w:r>
            <w:r>
              <w:rPr>
                <w:rFonts w:hint="eastAsia" w:ascii="宋体" w:hAnsi="宋体" w:eastAsia="宋体" w:cs="宋体"/>
                <w:i w:val="0"/>
                <w:iCs w:val="0"/>
                <w:color w:val="auto"/>
                <w:spacing w:val="0"/>
                <w:kern w:val="0"/>
                <w:position w:val="0"/>
                <w:sz w:val="24"/>
                <w:szCs w:val="24"/>
                <w:highlight w:val="none"/>
                <w:u w:val="single" w:color="auto"/>
                <w:lang w:eastAsia="zh-CN"/>
              </w:rPr>
              <w:t>；</w:t>
            </w:r>
          </w:p>
          <w:p w14:paraId="19F57F9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w w:val="100"/>
                <w:kern w:val="0"/>
                <w:position w:val="0"/>
                <w:sz w:val="24"/>
                <w:szCs w:val="24"/>
                <w:highlight w:val="none"/>
                <w:u w:val="single" w:color="auto"/>
                <w:lang w:eastAsia="zh-CN"/>
              </w:rPr>
            </w:pPr>
            <w:r>
              <w:rPr>
                <w:rFonts w:hint="eastAsia" w:ascii="宋体" w:hAnsi="宋体" w:eastAsia="宋体" w:cs="宋体"/>
                <w:i w:val="0"/>
                <w:iCs w:val="0"/>
                <w:color w:val="auto"/>
                <w:spacing w:val="0"/>
                <w:w w:val="100"/>
                <w:kern w:val="0"/>
                <w:position w:val="0"/>
                <w:sz w:val="24"/>
                <w:szCs w:val="24"/>
                <w:highlight w:val="none"/>
                <w:u w:val="single" w:color="auto"/>
                <w:lang w:eastAsia="zh-CN"/>
              </w:rPr>
              <w:t>（</w:t>
            </w:r>
            <w:r>
              <w:rPr>
                <w:rFonts w:hint="eastAsia" w:ascii="宋体" w:hAnsi="宋体" w:eastAsia="宋体" w:cs="宋体"/>
                <w:i w:val="0"/>
                <w:iCs w:val="0"/>
                <w:color w:val="auto"/>
                <w:spacing w:val="0"/>
                <w:w w:val="100"/>
                <w:kern w:val="0"/>
                <w:position w:val="0"/>
                <w:sz w:val="24"/>
                <w:szCs w:val="24"/>
                <w:highlight w:val="none"/>
                <w:u w:val="single" w:color="auto"/>
                <w:lang w:val="en-US" w:eastAsia="zh-CN"/>
              </w:rPr>
              <w:t>2）</w:t>
            </w:r>
            <w:r>
              <w:rPr>
                <w:rFonts w:hint="eastAsia" w:ascii="宋体" w:hAnsi="宋体" w:eastAsia="宋体" w:cs="宋体"/>
                <w:i w:val="0"/>
                <w:iCs w:val="0"/>
                <w:color w:val="auto"/>
                <w:spacing w:val="0"/>
                <w:w w:val="100"/>
                <w:kern w:val="0"/>
                <w:position w:val="0"/>
                <w:sz w:val="24"/>
                <w:szCs w:val="24"/>
                <w:highlight w:val="none"/>
                <w:u w:val="single" w:color="auto"/>
              </w:rPr>
              <w:t>投标人在收到中标通知书后，未按招标文件要求与采购人签订政府采购合同</w:t>
            </w:r>
            <w:r>
              <w:rPr>
                <w:rFonts w:hint="eastAsia" w:ascii="宋体" w:hAnsi="宋体" w:eastAsia="宋体" w:cs="宋体"/>
                <w:i w:val="0"/>
                <w:iCs w:val="0"/>
                <w:color w:val="auto"/>
                <w:spacing w:val="0"/>
                <w:w w:val="100"/>
                <w:kern w:val="0"/>
                <w:position w:val="0"/>
                <w:sz w:val="24"/>
                <w:szCs w:val="24"/>
                <w:highlight w:val="none"/>
                <w:u w:val="single" w:color="auto"/>
                <w:lang w:eastAsia="zh-CN"/>
              </w:rPr>
              <w:t>；</w:t>
            </w:r>
          </w:p>
          <w:p w14:paraId="5757A11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kern w:val="0"/>
                <w:position w:val="0"/>
                <w:sz w:val="24"/>
                <w:szCs w:val="24"/>
                <w:highlight w:val="none"/>
                <w:u w:val="single" w:color="auto"/>
                <w:lang w:eastAsia="zh-CN"/>
              </w:rPr>
            </w:pPr>
            <w:r>
              <w:rPr>
                <w:rFonts w:hint="eastAsia" w:ascii="宋体" w:hAnsi="宋体" w:eastAsia="宋体" w:cs="宋体"/>
                <w:i w:val="0"/>
                <w:iCs w:val="0"/>
                <w:snapToGrid w:val="0"/>
                <w:color w:val="auto"/>
                <w:spacing w:val="0"/>
                <w:kern w:val="0"/>
                <w:position w:val="0"/>
                <w:sz w:val="24"/>
                <w:szCs w:val="24"/>
                <w:highlight w:val="none"/>
                <w:u w:val="single" w:color="auto"/>
                <w:lang w:val="en-US" w:eastAsia="zh-CN" w:bidi="ar-SA"/>
              </w:rPr>
              <w:t>（3）</w:t>
            </w:r>
            <w:r>
              <w:rPr>
                <w:rFonts w:hint="eastAsia" w:ascii="宋体" w:hAnsi="宋体" w:eastAsia="宋体" w:cs="宋体"/>
                <w:i w:val="0"/>
                <w:iCs w:val="0"/>
                <w:color w:val="auto"/>
                <w:spacing w:val="0"/>
                <w:kern w:val="0"/>
                <w:position w:val="0"/>
                <w:sz w:val="24"/>
                <w:szCs w:val="24"/>
                <w:highlight w:val="none"/>
                <w:u w:val="single" w:color="auto"/>
              </w:rPr>
              <w:t>投标人提供虚假资料</w:t>
            </w:r>
            <w:r>
              <w:rPr>
                <w:rFonts w:hint="eastAsia" w:ascii="宋体" w:hAnsi="宋体" w:eastAsia="宋体" w:cs="宋体"/>
                <w:i w:val="0"/>
                <w:iCs w:val="0"/>
                <w:color w:val="auto"/>
                <w:spacing w:val="0"/>
                <w:kern w:val="0"/>
                <w:position w:val="0"/>
                <w:sz w:val="24"/>
                <w:szCs w:val="24"/>
                <w:highlight w:val="none"/>
                <w:u w:val="single" w:color="auto"/>
                <w:lang w:eastAsia="zh-CN"/>
              </w:rPr>
              <w:t>；</w:t>
            </w:r>
          </w:p>
          <w:p w14:paraId="0B38C1B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snapToGrid w:val="0"/>
                <w:color w:val="auto"/>
                <w:spacing w:val="0"/>
                <w:w w:val="100"/>
                <w:kern w:val="0"/>
                <w:position w:val="0"/>
                <w:sz w:val="24"/>
                <w:szCs w:val="24"/>
                <w:highlight w:val="none"/>
                <w:u w:val="single" w:color="auto"/>
                <w:lang w:val="en-US" w:eastAsia="zh-CN" w:bidi="ar-SA"/>
              </w:rPr>
              <w:t>（4）</w:t>
            </w:r>
            <w:r>
              <w:rPr>
                <w:rFonts w:hint="eastAsia" w:ascii="宋体" w:hAnsi="宋体" w:eastAsia="宋体" w:cs="宋体"/>
                <w:i w:val="0"/>
                <w:iCs w:val="0"/>
                <w:color w:val="auto"/>
                <w:spacing w:val="0"/>
                <w:kern w:val="0"/>
                <w:position w:val="0"/>
                <w:sz w:val="24"/>
                <w:szCs w:val="24"/>
                <w:highlight w:val="none"/>
                <w:u w:val="single" w:color="auto"/>
                <w:lang w:val="en-US" w:eastAsia="zh-CN"/>
              </w:rPr>
              <w:t>法律法规规定的其他情形</w:t>
            </w:r>
            <w:r>
              <w:rPr>
                <w:rFonts w:hint="eastAsia" w:ascii="宋体" w:hAnsi="宋体" w:eastAsia="宋体" w:cs="宋体"/>
                <w:i w:val="0"/>
                <w:iCs w:val="0"/>
                <w:color w:val="auto"/>
                <w:spacing w:val="0"/>
                <w:kern w:val="0"/>
                <w:position w:val="0"/>
                <w:sz w:val="24"/>
                <w:szCs w:val="24"/>
                <w:highlight w:val="none"/>
                <w:u w:val="single" w:color="auto"/>
                <w:lang w:eastAsia="zh-CN"/>
              </w:rPr>
              <w:t>。</w:t>
            </w:r>
          </w:p>
        </w:tc>
      </w:tr>
      <w:tr w14:paraId="57483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F97E872">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13.1</w:t>
            </w:r>
          </w:p>
        </w:tc>
        <w:tc>
          <w:tcPr>
            <w:tcW w:w="1701" w:type="dxa"/>
            <w:vAlign w:val="center"/>
          </w:tcPr>
          <w:p w14:paraId="3A4E31D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投标有效期</w:t>
            </w:r>
          </w:p>
        </w:tc>
        <w:tc>
          <w:tcPr>
            <w:tcW w:w="6244" w:type="dxa"/>
            <w:vAlign w:val="center"/>
          </w:tcPr>
          <w:p w14:paraId="3636733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自提交投标文件的截止之日起算</w:t>
            </w:r>
            <w:r>
              <w:rPr>
                <w:rFonts w:hint="eastAsia" w:ascii="宋体" w:hAnsi="宋体" w:eastAsia="宋体" w:cs="宋体"/>
                <w:i w:val="0"/>
                <w:iCs w:val="0"/>
                <w:color w:val="auto"/>
                <w:spacing w:val="0"/>
                <w:position w:val="0"/>
                <w:sz w:val="24"/>
                <w:szCs w:val="24"/>
                <w:highlight w:val="none"/>
                <w:u w:val="single"/>
                <w:lang w:val="en-US" w:eastAsia="zh-CN"/>
              </w:rPr>
              <w:t xml:space="preserve"> 90 </w:t>
            </w:r>
            <w:r>
              <w:rPr>
                <w:rFonts w:hint="eastAsia" w:ascii="宋体" w:hAnsi="宋体" w:eastAsia="宋体" w:cs="宋体"/>
                <w:i w:val="0"/>
                <w:iCs w:val="0"/>
                <w:color w:val="auto"/>
                <w:spacing w:val="0"/>
                <w:position w:val="0"/>
                <w:sz w:val="24"/>
                <w:szCs w:val="24"/>
                <w:highlight w:val="none"/>
              </w:rPr>
              <w:t>日历天。</w:t>
            </w:r>
          </w:p>
        </w:tc>
      </w:tr>
      <w:tr w14:paraId="5391B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1FECD92">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18.2</w:t>
            </w:r>
          </w:p>
        </w:tc>
        <w:tc>
          <w:tcPr>
            <w:tcW w:w="1701" w:type="dxa"/>
            <w:vAlign w:val="center"/>
          </w:tcPr>
          <w:p w14:paraId="4286E3F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解密时间</w:t>
            </w:r>
          </w:p>
        </w:tc>
        <w:tc>
          <w:tcPr>
            <w:tcW w:w="6244" w:type="dxa"/>
            <w:vAlign w:val="center"/>
          </w:tcPr>
          <w:p w14:paraId="3181EBA6">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解密时间：</w:t>
            </w:r>
            <w:r>
              <w:rPr>
                <w:rFonts w:hint="eastAsia" w:ascii="宋体" w:hAnsi="宋体" w:eastAsia="宋体" w:cs="宋体"/>
                <w:i w:val="0"/>
                <w:iCs w:val="0"/>
                <w:color w:val="auto"/>
                <w:spacing w:val="0"/>
                <w:position w:val="0"/>
                <w:sz w:val="24"/>
                <w:szCs w:val="24"/>
                <w:highlight w:val="none"/>
                <w:u w:val="single"/>
              </w:rPr>
              <w:t xml:space="preserve"> </w:t>
            </w:r>
            <w:r>
              <w:rPr>
                <w:rFonts w:hint="eastAsia" w:ascii="宋体" w:hAnsi="宋体" w:eastAsia="宋体" w:cs="宋体"/>
                <w:i w:val="0"/>
                <w:iCs w:val="0"/>
                <w:color w:val="auto"/>
                <w:spacing w:val="0"/>
                <w:position w:val="0"/>
                <w:sz w:val="24"/>
                <w:szCs w:val="24"/>
                <w:highlight w:val="none"/>
                <w:u w:val="single"/>
                <w:lang w:val="en-US" w:eastAsia="zh-CN"/>
              </w:rPr>
              <w:t>30</w:t>
            </w:r>
            <w:r>
              <w:rPr>
                <w:rFonts w:hint="eastAsia" w:ascii="宋体" w:hAnsi="宋体" w:eastAsia="宋体" w:cs="宋体"/>
                <w:i w:val="0"/>
                <w:iCs w:val="0"/>
                <w:color w:val="auto"/>
                <w:spacing w:val="0"/>
                <w:position w:val="0"/>
                <w:sz w:val="24"/>
                <w:szCs w:val="24"/>
                <w:highlight w:val="none"/>
                <w:u w:val="single"/>
              </w:rPr>
              <w:t xml:space="preserve"> </w:t>
            </w:r>
            <w:r>
              <w:rPr>
                <w:rFonts w:hint="eastAsia" w:ascii="宋体" w:hAnsi="宋体" w:eastAsia="宋体" w:cs="宋体"/>
                <w:i w:val="0"/>
                <w:iCs w:val="0"/>
                <w:color w:val="auto"/>
                <w:spacing w:val="0"/>
                <w:position w:val="0"/>
                <w:sz w:val="24"/>
                <w:szCs w:val="24"/>
                <w:highlight w:val="none"/>
              </w:rPr>
              <w:t>分钟</w:t>
            </w:r>
          </w:p>
        </w:tc>
      </w:tr>
      <w:tr w14:paraId="5939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08BA9EA">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22.1</w:t>
            </w:r>
          </w:p>
        </w:tc>
        <w:tc>
          <w:tcPr>
            <w:tcW w:w="1701" w:type="dxa"/>
            <w:vAlign w:val="center"/>
          </w:tcPr>
          <w:p w14:paraId="1B6512D9">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确定中标人</w:t>
            </w:r>
          </w:p>
        </w:tc>
        <w:tc>
          <w:tcPr>
            <w:tcW w:w="6244" w:type="dxa"/>
            <w:vAlign w:val="center"/>
          </w:tcPr>
          <w:p w14:paraId="09687B9B">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中标候选人并列的，采购人是否委托评标委员会确定中标人：</w:t>
            </w:r>
          </w:p>
          <w:p w14:paraId="2CEBF13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否</w:t>
            </w:r>
          </w:p>
          <w:p w14:paraId="69401A31">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是</w:t>
            </w:r>
          </w:p>
          <w:p w14:paraId="4F7AD635">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 xml:space="preserve">中标候选人并列的，按照以下方式确定中标人： </w:t>
            </w:r>
          </w:p>
          <w:p w14:paraId="5CEBF3E7">
            <w:pPr>
              <w:pStyle w:val="24"/>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得分且投标报价均相同的，以</w:t>
            </w:r>
            <w:r>
              <w:rPr>
                <w:rFonts w:hint="eastAsia" w:ascii="宋体" w:hAnsi="宋体" w:eastAsia="宋体" w:cs="宋体"/>
                <w:i w:val="0"/>
                <w:iCs w:val="0"/>
                <w:color w:val="auto"/>
                <w:spacing w:val="0"/>
                <w:position w:val="0"/>
                <w:sz w:val="24"/>
                <w:szCs w:val="24"/>
                <w:highlight w:val="none"/>
                <w:u w:val="single"/>
                <w:lang w:val="en-US" w:eastAsia="zh-CN"/>
              </w:rPr>
              <w:t xml:space="preserve"> 按照技术部分评审因素 </w:t>
            </w:r>
            <w:r>
              <w:rPr>
                <w:rFonts w:hint="eastAsia" w:ascii="宋体" w:hAnsi="宋体" w:eastAsia="宋体" w:cs="宋体"/>
                <w:i w:val="0"/>
                <w:iCs w:val="0"/>
                <w:color w:val="auto"/>
                <w:spacing w:val="0"/>
                <w:position w:val="0"/>
                <w:sz w:val="24"/>
                <w:szCs w:val="24"/>
                <w:highlight w:val="none"/>
              </w:rPr>
              <w:t>得分高者为中标人</w:t>
            </w:r>
          </w:p>
          <w:p w14:paraId="29B0F3D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随机抽取</w:t>
            </w:r>
          </w:p>
        </w:tc>
      </w:tr>
      <w:tr w14:paraId="3EF5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61135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25.5</w:t>
            </w:r>
          </w:p>
        </w:tc>
        <w:tc>
          <w:tcPr>
            <w:tcW w:w="1701" w:type="dxa"/>
            <w:vAlign w:val="center"/>
          </w:tcPr>
          <w:p w14:paraId="43AF3B91">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分包</w:t>
            </w:r>
          </w:p>
        </w:tc>
        <w:tc>
          <w:tcPr>
            <w:tcW w:w="6244" w:type="dxa"/>
            <w:vAlign w:val="center"/>
          </w:tcPr>
          <w:p w14:paraId="70F18D6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 xml:space="preserve">本项目的非主体、非关键性工作是否允许分包： </w:t>
            </w:r>
          </w:p>
          <w:p w14:paraId="2DE07771">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不允许</w:t>
            </w:r>
          </w:p>
          <w:p w14:paraId="76CF024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允许，具体要求：</w:t>
            </w:r>
          </w:p>
          <w:p w14:paraId="2BF2A41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（1）可以分包履行的具体内容：_____；</w:t>
            </w:r>
          </w:p>
          <w:p w14:paraId="5FBD269B">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（2）允许分包的金额或者比例：_____；</w:t>
            </w:r>
          </w:p>
          <w:p w14:paraId="274C2FE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u w:val="single"/>
              </w:rPr>
            </w:pPr>
            <w:r>
              <w:rPr>
                <w:rFonts w:hint="eastAsia" w:ascii="宋体" w:hAnsi="宋体" w:eastAsia="宋体" w:cs="宋体"/>
                <w:i w:val="0"/>
                <w:iCs w:val="0"/>
                <w:color w:val="auto"/>
                <w:spacing w:val="0"/>
                <w:position w:val="0"/>
                <w:sz w:val="24"/>
                <w:szCs w:val="24"/>
                <w:highlight w:val="none"/>
              </w:rPr>
              <w:t>（3）其他要求：_____。</w:t>
            </w:r>
          </w:p>
        </w:tc>
      </w:tr>
      <w:tr w14:paraId="3ECD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E976F6B">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25.6</w:t>
            </w:r>
          </w:p>
        </w:tc>
        <w:tc>
          <w:tcPr>
            <w:tcW w:w="1701" w:type="dxa"/>
            <w:vAlign w:val="center"/>
          </w:tcPr>
          <w:p w14:paraId="5DBF9BC8">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政采贷</w:t>
            </w:r>
          </w:p>
        </w:tc>
        <w:tc>
          <w:tcPr>
            <w:tcW w:w="6244" w:type="dxa"/>
            <w:vAlign w:val="center"/>
          </w:tcPr>
          <w:p w14:paraId="5B06BAA9">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szCs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78DAB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56D5D40">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26.1.1</w:t>
            </w:r>
          </w:p>
        </w:tc>
        <w:tc>
          <w:tcPr>
            <w:tcW w:w="1701" w:type="dxa"/>
            <w:vAlign w:val="center"/>
          </w:tcPr>
          <w:p w14:paraId="487B5AB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询问</w:t>
            </w:r>
          </w:p>
        </w:tc>
        <w:tc>
          <w:tcPr>
            <w:tcW w:w="6244" w:type="dxa"/>
            <w:vAlign w:val="center"/>
          </w:tcPr>
          <w:p w14:paraId="7594DBD2">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询问提出形式：</w:t>
            </w:r>
            <w:r>
              <w:rPr>
                <w:rFonts w:hint="eastAsia" w:ascii="宋体" w:hAnsi="宋体" w:eastAsia="宋体" w:cs="宋体"/>
                <w:i w:val="0"/>
                <w:iCs w:val="0"/>
                <w:color w:val="auto"/>
                <w:spacing w:val="0"/>
                <w:w w:val="100"/>
                <w:kern w:val="0"/>
                <w:position w:val="0"/>
                <w:sz w:val="24"/>
                <w:szCs w:val="24"/>
                <w:highlight w:val="none"/>
                <w:u w:val="single"/>
                <w:lang w:val="en-US" w:eastAsia="zh-CN"/>
              </w:rPr>
              <w:t>书面形式</w:t>
            </w:r>
          </w:p>
        </w:tc>
      </w:tr>
      <w:tr w14:paraId="6209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C86646">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26.3</w:t>
            </w:r>
          </w:p>
        </w:tc>
        <w:tc>
          <w:tcPr>
            <w:tcW w:w="1701" w:type="dxa"/>
            <w:vAlign w:val="center"/>
          </w:tcPr>
          <w:p w14:paraId="7F21AAA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联系方式</w:t>
            </w:r>
          </w:p>
        </w:tc>
        <w:tc>
          <w:tcPr>
            <w:tcW w:w="6244" w:type="dxa"/>
            <w:vAlign w:val="center"/>
          </w:tcPr>
          <w:p w14:paraId="37886CE7">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接收询问和质疑的联系方式</w:t>
            </w:r>
          </w:p>
          <w:p w14:paraId="45EDB018">
            <w:pPr>
              <w:pageBreakBefore w:val="0"/>
              <w:wordWrap/>
              <w:topLinePunct w:val="0"/>
              <w:bidi w:val="0"/>
              <w:spacing w:line="360" w:lineRule="auto"/>
              <w:jc w:val="both"/>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联系部门：</w:t>
            </w:r>
            <w:r>
              <w:rPr>
                <w:rFonts w:hint="eastAsia" w:ascii="宋体" w:hAnsi="宋体" w:eastAsia="宋体" w:cs="宋体"/>
                <w:i w:val="0"/>
                <w:iCs w:val="0"/>
                <w:color w:val="auto"/>
                <w:spacing w:val="0"/>
                <w:kern w:val="0"/>
                <w:position w:val="0"/>
                <w:sz w:val="24"/>
                <w:highlight w:val="none"/>
                <w:u w:val="single"/>
                <w:lang w:val="en-US" w:eastAsia="zh-CN"/>
              </w:rPr>
              <w:t>招标代理机构</w:t>
            </w:r>
            <w:r>
              <w:rPr>
                <w:rFonts w:hint="eastAsia" w:ascii="宋体" w:hAnsi="宋体" w:eastAsia="宋体" w:cs="宋体"/>
                <w:i w:val="0"/>
                <w:iCs w:val="0"/>
                <w:color w:val="auto"/>
                <w:spacing w:val="0"/>
                <w:kern w:val="0"/>
                <w:position w:val="0"/>
                <w:sz w:val="24"/>
                <w:highlight w:val="none"/>
                <w:u w:val="single"/>
              </w:rPr>
              <w:t>招标部</w:t>
            </w:r>
            <w:r>
              <w:rPr>
                <w:rFonts w:hint="eastAsia" w:ascii="宋体" w:hAnsi="宋体" w:eastAsia="宋体" w:cs="宋体"/>
                <w:i w:val="0"/>
                <w:iCs w:val="0"/>
                <w:color w:val="auto"/>
                <w:spacing w:val="0"/>
                <w:kern w:val="0"/>
                <w:position w:val="0"/>
                <w:sz w:val="24"/>
                <w:highlight w:val="none"/>
              </w:rPr>
              <w:t>；</w:t>
            </w:r>
          </w:p>
          <w:p w14:paraId="13B9D501">
            <w:pPr>
              <w:pageBreakBefore w:val="0"/>
              <w:wordWrap/>
              <w:topLinePunct w:val="0"/>
              <w:bidi w:val="0"/>
              <w:spacing w:line="360" w:lineRule="auto"/>
              <w:jc w:val="both"/>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联系电话：</w:t>
            </w:r>
            <w:r>
              <w:rPr>
                <w:rFonts w:hint="eastAsia" w:ascii="宋体" w:hAnsi="宋体" w:eastAsia="宋体" w:cs="宋体"/>
                <w:i w:val="0"/>
                <w:iCs w:val="0"/>
                <w:color w:val="auto"/>
                <w:spacing w:val="0"/>
                <w:kern w:val="0"/>
                <w:position w:val="0"/>
                <w:sz w:val="24"/>
                <w:highlight w:val="none"/>
                <w:u w:val="single"/>
              </w:rPr>
              <w:t>010-53606938</w:t>
            </w:r>
            <w:r>
              <w:rPr>
                <w:rFonts w:hint="eastAsia" w:ascii="宋体" w:hAnsi="宋体" w:eastAsia="宋体" w:cs="宋体"/>
                <w:i w:val="0"/>
                <w:iCs w:val="0"/>
                <w:color w:val="auto"/>
                <w:spacing w:val="0"/>
                <w:kern w:val="0"/>
                <w:position w:val="0"/>
                <w:sz w:val="24"/>
                <w:highlight w:val="none"/>
              </w:rPr>
              <w:t>；</w:t>
            </w:r>
          </w:p>
          <w:p w14:paraId="652F643F">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rPr>
              <w:t>通讯地址：</w:t>
            </w:r>
            <w:r>
              <w:rPr>
                <w:rFonts w:hint="eastAsia" w:ascii="宋体" w:hAnsi="宋体" w:eastAsia="宋体" w:cs="宋体"/>
                <w:i w:val="0"/>
                <w:iCs w:val="0"/>
                <w:color w:val="auto"/>
                <w:spacing w:val="0"/>
                <w:kern w:val="0"/>
                <w:position w:val="0"/>
                <w:sz w:val="24"/>
                <w:highlight w:val="none"/>
                <w:u w:val="single"/>
              </w:rPr>
              <w:t>北京市怀柔区迎宾南路11号五幢二层2213室。</w:t>
            </w:r>
          </w:p>
        </w:tc>
      </w:tr>
      <w:tr w14:paraId="5464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15BB332E">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05F1BEC7">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代理费</w:t>
            </w:r>
          </w:p>
        </w:tc>
        <w:tc>
          <w:tcPr>
            <w:tcW w:w="6244" w:type="dxa"/>
            <w:tcBorders>
              <w:top w:val="single" w:color="auto" w:sz="4" w:space="0"/>
              <w:left w:val="single" w:color="auto" w:sz="4" w:space="0"/>
              <w:bottom w:val="single" w:color="auto" w:sz="4" w:space="0"/>
              <w:right w:val="single" w:color="auto" w:sz="4" w:space="0"/>
            </w:tcBorders>
            <w:vAlign w:val="center"/>
          </w:tcPr>
          <w:p w14:paraId="3024E21F">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收费对象：</w:t>
            </w:r>
          </w:p>
          <w:p w14:paraId="35319A8D">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采购人</w:t>
            </w:r>
          </w:p>
          <w:p w14:paraId="040C5E45">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中标人</w:t>
            </w:r>
          </w:p>
          <w:p w14:paraId="37F40EA4">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收费标准：</w:t>
            </w:r>
            <w:r>
              <w:rPr>
                <w:rFonts w:hint="eastAsia" w:ascii="宋体" w:hAnsi="宋体" w:eastAsia="宋体" w:cs="宋体"/>
                <w:i w:val="0"/>
                <w:iCs w:val="0"/>
                <w:color w:val="auto"/>
                <w:spacing w:val="0"/>
                <w:position w:val="0"/>
                <w:sz w:val="24"/>
                <w:szCs w:val="24"/>
                <w:highlight w:val="none"/>
                <w:u w:val="single"/>
              </w:rPr>
              <w:t>依据原国家发展计划委员会《招标代理服务收费管理暂行办法》（计价格[2002]1980号）、国家发展改革委办公厅《关于招标代理服务收费有关问题的通知》（发改办价格[2003]857号）和国家发展和改革委员会《关于降低部分建设项目收费标准规范收费行为等有关问题的通知》（发改价格[2011]534号）中收费标准计算，且下浮</w:t>
            </w:r>
            <w:r>
              <w:rPr>
                <w:rFonts w:hint="eastAsia" w:ascii="宋体" w:hAnsi="宋体" w:cs="宋体"/>
                <w:i w:val="0"/>
                <w:iCs w:val="0"/>
                <w:color w:val="auto"/>
                <w:spacing w:val="0"/>
                <w:position w:val="0"/>
                <w:sz w:val="24"/>
                <w:szCs w:val="24"/>
                <w:highlight w:val="none"/>
                <w:u w:val="single"/>
                <w:lang w:val="en-US" w:eastAsia="zh-CN"/>
              </w:rPr>
              <w:t>25</w:t>
            </w:r>
            <w:r>
              <w:rPr>
                <w:rFonts w:hint="eastAsia" w:ascii="宋体" w:hAnsi="宋体" w:eastAsia="宋体" w:cs="宋体"/>
                <w:i w:val="0"/>
                <w:iCs w:val="0"/>
                <w:color w:val="auto"/>
                <w:spacing w:val="0"/>
                <w:position w:val="0"/>
                <w:sz w:val="24"/>
                <w:szCs w:val="24"/>
                <w:highlight w:val="none"/>
                <w:u w:val="single"/>
              </w:rPr>
              <w:t>%，由中标人支付。</w:t>
            </w:r>
          </w:p>
          <w:p w14:paraId="67E4E992">
            <w:pPr>
              <w:pStyle w:val="255"/>
              <w:keepNext w:val="0"/>
              <w:keepLines w:val="0"/>
              <w:pageBreakBefore w:val="0"/>
              <w:widowControl/>
              <w:kinsoku/>
              <w:wordWrap/>
              <w:overflowPunct/>
              <w:topLinePunct w:val="0"/>
              <w:autoSpaceDE/>
              <w:autoSpaceDN/>
              <w:bidi w:val="0"/>
              <w:adjustRightInd w:val="0"/>
              <w:snapToGrid w:val="0"/>
              <w:spacing w:line="360" w:lineRule="auto"/>
              <w:ind w:left="0"/>
              <w:jc w:val="both"/>
              <w:textAlignment w:val="baseline"/>
              <w:rPr>
                <w:rFonts w:hint="eastAsia" w:ascii="宋体" w:hAnsi="宋体" w:eastAsia="宋体" w:cs="宋体"/>
                <w:i w:val="0"/>
                <w:iCs w:val="0"/>
                <w:color w:val="auto"/>
                <w:spacing w:val="0"/>
                <w:w w:val="100"/>
                <w:kern w:val="0"/>
                <w:position w:val="0"/>
                <w:highlight w:val="none"/>
              </w:rPr>
            </w:pPr>
            <w:r>
              <w:rPr>
                <w:rFonts w:hint="eastAsia" w:ascii="宋体" w:hAnsi="宋体" w:eastAsia="宋体" w:cs="宋体"/>
                <w:i w:val="0"/>
                <w:iCs w:val="0"/>
                <w:color w:val="auto"/>
                <w:spacing w:val="0"/>
                <w:w w:val="100"/>
                <w:kern w:val="0"/>
                <w:position w:val="0"/>
                <w:highlight w:val="none"/>
              </w:rPr>
              <w:t>缴纳时间：</w:t>
            </w:r>
            <w:r>
              <w:rPr>
                <w:rFonts w:hint="eastAsia" w:ascii="宋体" w:hAnsi="宋体" w:eastAsia="宋体" w:cs="宋体"/>
                <w:i w:val="0"/>
                <w:iCs w:val="0"/>
                <w:color w:val="auto"/>
                <w:spacing w:val="0"/>
                <w:w w:val="100"/>
                <w:kern w:val="0"/>
                <w:position w:val="0"/>
                <w:highlight w:val="none"/>
                <w:u w:val="single" w:color="auto"/>
              </w:rPr>
              <w:t>中标人领取中标通知书时</w:t>
            </w:r>
            <w:r>
              <w:rPr>
                <w:rFonts w:hint="eastAsia" w:ascii="宋体" w:hAnsi="宋体" w:eastAsia="宋体" w:cs="宋体"/>
                <w:i w:val="0"/>
                <w:iCs w:val="0"/>
                <w:color w:val="auto"/>
                <w:spacing w:val="0"/>
                <w:w w:val="100"/>
                <w:kern w:val="0"/>
                <w:position w:val="0"/>
                <w:highlight w:val="none"/>
              </w:rPr>
              <w:t>。</w:t>
            </w:r>
          </w:p>
          <w:p w14:paraId="21524D26">
            <w:pPr>
              <w:keepNext w:val="0"/>
              <w:keepLines w:val="0"/>
              <w:pageBreakBefore w:val="0"/>
              <w:widowControl w:val="0"/>
              <w:shd w:val="clear"/>
              <w:kinsoku/>
              <w:wordWrap/>
              <w:overflowPunct/>
              <w:topLinePunct w:val="0"/>
              <w:autoSpaceDE/>
              <w:autoSpaceDN/>
              <w:bidi w:val="0"/>
              <w:spacing w:line="360" w:lineRule="auto"/>
              <w:jc w:val="left"/>
              <w:textAlignment w:val="auto"/>
              <w:rPr>
                <w:rFonts w:hint="eastAsia" w:ascii="宋体" w:hAnsi="宋体" w:eastAsia="宋体" w:cs="宋体"/>
                <w:b/>
                <w:bCs/>
                <w:i w:val="0"/>
                <w:iCs w:val="0"/>
                <w:color w:val="auto"/>
                <w:spacing w:val="0"/>
                <w:kern w:val="0"/>
                <w:position w:val="0"/>
                <w:sz w:val="24"/>
                <w:szCs w:val="24"/>
                <w:highlight w:val="none"/>
              </w:rPr>
            </w:pPr>
            <w:r>
              <w:rPr>
                <w:rFonts w:hint="eastAsia" w:ascii="宋体" w:hAnsi="宋体" w:eastAsia="宋体" w:cs="宋体"/>
                <w:b/>
                <w:bCs/>
                <w:i w:val="0"/>
                <w:iCs w:val="0"/>
                <w:color w:val="auto"/>
                <w:spacing w:val="0"/>
                <w:kern w:val="0"/>
                <w:position w:val="0"/>
                <w:sz w:val="24"/>
                <w:szCs w:val="24"/>
                <w:highlight w:val="none"/>
              </w:rPr>
              <w:t>代理服务费缴纳银行账号信息：</w:t>
            </w:r>
          </w:p>
          <w:p w14:paraId="5BEE0A6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账户名称：中归咨询管理（北京）有限公司通州第一分公司</w:t>
            </w:r>
          </w:p>
          <w:p w14:paraId="056F8620">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账户号码：35280188000213412</w:t>
            </w:r>
          </w:p>
          <w:p w14:paraId="34DF5E11">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position w:val="0"/>
                <w:sz w:val="24"/>
                <w:szCs w:val="24"/>
                <w:highlight w:val="none"/>
              </w:rPr>
              <w:t>开户银行：中国光大银行股份有限公司北京经济技术开发区支行</w:t>
            </w:r>
          </w:p>
        </w:tc>
      </w:tr>
      <w:tr w14:paraId="3CCD5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right w:val="single" w:color="auto" w:sz="4" w:space="0"/>
            </w:tcBorders>
            <w:vAlign w:val="center"/>
          </w:tcPr>
          <w:p w14:paraId="40B891F0">
            <w:pPr>
              <w:pStyle w:val="24"/>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szCs w:val="24"/>
                <w:highlight w:val="none"/>
                <w:lang w:val="en-US" w:eastAsia="zh-CN"/>
              </w:rPr>
            </w:pPr>
            <w:r>
              <w:rPr>
                <w:rFonts w:hint="eastAsia" w:ascii="宋体" w:hAnsi="宋体" w:eastAsia="宋体" w:cs="宋体"/>
                <w:i w:val="0"/>
                <w:iCs w:val="0"/>
                <w:color w:val="auto"/>
                <w:spacing w:val="0"/>
                <w:position w:val="0"/>
                <w:sz w:val="24"/>
                <w:szCs w:val="24"/>
                <w:highlight w:val="none"/>
                <w:lang w:val="en-US" w:eastAsia="zh-CN"/>
              </w:rPr>
              <w:t>28</w:t>
            </w:r>
          </w:p>
        </w:tc>
        <w:tc>
          <w:tcPr>
            <w:tcW w:w="1701" w:type="dxa"/>
            <w:tcBorders>
              <w:top w:val="single" w:color="auto" w:sz="4" w:space="0"/>
              <w:left w:val="single" w:color="auto" w:sz="4" w:space="0"/>
              <w:right w:val="single" w:color="auto" w:sz="4" w:space="0"/>
            </w:tcBorders>
            <w:vAlign w:val="center"/>
          </w:tcPr>
          <w:p w14:paraId="62C1C483">
            <w:pPr>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i w:val="0"/>
                <w:iCs w:val="0"/>
                <w:color w:val="auto"/>
                <w:spacing w:val="0"/>
                <w:position w:val="0"/>
                <w:sz w:val="24"/>
                <w:szCs w:val="24"/>
                <w:highlight w:val="none"/>
                <w:lang w:val="en-US"/>
              </w:rPr>
            </w:pPr>
            <w:r>
              <w:rPr>
                <w:rFonts w:hint="eastAsia" w:ascii="宋体" w:hAnsi="宋体" w:eastAsia="宋体" w:cs="宋体"/>
                <w:i w:val="0"/>
                <w:iCs w:val="0"/>
                <w:color w:val="auto"/>
                <w:spacing w:val="0"/>
                <w:position w:val="0"/>
                <w:sz w:val="24"/>
                <w:szCs w:val="24"/>
                <w:highlight w:val="none"/>
                <w:lang w:val="en-US" w:eastAsia="zh-CN"/>
              </w:rPr>
              <w:t>其他</w:t>
            </w:r>
          </w:p>
        </w:tc>
        <w:tc>
          <w:tcPr>
            <w:tcW w:w="6244" w:type="dxa"/>
            <w:tcBorders>
              <w:top w:val="single" w:color="auto" w:sz="4" w:space="0"/>
              <w:left w:val="single" w:color="auto" w:sz="4" w:space="0"/>
              <w:bottom w:val="single" w:color="auto" w:sz="4" w:space="0"/>
              <w:right w:val="single" w:color="auto" w:sz="4" w:space="0"/>
            </w:tcBorders>
            <w:vAlign w:val="center"/>
          </w:tcPr>
          <w:p w14:paraId="7EDF1643">
            <w:pPr>
              <w:pageBreakBefore w:val="0"/>
              <w:wordWrap/>
              <w:topLinePunct w:val="0"/>
              <w:bidi w:val="0"/>
              <w:spacing w:line="360" w:lineRule="auto"/>
              <w:ind w:left="42" w:leftChars="20" w:right="42" w:rightChars="20"/>
              <w:jc w:val="both"/>
              <w:rPr>
                <w:rFonts w:hint="eastAsia" w:ascii="宋体" w:hAnsi="宋体" w:eastAsia="宋体" w:cs="宋体"/>
                <w:i w:val="0"/>
                <w:iCs w:val="0"/>
                <w:color w:val="auto"/>
                <w:spacing w:val="0"/>
                <w:position w:val="0"/>
                <w:sz w:val="24"/>
                <w:szCs w:val="24"/>
                <w:highlight w:val="none"/>
                <w:u w:val="single"/>
                <w:lang w:val="en-US" w:eastAsia="zh-CN"/>
              </w:rPr>
            </w:pPr>
            <w:r>
              <w:rPr>
                <w:rFonts w:hint="eastAsia" w:ascii="宋体" w:hAnsi="宋体" w:eastAsia="宋体" w:cs="宋体"/>
                <w:i w:val="0"/>
                <w:iCs w:val="0"/>
                <w:color w:val="auto"/>
                <w:spacing w:val="0"/>
                <w:position w:val="0"/>
                <w:sz w:val="24"/>
                <w:szCs w:val="24"/>
                <w:highlight w:val="none"/>
                <w:lang w:eastAsia="zh-CN"/>
              </w:rPr>
              <w:t>1.是否收取履约保证金：</w:t>
            </w:r>
            <w:r>
              <w:rPr>
                <w:rFonts w:hint="eastAsia" w:ascii="宋体" w:hAnsi="宋体" w:eastAsia="宋体" w:cs="宋体"/>
                <w:i w:val="0"/>
                <w:iCs w:val="0"/>
                <w:color w:val="auto"/>
                <w:spacing w:val="0"/>
                <w:position w:val="0"/>
                <w:sz w:val="24"/>
                <w:szCs w:val="24"/>
                <w:highlight w:val="none"/>
                <w:u w:val="single"/>
                <w:lang w:val="en-US" w:eastAsia="zh-CN"/>
              </w:rPr>
              <w:t xml:space="preserve">  见合同约定  </w:t>
            </w:r>
          </w:p>
          <w:p w14:paraId="2B67F069">
            <w:pPr>
              <w:pageBreakBefore w:val="0"/>
              <w:wordWrap/>
              <w:topLinePunct w:val="0"/>
              <w:bidi w:val="0"/>
              <w:spacing w:line="360" w:lineRule="auto"/>
              <w:ind w:left="42" w:leftChars="20" w:right="42" w:rightChars="20"/>
              <w:jc w:val="both"/>
              <w:rPr>
                <w:rFonts w:hint="eastAsia" w:ascii="宋体" w:hAnsi="宋体" w:eastAsia="宋体" w:cs="宋体"/>
                <w:i w:val="0"/>
                <w:iCs w:val="0"/>
                <w:color w:val="auto"/>
                <w:spacing w:val="0"/>
                <w:position w:val="0"/>
                <w:sz w:val="24"/>
                <w:szCs w:val="24"/>
                <w:highlight w:val="none"/>
                <w:u w:val="single"/>
                <w:lang w:val="en-US" w:eastAsia="zh-CN"/>
              </w:rPr>
            </w:pPr>
            <w:r>
              <w:rPr>
                <w:rFonts w:hint="eastAsia" w:ascii="宋体" w:hAnsi="宋体" w:eastAsia="宋体" w:cs="宋体"/>
                <w:i w:val="0"/>
                <w:iCs w:val="0"/>
                <w:color w:val="auto"/>
                <w:spacing w:val="0"/>
                <w:position w:val="0"/>
                <w:sz w:val="24"/>
                <w:szCs w:val="24"/>
                <w:highlight w:val="none"/>
                <w:lang w:eastAsia="zh-CN"/>
              </w:rPr>
              <w:t>履约保证金递交时间</w:t>
            </w:r>
            <w:r>
              <w:rPr>
                <w:rFonts w:hint="eastAsia" w:ascii="宋体" w:hAnsi="宋体" w:eastAsia="宋体" w:cs="宋体"/>
                <w:i w:val="0"/>
                <w:iCs w:val="0"/>
                <w:color w:val="auto"/>
                <w:spacing w:val="0"/>
                <w:position w:val="0"/>
                <w:sz w:val="24"/>
                <w:szCs w:val="24"/>
                <w:highlight w:val="none"/>
                <w:lang w:val="en-US" w:eastAsia="zh-CN"/>
              </w:rPr>
              <w:t>及形式</w:t>
            </w:r>
            <w:r>
              <w:rPr>
                <w:rFonts w:hint="eastAsia" w:ascii="宋体" w:hAnsi="宋体" w:eastAsia="宋体" w:cs="宋体"/>
                <w:i w:val="0"/>
                <w:iCs w:val="0"/>
                <w:color w:val="auto"/>
                <w:spacing w:val="0"/>
                <w:position w:val="0"/>
                <w:sz w:val="24"/>
                <w:szCs w:val="24"/>
                <w:highlight w:val="none"/>
                <w:lang w:eastAsia="zh-CN"/>
              </w:rPr>
              <w:t>：</w:t>
            </w:r>
            <w:r>
              <w:rPr>
                <w:rFonts w:hint="eastAsia" w:ascii="宋体" w:hAnsi="宋体" w:eastAsia="宋体" w:cs="宋体"/>
                <w:i w:val="0"/>
                <w:iCs w:val="0"/>
                <w:color w:val="auto"/>
                <w:spacing w:val="0"/>
                <w:position w:val="0"/>
                <w:sz w:val="24"/>
                <w:szCs w:val="24"/>
                <w:highlight w:val="none"/>
                <w:u w:val="single"/>
                <w:lang w:val="en-US" w:eastAsia="zh-CN"/>
              </w:rPr>
              <w:t xml:space="preserve">  见合同约定  </w:t>
            </w:r>
          </w:p>
          <w:p w14:paraId="1BC200C7">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zh-CN"/>
              </w:rPr>
            </w:pPr>
            <w:r>
              <w:rPr>
                <w:rFonts w:hint="eastAsia" w:ascii="宋体" w:hAnsi="宋体" w:eastAsia="宋体" w:cs="宋体"/>
                <w:i w:val="0"/>
                <w:iCs w:val="0"/>
                <w:color w:val="auto"/>
                <w:spacing w:val="0"/>
                <w:kern w:val="0"/>
                <w:position w:val="0"/>
                <w:sz w:val="24"/>
                <w:szCs w:val="24"/>
                <w:highlight w:val="none"/>
                <w:lang w:val="zh-CN" w:eastAsia="zh-CN" w:bidi="ar-SA"/>
              </w:rPr>
              <w:t>2.</w:t>
            </w:r>
            <w:r>
              <w:rPr>
                <w:rFonts w:hint="eastAsia" w:ascii="宋体" w:hAnsi="宋体" w:eastAsia="宋体" w:cs="宋体"/>
                <w:i w:val="0"/>
                <w:iCs w:val="0"/>
                <w:color w:val="auto"/>
                <w:spacing w:val="0"/>
                <w:kern w:val="0"/>
                <w:position w:val="0"/>
                <w:sz w:val="24"/>
                <w:highlight w:val="none"/>
                <w:lang w:val="zh-CN"/>
              </w:rPr>
              <w:t>供应商如果在投标文件中提供了虚假材料，在任何时候采购人都有权否决其投标，并视情况追究其责任。</w:t>
            </w:r>
          </w:p>
          <w:p w14:paraId="4824406E">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szCs w:val="24"/>
                <w:highlight w:val="none"/>
                <w:lang w:val="zh-CN" w:eastAsia="zh-CN" w:bidi="ar-SA"/>
              </w:rPr>
              <w:t>3.</w:t>
            </w:r>
            <w:r>
              <w:rPr>
                <w:rFonts w:hint="eastAsia" w:ascii="宋体" w:hAnsi="宋体" w:eastAsia="宋体" w:cs="宋体"/>
                <w:i w:val="0"/>
                <w:iCs w:val="0"/>
                <w:color w:val="auto"/>
                <w:spacing w:val="0"/>
                <w:kern w:val="0"/>
                <w:position w:val="0"/>
                <w:sz w:val="24"/>
                <w:highlight w:val="none"/>
                <w:lang w:val="en-US" w:eastAsia="zh-CN"/>
              </w:rPr>
              <w:t>采购人发现供应商存在“空壳公司”、“挂靠他人”投标情形的，其投标将被否决。合同签署或履约阶段发现以上情形的，采购人有权解除合同，给采购人造成损失的，应进行相应赔偿。</w:t>
            </w:r>
          </w:p>
          <w:p w14:paraId="24D125DB">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4.其他</w:t>
            </w:r>
          </w:p>
          <w:p w14:paraId="10F849D9">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供应商提供的服务、货物需满足国家法律法规、行业规范等有强制性规定和行政许可的要求。</w:t>
            </w:r>
          </w:p>
          <w:p w14:paraId="59972CA3">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供应商应提供的服务、货物不涉及因第三方提出侵犯其所有权和专利权、商标权或其它知识产权而引起的法律和经济纠纷，如因所有权或知识产权瑕疵而引起法律和经济纠纷，由供应商承担所有相关责任。</w:t>
            </w:r>
          </w:p>
          <w:p w14:paraId="230126F0">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供应商明确其商业秘密，因自身未明确此关键信息造成的不良后果，由供应商自行承担。无论成交与否，供应商的响应文件不予退还。</w:t>
            </w:r>
          </w:p>
          <w:p w14:paraId="17CCEF58">
            <w:pPr>
              <w:pageBreakBefore w:val="0"/>
              <w:numPr>
                <w:ilvl w:val="0"/>
                <w:numId w:val="0"/>
              </w:numPr>
              <w:wordWrap/>
              <w:topLinePunct w:val="0"/>
              <w:bidi w:val="0"/>
              <w:spacing w:line="360" w:lineRule="auto"/>
              <w:ind w:left="42" w:leftChars="20" w:right="42" w:rightChars="20"/>
              <w:jc w:val="both"/>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供应商未经采购人书面同意的，不得将本项目、与项目中相关的任何内容、资料（包括纸质和电子介质资料，下同）透露给任何人。</w:t>
            </w:r>
          </w:p>
        </w:tc>
      </w:tr>
    </w:tbl>
    <w:p w14:paraId="46A9582E">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687C3381">
      <w:pPr>
        <w:pageBreakBefore w:val="0"/>
        <w:wordWrap/>
        <w:topLinePunct w:val="0"/>
        <w:bidi w:val="0"/>
        <w:spacing w:before="240" w:beforeLines="100" w:after="240" w:afterLines="100" w:line="360" w:lineRule="auto"/>
        <w:jc w:val="center"/>
        <w:rPr>
          <w:rFonts w:hint="eastAsia" w:ascii="宋体" w:hAnsi="宋体" w:eastAsia="宋体" w:cs="宋体"/>
          <w:b/>
          <w:i w:val="0"/>
          <w:iCs w:val="0"/>
          <w:color w:val="auto"/>
          <w:spacing w:val="0"/>
          <w:position w:val="0"/>
          <w:sz w:val="28"/>
          <w:szCs w:val="28"/>
          <w:highlight w:val="none"/>
        </w:rPr>
      </w:pPr>
      <w:bookmarkStart w:id="73" w:name="_Toc195842882"/>
      <w:bookmarkStart w:id="74" w:name="_Toc226965790"/>
      <w:bookmarkStart w:id="75" w:name="_Toc305158859"/>
      <w:bookmarkStart w:id="76" w:name="_Toc226337213"/>
      <w:bookmarkStart w:id="77" w:name="_Toc353873662"/>
      <w:bookmarkStart w:id="78" w:name="_Toc150480755"/>
      <w:bookmarkStart w:id="79" w:name="_Toc305158785"/>
      <w:bookmarkStart w:id="80" w:name="_Toc264969207"/>
      <w:bookmarkStart w:id="81" w:name="_Toc127151517"/>
      <w:bookmarkStart w:id="82" w:name="_Toc150774722"/>
      <w:bookmarkStart w:id="83" w:name="_Toc353873932"/>
      <w:bookmarkStart w:id="84" w:name="_Toc353825542"/>
      <w:bookmarkStart w:id="85" w:name="_Toc265228355"/>
      <w:bookmarkStart w:id="86" w:name="_Toc142311019"/>
      <w:r>
        <w:rPr>
          <w:rFonts w:hint="eastAsia" w:ascii="宋体" w:hAnsi="宋体" w:eastAsia="宋体" w:cs="宋体"/>
          <w:b/>
          <w:i w:val="0"/>
          <w:iCs w:val="0"/>
          <w:color w:val="auto"/>
          <w:spacing w:val="0"/>
          <w:position w:val="0"/>
          <w:sz w:val="28"/>
          <w:szCs w:val="28"/>
          <w:highlight w:val="none"/>
        </w:rPr>
        <w:t>投标人须知</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54444747">
      <w:pPr>
        <w:pStyle w:val="4"/>
        <w:pageBreakBefore w:val="0"/>
        <w:tabs>
          <w:tab w:val="center" w:pos="4592"/>
          <w:tab w:val="left" w:pos="7860"/>
        </w:tabs>
        <w:wordWrap/>
        <w:topLinePunct w:val="0"/>
        <w:bidi w:val="0"/>
        <w:spacing w:before="0" w:line="360" w:lineRule="auto"/>
        <w:jc w:val="left"/>
        <w:rPr>
          <w:rFonts w:hint="eastAsia" w:ascii="宋体" w:hAnsi="宋体" w:eastAsia="宋体" w:cs="宋体"/>
          <w:i w:val="0"/>
          <w:iCs w:val="0"/>
          <w:color w:val="auto"/>
          <w:spacing w:val="0"/>
          <w:position w:val="0"/>
          <w:sz w:val="28"/>
          <w:highlight w:val="none"/>
        </w:rPr>
      </w:pPr>
      <w:bookmarkStart w:id="87" w:name="_Toc520356143"/>
      <w:bookmarkStart w:id="88" w:name="_Toc127151518"/>
      <w:r>
        <w:rPr>
          <w:rFonts w:hint="eastAsia" w:ascii="宋体" w:hAnsi="宋体" w:eastAsia="宋体" w:cs="宋体"/>
          <w:i w:val="0"/>
          <w:iCs w:val="0"/>
          <w:color w:val="auto"/>
          <w:spacing w:val="0"/>
          <w:position w:val="0"/>
          <w:sz w:val="28"/>
          <w:highlight w:val="none"/>
        </w:rPr>
        <w:tab/>
      </w:r>
      <w:bookmarkStart w:id="89" w:name="_Toc151193688"/>
      <w:bookmarkStart w:id="90" w:name="_Toc226337214"/>
      <w:bookmarkStart w:id="91" w:name="_Toc151193906"/>
      <w:bookmarkStart w:id="92" w:name="_Toc226965708"/>
      <w:bookmarkStart w:id="93" w:name="_Toc226965791"/>
      <w:bookmarkStart w:id="94" w:name="_Toc265228356"/>
      <w:bookmarkStart w:id="95" w:name="_Toc264969208"/>
      <w:bookmarkStart w:id="96" w:name="_Toc151190145"/>
      <w:bookmarkStart w:id="97" w:name="_Toc195842883"/>
      <w:bookmarkStart w:id="98" w:name="_Toc305158786"/>
      <w:bookmarkStart w:id="99" w:name="_Toc150774723"/>
      <w:bookmarkStart w:id="100" w:name="_Toc226309762"/>
      <w:bookmarkStart w:id="101" w:name="_Toc150774618"/>
      <w:bookmarkStart w:id="102" w:name="_Toc150509269"/>
      <w:bookmarkStart w:id="103" w:name="_Toc151193616"/>
      <w:bookmarkStart w:id="104" w:name="_Toc150480756"/>
      <w:bookmarkStart w:id="105" w:name="_Toc305158860"/>
      <w:bookmarkStart w:id="106" w:name="_Toc151193760"/>
      <w:bookmarkStart w:id="107" w:name="_Toc151193832"/>
      <w:bookmarkStart w:id="108" w:name="_Toc142311020"/>
      <w:r>
        <w:rPr>
          <w:rFonts w:hint="eastAsia" w:ascii="宋体" w:hAnsi="宋体" w:eastAsia="宋体" w:cs="宋体"/>
          <w:i w:val="0"/>
          <w:iCs w:val="0"/>
          <w:color w:val="auto"/>
          <w:spacing w:val="0"/>
          <w:position w:val="0"/>
          <w:sz w:val="28"/>
          <w:highlight w:val="none"/>
        </w:rPr>
        <w:t>一   说  明</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ascii="宋体" w:hAnsi="宋体" w:eastAsia="宋体" w:cs="宋体"/>
          <w:i w:val="0"/>
          <w:iCs w:val="0"/>
          <w:color w:val="auto"/>
          <w:spacing w:val="0"/>
          <w:position w:val="0"/>
          <w:sz w:val="28"/>
          <w:highlight w:val="none"/>
        </w:rPr>
        <w:tab/>
      </w:r>
    </w:p>
    <w:p w14:paraId="1351C21A">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09" w:name="_Toc305158787"/>
      <w:bookmarkStart w:id="110" w:name="_Toc264969209"/>
      <w:bookmarkStart w:id="111" w:name="_Toc265228357"/>
      <w:bookmarkStart w:id="112" w:name="_Toc305158861"/>
      <w:r>
        <w:rPr>
          <w:rFonts w:hint="eastAsia" w:ascii="宋体" w:hAnsi="宋体" w:eastAsia="宋体" w:cs="宋体"/>
          <w:i w:val="0"/>
          <w:iCs w:val="0"/>
          <w:color w:val="auto"/>
          <w:spacing w:val="0"/>
          <w:position w:val="0"/>
          <w:sz w:val="24"/>
          <w:highlight w:val="none"/>
        </w:rPr>
        <w:t>采购人、采购代理机构、投标人</w:t>
      </w:r>
      <w:bookmarkEnd w:id="109"/>
      <w:bookmarkEnd w:id="110"/>
      <w:bookmarkEnd w:id="111"/>
      <w:bookmarkEnd w:id="112"/>
      <w:r>
        <w:rPr>
          <w:rFonts w:hint="eastAsia" w:ascii="宋体" w:hAnsi="宋体" w:eastAsia="宋体" w:cs="宋体"/>
          <w:i w:val="0"/>
          <w:iCs w:val="0"/>
          <w:color w:val="auto"/>
          <w:spacing w:val="0"/>
          <w:position w:val="0"/>
          <w:sz w:val="24"/>
          <w:highlight w:val="none"/>
        </w:rPr>
        <w:t>、联合体</w:t>
      </w:r>
    </w:p>
    <w:p w14:paraId="26FEB7EC">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采购人、采购代理机构：指依法进行政府采购的国家机关、事业单位、团体组织，及其委托的采购代理机构。本项目采购人、采购代理机构见第一章《投标邀请》。</w:t>
      </w:r>
    </w:p>
    <w:p w14:paraId="0755AFE1">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投标人（也称“供应商”、“申请人”）：指向采购人提供货物、工程或者服务的法人、其他组织或者自然人。</w:t>
      </w:r>
    </w:p>
    <w:p w14:paraId="03FBDD4B">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联合体：指两个以上的自然人、法人或者其他组织组成一个联合体，以一个供应商的身份共同参加政府采购。</w:t>
      </w:r>
    </w:p>
    <w:p w14:paraId="1C706112">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13" w:name="_Toc226309764"/>
      <w:bookmarkStart w:id="114" w:name="_Toc151193690"/>
      <w:bookmarkStart w:id="115" w:name="_Toc164608789"/>
      <w:bookmarkStart w:id="116" w:name="_Toc150480758"/>
      <w:bookmarkStart w:id="117" w:name="_Toc151193762"/>
      <w:bookmarkStart w:id="118" w:name="_Toc264969210"/>
      <w:bookmarkStart w:id="119" w:name="_Toc127161434"/>
      <w:bookmarkStart w:id="120" w:name="_Toc151193908"/>
      <w:bookmarkStart w:id="121" w:name="_Toc305158788"/>
      <w:bookmarkStart w:id="122" w:name="_Toc127151520"/>
      <w:bookmarkStart w:id="123" w:name="_Toc150509271"/>
      <w:bookmarkStart w:id="124" w:name="_Toc164229215"/>
      <w:bookmarkStart w:id="125" w:name="_Toc149720813"/>
      <w:bookmarkStart w:id="126" w:name="_Toc127151721"/>
      <w:bookmarkStart w:id="127" w:name="_Toc164351614"/>
      <w:bookmarkStart w:id="128" w:name="_Toc151193618"/>
      <w:bookmarkStart w:id="129" w:name="_Toc164229361"/>
      <w:bookmarkStart w:id="130" w:name="_Toc226965710"/>
      <w:bookmarkStart w:id="131" w:name="_Toc142311022"/>
      <w:bookmarkStart w:id="132" w:name="_Toc164608634"/>
      <w:bookmarkStart w:id="133" w:name="_Toc265228358"/>
      <w:bookmarkStart w:id="134" w:name="_Toc195842885"/>
      <w:bookmarkStart w:id="135" w:name="_Toc226965793"/>
      <w:bookmarkStart w:id="136" w:name="_Toc150774725"/>
      <w:bookmarkStart w:id="137" w:name="_Toc150774620"/>
      <w:bookmarkStart w:id="138" w:name="_Toc305158862"/>
      <w:bookmarkStart w:id="139" w:name="_Toc151190147"/>
      <w:bookmarkStart w:id="140" w:name="_Toc151193834"/>
      <w:bookmarkStart w:id="141" w:name="_Toc226337216"/>
      <w:r>
        <w:rPr>
          <w:rFonts w:hint="eastAsia" w:ascii="宋体" w:hAnsi="宋体" w:eastAsia="宋体" w:cs="宋体"/>
          <w:i w:val="0"/>
          <w:iCs w:val="0"/>
          <w:color w:val="auto"/>
          <w:spacing w:val="0"/>
          <w:position w:val="0"/>
          <w:sz w:val="24"/>
          <w:highlight w:val="none"/>
        </w:rPr>
        <w:t>资金来源</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Fonts w:hint="eastAsia" w:ascii="宋体" w:hAnsi="宋体" w:eastAsia="宋体" w:cs="宋体"/>
          <w:i w:val="0"/>
          <w:iCs w:val="0"/>
          <w:color w:val="auto"/>
          <w:spacing w:val="0"/>
          <w:position w:val="0"/>
          <w:sz w:val="24"/>
          <w:highlight w:val="none"/>
        </w:rPr>
        <w:t>、项目属性、科研仪器设备采购、核心产品</w:t>
      </w:r>
    </w:p>
    <w:p w14:paraId="65A719C6">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资金来源为财政性资金和/或本项目采购中无法与财政性资金分割的非财政性资金。</w:t>
      </w:r>
    </w:p>
    <w:p w14:paraId="0AB216E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项目属性见《投标人须知资料表》。</w:t>
      </w:r>
    </w:p>
    <w:p w14:paraId="553A09A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是否属于科研仪器设备采购见《投标人须知资料表》。</w:t>
      </w:r>
    </w:p>
    <w:p w14:paraId="78F15923">
      <w:pPr>
        <w:pageBreakBefore w:val="0"/>
        <w:numPr>
          <w:ilvl w:val="1"/>
          <w:numId w:val="8"/>
        </w:numPr>
        <w:tabs>
          <w:tab w:val="left" w:pos="1080"/>
          <w:tab w:val="left" w:pos="2014"/>
          <w:tab w:val="left" w:pos="5521"/>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核心产品见《投标人须知资料表》。</w:t>
      </w:r>
    </w:p>
    <w:p w14:paraId="3216133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现场考察、开标前答疑会</w:t>
      </w:r>
    </w:p>
    <w:p w14:paraId="0A5E2EA4">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4"/>
          <w:highlight w:val="none"/>
        </w:rPr>
        <w:t>若《投标人须知资料表》中规定了组织现场考察、召开开标前答疑会，则投标人应按要求在规定的时间和地点参加。</w:t>
      </w:r>
      <w:bookmarkStart w:id="142" w:name="_Toc150774622"/>
      <w:bookmarkStart w:id="143" w:name="_Toc265228360"/>
      <w:bookmarkStart w:id="144" w:name="_Toc151193764"/>
      <w:bookmarkStart w:id="145" w:name="_Toc150774727"/>
      <w:bookmarkStart w:id="146" w:name="_Toc305158790"/>
      <w:bookmarkStart w:id="147" w:name="_Toc151193836"/>
      <w:bookmarkStart w:id="148" w:name="_Toc142311024"/>
      <w:bookmarkStart w:id="149" w:name="_Toc226965795"/>
      <w:bookmarkStart w:id="150" w:name="_Toc151193620"/>
      <w:bookmarkStart w:id="151" w:name="_Toc226965712"/>
      <w:bookmarkStart w:id="152" w:name="_Toc305158864"/>
      <w:bookmarkStart w:id="153" w:name="_Toc151193692"/>
      <w:bookmarkStart w:id="154" w:name="_Toc195842887"/>
      <w:bookmarkStart w:id="155" w:name="_Toc264969212"/>
      <w:bookmarkStart w:id="156" w:name="_Toc150509273"/>
      <w:bookmarkStart w:id="157" w:name="_Toc150480760"/>
      <w:bookmarkStart w:id="158" w:name="_Toc127151522"/>
      <w:bookmarkStart w:id="159" w:name="_Toc226309766"/>
      <w:bookmarkStart w:id="160" w:name="_Toc151190149"/>
      <w:bookmarkStart w:id="161" w:name="_Toc520356146"/>
      <w:bookmarkStart w:id="162" w:name="_Toc226337218"/>
      <w:bookmarkStart w:id="163" w:name="_Toc151193910"/>
    </w:p>
    <w:p w14:paraId="00EEC0D8">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由于未参加现场考察或开标前答疑会而导致对项目实际情况不了解，影响投标文件编制、投标报价准确性、综合因素响应不全面等问题的，由投标人自行承担不利评审后果。</w:t>
      </w:r>
    </w:p>
    <w:p w14:paraId="2E08F12B">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样品</w:t>
      </w:r>
    </w:p>
    <w:p w14:paraId="645B013D">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本项目是否要求投标人提供样品，以及样品制作的标准和要求、是否需要随样品提交相关检测报告、样品的递交与退还等要求见《投标人须知资料表》。</w:t>
      </w:r>
    </w:p>
    <w:p w14:paraId="57B1E24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样品的评审方法以及评审标准等内容见第四章《评标程序、评标方法和评标标准》。</w:t>
      </w:r>
    </w:p>
    <w:p w14:paraId="66812448">
      <w:pPr>
        <w:pageBreakBefore w:val="0"/>
        <w:numPr>
          <w:ilvl w:val="0"/>
          <w:numId w:val="8"/>
        </w:numPr>
        <w:tabs>
          <w:tab w:val="left" w:pos="360"/>
          <w:tab w:val="clear" w:pos="90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政府采购政策（包括但不限于下列具体政策要求）</w:t>
      </w:r>
    </w:p>
    <w:p w14:paraId="0912664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采购本国货物、工程和服务</w:t>
      </w:r>
    </w:p>
    <w:p w14:paraId="284088DB">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政府采购应当采购本国货物、工程和服务。但有《</w:t>
      </w:r>
      <w:r>
        <w:rPr>
          <w:rFonts w:hint="eastAsia" w:ascii="宋体" w:hAnsi="宋体" w:eastAsia="宋体" w:cs="宋体"/>
          <w:b/>
          <w:i w:val="0"/>
          <w:iCs w:val="0"/>
          <w:color w:val="auto"/>
          <w:spacing w:val="0"/>
          <w:kern w:val="0"/>
          <w:position w:val="0"/>
          <w:sz w:val="24"/>
          <w:highlight w:val="none"/>
        </w:rPr>
        <w:t>中华人民共和国政府采购法</w:t>
      </w:r>
      <w:r>
        <w:rPr>
          <w:rFonts w:hint="eastAsia" w:ascii="宋体" w:hAnsi="宋体" w:eastAsia="宋体" w:cs="宋体"/>
          <w:i w:val="0"/>
          <w:iCs w:val="0"/>
          <w:color w:val="auto"/>
          <w:spacing w:val="0"/>
          <w:kern w:val="0"/>
          <w:position w:val="0"/>
          <w:sz w:val="24"/>
          <w:highlight w:val="none"/>
        </w:rPr>
        <w:t>》第十条规定情形的除外。</w:t>
      </w:r>
    </w:p>
    <w:p w14:paraId="6AED2EAF">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本项目如接受非本国货物、工程、服务参与投标，则具体要求见第五章《采购需求》。</w:t>
      </w:r>
    </w:p>
    <w:p w14:paraId="114CDA03">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9B279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本国产品</w:t>
      </w:r>
    </w:p>
    <w:p w14:paraId="40FBBBE4">
      <w:pPr>
        <w:pageBreakBefore w:val="0"/>
        <w:tabs>
          <w:tab w:val="left" w:pos="900"/>
          <w:tab w:val="left" w:pos="1080"/>
          <w:tab w:val="left" w:pos="1589"/>
        </w:tabs>
        <w:wordWrap/>
        <w:topLinePunct w:val="0"/>
        <w:bidi w:val="0"/>
        <w:snapToGrid w:val="0"/>
        <w:spacing w:line="360" w:lineRule="auto"/>
        <w:ind w:left="1080"/>
        <w:rPr>
          <w:rFonts w:hint="eastAsia" w:ascii="宋体" w:hAnsi="宋体" w:eastAsia="宋体" w:cs="宋体"/>
          <w:i w:val="0"/>
          <w:iCs w:val="0"/>
          <w:color w:val="auto"/>
          <w:spacing w:val="0"/>
          <w:position w:val="0"/>
          <w:sz w:val="24"/>
          <w:highlight w:val="none"/>
        </w:rPr>
      </w:pPr>
      <w:bookmarkStart w:id="164" w:name="_Hlk217316762"/>
      <w:r>
        <w:rPr>
          <w:rFonts w:hint="eastAsia" w:ascii="宋体" w:hAnsi="宋体" w:eastAsia="宋体" w:cs="宋体"/>
          <w:i w:val="0"/>
          <w:iCs w:val="0"/>
          <w:color w:val="auto"/>
          <w:spacing w:val="0"/>
          <w:position w:val="0"/>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4"/>
      <w:r>
        <w:rPr>
          <w:rFonts w:hint="eastAsia" w:ascii="宋体" w:hAnsi="宋体" w:eastAsia="宋体" w:cs="宋体"/>
          <w:i w:val="0"/>
          <w:iCs w:val="0"/>
          <w:color w:val="auto"/>
          <w:spacing w:val="0"/>
          <w:position w:val="0"/>
          <w:sz w:val="24"/>
          <w:highlight w:val="none"/>
        </w:rPr>
        <w:t>，落实本国产品</w:t>
      </w:r>
      <w:r>
        <w:rPr>
          <w:rFonts w:hint="eastAsia" w:ascii="宋体" w:hAnsi="宋体" w:eastAsia="宋体" w:cs="宋体"/>
          <w:i w:val="0"/>
          <w:iCs w:val="0"/>
          <w:color w:val="auto"/>
          <w:spacing w:val="0"/>
          <w:position w:val="0"/>
          <w:sz w:val="24"/>
          <w:highlight w:val="none"/>
          <w:lang w:eastAsia="zh-CN"/>
        </w:rPr>
        <w:t>标准</w:t>
      </w:r>
      <w:r>
        <w:rPr>
          <w:rFonts w:hint="eastAsia" w:ascii="宋体" w:hAnsi="宋体" w:eastAsia="宋体" w:cs="宋体"/>
          <w:i w:val="0"/>
          <w:iCs w:val="0"/>
          <w:color w:val="auto"/>
          <w:spacing w:val="0"/>
          <w:position w:val="0"/>
          <w:sz w:val="24"/>
          <w:highlight w:val="none"/>
        </w:rPr>
        <w:t>。</w:t>
      </w:r>
    </w:p>
    <w:p w14:paraId="4EC0532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中小企业、监狱企业及残疾人福利性单位</w:t>
      </w:r>
    </w:p>
    <w:p w14:paraId="1B1E572F">
      <w:pPr>
        <w:pageBreakBefore w:val="0"/>
        <w:numPr>
          <w:ilvl w:val="2"/>
          <w:numId w:val="8"/>
        </w:numPr>
        <w:wordWrap/>
        <w:topLinePunct w:val="0"/>
        <w:bidi w:val="0"/>
        <w:snapToGrid w:val="0"/>
        <w:spacing w:line="360" w:lineRule="auto"/>
        <w:rPr>
          <w:rFonts w:hint="eastAsia" w:ascii="宋体" w:hAnsi="宋体" w:eastAsia="宋体" w:cs="宋体"/>
          <w:i w:val="0"/>
          <w:iCs w:val="0"/>
          <w:vanish/>
          <w:color w:val="auto"/>
          <w:spacing w:val="0"/>
          <w:position w:val="0"/>
          <w:sz w:val="24"/>
          <w:szCs w:val="24"/>
          <w:highlight w:val="none"/>
        </w:rPr>
      </w:pPr>
      <w:r>
        <w:rPr>
          <w:rFonts w:hint="eastAsia" w:ascii="宋体" w:hAnsi="宋体" w:eastAsia="宋体" w:cs="宋体"/>
          <w:i w:val="0"/>
          <w:iCs w:val="0"/>
          <w:color w:val="auto"/>
          <w:spacing w:val="0"/>
          <w:position w:val="0"/>
          <w:sz w:val="24"/>
          <w:highlight w:val="none"/>
        </w:rPr>
        <w:t>中小企业定义：</w:t>
      </w:r>
    </w:p>
    <w:p w14:paraId="57C67D62">
      <w:pPr>
        <w:pageBreakBefore w:val="0"/>
        <w:numPr>
          <w:ilvl w:val="3"/>
          <w:numId w:val="0"/>
        </w:numPr>
        <w:tabs>
          <w:tab w:val="left" w:pos="1988"/>
          <w:tab w:val="left" w:pos="203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5.3.1.1</w:t>
      </w:r>
      <w:r>
        <w:rPr>
          <w:rFonts w:hint="eastAsia" w:ascii="宋体" w:hAnsi="宋体" w:eastAsia="宋体" w:cs="宋体"/>
          <w:i w:val="0"/>
          <w:iCs w:val="0"/>
          <w:color w:val="auto"/>
          <w:spacing w:val="0"/>
          <w:position w:val="0"/>
          <w:sz w:val="24"/>
          <w:highlight w:val="none"/>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判定依据《中华人民共和国中小企业促进法》、《关于进一步加大政府采购支持中小企业力度的通知》（财库〔2022〕19号）、《政府采购促进中小企业发展管理办法》（财库〔2020〕46号）、《关于印发中小企业划型标准规定的通知》（工信部联企业〔2011〕300 号）、《金融业企业划型标准规定》（银发〔2015〕309 号）等国务院批准的中小企业划分标准执行。</w:t>
      </w:r>
    </w:p>
    <w:p w14:paraId="5045F06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5.3.1.2</w:t>
      </w:r>
      <w:r>
        <w:rPr>
          <w:rFonts w:hint="eastAsia" w:ascii="宋体" w:hAnsi="宋体" w:eastAsia="宋体" w:cs="宋体"/>
          <w:i w:val="0"/>
          <w:iCs w:val="0"/>
          <w:color w:val="auto"/>
          <w:spacing w:val="0"/>
          <w:position w:val="0"/>
          <w:sz w:val="24"/>
          <w:highlight w:val="none"/>
        </w:rPr>
        <w:t>供应商提供的货物、工程或者服务符合下列情形的，享受中小企业扶持政策：</w:t>
      </w:r>
    </w:p>
    <w:p w14:paraId="17BA804C">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（1）在货物采购项目中，货物由中小企业制造，即货物由中小企业生产且使用该中小企业商号或者注册商标；</w:t>
      </w:r>
    </w:p>
    <w:p w14:paraId="12CD1BB4">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（2）在工程采购项目中，工程由中小企业承建，即工程施工单位为中小企业；</w:t>
      </w:r>
    </w:p>
    <w:p w14:paraId="7A90A144">
      <w:pPr>
        <w:pageBreakBefore w:val="0"/>
        <w:tabs>
          <w:tab w:val="left" w:pos="1980"/>
        </w:tabs>
        <w:wordWrap/>
        <w:topLinePunct w:val="0"/>
        <w:bidi w:val="0"/>
        <w:snapToGrid w:val="0"/>
        <w:spacing w:line="360" w:lineRule="auto"/>
        <w:ind w:left="2835" w:leftChars="135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（3）在服务采购项目中，服务由中小企业承接，即提供服务的人员为中小企业依照《中华人民共和国劳动合同法》订立劳动合同的从业人员。</w:t>
      </w:r>
    </w:p>
    <w:p w14:paraId="63CB01E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5.3.1.3</w:t>
      </w:r>
      <w:r>
        <w:rPr>
          <w:rFonts w:hint="eastAsia" w:ascii="宋体" w:hAnsi="宋体" w:eastAsia="宋体" w:cs="宋体"/>
          <w:i w:val="0"/>
          <w:iCs w:val="0"/>
          <w:color w:val="auto"/>
          <w:spacing w:val="0"/>
          <w:position w:val="0"/>
          <w:sz w:val="24"/>
          <w:highlight w:val="none"/>
        </w:rPr>
        <w:t>在货物采购项目中，供应商提供的货物既有中小企业制造货物，也有大型企业制造货物的，不享受中小企业扶持政策。</w:t>
      </w:r>
    </w:p>
    <w:p w14:paraId="6E83881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5.3.1.4</w:t>
      </w:r>
      <w:r>
        <w:rPr>
          <w:rFonts w:hint="eastAsia" w:ascii="宋体" w:hAnsi="宋体" w:eastAsia="宋体" w:cs="宋体"/>
          <w:i w:val="0"/>
          <w:iCs w:val="0"/>
          <w:color w:val="auto"/>
          <w:spacing w:val="0"/>
          <w:position w:val="0"/>
          <w:sz w:val="24"/>
          <w:highlight w:val="none"/>
        </w:rPr>
        <w:t>以联合体形式参加政府采购活动，联合体各方均为中小企业的，联合体视同中小企业。其中，联合体各方均为小微企业的，联合体视同小微企业。</w:t>
      </w:r>
    </w:p>
    <w:p w14:paraId="640E4E1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66F7E34C">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172C6E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5.3.3.1</w:t>
      </w:r>
      <w:r>
        <w:rPr>
          <w:rFonts w:hint="eastAsia" w:ascii="宋体" w:hAnsi="宋体" w:eastAsia="宋体" w:cs="宋体"/>
          <w:i w:val="0"/>
          <w:iCs w:val="0"/>
          <w:color w:val="auto"/>
          <w:spacing w:val="0"/>
          <w:position w:val="0"/>
          <w:sz w:val="24"/>
          <w:highlight w:val="none"/>
        </w:rPr>
        <w:t>安置的残疾人占本单位在职职工人数的比例不低于25%（含25%），并且安置的残疾人人数不少于10 人（含10 人）；</w:t>
      </w:r>
    </w:p>
    <w:p w14:paraId="0BF596B6">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5.3.3.2</w:t>
      </w:r>
      <w:r>
        <w:rPr>
          <w:rFonts w:hint="eastAsia" w:ascii="宋体" w:hAnsi="宋体" w:eastAsia="宋体" w:cs="宋体"/>
          <w:i w:val="0"/>
          <w:iCs w:val="0"/>
          <w:color w:val="auto"/>
          <w:spacing w:val="0"/>
          <w:position w:val="0"/>
          <w:sz w:val="24"/>
          <w:highlight w:val="none"/>
        </w:rPr>
        <w:t>依法与安置的每位残疾人签订了一年以上（含一年）的劳动合同或服务协议；</w:t>
      </w:r>
    </w:p>
    <w:p w14:paraId="27F1916A">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5.3.3.3</w:t>
      </w:r>
      <w:r>
        <w:rPr>
          <w:rFonts w:hint="eastAsia" w:ascii="宋体" w:hAnsi="宋体" w:eastAsia="宋体" w:cs="宋体"/>
          <w:i w:val="0"/>
          <w:iCs w:val="0"/>
          <w:color w:val="auto"/>
          <w:spacing w:val="0"/>
          <w:position w:val="0"/>
          <w:sz w:val="24"/>
          <w:highlight w:val="none"/>
        </w:rPr>
        <w:t>为安置的每位残疾人按月足额缴纳了基本养老保险、基本医疗保险、失业保险、工伤保险和生育保险等社会保险费；</w:t>
      </w:r>
    </w:p>
    <w:p w14:paraId="2BBD239F">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5.3.3.4</w:t>
      </w:r>
      <w:r>
        <w:rPr>
          <w:rFonts w:hint="eastAsia" w:ascii="宋体" w:hAnsi="宋体" w:eastAsia="宋体" w:cs="宋体"/>
          <w:i w:val="0"/>
          <w:iCs w:val="0"/>
          <w:color w:val="auto"/>
          <w:spacing w:val="0"/>
          <w:position w:val="0"/>
          <w:sz w:val="24"/>
          <w:highlight w:val="none"/>
        </w:rPr>
        <w:t>通过银行等金融机构向安置的每位残疾人，按月支付了不低于单位所在区县适用的经省级人民政府批准的月最低工资标准的工资；</w:t>
      </w:r>
    </w:p>
    <w:p w14:paraId="45AB5285">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5.3.3.5</w:t>
      </w:r>
      <w:r>
        <w:rPr>
          <w:rFonts w:hint="eastAsia" w:ascii="宋体" w:hAnsi="宋体" w:eastAsia="宋体" w:cs="宋体"/>
          <w:i w:val="0"/>
          <w:iCs w:val="0"/>
          <w:color w:val="auto"/>
          <w:spacing w:val="0"/>
          <w:position w:val="0"/>
          <w:sz w:val="24"/>
          <w:highlight w:val="none"/>
        </w:rPr>
        <w:t>提供本单位制造的货物、承担的工程或者服务（以下简称产品），或者提供其他残疾人福利性单位制造的货物（不包括使用非残疾人福利性单位注册商标的货物）；</w:t>
      </w:r>
    </w:p>
    <w:p w14:paraId="3351191B">
      <w:pPr>
        <w:pageBreakBefore w:val="0"/>
        <w:numPr>
          <w:ilvl w:val="3"/>
          <w:numId w:val="0"/>
        </w:numPr>
        <w:tabs>
          <w:tab w:val="left" w:pos="1980"/>
          <w:tab w:val="left" w:pos="2035"/>
          <w:tab w:val="left" w:pos="2885"/>
          <w:tab w:val="left" w:pos="2977"/>
        </w:tabs>
        <w:wordWrap/>
        <w:topLinePunct w:val="0"/>
        <w:bidi w:val="0"/>
        <w:snapToGrid w:val="0"/>
        <w:spacing w:line="360" w:lineRule="auto"/>
        <w:ind w:left="2885" w:leftChars="0" w:hanging="900" w:firstLineChars="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5.3.3.6</w:t>
      </w:r>
      <w:r>
        <w:rPr>
          <w:rFonts w:hint="eastAsia" w:ascii="宋体" w:hAnsi="宋体" w:eastAsia="宋体" w:cs="宋体"/>
          <w:i w:val="0"/>
          <w:iCs w:val="0"/>
          <w:color w:val="auto"/>
          <w:spacing w:val="0"/>
          <w:position w:val="0"/>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5C8BAB00">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本项目是否专门面向中小企业预留采购份额见第一章《投标邀请》。</w:t>
      </w:r>
    </w:p>
    <w:p w14:paraId="0D25D07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采购标的对应的中小企业划分标准所属行业见《投标人须知资料表》。</w:t>
      </w:r>
    </w:p>
    <w:p w14:paraId="329F768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小微企业价格评审优惠的政策调整：见第四章《评标程序、评标方法和评标标准》。</w:t>
      </w:r>
    </w:p>
    <w:p w14:paraId="2DFDF923">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政府采购节能产品、环境标志产品</w:t>
      </w:r>
    </w:p>
    <w:p w14:paraId="13B318A3">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3FB91FD6">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DE7E73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如本项目采购产品属于实施政府强制采购品目清单范围的节能产品，则投标人所报产品必须获得国家确定的认证机构出具的、处于有效期之内的节能产品认证证书，</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4B8A57C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非政府强制采购的节能产品或环境标志产品，依据品目清单和认证证书实施政府优先采购。优先采购的具体规定见第四章《评标程序、评标方法和评标标准》（如涉及）。</w:t>
      </w:r>
    </w:p>
    <w:p w14:paraId="1EEF811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正版软件</w:t>
      </w:r>
    </w:p>
    <w:p w14:paraId="041233C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0DBA70">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网络安全专用产品</w:t>
      </w:r>
    </w:p>
    <w:p w14:paraId="315AB5F7">
      <w:pPr>
        <w:pageBreakBefore w:val="0"/>
        <w:numPr>
          <w:ilvl w:val="2"/>
          <w:numId w:val="8"/>
        </w:numPr>
        <w:tabs>
          <w:tab w:val="left" w:pos="900"/>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根据《关于调整网络安全专用产品安全管理有关事项的公告》（2023年第1号），所提供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p>
    <w:p w14:paraId="332C038A">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推广使用低挥发性有机化合物（VOCs）</w:t>
      </w:r>
    </w:p>
    <w:p w14:paraId="4A62B506">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position w:val="0"/>
          <w:sz w:val="24"/>
          <w:highlight w:val="none"/>
        </w:rPr>
        <w:t>；属于推荐性标准的，优先采购，具体见第四章《评标程序、评标方法和评标标准》。</w:t>
      </w:r>
    </w:p>
    <w:p w14:paraId="4DDCCECD">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采购需求标准</w:t>
      </w:r>
    </w:p>
    <w:p w14:paraId="4D8B87CF">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商品包装、快递包装政府采购需求标准（试行）</w:t>
      </w:r>
    </w:p>
    <w:p w14:paraId="0725AD46">
      <w:pPr>
        <w:pageBreakBefore w:val="0"/>
        <w:tabs>
          <w:tab w:val="left" w:pos="900"/>
          <w:tab w:val="left" w:pos="1980"/>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3F8254EE">
      <w:pPr>
        <w:pageBreakBefore w:val="0"/>
        <w:numPr>
          <w:ilvl w:val="2"/>
          <w:numId w:val="8"/>
        </w:numPr>
        <w:tabs>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bookmarkStart w:id="165" w:name="_Hlk164953935"/>
      <w:r>
        <w:rPr>
          <w:rFonts w:hint="eastAsia" w:ascii="宋体" w:hAnsi="宋体" w:eastAsia="宋体" w:cs="宋体"/>
          <w:i w:val="0"/>
          <w:iCs w:val="0"/>
          <w:color w:val="auto"/>
          <w:spacing w:val="0"/>
          <w:position w:val="0"/>
          <w:sz w:val="24"/>
          <w:highlight w:val="none"/>
        </w:rPr>
        <w:t xml:space="preserve">其他政府采购需求标准 </w:t>
      </w:r>
    </w:p>
    <w:bookmarkEnd w:id="165"/>
    <w:p w14:paraId="11E2E2DF">
      <w:pPr>
        <w:pageBreakBefore w:val="0"/>
        <w:tabs>
          <w:tab w:val="left" w:pos="900"/>
          <w:tab w:val="left" w:pos="1980"/>
        </w:tabs>
        <w:wordWrap/>
        <w:topLinePunct w:val="0"/>
        <w:bidi w:val="0"/>
        <w:snapToGrid w:val="0"/>
        <w:spacing w:line="360" w:lineRule="auto"/>
        <w:ind w:left="1980"/>
        <w:rPr>
          <w:rFonts w:hint="eastAsia" w:ascii="宋体" w:hAnsi="宋体" w:eastAsia="宋体" w:cs="宋体"/>
          <w:i w:val="0"/>
          <w:iCs w:val="0"/>
          <w:color w:val="auto"/>
          <w:spacing w:val="0"/>
          <w:position w:val="0"/>
          <w:sz w:val="24"/>
          <w:highlight w:val="none"/>
        </w:rPr>
      </w:pPr>
      <w:bookmarkStart w:id="166" w:name="_Hlk164955325"/>
      <w:r>
        <w:rPr>
          <w:rFonts w:hint="eastAsia" w:ascii="宋体" w:hAnsi="宋体" w:eastAsia="宋体" w:cs="宋体"/>
          <w:i w:val="0"/>
          <w:iCs w:val="0"/>
          <w:color w:val="auto"/>
          <w:spacing w:val="0"/>
          <w:position w:val="0"/>
          <w:sz w:val="24"/>
          <w:highlight w:val="none"/>
        </w:rPr>
        <w:t>为贯彻落实《深化政府采购制度改革方案》有关要求，推动政府采购需求标准建设</w:t>
      </w:r>
      <w:bookmarkEnd w:id="166"/>
      <w:r>
        <w:rPr>
          <w:rFonts w:hint="eastAsia" w:ascii="宋体" w:hAnsi="宋体" w:eastAsia="宋体" w:cs="宋体"/>
          <w:i w:val="0"/>
          <w:iCs w:val="0"/>
          <w:color w:val="auto"/>
          <w:spacing w:val="0"/>
          <w:position w:val="0"/>
          <w:sz w:val="24"/>
          <w:highlight w:val="none"/>
        </w:rPr>
        <w:t>，财政部门会同有关部门制定发布的其他政府采购需求标准，本项目如涉及，则具体要求见第五章《采购需求》。</w:t>
      </w:r>
    </w:p>
    <w:p w14:paraId="647B4F8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投标费用</w:t>
      </w:r>
    </w:p>
    <w:p w14:paraId="1712A947">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投标人应自行承担所有与准备和参加投标有关的费用，无论投标的结果如何，采购人或采购代理机构在任何情况下均无承担这些费用的义务和责任。</w:t>
      </w:r>
    </w:p>
    <w:p w14:paraId="3FF5597A">
      <w:pPr>
        <w:pageBreakBefore w:val="0"/>
        <w:tabs>
          <w:tab w:val="left" w:pos="1080"/>
        </w:tabs>
        <w:wordWrap/>
        <w:topLinePunct w:val="0"/>
        <w:bidi w:val="0"/>
        <w:snapToGrid w:val="0"/>
        <w:spacing w:line="360" w:lineRule="auto"/>
        <w:ind w:left="1080"/>
        <w:rPr>
          <w:rFonts w:hint="eastAsia" w:ascii="宋体" w:hAnsi="宋体" w:eastAsia="宋体" w:cs="宋体"/>
          <w:i w:val="0"/>
          <w:iCs w:val="0"/>
          <w:color w:val="auto"/>
          <w:spacing w:val="0"/>
          <w:position w:val="0"/>
          <w:sz w:val="28"/>
          <w:highlight w:val="none"/>
        </w:rPr>
      </w:pPr>
      <w:bookmarkStart w:id="167" w:name="_1.8_计量单位"/>
      <w:bookmarkEnd w:id="167"/>
    </w:p>
    <w:p w14:paraId="368B460F">
      <w:pPr>
        <w:pStyle w:val="4"/>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二   招标文件</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382CD59C">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168" w:name="_Toc127151724"/>
      <w:bookmarkStart w:id="169" w:name="_Toc151190150"/>
      <w:bookmarkStart w:id="170" w:name="_Toc150774623"/>
      <w:bookmarkStart w:id="171" w:name="_Toc164608792"/>
      <w:bookmarkStart w:id="172" w:name="_Toc164229218"/>
      <w:bookmarkStart w:id="173" w:name="_Toc149720816"/>
      <w:bookmarkStart w:id="174" w:name="_Toc127151523"/>
      <w:bookmarkStart w:id="175" w:name="_Toc520356147"/>
      <w:bookmarkStart w:id="176" w:name="_Toc164351617"/>
      <w:bookmarkStart w:id="177" w:name="_Toc305158791"/>
      <w:bookmarkStart w:id="178" w:name="_Toc226965713"/>
      <w:bookmarkStart w:id="179" w:name="_Toc164229364"/>
      <w:bookmarkStart w:id="180" w:name="_Toc264969213"/>
      <w:bookmarkStart w:id="181" w:name="_Toc150774728"/>
      <w:bookmarkStart w:id="182" w:name="_Toc150480761"/>
      <w:bookmarkStart w:id="183" w:name="_Toc226337219"/>
      <w:bookmarkStart w:id="184" w:name="_Toc151193765"/>
      <w:bookmarkStart w:id="185" w:name="_Toc195842888"/>
      <w:bookmarkStart w:id="186" w:name="_Toc164608637"/>
      <w:bookmarkStart w:id="187" w:name="_Toc226965796"/>
      <w:bookmarkStart w:id="188" w:name="_Toc127161437"/>
      <w:bookmarkStart w:id="189" w:name="_Toc142311025"/>
      <w:bookmarkStart w:id="190" w:name="_Toc151193621"/>
      <w:bookmarkStart w:id="191" w:name="_Toc226309767"/>
      <w:bookmarkStart w:id="192" w:name="_Toc150509274"/>
      <w:bookmarkStart w:id="193" w:name="_Toc151193911"/>
      <w:bookmarkStart w:id="194" w:name="_Toc151193693"/>
      <w:bookmarkStart w:id="195" w:name="_Toc305158865"/>
      <w:bookmarkStart w:id="196" w:name="_Toc265228361"/>
      <w:bookmarkStart w:id="197" w:name="_Toc151193837"/>
      <w:r>
        <w:rPr>
          <w:rFonts w:hint="eastAsia" w:ascii="宋体" w:hAnsi="宋体" w:eastAsia="宋体" w:cs="宋体"/>
          <w:i w:val="0"/>
          <w:iCs w:val="0"/>
          <w:color w:val="auto"/>
          <w:spacing w:val="0"/>
          <w:position w:val="0"/>
          <w:sz w:val="24"/>
          <w:highlight w:val="none"/>
        </w:rPr>
        <w:t>招标文件构</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Fonts w:hint="eastAsia" w:ascii="宋体" w:hAnsi="宋体" w:eastAsia="宋体" w:cs="宋体"/>
          <w:i w:val="0"/>
          <w:iCs w:val="0"/>
          <w:color w:val="auto"/>
          <w:spacing w:val="0"/>
          <w:position w:val="0"/>
          <w:sz w:val="24"/>
          <w:highlight w:val="none"/>
        </w:rPr>
        <w:t>成</w:t>
      </w:r>
    </w:p>
    <w:p w14:paraId="10FDFC3F">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招标文件包括以下部分：</w:t>
      </w:r>
    </w:p>
    <w:p w14:paraId="42F8B914">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投标邀请</w:t>
      </w:r>
    </w:p>
    <w:p w14:paraId="42E08AB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投标人须知</w:t>
      </w:r>
    </w:p>
    <w:p w14:paraId="61594C58">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w:t>
      </w:r>
    </w:p>
    <w:p w14:paraId="5E1FDFE1">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评标程序、评标方法和评标标准</w:t>
      </w:r>
    </w:p>
    <w:p w14:paraId="39517B91">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采购需求</w:t>
      </w:r>
    </w:p>
    <w:p w14:paraId="141ADD8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拟签订的合同文本</w:t>
      </w:r>
    </w:p>
    <w:p w14:paraId="37F2E3DA">
      <w:pPr>
        <w:pageBreakBefore w:val="0"/>
        <w:numPr>
          <w:ilvl w:val="0"/>
          <w:numId w:val="9"/>
        </w:numPr>
        <w:tabs>
          <w:tab w:val="left" w:pos="1980"/>
          <w:tab w:val="left" w:pos="2520"/>
        </w:tabs>
        <w:wordWrap/>
        <w:topLinePunct w:val="0"/>
        <w:bidi w:val="0"/>
        <w:snapToGrid w:val="0"/>
        <w:spacing w:line="360" w:lineRule="auto"/>
        <w:ind w:left="1440" w:firstLine="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投标文件格式</w:t>
      </w:r>
    </w:p>
    <w:p w14:paraId="609A47D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投标人应认真阅读招标文件的全部内容。投标人应按照招标文件要求提交投标文件并保证所提供的全部资料的真实性，并对招标文件做出实质性响应，否则</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1B26615">
      <w:pPr>
        <w:pageBreakBefore w:val="0"/>
        <w:numPr>
          <w:ilvl w:val="0"/>
          <w:numId w:val="8"/>
        </w:numPr>
        <w:tabs>
          <w:tab w:val="left" w:pos="1080"/>
          <w:tab w:val="left" w:pos="2014"/>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对招标文件的澄清或修改</w:t>
      </w:r>
    </w:p>
    <w:p w14:paraId="1B3F9976">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采购人或采购代理机构对已发出的招标文件进行必要澄清或者修改的，将在原公告发布媒体上发布更正公告，并以书面形式通知所有获取招标文件的潜在投标人。</w:t>
      </w:r>
    </w:p>
    <w:p w14:paraId="2432C27A">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上述书面通知，按照获取招标文件的潜在投标人提供的联系方式发出，因提供的信息有误导致通知延迟或无法通知的，采购人或采购代理机构不承担责任。</w:t>
      </w:r>
    </w:p>
    <w:p w14:paraId="258454D9">
      <w:pPr>
        <w:pageBreakBefore w:val="0"/>
        <w:numPr>
          <w:ilvl w:val="1"/>
          <w:numId w:val="8"/>
        </w:numPr>
        <w:tabs>
          <w:tab w:val="left" w:pos="1080"/>
          <w:tab w:val="left" w:pos="1561"/>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144974">
      <w:pPr>
        <w:pageBreakBefore w:val="0"/>
        <w:tabs>
          <w:tab w:val="left" w:pos="1080"/>
          <w:tab w:val="left" w:pos="1561"/>
        </w:tabs>
        <w:wordWrap/>
        <w:topLinePunct w:val="0"/>
        <w:bidi w:val="0"/>
        <w:snapToGrid w:val="0"/>
        <w:spacing w:line="360" w:lineRule="auto"/>
        <w:ind w:left="1080"/>
        <w:rPr>
          <w:rFonts w:hint="eastAsia" w:ascii="宋体" w:hAnsi="宋体" w:eastAsia="宋体" w:cs="宋体"/>
          <w:i w:val="0"/>
          <w:iCs w:val="0"/>
          <w:color w:val="auto"/>
          <w:spacing w:val="0"/>
          <w:position w:val="0"/>
          <w:sz w:val="28"/>
          <w:highlight w:val="none"/>
        </w:rPr>
      </w:pPr>
      <w:bookmarkStart w:id="198" w:name="_Toc516367020"/>
      <w:bookmarkStart w:id="199" w:name="_Toc226309770"/>
      <w:bookmarkStart w:id="200" w:name="_Toc305158868"/>
      <w:bookmarkStart w:id="201" w:name="_Toc151193914"/>
      <w:bookmarkStart w:id="202" w:name="_Toc151193840"/>
      <w:bookmarkStart w:id="203" w:name="_Toc151193768"/>
      <w:bookmarkStart w:id="204" w:name="_Toc151193696"/>
      <w:bookmarkStart w:id="205" w:name="_Toc265228364"/>
      <w:bookmarkStart w:id="206" w:name="_Toc305158794"/>
      <w:bookmarkStart w:id="207" w:name="_Toc226337222"/>
      <w:bookmarkStart w:id="208" w:name="_Toc151193624"/>
      <w:bookmarkStart w:id="209" w:name="_Toc150774626"/>
      <w:bookmarkStart w:id="210" w:name="_Toc226965716"/>
      <w:bookmarkStart w:id="211" w:name="_Toc127151526"/>
      <w:bookmarkStart w:id="212" w:name="_Toc150480764"/>
      <w:bookmarkStart w:id="213" w:name="_Toc151190153"/>
      <w:bookmarkStart w:id="214" w:name="_Toc226965799"/>
      <w:bookmarkStart w:id="215" w:name="_Toc195842891"/>
      <w:bookmarkStart w:id="216" w:name="_Toc150509277"/>
      <w:bookmarkStart w:id="217" w:name="_Toc142311028"/>
      <w:bookmarkStart w:id="218" w:name="_Toc520356150"/>
      <w:bookmarkStart w:id="219" w:name="_Toc264969216"/>
      <w:bookmarkStart w:id="220" w:name="_Toc150774731"/>
    </w:p>
    <w:p w14:paraId="4F474E8D">
      <w:pPr>
        <w:pStyle w:val="4"/>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三   投标文件</w:t>
      </w:r>
      <w:bookmarkEnd w:id="198"/>
      <w:r>
        <w:rPr>
          <w:rFonts w:hint="eastAsia" w:ascii="宋体" w:hAnsi="宋体" w:eastAsia="宋体" w:cs="宋体"/>
          <w:i w:val="0"/>
          <w:iCs w:val="0"/>
          <w:color w:val="auto"/>
          <w:spacing w:val="0"/>
          <w:position w:val="0"/>
          <w:sz w:val="28"/>
          <w:highlight w:val="none"/>
        </w:rPr>
        <w:t>的编制</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14:paraId="4477CCC9">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21" w:name="_Toc127151527"/>
      <w:bookmarkStart w:id="222" w:name="_Toc151190154"/>
      <w:bookmarkStart w:id="223" w:name="_Toc516367021"/>
      <w:bookmarkStart w:id="224" w:name="_Toc127161441"/>
      <w:bookmarkStart w:id="225" w:name="_Toc265228365"/>
      <w:bookmarkStart w:id="226" w:name="_Toc226965717"/>
      <w:bookmarkStart w:id="227" w:name="_Toc150480765"/>
      <w:bookmarkStart w:id="228" w:name="_Toc151193697"/>
      <w:bookmarkStart w:id="229" w:name="_Toc264969217"/>
      <w:bookmarkStart w:id="230" w:name="_Toc127151728"/>
      <w:bookmarkStart w:id="231" w:name="_Toc520356151"/>
      <w:bookmarkStart w:id="232" w:name="_Toc195842892"/>
      <w:bookmarkStart w:id="233" w:name="_Toc150509278"/>
      <w:bookmarkStart w:id="234" w:name="_Toc151193841"/>
      <w:bookmarkStart w:id="235" w:name="_Toc305158795"/>
      <w:bookmarkStart w:id="236" w:name="_Toc164608796"/>
      <w:bookmarkStart w:id="237" w:name="_Toc150774732"/>
      <w:bookmarkStart w:id="238" w:name="_Toc164229368"/>
      <w:bookmarkStart w:id="239" w:name="_Toc164608641"/>
      <w:bookmarkStart w:id="240" w:name="_Toc305158869"/>
      <w:bookmarkStart w:id="241" w:name="_Toc151193769"/>
      <w:bookmarkStart w:id="242" w:name="_Toc164351621"/>
      <w:bookmarkStart w:id="243" w:name="_Toc226309771"/>
      <w:bookmarkStart w:id="244" w:name="_Toc164229222"/>
      <w:bookmarkStart w:id="245" w:name="_Toc151193625"/>
      <w:bookmarkStart w:id="246" w:name="_Toc226337223"/>
      <w:bookmarkStart w:id="247" w:name="_Toc151193915"/>
      <w:bookmarkStart w:id="248" w:name="_Toc142311029"/>
      <w:bookmarkStart w:id="249" w:name="_Toc149720820"/>
      <w:bookmarkStart w:id="250" w:name="_Toc150774627"/>
      <w:bookmarkStart w:id="251" w:name="_Toc226965800"/>
      <w:r>
        <w:rPr>
          <w:rFonts w:hint="eastAsia" w:ascii="宋体" w:hAnsi="宋体" w:eastAsia="宋体" w:cs="宋体"/>
          <w:i w:val="0"/>
          <w:iCs w:val="0"/>
          <w:color w:val="auto"/>
          <w:spacing w:val="0"/>
          <w:position w:val="0"/>
          <w:sz w:val="24"/>
          <w:highlight w:val="none"/>
        </w:rPr>
        <w:t>投标范围、投标文件中计量单位的使用</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Fonts w:hint="eastAsia" w:ascii="宋体" w:hAnsi="宋体" w:eastAsia="宋体" w:cs="宋体"/>
          <w:i w:val="0"/>
          <w:iCs w:val="0"/>
          <w:color w:val="auto"/>
          <w:spacing w:val="0"/>
          <w:position w:val="0"/>
          <w:sz w:val="24"/>
          <w:highlight w:val="none"/>
        </w:rPr>
        <w:t>及投标语言</w:t>
      </w:r>
    </w:p>
    <w:p w14:paraId="218F9413">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hint="eastAsia" w:ascii="宋体" w:hAnsi="宋体" w:eastAsia="宋体" w:cs="宋体"/>
          <w:b/>
          <w:i w:val="0"/>
          <w:iCs w:val="0"/>
          <w:color w:val="auto"/>
          <w:spacing w:val="0"/>
          <w:position w:val="0"/>
          <w:sz w:val="24"/>
          <w:highlight w:val="none"/>
        </w:rPr>
        <w:t>无效投标</w:t>
      </w:r>
      <w:r>
        <w:rPr>
          <w:rFonts w:hint="eastAsia" w:ascii="宋体" w:hAnsi="宋体" w:eastAsia="宋体" w:cs="宋体"/>
          <w:i w:val="0"/>
          <w:iCs w:val="0"/>
          <w:color w:val="auto"/>
          <w:spacing w:val="0"/>
          <w:position w:val="0"/>
          <w:sz w:val="24"/>
          <w:highlight w:val="none"/>
        </w:rPr>
        <w:t>。</w:t>
      </w:r>
    </w:p>
    <w:p w14:paraId="2EB3C9E1">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除招标文件有特殊要求外，本项目投标所使用的计量单位，应采用中华人民共和国法定计量单位。</w:t>
      </w:r>
    </w:p>
    <w:p w14:paraId="28474B5E">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20107BA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52" w:name="_Ref467306676"/>
      <w:bookmarkStart w:id="253" w:name="_Ref467306195"/>
      <w:bookmarkStart w:id="254" w:name="_Toc516367022"/>
      <w:bookmarkStart w:id="255" w:name="_Toc127161442"/>
      <w:bookmarkStart w:id="256" w:name="_Toc151193770"/>
      <w:bookmarkStart w:id="257" w:name="_Toc264969218"/>
      <w:bookmarkStart w:id="258" w:name="_Toc127151729"/>
      <w:bookmarkStart w:id="259" w:name="_Toc151193626"/>
      <w:bookmarkStart w:id="260" w:name="_Toc151190155"/>
      <w:bookmarkStart w:id="261" w:name="_Toc151193916"/>
      <w:bookmarkStart w:id="262" w:name="_Toc150774628"/>
      <w:bookmarkStart w:id="263" w:name="_Toc226337224"/>
      <w:bookmarkStart w:id="264" w:name="_Toc195842893"/>
      <w:bookmarkStart w:id="265" w:name="_Toc164351622"/>
      <w:bookmarkStart w:id="266" w:name="_Toc151193842"/>
      <w:bookmarkStart w:id="267" w:name="_Toc151193698"/>
      <w:bookmarkStart w:id="268" w:name="_Toc150509279"/>
      <w:bookmarkStart w:id="269" w:name="_Toc127151528"/>
      <w:bookmarkStart w:id="270" w:name="_Toc142311030"/>
      <w:bookmarkStart w:id="271" w:name="_Toc164229223"/>
      <w:bookmarkStart w:id="272" w:name="_Toc265228366"/>
      <w:bookmarkStart w:id="273" w:name="_Toc149720821"/>
      <w:bookmarkStart w:id="274" w:name="_Toc150774733"/>
      <w:bookmarkStart w:id="275" w:name="_Toc305158796"/>
      <w:bookmarkStart w:id="276" w:name="_Toc164229369"/>
      <w:bookmarkStart w:id="277" w:name="_Toc226309772"/>
      <w:bookmarkStart w:id="278" w:name="_Toc150480766"/>
      <w:bookmarkStart w:id="279" w:name="_Toc164608797"/>
      <w:bookmarkStart w:id="280" w:name="_Toc305158870"/>
      <w:bookmarkStart w:id="281" w:name="_Toc520356152"/>
      <w:bookmarkStart w:id="282" w:name="_Toc164608642"/>
      <w:bookmarkStart w:id="283" w:name="_Toc226965718"/>
      <w:bookmarkStart w:id="284" w:name="_Toc226965801"/>
      <w:r>
        <w:rPr>
          <w:rFonts w:hint="eastAsia" w:ascii="宋体" w:hAnsi="宋体" w:eastAsia="宋体" w:cs="宋体"/>
          <w:i w:val="0"/>
          <w:iCs w:val="0"/>
          <w:color w:val="auto"/>
          <w:spacing w:val="0"/>
          <w:position w:val="0"/>
          <w:sz w:val="24"/>
          <w:highlight w:val="none"/>
        </w:rPr>
        <w:t>投标文件</w:t>
      </w:r>
      <w:bookmarkEnd w:id="252"/>
      <w:bookmarkEnd w:id="253"/>
      <w:bookmarkEnd w:id="254"/>
      <w:r>
        <w:rPr>
          <w:rFonts w:hint="eastAsia" w:ascii="宋体" w:hAnsi="宋体" w:eastAsia="宋体" w:cs="宋体"/>
          <w:i w:val="0"/>
          <w:iCs w:val="0"/>
          <w:color w:val="auto"/>
          <w:spacing w:val="0"/>
          <w:position w:val="0"/>
          <w:sz w:val="24"/>
          <w:highlight w:val="none"/>
        </w:rPr>
        <w:t>构成</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14:paraId="578694C8">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285" w:name="_Ref467052588"/>
      <w:r>
        <w:rPr>
          <w:rFonts w:hint="eastAsia" w:ascii="宋体" w:hAnsi="宋体" w:eastAsia="宋体" w:cs="宋体"/>
          <w:i w:val="0"/>
          <w:iCs w:val="0"/>
          <w:color w:val="auto"/>
          <w:spacing w:val="0"/>
          <w:position w:val="0"/>
          <w:sz w:val="24"/>
          <w:highlight w:val="none"/>
        </w:rPr>
        <w:t>投标人应当按照招标文件的要求编制投标文件。投标文件应由《资格证明文件》、《商务技术文件》两部分构成。投标文件的部分格式要求，见第七章《投标文件格式》。</w:t>
      </w:r>
    </w:p>
    <w:p w14:paraId="48910B4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对于招标文件中标记了“实质性格式”文件的，</w:t>
      </w:r>
      <w:r>
        <w:rPr>
          <w:rFonts w:hint="eastAsia" w:ascii="宋体" w:hAnsi="宋体" w:eastAsia="宋体" w:cs="宋体"/>
          <w:i w:val="0"/>
          <w:iCs w:val="0"/>
          <w:color w:val="auto"/>
          <w:spacing w:val="0"/>
          <w:position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kern w:val="0"/>
          <w:position w:val="0"/>
          <w:sz w:val="24"/>
          <w:highlight w:val="none"/>
        </w:rPr>
        <w:t>。未标记“实质性格式”的文件和招标文件未提供格式的内容，可由投标人自行编写。</w:t>
      </w:r>
    </w:p>
    <w:p w14:paraId="448B71E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第四章《评标程序、评标方法和评标标准》中涉及的证明文件。</w:t>
      </w:r>
    </w:p>
    <w:p w14:paraId="6180B1C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3807E5F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投标人认为应附的其他材料。</w:t>
      </w:r>
      <w:bookmarkEnd w:id="285"/>
    </w:p>
    <w:p w14:paraId="41F2591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286" w:name="_Toc151193844"/>
      <w:bookmarkStart w:id="287" w:name="_Toc195842895"/>
      <w:bookmarkStart w:id="288" w:name="_Toc142311032"/>
      <w:bookmarkStart w:id="289" w:name="_Toc151193918"/>
      <w:bookmarkStart w:id="290" w:name="_Toc127151731"/>
      <w:bookmarkStart w:id="291" w:name="_Toc164351624"/>
      <w:bookmarkStart w:id="292" w:name="_Toc151193628"/>
      <w:bookmarkStart w:id="293" w:name="_Toc151190157"/>
      <w:bookmarkStart w:id="294" w:name="_Toc151193700"/>
      <w:bookmarkStart w:id="295" w:name="_Toc150774630"/>
      <w:bookmarkStart w:id="296" w:name="_Toc127151530"/>
      <w:bookmarkStart w:id="297" w:name="_Toc151193772"/>
      <w:bookmarkStart w:id="298" w:name="_Toc164229371"/>
      <w:bookmarkStart w:id="299" w:name="_Toc127161444"/>
      <w:bookmarkStart w:id="300" w:name="_Toc164229225"/>
      <w:bookmarkStart w:id="301" w:name="_Toc164608799"/>
      <w:bookmarkStart w:id="302" w:name="_Toc164608644"/>
      <w:bookmarkStart w:id="303" w:name="_Toc150509281"/>
      <w:bookmarkStart w:id="304" w:name="_Toc150774735"/>
      <w:bookmarkStart w:id="305" w:name="_Toc520356155"/>
      <w:bookmarkStart w:id="306" w:name="_Toc149720823"/>
      <w:bookmarkStart w:id="307" w:name="_Toc150480768"/>
      <w:r>
        <w:rPr>
          <w:rFonts w:hint="eastAsia" w:ascii="宋体" w:hAnsi="宋体" w:eastAsia="宋体" w:cs="宋体"/>
          <w:i w:val="0"/>
          <w:iCs w:val="0"/>
          <w:color w:val="auto"/>
          <w:spacing w:val="0"/>
          <w:position w:val="0"/>
          <w:sz w:val="24"/>
          <w:highlight w:val="none"/>
        </w:rPr>
        <w:t>投标报价</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2417C27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所有投标均以人民币为计价货币。</w:t>
      </w:r>
    </w:p>
    <w:p w14:paraId="5E8345F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4CC9D26B">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08F673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按照招标文件要求完成本项目的全部相关费用。 </w:t>
      </w:r>
    </w:p>
    <w:p w14:paraId="46AF5F7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采购人不得向供应商索要或者接受其给予的赠品、回扣或者与采购无关的其他商品、服务。</w:t>
      </w:r>
    </w:p>
    <w:p w14:paraId="7D9F2B38">
      <w:pPr>
        <w:pageBreakBefore w:val="0"/>
        <w:numPr>
          <w:ilvl w:val="1"/>
          <w:numId w:val="8"/>
        </w:numPr>
        <w:tabs>
          <w:tab w:val="left" w:pos="1080"/>
          <w:tab w:val="left" w:pos="2014"/>
        </w:tabs>
        <w:wordWrap/>
        <w:topLinePunct w:val="0"/>
        <w:bidi w:val="0"/>
        <w:snapToGrid w:val="0"/>
        <w:spacing w:line="360" w:lineRule="auto"/>
        <w:ind w:left="1080"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投标人不能提供任何有选择性或可调整的报价（招标文件另有规定的除外），否则其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214A99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08" w:name="_Toc151190158"/>
      <w:bookmarkStart w:id="309" w:name="_Toc226337227"/>
      <w:bookmarkStart w:id="310" w:name="_Toc151193701"/>
      <w:bookmarkStart w:id="311" w:name="_Ref467306513"/>
      <w:bookmarkStart w:id="312" w:name="_Toc127151732"/>
      <w:bookmarkStart w:id="313" w:name="_Toc151193629"/>
      <w:bookmarkStart w:id="314" w:name="_Toc127151531"/>
      <w:bookmarkStart w:id="315" w:name="_Toc151193919"/>
      <w:bookmarkStart w:id="316" w:name="_Toc264969221"/>
      <w:bookmarkStart w:id="317" w:name="_Toc150480769"/>
      <w:bookmarkStart w:id="318" w:name="_Toc226309775"/>
      <w:bookmarkStart w:id="319" w:name="_Toc151193845"/>
      <w:bookmarkStart w:id="320" w:name="_Toc150774736"/>
      <w:bookmarkStart w:id="321" w:name="_Toc164608800"/>
      <w:bookmarkStart w:id="322" w:name="_Toc265228369"/>
      <w:bookmarkStart w:id="323" w:name="_Toc150774631"/>
      <w:bookmarkStart w:id="324" w:name="_Toc142311033"/>
      <w:bookmarkStart w:id="325" w:name="_Toc164351625"/>
      <w:bookmarkStart w:id="326" w:name="_Toc150509282"/>
      <w:bookmarkStart w:id="327" w:name="_Toc226965721"/>
      <w:bookmarkStart w:id="328" w:name="_Toc164229226"/>
      <w:bookmarkStart w:id="329" w:name="_Toc305158873"/>
      <w:bookmarkStart w:id="330" w:name="_Toc520356156"/>
      <w:bookmarkStart w:id="331" w:name="_Toc195842896"/>
      <w:bookmarkStart w:id="332" w:name="_Toc164229372"/>
      <w:bookmarkStart w:id="333" w:name="_Toc149720824"/>
      <w:bookmarkStart w:id="334" w:name="_Toc151193773"/>
      <w:bookmarkStart w:id="335" w:name="_Toc127161445"/>
      <w:bookmarkStart w:id="336" w:name="_Toc164608645"/>
      <w:bookmarkStart w:id="337" w:name="_Toc305158799"/>
      <w:bookmarkStart w:id="338" w:name="_Toc226965804"/>
      <w:r>
        <w:rPr>
          <w:rFonts w:hint="eastAsia" w:ascii="宋体" w:hAnsi="宋体" w:eastAsia="宋体" w:cs="宋体"/>
          <w:i w:val="0"/>
          <w:iCs w:val="0"/>
          <w:color w:val="auto"/>
          <w:spacing w:val="0"/>
          <w:position w:val="0"/>
          <w:sz w:val="24"/>
          <w:highlight w:val="none"/>
        </w:rPr>
        <w:t>投标保证金</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14:paraId="5ED0792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339" w:name="_Ref467306302"/>
      <w:r>
        <w:rPr>
          <w:rFonts w:hint="eastAsia" w:ascii="宋体" w:hAnsi="宋体" w:eastAsia="宋体" w:cs="宋体"/>
          <w:i w:val="0"/>
          <w:iCs w:val="0"/>
          <w:color w:val="auto"/>
          <w:spacing w:val="0"/>
          <w:position w:val="0"/>
          <w:sz w:val="24"/>
          <w:highlight w:val="none"/>
        </w:rPr>
        <w:t>投标人应按《投标人须知资料表》中规定的金额及要求交纳投标保证金</w:t>
      </w:r>
      <w:bookmarkEnd w:id="339"/>
      <w:r>
        <w:rPr>
          <w:rFonts w:hint="eastAsia" w:ascii="宋体" w:hAnsi="宋体" w:eastAsia="宋体" w:cs="宋体"/>
          <w:i w:val="0"/>
          <w:iCs w:val="0"/>
          <w:color w:val="auto"/>
          <w:spacing w:val="0"/>
          <w:position w:val="0"/>
          <w:sz w:val="24"/>
          <w:highlight w:val="none"/>
        </w:rPr>
        <w:t>。投标人自愿超额缴纳投标保证金的，投标文件不做无效处理。</w:t>
      </w:r>
    </w:p>
    <w:p w14:paraId="29335971">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交纳投标保证金可采用的形式：政府采购法律法规接受的支票、汇票、本票、网上银行支付或者金融机构、担保机构出具的保函等非现金形式。</w:t>
      </w:r>
    </w:p>
    <w:p w14:paraId="423B8FE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0" w:name="_Hlk164959831"/>
      <w:r>
        <w:rPr>
          <w:rFonts w:hint="eastAsia" w:ascii="宋体" w:hAnsi="宋体" w:eastAsia="宋体" w:cs="宋体"/>
          <w:i w:val="0"/>
          <w:iCs w:val="0"/>
          <w:color w:val="auto"/>
          <w:spacing w:val="0"/>
          <w:position w:val="0"/>
          <w:sz w:val="24"/>
          <w:highlight w:val="none"/>
        </w:rPr>
        <w:t>以电子保函形式提交投标保证金的，应在投标截止时间前通过</w:t>
      </w:r>
      <w:r>
        <w:rPr>
          <w:rFonts w:hint="eastAsia" w:ascii="宋体" w:hAnsi="宋体" w:eastAsia="宋体" w:cs="宋体"/>
          <w:i w:val="0"/>
          <w:iCs w:val="0"/>
          <w:color w:val="auto"/>
          <w:spacing w:val="0"/>
          <w:position w:val="0"/>
          <w:sz w:val="24"/>
          <w:highlight w:val="none"/>
          <w:lang w:bidi="ar"/>
        </w:rPr>
        <w:t>北京市政府采购电子交易平台完成电子保函在线办理。</w:t>
      </w:r>
      <w:bookmarkEnd w:id="340"/>
      <w:r>
        <w:rPr>
          <w:rFonts w:hint="eastAsia" w:ascii="宋体" w:hAnsi="宋体" w:eastAsia="宋体" w:cs="宋体"/>
          <w:i w:val="0"/>
          <w:iCs w:val="0"/>
          <w:color w:val="auto"/>
          <w:spacing w:val="0"/>
          <w:position w:val="0"/>
          <w:sz w:val="24"/>
          <w:highlight w:val="none"/>
        </w:rPr>
        <w:t>未按上述要求缴纳投标保证金的，其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2B980045">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投标人除需在投标文件中提供“</w:t>
      </w:r>
      <w:r>
        <w:rPr>
          <w:rFonts w:hint="eastAsia" w:ascii="宋体" w:hAnsi="宋体" w:eastAsia="宋体" w:cs="宋体"/>
          <w:i w:val="0"/>
          <w:iCs w:val="0"/>
          <w:color w:val="auto"/>
          <w:spacing w:val="0"/>
          <w:position w:val="0"/>
          <w:sz w:val="24"/>
          <w:szCs w:val="20"/>
          <w:highlight w:val="none"/>
        </w:rPr>
        <w:t>投标保证金凭证/交款单据电子件</w:t>
      </w:r>
      <w:r>
        <w:rPr>
          <w:rFonts w:hint="eastAsia" w:ascii="宋体" w:hAnsi="宋体" w:eastAsia="宋体" w:cs="宋体"/>
          <w:i w:val="0"/>
          <w:iCs w:val="0"/>
          <w:color w:val="auto"/>
          <w:spacing w:val="0"/>
          <w:position w:val="0"/>
          <w:sz w:val="24"/>
          <w:highlight w:val="none"/>
        </w:rPr>
        <w:t>”，还需在投标截止时间前，通过电子交易平台上传“</w:t>
      </w:r>
      <w:r>
        <w:rPr>
          <w:rFonts w:hint="eastAsia" w:ascii="宋体" w:hAnsi="宋体" w:eastAsia="宋体" w:cs="宋体"/>
          <w:i w:val="0"/>
          <w:iCs w:val="0"/>
          <w:color w:val="auto"/>
          <w:spacing w:val="0"/>
          <w:position w:val="0"/>
          <w:sz w:val="24"/>
          <w:szCs w:val="20"/>
          <w:highlight w:val="none"/>
        </w:rPr>
        <w:t>投标保证金凭证/交款单据电子件</w:t>
      </w:r>
      <w:r>
        <w:rPr>
          <w:rFonts w:hint="eastAsia" w:ascii="宋体" w:hAnsi="宋体" w:eastAsia="宋体" w:cs="宋体"/>
          <w:i w:val="0"/>
          <w:iCs w:val="0"/>
          <w:color w:val="auto"/>
          <w:spacing w:val="0"/>
          <w:position w:val="0"/>
          <w:sz w:val="24"/>
          <w:highlight w:val="none"/>
        </w:rPr>
        <w:t>”。</w:t>
      </w:r>
    </w:p>
    <w:p w14:paraId="14F83D3F">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投标保证金有效期同投标有效期。</w:t>
      </w:r>
    </w:p>
    <w:p w14:paraId="0B83680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投标人为联合体的，可以由联合体中的一方或者多方共同交纳投标保证金，其交纳的投标保证金对联合体各方均具有约束力。</w:t>
      </w:r>
    </w:p>
    <w:p w14:paraId="014781B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3D8EE15">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投标人在投标截止时间前撤回已提交的投标文件的，自收到投标人书面撤回通知之日起5个工作日内退还已收取的投标保证金；</w:t>
      </w:r>
    </w:p>
    <w:p w14:paraId="52B436A5">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中标人的投标保证金，自采购合同签订之日起5个工作日内退还中标人；</w:t>
      </w:r>
    </w:p>
    <w:p w14:paraId="3C2CFCA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未中标投标人的投标保证金，自中标通知书发出之日起5个工作日内退还未中标人；</w:t>
      </w:r>
    </w:p>
    <w:p w14:paraId="34E0350D">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终止招标项目已经收取投标保证金的，自终止采购活动后5个工作日内退还已收取的投标保证金及其在银行产生的孳息。</w:t>
      </w:r>
    </w:p>
    <w:p w14:paraId="55859FA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有下列情形之一的，采购人或采购代理机构可以不予退还投标保证金：</w:t>
      </w:r>
    </w:p>
    <w:p w14:paraId="09CED4C0">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投标有效期内投标人撤销投标文件的；</w:t>
      </w:r>
    </w:p>
    <w:p w14:paraId="2612764C">
      <w:pPr>
        <w:pageBreakBefore w:val="0"/>
        <w:numPr>
          <w:ilvl w:val="2"/>
          <w:numId w:val="8"/>
        </w:numPr>
        <w:tabs>
          <w:tab w:val="left" w:pos="900"/>
          <w:tab w:val="left" w:pos="1080"/>
          <w:tab w:val="left" w:pos="2014"/>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《投标人须知资料表》中规定的其他情形。</w:t>
      </w:r>
    </w:p>
    <w:p w14:paraId="74F31CF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41" w:name="_Toc150509283"/>
      <w:bookmarkStart w:id="342" w:name="_Toc151193630"/>
      <w:bookmarkStart w:id="343" w:name="_Toc164229227"/>
      <w:bookmarkStart w:id="344" w:name="_Toc164229373"/>
      <w:bookmarkStart w:id="345" w:name="_Toc226309776"/>
      <w:bookmarkStart w:id="346" w:name="_Toc127161446"/>
      <w:bookmarkStart w:id="347" w:name="_Toc305158874"/>
      <w:bookmarkStart w:id="348" w:name="_Toc195842897"/>
      <w:bookmarkStart w:id="349" w:name="_Toc226965722"/>
      <w:bookmarkStart w:id="350" w:name="_Toc150480770"/>
      <w:bookmarkStart w:id="351" w:name="_Toc305158800"/>
      <w:bookmarkStart w:id="352" w:name="_Toc150774737"/>
      <w:bookmarkStart w:id="353" w:name="_Toc151193702"/>
      <w:bookmarkStart w:id="354" w:name="_Toc164608801"/>
      <w:bookmarkStart w:id="355" w:name="_Toc127151532"/>
      <w:bookmarkStart w:id="356" w:name="_Toc151193774"/>
      <w:bookmarkStart w:id="357" w:name="_Toc142311034"/>
      <w:bookmarkStart w:id="358" w:name="_Toc149720825"/>
      <w:bookmarkStart w:id="359" w:name="_Toc264969222"/>
      <w:bookmarkStart w:id="360" w:name="_Toc127151733"/>
      <w:bookmarkStart w:id="361" w:name="_Toc226965805"/>
      <w:bookmarkStart w:id="362" w:name="_Toc151193846"/>
      <w:bookmarkStart w:id="363" w:name="_Toc164608646"/>
      <w:bookmarkStart w:id="364" w:name="_Toc520356157"/>
      <w:bookmarkStart w:id="365" w:name="_Toc226337228"/>
      <w:bookmarkStart w:id="366" w:name="_Toc265228370"/>
      <w:bookmarkStart w:id="367" w:name="_Toc151193920"/>
      <w:bookmarkStart w:id="368" w:name="_Toc164351626"/>
      <w:bookmarkStart w:id="369" w:name="_Toc151190159"/>
      <w:bookmarkStart w:id="370" w:name="_Toc150774632"/>
      <w:r>
        <w:rPr>
          <w:rFonts w:hint="eastAsia" w:ascii="宋体" w:hAnsi="宋体" w:eastAsia="宋体" w:cs="宋体"/>
          <w:i w:val="0"/>
          <w:iCs w:val="0"/>
          <w:color w:val="auto"/>
          <w:spacing w:val="0"/>
          <w:position w:val="0"/>
          <w:sz w:val="24"/>
          <w:highlight w:val="none"/>
        </w:rPr>
        <w:t>投标有效期</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6207453B">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投标文件应在本招标文件《投标人须知资料表》中规定的投标有效期内保持有效，投标有效期少于招标文件规定期限的，其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65032E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371" w:name="_Toc164608802"/>
      <w:bookmarkStart w:id="372" w:name="_Toc164229228"/>
      <w:bookmarkStart w:id="373" w:name="_Toc226965723"/>
      <w:bookmarkStart w:id="374" w:name="_Toc265228371"/>
      <w:bookmarkStart w:id="375" w:name="_Toc127161447"/>
      <w:bookmarkStart w:id="376" w:name="_Toc164229374"/>
      <w:bookmarkStart w:id="377" w:name="_Toc226309777"/>
      <w:bookmarkStart w:id="378" w:name="_Toc142311035"/>
      <w:bookmarkStart w:id="379" w:name="_Toc164351627"/>
      <w:bookmarkStart w:id="380" w:name="_Toc226965806"/>
      <w:bookmarkStart w:id="381" w:name="_Toc226337229"/>
      <w:bookmarkStart w:id="382" w:name="_Toc151193921"/>
      <w:bookmarkStart w:id="383" w:name="_Toc151193703"/>
      <w:bookmarkStart w:id="384" w:name="_Toc305158875"/>
      <w:bookmarkStart w:id="385" w:name="_Toc150480771"/>
      <w:bookmarkStart w:id="386" w:name="_Toc150509284"/>
      <w:bookmarkStart w:id="387" w:name="_Toc195842898"/>
      <w:bookmarkStart w:id="388" w:name="_Toc151193775"/>
      <w:bookmarkStart w:id="389" w:name="_Toc149720826"/>
      <w:bookmarkStart w:id="390" w:name="_Toc150774738"/>
      <w:bookmarkStart w:id="391" w:name="_Toc150774633"/>
      <w:bookmarkStart w:id="392" w:name="_Toc264969223"/>
      <w:bookmarkStart w:id="393" w:name="_Toc520356158"/>
      <w:bookmarkStart w:id="394" w:name="_Toc151193847"/>
      <w:bookmarkStart w:id="395" w:name="_Toc164608647"/>
      <w:bookmarkStart w:id="396" w:name="_Toc127151533"/>
      <w:bookmarkStart w:id="397" w:name="_Toc151190160"/>
      <w:bookmarkStart w:id="398" w:name="_Toc305158801"/>
      <w:bookmarkStart w:id="399" w:name="_Toc127151734"/>
      <w:bookmarkStart w:id="400" w:name="_Toc151193631"/>
      <w:r>
        <w:rPr>
          <w:rFonts w:hint="eastAsia" w:ascii="宋体" w:hAnsi="宋体" w:eastAsia="宋体" w:cs="宋体"/>
          <w:i w:val="0"/>
          <w:iCs w:val="0"/>
          <w:color w:val="auto"/>
          <w:spacing w:val="0"/>
          <w:position w:val="0"/>
          <w:sz w:val="24"/>
          <w:highlight w:val="none"/>
        </w:rPr>
        <w:t>投标文件的签署</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Fonts w:hint="eastAsia" w:ascii="宋体" w:hAnsi="宋体" w:eastAsia="宋体" w:cs="宋体"/>
          <w:i w:val="0"/>
          <w:iCs w:val="0"/>
          <w:color w:val="auto"/>
          <w:spacing w:val="0"/>
          <w:position w:val="0"/>
          <w:sz w:val="24"/>
          <w:highlight w:val="none"/>
        </w:rPr>
        <w:t>、盖章</w:t>
      </w:r>
    </w:p>
    <w:p w14:paraId="7A4ED2E1">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bookmarkStart w:id="401" w:name="_Toc142311036"/>
      <w:bookmarkStart w:id="402" w:name="_Toc151193776"/>
      <w:bookmarkStart w:id="403" w:name="_Toc150509285"/>
      <w:bookmarkStart w:id="404" w:name="_Toc195842899"/>
      <w:bookmarkStart w:id="405" w:name="_Toc264969224"/>
      <w:bookmarkStart w:id="406" w:name="_Toc265228372"/>
      <w:bookmarkStart w:id="407" w:name="_Toc305158876"/>
      <w:bookmarkStart w:id="408" w:name="_Toc226337230"/>
      <w:bookmarkStart w:id="409" w:name="_Toc127151534"/>
      <w:bookmarkStart w:id="410" w:name="_Toc151190161"/>
      <w:bookmarkStart w:id="411" w:name="_Toc305158802"/>
      <w:bookmarkStart w:id="412" w:name="_Toc151193922"/>
      <w:bookmarkStart w:id="413" w:name="_Toc150774634"/>
      <w:bookmarkStart w:id="414" w:name="_Toc151193848"/>
      <w:bookmarkStart w:id="415" w:name="_Toc520356159"/>
      <w:bookmarkStart w:id="416" w:name="_Toc151193632"/>
      <w:bookmarkStart w:id="417" w:name="_Toc226965807"/>
      <w:bookmarkStart w:id="418" w:name="_Toc226965724"/>
      <w:bookmarkStart w:id="419" w:name="_Toc226309778"/>
      <w:bookmarkStart w:id="420" w:name="_Toc151193704"/>
      <w:bookmarkStart w:id="421" w:name="_Toc150480772"/>
      <w:bookmarkStart w:id="422" w:name="_Toc150774739"/>
      <w:r>
        <w:rPr>
          <w:rFonts w:hint="eastAsia" w:ascii="宋体" w:hAnsi="宋体" w:eastAsia="宋体" w:cs="宋体"/>
          <w:i w:val="0"/>
          <w:iCs w:val="0"/>
          <w:color w:val="auto"/>
          <w:spacing w:val="0"/>
          <w:position w:val="0"/>
          <w:sz w:val="24"/>
          <w:highlight w:val="none"/>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3B4E05F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招标文件要求盖章的内容，一般通过投标文件编制工具加盖电子签章。</w:t>
      </w:r>
    </w:p>
    <w:p w14:paraId="2DFFE698">
      <w:pPr>
        <w:pageBreakBefore w:val="0"/>
        <w:tabs>
          <w:tab w:val="left" w:pos="900"/>
          <w:tab w:val="left" w:pos="1080"/>
        </w:tabs>
        <w:wordWrap/>
        <w:topLinePunct w:val="0"/>
        <w:bidi w:val="0"/>
        <w:snapToGrid w:val="0"/>
        <w:spacing w:line="360" w:lineRule="auto"/>
        <w:ind w:left="357"/>
        <w:rPr>
          <w:rFonts w:hint="eastAsia" w:ascii="宋体" w:hAnsi="宋体" w:eastAsia="宋体" w:cs="宋体"/>
          <w:i w:val="0"/>
          <w:iCs w:val="0"/>
          <w:color w:val="auto"/>
          <w:spacing w:val="0"/>
          <w:position w:val="0"/>
          <w:highlight w:val="none"/>
        </w:rPr>
      </w:pPr>
    </w:p>
    <w:p w14:paraId="59ED36DA">
      <w:pPr>
        <w:pStyle w:val="4"/>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r>
        <w:rPr>
          <w:rFonts w:hint="eastAsia" w:ascii="宋体" w:hAnsi="宋体" w:eastAsia="宋体" w:cs="宋体"/>
          <w:i w:val="0"/>
          <w:iCs w:val="0"/>
          <w:color w:val="auto"/>
          <w:spacing w:val="0"/>
          <w:position w:val="0"/>
          <w:sz w:val="28"/>
          <w:highlight w:val="none"/>
        </w:rPr>
        <w:t>四   投标文件的提交</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14:paraId="4D29DCCB">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23" w:name="_Toc226965808"/>
      <w:bookmarkStart w:id="424" w:name="_Toc151193777"/>
      <w:bookmarkStart w:id="425" w:name="_Toc151193923"/>
      <w:bookmarkStart w:id="426" w:name="_Toc226337231"/>
      <w:bookmarkStart w:id="427" w:name="_Toc150774740"/>
      <w:bookmarkStart w:id="428" w:name="_Toc150509286"/>
      <w:bookmarkStart w:id="429" w:name="_Toc127161449"/>
      <w:bookmarkStart w:id="430" w:name="_Toc164351629"/>
      <w:bookmarkStart w:id="431" w:name="_Toc151190162"/>
      <w:bookmarkStart w:id="432" w:name="_Toc520356160"/>
      <w:bookmarkStart w:id="433" w:name="_Toc164608649"/>
      <w:bookmarkStart w:id="434" w:name="_Toc164229230"/>
      <w:bookmarkStart w:id="435" w:name="_Toc305158877"/>
      <w:bookmarkStart w:id="436" w:name="_Toc150774635"/>
      <w:bookmarkStart w:id="437" w:name="_Toc264969225"/>
      <w:bookmarkStart w:id="438" w:name="_Toc265228373"/>
      <w:bookmarkStart w:id="439" w:name="_Toc151193849"/>
      <w:bookmarkStart w:id="440" w:name="_Toc142311037"/>
      <w:bookmarkStart w:id="441" w:name="_Toc151193705"/>
      <w:bookmarkStart w:id="442" w:name="_Toc149720828"/>
      <w:bookmarkStart w:id="443" w:name="_Toc127151736"/>
      <w:bookmarkStart w:id="444" w:name="_Toc164229376"/>
      <w:bookmarkStart w:id="445" w:name="_Toc150480773"/>
      <w:bookmarkStart w:id="446" w:name="_Toc195842900"/>
      <w:bookmarkStart w:id="447" w:name="_Toc151193633"/>
      <w:bookmarkStart w:id="448" w:name="_Toc305158803"/>
      <w:bookmarkStart w:id="449" w:name="_Toc164608804"/>
      <w:bookmarkStart w:id="450" w:name="_Toc127151535"/>
      <w:bookmarkStart w:id="451" w:name="_Toc226965725"/>
      <w:bookmarkStart w:id="452" w:name="_Toc226309779"/>
      <w:r>
        <w:rPr>
          <w:rFonts w:hint="eastAsia" w:ascii="宋体" w:hAnsi="宋体" w:eastAsia="宋体" w:cs="宋体"/>
          <w:i w:val="0"/>
          <w:iCs w:val="0"/>
          <w:color w:val="auto"/>
          <w:spacing w:val="0"/>
          <w:position w:val="0"/>
          <w:sz w:val="24"/>
          <w:highlight w:val="none"/>
        </w:rPr>
        <w:t>投标文件的</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Fonts w:hint="eastAsia" w:ascii="宋体" w:hAnsi="宋体" w:eastAsia="宋体" w:cs="宋体"/>
          <w:i w:val="0"/>
          <w:iCs w:val="0"/>
          <w:color w:val="auto"/>
          <w:spacing w:val="0"/>
          <w:position w:val="0"/>
          <w:sz w:val="24"/>
          <w:highlight w:val="none"/>
        </w:rPr>
        <w:t>提交</w:t>
      </w:r>
    </w:p>
    <w:p w14:paraId="0AB2B41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本项目使用北京市政府采购电子交易平台。投标人根据招标文件及电子交易平台供应商操作手册要求编制、生成并提交电子投标文件。</w:t>
      </w:r>
    </w:p>
    <w:p w14:paraId="76C183A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采购人及采购代理机构拒绝接受通过电子交易平台以外任何形式提交的投标文件，投标保证金除外。</w:t>
      </w:r>
    </w:p>
    <w:p w14:paraId="3B3A4E4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53" w:name="_Toc226337232"/>
      <w:bookmarkStart w:id="454" w:name="_Toc151193634"/>
      <w:bookmarkStart w:id="455" w:name="_Toc195842901"/>
      <w:bookmarkStart w:id="456" w:name="_Toc226309780"/>
      <w:bookmarkStart w:id="457" w:name="_Toc127151536"/>
      <w:bookmarkStart w:id="458" w:name="_Toc142311038"/>
      <w:bookmarkStart w:id="459" w:name="_Toc151193850"/>
      <w:bookmarkStart w:id="460" w:name="_Toc151190163"/>
      <w:bookmarkStart w:id="461" w:name="_Toc127151737"/>
      <w:bookmarkStart w:id="462" w:name="_Toc265228374"/>
      <w:bookmarkStart w:id="463" w:name="_Toc226965809"/>
      <w:bookmarkStart w:id="464" w:name="_Toc150774636"/>
      <w:bookmarkStart w:id="465" w:name="_Toc150774741"/>
      <w:bookmarkStart w:id="466" w:name="_Toc164608805"/>
      <w:bookmarkStart w:id="467" w:name="_Toc164229231"/>
      <w:bookmarkStart w:id="468" w:name="_Toc150480774"/>
      <w:bookmarkStart w:id="469" w:name="_Toc305158804"/>
      <w:bookmarkStart w:id="470" w:name="_Toc226965726"/>
      <w:bookmarkStart w:id="471" w:name="_Toc164608650"/>
      <w:bookmarkStart w:id="472" w:name="_Toc151193778"/>
      <w:bookmarkStart w:id="473" w:name="_Toc164229377"/>
      <w:bookmarkStart w:id="474" w:name="_Toc305158878"/>
      <w:bookmarkStart w:id="475" w:name="_Toc151193706"/>
      <w:bookmarkStart w:id="476" w:name="_Toc149720829"/>
      <w:bookmarkStart w:id="477" w:name="_Toc164351630"/>
      <w:bookmarkStart w:id="478" w:name="_Toc264969226"/>
      <w:bookmarkStart w:id="479" w:name="_Toc151193924"/>
      <w:bookmarkStart w:id="480" w:name="_Toc150509287"/>
      <w:bookmarkStart w:id="481" w:name="_Toc127161450"/>
      <w:bookmarkStart w:id="482" w:name="_Toc520356161"/>
      <w:r>
        <w:rPr>
          <w:rFonts w:hint="eastAsia" w:ascii="宋体" w:hAnsi="宋体" w:eastAsia="宋体" w:cs="宋体"/>
          <w:i w:val="0"/>
          <w:iCs w:val="0"/>
          <w:color w:val="auto"/>
          <w:spacing w:val="0"/>
          <w:position w:val="0"/>
          <w:sz w:val="24"/>
          <w:highlight w:val="none"/>
        </w:rPr>
        <w:t>投标截止</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Fonts w:hint="eastAsia" w:ascii="宋体" w:hAnsi="宋体" w:eastAsia="宋体" w:cs="宋体"/>
          <w:i w:val="0"/>
          <w:iCs w:val="0"/>
          <w:color w:val="auto"/>
          <w:spacing w:val="0"/>
          <w:position w:val="0"/>
          <w:sz w:val="24"/>
          <w:highlight w:val="none"/>
        </w:rPr>
        <w:t>时间</w:t>
      </w:r>
    </w:p>
    <w:p w14:paraId="630CC70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投标人应在招标文件要求提交投标文件截止时间前，将电子投标文件提交至电子交易平台。</w:t>
      </w:r>
    </w:p>
    <w:p w14:paraId="40A29034">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483" w:name="_Toc151193707"/>
      <w:bookmarkStart w:id="484" w:name="_Toc151193635"/>
      <w:bookmarkStart w:id="485" w:name="_Toc226337233"/>
      <w:bookmarkStart w:id="486" w:name="_Toc150480775"/>
      <w:bookmarkStart w:id="487" w:name="_Toc142311039"/>
      <w:bookmarkStart w:id="488" w:name="_Toc150774637"/>
      <w:bookmarkStart w:id="489" w:name="_Toc151193779"/>
      <w:bookmarkStart w:id="490" w:name="_Toc151193851"/>
      <w:bookmarkStart w:id="491" w:name="_Toc150774742"/>
      <w:bookmarkStart w:id="492" w:name="_Toc164608806"/>
      <w:bookmarkStart w:id="493" w:name="_Toc264969227"/>
      <w:bookmarkStart w:id="494" w:name="_Toc226965727"/>
      <w:bookmarkStart w:id="495" w:name="_Toc151193925"/>
      <w:bookmarkStart w:id="496" w:name="_Toc305158805"/>
      <w:bookmarkStart w:id="497" w:name="_Toc226965810"/>
      <w:bookmarkStart w:id="498" w:name="_Toc164608651"/>
      <w:bookmarkStart w:id="499" w:name="_Toc226309781"/>
      <w:bookmarkStart w:id="500" w:name="_Toc195842902"/>
      <w:bookmarkStart w:id="501" w:name="_Toc164229378"/>
      <w:bookmarkStart w:id="502" w:name="_Toc127151738"/>
      <w:bookmarkStart w:id="503" w:name="_Toc164229232"/>
      <w:bookmarkStart w:id="504" w:name="_Toc265228375"/>
      <w:bookmarkStart w:id="505" w:name="_Toc305158879"/>
      <w:bookmarkStart w:id="506" w:name="_Toc520356162"/>
      <w:bookmarkStart w:id="507" w:name="_Toc127151537"/>
      <w:bookmarkStart w:id="508" w:name="_Toc150509288"/>
      <w:bookmarkStart w:id="509" w:name="_Toc149720830"/>
      <w:bookmarkStart w:id="510" w:name="_Toc164351631"/>
      <w:bookmarkStart w:id="511" w:name="_Toc127161451"/>
      <w:bookmarkStart w:id="512" w:name="_Toc151190164"/>
      <w:r>
        <w:rPr>
          <w:rFonts w:hint="eastAsia" w:ascii="宋体" w:hAnsi="宋体" w:eastAsia="宋体" w:cs="宋体"/>
          <w:i w:val="0"/>
          <w:iCs w:val="0"/>
          <w:color w:val="auto"/>
          <w:spacing w:val="0"/>
          <w:position w:val="0"/>
          <w:sz w:val="24"/>
          <w:highlight w:val="none"/>
        </w:rPr>
        <w:t>投标文件的修改与撤回</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14:paraId="5226657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022B579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投标人对投标文件的补充、修改的内容应当按照招标文件要求签署、盖章，作为投标文件的组成部分。</w:t>
      </w:r>
    </w:p>
    <w:p w14:paraId="3D16EC16">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p>
    <w:p w14:paraId="37CF682A">
      <w:pPr>
        <w:pStyle w:val="4"/>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513" w:name="_Toc226309782"/>
      <w:bookmarkStart w:id="514" w:name="_Toc150480776"/>
      <w:bookmarkStart w:id="515" w:name="_Toc226965811"/>
      <w:bookmarkStart w:id="516" w:name="_Toc151193780"/>
      <w:bookmarkStart w:id="517" w:name="_Toc150774743"/>
      <w:bookmarkStart w:id="518" w:name="_Toc151193852"/>
      <w:bookmarkStart w:id="519" w:name="_Toc151193926"/>
      <w:bookmarkStart w:id="520" w:name="_Toc150509289"/>
      <w:bookmarkStart w:id="521" w:name="_Toc264969228"/>
      <w:bookmarkStart w:id="522" w:name="_Toc127151538"/>
      <w:bookmarkStart w:id="523" w:name="_Toc151190165"/>
      <w:bookmarkStart w:id="524" w:name="_Toc195842903"/>
      <w:bookmarkStart w:id="525" w:name="_Toc151193708"/>
      <w:bookmarkStart w:id="526" w:name="_Toc150774638"/>
      <w:bookmarkStart w:id="527" w:name="_Toc265228376"/>
      <w:bookmarkStart w:id="528" w:name="_Toc226965728"/>
      <w:bookmarkStart w:id="529" w:name="_Toc142311040"/>
      <w:bookmarkStart w:id="530" w:name="_Toc226337234"/>
      <w:bookmarkStart w:id="531" w:name="_Toc151193636"/>
      <w:bookmarkStart w:id="532" w:name="_Toc305158806"/>
      <w:bookmarkStart w:id="533" w:name="_Toc305158880"/>
      <w:bookmarkStart w:id="534" w:name="_Toc520356163"/>
      <w:r>
        <w:rPr>
          <w:rFonts w:hint="eastAsia" w:ascii="宋体" w:hAnsi="宋体" w:eastAsia="宋体" w:cs="宋体"/>
          <w:i w:val="0"/>
          <w:iCs w:val="0"/>
          <w:color w:val="auto"/>
          <w:spacing w:val="0"/>
          <w:position w:val="0"/>
          <w:sz w:val="28"/>
          <w:highlight w:val="none"/>
        </w:rPr>
        <w:t>五   开标、资格审查及评标</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14:paraId="464E91BA">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535" w:name="_Toc226965812"/>
      <w:bookmarkStart w:id="536" w:name="_Toc151193637"/>
      <w:bookmarkStart w:id="537" w:name="_Toc305158881"/>
      <w:bookmarkStart w:id="538" w:name="_Toc164608653"/>
      <w:bookmarkStart w:id="539" w:name="_Toc305158807"/>
      <w:bookmarkStart w:id="540" w:name="_Toc520356164"/>
      <w:bookmarkStart w:id="541" w:name="_Toc164608808"/>
      <w:bookmarkStart w:id="542" w:name="_Toc226965729"/>
      <w:bookmarkStart w:id="543" w:name="_Toc151190166"/>
      <w:bookmarkStart w:id="544" w:name="_Toc151193709"/>
      <w:bookmarkStart w:id="545" w:name="_Toc149720832"/>
      <w:bookmarkStart w:id="546" w:name="_Toc164351633"/>
      <w:bookmarkStart w:id="547" w:name="_Toc151193853"/>
      <w:bookmarkStart w:id="548" w:name="_Toc142311041"/>
      <w:bookmarkStart w:id="549" w:name="_Toc264969229"/>
      <w:bookmarkStart w:id="550" w:name="_Toc127161453"/>
      <w:bookmarkStart w:id="551" w:name="_Toc226309783"/>
      <w:bookmarkStart w:id="552" w:name="_Toc150774744"/>
      <w:bookmarkStart w:id="553" w:name="_Toc127151539"/>
      <w:bookmarkStart w:id="554" w:name="_Toc127151740"/>
      <w:bookmarkStart w:id="555" w:name="_Toc164229380"/>
      <w:bookmarkStart w:id="556" w:name="_Toc150774639"/>
      <w:bookmarkStart w:id="557" w:name="_Toc195842904"/>
      <w:bookmarkStart w:id="558" w:name="_Toc150509290"/>
      <w:bookmarkStart w:id="559" w:name="_Toc151193781"/>
      <w:bookmarkStart w:id="560" w:name="_Toc151193927"/>
      <w:bookmarkStart w:id="561" w:name="_Toc164229234"/>
      <w:bookmarkStart w:id="562" w:name="_Toc226337235"/>
      <w:bookmarkStart w:id="563" w:name="_Toc265228377"/>
      <w:bookmarkStart w:id="564" w:name="_Toc150480777"/>
      <w:r>
        <w:rPr>
          <w:rFonts w:hint="eastAsia" w:ascii="宋体" w:hAnsi="宋体" w:eastAsia="宋体" w:cs="宋体"/>
          <w:i w:val="0"/>
          <w:iCs w:val="0"/>
          <w:color w:val="auto"/>
          <w:spacing w:val="0"/>
          <w:position w:val="0"/>
          <w:sz w:val="24"/>
          <w:highlight w:val="none"/>
        </w:rPr>
        <w:t>开标</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14:paraId="41589345">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采购人或采购代理机构将按招标文件的规定，在投标截止时间的同一时间和招标文件预先确定的地点组织开标。</w:t>
      </w:r>
    </w:p>
    <w:p w14:paraId="0E60641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本项目开标使用北京市政府采购电子交易平台。投标人应在</w:t>
      </w:r>
      <w:bookmarkStart w:id="565" w:name="_Hlk167284562"/>
      <w:r>
        <w:rPr>
          <w:rFonts w:hint="eastAsia" w:ascii="宋体" w:hAnsi="宋体" w:eastAsia="宋体" w:cs="宋体"/>
          <w:i w:val="0"/>
          <w:iCs w:val="0"/>
          <w:color w:val="auto"/>
          <w:spacing w:val="0"/>
          <w:position w:val="0"/>
          <w:sz w:val="24"/>
          <w:highlight w:val="none"/>
        </w:rPr>
        <w:t>《投标人须知资料表》</w:t>
      </w:r>
      <w:bookmarkEnd w:id="565"/>
      <w:r>
        <w:rPr>
          <w:rFonts w:hint="eastAsia" w:ascii="宋体" w:hAnsi="宋体" w:eastAsia="宋体" w:cs="宋体"/>
          <w:i w:val="0"/>
          <w:iCs w:val="0"/>
          <w:color w:val="auto"/>
          <w:spacing w:val="0"/>
          <w:position w:val="0"/>
          <w:sz w:val="24"/>
          <w:highlight w:val="none"/>
        </w:rPr>
        <w:t>规定的时间内对投标文件进行解密，因非系统原因导致的解密失败，视为</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4D44EE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开标过程将使用电子交易平台宣布投标人名称、投标价格和招标文件规定的需要宣布的其他内容并进行记录，并由参加开标的各投标人确认</w:t>
      </w:r>
      <w:bookmarkStart w:id="566" w:name="_Toc520356165"/>
      <w:r>
        <w:rPr>
          <w:rFonts w:hint="eastAsia" w:ascii="宋体" w:hAnsi="宋体" w:eastAsia="宋体" w:cs="宋体"/>
          <w:i w:val="0"/>
          <w:iCs w:val="0"/>
          <w:color w:val="auto"/>
          <w:spacing w:val="0"/>
          <w:position w:val="0"/>
          <w:sz w:val="24"/>
          <w:highlight w:val="none"/>
        </w:rPr>
        <w:t>。</w:t>
      </w:r>
      <w:bookmarkStart w:id="567" w:name="_Hlk143533942"/>
      <w:r>
        <w:rPr>
          <w:rFonts w:hint="eastAsia" w:ascii="宋体" w:hAnsi="宋体" w:eastAsia="宋体" w:cs="宋体"/>
          <w:i w:val="0"/>
          <w:iCs w:val="0"/>
          <w:color w:val="auto"/>
          <w:spacing w:val="0"/>
          <w:position w:val="0"/>
          <w:sz w:val="24"/>
          <w:highlight w:val="none"/>
        </w:rPr>
        <w:t>投标人未在规定时间内提出疑义或确认一览表的，视同认可开标结果。</w:t>
      </w:r>
      <w:bookmarkEnd w:id="567"/>
    </w:p>
    <w:p w14:paraId="7856B45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942F098">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投标人不足3家的，不予开标。</w:t>
      </w:r>
    </w:p>
    <w:p w14:paraId="56D211B0">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w:t>
      </w:r>
    </w:p>
    <w:p w14:paraId="2C0CBCF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见第三章《资格审查》。</w:t>
      </w:r>
    </w:p>
    <w:bookmarkEnd w:id="566"/>
    <w:p w14:paraId="2C4C899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568" w:name="_Toc195842905"/>
      <w:bookmarkStart w:id="569" w:name="_Toc226309784"/>
      <w:bookmarkStart w:id="570" w:name="_Toc127151741"/>
      <w:bookmarkStart w:id="571" w:name="_Toc142311042"/>
      <w:bookmarkStart w:id="572" w:name="_Toc264969230"/>
      <w:bookmarkStart w:id="573" w:name="_Toc150774640"/>
      <w:bookmarkStart w:id="574" w:name="_Toc226965730"/>
      <w:bookmarkStart w:id="575" w:name="_Toc150509291"/>
      <w:bookmarkStart w:id="576" w:name="_Toc265228378"/>
      <w:bookmarkStart w:id="577" w:name="_Toc164229235"/>
      <w:bookmarkStart w:id="578" w:name="_Toc149720833"/>
      <w:bookmarkStart w:id="579" w:name="_Toc305158808"/>
      <w:bookmarkStart w:id="580" w:name="_Toc151193782"/>
      <w:bookmarkStart w:id="581" w:name="_Toc151193710"/>
      <w:bookmarkStart w:id="582" w:name="_Toc150774745"/>
      <w:bookmarkStart w:id="583" w:name="_Toc226965813"/>
      <w:bookmarkStart w:id="584" w:name="_Toc151193638"/>
      <w:bookmarkStart w:id="585" w:name="_Toc127151540"/>
      <w:bookmarkStart w:id="586" w:name="_Toc150480778"/>
      <w:bookmarkStart w:id="587" w:name="_Toc164608654"/>
      <w:bookmarkStart w:id="588" w:name="_Toc226337236"/>
      <w:bookmarkStart w:id="589" w:name="_Toc164229381"/>
      <w:bookmarkStart w:id="590" w:name="_Toc151193928"/>
      <w:bookmarkStart w:id="591" w:name="_Toc305158882"/>
      <w:bookmarkStart w:id="592" w:name="_Toc164608809"/>
      <w:bookmarkStart w:id="593" w:name="_Toc151193854"/>
      <w:bookmarkStart w:id="594" w:name="_Toc164351634"/>
      <w:bookmarkStart w:id="595" w:name="_Toc127161454"/>
      <w:bookmarkStart w:id="596" w:name="_Toc151190167"/>
      <w:r>
        <w:rPr>
          <w:rFonts w:hint="eastAsia" w:ascii="宋体" w:hAnsi="宋体" w:eastAsia="宋体" w:cs="宋体"/>
          <w:i w:val="0"/>
          <w:iCs w:val="0"/>
          <w:color w:val="auto"/>
          <w:spacing w:val="0"/>
          <w:position w:val="0"/>
          <w:sz w:val="24"/>
          <w:highlight w:val="none"/>
        </w:rPr>
        <w:t>评标委员会</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213100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评标委员会根据政府采购有关规定和本次采购项目的特点进行组建，并负责具体评标事务，独立履行职责。</w:t>
      </w:r>
      <w:bookmarkStart w:id="597" w:name="_Toc520356166"/>
    </w:p>
    <w:p w14:paraId="5564881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7"/>
      <w:bookmarkStart w:id="598" w:name="_Toc520356169"/>
    </w:p>
    <w:p w14:paraId="4594D6D3">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评标程序、评标方法和评标标准</w:t>
      </w:r>
    </w:p>
    <w:p w14:paraId="59005DC2">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见第四章《评标程序、评标方法和评标标准》。</w:t>
      </w:r>
    </w:p>
    <w:p w14:paraId="15038011">
      <w:pPr>
        <w:pageBreakBefore w:val="0"/>
        <w:tabs>
          <w:tab w:val="left" w:pos="360"/>
          <w:tab w:val="left" w:pos="1080"/>
        </w:tabs>
        <w:wordWrap/>
        <w:topLinePunct w:val="0"/>
        <w:bidi w:val="0"/>
        <w:snapToGrid w:val="0"/>
        <w:spacing w:line="360" w:lineRule="auto"/>
        <w:ind w:left="1080"/>
        <w:rPr>
          <w:rFonts w:hint="eastAsia" w:ascii="宋体" w:hAnsi="宋体" w:eastAsia="宋体" w:cs="宋体"/>
          <w:i w:val="0"/>
          <w:iCs w:val="0"/>
          <w:color w:val="auto"/>
          <w:spacing w:val="0"/>
          <w:position w:val="0"/>
          <w:sz w:val="24"/>
          <w:highlight w:val="none"/>
        </w:rPr>
      </w:pPr>
    </w:p>
    <w:p w14:paraId="26410B15">
      <w:pPr>
        <w:pStyle w:val="4"/>
        <w:pageBreakBefore w:val="0"/>
        <w:wordWrap/>
        <w:topLinePunct w:val="0"/>
        <w:bidi w:val="0"/>
        <w:spacing w:before="0" w:line="360" w:lineRule="auto"/>
        <w:rPr>
          <w:rFonts w:hint="eastAsia" w:ascii="宋体" w:hAnsi="宋体" w:eastAsia="宋体" w:cs="宋体"/>
          <w:i w:val="0"/>
          <w:iCs w:val="0"/>
          <w:color w:val="auto"/>
          <w:spacing w:val="0"/>
          <w:position w:val="0"/>
          <w:sz w:val="28"/>
          <w:highlight w:val="none"/>
        </w:rPr>
      </w:pPr>
      <w:bookmarkStart w:id="599" w:name="_Toc142311047"/>
      <w:bookmarkStart w:id="600" w:name="_Toc151190172"/>
      <w:bookmarkStart w:id="601" w:name="_Toc264969235"/>
      <w:bookmarkStart w:id="602" w:name="_Toc150774645"/>
      <w:bookmarkStart w:id="603" w:name="_Toc151193933"/>
      <w:bookmarkStart w:id="604" w:name="_Toc150480783"/>
      <w:bookmarkStart w:id="605" w:name="_Toc151193859"/>
      <w:bookmarkStart w:id="606" w:name="_Toc151193643"/>
      <w:bookmarkStart w:id="607" w:name="_Toc226309789"/>
      <w:bookmarkStart w:id="608" w:name="_Toc226337241"/>
      <w:bookmarkStart w:id="609" w:name="_Toc226965735"/>
      <w:bookmarkStart w:id="610" w:name="_Toc151193715"/>
      <w:bookmarkStart w:id="611" w:name="_Toc265228383"/>
      <w:bookmarkStart w:id="612" w:name="_Toc226965818"/>
      <w:bookmarkStart w:id="613" w:name="_Toc195842910"/>
      <w:bookmarkStart w:id="614" w:name="_Toc151193787"/>
      <w:bookmarkStart w:id="615" w:name="_Toc127151545"/>
      <w:bookmarkStart w:id="616" w:name="_Toc150774750"/>
      <w:bookmarkStart w:id="617" w:name="_Toc305158887"/>
      <w:bookmarkStart w:id="618" w:name="_Toc305158813"/>
      <w:bookmarkStart w:id="619" w:name="_Toc150509296"/>
      <w:r>
        <w:rPr>
          <w:rFonts w:hint="eastAsia" w:ascii="宋体" w:hAnsi="宋体" w:eastAsia="宋体" w:cs="宋体"/>
          <w:i w:val="0"/>
          <w:iCs w:val="0"/>
          <w:color w:val="auto"/>
          <w:spacing w:val="0"/>
          <w:position w:val="0"/>
          <w:sz w:val="28"/>
          <w:highlight w:val="none"/>
        </w:rPr>
        <w:t xml:space="preserve">六   </w:t>
      </w:r>
      <w:bookmarkEnd w:id="598"/>
      <w:r>
        <w:rPr>
          <w:rFonts w:hint="eastAsia" w:ascii="宋体" w:hAnsi="宋体" w:eastAsia="宋体" w:cs="宋体"/>
          <w:i w:val="0"/>
          <w:iCs w:val="0"/>
          <w:color w:val="auto"/>
          <w:spacing w:val="0"/>
          <w:position w:val="0"/>
          <w:sz w:val="28"/>
          <w:highlight w:val="none"/>
        </w:rPr>
        <w:t>确定中标</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Start w:id="620" w:name="_Toc151193935"/>
      <w:bookmarkStart w:id="621" w:name="_Toc226965737"/>
      <w:bookmarkStart w:id="622" w:name="_Toc164351641"/>
      <w:bookmarkStart w:id="623" w:name="_Toc142311049"/>
      <w:bookmarkStart w:id="624" w:name="_Toc127151748"/>
      <w:bookmarkStart w:id="625" w:name="_Toc226337243"/>
      <w:bookmarkStart w:id="626" w:name="_Toc264969237"/>
      <w:bookmarkStart w:id="627" w:name="_Toc195842912"/>
      <w:bookmarkStart w:id="628" w:name="_Toc164229242"/>
      <w:bookmarkStart w:id="629" w:name="_Toc127161461"/>
      <w:bookmarkStart w:id="630" w:name="_Toc265228385"/>
      <w:bookmarkStart w:id="631" w:name="_Toc150774752"/>
      <w:bookmarkStart w:id="632" w:name="_Toc151193789"/>
      <w:bookmarkStart w:id="633" w:name="_Toc150480785"/>
      <w:bookmarkStart w:id="634" w:name="_Toc151193645"/>
      <w:bookmarkStart w:id="635" w:name="_Toc150774647"/>
      <w:bookmarkStart w:id="636" w:name="_Toc305158889"/>
      <w:bookmarkStart w:id="637" w:name="_Toc226965820"/>
      <w:bookmarkStart w:id="638" w:name="_Toc150509298"/>
      <w:bookmarkStart w:id="639" w:name="_Toc127151547"/>
      <w:bookmarkStart w:id="640" w:name="_Toc164608816"/>
      <w:bookmarkStart w:id="641" w:name="_Toc226309791"/>
      <w:bookmarkStart w:id="642" w:name="_Toc164229388"/>
      <w:bookmarkStart w:id="643" w:name="_Toc151190174"/>
      <w:bookmarkStart w:id="644" w:name="_Toc164608661"/>
      <w:bookmarkStart w:id="645" w:name="_Toc151193717"/>
      <w:bookmarkStart w:id="646" w:name="_Toc149720840"/>
      <w:bookmarkStart w:id="647" w:name="_Toc151193861"/>
      <w:bookmarkStart w:id="648" w:name="_Toc305158815"/>
    </w:p>
    <w:p w14:paraId="04431FC6">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确定中标人</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14:paraId="2050E95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6391D39">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649" w:name="_Toc305158891"/>
      <w:bookmarkStart w:id="650" w:name="_Toc305158817"/>
      <w:bookmarkStart w:id="651" w:name="_Toc142311051"/>
      <w:bookmarkStart w:id="652" w:name="_Toc127151549"/>
      <w:bookmarkStart w:id="653" w:name="_Toc149720842"/>
      <w:bookmarkStart w:id="654" w:name="_Toc226965739"/>
      <w:bookmarkStart w:id="655" w:name="_Toc151193863"/>
      <w:bookmarkStart w:id="656" w:name="_Toc150774754"/>
      <w:bookmarkStart w:id="657" w:name="_Toc226337245"/>
      <w:bookmarkStart w:id="658" w:name="_Toc151193937"/>
      <w:bookmarkStart w:id="659" w:name="_Toc150509300"/>
      <w:bookmarkStart w:id="660" w:name="_Toc151190176"/>
      <w:bookmarkStart w:id="661" w:name="_Toc226965822"/>
      <w:bookmarkStart w:id="662" w:name="_Toc264969239"/>
      <w:bookmarkStart w:id="663" w:name="_Toc151193719"/>
      <w:bookmarkStart w:id="664" w:name="_Toc127151750"/>
      <w:bookmarkStart w:id="665" w:name="_Toc226309793"/>
      <w:bookmarkStart w:id="666" w:name="_Toc151193791"/>
      <w:bookmarkStart w:id="667" w:name="_Toc164229244"/>
      <w:bookmarkStart w:id="668" w:name="_Toc150774649"/>
      <w:bookmarkStart w:id="669" w:name="_Toc164229390"/>
      <w:bookmarkStart w:id="670" w:name="_Toc164351643"/>
      <w:bookmarkStart w:id="671" w:name="_Toc265228387"/>
      <w:bookmarkStart w:id="672" w:name="_Toc150480787"/>
      <w:bookmarkStart w:id="673" w:name="_Toc151193647"/>
      <w:bookmarkStart w:id="674" w:name="_Toc195842914"/>
      <w:bookmarkStart w:id="675" w:name="_Toc164608818"/>
      <w:bookmarkStart w:id="676" w:name="_Toc127161463"/>
      <w:bookmarkStart w:id="677" w:name="_Toc164608663"/>
      <w:bookmarkStart w:id="678" w:name="_Ref467307090"/>
      <w:bookmarkStart w:id="679" w:name="_Toc520356176"/>
      <w:bookmarkStart w:id="680" w:name="_Ref467306425"/>
      <w:r>
        <w:rPr>
          <w:rFonts w:hint="eastAsia" w:ascii="宋体" w:hAnsi="宋体" w:eastAsia="宋体" w:cs="宋体"/>
          <w:i w:val="0"/>
          <w:iCs w:val="0"/>
          <w:color w:val="auto"/>
          <w:spacing w:val="0"/>
          <w:position w:val="0"/>
          <w:sz w:val="24"/>
          <w:highlight w:val="none"/>
        </w:rPr>
        <w:t>中标公告与中标通知书</w:t>
      </w:r>
      <w:bookmarkEnd w:id="649"/>
      <w:bookmarkEnd w:id="650"/>
    </w:p>
    <w:p w14:paraId="0E98E97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采购人或采购代理机构自中标人确定之日起2个工作日内，</w:t>
      </w:r>
      <w:r>
        <w:rPr>
          <w:rFonts w:hint="eastAsia" w:ascii="宋体" w:hAnsi="宋体" w:eastAsia="宋体" w:cs="宋体"/>
          <w:i w:val="0"/>
          <w:iCs w:val="0"/>
          <w:color w:val="auto"/>
          <w:spacing w:val="0"/>
          <w:kern w:val="0"/>
          <w:position w:val="0"/>
          <w:sz w:val="24"/>
          <w:highlight w:val="none"/>
        </w:rPr>
        <w:t>在北京市政府采购网公告中标结果</w:t>
      </w:r>
      <w:r>
        <w:rPr>
          <w:rFonts w:hint="eastAsia" w:ascii="宋体" w:hAnsi="宋体" w:eastAsia="宋体" w:cs="宋体"/>
          <w:i w:val="0"/>
          <w:iCs w:val="0"/>
          <w:color w:val="auto"/>
          <w:spacing w:val="0"/>
          <w:position w:val="0"/>
          <w:sz w:val="24"/>
          <w:highlight w:val="none"/>
        </w:rPr>
        <w:t>，同时向中标人发出中标通知书，中标公告期限为1个工作日。</w:t>
      </w:r>
    </w:p>
    <w:p w14:paraId="13B71C6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中标通知书对采购人和中标供应商均具有法律效力。中标通知书发出后，采购人改变中标结果的，或者中标供应商放弃中标项目的，应当依法承担法律责任。</w:t>
      </w:r>
    </w:p>
    <w:p w14:paraId="05BABE98">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废标</w:t>
      </w:r>
    </w:p>
    <w:p w14:paraId="2FFA89A9">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在招标采购中，出现下列情形之一的，应予废标：</w:t>
      </w:r>
    </w:p>
    <w:p w14:paraId="252E129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符合专业条件的供应商或者对招标文件作实质响应的供应商不足三家的；</w:t>
      </w:r>
    </w:p>
    <w:p w14:paraId="4E489542">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出现影响采购公正的违法、违规行为的；</w:t>
      </w:r>
    </w:p>
    <w:p w14:paraId="7E8416C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投标人的报价均超过了采购预算，采购人不能支付的；</w:t>
      </w:r>
    </w:p>
    <w:p w14:paraId="3D44F7A4">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因重大变故，采购任务取消的。</w:t>
      </w:r>
    </w:p>
    <w:p w14:paraId="36EA97A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废标后，采购人将废标理由书面通知所有投标人。</w:t>
      </w:r>
    </w:p>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14:paraId="07DBA71E">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bookmarkStart w:id="681" w:name="_Toc127151550"/>
      <w:bookmarkStart w:id="682" w:name="_Toc164608664"/>
      <w:bookmarkStart w:id="683" w:name="_Toc142311052"/>
      <w:bookmarkStart w:id="684" w:name="_Toc195842915"/>
      <w:bookmarkStart w:id="685" w:name="_Toc226309794"/>
      <w:bookmarkStart w:id="686" w:name="_Toc264969240"/>
      <w:bookmarkStart w:id="687" w:name="_Toc151190177"/>
      <w:bookmarkStart w:id="688" w:name="_Toc226337246"/>
      <w:bookmarkStart w:id="689" w:name="_Ref467307204"/>
      <w:bookmarkStart w:id="690" w:name="_Toc151193864"/>
      <w:bookmarkStart w:id="691" w:name="_Toc164229245"/>
      <w:bookmarkStart w:id="692" w:name="_Toc151193720"/>
      <w:bookmarkStart w:id="693" w:name="_Toc150774650"/>
      <w:bookmarkStart w:id="694" w:name="_Toc226965740"/>
      <w:bookmarkStart w:id="695" w:name="_Toc127161464"/>
      <w:bookmarkStart w:id="696" w:name="_Toc265228388"/>
      <w:bookmarkStart w:id="697" w:name="_Toc164351644"/>
      <w:bookmarkStart w:id="698" w:name="_Toc149720843"/>
      <w:bookmarkStart w:id="699" w:name="_Toc305158892"/>
      <w:bookmarkStart w:id="700" w:name="_Toc520356175"/>
      <w:bookmarkStart w:id="701" w:name="_Toc226965823"/>
      <w:bookmarkStart w:id="702" w:name="_Toc164608819"/>
      <w:bookmarkStart w:id="703" w:name="_Ref467307062"/>
      <w:bookmarkStart w:id="704" w:name="_Toc150480788"/>
      <w:bookmarkStart w:id="705" w:name="_Toc150509301"/>
      <w:bookmarkStart w:id="706" w:name="_Toc150774755"/>
      <w:bookmarkStart w:id="707" w:name="_Toc151193792"/>
      <w:bookmarkStart w:id="708" w:name="_Toc127151751"/>
      <w:bookmarkStart w:id="709" w:name="_Toc164229391"/>
      <w:bookmarkStart w:id="710" w:name="_Toc151193938"/>
      <w:bookmarkStart w:id="711" w:name="_Ref467306978"/>
      <w:bookmarkStart w:id="712" w:name="_Toc305158818"/>
      <w:bookmarkStart w:id="713" w:name="_Toc151193648"/>
      <w:bookmarkStart w:id="714" w:name="_Ref467306377"/>
      <w:r>
        <w:rPr>
          <w:rFonts w:hint="eastAsia" w:ascii="宋体" w:hAnsi="宋体" w:eastAsia="宋体" w:cs="宋体"/>
          <w:i w:val="0"/>
          <w:iCs w:val="0"/>
          <w:color w:val="auto"/>
          <w:spacing w:val="0"/>
          <w:position w:val="0"/>
          <w:sz w:val="24"/>
          <w:highlight w:val="none"/>
        </w:rPr>
        <w:t>签订合同</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14:paraId="1F1E941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7A51D2FD">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中标人拒绝与采购人签订合同的，采购人可以按照评标报告推荐的中标候选人名单排序，确定下一候选人为中标人，也可以重新开展政府采购活动。</w:t>
      </w:r>
    </w:p>
    <w:p w14:paraId="734B27CA">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联合体中标的，联合体各方应当共同与采购人签订合同，就采购合同约定的事项向采购人承担连带责任。</w:t>
      </w:r>
    </w:p>
    <w:p w14:paraId="67F2103B">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政府采购合同不能转包。</w:t>
      </w:r>
    </w:p>
    <w:p w14:paraId="09524437">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hint="eastAsia" w:ascii="宋体" w:hAnsi="宋体" w:eastAsia="宋体" w:cs="宋体"/>
          <w:b/>
          <w:i w:val="0"/>
          <w:iCs w:val="0"/>
          <w:color w:val="auto"/>
          <w:spacing w:val="0"/>
          <w:position w:val="0"/>
          <w:sz w:val="24"/>
          <w:highlight w:val="none"/>
        </w:rPr>
        <w:t>，</w:t>
      </w:r>
      <w:r>
        <w:rPr>
          <w:rFonts w:hint="eastAsia" w:ascii="宋体" w:hAnsi="宋体" w:eastAsia="宋体" w:cs="宋体"/>
          <w:i w:val="0"/>
          <w:iCs w:val="0"/>
          <w:color w:val="auto"/>
          <w:spacing w:val="0"/>
          <w:position w:val="0"/>
          <w:sz w:val="24"/>
          <w:highlight w:val="none"/>
        </w:rPr>
        <w:t>否则</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。中标人就采购项目和分包项目向采购人负责，分包供应商就分包项目承担责任。</w:t>
      </w:r>
    </w:p>
    <w:p w14:paraId="641817D0">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“政采贷”融资指引：详见《投标人须知资料表》。</w:t>
      </w:r>
    </w:p>
    <w:bookmarkEnd w:id="678"/>
    <w:bookmarkEnd w:id="679"/>
    <w:bookmarkEnd w:id="680"/>
    <w:p w14:paraId="53A3157D">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询问与质疑</w:t>
      </w:r>
    </w:p>
    <w:p w14:paraId="5B903F73">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询问</w:t>
      </w:r>
    </w:p>
    <w:p w14:paraId="2018487D">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bookmarkStart w:id="715" w:name="_Hlk179293370"/>
      <w:r>
        <w:rPr>
          <w:rFonts w:hint="eastAsia" w:ascii="宋体" w:hAnsi="宋体" w:eastAsia="宋体" w:cs="宋体"/>
          <w:i w:val="0"/>
          <w:iCs w:val="0"/>
          <w:color w:val="auto"/>
          <w:spacing w:val="0"/>
          <w:position w:val="0"/>
          <w:sz w:val="24"/>
          <w:highlight w:val="none"/>
        </w:rPr>
        <w:t>投标人对政府采购活动事项有疑问的，可依法向采购人或采购代理机构提出询问，提出形式见《投标人须知资料表》。</w:t>
      </w:r>
      <w:bookmarkEnd w:id="715"/>
    </w:p>
    <w:p w14:paraId="02026A49">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采购人或采购代理机构对供应商依法提出的询问，在3个工作日内作出答复，但答复的内容不得涉及商业秘密。</w:t>
      </w:r>
    </w:p>
    <w:p w14:paraId="550F30DE">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质疑</w:t>
      </w:r>
    </w:p>
    <w:p w14:paraId="767BB3B8">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107380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7BD4C96B">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2139816E">
      <w:pPr>
        <w:pageBreakBefore w:val="0"/>
        <w:numPr>
          <w:ilvl w:val="2"/>
          <w:numId w:val="8"/>
        </w:numPr>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投标人应在法定质疑期内一次性提出针对同一采购程序环节的质疑，法定质疑期内针对同一采购程序环节再次提出的质疑，采购人、采购代理机构有权不予答复。</w:t>
      </w:r>
    </w:p>
    <w:p w14:paraId="21400856">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接收询问和质疑的联系部门、联系电话和通讯地址见《投标人须知资料表》。</w:t>
      </w:r>
    </w:p>
    <w:p w14:paraId="78329F02">
      <w:pPr>
        <w:pageBreakBefore w:val="0"/>
        <w:numPr>
          <w:ilvl w:val="0"/>
          <w:numId w:val="8"/>
        </w:numPr>
        <w:tabs>
          <w:tab w:val="left" w:pos="360"/>
        </w:tabs>
        <w:wordWrap/>
        <w:topLinePunct w:val="0"/>
        <w:bidi w:val="0"/>
        <w:snapToGrid w:val="0"/>
        <w:spacing w:line="360" w:lineRule="auto"/>
        <w:ind w:left="357" w:hanging="357"/>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代理费</w:t>
      </w:r>
    </w:p>
    <w:p w14:paraId="29EB26A4">
      <w:pPr>
        <w:pageBreakBefore w:val="0"/>
        <w:numPr>
          <w:ilvl w:val="1"/>
          <w:numId w:val="8"/>
        </w:numPr>
        <w:tabs>
          <w:tab w:val="left" w:pos="1080"/>
          <w:tab w:val="left" w:pos="2014"/>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收费对象、收费标准及缴纳时间见《投标人须知资料表》。由中标人支付的，中标人须一次性向采购代理机构缴纳代理费，投标报价应包含代理费用。</w:t>
      </w:r>
    </w:p>
    <w:p w14:paraId="400D4591">
      <w:pPr>
        <w:pageBreakBefore w:val="0"/>
        <w:tabs>
          <w:tab w:val="left" w:pos="360"/>
          <w:tab w:val="left" w:pos="1080"/>
        </w:tabs>
        <w:wordWrap/>
        <w:topLinePunct w:val="0"/>
        <w:bidi w:val="0"/>
        <w:snapToGrid w:val="0"/>
        <w:spacing w:line="360" w:lineRule="auto"/>
        <w:ind w:left="360"/>
        <w:rPr>
          <w:rFonts w:hint="eastAsia" w:ascii="宋体" w:hAnsi="宋体" w:eastAsia="宋体" w:cs="宋体"/>
          <w:i w:val="0"/>
          <w:iCs w:val="0"/>
          <w:color w:val="auto"/>
          <w:spacing w:val="0"/>
          <w:position w:val="0"/>
          <w:sz w:val="24"/>
          <w:highlight w:val="none"/>
        </w:rPr>
      </w:pPr>
    </w:p>
    <w:p w14:paraId="22A5A4D5">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716" w:name="_Toc305158822"/>
      <w:bookmarkStart w:id="717" w:name="_Toc305158896"/>
      <w:bookmarkStart w:id="718" w:name="_Toc226965827"/>
      <w:bookmarkStart w:id="719" w:name="_Toc150774759"/>
      <w:bookmarkStart w:id="720" w:name="_Toc226337250"/>
      <w:bookmarkStart w:id="721" w:name="_Toc264969244"/>
      <w:bookmarkStart w:id="722" w:name="_Toc353873664"/>
      <w:bookmarkStart w:id="723" w:name="_Toc142311056"/>
      <w:bookmarkStart w:id="724" w:name="_Toc353825544"/>
      <w:bookmarkStart w:id="725" w:name="_Toc127151554"/>
      <w:bookmarkStart w:id="726" w:name="_Toc353873934"/>
      <w:bookmarkStart w:id="727" w:name="_Toc265228392"/>
      <w:bookmarkStart w:id="728" w:name="_Toc150480792"/>
      <w:r>
        <w:rPr>
          <w:rFonts w:hint="eastAsia" w:ascii="宋体" w:hAnsi="宋体" w:eastAsia="宋体" w:cs="宋体"/>
          <w:i w:val="0"/>
          <w:iCs w:val="0"/>
          <w:color w:val="auto"/>
          <w:spacing w:val="0"/>
          <w:position w:val="0"/>
          <w:sz w:val="24"/>
          <w:highlight w:val="none"/>
        </w:rPr>
        <w:br w:type="page"/>
      </w:r>
      <w:bookmarkStart w:id="729" w:name="_Toc1361"/>
      <w:r>
        <w:rPr>
          <w:rFonts w:hint="eastAsia" w:ascii="宋体" w:hAnsi="宋体" w:eastAsia="宋体" w:cs="宋体"/>
          <w:b/>
          <w:i w:val="0"/>
          <w:iCs w:val="0"/>
          <w:color w:val="auto"/>
          <w:spacing w:val="0"/>
          <w:position w:val="0"/>
          <w:sz w:val="36"/>
          <w:szCs w:val="36"/>
          <w:highlight w:val="none"/>
        </w:rPr>
        <w:t xml:space="preserve">第三章   </w:t>
      </w:r>
      <w:bookmarkEnd w:id="716"/>
      <w:bookmarkEnd w:id="717"/>
      <w:bookmarkEnd w:id="718"/>
      <w:bookmarkEnd w:id="719"/>
      <w:bookmarkEnd w:id="720"/>
      <w:bookmarkEnd w:id="721"/>
      <w:bookmarkEnd w:id="722"/>
      <w:bookmarkEnd w:id="723"/>
      <w:bookmarkEnd w:id="724"/>
      <w:bookmarkEnd w:id="725"/>
      <w:bookmarkEnd w:id="726"/>
      <w:bookmarkEnd w:id="727"/>
      <w:bookmarkEnd w:id="728"/>
      <w:r>
        <w:rPr>
          <w:rFonts w:hint="eastAsia" w:ascii="宋体" w:hAnsi="宋体" w:eastAsia="宋体" w:cs="宋体"/>
          <w:b/>
          <w:i w:val="0"/>
          <w:iCs w:val="0"/>
          <w:color w:val="auto"/>
          <w:spacing w:val="0"/>
          <w:position w:val="0"/>
          <w:sz w:val="36"/>
          <w:szCs w:val="36"/>
          <w:highlight w:val="none"/>
        </w:rPr>
        <w:t>资格审查</w:t>
      </w:r>
      <w:bookmarkEnd w:id="729"/>
      <w:bookmarkStart w:id="730" w:name="_Toc487900382"/>
    </w:p>
    <w:p w14:paraId="21B59059">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sz w:val="24"/>
          <w:highlight w:val="none"/>
        </w:rPr>
      </w:pPr>
      <w:bookmarkStart w:id="731" w:name="_Toc99301422"/>
      <w:r>
        <w:rPr>
          <w:rFonts w:hint="eastAsia" w:ascii="宋体" w:hAnsi="宋体" w:eastAsia="宋体" w:cs="宋体"/>
          <w:b/>
          <w:i w:val="0"/>
          <w:iCs w:val="0"/>
          <w:color w:val="auto"/>
          <w:spacing w:val="0"/>
          <w:position w:val="0"/>
          <w:sz w:val="24"/>
          <w:highlight w:val="none"/>
        </w:rPr>
        <w:t>一、资格审查程序</w:t>
      </w:r>
      <w:bookmarkEnd w:id="731"/>
    </w:p>
    <w:p w14:paraId="630124E2">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开标结束后，采购人或采购代理机构将根据《资格审查要求》中的规定，对投标人进行资格审查，并形成资格审查结果。</w:t>
      </w:r>
    </w:p>
    <w:p w14:paraId="68AA4EDD">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《资格审查要求》中对格式有要求的，除招标文件另有规定外，均为“实质性格式”文件。</w:t>
      </w:r>
    </w:p>
    <w:p w14:paraId="2137DA32">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投标人《资格证明文件》有任何一项不符合《资格审查要求》的，资格审查不合格，其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39F03A53">
      <w:pPr>
        <w:pageBreakBefore w:val="0"/>
        <w:numPr>
          <w:ilvl w:val="0"/>
          <w:numId w:val="10"/>
        </w:numPr>
        <w:tabs>
          <w:tab w:val="left" w:pos="426"/>
          <w:tab w:val="left" w:pos="851"/>
          <w:tab w:val="clear" w:pos="900"/>
        </w:tabs>
        <w:wordWrap/>
        <w:topLinePunct w:val="0"/>
        <w:bidi w:val="0"/>
        <w:snapToGrid w:val="0"/>
        <w:spacing w:line="360" w:lineRule="auto"/>
        <w:ind w:left="426" w:hanging="426"/>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资格审查合格的投标人不足3家的，不进行评标。</w:t>
      </w:r>
    </w:p>
    <w:p w14:paraId="106470BC">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1DC55A1A">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sz w:val="24"/>
          <w:highlight w:val="none"/>
        </w:rPr>
      </w:pPr>
      <w:bookmarkStart w:id="732" w:name="_Hlk143693557"/>
      <w:r>
        <w:rPr>
          <w:rFonts w:hint="eastAsia" w:ascii="宋体" w:hAnsi="宋体" w:eastAsia="宋体" w:cs="宋体"/>
          <w:b/>
          <w:i w:val="0"/>
          <w:iCs w:val="0"/>
          <w:color w:val="auto"/>
          <w:spacing w:val="0"/>
          <w:position w:val="0"/>
          <w:sz w:val="24"/>
          <w:highlight w:val="none"/>
        </w:rPr>
        <w:t>二、资格审查要求</w:t>
      </w:r>
      <w:bookmarkEnd w:id="732"/>
    </w:p>
    <w:tbl>
      <w:tblPr>
        <w:tblStyle w:val="45"/>
        <w:tblW w:w="487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6"/>
        <w:gridCol w:w="1699"/>
        <w:gridCol w:w="4178"/>
        <w:gridCol w:w="1401"/>
      </w:tblGrid>
      <w:tr w14:paraId="6D051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jc w:val="center"/>
        </w:trPr>
        <w:tc>
          <w:tcPr>
            <w:tcW w:w="454" w:type="pct"/>
            <w:vAlign w:val="center"/>
          </w:tcPr>
          <w:p w14:paraId="604D4FC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bookmarkStart w:id="733" w:name="_Hlt487972895"/>
            <w:bookmarkEnd w:id="733"/>
            <w:bookmarkStart w:id="734" w:name="_Hlk143693460"/>
            <w:r>
              <w:rPr>
                <w:rFonts w:hint="eastAsia" w:ascii="宋体" w:hAnsi="宋体" w:eastAsia="宋体" w:cs="宋体"/>
                <w:b/>
                <w:i w:val="0"/>
                <w:iCs w:val="0"/>
                <w:color w:val="auto"/>
                <w:spacing w:val="0"/>
                <w:position w:val="0"/>
                <w:sz w:val="24"/>
                <w:highlight w:val="none"/>
              </w:rPr>
              <w:t>序号</w:t>
            </w:r>
          </w:p>
        </w:tc>
        <w:tc>
          <w:tcPr>
            <w:tcW w:w="1066" w:type="pct"/>
            <w:vAlign w:val="center"/>
          </w:tcPr>
          <w:p w14:paraId="01A8E549">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审查因素</w:t>
            </w:r>
          </w:p>
        </w:tc>
        <w:tc>
          <w:tcPr>
            <w:tcW w:w="2597" w:type="pct"/>
            <w:vAlign w:val="center"/>
          </w:tcPr>
          <w:p w14:paraId="2CAD32B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审查内容</w:t>
            </w:r>
          </w:p>
        </w:tc>
        <w:tc>
          <w:tcPr>
            <w:tcW w:w="882" w:type="pct"/>
            <w:vAlign w:val="center"/>
          </w:tcPr>
          <w:p w14:paraId="7F94E8BD">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格式要求</w:t>
            </w:r>
          </w:p>
        </w:tc>
      </w:tr>
      <w:tr w14:paraId="0D043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C425BEF">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w:t>
            </w:r>
          </w:p>
        </w:tc>
        <w:tc>
          <w:tcPr>
            <w:tcW w:w="1066" w:type="pct"/>
            <w:vAlign w:val="center"/>
          </w:tcPr>
          <w:p w14:paraId="5ED1388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满足《中华人民共和国政府采购法》第二十二条规定</w:t>
            </w:r>
          </w:p>
        </w:tc>
        <w:tc>
          <w:tcPr>
            <w:tcW w:w="2597" w:type="pct"/>
            <w:vAlign w:val="center"/>
          </w:tcPr>
          <w:p w14:paraId="27491AB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具体规定见第一章《投标邀请》</w:t>
            </w:r>
          </w:p>
        </w:tc>
        <w:tc>
          <w:tcPr>
            <w:tcW w:w="882" w:type="pct"/>
            <w:vAlign w:val="center"/>
          </w:tcPr>
          <w:p w14:paraId="46EFC6D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6D300C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6DF7548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1-1</w:t>
            </w:r>
          </w:p>
        </w:tc>
        <w:tc>
          <w:tcPr>
            <w:tcW w:w="1066" w:type="pct"/>
            <w:vAlign w:val="center"/>
          </w:tcPr>
          <w:p w14:paraId="67519D7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营业执照等证明文件</w:t>
            </w:r>
          </w:p>
        </w:tc>
        <w:tc>
          <w:tcPr>
            <w:tcW w:w="2597" w:type="pct"/>
            <w:vAlign w:val="center"/>
          </w:tcPr>
          <w:p w14:paraId="5C75A50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投标人为企业（包括合伙企业）的，应提供有效的“营业执照”；</w:t>
            </w:r>
          </w:p>
          <w:p w14:paraId="13EDF16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投标人为事业单位的，应提供有效的“事业单位法人证书”；</w:t>
            </w:r>
          </w:p>
          <w:p w14:paraId="13C46EC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投标人是非企业机构的，应提供有效的“执业许可证”、“登记证书”等证明文件；</w:t>
            </w:r>
          </w:p>
          <w:p w14:paraId="4709DEB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投标人是个体工商户的，应提供有效的“个体工商户营业执照”；</w:t>
            </w:r>
          </w:p>
          <w:p w14:paraId="2511CF1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投标人是自然人的，应提供有效的自然人身份证明。</w:t>
            </w:r>
          </w:p>
          <w:p w14:paraId="1576E1C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882" w:type="pct"/>
            <w:vAlign w:val="center"/>
          </w:tcPr>
          <w:p w14:paraId="111B634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439C8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DCED536">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1-2</w:t>
            </w:r>
          </w:p>
        </w:tc>
        <w:tc>
          <w:tcPr>
            <w:tcW w:w="1066" w:type="pct"/>
            <w:vAlign w:val="center"/>
          </w:tcPr>
          <w:p w14:paraId="1C25A98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投标人资格声明书</w:t>
            </w:r>
          </w:p>
        </w:tc>
        <w:tc>
          <w:tcPr>
            <w:tcW w:w="2597" w:type="pct"/>
            <w:vAlign w:val="center"/>
          </w:tcPr>
          <w:p w14:paraId="7822674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提供了符合招标文件要求的《投标人资格声明书》。</w:t>
            </w:r>
          </w:p>
        </w:tc>
        <w:tc>
          <w:tcPr>
            <w:tcW w:w="882" w:type="pct"/>
            <w:vAlign w:val="center"/>
          </w:tcPr>
          <w:p w14:paraId="7E3AFA0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2320A6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1A9F8B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1-3</w:t>
            </w:r>
          </w:p>
        </w:tc>
        <w:tc>
          <w:tcPr>
            <w:tcW w:w="1066" w:type="pct"/>
            <w:vAlign w:val="center"/>
          </w:tcPr>
          <w:p w14:paraId="0C502F9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投标人信用记录</w:t>
            </w:r>
          </w:p>
        </w:tc>
        <w:tc>
          <w:tcPr>
            <w:tcW w:w="2597" w:type="pct"/>
            <w:vAlign w:val="center"/>
          </w:tcPr>
          <w:p w14:paraId="4A02B13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查询渠道：信用中国网站和中国政府采购网（</w:t>
            </w:r>
            <w:r>
              <w:rPr>
                <w:rFonts w:hint="eastAsia" w:ascii="宋体" w:hAnsi="宋体" w:eastAsia="宋体" w:cs="宋体"/>
                <w:i w:val="0"/>
                <w:iCs w:val="0"/>
                <w:color w:val="auto"/>
                <w:spacing w:val="0"/>
                <w:position w:val="0"/>
                <w:highlight w:val="none"/>
              </w:rPr>
              <w:t>www.creditchina.gov.cn</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highlight w:val="none"/>
              </w:rPr>
              <w:t>www.ccgp.gov.cn</w:t>
            </w:r>
            <w:r>
              <w:rPr>
                <w:rFonts w:hint="eastAsia" w:ascii="宋体" w:hAnsi="宋体" w:eastAsia="宋体" w:cs="宋体"/>
                <w:i w:val="0"/>
                <w:iCs w:val="0"/>
                <w:color w:val="auto"/>
                <w:spacing w:val="0"/>
                <w:position w:val="0"/>
                <w:sz w:val="24"/>
                <w:highlight w:val="none"/>
              </w:rPr>
              <w:t>）；</w:t>
            </w:r>
          </w:p>
          <w:p w14:paraId="0B275D39">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截止时点：投标截止时间以后、资格审查阶段采购人或采购代理机构的实际查询时间；</w:t>
            </w:r>
          </w:p>
          <w:p w14:paraId="537B4CC0">
            <w:pPr>
              <w:keepNext w:val="0"/>
              <w:keepLines w:val="0"/>
              <w:pageBreakBefore w:val="0"/>
              <w:widowControl w:val="0"/>
              <w:tabs>
                <w:tab w:val="left" w:pos="900"/>
                <w:tab w:val="left" w:pos="19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信用信息查询记录和证据留存具体方式：查询结果网页打印页作为查询记录和证据，与其他采购文件一并保存；</w:t>
            </w:r>
          </w:p>
          <w:p w14:paraId="73CE80F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信用信息的使用原则：经认定的被列入失信被执行人、重大税收违法案件当事人名单、政府采购严重违法失信行为记录名单的投标人，其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。联合体形式投标的，联合体成员存在不良信用记录，视同联合体存在不良信用记录。</w:t>
            </w:r>
          </w:p>
        </w:tc>
        <w:tc>
          <w:tcPr>
            <w:tcW w:w="882" w:type="pct"/>
            <w:vAlign w:val="center"/>
          </w:tcPr>
          <w:p w14:paraId="1ABD49D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无须投标人提供，由采购人或采购代理机构查询。</w:t>
            </w:r>
          </w:p>
        </w:tc>
      </w:tr>
      <w:tr w14:paraId="42737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1BC89CE">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1-4</w:t>
            </w:r>
          </w:p>
        </w:tc>
        <w:tc>
          <w:tcPr>
            <w:tcW w:w="1066" w:type="pct"/>
            <w:vAlign w:val="center"/>
          </w:tcPr>
          <w:p w14:paraId="12C1F11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法律、行政法规规定的其他条件</w:t>
            </w:r>
          </w:p>
        </w:tc>
        <w:tc>
          <w:tcPr>
            <w:tcW w:w="2597" w:type="pct"/>
            <w:vAlign w:val="center"/>
          </w:tcPr>
          <w:p w14:paraId="76271E6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法律、行政法规规定的其他条件</w:t>
            </w:r>
          </w:p>
        </w:tc>
        <w:tc>
          <w:tcPr>
            <w:tcW w:w="882" w:type="pct"/>
            <w:vAlign w:val="center"/>
          </w:tcPr>
          <w:p w14:paraId="68B1555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w:t>
            </w:r>
          </w:p>
        </w:tc>
      </w:tr>
      <w:tr w14:paraId="4366E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3559DD4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w:t>
            </w:r>
          </w:p>
        </w:tc>
        <w:tc>
          <w:tcPr>
            <w:tcW w:w="1066" w:type="pct"/>
            <w:vAlign w:val="center"/>
          </w:tcPr>
          <w:p w14:paraId="6284C3D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落实政府采购政策需满足的资格要求</w:t>
            </w:r>
          </w:p>
        </w:tc>
        <w:tc>
          <w:tcPr>
            <w:tcW w:w="2597" w:type="pct"/>
            <w:vAlign w:val="center"/>
          </w:tcPr>
          <w:p w14:paraId="7018206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具体要求见第一章《投标邀请》</w:t>
            </w:r>
          </w:p>
        </w:tc>
        <w:tc>
          <w:tcPr>
            <w:tcW w:w="882" w:type="pct"/>
            <w:vAlign w:val="center"/>
          </w:tcPr>
          <w:p w14:paraId="49EFB1C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AFC16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78E7A2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2-1</w:t>
            </w:r>
          </w:p>
        </w:tc>
        <w:tc>
          <w:tcPr>
            <w:tcW w:w="1066" w:type="pct"/>
            <w:vAlign w:val="center"/>
          </w:tcPr>
          <w:p w14:paraId="359F02E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中小企业政策证明文件</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7" w:type="pct"/>
            <w:vAlign w:val="center"/>
          </w:tcPr>
          <w:p w14:paraId="3C7CC15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具体要求见第一章《投标邀请》</w:t>
            </w:r>
          </w:p>
        </w:tc>
        <w:tc>
          <w:tcPr>
            <w:tcW w:w="882" w:type="pct"/>
            <w:vAlign w:val="center"/>
          </w:tcPr>
          <w:p w14:paraId="01379D5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44EE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136FB25">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default"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rPr>
              <w:t>2-1</w:t>
            </w:r>
            <w:r>
              <w:rPr>
                <w:rFonts w:hint="eastAsia" w:ascii="宋体" w:hAnsi="宋体" w:cs="宋体"/>
                <w:i w:val="0"/>
                <w:iCs w:val="0"/>
                <w:color w:val="auto"/>
                <w:spacing w:val="0"/>
                <w:position w:val="0"/>
                <w:sz w:val="24"/>
                <w:highlight w:val="none"/>
                <w:lang w:val="en-US" w:eastAsia="zh-CN"/>
              </w:rPr>
              <w:t>-1</w:t>
            </w:r>
          </w:p>
        </w:tc>
        <w:tc>
          <w:tcPr>
            <w:tcW w:w="1066" w:type="pct"/>
            <w:vAlign w:val="center"/>
          </w:tcPr>
          <w:p w14:paraId="763F03C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中小企业证明文件</w:t>
            </w:r>
          </w:p>
        </w:tc>
        <w:tc>
          <w:tcPr>
            <w:tcW w:w="2597" w:type="pct"/>
            <w:vAlign w:val="center"/>
          </w:tcPr>
          <w:p w14:paraId="18DA149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当本项目（包）涉及预留份额专门面向中小企业采购，此时建议在《资格证明文件》中提供。</w:t>
            </w:r>
          </w:p>
          <w:p w14:paraId="4A08556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1、投标人单独投标的，应提供《中小企业声明函》或《残疾人福利性单位声明函》或由省级以上监狱管理局、戒毒管理局（含新疆生产建设兵团）出具的属于监狱企业的证明文件。</w:t>
            </w:r>
          </w:p>
          <w:p w14:paraId="4129E1C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D97203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7EA94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823" w:type="dxa"/>
            <w:vAlign w:val="center"/>
          </w:tcPr>
          <w:p w14:paraId="6C6571E9">
            <w:pPr>
              <w:tabs>
                <w:tab w:val="left" w:pos="1080"/>
              </w:tabs>
              <w:snapToGrid w:val="0"/>
              <w:jc w:val="center"/>
              <w:rPr>
                <w:rFonts w:hint="eastAsia" w:ascii="宋体" w:hAnsi="宋体" w:eastAsia="宋体" w:cs="宋体"/>
                <w:i w:val="0"/>
                <w:iCs w:val="0"/>
                <w:color w:val="auto"/>
                <w:spacing w:val="0"/>
                <w:position w:val="0"/>
                <w:sz w:val="24"/>
                <w:highlight w:val="none"/>
              </w:rPr>
            </w:pPr>
            <w:r>
              <w:rPr>
                <w:sz w:val="24"/>
              </w:rPr>
              <w:t>2-1-2</w:t>
            </w:r>
          </w:p>
        </w:tc>
        <w:tc>
          <w:tcPr>
            <w:tcW w:w="1933" w:type="dxa"/>
            <w:vAlign w:val="center"/>
          </w:tcPr>
          <w:p w14:paraId="595A3AB3">
            <w:pPr>
              <w:tabs>
                <w:tab w:val="left" w:pos="1080"/>
              </w:tabs>
              <w:snapToGrid w:val="0"/>
              <w:rPr>
                <w:rFonts w:hint="eastAsia" w:ascii="宋体" w:hAnsi="宋体" w:eastAsia="宋体" w:cs="宋体"/>
                <w:i w:val="0"/>
                <w:iCs w:val="0"/>
                <w:color w:val="auto"/>
                <w:spacing w:val="0"/>
                <w:position w:val="0"/>
                <w:sz w:val="24"/>
                <w:highlight w:val="none"/>
              </w:rPr>
            </w:pPr>
            <w:r>
              <w:rPr>
                <w:sz w:val="24"/>
              </w:rPr>
              <w:t>拟分包情况说明及分包意向协议</w:t>
            </w:r>
          </w:p>
        </w:tc>
        <w:tc>
          <w:tcPr>
            <w:tcW w:w="4708" w:type="dxa"/>
            <w:vAlign w:val="center"/>
          </w:tcPr>
          <w:p w14:paraId="606D3067">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53138373">
            <w:pPr>
              <w:tabs>
                <w:tab w:val="left" w:pos="1080"/>
              </w:tabs>
              <w:snapToGrid w:val="0"/>
              <w:rPr>
                <w:rFonts w:hint="eastAsia" w:ascii="宋体" w:hAnsi="宋体" w:eastAsia="宋体" w:cs="宋体"/>
                <w:i w:val="0"/>
                <w:iCs w:val="0"/>
                <w:color w:val="auto"/>
                <w:spacing w:val="0"/>
                <w:position w:val="0"/>
                <w:sz w:val="24"/>
                <w:highlight w:val="none"/>
              </w:rPr>
            </w:pPr>
            <w:r>
              <w:rPr>
                <w:sz w:val="24"/>
              </w:rPr>
              <w:t>对于预留份额专门面向中小企业采购的项目（包），组成联合体或者接受分包合同的中小企业与联合体内其他企业、分包企业之间不得存在直接控股、管理关系。</w:t>
            </w:r>
          </w:p>
        </w:tc>
        <w:tc>
          <w:tcPr>
            <w:tcW w:w="1599" w:type="dxa"/>
            <w:vAlign w:val="center"/>
          </w:tcPr>
          <w:p w14:paraId="7BDEF04D">
            <w:pPr>
              <w:tabs>
                <w:tab w:val="left" w:pos="1080"/>
              </w:tabs>
              <w:snapToGrid w:val="0"/>
              <w:rPr>
                <w:rFonts w:hint="eastAsia" w:ascii="宋体" w:hAnsi="宋体" w:eastAsia="宋体" w:cs="宋体"/>
                <w:i w:val="0"/>
                <w:iCs w:val="0"/>
                <w:color w:val="auto"/>
                <w:spacing w:val="0"/>
                <w:position w:val="0"/>
                <w:sz w:val="24"/>
                <w:highlight w:val="none"/>
              </w:rPr>
            </w:pPr>
            <w:r>
              <w:rPr>
                <w:sz w:val="24"/>
              </w:rPr>
              <w:t>格式见《投标文件格式》</w:t>
            </w:r>
          </w:p>
        </w:tc>
      </w:tr>
      <w:tr w14:paraId="50677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47A267C">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2-2</w:t>
            </w:r>
          </w:p>
        </w:tc>
        <w:tc>
          <w:tcPr>
            <w:tcW w:w="1066" w:type="pct"/>
            <w:vAlign w:val="center"/>
          </w:tcPr>
          <w:p w14:paraId="31048613">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其它落实政府采购政策的资格要求</w:t>
            </w:r>
          </w:p>
        </w:tc>
        <w:tc>
          <w:tcPr>
            <w:tcW w:w="2597" w:type="pct"/>
            <w:vAlign w:val="center"/>
          </w:tcPr>
          <w:p w14:paraId="3217BCD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tc>
        <w:tc>
          <w:tcPr>
            <w:tcW w:w="882" w:type="pct"/>
            <w:vAlign w:val="center"/>
          </w:tcPr>
          <w:p w14:paraId="6048B14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369ED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4DE0AD6A">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w:t>
            </w:r>
          </w:p>
        </w:tc>
        <w:tc>
          <w:tcPr>
            <w:tcW w:w="1066" w:type="pct"/>
            <w:vAlign w:val="center"/>
          </w:tcPr>
          <w:p w14:paraId="2E07444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本项目的特定资格要求</w:t>
            </w:r>
          </w:p>
        </w:tc>
        <w:tc>
          <w:tcPr>
            <w:tcW w:w="2597" w:type="pct"/>
            <w:vAlign w:val="center"/>
          </w:tcPr>
          <w:p w14:paraId="060AC5A2">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tc>
        <w:tc>
          <w:tcPr>
            <w:tcW w:w="882" w:type="pct"/>
            <w:vAlign w:val="center"/>
          </w:tcPr>
          <w:p w14:paraId="16931D9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34BA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B5A9051">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3-1</w:t>
            </w:r>
          </w:p>
        </w:tc>
        <w:tc>
          <w:tcPr>
            <w:tcW w:w="1066" w:type="pct"/>
            <w:vAlign w:val="center"/>
          </w:tcPr>
          <w:p w14:paraId="3BB7EFF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本项目对于联合体的要求</w:t>
            </w:r>
          </w:p>
        </w:tc>
        <w:tc>
          <w:tcPr>
            <w:tcW w:w="2597" w:type="pct"/>
            <w:vAlign w:val="center"/>
          </w:tcPr>
          <w:p w14:paraId="54F4E2A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4AE126F1">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2、联合体各成员单位均须提供本表中序号1-1、1-2的证明文件。联合体各成员单位均应满足本表3-2项规定。</w:t>
            </w:r>
          </w:p>
          <w:p w14:paraId="5BFDFD5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3、本表序号3-3项规定的其他特定资格要求中的每一小项要求，联合体各方中至少应当有一方符合本表中其他资格要求并提供证明文件。</w:t>
            </w:r>
          </w:p>
          <w:p w14:paraId="53CBB35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4、联合体中有同类资质的供应商按照联合体分工承担相同工作的，应当按照资质等级较低的供应商确定资质等级。</w:t>
            </w:r>
          </w:p>
          <w:p w14:paraId="79DE63E7">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5、以联合体形式参加政府采购活动的，联合体各方不得再单独参加或者与其他供应商另外组成联合体参加同一合同项下的政府采购活动。</w:t>
            </w:r>
          </w:p>
          <w:p w14:paraId="77FBC54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6、若联合体中任一成员单位中途退出，则该联合体的</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62646EA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7、本项目不接受联合体投标时，投标人不得为联合体。</w:t>
            </w:r>
          </w:p>
        </w:tc>
        <w:tc>
          <w:tcPr>
            <w:tcW w:w="882" w:type="pct"/>
            <w:vAlign w:val="center"/>
          </w:tcPr>
          <w:p w14:paraId="2539E70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提供《联合协议》原件的电子件</w:t>
            </w:r>
          </w:p>
          <w:p w14:paraId="2F419B5C">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w:t>
            </w:r>
          </w:p>
        </w:tc>
      </w:tr>
      <w:tr w14:paraId="41846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59A5DBCA">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3-2</w:t>
            </w:r>
          </w:p>
        </w:tc>
        <w:tc>
          <w:tcPr>
            <w:tcW w:w="1066" w:type="pct"/>
            <w:vAlign w:val="center"/>
          </w:tcPr>
          <w:p w14:paraId="18AF160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lang w:val="en-US" w:eastAsia="zh-CN"/>
              </w:rPr>
            </w:pPr>
            <w:r>
              <w:rPr>
                <w:rFonts w:hint="eastAsia" w:ascii="宋体" w:hAnsi="宋体" w:eastAsia="宋体" w:cs="宋体"/>
                <w:i w:val="0"/>
                <w:iCs w:val="0"/>
                <w:color w:val="auto"/>
                <w:spacing w:val="0"/>
                <w:position w:val="0"/>
                <w:sz w:val="24"/>
                <w:highlight w:val="none"/>
              </w:rPr>
              <w:t>政府购买服务承接主体的要求</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7" w:type="pct"/>
            <w:vAlign w:val="center"/>
          </w:tcPr>
          <w:p w14:paraId="4B2367D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如本项目属于政府购买服务，投标人不属于公益一类事业单位、使用事业编制且由财政拨款保障的群团组织。</w:t>
            </w:r>
          </w:p>
        </w:tc>
        <w:tc>
          <w:tcPr>
            <w:tcW w:w="882" w:type="pct"/>
            <w:vAlign w:val="center"/>
          </w:tcPr>
          <w:p w14:paraId="3F8CB22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格式见《投标文件格式》“1-2 投标人资格声明书”</w:t>
            </w:r>
          </w:p>
        </w:tc>
      </w:tr>
      <w:tr w14:paraId="559BF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jc w:val="center"/>
        </w:trPr>
        <w:tc>
          <w:tcPr>
            <w:tcW w:w="454" w:type="pct"/>
            <w:vAlign w:val="center"/>
          </w:tcPr>
          <w:p w14:paraId="13E9278E">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3-3</w:t>
            </w:r>
          </w:p>
        </w:tc>
        <w:tc>
          <w:tcPr>
            <w:tcW w:w="1066" w:type="pct"/>
            <w:vAlign w:val="center"/>
          </w:tcPr>
          <w:p w14:paraId="71A4DEE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其他特定资格要求</w:t>
            </w:r>
          </w:p>
        </w:tc>
        <w:tc>
          <w:tcPr>
            <w:tcW w:w="2597" w:type="pct"/>
            <w:vAlign w:val="center"/>
          </w:tcPr>
          <w:p w14:paraId="07F961A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如有，见第一章《投标邀请》</w:t>
            </w:r>
          </w:p>
          <w:p w14:paraId="1AC37C5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注：如联合体中有同类资质的供应商按照联合体分工承担相同工作的，均应当提供资质证书电子件或电子证照。</w:t>
            </w:r>
          </w:p>
        </w:tc>
        <w:tc>
          <w:tcPr>
            <w:tcW w:w="882" w:type="pct"/>
            <w:vAlign w:val="center"/>
          </w:tcPr>
          <w:p w14:paraId="37514C3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提供证明文件的电子件或电子证照</w:t>
            </w:r>
          </w:p>
        </w:tc>
      </w:tr>
      <w:tr w14:paraId="163EF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1F998467">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w:t>
            </w:r>
          </w:p>
        </w:tc>
        <w:tc>
          <w:tcPr>
            <w:tcW w:w="1066" w:type="pct"/>
            <w:vAlign w:val="center"/>
          </w:tcPr>
          <w:p w14:paraId="05185990">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投标保证金</w:t>
            </w: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lang w:val="en-US" w:eastAsia="zh-CN"/>
              </w:rPr>
              <w:t>如涉及）</w:t>
            </w:r>
          </w:p>
        </w:tc>
        <w:tc>
          <w:tcPr>
            <w:tcW w:w="2597" w:type="pct"/>
            <w:vAlign w:val="center"/>
          </w:tcPr>
          <w:p w14:paraId="3BF870D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按照招标文件的规定提交投标保证金。</w:t>
            </w:r>
          </w:p>
        </w:tc>
        <w:tc>
          <w:tcPr>
            <w:tcW w:w="882" w:type="pct"/>
            <w:vAlign w:val="center"/>
          </w:tcPr>
          <w:p w14:paraId="103FDDD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tr w14:paraId="5D19E9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jc w:val="center"/>
        </w:trPr>
        <w:tc>
          <w:tcPr>
            <w:tcW w:w="454" w:type="pct"/>
            <w:vAlign w:val="center"/>
          </w:tcPr>
          <w:p w14:paraId="79927DA3">
            <w:pPr>
              <w:keepNext w:val="0"/>
              <w:keepLines w:val="0"/>
              <w:pageBreakBefore w:val="0"/>
              <w:widowControl w:val="0"/>
              <w:tabs>
                <w:tab w:val="left" w:pos="1080"/>
              </w:tabs>
              <w:kinsoku/>
              <w:wordWrap/>
              <w:overflowPunct/>
              <w:topLinePunct w:val="0"/>
              <w:autoSpaceDE/>
              <w:autoSpaceDN/>
              <w:bidi w:val="0"/>
              <w:adjustRightInd/>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w:t>
            </w:r>
          </w:p>
        </w:tc>
        <w:tc>
          <w:tcPr>
            <w:tcW w:w="1066" w:type="pct"/>
            <w:vAlign w:val="center"/>
          </w:tcPr>
          <w:p w14:paraId="0D1388A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获取招标文件</w:t>
            </w:r>
          </w:p>
        </w:tc>
        <w:tc>
          <w:tcPr>
            <w:tcW w:w="2597" w:type="pct"/>
            <w:vAlign w:val="center"/>
          </w:tcPr>
          <w:p w14:paraId="35673FD6">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在规定期限内通过北京市政府采购电子交易平台获取所参与包的招标文件。</w:t>
            </w:r>
          </w:p>
          <w:p w14:paraId="094E05A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注：如本项目接受联合体，且供应商为联合体时，联合体中任一成员获取文件即视为满足要求。</w:t>
            </w:r>
          </w:p>
        </w:tc>
        <w:tc>
          <w:tcPr>
            <w:tcW w:w="882" w:type="pct"/>
            <w:vAlign w:val="center"/>
          </w:tcPr>
          <w:p w14:paraId="4392077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tc>
      </w:t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0"/>
      <w:bookmarkEnd w:id="734"/>
    </w:tbl>
    <w:p w14:paraId="6B452C9E">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bookmarkStart w:id="735" w:name="_Hlt522424701"/>
      <w:bookmarkEnd w:id="735"/>
      <w:bookmarkStart w:id="736" w:name="_Hlt487900425"/>
      <w:bookmarkEnd w:id="736"/>
      <w:bookmarkStart w:id="737" w:name="_Toc127161490"/>
      <w:bookmarkStart w:id="738" w:name="_Toc226965858"/>
      <w:bookmarkStart w:id="739" w:name="_Toc353825550"/>
      <w:bookmarkStart w:id="740" w:name="_Toc127151779"/>
      <w:bookmarkStart w:id="741" w:name="_Toc353873940"/>
      <w:r>
        <w:rPr>
          <w:rFonts w:hint="eastAsia" w:ascii="宋体" w:hAnsi="宋体" w:eastAsia="宋体" w:cs="宋体"/>
          <w:i w:val="0"/>
          <w:iCs w:val="0"/>
          <w:color w:val="auto"/>
          <w:spacing w:val="0"/>
          <w:position w:val="0"/>
          <w:sz w:val="24"/>
          <w:highlight w:val="none"/>
        </w:rPr>
        <w:br w:type="page"/>
      </w:r>
    </w:p>
    <w:p w14:paraId="17948F49">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bookmarkStart w:id="742" w:name="_Toc5695"/>
      <w:r>
        <w:rPr>
          <w:rFonts w:hint="eastAsia" w:ascii="宋体" w:hAnsi="宋体" w:eastAsia="宋体" w:cs="宋体"/>
          <w:b/>
          <w:i w:val="0"/>
          <w:iCs w:val="0"/>
          <w:color w:val="auto"/>
          <w:spacing w:val="0"/>
          <w:position w:val="0"/>
          <w:sz w:val="36"/>
          <w:szCs w:val="36"/>
          <w:highlight w:val="none"/>
        </w:rPr>
        <w:t xml:space="preserve">第四章   </w:t>
      </w:r>
      <w:bookmarkEnd w:id="737"/>
      <w:bookmarkEnd w:id="738"/>
      <w:bookmarkEnd w:id="739"/>
      <w:bookmarkEnd w:id="740"/>
      <w:bookmarkEnd w:id="741"/>
      <w:bookmarkStart w:id="743" w:name="_Hlt164229061"/>
      <w:bookmarkEnd w:id="743"/>
      <w:r>
        <w:rPr>
          <w:rFonts w:hint="eastAsia" w:ascii="宋体" w:hAnsi="宋体" w:eastAsia="宋体" w:cs="宋体"/>
          <w:b/>
          <w:i w:val="0"/>
          <w:iCs w:val="0"/>
          <w:color w:val="auto"/>
          <w:spacing w:val="0"/>
          <w:position w:val="0"/>
          <w:sz w:val="36"/>
          <w:szCs w:val="36"/>
          <w:highlight w:val="none"/>
        </w:rPr>
        <w:t>评标程序、评标方法和评标标准</w:t>
      </w:r>
      <w:bookmarkEnd w:id="742"/>
    </w:p>
    <w:p w14:paraId="3AC5F1B2">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b/>
          <w:i w:val="0"/>
          <w:iCs w:val="0"/>
          <w:color w:val="auto"/>
          <w:spacing w:val="0"/>
          <w:position w:val="0"/>
          <w:highlight w:val="none"/>
        </w:rPr>
      </w:pPr>
      <w:r>
        <w:rPr>
          <w:rFonts w:hint="eastAsia" w:ascii="宋体" w:hAnsi="宋体" w:eastAsia="宋体" w:cs="宋体"/>
          <w:b/>
          <w:i w:val="0"/>
          <w:iCs w:val="0"/>
          <w:color w:val="auto"/>
          <w:spacing w:val="0"/>
          <w:position w:val="0"/>
          <w:sz w:val="24"/>
          <w:highlight w:val="none"/>
        </w:rPr>
        <w:t>一、评标程序、评标方法</w:t>
      </w:r>
    </w:p>
    <w:p w14:paraId="726C5FFF">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bookmarkStart w:id="744" w:name="_Toc264969231"/>
      <w:bookmarkStart w:id="745" w:name="_Toc226965814"/>
      <w:bookmarkStart w:id="746" w:name="_Toc164229382"/>
      <w:bookmarkStart w:id="747" w:name="_Toc127151541"/>
      <w:bookmarkStart w:id="748" w:name="_Toc149720834"/>
      <w:bookmarkStart w:id="749" w:name="_Toc151193929"/>
      <w:bookmarkStart w:id="750" w:name="_Toc164351635"/>
      <w:bookmarkStart w:id="751" w:name="_Toc151193855"/>
      <w:bookmarkStart w:id="752" w:name="_Toc151190168"/>
      <w:bookmarkStart w:id="753" w:name="_Toc151193639"/>
      <w:bookmarkStart w:id="754" w:name="_Toc226965731"/>
      <w:bookmarkStart w:id="755" w:name="_Toc305158883"/>
      <w:bookmarkStart w:id="756" w:name="_Toc164229236"/>
      <w:bookmarkStart w:id="757" w:name="_Toc150480779"/>
      <w:bookmarkStart w:id="758" w:name="_Toc150509292"/>
      <w:bookmarkStart w:id="759" w:name="_Toc127151742"/>
      <w:bookmarkStart w:id="760" w:name="_Toc150774641"/>
      <w:bookmarkStart w:id="761" w:name="_Toc164608655"/>
      <w:bookmarkStart w:id="762" w:name="_Toc195842906"/>
      <w:bookmarkStart w:id="763" w:name="_Toc305158809"/>
      <w:bookmarkStart w:id="764" w:name="_Toc151193711"/>
      <w:bookmarkStart w:id="765" w:name="_Toc151193783"/>
      <w:bookmarkStart w:id="766" w:name="_Toc142311043"/>
      <w:bookmarkStart w:id="767" w:name="_Toc226337237"/>
      <w:bookmarkStart w:id="768" w:name="_Toc150774746"/>
      <w:bookmarkStart w:id="769" w:name="_Toc127161455"/>
      <w:bookmarkStart w:id="770" w:name="_Toc265228379"/>
      <w:bookmarkStart w:id="771" w:name="_Toc226309785"/>
      <w:bookmarkStart w:id="772" w:name="_Toc164608810"/>
      <w:bookmarkStart w:id="773" w:name="_Toc353825551"/>
      <w:bookmarkStart w:id="774" w:name="_Toc353873941"/>
      <w:bookmarkStart w:id="775" w:name="_Toc150774760"/>
      <w:bookmarkStart w:id="776" w:name="_Toc305158897"/>
      <w:bookmarkStart w:id="777" w:name="_Toc265228393"/>
      <w:bookmarkStart w:id="778" w:name="_Toc353825545"/>
      <w:bookmarkStart w:id="779" w:name="_Toc195842920"/>
      <w:bookmarkStart w:id="780" w:name="_Toc150480793"/>
      <w:bookmarkStart w:id="781" w:name="_Toc264969245"/>
      <w:bookmarkStart w:id="782" w:name="_Toc142311057"/>
      <w:bookmarkStart w:id="783" w:name="_Toc353873935"/>
      <w:bookmarkStart w:id="784" w:name="_Toc226965828"/>
      <w:bookmarkStart w:id="785" w:name="_Toc353873665"/>
      <w:bookmarkStart w:id="786" w:name="_Toc127151555"/>
      <w:bookmarkStart w:id="787" w:name="_Toc305158823"/>
      <w:bookmarkStart w:id="788" w:name="_Toc226337251"/>
      <w:r>
        <w:rPr>
          <w:rFonts w:hint="eastAsia" w:ascii="宋体" w:hAnsi="宋体" w:eastAsia="宋体" w:cs="宋体"/>
          <w:i w:val="0"/>
          <w:iCs w:val="0"/>
          <w:color w:val="auto"/>
          <w:spacing w:val="0"/>
          <w:position w:val="0"/>
          <w:sz w:val="24"/>
          <w:highlight w:val="none"/>
        </w:rPr>
        <w:t>投标文件的符合性审查</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14:paraId="49EF234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评标委员会对资格审查合格的投标人的投标文件进行符合性审查，以确定其是否满足招标文件的实质性要求。</w:t>
      </w:r>
      <w:bookmarkStart w:id="789" w:name="_Toc520356167"/>
    </w:p>
    <w:p w14:paraId="1B19C123">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9"/>
      <w:r>
        <w:rPr>
          <w:rFonts w:hint="eastAsia" w:ascii="宋体" w:hAnsi="宋体" w:eastAsia="宋体" w:cs="宋体"/>
          <w:i w:val="0"/>
          <w:iCs w:val="0"/>
          <w:color w:val="auto"/>
          <w:spacing w:val="0"/>
          <w:position w:val="0"/>
          <w:sz w:val="24"/>
          <w:highlight w:val="none"/>
        </w:rPr>
        <w:t>要求的，</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25E32A54">
      <w:pPr>
        <w:pageBreakBefore w:val="0"/>
        <w:tabs>
          <w:tab w:val="left" w:pos="900"/>
          <w:tab w:val="left" w:pos="1080"/>
          <w:tab w:val="left" w:pos="1589"/>
        </w:tabs>
        <w:wordWrap/>
        <w:topLinePunct w:val="0"/>
        <w:bidi w:val="0"/>
        <w:snapToGrid w:val="0"/>
        <w:spacing w:line="360" w:lineRule="auto"/>
        <w:ind w:leftChars="-170" w:hanging="357" w:hangingChars="148"/>
        <w:jc w:val="center"/>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符合性审查要求</w:t>
      </w:r>
    </w:p>
    <w:tbl>
      <w:tblPr>
        <w:tblStyle w:val="4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4"/>
        <w:gridCol w:w="1658"/>
        <w:gridCol w:w="5952"/>
      </w:tblGrid>
      <w:tr w14:paraId="78D9A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412" w:type="pct"/>
            <w:shd w:val="clear" w:color="auto" w:fill="auto"/>
            <w:vAlign w:val="center"/>
          </w:tcPr>
          <w:p w14:paraId="5F67E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序号</w:t>
            </w:r>
          </w:p>
        </w:tc>
        <w:tc>
          <w:tcPr>
            <w:tcW w:w="999" w:type="pct"/>
            <w:shd w:val="clear" w:color="auto" w:fill="auto"/>
            <w:vAlign w:val="center"/>
          </w:tcPr>
          <w:p w14:paraId="79C22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审查因素</w:t>
            </w:r>
          </w:p>
        </w:tc>
        <w:tc>
          <w:tcPr>
            <w:tcW w:w="3587" w:type="pct"/>
            <w:shd w:val="clear" w:color="auto" w:fill="auto"/>
            <w:vAlign w:val="center"/>
          </w:tcPr>
          <w:p w14:paraId="3BF79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kern w:val="0"/>
                <w:position w:val="0"/>
                <w:sz w:val="24"/>
                <w:highlight w:val="none"/>
              </w:rPr>
            </w:pPr>
            <w:r>
              <w:rPr>
                <w:rFonts w:hint="eastAsia" w:ascii="宋体" w:hAnsi="宋体" w:eastAsia="宋体" w:cs="宋体"/>
                <w:b/>
                <w:i w:val="0"/>
                <w:iCs w:val="0"/>
                <w:color w:val="auto"/>
                <w:spacing w:val="0"/>
                <w:kern w:val="0"/>
                <w:position w:val="0"/>
                <w:sz w:val="24"/>
                <w:highlight w:val="none"/>
              </w:rPr>
              <w:t>审查内容</w:t>
            </w:r>
          </w:p>
        </w:tc>
      </w:tr>
      <w:tr w14:paraId="5B05D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1CAA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w:t>
            </w:r>
          </w:p>
        </w:tc>
        <w:tc>
          <w:tcPr>
            <w:tcW w:w="999" w:type="pct"/>
            <w:shd w:val="clear" w:color="auto" w:fill="auto"/>
            <w:vAlign w:val="center"/>
          </w:tcPr>
          <w:p w14:paraId="0C9C365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授权委托书</w:t>
            </w:r>
          </w:p>
        </w:tc>
        <w:tc>
          <w:tcPr>
            <w:tcW w:w="3587" w:type="pct"/>
            <w:shd w:val="clear" w:color="auto" w:fill="auto"/>
            <w:vAlign w:val="center"/>
          </w:tcPr>
          <w:p w14:paraId="4F827EA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按招标文件要求提供授权委托书；</w:t>
            </w:r>
          </w:p>
        </w:tc>
      </w:tr>
      <w:tr w14:paraId="6FC77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4EAA8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2</w:t>
            </w:r>
          </w:p>
        </w:tc>
        <w:tc>
          <w:tcPr>
            <w:tcW w:w="999" w:type="pct"/>
            <w:shd w:val="clear" w:color="auto" w:fill="auto"/>
            <w:vAlign w:val="center"/>
          </w:tcPr>
          <w:p w14:paraId="473E0BB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投标完整性</w:t>
            </w:r>
          </w:p>
        </w:tc>
        <w:tc>
          <w:tcPr>
            <w:tcW w:w="3587" w:type="pct"/>
            <w:shd w:val="clear" w:color="auto" w:fill="auto"/>
            <w:vAlign w:val="center"/>
          </w:tcPr>
          <w:p w14:paraId="7F1FC96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未将一个采购包中的内容拆分投标；</w:t>
            </w:r>
          </w:p>
        </w:tc>
      </w:tr>
      <w:tr w14:paraId="4026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2BDBB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3</w:t>
            </w:r>
          </w:p>
        </w:tc>
        <w:tc>
          <w:tcPr>
            <w:tcW w:w="999" w:type="pct"/>
            <w:shd w:val="clear" w:color="auto" w:fill="auto"/>
            <w:vAlign w:val="center"/>
          </w:tcPr>
          <w:p w14:paraId="07464C3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投标报价</w:t>
            </w:r>
          </w:p>
        </w:tc>
        <w:tc>
          <w:tcPr>
            <w:tcW w:w="3587" w:type="pct"/>
            <w:shd w:val="clear" w:color="auto" w:fill="auto"/>
            <w:vAlign w:val="center"/>
          </w:tcPr>
          <w:p w14:paraId="406C1B7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投标报价未</w:t>
            </w:r>
            <w:r>
              <w:rPr>
                <w:rFonts w:hint="eastAsia" w:ascii="宋体" w:hAnsi="宋体" w:eastAsia="宋体" w:cs="宋体"/>
                <w:i w:val="0"/>
                <w:iCs w:val="0"/>
                <w:color w:val="auto"/>
                <w:spacing w:val="0"/>
                <w:position w:val="0"/>
                <w:sz w:val="24"/>
                <w:highlight w:val="none"/>
              </w:rPr>
              <w:t>超过招标文件中规定的项目/采购包预算金额或者项目/采购包最高限价</w:t>
            </w:r>
            <w:r>
              <w:rPr>
                <w:rFonts w:hint="eastAsia" w:ascii="宋体" w:hAnsi="宋体" w:eastAsia="宋体" w:cs="宋体"/>
                <w:i w:val="0"/>
                <w:iCs w:val="0"/>
                <w:color w:val="auto"/>
                <w:spacing w:val="0"/>
                <w:kern w:val="0"/>
                <w:position w:val="0"/>
                <w:sz w:val="24"/>
                <w:highlight w:val="none"/>
              </w:rPr>
              <w:t>；</w:t>
            </w:r>
          </w:p>
        </w:tc>
      </w:tr>
      <w:tr w14:paraId="45C80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5C7AC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4</w:t>
            </w:r>
          </w:p>
        </w:tc>
        <w:tc>
          <w:tcPr>
            <w:tcW w:w="999" w:type="pct"/>
            <w:shd w:val="clear" w:color="auto" w:fill="auto"/>
            <w:vAlign w:val="center"/>
          </w:tcPr>
          <w:p w14:paraId="27F4D0B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报价唯一性</w:t>
            </w:r>
          </w:p>
        </w:tc>
        <w:tc>
          <w:tcPr>
            <w:tcW w:w="3587" w:type="pct"/>
            <w:shd w:val="clear" w:color="auto" w:fill="auto"/>
            <w:vAlign w:val="center"/>
          </w:tcPr>
          <w:p w14:paraId="726F8E6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投标文件未</w:t>
            </w:r>
            <w:r>
              <w:rPr>
                <w:rFonts w:hint="eastAsia" w:ascii="宋体" w:hAnsi="宋体" w:eastAsia="宋体" w:cs="宋体"/>
                <w:i w:val="0"/>
                <w:iCs w:val="0"/>
                <w:color w:val="auto"/>
                <w:spacing w:val="0"/>
                <w:position w:val="0"/>
                <w:sz w:val="24"/>
                <w:highlight w:val="none"/>
              </w:rPr>
              <w:t>出现可选择性或可调整的报价（招标文件另有规定的除外）</w:t>
            </w:r>
            <w:r>
              <w:rPr>
                <w:rFonts w:hint="eastAsia" w:ascii="宋体" w:hAnsi="宋体" w:eastAsia="宋体" w:cs="宋体"/>
                <w:i w:val="0"/>
                <w:iCs w:val="0"/>
                <w:color w:val="auto"/>
                <w:spacing w:val="0"/>
                <w:kern w:val="0"/>
                <w:position w:val="0"/>
                <w:sz w:val="24"/>
                <w:highlight w:val="none"/>
              </w:rPr>
              <w:t>；</w:t>
            </w:r>
          </w:p>
        </w:tc>
      </w:tr>
      <w:tr w14:paraId="5423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8322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5</w:t>
            </w:r>
          </w:p>
        </w:tc>
        <w:tc>
          <w:tcPr>
            <w:tcW w:w="999" w:type="pct"/>
            <w:shd w:val="clear" w:color="auto" w:fill="auto"/>
            <w:vAlign w:val="center"/>
          </w:tcPr>
          <w:p w14:paraId="2E58DD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投标有效期</w:t>
            </w:r>
          </w:p>
        </w:tc>
        <w:tc>
          <w:tcPr>
            <w:tcW w:w="3587" w:type="pct"/>
            <w:shd w:val="clear" w:color="auto" w:fill="auto"/>
            <w:vAlign w:val="center"/>
          </w:tcPr>
          <w:p w14:paraId="226E5C6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投标文件中承诺的投标有效期满足招标文件中载明的投标有效期的；</w:t>
            </w:r>
          </w:p>
        </w:tc>
      </w:tr>
      <w:tr w14:paraId="7ACC2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4B01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6</w:t>
            </w:r>
          </w:p>
        </w:tc>
        <w:tc>
          <w:tcPr>
            <w:tcW w:w="999" w:type="pct"/>
            <w:shd w:val="clear" w:color="auto" w:fill="auto"/>
            <w:vAlign w:val="center"/>
          </w:tcPr>
          <w:p w14:paraId="4BE13C5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实质性格式</w:t>
            </w:r>
          </w:p>
        </w:tc>
        <w:tc>
          <w:tcPr>
            <w:tcW w:w="3587" w:type="pct"/>
            <w:shd w:val="clear" w:color="auto" w:fill="auto"/>
            <w:vAlign w:val="center"/>
          </w:tcPr>
          <w:p w14:paraId="1F4EBAA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标记为“实质性格式”的文件均按招标文件要求提供且签署、盖章的；</w:t>
            </w:r>
          </w:p>
        </w:tc>
      </w:tr>
      <w:tr w14:paraId="03CA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B7FF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7</w:t>
            </w:r>
          </w:p>
        </w:tc>
        <w:tc>
          <w:tcPr>
            <w:tcW w:w="999" w:type="pct"/>
            <w:shd w:val="clear" w:color="auto" w:fill="auto"/>
            <w:vAlign w:val="center"/>
          </w:tcPr>
          <w:p w14:paraId="3FEFCA6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★号条款响应</w:t>
            </w:r>
          </w:p>
        </w:tc>
        <w:tc>
          <w:tcPr>
            <w:tcW w:w="3587" w:type="pct"/>
            <w:shd w:val="clear" w:color="auto" w:fill="auto"/>
            <w:vAlign w:val="center"/>
          </w:tcPr>
          <w:p w14:paraId="0608687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投标文件满足招标文件</w:t>
            </w:r>
            <w:r>
              <w:rPr>
                <w:rFonts w:hint="eastAsia" w:ascii="宋体" w:hAnsi="宋体" w:eastAsia="宋体" w:cs="宋体"/>
                <w:i w:val="0"/>
                <w:iCs w:val="0"/>
                <w:color w:val="auto"/>
                <w:spacing w:val="0"/>
                <w:position w:val="0"/>
                <w:sz w:val="24"/>
                <w:highlight w:val="none"/>
              </w:rPr>
              <w:t>第五章《采购需求》</w:t>
            </w:r>
            <w:r>
              <w:rPr>
                <w:rFonts w:hint="eastAsia" w:ascii="宋体" w:hAnsi="宋体" w:eastAsia="宋体" w:cs="宋体"/>
                <w:i w:val="0"/>
                <w:iCs w:val="0"/>
                <w:color w:val="auto"/>
                <w:spacing w:val="0"/>
                <w:kern w:val="0"/>
                <w:position w:val="0"/>
                <w:sz w:val="24"/>
                <w:highlight w:val="none"/>
              </w:rPr>
              <w:t>中★号条款要求的；</w:t>
            </w:r>
          </w:p>
        </w:tc>
      </w:tr>
      <w:tr w14:paraId="757C2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71C8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8</w:t>
            </w:r>
          </w:p>
        </w:tc>
        <w:tc>
          <w:tcPr>
            <w:tcW w:w="999" w:type="pct"/>
            <w:shd w:val="clear" w:color="auto" w:fill="auto"/>
            <w:vAlign w:val="center"/>
          </w:tcPr>
          <w:p w14:paraId="69B62E9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拟分包情况说明（如有）</w:t>
            </w:r>
          </w:p>
        </w:tc>
        <w:tc>
          <w:tcPr>
            <w:tcW w:w="3587" w:type="pct"/>
            <w:shd w:val="clear" w:color="auto" w:fill="auto"/>
            <w:vAlign w:val="center"/>
          </w:tcPr>
          <w:p w14:paraId="7CB3505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如本项目（包）非因“落实政府采购政策”亦允许分包，且供应商拟进行分包时，必须提供；否则无须提供；</w:t>
            </w:r>
          </w:p>
        </w:tc>
      </w:tr>
      <w:tr w14:paraId="5B7A2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5BDD7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9</w:t>
            </w:r>
          </w:p>
        </w:tc>
        <w:tc>
          <w:tcPr>
            <w:tcW w:w="999" w:type="pct"/>
            <w:shd w:val="clear" w:color="auto" w:fill="auto"/>
            <w:vAlign w:val="center"/>
          </w:tcPr>
          <w:p w14:paraId="5F97B28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分包其他要求（如有）</w:t>
            </w:r>
          </w:p>
        </w:tc>
        <w:tc>
          <w:tcPr>
            <w:tcW w:w="3587" w:type="pct"/>
            <w:shd w:val="clear" w:color="auto" w:fill="auto"/>
            <w:vAlign w:val="center"/>
          </w:tcPr>
          <w:p w14:paraId="1B88BA4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分包履行的内容、金额或者比例未超出《投标人须知资料表》中的规定；</w:t>
            </w:r>
          </w:p>
          <w:p w14:paraId="2F0B110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分包承担主体具备《投标人须知资料表》载明的资质条件且提供了资质证书电子件（如有）；</w:t>
            </w:r>
          </w:p>
        </w:tc>
      </w:tr>
      <w:tr w14:paraId="4C96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3A85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10</w:t>
            </w:r>
          </w:p>
        </w:tc>
        <w:tc>
          <w:tcPr>
            <w:tcW w:w="999" w:type="pct"/>
            <w:shd w:val="clear" w:color="auto" w:fill="auto"/>
            <w:vAlign w:val="center"/>
          </w:tcPr>
          <w:p w14:paraId="7C3C321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报价的修正（如有）</w:t>
            </w:r>
          </w:p>
        </w:tc>
        <w:tc>
          <w:tcPr>
            <w:tcW w:w="3587" w:type="pct"/>
            <w:shd w:val="clear" w:color="auto" w:fill="auto"/>
            <w:vAlign w:val="center"/>
          </w:tcPr>
          <w:p w14:paraId="59419BD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不涉及报价修正，或投标文件报价出现前后不一致时，投标人对修正后的报价予以确认；（如有）</w:t>
            </w:r>
          </w:p>
        </w:tc>
      </w:tr>
      <w:tr w14:paraId="5AC9B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3395E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11</w:t>
            </w:r>
          </w:p>
        </w:tc>
        <w:tc>
          <w:tcPr>
            <w:tcW w:w="999" w:type="pct"/>
            <w:shd w:val="clear" w:color="auto" w:fill="auto"/>
            <w:vAlign w:val="center"/>
          </w:tcPr>
          <w:p w14:paraId="0A46EC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进口产品</w:t>
            </w:r>
          </w:p>
          <w:p w14:paraId="4FDE3FB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（如有）</w:t>
            </w:r>
          </w:p>
        </w:tc>
        <w:tc>
          <w:tcPr>
            <w:tcW w:w="3587" w:type="pct"/>
            <w:shd w:val="clear" w:color="auto" w:fill="auto"/>
            <w:vAlign w:val="center"/>
          </w:tcPr>
          <w:p w14:paraId="404E009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招标文件不接受进口产品投标的内容时，投标人所投产品不含进口产品；</w:t>
            </w:r>
          </w:p>
        </w:tc>
      </w:tr>
      <w:tr w14:paraId="2CD3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784E8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12</w:t>
            </w:r>
          </w:p>
        </w:tc>
        <w:tc>
          <w:tcPr>
            <w:tcW w:w="999" w:type="pct"/>
            <w:shd w:val="clear" w:color="auto" w:fill="auto"/>
            <w:vAlign w:val="center"/>
          </w:tcPr>
          <w:p w14:paraId="617D66C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国家有关部门对投标人的投标产品有强制性规定或要求的</w:t>
            </w:r>
          </w:p>
        </w:tc>
        <w:tc>
          <w:tcPr>
            <w:tcW w:w="3587" w:type="pct"/>
            <w:shd w:val="clear" w:color="auto" w:fill="auto"/>
            <w:vAlign w:val="center"/>
          </w:tcPr>
          <w:p w14:paraId="74263CA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国家有关部门对投标人的投标产品有强制性规定或要求的（如相应技术、安全、节能和环保等），投标人的投标产品应符合相应规定或要求，并提供证明文件电子件：</w:t>
            </w:r>
          </w:p>
          <w:p w14:paraId="6D4A569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793301C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2）</w:t>
            </w:r>
            <w:r>
              <w:rPr>
                <w:rFonts w:hint="eastAsia" w:ascii="宋体" w:hAnsi="宋体" w:eastAsia="宋体" w:cs="宋体"/>
                <w:i w:val="0"/>
                <w:iCs w:val="0"/>
                <w:color w:val="auto"/>
                <w:spacing w:val="0"/>
                <w:position w:val="0"/>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hint="eastAsia" w:ascii="宋体" w:hAnsi="宋体" w:eastAsia="宋体" w:cs="宋体"/>
                <w:i w:val="0"/>
                <w:iCs w:val="0"/>
                <w:color w:val="auto"/>
                <w:spacing w:val="0"/>
                <w:kern w:val="0"/>
                <w:position w:val="0"/>
                <w:sz w:val="24"/>
                <w:highlight w:val="none"/>
              </w:rPr>
              <w:t>公安部颁发的计算机信息系统安全专用产品销售许可证</w:t>
            </w:r>
            <w:r>
              <w:rPr>
                <w:rFonts w:hint="eastAsia" w:ascii="宋体" w:hAnsi="宋体" w:eastAsia="宋体" w:cs="宋体"/>
                <w:i w:val="0"/>
                <w:iCs w:val="0"/>
                <w:color w:val="auto"/>
                <w:spacing w:val="0"/>
                <w:position w:val="0"/>
                <w:sz w:val="24"/>
                <w:highlight w:val="none"/>
              </w:rPr>
              <w:t>，且在有效期内，亦视为符合要求）</w:t>
            </w:r>
          </w:p>
          <w:p w14:paraId="072CDA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3）项目中涉及涂料、胶黏剂、油墨、清洗剂等挥发性有机物产品，且属于强制性标准的，供应商应执行符合本市和国家的VOCs 含量限制标准。</w:t>
            </w:r>
          </w:p>
        </w:tc>
      </w:tr>
      <w:tr w14:paraId="08BA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6E4EA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13</w:t>
            </w:r>
          </w:p>
        </w:tc>
        <w:tc>
          <w:tcPr>
            <w:tcW w:w="999" w:type="pct"/>
            <w:shd w:val="clear" w:color="auto" w:fill="auto"/>
            <w:vAlign w:val="center"/>
          </w:tcPr>
          <w:p w14:paraId="32EFED0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公平竞争</w:t>
            </w:r>
          </w:p>
        </w:tc>
        <w:tc>
          <w:tcPr>
            <w:tcW w:w="3587" w:type="pct"/>
            <w:shd w:val="clear" w:color="auto" w:fill="auto"/>
            <w:vAlign w:val="center"/>
          </w:tcPr>
          <w:p w14:paraId="4AC0B70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投标人遵循公平竞争的原则，不存在恶意串通，妨碍其他投标人的竞争行为，不存在损害采购人或者其他投标人的合法权益情形的；</w:t>
            </w:r>
          </w:p>
        </w:tc>
      </w:tr>
      <w:tr w14:paraId="5A5F8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07B4A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14</w:t>
            </w:r>
          </w:p>
        </w:tc>
        <w:tc>
          <w:tcPr>
            <w:tcW w:w="999" w:type="pct"/>
            <w:shd w:val="clear" w:color="auto" w:fill="auto"/>
            <w:vAlign w:val="center"/>
          </w:tcPr>
          <w:p w14:paraId="765E153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串通投标</w:t>
            </w:r>
          </w:p>
        </w:tc>
        <w:tc>
          <w:tcPr>
            <w:tcW w:w="3587" w:type="pct"/>
            <w:shd w:val="clear" w:color="auto" w:fill="auto"/>
            <w:vAlign w:val="center"/>
          </w:tcPr>
          <w:p w14:paraId="33457C6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151B6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1B788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lang w:eastAsia="zh-CN"/>
              </w:rPr>
            </w:pPr>
            <w:r>
              <w:rPr>
                <w:rFonts w:hint="eastAsia" w:ascii="宋体" w:hAnsi="宋体" w:eastAsia="宋体" w:cs="宋体"/>
                <w:i w:val="0"/>
                <w:iCs w:val="0"/>
                <w:color w:val="auto"/>
                <w:spacing w:val="0"/>
                <w:kern w:val="0"/>
                <w:position w:val="0"/>
                <w:sz w:val="24"/>
                <w:highlight w:val="none"/>
              </w:rPr>
              <w:t>1</w:t>
            </w:r>
            <w:r>
              <w:rPr>
                <w:rFonts w:hint="eastAsia" w:ascii="宋体" w:hAnsi="宋体" w:eastAsia="宋体" w:cs="宋体"/>
                <w:i w:val="0"/>
                <w:iCs w:val="0"/>
                <w:color w:val="auto"/>
                <w:spacing w:val="0"/>
                <w:kern w:val="0"/>
                <w:position w:val="0"/>
                <w:sz w:val="24"/>
                <w:highlight w:val="none"/>
                <w:lang w:val="en-US" w:eastAsia="zh-CN"/>
              </w:rPr>
              <w:t>5</w:t>
            </w:r>
          </w:p>
        </w:tc>
        <w:tc>
          <w:tcPr>
            <w:tcW w:w="999" w:type="pct"/>
            <w:shd w:val="clear" w:color="auto" w:fill="auto"/>
            <w:vAlign w:val="center"/>
          </w:tcPr>
          <w:p w14:paraId="735AE65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附加条件</w:t>
            </w:r>
          </w:p>
        </w:tc>
        <w:tc>
          <w:tcPr>
            <w:tcW w:w="3587" w:type="pct"/>
            <w:shd w:val="clear" w:color="auto" w:fill="auto"/>
            <w:vAlign w:val="center"/>
          </w:tcPr>
          <w:p w14:paraId="3EF2A24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投标文件未含有采购人不能接受的附加条件的；</w:t>
            </w:r>
          </w:p>
        </w:tc>
      </w:tr>
      <w:tr w14:paraId="7BA82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12" w:type="pct"/>
            <w:shd w:val="clear" w:color="auto" w:fill="auto"/>
            <w:vAlign w:val="center"/>
          </w:tcPr>
          <w:p w14:paraId="2AF19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kern w:val="0"/>
                <w:position w:val="0"/>
                <w:sz w:val="24"/>
                <w:highlight w:val="none"/>
                <w:lang w:eastAsia="zh-CN"/>
              </w:rPr>
            </w:pPr>
            <w:r>
              <w:rPr>
                <w:rFonts w:hint="eastAsia" w:ascii="宋体" w:hAnsi="宋体" w:eastAsia="宋体" w:cs="宋体"/>
                <w:i w:val="0"/>
                <w:iCs w:val="0"/>
                <w:color w:val="auto"/>
                <w:spacing w:val="0"/>
                <w:kern w:val="0"/>
                <w:position w:val="0"/>
                <w:sz w:val="24"/>
                <w:highlight w:val="none"/>
              </w:rPr>
              <w:t>1</w:t>
            </w:r>
            <w:r>
              <w:rPr>
                <w:rFonts w:hint="eastAsia" w:ascii="宋体" w:hAnsi="宋体" w:eastAsia="宋体" w:cs="宋体"/>
                <w:i w:val="0"/>
                <w:iCs w:val="0"/>
                <w:color w:val="auto"/>
                <w:spacing w:val="0"/>
                <w:kern w:val="0"/>
                <w:position w:val="0"/>
                <w:sz w:val="24"/>
                <w:highlight w:val="none"/>
                <w:lang w:val="en-US" w:eastAsia="zh-CN"/>
              </w:rPr>
              <w:t>6</w:t>
            </w:r>
          </w:p>
        </w:tc>
        <w:tc>
          <w:tcPr>
            <w:tcW w:w="999" w:type="pct"/>
            <w:shd w:val="clear" w:color="auto" w:fill="auto"/>
            <w:vAlign w:val="center"/>
          </w:tcPr>
          <w:p w14:paraId="0F7731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其他无效情形</w:t>
            </w:r>
          </w:p>
        </w:tc>
        <w:tc>
          <w:tcPr>
            <w:tcW w:w="3587" w:type="pct"/>
            <w:shd w:val="clear" w:color="auto" w:fill="auto"/>
            <w:vAlign w:val="center"/>
          </w:tcPr>
          <w:p w14:paraId="58831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kern w:val="0"/>
                <w:position w:val="0"/>
                <w:sz w:val="24"/>
                <w:highlight w:val="none"/>
                <w:lang w:val="en-US" w:eastAsia="zh-CN"/>
              </w:rPr>
            </w:pPr>
            <w:r>
              <w:rPr>
                <w:rFonts w:hint="eastAsia" w:ascii="宋体" w:hAnsi="宋体" w:eastAsia="宋体" w:cs="宋体"/>
                <w:i w:val="0"/>
                <w:iCs w:val="0"/>
                <w:color w:val="auto"/>
                <w:spacing w:val="0"/>
                <w:kern w:val="0"/>
                <w:position w:val="0"/>
                <w:sz w:val="24"/>
                <w:highlight w:val="none"/>
                <w:lang w:val="en-US" w:eastAsia="zh-CN"/>
              </w:rPr>
              <w:t>不存在未按招标文件提交投标文件；</w:t>
            </w:r>
          </w:p>
          <w:p w14:paraId="1215976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position w:val="0"/>
                <w:sz w:val="24"/>
                <w:highlight w:val="none"/>
              </w:rPr>
              <w:t>投标人、投标文件不存在不符合法律、法规和招标文件规定的其他无效情形。</w:t>
            </w:r>
          </w:p>
        </w:tc>
      </w:tr>
    </w:tbl>
    <w:p w14:paraId="56D8326C">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p>
    <w:p w14:paraId="6593E779">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投标文件有关事项的澄清或者说明</w:t>
      </w:r>
    </w:p>
    <w:p w14:paraId="366AAAB0">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0" w:name="_Hlk144225607"/>
      <w:r>
        <w:rPr>
          <w:rFonts w:hint="eastAsia" w:ascii="宋体" w:hAnsi="宋体" w:eastAsia="宋体" w:cs="宋体"/>
          <w:i w:val="0"/>
          <w:iCs w:val="0"/>
          <w:color w:val="auto"/>
          <w:spacing w:val="0"/>
          <w:position w:val="0"/>
          <w:sz w:val="24"/>
          <w:szCs w:val="20"/>
          <w:highlight w:val="none"/>
        </w:rPr>
        <w:t>若投标人为事业单位或其他组织或分支机构，可为单位负责人</w:t>
      </w:r>
      <w:bookmarkEnd w:id="790"/>
      <w:r>
        <w:rPr>
          <w:rFonts w:hint="eastAsia" w:ascii="宋体" w:hAnsi="宋体" w:eastAsia="宋体" w:cs="宋体"/>
          <w:i w:val="0"/>
          <w:iCs w:val="0"/>
          <w:color w:val="auto"/>
          <w:spacing w:val="0"/>
          <w:position w:val="0"/>
          <w:sz w:val="24"/>
          <w:highlight w:val="none"/>
        </w:rPr>
        <w:t>）或其授权的代表签字。投标人的澄清、说明或者补正不得超出投标文件的范围或者改变投标文件的实质性内容。澄清文件将作为投标文件内容的一部分。</w:t>
      </w:r>
    </w:p>
    <w:p w14:paraId="7C756EB9">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b/>
          <w:bCs/>
          <w:i w:val="0"/>
          <w:iCs w:val="0"/>
          <w:color w:val="auto"/>
          <w:spacing w:val="0"/>
          <w:position w:val="0"/>
          <w:sz w:val="24"/>
          <w:highlight w:val="none"/>
        </w:rPr>
      </w:pPr>
      <w:bookmarkStart w:id="791" w:name="_Hlk220085436"/>
      <w:r>
        <w:rPr>
          <w:rFonts w:hint="eastAsia" w:ascii="宋体" w:hAnsi="宋体" w:eastAsia="宋体" w:cs="宋体"/>
          <w:b/>
          <w:bCs/>
          <w:i w:val="0"/>
          <w:iCs w:val="0"/>
          <w:color w:val="auto"/>
          <w:spacing w:val="0"/>
          <w:position w:val="0"/>
          <w:sz w:val="24"/>
          <w:highlight w:val="none"/>
        </w:rPr>
        <w:t>异常低价处理</w:t>
      </w:r>
    </w:p>
    <w:p w14:paraId="6A47224E">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 xml:space="preserve"> 政府采购评审中出现下列情形之一的，评审委员会应当启动异常低价投标（响应）审查程序：</w:t>
      </w:r>
    </w:p>
    <w:p w14:paraId="0DD2EB42">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（1）投标（响应）报价低于全部通过符合性审查供应商投标（响应）报价平均值</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%的，即投标（响应）报价&lt;全部通过符合性审查供应商投标（响应）报价平均值×</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w:t>
      </w:r>
    </w:p>
    <w:p w14:paraId="3F4B6A9A">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（2）投标（响应）报价低于通过符合性审查的次低报价供应商投标（响应）报价</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%的，即投标（响应）报价&lt;通过符合性审查的次低报价供应商投标（响应）报价×</w:t>
      </w:r>
      <w:r>
        <w:rPr>
          <w:rFonts w:hint="eastAsia" w:ascii="宋体" w:hAnsi="宋体" w:eastAsia="宋体" w:cs="宋体"/>
          <w:b/>
          <w:bCs/>
          <w:i w:val="0"/>
          <w:iCs w:val="0"/>
          <w:color w:val="auto"/>
          <w:spacing w:val="0"/>
          <w:position w:val="0"/>
          <w:sz w:val="24"/>
          <w:highlight w:val="none"/>
          <w:u w:val="single"/>
          <w:lang w:val="en-US" w:eastAsia="zh-CN"/>
        </w:rPr>
        <w:t xml:space="preserve"> 50 </w:t>
      </w:r>
      <w:r>
        <w:rPr>
          <w:rFonts w:hint="eastAsia" w:ascii="宋体" w:hAnsi="宋体" w:eastAsia="宋体" w:cs="宋体"/>
          <w:b/>
          <w:bCs/>
          <w:i w:val="0"/>
          <w:iCs w:val="0"/>
          <w:color w:val="auto"/>
          <w:spacing w:val="0"/>
          <w:position w:val="0"/>
          <w:sz w:val="24"/>
          <w:highlight w:val="none"/>
        </w:rPr>
        <w:t>%；</w:t>
      </w:r>
    </w:p>
    <w:p w14:paraId="3BC2428B">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（3）投标（响应）报价低于采购项目最高限价</w:t>
      </w:r>
      <w:r>
        <w:rPr>
          <w:rFonts w:hint="eastAsia" w:ascii="宋体" w:hAnsi="宋体" w:eastAsia="宋体" w:cs="宋体"/>
          <w:b/>
          <w:bCs/>
          <w:i w:val="0"/>
          <w:iCs w:val="0"/>
          <w:color w:val="auto"/>
          <w:spacing w:val="0"/>
          <w:position w:val="0"/>
          <w:sz w:val="24"/>
          <w:highlight w:val="none"/>
          <w:u w:val="single"/>
          <w:lang w:val="en-US" w:eastAsia="zh-CN"/>
        </w:rPr>
        <w:t xml:space="preserve"> 45 </w:t>
      </w:r>
      <w:r>
        <w:rPr>
          <w:rFonts w:hint="eastAsia" w:ascii="宋体" w:hAnsi="宋体" w:eastAsia="宋体" w:cs="宋体"/>
          <w:b/>
          <w:bCs/>
          <w:i w:val="0"/>
          <w:iCs w:val="0"/>
          <w:color w:val="auto"/>
          <w:spacing w:val="0"/>
          <w:position w:val="0"/>
          <w:sz w:val="24"/>
          <w:highlight w:val="none"/>
        </w:rPr>
        <w:t>%的，即投标（响应）报价&lt;采购项目最高限价×</w:t>
      </w:r>
      <w:r>
        <w:rPr>
          <w:rFonts w:hint="eastAsia" w:ascii="宋体" w:hAnsi="宋体" w:eastAsia="宋体" w:cs="宋体"/>
          <w:b/>
          <w:bCs/>
          <w:i w:val="0"/>
          <w:iCs w:val="0"/>
          <w:color w:val="auto"/>
          <w:spacing w:val="0"/>
          <w:position w:val="0"/>
          <w:sz w:val="24"/>
          <w:highlight w:val="none"/>
          <w:u w:val="single"/>
          <w:lang w:val="en-US" w:eastAsia="zh-CN"/>
        </w:rPr>
        <w:t xml:space="preserve"> 45 </w:t>
      </w:r>
      <w:r>
        <w:rPr>
          <w:rFonts w:hint="eastAsia" w:ascii="宋体" w:hAnsi="宋体" w:eastAsia="宋体" w:cs="宋体"/>
          <w:b/>
          <w:bCs/>
          <w:i w:val="0"/>
          <w:iCs w:val="0"/>
          <w:color w:val="auto"/>
          <w:spacing w:val="0"/>
          <w:position w:val="0"/>
          <w:sz w:val="24"/>
          <w:highlight w:val="none"/>
        </w:rPr>
        <w:t>%；未设定最高限价的采购项目，以采购项目预算金额作为最高限价；</w:t>
      </w:r>
    </w:p>
    <w:p w14:paraId="321EA9A3">
      <w:pPr>
        <w:pageBreakBefore w:val="0"/>
        <w:tabs>
          <w:tab w:val="left" w:pos="1589"/>
          <w:tab w:val="left" w:pos="1701"/>
          <w:tab w:val="left" w:pos="2035"/>
          <w:tab w:val="left" w:pos="2114"/>
        </w:tabs>
        <w:wordWrap/>
        <w:topLinePunct w:val="0"/>
        <w:bidi w:val="0"/>
        <w:snapToGrid w:val="0"/>
        <w:spacing w:line="360" w:lineRule="auto"/>
        <w:ind w:left="1843" w:hanging="2"/>
        <w:rPr>
          <w:rFonts w:hint="eastAsia" w:ascii="宋体" w:hAnsi="宋体" w:eastAsia="宋体" w:cs="宋体"/>
          <w:b/>
          <w:bCs/>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（4）评审委员会基于专业判断，认为供应商报价过低，有可能影响产品质量或者不能诚信履约的其他情形。</w:t>
      </w:r>
    </w:p>
    <w:p w14:paraId="27A024D9">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b/>
          <w:bCs/>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w:t>
      </w:r>
      <w:r>
        <w:rPr>
          <w:rFonts w:hint="eastAsia" w:ascii="宋体" w:hAnsi="宋体" w:eastAsia="宋体" w:cs="宋体"/>
          <w:b/>
          <w:bCs/>
          <w:i w:val="0"/>
          <w:iCs w:val="0"/>
          <w:color w:val="auto"/>
          <w:spacing w:val="0"/>
          <w:position w:val="0"/>
          <w:sz w:val="24"/>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46B3C3">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hint="eastAsia" w:ascii="宋体" w:hAnsi="宋体" w:eastAsia="宋体" w:cs="宋体"/>
          <w:b/>
          <w:bCs/>
          <w:i w:val="0"/>
          <w:iCs w:val="0"/>
          <w:color w:val="auto"/>
          <w:spacing w:val="0"/>
          <w:position w:val="0"/>
          <w:sz w:val="24"/>
          <w:highlight w:val="none"/>
        </w:rPr>
        <w:t>无效投标（响应）</w:t>
      </w:r>
      <w:r>
        <w:rPr>
          <w:rFonts w:hint="eastAsia" w:ascii="宋体" w:hAnsi="宋体" w:eastAsia="宋体" w:cs="宋体"/>
          <w:i w:val="0"/>
          <w:iCs w:val="0"/>
          <w:color w:val="auto"/>
          <w:spacing w:val="0"/>
          <w:position w:val="0"/>
          <w:sz w:val="24"/>
          <w:highlight w:val="none"/>
        </w:rPr>
        <w:t>处理。</w:t>
      </w:r>
    </w:p>
    <w:p w14:paraId="492B3D4F">
      <w:pPr>
        <w:pageBreakBefore w:val="0"/>
        <w:numPr>
          <w:ilvl w:val="2"/>
          <w:numId w:val="11"/>
        </w:numPr>
        <w:tabs>
          <w:tab w:val="left" w:pos="1134"/>
          <w:tab w:val="left" w:pos="1276"/>
          <w:tab w:val="left" w:pos="1560"/>
          <w:tab w:val="left" w:pos="1701"/>
          <w:tab w:val="clear" w:pos="1980"/>
        </w:tabs>
        <w:wordWrap/>
        <w:topLinePunct w:val="0"/>
        <w:bidi w:val="0"/>
        <w:snapToGrid w:val="0"/>
        <w:spacing w:line="360" w:lineRule="auto"/>
        <w:ind w:left="1843" w:hanging="709"/>
        <w:rPr>
          <w:rFonts w:hint="eastAsia" w:ascii="宋体" w:hAnsi="宋体" w:eastAsia="宋体" w:cs="宋体"/>
          <w:i w:val="0"/>
          <w:iCs w:val="0"/>
          <w:color w:val="auto"/>
          <w:spacing w:val="0"/>
          <w:position w:val="0"/>
          <w:sz w:val="24"/>
          <w:highlight w:val="none"/>
        </w:rPr>
      </w:pPr>
      <w:bookmarkStart w:id="792" w:name="_Hlk190337965"/>
      <w:r>
        <w:rPr>
          <w:rFonts w:hint="eastAsia" w:ascii="宋体" w:hAnsi="宋体" w:eastAsia="宋体" w:cs="宋体"/>
          <w:i w:val="0"/>
          <w:iCs w:val="0"/>
          <w:color w:val="auto"/>
          <w:spacing w:val="0"/>
          <w:position w:val="0"/>
          <w:sz w:val="24"/>
          <w:highlight w:val="none"/>
        </w:rPr>
        <w:t xml:space="preserve"> 上述投标（响应）报价指按照本章2.4修正后的报价</w:t>
      </w:r>
      <w:bookmarkEnd w:id="792"/>
      <w:r>
        <w:rPr>
          <w:rFonts w:hint="eastAsia" w:ascii="宋体" w:hAnsi="宋体" w:eastAsia="宋体" w:cs="宋体"/>
          <w:i w:val="0"/>
          <w:iCs w:val="0"/>
          <w:color w:val="auto"/>
          <w:spacing w:val="0"/>
          <w:position w:val="0"/>
          <w:sz w:val="24"/>
          <w:highlight w:val="none"/>
        </w:rPr>
        <w:t>。</w:t>
      </w:r>
    </w:p>
    <w:bookmarkEnd w:id="791"/>
    <w:p w14:paraId="6D3DD73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FC13DA5">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投标文件报价出现前后不一致的，按照下列规定修正：</w:t>
      </w:r>
    </w:p>
    <w:p w14:paraId="6FAAB444">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招标文件对于报价修正是否另有规定：</w:t>
      </w:r>
    </w:p>
    <w:p w14:paraId="5C050808">
      <w:pPr>
        <w:pageBreakBefore w:val="0"/>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lang w:eastAsia="zh-CN"/>
        </w:rPr>
        <w:t>□</w:t>
      </w:r>
      <w:r>
        <w:rPr>
          <w:rFonts w:hint="eastAsia" w:ascii="宋体" w:hAnsi="宋体" w:eastAsia="宋体" w:cs="宋体"/>
          <w:i w:val="0"/>
          <w:iCs w:val="0"/>
          <w:color w:val="auto"/>
          <w:spacing w:val="0"/>
          <w:position w:val="0"/>
          <w:sz w:val="24"/>
          <w:highlight w:val="none"/>
        </w:rPr>
        <w:t>有，具体规定为：______________</w:t>
      </w:r>
    </w:p>
    <w:p w14:paraId="2BAA33A4">
      <w:pPr>
        <w:pageBreakBefore w:val="0"/>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无，按下述2.4.2-2.4.7项规定修正。</w:t>
      </w:r>
    </w:p>
    <w:p w14:paraId="6D44C75E">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单独递交的开标一览表（报价表）与投标文件中开标一览表（报价表）内容不一致的，以单独递交的开标一览表（报价表）为准；</w:t>
      </w:r>
    </w:p>
    <w:p w14:paraId="619C7EB8">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投标文件中开标一览表（报价表）内容与投标文件中相应内容不一致的，以开标一览表（报价表）为准；</w:t>
      </w:r>
    </w:p>
    <w:p w14:paraId="778A8A24">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大写金额和小写金额不一致的，以大写金额为准；</w:t>
      </w:r>
    </w:p>
    <w:p w14:paraId="67B8EF43">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单价金额小数点或者百分比有明显错位的，以开标一览表的总价为准，并修改单价；</w:t>
      </w:r>
    </w:p>
    <w:p w14:paraId="537C508A">
      <w:pPr>
        <w:pageBreakBefore w:val="0"/>
        <w:numPr>
          <w:ilvl w:val="2"/>
          <w:numId w:val="11"/>
        </w:numPr>
        <w:tabs>
          <w:tab w:val="left" w:pos="2035"/>
          <w:tab w:val="left" w:pos="2114"/>
          <w:tab w:val="left" w:pos="2977"/>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总价金额与按单价汇总金额不一致的，以单价金额计算结果为准。</w:t>
      </w:r>
    </w:p>
    <w:p w14:paraId="6CAF4854">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同时出现两种以上不一致的，按照前款规定的顺序修正。</w:t>
      </w:r>
    </w:p>
    <w:p w14:paraId="1D933622">
      <w:pPr>
        <w:pageBreakBefore w:val="0"/>
        <w:numPr>
          <w:ilvl w:val="2"/>
          <w:numId w:val="11"/>
        </w:numPr>
        <w:tabs>
          <w:tab w:val="left" w:pos="1080"/>
          <w:tab w:val="left" w:pos="1589"/>
          <w:tab w:val="left" w:pos="2035"/>
          <w:tab w:val="left" w:pos="2114"/>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修正后的报价经投标人书面确认后产生约束力，投标人不确认的，其</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7FFA371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支持中小企业政府采购政策的价格调整：只有符合第二章《投标人须知》5.3条规定情形的，可以享受中小企业扶持政策，用扣除后的价格参加评审；否则，评标时价格不予扣除。</w:t>
      </w:r>
    </w:p>
    <w:p w14:paraId="2CEA90B5">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对于未预留份额专门面向中小企业采购的采购项目，以及预留份额项目中的非预留部分采购包，对小微企业报价给予</w:t>
      </w:r>
      <w:r>
        <w:rPr>
          <w:rFonts w:hint="eastAsia" w:ascii="宋体" w:hAnsi="宋体" w:eastAsia="宋体" w:cs="宋体"/>
          <w:i w:val="0"/>
          <w:iCs w:val="0"/>
          <w:color w:val="auto"/>
          <w:spacing w:val="0"/>
          <w:position w:val="0"/>
          <w:sz w:val="24"/>
          <w:highlight w:val="none"/>
          <w:u w:val="single"/>
          <w:lang w:val="en-US" w:eastAsia="zh-CN"/>
        </w:rPr>
        <w:t xml:space="preserve"> 10 </w:t>
      </w:r>
      <w:r>
        <w:rPr>
          <w:rFonts w:hint="eastAsia" w:ascii="宋体" w:hAnsi="宋体" w:eastAsia="宋体" w:cs="宋体"/>
          <w:i w:val="0"/>
          <w:iCs w:val="0"/>
          <w:color w:val="auto"/>
          <w:spacing w:val="0"/>
          <w:position w:val="0"/>
          <w:sz w:val="24"/>
          <w:highlight w:val="none"/>
        </w:rPr>
        <w:t>%的扣除，用扣除后的价格参加评审。</w:t>
      </w:r>
    </w:p>
    <w:p w14:paraId="5F80C4F8">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ascii="宋体" w:hAnsi="宋体" w:eastAsia="宋体" w:cs="宋体"/>
          <w:i w:val="0"/>
          <w:iCs w:val="0"/>
          <w:color w:val="auto"/>
          <w:spacing w:val="0"/>
          <w:position w:val="0"/>
          <w:sz w:val="24"/>
          <w:highlight w:val="none"/>
          <w:u w:val="single"/>
          <w:lang w:val="en-US" w:eastAsia="zh-CN"/>
        </w:rPr>
        <w:t xml:space="preserve"> 4 </w:t>
      </w:r>
      <w:r>
        <w:rPr>
          <w:rFonts w:hint="eastAsia" w:ascii="宋体" w:hAnsi="宋体" w:eastAsia="宋体" w:cs="宋体"/>
          <w:i w:val="0"/>
          <w:iCs w:val="0"/>
          <w:color w:val="auto"/>
          <w:spacing w:val="0"/>
          <w:position w:val="0"/>
          <w:sz w:val="24"/>
          <w:highlight w:val="none"/>
        </w:rPr>
        <w:t>%的扣除，用扣除后的价格参加评审。</w:t>
      </w:r>
    </w:p>
    <w:p w14:paraId="43847652">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组成联合体或者接受分包的小微企业与联合体内其他企业、分包企业之间存在直接控股、管理关系的，不享受价格扣除优惠政策。</w:t>
      </w:r>
    </w:p>
    <w:p w14:paraId="399C4F63">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价格扣除比例对小型企业和微型企业同等对待，不作区分。</w:t>
      </w:r>
    </w:p>
    <w:p w14:paraId="2BB582FB">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中小企业参加政府采购活动，应当按照招标文件给定的格式出具《中小企业声明函》，否则不得享受相关中小企业扶持政策。</w:t>
      </w:r>
    </w:p>
    <w:p w14:paraId="204ABFEE">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监狱企业提供了由省级以上监狱管理局、戒毒管理局（含新疆生产建设兵团）出具的属于监狱企业的证明文件的，视同小微企业。</w:t>
      </w:r>
    </w:p>
    <w:p w14:paraId="335C191C">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残疾人福利性单位按招标文件要求提供了《残疾人福利性单位声明函》的，视同小微企业。</w:t>
      </w:r>
    </w:p>
    <w:p w14:paraId="2F6A180A">
      <w:pPr>
        <w:pageBreakBefore w:val="0"/>
        <w:numPr>
          <w:ilvl w:val="2"/>
          <w:numId w:val="11"/>
        </w:numPr>
        <w:tabs>
          <w:tab w:val="left" w:pos="1080"/>
          <w:tab w:val="left" w:pos="1589"/>
          <w:tab w:val="left" w:pos="2014"/>
          <w:tab w:val="clear" w:pos="1980"/>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若投标人同时属于小型或微型企业、监狱企业、残疾人福利性单位中的两种及以上，将不重复享受小微企业价格扣减的优惠政策。</w:t>
      </w:r>
    </w:p>
    <w:p w14:paraId="3502BC4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b/>
          <w:bCs/>
          <w:i w:val="0"/>
          <w:iCs w:val="0"/>
          <w:color w:val="auto"/>
          <w:spacing w:val="0"/>
          <w:position w:val="0"/>
          <w:sz w:val="24"/>
          <w:highlight w:val="none"/>
        </w:rPr>
        <w:t>支持本国产品政府采购的价格调整：只有符合第二章《投标人须知》5.2条规定情形的，可以享受本国产品支持政策，用扣除后的价格参加评审；否则，评标时价格不予扣除。</w:t>
      </w:r>
    </w:p>
    <w:p w14:paraId="4586AB84">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本项目既有本国产品又有非本国产品参与竞争的，依法对本国产品给予价格评审优惠，对本国产品的报价给予20%的价格扣除，用扣除后的价格参与评审。</w:t>
      </w:r>
    </w:p>
    <w:p w14:paraId="0C76B4D2">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F64331A">
      <w:pPr>
        <w:pageBreakBefore w:val="0"/>
        <w:numPr>
          <w:ilvl w:val="2"/>
          <w:numId w:val="11"/>
        </w:numPr>
        <w:tabs>
          <w:tab w:val="left" w:pos="1080"/>
          <w:tab w:val="left" w:pos="2100"/>
          <w:tab w:val="clear" w:pos="1980"/>
        </w:tabs>
        <w:wordWrap/>
        <w:topLinePunct w:val="0"/>
        <w:bidi w:val="0"/>
        <w:snapToGrid w:val="0"/>
        <w:spacing w:line="360" w:lineRule="auto"/>
        <w:ind w:left="2088" w:leftChars="502" w:hanging="1034" w:hangingChars="43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供应商提供本国产品参加政府采购活动的，应当按照招标文件给定的格式出具《关于符合本国产品标准的声明函》或提供财政部会同有关部门规定的有关证明文件，否则视为非本国产品。</w:t>
      </w:r>
    </w:p>
    <w:p w14:paraId="488A63EA">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投标文件的比较和评价</w:t>
      </w:r>
      <w:bookmarkEnd w:id="773"/>
      <w:bookmarkEnd w:id="774"/>
    </w:p>
    <w:p w14:paraId="6EAE10D7">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6256B45D">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评标方法和评标标准</w:t>
      </w:r>
    </w:p>
    <w:p w14:paraId="2640E930">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本项目采用的评标方法为：</w:t>
      </w:r>
    </w:p>
    <w:p w14:paraId="2D89C4F4">
      <w:pPr>
        <w:pageBreakBefore w:val="0"/>
        <w:tabs>
          <w:tab w:val="left" w:pos="900"/>
          <w:tab w:val="left" w:pos="1589"/>
          <w:tab w:val="left" w:pos="1701"/>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469204E5">
      <w:pPr>
        <w:pageBreakBefore w:val="0"/>
        <w:tabs>
          <w:tab w:val="left" w:pos="900"/>
          <w:tab w:val="left" w:pos="1589"/>
          <w:tab w:val="left" w:pos="1701"/>
        </w:tabs>
        <w:wordWrap/>
        <w:topLinePunct w:val="0"/>
        <w:bidi w:val="0"/>
        <w:snapToGrid w:val="0"/>
        <w:spacing w:line="360" w:lineRule="auto"/>
        <w:ind w:left="198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最低评标价法，指投标文件满足招标文件全部实质性要求，且投标报价最低的投标人为中标候选人的评标方法。</w:t>
      </w:r>
    </w:p>
    <w:p w14:paraId="1269924D">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w:t>
      </w:r>
    </w:p>
    <w:p w14:paraId="6BAD1743">
      <w:pPr>
        <w:pageBreakBefore w:val="0"/>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随机抽取</w:t>
      </w:r>
    </w:p>
    <w:p w14:paraId="3B11A16F">
      <w:pPr>
        <w:pageBreakBefore w:val="0"/>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highlight w:val="none"/>
        </w:rPr>
        <w:t>其他方式，具体要求：_____</w:t>
      </w:r>
    </w:p>
    <w:p w14:paraId="571B2C5B">
      <w:pPr>
        <w:pageBreakBefore w:val="0"/>
        <w:numPr>
          <w:ilvl w:val="2"/>
          <w:numId w:val="11"/>
        </w:numPr>
        <w:tabs>
          <w:tab w:val="left" w:pos="1080"/>
          <w:tab w:val="left" w:pos="1589"/>
          <w:tab w:val="left" w:pos="2035"/>
        </w:tabs>
        <w:wordWrap/>
        <w:topLinePunct w:val="0"/>
        <w:bidi w:val="0"/>
        <w:snapToGrid w:val="0"/>
        <w:spacing w:line="360" w:lineRule="auto"/>
        <w:ind w:left="203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非政府强制采购的节能产品或环境标志产品，依据品目清单和认证证书实施政府优先采购。优先采购的具体规定（如涉及）_____。</w:t>
      </w:r>
    </w:p>
    <w:p w14:paraId="5C537B3F">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确定</w:t>
      </w:r>
      <w:bookmarkStart w:id="793" w:name="_Toc226965736"/>
      <w:bookmarkStart w:id="794" w:name="_Toc127151747"/>
      <w:bookmarkStart w:id="795" w:name="_Toc151190173"/>
      <w:bookmarkStart w:id="796" w:name="_Toc151193716"/>
      <w:bookmarkStart w:id="797" w:name="_Toc265228384"/>
      <w:bookmarkStart w:id="798" w:name="_Toc150480784"/>
      <w:bookmarkStart w:id="799" w:name="_Toc264969236"/>
      <w:bookmarkStart w:id="800" w:name="_Toc151193860"/>
      <w:bookmarkStart w:id="801" w:name="_Toc226309790"/>
      <w:bookmarkStart w:id="802" w:name="_Toc150509297"/>
      <w:bookmarkStart w:id="803" w:name="_Toc164229241"/>
      <w:bookmarkStart w:id="804" w:name="_Toc164229387"/>
      <w:bookmarkStart w:id="805" w:name="_Toc305158814"/>
      <w:bookmarkStart w:id="806" w:name="_Toc305158888"/>
      <w:bookmarkStart w:id="807" w:name="_Toc226337242"/>
      <w:bookmarkStart w:id="808" w:name="_Toc164608660"/>
      <w:bookmarkStart w:id="809" w:name="_Toc149720839"/>
      <w:bookmarkStart w:id="810" w:name="_Toc150774751"/>
      <w:bookmarkStart w:id="811" w:name="_Toc164351640"/>
      <w:bookmarkStart w:id="812" w:name="_Toc520356170"/>
      <w:bookmarkStart w:id="813" w:name="_Toc127161460"/>
      <w:bookmarkStart w:id="814" w:name="_Toc142311048"/>
      <w:bookmarkStart w:id="815" w:name="_Toc151193788"/>
      <w:bookmarkStart w:id="816" w:name="_Toc151193934"/>
      <w:bookmarkStart w:id="817" w:name="_Toc164608815"/>
      <w:bookmarkStart w:id="818" w:name="_Ref467307010"/>
      <w:bookmarkStart w:id="819" w:name="_Toc151193644"/>
      <w:bookmarkStart w:id="820" w:name="_Toc195842911"/>
      <w:bookmarkStart w:id="821" w:name="_Toc127151546"/>
      <w:bookmarkStart w:id="822" w:name="_Toc150774646"/>
      <w:bookmarkStart w:id="823" w:name="_Toc226965819"/>
      <w:r>
        <w:rPr>
          <w:rFonts w:hint="eastAsia" w:ascii="宋体" w:hAnsi="宋体" w:eastAsia="宋体" w:cs="宋体"/>
          <w:i w:val="0"/>
          <w:iCs w:val="0"/>
          <w:color w:val="auto"/>
          <w:spacing w:val="0"/>
          <w:position w:val="0"/>
          <w:sz w:val="24"/>
          <w:highlight w:val="none"/>
        </w:rPr>
        <w:t>中标候选人名单</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14:paraId="29C22B2F">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545AB395">
      <w:pPr>
        <w:pStyle w:val="24"/>
        <w:pageBreakBefore w:val="0"/>
        <w:tabs>
          <w:tab w:val="left" w:pos="900"/>
          <w:tab w:val="left" w:pos="2127"/>
        </w:tabs>
        <w:wordWrap/>
        <w:topLinePunct w:val="0"/>
        <w:bidi w:val="0"/>
        <w:adjustRightInd w:val="0"/>
        <w:snapToGrid w:val="0"/>
        <w:spacing w:line="360" w:lineRule="auto"/>
        <w:ind w:left="993" w:firstLine="136" w:firstLineChars="57"/>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i w:val="0"/>
          <w:iCs w:val="0"/>
          <w:color w:val="auto"/>
          <w:spacing w:val="0"/>
          <w:position w:val="0"/>
          <w:sz w:val="24"/>
          <w:szCs w:val="24"/>
          <w:highlight w:val="none"/>
        </w:rPr>
        <w:t>随机抽取</w:t>
      </w:r>
    </w:p>
    <w:p w14:paraId="6B84019C">
      <w:pPr>
        <w:pStyle w:val="24"/>
        <w:pageBreakBefore w:val="0"/>
        <w:tabs>
          <w:tab w:val="left" w:pos="900"/>
          <w:tab w:val="left" w:pos="2127"/>
        </w:tabs>
        <w:wordWrap/>
        <w:topLinePunct w:val="0"/>
        <w:bidi w:val="0"/>
        <w:adjustRightInd w:val="0"/>
        <w:snapToGrid w:val="0"/>
        <w:spacing w:line="360" w:lineRule="auto"/>
        <w:ind w:left="993" w:firstLine="136" w:firstLineChars="57"/>
        <w:rPr>
          <w:rFonts w:hint="eastAsia" w:ascii="宋体" w:hAnsi="宋体" w:eastAsia="宋体" w:cs="宋体"/>
          <w:i w:val="0"/>
          <w:iCs w:val="0"/>
          <w:color w:val="auto"/>
          <w:spacing w:val="0"/>
          <w:position w:val="0"/>
          <w:sz w:val="24"/>
          <w:szCs w:val="24"/>
          <w:highlight w:val="none"/>
        </w:rPr>
      </w:pPr>
      <w:r>
        <w:rPr>
          <w:rFonts w:hint="eastAsia" w:ascii="宋体" w:hAnsi="宋体" w:eastAsia="宋体" w:cs="宋体"/>
          <w:i w:val="0"/>
          <w:iCs w:val="0"/>
          <w:color w:val="auto"/>
          <w:spacing w:val="0"/>
          <w:w w:val="100"/>
          <w:kern w:val="0"/>
          <w:position w:val="0"/>
          <w:sz w:val="24"/>
          <w:szCs w:val="24"/>
          <w:highlight w:val="none"/>
        </w:rPr>
        <w:t>■</w:t>
      </w:r>
      <w:r>
        <w:rPr>
          <w:rFonts w:hint="eastAsia" w:ascii="宋体" w:hAnsi="宋体" w:eastAsia="宋体" w:cs="宋体"/>
          <w:i w:val="0"/>
          <w:iCs w:val="0"/>
          <w:color w:val="auto"/>
          <w:spacing w:val="0"/>
          <w:position w:val="0"/>
          <w:sz w:val="24"/>
          <w:szCs w:val="24"/>
          <w:highlight w:val="none"/>
        </w:rPr>
        <w:t>其他方式，具体要求：_____</w:t>
      </w:r>
    </w:p>
    <w:p w14:paraId="7CA2AFC4">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1B9D4A7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197CEEFC">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评标委员会要对评分汇总情况进行复核，特别是对排名第一的、报价最低的、投标或响应文件被认定为无效的情形进行重点复核。</w:t>
      </w:r>
    </w:p>
    <w:p w14:paraId="5CD9DBF1">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评标委员会将根据各投标人的评标排序，依次推荐本项目（各采购包）的中标候选人，起草并签署评标报告。本项目（各采购包）评标委员会共（各）推荐</w:t>
      </w:r>
      <w:r>
        <w:rPr>
          <w:rFonts w:hint="eastAsia" w:ascii="宋体" w:hAnsi="宋体" w:eastAsia="宋体" w:cs="宋体"/>
          <w:i w:val="0"/>
          <w:iCs w:val="0"/>
          <w:color w:val="auto"/>
          <w:spacing w:val="0"/>
          <w:position w:val="0"/>
          <w:sz w:val="24"/>
          <w:highlight w:val="none"/>
          <w:u w:val="single"/>
          <w:lang w:val="en-US" w:eastAsia="zh-CN"/>
        </w:rPr>
        <w:t xml:space="preserve">  3  </w:t>
      </w:r>
      <w:r>
        <w:rPr>
          <w:rFonts w:hint="eastAsia" w:ascii="宋体" w:hAnsi="宋体" w:eastAsia="宋体" w:cs="宋体"/>
          <w:i w:val="0"/>
          <w:iCs w:val="0"/>
          <w:color w:val="auto"/>
          <w:spacing w:val="0"/>
          <w:position w:val="0"/>
          <w:sz w:val="24"/>
          <w:highlight w:val="none"/>
        </w:rPr>
        <w:t>名中标候选人。</w:t>
      </w:r>
    </w:p>
    <w:p w14:paraId="35A2076D">
      <w:pPr>
        <w:pageBreakBefore w:val="0"/>
        <w:numPr>
          <w:ilvl w:val="0"/>
          <w:numId w:val="11"/>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报告违法行为</w:t>
      </w:r>
    </w:p>
    <w:p w14:paraId="5CEE259B">
      <w:pPr>
        <w:pageBreakBefore w:val="0"/>
        <w:numPr>
          <w:ilvl w:val="1"/>
          <w:numId w:val="11"/>
        </w:numPr>
        <w:tabs>
          <w:tab w:val="left" w:pos="1080"/>
        </w:tabs>
        <w:wordWrap/>
        <w:topLinePunct w:val="0"/>
        <w:bidi w:val="0"/>
        <w:snapToGrid w:val="0"/>
        <w:spacing w:line="360" w:lineRule="auto"/>
        <w:ind w:left="1077" w:hanging="7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评标委员会在评标过程中发现投标人有行贿、提供虚假材料或者串通等违法行为时，应当及时向财政部门报告。</w:t>
      </w:r>
    </w:p>
    <w:p w14:paraId="6D61686F">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br w:type="page"/>
      </w:r>
    </w:p>
    <w:p w14:paraId="1DA8C67A">
      <w:pPr>
        <w:pageBreakBefore w:val="0"/>
        <w:tabs>
          <w:tab w:val="left" w:pos="360"/>
          <w:tab w:val="left" w:pos="900"/>
        </w:tabs>
        <w:wordWrap/>
        <w:topLinePunct w:val="0"/>
        <w:bidi w:val="0"/>
        <w:snapToGrid w:val="0"/>
        <w:spacing w:line="360" w:lineRule="auto"/>
        <w:jc w:val="center"/>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二、评标标准</w:t>
      </w:r>
    </w:p>
    <w:tbl>
      <w:tblPr>
        <w:tblStyle w:val="45"/>
        <w:tblW w:w="49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460"/>
        <w:gridCol w:w="607"/>
        <w:gridCol w:w="653"/>
        <w:gridCol w:w="4565"/>
        <w:gridCol w:w="1442"/>
      </w:tblGrid>
      <w:tr w14:paraId="4D23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blHeader/>
          <w:jc w:val="center"/>
        </w:trPr>
        <w:tc>
          <w:tcPr>
            <w:tcW w:w="280" w:type="pct"/>
            <w:vAlign w:val="center"/>
          </w:tcPr>
          <w:p w14:paraId="761A884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序号</w:t>
            </w:r>
          </w:p>
        </w:tc>
        <w:tc>
          <w:tcPr>
            <w:tcW w:w="652" w:type="pct"/>
            <w:gridSpan w:val="2"/>
            <w:vAlign w:val="center"/>
          </w:tcPr>
          <w:p w14:paraId="47F8496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评分因素</w:t>
            </w:r>
          </w:p>
        </w:tc>
        <w:tc>
          <w:tcPr>
            <w:tcW w:w="399" w:type="pct"/>
            <w:vAlign w:val="center"/>
          </w:tcPr>
          <w:p w14:paraId="555710F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分值</w:t>
            </w:r>
          </w:p>
        </w:tc>
        <w:tc>
          <w:tcPr>
            <w:tcW w:w="2788" w:type="pct"/>
            <w:vAlign w:val="center"/>
          </w:tcPr>
          <w:p w14:paraId="774D5A7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评分标准</w:t>
            </w:r>
          </w:p>
        </w:tc>
        <w:tc>
          <w:tcPr>
            <w:tcW w:w="880" w:type="pct"/>
            <w:vAlign w:val="center"/>
          </w:tcPr>
          <w:p w14:paraId="2FC9DE3A">
            <w:pPr>
              <w:pStyle w:val="248"/>
              <w:keepNext w:val="0"/>
              <w:keepLines w:val="0"/>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说明</w:t>
            </w:r>
          </w:p>
        </w:tc>
      </w:tr>
      <w:tr w14:paraId="2721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9" w:hRule="atLeast"/>
          <w:jc w:val="center"/>
        </w:trPr>
        <w:tc>
          <w:tcPr>
            <w:tcW w:w="280" w:type="pct"/>
            <w:shd w:val="clear" w:color="auto" w:fill="auto"/>
            <w:vAlign w:val="center"/>
          </w:tcPr>
          <w:p w14:paraId="34BABD4F">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1</w:t>
            </w:r>
          </w:p>
        </w:tc>
        <w:tc>
          <w:tcPr>
            <w:tcW w:w="281" w:type="pct"/>
            <w:shd w:val="clear" w:color="auto" w:fill="auto"/>
            <w:vAlign w:val="center"/>
          </w:tcPr>
          <w:p w14:paraId="01251FD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投标报价</w:t>
            </w:r>
          </w:p>
          <w:p w14:paraId="56D8BE2D">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10分</w:t>
            </w:r>
          </w:p>
        </w:tc>
        <w:tc>
          <w:tcPr>
            <w:tcW w:w="370" w:type="pct"/>
            <w:shd w:val="clear" w:color="auto" w:fill="auto"/>
            <w:vAlign w:val="center"/>
          </w:tcPr>
          <w:p w14:paraId="53DD1A2A">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价格分</w:t>
            </w:r>
          </w:p>
          <w:p w14:paraId="5B944849">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cs="宋体"/>
                <w:i w:val="0"/>
                <w:iCs w:val="0"/>
                <w:color w:val="auto"/>
                <w:spacing w:val="0"/>
                <w:kern w:val="2"/>
                <w:position w:val="0"/>
                <w:sz w:val="21"/>
                <w:szCs w:val="21"/>
                <w:highlight w:val="none"/>
                <w:lang w:val="en-US" w:eastAsia="zh-CN" w:bidi="ar-SA"/>
              </w:rPr>
            </w:pPr>
          </w:p>
        </w:tc>
        <w:tc>
          <w:tcPr>
            <w:tcW w:w="399" w:type="pct"/>
            <w:shd w:val="clear" w:color="auto" w:fill="auto"/>
            <w:vAlign w:val="center"/>
          </w:tcPr>
          <w:p w14:paraId="2A56FDFB">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10分</w:t>
            </w:r>
          </w:p>
        </w:tc>
        <w:tc>
          <w:tcPr>
            <w:tcW w:w="2788" w:type="pct"/>
            <w:shd w:val="clear" w:color="auto" w:fill="auto"/>
            <w:vAlign w:val="center"/>
          </w:tcPr>
          <w:p w14:paraId="4EC5CA8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一、价格得分的计算：</w:t>
            </w:r>
          </w:p>
          <w:p w14:paraId="71BF29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供应商报价得分按如下公式进行计算：</w:t>
            </w:r>
          </w:p>
          <w:p w14:paraId="1241FE3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供应商最后报价得分=（所有供应商评标价中的最低价/供应商评标价）×价格权重</w:t>
            </w:r>
          </w:p>
          <w:p w14:paraId="50FDC88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kern w:val="2"/>
                <w:position w:val="0"/>
                <w:sz w:val="21"/>
                <w:szCs w:val="21"/>
                <w:highlight w:val="none"/>
                <w:lang w:val="en-US" w:eastAsia="zh-CN" w:bidi="ar-SA"/>
              </w:rPr>
              <w:t>注：评分分值计算保留小数点后两位，小数点后第三位“四舍五入”。</w:t>
            </w:r>
          </w:p>
        </w:tc>
        <w:tc>
          <w:tcPr>
            <w:tcW w:w="880" w:type="pct"/>
            <w:shd w:val="clear" w:color="auto" w:fill="auto"/>
            <w:vAlign w:val="center"/>
          </w:tcPr>
          <w:p w14:paraId="0FE9839F">
            <w:pPr>
              <w:keepNext w:val="0"/>
              <w:keepLines w:val="0"/>
              <w:pageBreakBefore w:val="0"/>
              <w:widowControl w:val="0"/>
              <w:kinsoku/>
              <w:wordWrap/>
              <w:overflowPunct/>
              <w:topLinePunct w:val="0"/>
              <w:autoSpaceDE/>
              <w:autoSpaceDN/>
              <w:bidi w:val="0"/>
              <w:adjustRightInd/>
              <w:snapToGrid/>
              <w:spacing w:line="360" w:lineRule="auto"/>
              <w:ind w:left="-38" w:leftChars="0"/>
              <w:textAlignment w:val="auto"/>
              <w:rPr>
                <w:rFonts w:hint="eastAsia" w:ascii="宋体" w:hAnsi="宋体" w:eastAsia="宋体" w:cs="宋体"/>
                <w:i w:val="0"/>
                <w:iCs w:val="0"/>
                <w:color w:val="auto"/>
                <w:spacing w:val="0"/>
                <w:kern w:val="2"/>
                <w:position w:val="0"/>
                <w:sz w:val="21"/>
                <w:szCs w:val="21"/>
                <w:highlight w:val="none"/>
                <w:lang w:val="en-US" w:eastAsia="zh-CN" w:bidi="ar-SA"/>
              </w:rPr>
            </w:pPr>
            <w:r>
              <w:rPr>
                <w:rFonts w:hint="eastAsia" w:ascii="宋体" w:hAnsi="宋体" w:eastAsia="宋体" w:cs="宋体"/>
                <w:i w:val="0"/>
                <w:iCs w:val="0"/>
                <w:color w:val="auto"/>
                <w:spacing w:val="0"/>
                <w:position w:val="0"/>
                <w:sz w:val="21"/>
                <w:szCs w:val="21"/>
                <w:highlight w:val="none"/>
              </w:rPr>
              <w:t>此处投标报价指经过报价修正，及因落实政府采购政策进行价格调整后的报价，详见第四章《评标程序、评标方法和评标标准》2.4、2.5及2.6。</w:t>
            </w:r>
          </w:p>
        </w:tc>
      </w:tr>
      <w:tr w14:paraId="4B53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9" w:hRule="atLeast"/>
          <w:jc w:val="center"/>
        </w:trPr>
        <w:tc>
          <w:tcPr>
            <w:tcW w:w="280" w:type="pct"/>
            <w:vMerge w:val="restart"/>
            <w:vAlign w:val="center"/>
          </w:tcPr>
          <w:p w14:paraId="3AA1D4D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w:t>
            </w:r>
          </w:p>
        </w:tc>
        <w:tc>
          <w:tcPr>
            <w:tcW w:w="281" w:type="pct"/>
            <w:vMerge w:val="restart"/>
            <w:vAlign w:val="center"/>
          </w:tcPr>
          <w:p w14:paraId="3DA30DE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商务部分</w:t>
            </w:r>
          </w:p>
          <w:p w14:paraId="41D25F8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30分</w:t>
            </w:r>
          </w:p>
        </w:tc>
        <w:tc>
          <w:tcPr>
            <w:tcW w:w="370" w:type="pct"/>
            <w:vAlign w:val="center"/>
          </w:tcPr>
          <w:p w14:paraId="75B2CA3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类似业绩</w:t>
            </w:r>
          </w:p>
        </w:tc>
        <w:tc>
          <w:tcPr>
            <w:tcW w:w="399" w:type="pct"/>
            <w:vAlign w:val="center"/>
          </w:tcPr>
          <w:p w14:paraId="0FB857B0">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kern w:val="2"/>
                <w:position w:val="0"/>
                <w:sz w:val="21"/>
                <w:szCs w:val="21"/>
                <w:highlight w:val="none"/>
                <w:lang w:val="en-US" w:eastAsia="zh-CN" w:bidi="ar-SA"/>
              </w:rPr>
              <w:t>6分</w:t>
            </w:r>
          </w:p>
        </w:tc>
        <w:tc>
          <w:tcPr>
            <w:tcW w:w="2788" w:type="pct"/>
            <w:vAlign w:val="center"/>
          </w:tcPr>
          <w:p w14:paraId="080E66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i w:val="0"/>
                <w:iCs w:val="0"/>
                <w:color w:val="auto"/>
                <w:spacing w:val="0"/>
                <w:position w:val="0"/>
                <w:sz w:val="21"/>
                <w:szCs w:val="21"/>
                <w:highlight w:val="none"/>
              </w:rPr>
            </w:pPr>
            <w:r>
              <w:rPr>
                <w:rFonts w:hint="eastAsia" w:ascii="宋体" w:hAnsi="宋体" w:eastAsia="宋体" w:cs="宋体"/>
                <w:b w:val="0"/>
                <w:bCs/>
                <w:i w:val="0"/>
                <w:iCs w:val="0"/>
                <w:color w:val="auto"/>
                <w:spacing w:val="0"/>
                <w:position w:val="0"/>
                <w:sz w:val="21"/>
                <w:szCs w:val="21"/>
                <w:highlight w:val="none"/>
              </w:rPr>
              <w:t>供应商自2023年10月01日至今已完成或正在进行类似项目业绩，每提供一个类似业绩得3分，最多得6分。</w:t>
            </w:r>
          </w:p>
          <w:p w14:paraId="3016AB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val="0"/>
                <w:bCs/>
                <w:i w:val="0"/>
                <w:iCs w:val="0"/>
                <w:color w:val="auto"/>
                <w:spacing w:val="0"/>
                <w:position w:val="0"/>
                <w:sz w:val="21"/>
                <w:szCs w:val="21"/>
                <w:highlight w:val="none"/>
              </w:rPr>
              <w:t>注：须提供项目合同关键页（项目名称页，内容页，金额页，双方签字或盖章页）作为评分依据。时间以合同签订时间为准。证明材料请提供证明文件的复印件并加盖公章。</w:t>
            </w:r>
          </w:p>
        </w:tc>
        <w:tc>
          <w:tcPr>
            <w:tcW w:w="880" w:type="pct"/>
            <w:vAlign w:val="center"/>
          </w:tcPr>
          <w:p w14:paraId="528E0928">
            <w:pPr>
              <w:pStyle w:val="248"/>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i w:val="0"/>
                <w:iCs w:val="0"/>
                <w:color w:val="auto"/>
                <w:spacing w:val="0"/>
                <w:position w:val="0"/>
                <w:sz w:val="21"/>
                <w:szCs w:val="21"/>
                <w:highlight w:val="none"/>
              </w:rPr>
            </w:pPr>
            <w:bookmarkStart w:id="1004" w:name="_GoBack"/>
            <w:bookmarkEnd w:id="1004"/>
          </w:p>
        </w:tc>
      </w:tr>
      <w:tr w14:paraId="1C60A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0" w:hRule="atLeast"/>
          <w:jc w:val="center"/>
        </w:trPr>
        <w:tc>
          <w:tcPr>
            <w:tcW w:w="280" w:type="pct"/>
            <w:vMerge w:val="continue"/>
            <w:vAlign w:val="center"/>
          </w:tcPr>
          <w:p w14:paraId="2561B2D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040D5556">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70" w:type="pct"/>
            <w:vAlign w:val="center"/>
          </w:tcPr>
          <w:p w14:paraId="0836B81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拟派项目负责人</w:t>
            </w:r>
          </w:p>
        </w:tc>
        <w:tc>
          <w:tcPr>
            <w:tcW w:w="399" w:type="pct"/>
            <w:vAlign w:val="center"/>
          </w:tcPr>
          <w:p w14:paraId="738CDACC">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15分</w:t>
            </w:r>
          </w:p>
        </w:tc>
        <w:tc>
          <w:tcPr>
            <w:tcW w:w="2788" w:type="pct"/>
            <w:vAlign w:val="center"/>
          </w:tcPr>
          <w:p w14:paraId="4F2517CC">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拟派项目负责人仅限一人：</w:t>
            </w:r>
          </w:p>
          <w:p w14:paraId="25B75ED0">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kern w:val="2"/>
                <w:position w:val="0"/>
                <w:sz w:val="21"/>
                <w:szCs w:val="21"/>
                <w:lang w:val="en-US" w:eastAsia="zh-CN" w:bidi="ar-SA"/>
              </w:rPr>
              <w:t>1）</w:t>
            </w:r>
            <w:r>
              <w:rPr>
                <w:rFonts w:hint="eastAsia" w:ascii="宋体" w:hAnsi="宋体" w:eastAsia="宋体" w:cs="宋体"/>
                <w:i w:val="0"/>
                <w:iCs w:val="0"/>
                <w:color w:val="auto"/>
                <w:spacing w:val="0"/>
                <w:position w:val="0"/>
                <w:sz w:val="21"/>
                <w:szCs w:val="21"/>
                <w:highlight w:val="none"/>
              </w:rPr>
              <w:t>具有生态环境类专业博士研究生学历，得</w:t>
            </w:r>
            <w:r>
              <w:rPr>
                <w:rFonts w:hint="eastAsia" w:ascii="宋体" w:hAnsi="宋体" w:cs="宋体"/>
                <w:i w:val="0"/>
                <w:iCs w:val="0"/>
                <w:color w:val="auto"/>
                <w:spacing w:val="0"/>
                <w:position w:val="0"/>
                <w:sz w:val="21"/>
                <w:szCs w:val="21"/>
                <w:highlight w:val="none"/>
                <w:lang w:val="en-US" w:eastAsia="zh-CN"/>
              </w:rPr>
              <w:t>4</w:t>
            </w:r>
            <w:r>
              <w:rPr>
                <w:rFonts w:hint="eastAsia" w:ascii="宋体" w:hAnsi="宋体" w:eastAsia="宋体" w:cs="宋体"/>
                <w:i w:val="0"/>
                <w:iCs w:val="0"/>
                <w:color w:val="auto"/>
                <w:spacing w:val="0"/>
                <w:position w:val="0"/>
                <w:sz w:val="21"/>
                <w:szCs w:val="21"/>
                <w:highlight w:val="none"/>
              </w:rPr>
              <w:t>分；</w:t>
            </w:r>
          </w:p>
          <w:p w14:paraId="139D651A">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具有生态环境类专业硕士研究生学历，得2分；</w:t>
            </w:r>
          </w:p>
          <w:p w14:paraId="4A0BBA5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具有生态环境类专业本科学历，得1分。</w:t>
            </w:r>
          </w:p>
          <w:p w14:paraId="00A506B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须同时提供学历证书及学信网查询记录（https://www.chsi.com.cn/xlcx/index.jsp）作为证明材料，未提供不得分。</w:t>
            </w:r>
          </w:p>
          <w:p w14:paraId="1DC7F0EE">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2）参与过环境空气质量技术保障类工作，得</w:t>
            </w:r>
            <w:r>
              <w:rPr>
                <w:rFonts w:hint="eastAsia" w:ascii="宋体" w:hAnsi="宋体" w:cs="宋体"/>
                <w:i w:val="0"/>
                <w:iCs w:val="0"/>
                <w:color w:val="auto"/>
                <w:spacing w:val="0"/>
                <w:position w:val="0"/>
                <w:sz w:val="21"/>
                <w:szCs w:val="21"/>
                <w:highlight w:val="none"/>
                <w:lang w:val="en-US" w:eastAsia="zh-CN"/>
              </w:rPr>
              <w:t>3</w:t>
            </w:r>
            <w:r>
              <w:rPr>
                <w:rFonts w:hint="eastAsia" w:ascii="宋体" w:hAnsi="宋体" w:eastAsia="宋体" w:cs="宋体"/>
                <w:i w:val="0"/>
                <w:iCs w:val="0"/>
                <w:color w:val="auto"/>
                <w:spacing w:val="0"/>
                <w:position w:val="0"/>
                <w:sz w:val="21"/>
                <w:szCs w:val="21"/>
                <w:highlight w:val="none"/>
              </w:rPr>
              <w:t>分。须提供主办方颁发的相关证明或证书(体现项目负责人名称)，未提供不得分。</w:t>
            </w:r>
          </w:p>
          <w:p w14:paraId="5F464115">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3）参加过大气二次组分相关工作并获得成果的，得</w:t>
            </w:r>
            <w:r>
              <w:rPr>
                <w:rFonts w:hint="eastAsia" w:ascii="宋体" w:hAnsi="宋体" w:cs="宋体"/>
                <w:i w:val="0"/>
                <w:iCs w:val="0"/>
                <w:color w:val="auto"/>
                <w:spacing w:val="0"/>
                <w:position w:val="0"/>
                <w:sz w:val="21"/>
                <w:szCs w:val="21"/>
                <w:highlight w:val="none"/>
                <w:lang w:val="en-US" w:eastAsia="zh-CN"/>
              </w:rPr>
              <w:t>4</w:t>
            </w:r>
            <w:r>
              <w:rPr>
                <w:rFonts w:hint="eastAsia" w:ascii="宋体" w:hAnsi="宋体" w:eastAsia="宋体" w:cs="宋体"/>
                <w:i w:val="0"/>
                <w:iCs w:val="0"/>
                <w:color w:val="auto"/>
                <w:spacing w:val="0"/>
                <w:position w:val="0"/>
                <w:sz w:val="21"/>
                <w:szCs w:val="21"/>
                <w:highlight w:val="none"/>
              </w:rPr>
              <w:t>分。须提供科技成果登记证书作为证明材料(体现项目负责人名字)，未提供不得分。</w:t>
            </w:r>
          </w:p>
          <w:p w14:paraId="7A740A41">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4）参加过污染来源动态解析或大气环境质量研究类相关科技项目的，每提供1项得2分，此项最高得4分。须提供课题任务书作为证明材料(体现项目负责人名字)，未提供不得分。</w:t>
            </w:r>
          </w:p>
          <w:p w14:paraId="3480ED73">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注：须提供项目负责人的社保登记表作为证明材料，未提供不得分。</w:t>
            </w:r>
          </w:p>
        </w:tc>
        <w:tc>
          <w:tcPr>
            <w:tcW w:w="880" w:type="pct"/>
            <w:vAlign w:val="center"/>
          </w:tcPr>
          <w:p w14:paraId="0689E1F3">
            <w:pPr>
              <w:pStyle w:val="248"/>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val="0"/>
                <w:bCs w:val="0"/>
                <w:i w:val="0"/>
                <w:iCs w:val="0"/>
                <w:color w:val="auto"/>
                <w:spacing w:val="0"/>
                <w:position w:val="0"/>
                <w:sz w:val="21"/>
                <w:szCs w:val="21"/>
                <w:highlight w:val="none"/>
              </w:rPr>
            </w:pPr>
          </w:p>
        </w:tc>
      </w:tr>
      <w:tr w14:paraId="46F5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8" w:hRule="atLeast"/>
          <w:jc w:val="center"/>
        </w:trPr>
        <w:tc>
          <w:tcPr>
            <w:tcW w:w="280" w:type="pct"/>
            <w:vMerge w:val="continue"/>
            <w:vAlign w:val="center"/>
          </w:tcPr>
          <w:p w14:paraId="037E08E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60FB030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70" w:type="pct"/>
            <w:vMerge w:val="restart"/>
            <w:vAlign w:val="center"/>
          </w:tcPr>
          <w:p w14:paraId="6C9E5A7F">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本项目组成员构成情况</w:t>
            </w:r>
          </w:p>
          <w:p w14:paraId="725A3DA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9" w:type="pct"/>
            <w:vMerge w:val="restart"/>
            <w:vAlign w:val="center"/>
          </w:tcPr>
          <w:p w14:paraId="143CBC3F">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9分</w:t>
            </w:r>
          </w:p>
          <w:p w14:paraId="0F7C51F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p>
        </w:tc>
        <w:tc>
          <w:tcPr>
            <w:tcW w:w="2788" w:type="pct"/>
            <w:vMerge w:val="restart"/>
            <w:vAlign w:val="center"/>
          </w:tcPr>
          <w:p w14:paraId="3811BFB3">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1）项目成员中具有人社部门颁发的生态环境类专业高级职称的，每提供1名得</w:t>
            </w:r>
            <w:r>
              <w:rPr>
                <w:rFonts w:hint="eastAsia" w:ascii="宋体" w:hAnsi="宋体" w:cs="宋体"/>
                <w:i w:val="0"/>
                <w:iCs w:val="0"/>
                <w:color w:val="auto"/>
                <w:spacing w:val="0"/>
                <w:position w:val="0"/>
                <w:sz w:val="21"/>
                <w:szCs w:val="21"/>
                <w:highlight w:val="none"/>
                <w:lang w:val="en-US" w:eastAsia="zh-CN"/>
              </w:rPr>
              <w:t>4</w:t>
            </w:r>
            <w:r>
              <w:rPr>
                <w:rFonts w:hint="eastAsia" w:ascii="宋体" w:hAnsi="宋体" w:eastAsia="宋体" w:cs="宋体"/>
                <w:i w:val="0"/>
                <w:iCs w:val="0"/>
                <w:color w:val="auto"/>
                <w:spacing w:val="0"/>
                <w:position w:val="0"/>
                <w:sz w:val="21"/>
                <w:szCs w:val="21"/>
                <w:highlight w:val="none"/>
              </w:rPr>
              <w:t>分，本项最高得</w:t>
            </w:r>
            <w:r>
              <w:rPr>
                <w:rFonts w:hint="eastAsia" w:ascii="宋体" w:hAnsi="宋体" w:cs="宋体"/>
                <w:i w:val="0"/>
                <w:iCs w:val="0"/>
                <w:color w:val="auto"/>
                <w:spacing w:val="0"/>
                <w:position w:val="0"/>
                <w:sz w:val="21"/>
                <w:szCs w:val="21"/>
                <w:highlight w:val="none"/>
                <w:lang w:val="en-US" w:eastAsia="zh-CN"/>
              </w:rPr>
              <w:t>4</w:t>
            </w:r>
            <w:r>
              <w:rPr>
                <w:rFonts w:hint="eastAsia" w:ascii="宋体" w:hAnsi="宋体" w:eastAsia="宋体" w:cs="宋体"/>
                <w:i w:val="0"/>
                <w:iCs w:val="0"/>
                <w:color w:val="auto"/>
                <w:spacing w:val="0"/>
                <w:position w:val="0"/>
                <w:sz w:val="21"/>
                <w:szCs w:val="21"/>
                <w:highlight w:val="none"/>
              </w:rPr>
              <w:t>分。须同时提供职称证书和官网证书查验截图（访问www.12333.gov.cn网页，进入“在线服务”的“人才人事”板块使用职称查询平台）作为证明材料，未提供不得分。</w:t>
            </w:r>
          </w:p>
          <w:p w14:paraId="6CCFAA86">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2）项目成员中具有人社部门颁发的生态环境类专业中级职称的，每提供1名得1分，本项最高得5分。须同时提供职称证书和官网证书查验截图（访问www.12333.gov.cn网页，进入“在线服务”的“人才人事”板块使用职称查询平台）作为证明材料，未提供不得分。</w:t>
            </w:r>
          </w:p>
          <w:p w14:paraId="5322372A">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注：以上成员不重复计分。须提供项目组成员的社保登记表作为证明材料，未提供不得分。</w:t>
            </w:r>
          </w:p>
        </w:tc>
        <w:tc>
          <w:tcPr>
            <w:tcW w:w="880" w:type="pct"/>
            <w:vAlign w:val="center"/>
          </w:tcPr>
          <w:p w14:paraId="6F88F723">
            <w:pPr>
              <w:pStyle w:val="248"/>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val="0"/>
                <w:bCs w:val="0"/>
                <w:i w:val="0"/>
                <w:iCs w:val="0"/>
                <w:color w:val="auto"/>
                <w:spacing w:val="0"/>
                <w:position w:val="0"/>
                <w:sz w:val="21"/>
                <w:szCs w:val="21"/>
                <w:highlight w:val="none"/>
              </w:rPr>
            </w:pPr>
          </w:p>
        </w:tc>
      </w:tr>
      <w:tr w14:paraId="7672D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4" w:hRule="atLeast"/>
          <w:jc w:val="center"/>
        </w:trPr>
        <w:tc>
          <w:tcPr>
            <w:tcW w:w="280" w:type="pct"/>
            <w:vMerge w:val="continue"/>
            <w:vAlign w:val="center"/>
          </w:tcPr>
          <w:p w14:paraId="77746815">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77B9F9A1">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70" w:type="pct"/>
            <w:vMerge w:val="continue"/>
            <w:vAlign w:val="center"/>
          </w:tcPr>
          <w:p w14:paraId="4793FA89">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399" w:type="pct"/>
            <w:vMerge w:val="continue"/>
            <w:vAlign w:val="center"/>
          </w:tcPr>
          <w:p w14:paraId="54E3294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p>
        </w:tc>
        <w:tc>
          <w:tcPr>
            <w:tcW w:w="2788" w:type="pct"/>
            <w:vMerge w:val="continue"/>
            <w:vAlign w:val="center"/>
          </w:tcPr>
          <w:p w14:paraId="05171421">
            <w:pPr>
              <w:keepNext w:val="0"/>
              <w:keepLines w:val="0"/>
              <w:pageBreakBefore w:val="0"/>
              <w:widowControl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rPr>
            </w:pPr>
          </w:p>
        </w:tc>
        <w:tc>
          <w:tcPr>
            <w:tcW w:w="880" w:type="pct"/>
            <w:vAlign w:val="center"/>
          </w:tcPr>
          <w:p w14:paraId="4EB60A7F">
            <w:pPr>
              <w:pStyle w:val="248"/>
              <w:keepNext w:val="0"/>
              <w:keepLines w:val="0"/>
              <w:pageBreakBefore w:val="0"/>
              <w:widowControl w:val="0"/>
              <w:kinsoku/>
              <w:wordWrap/>
              <w:overflowPunct/>
              <w:topLinePunct w:val="0"/>
              <w:autoSpaceDE/>
              <w:autoSpaceDN/>
              <w:bidi w:val="0"/>
              <w:adjustRightInd/>
              <w:snapToGrid/>
              <w:spacing w:before="0" w:after="0" w:line="360" w:lineRule="auto"/>
              <w:jc w:val="left"/>
              <w:textAlignment w:val="auto"/>
              <w:rPr>
                <w:rFonts w:hint="eastAsia" w:ascii="宋体" w:hAnsi="宋体" w:eastAsia="宋体" w:cs="宋体"/>
                <w:b w:val="0"/>
                <w:bCs w:val="0"/>
                <w:i w:val="0"/>
                <w:iCs w:val="0"/>
                <w:color w:val="auto"/>
                <w:spacing w:val="0"/>
                <w:position w:val="0"/>
                <w:sz w:val="21"/>
                <w:szCs w:val="21"/>
                <w:highlight w:val="none"/>
              </w:rPr>
            </w:pPr>
          </w:p>
        </w:tc>
      </w:tr>
      <w:tr w14:paraId="6F3C4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8" w:hRule="atLeast"/>
          <w:jc w:val="center"/>
        </w:trPr>
        <w:tc>
          <w:tcPr>
            <w:tcW w:w="280" w:type="pct"/>
            <w:vMerge w:val="restart"/>
            <w:vAlign w:val="center"/>
          </w:tcPr>
          <w:p w14:paraId="7425FD8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w:t>
            </w:r>
          </w:p>
        </w:tc>
        <w:tc>
          <w:tcPr>
            <w:tcW w:w="281" w:type="pct"/>
            <w:vAlign w:val="center"/>
          </w:tcPr>
          <w:p w14:paraId="04CBA1B6">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技术部分</w:t>
            </w:r>
          </w:p>
          <w:p w14:paraId="072A881F">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60分</w:t>
            </w:r>
          </w:p>
        </w:tc>
        <w:tc>
          <w:tcPr>
            <w:tcW w:w="370" w:type="pct"/>
            <w:vAlign w:val="center"/>
          </w:tcPr>
          <w:p w14:paraId="5A9FFF6E">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服务方案</w:t>
            </w:r>
          </w:p>
        </w:tc>
        <w:tc>
          <w:tcPr>
            <w:tcW w:w="399" w:type="pct"/>
            <w:vAlign w:val="center"/>
          </w:tcPr>
          <w:p w14:paraId="5CC15CD4">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10分</w:t>
            </w:r>
          </w:p>
        </w:tc>
        <w:tc>
          <w:tcPr>
            <w:tcW w:w="2788" w:type="pct"/>
            <w:vAlign w:val="center"/>
          </w:tcPr>
          <w:p w14:paraId="3B73F3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根据招标要求和投标技术响应情况，对供应商提供的本项目全套服务方案进行评价，方案需覆盖扬尘精细化治理服务、颗粒物来源解析服务、污染应急指导管控服务三大板块全部工作内容：</w:t>
            </w:r>
          </w:p>
          <w:p w14:paraId="098DC71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1.方案优秀，完全贴合项目需求（</w:t>
            </w:r>
            <w:r>
              <w:rPr>
                <w:rFonts w:hint="eastAsia" w:ascii="宋体" w:hAnsi="宋体" w:cs="宋体"/>
                <w:i w:val="0"/>
                <w:iCs w:val="0"/>
                <w:color w:val="auto"/>
                <w:spacing w:val="0"/>
                <w:position w:val="0"/>
                <w:sz w:val="21"/>
                <w:szCs w:val="21"/>
                <w:highlight w:val="none"/>
                <w:lang w:val="en-US" w:eastAsia="zh-CN"/>
              </w:rPr>
              <w:t>1</w:t>
            </w:r>
            <w:r>
              <w:rPr>
                <w:rFonts w:hint="eastAsia" w:ascii="宋体" w:hAnsi="宋体" w:eastAsia="宋体" w:cs="宋体"/>
                <w:i w:val="0"/>
                <w:iCs w:val="0"/>
                <w:color w:val="auto"/>
                <w:spacing w:val="0"/>
                <w:position w:val="0"/>
                <w:sz w:val="21"/>
                <w:szCs w:val="21"/>
                <w:highlight w:val="none"/>
                <w:lang w:val="en-US" w:eastAsia="zh-CN"/>
              </w:rPr>
              <w:t>0分）</w:t>
            </w:r>
          </w:p>
          <w:p w14:paraId="45FE20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提供贴合本项目实际、完整详实的专项服务方案。完整覆盖重点区域微环境浮尘深度治理、道路扬尘精细化专项治理、颗粒物组分立体监测、多通道立体走航监测、空气质量综合分析、精细化溯源巡查排查、污染应急指导管控、事后复盘优化全部工作内容；明确作业天数、作业面积、监测天数、走航次数、样区布设、报告产出、设备配置、台账留存、数据质控等指标；各板块工作流程清晰、人员配置匹配、时间计划明确，方案针对性强、落地性高，可直接落地实施，全面满足本项目全部服务要求。</w:t>
            </w:r>
          </w:p>
          <w:p w14:paraId="3ACD3B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2.方案完整，核心需求得到响应（</w:t>
            </w:r>
            <w:r>
              <w:rPr>
                <w:rFonts w:hint="eastAsia" w:ascii="宋体" w:hAnsi="宋体" w:cs="宋体"/>
                <w:i w:val="0"/>
                <w:iCs w:val="0"/>
                <w:color w:val="auto"/>
                <w:spacing w:val="0"/>
                <w:position w:val="0"/>
                <w:sz w:val="21"/>
                <w:szCs w:val="21"/>
                <w:highlight w:val="none"/>
                <w:lang w:val="en-US" w:eastAsia="zh-CN"/>
              </w:rPr>
              <w:t>8</w:t>
            </w:r>
            <w:r>
              <w:rPr>
                <w:rFonts w:hint="eastAsia" w:ascii="宋体" w:hAnsi="宋体" w:eastAsia="宋体" w:cs="宋体"/>
                <w:i w:val="0"/>
                <w:iCs w:val="0"/>
                <w:color w:val="auto"/>
                <w:spacing w:val="0"/>
                <w:position w:val="0"/>
                <w:sz w:val="21"/>
                <w:szCs w:val="21"/>
                <w:highlight w:val="none"/>
                <w:lang w:val="en-US" w:eastAsia="zh-CN"/>
              </w:rPr>
              <w:t>分）</w:t>
            </w:r>
          </w:p>
          <w:p w14:paraId="066CFF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服务方案框架完整，覆盖扬尘治理、源解析、应急管控三大核心业务模块，响应项目主要指标要求；仅部分细节如作业台账细化、报告编制流程、设备运维细节、现场巡查排班等少量内容细化不足，无关键内容缺漏，能够保障项目各项服务正常开展。</w:t>
            </w:r>
          </w:p>
          <w:p w14:paraId="15CAF46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3.方案基础响应，仅满足基础要求（</w:t>
            </w:r>
            <w:r>
              <w:rPr>
                <w:rFonts w:hint="eastAsia" w:ascii="宋体" w:hAnsi="宋体" w:cs="宋体"/>
                <w:i w:val="0"/>
                <w:iCs w:val="0"/>
                <w:color w:val="auto"/>
                <w:spacing w:val="0"/>
                <w:position w:val="0"/>
                <w:sz w:val="21"/>
                <w:szCs w:val="21"/>
                <w:highlight w:val="none"/>
                <w:lang w:val="en-US" w:eastAsia="zh-CN"/>
              </w:rPr>
              <w:t>6</w:t>
            </w:r>
            <w:r>
              <w:rPr>
                <w:rFonts w:hint="eastAsia" w:ascii="宋体" w:hAnsi="宋体" w:eastAsia="宋体" w:cs="宋体"/>
                <w:i w:val="0"/>
                <w:iCs w:val="0"/>
                <w:color w:val="auto"/>
                <w:spacing w:val="0"/>
                <w:position w:val="0"/>
                <w:sz w:val="21"/>
                <w:szCs w:val="21"/>
                <w:highlight w:val="none"/>
                <w:lang w:val="en-US" w:eastAsia="zh-CN"/>
              </w:rPr>
              <w:t>分）</w:t>
            </w:r>
          </w:p>
          <w:p w14:paraId="2E6F1F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投标人仅对项目各服务模块做通用性描述，对本项目作业量、监测任务、成果产出等指标体现不足；缺少专项流程设计，方案通用性强，未深度结合通州区本地污染特征，仅做基础响应，可维持项目基本开展。</w:t>
            </w:r>
          </w:p>
          <w:p w14:paraId="05C3600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4.方案内容单薄，关键内容缺失（</w:t>
            </w:r>
            <w:r>
              <w:rPr>
                <w:rFonts w:hint="eastAsia" w:ascii="宋体" w:hAnsi="宋体" w:cs="宋体"/>
                <w:i w:val="0"/>
                <w:iCs w:val="0"/>
                <w:color w:val="auto"/>
                <w:spacing w:val="0"/>
                <w:position w:val="0"/>
                <w:sz w:val="21"/>
                <w:szCs w:val="21"/>
                <w:highlight w:val="none"/>
                <w:lang w:val="en-US" w:eastAsia="zh-CN"/>
              </w:rPr>
              <w:t>3</w:t>
            </w:r>
            <w:r>
              <w:rPr>
                <w:rFonts w:hint="eastAsia" w:ascii="宋体" w:hAnsi="宋体" w:eastAsia="宋体" w:cs="宋体"/>
                <w:i w:val="0"/>
                <w:iCs w:val="0"/>
                <w:color w:val="auto"/>
                <w:spacing w:val="0"/>
                <w:position w:val="0"/>
                <w:sz w:val="21"/>
                <w:szCs w:val="21"/>
                <w:highlight w:val="none"/>
                <w:lang w:val="en-US" w:eastAsia="zh-CN"/>
              </w:rPr>
              <w:t>分）</w:t>
            </w:r>
          </w:p>
          <w:p w14:paraId="7451FB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服务方案存在业务模块缺项，部分关键工作内容未覆盖；对项目硬性任务指标响应缺失，方案笼统模板化，针对性差，难以保障项目完整实施。</w:t>
            </w:r>
          </w:p>
          <w:p w14:paraId="4E79D6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5.不提供本项方案不得分（0分）</w:t>
            </w:r>
          </w:p>
        </w:tc>
        <w:tc>
          <w:tcPr>
            <w:tcW w:w="880" w:type="pct"/>
            <w:vAlign w:val="center"/>
          </w:tcPr>
          <w:p w14:paraId="4D9FEDD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284F1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8" w:hRule="atLeast"/>
          <w:jc w:val="center"/>
        </w:trPr>
        <w:tc>
          <w:tcPr>
            <w:tcW w:w="280" w:type="pct"/>
            <w:vMerge w:val="continue"/>
            <w:vAlign w:val="center"/>
          </w:tcPr>
          <w:p w14:paraId="292B8823">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restart"/>
            <w:vAlign w:val="center"/>
          </w:tcPr>
          <w:p w14:paraId="441A3D95">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cs="宋体"/>
                <w:i w:val="0"/>
                <w:iCs w:val="0"/>
                <w:color w:val="auto"/>
                <w:spacing w:val="0"/>
                <w:position w:val="0"/>
                <w:sz w:val="21"/>
                <w:szCs w:val="21"/>
                <w:highlight w:val="none"/>
                <w:lang w:val="en-US" w:eastAsia="zh-CN"/>
              </w:rPr>
            </w:pPr>
          </w:p>
        </w:tc>
        <w:tc>
          <w:tcPr>
            <w:tcW w:w="370" w:type="pct"/>
            <w:vAlign w:val="center"/>
          </w:tcPr>
          <w:p w14:paraId="7C6FDD0B">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对本项目需求理解分析</w:t>
            </w:r>
          </w:p>
        </w:tc>
        <w:tc>
          <w:tcPr>
            <w:tcW w:w="399" w:type="pct"/>
            <w:vAlign w:val="center"/>
          </w:tcPr>
          <w:p w14:paraId="5A41D6E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10分</w:t>
            </w:r>
          </w:p>
        </w:tc>
        <w:tc>
          <w:tcPr>
            <w:tcW w:w="2788" w:type="pct"/>
            <w:vAlign w:val="center"/>
          </w:tcPr>
          <w:p w14:paraId="366C28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根据招标要求和投标技术响应情况，对供应商对本项目的需求理解分析内容进行评价，需结合项目政策背景、区域污染现状、采购目标及核心业务诉求开展分析：</w:t>
            </w:r>
          </w:p>
          <w:p w14:paraId="2BE25F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1.理解透彻、贴合实际（10分）</w:t>
            </w:r>
          </w:p>
          <w:p w14:paraId="4AF01A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充分掌握项目政策背景与区域管控压力，精准把握扬尘治理、源解析、应急管控三大核心业务，能识别采购方真实诉求，厘清工作目标、边界与成果要求；结合通州区本地污染特征分析，对重难点有前置预判，内容贴合项目实际，非通用模板。</w:t>
            </w:r>
          </w:p>
          <w:p w14:paraId="199F94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2.理解较完整、需求识别到位（8分）</w:t>
            </w:r>
          </w:p>
          <w:p w14:paraId="441D3D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政策背景与目标阐述完整，三大板块主要需求识别准确，能简述区域污染特征及交付要求；个别细分场景理解深度不足，但无关键错漏，可支撑项目实施。</w:t>
            </w:r>
          </w:p>
          <w:p w14:paraId="4FBAE6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3.基础理解到位、偏通用化（6分）</w:t>
            </w:r>
          </w:p>
          <w:p w14:paraId="206BA1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能介绍行业背景并识别三大模块基本内容，但对通州区本地特征、具体作业指标与采购人管控诉求挖掘不深，表述偏通用，停留在招标文件字面理解。</w:t>
            </w:r>
          </w:p>
          <w:p w14:paraId="44BEA2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4.理解肤浅、存在偏差（3分）</w:t>
            </w:r>
          </w:p>
          <w:p w14:paraId="2949AC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背景现状介绍笼统，部分核心需求理解有偏差，业务边界不清；套用通用模板，未结合项目实际，对方案指导性弱。</w:t>
            </w:r>
          </w:p>
          <w:p w14:paraId="6CBC1F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5.未提供内容（0分）</w:t>
            </w:r>
          </w:p>
        </w:tc>
        <w:tc>
          <w:tcPr>
            <w:tcW w:w="880" w:type="pct"/>
            <w:vAlign w:val="center"/>
          </w:tcPr>
          <w:p w14:paraId="3D4A0A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11D8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80" w:type="pct"/>
            <w:vMerge w:val="continue"/>
            <w:vAlign w:val="center"/>
          </w:tcPr>
          <w:p w14:paraId="262FD5D2">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069A8BF6">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370" w:type="pct"/>
            <w:vAlign w:val="center"/>
          </w:tcPr>
          <w:p w14:paraId="04B5DC37">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实施重难点分析</w:t>
            </w:r>
          </w:p>
        </w:tc>
        <w:tc>
          <w:tcPr>
            <w:tcW w:w="399" w:type="pct"/>
            <w:vAlign w:val="center"/>
          </w:tcPr>
          <w:p w14:paraId="6B3945D6">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10</w:t>
            </w:r>
            <w:r>
              <w:rPr>
                <w:rFonts w:hint="eastAsia" w:ascii="宋体" w:hAnsi="宋体" w:cs="宋体"/>
                <w:i w:val="0"/>
                <w:iCs w:val="0"/>
                <w:color w:val="auto"/>
                <w:spacing w:val="0"/>
                <w:position w:val="0"/>
                <w:sz w:val="21"/>
                <w:szCs w:val="21"/>
                <w:highlight w:val="none"/>
                <w:lang w:val="en-US" w:eastAsia="zh-CN"/>
              </w:rPr>
              <w:t>分</w:t>
            </w:r>
          </w:p>
        </w:tc>
        <w:tc>
          <w:tcPr>
            <w:tcW w:w="2788" w:type="pct"/>
            <w:vAlign w:val="center"/>
          </w:tcPr>
          <w:p w14:paraId="0AA71B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根据招标要求和投标技术响应情况，对供应商提供的项目实施重难点分析及对应解决方案进行评审：</w:t>
            </w:r>
          </w:p>
          <w:p w14:paraId="69582E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1.重难点识别全面，解决方案闭环可落地（10分）</w:t>
            </w:r>
          </w:p>
          <w:p w14:paraId="6BA313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针对本项目实施全过程，结合通州区本地污染源特点、服务周期、多类作业与监测任务、重污染天气应急、设备运维、数据质量管控、多类型成果报告输出等场景，全面识别项目实施重难点；风险/难点定位精准，配套出具针对性强、可落地可执行的处置方案、防控措施、工作预案，形成完整闭环，能够有效化解项目实施过程中的各类难点问题。</w:t>
            </w:r>
          </w:p>
          <w:p w14:paraId="43605D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2.重难点识别较完整，解决方案基本可行（7分）</w:t>
            </w:r>
          </w:p>
          <w:p w14:paraId="4FB6D35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投标人识别出项目主要实施重难点，重难点分析贴合项目主要业务；配套有对应解决措施，但部分措施细节细化不足，无重大缺项，可支撑项目正常实施。</w:t>
            </w:r>
          </w:p>
          <w:p w14:paraId="5C043D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3.重难点分析流于表面，针对性一般（4分）</w:t>
            </w:r>
          </w:p>
          <w:p w14:paraId="4C46D6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投标人仅简单罗列通用项目难点，未结合本项目大气治理业务、通州区项目场景识别关键重难点；解决方案模板化，落地性一般，仅做形式化响应。</w:t>
            </w:r>
          </w:p>
          <w:p w14:paraId="2A40020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4.重难点识别不全，解决方案薄弱（2分）</w:t>
            </w:r>
          </w:p>
          <w:p w14:paraId="3CD1D5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识别重难点数量少，关键实施难点遗漏，配套解决方案空洞，无实质性实施举措。</w:t>
            </w:r>
          </w:p>
          <w:p w14:paraId="65B107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5.不提供重难点分析及解决方案不得分（0分）</w:t>
            </w:r>
          </w:p>
        </w:tc>
        <w:tc>
          <w:tcPr>
            <w:tcW w:w="880" w:type="pct"/>
            <w:vAlign w:val="center"/>
          </w:tcPr>
          <w:p w14:paraId="529A17F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49B06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280" w:type="pct"/>
            <w:vMerge w:val="continue"/>
            <w:vAlign w:val="center"/>
          </w:tcPr>
          <w:p w14:paraId="5FA16D6B">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715E4E04">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370" w:type="pct"/>
            <w:vAlign w:val="center"/>
          </w:tcPr>
          <w:p w14:paraId="0557A317">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日常管理制度</w:t>
            </w:r>
          </w:p>
        </w:tc>
        <w:tc>
          <w:tcPr>
            <w:tcW w:w="399" w:type="pct"/>
            <w:vAlign w:val="center"/>
          </w:tcPr>
          <w:p w14:paraId="36A21841">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10</w:t>
            </w:r>
            <w:r>
              <w:rPr>
                <w:rFonts w:hint="eastAsia" w:ascii="宋体" w:hAnsi="宋体" w:cs="宋体"/>
                <w:i w:val="0"/>
                <w:iCs w:val="0"/>
                <w:color w:val="auto"/>
                <w:spacing w:val="0"/>
                <w:position w:val="0"/>
                <w:sz w:val="21"/>
                <w:szCs w:val="21"/>
                <w:highlight w:val="none"/>
                <w:lang w:val="en-US" w:eastAsia="zh-CN"/>
              </w:rPr>
              <w:t>分</w:t>
            </w:r>
          </w:p>
        </w:tc>
        <w:tc>
          <w:tcPr>
            <w:tcW w:w="2788" w:type="pct"/>
            <w:vAlign w:val="center"/>
          </w:tcPr>
          <w:p w14:paraId="389EB2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根据招标要求和投标技术响应情况，对供应商提供的项目日常工作管理制度进行评审：</w:t>
            </w:r>
          </w:p>
          <w:p w14:paraId="1F5A9D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1.制度体系完善，贴合项目业务，可落地执行（10分）</w:t>
            </w:r>
          </w:p>
          <w:p w14:paraId="5CF4C09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建立适配本项目大气治理服务全套日常管理制度，包含作业台账管理制度、现场作业管理、监测设备运维管理制度、数据质量管控制度、人员岗位职责管理制度、内部工作流转制度、报告编制审核制度、资料归档管理、内部自查考核制度等完整制度体系；制度条款清晰、权责明确，贴合扬尘作业、组分监测、走航巡检、溯源排查、报告输出等本项目业务场景，管控流程完整，具备很强实操性，可保障项目全周期规范运行。</w:t>
            </w:r>
          </w:p>
          <w:p w14:paraId="12074B3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2.制度框架完整，核心管理要求具备（7分）</w:t>
            </w:r>
          </w:p>
          <w:p w14:paraId="2D0E8A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投标人具备完整日常管理制度框架，覆盖人员、设备、数据、报告、资料归档等核心管理模块；制度内容完整，但部分制度条款结合本项目业务细化程度不足，整体可满足项目日常管理需要。</w:t>
            </w:r>
          </w:p>
          <w:p w14:paraId="1BA9834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3.制度框架齐全，内容笼统，可执行性弱（4分）</w:t>
            </w:r>
          </w:p>
          <w:p w14:paraId="469465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投标人具备基础管理制度框架，但制度内容通用性强，未针对大气监测、现场作业、数据质控、成果输出等本项目业务做专项细化；条款笼统，缺少可执行管控细则，仅满足基础管理要求。</w:t>
            </w:r>
          </w:p>
          <w:p w14:paraId="3FCACC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4.制度内容残缺，管理体系不完整（2分）</w:t>
            </w:r>
          </w:p>
          <w:p w14:paraId="0A8A5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管理制度碎片化，关键管理模块缺失，缺少设备运维、数据质控、台账归档等关键制度，制度逻辑混乱，无法支撑项目规范化日常管理。</w:t>
            </w:r>
          </w:p>
          <w:p w14:paraId="2D9D8BA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5.不提供日常管理制度不得分（0分）</w:t>
            </w:r>
          </w:p>
        </w:tc>
        <w:tc>
          <w:tcPr>
            <w:tcW w:w="880" w:type="pct"/>
            <w:vAlign w:val="center"/>
          </w:tcPr>
          <w:p w14:paraId="597AAF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6EF8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280" w:type="pct"/>
            <w:vMerge w:val="continue"/>
            <w:vAlign w:val="center"/>
          </w:tcPr>
          <w:p w14:paraId="4CB6A89E">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3B4A02C7">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370" w:type="pct"/>
            <w:vAlign w:val="center"/>
          </w:tcPr>
          <w:p w14:paraId="31541065">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应急处置方案</w:t>
            </w:r>
          </w:p>
        </w:tc>
        <w:tc>
          <w:tcPr>
            <w:tcW w:w="399" w:type="pct"/>
            <w:vAlign w:val="center"/>
          </w:tcPr>
          <w:p w14:paraId="05977BDE">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cs="宋体"/>
                <w:i w:val="0"/>
                <w:iCs w:val="0"/>
                <w:color w:val="auto"/>
                <w:spacing w:val="0"/>
                <w:position w:val="0"/>
                <w:sz w:val="21"/>
                <w:szCs w:val="21"/>
                <w:highlight w:val="none"/>
                <w:lang w:val="en-US" w:eastAsia="zh-CN"/>
              </w:rPr>
              <w:t>12分</w:t>
            </w:r>
          </w:p>
        </w:tc>
        <w:tc>
          <w:tcPr>
            <w:tcW w:w="2788" w:type="pct"/>
            <w:vAlign w:val="center"/>
          </w:tcPr>
          <w:p w14:paraId="718C0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根据招标要求和投标技术响应情况，对供应商提供的突发事件应急处置方案进行评价，包含重污染天气应急、恶劣天气作业处置、监测设备故障、现场作业安全、数据异常、突发安全隐患等场景：</w:t>
            </w:r>
          </w:p>
          <w:p w14:paraId="575230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1.方案系统完整、贴合项目场景，闭环可落地（12分）</w:t>
            </w:r>
          </w:p>
          <w:p w14:paraId="41AB51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提供完整系统贴合本项目实际的突发事件应急预案。包含全面风险识别、应急组织架构、清晰岗位职责、分级分类应急处置流程、7×24小时应急保障机制、重污染天气期间工作调度机制、设备故障应急处置、恶劣天气作业调整方案、数据异常排查处置、事后复盘整改及预案迭代机制；方案逻辑严谨、细节完善，针对扬尘作业、组分监测、移动走航、现场溯源排查等业务场景制定专项处置流程，责任清晰、处置时限明确，可直接落地执行，完全满足本项目应急保障需求。</w:t>
            </w:r>
          </w:p>
          <w:p w14:paraId="62C7E29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2.方案完整，核心处置流程齐全（9分）</w:t>
            </w:r>
          </w:p>
          <w:p w14:paraId="5FB179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提供完整突发事件应急预案，覆盖应急组织、主要突发事件处置流程、保障措施、复盘优化等核心内容；整体方案具备落地性，仅个别场景细节未细化，无实质性缺项、无重大漏洞，可满足项目应急工作需求。</w:t>
            </w:r>
          </w:p>
          <w:p w14:paraId="64B5F7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3.方案框架完整，针对性不足（6分）</w:t>
            </w:r>
          </w:p>
          <w:p w14:paraId="503AC9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投标人应急预案整体框架完整，包含基本应急组织、处置流程、简单保障措施；但方案通用性较强，缺少本项目大气治理业务场景化适配设计，落地性一般，仅满足项目最低应急要求。</w:t>
            </w:r>
          </w:p>
          <w:p w14:paraId="226ED4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4.方案碎片化，关键内容缺失（3分）</w:t>
            </w:r>
          </w:p>
          <w:p w14:paraId="0BC77A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投标人仅提供简单应急相关内容，方案不成体系，关键应急流程、岗位职责、业务场景处置措施存在较多缺项，无法全面保障项目突发事件处置工作。</w:t>
            </w:r>
          </w:p>
          <w:p w14:paraId="530EBD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5.不提供应急处置方案不得分（0分）</w:t>
            </w:r>
          </w:p>
        </w:tc>
        <w:tc>
          <w:tcPr>
            <w:tcW w:w="880" w:type="pct"/>
            <w:vAlign w:val="center"/>
          </w:tcPr>
          <w:p w14:paraId="7B8646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79A8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280" w:type="pct"/>
            <w:vMerge w:val="continue"/>
            <w:vAlign w:val="center"/>
          </w:tcPr>
          <w:p w14:paraId="798328C7">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281" w:type="pct"/>
            <w:vMerge w:val="continue"/>
            <w:vAlign w:val="center"/>
          </w:tcPr>
          <w:p w14:paraId="31D129CF">
            <w:pPr>
              <w:keepNext w:val="0"/>
              <w:keepLines w:val="0"/>
              <w:pageBreakBefore w:val="0"/>
              <w:widowControl w:val="0"/>
              <w:kinsoku/>
              <w:wordWrap/>
              <w:overflowPunct/>
              <w:topLinePunct w:val="0"/>
              <w:autoSpaceDE/>
              <w:autoSpaceDN/>
              <w:bidi w:val="0"/>
              <w:adjustRightInd/>
              <w:snapToGrid/>
              <w:spacing w:beforeLines="0"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370" w:type="pct"/>
            <w:vAlign w:val="center"/>
          </w:tcPr>
          <w:p w14:paraId="36DFA1EF">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服务承诺及保障措施</w:t>
            </w:r>
          </w:p>
        </w:tc>
        <w:tc>
          <w:tcPr>
            <w:tcW w:w="399" w:type="pct"/>
            <w:vAlign w:val="center"/>
          </w:tcPr>
          <w:p w14:paraId="28A6D4C4">
            <w:pPr>
              <w:keepNext w:val="0"/>
              <w:keepLines w:val="0"/>
              <w:pageBreakBefore w:val="0"/>
              <w:widowControl w:val="0"/>
              <w:kinsoku/>
              <w:wordWrap/>
              <w:overflowPunct/>
              <w:topLinePunct w:val="0"/>
              <w:autoSpaceDE/>
              <w:autoSpaceDN/>
              <w:bidi w:val="0"/>
              <w:adjustRightInd/>
              <w:snapToGrid/>
              <w:spacing w:line="360" w:lineRule="auto"/>
              <w:ind w:firstLine="28" w:firstLineChars="0"/>
              <w:jc w:val="center"/>
              <w:textAlignment w:val="auto"/>
              <w:rPr>
                <w:rFonts w:hint="default"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8</w:t>
            </w:r>
            <w:r>
              <w:rPr>
                <w:rFonts w:hint="eastAsia" w:ascii="宋体" w:hAnsi="宋体" w:cs="宋体"/>
                <w:i w:val="0"/>
                <w:iCs w:val="0"/>
                <w:color w:val="auto"/>
                <w:spacing w:val="0"/>
                <w:position w:val="0"/>
                <w:sz w:val="21"/>
                <w:szCs w:val="21"/>
                <w:highlight w:val="none"/>
                <w:lang w:val="en-US" w:eastAsia="zh-CN"/>
              </w:rPr>
              <w:t>分</w:t>
            </w:r>
          </w:p>
        </w:tc>
        <w:tc>
          <w:tcPr>
            <w:tcW w:w="2788" w:type="pct"/>
            <w:vAlign w:val="center"/>
          </w:tcPr>
          <w:p w14:paraId="1719F7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根据招标要求和投标技术响应情况，对供应商提供的服务质量保障、履约保障相关措施进行评审：</w:t>
            </w:r>
          </w:p>
          <w:p w14:paraId="0DC905D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1.保障体系完整详实，针对性强，可落地（8分）</w:t>
            </w:r>
          </w:p>
          <w:p w14:paraId="2CE383C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提供完善细化贴合本项目的全套服务保障措施。内容完整包含项目履约组织保障、人员保障、设备保障、作业质量保障、监测数据质量保障、报告成果质量管控、项目进度管控、成果交付保障、问题整改机制、内部监督考核、采购人沟通对接机制、项目台账资料闭环管理等全套保障体系；各项保障措施贴合扬尘治理、组分监测、走航溯源、应急管控等本项目业务，责任明确、流程清晰，可直接落地执行，完全满足本项目服务质量要求。</w:t>
            </w:r>
          </w:p>
          <w:p w14:paraId="5D04756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2.保障方案完整，少量细节待细化（6分）</w:t>
            </w:r>
          </w:p>
          <w:p w14:paraId="17CA08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投标人服务保障方案整体完整，覆盖人员、设备、成果、进度、沟通等核心保障模块，保障措施具备落地条件；仅部分管控细则、考核机制细节略有欠缺，无实质性缺项，可充分保障本项目服务质量。</w:t>
            </w:r>
          </w:p>
          <w:p w14:paraId="22AFBA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3.保障框架齐全，针对性一般（4分）</w:t>
            </w:r>
          </w:p>
          <w:p w14:paraId="510EB4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投标人保障方案框架完整，具备基础服务保障内容；但方案通用性较强，未结合本项目大气治理业务特点细化保障标准，内容笼统常规，仅满足项目基础服务保障最低要求。</w:t>
            </w:r>
          </w:p>
          <w:p w14:paraId="231E95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4.保障措施单薄，关键内容缺失（2分）</w:t>
            </w:r>
          </w:p>
          <w:p w14:paraId="1E8B326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投标人仅提供简单保障相关表述，方案碎片化，关键履约保障机制缺失，无明确管控标准，无法有效保障项目服务质量。</w:t>
            </w:r>
          </w:p>
          <w:p w14:paraId="7254DF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5.不提供服务承诺及保障措施，得0分。</w:t>
            </w:r>
          </w:p>
        </w:tc>
        <w:tc>
          <w:tcPr>
            <w:tcW w:w="880" w:type="pct"/>
            <w:vAlign w:val="center"/>
          </w:tcPr>
          <w:p w14:paraId="16C7F5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r w14:paraId="5086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561" w:type="pct"/>
            <w:gridSpan w:val="2"/>
            <w:vAlign w:val="center"/>
          </w:tcPr>
          <w:p w14:paraId="6A5DCF78">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合计</w:t>
            </w:r>
          </w:p>
        </w:tc>
        <w:tc>
          <w:tcPr>
            <w:tcW w:w="370" w:type="pct"/>
            <w:vAlign w:val="center"/>
          </w:tcPr>
          <w:p w14:paraId="7B2A71BD">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p>
        </w:tc>
        <w:tc>
          <w:tcPr>
            <w:tcW w:w="399" w:type="pct"/>
            <w:vAlign w:val="center"/>
          </w:tcPr>
          <w:p w14:paraId="7C167F10">
            <w:pPr>
              <w:keepNext w:val="0"/>
              <w:keepLines w:val="0"/>
              <w:pageBreakBefore w:val="0"/>
              <w:widowControl w:val="0"/>
              <w:kinsoku/>
              <w:wordWrap/>
              <w:overflowPunct/>
              <w:topLinePunct w:val="0"/>
              <w:autoSpaceDE/>
              <w:autoSpaceDN/>
              <w:bidi w:val="0"/>
              <w:adjustRightInd/>
              <w:snapToGrid/>
              <w:spacing w:line="360" w:lineRule="auto"/>
              <w:ind w:firstLine="28"/>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100</w:t>
            </w:r>
          </w:p>
        </w:tc>
        <w:tc>
          <w:tcPr>
            <w:tcW w:w="3668" w:type="pct"/>
            <w:gridSpan w:val="2"/>
            <w:vAlign w:val="center"/>
          </w:tcPr>
          <w:p w14:paraId="4ACE87A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1"/>
                <w:szCs w:val="21"/>
                <w:highlight w:val="none"/>
              </w:rPr>
            </w:pPr>
          </w:p>
        </w:tc>
      </w:tr>
    </w:tbl>
    <w:p w14:paraId="32ACAF7D">
      <w:pPr>
        <w:pageBreakBefore w:val="0"/>
        <w:tabs>
          <w:tab w:val="left" w:pos="360"/>
          <w:tab w:val="left" w:pos="1080"/>
        </w:tabs>
        <w:wordWrap/>
        <w:topLinePunct w:val="0"/>
        <w:bidi w:val="0"/>
        <w:snapToGrid w:val="0"/>
        <w:spacing w:line="360" w:lineRule="auto"/>
        <w:rPr>
          <w:rFonts w:hint="eastAsia" w:ascii="宋体" w:hAnsi="宋体" w:eastAsia="宋体" w:cs="宋体"/>
          <w:i w:val="0"/>
          <w:iCs w:val="0"/>
          <w:color w:val="auto"/>
          <w:spacing w:val="0"/>
          <w:position w:val="0"/>
          <w:sz w:val="24"/>
          <w:highlight w:val="none"/>
        </w:rPr>
      </w:pPr>
    </w:p>
    <w:p w14:paraId="79A07A45">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36"/>
          <w:szCs w:val="36"/>
          <w:highlight w:val="none"/>
        </w:rPr>
      </w:pPr>
    </w:p>
    <w:p w14:paraId="30E86031">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br w:type="page"/>
      </w:r>
      <w:bookmarkStart w:id="824" w:name="_Toc4598"/>
      <w:r>
        <w:rPr>
          <w:rFonts w:hint="eastAsia" w:ascii="宋体" w:hAnsi="宋体" w:eastAsia="宋体" w:cs="宋体"/>
          <w:b/>
          <w:i w:val="0"/>
          <w:iCs w:val="0"/>
          <w:color w:val="auto"/>
          <w:spacing w:val="0"/>
          <w:position w:val="0"/>
          <w:sz w:val="36"/>
          <w:szCs w:val="36"/>
          <w:highlight w:val="none"/>
        </w:rPr>
        <w:t>第五章   采购需求</w:t>
      </w:r>
      <w:bookmarkEnd w:id="824"/>
    </w:p>
    <w:p w14:paraId="30E9FC1A">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2E6AB333">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bookmarkStart w:id="825" w:name="_Hlk167284587"/>
      <w:r>
        <w:rPr>
          <w:rFonts w:hint="eastAsia" w:ascii="宋体" w:hAnsi="宋体" w:eastAsia="宋体" w:cs="宋体"/>
          <w:i w:val="0"/>
          <w:iCs w:val="0"/>
          <w:color w:val="auto"/>
          <w:spacing w:val="0"/>
          <w:position w:val="0"/>
          <w:sz w:val="24"/>
          <w:highlight w:val="none"/>
        </w:rPr>
        <w:t>1. 当采购项目涉及政务信息系统时，采购需求应当符合《政务信息系统政府采购管理暂行办法》（财库〔2017〕210号）的相关要求。</w:t>
      </w:r>
    </w:p>
    <w:p w14:paraId="3E4BD812">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bookmarkStart w:id="826" w:name="_Hlk168431603"/>
      <w:r>
        <w:rPr>
          <w:rFonts w:hint="eastAsia" w:ascii="宋体" w:hAnsi="宋体" w:eastAsia="宋体" w:cs="宋体"/>
          <w:i w:val="0"/>
          <w:iCs w:val="0"/>
          <w:color w:val="auto"/>
          <w:spacing w:val="0"/>
          <w:position w:val="0"/>
          <w:sz w:val="24"/>
          <w:highlight w:val="none"/>
        </w:rPr>
        <w:t>2. 采购人及采购代理机构应关注财政部门会同有关部门制定发布的需求标准，结合具体应用场景，根据对应《需求标准》确定采购需求。</w:t>
      </w:r>
    </w:p>
    <w:p w14:paraId="15BA6E17">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已发布的需求标准如下：</w:t>
      </w:r>
    </w:p>
    <w:p w14:paraId="7AFC3D3A">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《关于印发〈商品包装政府采购需求标准（试行）〉、〈快递包装政府采购需求标准（试行）〉的通知》（财办库﹝2020﹞123号））</w:t>
      </w:r>
    </w:p>
    <w:p w14:paraId="3EC0306E">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《绿色数据中心政府采购需求标准（试行）》（财库〔2023〕7号）</w:t>
      </w:r>
    </w:p>
    <w:p w14:paraId="6F159B07">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《台式计算机政府采购需求标准（2023年版）》（财库〔2023〕29号）</w:t>
      </w:r>
    </w:p>
    <w:p w14:paraId="022DE515">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《便携式计算机政府采购需求标准（2023年版）》（财库〔2023〕30号）</w:t>
      </w:r>
    </w:p>
    <w:p w14:paraId="48060541">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《一体式计算机政府采购需求标准（2023年版）》（财库〔2023〕31号）</w:t>
      </w:r>
    </w:p>
    <w:p w14:paraId="7AF40380">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《工作站政府采购需求标准（2023年版）》（财库〔2023〕32号）</w:t>
      </w:r>
    </w:p>
    <w:p w14:paraId="62D16B27">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《通用服务器政府采购需求标准（2023年版）》（财库〔2023〕33号）</w:t>
      </w:r>
    </w:p>
    <w:p w14:paraId="0AD5D620">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《操作系统政府采购需求标准（2023年版）》（财库〔2023〕34号）</w:t>
      </w:r>
    </w:p>
    <w:p w14:paraId="32894153">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《数据库政府采购需求标准（2023年版）》（财库〔2023〕35号）</w:t>
      </w:r>
    </w:p>
    <w:p w14:paraId="3A56D0D9">
      <w:pPr>
        <w:pStyle w:val="251"/>
        <w:pageBreakBefore w:val="0"/>
        <w:wordWrap/>
        <w:topLinePunct w:val="0"/>
        <w:bidi w:val="0"/>
        <w:spacing w:before="0" w:beforeAutospacing="0" w:after="0" w:afterAutospacing="0" w:line="360" w:lineRule="auto"/>
        <w:rPr>
          <w:rFonts w:hint="eastAsia" w:ascii="宋体" w:hAnsi="宋体" w:eastAsia="宋体" w:cs="宋体"/>
          <w:i w:val="0"/>
          <w:iCs w:val="0"/>
          <w:color w:val="auto"/>
          <w:spacing w:val="0"/>
          <w:kern w:val="2"/>
          <w:position w:val="0"/>
          <w:highlight w:val="none"/>
        </w:rPr>
      </w:pPr>
      <w:r>
        <w:rPr>
          <w:rFonts w:hint="eastAsia" w:ascii="宋体" w:hAnsi="宋体" w:eastAsia="宋体" w:cs="宋体"/>
          <w:i w:val="0"/>
          <w:iCs w:val="0"/>
          <w:color w:val="auto"/>
          <w:spacing w:val="0"/>
          <w:kern w:val="2"/>
          <w:position w:val="0"/>
          <w:highlight w:val="none"/>
        </w:rPr>
        <w:t>《物业管理服务政府采购需求标准（办公场所类）（试行）》（财办库〔2024〕113号）</w:t>
      </w:r>
    </w:p>
    <w:p w14:paraId="270D638E">
      <w:pPr>
        <w:pageBreakBefore w:val="0"/>
        <w:wordWrap/>
        <w:topLinePunct w:val="0"/>
        <w:bidi w:val="0"/>
        <w:spacing w:line="360" w:lineRule="auto"/>
        <w:contextualSpacing/>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如有更新或增加，以财政部门发布为准。</w:t>
      </w:r>
    </w:p>
    <w:bookmarkEnd w:id="825"/>
    <w:bookmarkEnd w:id="826"/>
    <w:p w14:paraId="6DF9574F">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2DEC4E1F">
      <w:pPr>
        <w:keepNext w:val="0"/>
        <w:keepLines w:val="0"/>
        <w:ind w:left="0" w:leftChars="0" w:firstLine="602" w:firstLineChars="200"/>
        <w:rPr>
          <w:rFonts w:hint="eastAsia" w:ascii="黑体" w:hAnsi="黑体" w:eastAsia="黑体" w:cs="黑体"/>
          <w:b/>
          <w:bCs w:val="0"/>
          <w:color w:val="auto"/>
          <w:sz w:val="30"/>
          <w:szCs w:val="30"/>
          <w:highlight w:val="none"/>
          <w:lang w:eastAsia="zh-CN"/>
        </w:rPr>
      </w:pPr>
      <w:bookmarkStart w:id="827" w:name="_Toc494938282"/>
      <w:bookmarkStart w:id="828" w:name="_Toc689352976"/>
      <w:bookmarkStart w:id="829" w:name="_Toc1326304437"/>
      <w:bookmarkStart w:id="830" w:name="_Toc247301634"/>
      <w:bookmarkStart w:id="831" w:name="_Toc577116313"/>
      <w:bookmarkStart w:id="832" w:name="_Toc115811270"/>
      <w:bookmarkStart w:id="833" w:name="_Toc904267113"/>
      <w:bookmarkStart w:id="834" w:name="_Toc809052651"/>
      <w:bookmarkStart w:id="835" w:name="_Toc853425197"/>
      <w:bookmarkStart w:id="836" w:name="_Toc32520"/>
      <w:bookmarkStart w:id="837" w:name="_Toc10060"/>
      <w:bookmarkStart w:id="838" w:name="_Toc267973163"/>
      <w:bookmarkStart w:id="839" w:name="_Toc1659422666"/>
      <w:bookmarkStart w:id="840" w:name="_Toc1079311260"/>
      <w:bookmarkStart w:id="841" w:name="_Toc1003415504"/>
      <w:bookmarkStart w:id="842" w:name="_Toc1105988921"/>
      <w:bookmarkStart w:id="843" w:name="_Toc979822394"/>
      <w:bookmarkStart w:id="844" w:name="_Toc2101581587"/>
      <w:bookmarkStart w:id="845" w:name="_Toc1235621910"/>
      <w:bookmarkStart w:id="846" w:name="_Toc205708112"/>
      <w:bookmarkStart w:id="847" w:name="_Toc112169486"/>
      <w:r>
        <w:rPr>
          <w:rFonts w:hint="eastAsia" w:ascii="黑体" w:hAnsi="黑体" w:eastAsia="黑体" w:cs="黑体"/>
          <w:b/>
          <w:bCs w:val="0"/>
          <w:color w:val="auto"/>
          <w:sz w:val="30"/>
          <w:szCs w:val="30"/>
          <w:highlight w:val="none"/>
        </w:rPr>
        <w:t>一、项目概况</w:t>
      </w:r>
      <w:bookmarkEnd w:id="827"/>
      <w:bookmarkEnd w:id="828"/>
      <w:bookmarkEnd w:id="829"/>
      <w:bookmarkEnd w:id="830"/>
      <w:bookmarkEnd w:id="831"/>
      <w:bookmarkEnd w:id="832"/>
      <w:bookmarkEnd w:id="833"/>
      <w:bookmarkEnd w:id="834"/>
      <w:bookmarkEnd w:id="835"/>
      <w:bookmarkEnd w:id="836"/>
    </w:p>
    <w:p w14:paraId="4D3EB184">
      <w:pPr>
        <w:keepNext/>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1"/>
        <w:rPr>
          <w:rFonts w:hint="eastAsia" w:ascii="楷体" w:hAnsi="楷体" w:eastAsia="楷体" w:cs="楷体"/>
          <w:b/>
          <w:bCs/>
          <w:color w:val="auto"/>
          <w:sz w:val="28"/>
          <w:szCs w:val="28"/>
          <w:lang w:eastAsia="zh-CN"/>
        </w:rPr>
      </w:pP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lang w:val="en-US" w:eastAsia="zh-CN"/>
        </w:rPr>
        <w:t>一</w:t>
      </w:r>
      <w:r>
        <w:rPr>
          <w:rFonts w:hint="eastAsia" w:ascii="楷体" w:hAnsi="楷体" w:eastAsia="楷体" w:cs="楷体"/>
          <w:b/>
          <w:bCs/>
          <w:color w:val="auto"/>
          <w:sz w:val="28"/>
          <w:szCs w:val="28"/>
          <w:lang w:eastAsia="zh-CN"/>
        </w:rPr>
        <w:t>）</w:t>
      </w:r>
      <w:r>
        <w:rPr>
          <w:rFonts w:hint="eastAsia" w:ascii="楷体" w:hAnsi="楷体" w:eastAsia="楷体" w:cs="楷体"/>
          <w:b/>
          <w:bCs/>
          <w:color w:val="auto"/>
          <w:sz w:val="28"/>
          <w:szCs w:val="28"/>
        </w:rPr>
        <w:t>项目背景</w:t>
      </w:r>
      <w:bookmarkEnd w:id="837"/>
      <w:bookmarkEnd w:id="838"/>
      <w:bookmarkEnd w:id="839"/>
      <w:bookmarkEnd w:id="840"/>
      <w:bookmarkEnd w:id="841"/>
      <w:bookmarkEnd w:id="842"/>
      <w:bookmarkEnd w:id="843"/>
      <w:bookmarkEnd w:id="844"/>
      <w:bookmarkEnd w:id="845"/>
      <w:bookmarkEnd w:id="846"/>
      <w:bookmarkEnd w:id="847"/>
      <w:r>
        <w:rPr>
          <w:rFonts w:hint="eastAsia" w:ascii="楷体" w:hAnsi="楷体" w:eastAsia="楷体" w:cs="楷体"/>
          <w:b/>
          <w:bCs/>
          <w:color w:val="auto"/>
          <w:sz w:val="28"/>
          <w:szCs w:val="28"/>
          <w:lang w:eastAsia="zh-CN"/>
        </w:rPr>
        <w:t>：</w:t>
      </w:r>
    </w:p>
    <w:p w14:paraId="3D42E0D5">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2026年是“十五五”生态环境保护工作开局之年，通州区PM2.5浓度在北京市各区中处于较高水平，部分时段受区域传输和本地污染源叠加影响，空气质量波动明显。为贯彻“0.1微克”攻坚行动，拟开展通州区重点区域大气精细化治理项目，通过提高走航监测和溯源能力，提升精细化管控水平，推动空气质量持续改善。</w:t>
      </w:r>
    </w:p>
    <w:p w14:paraId="7D8064E6">
      <w:pPr>
        <w:keepNext/>
        <w:keepLines/>
        <w:pageBreakBefore w:val="0"/>
        <w:widowControl w:val="0"/>
        <w:numPr>
          <w:ilvl w:val="-1"/>
          <w:numId w:val="0"/>
        </w:numPr>
        <w:kinsoku/>
        <w:wordWrap/>
        <w:overflowPunct/>
        <w:topLinePunct w:val="0"/>
        <w:autoSpaceDE/>
        <w:autoSpaceDN/>
        <w:bidi w:val="0"/>
        <w:adjustRightInd/>
        <w:snapToGrid/>
        <w:spacing w:line="560" w:lineRule="exact"/>
        <w:ind w:firstLine="562" w:firstLineChars="200"/>
        <w:jc w:val="left"/>
        <w:textAlignment w:val="auto"/>
        <w:outlineLvl w:val="1"/>
        <w:rPr>
          <w:rFonts w:hint="eastAsia" w:ascii="楷体" w:hAnsi="楷体" w:eastAsia="楷体" w:cs="楷体"/>
          <w:b/>
          <w:bCs/>
          <w:color w:val="auto"/>
          <w:sz w:val="28"/>
          <w:szCs w:val="28"/>
          <w:lang w:val="en-US" w:eastAsia="zh-CN"/>
        </w:rPr>
      </w:pPr>
      <w:r>
        <w:rPr>
          <w:rFonts w:hint="eastAsia" w:ascii="楷体" w:hAnsi="楷体" w:eastAsia="楷体" w:cs="楷体"/>
          <w:b/>
          <w:bCs/>
          <w:color w:val="auto"/>
          <w:kern w:val="2"/>
          <w:sz w:val="28"/>
          <w:szCs w:val="28"/>
          <w:lang w:val="en-US" w:eastAsia="zh-CN" w:bidi="ar-SA"/>
        </w:rPr>
        <w:t>（二）</w:t>
      </w:r>
      <w:r>
        <w:rPr>
          <w:rFonts w:hint="eastAsia" w:ascii="楷体" w:hAnsi="楷体" w:eastAsia="楷体" w:cs="楷体"/>
          <w:b/>
          <w:bCs/>
          <w:color w:val="auto"/>
          <w:sz w:val="28"/>
          <w:szCs w:val="28"/>
          <w:lang w:val="en-US" w:eastAsia="zh-CN"/>
        </w:rPr>
        <w:t>项目政策依据：</w:t>
      </w:r>
    </w:p>
    <w:p w14:paraId="5AE2CB98">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1.《中华人民共和国国民经济和社会发展第十五个五年规划纲要》；</w:t>
      </w:r>
    </w:p>
    <w:p w14:paraId="4877543B">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2.《中共中央国务院关于深入打好污染防治攻坚战的意见》（国务院公告2021年11月2日）；</w:t>
      </w:r>
    </w:p>
    <w:p w14:paraId="0DADAFC9">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3.《北京城市总体规划(2016年—2035年)》；</w:t>
      </w:r>
    </w:p>
    <w:p w14:paraId="779F4157">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4.《北京市国民经济和社会发展第十五个五年规划纲要》；</w:t>
      </w:r>
    </w:p>
    <w:p w14:paraId="59E2C2C9">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5.《中共北京市委北京市人民政府关于深入打好北京市污染防治攻坚战的实施意见》（政府公报2022年3月24日）；</w:t>
      </w:r>
    </w:p>
    <w:p w14:paraId="1E27EFFF">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6.《北京市人民政府办公厅关于印发〈美丽北京建设 2026 年行动计划〉的通知》（京政办发〔2026〕2号）；</w:t>
      </w:r>
    </w:p>
    <w:p w14:paraId="38D67384">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7.北京城市副中心（通州区）国民经济和社会发展第十五个五年规划纲要</w:t>
      </w:r>
    </w:p>
    <w:p w14:paraId="46708422">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8.《北京市通州区人民政府关于印发&lt;美丽通州建设2026年行动计划的通知&gt;》（通政发〔2026〕4号）</w:t>
      </w:r>
    </w:p>
    <w:p w14:paraId="3BE53086">
      <w:pPr>
        <w:pageBreakBefore w:val="0"/>
        <w:widowControl/>
        <w:kinsoku/>
        <w:wordWrap/>
        <w:overflowPunct/>
        <w:topLinePunct w:val="0"/>
        <w:autoSpaceDE/>
        <w:autoSpaceDN/>
        <w:bidi w:val="0"/>
        <w:adjustRightInd/>
        <w:snapToGrid/>
        <w:spacing w:line="560" w:lineRule="exact"/>
        <w:ind w:left="0" w:leftChars="0" w:firstLine="602" w:firstLineChars="200"/>
        <w:textAlignment w:val="auto"/>
        <w:rPr>
          <w:rFonts w:hint="eastAsia" w:ascii="黑体" w:hAnsi="黑体" w:eastAsia="黑体" w:cs="黑体"/>
          <w:b/>
          <w:bCs w:val="0"/>
          <w:i w:val="0"/>
          <w:iCs w:val="0"/>
          <w:color w:val="auto"/>
          <w:spacing w:val="0"/>
          <w:position w:val="0"/>
          <w:sz w:val="30"/>
          <w:szCs w:val="30"/>
          <w:highlight w:val="none"/>
          <w:lang w:val="en-US" w:eastAsia="zh-CN"/>
        </w:rPr>
      </w:pPr>
      <w:r>
        <w:rPr>
          <w:rFonts w:hint="eastAsia" w:ascii="黑体" w:hAnsi="黑体" w:eastAsia="黑体" w:cs="黑体"/>
          <w:b/>
          <w:bCs w:val="0"/>
          <w:i w:val="0"/>
          <w:iCs w:val="0"/>
          <w:color w:val="auto"/>
          <w:spacing w:val="0"/>
          <w:position w:val="0"/>
          <w:sz w:val="30"/>
          <w:szCs w:val="30"/>
          <w:highlight w:val="none"/>
          <w:lang w:val="en-US" w:eastAsia="zh-CN"/>
        </w:rPr>
        <w:t>二、服务内容及要求</w:t>
      </w:r>
    </w:p>
    <w:p w14:paraId="3BE011AA">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本项目围绕扬尘精细化治理、颗粒物来源解析、污染应急指导管控三大核心板块开展实施</w:t>
      </w:r>
      <w:r>
        <w:rPr>
          <w:rFonts w:hint="eastAsia" w:ascii="宋体" w:hAnsi="宋体" w:cs="宋体"/>
          <w:color w:val="auto"/>
          <w:kern w:val="2"/>
          <w:sz w:val="24"/>
          <w:szCs w:val="24"/>
          <w:lang w:val="en-US" w:eastAsia="zh-CN" w:bidi="ar-SA"/>
        </w:rPr>
        <w:t>。</w:t>
      </w:r>
    </w:p>
    <w:p w14:paraId="758BC38A">
      <w:pPr>
        <w:keepNext/>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1"/>
        <w:rPr>
          <w:rFonts w:hint="eastAsia" w:ascii="楷体" w:hAnsi="楷体" w:eastAsia="楷体" w:cs="楷体"/>
          <w:b/>
          <w:bCs/>
          <w:color w:val="auto"/>
          <w:sz w:val="28"/>
          <w:szCs w:val="28"/>
          <w:lang w:val="en-US" w:eastAsia="zh-CN"/>
        </w:rPr>
      </w:pPr>
      <w:bookmarkStart w:id="848" w:name="_Toc2038718651"/>
      <w:bookmarkStart w:id="849" w:name="_Toc2045346951"/>
      <w:bookmarkStart w:id="850" w:name="_Toc3404489"/>
      <w:bookmarkStart w:id="851" w:name="_Toc72610750"/>
      <w:bookmarkStart w:id="852" w:name="_Toc1535941581"/>
      <w:bookmarkStart w:id="853" w:name="_Toc591250278"/>
      <w:bookmarkStart w:id="854" w:name="_Toc16706"/>
      <w:bookmarkStart w:id="855" w:name="_Toc254330339"/>
      <w:bookmarkStart w:id="856" w:name="_Toc32259237"/>
      <w:bookmarkStart w:id="857" w:name="_Toc300232400"/>
      <w:r>
        <w:rPr>
          <w:rFonts w:hint="eastAsia" w:ascii="楷体" w:hAnsi="楷体" w:eastAsia="楷体" w:cs="楷体"/>
          <w:b/>
          <w:bCs/>
          <w:color w:val="auto"/>
          <w:sz w:val="28"/>
          <w:szCs w:val="28"/>
          <w:lang w:val="en-US" w:eastAsia="zh-CN"/>
        </w:rPr>
        <w:t>（一）扬尘精细化治理服务</w:t>
      </w:r>
      <w:bookmarkEnd w:id="848"/>
      <w:bookmarkEnd w:id="849"/>
      <w:bookmarkEnd w:id="850"/>
      <w:bookmarkEnd w:id="851"/>
      <w:bookmarkEnd w:id="852"/>
      <w:bookmarkEnd w:id="853"/>
      <w:bookmarkEnd w:id="854"/>
      <w:bookmarkEnd w:id="855"/>
      <w:bookmarkEnd w:id="856"/>
      <w:bookmarkEnd w:id="857"/>
    </w:p>
    <w:p w14:paraId="3E614E0F">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1.重点区域微环境浮尘深度治理</w:t>
      </w:r>
    </w:p>
    <w:p w14:paraId="60505E0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服务期内累计实施不少于200天专项保障作业。</w:t>
      </w:r>
    </w:p>
    <w:p w14:paraId="3744866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作业周期聚焦各类大气污染过程、大风沙尘天气过程期间及每轮污染、沙尘天气结束后一周窗口期。</w:t>
      </w:r>
    </w:p>
    <w:p w14:paraId="1A435DD5">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配套微型多功能作业车2台、工业吸尘器3台、高压水泵冲水/雾化枪2台。</w:t>
      </w:r>
    </w:p>
    <w:p w14:paraId="0A2AD6BF">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相关</w:t>
      </w:r>
      <w:r>
        <w:rPr>
          <w:rFonts w:hint="eastAsia" w:ascii="宋体" w:hAnsi="宋体" w:eastAsia="宋体" w:cs="宋体"/>
          <w:color w:val="auto"/>
          <w:kern w:val="2"/>
          <w:sz w:val="24"/>
          <w:szCs w:val="24"/>
          <w:lang w:val="en-US" w:eastAsia="zh-CN" w:bidi="ar-SA"/>
        </w:rPr>
        <w:t>设备</w:t>
      </w:r>
      <w:r>
        <w:rPr>
          <w:rFonts w:hint="eastAsia" w:ascii="宋体" w:hAnsi="宋体" w:cs="宋体"/>
          <w:color w:val="auto"/>
          <w:kern w:val="2"/>
          <w:sz w:val="24"/>
          <w:szCs w:val="24"/>
          <w:lang w:val="en-US" w:eastAsia="zh-CN" w:bidi="ar-SA"/>
        </w:rPr>
        <w:t>参考</w:t>
      </w:r>
      <w:r>
        <w:rPr>
          <w:rFonts w:hint="eastAsia" w:ascii="宋体" w:hAnsi="宋体" w:eastAsia="宋体" w:cs="宋体"/>
          <w:color w:val="auto"/>
          <w:kern w:val="2"/>
          <w:sz w:val="24"/>
          <w:szCs w:val="24"/>
          <w:lang w:val="en-US" w:eastAsia="zh-CN" w:bidi="ar-SA"/>
        </w:rPr>
        <w:t>参数如下：</w:t>
      </w:r>
    </w:p>
    <w:p w14:paraId="73CE02B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 xml:space="preserve">1.1 </w:t>
      </w:r>
      <w:r>
        <w:rPr>
          <w:rFonts w:hint="eastAsia" w:ascii="宋体" w:hAnsi="宋体" w:eastAsia="宋体" w:cs="宋体"/>
          <w:color w:val="auto"/>
          <w:kern w:val="2"/>
          <w:sz w:val="24"/>
          <w:szCs w:val="24"/>
          <w:lang w:val="en-US" w:eastAsia="zh-CN" w:bidi="ar-SA"/>
        </w:rPr>
        <w:t>微型多功能作业车参数</w:t>
      </w:r>
    </w:p>
    <w:p w14:paraId="0A9FE872">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工作效率：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20000m2/h</w:t>
      </w:r>
    </w:p>
    <w:p w14:paraId="2BBCA9E6">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清扫宽度：</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2500mm</w:t>
      </w:r>
    </w:p>
    <w:p w14:paraId="02CD0EAC">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主刷宽度：</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800mm</w:t>
      </w:r>
    </w:p>
    <w:p w14:paraId="2C54B23C">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主刷电机：</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1000W</w:t>
      </w:r>
    </w:p>
    <w:p w14:paraId="0100557E">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驱动电机：</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2.2KW永磁同步重载电机</w:t>
      </w:r>
    </w:p>
    <w:p w14:paraId="41792BE7">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水箱：</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800L</w:t>
      </w:r>
    </w:p>
    <w:p w14:paraId="644EF9DE">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工作时间：8-10H</w:t>
      </w:r>
    </w:p>
    <w:p w14:paraId="68CEE98A">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电池容量：</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48V200Ah</w:t>
      </w:r>
    </w:p>
    <w:p w14:paraId="1B828492">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 xml:space="preserve">1.2 </w:t>
      </w:r>
      <w:r>
        <w:rPr>
          <w:rFonts w:hint="eastAsia" w:ascii="宋体" w:hAnsi="宋体" w:eastAsia="宋体" w:cs="宋体"/>
          <w:color w:val="auto"/>
          <w:kern w:val="2"/>
          <w:sz w:val="24"/>
          <w:szCs w:val="24"/>
          <w:lang w:val="en-US" w:eastAsia="zh-CN" w:bidi="ar-SA"/>
        </w:rPr>
        <w:t>工业吸尘器参数</w:t>
      </w:r>
    </w:p>
    <w:p w14:paraId="69741D80">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容量：</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100L，快装式分离桶</w:t>
      </w:r>
    </w:p>
    <w:p w14:paraId="379E6B8E">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桶身：加厚Q234碳钢喷塑材质</w:t>
      </w:r>
    </w:p>
    <w:p w14:paraId="1C5498C4">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滤芯：高精度覆膜滤芯</w:t>
      </w:r>
    </w:p>
    <w:p w14:paraId="0F35569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功率：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3600W</w:t>
      </w:r>
    </w:p>
    <w:p w14:paraId="1EB500B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吸力：</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23Mbar</w:t>
      </w:r>
    </w:p>
    <w:p w14:paraId="2B5AEFD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清灰方式：反吹清灰</w:t>
      </w:r>
    </w:p>
    <w:p w14:paraId="5F178A4A">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1.3 高压水泵冲水/雾化枪参数</w:t>
      </w:r>
    </w:p>
    <w:p w14:paraId="6A57629F">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宽机电压：</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13KW-380V</w:t>
      </w:r>
    </w:p>
    <w:p w14:paraId="13902405">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液压钢管丝、304不锈钢材质、曲轴泵</w:t>
      </w:r>
    </w:p>
    <w:p w14:paraId="595F7DEE">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射程：8-12米</w:t>
      </w:r>
    </w:p>
    <w:p w14:paraId="1BF134F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压力：</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900斤</w:t>
      </w:r>
    </w:p>
    <w:p w14:paraId="435C43D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所有专项作业台账全程留存，记录作业照片、作业内容、质量验收结果</w:t>
      </w:r>
      <w:r>
        <w:rPr>
          <w:rFonts w:hint="eastAsia" w:ascii="宋体" w:hAnsi="宋体" w:cs="宋体"/>
          <w:color w:val="auto"/>
          <w:kern w:val="2"/>
          <w:sz w:val="24"/>
          <w:szCs w:val="24"/>
          <w:lang w:val="en-US" w:eastAsia="zh-CN" w:bidi="ar-SA"/>
        </w:rPr>
        <w:t>等</w:t>
      </w:r>
      <w:r>
        <w:rPr>
          <w:rFonts w:hint="eastAsia" w:ascii="宋体" w:hAnsi="宋体" w:eastAsia="宋体" w:cs="宋体"/>
          <w:color w:val="auto"/>
          <w:kern w:val="2"/>
          <w:sz w:val="24"/>
          <w:szCs w:val="24"/>
          <w:lang w:val="en-US" w:eastAsia="zh-CN" w:bidi="ar-SA"/>
        </w:rPr>
        <w:t>。</w:t>
      </w:r>
    </w:p>
    <w:p w14:paraId="2C34C3C5">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2.重点区域道路扬尘精细化专项治理</w:t>
      </w:r>
    </w:p>
    <w:p w14:paraId="77E07C1D">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服务期内预计开展道路治理约330天。</w:t>
      </w:r>
    </w:p>
    <w:p w14:paraId="6863FA23">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配套1台载水量10吨新能源洒水车、1台多功能新能源洗扫车。</w:t>
      </w:r>
    </w:p>
    <w:p w14:paraId="60C1D9A7">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分采暖季/非采暖季制定差异化作业方案，采暖季聚焦防结冰，非采暖季以控尘去污为核心，做好风沙、雨后专项保洁。</w:t>
      </w:r>
    </w:p>
    <w:p w14:paraId="6DEDEA51">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作业范围覆盖芙蓉北路、芙蓉西路、贡院街、千荷泻露桥、通盛南路、司空分署街、滨惠北一街、新华北路、盐滩路、京榆旧线、陈列馆路、潞苑五街、潞苑东路等重点路段。</w:t>
      </w:r>
    </w:p>
    <w:p w14:paraId="0F62424D">
      <w:pPr>
        <w:keepNext/>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1"/>
        <w:rPr>
          <w:rFonts w:hint="eastAsia" w:ascii="楷体" w:hAnsi="楷体" w:eastAsia="楷体" w:cs="楷体"/>
          <w:b/>
          <w:bCs/>
          <w:color w:val="auto"/>
          <w:sz w:val="28"/>
          <w:szCs w:val="28"/>
          <w:lang w:val="en-US" w:eastAsia="zh-CN"/>
        </w:rPr>
      </w:pPr>
      <w:bookmarkStart w:id="858" w:name="_Toc1223852437"/>
      <w:bookmarkStart w:id="859" w:name="_Toc868341572"/>
      <w:bookmarkStart w:id="860" w:name="_Toc1729102887"/>
      <w:bookmarkStart w:id="861" w:name="_Toc20984"/>
      <w:bookmarkStart w:id="862" w:name="_Toc332200559"/>
      <w:bookmarkStart w:id="863" w:name="_Toc1146296958"/>
      <w:bookmarkStart w:id="864" w:name="_Toc1159783282"/>
      <w:bookmarkStart w:id="865" w:name="_Toc2054802069"/>
      <w:bookmarkStart w:id="866" w:name="_Toc1305287663"/>
      <w:bookmarkStart w:id="867" w:name="_Toc257356081"/>
      <w:r>
        <w:rPr>
          <w:rFonts w:hint="eastAsia" w:ascii="楷体" w:hAnsi="楷体" w:eastAsia="楷体" w:cs="楷体"/>
          <w:b/>
          <w:bCs/>
          <w:color w:val="auto"/>
          <w:sz w:val="28"/>
          <w:szCs w:val="28"/>
          <w:lang w:val="en-US" w:eastAsia="zh-CN"/>
        </w:rPr>
        <w:t>（二）颗粒物来源解析服务</w:t>
      </w:r>
      <w:bookmarkEnd w:id="858"/>
      <w:bookmarkEnd w:id="859"/>
      <w:bookmarkEnd w:id="860"/>
      <w:bookmarkEnd w:id="861"/>
      <w:bookmarkEnd w:id="862"/>
      <w:bookmarkEnd w:id="863"/>
      <w:bookmarkEnd w:id="864"/>
      <w:bookmarkEnd w:id="865"/>
      <w:bookmarkEnd w:id="866"/>
      <w:bookmarkEnd w:id="867"/>
    </w:p>
    <w:p w14:paraId="2FA64DBC">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1.颗粒物组分立体监测</w:t>
      </w:r>
    </w:p>
    <w:p w14:paraId="20C9B79C">
      <w:pPr>
        <w:widowControl/>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kern w:val="2"/>
          <w:sz w:val="24"/>
          <w:szCs w:val="24"/>
          <w:lang w:val="en-US" w:eastAsia="zh-CN" w:bidi="ar-SA"/>
        </w:rPr>
        <w:t>·</w:t>
      </w:r>
      <w:r>
        <w:rPr>
          <w:rFonts w:hint="eastAsia" w:ascii="宋体" w:hAnsi="宋体" w:cs="宋体"/>
          <w:color w:val="auto"/>
          <w:sz w:val="24"/>
          <w:lang w:val="en-US" w:eastAsia="zh-CN"/>
        </w:rPr>
        <w:t>利用移动式颗粒物组分监测方舱，开展重点区域PM2.5在线组分监测。</w:t>
      </w:r>
    </w:p>
    <w:p w14:paraId="0540D1D1">
      <w:pPr>
        <w:widowControl/>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kern w:val="2"/>
          <w:sz w:val="24"/>
          <w:szCs w:val="24"/>
          <w:lang w:val="en-US" w:eastAsia="zh-CN" w:bidi="ar-SA"/>
        </w:rPr>
        <w:t>·</w:t>
      </w:r>
      <w:r>
        <w:rPr>
          <w:rFonts w:hint="eastAsia" w:ascii="宋体" w:hAnsi="宋体" w:cs="宋体"/>
          <w:color w:val="auto"/>
          <w:sz w:val="24"/>
          <w:lang w:val="en-US" w:eastAsia="zh-CN"/>
        </w:rPr>
        <w:t>监测方舱使用时间不少于182天（含安装调试时间），有效监测天数不少于172天。</w:t>
      </w:r>
    </w:p>
    <w:p w14:paraId="68E2DA45">
      <w:pPr>
        <w:widowControl/>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kern w:val="2"/>
          <w:sz w:val="24"/>
          <w:szCs w:val="24"/>
          <w:lang w:val="en-US" w:eastAsia="zh-CN" w:bidi="ar-SA"/>
        </w:rPr>
        <w:t>·</w:t>
      </w:r>
      <w:r>
        <w:rPr>
          <w:rFonts w:hint="eastAsia" w:ascii="宋体" w:hAnsi="宋体" w:cs="宋体"/>
          <w:color w:val="auto"/>
          <w:sz w:val="24"/>
          <w:lang w:val="en-US" w:eastAsia="zh-CN"/>
        </w:rPr>
        <w:t>仪器设备包括：1套大气气溶胶水溶性离子监测设备、1套EC/OC在线分析仪、1套大气重金属在线监测设备、1套多参数气象监测仪、1套UPS不间断电源。</w:t>
      </w:r>
    </w:p>
    <w:p w14:paraId="1C475584">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大气气溶胶水溶性离子监测设备：分析阴离子种类：Cl</w:t>
      </w:r>
      <w:r>
        <w:rPr>
          <w:rFonts w:hint="eastAsia" w:ascii="宋体" w:hAnsi="宋体" w:eastAsia="宋体" w:cs="宋体"/>
          <w:color w:val="auto"/>
          <w:kern w:val="2"/>
          <w:sz w:val="24"/>
          <w:szCs w:val="24"/>
          <w:vertAlign w:val="baseline"/>
          <w:lang w:val="en-US" w:eastAsia="zh-CN" w:bidi="ar-SA"/>
        </w:rPr>
        <w:t>-</w:t>
      </w: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baseline"/>
          <w:lang w:val="en-US" w:eastAsia="zh-CN" w:bidi="ar-SA"/>
        </w:rPr>
        <w:t>2-</w:t>
      </w:r>
      <w:r>
        <w:rPr>
          <w:rFonts w:hint="eastAsia" w:ascii="宋体" w:hAnsi="宋体" w:eastAsia="宋体" w:cs="宋体"/>
          <w:color w:val="auto"/>
          <w:kern w:val="2"/>
          <w:sz w:val="24"/>
          <w:szCs w:val="24"/>
          <w:lang w:val="en-US" w:eastAsia="zh-CN" w:bidi="ar-SA"/>
        </w:rPr>
        <w:t>、NO</w:t>
      </w:r>
      <w:r>
        <w:rPr>
          <w:rFonts w:hint="eastAsia" w:ascii="宋体" w:hAnsi="宋体" w:eastAsia="宋体" w:cs="宋体"/>
          <w:color w:val="auto"/>
          <w:kern w:val="2"/>
          <w:sz w:val="24"/>
          <w:szCs w:val="24"/>
          <w:vertAlign w:val="baseline"/>
          <w:lang w:val="en-US" w:eastAsia="zh-CN" w:bidi="ar-SA"/>
        </w:rPr>
        <w:t>3-</w:t>
      </w:r>
      <w:r>
        <w:rPr>
          <w:rFonts w:hint="eastAsia" w:ascii="宋体" w:hAnsi="宋体" w:eastAsia="宋体" w:cs="宋体"/>
          <w:color w:val="auto"/>
          <w:kern w:val="2"/>
          <w:sz w:val="24"/>
          <w:szCs w:val="24"/>
          <w:lang w:val="en-US" w:eastAsia="zh-CN" w:bidi="ar-SA"/>
        </w:rPr>
        <w:t>、PO</w:t>
      </w:r>
      <w:r>
        <w:rPr>
          <w:rFonts w:hint="eastAsia" w:ascii="宋体" w:hAnsi="宋体" w:eastAsia="宋体" w:cs="宋体"/>
          <w:color w:val="auto"/>
          <w:kern w:val="2"/>
          <w:sz w:val="24"/>
          <w:szCs w:val="24"/>
          <w:vertAlign w:val="baseline"/>
          <w:lang w:val="en-US" w:eastAsia="zh-CN" w:bidi="ar-SA"/>
        </w:rPr>
        <w:t>43-</w:t>
      </w:r>
      <w:r>
        <w:rPr>
          <w:rFonts w:hint="eastAsia" w:ascii="宋体" w:hAnsi="宋体" w:eastAsia="宋体" w:cs="宋体"/>
          <w:color w:val="auto"/>
          <w:kern w:val="2"/>
          <w:sz w:val="24"/>
          <w:szCs w:val="24"/>
          <w:lang w:val="en-US" w:eastAsia="zh-CN" w:bidi="ar-SA"/>
        </w:rPr>
        <w:t>、SO</w:t>
      </w:r>
      <w:r>
        <w:rPr>
          <w:rFonts w:hint="eastAsia" w:ascii="宋体" w:hAnsi="宋体" w:eastAsia="宋体" w:cs="宋体"/>
          <w:color w:val="auto"/>
          <w:kern w:val="2"/>
          <w:sz w:val="24"/>
          <w:szCs w:val="24"/>
          <w:vertAlign w:val="baseline"/>
          <w:lang w:val="en-US" w:eastAsia="zh-CN" w:bidi="ar-SA"/>
        </w:rPr>
        <w:t>42-</w:t>
      </w:r>
      <w:r>
        <w:rPr>
          <w:rFonts w:hint="eastAsia" w:ascii="宋体" w:hAnsi="宋体" w:eastAsia="宋体" w:cs="宋体"/>
          <w:color w:val="auto"/>
          <w:kern w:val="2"/>
          <w:sz w:val="24"/>
          <w:szCs w:val="24"/>
          <w:lang w:val="en-US" w:eastAsia="zh-CN" w:bidi="ar-SA"/>
        </w:rPr>
        <w:t>等；分析阳离子种类：Na</w:t>
      </w:r>
      <w:r>
        <w:rPr>
          <w:rFonts w:hint="eastAsia" w:ascii="宋体" w:hAnsi="宋体" w:eastAsia="宋体" w:cs="宋体"/>
          <w:color w:val="auto"/>
          <w:kern w:val="2"/>
          <w:sz w:val="24"/>
          <w:szCs w:val="24"/>
          <w:vertAlign w:val="baseline"/>
          <w:lang w:val="en-US" w:eastAsia="zh-CN" w:bidi="ar-SA"/>
        </w:rPr>
        <w:t>+</w:t>
      </w:r>
      <w:r>
        <w:rPr>
          <w:rFonts w:hint="eastAsia" w:ascii="宋体" w:hAnsi="宋体" w:eastAsia="宋体" w:cs="宋体"/>
          <w:color w:val="auto"/>
          <w:kern w:val="2"/>
          <w:sz w:val="24"/>
          <w:szCs w:val="24"/>
          <w:lang w:val="en-US" w:eastAsia="zh-CN" w:bidi="ar-SA"/>
        </w:rPr>
        <w:t>、NH</w:t>
      </w:r>
      <w:r>
        <w:rPr>
          <w:rFonts w:hint="eastAsia" w:ascii="宋体" w:hAnsi="宋体" w:eastAsia="宋体" w:cs="宋体"/>
          <w:color w:val="auto"/>
          <w:kern w:val="2"/>
          <w:sz w:val="24"/>
          <w:szCs w:val="24"/>
          <w:vertAlign w:val="baseline"/>
          <w:lang w:val="en-US" w:eastAsia="zh-CN" w:bidi="ar-SA"/>
        </w:rPr>
        <w:t>4+</w:t>
      </w:r>
      <w:r>
        <w:rPr>
          <w:rFonts w:hint="eastAsia" w:ascii="宋体" w:hAnsi="宋体" w:eastAsia="宋体" w:cs="宋体"/>
          <w:color w:val="auto"/>
          <w:kern w:val="2"/>
          <w:sz w:val="24"/>
          <w:szCs w:val="24"/>
          <w:lang w:val="en-US" w:eastAsia="zh-CN" w:bidi="ar-SA"/>
        </w:rPr>
        <w:t>、K</w:t>
      </w:r>
      <w:r>
        <w:rPr>
          <w:rFonts w:hint="eastAsia" w:ascii="宋体" w:hAnsi="宋体" w:eastAsia="宋体" w:cs="宋体"/>
          <w:color w:val="auto"/>
          <w:kern w:val="2"/>
          <w:sz w:val="24"/>
          <w:szCs w:val="24"/>
          <w:vertAlign w:val="baseline"/>
          <w:lang w:val="en-US" w:eastAsia="zh-CN" w:bidi="ar-SA"/>
        </w:rPr>
        <w:t>+</w:t>
      </w:r>
      <w:r>
        <w:rPr>
          <w:rFonts w:hint="eastAsia" w:ascii="宋体" w:hAnsi="宋体" w:eastAsia="宋体" w:cs="宋体"/>
          <w:color w:val="auto"/>
          <w:kern w:val="2"/>
          <w:sz w:val="24"/>
          <w:szCs w:val="24"/>
          <w:lang w:val="en-US" w:eastAsia="zh-CN" w:bidi="ar-SA"/>
        </w:rPr>
        <w:t>、Mg</w:t>
      </w:r>
      <w:r>
        <w:rPr>
          <w:rFonts w:hint="eastAsia" w:ascii="宋体" w:hAnsi="宋体" w:eastAsia="宋体" w:cs="宋体"/>
          <w:color w:val="auto"/>
          <w:kern w:val="2"/>
          <w:sz w:val="24"/>
          <w:szCs w:val="24"/>
          <w:vertAlign w:val="baseline"/>
          <w:lang w:val="en-US" w:eastAsia="zh-CN" w:bidi="ar-SA"/>
        </w:rPr>
        <w:t>2+</w:t>
      </w:r>
      <w:r>
        <w:rPr>
          <w:rFonts w:hint="eastAsia" w:ascii="宋体" w:hAnsi="宋体" w:eastAsia="宋体" w:cs="宋体"/>
          <w:color w:val="auto"/>
          <w:kern w:val="2"/>
          <w:sz w:val="24"/>
          <w:szCs w:val="24"/>
          <w:lang w:val="en-US" w:eastAsia="zh-CN" w:bidi="ar-SA"/>
        </w:rPr>
        <w:t>、Ca</w:t>
      </w:r>
      <w:r>
        <w:rPr>
          <w:rFonts w:hint="eastAsia" w:ascii="宋体" w:hAnsi="宋体" w:eastAsia="宋体" w:cs="宋体"/>
          <w:color w:val="auto"/>
          <w:kern w:val="2"/>
          <w:sz w:val="24"/>
          <w:szCs w:val="24"/>
          <w:vertAlign w:val="baseline"/>
          <w:lang w:val="en-US" w:eastAsia="zh-CN" w:bidi="ar-SA"/>
        </w:rPr>
        <w:t>2+</w:t>
      </w:r>
      <w:r>
        <w:rPr>
          <w:rFonts w:hint="eastAsia" w:ascii="宋体" w:hAnsi="宋体" w:eastAsia="宋体" w:cs="宋体"/>
          <w:color w:val="auto"/>
          <w:kern w:val="2"/>
          <w:sz w:val="24"/>
          <w:szCs w:val="24"/>
          <w:lang w:val="en-US" w:eastAsia="zh-CN" w:bidi="ar-SA"/>
        </w:rPr>
        <w:t>等；</w:t>
      </w:r>
    </w:p>
    <w:p w14:paraId="5DF8EE9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EC/OC在线分析仪：用于在线监测大气颗粒物碳质组分OC/EC；</w:t>
      </w:r>
    </w:p>
    <w:p w14:paraId="097DCBB4">
      <w:pPr>
        <w:spacing w:line="560" w:lineRule="exact"/>
        <w:ind w:firstLine="480" w:firstLineChars="200"/>
        <w:rPr>
          <w:rFonts w:hint="default"/>
          <w:lang w:val="en-US" w:eastAsia="zh-CN"/>
        </w:rPr>
      </w:pPr>
      <w:r>
        <w:rPr>
          <w:rFonts w:hint="eastAsia" w:ascii="宋体" w:hAnsi="宋体" w:eastAsia="宋体" w:cs="宋体"/>
          <w:color w:val="auto"/>
          <w:kern w:val="2"/>
          <w:sz w:val="24"/>
          <w:szCs w:val="24"/>
          <w:lang w:val="en-US" w:eastAsia="zh-CN" w:bidi="ar-SA"/>
        </w:rPr>
        <w:t>大气重金属在线监测设备：测量元素种类Pb（铅）、Cd（镉）、Hg（汞）、As（砷）、Cr（铬）、Fe（铁）、Mn（锰）、Ca（钙）、K（钾）、Al（铝）、Si（硅）、V（矾）等20多种元素。</w:t>
      </w:r>
    </w:p>
    <w:p w14:paraId="78F78576">
      <w:pPr>
        <w:widowControl/>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kern w:val="2"/>
          <w:sz w:val="24"/>
          <w:szCs w:val="24"/>
          <w:lang w:val="en-US" w:eastAsia="zh-CN" w:bidi="ar-SA"/>
        </w:rPr>
        <w:t>·</w:t>
      </w:r>
      <w:r>
        <w:rPr>
          <w:rFonts w:hint="eastAsia" w:ascii="宋体" w:hAnsi="宋体" w:cs="宋体"/>
          <w:color w:val="auto"/>
          <w:sz w:val="24"/>
          <w:lang w:val="en-US" w:eastAsia="zh-CN"/>
        </w:rPr>
        <w:t>完成监测分析日报172份、周报25份、月报6份、年度总结报告1份。</w:t>
      </w:r>
    </w:p>
    <w:p w14:paraId="3E6469AA">
      <w:pPr>
        <w:widowControl/>
        <w:spacing w:line="560" w:lineRule="exact"/>
        <w:ind w:firstLine="480" w:firstLineChars="200"/>
        <w:rPr>
          <w:rFonts w:hint="eastAsia" w:ascii="宋体" w:hAnsi="宋体" w:cs="宋体"/>
          <w:color w:val="auto"/>
          <w:sz w:val="24"/>
          <w:lang w:val="en-US" w:eastAsia="zh-CN"/>
        </w:rPr>
      </w:pPr>
      <w:r>
        <w:rPr>
          <w:rFonts w:hint="eastAsia" w:ascii="宋体" w:hAnsi="宋体" w:cs="宋体"/>
          <w:color w:val="auto"/>
          <w:kern w:val="2"/>
          <w:sz w:val="24"/>
          <w:szCs w:val="24"/>
          <w:lang w:val="en-US" w:eastAsia="zh-CN" w:bidi="ar-SA"/>
        </w:rPr>
        <w:t>·</w:t>
      </w:r>
      <w:r>
        <w:rPr>
          <w:rFonts w:hint="eastAsia" w:ascii="宋体" w:hAnsi="宋体" w:cs="宋体"/>
          <w:color w:val="auto"/>
          <w:sz w:val="24"/>
          <w:lang w:val="en-US" w:eastAsia="zh-CN"/>
        </w:rPr>
        <w:t>数据质控按《大气颗粒物组分自动监测数据审核技术指南（试行）》执行，经三级审核剔除异常后的有效数据作为报告分析基底。</w:t>
      </w:r>
    </w:p>
    <w:p w14:paraId="1F1A2385">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2.立体监测能力提升优化</w:t>
      </w:r>
    </w:p>
    <w:p w14:paraId="4D43086E">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多通道移动监测系统监测参数涵盖VOCs、PM2.5、PM10、SO2、NO2、CO、O3、温度、湿度。</w:t>
      </w:r>
    </w:p>
    <w:p w14:paraId="384DFBE6">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设备具体参数如下：</w:t>
      </w:r>
    </w:p>
    <w:p w14:paraId="750A05E3">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2.1 气体监测设备参数</w:t>
      </w:r>
    </w:p>
    <w:p w14:paraId="0C7C2D1A">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内置数传电台系统，将监测数据实时传输至数据分析或调参软件，发射功率：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500mW；支持GPS、北斗与GLONASS，典型定位精度~±2m，为每一组空气污染数据提供时间戳与地理信息标记；提供两种电源接入方式：8~26V直流输入或5V直流输入；外部电源功率需&gt;12W，以保证正常运行；存储方式：SD卡，可连续储存&gt;4100小时的监测数据（16G）。均采用泵吸式采样。</w:t>
      </w:r>
    </w:p>
    <w:p w14:paraId="2548FED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2.2 颗粒物</w:t>
      </w:r>
    </w:p>
    <w:p w14:paraId="5EED897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检测方式：光散射。检测PM1.0（粒径0.3~1um）、PM2.5（粒径0.3~2.5um）、PM10（粒径0.3~10um）三种数值；颗粒物计数效率：50%@0.3um，98%@&gt;0.5um；量程：0~500ug/m3；检出限：0.1ug/m3；重复性：&lt;4%FS；理论分辨率：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2ug/m3；时间分辨率：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1.5s；综合响应时间：&lt;15s。</w:t>
      </w:r>
    </w:p>
    <w:p w14:paraId="64277240">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2.3 一氧化碳</w:t>
      </w:r>
    </w:p>
    <w:p w14:paraId="02EF6F36">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检测方式：电化学；可用量程：0-10ppm；检出限：1ppb；重复性:&lt;6%FS;响应时间(</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t90):&lt;40秒(0-10ppm);理论分辨率: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1.5ppb；时间分辨率: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2s；敏感度漂移量:&lt;10%/年(实验室环境)；零点漂移量:&lt;士100ppb/年(实验室环境);使用环境温度:-20-50°C;使用环境湿度:15-90%RH。</w:t>
      </w:r>
    </w:p>
    <w:p w14:paraId="521C747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2.4 二氧化硫</w:t>
      </w:r>
    </w:p>
    <w:p w14:paraId="21AD3F52">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检测方式:电化学；可用量程:0-15ppm；检出限:1ppb；重复性:&lt;6%FS；响应时间(</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t90):&lt;60秒(0-2ppm)；理论分辨率: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1.7ppb；时间分辨率: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2s；敏感度漂移量:〈士15%/年(实验室环境)；零点漂移量:&lt;士20ppb/年(实验室环境)；使用环境温度:-20-50°C；使用环境湿度:15-90%RH。</w:t>
      </w:r>
    </w:p>
    <w:p w14:paraId="4EE7AA2F">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2.5 二氧化氮</w:t>
      </w:r>
    </w:p>
    <w:p w14:paraId="52F4971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检测方式:电化学；可用量程:0-10ppm；检出限:1ppb；重复性:&lt;6%FS；响应时间(</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t90):&lt;60秒(0-2ppm)；理论分辨率: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1.5ppb；时间分辨率: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2s；敏感度漂移量:-20-40%/年(实验室环境)；零点漂移量:0-40ppb/年(实验室环境)；使用环境温度:-30-40°C；使用环境湿度:15-85%RH。</w:t>
      </w:r>
    </w:p>
    <w:p w14:paraId="663D4EFF">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2.6 臭氧</w:t>
      </w:r>
    </w:p>
    <w:p w14:paraId="1AF6AC4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检测方式:电化学；可用量程:0-10ppm；检出限:1ppb；重复性:&lt;6%FS；响应时间(</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t90):&lt;60秒(0-1ppm)；理论分辨率: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2ppb；时间分辨率:</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2s零点漂移量:0-20ppb/年；使用环境温度:-20-40°C；使用环境湿度:15-85%RH。</w:t>
      </w:r>
    </w:p>
    <w:p w14:paraId="5A1FB8E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2.7 VOC</w:t>
      </w:r>
    </w:p>
    <w:p w14:paraId="1F04EB62">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检测方式:PID；响应时间：＜45s；精度：±2%F.S；线性：0-20ppb/年（实验室环境）；使用环境温度:-20-40°C；使用环境湿度:15-85%RH。</w:t>
      </w:r>
    </w:p>
    <w:p w14:paraId="71316010">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2.8 配套分析软件</w:t>
      </w:r>
    </w:p>
    <w:p w14:paraId="1D4935DB">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（1）实时显示工作状态，包括GPS星数、高度、待传数据量；</w:t>
      </w:r>
    </w:p>
    <w:p w14:paraId="57C279E9">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（2）支持导入带有地理信息标记的图片并在界面中显示；</w:t>
      </w:r>
    </w:p>
    <w:p w14:paraId="2FE79CD6">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（3）使用4G数据传输模块时，可实现一台设备的实时数据同时在多台可视化终端展示、多台设备的实时数据同时在一台可视化终端展示、多台设备的实时数据同时在多台可视化终端展示。</w:t>
      </w:r>
    </w:p>
    <w:p w14:paraId="29769357">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（4）支持设备调参校准，可查看每个检测模块的详细工作状态，并对检测模块进行独立操作，校正每个检测模块的敏感度及零点。</w:t>
      </w:r>
    </w:p>
    <w:p w14:paraId="3E1D6E44">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服务期内总计完成走航监测不少于250次。</w:t>
      </w:r>
    </w:p>
    <w:p w14:paraId="2ECBAE05">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单次走航配置2套设备、4名专业工作人员、2辆走航作业车。</w:t>
      </w:r>
    </w:p>
    <w:p w14:paraId="6A642E13">
      <w:pPr>
        <w:spacing w:line="560" w:lineRule="exact"/>
        <w:ind w:left="479" w:leftChars="228" w:firstLine="0" w:firstLineChars="0"/>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监测区域：餐饮集中区、施工工地集群、渣土运输主通道及重点严控区。3.重点区域空气质量综合分析</w:t>
      </w:r>
    </w:p>
    <w:p w14:paraId="6369D719">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构建综合分析数据库</w:t>
      </w: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对4个备选研究样区开展全面评估、系统排序，筛选出不少于2个具备良好环境代表性的研究样区。</w:t>
      </w:r>
    </w:p>
    <w:p w14:paraId="14C67C61">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每个样区完成不少于60天的连续有效观测。</w:t>
      </w:r>
    </w:p>
    <w:p w14:paraId="5F31FB07">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监测项目：PM2.5、PM10、SO2、NOx、CO、O3。</w:t>
      </w:r>
    </w:p>
    <w:p w14:paraId="12998FF9">
      <w:pPr>
        <w:widowControl/>
        <w:spacing w:line="560" w:lineRule="exact"/>
        <w:ind w:firstLine="480" w:firstLineChars="200"/>
        <w:rPr>
          <w:rFonts w:hint="eastAsia" w:ascii="宋体" w:hAnsi="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·选用</w:t>
      </w:r>
      <w:r>
        <w:rPr>
          <w:rFonts w:hint="eastAsia" w:ascii="宋体" w:hAnsi="宋体" w:eastAsia="宋体" w:cs="宋体"/>
          <w:color w:val="auto"/>
          <w:kern w:val="2"/>
          <w:sz w:val="24"/>
          <w:szCs w:val="24"/>
          <w:lang w:val="en-US" w:eastAsia="zh-CN" w:bidi="ar-SA"/>
        </w:rPr>
        <w:t>设备须满足HJ653-2021、HJ654-2013、HJ817-2018、HJ818-2018、GB3095-2012</w:t>
      </w:r>
      <w:r>
        <w:rPr>
          <w:rFonts w:hint="eastAsia" w:ascii="宋体" w:hAnsi="宋体" w:cs="宋体"/>
          <w:color w:val="auto"/>
          <w:kern w:val="2"/>
          <w:sz w:val="24"/>
          <w:szCs w:val="24"/>
          <w:lang w:val="en-US" w:eastAsia="zh-CN" w:bidi="ar-SA"/>
        </w:rPr>
        <w:t>。</w:t>
      </w:r>
    </w:p>
    <w:p w14:paraId="70E59BF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具体设备参数如下：</w:t>
      </w:r>
    </w:p>
    <w:p w14:paraId="1D3E8C0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3.1 臭氧分析仪</w:t>
      </w:r>
    </w:p>
    <w:p w14:paraId="396FF43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设备监测原理：紫外光度法。</w:t>
      </w:r>
    </w:p>
    <w:p w14:paraId="5CC7C4D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技术参数：</w:t>
      </w:r>
    </w:p>
    <w:p w14:paraId="414091E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预置量程：0-0.05，0.1，0.2，0.5，1，2，5，10，20，50，100，200ppm；0-0.1，0.2，0.5，1，2，5，10，20，50，100，200，400mg/m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D9EFEE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扩展量程：0-0.2，0.5，1，2，5，10，20，50，100ppm；0-0.5，1，2，5，10，20，50，100，150mg/m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CFD081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用户量程：0-0.05至200ppm，0-0.1至400mg/m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797AB5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零点噪音：≤0.25 ppb RMS（60秒平的时间）</w:t>
      </w:r>
    </w:p>
    <w:p w14:paraId="14D8A51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最低检测限：0.5 ppb（60秒平均时间）</w:t>
      </w:r>
    </w:p>
    <w:p w14:paraId="17ABA94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零点漂移：＜0.1 ppb/24小时</w:t>
      </w:r>
    </w:p>
    <w:p w14:paraId="2F19253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跨度漂移：＜1%满量程</w:t>
      </w:r>
    </w:p>
    <w:p w14:paraId="272C7F4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响应时间：≤20秒（10秒平均时间）</w:t>
      </w:r>
    </w:p>
    <w:p w14:paraId="193E2DC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精度：1.0 ppb</w:t>
      </w:r>
    </w:p>
    <w:p w14:paraId="517AB48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线性：±1%满量程</w:t>
      </w:r>
    </w:p>
    <w:p w14:paraId="638D9AA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采样流量：1-3升/分钟</w:t>
      </w:r>
    </w:p>
    <w:p w14:paraId="77CF5B3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工作温度：20℃-30℃</w:t>
      </w:r>
    </w:p>
    <w:p w14:paraId="1F55A69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尺寸/重量：425mm（W）×219mm（H）×584mm（D），16kg。</w:t>
      </w:r>
    </w:p>
    <w:p w14:paraId="2137FEF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3.2 PM2.5/PM10检测仪</w:t>
      </w:r>
    </w:p>
    <w:p w14:paraId="24D87C8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设备监测原理：光散射浊度法和β射线吸收法。</w:t>
      </w:r>
    </w:p>
    <w:p w14:paraId="5CA2395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技术参数：</w:t>
      </w:r>
    </w:p>
    <w:p w14:paraId="6933434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源：Beta:C-14,＜3.7MBq（＜100μCi）；光学：IR LED, 6mW,880nm</w:t>
      </w:r>
    </w:p>
    <w:p w14:paraId="4CA8E1A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测量范围：0-1.0,2.0,3.0,5.0,10.0mg/m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7A30690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 xml:space="preserve">    0-100，1,000，2,000,3,000,5,000,10,000μg/m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447AB82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最低监测限值：＜0.5μg/m3（1小时）@ 2σ；＜0.2μg/m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（24小时）@ 2σ</w:t>
      </w:r>
    </w:p>
    <w:p w14:paraId="78DB77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分辨率：≤0.1μg/m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0B63147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精度：±2μg/m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＜80μg/m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 ±5μg/m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＞80μg/m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（24小时）</w:t>
      </w:r>
    </w:p>
    <w:p w14:paraId="2541FB3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跨漂：≤0.02%/天</w:t>
      </w:r>
    </w:p>
    <w:p w14:paraId="7A9354D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准确度（质量测量）：±5%使用可溯源到NIST的质量膜</w:t>
      </w:r>
    </w:p>
    <w:p w14:paraId="33E4E97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流量：1m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/h（16.67L/min）用内置亚音速小孔测量，用户可选14–20L/min</w:t>
      </w:r>
    </w:p>
    <w:p w14:paraId="2233416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采样流量精度：±2%测量值</w:t>
      </w:r>
    </w:p>
    <w:p w14:paraId="4C8B894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采样流量准确度：&lt;5%测量值</w:t>
      </w:r>
    </w:p>
    <w:p w14:paraId="2FD62C2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尺寸：425mm(W)×584mm(D)×219mm(D)</w:t>
      </w:r>
    </w:p>
    <w:p w14:paraId="72CEDE1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重量：19Kg</w:t>
      </w:r>
    </w:p>
    <w:p w14:paraId="48D2166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3.3 NO2/NO/NOx检测仪</w:t>
      </w:r>
    </w:p>
    <w:p w14:paraId="46B71D2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设备监测原理：化学发光法。</w:t>
      </w:r>
    </w:p>
    <w:p w14:paraId="1E85859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技术参数：</w:t>
      </w:r>
    </w:p>
    <w:p w14:paraId="350EFF5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预置量程：0-0.05，0.1，0.2，0.5，1，2，5，10，20ppm；0-0.1，0.2，0.5，1，2，5，10，20，50mg/m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4ADF30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扩展量程：0-0.2，0.5，1，2，5，10，20，50，100ppm；0-0.5，1，2，5，10，20，50，100，150mg/m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8EB00F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用户量程：0-0.05至20ppm，0-0.1至30mg/m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5CC7A9C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零点噪音：≤0.20ppbRMS（60秒平的时间）</w:t>
      </w:r>
    </w:p>
    <w:p w14:paraId="42B157C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最低检测限：0.40ppb（60秒平均时间）</w:t>
      </w:r>
    </w:p>
    <w:p w14:paraId="2C76851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零点漂移（24h）：＜0.40ppb</w:t>
      </w:r>
    </w:p>
    <w:p w14:paraId="26D397F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跨度漂移（24h）：±1%满量程</w:t>
      </w:r>
    </w:p>
    <w:p w14:paraId="57DF083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响应时间（NO/NOx自动模式）：≤40秒（10秒平均时间）≤80秒（60秒平均时间）≤300秒（300秒平均时间）</w:t>
      </w:r>
    </w:p>
    <w:p w14:paraId="6B9B775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精度：±0.4ppb（500ppb量程）</w:t>
      </w:r>
    </w:p>
    <w:p w14:paraId="460B9A3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线性：±1%满量程</w:t>
      </w:r>
    </w:p>
    <w:p w14:paraId="4BF932F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采样流量：0.6-0.8升/分钟</w:t>
      </w:r>
    </w:p>
    <w:p w14:paraId="77BDBC6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工作温度：15℃-35℃</w:t>
      </w:r>
    </w:p>
    <w:p w14:paraId="4A0F9B4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尺寸/重量：425mm（W）×219mm（H）×584mm（D），25kg</w:t>
      </w:r>
    </w:p>
    <w:p w14:paraId="2AF0333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3.4 CO检测仪</w:t>
      </w:r>
    </w:p>
    <w:p w14:paraId="3C392C0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设备监测原理：气体滤光相关技术检测CO浓度。</w:t>
      </w:r>
    </w:p>
    <w:p w14:paraId="030A443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技术参数：</w:t>
      </w:r>
    </w:p>
    <w:p w14:paraId="002CBF3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预置量程：0-1，2，5，10，20，50，100，200，500，1000，2000，5000，10000（ppm或mg/m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w:t>
      </w:r>
    </w:p>
    <w:p w14:paraId="53A05B3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用户量程：0.1至10000（ppm或400mg/m</w:t>
      </w:r>
      <w:r>
        <w:rPr>
          <w:rFonts w:hint="eastAsia" w:asciiTheme="minorEastAsia" w:hAnsiTheme="minorEastAsia" w:eastAsiaTheme="minorEastAsia" w:cstheme="minorEastAsia"/>
          <w:color w:val="auto"/>
          <w:kern w:val="2"/>
          <w:sz w:val="24"/>
          <w:szCs w:val="24"/>
          <w:vertAlign w:val="baseline"/>
          <w:lang w:val="en-US" w:eastAsia="zh-CN" w:bidi="ar-SA"/>
        </w:rPr>
        <w:t>3</w:t>
      </w:r>
      <w:r>
        <w:rPr>
          <w:rFonts w:hint="eastAsia" w:asciiTheme="minorEastAsia" w:hAnsiTheme="minorEastAsia" w:eastAsiaTheme="minorEastAsia" w:cstheme="minorEastAsia"/>
          <w:color w:val="auto"/>
          <w:kern w:val="2"/>
          <w:sz w:val="24"/>
          <w:szCs w:val="24"/>
          <w:lang w:val="en-US" w:eastAsia="zh-CN" w:bidi="ar-SA"/>
        </w:rPr>
        <w:t>）</w:t>
      </w:r>
    </w:p>
    <w:p w14:paraId="4F788DE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零点噪音：≤0.20 ppm RMS（30秒平的时间）</w:t>
      </w:r>
    </w:p>
    <w:p w14:paraId="73610A5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最低检测限：0.04 ppm</w:t>
      </w:r>
    </w:p>
    <w:p w14:paraId="7C90FCE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零点漂移（24h）：＜0.1 ppm</w:t>
      </w:r>
    </w:p>
    <w:p w14:paraId="5EA7C56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跨度漂移（24h）：±1%满量程</w:t>
      </w:r>
    </w:p>
    <w:p w14:paraId="3BA3630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响应时间：≤60秒（30秒平均时间）</w:t>
      </w:r>
    </w:p>
    <w:p w14:paraId="0529246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精度：±0.1 ppm</w:t>
      </w:r>
    </w:p>
    <w:p w14:paraId="7F3FE22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线性：±1%满量程</w:t>
      </w:r>
    </w:p>
    <w:p w14:paraId="2493847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采样流量：1升/分钟</w:t>
      </w:r>
    </w:p>
    <w:p w14:paraId="0CCEE7B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工作温度：20℃-30℃</w:t>
      </w:r>
    </w:p>
    <w:p w14:paraId="6BD1408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尺寸/重量：425mm（W）×219mm（H）×584mm（D），22.2kg</w:t>
      </w:r>
    </w:p>
    <w:p w14:paraId="5BB920D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3.5 SO2检测仪</w:t>
      </w:r>
    </w:p>
    <w:p w14:paraId="396E077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设备监测原理：脉冲紫外荧光法。</w:t>
      </w:r>
    </w:p>
    <w:p w14:paraId="4089335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技术参数：</w:t>
      </w:r>
    </w:p>
    <w:p w14:paraId="458409D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预置量程：0-0.05，0.1，0.2，0.5，1，2，5，10ppm；0-0.2，0.5，1，2，5，10，20，25mg/m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056B335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扩展量程：0-0.5，1，2，5，10，20，50，100pm；0-2，5，10，20，50，100，200，250mg/m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2CAD7BB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用户量程：0-0.05至100ppm，0-0.2至250mg/m</w:t>
      </w:r>
      <w:r>
        <w:rPr>
          <w:rFonts w:hint="eastAsia" w:asciiTheme="minorEastAsia" w:hAnsiTheme="minorEastAsia" w:eastAsiaTheme="minorEastAsia" w:cstheme="minorEastAsia"/>
          <w:color w:val="auto"/>
          <w:kern w:val="2"/>
          <w:sz w:val="24"/>
          <w:szCs w:val="24"/>
          <w:vertAlign w:val="baseline"/>
          <w:lang w:val="en-US" w:eastAsia="zh-CN" w:bidi="ar-SA"/>
        </w:rPr>
        <w:t>3</w:t>
      </w:r>
    </w:p>
    <w:p w14:paraId="4A9A630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零点噪音：≤1.0 ppb RMS（10秒平均时间），0.5 ppb RMS（60秒平均时间），≤0.25 ppb RMS（300秒平均时间）</w:t>
      </w:r>
    </w:p>
    <w:p w14:paraId="42E4802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最低检测限：＜0.5 ppb</w:t>
      </w:r>
    </w:p>
    <w:p w14:paraId="42BD7F2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零点漂移（24h）：＜1.0 ppb</w:t>
      </w:r>
    </w:p>
    <w:p w14:paraId="608500A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跨度漂移：±1%满量程/每周</w:t>
      </w:r>
    </w:p>
    <w:p w14:paraId="3E15FE6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响应时间：≤80秒（10秒平均时间）≤110秒（60秒平均时间）≤320秒（300秒平均时间）</w:t>
      </w:r>
    </w:p>
    <w:p w14:paraId="3656C16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精度：1%读数或1ppb（取大值）</w:t>
      </w:r>
    </w:p>
    <w:p w14:paraId="3BDD9B8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线性：±1%满量程（&lt;100ppm）</w:t>
      </w:r>
    </w:p>
    <w:p w14:paraId="36E102D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采样流量：0.5升/分钟</w:t>
      </w:r>
    </w:p>
    <w:p w14:paraId="7B5A6B2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工作温度：20℃-30℃</w:t>
      </w:r>
    </w:p>
    <w:p w14:paraId="7A09A71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尺寸/重量：425mm（W）×219mm（H）×584mm（D），21.8kg</w:t>
      </w:r>
    </w:p>
    <w:p w14:paraId="08A53AA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3.6 动态校准仪</w:t>
      </w:r>
    </w:p>
    <w:p w14:paraId="55A8AB6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流量测量准确度：±2%读数或1%满量程，取较小值（量程的20%到100%）</w:t>
      </w:r>
    </w:p>
    <w:p w14:paraId="0E0FE8A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质量流量测量的线性：±0.5%满量程</w:t>
      </w:r>
    </w:p>
    <w:p w14:paraId="1C1538B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质量流量测量的重复性：±2%读数或1%满量程，取较小值（量程的20%到100%）</w:t>
      </w:r>
    </w:p>
    <w:p w14:paraId="52B7501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稀释气流量范围：0-10 SLPM；可选0-5 /0-20 SLPM</w:t>
      </w:r>
    </w:p>
    <w:p w14:paraId="0A38E51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钢瓶气流量范围：0-100 SCCM；可选0-50/0-200 SCCM</w:t>
      </w:r>
    </w:p>
    <w:p w14:paraId="3B7F7B0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零气需求：10 SLPM@30PSI；可选20 SLPM@30PSI</w:t>
      </w:r>
    </w:p>
    <w:p w14:paraId="71875F0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臭氧发生器选件：最大输出：1 ppm @ 6 SLPM</w:t>
      </w:r>
    </w:p>
    <w:p w14:paraId="3946641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紫外光度计选件：满量程：50 ppb至5 ppm自选；线性：1%满量程；响应时间（控制模式）：&lt;180秒至目标的95%；最低检出限：3 ppb</w:t>
      </w:r>
    </w:p>
    <w:p w14:paraId="6EDE544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工作温度:0－40℃</w:t>
      </w:r>
    </w:p>
    <w:p w14:paraId="797C936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尺寸/重量:425 mm (W) ×219 mm (H) ×584 mm (D)，26.3 kg</w:t>
      </w:r>
    </w:p>
    <w:p w14:paraId="0188DE9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3.7 零气发生器</w:t>
      </w:r>
    </w:p>
    <w:p w14:paraId="75AF904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压力：10-30psi</w:t>
      </w:r>
    </w:p>
    <w:p w14:paraId="3DB551B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流量：0-10升/分</w:t>
      </w:r>
    </w:p>
    <w:p w14:paraId="132DFC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露点：0℃</w:t>
      </w:r>
    </w:p>
    <w:p w14:paraId="0043313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尺寸：仪器：310 mm (H) ×483 mm (W) ×394 mm (D)；空压机：432 mm (H) ×305 mm (W) ×508 mm (D)</w:t>
      </w:r>
    </w:p>
    <w:p w14:paraId="3FFC11A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重量：仪器：18 kg；空压机：9 kg</w:t>
      </w:r>
    </w:p>
    <w:p w14:paraId="24777B9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3.8 多参数气象监测仪</w:t>
      </w:r>
    </w:p>
    <w:p w14:paraId="7C6C9D7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环境空气温度：测量范围：-40℃-60℃；精度：±0.2-0.3℃；分辨率0.1℃。</w:t>
      </w:r>
    </w:p>
    <w:p w14:paraId="739A8C1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相对湿度：测量范围：0-100 %RH；精度：±2-±3 %RH；分辨率：0.1%RH；电容式，高湿防结露。</w:t>
      </w:r>
    </w:p>
    <w:p w14:paraId="6699B3E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风速：测量范围：0-60 m/s；精度：±0.3 m/s 或读数 ±3%；分辨率：0.1 m/s；超声波，无启动风速。</w:t>
      </w:r>
    </w:p>
    <w:p w14:paraId="3B5E1AB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风向：测量范围：0-360°；精度：≤3°RMS（风速＞1 m/s）；分辨率：1°；无风机械转轴。</w:t>
      </w:r>
    </w:p>
    <w:p w14:paraId="1A5703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3.9 UPS（不间断点源）</w:t>
      </w:r>
    </w:p>
    <w:p w14:paraId="26FF309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高频在线式双转换、外接蓄电池延时UPS。</w:t>
      </w:r>
    </w:p>
    <w:p w14:paraId="419B82A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额定容量：6kVA/5.4kW</w:t>
      </w:r>
    </w:p>
    <w:p w14:paraId="3FDC811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输入方式：单相 220VAC</w:t>
      </w:r>
    </w:p>
    <w:p w14:paraId="7BD9372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输入电压：120‑275VAC 宽范围适应电网波动</w:t>
      </w:r>
    </w:p>
    <w:p w14:paraId="52B23A8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输入频率：45‑55Hz</w:t>
      </w:r>
    </w:p>
    <w:p w14:paraId="008F5C5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输出电压：220VAC±1%</w:t>
      </w:r>
    </w:p>
    <w:p w14:paraId="0C0696C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输出功率因子：≥0.9</w:t>
      </w:r>
    </w:p>
    <w:p w14:paraId="0756CCE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输出波形：纯正弦波；线性负载 THD≤1.5%，非线性负载 THD≤3%</w:t>
      </w:r>
    </w:p>
    <w:p w14:paraId="310B975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切换时间：0ms（在线双转换）</w:t>
      </w:r>
    </w:p>
    <w:p w14:paraId="769BB68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过载能力：125% 负载≥1min；150% 负载≥10s</w:t>
      </w:r>
    </w:p>
    <w:p w14:paraId="1EA542B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整机效率：≥93%（满载）</w:t>
      </w:r>
    </w:p>
    <w:p w14:paraId="121E2C2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3.10 设备维护耗材</w:t>
      </w:r>
    </w:p>
    <w:p w14:paraId="3BF201D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涉及耗材包含：不同型号滤膜、不同型号内置泵膜、活性炭、氧化剂、空压机维护包、滤袋、滤芯、泵维护套件、检测器喷嘴、色谱柱,高碳专用、色谱柱,低碳专用、TD管，标准PAMS专用组件，富集级、TD管，标准PAMS专用组件，聚焦级、FID点火线圈、6通进样阀阀芯替换件、10通进样阀阀芯替换件、石墨卡套，用于0.32mm/0.25MMID色谱柱、毛细管石墨卡套（V）,0.5mm等。</w:t>
      </w:r>
    </w:p>
    <w:p w14:paraId="7EC0E1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3.11 监测站房建设</w:t>
      </w:r>
    </w:p>
    <w:p w14:paraId="2613CA5A">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拟采用的HJ系列国家环境空气连续自动监测设备，配套建设站房从外部舱体尺寸、三段式空间布局、采样开孔规格，到供电、温控、防雷、安防、自动质控全套辅配设施，均严格执行总站气运管字〔2024〕62号《国家城市环境空气质量监测点位站房标准化建设技术规定（试行）》条款，整体配套规格、安装工艺、运维适配性与全国统一国控城市空气监测站房一致，可满足质控、长期稳定运行要求。</w:t>
      </w:r>
    </w:p>
    <w:p w14:paraId="63AED39C">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形成《空气质量综合评价与污染影响因素分析报告》。。</w:t>
      </w:r>
    </w:p>
    <w:p w14:paraId="62D3669C">
      <w:pPr>
        <w:spacing w:line="560" w:lineRule="exact"/>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4.精细化溯源巡查排查</w:t>
      </w:r>
    </w:p>
    <w:p w14:paraId="0D5FFE7B">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服务期内每月开展拉网式排查</w:t>
      </w:r>
      <w:r>
        <w:rPr>
          <w:rFonts w:hint="eastAsia" w:ascii="宋体" w:hAnsi="宋体" w:cs="宋体"/>
          <w:color w:val="auto"/>
          <w:kern w:val="2"/>
          <w:sz w:val="24"/>
          <w:szCs w:val="24"/>
          <w:lang w:val="en-US" w:eastAsia="zh-CN" w:bidi="ar-SA"/>
        </w:rPr>
        <w:t>，</w:t>
      </w:r>
      <w:r>
        <w:rPr>
          <w:rFonts w:hint="eastAsia" w:asciiTheme="minorEastAsia" w:hAnsiTheme="minorEastAsia" w:eastAsiaTheme="minorEastAsia" w:cstheme="minorEastAsia"/>
          <w:color w:val="auto"/>
          <w:kern w:val="2"/>
          <w:sz w:val="24"/>
          <w:szCs w:val="24"/>
          <w:lang w:val="en-US" w:eastAsia="zh-CN" w:bidi="ar-SA"/>
        </w:rPr>
        <w:t>聚焦PM2.5高值片区、施工工地、交通干道等重点区域，针对扬尘、移动源、生活源等主要污染源</w:t>
      </w:r>
      <w:r>
        <w:rPr>
          <w:rFonts w:hint="eastAsia" w:ascii="宋体" w:hAnsi="宋体" w:eastAsia="宋体" w:cs="宋体"/>
          <w:color w:val="auto"/>
          <w:kern w:val="2"/>
          <w:sz w:val="24"/>
          <w:szCs w:val="24"/>
          <w:lang w:val="en-US" w:eastAsia="zh-CN" w:bidi="ar-SA"/>
        </w:rPr>
        <w:t>，动态更新污染源台账和分布地图。</w:t>
      </w:r>
    </w:p>
    <w:p w14:paraId="66DA0B3D">
      <w:pPr>
        <w:pageBreakBefore w:val="0"/>
        <w:widowControl/>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建立“发现—转办—整改—复查—销号”闭环管理机制，问题发现后10分钟内上报、24小时内完成复查。</w:t>
      </w:r>
    </w:p>
    <w:p w14:paraId="4F923004">
      <w:pPr>
        <w:keepNext/>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outlineLvl w:val="1"/>
        <w:rPr>
          <w:rFonts w:hint="eastAsia" w:ascii="楷体" w:hAnsi="楷体" w:eastAsia="楷体" w:cs="楷体"/>
          <w:b/>
          <w:bCs/>
          <w:color w:val="auto"/>
          <w:sz w:val="28"/>
          <w:szCs w:val="28"/>
          <w:lang w:val="en-US" w:eastAsia="zh-CN"/>
        </w:rPr>
      </w:pPr>
      <w:bookmarkStart w:id="868" w:name="_Toc1780902452"/>
      <w:bookmarkStart w:id="869" w:name="_Toc1783884679"/>
      <w:bookmarkStart w:id="870" w:name="_Toc652140288"/>
      <w:bookmarkStart w:id="871" w:name="_Toc8976496"/>
      <w:bookmarkStart w:id="872" w:name="_Toc158238316"/>
      <w:bookmarkStart w:id="873" w:name="_Toc1241116669"/>
      <w:bookmarkStart w:id="874" w:name="_Toc629490754"/>
      <w:bookmarkStart w:id="875" w:name="_Toc21781"/>
      <w:bookmarkStart w:id="876" w:name="_Toc273759093"/>
      <w:bookmarkStart w:id="877" w:name="_Toc1912196587"/>
      <w:r>
        <w:rPr>
          <w:rFonts w:hint="eastAsia" w:ascii="楷体" w:hAnsi="楷体" w:eastAsia="楷体" w:cs="楷体"/>
          <w:b/>
          <w:bCs/>
          <w:color w:val="auto"/>
          <w:sz w:val="28"/>
          <w:szCs w:val="28"/>
          <w:lang w:val="en-US" w:eastAsia="zh-CN"/>
        </w:rPr>
        <w:t>（三）污染应急指导管控服务</w:t>
      </w:r>
      <w:bookmarkEnd w:id="868"/>
      <w:bookmarkEnd w:id="869"/>
      <w:bookmarkEnd w:id="870"/>
      <w:bookmarkEnd w:id="871"/>
      <w:bookmarkEnd w:id="872"/>
      <w:bookmarkEnd w:id="873"/>
      <w:bookmarkEnd w:id="874"/>
      <w:bookmarkEnd w:id="875"/>
      <w:bookmarkEnd w:id="876"/>
      <w:bookmarkEnd w:id="877"/>
    </w:p>
    <w:p w14:paraId="5A11EB15">
      <w:pPr>
        <w:pStyle w:val="24"/>
        <w:keepNext w:val="0"/>
        <w:keepLines w:val="0"/>
        <w:numPr>
          <w:ilvl w:val="0"/>
          <w:numId w:val="0"/>
        </w:numPr>
        <w:spacing w:line="560" w:lineRule="exact"/>
        <w:ind w:firstLine="480" w:firstLineChars="200"/>
        <w:jc w:val="both"/>
        <w:rPr>
          <w:rFonts w:hint="eastAsia"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eastAsiaTheme="minorEastAsia" w:cstheme="minorEastAsia"/>
          <w:b w:val="0"/>
          <w:bCs w:val="0"/>
          <w:color w:val="auto"/>
          <w:kern w:val="2"/>
          <w:sz w:val="24"/>
          <w:szCs w:val="24"/>
          <w:lang w:val="en-US" w:eastAsia="zh-CN" w:bidi="ar-SA"/>
        </w:rPr>
        <w:t>1.污染溯源与高值识别</w:t>
      </w:r>
    </w:p>
    <w:p w14:paraId="5DC56C5B">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布设本地化溯源解析模型，融合监测、走航、气象数据。</w:t>
      </w:r>
    </w:p>
    <w:p w14:paraId="4FB500C1">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提供专业统计软件和地理信息定位软件使用服务（包括ArcGIS、地图元素等）。</w:t>
      </w:r>
    </w:p>
    <w:p w14:paraId="6E0C8FDA">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采购高精度气象格点数据、污染源排放清单及分布数据，作为溯源模型输入数据。</w:t>
      </w:r>
    </w:p>
    <w:p w14:paraId="270530C4">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提供足量计算资源用于模型运算。</w:t>
      </w:r>
    </w:p>
    <w:p w14:paraId="4A45FEA3">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建立高值模型和溯源模型，自动识别并推送污染高值热点区域与时段信息。</w:t>
      </w:r>
    </w:p>
    <w:p w14:paraId="2D3C47B2">
      <w:pPr>
        <w:pStyle w:val="24"/>
        <w:keepNext w:val="0"/>
        <w:keepLines w:val="0"/>
        <w:numPr>
          <w:ilvl w:val="0"/>
          <w:numId w:val="0"/>
        </w:numPr>
        <w:spacing w:line="560" w:lineRule="exact"/>
        <w:ind w:firstLine="480" w:firstLineChars="200"/>
        <w:jc w:val="both"/>
        <w:rPr>
          <w:rFonts w:hint="eastAsia" w:asciiTheme="minorEastAsia" w:hAnsiTheme="minorEastAsia" w:eastAsiaTheme="minorEastAsia" w:cstheme="minorEastAsia"/>
          <w:b w:val="0"/>
          <w:bCs w:val="0"/>
          <w:color w:val="auto"/>
          <w:kern w:val="2"/>
          <w:sz w:val="24"/>
          <w:szCs w:val="24"/>
          <w:lang w:val="en-US" w:eastAsia="zh-CN" w:bidi="ar-SA"/>
        </w:rPr>
      </w:pPr>
      <w:r>
        <w:rPr>
          <w:rFonts w:hint="eastAsia" w:asciiTheme="minorEastAsia" w:hAnsiTheme="minorEastAsia" w:eastAsiaTheme="minorEastAsia" w:cstheme="minorEastAsia"/>
          <w:b w:val="0"/>
          <w:bCs w:val="0"/>
          <w:color w:val="auto"/>
          <w:kern w:val="2"/>
          <w:sz w:val="24"/>
          <w:szCs w:val="24"/>
          <w:lang w:val="en-US" w:eastAsia="zh-CN" w:bidi="ar-SA"/>
        </w:rPr>
        <w:t>2.应急管控与动态处置</w:t>
      </w:r>
    </w:p>
    <w:p w14:paraId="68A281C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highlight w:val="none"/>
          <w:lang w:val="en-US" w:eastAsia="zh-CN" w:bidi="ar-SA"/>
        </w:rPr>
        <w:t>应急管控期间采用国标六参设备对重点区域进行在线高频次走航监测</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污染应急走航监测工作开展不少于200天。</w:t>
      </w:r>
    </w:p>
    <w:p w14:paraId="01C9E37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走航设备具体参数如下：</w:t>
      </w:r>
    </w:p>
    <w:p w14:paraId="2ACA752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 xml:space="preserve">2.1 </w:t>
      </w:r>
      <w:r>
        <w:rPr>
          <w:rFonts w:hint="eastAsia" w:ascii="宋体" w:hAnsi="宋体" w:eastAsia="宋体" w:cs="宋体"/>
          <w:color w:val="auto"/>
          <w:kern w:val="2"/>
          <w:sz w:val="24"/>
          <w:szCs w:val="24"/>
          <w:highlight w:val="none"/>
          <w:lang w:val="en-US" w:eastAsia="zh-CN" w:bidi="ar-SA"/>
        </w:rPr>
        <w:t>臭氧分析仪</w:t>
      </w:r>
    </w:p>
    <w:p w14:paraId="38B3064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设备监测原理：紫外光度法。</w:t>
      </w:r>
    </w:p>
    <w:p w14:paraId="4112612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w:t>
      </w:r>
    </w:p>
    <w:p w14:paraId="461153E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预置量程：0-0.05，0.1，0.2，0.5，1，2，5，10，20，50，100，200ppm；0-0.1，0.2，0.5，1，2，5，10，20，50，100，200，400mg/m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vertAlign w:val="subscript"/>
          <w:lang w:val="en-US" w:eastAsia="zh-CN" w:bidi="ar-SA"/>
        </w:rPr>
        <w:t>。</w:t>
      </w:r>
    </w:p>
    <w:p w14:paraId="259460F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扩展量程：0-0.2，0.5，1，2，5，10，20，50，100ppm；0-0.5，1，2，5，10，20，50，100，150mg/m</w:t>
      </w:r>
      <w:r>
        <w:rPr>
          <w:rFonts w:hint="eastAsia" w:ascii="宋体" w:hAnsi="宋体" w:eastAsia="宋体" w:cs="宋体"/>
          <w:color w:val="auto"/>
          <w:kern w:val="2"/>
          <w:sz w:val="24"/>
          <w:szCs w:val="24"/>
          <w:highlight w:val="none"/>
          <w:vertAlign w:val="superscript"/>
          <w:lang w:val="en-US" w:eastAsia="zh-CN" w:bidi="ar-SA"/>
        </w:rPr>
        <w:t>3</w:t>
      </w:r>
    </w:p>
    <w:p w14:paraId="7BBD9AD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用户量程：0-0.05至200ppm，0-0.1至400mg/m</w:t>
      </w:r>
      <w:r>
        <w:rPr>
          <w:rFonts w:hint="eastAsia" w:ascii="宋体" w:hAnsi="宋体" w:eastAsia="宋体" w:cs="宋体"/>
          <w:color w:val="auto"/>
          <w:kern w:val="2"/>
          <w:sz w:val="24"/>
          <w:szCs w:val="24"/>
          <w:highlight w:val="none"/>
          <w:vertAlign w:val="superscript"/>
          <w:lang w:val="en-US" w:eastAsia="zh-CN" w:bidi="ar-SA"/>
        </w:rPr>
        <w:t>3</w:t>
      </w:r>
    </w:p>
    <w:p w14:paraId="7C13A67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零点噪音：</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0.25 ppb RMS（60秒平的时间）</w:t>
      </w:r>
    </w:p>
    <w:p w14:paraId="5146093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最低检测限：0.5 ppb（60秒平均时间）</w:t>
      </w:r>
    </w:p>
    <w:p w14:paraId="5F12F8C4">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零点漂移：＜0.1 ppb/24小时</w:t>
      </w:r>
    </w:p>
    <w:p w14:paraId="223E628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跨度漂移：＜1%满量程</w:t>
      </w:r>
    </w:p>
    <w:p w14:paraId="700D1C0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20秒（10秒平均时间）</w:t>
      </w:r>
    </w:p>
    <w:p w14:paraId="278E23F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精度：</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1.0 ppb</w:t>
      </w:r>
    </w:p>
    <w:p w14:paraId="78756A7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线性：±1%满量程</w:t>
      </w:r>
    </w:p>
    <w:p w14:paraId="432BD01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采样流量：1-3升/分钟</w:t>
      </w:r>
    </w:p>
    <w:p w14:paraId="44E217B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工作温度：20℃-30℃</w:t>
      </w:r>
    </w:p>
    <w:p w14:paraId="50518E5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 xml:space="preserve">2.2 </w:t>
      </w:r>
      <w:r>
        <w:rPr>
          <w:rFonts w:hint="eastAsia" w:ascii="宋体" w:hAnsi="宋体" w:eastAsia="宋体" w:cs="宋体"/>
          <w:color w:val="auto"/>
          <w:kern w:val="2"/>
          <w:sz w:val="24"/>
          <w:szCs w:val="24"/>
          <w:highlight w:val="none"/>
          <w:lang w:val="en-US" w:eastAsia="zh-CN" w:bidi="ar-SA"/>
        </w:rPr>
        <w:t>PM2.5/PM10检测仪</w:t>
      </w:r>
    </w:p>
    <w:p w14:paraId="411B1F2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设备监测原理：光散射浊度法和β射线吸收法。</w:t>
      </w:r>
    </w:p>
    <w:p w14:paraId="3E8019C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w:t>
      </w:r>
    </w:p>
    <w:p w14:paraId="681E75E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源：Beta:C-14,＜3.7MBq（＜100μCi）；光学：IR LED, 6mW,880nm</w:t>
      </w:r>
    </w:p>
    <w:p w14:paraId="3B3F7ED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测量范围：0-1.0,2.0,3.0,5.0,10.0mg/m</w:t>
      </w:r>
      <w:r>
        <w:rPr>
          <w:rFonts w:hint="eastAsia" w:ascii="宋体" w:hAnsi="宋体" w:eastAsia="宋体" w:cs="宋体"/>
          <w:color w:val="auto"/>
          <w:kern w:val="2"/>
          <w:sz w:val="24"/>
          <w:szCs w:val="24"/>
          <w:highlight w:val="none"/>
          <w:vertAlign w:val="superscript"/>
          <w:lang w:val="en-US" w:eastAsia="zh-CN" w:bidi="ar-SA"/>
        </w:rPr>
        <w:t>3</w:t>
      </w:r>
    </w:p>
    <w:p w14:paraId="0A55329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0-100，1,000，2,000,3,000,5,000,10,000μg/m</w:t>
      </w:r>
      <w:r>
        <w:rPr>
          <w:rFonts w:hint="eastAsia" w:ascii="宋体" w:hAnsi="宋体" w:eastAsia="宋体" w:cs="宋体"/>
          <w:color w:val="auto"/>
          <w:kern w:val="2"/>
          <w:sz w:val="24"/>
          <w:szCs w:val="24"/>
          <w:highlight w:val="none"/>
          <w:vertAlign w:val="superscript"/>
          <w:lang w:val="en-US" w:eastAsia="zh-CN" w:bidi="ar-SA"/>
        </w:rPr>
        <w:t>3</w:t>
      </w:r>
    </w:p>
    <w:p w14:paraId="4D8834A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最低监测限值：＜0.5μg/m3（1小时）@ 2σ；＜0.2μg/m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（24小时）@ 2σ</w:t>
      </w:r>
    </w:p>
    <w:p w14:paraId="6792417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分辨率：0.1μg/m</w:t>
      </w:r>
      <w:r>
        <w:rPr>
          <w:rFonts w:hint="eastAsia" w:ascii="宋体" w:hAnsi="宋体" w:eastAsia="宋体" w:cs="宋体"/>
          <w:color w:val="auto"/>
          <w:kern w:val="2"/>
          <w:sz w:val="24"/>
          <w:szCs w:val="24"/>
          <w:highlight w:val="none"/>
          <w:vertAlign w:val="superscript"/>
          <w:lang w:val="en-US" w:eastAsia="zh-CN" w:bidi="ar-SA"/>
        </w:rPr>
        <w:t>3</w:t>
      </w:r>
    </w:p>
    <w:p w14:paraId="404E08D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精度：±2μg/m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＜80μg/m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 ±5μg/m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＞80μg/m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（24小时）</w:t>
      </w:r>
    </w:p>
    <w:p w14:paraId="291C144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跨漂：</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0.02%/天</w:t>
      </w:r>
    </w:p>
    <w:p w14:paraId="2B4C22F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准确度（质量测量）：±5%使用可溯源到NIST的质量膜</w:t>
      </w:r>
    </w:p>
    <w:p w14:paraId="0A8642E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流量：1m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/h（16.67L/min）用内置亚音速小孔测量，用户可选14–20L/min</w:t>
      </w:r>
    </w:p>
    <w:p w14:paraId="08F38D1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采样流量精度：±2%测量值</w:t>
      </w:r>
    </w:p>
    <w:p w14:paraId="02DD54C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采样流量准确度：&lt;5%测量值</w:t>
      </w:r>
    </w:p>
    <w:p w14:paraId="0870FA6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 xml:space="preserve">2.3 </w:t>
      </w:r>
      <w:r>
        <w:rPr>
          <w:rFonts w:hint="eastAsia" w:ascii="宋体" w:hAnsi="宋体" w:eastAsia="宋体" w:cs="宋体"/>
          <w:color w:val="auto"/>
          <w:kern w:val="2"/>
          <w:sz w:val="24"/>
          <w:szCs w:val="24"/>
          <w:highlight w:val="none"/>
          <w:lang w:val="en-US" w:eastAsia="zh-CN" w:bidi="ar-SA"/>
        </w:rPr>
        <w:t>NO2/NO/NOx检测仪</w:t>
      </w:r>
    </w:p>
    <w:p w14:paraId="4BF0D75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设备监测原理：化学发光法。</w:t>
      </w:r>
    </w:p>
    <w:p w14:paraId="4FC2F62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w:t>
      </w:r>
    </w:p>
    <w:p w14:paraId="46E591D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预置量程：0-0.05，0.1，0.2，0.5，1，2，5，10，20ppm；0-0.1，0.2，0.5，1，2，5，10，20，50mg/m</w:t>
      </w:r>
      <w:r>
        <w:rPr>
          <w:rFonts w:hint="eastAsia" w:ascii="宋体" w:hAnsi="宋体" w:eastAsia="宋体" w:cs="宋体"/>
          <w:color w:val="auto"/>
          <w:kern w:val="2"/>
          <w:sz w:val="24"/>
          <w:szCs w:val="24"/>
          <w:highlight w:val="none"/>
          <w:vertAlign w:val="superscript"/>
          <w:lang w:val="en-US" w:eastAsia="zh-CN" w:bidi="ar-SA"/>
        </w:rPr>
        <w:t>3</w:t>
      </w:r>
    </w:p>
    <w:p w14:paraId="7953996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扩展量程：0-0.2，0.5，1，2，5，10，20，50，100ppm；0-0.5，1，2，5，10，20，50，100，150mg/m</w:t>
      </w:r>
      <w:r>
        <w:rPr>
          <w:rFonts w:hint="eastAsia" w:ascii="宋体" w:hAnsi="宋体" w:eastAsia="宋体" w:cs="宋体"/>
          <w:color w:val="auto"/>
          <w:kern w:val="2"/>
          <w:sz w:val="24"/>
          <w:szCs w:val="24"/>
          <w:highlight w:val="none"/>
          <w:vertAlign w:val="superscript"/>
          <w:lang w:val="en-US" w:eastAsia="zh-CN" w:bidi="ar-SA"/>
        </w:rPr>
        <w:t>3</w:t>
      </w:r>
    </w:p>
    <w:p w14:paraId="603DFF4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用户量程：0-0.05至20ppm，0-0.1至30mg/m</w:t>
      </w:r>
      <w:r>
        <w:rPr>
          <w:rFonts w:hint="eastAsia" w:ascii="宋体" w:hAnsi="宋体" w:eastAsia="宋体" w:cs="宋体"/>
          <w:color w:val="auto"/>
          <w:kern w:val="2"/>
          <w:sz w:val="24"/>
          <w:szCs w:val="24"/>
          <w:highlight w:val="none"/>
          <w:vertAlign w:val="superscript"/>
          <w:lang w:val="en-US" w:eastAsia="zh-CN" w:bidi="ar-SA"/>
        </w:rPr>
        <w:t>3</w:t>
      </w:r>
    </w:p>
    <w:p w14:paraId="2EAC4F6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零点噪音：</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0.20ppbRMS（60秒平的时间）</w:t>
      </w:r>
    </w:p>
    <w:p w14:paraId="48AE3E6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最低检测限：0.40ppb（60秒平均时间）</w:t>
      </w:r>
    </w:p>
    <w:p w14:paraId="1A3F00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零点漂移（24h）：＜0.40ppb</w:t>
      </w:r>
    </w:p>
    <w:p w14:paraId="72F461B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跨度漂移（24h）：±1%满量程</w:t>
      </w:r>
    </w:p>
    <w:p w14:paraId="7699DE4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响应时间（NO/NOx自动模式）：</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40秒（10秒平均时间）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80秒（60秒平均时间）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300秒（300秒平均时间）</w:t>
      </w:r>
    </w:p>
    <w:p w14:paraId="7A17878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精度：±0.4ppb（500ppb量程）</w:t>
      </w:r>
    </w:p>
    <w:p w14:paraId="24C0418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线性：±1%满量程</w:t>
      </w:r>
    </w:p>
    <w:p w14:paraId="6CC4A9E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采样流量：0.6-0.8升/分钟</w:t>
      </w:r>
    </w:p>
    <w:p w14:paraId="28049F0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工作温度：15℃-35℃</w:t>
      </w:r>
    </w:p>
    <w:p w14:paraId="043EDB3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 xml:space="preserve">2.4 </w:t>
      </w:r>
      <w:r>
        <w:rPr>
          <w:rFonts w:hint="eastAsia" w:ascii="宋体" w:hAnsi="宋体" w:eastAsia="宋体" w:cs="宋体"/>
          <w:color w:val="auto"/>
          <w:kern w:val="2"/>
          <w:sz w:val="24"/>
          <w:szCs w:val="24"/>
          <w:highlight w:val="none"/>
          <w:lang w:val="en-US" w:eastAsia="zh-CN" w:bidi="ar-SA"/>
        </w:rPr>
        <w:t>CO检测仪</w:t>
      </w:r>
    </w:p>
    <w:p w14:paraId="6A72EC8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设备监测原理：气体滤光相关技术检测CO浓度。</w:t>
      </w:r>
    </w:p>
    <w:p w14:paraId="0B17F9B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w:t>
      </w:r>
    </w:p>
    <w:p w14:paraId="615AF4B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预置量程：0-1，2，5，10，20，50，100，200，500，1000，2000，5000，10000（ppm或mg/m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w:t>
      </w:r>
    </w:p>
    <w:p w14:paraId="6946E3F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用户量程：0.1至10000（ppm或400mg/m</w:t>
      </w:r>
      <w:r>
        <w:rPr>
          <w:rFonts w:hint="eastAsia" w:ascii="宋体" w:hAnsi="宋体" w:eastAsia="宋体" w:cs="宋体"/>
          <w:color w:val="auto"/>
          <w:kern w:val="2"/>
          <w:sz w:val="24"/>
          <w:szCs w:val="24"/>
          <w:highlight w:val="none"/>
          <w:vertAlign w:val="superscript"/>
          <w:lang w:val="en-US" w:eastAsia="zh-CN" w:bidi="ar-SA"/>
        </w:rPr>
        <w:t>3</w:t>
      </w:r>
      <w:r>
        <w:rPr>
          <w:rFonts w:hint="eastAsia" w:ascii="宋体" w:hAnsi="宋体" w:eastAsia="宋体" w:cs="宋体"/>
          <w:color w:val="auto"/>
          <w:kern w:val="2"/>
          <w:sz w:val="24"/>
          <w:szCs w:val="24"/>
          <w:highlight w:val="none"/>
          <w:lang w:val="en-US" w:eastAsia="zh-CN" w:bidi="ar-SA"/>
        </w:rPr>
        <w:t>）</w:t>
      </w:r>
    </w:p>
    <w:p w14:paraId="78AE5FC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零点噪音：</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0.20 ppm RMS（30秒平的时间）</w:t>
      </w:r>
    </w:p>
    <w:p w14:paraId="40E533D1">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最低检测限：0.04 ppm</w:t>
      </w:r>
    </w:p>
    <w:p w14:paraId="7B4BF2D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零点漂移（24h）：＜0.1 ppm</w:t>
      </w:r>
    </w:p>
    <w:p w14:paraId="23D8254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跨度漂移（24h）：±1%满量程</w:t>
      </w:r>
    </w:p>
    <w:p w14:paraId="71D3C57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响应时间：60秒（30秒平均时间）</w:t>
      </w:r>
    </w:p>
    <w:p w14:paraId="49CC586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精度：±0.1 ppm</w:t>
      </w:r>
    </w:p>
    <w:p w14:paraId="13DF2E1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线性：±1%满量程</w:t>
      </w:r>
    </w:p>
    <w:p w14:paraId="363FE3F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1升/分钟</w:t>
      </w:r>
    </w:p>
    <w:p w14:paraId="37F3049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工作温度：20℃-30℃</w:t>
      </w:r>
    </w:p>
    <w:p w14:paraId="49E2212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 xml:space="preserve">2.5 </w:t>
      </w:r>
      <w:r>
        <w:rPr>
          <w:rFonts w:hint="eastAsia" w:ascii="宋体" w:hAnsi="宋体" w:eastAsia="宋体" w:cs="宋体"/>
          <w:color w:val="auto"/>
          <w:kern w:val="2"/>
          <w:sz w:val="24"/>
          <w:szCs w:val="24"/>
          <w:highlight w:val="none"/>
          <w:lang w:val="en-US" w:eastAsia="zh-CN" w:bidi="ar-SA"/>
        </w:rPr>
        <w:t>SO2检测仪</w:t>
      </w:r>
    </w:p>
    <w:p w14:paraId="26D1563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设备监测原理：脉冲紫外荧光法。</w:t>
      </w:r>
    </w:p>
    <w:p w14:paraId="1CB88E8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技术参数：</w:t>
      </w:r>
    </w:p>
    <w:p w14:paraId="46E0E81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预置量程：0-0.05，0.1，0.2，0.5，1，2，5，10ppm；0-0.2，0.5，1，2，5，10，20，25mg/m</w:t>
      </w:r>
      <w:r>
        <w:rPr>
          <w:rFonts w:hint="eastAsia" w:ascii="宋体" w:hAnsi="宋体" w:eastAsia="宋体" w:cs="宋体"/>
          <w:color w:val="auto"/>
          <w:kern w:val="2"/>
          <w:sz w:val="24"/>
          <w:szCs w:val="24"/>
          <w:highlight w:val="none"/>
          <w:vertAlign w:val="superscript"/>
          <w:lang w:val="en-US" w:eastAsia="zh-CN" w:bidi="ar-SA"/>
        </w:rPr>
        <w:t>3</w:t>
      </w:r>
    </w:p>
    <w:p w14:paraId="20BEDFB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扩展量程：0-0.5，1，2，5，10，20，50，100pm；0-2，5，10，20，50，100，200，250mg/m</w:t>
      </w:r>
      <w:r>
        <w:rPr>
          <w:rFonts w:hint="eastAsia" w:ascii="宋体" w:hAnsi="宋体" w:eastAsia="宋体" w:cs="宋体"/>
          <w:color w:val="auto"/>
          <w:kern w:val="2"/>
          <w:sz w:val="24"/>
          <w:szCs w:val="24"/>
          <w:highlight w:val="none"/>
          <w:vertAlign w:val="superscript"/>
          <w:lang w:val="en-US" w:eastAsia="zh-CN" w:bidi="ar-SA"/>
        </w:rPr>
        <w:t>3</w:t>
      </w:r>
    </w:p>
    <w:p w14:paraId="42389DB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用户量程：0-0.05至100ppm，0-0.2至250mg/m</w:t>
      </w:r>
      <w:r>
        <w:rPr>
          <w:rFonts w:hint="eastAsia" w:ascii="宋体" w:hAnsi="宋体" w:eastAsia="宋体" w:cs="宋体"/>
          <w:color w:val="auto"/>
          <w:kern w:val="2"/>
          <w:sz w:val="24"/>
          <w:szCs w:val="24"/>
          <w:highlight w:val="none"/>
          <w:vertAlign w:val="superscript"/>
          <w:lang w:val="en-US" w:eastAsia="zh-CN" w:bidi="ar-SA"/>
        </w:rPr>
        <w:t>3</w:t>
      </w:r>
    </w:p>
    <w:p w14:paraId="358E7E3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零点噪音：</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1.0 ppb RMS（10秒平均时间），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0.5 ppb RMS（60秒平均时间），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0.25 ppb RMS（300秒平均时间）</w:t>
      </w:r>
    </w:p>
    <w:p w14:paraId="07846A7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最低检测限：＜0.5 ppb</w:t>
      </w:r>
    </w:p>
    <w:p w14:paraId="216F878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零点漂移（24h）：＜1.0 ppb</w:t>
      </w:r>
    </w:p>
    <w:p w14:paraId="65C606C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跨度漂移：±1%满量程/每周</w:t>
      </w:r>
    </w:p>
    <w:p w14:paraId="5E542A72">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80秒（10秒平均时间）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110秒（60秒平均时间）</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320秒（300秒平均时间）</w:t>
      </w:r>
    </w:p>
    <w:p w14:paraId="107E50FD">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精度：1%读数或1ppb（取大值）</w:t>
      </w:r>
    </w:p>
    <w:p w14:paraId="05F547C7">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线性：±1%满量程（&lt;100ppm）</w:t>
      </w:r>
    </w:p>
    <w:p w14:paraId="4CF82BB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采样流量：0.5升/分钟</w:t>
      </w:r>
    </w:p>
    <w:p w14:paraId="70421259">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工作温度：20℃-30℃</w:t>
      </w:r>
    </w:p>
    <w:p w14:paraId="1F151350">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highlight w:val="none"/>
          <w:lang w:val="en-US" w:eastAsia="zh-CN" w:bidi="ar-SA"/>
        </w:rPr>
        <w:t>安排专人实行全天候小时级数据盯控与轮值指挥</w:t>
      </w:r>
      <w:r>
        <w:rPr>
          <w:rFonts w:hint="eastAsia"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应急管控指导工作开展不少于200天。</w:t>
      </w:r>
    </w:p>
    <w:p w14:paraId="04865426">
      <w:pPr>
        <w:pStyle w:val="5"/>
        <w:keepNext/>
        <w:keepLines/>
        <w:pageBreakBefore w:val="0"/>
        <w:widowControl w:val="0"/>
        <w:kinsoku/>
        <w:wordWrap/>
        <w:overflowPunct/>
        <w:topLinePunct w:val="0"/>
        <w:autoSpaceDE/>
        <w:autoSpaceDN/>
        <w:bidi w:val="0"/>
        <w:adjustRightInd/>
        <w:snapToGrid/>
        <w:spacing w:before="0" w:after="0" w:line="560" w:lineRule="exact"/>
        <w:ind w:firstLine="480" w:firstLineChars="200"/>
        <w:textAlignment w:val="auto"/>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3.事后复盘与优化提升</w:t>
      </w:r>
    </w:p>
    <w:p w14:paraId="2AFFE3F6">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Theme="minorEastAsia" w:hAnsiTheme="minorEastAsia" w:eastAsiaTheme="minorEastAsia" w:cstheme="minorEastAsia"/>
          <w:color w:val="auto"/>
          <w:kern w:val="2"/>
          <w:sz w:val="24"/>
          <w:szCs w:val="24"/>
          <w:lang w:val="en-US" w:eastAsia="zh-CN" w:bidi="ar-SA"/>
        </w:rPr>
        <w:t>污染事件处置完毕后开展全面复盘。系统梳理污染事件发生原因、发展过程、处置措施、管控成效等核心信息，分析处置工作中的亮点与不足，评估管控措施的针对性与有效性。结合复盘结果，沉淀典型案例经验，优化本地化溯源模型、高值识别算法及应急管控预案。</w:t>
      </w:r>
    </w:p>
    <w:p w14:paraId="4421B898">
      <w:pPr>
        <w:keepNext w:val="0"/>
        <w:keepLines w:val="0"/>
        <w:pageBreakBefore w:val="0"/>
        <w:widowControl/>
        <w:kinsoku/>
        <w:wordWrap/>
        <w:overflowPunct/>
        <w:topLinePunct w:val="0"/>
        <w:autoSpaceDE/>
        <w:autoSpaceDN/>
        <w:bidi w:val="0"/>
        <w:adjustRightInd/>
        <w:snapToGrid/>
        <w:spacing w:line="560" w:lineRule="exact"/>
        <w:ind w:firstLine="480" w:firstLineChars="200"/>
        <w:contextualSpacing w:val="0"/>
        <w:textAlignment w:val="auto"/>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w:t>
      </w:r>
      <w:r>
        <w:rPr>
          <w:rFonts w:hint="eastAsia" w:ascii="宋体" w:hAnsi="宋体" w:eastAsia="宋体" w:cs="宋体"/>
          <w:color w:val="auto"/>
          <w:kern w:val="2"/>
          <w:sz w:val="24"/>
          <w:szCs w:val="24"/>
          <w:lang w:val="en-US" w:eastAsia="zh-CN" w:bidi="ar-SA"/>
        </w:rPr>
        <w:t>提供污染应急指导管控总结报告不少于30份。</w:t>
      </w:r>
    </w:p>
    <w:p w14:paraId="62F36D82">
      <w:pPr>
        <w:keepNext w:val="0"/>
        <w:keepLines w:val="0"/>
        <w:spacing w:line="560" w:lineRule="exact"/>
        <w:ind w:firstLine="602" w:firstLineChars="200"/>
        <w:rPr>
          <w:rFonts w:hint="eastAsia" w:ascii="黑体" w:hAnsi="黑体" w:eastAsia="黑体" w:cs="黑体"/>
          <w:b/>
          <w:color w:val="auto"/>
          <w:sz w:val="30"/>
          <w:szCs w:val="30"/>
          <w:highlight w:val="none"/>
          <w:lang w:val="en-US" w:eastAsia="zh-CN"/>
        </w:rPr>
      </w:pPr>
      <w:bookmarkStart w:id="878" w:name="_Toc719343949"/>
      <w:bookmarkStart w:id="879" w:name="_Toc1224100384"/>
      <w:bookmarkStart w:id="880" w:name="_Toc1755656232"/>
      <w:bookmarkStart w:id="881" w:name="_Toc1973472665"/>
      <w:bookmarkStart w:id="882" w:name="_Toc16600"/>
      <w:bookmarkStart w:id="883" w:name="_Toc2093421036"/>
      <w:bookmarkStart w:id="884" w:name="_Toc2104153989"/>
      <w:bookmarkStart w:id="885" w:name="_Toc1914498278"/>
      <w:bookmarkStart w:id="886" w:name="_Toc1598829159"/>
      <w:bookmarkStart w:id="887" w:name="_Toc1482461526"/>
      <w:r>
        <w:rPr>
          <w:rFonts w:hint="eastAsia" w:ascii="黑体" w:hAnsi="黑体" w:eastAsia="黑体" w:cs="黑体"/>
          <w:b/>
          <w:color w:val="auto"/>
          <w:sz w:val="30"/>
          <w:szCs w:val="30"/>
          <w:highlight w:val="none"/>
          <w:lang w:val="en-US" w:eastAsia="zh-CN"/>
        </w:rPr>
        <w:t>三</w:t>
      </w:r>
      <w:bookmarkEnd w:id="878"/>
      <w:bookmarkEnd w:id="879"/>
      <w:bookmarkEnd w:id="880"/>
      <w:bookmarkEnd w:id="881"/>
      <w:bookmarkEnd w:id="882"/>
      <w:bookmarkEnd w:id="883"/>
      <w:bookmarkEnd w:id="884"/>
      <w:bookmarkEnd w:id="885"/>
      <w:bookmarkEnd w:id="886"/>
      <w:bookmarkStart w:id="888" w:name="_Toc114778951"/>
      <w:bookmarkStart w:id="889" w:name="_Toc208665272"/>
      <w:bookmarkStart w:id="890" w:name="_Toc1214877291"/>
      <w:bookmarkStart w:id="891" w:name="_Toc1539035556"/>
      <w:bookmarkStart w:id="892" w:name="_Toc1757535049"/>
      <w:bookmarkStart w:id="893" w:name="_Toc22047"/>
      <w:bookmarkStart w:id="894" w:name="_Toc98034911"/>
      <w:bookmarkStart w:id="895" w:name="_Toc697157880"/>
      <w:bookmarkStart w:id="896" w:name="_Toc2086154586"/>
      <w:r>
        <w:rPr>
          <w:rFonts w:hint="eastAsia" w:ascii="黑体" w:hAnsi="黑体" w:eastAsia="黑体" w:cs="黑体"/>
          <w:b/>
          <w:color w:val="auto"/>
          <w:sz w:val="30"/>
          <w:szCs w:val="30"/>
          <w:highlight w:val="none"/>
          <w:lang w:val="en-US" w:eastAsia="zh-CN"/>
        </w:rPr>
        <w:t>、项目预期成果</w:t>
      </w:r>
      <w:bookmarkEnd w:id="887"/>
      <w:bookmarkEnd w:id="888"/>
      <w:bookmarkEnd w:id="889"/>
      <w:bookmarkEnd w:id="890"/>
      <w:bookmarkEnd w:id="891"/>
      <w:bookmarkEnd w:id="892"/>
      <w:bookmarkEnd w:id="893"/>
      <w:bookmarkEnd w:id="894"/>
      <w:bookmarkEnd w:id="895"/>
      <w:bookmarkEnd w:id="896"/>
    </w:p>
    <w:p w14:paraId="49FE975A">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本项目实施周期为13个月，主要包含以下成果：</w:t>
      </w:r>
    </w:p>
    <w:p w14:paraId="39C4E1FB">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1.重点区域微环境浮尘深度治理台账1份。</w:t>
      </w:r>
    </w:p>
    <w:p w14:paraId="55C1B40E">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2.服务期内配备1台新能源高压洒水车、1台新能源多功能洗扫车开展重点区域道路扬尘精细化专项治理。</w:t>
      </w:r>
    </w:p>
    <w:p w14:paraId="0B31AD55">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3.利用移动式颗粒物组分立体监测方舱，开展重点区域PM</w:t>
      </w:r>
      <w:r>
        <w:rPr>
          <w:rFonts w:hint="eastAsia" w:asciiTheme="minorEastAsia" w:hAnsiTheme="minorEastAsia" w:eastAsiaTheme="minorEastAsia" w:cstheme="minorEastAsia"/>
          <w:color w:val="auto"/>
          <w:kern w:val="2"/>
          <w:sz w:val="24"/>
          <w:szCs w:val="24"/>
          <w:vertAlign w:val="baseline"/>
          <w:lang w:val="en-US" w:eastAsia="zh-CN" w:bidi="ar-SA"/>
        </w:rPr>
        <w:t>2.5</w:t>
      </w:r>
      <w:r>
        <w:rPr>
          <w:rFonts w:hint="eastAsia" w:asciiTheme="minorEastAsia" w:hAnsiTheme="minorEastAsia" w:eastAsiaTheme="minorEastAsia" w:cstheme="minorEastAsia"/>
          <w:color w:val="auto"/>
          <w:kern w:val="2"/>
          <w:sz w:val="24"/>
          <w:szCs w:val="24"/>
          <w:lang w:val="en-US" w:eastAsia="zh-CN" w:bidi="ar-SA"/>
        </w:rPr>
        <w:t>在线组分监测，服务期内共监测不少于172天。完成监测分析日报172份、周报25份、月报6份、年度总结报告1份。</w:t>
      </w:r>
    </w:p>
    <w:p w14:paraId="1CA76548">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4.开展不少于250次多通道立体走航监测服务，完成走航监测分析报告250份。</w:t>
      </w:r>
    </w:p>
    <w:p w14:paraId="0E1A5F23">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5.确定不少于2个研究样区，每个样区完成不少于60天的连续有效观测，整合各类监测数据，最终形成《空气质量综合评价与污染影响因素分析报告》。</w:t>
      </w:r>
    </w:p>
    <w:p w14:paraId="3DCE0ECF">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6.开展精细化溯源巡排查工作，动态更新污染源台账和污染源地图，实时掌握辖区内主要污染源，提供大气污染物精细化污染源台账1份、扬尘污染源分布地图1份。</w:t>
      </w:r>
    </w:p>
    <w:p w14:paraId="7B14555C">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480" w:firstLineChars="200"/>
        <w:jc w:val="both"/>
        <w:textAlignment w:val="auto"/>
        <w:rPr>
          <w:rFonts w:hint="eastAsia"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kern w:val="2"/>
          <w:sz w:val="24"/>
          <w:szCs w:val="24"/>
          <w:lang w:val="en-US" w:eastAsia="zh-CN" w:bidi="ar-SA"/>
        </w:rPr>
        <w:t>7</w:t>
      </w:r>
      <w:r>
        <w:rPr>
          <w:rFonts w:hint="eastAsia" w:asciiTheme="minorEastAsia" w:hAnsiTheme="minorEastAsia" w:eastAsiaTheme="minorEastAsia" w:cstheme="minorEastAsia"/>
          <w:b w:val="0"/>
          <w:bCs w:val="0"/>
          <w:color w:val="auto"/>
          <w:sz w:val="24"/>
          <w:szCs w:val="24"/>
          <w:lang w:val="en-US" w:eastAsia="zh-CN"/>
        </w:rPr>
        <w:t>.开展污染应急指导管控服务不少于200天，提供污染应急指导管控总结报告不少于30份。</w:t>
      </w:r>
    </w:p>
    <w:p w14:paraId="606D9156">
      <w:pPr>
        <w:keepNext w:val="0"/>
        <w:keepLines w:val="0"/>
        <w:ind w:firstLine="602" w:firstLineChars="200"/>
        <w:rPr>
          <w:rFonts w:hint="eastAsia" w:ascii="黑体" w:hAnsi="黑体" w:eastAsia="黑体" w:cs="黑体"/>
          <w:b/>
          <w:color w:val="auto"/>
          <w:sz w:val="30"/>
          <w:szCs w:val="30"/>
          <w:highlight w:val="none"/>
          <w:lang w:val="en-US" w:eastAsia="zh-CN"/>
        </w:rPr>
      </w:pPr>
      <w:bookmarkStart w:id="897" w:name="_Toc1965141450"/>
      <w:bookmarkStart w:id="898" w:name="_Toc408912203"/>
      <w:bookmarkStart w:id="899" w:name="_Toc1365843789"/>
      <w:bookmarkStart w:id="900" w:name="_Toc2107546066"/>
      <w:bookmarkStart w:id="901" w:name="_Toc1186826201"/>
      <w:bookmarkStart w:id="902" w:name="_Toc18910"/>
      <w:bookmarkStart w:id="903" w:name="_Toc817084497"/>
      <w:bookmarkStart w:id="904" w:name="_Toc871147109"/>
      <w:bookmarkStart w:id="905" w:name="_Toc1289127159"/>
      <w:bookmarkStart w:id="906" w:name="_Toc1245797501"/>
      <w:r>
        <w:rPr>
          <w:rFonts w:hint="eastAsia" w:ascii="黑体" w:hAnsi="黑体" w:eastAsia="黑体" w:cs="黑体"/>
          <w:b/>
          <w:color w:val="auto"/>
          <w:sz w:val="30"/>
          <w:szCs w:val="30"/>
          <w:highlight w:val="none"/>
          <w:lang w:val="en-US" w:eastAsia="zh-CN"/>
        </w:rPr>
        <w:t>四、验收要求</w:t>
      </w:r>
      <w:bookmarkEnd w:id="897"/>
      <w:bookmarkEnd w:id="898"/>
      <w:bookmarkEnd w:id="899"/>
      <w:bookmarkEnd w:id="900"/>
      <w:bookmarkEnd w:id="901"/>
      <w:bookmarkEnd w:id="902"/>
      <w:bookmarkEnd w:id="903"/>
      <w:bookmarkEnd w:id="904"/>
      <w:bookmarkEnd w:id="905"/>
      <w:bookmarkEnd w:id="906"/>
    </w:p>
    <w:p w14:paraId="137913CB">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lang w:val="en-US" w:eastAsia="zh-CN"/>
        </w:rPr>
        <w:t>1.</w:t>
      </w:r>
      <w:r>
        <w:rPr>
          <w:rFonts w:hint="eastAsia" w:asciiTheme="minorEastAsia" w:hAnsiTheme="minorEastAsia" w:eastAsiaTheme="minorEastAsia" w:cstheme="minorEastAsia"/>
          <w:b w:val="0"/>
          <w:color w:val="auto"/>
          <w:sz w:val="24"/>
          <w:szCs w:val="24"/>
          <w:highlight w:val="none"/>
          <w:lang w:val="en-US" w:eastAsia="zh-CN"/>
        </w:rPr>
        <w:t>服务期满后10个工作日内，乙方提交完整项目成果和验收申请。</w:t>
      </w:r>
    </w:p>
    <w:p w14:paraId="01D65746">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lang w:val="en-US" w:eastAsia="zh-CN"/>
        </w:rPr>
        <w:t>2.</w:t>
      </w:r>
      <w:r>
        <w:rPr>
          <w:rFonts w:hint="eastAsia" w:asciiTheme="minorEastAsia" w:hAnsiTheme="minorEastAsia" w:eastAsiaTheme="minorEastAsia" w:cstheme="minorEastAsia"/>
          <w:b w:val="0"/>
          <w:color w:val="auto"/>
          <w:sz w:val="24"/>
          <w:szCs w:val="24"/>
          <w:highlight w:val="none"/>
          <w:lang w:val="en-US" w:eastAsia="zh-CN"/>
        </w:rPr>
        <w:t>甲方在收到验收申请后15个工作日内组织专家验收会，专家从生态环境领域专家库中选取，人数为3人以上单数。</w:t>
      </w:r>
    </w:p>
    <w:p w14:paraId="1CDCEC99">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lang w:val="en-US" w:eastAsia="zh-CN"/>
        </w:rPr>
        <w:t>3.</w:t>
      </w:r>
      <w:r>
        <w:rPr>
          <w:rFonts w:hint="eastAsia" w:asciiTheme="minorEastAsia" w:hAnsiTheme="minorEastAsia" w:eastAsiaTheme="minorEastAsia" w:cstheme="minorEastAsia"/>
          <w:b w:val="0"/>
          <w:color w:val="auto"/>
          <w:sz w:val="24"/>
          <w:szCs w:val="24"/>
          <w:highlight w:val="none"/>
          <w:lang w:val="en-US" w:eastAsia="zh-CN"/>
        </w:rPr>
        <w:t>专家验收会逐项核对合同约定的服务内容、成果数量、数据质量、人员设备配置等，形成验收意见。</w:t>
      </w:r>
    </w:p>
    <w:p w14:paraId="6B030E95">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lang w:val="en-US" w:eastAsia="zh-CN"/>
        </w:rPr>
        <w:t>4.</w:t>
      </w:r>
      <w:r>
        <w:rPr>
          <w:rFonts w:hint="eastAsia" w:asciiTheme="minorEastAsia" w:hAnsiTheme="minorEastAsia" w:eastAsiaTheme="minorEastAsia" w:cstheme="minorEastAsia"/>
          <w:b w:val="0"/>
          <w:color w:val="auto"/>
          <w:sz w:val="24"/>
          <w:szCs w:val="24"/>
          <w:highlight w:val="none"/>
          <w:lang w:val="en-US" w:eastAsia="zh-CN"/>
        </w:rPr>
        <w:t>不合格与整改：</w:t>
      </w:r>
    </w:p>
    <w:p w14:paraId="0708E345">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highlight w:val="none"/>
          <w:lang w:val="en-US" w:eastAsia="zh-CN"/>
        </w:rPr>
        <w:t>轻微瑕疵：乙方2个工作日内免费整改，复检合格视为通过。</w:t>
      </w:r>
    </w:p>
    <w:p w14:paraId="2B06B397">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lang w:val="en-US" w:eastAsia="zh-CN"/>
        </w:rPr>
      </w:pPr>
      <w:r>
        <w:rPr>
          <w:rFonts w:hint="eastAsia" w:asciiTheme="minorEastAsia" w:hAnsiTheme="minorEastAsia" w:eastAsiaTheme="minorEastAsia" w:cstheme="minorEastAsia"/>
          <w:b w:val="0"/>
          <w:color w:val="auto"/>
          <w:sz w:val="24"/>
          <w:szCs w:val="24"/>
          <w:highlight w:val="none"/>
          <w:lang w:val="en-US" w:eastAsia="zh-CN"/>
        </w:rPr>
        <w:t>严重不合格：未达到核心指标（监测天数、走航次数、应急管控天数、报告份数等），或存在数据造假、人员设备与投标承诺严重不符等情形，乙方10个工作日内返工或补服；两次整改仍不合格，甲方有权扣减服务费、暂停支付、单方解除合同并索赔损失。</w:t>
      </w:r>
    </w:p>
    <w:p w14:paraId="0EF8BF2C">
      <w:pPr>
        <w:keepNext w:val="0"/>
        <w:keepLines w:val="0"/>
        <w:spacing w:line="560" w:lineRule="exact"/>
        <w:ind w:firstLine="602" w:firstLineChars="200"/>
        <w:rPr>
          <w:rFonts w:hint="eastAsia" w:ascii="黑体" w:hAnsi="黑体" w:eastAsia="黑体" w:cs="黑体"/>
          <w:b/>
          <w:color w:val="auto"/>
          <w:sz w:val="30"/>
          <w:szCs w:val="30"/>
          <w:highlight w:val="none"/>
          <w:lang w:val="en-US" w:eastAsia="zh-CN"/>
        </w:rPr>
      </w:pPr>
      <w:r>
        <w:rPr>
          <w:rFonts w:hint="eastAsia" w:ascii="黑体" w:hAnsi="黑体" w:eastAsia="黑体" w:cs="黑体"/>
          <w:b/>
          <w:color w:val="auto"/>
          <w:sz w:val="30"/>
          <w:szCs w:val="30"/>
          <w:highlight w:val="none"/>
          <w:lang w:val="en-US" w:eastAsia="zh-CN"/>
        </w:rPr>
        <w:t>五、其他要求</w:t>
      </w:r>
    </w:p>
    <w:p w14:paraId="1D4A0969">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lang w:val="en-US" w:eastAsia="zh-CN"/>
        </w:rPr>
      </w:pPr>
      <w:r>
        <w:rPr>
          <w:rFonts w:hint="eastAsia" w:asciiTheme="minorEastAsia" w:hAnsiTheme="minorEastAsia" w:eastAsiaTheme="minorEastAsia" w:cstheme="minorEastAsia"/>
          <w:b w:val="0"/>
          <w:color w:val="auto"/>
          <w:sz w:val="24"/>
          <w:szCs w:val="24"/>
          <w:lang w:val="en-US" w:eastAsia="zh-CN"/>
        </w:rPr>
        <w:t>1.项目关键人员不得擅自更换，更换需甲方书面同意；设备型号、序列号、参数要与投标承诺一致；车辆要提供租赁合同、使用证明等相关记录。</w:t>
      </w:r>
    </w:p>
    <w:p w14:paraId="510A0750">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lang w:val="en-US" w:eastAsia="zh-CN"/>
        </w:rPr>
      </w:pPr>
      <w:r>
        <w:rPr>
          <w:rFonts w:hint="eastAsia" w:asciiTheme="minorEastAsia" w:hAnsiTheme="minorEastAsia" w:eastAsiaTheme="minorEastAsia" w:cstheme="minorEastAsia"/>
          <w:b w:val="0"/>
          <w:color w:val="auto"/>
          <w:sz w:val="24"/>
          <w:szCs w:val="24"/>
          <w:lang w:val="en-US" w:eastAsia="zh-CN"/>
        </w:rPr>
        <w:t>2.乙方应保证监测数据真实、客观、完整，严禁数据篡改、原始数据造假、成果报告抄袭。</w:t>
      </w:r>
    </w:p>
    <w:p w14:paraId="35E8A2B8">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lang w:val="en-US" w:eastAsia="zh-CN"/>
        </w:rPr>
      </w:pPr>
      <w:r>
        <w:rPr>
          <w:rFonts w:hint="eastAsia" w:asciiTheme="minorEastAsia" w:hAnsiTheme="minorEastAsia" w:eastAsiaTheme="minorEastAsia" w:cstheme="minorEastAsia"/>
          <w:b w:val="0"/>
          <w:color w:val="auto"/>
          <w:sz w:val="24"/>
          <w:szCs w:val="24"/>
          <w:lang w:val="en-US" w:eastAsia="zh-CN"/>
        </w:rPr>
        <w:t>3.乙方应积极配合财政、审计、纪检监察等部门开展审计、核查及监督检查工作，如实、完整提供原始凭证、项目台账、原始监测数据、人员社保缴纳记录、仪器设备运行记录等。</w:t>
      </w:r>
    </w:p>
    <w:p w14:paraId="56C5DB0D">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lang w:val="en-US" w:eastAsia="zh-CN"/>
        </w:rPr>
      </w:pPr>
      <w:r>
        <w:rPr>
          <w:rFonts w:hint="eastAsia" w:asciiTheme="minorEastAsia" w:hAnsiTheme="minorEastAsia" w:eastAsiaTheme="minorEastAsia" w:cstheme="minorEastAsia"/>
          <w:b w:val="0"/>
          <w:color w:val="auto"/>
          <w:sz w:val="24"/>
          <w:szCs w:val="24"/>
          <w:lang w:val="en-US" w:eastAsia="zh-CN"/>
        </w:rPr>
        <w:t>4.乙方不得将本合同项下全部或部分工作擅自转包、分包给第三方。</w:t>
      </w:r>
    </w:p>
    <w:p w14:paraId="78554CBE">
      <w:pPr>
        <w:pStyle w:val="24"/>
        <w:keepNext w:val="0"/>
        <w:keepLines w:val="0"/>
        <w:numPr>
          <w:ilvl w:val="0"/>
          <w:numId w:val="0"/>
        </w:numPr>
        <w:spacing w:line="560" w:lineRule="exact"/>
        <w:ind w:firstLine="480" w:firstLineChars="200"/>
        <w:rPr>
          <w:rFonts w:hint="eastAsia" w:asciiTheme="minorEastAsia" w:hAnsiTheme="minorEastAsia" w:eastAsiaTheme="minorEastAsia" w:cstheme="minorEastAsia"/>
          <w:b w:val="0"/>
          <w:color w:val="auto"/>
          <w:sz w:val="24"/>
          <w:szCs w:val="24"/>
          <w:highlight w:val="none"/>
          <w:lang w:val="en-US" w:eastAsia="zh-CN"/>
        </w:rPr>
      </w:pPr>
      <w:r>
        <w:rPr>
          <w:rFonts w:hint="eastAsia" w:asciiTheme="minorEastAsia" w:hAnsiTheme="minorEastAsia" w:eastAsiaTheme="minorEastAsia" w:cstheme="minorEastAsia"/>
          <w:b w:val="0"/>
          <w:color w:val="auto"/>
          <w:sz w:val="24"/>
          <w:szCs w:val="24"/>
          <w:lang w:val="en-US" w:eastAsia="zh-CN"/>
        </w:rPr>
        <w:t>5.项目实施全过程应严格遵照国家及行业现行标准规范，落实各环节质量控制要求。</w:t>
      </w:r>
    </w:p>
    <w:p w14:paraId="16A94596">
      <w:pPr>
        <w:pStyle w:val="24"/>
        <w:keepNext w:val="0"/>
        <w:keepLines w:val="0"/>
        <w:numPr>
          <w:ilvl w:val="0"/>
          <w:numId w:val="0"/>
        </w:numPr>
        <w:spacing w:line="560" w:lineRule="exact"/>
        <w:ind w:firstLine="602" w:firstLineChars="200"/>
        <w:rPr>
          <w:rFonts w:hint="eastAsia" w:ascii="黑体" w:hAnsi="黑体" w:eastAsia="黑体" w:cs="黑体"/>
          <w:b/>
          <w:color w:val="auto"/>
          <w:sz w:val="30"/>
          <w:szCs w:val="30"/>
          <w:highlight w:val="none"/>
          <w:lang w:val="en-US" w:eastAsia="zh-CN"/>
        </w:rPr>
      </w:pPr>
      <w:r>
        <w:rPr>
          <w:rFonts w:hint="eastAsia" w:ascii="黑体" w:hAnsi="黑体" w:eastAsia="黑体" w:cs="黑体"/>
          <w:b/>
          <w:color w:val="auto"/>
          <w:sz w:val="30"/>
          <w:szCs w:val="30"/>
          <w:highlight w:val="none"/>
          <w:lang w:val="en-US" w:eastAsia="zh-CN"/>
        </w:rPr>
        <w:t>六、付款方式</w:t>
      </w:r>
    </w:p>
    <w:p w14:paraId="73F36EB9">
      <w:pPr>
        <w:pStyle w:val="24"/>
        <w:numPr>
          <w:ilvl w:val="0"/>
          <w:numId w:val="0"/>
        </w:numPr>
        <w:spacing w:line="560" w:lineRule="exact"/>
        <w:ind w:leftChars="0" w:firstLine="480" w:firstLineChars="200"/>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详见第六章拟签订的合同文本。</w:t>
      </w:r>
    </w:p>
    <w:p w14:paraId="0EEBA69A">
      <w:pPr>
        <w:keepNext w:val="0"/>
        <w:keepLines w:val="0"/>
        <w:pageBreakBefore w:val="0"/>
        <w:widowControl w:val="0"/>
        <w:kinsoku/>
        <w:wordWrap/>
        <w:overflowPunct/>
        <w:topLinePunct w:val="0"/>
        <w:autoSpaceDE/>
        <w:autoSpaceDN/>
        <w:bidi w:val="0"/>
        <w:adjustRightInd/>
        <w:snapToGrid/>
        <w:spacing w:line="560" w:lineRule="exact"/>
        <w:ind w:leftChars="0" w:firstLine="480" w:firstLineChars="200"/>
        <w:textAlignment w:val="auto"/>
        <w:rPr>
          <w:rFonts w:hint="eastAsia" w:ascii="宋体" w:hAnsi="宋体" w:eastAsia="宋体" w:cs="宋体"/>
          <w:sz w:val="24"/>
          <w:szCs w:val="24"/>
          <w:lang w:val="en-US" w:eastAsia="zh-CN"/>
        </w:rPr>
      </w:pPr>
    </w:p>
    <w:p w14:paraId="47719057">
      <w:pPr>
        <w:keepNext w:val="0"/>
        <w:keepLines w:val="0"/>
        <w:pageBreakBefore w:val="0"/>
        <w:widowControl w:val="0"/>
        <w:kinsoku/>
        <w:wordWrap/>
        <w:overflowPunct/>
        <w:topLinePunct w:val="0"/>
        <w:autoSpaceDE/>
        <w:autoSpaceDN/>
        <w:bidi w:val="0"/>
        <w:adjustRightInd/>
        <w:snapToGrid/>
        <w:spacing w:line="360" w:lineRule="auto"/>
        <w:ind w:leftChars="0" w:firstLine="562" w:firstLineChars="200"/>
        <w:textAlignment w:val="auto"/>
        <w:rPr>
          <w:rFonts w:hint="default" w:ascii="宋体" w:hAnsi="宋体" w:eastAsia="宋体" w:cs="宋体"/>
          <w:b/>
          <w:bCs/>
          <w:sz w:val="28"/>
          <w:szCs w:val="28"/>
          <w:lang w:val="en-US" w:eastAsia="zh-CN"/>
        </w:rPr>
        <w:sectPr>
          <w:footerReference r:id="rId12" w:type="default"/>
          <w:pgSz w:w="11906" w:h="16838"/>
          <w:pgMar w:top="1440" w:right="1800" w:bottom="1440" w:left="1800" w:header="851" w:footer="992" w:gutter="0"/>
          <w:pgNumType w:fmt="decimal"/>
          <w:cols w:space="720" w:num="1"/>
          <w:docGrid w:type="lines" w:linePitch="312" w:charSpace="0"/>
        </w:sectPr>
      </w:pPr>
      <w:bookmarkStart w:id="907" w:name="_Toc23678"/>
      <w:r>
        <w:rPr>
          <w:rFonts w:hint="eastAsia" w:ascii="宋体" w:hAnsi="宋体" w:eastAsia="宋体" w:cs="宋体"/>
          <w:b/>
          <w:bCs/>
          <w:kern w:val="2"/>
          <w:sz w:val="28"/>
          <w:szCs w:val="28"/>
          <w:lang w:val="en-US" w:eastAsia="zh-CN" w:bidi="ar-SA"/>
        </w:rPr>
        <w:t>注：本项目采购需求中所涉及到的相关器械参数均作为参考，中标人在后续服务过程中可根据此项目实际情况适当调整器械使用情况，</w:t>
      </w:r>
      <w:r>
        <w:rPr>
          <w:rFonts w:hint="eastAsia" w:ascii="宋体" w:hAnsi="宋体" w:cs="宋体"/>
          <w:b/>
          <w:bCs/>
          <w:kern w:val="2"/>
          <w:sz w:val="28"/>
          <w:szCs w:val="28"/>
          <w:lang w:val="en-US" w:eastAsia="zh-CN" w:bidi="ar-SA"/>
        </w:rPr>
        <w:t>提升</w:t>
      </w:r>
      <w:r>
        <w:rPr>
          <w:rFonts w:hint="eastAsia" w:ascii="宋体" w:hAnsi="宋体" w:eastAsia="宋体" w:cs="宋体"/>
          <w:b/>
          <w:bCs/>
          <w:kern w:val="2"/>
          <w:sz w:val="28"/>
          <w:szCs w:val="28"/>
          <w:lang w:val="en-US" w:eastAsia="zh-CN" w:bidi="ar-SA"/>
        </w:rPr>
        <w:t>治理效果，确保器械调整不降低服务质量和治理成效</w:t>
      </w:r>
      <w:r>
        <w:rPr>
          <w:rFonts w:hint="eastAsia" w:ascii="宋体" w:hAnsi="宋体" w:cs="宋体"/>
          <w:b/>
          <w:bCs/>
          <w:kern w:val="2"/>
          <w:sz w:val="28"/>
          <w:szCs w:val="28"/>
          <w:lang w:val="en-US" w:eastAsia="zh-CN" w:bidi="ar-SA"/>
        </w:rPr>
        <w:t>。</w:t>
      </w:r>
    </w:p>
    <w:p w14:paraId="727A97B0">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eastAsia="宋体" w:cs="宋体"/>
          <w:b/>
          <w:bCs/>
          <w:kern w:val="2"/>
          <w:sz w:val="28"/>
          <w:szCs w:val="28"/>
          <w:lang w:val="en-US" w:eastAsia="zh-CN" w:bidi="ar-SA"/>
        </w:rPr>
      </w:pPr>
    </w:p>
    <w:p w14:paraId="1683B009">
      <w:pPr>
        <w:bidi w:val="0"/>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第六章   拟签订的合同文本</w:t>
      </w:r>
      <w:bookmarkEnd w:id="907"/>
    </w:p>
    <w:p w14:paraId="23011E04">
      <w:pPr>
        <w:pageBreakBefore w:val="0"/>
        <w:wordWrap/>
        <w:topLinePunct w:val="0"/>
        <w:bidi w:val="0"/>
        <w:spacing w:line="360" w:lineRule="auto"/>
        <w:rPr>
          <w:rFonts w:hint="eastAsia" w:ascii="宋体" w:hAnsi="宋体" w:eastAsia="宋体" w:cs="宋体"/>
          <w:b/>
          <w:i w:val="0"/>
          <w:iCs w:val="0"/>
          <w:color w:val="auto"/>
          <w:spacing w:val="0"/>
          <w:position w:val="0"/>
          <w:sz w:val="36"/>
          <w:szCs w:val="36"/>
          <w:highlight w:val="none"/>
        </w:rPr>
      </w:pPr>
    </w:p>
    <w:p w14:paraId="19FBBA28">
      <w:pPr>
        <w:pageBreakBefore w:val="0"/>
        <w:tabs>
          <w:tab w:val="left" w:pos="900"/>
          <w:tab w:val="left" w:pos="1080"/>
        </w:tabs>
        <w:wordWrap/>
        <w:topLinePunct w:val="0"/>
        <w:bidi w:val="0"/>
        <w:snapToGrid w:val="0"/>
        <w:spacing w:line="360" w:lineRule="auto"/>
        <w:jc w:val="center"/>
        <w:rPr>
          <w:rFonts w:hint="eastAsia" w:ascii="宋体" w:hAnsi="宋体" w:eastAsia="宋体" w:cs="宋体"/>
          <w:i w:val="0"/>
          <w:iCs w:val="0"/>
          <w:color w:val="auto"/>
          <w:spacing w:val="0"/>
          <w:position w:val="0"/>
          <w:sz w:val="24"/>
          <w:szCs w:val="21"/>
          <w:highlight w:val="none"/>
          <w:lang w:eastAsia="zh-CN"/>
        </w:rPr>
      </w:pPr>
      <w:r>
        <w:rPr>
          <w:rFonts w:hint="eastAsia" w:ascii="宋体" w:hAnsi="宋体" w:eastAsia="宋体" w:cs="宋体"/>
          <w:i w:val="0"/>
          <w:iCs w:val="0"/>
          <w:color w:val="auto"/>
          <w:spacing w:val="0"/>
          <w:position w:val="0"/>
          <w:sz w:val="24"/>
          <w:szCs w:val="21"/>
          <w:highlight w:val="none"/>
          <w:lang w:eastAsia="zh-CN"/>
        </w:rPr>
        <w:t>(此合同文本仅供参考。以最终招标人与中标人签定的合同条款为准,最终签定合同的主要条款不能与采购文件有冲突）</w:t>
      </w:r>
    </w:p>
    <w:p w14:paraId="0DAF85D7">
      <w:pPr>
        <w:pageBreakBefore w:val="0"/>
        <w:wordWrap/>
        <w:bidi w:val="0"/>
        <w:spacing w:before="0" w:line="240" w:lineRule="auto"/>
        <w:ind w:left="0"/>
        <w:outlineLvl w:val="9"/>
        <w:rPr>
          <w:rFonts w:hint="eastAsia" w:ascii="宋体" w:hAnsi="宋体" w:eastAsia="宋体" w:cs="宋体"/>
          <w:spacing w:val="9"/>
          <w:sz w:val="24"/>
          <w:szCs w:val="24"/>
        </w:rPr>
      </w:pPr>
    </w:p>
    <w:p w14:paraId="280720AB">
      <w:pPr>
        <w:pageBreakBefore w:val="0"/>
        <w:wordWrap/>
        <w:bidi w:val="0"/>
        <w:spacing w:before="95" w:line="360" w:lineRule="auto"/>
        <w:ind w:left="0"/>
        <w:jc w:val="center"/>
        <w:outlineLvl w:val="1"/>
        <w:rPr>
          <w:rFonts w:hint="eastAsia" w:ascii="宋体" w:hAnsi="宋体" w:eastAsia="宋体" w:cs="宋体"/>
          <w:sz w:val="24"/>
          <w:szCs w:val="24"/>
        </w:rPr>
      </w:pPr>
      <w:r>
        <w:rPr>
          <w:rFonts w:hint="eastAsia" w:ascii="宋体" w:hAnsi="宋体" w:eastAsia="宋体" w:cs="宋体"/>
          <w:spacing w:val="9"/>
          <w:sz w:val="24"/>
          <w:szCs w:val="24"/>
        </w:rPr>
        <w:t>政府采购合同</w:t>
      </w:r>
    </w:p>
    <w:p w14:paraId="79C1315D">
      <w:pPr>
        <w:pageBreakBefore w:val="0"/>
        <w:wordWrap/>
        <w:bidi w:val="0"/>
        <w:spacing w:line="360" w:lineRule="auto"/>
        <w:rPr>
          <w:rFonts w:hint="eastAsia" w:ascii="宋体" w:hAnsi="宋体" w:eastAsia="宋体" w:cs="宋体"/>
          <w:sz w:val="24"/>
        </w:rPr>
      </w:pPr>
    </w:p>
    <w:p w14:paraId="75405AE7">
      <w:pPr>
        <w:pageBreakBefore w:val="0"/>
        <w:wordWrap/>
        <w:bidi w:val="0"/>
        <w:spacing w:line="360" w:lineRule="auto"/>
        <w:rPr>
          <w:rFonts w:hint="eastAsia" w:ascii="宋体" w:hAnsi="宋体" w:eastAsia="宋体" w:cs="宋体"/>
          <w:sz w:val="24"/>
        </w:rPr>
      </w:pPr>
    </w:p>
    <w:p w14:paraId="5C37BE8A">
      <w:pPr>
        <w:pageBreakBefore w:val="0"/>
        <w:wordWrap/>
        <w:bidi w:val="0"/>
        <w:spacing w:line="360" w:lineRule="auto"/>
        <w:rPr>
          <w:rFonts w:hint="eastAsia" w:ascii="宋体" w:hAnsi="宋体" w:eastAsia="宋体" w:cs="宋体"/>
          <w:sz w:val="24"/>
        </w:rPr>
      </w:pPr>
    </w:p>
    <w:p w14:paraId="7E35CA00">
      <w:pPr>
        <w:pageBreakBefore w:val="0"/>
        <w:wordWrap/>
        <w:bidi w:val="0"/>
        <w:spacing w:before="75" w:line="360" w:lineRule="auto"/>
        <w:ind w:left="969"/>
        <w:rPr>
          <w:rFonts w:hint="eastAsia" w:ascii="宋体" w:hAnsi="宋体" w:eastAsia="宋体" w:cs="宋体"/>
          <w:sz w:val="24"/>
          <w:szCs w:val="24"/>
        </w:rPr>
      </w:pPr>
      <w:r>
        <w:rPr>
          <w:rFonts w:hint="eastAsia" w:ascii="宋体" w:hAnsi="宋体" w:eastAsia="宋体" w:cs="宋体"/>
          <w:spacing w:val="10"/>
          <w:sz w:val="24"/>
          <w:szCs w:val="24"/>
        </w:rPr>
        <w:t>合</w:t>
      </w:r>
      <w:r>
        <w:rPr>
          <w:rFonts w:hint="eastAsia" w:ascii="宋体" w:hAnsi="宋体" w:eastAsia="宋体" w:cs="宋体"/>
          <w:spacing w:val="9"/>
          <w:sz w:val="24"/>
          <w:szCs w:val="24"/>
        </w:rPr>
        <w:t>同</w:t>
      </w:r>
      <w:r>
        <w:rPr>
          <w:rFonts w:hint="eastAsia" w:ascii="宋体" w:hAnsi="宋体" w:eastAsia="宋体" w:cs="宋体"/>
          <w:spacing w:val="5"/>
          <w:sz w:val="24"/>
          <w:szCs w:val="24"/>
        </w:rPr>
        <w:t>编号：</w:t>
      </w:r>
      <w:r>
        <w:rPr>
          <w:rFonts w:hint="eastAsia" w:ascii="宋体" w:hAnsi="宋体" w:eastAsia="宋体" w:cs="宋体"/>
          <w:spacing w:val="5"/>
          <w:sz w:val="24"/>
          <w:szCs w:val="24"/>
          <w:u w:val="single"/>
        </w:rPr>
        <w:t xml:space="preserve">                                    </w:t>
      </w:r>
    </w:p>
    <w:p w14:paraId="1DE3E2A5">
      <w:pPr>
        <w:pageBreakBefore w:val="0"/>
        <w:wordWrap/>
        <w:bidi w:val="0"/>
        <w:spacing w:line="360" w:lineRule="auto"/>
        <w:rPr>
          <w:rFonts w:hint="eastAsia" w:ascii="宋体" w:hAnsi="宋体" w:eastAsia="宋体" w:cs="宋体"/>
          <w:sz w:val="24"/>
        </w:rPr>
      </w:pPr>
    </w:p>
    <w:p w14:paraId="3D74DD8F">
      <w:pPr>
        <w:pageBreakBefore w:val="0"/>
        <w:wordWrap/>
        <w:bidi w:val="0"/>
        <w:spacing w:line="360" w:lineRule="auto"/>
        <w:rPr>
          <w:rFonts w:hint="eastAsia" w:ascii="宋体" w:hAnsi="宋体" w:eastAsia="宋体" w:cs="宋体"/>
          <w:sz w:val="24"/>
        </w:rPr>
      </w:pPr>
    </w:p>
    <w:p w14:paraId="52D6077E">
      <w:pPr>
        <w:pageBreakBefore w:val="0"/>
        <w:wordWrap/>
        <w:bidi w:val="0"/>
        <w:spacing w:before="74" w:line="360" w:lineRule="auto"/>
        <w:ind w:left="972"/>
        <w:rPr>
          <w:rFonts w:hint="eastAsia" w:ascii="宋体" w:hAnsi="宋体" w:eastAsia="宋体" w:cs="宋体"/>
          <w:sz w:val="24"/>
        </w:rPr>
      </w:pPr>
      <w:r>
        <w:rPr>
          <w:rFonts w:hint="eastAsia" w:ascii="宋体" w:hAnsi="宋体" w:eastAsia="宋体" w:cs="宋体"/>
          <w:spacing w:val="10"/>
          <w:sz w:val="24"/>
          <w:szCs w:val="24"/>
        </w:rPr>
        <w:t>项</w:t>
      </w:r>
      <w:r>
        <w:rPr>
          <w:rFonts w:hint="eastAsia" w:ascii="宋体" w:hAnsi="宋体" w:eastAsia="宋体" w:cs="宋体"/>
          <w:spacing w:val="9"/>
          <w:sz w:val="24"/>
          <w:szCs w:val="24"/>
        </w:rPr>
        <w:t>目名称：</w:t>
      </w:r>
      <w:r>
        <w:rPr>
          <w:rFonts w:hint="eastAsia" w:ascii="宋体" w:hAnsi="宋体" w:eastAsia="宋体" w:cs="宋体"/>
          <w:spacing w:val="9"/>
          <w:sz w:val="24"/>
          <w:szCs w:val="24"/>
          <w:u w:val="single"/>
        </w:rPr>
        <w:t xml:space="preserve"> 通州区重点区域大气精细化治理项目</w:t>
      </w:r>
      <w:r>
        <w:rPr>
          <w:rFonts w:hint="eastAsia" w:ascii="宋体" w:hAnsi="宋体" w:eastAsia="宋体" w:cs="宋体"/>
          <w:sz w:val="24"/>
          <w:szCs w:val="24"/>
          <w:u w:val="single"/>
        </w:rPr>
        <w:t xml:space="preserve">   </w:t>
      </w:r>
    </w:p>
    <w:p w14:paraId="71504118">
      <w:pPr>
        <w:pageBreakBefore w:val="0"/>
        <w:wordWrap/>
        <w:bidi w:val="0"/>
        <w:spacing w:line="360" w:lineRule="auto"/>
        <w:rPr>
          <w:rFonts w:hint="eastAsia" w:ascii="宋体" w:hAnsi="宋体" w:eastAsia="宋体" w:cs="宋体"/>
          <w:sz w:val="24"/>
        </w:rPr>
      </w:pPr>
    </w:p>
    <w:p w14:paraId="7A33C020">
      <w:pPr>
        <w:pageBreakBefore w:val="0"/>
        <w:wordWrap/>
        <w:bidi w:val="0"/>
        <w:spacing w:line="360" w:lineRule="auto"/>
        <w:rPr>
          <w:rFonts w:hint="eastAsia" w:ascii="宋体" w:hAnsi="宋体" w:eastAsia="宋体" w:cs="宋体"/>
          <w:sz w:val="24"/>
        </w:rPr>
      </w:pPr>
    </w:p>
    <w:p w14:paraId="7EB44BC7">
      <w:pPr>
        <w:pageBreakBefore w:val="0"/>
        <w:wordWrap/>
        <w:bidi w:val="0"/>
        <w:spacing w:before="75" w:line="360" w:lineRule="auto"/>
        <w:ind w:left="967"/>
        <w:rPr>
          <w:rFonts w:hint="eastAsia" w:ascii="宋体" w:hAnsi="宋体" w:eastAsia="宋体" w:cs="宋体"/>
          <w:sz w:val="24"/>
          <w:szCs w:val="24"/>
        </w:rPr>
      </w:pPr>
      <w:r>
        <w:rPr>
          <w:rFonts w:hint="eastAsia" w:ascii="宋体" w:hAnsi="宋体" w:eastAsia="宋体" w:cs="宋体"/>
          <w:spacing w:val="6"/>
          <w:sz w:val="24"/>
          <w:szCs w:val="24"/>
        </w:rPr>
        <w:t>采</w:t>
      </w:r>
      <w:r>
        <w:rPr>
          <w:rFonts w:hint="eastAsia" w:ascii="宋体" w:hAnsi="宋体" w:eastAsia="宋体" w:cs="宋体"/>
          <w:spacing w:val="5"/>
          <w:sz w:val="24"/>
          <w:szCs w:val="24"/>
        </w:rPr>
        <w:t>购方：</w:t>
      </w:r>
      <w:r>
        <w:rPr>
          <w:rFonts w:hint="eastAsia" w:ascii="宋体" w:hAnsi="宋体" w:eastAsia="宋体" w:cs="宋体"/>
          <w:sz w:val="24"/>
          <w:szCs w:val="24"/>
          <w:u w:val="single"/>
        </w:rPr>
        <w:t xml:space="preserve">          通州区生态环境局               </w:t>
      </w:r>
    </w:p>
    <w:p w14:paraId="04DE12B5">
      <w:pPr>
        <w:pageBreakBefore w:val="0"/>
        <w:wordWrap/>
        <w:bidi w:val="0"/>
        <w:spacing w:line="360" w:lineRule="auto"/>
        <w:rPr>
          <w:rFonts w:hint="eastAsia" w:ascii="宋体" w:hAnsi="宋体" w:eastAsia="宋体" w:cs="宋体"/>
          <w:sz w:val="24"/>
        </w:rPr>
      </w:pPr>
    </w:p>
    <w:p w14:paraId="28213326">
      <w:pPr>
        <w:pageBreakBefore w:val="0"/>
        <w:wordWrap/>
        <w:bidi w:val="0"/>
        <w:spacing w:line="360" w:lineRule="auto"/>
        <w:rPr>
          <w:rFonts w:hint="eastAsia" w:ascii="宋体" w:hAnsi="宋体" w:eastAsia="宋体" w:cs="宋体"/>
          <w:sz w:val="24"/>
        </w:rPr>
      </w:pPr>
    </w:p>
    <w:p w14:paraId="0B2683C9">
      <w:pPr>
        <w:pageBreakBefore w:val="0"/>
        <w:wordWrap/>
        <w:bidi w:val="0"/>
        <w:spacing w:line="360" w:lineRule="auto"/>
        <w:rPr>
          <w:rFonts w:hint="eastAsia" w:ascii="宋体" w:hAnsi="宋体" w:eastAsia="宋体" w:cs="宋体"/>
          <w:sz w:val="24"/>
        </w:rPr>
      </w:pPr>
    </w:p>
    <w:p w14:paraId="2692103F">
      <w:pPr>
        <w:pageBreakBefore w:val="0"/>
        <w:wordWrap/>
        <w:bidi w:val="0"/>
        <w:spacing w:before="75" w:line="360" w:lineRule="auto"/>
        <w:ind w:left="992"/>
        <w:rPr>
          <w:rFonts w:hint="eastAsia" w:ascii="宋体" w:hAnsi="宋体" w:eastAsia="宋体" w:cs="宋体"/>
          <w:sz w:val="24"/>
          <w:szCs w:val="24"/>
        </w:rPr>
      </w:pPr>
      <w:r>
        <w:rPr>
          <w:rFonts w:hint="eastAsia" w:ascii="宋体" w:hAnsi="宋体" w:eastAsia="宋体" w:cs="宋体"/>
          <w:spacing w:val="-5"/>
          <w:sz w:val="24"/>
          <w:szCs w:val="24"/>
        </w:rPr>
        <w:t>乙</w:t>
      </w:r>
      <w:r>
        <w:rPr>
          <w:rFonts w:hint="eastAsia" w:ascii="宋体" w:hAnsi="宋体" w:eastAsia="宋体" w:cs="宋体"/>
          <w:spacing w:val="-4"/>
          <w:sz w:val="24"/>
          <w:szCs w:val="24"/>
        </w:rPr>
        <w:t>方：</w:t>
      </w:r>
      <w:r>
        <w:rPr>
          <w:rFonts w:hint="eastAsia" w:ascii="宋体" w:hAnsi="宋体" w:eastAsia="宋体" w:cs="宋体"/>
          <w:sz w:val="24"/>
          <w:szCs w:val="24"/>
          <w:u w:val="single"/>
        </w:rPr>
        <w:t xml:space="preserve">                                            </w:t>
      </w:r>
    </w:p>
    <w:p w14:paraId="4298E1B5">
      <w:pPr>
        <w:pageBreakBefore w:val="0"/>
        <w:wordWrap/>
        <w:bidi w:val="0"/>
        <w:spacing w:line="360" w:lineRule="auto"/>
        <w:rPr>
          <w:rFonts w:hint="eastAsia" w:ascii="宋体" w:hAnsi="宋体" w:eastAsia="宋体" w:cs="宋体"/>
          <w:sz w:val="24"/>
        </w:rPr>
      </w:pPr>
    </w:p>
    <w:p w14:paraId="44E0F9C9">
      <w:pPr>
        <w:pageBreakBefore w:val="0"/>
        <w:wordWrap/>
        <w:bidi w:val="0"/>
        <w:spacing w:line="360" w:lineRule="auto"/>
        <w:rPr>
          <w:rFonts w:hint="eastAsia" w:ascii="宋体" w:hAnsi="宋体" w:eastAsia="宋体" w:cs="宋体"/>
          <w:sz w:val="24"/>
        </w:rPr>
      </w:pPr>
    </w:p>
    <w:p w14:paraId="50832626">
      <w:pPr>
        <w:pageBreakBefore w:val="0"/>
        <w:wordWrap/>
        <w:bidi w:val="0"/>
        <w:spacing w:line="360" w:lineRule="auto"/>
        <w:rPr>
          <w:rFonts w:hint="eastAsia" w:ascii="宋体" w:hAnsi="宋体" w:eastAsia="宋体" w:cs="宋体"/>
          <w:sz w:val="24"/>
        </w:rPr>
      </w:pPr>
    </w:p>
    <w:p w14:paraId="4DB4540D">
      <w:pPr>
        <w:pageBreakBefore w:val="0"/>
        <w:wordWrap/>
        <w:bidi w:val="0"/>
        <w:spacing w:before="75" w:line="360" w:lineRule="auto"/>
        <w:ind w:left="968"/>
        <w:rPr>
          <w:rFonts w:hint="eastAsia" w:ascii="宋体" w:hAnsi="宋体" w:eastAsia="宋体" w:cs="宋体"/>
          <w:sz w:val="24"/>
          <w:szCs w:val="24"/>
        </w:rPr>
      </w:pPr>
      <w:r>
        <w:rPr>
          <w:rFonts w:hint="eastAsia" w:ascii="宋体" w:hAnsi="宋体" w:eastAsia="宋体" w:cs="宋体"/>
          <w:spacing w:val="6"/>
          <w:sz w:val="24"/>
          <w:szCs w:val="24"/>
        </w:rPr>
        <w:t>签订地点：</w:t>
      </w:r>
    </w:p>
    <w:p w14:paraId="182EA755">
      <w:pPr>
        <w:pageBreakBefore w:val="0"/>
        <w:wordWrap/>
        <w:bidi w:val="0"/>
        <w:spacing w:before="299" w:line="360" w:lineRule="auto"/>
        <w:ind w:left="968"/>
        <w:rPr>
          <w:rFonts w:hint="eastAsia" w:ascii="宋体" w:hAnsi="宋体" w:eastAsia="宋体" w:cs="宋体"/>
          <w:sz w:val="24"/>
          <w:szCs w:val="24"/>
        </w:rPr>
      </w:pPr>
      <w:r>
        <w:rPr>
          <w:rFonts w:hint="eastAsia" w:ascii="宋体" w:hAnsi="宋体" w:eastAsia="宋体" w:cs="宋体"/>
          <w:spacing w:val="2"/>
          <w:sz w:val="24"/>
          <w:szCs w:val="24"/>
        </w:rPr>
        <w:t xml:space="preserve">签订日期：   年   月  </w:t>
      </w:r>
      <w:r>
        <w:rPr>
          <w:rFonts w:hint="eastAsia" w:ascii="宋体" w:hAnsi="宋体" w:eastAsia="宋体" w:cs="宋体"/>
          <w:spacing w:val="1"/>
          <w:sz w:val="24"/>
          <w:szCs w:val="24"/>
        </w:rPr>
        <w:t>日</w:t>
      </w:r>
    </w:p>
    <w:p w14:paraId="08B00927">
      <w:pPr>
        <w:pageBreakBefore w:val="0"/>
        <w:wordWrap/>
        <w:bidi w:val="0"/>
        <w:spacing w:before="305" w:line="360" w:lineRule="auto"/>
        <w:ind w:left="969"/>
        <w:rPr>
          <w:rFonts w:hint="eastAsia" w:ascii="宋体" w:hAnsi="宋体" w:eastAsia="宋体" w:cs="宋体"/>
          <w:sz w:val="24"/>
          <w:szCs w:val="24"/>
        </w:rPr>
      </w:pPr>
      <w:r>
        <w:rPr>
          <w:rFonts w:hint="eastAsia" w:ascii="宋体" w:hAnsi="宋体" w:eastAsia="宋体" w:cs="宋体"/>
          <w:spacing w:val="4"/>
          <w:sz w:val="24"/>
          <w:szCs w:val="24"/>
        </w:rPr>
        <w:t xml:space="preserve">有效期限：   年   月  日至    年  月  </w:t>
      </w:r>
      <w:r>
        <w:rPr>
          <w:rFonts w:hint="eastAsia" w:ascii="宋体" w:hAnsi="宋体" w:eastAsia="宋体" w:cs="宋体"/>
          <w:spacing w:val="2"/>
          <w:sz w:val="24"/>
          <w:szCs w:val="24"/>
        </w:rPr>
        <w:t>日</w:t>
      </w:r>
    </w:p>
    <w:p w14:paraId="51BA98B4">
      <w:pPr>
        <w:pageBreakBefore w:val="0"/>
        <w:wordWrap/>
        <w:bidi w:val="0"/>
        <w:spacing w:line="360" w:lineRule="auto"/>
        <w:rPr>
          <w:rFonts w:hint="eastAsia" w:ascii="宋体" w:hAnsi="宋体" w:eastAsia="宋体" w:cs="宋体"/>
          <w:sz w:val="24"/>
        </w:rPr>
        <w:sectPr>
          <w:headerReference r:id="rId13" w:type="default"/>
          <w:footerReference r:id="rId14" w:type="default"/>
          <w:pgSz w:w="11905" w:h="16839"/>
          <w:pgMar w:top="1440" w:right="1701" w:bottom="1440" w:left="1701" w:header="882" w:footer="736" w:gutter="0"/>
          <w:pgNumType w:fmt="decimal"/>
          <w:cols w:space="720" w:num="1"/>
        </w:sectPr>
      </w:pPr>
    </w:p>
    <w:p w14:paraId="098A3CD8">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委托方 (以下简称采购方)</w:t>
      </w:r>
    </w:p>
    <w:p w14:paraId="648881AE">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组织名称：</w:t>
      </w:r>
    </w:p>
    <w:p w14:paraId="17EF4C71">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法定代表人：</w:t>
      </w:r>
    </w:p>
    <w:p w14:paraId="08D14A4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通讯地址：</w:t>
      </w:r>
    </w:p>
    <w:p w14:paraId="6218E295">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联系电话：</w:t>
      </w:r>
    </w:p>
    <w:p w14:paraId="3A273636">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textAlignment w:val="auto"/>
        <w:rPr>
          <w:rFonts w:hint="eastAsia" w:asciiTheme="minorEastAsia" w:hAnsiTheme="minorEastAsia" w:eastAsiaTheme="minorEastAsia" w:cstheme="minorEastAsia"/>
          <w:color w:val="auto"/>
          <w:spacing w:val="14"/>
          <w:sz w:val="24"/>
          <w:highlight w:val="none"/>
        </w:rPr>
      </w:pPr>
    </w:p>
    <w:p w14:paraId="266FB4FA">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受委托方 (以下简称乙方)</w:t>
      </w:r>
    </w:p>
    <w:p w14:paraId="090EF4F0">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企业名称：</w:t>
      </w:r>
    </w:p>
    <w:p w14:paraId="18B8D511">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营业执照注册号：</w:t>
      </w:r>
    </w:p>
    <w:p w14:paraId="3667978A">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组织机构代码：</w:t>
      </w:r>
    </w:p>
    <w:p w14:paraId="7AA65B60">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法定代表人：</w:t>
      </w:r>
    </w:p>
    <w:p w14:paraId="6F0FF6F4">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企业地址：</w:t>
      </w:r>
    </w:p>
    <w:p w14:paraId="42D419F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联系人及联系电话：</w:t>
      </w:r>
    </w:p>
    <w:p w14:paraId="139BA11B">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开户银行：</w:t>
      </w:r>
    </w:p>
    <w:p w14:paraId="24A9CCA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position w:val="0"/>
          <w:sz w:val="24"/>
          <w:szCs w:val="24"/>
          <w:highlight w:val="none"/>
        </w:rPr>
        <w:t>账号：</w:t>
      </w:r>
    </w:p>
    <w:p w14:paraId="347829E4">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户名：</w:t>
      </w:r>
    </w:p>
    <w:p w14:paraId="7618C0B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rPr>
      </w:pPr>
    </w:p>
    <w:p w14:paraId="64781E47">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根据《中华人民共和国民法典》等有关规定，为保证服务项目实施的质量和效果，明确双方的权利义务，甲乙双方在平等、自愿、协商一致的基础上，就有关事宜达成如下协议：</w:t>
      </w:r>
    </w:p>
    <w:p w14:paraId="048E00CE">
      <w:pPr>
        <w:keepNext w:val="0"/>
        <w:keepLines w:val="0"/>
        <w:pageBreakBefore w:val="0"/>
        <w:widowControl w:val="0"/>
        <w:kinsoku/>
        <w:wordWrap/>
        <w:overflowPunct/>
        <w:topLinePunct w:val="0"/>
        <w:autoSpaceDE/>
        <w:autoSpaceDN/>
        <w:bidi w:val="0"/>
        <w:adjustRightInd w:val="0"/>
        <w:snapToGrid w:val="0"/>
        <w:spacing w:afterLines="0" w:line="560" w:lineRule="exact"/>
        <w:ind w:left="0" w:firstLine="524" w:firstLineChars="200"/>
        <w:textAlignment w:val="auto"/>
        <w:rPr>
          <w:rFonts w:hint="eastAsia" w:ascii="黑体" w:hAnsi="黑体" w:eastAsia="黑体" w:cs="黑体"/>
          <w:sz w:val="24"/>
          <w:szCs w:val="24"/>
        </w:rPr>
      </w:pPr>
      <w:r>
        <w:rPr>
          <w:rFonts w:hint="eastAsia" w:ascii="黑体" w:hAnsi="黑体" w:eastAsia="黑体" w:cs="黑体"/>
          <w:spacing w:val="11"/>
          <w:position w:val="2"/>
          <w:sz w:val="24"/>
          <w:szCs w:val="24"/>
        </w:rPr>
        <w:t>一</w:t>
      </w:r>
      <w:r>
        <w:rPr>
          <w:rFonts w:hint="eastAsia" w:ascii="黑体" w:hAnsi="黑体" w:eastAsia="黑体" w:cs="黑体"/>
          <w:spacing w:val="8"/>
          <w:position w:val="2"/>
          <w:sz w:val="24"/>
          <w:szCs w:val="24"/>
        </w:rPr>
        <w:t>、合同文件</w:t>
      </w:r>
    </w:p>
    <w:p w14:paraId="1FBCD6D2">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下列文件构成本合同的组成部分，应该认为是一个整体，彼此相互解释，相互补充。 为便于解释，组成合同的多个文件的优先支配地位的次序如下：</w:t>
      </w:r>
    </w:p>
    <w:p w14:paraId="2261096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a. 本合同书</w:t>
      </w:r>
    </w:p>
    <w:p w14:paraId="1F92A847">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b. 中标通知书</w:t>
      </w:r>
    </w:p>
    <w:p w14:paraId="6350FA1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c. 合同条款</w:t>
      </w:r>
    </w:p>
    <w:p w14:paraId="78AA0528">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rPr>
        <w:t>d. 投标文件</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lang w:val="en-US" w:eastAsia="zh-CN"/>
        </w:rPr>
        <w:t>含澄清文件</w:t>
      </w:r>
      <w:r>
        <w:rPr>
          <w:rFonts w:hint="eastAsia" w:asciiTheme="minorEastAsia" w:hAnsiTheme="minorEastAsia" w:eastAsiaTheme="minorEastAsia" w:cstheme="minorEastAsia"/>
          <w:color w:val="auto"/>
          <w:spacing w:val="14"/>
          <w:sz w:val="24"/>
          <w:szCs w:val="24"/>
          <w:highlight w:val="none"/>
          <w:lang w:eastAsia="zh-CN"/>
        </w:rPr>
        <w:t>）</w:t>
      </w:r>
    </w:p>
    <w:p w14:paraId="4DB1C01C">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Theme="minorEastAsia" w:hAnsiTheme="minorEastAsia" w:eastAsiaTheme="minorEastAsia" w:cstheme="minorEastAsia"/>
          <w:color w:val="auto"/>
          <w:spacing w:val="14"/>
          <w:sz w:val="24"/>
          <w:highlight w:val="none"/>
        </w:rPr>
      </w:pPr>
      <w:r>
        <w:rPr>
          <w:rFonts w:hint="eastAsia" w:asciiTheme="minorEastAsia" w:hAnsiTheme="minorEastAsia" w:eastAsiaTheme="minorEastAsia" w:cstheme="minorEastAsia"/>
          <w:color w:val="auto"/>
          <w:spacing w:val="14"/>
          <w:sz w:val="24"/>
          <w:szCs w:val="24"/>
          <w:highlight w:val="none"/>
        </w:rPr>
        <w:t>e. 招标文件</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color w:val="auto"/>
          <w:spacing w:val="14"/>
          <w:sz w:val="24"/>
          <w:szCs w:val="24"/>
          <w:highlight w:val="none"/>
          <w:lang w:val="en-US" w:eastAsia="zh-CN"/>
        </w:rPr>
        <w:t>含招标文件补充通知</w:t>
      </w:r>
      <w:r>
        <w:rPr>
          <w:rFonts w:hint="eastAsia" w:asciiTheme="minorEastAsia" w:hAnsiTheme="minorEastAsia" w:eastAsiaTheme="minorEastAsia" w:cstheme="minorEastAsia"/>
          <w:color w:val="auto"/>
          <w:spacing w:val="14"/>
          <w:sz w:val="24"/>
          <w:szCs w:val="24"/>
          <w:highlight w:val="none"/>
          <w:lang w:eastAsia="zh-CN"/>
        </w:rPr>
        <w:t>）</w:t>
      </w:r>
    </w:p>
    <w:p w14:paraId="46DB9B69">
      <w:pPr>
        <w:spacing w:afterLines="0" w:line="560" w:lineRule="exact"/>
        <w:ind w:left="0" w:firstLine="536" w:firstLineChars="200"/>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i w:val="0"/>
          <w:iCs w:val="0"/>
          <w:caps w:val="0"/>
          <w:color w:val="auto"/>
          <w:spacing w:val="14"/>
          <w:sz w:val="24"/>
          <w:szCs w:val="24"/>
          <w:highlight w:val="none"/>
          <w:shd w:val="clear"/>
        </w:rPr>
        <w:t>招标文件与投标文件不一致时，以招标文件为准，但投标文件承诺优于招标文件的，以投标文件为准</w:t>
      </w:r>
      <w:r>
        <w:rPr>
          <w:rFonts w:hint="eastAsia" w:asciiTheme="minorEastAsia" w:hAnsiTheme="minorEastAsia" w:eastAsiaTheme="minorEastAsia" w:cstheme="minorEastAsia"/>
          <w:i w:val="0"/>
          <w:iCs w:val="0"/>
          <w:caps w:val="0"/>
          <w:color w:val="auto"/>
          <w:spacing w:val="14"/>
          <w:sz w:val="24"/>
          <w:szCs w:val="24"/>
          <w:highlight w:val="none"/>
          <w:shd w:val="clear"/>
          <w:lang w:eastAsia="zh-CN"/>
        </w:rPr>
        <w:t>。</w:t>
      </w:r>
    </w:p>
    <w:p w14:paraId="43291C6F">
      <w:pPr>
        <w:keepNext w:val="0"/>
        <w:keepLines w:val="0"/>
        <w:pageBreakBefore w:val="0"/>
        <w:widowControl w:val="0"/>
        <w:kinsoku/>
        <w:wordWrap/>
        <w:overflowPunct/>
        <w:topLinePunct w:val="0"/>
        <w:autoSpaceDE/>
        <w:autoSpaceDN/>
        <w:bidi w:val="0"/>
        <w:adjustRightInd w:val="0"/>
        <w:snapToGrid w:val="0"/>
        <w:spacing w:afterLines="0" w:line="560" w:lineRule="exact"/>
        <w:ind w:left="0" w:firstLine="524" w:firstLineChars="200"/>
        <w:textAlignment w:val="auto"/>
        <w:rPr>
          <w:rFonts w:hint="eastAsia" w:ascii="黑体" w:hAnsi="黑体" w:eastAsia="黑体" w:cs="黑体"/>
          <w:spacing w:val="11"/>
          <w:position w:val="2"/>
          <w:sz w:val="24"/>
          <w:szCs w:val="24"/>
        </w:rPr>
      </w:pPr>
      <w:r>
        <w:rPr>
          <w:rFonts w:hint="eastAsia" w:ascii="黑体" w:hAnsi="黑体" w:eastAsia="黑体" w:cs="黑体"/>
          <w:spacing w:val="11"/>
          <w:position w:val="2"/>
          <w:sz w:val="24"/>
          <w:szCs w:val="24"/>
        </w:rPr>
        <w:t>二、服务和内容</w:t>
      </w:r>
    </w:p>
    <w:p w14:paraId="2634DF16">
      <w:pPr>
        <w:keepNext w:val="0"/>
        <w:keepLines w:val="0"/>
        <w:pageBreakBefore w:val="0"/>
        <w:widowControl w:val="0"/>
        <w:kinsoku/>
        <w:wordWrap/>
        <w:overflowPunct/>
        <w:topLinePunct w:val="0"/>
        <w:autoSpaceDE/>
        <w:autoSpaceDN/>
        <w:bidi w:val="0"/>
        <w:adjustRightInd/>
        <w:snapToGrid/>
        <w:spacing w:afterLines="0" w:line="560" w:lineRule="exact"/>
        <w:ind w:left="0" w:firstLine="536" w:firstLineChars="200"/>
        <w:textAlignment w:val="auto"/>
        <w:rPr>
          <w:rFonts w:hint="eastAsia" w:ascii="楷体" w:hAnsi="楷体" w:eastAsia="楷体" w:cs="楷体"/>
          <w:color w:val="auto"/>
          <w:spacing w:val="14"/>
          <w:sz w:val="24"/>
          <w:szCs w:val="24"/>
          <w:highlight w:val="none"/>
        </w:rPr>
      </w:pPr>
      <w:r>
        <w:rPr>
          <w:rFonts w:hint="eastAsia" w:ascii="楷体" w:hAnsi="楷体" w:eastAsia="楷体" w:cs="楷体"/>
          <w:color w:val="auto"/>
          <w:spacing w:val="14"/>
          <w:sz w:val="24"/>
          <w:szCs w:val="24"/>
          <w:highlight w:val="none"/>
          <w:lang w:val="en-US" w:eastAsia="zh-CN"/>
        </w:rPr>
        <w:t>(一）</w:t>
      </w:r>
      <w:r>
        <w:rPr>
          <w:rFonts w:hint="eastAsia" w:ascii="楷体" w:hAnsi="楷体" w:eastAsia="楷体" w:cs="楷体"/>
          <w:color w:val="auto"/>
          <w:spacing w:val="14"/>
          <w:sz w:val="24"/>
          <w:szCs w:val="24"/>
          <w:highlight w:val="none"/>
          <w:lang w:eastAsia="zh-CN"/>
        </w:rPr>
        <w:t>项目</w:t>
      </w:r>
      <w:r>
        <w:rPr>
          <w:rFonts w:hint="eastAsia" w:ascii="楷体" w:hAnsi="楷体" w:eastAsia="楷体" w:cs="楷体"/>
          <w:color w:val="auto"/>
          <w:spacing w:val="14"/>
          <w:sz w:val="24"/>
          <w:szCs w:val="24"/>
          <w:highlight w:val="none"/>
        </w:rPr>
        <w:t>服务内容：</w:t>
      </w:r>
    </w:p>
    <w:p w14:paraId="79CE5D56">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 扬尘精细化治理服务</w:t>
      </w:r>
    </w:p>
    <w:p w14:paraId="1616B48E">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1.1 重点区域微环境浮尘深度治理</w:t>
      </w:r>
    </w:p>
    <w:p w14:paraId="262C5CBC">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项目周期内累计实施不少于200天专项保障作业，作业周期聚焦各类大气污染过程，针对性开展重点区域微环境深度降尘治理作业。配套微型多功能作业车2台、工业吸尘器3台、高压水泵冲水/雾化枪2台。</w:t>
      </w:r>
    </w:p>
    <w:p w14:paraId="1F8A5647">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1.2 重点区域道路扬尘精细化专项治理</w:t>
      </w:r>
    </w:p>
    <w:p w14:paraId="36A1F135">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以道路积尘管控为核心，开展冲洗、吸扫作业，实现道路扬尘精细化管控。</w:t>
      </w:r>
      <w:r>
        <w:rPr>
          <w:rFonts w:hint="eastAsia" w:asciiTheme="minorEastAsia" w:hAnsiTheme="minorEastAsia" w:eastAsiaTheme="minorEastAsia" w:cstheme="minorEastAsia"/>
          <w:color w:val="auto"/>
          <w:spacing w:val="14"/>
          <w:kern w:val="2"/>
          <w:sz w:val="24"/>
          <w:szCs w:val="24"/>
          <w:highlight w:val="none"/>
          <w:lang w:val="en-US" w:eastAsia="zh-CN" w:bidi="ar-SA"/>
        </w:rPr>
        <w:t>配套1台载水量10吨新能源洒水车和1台多功能新能源洗扫车</w:t>
      </w:r>
      <w:r>
        <w:rPr>
          <w:rFonts w:hint="eastAsia" w:asciiTheme="minorEastAsia" w:hAnsiTheme="minorEastAsia" w:eastAsiaTheme="minorEastAsia" w:cstheme="minorEastAsia"/>
          <w:color w:val="auto"/>
          <w:spacing w:val="14"/>
          <w:kern w:val="2"/>
          <w:sz w:val="24"/>
          <w:szCs w:val="24"/>
          <w:highlight w:val="none"/>
          <w:lang w:val="en-US" w:eastAsia="zh-CN"/>
        </w:rPr>
        <w:t>。</w:t>
      </w:r>
      <w:r>
        <w:rPr>
          <w:rFonts w:hint="eastAsia" w:asciiTheme="minorEastAsia" w:hAnsiTheme="minorEastAsia" w:eastAsiaTheme="minorEastAsia" w:cstheme="minorEastAsia"/>
          <w:color w:val="auto"/>
          <w:spacing w:val="14"/>
          <w:kern w:val="2"/>
          <w:sz w:val="24"/>
          <w:szCs w:val="24"/>
          <w:highlight w:val="none"/>
        </w:rPr>
        <w:t>综合考虑降雪、低温、降雨等不利天气无法开展作业的情况，服务期内预计开展道路治理约330天</w:t>
      </w:r>
      <w:r>
        <w:rPr>
          <w:rFonts w:hint="eastAsia" w:asciiTheme="minorEastAsia" w:hAnsiTheme="minorEastAsia" w:eastAsiaTheme="minorEastAsia" w:cstheme="minorEastAsia"/>
          <w:color w:val="auto"/>
          <w:spacing w:val="14"/>
          <w:kern w:val="2"/>
          <w:sz w:val="24"/>
          <w:szCs w:val="24"/>
          <w:highlight w:val="none"/>
          <w:lang w:eastAsia="zh-CN"/>
        </w:rPr>
        <w:t>。</w:t>
      </w:r>
    </w:p>
    <w:p w14:paraId="6A53A64E">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 颗粒物来源解析服务</w:t>
      </w:r>
    </w:p>
    <w:p w14:paraId="30332ABF">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2.1 颗粒物组分立体监测</w:t>
      </w:r>
    </w:p>
    <w:p w14:paraId="37E8FA35">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利用移动式颗粒物组分监测方舱，开展重点区域PM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在线组分监测及高值污染源治理指导服务，深入解析污染高值应急时段通州区PM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污染源治理重点方向，精准评估各类污染源对大气PM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的贡献比例，提出PM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治理措施，为污染过程期间空气质量持续改善提供数据支撑。监测方舱使用时间不少于182天（包含安装调试时间），有效监测天数不少于172天。</w:t>
      </w:r>
    </w:p>
    <w:p w14:paraId="2314CF8A">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仪器设备包括1套大气气溶胶水溶性离子监测设备、1套EC/OC在线分析仪、1套大气重金属在线监测设备，配套其他辅助设备1套多参数气象监测仪和1套UPS不间断电源。</w:t>
      </w:r>
    </w:p>
    <w:p w14:paraId="66CE058C">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大气气溶胶水溶性离子监测设备：分析阴离子种类包括Cl</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w:t>
      </w:r>
      <w:r>
        <w:rPr>
          <w:rFonts w:hint="eastAsia" w:asciiTheme="minorEastAsia" w:hAnsiTheme="minorEastAsia" w:eastAsiaTheme="minorEastAsia" w:cstheme="minorEastAsia"/>
          <w:color w:val="auto"/>
          <w:spacing w:val="14"/>
          <w:kern w:val="2"/>
          <w:sz w:val="24"/>
          <w:szCs w:val="24"/>
          <w:highlight w:val="none"/>
          <w:lang w:val="en-US" w:eastAsia="zh-CN"/>
        </w:rPr>
        <w:t>、NO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、NO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3-</w:t>
      </w:r>
      <w:r>
        <w:rPr>
          <w:rFonts w:hint="eastAsia" w:asciiTheme="minorEastAsia" w:hAnsiTheme="minorEastAsia" w:eastAsiaTheme="minorEastAsia" w:cstheme="minorEastAsia"/>
          <w:color w:val="auto"/>
          <w:spacing w:val="14"/>
          <w:kern w:val="2"/>
          <w:sz w:val="24"/>
          <w:szCs w:val="24"/>
          <w:highlight w:val="none"/>
          <w:lang w:val="en-US" w:eastAsia="zh-CN"/>
        </w:rPr>
        <w:t>、PO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43-</w:t>
      </w:r>
      <w:r>
        <w:rPr>
          <w:rFonts w:hint="eastAsia" w:asciiTheme="minorEastAsia" w:hAnsiTheme="minorEastAsia" w:eastAsiaTheme="minorEastAsia" w:cstheme="minorEastAsia"/>
          <w:color w:val="auto"/>
          <w:spacing w:val="14"/>
          <w:kern w:val="2"/>
          <w:sz w:val="24"/>
          <w:szCs w:val="24"/>
          <w:highlight w:val="none"/>
          <w:lang w:val="en-US" w:eastAsia="zh-CN"/>
        </w:rPr>
        <w:t>、SO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42-</w:t>
      </w:r>
      <w:r>
        <w:rPr>
          <w:rFonts w:hint="eastAsia" w:asciiTheme="minorEastAsia" w:hAnsiTheme="minorEastAsia" w:eastAsiaTheme="minorEastAsia" w:cstheme="minorEastAsia"/>
          <w:color w:val="auto"/>
          <w:spacing w:val="14"/>
          <w:kern w:val="2"/>
          <w:sz w:val="24"/>
          <w:szCs w:val="24"/>
          <w:highlight w:val="none"/>
          <w:lang w:val="en-US" w:eastAsia="zh-CN"/>
        </w:rPr>
        <w:t>等；分析阳离子种类包括Na</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w:t>
      </w:r>
      <w:r>
        <w:rPr>
          <w:rFonts w:hint="eastAsia" w:asciiTheme="minorEastAsia" w:hAnsiTheme="minorEastAsia" w:eastAsiaTheme="minorEastAsia" w:cstheme="minorEastAsia"/>
          <w:color w:val="auto"/>
          <w:spacing w:val="14"/>
          <w:kern w:val="2"/>
          <w:sz w:val="24"/>
          <w:szCs w:val="24"/>
          <w:highlight w:val="none"/>
          <w:lang w:val="en-US" w:eastAsia="zh-CN"/>
        </w:rPr>
        <w:t>、NH</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4+</w:t>
      </w:r>
      <w:r>
        <w:rPr>
          <w:rFonts w:hint="eastAsia" w:asciiTheme="minorEastAsia" w:hAnsiTheme="minorEastAsia" w:eastAsiaTheme="minorEastAsia" w:cstheme="minorEastAsia"/>
          <w:color w:val="auto"/>
          <w:spacing w:val="14"/>
          <w:kern w:val="2"/>
          <w:sz w:val="24"/>
          <w:szCs w:val="24"/>
          <w:highlight w:val="none"/>
          <w:lang w:val="en-US" w:eastAsia="zh-CN"/>
        </w:rPr>
        <w:t>、K</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w:t>
      </w:r>
      <w:r>
        <w:rPr>
          <w:rFonts w:hint="eastAsia" w:asciiTheme="minorEastAsia" w:hAnsiTheme="minorEastAsia" w:eastAsiaTheme="minorEastAsia" w:cstheme="minorEastAsia"/>
          <w:color w:val="auto"/>
          <w:spacing w:val="14"/>
          <w:kern w:val="2"/>
          <w:sz w:val="24"/>
          <w:szCs w:val="24"/>
          <w:highlight w:val="none"/>
          <w:lang w:val="en-US" w:eastAsia="zh-CN"/>
        </w:rPr>
        <w:t>、Mg</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、Ca</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等。</w:t>
      </w:r>
    </w:p>
    <w:p w14:paraId="101F1042">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EC/OC在线分析仪：用于在线监测大气颗粒物碳质组分OC/EC。</w:t>
      </w:r>
    </w:p>
    <w:p w14:paraId="3C96167D">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大气重金属在线监测设备：测量元素种类包括Pb（铅）、Cd（镉）、Hg（汞）、As（砷）、Cr（铬）、Fe（铁）、Mn（锰）、Ca（钙）、K（钾）、Al（铝）、Si（硅）、V（矾）等20多种元素。</w:t>
      </w:r>
    </w:p>
    <w:p w14:paraId="4ACFDB88">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2.2 立体监测能力提升优化</w:t>
      </w:r>
    </w:p>
    <w:p w14:paraId="6926A73D">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（1）多通道立体监测</w:t>
      </w:r>
    </w:p>
    <w:p w14:paraId="0AB053CA">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投入使用多通道移动监测系统，用于巡检辅助支持，监测参数涵盖VOCs、PM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10</w:t>
      </w:r>
      <w:r>
        <w:rPr>
          <w:rFonts w:hint="eastAsia" w:asciiTheme="minorEastAsia" w:hAnsiTheme="minorEastAsia" w:eastAsiaTheme="minorEastAsia" w:cstheme="minorEastAsia"/>
          <w:color w:val="auto"/>
          <w:spacing w:val="14"/>
          <w:kern w:val="2"/>
          <w:sz w:val="24"/>
          <w:szCs w:val="24"/>
          <w:highlight w:val="none"/>
          <w:lang w:val="en-US" w:eastAsia="zh-CN"/>
        </w:rPr>
        <w:t>、SO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、NO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、CO、O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3</w:t>
      </w:r>
      <w:r>
        <w:rPr>
          <w:rFonts w:hint="eastAsia" w:asciiTheme="minorEastAsia" w:hAnsiTheme="minorEastAsia" w:eastAsiaTheme="minorEastAsia" w:cstheme="minorEastAsia"/>
          <w:color w:val="auto"/>
          <w:spacing w:val="14"/>
          <w:kern w:val="2"/>
          <w:sz w:val="24"/>
          <w:szCs w:val="24"/>
          <w:highlight w:val="none"/>
          <w:lang w:val="en-US" w:eastAsia="zh-CN"/>
        </w:rPr>
        <w:t>等，具备多参数同步监测功能，能够快速响应并精准定位走航过程中发现的高值污染区域。</w:t>
      </w:r>
    </w:p>
    <w:p w14:paraId="09CAFB07">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监测区域划定为餐饮集中区、施工工地集群、渣土运输主通道及重点严控区，同步统筹核心区域加密监测相关工作，确保重点区域走航监测服务期内总计完成250次，单次走航配置2套设备、4名专业工作人员、2辆走航作业车。通过常态化、高频次监测，全面掌握重点区域环境动态，精准防范环境风险，保障监测数据的完整性与代表性，为区域环境管控和治理决策提供坚实支撑。</w:t>
      </w:r>
    </w:p>
    <w:p w14:paraId="092509F9">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2.3 重点区域空气质量综合分析</w:t>
      </w:r>
    </w:p>
    <w:p w14:paraId="7D54B805">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（1）综合分析数据库构建</w:t>
      </w:r>
    </w:p>
    <w:p w14:paraId="0DDCAE64">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收集通州区空气质量监测、气象数据、地形地貌等多源基础信息，系统整理后构建区域空气质量综合评估数据库。在此基础上，融合多元监测数据、源排放数据，结合专业模式模拟系统，深入分析通州区空气污染的时空分布规律、主要污染传输通道及气象扩散特征，精准识别空气质量的主要影响因素。</w:t>
      </w:r>
    </w:p>
    <w:p w14:paraId="7BECD811">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（2）站点踏勘与评估</w:t>
      </w:r>
    </w:p>
    <w:p w14:paraId="525F5639">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对不少于4个备选点位逐一开展现场踏勘，全面考察各点位的地理环境、周边设施、交通条件及电力网络等基础保障条件。结合项目建设需求和相关技术规范，对每个备选点的可建性进行全面技术评估，重点核查设备布设空间、信号传输、安全保障及运维便利性等关键指标。</w:t>
      </w:r>
    </w:p>
    <w:p w14:paraId="49E5F5F0">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（3）污染物定点监测</w:t>
      </w:r>
    </w:p>
    <w:p w14:paraId="3B9F1EB0">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在不少于2个研究样区内部署标准空气质量监测设备</w:t>
      </w:r>
      <w:r>
        <w:rPr>
          <w:rFonts w:hint="eastAsia" w:asciiTheme="minorEastAsia" w:hAnsiTheme="minorEastAsia" w:eastAsiaTheme="minorEastAsia" w:cstheme="minorEastAsia"/>
          <w:color w:val="auto"/>
          <w:spacing w:val="14"/>
          <w:sz w:val="24"/>
          <w:highlight w:val="none"/>
          <w:lang w:eastAsia="zh-CN"/>
        </w:rPr>
        <w:t>（</w:t>
      </w:r>
      <w:r>
        <w:rPr>
          <w:rFonts w:hint="eastAsia" w:asciiTheme="minorEastAsia" w:hAnsiTheme="minorEastAsia" w:eastAsiaTheme="minorEastAsia" w:cstheme="minorEastAsia"/>
          <w:color w:val="auto"/>
          <w:spacing w:val="14"/>
          <w:kern w:val="2"/>
          <w:sz w:val="24"/>
          <w:szCs w:val="24"/>
          <w:highlight w:val="none"/>
          <w:lang w:val="en-US" w:eastAsia="zh-CN"/>
        </w:rPr>
        <w:t>需与国市控站点在用设备型号一致，不得低配替代或非标改装），监测项目为：PM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10</w:t>
      </w:r>
      <w:r>
        <w:rPr>
          <w:rFonts w:hint="eastAsia" w:asciiTheme="minorEastAsia" w:hAnsiTheme="minorEastAsia" w:eastAsiaTheme="minorEastAsia" w:cstheme="minorEastAsia"/>
          <w:color w:val="auto"/>
          <w:spacing w:val="14"/>
          <w:kern w:val="2"/>
          <w:sz w:val="24"/>
          <w:szCs w:val="24"/>
          <w:highlight w:val="none"/>
          <w:lang w:val="en-US" w:eastAsia="zh-CN"/>
        </w:rPr>
        <w:t>、SO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、NOx、CO、O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3</w:t>
      </w:r>
      <w:r>
        <w:rPr>
          <w:rFonts w:hint="eastAsia" w:asciiTheme="minorEastAsia" w:hAnsiTheme="minorEastAsia" w:eastAsiaTheme="minorEastAsia" w:cstheme="minorEastAsia"/>
          <w:color w:val="auto"/>
          <w:spacing w:val="14"/>
          <w:kern w:val="2"/>
          <w:sz w:val="24"/>
          <w:szCs w:val="24"/>
          <w:highlight w:val="none"/>
          <w:lang w:val="en-US" w:eastAsia="zh-CN"/>
        </w:rPr>
        <w:t>，全程严格执行数据质量控制流程，确保观测数据科学可靠。各样区平均完成不少于60天的连续有效观测，以获取空气质量典型变化特征，进一步完善观测数据集，为后续大气环境研究提供数据支撑。</w:t>
      </w:r>
    </w:p>
    <w:p w14:paraId="53691B78">
      <w:pPr>
        <w:adjustRightIn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配套建设站房从外部舱体尺寸、三段式空间布局、采样开孔规格，到供电、温控、防雷、安防、自动质控全套辅配设施，均严格执行总站气运管字〔2024〕62号《国家城市环境空气质量监测点位站房标准化建设技术规定（试行）》条款，整体配套规格、安装工艺、运维适配性与全国统一国控城市空气监测站房一致，可满足质控、长期稳定运行要求。</w:t>
      </w:r>
    </w:p>
    <w:p w14:paraId="134DFEA2">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（4）数据分析</w:t>
      </w:r>
    </w:p>
    <w:p w14:paraId="71FC9C2E">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整合国控、市控监测数据及各类基础信息，结合城区人口分布、重点排放源布局、交通活动强度及气象条件等关键要素，构建空间关联分析框架，开展多维度综合分析。重点揭示各类污染物的时空分布规律、形成机理及影响机制，最终形成《空气质量综合评价与污染影响因素分析报告》，为区域空气质量精准管控和环境管理策略优化提供科学支撑。</w:t>
      </w:r>
    </w:p>
    <w:p w14:paraId="79491D4A">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2.4 精细化溯源巡查排查</w:t>
      </w:r>
    </w:p>
    <w:p w14:paraId="2AA37C04">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聚焦PM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高值片区、施工工地、交通干道等重点区域，针对扬尘、移动源、生活源等主要污染源，实行分级分类巡查，依据实时监测结果灵活排布巡查时段、区域，确保问题早发现、早取证、早上报。</w:t>
      </w:r>
    </w:p>
    <w:p w14:paraId="1CB8D693">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 污染应急指导管控服务</w:t>
      </w:r>
    </w:p>
    <w:p w14:paraId="011FC53D">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3.1 污染溯源与高值识别</w:t>
      </w:r>
    </w:p>
    <w:p w14:paraId="736CC81E">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根据通州区污染源分布及排放情况布设本地化溯源解析模型，建设本地污染排放和空气质量映射关系模型，含输入数据质控接入（空气质量监测数据、气象数据）、自动高值筛选、点源级溯源结果输出可视化应用等。</w:t>
      </w:r>
    </w:p>
    <w:p w14:paraId="1EC9E93C">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基于专业统计软件和地理信息定位软件的使用服务（包括ArcGIS、地图元素等），将高精度气象、污染源分布信息等关键辅助数据，作为溯源模型的输入数据，同时提供足量计算资源用于模型运算，建立高值模型和溯源模型，用于自动识别并推送污染高值热点区域与时段信息。</w:t>
      </w:r>
    </w:p>
    <w:p w14:paraId="59DE53B3">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3.2 应急污染动态处置</w:t>
      </w:r>
    </w:p>
    <w:p w14:paraId="01120AE7">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应急管控期间，采用国标六参设备对重点区域进行在线高频次走航监测（监测参数主要为PM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2.5</w:t>
      </w:r>
      <w:r>
        <w:rPr>
          <w:rFonts w:hint="eastAsia" w:asciiTheme="minorEastAsia" w:hAnsiTheme="minorEastAsia" w:eastAsiaTheme="minorEastAsia" w:cstheme="minorEastAsia"/>
          <w:color w:val="auto"/>
          <w:spacing w:val="14"/>
          <w:kern w:val="2"/>
          <w:sz w:val="24"/>
          <w:szCs w:val="24"/>
          <w:highlight w:val="none"/>
          <w:lang w:val="en-US" w:eastAsia="zh-CN"/>
        </w:rPr>
        <w:t>、PM</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10</w:t>
      </w:r>
      <w:r>
        <w:rPr>
          <w:rFonts w:hint="eastAsia" w:asciiTheme="minorEastAsia" w:hAnsiTheme="minorEastAsia" w:eastAsiaTheme="minorEastAsia" w:cstheme="minorEastAsia"/>
          <w:color w:val="auto"/>
          <w:spacing w:val="14"/>
          <w:kern w:val="2"/>
          <w:sz w:val="24"/>
          <w:szCs w:val="24"/>
          <w:highlight w:val="none"/>
          <w:lang w:val="en-US" w:eastAsia="zh-CN"/>
        </w:rPr>
        <w:t>、O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3</w:t>
      </w:r>
      <w:r>
        <w:rPr>
          <w:rFonts w:hint="eastAsia" w:asciiTheme="minorEastAsia" w:hAnsiTheme="minorEastAsia" w:eastAsiaTheme="minorEastAsia" w:cstheme="minorEastAsia"/>
          <w:color w:val="auto"/>
          <w:spacing w:val="14"/>
          <w:kern w:val="2"/>
          <w:sz w:val="24"/>
          <w:szCs w:val="24"/>
          <w:highlight w:val="none"/>
          <w:lang w:val="en-US" w:eastAsia="zh-CN"/>
        </w:rPr>
        <w:t>、CO、SO</w:t>
      </w:r>
      <w:r>
        <w:rPr>
          <w:rFonts w:hint="eastAsia" w:asciiTheme="minorEastAsia" w:hAnsiTheme="minorEastAsia" w:eastAsiaTheme="minorEastAsia" w:cstheme="minorEastAsia"/>
          <w:color w:val="auto"/>
          <w:spacing w:val="14"/>
          <w:kern w:val="2"/>
          <w:sz w:val="24"/>
          <w:szCs w:val="24"/>
          <w:highlight w:val="none"/>
          <w:vertAlign w:val="baseline"/>
          <w:lang w:val="en-US" w:eastAsia="zh-CN"/>
        </w:rPr>
        <w:t>2</w:t>
      </w:r>
      <w:r>
        <w:rPr>
          <w:rFonts w:hint="eastAsia" w:asciiTheme="minorEastAsia" w:hAnsiTheme="minorEastAsia" w:eastAsiaTheme="minorEastAsia" w:cstheme="minorEastAsia"/>
          <w:color w:val="auto"/>
          <w:spacing w:val="14"/>
          <w:kern w:val="2"/>
          <w:sz w:val="24"/>
          <w:szCs w:val="24"/>
          <w:highlight w:val="none"/>
          <w:lang w:val="en-US" w:eastAsia="zh-CN"/>
        </w:rPr>
        <w:t>、NOx），建立“监测-分析-预警-处置”闭环机制，实时汇总分析走航监测数据、推送预警信息、协助处置污染点位，为应急管控决策部署、措施优化及成效评估提供坚实的数据和技术支撑。污染应急走航监测工作开展不少于200天。</w:t>
      </w:r>
    </w:p>
    <w:p w14:paraId="3A18E03C">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3.3 应急管控指导服务</w:t>
      </w:r>
    </w:p>
    <w:p w14:paraId="4E1D1FB5">
      <w:pPr>
        <w:keepNext w:val="0"/>
        <w:keepLines w:val="0"/>
        <w:pageBreakBefore w:val="0"/>
        <w:widowControl w:val="0"/>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在应急管控期间，安排专人实行全天候小时数据盯控与轮值指挥。每小时汇总并部署区域监测重点，动态消除污染源排放问题点位，结合空气质量预警预报结果，提前发布精细化污染源治理方向。应急管控指导工作开展不少于200天。</w:t>
      </w:r>
    </w:p>
    <w:p w14:paraId="7E987A92">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楷体" w:hAnsi="楷体" w:eastAsia="楷体" w:cs="楷体"/>
          <w:color w:val="auto"/>
          <w:spacing w:val="14"/>
          <w:kern w:val="2"/>
          <w:sz w:val="24"/>
          <w:szCs w:val="24"/>
          <w:highlight w:val="none"/>
          <w:lang w:val="en-US" w:eastAsia="zh-CN"/>
        </w:rPr>
      </w:pPr>
      <w:r>
        <w:rPr>
          <w:rFonts w:hint="eastAsia" w:ascii="楷体" w:hAnsi="楷体" w:eastAsia="楷体" w:cs="楷体"/>
          <w:color w:val="auto"/>
          <w:spacing w:val="14"/>
          <w:kern w:val="2"/>
          <w:sz w:val="24"/>
          <w:szCs w:val="24"/>
          <w:highlight w:val="none"/>
          <w:lang w:val="en-US" w:eastAsia="zh-CN"/>
        </w:rPr>
        <w:t>（二）项目成果</w:t>
      </w:r>
    </w:p>
    <w:p w14:paraId="09C2628A">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本项目主要包含以下成果：</w:t>
      </w:r>
    </w:p>
    <w:p w14:paraId="130B5DF4">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1.重点区域微环境浮尘专项治理台账1份。</w:t>
      </w:r>
    </w:p>
    <w:p w14:paraId="09AF8971">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2.服务期内配备1台新能源高压洒水车、1台新能源多功能洗扫车开展重点区域道路扬尘精细化专项治理措施。</w:t>
      </w:r>
    </w:p>
    <w:p w14:paraId="092C8A18">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3.利用移动式颗粒物组分监测方舱，开展重点区域PM2.5在线组分监测，服务期内共监测不少于172天。完成监测分析日报172份、周报25份、月报6份、年度总结报告1份。</w:t>
      </w:r>
    </w:p>
    <w:p w14:paraId="1F209CFE">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4.开展不少于250次多通道立体走航监测服务，完成走航监测分析报告250份。</w:t>
      </w:r>
    </w:p>
    <w:p w14:paraId="5906477B">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5.确定不少于2个研究样区，每个样区完成不少于60天的连续有效观测，整合各类监测数据，最终形成《空气质量综合评价与污染影响因素分析报告》。</w:t>
      </w:r>
    </w:p>
    <w:p w14:paraId="566E9139">
      <w:pPr>
        <w:keepNext w:val="0"/>
        <w:keepLines w:val="0"/>
        <w:pageBreakBefore w:val="0"/>
        <w:widowControl w:val="0"/>
        <w:tabs>
          <w:tab w:val="left" w:pos="567"/>
        </w:tabs>
        <w:kinsoku/>
        <w:wordWrap/>
        <w:overflowPunct/>
        <w:topLinePunct w:val="0"/>
        <w:autoSpaceDE/>
        <w:autoSpaceDN/>
        <w:bidi w:val="0"/>
        <w:snapToGrid/>
        <w:spacing w:after="0" w:afterLines="0" w:line="560" w:lineRule="exact"/>
        <w:ind w:firstLine="536" w:firstLineChars="20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6.开展精细化溯源巡排查工作，动态更新污染源台账和污染源地图，实时掌握辖区内主要污染源，提供大气污染物精细化污染源台账1份、扬尘污染源分布地图1份。</w:t>
      </w:r>
    </w:p>
    <w:p w14:paraId="2FA57C04">
      <w:pPr>
        <w:keepNext w:val="0"/>
        <w:keepLines w:val="0"/>
        <w:pageBreakBefore w:val="0"/>
        <w:widowControl w:val="0"/>
        <w:tabs>
          <w:tab w:val="left" w:pos="567"/>
        </w:tabs>
        <w:kinsoku/>
        <w:wordWrap/>
        <w:overflowPunct/>
        <w:topLinePunct w:val="0"/>
        <w:autoSpaceDE/>
        <w:autoSpaceDN/>
        <w:bidi w:val="0"/>
        <w:adjustRightInd/>
        <w:snapToGri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7.开展污染应急指导管控服务不少于200天，提供污染应急指导管控总结报告不少于30份。</w:t>
      </w:r>
    </w:p>
    <w:p w14:paraId="4CFF187C">
      <w:pPr>
        <w:spacing w:line="560" w:lineRule="exact"/>
        <w:ind w:firstLine="520"/>
        <w:rPr>
          <w:rFonts w:hint="eastAsia" w:ascii="楷体" w:hAnsi="楷体" w:eastAsia="楷体" w:cs="楷体"/>
          <w:color w:val="auto"/>
          <w:spacing w:val="14"/>
          <w:kern w:val="2"/>
          <w:sz w:val="24"/>
          <w:szCs w:val="24"/>
          <w:highlight w:val="none"/>
          <w:lang w:val="en-US" w:eastAsia="zh-CN"/>
        </w:rPr>
      </w:pPr>
      <w:r>
        <w:rPr>
          <w:rFonts w:hint="eastAsia" w:ascii="楷体" w:hAnsi="楷体" w:eastAsia="楷体" w:cs="楷体"/>
          <w:color w:val="auto"/>
          <w:spacing w:val="14"/>
          <w:kern w:val="2"/>
          <w:sz w:val="24"/>
          <w:szCs w:val="24"/>
          <w:highlight w:val="none"/>
          <w:lang w:val="en-US" w:eastAsia="zh-CN"/>
        </w:rPr>
        <w:t>（三）项目验收</w:t>
      </w:r>
    </w:p>
    <w:p w14:paraId="3FC04E39">
      <w:pPr>
        <w:spacing w:line="560" w:lineRule="exact"/>
        <w:ind w:firstLine="52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1 验收依据</w:t>
      </w:r>
    </w:p>
    <w:p w14:paraId="6F7069D6">
      <w:pPr>
        <w:adjustRightIn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本项目验收依据包括：本合同及附件、中标通知书、招标文件、投标文件、财政评审定案表、经甲方确认的实施方案，以及国家、北京市及行业现行有效的技术标准和规范。</w:t>
      </w:r>
    </w:p>
    <w:p w14:paraId="4ED1B5F2">
      <w:pPr>
        <w:spacing w:line="560" w:lineRule="exact"/>
        <w:ind w:firstLine="52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color w:val="auto"/>
          <w:spacing w:val="14"/>
          <w:kern w:val="2"/>
          <w:sz w:val="24"/>
          <w:szCs w:val="24"/>
          <w:highlight w:val="none"/>
          <w:lang w:val="en-US" w:eastAsia="zh-CN"/>
        </w:rPr>
        <w:t>2 验收程序</w:t>
      </w:r>
    </w:p>
    <w:p w14:paraId="2DAC070D">
      <w:pPr>
        <w:keepNext w:val="0"/>
        <w:keepLines w:val="0"/>
        <w:widowControl w:val="0"/>
        <w:suppressLineNumbers w:val="0"/>
        <w:adjustRightInd/>
        <w:spacing w:afterLines="0" w:line="560" w:lineRule="exact"/>
        <w:ind w:firstLine="536" w:firstLineChars="200"/>
        <w:jc w:val="left"/>
        <w:textAlignment w:val="auto"/>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pPr>
      <w:r>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t>（1）服务期满后10个工作日内，乙方提交完整项目成果和验收申请。</w:t>
      </w:r>
    </w:p>
    <w:p w14:paraId="0F934CB6">
      <w:pPr>
        <w:keepNext w:val="0"/>
        <w:keepLines w:val="0"/>
        <w:widowControl w:val="0"/>
        <w:suppressLineNumbers w:val="0"/>
        <w:adjustRightInd/>
        <w:spacing w:afterLines="0" w:line="560" w:lineRule="exact"/>
        <w:ind w:firstLine="536" w:firstLineChars="200"/>
        <w:jc w:val="left"/>
        <w:textAlignment w:val="auto"/>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pPr>
      <w:r>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t>（2）甲方在收到验收申请后15个工作日内组织专家验收会。专家从生态环境领域专家库中选取，人数为3人以上单数，前期参与本项目评审的专家应当回避。</w:t>
      </w:r>
    </w:p>
    <w:p w14:paraId="744FA03D">
      <w:pPr>
        <w:keepNext w:val="0"/>
        <w:keepLines w:val="0"/>
        <w:widowControl w:val="0"/>
        <w:suppressLineNumbers w:val="0"/>
        <w:adjustRightInd/>
        <w:spacing w:afterLines="0" w:line="560" w:lineRule="exact"/>
        <w:ind w:firstLine="536" w:firstLineChars="200"/>
        <w:jc w:val="left"/>
        <w:textAlignment w:val="auto"/>
        <w:rPr>
          <w:rFonts w:hint="eastAsia" w:asciiTheme="minorEastAsia" w:hAnsiTheme="minorEastAsia" w:eastAsiaTheme="minorEastAsia" w:cstheme="minorEastAsia"/>
          <w:color w:val="auto"/>
          <w:spacing w:val="14"/>
          <w:kern w:val="2"/>
          <w:sz w:val="24"/>
          <w:szCs w:val="24"/>
          <w:highlight w:val="none"/>
        </w:rPr>
      </w:pPr>
      <w:r>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t>（3）专家验收会逐项核对合同约定的服务内容、成果数量、数据质量、人员设备配置等，形成验收意见。</w:t>
      </w:r>
    </w:p>
    <w:p w14:paraId="02746636">
      <w:pPr>
        <w:keepNext w:val="0"/>
        <w:keepLines w:val="0"/>
        <w:widowControl w:val="0"/>
        <w:suppressLineNumbers w:val="0"/>
        <w:adjustRightInd/>
        <w:spacing w:afterLines="0" w:line="560" w:lineRule="exact"/>
        <w:ind w:firstLine="536" w:firstLineChars="200"/>
        <w:jc w:val="left"/>
        <w:textAlignment w:val="auto"/>
        <w:rPr>
          <w:rFonts w:hint="eastAsia" w:asciiTheme="minorEastAsia" w:hAnsiTheme="minorEastAsia" w:eastAsiaTheme="minorEastAsia" w:cstheme="minorEastAsia"/>
          <w:b w:val="0"/>
          <w:bCs w:val="0"/>
          <w:i w:val="0"/>
          <w:iCs w:val="0"/>
          <w:caps w:val="0"/>
          <w:color w:val="auto"/>
          <w:spacing w:val="14"/>
          <w:kern w:val="2"/>
          <w:sz w:val="24"/>
          <w:szCs w:val="24"/>
          <w:highlight w:val="none"/>
          <w:shd w:val="clear"/>
          <w:lang w:val="en-US" w:eastAsia="zh-CN" w:bidi="ar"/>
        </w:rPr>
      </w:pPr>
      <w:r>
        <w:rPr>
          <w:rFonts w:hint="eastAsia" w:asciiTheme="minorEastAsia" w:hAnsiTheme="minorEastAsia" w:eastAsiaTheme="minorEastAsia" w:cstheme="minorEastAsia"/>
          <w:b w:val="0"/>
          <w:bCs w:val="0"/>
          <w:i w:val="0"/>
          <w:iCs w:val="0"/>
          <w:caps w:val="0"/>
          <w:color w:val="auto"/>
          <w:spacing w:val="14"/>
          <w:kern w:val="2"/>
          <w:sz w:val="24"/>
          <w:szCs w:val="24"/>
          <w:highlight w:val="none"/>
          <w:shd w:val="clear"/>
          <w:lang w:val="en-US" w:eastAsia="zh-CN" w:bidi="ar"/>
        </w:rPr>
        <w:t>3、不合格与整改：</w:t>
      </w:r>
    </w:p>
    <w:p w14:paraId="5C1D480F">
      <w:pPr>
        <w:keepNext w:val="0"/>
        <w:keepLines w:val="0"/>
        <w:widowControl w:val="0"/>
        <w:suppressLineNumbers w:val="0"/>
        <w:adjustRightInd/>
        <w:spacing w:afterLines="0" w:line="560" w:lineRule="exact"/>
        <w:ind w:firstLine="536" w:firstLineChars="200"/>
        <w:jc w:val="left"/>
        <w:textAlignment w:val="auto"/>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pPr>
      <w:r>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t>（1）轻微瑕疵：指不影响核心指标完成、不影响数据质量的个别台账缺失或报告格式问题等。乙方2个工作日内免费整改，复检合格视为通过。</w:t>
      </w:r>
    </w:p>
    <w:p w14:paraId="3CDEA49E">
      <w:pPr>
        <w:spacing w:line="560" w:lineRule="exact"/>
        <w:ind w:firstLine="520"/>
        <w:rPr>
          <w:rFonts w:hint="eastAsia" w:asciiTheme="minorEastAsia" w:hAnsiTheme="minorEastAsia" w:eastAsiaTheme="minorEastAsia" w:cstheme="minorEastAsia"/>
          <w:color w:val="auto"/>
          <w:spacing w:val="14"/>
          <w:kern w:val="2"/>
          <w:sz w:val="24"/>
          <w:szCs w:val="24"/>
          <w:highlight w:val="none"/>
          <w:lang w:val="en-US" w:eastAsia="zh-CN"/>
        </w:rPr>
      </w:pPr>
      <w:r>
        <w:rPr>
          <w:rFonts w:hint="eastAsia" w:asciiTheme="minorEastAsia" w:hAnsiTheme="minorEastAsia" w:eastAsiaTheme="minorEastAsia" w:cstheme="minorEastAsia"/>
          <w:i w:val="0"/>
          <w:iCs w:val="0"/>
          <w:caps w:val="0"/>
          <w:color w:val="auto"/>
          <w:spacing w:val="14"/>
          <w:kern w:val="2"/>
          <w:sz w:val="24"/>
          <w:szCs w:val="24"/>
          <w:highlight w:val="none"/>
          <w:shd w:val="clear"/>
          <w:lang w:val="en-US" w:eastAsia="zh-CN" w:bidi="ar"/>
        </w:rPr>
        <w:t>（2）严重不合格：指未达到合同约定的核心指标（包括但不限于监测天数、走航次数、应急管控天数、道路治理面积、报告份数），或存在数据造假、人员设备与投标承诺严重不符、影响甲方业务等情形。乙方10个工作日内返工或补服，承担延误责任；两次整改仍不合格，甲方有权扣减服务费、暂停支付、单方解除合同并索赔损失。</w:t>
      </w:r>
    </w:p>
    <w:p w14:paraId="2950FB35">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rPr>
      </w:pPr>
      <w:r>
        <w:rPr>
          <w:rFonts w:hint="eastAsia" w:ascii="黑体" w:hAnsi="黑体" w:eastAsia="黑体" w:cs="黑体"/>
          <w:spacing w:val="11"/>
          <w:position w:val="2"/>
          <w:sz w:val="24"/>
          <w:szCs w:val="24"/>
        </w:rPr>
        <w:t>三、合同总价</w:t>
      </w:r>
    </w:p>
    <w:p w14:paraId="0B4C2140">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本合同总价为：</w:t>
      </w:r>
      <w:r>
        <w:rPr>
          <w:rFonts w:hint="eastAsia" w:asciiTheme="minorEastAsia" w:hAnsiTheme="minorEastAsia" w:eastAsiaTheme="minorEastAsia" w:cstheme="minorEastAsia"/>
          <w:color w:val="auto"/>
          <w:spacing w:val="14"/>
          <w:sz w:val="24"/>
          <w:szCs w:val="24"/>
          <w:highlight w:val="none"/>
          <w:u w:val="none"/>
        </w:rPr>
        <w:t xml:space="preserve">            </w:t>
      </w:r>
      <w:r>
        <w:rPr>
          <w:rFonts w:hint="eastAsia" w:asciiTheme="minorEastAsia" w:hAnsiTheme="minorEastAsia" w:eastAsiaTheme="minorEastAsia" w:cstheme="minorEastAsia"/>
          <w:color w:val="auto"/>
          <w:spacing w:val="14"/>
          <w:sz w:val="24"/>
          <w:szCs w:val="24"/>
          <w:highlight w:val="none"/>
        </w:rPr>
        <w:t>元人民币，大写</w:t>
      </w:r>
      <w:r>
        <w:rPr>
          <w:rFonts w:hint="eastAsia" w:asciiTheme="minorEastAsia" w:hAnsiTheme="minorEastAsia" w:eastAsiaTheme="minorEastAsia" w:cstheme="minorEastAsia"/>
          <w:color w:val="auto"/>
          <w:spacing w:val="14"/>
          <w:sz w:val="24"/>
          <w:szCs w:val="24"/>
          <w:highlight w:val="none"/>
          <w:u w:val="none"/>
        </w:rPr>
        <w:t xml:space="preserve">            </w:t>
      </w:r>
      <w:r>
        <w:rPr>
          <w:rFonts w:hint="eastAsia" w:asciiTheme="minorEastAsia" w:hAnsiTheme="minorEastAsia" w:eastAsiaTheme="minorEastAsia" w:cstheme="minorEastAsia"/>
          <w:color w:val="auto"/>
          <w:spacing w:val="14"/>
          <w:sz w:val="24"/>
          <w:szCs w:val="24"/>
          <w:highlight w:val="none"/>
        </w:rPr>
        <w:t>。分项价格：</w:t>
      </w:r>
      <w:r>
        <w:rPr>
          <w:rFonts w:hint="eastAsia" w:asciiTheme="minorEastAsia" w:hAnsiTheme="minorEastAsia" w:eastAsiaTheme="minorEastAsia" w:cstheme="minorEastAsia"/>
          <w:color w:val="auto"/>
          <w:spacing w:val="14"/>
          <w:sz w:val="24"/>
          <w:szCs w:val="24"/>
          <w:highlight w:val="none"/>
          <w:u w:val="none"/>
        </w:rPr>
        <w:t xml:space="preserve">       </w:t>
      </w:r>
      <w:r>
        <w:rPr>
          <w:rFonts w:hint="eastAsia" w:asciiTheme="minorEastAsia" w:hAnsiTheme="minorEastAsia" w:eastAsiaTheme="minorEastAsia" w:cstheme="minorEastAsia"/>
          <w:color w:val="auto"/>
          <w:spacing w:val="14"/>
          <w:sz w:val="24"/>
          <w:szCs w:val="24"/>
          <w:highlight w:val="none"/>
        </w:rPr>
        <w:t>。</w:t>
      </w:r>
    </w:p>
    <w:p w14:paraId="2B5E6742">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其中：增值税税金为：</w:t>
      </w:r>
      <w:r>
        <w:rPr>
          <w:rFonts w:hint="eastAsia" w:asciiTheme="minorEastAsia" w:hAnsiTheme="minorEastAsia" w:eastAsiaTheme="minorEastAsia" w:cstheme="minorEastAsia"/>
          <w:color w:val="auto"/>
          <w:spacing w:val="14"/>
          <w:sz w:val="24"/>
          <w:szCs w:val="24"/>
          <w:highlight w:val="none"/>
          <w:u w:val="none"/>
        </w:rPr>
        <w:t xml:space="preserve">                 </w:t>
      </w:r>
      <w:r>
        <w:rPr>
          <w:rFonts w:hint="eastAsia" w:asciiTheme="minorEastAsia" w:hAnsiTheme="minorEastAsia" w:eastAsiaTheme="minorEastAsia" w:cstheme="minorEastAsia"/>
          <w:color w:val="auto"/>
          <w:spacing w:val="14"/>
          <w:sz w:val="24"/>
          <w:szCs w:val="24"/>
          <w:highlight w:val="none"/>
        </w:rPr>
        <w:t>。</w:t>
      </w:r>
    </w:p>
    <w:p w14:paraId="0A8E1807">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i w:val="0"/>
          <w:iCs w:val="0"/>
          <w:caps w:val="0"/>
          <w:color w:val="auto"/>
          <w:spacing w:val="14"/>
          <w:kern w:val="2"/>
          <w:sz w:val="24"/>
          <w:szCs w:val="24"/>
          <w:highlight w:val="none"/>
          <w:shd w:val="clear"/>
        </w:rPr>
        <w:t>本合同总价为中标价，不得超过财政评审定案表审定金额人民币7,809,084.71元。</w:t>
      </w:r>
      <w:r>
        <w:rPr>
          <w:rFonts w:hint="eastAsia" w:asciiTheme="minorEastAsia" w:hAnsiTheme="minorEastAsia" w:eastAsiaTheme="minorEastAsia" w:cstheme="minorEastAsia"/>
          <w:color w:val="auto"/>
          <w:spacing w:val="14"/>
          <w:kern w:val="2"/>
          <w:sz w:val="24"/>
          <w:szCs w:val="24"/>
          <w:highlight w:val="none"/>
        </w:rPr>
        <w:t>本合同价款包括乙方为履行本项目确定的义务而发生的各项</w:t>
      </w:r>
      <w:r>
        <w:rPr>
          <w:rFonts w:hint="eastAsia" w:asciiTheme="minorEastAsia" w:hAnsiTheme="minorEastAsia" w:eastAsiaTheme="minorEastAsia" w:cstheme="minorEastAsia"/>
          <w:color w:val="auto"/>
          <w:spacing w:val="14"/>
          <w:sz w:val="24"/>
          <w:szCs w:val="24"/>
          <w:highlight w:val="none"/>
        </w:rPr>
        <w:t>费用、税金，最终结算价款不得超过本项目的中标金额。</w:t>
      </w:r>
    </w:p>
    <w:p w14:paraId="3C76DBD2">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rPr>
      </w:pPr>
      <w:r>
        <w:rPr>
          <w:rFonts w:hint="eastAsia" w:ascii="黑体" w:hAnsi="黑体" w:eastAsia="黑体" w:cs="黑体"/>
          <w:spacing w:val="11"/>
          <w:position w:val="2"/>
          <w:sz w:val="24"/>
          <w:szCs w:val="24"/>
        </w:rPr>
        <w:t>四、付款方式</w:t>
      </w:r>
    </w:p>
    <w:p w14:paraId="7F6C9D6F">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本项目合同签订后，待专项资金到位且相关付款手续办结完成后，采购人支付中标人合同总金额的</w:t>
      </w:r>
      <w:r>
        <w:rPr>
          <w:rFonts w:hint="eastAsia" w:asciiTheme="minorEastAsia" w:hAnsiTheme="minorEastAsia" w:eastAsiaTheme="minorEastAsia" w:cstheme="minorEastAsia"/>
          <w:color w:val="auto"/>
          <w:spacing w:val="14"/>
          <w:sz w:val="24"/>
          <w:szCs w:val="24"/>
          <w:highlight w:val="none"/>
          <w:lang w:val="en-US" w:eastAsia="zh-CN"/>
        </w:rPr>
        <w:t>5</w:t>
      </w:r>
      <w:r>
        <w:rPr>
          <w:rFonts w:hint="eastAsia" w:asciiTheme="minorEastAsia" w:hAnsiTheme="minorEastAsia" w:eastAsiaTheme="minorEastAsia" w:cstheme="minorEastAsia"/>
          <w:color w:val="auto"/>
          <w:spacing w:val="14"/>
          <w:sz w:val="24"/>
          <w:szCs w:val="24"/>
          <w:highlight w:val="none"/>
        </w:rPr>
        <w:t>0%；</w:t>
      </w:r>
    </w:p>
    <w:p w14:paraId="54135F82">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项目开展六个月后，待专项资金到位且相关付款手续办结完成后，采购人支付中标人合同总金额的</w:t>
      </w:r>
      <w:r>
        <w:rPr>
          <w:rFonts w:hint="eastAsia" w:asciiTheme="minorEastAsia" w:hAnsiTheme="minorEastAsia" w:eastAsiaTheme="minorEastAsia" w:cstheme="minorEastAsia"/>
          <w:color w:val="auto"/>
          <w:spacing w:val="14"/>
          <w:sz w:val="24"/>
          <w:szCs w:val="24"/>
          <w:highlight w:val="none"/>
          <w:lang w:val="en-US" w:eastAsia="zh-CN"/>
        </w:rPr>
        <w:t>2</w:t>
      </w:r>
      <w:r>
        <w:rPr>
          <w:rFonts w:hint="eastAsia" w:asciiTheme="minorEastAsia" w:hAnsiTheme="minorEastAsia" w:eastAsiaTheme="minorEastAsia" w:cstheme="minorEastAsia"/>
          <w:color w:val="auto"/>
          <w:spacing w:val="14"/>
          <w:sz w:val="24"/>
          <w:szCs w:val="24"/>
          <w:highlight w:val="none"/>
        </w:rPr>
        <w:t>0%；</w:t>
      </w:r>
    </w:p>
    <w:p w14:paraId="12893DF3">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eastAsia="zh-CN"/>
        </w:rPr>
      </w:pPr>
      <w:r>
        <w:rPr>
          <w:rFonts w:hint="eastAsia" w:asciiTheme="minorEastAsia" w:hAnsiTheme="minorEastAsia" w:eastAsiaTheme="minorEastAsia" w:cstheme="minorEastAsia"/>
          <w:color w:val="auto"/>
          <w:spacing w:val="14"/>
          <w:sz w:val="24"/>
          <w:szCs w:val="24"/>
          <w:highlight w:val="none"/>
          <w:lang w:val="en-US" w:eastAsia="zh-CN"/>
        </w:rPr>
        <w:t>项目经甲方验收</w:t>
      </w:r>
      <w:r>
        <w:rPr>
          <w:rFonts w:hint="eastAsia" w:asciiTheme="minorEastAsia" w:hAnsiTheme="minorEastAsia" w:eastAsiaTheme="minorEastAsia" w:cstheme="minorEastAsia"/>
          <w:color w:val="auto"/>
          <w:spacing w:val="14"/>
          <w:sz w:val="24"/>
          <w:szCs w:val="24"/>
          <w:highlight w:val="none"/>
        </w:rPr>
        <w:t>后，根据专项资金到位情况，待相关付款手续办结完成后采购人支付中标人合同总金额的</w:t>
      </w:r>
      <w:r>
        <w:rPr>
          <w:rFonts w:hint="eastAsia" w:asciiTheme="minorEastAsia" w:hAnsiTheme="minorEastAsia" w:eastAsiaTheme="minorEastAsia" w:cstheme="minorEastAsia"/>
          <w:color w:val="auto"/>
          <w:spacing w:val="14"/>
          <w:sz w:val="24"/>
          <w:szCs w:val="24"/>
          <w:highlight w:val="none"/>
          <w:lang w:val="en-US" w:eastAsia="zh-CN"/>
        </w:rPr>
        <w:t>3</w:t>
      </w:r>
      <w:r>
        <w:rPr>
          <w:rFonts w:hint="eastAsia" w:asciiTheme="minorEastAsia" w:hAnsiTheme="minorEastAsia" w:eastAsiaTheme="minorEastAsia" w:cstheme="minorEastAsia"/>
          <w:color w:val="auto"/>
          <w:spacing w:val="14"/>
          <w:sz w:val="24"/>
          <w:szCs w:val="24"/>
          <w:highlight w:val="none"/>
        </w:rPr>
        <w:t>0%</w:t>
      </w:r>
      <w:r>
        <w:rPr>
          <w:rFonts w:hint="eastAsia" w:asciiTheme="minorEastAsia" w:hAnsiTheme="minorEastAsia" w:eastAsiaTheme="minorEastAsia" w:cstheme="minorEastAsia"/>
          <w:color w:val="auto"/>
          <w:spacing w:val="14"/>
          <w:sz w:val="24"/>
          <w:szCs w:val="24"/>
          <w:highlight w:val="none"/>
          <w:lang w:eastAsia="zh-CN"/>
        </w:rPr>
        <w:t>。</w:t>
      </w:r>
    </w:p>
    <w:p w14:paraId="52AF8E17">
      <w:pPr>
        <w:spacing w:afterLines="0" w:line="560" w:lineRule="exact"/>
        <w:ind w:left="0" w:firstLine="536" w:firstLineChars="200"/>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i w:val="0"/>
          <w:iCs w:val="0"/>
          <w:caps w:val="0"/>
          <w:color w:val="auto"/>
          <w:spacing w:val="14"/>
          <w:sz w:val="24"/>
          <w:szCs w:val="24"/>
          <w:highlight w:val="none"/>
          <w:shd w:val="clear"/>
        </w:rPr>
        <w:t>因财政审批导致的延迟，不视为甲方违约</w:t>
      </w:r>
      <w:r>
        <w:rPr>
          <w:rFonts w:hint="eastAsia" w:asciiTheme="minorEastAsia" w:hAnsiTheme="minorEastAsia" w:eastAsiaTheme="minorEastAsia" w:cstheme="minorEastAsia"/>
          <w:color w:val="auto"/>
          <w:spacing w:val="14"/>
          <w:sz w:val="24"/>
          <w:szCs w:val="24"/>
          <w:highlight w:val="none"/>
        </w:rPr>
        <w:t>。</w:t>
      </w:r>
    </w:p>
    <w:p w14:paraId="607063AC">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rPr>
      </w:pPr>
      <w:r>
        <w:rPr>
          <w:rFonts w:hint="eastAsia" w:ascii="黑体" w:hAnsi="黑体" w:eastAsia="黑体" w:cs="黑体"/>
          <w:spacing w:val="11"/>
          <w:position w:val="2"/>
          <w:sz w:val="24"/>
          <w:szCs w:val="24"/>
        </w:rPr>
        <w:t>五、本合同服务的完成时间及服务地点</w:t>
      </w:r>
    </w:p>
    <w:p w14:paraId="42CF3E75">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服务时间：自合同签订之日起至    年    月    日止</w:t>
      </w:r>
      <w:r>
        <w:rPr>
          <w:rFonts w:hint="eastAsia" w:asciiTheme="minorEastAsia" w:hAnsiTheme="minorEastAsia" w:eastAsiaTheme="minorEastAsia" w:cstheme="minorEastAsia"/>
          <w:color w:val="auto"/>
          <w:spacing w:val="14"/>
          <w:sz w:val="24"/>
          <w:szCs w:val="24"/>
          <w:highlight w:val="none"/>
          <w:lang w:eastAsia="zh-CN"/>
        </w:rPr>
        <w:t>，</w:t>
      </w:r>
      <w:r>
        <w:rPr>
          <w:rFonts w:hint="eastAsia" w:asciiTheme="minorEastAsia" w:hAnsiTheme="minorEastAsia" w:eastAsiaTheme="minorEastAsia" w:cstheme="minorEastAsia"/>
          <w:i w:val="0"/>
          <w:iCs w:val="0"/>
          <w:caps w:val="0"/>
          <w:color w:val="auto"/>
          <w:spacing w:val="14"/>
          <w:sz w:val="24"/>
          <w:szCs w:val="24"/>
          <w:highlight w:val="none"/>
          <w:shd w:val="clear"/>
        </w:rPr>
        <w:t>服务期13个月</w:t>
      </w:r>
      <w:r>
        <w:rPr>
          <w:rFonts w:hint="eastAsia" w:asciiTheme="minorEastAsia" w:hAnsiTheme="minorEastAsia" w:eastAsiaTheme="minorEastAsia" w:cstheme="minorEastAsia"/>
          <w:color w:val="auto"/>
          <w:spacing w:val="14"/>
          <w:sz w:val="24"/>
          <w:szCs w:val="24"/>
          <w:highlight w:val="none"/>
        </w:rPr>
        <w:t>。</w:t>
      </w:r>
    </w:p>
    <w:p w14:paraId="26244B09">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服务地点：北京市通州区。</w:t>
      </w:r>
    </w:p>
    <w:p w14:paraId="67D3C2B1">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rPr>
      </w:pPr>
      <w:r>
        <w:rPr>
          <w:rFonts w:hint="eastAsia" w:ascii="黑体" w:hAnsi="黑体" w:eastAsia="黑体" w:cs="黑体"/>
          <w:spacing w:val="11"/>
          <w:position w:val="2"/>
          <w:sz w:val="24"/>
          <w:szCs w:val="24"/>
        </w:rPr>
        <w:t>六、合同的生效</w:t>
      </w:r>
    </w:p>
    <w:p w14:paraId="2ED70BA7">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rPr>
        <w:t>本合同经双方法定代表人或授权代表签字、加盖本单位公章后生效。</w:t>
      </w:r>
    </w:p>
    <w:p w14:paraId="74D2061D">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p>
    <w:p w14:paraId="1444B57C">
      <w:pPr>
        <w:keepNext w:val="0"/>
        <w:keepLines w:val="0"/>
        <w:pageBreakBefore w:val="0"/>
        <w:widowControl w:val="0"/>
        <w:kinsoku/>
        <w:wordWrap/>
        <w:overflowPunct/>
        <w:topLinePunct w:val="0"/>
        <w:autoSpaceDE/>
        <w:autoSpaceDN/>
        <w:bidi w:val="0"/>
        <w:adjustRightInd/>
        <w:snapToGrid/>
        <w:spacing w:afterLines="0" w:line="560" w:lineRule="exact"/>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rPr>
      </w:pPr>
    </w:p>
    <w:tbl>
      <w:tblPr>
        <w:tblStyle w:val="249"/>
        <w:tblW w:w="7759" w:type="dxa"/>
        <w:tblInd w:w="487" w:type="dxa"/>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Layout w:type="fixed"/>
        <w:tblCellMar>
          <w:top w:w="0" w:type="dxa"/>
          <w:left w:w="0" w:type="dxa"/>
          <w:bottom w:w="0" w:type="dxa"/>
          <w:right w:w="0" w:type="dxa"/>
        </w:tblCellMar>
      </w:tblPr>
      <w:tblGrid>
        <w:gridCol w:w="4242"/>
        <w:gridCol w:w="3517"/>
      </w:tblGrid>
      <w:tr w14:paraId="4153117F">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1050D483">
            <w:pPr>
              <w:keepNext w:val="0"/>
              <w:keepLines w:val="0"/>
              <w:pageBreakBefore w:val="0"/>
              <w:widowControl w:val="0"/>
              <w:kinsoku/>
              <w:wordWrap/>
              <w:overflowPunct/>
              <w:topLinePunct w:val="0"/>
              <w:autoSpaceDE w:val="0"/>
              <w:autoSpaceDN w:val="0"/>
              <w:bidi w:val="0"/>
              <w:adjustRightInd/>
              <w:snapToGrid/>
              <w:spacing w:line="240" w:lineRule="auto"/>
              <w:ind w:left="31"/>
              <w:textAlignment w:val="auto"/>
              <w:rPr>
                <w:rFonts w:hint="eastAsia" w:ascii="宋体" w:hAnsi="宋体" w:eastAsia="宋体" w:cs="宋体"/>
                <w:sz w:val="28"/>
                <w:szCs w:val="28"/>
                <w:highlight w:val="none"/>
              </w:rPr>
            </w:pPr>
            <w:r>
              <w:rPr>
                <w:rFonts w:hint="eastAsia" w:ascii="宋体" w:hAnsi="宋体" w:eastAsia="宋体" w:cs="宋体"/>
                <w:spacing w:val="3"/>
                <w:sz w:val="28"/>
                <w:szCs w:val="28"/>
                <w:highlight w:val="none"/>
              </w:rPr>
              <w:t xml:space="preserve">甲  方 (盖章) </w:t>
            </w:r>
            <w:r>
              <w:rPr>
                <w:rFonts w:hint="eastAsia" w:ascii="宋体" w:hAnsi="宋体" w:eastAsia="宋体" w:cs="宋体"/>
                <w:sz w:val="28"/>
                <w:szCs w:val="28"/>
                <w:highlight w:val="none"/>
              </w:rPr>
              <w:t>：</w:t>
            </w:r>
          </w:p>
        </w:tc>
        <w:tc>
          <w:tcPr>
            <w:tcW w:w="3517" w:type="dxa"/>
            <w:noWrap w:val="0"/>
            <w:vAlign w:val="top"/>
          </w:tcPr>
          <w:p w14:paraId="3F69E505">
            <w:pPr>
              <w:keepNext w:val="0"/>
              <w:keepLines w:val="0"/>
              <w:pageBreakBefore w:val="0"/>
              <w:widowControl w:val="0"/>
              <w:kinsoku/>
              <w:wordWrap/>
              <w:overflowPunct/>
              <w:topLinePunct w:val="0"/>
              <w:autoSpaceDE w:val="0"/>
              <w:autoSpaceDN w:val="0"/>
              <w:bidi w:val="0"/>
              <w:adjustRightInd/>
              <w:snapToGrid/>
              <w:spacing w:line="240" w:lineRule="auto"/>
              <w:ind w:left="31"/>
              <w:textAlignment w:val="auto"/>
              <w:rPr>
                <w:rFonts w:hint="eastAsia" w:ascii="宋体" w:hAnsi="宋体" w:eastAsia="宋体" w:cs="宋体"/>
                <w:sz w:val="28"/>
                <w:szCs w:val="28"/>
                <w:highlight w:val="none"/>
              </w:rPr>
            </w:pPr>
            <w:r>
              <w:rPr>
                <w:rFonts w:hint="eastAsia" w:ascii="宋体" w:hAnsi="宋体" w:eastAsia="宋体" w:cs="宋体"/>
                <w:spacing w:val="-9"/>
                <w:sz w:val="28"/>
                <w:szCs w:val="28"/>
                <w:highlight w:val="none"/>
              </w:rPr>
              <w:t>乙</w:t>
            </w:r>
            <w:r>
              <w:rPr>
                <w:rFonts w:hint="eastAsia" w:ascii="宋体" w:hAnsi="宋体" w:eastAsia="宋体" w:cs="宋体"/>
                <w:spacing w:val="-6"/>
                <w:sz w:val="28"/>
                <w:szCs w:val="28"/>
                <w:highlight w:val="none"/>
              </w:rPr>
              <w:t xml:space="preserve">  方 (盖章) ：</w:t>
            </w:r>
          </w:p>
        </w:tc>
      </w:tr>
      <w:tr w14:paraId="2E30807A">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510574B9">
            <w:pPr>
              <w:keepNext w:val="0"/>
              <w:keepLines w:val="0"/>
              <w:pageBreakBefore w:val="0"/>
              <w:widowControl w:val="0"/>
              <w:kinsoku/>
              <w:wordWrap/>
              <w:overflowPunct/>
              <w:topLinePunct w:val="0"/>
              <w:autoSpaceDE w:val="0"/>
              <w:autoSpaceDN w:val="0"/>
              <w:bidi w:val="0"/>
              <w:adjustRightInd/>
              <w:snapToGrid/>
              <w:spacing w:line="240" w:lineRule="auto"/>
              <w:ind w:firstLine="900" w:firstLineChars="300"/>
              <w:textAlignment w:val="auto"/>
              <w:rPr>
                <w:rFonts w:hint="eastAsia" w:ascii="宋体" w:hAnsi="宋体" w:eastAsia="宋体" w:cs="宋体"/>
                <w:sz w:val="28"/>
                <w:szCs w:val="28"/>
                <w:highlight w:val="none"/>
              </w:rPr>
            </w:pPr>
            <w:r>
              <w:rPr>
                <w:rFonts w:hint="eastAsia" w:ascii="宋体" w:hAnsi="宋体" w:eastAsia="宋体" w:cs="宋体"/>
                <w:spacing w:val="10"/>
                <w:sz w:val="28"/>
                <w:szCs w:val="28"/>
                <w:highlight w:val="none"/>
              </w:rPr>
              <w:t>年</w:t>
            </w:r>
            <w:r>
              <w:rPr>
                <w:rFonts w:hint="eastAsia" w:ascii="宋体" w:hAnsi="宋体" w:eastAsia="宋体" w:cs="宋体"/>
                <w:spacing w:val="9"/>
                <w:sz w:val="28"/>
                <w:szCs w:val="28"/>
                <w:highlight w:val="none"/>
              </w:rPr>
              <w:t xml:space="preserve">    月    日</w:t>
            </w:r>
          </w:p>
        </w:tc>
        <w:tc>
          <w:tcPr>
            <w:tcW w:w="3517" w:type="dxa"/>
            <w:noWrap w:val="0"/>
            <w:vAlign w:val="top"/>
          </w:tcPr>
          <w:p w14:paraId="1FC55E00">
            <w:pPr>
              <w:keepNext w:val="0"/>
              <w:keepLines w:val="0"/>
              <w:pageBreakBefore w:val="0"/>
              <w:widowControl w:val="0"/>
              <w:kinsoku/>
              <w:wordWrap/>
              <w:overflowPunct/>
              <w:topLinePunct w:val="0"/>
              <w:autoSpaceDE w:val="0"/>
              <w:autoSpaceDN w:val="0"/>
              <w:bidi w:val="0"/>
              <w:adjustRightInd/>
              <w:snapToGrid/>
              <w:spacing w:line="240" w:lineRule="auto"/>
              <w:ind w:right="23" w:firstLine="900" w:firstLineChars="300"/>
              <w:textAlignment w:val="auto"/>
              <w:rPr>
                <w:rFonts w:hint="eastAsia" w:ascii="宋体" w:hAnsi="宋体" w:eastAsia="宋体" w:cs="宋体"/>
                <w:sz w:val="28"/>
                <w:szCs w:val="28"/>
                <w:highlight w:val="none"/>
              </w:rPr>
            </w:pPr>
            <w:r>
              <w:rPr>
                <w:rFonts w:hint="eastAsia" w:ascii="宋体" w:hAnsi="宋体" w:eastAsia="宋体" w:cs="宋体"/>
                <w:spacing w:val="10"/>
                <w:sz w:val="28"/>
                <w:szCs w:val="28"/>
                <w:highlight w:val="none"/>
              </w:rPr>
              <w:t>年</w:t>
            </w:r>
            <w:r>
              <w:rPr>
                <w:rFonts w:hint="eastAsia" w:ascii="宋体" w:hAnsi="宋体" w:eastAsia="宋体" w:cs="宋体"/>
                <w:spacing w:val="9"/>
                <w:sz w:val="28"/>
                <w:szCs w:val="28"/>
                <w:highlight w:val="none"/>
              </w:rPr>
              <w:t xml:space="preserve">    月    日</w:t>
            </w:r>
          </w:p>
        </w:tc>
      </w:tr>
      <w:tr w14:paraId="063DA77E">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2D995A4D">
            <w:pPr>
              <w:keepNext w:val="0"/>
              <w:keepLines w:val="0"/>
              <w:pageBreakBefore w:val="0"/>
              <w:widowControl w:val="0"/>
              <w:kinsoku/>
              <w:wordWrap/>
              <w:overflowPunct/>
              <w:topLinePunct w:val="0"/>
              <w:autoSpaceDE w:val="0"/>
              <w:autoSpaceDN w:val="0"/>
              <w:bidi w:val="0"/>
              <w:adjustRightInd/>
              <w:snapToGrid/>
              <w:spacing w:line="240" w:lineRule="auto"/>
              <w:ind w:left="1"/>
              <w:textAlignment w:val="auto"/>
              <w:rPr>
                <w:rFonts w:hint="eastAsia" w:ascii="宋体" w:hAnsi="宋体" w:eastAsia="宋体" w:cs="宋体"/>
                <w:sz w:val="28"/>
                <w:szCs w:val="28"/>
                <w:highlight w:val="none"/>
              </w:rPr>
            </w:pPr>
            <w:r>
              <w:rPr>
                <w:rFonts w:hint="eastAsia" w:ascii="宋体" w:hAnsi="宋体" w:eastAsia="宋体" w:cs="宋体"/>
                <w:spacing w:val="9"/>
                <w:sz w:val="28"/>
                <w:szCs w:val="28"/>
                <w:highlight w:val="none"/>
              </w:rPr>
              <w:t>法</w:t>
            </w:r>
            <w:r>
              <w:rPr>
                <w:rFonts w:hint="eastAsia" w:ascii="宋体" w:hAnsi="宋体" w:eastAsia="宋体" w:cs="宋体"/>
                <w:spacing w:val="8"/>
                <w:sz w:val="28"/>
                <w:szCs w:val="28"/>
                <w:highlight w:val="none"/>
              </w:rPr>
              <w:t>定代表人或</w:t>
            </w:r>
          </w:p>
        </w:tc>
        <w:tc>
          <w:tcPr>
            <w:tcW w:w="3517" w:type="dxa"/>
            <w:noWrap w:val="0"/>
            <w:vAlign w:val="top"/>
          </w:tcPr>
          <w:p w14:paraId="650CB65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9"/>
                <w:sz w:val="28"/>
                <w:szCs w:val="28"/>
                <w:highlight w:val="none"/>
              </w:rPr>
              <w:t>法</w:t>
            </w:r>
            <w:r>
              <w:rPr>
                <w:rFonts w:hint="eastAsia" w:ascii="宋体" w:hAnsi="宋体" w:eastAsia="宋体" w:cs="宋体"/>
                <w:spacing w:val="8"/>
                <w:sz w:val="28"/>
                <w:szCs w:val="28"/>
                <w:highlight w:val="none"/>
              </w:rPr>
              <w:t>定代表人或</w:t>
            </w:r>
          </w:p>
        </w:tc>
      </w:tr>
      <w:tr w14:paraId="52DCB97C">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02273A11">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7"/>
                <w:sz w:val="28"/>
                <w:szCs w:val="28"/>
                <w:highlight w:val="none"/>
              </w:rPr>
              <w:t>授权代表(签字)</w:t>
            </w:r>
            <w:r>
              <w:rPr>
                <w:rFonts w:hint="eastAsia" w:ascii="宋体" w:hAnsi="宋体" w:eastAsia="宋体" w:cs="宋体"/>
                <w:spacing w:val="5"/>
                <w:sz w:val="28"/>
                <w:szCs w:val="28"/>
                <w:highlight w:val="none"/>
              </w:rPr>
              <w:t>：</w:t>
            </w:r>
          </w:p>
        </w:tc>
        <w:tc>
          <w:tcPr>
            <w:tcW w:w="3517" w:type="dxa"/>
            <w:noWrap w:val="0"/>
            <w:vAlign w:val="top"/>
          </w:tcPr>
          <w:p w14:paraId="2992B93A">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4"/>
                <w:sz w:val="28"/>
                <w:szCs w:val="28"/>
                <w:highlight w:val="none"/>
              </w:rPr>
              <w:t>授权代</w:t>
            </w:r>
            <w:r>
              <w:rPr>
                <w:rFonts w:hint="eastAsia" w:ascii="宋体" w:hAnsi="宋体" w:eastAsia="宋体" w:cs="宋体"/>
                <w:spacing w:val="-2"/>
                <w:sz w:val="28"/>
                <w:szCs w:val="28"/>
                <w:highlight w:val="none"/>
              </w:rPr>
              <w:t>表(签字)：</w:t>
            </w:r>
          </w:p>
        </w:tc>
      </w:tr>
      <w:tr w14:paraId="2AA5C56F">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27A8BB8D">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6"/>
                <w:sz w:val="28"/>
                <w:szCs w:val="28"/>
                <w:highlight w:val="none"/>
              </w:rPr>
              <w:t>地</w:t>
            </w:r>
            <w:r>
              <w:rPr>
                <w:rFonts w:hint="eastAsia" w:ascii="宋体" w:hAnsi="宋体" w:eastAsia="宋体" w:cs="宋体"/>
                <w:spacing w:val="4"/>
                <w:sz w:val="28"/>
                <w:szCs w:val="28"/>
                <w:highlight w:val="none"/>
              </w:rPr>
              <w:t xml:space="preserve">    址：</w:t>
            </w:r>
          </w:p>
        </w:tc>
        <w:tc>
          <w:tcPr>
            <w:tcW w:w="3517" w:type="dxa"/>
            <w:noWrap w:val="0"/>
            <w:vAlign w:val="top"/>
          </w:tcPr>
          <w:p w14:paraId="5C5DB154">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6"/>
                <w:sz w:val="28"/>
                <w:szCs w:val="28"/>
                <w:highlight w:val="none"/>
              </w:rPr>
              <w:t>地</w:t>
            </w:r>
            <w:r>
              <w:rPr>
                <w:rFonts w:hint="eastAsia" w:ascii="宋体" w:hAnsi="宋体" w:eastAsia="宋体" w:cs="宋体"/>
                <w:spacing w:val="4"/>
                <w:sz w:val="28"/>
                <w:szCs w:val="28"/>
                <w:highlight w:val="none"/>
              </w:rPr>
              <w:t xml:space="preserve">    址：</w:t>
            </w:r>
          </w:p>
        </w:tc>
      </w:tr>
      <w:tr w14:paraId="3EAFDB32">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162F9D25">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4"/>
                <w:sz w:val="28"/>
                <w:szCs w:val="28"/>
                <w:highlight w:val="none"/>
              </w:rPr>
              <w:t>邮</w:t>
            </w:r>
            <w:r>
              <w:rPr>
                <w:rFonts w:hint="eastAsia" w:ascii="宋体" w:hAnsi="宋体" w:eastAsia="宋体" w:cs="宋体"/>
                <w:spacing w:val="2"/>
                <w:sz w:val="28"/>
                <w:szCs w:val="28"/>
                <w:highlight w:val="none"/>
              </w:rPr>
              <w:t>政编码：</w:t>
            </w:r>
          </w:p>
        </w:tc>
        <w:tc>
          <w:tcPr>
            <w:tcW w:w="3517" w:type="dxa"/>
            <w:noWrap w:val="0"/>
            <w:vAlign w:val="top"/>
          </w:tcPr>
          <w:p w14:paraId="0EA9BAFF">
            <w:pPr>
              <w:keepNext w:val="0"/>
              <w:keepLines w:val="0"/>
              <w:pageBreakBefore w:val="0"/>
              <w:widowControl w:val="0"/>
              <w:kinsoku/>
              <w:wordWrap/>
              <w:overflowPunct/>
              <w:topLinePunct w:val="0"/>
              <w:autoSpaceDE w:val="0"/>
              <w:autoSpaceDN w:val="0"/>
              <w:bidi w:val="0"/>
              <w:adjustRightInd/>
              <w:snapToGrid/>
              <w:spacing w:line="240" w:lineRule="auto"/>
              <w:textAlignment w:val="auto"/>
              <w:rPr>
                <w:rFonts w:hint="eastAsia" w:ascii="宋体" w:hAnsi="宋体" w:eastAsia="宋体" w:cs="宋体"/>
                <w:sz w:val="28"/>
                <w:szCs w:val="28"/>
                <w:highlight w:val="none"/>
              </w:rPr>
            </w:pPr>
            <w:r>
              <w:rPr>
                <w:rFonts w:hint="eastAsia" w:ascii="宋体" w:hAnsi="宋体" w:eastAsia="宋体" w:cs="宋体"/>
                <w:spacing w:val="4"/>
                <w:sz w:val="28"/>
                <w:szCs w:val="28"/>
                <w:highlight w:val="none"/>
              </w:rPr>
              <w:t>邮</w:t>
            </w:r>
            <w:r>
              <w:rPr>
                <w:rFonts w:hint="eastAsia" w:ascii="宋体" w:hAnsi="宋体" w:eastAsia="宋体" w:cs="宋体"/>
                <w:spacing w:val="2"/>
                <w:sz w:val="28"/>
                <w:szCs w:val="28"/>
                <w:highlight w:val="none"/>
              </w:rPr>
              <w:t>政编码：</w:t>
            </w:r>
          </w:p>
        </w:tc>
      </w:tr>
      <w:tr w14:paraId="2B47DBC4">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562" w:hRule="atLeast"/>
        </w:trPr>
        <w:tc>
          <w:tcPr>
            <w:tcW w:w="4242" w:type="dxa"/>
            <w:noWrap w:val="0"/>
            <w:vAlign w:val="top"/>
          </w:tcPr>
          <w:p w14:paraId="225D4C83">
            <w:pPr>
              <w:keepNext w:val="0"/>
              <w:keepLines w:val="0"/>
              <w:pageBreakBefore w:val="0"/>
              <w:widowControl w:val="0"/>
              <w:kinsoku/>
              <w:wordWrap/>
              <w:overflowPunct/>
              <w:topLinePunct w:val="0"/>
              <w:autoSpaceDE w:val="0"/>
              <w:autoSpaceDN w:val="0"/>
              <w:bidi w:val="0"/>
              <w:adjustRightInd/>
              <w:snapToGrid/>
              <w:spacing w:line="240" w:lineRule="auto"/>
              <w:ind w:left="29"/>
              <w:textAlignment w:val="auto"/>
              <w:rPr>
                <w:rFonts w:hint="eastAsia" w:ascii="宋体" w:hAnsi="宋体" w:eastAsia="宋体" w:cs="宋体"/>
                <w:sz w:val="28"/>
                <w:szCs w:val="28"/>
                <w:highlight w:val="none"/>
              </w:rPr>
            </w:pPr>
            <w:r>
              <w:rPr>
                <w:rFonts w:hint="eastAsia" w:ascii="宋体" w:hAnsi="宋体" w:eastAsia="宋体" w:cs="宋体"/>
                <w:spacing w:val="1"/>
                <w:sz w:val="28"/>
                <w:szCs w:val="28"/>
                <w:highlight w:val="none"/>
              </w:rPr>
              <w:t xml:space="preserve">电 </w:t>
            </w:r>
            <w:r>
              <w:rPr>
                <w:rFonts w:hint="eastAsia" w:ascii="宋体" w:hAnsi="宋体" w:eastAsia="宋体" w:cs="宋体"/>
                <w:sz w:val="28"/>
                <w:szCs w:val="28"/>
                <w:highlight w:val="none"/>
              </w:rPr>
              <w:t xml:space="preserve">   话：</w:t>
            </w:r>
          </w:p>
        </w:tc>
        <w:tc>
          <w:tcPr>
            <w:tcW w:w="3517" w:type="dxa"/>
            <w:noWrap w:val="0"/>
            <w:vAlign w:val="top"/>
          </w:tcPr>
          <w:p w14:paraId="21BBF43C">
            <w:pPr>
              <w:keepNext w:val="0"/>
              <w:keepLines w:val="0"/>
              <w:pageBreakBefore w:val="0"/>
              <w:widowControl w:val="0"/>
              <w:kinsoku/>
              <w:wordWrap/>
              <w:overflowPunct/>
              <w:topLinePunct w:val="0"/>
              <w:autoSpaceDE w:val="0"/>
              <w:autoSpaceDN w:val="0"/>
              <w:bidi w:val="0"/>
              <w:adjustRightInd/>
              <w:snapToGrid/>
              <w:spacing w:line="240" w:lineRule="auto"/>
              <w:ind w:right="134"/>
              <w:textAlignment w:val="auto"/>
              <w:rPr>
                <w:rFonts w:hint="eastAsia" w:ascii="宋体" w:hAnsi="宋体" w:eastAsia="宋体" w:cs="宋体"/>
                <w:sz w:val="28"/>
                <w:szCs w:val="28"/>
                <w:highlight w:val="none"/>
              </w:rPr>
            </w:pPr>
            <w:r>
              <w:rPr>
                <w:rFonts w:hint="eastAsia" w:ascii="宋体" w:hAnsi="宋体" w:eastAsia="宋体" w:cs="宋体"/>
                <w:spacing w:val="1"/>
                <w:sz w:val="28"/>
                <w:szCs w:val="28"/>
                <w:highlight w:val="none"/>
              </w:rPr>
              <w:t xml:space="preserve">电 </w:t>
            </w:r>
            <w:r>
              <w:rPr>
                <w:rFonts w:hint="eastAsia" w:ascii="宋体" w:hAnsi="宋体" w:eastAsia="宋体" w:cs="宋体"/>
                <w:sz w:val="28"/>
                <w:szCs w:val="28"/>
                <w:highlight w:val="none"/>
              </w:rPr>
              <w:t xml:space="preserve">   话：</w:t>
            </w:r>
          </w:p>
        </w:tc>
      </w:tr>
      <w:tr w14:paraId="1BD70A4F">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639" w:hRule="atLeast"/>
        </w:trPr>
        <w:tc>
          <w:tcPr>
            <w:tcW w:w="4242" w:type="dxa"/>
            <w:noWrap w:val="0"/>
            <w:vAlign w:val="top"/>
          </w:tcPr>
          <w:p w14:paraId="20ACD1B5">
            <w:pPr>
              <w:keepNext w:val="0"/>
              <w:keepLines w:val="0"/>
              <w:pageBreakBefore w:val="0"/>
              <w:widowControl w:val="0"/>
              <w:kinsoku/>
              <w:wordWrap/>
              <w:overflowPunct/>
              <w:topLinePunct w:val="0"/>
              <w:autoSpaceDE w:val="0"/>
              <w:autoSpaceDN w:val="0"/>
              <w:bidi w:val="0"/>
              <w:adjustRightInd/>
              <w:snapToGrid/>
              <w:spacing w:line="240" w:lineRule="auto"/>
              <w:ind w:left="1"/>
              <w:textAlignment w:val="auto"/>
              <w:rPr>
                <w:rFonts w:hint="eastAsia" w:ascii="宋体" w:hAnsi="宋体" w:eastAsia="宋体" w:cs="宋体"/>
                <w:sz w:val="28"/>
                <w:szCs w:val="28"/>
                <w:highlight w:val="none"/>
              </w:rPr>
            </w:pPr>
            <w:r>
              <w:rPr>
                <w:rFonts w:hint="eastAsia" w:ascii="宋体" w:hAnsi="宋体" w:eastAsia="宋体" w:cs="宋体"/>
                <w:spacing w:val="6"/>
                <w:sz w:val="28"/>
                <w:szCs w:val="28"/>
                <w:highlight w:val="none"/>
              </w:rPr>
              <w:t>开户银行</w:t>
            </w:r>
            <w:r>
              <w:rPr>
                <w:rFonts w:hint="eastAsia" w:ascii="宋体" w:hAnsi="宋体" w:eastAsia="宋体" w:cs="宋体"/>
                <w:spacing w:val="5"/>
                <w:sz w:val="28"/>
                <w:szCs w:val="28"/>
                <w:highlight w:val="none"/>
              </w:rPr>
              <w:t>：</w:t>
            </w:r>
          </w:p>
        </w:tc>
        <w:tc>
          <w:tcPr>
            <w:tcW w:w="3517" w:type="dxa"/>
            <w:noWrap w:val="0"/>
            <w:vAlign w:val="top"/>
          </w:tcPr>
          <w:p w14:paraId="5C518A43">
            <w:pPr>
              <w:keepNext w:val="0"/>
              <w:keepLines w:val="0"/>
              <w:pageBreakBefore w:val="0"/>
              <w:widowControl w:val="0"/>
              <w:kinsoku/>
              <w:wordWrap/>
              <w:overflowPunct/>
              <w:topLinePunct w:val="0"/>
              <w:autoSpaceDE w:val="0"/>
              <w:autoSpaceDN w:val="0"/>
              <w:bidi w:val="0"/>
              <w:adjustRightInd/>
              <w:snapToGrid/>
              <w:spacing w:line="240" w:lineRule="auto"/>
              <w:ind w:right="134"/>
              <w:textAlignment w:val="auto"/>
              <w:rPr>
                <w:rFonts w:hint="eastAsia" w:ascii="宋体" w:hAnsi="宋体" w:eastAsia="宋体" w:cs="宋体"/>
                <w:sz w:val="28"/>
                <w:szCs w:val="28"/>
                <w:highlight w:val="none"/>
              </w:rPr>
            </w:pPr>
            <w:r>
              <w:rPr>
                <w:rFonts w:hint="eastAsia" w:ascii="宋体" w:hAnsi="宋体" w:eastAsia="宋体" w:cs="宋体"/>
                <w:spacing w:val="6"/>
                <w:sz w:val="28"/>
                <w:szCs w:val="28"/>
                <w:highlight w:val="none"/>
              </w:rPr>
              <w:t>开户银行</w:t>
            </w:r>
            <w:r>
              <w:rPr>
                <w:rFonts w:hint="eastAsia" w:ascii="宋体" w:hAnsi="宋体" w:eastAsia="宋体" w:cs="宋体"/>
                <w:spacing w:val="5"/>
                <w:sz w:val="28"/>
                <w:szCs w:val="28"/>
                <w:highlight w:val="none"/>
              </w:rPr>
              <w:t>：</w:t>
            </w:r>
          </w:p>
        </w:tc>
      </w:tr>
      <w:tr w14:paraId="3DDC8FB3">
        <w:tblPrEx>
          <w:tblBorders>
            <w:top w:val="none" w:color="000000" w:sz="2" w:space="0"/>
            <w:left w:val="none" w:color="000000" w:sz="2" w:space="0"/>
            <w:bottom w:val="none" w:color="000000" w:sz="2" w:space="0"/>
            <w:right w:val="none" w:color="000000" w:sz="2" w:space="0"/>
            <w:insideH w:val="none" w:color="000000" w:sz="2" w:space="0"/>
            <w:insideV w:val="none" w:color="000000" w:sz="2" w:space="0"/>
          </w:tblBorders>
          <w:tblCellMar>
            <w:top w:w="0" w:type="dxa"/>
            <w:left w:w="0" w:type="dxa"/>
            <w:bottom w:w="0" w:type="dxa"/>
            <w:right w:w="0" w:type="dxa"/>
          </w:tblCellMar>
        </w:tblPrEx>
        <w:trPr>
          <w:trHeight w:val="639" w:hRule="atLeast"/>
        </w:trPr>
        <w:tc>
          <w:tcPr>
            <w:tcW w:w="4242" w:type="dxa"/>
            <w:noWrap w:val="0"/>
            <w:vAlign w:val="top"/>
          </w:tcPr>
          <w:p w14:paraId="30F5151D">
            <w:pPr>
              <w:keepNext w:val="0"/>
              <w:keepLines w:val="0"/>
              <w:pageBreakBefore w:val="0"/>
              <w:widowControl w:val="0"/>
              <w:kinsoku/>
              <w:wordWrap/>
              <w:overflowPunct/>
              <w:topLinePunct w:val="0"/>
              <w:autoSpaceDE w:val="0"/>
              <w:autoSpaceDN w:val="0"/>
              <w:bidi w:val="0"/>
              <w:adjustRightInd/>
              <w:snapToGrid/>
              <w:spacing w:line="240" w:lineRule="auto"/>
              <w:ind w:left="1"/>
              <w:textAlignment w:val="auto"/>
              <w:rPr>
                <w:rFonts w:hint="eastAsia" w:ascii="宋体" w:hAnsi="宋体" w:eastAsia="宋体" w:cs="宋体"/>
                <w:spacing w:val="6"/>
                <w:sz w:val="28"/>
                <w:szCs w:val="28"/>
                <w:highlight w:val="none"/>
                <w:lang w:val="en-US" w:eastAsia="zh-CN"/>
              </w:rPr>
            </w:pPr>
            <w:r>
              <w:rPr>
                <w:rFonts w:hint="eastAsia" w:ascii="宋体" w:hAnsi="宋体" w:eastAsia="宋体" w:cs="宋体"/>
                <w:spacing w:val="6"/>
                <w:sz w:val="28"/>
                <w:szCs w:val="28"/>
                <w:highlight w:val="none"/>
                <w:lang w:val="en-US" w:eastAsia="zh-CN"/>
              </w:rPr>
              <w:t>账    号：</w:t>
            </w:r>
          </w:p>
        </w:tc>
        <w:tc>
          <w:tcPr>
            <w:tcW w:w="3517" w:type="dxa"/>
            <w:noWrap w:val="0"/>
            <w:vAlign w:val="top"/>
          </w:tcPr>
          <w:p w14:paraId="3798FC1F">
            <w:pPr>
              <w:keepNext w:val="0"/>
              <w:keepLines w:val="0"/>
              <w:pageBreakBefore w:val="0"/>
              <w:widowControl w:val="0"/>
              <w:kinsoku/>
              <w:wordWrap/>
              <w:overflowPunct/>
              <w:topLinePunct w:val="0"/>
              <w:autoSpaceDE w:val="0"/>
              <w:autoSpaceDN w:val="0"/>
              <w:bidi w:val="0"/>
              <w:adjustRightInd/>
              <w:snapToGrid/>
              <w:spacing w:line="240" w:lineRule="auto"/>
              <w:ind w:right="134"/>
              <w:textAlignment w:val="auto"/>
              <w:rPr>
                <w:rFonts w:hint="eastAsia" w:ascii="宋体" w:hAnsi="宋体" w:eastAsia="宋体" w:cs="宋体"/>
                <w:spacing w:val="6"/>
                <w:sz w:val="28"/>
                <w:szCs w:val="28"/>
                <w:highlight w:val="none"/>
              </w:rPr>
            </w:pPr>
            <w:r>
              <w:rPr>
                <w:rFonts w:hint="eastAsia" w:ascii="宋体" w:hAnsi="宋体" w:eastAsia="宋体" w:cs="宋体"/>
                <w:spacing w:val="6"/>
                <w:sz w:val="28"/>
                <w:szCs w:val="28"/>
                <w:highlight w:val="none"/>
                <w:lang w:val="en-US" w:eastAsia="zh-CN"/>
              </w:rPr>
              <w:t>账    号：</w:t>
            </w:r>
          </w:p>
        </w:tc>
      </w:tr>
    </w:tbl>
    <w:p w14:paraId="1CB1EA5A">
      <w:pPr>
        <w:keepNext w:val="0"/>
        <w:keepLines w:val="0"/>
        <w:pageBreakBefore w:val="0"/>
        <w:widowControl/>
        <w:kinsoku/>
        <w:wordWrap/>
        <w:overflowPunct/>
        <w:topLinePunct w:val="0"/>
        <w:autoSpaceDE/>
        <w:autoSpaceDN/>
        <w:bidi w:val="0"/>
        <w:adjustRightInd/>
        <w:snapToGrid/>
        <w:spacing w:line="240" w:lineRule="auto"/>
        <w:ind w:left="0" w:right="0" w:firstLine="0" w:firstLineChars="0"/>
        <w:textAlignment w:val="auto"/>
        <w:rPr>
          <w:rFonts w:hint="eastAsia" w:ascii="宋体" w:hAnsi="宋体" w:eastAsia="宋体" w:cs="宋体"/>
          <w:color w:val="auto"/>
          <w:spacing w:val="14"/>
          <w:sz w:val="24"/>
          <w:szCs w:val="24"/>
          <w:highlight w:val="none"/>
          <w:lang w:val="en-US" w:eastAsia="zh-CN"/>
        </w:rPr>
      </w:pPr>
      <w:r>
        <w:rPr>
          <w:rFonts w:hint="eastAsia" w:ascii="宋体" w:hAnsi="宋体" w:eastAsia="宋体" w:cs="宋体"/>
          <w:color w:val="auto"/>
          <w:spacing w:val="14"/>
          <w:sz w:val="24"/>
          <w:szCs w:val="24"/>
          <w:highlight w:val="none"/>
          <w:lang w:val="en-US" w:eastAsia="zh-CN"/>
        </w:rPr>
        <w:br w:type="page"/>
      </w:r>
    </w:p>
    <w:p w14:paraId="12684F92">
      <w:pPr>
        <w:keepNext w:val="0"/>
        <w:keepLines w:val="0"/>
        <w:pageBreakBefore w:val="0"/>
        <w:widowControl w:val="0"/>
        <w:kinsoku/>
        <w:wordWrap/>
        <w:overflowPunct/>
        <w:topLinePunct w:val="0"/>
        <w:autoSpaceDE/>
        <w:autoSpaceDN/>
        <w:bidi w:val="0"/>
        <w:adjustRightInd/>
        <w:snapToGrid/>
        <w:spacing w:line="360" w:lineRule="auto"/>
        <w:ind w:left="0" w:right="0" w:firstLine="696" w:firstLineChars="200"/>
        <w:jc w:val="center"/>
        <w:textAlignment w:val="auto"/>
        <w:rPr>
          <w:rFonts w:hint="eastAsia" w:ascii="方正小标宋简体" w:hAnsi="方正小标宋简体" w:eastAsia="方正小标宋简体" w:cs="方正小标宋简体"/>
          <w:color w:val="auto"/>
          <w:spacing w:val="14"/>
          <w:sz w:val="32"/>
          <w:szCs w:val="32"/>
          <w:highlight w:val="none"/>
          <w:lang w:val="en-US" w:eastAsia="zh-CN"/>
        </w:rPr>
      </w:pPr>
      <w:r>
        <w:rPr>
          <w:rFonts w:hint="eastAsia" w:ascii="方正小标宋简体" w:hAnsi="方正小标宋简体" w:eastAsia="方正小标宋简体" w:cs="方正小标宋简体"/>
          <w:color w:val="auto"/>
          <w:spacing w:val="14"/>
          <w:sz w:val="32"/>
          <w:szCs w:val="32"/>
          <w:highlight w:val="none"/>
          <w:lang w:val="en-US" w:eastAsia="zh-CN"/>
        </w:rPr>
        <w:t>合同一般条款</w:t>
      </w:r>
    </w:p>
    <w:p w14:paraId="04C598F5">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依据《中华人民共和国民法典》及相关法律法规，经双方协商一致，签订本合同，以此共同遵守。</w:t>
      </w:r>
    </w:p>
    <w:p w14:paraId="0FB12193">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 定义</w:t>
      </w:r>
    </w:p>
    <w:p w14:paraId="56F66B1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本合同下列术语应解释为：</w:t>
      </w:r>
    </w:p>
    <w:p w14:paraId="76CBEBE2">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1.1、“合同”系指甲乙双方签署的、合同格式中载明的甲乙双方所达成的协议，包括所有的附件、附录和上述文件所提到的构成合同的所有文件。</w:t>
      </w:r>
    </w:p>
    <w:p w14:paraId="081F78A9">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1.2、“合同总价”系指根据合同规定乙方在正确地完全履行合同义务后甲方应支付 给乙方的价格。合同总价与报价价格一致。</w:t>
      </w:r>
    </w:p>
    <w:p w14:paraId="0E669B4F">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1.3、“货物”系指乙方根据合同约定须向甲方提供的一切设备、机械、仪表、备件， 包括工具、手册等其它相关资料。</w:t>
      </w:r>
    </w:p>
    <w:p w14:paraId="1C63DCA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1.4、“服务”系指根据合同规定乙方承担有关的服务，详见合同条款及相关附件。</w:t>
      </w:r>
    </w:p>
    <w:p w14:paraId="387A596D">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1.5、“甲方”指通州区生态环境局。</w:t>
      </w:r>
    </w:p>
    <w:p w14:paraId="3B4437B6">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1.6、“乙方”指为本合同提供服务的公司或实体。</w:t>
      </w:r>
    </w:p>
    <w:p w14:paraId="061700C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1.7、“项目现场”指的是： 甲方指定地点。</w:t>
      </w:r>
    </w:p>
    <w:p w14:paraId="3061F8F4">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2、乙方合同义务</w:t>
      </w:r>
    </w:p>
    <w:p w14:paraId="169AD75E">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2.1 服务内容</w:t>
      </w:r>
    </w:p>
    <w:p w14:paraId="73793E7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2.1.1 乙方服务内容见招标文件及被甲方接受的投标文件中的规定。</w:t>
      </w:r>
    </w:p>
    <w:p w14:paraId="345DB948">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2.1.2 乙方提供的服务应与招标文件规定的服务内容、服务规范和规范附件(如果有的话)及其投标文件的服务内容、服务规范偏差表(如果被甲方接受的话)相一致。若文件规范中无相应说明，则以国家有关部门最新颁布的相应标准及规范为准。</w:t>
      </w:r>
    </w:p>
    <w:p w14:paraId="149CD38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2.2 合同资料</w:t>
      </w:r>
    </w:p>
    <w:p w14:paraId="23EB5968">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2.2.1 合同项目文件资料(除合同特殊条款规定外)将以下列方式交付：接到对方书面通知后15天之内，将完成服务或合同所需必要资料交付给对方。</w:t>
      </w:r>
    </w:p>
    <w:p w14:paraId="2C1AEB9F">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2.3 工作结果交付</w:t>
      </w:r>
    </w:p>
    <w:p w14:paraId="427DDBD2">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2.3.1 乙方应按照甲方要求的时间和进度交付相应的工作结果。</w:t>
      </w:r>
    </w:p>
    <w:p w14:paraId="54CA1D62">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2.4 保密</w:t>
      </w:r>
    </w:p>
    <w:p w14:paraId="51E87363">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2.4.1乙方保证对在谈判、签订、执行本协议过程中所获悉的属于无法自公开渠道获得的文件及资料(包括国家秘密、商业秘密、工作秘密、公司计划、运营活动、财务信息、技术信息、经营信息及其他有关信息)予以保密。未经该资料和文件的原提供方同意，不得向任何第三方泄露该商业秘密或未公开工作信息的全部或部分内容。但法律、法规另有规定或双方另有约定的除外。</w:t>
      </w:r>
    </w:p>
    <w:p w14:paraId="09BF6D39">
      <w:pPr>
        <w:spacing w:line="360" w:lineRule="auto"/>
        <w:ind w:left="0" w:firstLine="536" w:firstLineChars="200"/>
        <w:rPr>
          <w:rFonts w:hint="eastAsia" w:asciiTheme="minorEastAsia" w:hAnsiTheme="minorEastAsia" w:eastAsiaTheme="minorEastAsia" w:cstheme="minorEastAsia"/>
          <w:color w:val="auto"/>
          <w:spacing w:val="14"/>
          <w:sz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2.4.2</w:t>
      </w:r>
      <w:r>
        <w:rPr>
          <w:rFonts w:hint="eastAsia" w:asciiTheme="minorEastAsia" w:hAnsiTheme="minorEastAsia" w:eastAsiaTheme="minorEastAsia" w:cstheme="minorEastAsia"/>
          <w:color w:val="auto"/>
          <w:spacing w:val="14"/>
          <w:sz w:val="24"/>
          <w:szCs w:val="24"/>
          <w:highlight w:val="none"/>
        </w:rPr>
        <w:t>乙方应在项目结束后按甲方要求移交或删除数据；乙方不得将项目数据、成果用于其他项目或向第三方披露。</w:t>
      </w:r>
    </w:p>
    <w:p w14:paraId="4B58562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2.5 知识产权</w:t>
      </w:r>
    </w:p>
    <w:p w14:paraId="331951EF">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2.5.1 乙方应保证甲方使用合同项下乙方工作成果的任何一部分时免受第三方提出的侵犯其专利权、著作权、商标权或工业设计权等知识产权的起诉。如果任何第三方对此提出起诉，乙方应负责与之交涉并承担由此引起的一切法律责任及经济损失。</w:t>
      </w:r>
    </w:p>
    <w:p w14:paraId="0879FF76">
      <w:pPr>
        <w:spacing w:line="360" w:lineRule="auto"/>
        <w:ind w:left="0" w:firstLine="536" w:firstLineChars="200"/>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2.5.2 本项目形成的监测数据、报告、图表、台账、源解析成果归甲方所有；乙方既有模型、软件、专利仍归乙方，甲方获得服务期内使用权；乙方不得将项目成果用于其他项目或向第三方披露。</w:t>
      </w:r>
    </w:p>
    <w:p w14:paraId="3E35C730">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3、甲方合同义务</w:t>
      </w:r>
    </w:p>
    <w:p w14:paraId="27D87DD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3.1 合同款支付</w:t>
      </w:r>
    </w:p>
    <w:p w14:paraId="754D49F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3.1.1 合同货币：人民币。</w:t>
      </w:r>
    </w:p>
    <w:p w14:paraId="4FC0E470">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3.1.2 合同款支付进度见合同特殊条款规定。</w:t>
      </w:r>
    </w:p>
    <w:p w14:paraId="10FB9A96">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4、首次服务时间与数量</w:t>
      </w:r>
    </w:p>
    <w:p w14:paraId="2287FF25">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4.1本合同首次服务时间与数量见合同特殊条款规定。</w:t>
      </w:r>
    </w:p>
    <w:p w14:paraId="691844D6">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5、 监督与审核</w:t>
      </w:r>
    </w:p>
    <w:p w14:paraId="3FBD44F3">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5.1 甲方有权对乙方的工作进行监督和审核，如在监督或审核的过程中发现乙方工作有不当之处，甲方有权提出建议，乙方应予以适当考虑并采纳其中的合理建议。甲方有权对乙方工作成果进行抽样检查，以检验其工作的真实性和合理性。甲方根据服务需求制定相应的考核方案，对乙方的服务情况实行月考核。</w:t>
      </w:r>
    </w:p>
    <w:p w14:paraId="4C84551D">
      <w:pPr>
        <w:spacing w:line="360" w:lineRule="auto"/>
        <w:ind w:left="0" w:firstLine="536" w:firstLineChars="200"/>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5.2 项目关键人员不得擅自更换，更换需甲方书面同意；设备型号、序列号、参数要与投标承诺一致；车辆要提供租赁合同、使用证明等相关记录。</w:t>
      </w:r>
    </w:p>
    <w:p w14:paraId="73C9B625">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6、索赔</w:t>
      </w:r>
    </w:p>
    <w:p w14:paraId="080AB599">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6.1 如果在合同履行过程中，由于乙方违反合同规定义务导致甲方受到损失，乙方应按照甲方的实际损失予以赔偿。</w:t>
      </w:r>
    </w:p>
    <w:p w14:paraId="51923176">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7、 误期赔偿费</w:t>
      </w:r>
    </w:p>
    <w:p w14:paraId="2E52CEE9">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7.1 除了本合同“不可抗力”规定的不可抗力事故外，如果乙方不能按合同规定时间准时提供服务，甲方在不影响合同项下的其它补救措施的情况下，可从合同价款中扣除误期赔偿费。每延误一周的赔偿费按迟交货物或未提供服务的服务费用的0.5%计收，不足7日者亦按7日计算直至交货或提供服务为止。误期赔偿费的最高限额为合同总价的5%。一旦达到误期赔偿费的最高限额，甲方有权无需乙方同意终止合同。</w:t>
      </w:r>
    </w:p>
    <w:p w14:paraId="7A2F1DF9">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8、不可抗力</w:t>
      </w:r>
    </w:p>
    <w:p w14:paraId="4AAA4E6B">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8.1 本条所述的“不可抗力”系指那些双方在订立合同时无法控制、不可预见的事</w:t>
      </w:r>
    </w:p>
    <w:p w14:paraId="345DC19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件。这些事件包括：战争、水灾、地震以及双方同意的事件。当不可抗力事件发生时，执行合同的期限将相应延长。</w:t>
      </w:r>
    </w:p>
    <w:p w14:paraId="14DA8474">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8.2 在不可抗力事件发生时，乙方应尽快以书面形式将不可抗力的情况和原因通知甲方。同时必须在7日内，以挂号形式递交有关政府部门的证明。如果不可抗力超过15日，双方将通过友好协商就合同的执行达成协议。</w:t>
      </w:r>
    </w:p>
    <w:p w14:paraId="641A4CE5">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9、合同修改与终止</w:t>
      </w:r>
    </w:p>
    <w:p w14:paraId="1DFA83F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9.1任何对合同条件的变更或修改、补充或删减均须双方签订书面的修改书。</w:t>
      </w:r>
    </w:p>
    <w:p w14:paraId="6E3CFE9C">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10、违约解除合同</w:t>
      </w:r>
    </w:p>
    <w:p w14:paraId="190CB7C8">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10.1在乙方违约的情况下，甲方可向乙方发出书面通知，部分或全部终止合同。同时保留向乙方追诉的权利。</w:t>
      </w:r>
    </w:p>
    <w:p w14:paraId="1453C6A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10.1.1 乙方未能在合同规定的限期或甲方同意延长的限期内，提供全部或部分服务，按合同第7.1的规定可以解除合同的；</w:t>
      </w:r>
    </w:p>
    <w:p w14:paraId="15832EC5">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10.1.2 乙方未能履行合同规定义务，导致甲方无法实现合同目的的；</w:t>
      </w:r>
    </w:p>
    <w:p w14:paraId="28A86F56">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10.1.3 乙方未能履行合同规定的其它主要义务的；</w:t>
      </w:r>
    </w:p>
    <w:p w14:paraId="03B5075D">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10.1.4 在本合同履行过程中有腐败和欺诈行为的。</w:t>
      </w:r>
    </w:p>
    <w:p w14:paraId="3713F9DD">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10.1.4.1 “腐败行为”和“欺诈行为”定义如下:</w:t>
      </w:r>
    </w:p>
    <w:p w14:paraId="3FCC241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10.1.4.1.1 “腐败行为”是指提供/给予/接受或索取任何有价值的东西来影响甲方 在合同签订、履行过程中的行为。</w:t>
      </w:r>
    </w:p>
    <w:p w14:paraId="1ADD7803">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10.1.4.1.2 “欺诈行为”是指为了影响合同签订、履行过程，以谎报事实的方法，损害甲方的利益的行为。</w:t>
      </w:r>
    </w:p>
    <w:p w14:paraId="4E3BC68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10.2 在甲方根据上述第10.1条规定，全部或部分解除合同之后，应当遵循诚实信用原则，全部或部分购买与未交付的服务类似的服务，乙方应承担甲方购买类似服务而产生的额外支出。部分解除合同的，乙方应继续履行合同中未解除的部分。</w:t>
      </w:r>
    </w:p>
    <w:p w14:paraId="7C70F89E">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11、破产终止合同</w:t>
      </w:r>
    </w:p>
    <w:p w14:paraId="71EDAAC0">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11.1 如果乙方破产或无清偿能力，甲方可在任何时候以书面形式通知乙方，终止合同而不给乙方补偿，该终止合同将不损害或影响甲方已经采取或将要采取的任何行动或补救措施的权力。</w:t>
      </w:r>
    </w:p>
    <w:p w14:paraId="66771589">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12、争端的解决</w:t>
      </w:r>
    </w:p>
    <w:p w14:paraId="3D5C5CF9">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12.1合同实施或与合同有关的一切争端应通过双方协商解决。如果协商后不能解决，向甲方所在地人民法院提起诉讼。</w:t>
      </w:r>
    </w:p>
    <w:p w14:paraId="326B264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12.2在争端解决期间，除争端涉及的部分外，本合同其它部分应继续执行。</w:t>
      </w:r>
    </w:p>
    <w:p w14:paraId="3EDC4128">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13、通知</w:t>
      </w:r>
    </w:p>
    <w:p w14:paraId="034099B5">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13.1本合同任何一方给另一方的通知，都应以书面或电传/传真/电报的方式发送，而另一方应以书面形式确认并发送到对方明确的地址。</w:t>
      </w:r>
    </w:p>
    <w:p w14:paraId="1DC6F700">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14、计量单位</w:t>
      </w:r>
    </w:p>
    <w:p w14:paraId="46BA023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14.1 除技术规范中另有规定外，计量单位均使用国家法定计量单位。</w:t>
      </w:r>
    </w:p>
    <w:p w14:paraId="4ED51131">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15、适用法律</w:t>
      </w:r>
    </w:p>
    <w:p w14:paraId="3BB31674">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15.1 本合同应按照中华人民共和国的法律进行解释。</w:t>
      </w:r>
    </w:p>
    <w:p w14:paraId="1AC0CE66">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16、合同未尽事宜</w:t>
      </w:r>
    </w:p>
    <w:p w14:paraId="34987556">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16.1本合同未尽事宜按《中华人民共和国民典法》执行，或由甲乙双方另行协商签订书面补充协议。</w:t>
      </w:r>
    </w:p>
    <w:p w14:paraId="5F163F9B">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17、合同生效及其它</w:t>
      </w:r>
    </w:p>
    <w:p w14:paraId="2DDA318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17.1下列条件全部符合后，合同生效：</w:t>
      </w:r>
    </w:p>
    <w:p w14:paraId="6AB5EFA5">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(1)双方法定代表人或授权代表签字并加盖单位公章；</w:t>
      </w:r>
    </w:p>
    <w:p w14:paraId="005E0AAD">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w:t>
      </w:r>
      <w:r>
        <w:rPr>
          <w:rFonts w:hint="eastAsia" w:asciiTheme="minorEastAsia" w:hAnsiTheme="minorEastAsia" w:eastAsiaTheme="minorEastAsia" w:cstheme="minorEastAsia"/>
          <w:i w:val="0"/>
          <w:iCs w:val="0"/>
          <w:caps w:val="0"/>
          <w:color w:val="auto"/>
          <w:spacing w:val="14"/>
          <w:sz w:val="24"/>
          <w:szCs w:val="24"/>
          <w:highlight w:val="none"/>
          <w:shd w:val="clear"/>
        </w:rPr>
        <w:t>乙方应在合同签订后15个工作日内向甲方提交合同总价10%的履约保证金。验收合格后15个工作日内无息退还。</w:t>
      </w:r>
    </w:p>
    <w:p w14:paraId="5EFBAC16">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17.2下述合同附件为本合同不可分割的部分并与本合同具有同等效力：</w:t>
      </w:r>
    </w:p>
    <w:p w14:paraId="20D5809E">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 招标文件</w:t>
      </w:r>
    </w:p>
    <w:p w14:paraId="3A95A328">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 投标文件 (如被甲方接受)</w:t>
      </w:r>
    </w:p>
    <w:p w14:paraId="30D7EA7C">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(3) 中标/成交通知书</w:t>
      </w:r>
    </w:p>
    <w:p w14:paraId="2A9F1B58">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17.3 本合同一式 陆 份，具有同等法律效力。 甲方 叁 份，乙方 贰 份，采购代理机构 壹 份。</w:t>
      </w:r>
    </w:p>
    <w:p w14:paraId="7872632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17.4 本合同满足条款规定的生效条件后即生效，至双方均履行完各自的合同义务后终止。但有关违约、索赔及争端解决的条款除外。</w:t>
      </w:r>
    </w:p>
    <w:p w14:paraId="7F2E8020">
      <w:pPr>
        <w:keepNext w:val="0"/>
        <w:keepLines w:val="0"/>
        <w:pageBreakBefore w:val="0"/>
        <w:widowControl/>
        <w:kinsoku/>
        <w:wordWrap/>
        <w:overflowPunct/>
        <w:topLinePunct w:val="0"/>
        <w:autoSpaceDE/>
        <w:autoSpaceDN/>
        <w:bidi w:val="0"/>
        <w:adjustRightInd/>
        <w:snapToGrid/>
        <w:spacing w:line="240" w:lineRule="auto"/>
        <w:ind w:left="0" w:right="0" w:firstLine="0" w:firstLineChars="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br w:type="page"/>
      </w:r>
    </w:p>
    <w:p w14:paraId="4B014C50">
      <w:pPr>
        <w:pStyle w:val="2"/>
        <w:rPr>
          <w:rFonts w:hint="eastAsia"/>
          <w:lang w:val="en-US" w:eastAsia="zh-CN"/>
        </w:rPr>
      </w:pPr>
    </w:p>
    <w:p w14:paraId="4C940D97">
      <w:pPr>
        <w:keepNext w:val="0"/>
        <w:keepLines w:val="0"/>
        <w:pageBreakBefore w:val="0"/>
        <w:widowControl w:val="0"/>
        <w:kinsoku/>
        <w:wordWrap/>
        <w:overflowPunct/>
        <w:topLinePunct w:val="0"/>
        <w:autoSpaceDE/>
        <w:autoSpaceDN/>
        <w:bidi w:val="0"/>
        <w:adjustRightInd/>
        <w:snapToGrid/>
        <w:spacing w:line="360" w:lineRule="auto"/>
        <w:ind w:left="0" w:right="0" w:firstLine="696" w:firstLineChars="200"/>
        <w:jc w:val="center"/>
        <w:textAlignment w:val="auto"/>
        <w:rPr>
          <w:rFonts w:hint="eastAsia" w:ascii="方正小标宋简体" w:hAnsi="方正小标宋简体" w:eastAsia="方正小标宋简体" w:cs="方正小标宋简体"/>
          <w:color w:val="auto"/>
          <w:spacing w:val="14"/>
          <w:sz w:val="32"/>
          <w:szCs w:val="32"/>
          <w:highlight w:val="none"/>
          <w:lang w:val="en-US" w:eastAsia="zh-CN"/>
        </w:rPr>
      </w:pPr>
      <w:r>
        <w:rPr>
          <w:rFonts w:hint="eastAsia" w:ascii="方正小标宋简体" w:hAnsi="方正小标宋简体" w:eastAsia="方正小标宋简体" w:cs="方正小标宋简体"/>
          <w:color w:val="auto"/>
          <w:spacing w:val="14"/>
          <w:sz w:val="32"/>
          <w:szCs w:val="32"/>
          <w:highlight w:val="none"/>
          <w:lang w:val="en-US" w:eastAsia="zh-CN"/>
        </w:rPr>
        <w:t>合同特殊条款</w:t>
      </w:r>
    </w:p>
    <w:p w14:paraId="468E215D">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合同特殊条款是合同一般条款的补充和修改。如果两者之间有抵触，应以特殊条款为准。</w:t>
      </w:r>
    </w:p>
    <w:p w14:paraId="2D78C129">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一、定义</w:t>
      </w:r>
    </w:p>
    <w:p w14:paraId="469EFFB4">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1．甲方：系指与中标人签署合同的单位。</w:t>
      </w:r>
    </w:p>
    <w:p w14:paraId="3CD1C51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本合同甲方系指通州区生态环境局。</w:t>
      </w:r>
    </w:p>
    <w:p w14:paraId="0D2454EA">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2．乙方：系指根据合同约定提供相关服务的中标人</w:t>
      </w:r>
    </w:p>
    <w:p w14:paraId="03BE3881">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本合同乙方指：XXXXXXXXXXXXXXXX。</w:t>
      </w:r>
    </w:p>
    <w:p w14:paraId="571872C3">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3．“合同”系指甲乙双方签署的、合同格式中载明的甲乙双方所达成的协议，包括所有的附件、附录和构成合同的其它文件。</w:t>
      </w:r>
    </w:p>
    <w:p w14:paraId="0B2A5663">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4．“合同价”系指根据合同约定，乙方在完全履行合同义务后甲方应付给乙方的价格。</w:t>
      </w:r>
    </w:p>
    <w:p w14:paraId="317DA511">
      <w:pPr>
        <w:keepNext w:val="0"/>
        <w:keepLines w:val="0"/>
        <w:pageBreakBefore w:val="0"/>
        <w:widowControl w:val="0"/>
        <w:kinsoku/>
        <w:wordWrap/>
        <w:overflowPunct/>
        <w:topLinePunct w:val="0"/>
        <w:autoSpaceDE/>
        <w:autoSpaceDN/>
        <w:bidi w:val="0"/>
        <w:adjustRightInd/>
        <w:snapToGrid/>
        <w:spacing w:line="360" w:lineRule="auto"/>
        <w:ind w:left="0" w:right="0" w:firstLine="524"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黑体" w:hAnsi="黑体" w:eastAsia="黑体" w:cs="黑体"/>
          <w:spacing w:val="11"/>
          <w:position w:val="2"/>
          <w:sz w:val="24"/>
          <w:szCs w:val="24"/>
          <w:lang w:val="en-US" w:eastAsia="zh-CN"/>
        </w:rPr>
        <w:t>二、主要服务内容：</w:t>
      </w:r>
      <w:r>
        <w:rPr>
          <w:rFonts w:hint="eastAsia" w:asciiTheme="minorEastAsia" w:hAnsiTheme="minorEastAsia" w:eastAsiaTheme="minorEastAsia" w:cstheme="minorEastAsia"/>
          <w:color w:val="auto"/>
          <w:spacing w:val="14"/>
          <w:sz w:val="24"/>
          <w:szCs w:val="24"/>
          <w:highlight w:val="none"/>
          <w:lang w:val="en-US" w:eastAsia="zh-CN"/>
        </w:rPr>
        <w:t>详见招标文件。</w:t>
      </w:r>
    </w:p>
    <w:p w14:paraId="5730028A">
      <w:pPr>
        <w:keepNext w:val="0"/>
        <w:keepLines w:val="0"/>
        <w:pageBreakBefore w:val="0"/>
        <w:widowControl w:val="0"/>
        <w:kinsoku/>
        <w:wordWrap/>
        <w:overflowPunct/>
        <w:topLinePunct w:val="0"/>
        <w:autoSpaceDE/>
        <w:autoSpaceDN/>
        <w:bidi w:val="0"/>
        <w:adjustRightInd/>
        <w:snapToGrid/>
        <w:spacing w:line="360" w:lineRule="auto"/>
        <w:ind w:left="0" w:right="0" w:firstLine="524"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黑体" w:hAnsi="黑体" w:eastAsia="黑体" w:cs="黑体"/>
          <w:spacing w:val="11"/>
          <w:position w:val="2"/>
          <w:sz w:val="24"/>
          <w:szCs w:val="24"/>
          <w:lang w:val="en-US" w:eastAsia="zh-CN"/>
        </w:rPr>
        <w:t>三、服务期限：</w:t>
      </w:r>
      <w:r>
        <w:rPr>
          <w:rFonts w:hint="eastAsia" w:asciiTheme="minorEastAsia" w:hAnsiTheme="minorEastAsia" w:eastAsiaTheme="minorEastAsia" w:cstheme="minorEastAsia"/>
          <w:color w:val="auto"/>
          <w:spacing w:val="14"/>
          <w:sz w:val="24"/>
          <w:szCs w:val="24"/>
          <w:highlight w:val="none"/>
          <w:lang w:val="en-US" w:eastAsia="zh-CN"/>
        </w:rPr>
        <w:t>XXXXXXXXXXXXXXX  。</w:t>
      </w:r>
    </w:p>
    <w:p w14:paraId="04A5E667">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四、监督与审核</w:t>
      </w:r>
    </w:p>
    <w:p w14:paraId="6C8D1C2F">
      <w:pPr>
        <w:keepNext w:val="0"/>
        <w:keepLines w:val="0"/>
        <w:pageBreakBefore w:val="0"/>
        <w:widowControl w:val="0"/>
        <w:kinsoku/>
        <w:wordWrap/>
        <w:overflowPunct/>
        <w:topLinePunct w:val="0"/>
        <w:autoSpaceDE/>
        <w:autoSpaceDN/>
        <w:bidi w:val="0"/>
        <w:adjustRightInd/>
        <w:snapToGrid/>
        <w:spacing w:line="360" w:lineRule="auto"/>
        <w:ind w:left="0" w:right="0" w:firstLine="536" w:firstLineChars="200"/>
        <w:textAlignment w:val="auto"/>
        <w:rPr>
          <w:rFonts w:hint="eastAsia" w:asciiTheme="minorEastAsia" w:hAnsiTheme="minorEastAsia" w:eastAsiaTheme="minorEastAsia" w:cstheme="minorEastAsia"/>
          <w:color w:val="auto"/>
          <w:spacing w:val="14"/>
          <w:sz w:val="24"/>
          <w:szCs w:val="24"/>
          <w:highlight w:val="none"/>
          <w:lang w:val="en-US" w:eastAsia="zh-CN"/>
        </w:rPr>
      </w:pPr>
      <w:r>
        <w:rPr>
          <w:rFonts w:hint="eastAsia" w:asciiTheme="minorEastAsia" w:hAnsiTheme="minorEastAsia" w:eastAsiaTheme="minorEastAsia" w:cstheme="minorEastAsia"/>
          <w:color w:val="auto"/>
          <w:spacing w:val="14"/>
          <w:sz w:val="24"/>
          <w:szCs w:val="24"/>
          <w:highlight w:val="none"/>
          <w:lang w:val="en-US" w:eastAsia="zh-CN"/>
        </w:rPr>
        <w:t>甲方有权对乙方的工作进行监督和审核，如在监督或审核的过程中发现乙方工作有不当之处，甲方有权提出建议，乙方应予以适当考虑并采纳其中的合理建议。甲方有权对乙方工作成果进行抽样检查，以检验其工作的真实性和合理性。</w:t>
      </w:r>
    </w:p>
    <w:p w14:paraId="104A3D34">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五、违约责任</w:t>
      </w:r>
    </w:p>
    <w:p w14:paraId="166495F7">
      <w:pPr>
        <w:spacing w:line="360" w:lineRule="auto"/>
        <w:ind w:firstLine="536" w:firstLineChars="200"/>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lang w:val="en-US" w:eastAsia="zh-CN"/>
        </w:rPr>
        <w:t>1.</w:t>
      </w:r>
      <w:r>
        <w:rPr>
          <w:rFonts w:hint="eastAsia" w:asciiTheme="minorEastAsia" w:hAnsiTheme="minorEastAsia" w:eastAsiaTheme="minorEastAsia" w:cstheme="minorEastAsia"/>
          <w:color w:val="auto"/>
          <w:spacing w:val="14"/>
          <w:sz w:val="24"/>
          <w:szCs w:val="24"/>
          <w:highlight w:val="none"/>
        </w:rPr>
        <w:t>乙方应保证本项目监测相关数据真实、客观、完整，严禁发生监测数据篡改、原始数据造假、成果报告抄袭等弄虚作假行为。乙方投入本项目的技术人员、仪器设备应当与投标文件承诺保持一致，未经甲方书面同意，不得擅自更换项目核心人员、降低设备配置标准；未经甲方书面许可，乙方不得将本合同项下全部或部分工作擅自转包、分包给第三方。项目实施全过程，乙方应当严格遵照国家及行业现行标准规范开展工作，落实各环节质量控制要求，保障项目成果合规可用。</w:t>
      </w:r>
    </w:p>
    <w:p w14:paraId="3F2C5377">
      <w:pPr>
        <w:spacing w:line="360" w:lineRule="auto"/>
        <w:ind w:firstLine="536" w:firstLineChars="200"/>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lang w:val="en-US" w:eastAsia="zh-CN"/>
        </w:rPr>
        <w:t>2.</w:t>
      </w:r>
      <w:r>
        <w:rPr>
          <w:rFonts w:hint="eastAsia" w:asciiTheme="minorEastAsia" w:hAnsiTheme="minorEastAsia" w:eastAsiaTheme="minorEastAsia" w:cstheme="minorEastAsia"/>
          <w:color w:val="auto"/>
          <w:spacing w:val="14"/>
          <w:sz w:val="24"/>
          <w:szCs w:val="24"/>
          <w:highlight w:val="none"/>
        </w:rPr>
        <w:t>乙方应当积极配合财政、审计、纪检监察等部门开展审计、核查及监督检查工作，按照甲方及检查部门的时限要求，如实、完整提供原始凭证、项目台账、原始监测数据、人员社保缴纳记录、仪器设备运行记录及其他相关佐证资料。若乙方无故拖延、拒绝提供资料，造成审计或核查工作无法正常开展的，甲方有权暂缓支付项目尾款，并由乙方承担该情形下对应的违约责任。</w:t>
      </w:r>
    </w:p>
    <w:p w14:paraId="13AC6661">
      <w:pPr>
        <w:spacing w:line="360" w:lineRule="auto"/>
        <w:ind w:firstLine="536" w:firstLineChars="200"/>
        <w:rPr>
          <w:rFonts w:hint="eastAsia" w:asciiTheme="minorEastAsia" w:hAnsiTheme="minorEastAsia" w:eastAsiaTheme="minorEastAsia" w:cstheme="minorEastAsia"/>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lang w:val="en-US" w:eastAsia="zh-CN"/>
        </w:rPr>
        <w:t>3.</w:t>
      </w:r>
      <w:r>
        <w:rPr>
          <w:rFonts w:hint="eastAsia" w:asciiTheme="minorEastAsia" w:hAnsiTheme="minorEastAsia" w:eastAsiaTheme="minorEastAsia" w:cstheme="minorEastAsia"/>
          <w:color w:val="auto"/>
          <w:spacing w:val="14"/>
          <w:sz w:val="24"/>
          <w:szCs w:val="24"/>
          <w:highlight w:val="none"/>
        </w:rPr>
        <w:t>乙方出现上述任一违约情形的，甲方有权向乙方发出书面整改通知，乙方应在甲方指定期限内完成整改，并自行承担全部整改、返工相关成本。因乙方违约，甲方有权视违约情节，要求乙方支付合同总价款5%的违约金，违约金累计总额不超过合同总价款</w:t>
      </w:r>
      <w:r>
        <w:rPr>
          <w:rFonts w:hint="eastAsia" w:asciiTheme="minorEastAsia" w:hAnsiTheme="minorEastAsia" w:eastAsiaTheme="minorEastAsia" w:cstheme="minorEastAsia"/>
          <w:color w:val="auto"/>
          <w:spacing w:val="14"/>
          <w:sz w:val="24"/>
          <w:szCs w:val="24"/>
          <w:highlight w:val="none"/>
          <w:lang w:val="en-US" w:eastAsia="zh-CN"/>
        </w:rPr>
        <w:t>10%</w:t>
      </w:r>
      <w:r>
        <w:rPr>
          <w:rFonts w:hint="eastAsia" w:asciiTheme="minorEastAsia" w:hAnsiTheme="minorEastAsia" w:eastAsiaTheme="minorEastAsia" w:cstheme="minorEastAsia"/>
          <w:color w:val="auto"/>
          <w:spacing w:val="14"/>
          <w:sz w:val="24"/>
          <w:szCs w:val="24"/>
          <w:highlight w:val="none"/>
        </w:rPr>
        <w:t>。</w:t>
      </w:r>
    </w:p>
    <w:p w14:paraId="5090A052">
      <w:pPr>
        <w:keepNext w:val="0"/>
        <w:keepLines w:val="0"/>
        <w:pageBreakBefore w:val="0"/>
        <w:widowControl w:val="0"/>
        <w:kinsoku/>
        <w:wordWrap/>
        <w:overflowPunct/>
        <w:topLinePunct w:val="0"/>
        <w:autoSpaceDE/>
        <w:autoSpaceDN/>
        <w:bidi w:val="0"/>
        <w:adjustRightInd w:val="0"/>
        <w:snapToGrid w:val="0"/>
        <w:spacing w:afterLines="0" w:line="560" w:lineRule="exact"/>
        <w:ind w:left="0" w:right="0" w:firstLine="524" w:firstLineChars="200"/>
        <w:textAlignment w:val="auto"/>
        <w:rPr>
          <w:rFonts w:hint="eastAsia" w:ascii="黑体" w:hAnsi="黑体" w:eastAsia="黑体" w:cs="黑体"/>
          <w:spacing w:val="11"/>
          <w:position w:val="2"/>
          <w:sz w:val="24"/>
          <w:szCs w:val="24"/>
          <w:lang w:val="en-US" w:eastAsia="zh-CN"/>
        </w:rPr>
      </w:pPr>
      <w:r>
        <w:rPr>
          <w:rFonts w:hint="eastAsia" w:ascii="黑体" w:hAnsi="黑体" w:eastAsia="黑体" w:cs="黑体"/>
          <w:spacing w:val="11"/>
          <w:position w:val="2"/>
          <w:sz w:val="24"/>
          <w:szCs w:val="24"/>
          <w:lang w:val="en-US" w:eastAsia="zh-CN"/>
        </w:rPr>
        <w:t>六、不可抗力</w:t>
      </w:r>
    </w:p>
    <w:p w14:paraId="268A19AC">
      <w:pPr>
        <w:ind w:firstLine="536" w:firstLineChars="200"/>
        <w:rPr>
          <w:rFonts w:hint="eastAsia" w:asciiTheme="minorEastAsia" w:hAnsiTheme="minorEastAsia" w:eastAsiaTheme="minorEastAsia" w:cstheme="minorEastAsia"/>
          <w:i w:val="0"/>
          <w:iCs w:val="0"/>
          <w:color w:val="auto"/>
          <w:spacing w:val="14"/>
          <w:sz w:val="24"/>
          <w:szCs w:val="24"/>
          <w:highlight w:val="none"/>
        </w:rPr>
      </w:pPr>
      <w:r>
        <w:rPr>
          <w:rFonts w:hint="eastAsia" w:asciiTheme="minorEastAsia" w:hAnsiTheme="minorEastAsia" w:eastAsiaTheme="minorEastAsia" w:cstheme="minorEastAsia"/>
          <w:color w:val="auto"/>
          <w:spacing w:val="14"/>
          <w:sz w:val="24"/>
          <w:szCs w:val="24"/>
          <w:highlight w:val="none"/>
          <w:lang w:val="en-US" w:eastAsia="zh-CN"/>
        </w:rPr>
        <w:t>不可抗力通知送达时间：事故发生后7天内。</w:t>
      </w:r>
    </w:p>
    <w:p w14:paraId="7E7446CC">
      <w:pPr>
        <w:pageBreakBefore w:val="0"/>
        <w:wordWrap/>
        <w:topLinePunct w:val="0"/>
        <w:bidi w:val="0"/>
        <w:spacing w:line="360" w:lineRule="auto"/>
        <w:ind w:firstLine="536" w:firstLineChars="200"/>
        <w:rPr>
          <w:rFonts w:hint="eastAsia" w:asciiTheme="minorEastAsia" w:hAnsiTheme="minorEastAsia" w:eastAsiaTheme="minorEastAsia" w:cstheme="minorEastAsia"/>
          <w:i w:val="0"/>
          <w:iCs w:val="0"/>
          <w:color w:val="auto"/>
          <w:spacing w:val="14"/>
          <w:sz w:val="24"/>
          <w:szCs w:val="24"/>
          <w:highlight w:val="none"/>
          <w:lang w:eastAsia="zh-CN"/>
        </w:rPr>
      </w:pPr>
    </w:p>
    <w:p w14:paraId="63CAE365">
      <w:pPr>
        <w:pageBreakBefore w:val="0"/>
        <w:wordWrap/>
        <w:topLinePunct w:val="0"/>
        <w:bidi w:val="0"/>
        <w:spacing w:line="360" w:lineRule="auto"/>
        <w:jc w:val="center"/>
        <w:outlineLvl w:val="0"/>
        <w:rPr>
          <w:rFonts w:hint="eastAsia" w:ascii="宋体" w:hAnsi="宋体" w:eastAsia="宋体" w:cs="宋体"/>
          <w:b/>
          <w:i w:val="0"/>
          <w:iCs w:val="0"/>
          <w:color w:val="auto"/>
          <w:spacing w:val="0"/>
          <w:position w:val="0"/>
          <w:sz w:val="36"/>
          <w:szCs w:val="36"/>
          <w:highlight w:val="none"/>
        </w:rPr>
      </w:pPr>
      <w:r>
        <w:rPr>
          <w:rFonts w:hint="eastAsia" w:asciiTheme="minorEastAsia" w:hAnsiTheme="minorEastAsia" w:eastAsiaTheme="minorEastAsia" w:cstheme="minorEastAsia"/>
          <w:b/>
          <w:i w:val="0"/>
          <w:iCs w:val="0"/>
          <w:color w:val="auto"/>
          <w:spacing w:val="0"/>
          <w:position w:val="0"/>
          <w:sz w:val="24"/>
          <w:szCs w:val="24"/>
          <w:highlight w:val="none"/>
        </w:rPr>
        <w:br w:type="page"/>
      </w:r>
      <w:bookmarkStart w:id="908" w:name="_Toc10315"/>
      <w:r>
        <w:rPr>
          <w:rFonts w:hint="eastAsia" w:ascii="宋体" w:hAnsi="宋体" w:eastAsia="宋体" w:cs="宋体"/>
          <w:b/>
          <w:i w:val="0"/>
          <w:iCs w:val="0"/>
          <w:color w:val="auto"/>
          <w:spacing w:val="0"/>
          <w:position w:val="0"/>
          <w:sz w:val="36"/>
          <w:szCs w:val="36"/>
          <w:highlight w:val="none"/>
        </w:rPr>
        <w:t>第七章   投标文件格式</w:t>
      </w:r>
      <w:bookmarkEnd w:id="908"/>
    </w:p>
    <w:p w14:paraId="51972263">
      <w:pPr>
        <w:pageBreakBefore w:val="0"/>
        <w:tabs>
          <w:tab w:val="left" w:pos="900"/>
          <w:tab w:val="left" w:pos="1980"/>
        </w:tabs>
        <w:wordWrap/>
        <w:topLinePunct w:val="0"/>
        <w:bidi w:val="0"/>
        <w:snapToGrid w:val="0"/>
        <w:spacing w:line="360" w:lineRule="auto"/>
        <w:ind w:left="142"/>
        <w:rPr>
          <w:rFonts w:hint="eastAsia" w:ascii="宋体" w:hAnsi="宋体" w:eastAsia="宋体" w:cs="宋体"/>
          <w:b/>
          <w:i w:val="0"/>
          <w:iCs w:val="0"/>
          <w:color w:val="auto"/>
          <w:spacing w:val="0"/>
          <w:position w:val="0"/>
          <w:sz w:val="24"/>
          <w:highlight w:val="none"/>
        </w:rPr>
      </w:pPr>
    </w:p>
    <w:p w14:paraId="5FD99A70">
      <w:pPr>
        <w:pageBreakBefore w:val="0"/>
        <w:tabs>
          <w:tab w:val="left" w:pos="900"/>
          <w:tab w:val="left" w:pos="1980"/>
        </w:tabs>
        <w:wordWrap/>
        <w:topLinePunct w:val="0"/>
        <w:bidi w:val="0"/>
        <w:snapToGrid w:val="0"/>
        <w:spacing w:line="360" w:lineRule="auto"/>
        <w:ind w:left="142"/>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投标人编制文件须知</w:t>
      </w:r>
    </w:p>
    <w:p w14:paraId="56EB6BB7">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1.</w:t>
      </w:r>
      <w:r>
        <w:rPr>
          <w:rFonts w:hint="eastAsia" w:ascii="宋体" w:hAnsi="宋体" w:eastAsia="宋体" w:cs="宋体"/>
          <w:i w:val="0"/>
          <w:iCs w:val="0"/>
          <w:color w:val="auto"/>
          <w:spacing w:val="0"/>
          <w:position w:val="0"/>
          <w:sz w:val="24"/>
          <w:highlight w:val="none"/>
        </w:rPr>
        <w:t>投标人按照本部分的顺序编制投标文件（资格证明文件）、投标文件（商务技术文件），编制中涉及格式资料的，应按照本部分提供的内容和格式（所有表格的格式可扩展）填写提交。</w:t>
      </w:r>
    </w:p>
    <w:p w14:paraId="1236ED3F">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szCs w:val="24"/>
          <w:highlight w:val="none"/>
          <w:lang w:val="en-US" w:eastAsia="zh-CN" w:bidi="ar-SA"/>
        </w:rPr>
        <w:t>2.</w:t>
      </w:r>
      <w:r>
        <w:rPr>
          <w:rFonts w:hint="eastAsia" w:ascii="宋体" w:hAnsi="宋体" w:eastAsia="宋体" w:cs="宋体"/>
          <w:i w:val="0"/>
          <w:iCs w:val="0"/>
          <w:color w:val="auto"/>
          <w:spacing w:val="0"/>
          <w:kern w:val="0"/>
          <w:position w:val="0"/>
          <w:sz w:val="24"/>
          <w:highlight w:val="none"/>
        </w:rPr>
        <w:t>对于招标文件中标记了“实质性格式”文件的，</w:t>
      </w:r>
      <w:r>
        <w:rPr>
          <w:rFonts w:hint="eastAsia" w:ascii="宋体" w:hAnsi="宋体" w:eastAsia="宋体" w:cs="宋体"/>
          <w:i w:val="0"/>
          <w:iCs w:val="0"/>
          <w:color w:val="auto"/>
          <w:spacing w:val="0"/>
          <w:position w:val="0"/>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eastAsia="宋体" w:cs="宋体"/>
          <w:i w:val="0"/>
          <w:iCs w:val="0"/>
          <w:color w:val="auto"/>
          <w:spacing w:val="0"/>
          <w:kern w:val="0"/>
          <w:position w:val="0"/>
          <w:sz w:val="24"/>
          <w:highlight w:val="none"/>
        </w:rPr>
        <w:t>否则</w:t>
      </w:r>
      <w:r>
        <w:rPr>
          <w:rFonts w:hint="eastAsia" w:ascii="宋体" w:hAnsi="宋体" w:eastAsia="宋体" w:cs="宋体"/>
          <w:b/>
          <w:i w:val="0"/>
          <w:iCs w:val="0"/>
          <w:color w:val="auto"/>
          <w:spacing w:val="0"/>
          <w:kern w:val="0"/>
          <w:position w:val="0"/>
          <w:sz w:val="24"/>
          <w:highlight w:val="none"/>
        </w:rPr>
        <w:t>投标无效</w:t>
      </w:r>
      <w:r>
        <w:rPr>
          <w:rFonts w:hint="eastAsia" w:ascii="宋体" w:hAnsi="宋体" w:eastAsia="宋体" w:cs="宋体"/>
          <w:i w:val="0"/>
          <w:iCs w:val="0"/>
          <w:color w:val="auto"/>
          <w:spacing w:val="0"/>
          <w:kern w:val="0"/>
          <w:position w:val="0"/>
          <w:sz w:val="24"/>
          <w:highlight w:val="none"/>
        </w:rPr>
        <w:t>。未标记“实质性格式”的文件和招标文件未提供格式的内容，可由投标人自行编写。</w:t>
      </w:r>
    </w:p>
    <w:p w14:paraId="4C004B64">
      <w:pPr>
        <w:keepNext w:val="0"/>
        <w:keepLines w:val="0"/>
        <w:pageBreakBefore w:val="0"/>
        <w:widowControl w:val="0"/>
        <w:numPr>
          <w:ilvl w:val="0"/>
          <w:numId w:val="0"/>
        </w:numPr>
        <w:tabs>
          <w:tab w:val="left" w:pos="900"/>
          <w:tab w:val="left" w:pos="1980"/>
        </w:tabs>
        <w:kinsoku/>
        <w:wordWrap/>
        <w:overflowPunct/>
        <w:topLinePunct w:val="0"/>
        <w:autoSpaceDE/>
        <w:autoSpaceDN/>
        <w:bidi w:val="0"/>
        <w:adjustRightInd/>
        <w:snapToGrid w:val="0"/>
        <w:spacing w:line="360" w:lineRule="auto"/>
        <w:ind w:left="240" w:leftChars="0" w:hanging="240" w:hangingChars="1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2"/>
          <w:position w:val="0"/>
          <w:sz w:val="24"/>
          <w:szCs w:val="24"/>
          <w:highlight w:val="none"/>
          <w:lang w:val="en-US" w:eastAsia="zh-CN" w:bidi="ar-SA"/>
        </w:rPr>
        <w:t>3.</w:t>
      </w:r>
      <w:r>
        <w:rPr>
          <w:rFonts w:hint="eastAsia" w:ascii="宋体" w:hAnsi="宋体" w:eastAsia="宋体" w:cs="宋体"/>
          <w:i w:val="0"/>
          <w:iCs w:val="0"/>
          <w:color w:val="auto"/>
          <w:spacing w:val="0"/>
          <w:position w:val="0"/>
          <w:sz w:val="24"/>
          <w:highlight w:val="none"/>
        </w:rPr>
        <w:t>全部声明和问题的回答及所附材料必须是真实的、准确的和完整的。</w:t>
      </w:r>
    </w:p>
    <w:p w14:paraId="617BB882">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14:paraId="02E9AE26">
      <w:pPr>
        <w:keepNext/>
        <w:keepLines/>
        <w:pageBreakBefore w:val="0"/>
        <w:wordWrap/>
        <w:topLinePunct w:val="0"/>
        <w:autoSpaceDE w:val="0"/>
        <w:autoSpaceDN w:val="0"/>
        <w:bidi w:val="0"/>
        <w:adjustRightInd w:val="0"/>
        <w:spacing w:before="120" w:line="360" w:lineRule="auto"/>
        <w:jc w:val="left"/>
        <w:outlineLvl w:val="1"/>
        <w:rPr>
          <w:rFonts w:hint="eastAsia" w:ascii="宋体" w:hAnsi="宋体" w:eastAsia="宋体" w:cs="宋体"/>
          <w:b/>
          <w:i w:val="0"/>
          <w:iCs w:val="0"/>
          <w:color w:val="auto"/>
          <w:spacing w:val="0"/>
          <w:kern w:val="0"/>
          <w:position w:val="0"/>
          <w:sz w:val="30"/>
          <w:szCs w:val="20"/>
          <w:highlight w:val="none"/>
        </w:rPr>
      </w:pPr>
      <w:r>
        <w:rPr>
          <w:rFonts w:hint="eastAsia" w:ascii="宋体" w:hAnsi="宋体" w:eastAsia="宋体" w:cs="宋体"/>
          <w:b/>
          <w:i w:val="0"/>
          <w:iCs w:val="0"/>
          <w:color w:val="auto"/>
          <w:spacing w:val="0"/>
          <w:position w:val="0"/>
          <w:sz w:val="24"/>
          <w:highlight w:val="none"/>
        </w:rPr>
        <w:t>一、资格证明文件格式</w:t>
      </w:r>
    </w:p>
    <w:p w14:paraId="6B818A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Cs w:val="21"/>
          <w:highlight w:val="none"/>
        </w:rPr>
      </w:pPr>
    </w:p>
    <w:p w14:paraId="3E8AE3A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投标文件（资格证明文件）封面（非实质性格式）</w:t>
      </w:r>
    </w:p>
    <w:p w14:paraId="126CB1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255FF50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5C1E27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6EEE17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44826AB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60655B3D">
      <w:pPr>
        <w:pageBreakBefore w:val="0"/>
        <w:wordWrap/>
        <w:topLinePunct w:val="0"/>
        <w:bidi w:val="0"/>
        <w:spacing w:line="360" w:lineRule="auto"/>
        <w:jc w:val="both"/>
        <w:rPr>
          <w:rFonts w:hint="eastAsia" w:ascii="宋体" w:hAnsi="宋体" w:eastAsia="宋体" w:cs="宋体"/>
          <w:i w:val="0"/>
          <w:iCs w:val="0"/>
          <w:color w:val="auto"/>
          <w:spacing w:val="0"/>
          <w:position w:val="0"/>
          <w:szCs w:val="21"/>
          <w:highlight w:val="none"/>
        </w:rPr>
      </w:pPr>
    </w:p>
    <w:p w14:paraId="7BBA9670">
      <w:pPr>
        <w:pageBreakBefore w:val="0"/>
        <w:wordWrap/>
        <w:topLinePunct w:val="0"/>
        <w:bidi w:val="0"/>
        <w:spacing w:line="360" w:lineRule="auto"/>
        <w:jc w:val="center"/>
        <w:rPr>
          <w:rFonts w:hint="eastAsia" w:ascii="宋体" w:hAnsi="宋体" w:eastAsia="宋体" w:cs="宋体"/>
          <w:b/>
          <w:i w:val="0"/>
          <w:iCs w:val="0"/>
          <w:color w:val="auto"/>
          <w:spacing w:val="0"/>
          <w:position w:val="0"/>
          <w:sz w:val="84"/>
          <w:szCs w:val="84"/>
          <w:highlight w:val="none"/>
        </w:rPr>
      </w:pPr>
      <w:r>
        <w:rPr>
          <w:rFonts w:hint="eastAsia" w:ascii="宋体" w:hAnsi="宋体" w:eastAsia="宋体" w:cs="宋体"/>
          <w:b/>
          <w:i w:val="0"/>
          <w:iCs w:val="0"/>
          <w:color w:val="auto"/>
          <w:spacing w:val="0"/>
          <w:position w:val="0"/>
          <w:sz w:val="84"/>
          <w:szCs w:val="84"/>
          <w:highlight w:val="none"/>
        </w:rPr>
        <w:t>投 标 文 件</w:t>
      </w:r>
    </w:p>
    <w:p w14:paraId="1A517925">
      <w:pPr>
        <w:pageBreakBefore w:val="0"/>
        <w:wordWrap/>
        <w:topLinePunct w:val="0"/>
        <w:bidi w:val="0"/>
        <w:spacing w:line="360" w:lineRule="auto"/>
        <w:jc w:val="center"/>
        <w:rPr>
          <w:rFonts w:hint="eastAsia" w:ascii="宋体" w:hAnsi="宋体" w:eastAsia="宋体" w:cs="宋体"/>
          <w:b/>
          <w:i w:val="0"/>
          <w:iCs w:val="0"/>
          <w:color w:val="auto"/>
          <w:spacing w:val="0"/>
          <w:position w:val="0"/>
          <w:sz w:val="52"/>
          <w:szCs w:val="52"/>
          <w:highlight w:val="none"/>
        </w:rPr>
      </w:pPr>
      <w:r>
        <w:rPr>
          <w:rFonts w:hint="eastAsia" w:ascii="宋体" w:hAnsi="宋体" w:eastAsia="宋体" w:cs="宋体"/>
          <w:b/>
          <w:i w:val="0"/>
          <w:iCs w:val="0"/>
          <w:color w:val="auto"/>
          <w:spacing w:val="0"/>
          <w:position w:val="0"/>
          <w:sz w:val="52"/>
          <w:szCs w:val="52"/>
          <w:highlight w:val="none"/>
        </w:rPr>
        <w:t>（资格证明文件）</w:t>
      </w:r>
    </w:p>
    <w:p w14:paraId="65426FA7">
      <w:pPr>
        <w:pageBreakBefore w:val="0"/>
        <w:wordWrap/>
        <w:topLinePunct w:val="0"/>
        <w:bidi w:val="0"/>
        <w:spacing w:line="360" w:lineRule="auto"/>
        <w:rPr>
          <w:rFonts w:hint="eastAsia" w:ascii="宋体" w:hAnsi="宋体" w:eastAsia="宋体" w:cs="宋体"/>
          <w:b/>
          <w:i w:val="0"/>
          <w:iCs w:val="0"/>
          <w:color w:val="auto"/>
          <w:spacing w:val="0"/>
          <w:position w:val="0"/>
          <w:sz w:val="32"/>
          <w:szCs w:val="32"/>
          <w:highlight w:val="none"/>
        </w:rPr>
      </w:pPr>
    </w:p>
    <w:p w14:paraId="7128ACD5">
      <w:pPr>
        <w:pageBreakBefore w:val="0"/>
        <w:wordWrap/>
        <w:topLinePunct w:val="0"/>
        <w:bidi w:val="0"/>
        <w:spacing w:line="360" w:lineRule="auto"/>
        <w:rPr>
          <w:rFonts w:hint="eastAsia" w:ascii="宋体" w:hAnsi="宋体" w:eastAsia="宋体" w:cs="宋体"/>
          <w:b/>
          <w:i w:val="0"/>
          <w:iCs w:val="0"/>
          <w:color w:val="auto"/>
          <w:spacing w:val="0"/>
          <w:position w:val="0"/>
          <w:sz w:val="32"/>
          <w:szCs w:val="32"/>
          <w:highlight w:val="none"/>
        </w:rPr>
      </w:pPr>
    </w:p>
    <w:p w14:paraId="7AFAA421">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lang w:eastAsia="zh-CN"/>
        </w:rPr>
      </w:pPr>
      <w:r>
        <w:rPr>
          <w:rFonts w:hint="eastAsia" w:ascii="宋体" w:hAnsi="宋体" w:eastAsia="宋体" w:cs="宋体"/>
          <w:b/>
          <w:i w:val="0"/>
          <w:iCs w:val="0"/>
          <w:color w:val="auto"/>
          <w:spacing w:val="0"/>
          <w:position w:val="0"/>
          <w:sz w:val="32"/>
          <w:szCs w:val="32"/>
          <w:highlight w:val="none"/>
        </w:rPr>
        <w:t>项目名称</w:t>
      </w:r>
      <w:r>
        <w:rPr>
          <w:rFonts w:hint="eastAsia" w:ascii="宋体" w:hAnsi="宋体" w:eastAsia="宋体" w:cs="宋体"/>
          <w:b/>
          <w:i w:val="0"/>
          <w:iCs w:val="0"/>
          <w:color w:val="auto"/>
          <w:spacing w:val="0"/>
          <w:position w:val="0"/>
          <w:sz w:val="32"/>
          <w:szCs w:val="32"/>
          <w:highlight w:val="none"/>
          <w:lang w:eastAsia="zh-CN"/>
        </w:rPr>
        <w:t>：</w:t>
      </w:r>
    </w:p>
    <w:p w14:paraId="16109F2B">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项目编号/包号：</w:t>
      </w:r>
    </w:p>
    <w:p w14:paraId="76AC3EA5">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76E8E757">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13DE0C4A">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246DC76">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67D76231">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514BAE6A">
      <w:pPr>
        <w:pageBreakBefore w:val="0"/>
        <w:wordWrap/>
        <w:topLinePunct w:val="0"/>
        <w:bidi w:val="0"/>
        <w:spacing w:line="360" w:lineRule="auto"/>
        <w:ind w:firstLine="1285" w:firstLineChars="400"/>
        <w:jc w:val="left"/>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投标人名称：</w:t>
      </w:r>
    </w:p>
    <w:p w14:paraId="153737AC">
      <w:pPr>
        <w:pageBreakBefore w:val="0"/>
        <w:wordWrap/>
        <w:topLinePunct w:val="0"/>
        <w:bidi w:val="0"/>
        <w:spacing w:line="360" w:lineRule="auto"/>
        <w:rPr>
          <w:rFonts w:hint="eastAsia" w:ascii="宋体" w:hAnsi="宋体" w:eastAsia="宋体" w:cs="宋体"/>
          <w:b/>
          <w:i w:val="0"/>
          <w:iCs w:val="0"/>
          <w:color w:val="auto"/>
          <w:spacing w:val="0"/>
          <w:position w:val="0"/>
          <w:highlight w:val="none"/>
        </w:rPr>
      </w:pPr>
      <w:r>
        <w:rPr>
          <w:rFonts w:hint="eastAsia" w:ascii="宋体" w:hAnsi="宋体" w:eastAsia="宋体" w:cs="宋体"/>
          <w:b/>
          <w:i w:val="0"/>
          <w:iCs w:val="0"/>
          <w:color w:val="auto"/>
          <w:spacing w:val="0"/>
          <w:position w:val="0"/>
          <w:sz w:val="32"/>
          <w:szCs w:val="32"/>
          <w:highlight w:val="none"/>
        </w:rPr>
        <w:br w:type="page"/>
      </w:r>
    </w:p>
    <w:p w14:paraId="611C03DA">
      <w:pPr>
        <w:pageBreakBefore w:val="0"/>
        <w:numPr>
          <w:ilvl w:val="0"/>
          <w:numId w:val="12"/>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highlight w:val="none"/>
        </w:rPr>
        <w:t>满足《中华人民共和国政府采购法》第二十二条规定</w:t>
      </w:r>
    </w:p>
    <w:p w14:paraId="23433F7F">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1-1 营业执照等证明文件</w:t>
      </w:r>
    </w:p>
    <w:p w14:paraId="0FF9CDC8">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20C9F669">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2FA2A22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63D05F9A">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522D083D">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49180EFE">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1159692F">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401AB15">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9E3E0F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30F3AF14">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5363564B">
      <w:pPr>
        <w:keepNext w:val="0"/>
        <w:keepLines w:val="0"/>
        <w:pageBreakBefore w:val="0"/>
        <w:widowControl w:val="0"/>
        <w:tabs>
          <w:tab w:val="left" w:pos="1080"/>
        </w:tabs>
        <w:kinsoku/>
        <w:wordWrap/>
        <w:overflowPunct/>
        <w:topLinePunct w:val="0"/>
        <w:autoSpaceDE/>
        <w:autoSpaceDN/>
        <w:bidi w:val="0"/>
        <w:adjustRightInd/>
        <w:snapToGrid w:val="0"/>
        <w:spacing w:line="360" w:lineRule="auto"/>
        <w:textAlignment w:val="auto"/>
        <w:rPr>
          <w:rFonts w:hint="eastAsia" w:ascii="宋体" w:hAnsi="宋体" w:eastAsia="宋体" w:cs="宋体"/>
          <w:i w:val="0"/>
          <w:iCs w:val="0"/>
          <w:color w:val="auto"/>
          <w:spacing w:val="0"/>
          <w:position w:val="0"/>
          <w:sz w:val="24"/>
          <w:highlight w:val="none"/>
        </w:rPr>
      </w:pPr>
    </w:p>
    <w:p w14:paraId="7A3438CE">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highlight w:val="none"/>
        </w:rPr>
        <w:br w:type="page"/>
      </w:r>
    </w:p>
    <w:p w14:paraId="38640244">
      <w:pPr>
        <w:pStyle w:val="5"/>
        <w:pageBreakBefore w:val="0"/>
        <w:wordWrap/>
        <w:topLinePunct w:val="0"/>
        <w:bidi w:val="0"/>
        <w:spacing w:line="360" w:lineRule="auto"/>
        <w:rPr>
          <w:rFonts w:hint="eastAsia" w:ascii="宋体" w:hAnsi="宋体" w:eastAsia="宋体" w:cs="宋体"/>
          <w:b w:val="0"/>
          <w:bCs/>
          <w:i w:val="0"/>
          <w:iCs w:val="0"/>
          <w:color w:val="auto"/>
          <w:spacing w:val="0"/>
          <w:position w:val="0"/>
          <w:highlight w:val="none"/>
          <w:u w:val="none"/>
        </w:rPr>
      </w:pPr>
      <w:r>
        <w:rPr>
          <w:rFonts w:hint="eastAsia" w:ascii="宋体" w:hAnsi="宋体" w:eastAsia="宋体" w:cs="宋体"/>
          <w:b w:val="0"/>
          <w:i w:val="0"/>
          <w:iCs w:val="0"/>
          <w:color w:val="auto"/>
          <w:spacing w:val="0"/>
          <w:position w:val="0"/>
          <w:highlight w:val="none"/>
          <w:u w:val="none"/>
        </w:rPr>
        <w:t>1-2 投标人资格声明书</w:t>
      </w:r>
    </w:p>
    <w:p w14:paraId="01DBC9A4">
      <w:pPr>
        <w:pageBreakBefore w:val="0"/>
        <w:wordWrap/>
        <w:topLinePunct w:val="0"/>
        <w:bidi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36"/>
          <w:szCs w:val="36"/>
          <w:highlight w:val="none"/>
        </w:rPr>
        <w:t>投标人资格声明书</w:t>
      </w:r>
    </w:p>
    <w:p w14:paraId="289FB4CF">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5611B857">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在参与本次项目投标中，我单位承诺：</w:t>
      </w:r>
    </w:p>
    <w:p w14:paraId="546EBB74">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具有良好的商业信誉和健全的财务会计制度；</w:t>
      </w:r>
    </w:p>
    <w:p w14:paraId="39F8B1CA">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具有履行合同所必需的设备和专业技术能力；</w:t>
      </w:r>
    </w:p>
    <w:p w14:paraId="385FE7C7">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有依法缴纳税收和社会保障资金的良好记录；</w:t>
      </w:r>
    </w:p>
    <w:p w14:paraId="3A4F3878">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7B65A14">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我单位不属于政府采购法律、行政法规规定的公益一类事业单位、或使用事业编制且由财政拨款保障的群团组织（仅适用于政府购买服务项目）；</w:t>
      </w:r>
    </w:p>
    <w:p w14:paraId="256349AF">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我单位不存在为采购项目提供整体设计、规范编制或者项目管理、监理、检测等服务后，再参加该采购项目的其他采购活动的情形（单一来源采购项目除外）；</w:t>
      </w:r>
    </w:p>
    <w:p w14:paraId="7D78D418">
      <w:pPr>
        <w:pageBreakBefore w:val="0"/>
        <w:numPr>
          <w:ilvl w:val="0"/>
          <w:numId w:val="13"/>
        </w:numPr>
        <w:wordWrap/>
        <w:topLinePunct w:val="0"/>
        <w:bidi w:val="0"/>
        <w:spacing w:line="360" w:lineRule="auto"/>
        <w:ind w:left="1134"/>
        <w:rPr>
          <w:rFonts w:hint="eastAsia" w:ascii="宋体" w:hAnsi="宋体" w:eastAsia="宋体" w:cs="宋体"/>
          <w:i w:val="0"/>
          <w:iCs w:val="0"/>
          <w:color w:val="auto"/>
          <w:spacing w:val="0"/>
          <w:position w:val="0"/>
          <w:sz w:val="24"/>
          <w:szCs w:val="22"/>
          <w:highlight w:val="none"/>
        </w:rPr>
      </w:pPr>
      <w:r>
        <w:rPr>
          <w:rFonts w:hint="eastAsia" w:ascii="宋体" w:hAnsi="宋体" w:eastAsia="宋体" w:cs="宋体"/>
          <w:i w:val="0"/>
          <w:iCs w:val="0"/>
          <w:color w:val="auto"/>
          <w:spacing w:val="0"/>
          <w:position w:val="0"/>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5"/>
        <w:tblW w:w="4999" w:type="pct"/>
        <w:jc w:val="righ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62"/>
        <w:gridCol w:w="5116"/>
        <w:gridCol w:w="2883"/>
      </w:tblGrid>
      <w:tr w14:paraId="7530B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057473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序号</w:t>
            </w:r>
          </w:p>
        </w:tc>
        <w:tc>
          <w:tcPr>
            <w:tcW w:w="2822" w:type="pct"/>
            <w:vAlign w:val="center"/>
          </w:tcPr>
          <w:p w14:paraId="6F4A8B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单位名称</w:t>
            </w:r>
          </w:p>
        </w:tc>
        <w:tc>
          <w:tcPr>
            <w:tcW w:w="1590" w:type="pct"/>
            <w:vAlign w:val="center"/>
          </w:tcPr>
          <w:p w14:paraId="2459CE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相互关系</w:t>
            </w:r>
          </w:p>
        </w:tc>
      </w:tr>
      <w:tr w14:paraId="29815F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3D46EB7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w:t>
            </w:r>
          </w:p>
        </w:tc>
        <w:tc>
          <w:tcPr>
            <w:tcW w:w="2822" w:type="pct"/>
            <w:vAlign w:val="center"/>
          </w:tcPr>
          <w:p w14:paraId="6E122C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226E6EF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4188A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2CDE67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w:t>
            </w:r>
          </w:p>
        </w:tc>
        <w:tc>
          <w:tcPr>
            <w:tcW w:w="2822" w:type="pct"/>
            <w:vAlign w:val="center"/>
          </w:tcPr>
          <w:p w14:paraId="46F66E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24E64F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31AD85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right"/>
        </w:trPr>
        <w:tc>
          <w:tcPr>
            <w:tcW w:w="586" w:type="pct"/>
            <w:vAlign w:val="center"/>
          </w:tcPr>
          <w:p w14:paraId="756897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w:t>
            </w:r>
          </w:p>
        </w:tc>
        <w:tc>
          <w:tcPr>
            <w:tcW w:w="2822" w:type="pct"/>
            <w:vAlign w:val="center"/>
          </w:tcPr>
          <w:p w14:paraId="28F2B5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590" w:type="pct"/>
            <w:vAlign w:val="center"/>
          </w:tcPr>
          <w:p w14:paraId="544C0F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bl>
    <w:p w14:paraId="6CBFBF11">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上述声明真实有效，否则我方负全部责任。</w:t>
      </w:r>
    </w:p>
    <w:p w14:paraId="332F38E4">
      <w:pPr>
        <w:pageBreakBefore w:val="0"/>
        <w:wordWrap/>
        <w:topLinePunct w:val="0"/>
        <w:autoSpaceDE w:val="0"/>
        <w:autoSpaceDN w:val="0"/>
        <w:bidi w:val="0"/>
        <w:adjustRightInd w:val="0"/>
        <w:snapToGrid w:val="0"/>
        <w:spacing w:before="25" w:after="25" w:line="360" w:lineRule="auto"/>
        <w:jc w:val="right"/>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5DD3E0A8">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0"/>
          <w:highlight w:val="none"/>
        </w:rPr>
        <w:t>日期：_____年______月______日</w:t>
      </w:r>
    </w:p>
    <w:p w14:paraId="58C3E4E9">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说明：供应商承诺不实的，依据《政府采购法》第七十七条“提供虚假材料谋取中标、成交的”有关规定予以处理。</w:t>
      </w:r>
      <w:r>
        <w:rPr>
          <w:rFonts w:hint="eastAsia" w:ascii="宋体" w:hAnsi="宋体" w:eastAsia="宋体" w:cs="宋体"/>
          <w:i w:val="0"/>
          <w:iCs w:val="0"/>
          <w:color w:val="auto"/>
          <w:spacing w:val="0"/>
          <w:position w:val="0"/>
          <w:sz w:val="24"/>
          <w:highlight w:val="none"/>
        </w:rPr>
        <w:br w:type="page"/>
      </w:r>
    </w:p>
    <w:p w14:paraId="774052E8">
      <w:pPr>
        <w:pageBreakBefore w:val="0"/>
        <w:numPr>
          <w:ilvl w:val="0"/>
          <w:numId w:val="12"/>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落实政府采购政策需满足的资格要求（如有）</w:t>
      </w:r>
    </w:p>
    <w:p w14:paraId="6AE1E09D">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2-1 中小企业政策证明文件</w:t>
      </w:r>
    </w:p>
    <w:p w14:paraId="5A9DB571">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4B2535A7">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A2F5690">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0D39D622">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5FCC785B">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（4）如本项目（包）预留部分采购项目预算专门面向中小企业采购，且要求供应商以联合体形式参加采购活动</w:t>
      </w:r>
      <w:r>
        <w:rPr>
          <w:rFonts w:hint="eastAsia" w:ascii="宋体" w:hAnsi="宋体" w:eastAsia="宋体" w:cs="宋体"/>
          <w:i w:val="0"/>
          <w:iCs w:val="0"/>
          <w:color w:val="auto"/>
          <w:spacing w:val="0"/>
          <w:position w:val="0"/>
          <w:highlight w:val="none"/>
        </w:rPr>
        <w:t>，</w:t>
      </w:r>
      <w:bookmarkStart w:id="909" w:name="_Hlk145526067"/>
      <w:r>
        <w:rPr>
          <w:rFonts w:hint="eastAsia" w:ascii="宋体" w:hAnsi="宋体" w:eastAsia="宋体" w:cs="宋体"/>
          <w:i w:val="0"/>
          <w:iCs w:val="0"/>
          <w:color w:val="auto"/>
          <w:spacing w:val="0"/>
          <w:position w:val="0"/>
          <w:sz w:val="24"/>
          <w:highlight w:val="none"/>
        </w:rPr>
        <w:t>如供应商为联合体的，</w:t>
      </w:r>
      <w:bookmarkEnd w:id="909"/>
      <w:r>
        <w:rPr>
          <w:rFonts w:hint="eastAsia" w:ascii="宋体" w:hAnsi="宋体" w:eastAsia="宋体" w:cs="宋体"/>
          <w:i w:val="0"/>
          <w:iCs w:val="0"/>
          <w:color w:val="auto"/>
          <w:spacing w:val="0"/>
          <w:position w:val="0"/>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7EF2C971">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（5）中小企业声明函填写注意事项</w:t>
      </w:r>
    </w:p>
    <w:p w14:paraId="3A508658">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1）《中小企业声明函》由参加政府采购活动的投标人出具。联合体投标的，《中小企业声明函》可由牵头人出具。</w:t>
      </w:r>
    </w:p>
    <w:p w14:paraId="237ABEBD">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CAB9241">
      <w:pPr>
        <w:keepNext w:val="0"/>
        <w:keepLines w:val="0"/>
        <w:pageBreakBefore w:val="0"/>
        <w:widowControl w:val="0"/>
        <w:tabs>
          <w:tab w:val="left" w:pos="5580"/>
        </w:tabs>
        <w:kinsoku/>
        <w:wordWrap/>
        <w:overflowPunct/>
        <w:topLinePunct w:val="0"/>
        <w:autoSpaceDE/>
        <w:autoSpaceDN/>
        <w:bidi w:val="0"/>
        <w:adjustRightInd/>
        <w:snapToGrid/>
        <w:spacing w:line="360" w:lineRule="auto"/>
        <w:ind w:left="885" w:leftChars="25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3）对于多标的采购项目，投标人应充分、准确地了解所提供货物的制造企业、提供服务的承接企业信息。对相关情况了解不清楚的，不建议填报本声明函。</w:t>
      </w:r>
    </w:p>
    <w:p w14:paraId="04CDF59A">
      <w:pPr>
        <w:keepNext w:val="0"/>
        <w:keepLines w:val="0"/>
        <w:pageBreakBefore w:val="0"/>
        <w:widowControl w:val="0"/>
        <w:tabs>
          <w:tab w:val="left" w:pos="5580"/>
        </w:tabs>
        <w:kinsoku/>
        <w:wordWrap/>
        <w:overflowPunct/>
        <w:topLinePunct w:val="0"/>
        <w:autoSpaceDE/>
        <w:autoSpaceDN/>
        <w:bidi w:val="0"/>
        <w:adjustRightInd/>
        <w:snapToGrid/>
        <w:spacing w:line="360" w:lineRule="auto"/>
        <w:ind w:left="480" w:hanging="480" w:hangingChars="20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7523AE5F">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p>
    <w:p w14:paraId="44841FC1">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72462B47">
      <w:pPr>
        <w:pStyle w:val="6"/>
        <w:pageBreakBefore w:val="0"/>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highlight w:val="none"/>
        </w:rPr>
        <w:t>2-1-1 中小企业证明文件</w:t>
      </w:r>
    </w:p>
    <w:p w14:paraId="41877745">
      <w:pPr>
        <w:pageBreakBefore w:val="0"/>
        <w:wordWrap/>
        <w:topLinePunct w:val="0"/>
        <w:bidi w:val="0"/>
        <w:spacing w:before="240" w:beforeLines="100" w:after="240" w:afterLines="100" w:line="360" w:lineRule="auto"/>
        <w:jc w:val="center"/>
        <w:rPr>
          <w:rFonts w:hint="eastAsia" w:ascii="宋体" w:hAnsi="宋体" w:eastAsia="宋体" w:cs="宋体"/>
          <w:b/>
          <w:bCs/>
          <w:i w:val="0"/>
          <w:iCs w:val="0"/>
          <w:color w:val="auto"/>
          <w:spacing w:val="0"/>
          <w:position w:val="0"/>
          <w:sz w:val="36"/>
          <w:szCs w:val="36"/>
          <w:highlight w:val="none"/>
        </w:rPr>
      </w:pPr>
      <w:r>
        <w:rPr>
          <w:rFonts w:hint="eastAsia" w:ascii="宋体" w:hAnsi="宋体" w:eastAsia="宋体" w:cs="宋体"/>
          <w:b/>
          <w:bCs/>
          <w:i w:val="0"/>
          <w:iCs w:val="0"/>
          <w:color w:val="auto"/>
          <w:spacing w:val="0"/>
          <w:position w:val="0"/>
          <w:sz w:val="36"/>
          <w:szCs w:val="36"/>
          <w:highlight w:val="none"/>
        </w:rPr>
        <w:t>中小企业声明函（工程、服务）格式</w:t>
      </w:r>
    </w:p>
    <w:p w14:paraId="22211765">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711A41A5">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w:t>
      </w:r>
      <w:r>
        <w:rPr>
          <w:rFonts w:hint="eastAsia" w:ascii="宋体" w:hAnsi="宋体" w:eastAsia="宋体" w:cs="宋体"/>
          <w:i w:val="0"/>
          <w:iCs w:val="0"/>
          <w:color w:val="auto"/>
          <w:spacing w:val="0"/>
          <w:position w:val="0"/>
          <w:sz w:val="24"/>
          <w:highlight w:val="none"/>
          <w:u w:val="single"/>
        </w:rPr>
        <w:t>（标的名称）</w:t>
      </w:r>
      <w:r>
        <w:rPr>
          <w:rFonts w:hint="eastAsia" w:ascii="宋体" w:hAnsi="宋体" w:eastAsia="宋体" w:cs="宋体"/>
          <w:i w:val="0"/>
          <w:iCs w:val="0"/>
          <w:color w:val="auto"/>
          <w:spacing w:val="0"/>
          <w:position w:val="0"/>
          <w:sz w:val="24"/>
          <w:highlight w:val="none"/>
        </w:rPr>
        <w:t>，属于</w:t>
      </w:r>
      <w:r>
        <w:rPr>
          <w:rFonts w:hint="eastAsia" w:ascii="宋体" w:hAnsi="宋体" w:eastAsia="宋体" w:cs="宋体"/>
          <w:i w:val="0"/>
          <w:iCs w:val="0"/>
          <w:color w:val="auto"/>
          <w:spacing w:val="0"/>
          <w:position w:val="0"/>
          <w:sz w:val="24"/>
          <w:highlight w:val="none"/>
          <w:u w:val="single"/>
        </w:rPr>
        <w:t>（采购文件中明确的所属行业）</w:t>
      </w:r>
      <w:r>
        <w:rPr>
          <w:rFonts w:hint="eastAsia" w:ascii="宋体" w:hAnsi="宋体" w:eastAsia="宋体" w:cs="宋体"/>
          <w:i w:val="0"/>
          <w:iCs w:val="0"/>
          <w:color w:val="auto"/>
          <w:spacing w:val="0"/>
          <w:position w:val="0"/>
          <w:sz w:val="24"/>
          <w:highlight w:val="none"/>
        </w:rPr>
        <w:t>行业；承建（承接）企业为</w:t>
      </w:r>
      <w:r>
        <w:rPr>
          <w:rFonts w:hint="eastAsia" w:ascii="宋体" w:hAnsi="宋体" w:eastAsia="宋体" w:cs="宋体"/>
          <w:i w:val="0"/>
          <w:iCs w:val="0"/>
          <w:color w:val="auto"/>
          <w:spacing w:val="0"/>
          <w:position w:val="0"/>
          <w:sz w:val="24"/>
          <w:highlight w:val="none"/>
          <w:u w:val="single"/>
        </w:rPr>
        <w:t>（企业名称）</w:t>
      </w:r>
      <w:r>
        <w:rPr>
          <w:rFonts w:hint="eastAsia" w:ascii="宋体" w:hAnsi="宋体" w:eastAsia="宋体" w:cs="宋体"/>
          <w:i w:val="0"/>
          <w:iCs w:val="0"/>
          <w:color w:val="auto"/>
          <w:spacing w:val="0"/>
          <w:position w:val="0"/>
          <w:sz w:val="24"/>
          <w:highlight w:val="none"/>
        </w:rPr>
        <w:t>，从业人员______人，营业收入为______万元，资产总额为______万元</w:t>
      </w:r>
      <w:r>
        <w:rPr>
          <w:rFonts w:hint="eastAsia" w:ascii="宋体" w:hAnsi="宋体" w:eastAsia="宋体" w:cs="宋体"/>
          <w:i w:val="0"/>
          <w:iCs w:val="0"/>
          <w:color w:val="auto"/>
          <w:spacing w:val="0"/>
          <w:position w:val="0"/>
          <w:sz w:val="24"/>
          <w:highlight w:val="none"/>
          <w:vertAlign w:val="superscript"/>
        </w:rPr>
        <w:t>1</w:t>
      </w:r>
      <w:r>
        <w:rPr>
          <w:rFonts w:hint="eastAsia" w:ascii="宋体" w:hAnsi="宋体" w:eastAsia="宋体" w:cs="宋体"/>
          <w:i w:val="0"/>
          <w:iCs w:val="0"/>
          <w:color w:val="auto"/>
          <w:spacing w:val="0"/>
          <w:position w:val="0"/>
          <w:sz w:val="24"/>
          <w:highlight w:val="none"/>
        </w:rPr>
        <w:t>，属于</w:t>
      </w:r>
      <w:r>
        <w:rPr>
          <w:rFonts w:hint="eastAsia" w:ascii="宋体" w:hAnsi="宋体" w:eastAsia="宋体" w:cs="宋体"/>
          <w:i w:val="0"/>
          <w:iCs w:val="0"/>
          <w:color w:val="auto"/>
          <w:spacing w:val="0"/>
          <w:position w:val="0"/>
          <w:sz w:val="24"/>
          <w:highlight w:val="none"/>
          <w:u w:val="single"/>
        </w:rPr>
        <w:t>（中型企业、小型企业、微型企业）</w:t>
      </w:r>
      <w:r>
        <w:rPr>
          <w:rFonts w:hint="eastAsia" w:ascii="宋体" w:hAnsi="宋体" w:eastAsia="宋体" w:cs="宋体"/>
          <w:i w:val="0"/>
          <w:iCs w:val="0"/>
          <w:color w:val="auto"/>
          <w:spacing w:val="0"/>
          <w:position w:val="0"/>
          <w:sz w:val="24"/>
          <w:highlight w:val="none"/>
        </w:rPr>
        <w:t>；</w:t>
      </w:r>
    </w:p>
    <w:p w14:paraId="1FE01062">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w:t>
      </w:r>
      <w:r>
        <w:rPr>
          <w:rFonts w:hint="eastAsia" w:ascii="宋体" w:hAnsi="宋体" w:eastAsia="宋体" w:cs="宋体"/>
          <w:i w:val="0"/>
          <w:iCs w:val="0"/>
          <w:color w:val="auto"/>
          <w:spacing w:val="0"/>
          <w:position w:val="0"/>
          <w:sz w:val="24"/>
          <w:highlight w:val="none"/>
          <w:u w:val="single"/>
        </w:rPr>
        <w:t>（标的名称）</w:t>
      </w:r>
      <w:r>
        <w:rPr>
          <w:rFonts w:hint="eastAsia" w:ascii="宋体" w:hAnsi="宋体" w:eastAsia="宋体" w:cs="宋体"/>
          <w:i w:val="0"/>
          <w:iCs w:val="0"/>
          <w:color w:val="auto"/>
          <w:spacing w:val="0"/>
          <w:position w:val="0"/>
          <w:sz w:val="24"/>
          <w:highlight w:val="none"/>
        </w:rPr>
        <w:t>，属于</w:t>
      </w:r>
      <w:r>
        <w:rPr>
          <w:rFonts w:hint="eastAsia" w:ascii="宋体" w:hAnsi="宋体" w:eastAsia="宋体" w:cs="宋体"/>
          <w:i w:val="0"/>
          <w:iCs w:val="0"/>
          <w:color w:val="auto"/>
          <w:spacing w:val="0"/>
          <w:position w:val="0"/>
          <w:sz w:val="24"/>
          <w:highlight w:val="none"/>
          <w:u w:val="single"/>
        </w:rPr>
        <w:t>（采购文件中明确的所属行业）</w:t>
      </w:r>
      <w:r>
        <w:rPr>
          <w:rFonts w:hint="eastAsia" w:ascii="宋体" w:hAnsi="宋体" w:eastAsia="宋体" w:cs="宋体"/>
          <w:i w:val="0"/>
          <w:iCs w:val="0"/>
          <w:color w:val="auto"/>
          <w:spacing w:val="0"/>
          <w:position w:val="0"/>
          <w:sz w:val="24"/>
          <w:highlight w:val="none"/>
        </w:rPr>
        <w:t>行业；承建（承接）企业为</w:t>
      </w:r>
      <w:r>
        <w:rPr>
          <w:rFonts w:hint="eastAsia" w:ascii="宋体" w:hAnsi="宋体" w:eastAsia="宋体" w:cs="宋体"/>
          <w:i w:val="0"/>
          <w:iCs w:val="0"/>
          <w:color w:val="auto"/>
          <w:spacing w:val="0"/>
          <w:position w:val="0"/>
          <w:sz w:val="24"/>
          <w:highlight w:val="none"/>
          <w:u w:val="single"/>
        </w:rPr>
        <w:t>（企业名称）</w:t>
      </w:r>
      <w:r>
        <w:rPr>
          <w:rFonts w:hint="eastAsia" w:ascii="宋体" w:hAnsi="宋体" w:eastAsia="宋体" w:cs="宋体"/>
          <w:i w:val="0"/>
          <w:iCs w:val="0"/>
          <w:color w:val="auto"/>
          <w:spacing w:val="0"/>
          <w:position w:val="0"/>
          <w:sz w:val="24"/>
          <w:highlight w:val="none"/>
        </w:rPr>
        <w:t>，从业人员______人，营业收入为______万元，资产总额为______万元，属于</w:t>
      </w:r>
      <w:r>
        <w:rPr>
          <w:rFonts w:hint="eastAsia" w:ascii="宋体" w:hAnsi="宋体" w:eastAsia="宋体" w:cs="宋体"/>
          <w:i w:val="0"/>
          <w:iCs w:val="0"/>
          <w:color w:val="auto"/>
          <w:spacing w:val="0"/>
          <w:position w:val="0"/>
          <w:sz w:val="24"/>
          <w:highlight w:val="none"/>
          <w:u w:val="single"/>
        </w:rPr>
        <w:t>（中型企业、小型企业、微型企业）</w:t>
      </w:r>
      <w:r>
        <w:rPr>
          <w:rFonts w:hint="eastAsia" w:ascii="宋体" w:hAnsi="宋体" w:eastAsia="宋体" w:cs="宋体"/>
          <w:i w:val="0"/>
          <w:iCs w:val="0"/>
          <w:color w:val="auto"/>
          <w:spacing w:val="0"/>
          <w:position w:val="0"/>
          <w:sz w:val="24"/>
          <w:highlight w:val="none"/>
        </w:rPr>
        <w:t>；</w:t>
      </w:r>
    </w:p>
    <w:p w14:paraId="06966E94">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p>
    <w:p w14:paraId="22F877E8">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w:t>
      </w:r>
    </w:p>
    <w:p w14:paraId="408D4039">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以上企业，不属于大企业的分支机构，不存在控股股东为大企业的情形，也不存在与大企业的负责人为同一人的情形。</w:t>
      </w:r>
    </w:p>
    <w:p w14:paraId="38A48C05">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本企业对上述声明内容的真实性负责。如有虚假，将依法承担相应责任。</w:t>
      </w:r>
    </w:p>
    <w:p w14:paraId="4BE8C38B">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2EFE2CD2">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企业名称（盖章）：________</w:t>
      </w:r>
    </w:p>
    <w:p w14:paraId="1B6AB1E0">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日 期：________</w:t>
      </w:r>
    </w:p>
    <w:p w14:paraId="07C64411">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 w:val="24"/>
          <w:szCs w:val="21"/>
          <w:highlight w:val="none"/>
        </w:rPr>
      </w:pPr>
    </w:p>
    <w:p w14:paraId="3D92429A">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 w:val="24"/>
          <w:szCs w:val="21"/>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9B13EE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1EC83E32">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rPr>
            </w:pPr>
            <w:r>
              <w:rPr>
                <w:rFonts w:hint="eastAsia" w:ascii="宋体" w:hAnsi="宋体" w:eastAsia="宋体" w:cs="宋体"/>
                <w:i w:val="0"/>
                <w:iCs w:val="0"/>
                <w:color w:val="auto"/>
                <w:spacing w:val="0"/>
                <w:position w:val="0"/>
                <w:szCs w:val="21"/>
                <w:highlight w:val="none"/>
                <w:vertAlign w:val="superscript"/>
              </w:rPr>
              <w:t>1</w:t>
            </w:r>
            <w:r>
              <w:rPr>
                <w:rFonts w:hint="eastAsia" w:ascii="宋体" w:hAnsi="宋体" w:eastAsia="宋体" w:cs="宋体"/>
                <w:i w:val="0"/>
                <w:iCs w:val="0"/>
                <w:color w:val="auto"/>
                <w:spacing w:val="0"/>
                <w:position w:val="0"/>
                <w:szCs w:val="21"/>
                <w:highlight w:val="none"/>
              </w:rPr>
              <w:t>从业人员、营业收入、资产总额填报上一年度数据，无上一年度数据的新成立企业可不填报。</w:t>
            </w:r>
          </w:p>
        </w:tc>
      </w:tr>
    </w:tbl>
    <w:p w14:paraId="786CE631">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vertAlign w:val="superscript"/>
        </w:rPr>
      </w:pPr>
    </w:p>
    <w:p w14:paraId="32C3B7E1">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30E46174">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74DC407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18C6E207">
      <w:pPr>
        <w:pageBreakBefore w:val="0"/>
        <w:wordWrap/>
        <w:topLinePunct w:val="0"/>
        <w:bidi w:val="0"/>
        <w:spacing w:before="240" w:beforeLines="100" w:after="240" w:afterLines="100"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bCs/>
          <w:i w:val="0"/>
          <w:iCs w:val="0"/>
          <w:color w:val="auto"/>
          <w:spacing w:val="0"/>
          <w:position w:val="0"/>
          <w:sz w:val="36"/>
          <w:szCs w:val="36"/>
          <w:highlight w:val="none"/>
        </w:rPr>
        <w:t>残疾人福利性单位声明函格式</w:t>
      </w:r>
    </w:p>
    <w:p w14:paraId="678A38D8">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本单位郑重声明，根据《财政部 民政部 中国残疾人联合会关于促进残疾人就业政府采购政策的通知》（财库〔2017〕 141号）的规定，本单位</w:t>
      </w:r>
      <w:r>
        <w:rPr>
          <w:rFonts w:hint="eastAsia" w:ascii="宋体" w:hAnsi="宋体" w:eastAsia="宋体" w:cs="宋体"/>
          <w:b/>
          <w:i w:val="0"/>
          <w:iCs w:val="0"/>
          <w:color w:val="auto"/>
          <w:spacing w:val="0"/>
          <w:position w:val="0"/>
          <w:sz w:val="24"/>
          <w:highlight w:val="none"/>
        </w:rPr>
        <w:t>（请进行选择）</w:t>
      </w:r>
      <w:r>
        <w:rPr>
          <w:rFonts w:hint="eastAsia" w:ascii="宋体" w:hAnsi="宋体" w:eastAsia="宋体" w:cs="宋体"/>
          <w:i w:val="0"/>
          <w:iCs w:val="0"/>
          <w:color w:val="auto"/>
          <w:spacing w:val="0"/>
          <w:position w:val="0"/>
          <w:sz w:val="24"/>
          <w:highlight w:val="none"/>
        </w:rPr>
        <w:t>：</w:t>
      </w:r>
    </w:p>
    <w:p w14:paraId="6828B286">
      <w:pPr>
        <w:pageBreakBefore w:val="0"/>
        <w:wordWrap/>
        <w:topLinePunct w:val="0"/>
        <w:bidi w:val="0"/>
        <w:spacing w:line="360" w:lineRule="auto"/>
        <w:ind w:firstLine="482"/>
        <w:rPr>
          <w:rFonts w:hint="eastAsia" w:ascii="宋体" w:hAnsi="宋体" w:eastAsia="宋体" w:cs="宋体"/>
          <w:b/>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不属于符合条件的残疾人福利性单位。</w:t>
      </w:r>
    </w:p>
    <w:p w14:paraId="2EA7D1D3">
      <w:pPr>
        <w:pageBreakBefore w:val="0"/>
        <w:wordWrap/>
        <w:topLinePunct w:val="0"/>
        <w:bidi w:val="0"/>
        <w:spacing w:line="360" w:lineRule="auto"/>
        <w:ind w:firstLine="482"/>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属于符合条件的残疾人福利性单位，</w:t>
      </w:r>
      <w:r>
        <w:rPr>
          <w:rFonts w:hint="eastAsia" w:ascii="宋体" w:hAnsi="宋体" w:eastAsia="宋体" w:cs="宋体"/>
          <w:i w:val="0"/>
          <w:iCs w:val="0"/>
          <w:color w:val="auto"/>
          <w:spacing w:val="0"/>
          <w:position w:val="0"/>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67717905">
      <w:pPr>
        <w:pageBreakBefore w:val="0"/>
        <w:wordWrap/>
        <w:topLinePunct w:val="0"/>
        <w:bidi w:val="0"/>
        <w:spacing w:line="360" w:lineRule="auto"/>
        <w:ind w:firstLine="482"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本单位对上述声明的真实性负责。如有虚假，将依法承担相应责任。</w:t>
      </w:r>
    </w:p>
    <w:p w14:paraId="09B866E5">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11FFBED9">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1847B550">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单位名称（盖章）：</w:t>
      </w:r>
    </w:p>
    <w:p w14:paraId="57026736">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日  期：</w:t>
      </w:r>
    </w:p>
    <w:p w14:paraId="79DC8632">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5FC46889">
      <w:pPr>
        <w:pStyle w:val="6"/>
        <w:pageBreakBefore w:val="0"/>
        <w:wordWrap/>
        <w:topLinePunct w:val="0"/>
        <w:bidi w:val="0"/>
        <w:spacing w:line="360" w:lineRule="auto"/>
        <w:rPr>
          <w:rFonts w:hint="default" w:ascii="宋体" w:hAnsi="宋体" w:eastAsia="宋体" w:cs="宋体"/>
          <w:i w:val="0"/>
          <w:iCs w:val="0"/>
          <w:color w:val="auto"/>
          <w:spacing w:val="0"/>
          <w:position w:val="0"/>
          <w:sz w:val="30"/>
          <w:szCs w:val="30"/>
          <w:highlight w:val="none"/>
          <w:lang w:val="en-US" w:eastAsia="zh-CN"/>
        </w:rPr>
      </w:pPr>
      <w:r>
        <w:rPr>
          <w:rFonts w:hint="eastAsia" w:ascii="宋体" w:hAnsi="宋体" w:eastAsia="宋体" w:cs="宋体"/>
          <w:i w:val="0"/>
          <w:iCs w:val="0"/>
          <w:color w:val="auto"/>
          <w:spacing w:val="0"/>
          <w:position w:val="0"/>
          <w:highlight w:val="none"/>
        </w:rPr>
        <w:t>2-1-2 拟分包情况说明及分包意向协议</w:t>
      </w:r>
      <w:r>
        <w:rPr>
          <w:rFonts w:hint="eastAsia" w:ascii="宋体" w:hAnsi="宋体" w:cs="宋体"/>
          <w:i w:val="0"/>
          <w:iCs w:val="0"/>
          <w:color w:val="auto"/>
          <w:spacing w:val="0"/>
          <w:position w:val="0"/>
          <w:highlight w:val="none"/>
          <w:lang w:eastAsia="zh-CN"/>
        </w:rPr>
        <w:t>（</w:t>
      </w:r>
      <w:r>
        <w:rPr>
          <w:rFonts w:hint="eastAsia" w:ascii="宋体" w:hAnsi="宋体" w:cs="宋体"/>
          <w:i w:val="0"/>
          <w:iCs w:val="0"/>
          <w:color w:val="auto"/>
          <w:spacing w:val="0"/>
          <w:position w:val="0"/>
          <w:highlight w:val="none"/>
          <w:lang w:val="en-US" w:eastAsia="zh-CN"/>
        </w:rPr>
        <w:t>此项目不适用）</w:t>
      </w:r>
    </w:p>
    <w:p w14:paraId="466A0DF2">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51ECE9F9">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 xml:space="preserve">2-2 </w:t>
      </w:r>
      <w:r>
        <w:rPr>
          <w:rFonts w:hint="eastAsia" w:ascii="宋体" w:hAnsi="宋体" w:eastAsia="宋体" w:cs="宋体"/>
          <w:i w:val="0"/>
          <w:iCs w:val="0"/>
          <w:color w:val="auto"/>
          <w:spacing w:val="0"/>
          <w:position w:val="0"/>
          <w:sz w:val="24"/>
          <w:highlight w:val="none"/>
        </w:rPr>
        <w:t>其它落实政府采购政策的资格要求</w:t>
      </w:r>
      <w:r>
        <w:rPr>
          <w:rFonts w:hint="eastAsia" w:ascii="宋体" w:hAnsi="宋体" w:eastAsia="宋体" w:cs="宋体"/>
          <w:i w:val="0"/>
          <w:iCs w:val="0"/>
          <w:color w:val="auto"/>
          <w:spacing w:val="0"/>
          <w:position w:val="0"/>
          <w:sz w:val="24"/>
          <w:szCs w:val="20"/>
          <w:highlight w:val="none"/>
        </w:rPr>
        <w:t>（如有）</w:t>
      </w:r>
    </w:p>
    <w:p w14:paraId="1050445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430BF17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B75854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04B5DF4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4E54604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6DD1839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57FB4EF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07DA5CF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382ACA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5E560AD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7672B7D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p>
    <w:p w14:paraId="136C925A">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0CD31B47">
      <w:pPr>
        <w:pageBreakBefore w:val="0"/>
        <w:numPr>
          <w:ilvl w:val="0"/>
          <w:numId w:val="12"/>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本项目的特定资格要求</w:t>
      </w:r>
      <w:r>
        <w:rPr>
          <w:rFonts w:hint="eastAsia" w:ascii="宋体" w:hAnsi="宋体" w:eastAsia="宋体" w:cs="宋体"/>
          <w:i w:val="0"/>
          <w:iCs w:val="0"/>
          <w:color w:val="auto"/>
          <w:spacing w:val="0"/>
          <w:position w:val="0"/>
          <w:sz w:val="24"/>
          <w:szCs w:val="20"/>
          <w:highlight w:val="none"/>
        </w:rPr>
        <w:t>（如有）</w:t>
      </w:r>
    </w:p>
    <w:p w14:paraId="25165CAE">
      <w:pPr>
        <w:pageBreakBefore w:val="0"/>
        <w:wordWrap/>
        <w:topLinePunct w:val="0"/>
        <w:bidi w:val="0"/>
        <w:spacing w:line="360" w:lineRule="auto"/>
        <w:outlineLvl w:val="2"/>
        <w:rPr>
          <w:rFonts w:hint="default" w:ascii="宋体" w:hAnsi="宋体" w:eastAsia="宋体" w:cs="宋体"/>
          <w:i w:val="0"/>
          <w:iCs w:val="0"/>
          <w:color w:val="auto"/>
          <w:spacing w:val="0"/>
          <w:position w:val="0"/>
          <w:sz w:val="24"/>
          <w:szCs w:val="20"/>
          <w:highlight w:val="none"/>
          <w:lang w:val="en-US" w:eastAsia="zh-CN"/>
        </w:rPr>
      </w:pPr>
      <w:r>
        <w:rPr>
          <w:rFonts w:hint="eastAsia" w:ascii="宋体" w:hAnsi="宋体" w:eastAsia="宋体" w:cs="宋体"/>
          <w:i w:val="0"/>
          <w:iCs w:val="0"/>
          <w:color w:val="auto"/>
          <w:spacing w:val="0"/>
          <w:position w:val="0"/>
          <w:sz w:val="24"/>
          <w:szCs w:val="20"/>
          <w:highlight w:val="none"/>
        </w:rPr>
        <w:t>3-1 联合协议（如有）</w:t>
      </w:r>
      <w:r>
        <w:rPr>
          <w:rFonts w:hint="eastAsia" w:ascii="宋体" w:hAnsi="宋体" w:cs="宋体"/>
          <w:i w:val="0"/>
          <w:iCs w:val="0"/>
          <w:color w:val="auto"/>
          <w:spacing w:val="0"/>
          <w:position w:val="0"/>
          <w:sz w:val="24"/>
          <w:szCs w:val="20"/>
          <w:highlight w:val="none"/>
          <w:lang w:eastAsia="zh-CN"/>
        </w:rPr>
        <w:t>（</w:t>
      </w:r>
      <w:r>
        <w:rPr>
          <w:rFonts w:hint="eastAsia" w:ascii="宋体" w:hAnsi="宋体" w:cs="宋体"/>
          <w:i w:val="0"/>
          <w:iCs w:val="0"/>
          <w:color w:val="auto"/>
          <w:spacing w:val="0"/>
          <w:position w:val="0"/>
          <w:sz w:val="24"/>
          <w:szCs w:val="20"/>
          <w:highlight w:val="none"/>
          <w:lang w:val="en-US" w:eastAsia="zh-CN"/>
        </w:rPr>
        <w:t>此项目不适用）</w:t>
      </w:r>
    </w:p>
    <w:p w14:paraId="190F40DD">
      <w:pPr>
        <w:pageBreakBefore w:val="0"/>
        <w:wordWrap/>
        <w:topLinePunct w:val="0"/>
        <w:bidi w:val="0"/>
        <w:spacing w:line="360" w:lineRule="auto"/>
        <w:ind w:left="719" w:leftChars="228" w:hanging="240" w:hangingChars="1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br w:type="page"/>
      </w:r>
    </w:p>
    <w:p w14:paraId="6B24D668">
      <w:pPr>
        <w:pageBreakBefore w:val="0"/>
        <w:wordWrap/>
        <w:topLinePunct w:val="0"/>
        <w:bidi w:val="0"/>
        <w:spacing w:line="360" w:lineRule="auto"/>
        <w:outlineLvl w:val="2"/>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3-2 其他特定资格要求</w:t>
      </w:r>
    </w:p>
    <w:p w14:paraId="2CB87B9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3AB0A15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21B8DFC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711C510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69DE856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4AE38EF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szCs w:val="20"/>
          <w:highlight w:val="none"/>
        </w:rPr>
      </w:pPr>
    </w:p>
    <w:p w14:paraId="205DD95B">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44131017">
      <w:pPr>
        <w:pageBreakBefore w:val="0"/>
        <w:numPr>
          <w:ilvl w:val="0"/>
          <w:numId w:val="12"/>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投标保证金凭证/交款单据电子件</w:t>
      </w:r>
    </w:p>
    <w:p w14:paraId="6A03092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B7AD9C3">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37EE60C2">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2EC9BEC">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1C31B6A1">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E5282A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97B795F">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2620DAFE">
      <w:pPr>
        <w:pageBreakBefore w:val="0"/>
        <w:widowControl/>
        <w:wordWrap/>
        <w:topLinePunct w:val="0"/>
        <w:bidi w:val="0"/>
        <w:spacing w:line="360" w:lineRule="auto"/>
        <w:jc w:val="left"/>
        <w:rPr>
          <w:rFonts w:hint="eastAsia" w:ascii="宋体" w:hAnsi="宋体" w:eastAsia="宋体" w:cs="宋体"/>
          <w:i w:val="0"/>
          <w:iCs w:val="0"/>
          <w:color w:val="auto"/>
          <w:spacing w:val="0"/>
          <w:kern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D507124">
      <w:pPr>
        <w:keepNext/>
        <w:keepLines/>
        <w:pageBreakBefore w:val="0"/>
        <w:wordWrap/>
        <w:topLinePunct w:val="0"/>
        <w:autoSpaceDE w:val="0"/>
        <w:autoSpaceDN w:val="0"/>
        <w:bidi w:val="0"/>
        <w:adjustRightInd w:val="0"/>
        <w:spacing w:before="120" w:line="360" w:lineRule="auto"/>
        <w:jc w:val="left"/>
        <w:outlineLvl w:val="1"/>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二、商务技术文件格式</w:t>
      </w:r>
    </w:p>
    <w:p w14:paraId="6CFB2C8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Cs w:val="21"/>
          <w:highlight w:val="none"/>
        </w:rPr>
      </w:pPr>
    </w:p>
    <w:p w14:paraId="42D753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投标文件（商务技术文件）封面（非实质性格式）</w:t>
      </w:r>
    </w:p>
    <w:p w14:paraId="70951BB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17B593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5766723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i w:val="0"/>
          <w:iCs w:val="0"/>
          <w:color w:val="auto"/>
          <w:spacing w:val="0"/>
          <w:position w:val="0"/>
          <w:sz w:val="24"/>
          <w:highlight w:val="none"/>
        </w:rPr>
      </w:pPr>
    </w:p>
    <w:p w14:paraId="04C3B539">
      <w:pPr>
        <w:pageBreakBefore w:val="0"/>
        <w:wordWrap/>
        <w:topLinePunct w:val="0"/>
        <w:bidi w:val="0"/>
        <w:spacing w:line="360" w:lineRule="auto"/>
        <w:jc w:val="both"/>
        <w:rPr>
          <w:rFonts w:hint="eastAsia" w:ascii="宋体" w:hAnsi="宋体" w:eastAsia="宋体" w:cs="宋体"/>
          <w:i w:val="0"/>
          <w:iCs w:val="0"/>
          <w:color w:val="auto"/>
          <w:spacing w:val="0"/>
          <w:position w:val="0"/>
          <w:szCs w:val="21"/>
          <w:highlight w:val="none"/>
        </w:rPr>
      </w:pPr>
    </w:p>
    <w:p w14:paraId="163D9452">
      <w:pPr>
        <w:pageBreakBefore w:val="0"/>
        <w:wordWrap/>
        <w:topLinePunct w:val="0"/>
        <w:bidi w:val="0"/>
        <w:spacing w:line="360" w:lineRule="auto"/>
        <w:jc w:val="center"/>
        <w:rPr>
          <w:rFonts w:hint="eastAsia" w:ascii="宋体" w:hAnsi="宋体" w:eastAsia="宋体" w:cs="宋体"/>
          <w:b/>
          <w:i w:val="0"/>
          <w:iCs w:val="0"/>
          <w:color w:val="auto"/>
          <w:spacing w:val="0"/>
          <w:position w:val="0"/>
          <w:sz w:val="84"/>
          <w:szCs w:val="84"/>
          <w:highlight w:val="none"/>
        </w:rPr>
      </w:pPr>
      <w:r>
        <w:rPr>
          <w:rFonts w:hint="eastAsia" w:ascii="宋体" w:hAnsi="宋体" w:eastAsia="宋体" w:cs="宋体"/>
          <w:b/>
          <w:i w:val="0"/>
          <w:iCs w:val="0"/>
          <w:color w:val="auto"/>
          <w:spacing w:val="0"/>
          <w:position w:val="0"/>
          <w:sz w:val="84"/>
          <w:szCs w:val="84"/>
          <w:highlight w:val="none"/>
        </w:rPr>
        <w:t>投 标 文 件</w:t>
      </w:r>
    </w:p>
    <w:p w14:paraId="35EB5B9A">
      <w:pPr>
        <w:pageBreakBefore w:val="0"/>
        <w:wordWrap/>
        <w:topLinePunct w:val="0"/>
        <w:bidi w:val="0"/>
        <w:spacing w:line="360" w:lineRule="auto"/>
        <w:jc w:val="center"/>
        <w:rPr>
          <w:rFonts w:hint="eastAsia" w:ascii="宋体" w:hAnsi="宋体" w:eastAsia="宋体" w:cs="宋体"/>
          <w:b/>
          <w:i w:val="0"/>
          <w:iCs w:val="0"/>
          <w:color w:val="auto"/>
          <w:spacing w:val="0"/>
          <w:position w:val="0"/>
          <w:sz w:val="52"/>
          <w:szCs w:val="52"/>
          <w:highlight w:val="none"/>
        </w:rPr>
      </w:pPr>
      <w:r>
        <w:rPr>
          <w:rFonts w:hint="eastAsia" w:ascii="宋体" w:hAnsi="宋体" w:eastAsia="宋体" w:cs="宋体"/>
          <w:b/>
          <w:i w:val="0"/>
          <w:iCs w:val="0"/>
          <w:color w:val="auto"/>
          <w:spacing w:val="0"/>
          <w:position w:val="0"/>
          <w:sz w:val="52"/>
          <w:szCs w:val="52"/>
          <w:highlight w:val="none"/>
        </w:rPr>
        <w:t>（商务技术文件）</w:t>
      </w:r>
    </w:p>
    <w:p w14:paraId="5731225B">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p>
    <w:p w14:paraId="543E58C4">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p>
    <w:p w14:paraId="0F13FF3D">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lang w:eastAsia="zh-CN"/>
        </w:rPr>
      </w:pPr>
      <w:r>
        <w:rPr>
          <w:rFonts w:hint="eastAsia" w:ascii="宋体" w:hAnsi="宋体" w:eastAsia="宋体" w:cs="宋体"/>
          <w:b/>
          <w:i w:val="0"/>
          <w:iCs w:val="0"/>
          <w:color w:val="auto"/>
          <w:spacing w:val="0"/>
          <w:position w:val="0"/>
          <w:sz w:val="32"/>
          <w:szCs w:val="32"/>
          <w:highlight w:val="none"/>
        </w:rPr>
        <w:t>项目名称</w:t>
      </w:r>
      <w:r>
        <w:rPr>
          <w:rFonts w:hint="eastAsia" w:ascii="宋体" w:hAnsi="宋体" w:eastAsia="宋体" w:cs="宋体"/>
          <w:b/>
          <w:i w:val="0"/>
          <w:iCs w:val="0"/>
          <w:color w:val="auto"/>
          <w:spacing w:val="0"/>
          <w:position w:val="0"/>
          <w:sz w:val="32"/>
          <w:szCs w:val="32"/>
          <w:highlight w:val="none"/>
          <w:lang w:eastAsia="zh-CN"/>
        </w:rPr>
        <w:t>：</w:t>
      </w:r>
    </w:p>
    <w:p w14:paraId="02B84B87">
      <w:pPr>
        <w:pageBreakBefore w:val="0"/>
        <w:wordWrap/>
        <w:topLinePunct w:val="0"/>
        <w:bidi w:val="0"/>
        <w:spacing w:line="360" w:lineRule="auto"/>
        <w:ind w:firstLine="482" w:firstLineChars="150"/>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项目编号/包号：</w:t>
      </w:r>
    </w:p>
    <w:p w14:paraId="5F1CD630">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4CBC62A">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7D4CCC12">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486D7BA9">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0CC53969">
      <w:pPr>
        <w:pageBreakBefore w:val="0"/>
        <w:wordWrap/>
        <w:topLinePunct w:val="0"/>
        <w:bidi w:val="0"/>
        <w:spacing w:line="360" w:lineRule="auto"/>
        <w:jc w:val="both"/>
        <w:rPr>
          <w:rFonts w:hint="eastAsia" w:ascii="宋体" w:hAnsi="宋体" w:eastAsia="宋体" w:cs="宋体"/>
          <w:b/>
          <w:i w:val="0"/>
          <w:iCs w:val="0"/>
          <w:color w:val="auto"/>
          <w:spacing w:val="0"/>
          <w:position w:val="0"/>
          <w:sz w:val="32"/>
          <w:szCs w:val="32"/>
          <w:highlight w:val="none"/>
        </w:rPr>
      </w:pPr>
    </w:p>
    <w:p w14:paraId="3CB362C7">
      <w:pPr>
        <w:pageBreakBefore w:val="0"/>
        <w:wordWrap/>
        <w:topLinePunct w:val="0"/>
        <w:bidi w:val="0"/>
        <w:spacing w:line="360" w:lineRule="auto"/>
        <w:ind w:firstLine="1285" w:firstLineChars="400"/>
        <w:jc w:val="left"/>
        <w:rPr>
          <w:rFonts w:hint="eastAsia" w:ascii="宋体" w:hAnsi="宋体" w:eastAsia="宋体" w:cs="宋体"/>
          <w:b/>
          <w:i w:val="0"/>
          <w:iCs w:val="0"/>
          <w:color w:val="auto"/>
          <w:spacing w:val="0"/>
          <w:position w:val="0"/>
          <w:sz w:val="32"/>
          <w:szCs w:val="32"/>
          <w:highlight w:val="none"/>
        </w:rPr>
      </w:pPr>
      <w:r>
        <w:rPr>
          <w:rFonts w:hint="eastAsia" w:ascii="宋体" w:hAnsi="宋体" w:eastAsia="宋体" w:cs="宋体"/>
          <w:b/>
          <w:i w:val="0"/>
          <w:iCs w:val="0"/>
          <w:color w:val="auto"/>
          <w:spacing w:val="0"/>
          <w:position w:val="0"/>
          <w:sz w:val="32"/>
          <w:szCs w:val="32"/>
          <w:highlight w:val="none"/>
        </w:rPr>
        <w:t>投标人名称：</w:t>
      </w:r>
    </w:p>
    <w:p w14:paraId="12D749A3">
      <w:pPr>
        <w:pageBreakBefore w:val="0"/>
        <w:wordWrap/>
        <w:topLinePunct w:val="0"/>
        <w:bidi w:val="0"/>
        <w:spacing w:line="360" w:lineRule="auto"/>
        <w:jc w:val="center"/>
        <w:rPr>
          <w:rFonts w:hint="eastAsia" w:ascii="宋体" w:hAnsi="宋体" w:eastAsia="宋体" w:cs="宋体"/>
          <w:b/>
          <w:i w:val="0"/>
          <w:iCs w:val="0"/>
          <w:color w:val="auto"/>
          <w:spacing w:val="0"/>
          <w:position w:val="0"/>
          <w:sz w:val="32"/>
          <w:szCs w:val="32"/>
          <w:highlight w:val="none"/>
        </w:rPr>
      </w:pPr>
    </w:p>
    <w:p w14:paraId="1227FC13">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br w:type="page"/>
      </w:r>
    </w:p>
    <w:p w14:paraId="7CF0B54D">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bookmarkStart w:id="910" w:name="_Hlt520350918"/>
      <w:bookmarkEnd w:id="910"/>
      <w:bookmarkStart w:id="911" w:name="_Hlt520271212"/>
      <w:bookmarkEnd w:id="911"/>
      <w:bookmarkStart w:id="912" w:name="_Hlt520355504"/>
      <w:bookmarkEnd w:id="912"/>
      <w:bookmarkStart w:id="913" w:name="_Hlt520274393"/>
      <w:bookmarkEnd w:id="913"/>
      <w:bookmarkStart w:id="914" w:name="_Hlt520343000"/>
      <w:bookmarkEnd w:id="914"/>
      <w:bookmarkStart w:id="915" w:name="_Hlt520274407"/>
      <w:bookmarkEnd w:id="915"/>
      <w:bookmarkStart w:id="916" w:name="_Hlt520274121"/>
      <w:bookmarkEnd w:id="916"/>
      <w:bookmarkStart w:id="917" w:name="_Hlt520273711"/>
      <w:bookmarkEnd w:id="917"/>
      <w:bookmarkStart w:id="918" w:name="_Hlt520274065"/>
      <w:bookmarkEnd w:id="918"/>
      <w:bookmarkStart w:id="919" w:name="_Hlt520343392"/>
      <w:bookmarkEnd w:id="919"/>
      <w:bookmarkStart w:id="920" w:name="_Toc480942349"/>
      <w:bookmarkStart w:id="921" w:name="_Ref467988698"/>
      <w:bookmarkStart w:id="922" w:name="_Toc127151556"/>
      <w:bookmarkStart w:id="923" w:name="_Toc226965746"/>
      <w:bookmarkStart w:id="924" w:name="_Toc226337252"/>
      <w:bookmarkStart w:id="925" w:name="_Toc195842921"/>
      <w:bookmarkStart w:id="926" w:name="_Toc150480794"/>
      <w:bookmarkStart w:id="927" w:name="_Toc226309800"/>
      <w:bookmarkStart w:id="928" w:name="_Toc150774761"/>
      <w:bookmarkStart w:id="929" w:name="_Toc142311058"/>
      <w:bookmarkStart w:id="930" w:name="_Toc520356217"/>
      <w:bookmarkStart w:id="931" w:name="_Toc226965829"/>
      <w:r>
        <w:rPr>
          <w:rFonts w:hint="eastAsia" w:ascii="宋体" w:hAnsi="宋体" w:eastAsia="宋体" w:cs="宋体"/>
          <w:i w:val="0"/>
          <w:iCs w:val="0"/>
          <w:color w:val="auto"/>
          <w:spacing w:val="0"/>
          <w:position w:val="0"/>
          <w:sz w:val="24"/>
          <w:highlight w:val="none"/>
        </w:rPr>
        <w:t>投标</w:t>
      </w:r>
      <w:bookmarkEnd w:id="920"/>
      <w:bookmarkEnd w:id="921"/>
      <w:r>
        <w:rPr>
          <w:rFonts w:hint="eastAsia" w:ascii="宋体" w:hAnsi="宋体" w:eastAsia="宋体" w:cs="宋体"/>
          <w:i w:val="0"/>
          <w:iCs w:val="0"/>
          <w:color w:val="auto"/>
          <w:spacing w:val="0"/>
          <w:position w:val="0"/>
          <w:sz w:val="24"/>
          <w:highlight w:val="none"/>
        </w:rPr>
        <w:t>书</w:t>
      </w:r>
      <w:bookmarkEnd w:id="922"/>
      <w:bookmarkEnd w:id="923"/>
      <w:bookmarkEnd w:id="924"/>
      <w:bookmarkEnd w:id="925"/>
      <w:bookmarkEnd w:id="926"/>
      <w:bookmarkEnd w:id="927"/>
      <w:bookmarkEnd w:id="928"/>
      <w:bookmarkEnd w:id="929"/>
      <w:bookmarkEnd w:id="930"/>
      <w:bookmarkEnd w:id="931"/>
      <w:r>
        <w:rPr>
          <w:rFonts w:hint="eastAsia" w:ascii="宋体" w:hAnsi="宋体" w:eastAsia="宋体" w:cs="宋体"/>
          <w:i w:val="0"/>
          <w:iCs w:val="0"/>
          <w:color w:val="auto"/>
          <w:spacing w:val="0"/>
          <w:position w:val="0"/>
          <w:sz w:val="24"/>
          <w:szCs w:val="20"/>
          <w:highlight w:val="none"/>
        </w:rPr>
        <w:t>（实质性格式）</w:t>
      </w:r>
    </w:p>
    <w:p w14:paraId="15EDA79A">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p>
    <w:p w14:paraId="321C16E6">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投标书</w:t>
      </w:r>
    </w:p>
    <w:p w14:paraId="2C7676A6">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1B175586">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40B0860A">
      <w:pPr>
        <w:pageBreakBefore w:val="0"/>
        <w:tabs>
          <w:tab w:val="left" w:pos="5580"/>
        </w:tabs>
        <w:wordWrap/>
        <w:topLinePunct w:val="0"/>
        <w:bidi w:val="0"/>
        <w:spacing w:line="360" w:lineRule="auto"/>
        <w:ind w:firstLine="408"/>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我方参加你方就___________（项目名称，项目编号/包号）组织的招标活动，并对此项目进行投标。</w:t>
      </w:r>
    </w:p>
    <w:p w14:paraId="2943E252">
      <w:pPr>
        <w:pageBreakBefore w:val="0"/>
        <w:tabs>
          <w:tab w:val="left" w:pos="5580"/>
        </w:tabs>
        <w:wordWrap/>
        <w:topLinePunct w:val="0"/>
        <w:bidi w:val="0"/>
        <w:spacing w:line="360" w:lineRule="auto"/>
        <w:ind w:firstLine="408"/>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 我方</w:t>
      </w:r>
      <w:r>
        <w:rPr>
          <w:rFonts w:hint="eastAsia" w:ascii="宋体" w:hAnsi="宋体" w:eastAsia="宋体" w:cs="宋体"/>
          <w:i w:val="0"/>
          <w:iCs w:val="0"/>
          <w:color w:val="auto"/>
          <w:spacing w:val="0"/>
          <w:position w:val="0"/>
          <w:sz w:val="24"/>
          <w:highlight w:val="none"/>
        </w:rPr>
        <w:t>已详细审查全部招标文件</w:t>
      </w:r>
      <w:r>
        <w:rPr>
          <w:rFonts w:hint="eastAsia" w:ascii="宋体" w:hAnsi="宋体" w:eastAsia="宋体" w:cs="宋体"/>
          <w:i w:val="0"/>
          <w:iCs w:val="0"/>
          <w:color w:val="auto"/>
          <w:spacing w:val="0"/>
          <w:position w:val="0"/>
          <w:sz w:val="24"/>
          <w:szCs w:val="20"/>
          <w:highlight w:val="none"/>
        </w:rPr>
        <w:t>，自愿参与投标并承诺如下：</w:t>
      </w:r>
    </w:p>
    <w:p w14:paraId="302E1B1F">
      <w:pPr>
        <w:pageBreakBefore w:val="0"/>
        <w:tabs>
          <w:tab w:val="left" w:pos="720"/>
          <w:tab w:val="left" w:pos="900"/>
        </w:tabs>
        <w:wordWrap/>
        <w:topLinePunct w:val="0"/>
        <w:bidi w:val="0"/>
        <w:spacing w:line="360" w:lineRule="auto"/>
        <w:ind w:left="360" w:firstLine="72" w:firstLineChars="3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（1）本投标有效期为自提交投标文件的截止之日起</w:t>
      </w:r>
      <w:r>
        <w:rPr>
          <w:rFonts w:hint="eastAsia" w:ascii="宋体" w:hAnsi="宋体" w:cs="宋体"/>
          <w:i w:val="0"/>
          <w:iCs w:val="0"/>
          <w:color w:val="auto"/>
          <w:spacing w:val="0"/>
          <w:position w:val="0"/>
          <w:sz w:val="24"/>
          <w:highlight w:val="none"/>
          <w:u w:val="single"/>
          <w:lang w:val="en-US" w:eastAsia="zh-CN"/>
        </w:rPr>
        <w:t>90</w:t>
      </w:r>
      <w:r>
        <w:rPr>
          <w:rFonts w:hint="eastAsia" w:ascii="宋体" w:hAnsi="宋体" w:eastAsia="宋体" w:cs="宋体"/>
          <w:i w:val="0"/>
          <w:iCs w:val="0"/>
          <w:color w:val="auto"/>
          <w:spacing w:val="0"/>
          <w:position w:val="0"/>
          <w:sz w:val="24"/>
          <w:szCs w:val="20"/>
          <w:highlight w:val="none"/>
        </w:rPr>
        <w:t>日历日。</w:t>
      </w:r>
    </w:p>
    <w:p w14:paraId="3121DA16">
      <w:pPr>
        <w:pageBreakBefore w:val="0"/>
        <w:tabs>
          <w:tab w:val="left" w:pos="720"/>
          <w:tab w:val="left" w:pos="900"/>
        </w:tabs>
        <w:wordWrap/>
        <w:topLinePunct w:val="0"/>
        <w:bidi w:val="0"/>
        <w:spacing w:line="360" w:lineRule="auto"/>
        <w:ind w:left="360" w:firstLine="72" w:firstLineChars="3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（2）除合同条款及采购需求偏离表列出的偏离外，我方响应招标文件的全部要求。</w:t>
      </w:r>
    </w:p>
    <w:p w14:paraId="6508067F">
      <w:pPr>
        <w:pageBreakBefore w:val="0"/>
        <w:tabs>
          <w:tab w:val="left" w:pos="5580"/>
        </w:tabs>
        <w:wordWrap/>
        <w:topLinePunct w:val="0"/>
        <w:bidi w:val="0"/>
        <w:spacing w:line="360" w:lineRule="auto"/>
        <w:ind w:firstLine="420" w:firstLineChars="175"/>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（3）我方已提供的全部文件资料是真实、准确的，并对此承担一切法律后果。</w:t>
      </w:r>
    </w:p>
    <w:p w14:paraId="1F666B3D">
      <w:pPr>
        <w:pageBreakBefore w:val="0"/>
        <w:tabs>
          <w:tab w:val="left" w:pos="5580"/>
        </w:tabs>
        <w:wordWrap/>
        <w:topLinePunct w:val="0"/>
        <w:bidi w:val="0"/>
        <w:spacing w:line="360" w:lineRule="auto"/>
        <w:ind w:firstLine="420" w:firstLineChars="175"/>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0"/>
          <w:highlight w:val="none"/>
        </w:rPr>
        <w:t>（4）如我方中标，我方将在法律规定的期限内与你方签订合同，按照招标文件要求提交履约保证金，并在合同约定的期限内完成合同规定的全部义务。</w:t>
      </w:r>
    </w:p>
    <w:p w14:paraId="2A551D61">
      <w:pPr>
        <w:pageBreakBefore w:val="0"/>
        <w:wordWrap/>
        <w:topLinePunct w:val="0"/>
        <w:bidi w:val="0"/>
        <w:spacing w:line="360" w:lineRule="auto"/>
        <w:ind w:left="42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 其他补充条款（如有）：</w:t>
      </w:r>
      <w:r>
        <w:rPr>
          <w:rFonts w:hint="eastAsia" w:ascii="宋体" w:hAnsi="宋体" w:eastAsia="宋体" w:cs="宋体"/>
          <w:i w:val="0"/>
          <w:iCs w:val="0"/>
          <w:color w:val="auto"/>
          <w:spacing w:val="0"/>
          <w:position w:val="0"/>
          <w:sz w:val="24"/>
          <w:szCs w:val="20"/>
          <w:highlight w:val="none"/>
        </w:rPr>
        <w:t>___________</w:t>
      </w:r>
      <w:r>
        <w:rPr>
          <w:rFonts w:hint="eastAsia" w:ascii="宋体" w:hAnsi="宋体" w:eastAsia="宋体" w:cs="宋体"/>
          <w:i w:val="0"/>
          <w:iCs w:val="0"/>
          <w:color w:val="auto"/>
          <w:spacing w:val="0"/>
          <w:position w:val="0"/>
          <w:sz w:val="24"/>
          <w:highlight w:val="none"/>
        </w:rPr>
        <w:t>。</w:t>
      </w:r>
    </w:p>
    <w:p w14:paraId="7AB7D5DB">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与本投标有关的一切正式往来信函请寄：</w:t>
      </w:r>
    </w:p>
    <w:p w14:paraId="5C3120FB">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p>
    <w:p w14:paraId="1564FB4B">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地址_________________________     传真____________________________</w:t>
      </w:r>
    </w:p>
    <w:p w14:paraId="0BD0379A">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电话_________________________     电子函件________________________</w:t>
      </w:r>
    </w:p>
    <w:p w14:paraId="4D3F6E21">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p>
    <w:p w14:paraId="5727994A">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投标人名称（加盖公章） ___________</w:t>
      </w:r>
    </w:p>
    <w:p w14:paraId="47BB604D">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 xml:space="preserve">日期：_____年______月______日    </w:t>
      </w:r>
    </w:p>
    <w:p w14:paraId="752CFDE8">
      <w:pPr>
        <w:pageBreakBefore w:val="0"/>
        <w:tabs>
          <w:tab w:val="left" w:pos="5580"/>
        </w:tabs>
        <w:wordWrap/>
        <w:topLinePunct w:val="0"/>
        <w:bidi w:val="0"/>
        <w:spacing w:line="360" w:lineRule="auto"/>
        <w:ind w:left="420"/>
        <w:rPr>
          <w:rFonts w:hint="eastAsia" w:ascii="宋体" w:hAnsi="宋体" w:eastAsia="宋体" w:cs="宋体"/>
          <w:i w:val="0"/>
          <w:iCs w:val="0"/>
          <w:color w:val="auto"/>
          <w:spacing w:val="0"/>
          <w:position w:val="0"/>
          <w:sz w:val="24"/>
          <w:szCs w:val="20"/>
          <w:highlight w:val="none"/>
          <w:u w:val="single"/>
        </w:rPr>
      </w:pPr>
    </w:p>
    <w:p w14:paraId="74594989">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highlight w:val="none"/>
        </w:rPr>
      </w:pPr>
      <w:bookmarkStart w:id="932" w:name="_Hlt520356243"/>
      <w:bookmarkEnd w:id="932"/>
      <w:bookmarkStart w:id="933" w:name="_Hlt520355938"/>
      <w:bookmarkEnd w:id="933"/>
      <w:bookmarkStart w:id="934" w:name="_Toc226965830"/>
      <w:bookmarkStart w:id="935" w:name="_Toc150774762"/>
      <w:bookmarkStart w:id="936" w:name="_Toc150480795"/>
      <w:bookmarkStart w:id="937" w:name="_Toc264969247"/>
      <w:bookmarkStart w:id="938" w:name="_Toc142311059"/>
      <w:bookmarkStart w:id="939" w:name="_Toc226965747"/>
      <w:bookmarkStart w:id="940" w:name="_Toc195842922"/>
      <w:bookmarkStart w:id="941" w:name="_Toc265228395"/>
      <w:bookmarkStart w:id="942" w:name="_Toc305158899"/>
      <w:bookmarkStart w:id="943" w:name="_Toc127151557"/>
      <w:bookmarkStart w:id="944" w:name="_Toc520356218"/>
      <w:bookmarkStart w:id="945" w:name="_Toc305158825"/>
      <w:bookmarkStart w:id="946" w:name="_Toc480942350"/>
      <w:bookmarkStart w:id="947" w:name="_Ref467988705"/>
      <w:bookmarkStart w:id="948" w:name="_Toc226337253"/>
      <w:bookmarkStart w:id="949" w:name="_Toc226309801"/>
      <w:r>
        <w:rPr>
          <w:rFonts w:hint="eastAsia" w:ascii="宋体" w:hAnsi="宋体" w:eastAsia="宋体" w:cs="宋体"/>
          <w:i w:val="0"/>
          <w:iCs w:val="0"/>
          <w:color w:val="auto"/>
          <w:spacing w:val="0"/>
          <w:position w:val="0"/>
          <w:sz w:val="24"/>
          <w:highlight w:val="none"/>
        </w:rPr>
        <w:br w:type="page"/>
      </w:r>
    </w:p>
    <w:p w14:paraId="4ADD251F">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授权委托书（实质性格式）</w:t>
      </w:r>
    </w:p>
    <w:p w14:paraId="2265A3FA">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授权委托书</w:t>
      </w:r>
    </w:p>
    <w:p w14:paraId="1111D690">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p>
    <w:p w14:paraId="14F3DFFB">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本人</w:t>
      </w:r>
      <w:r>
        <w:rPr>
          <w:rFonts w:hint="eastAsia" w:ascii="宋体" w:hAnsi="宋体" w:eastAsia="宋体" w:cs="宋体"/>
          <w:i w:val="0"/>
          <w:iCs w:val="0"/>
          <w:color w:val="auto"/>
          <w:spacing w:val="0"/>
          <w:position w:val="0"/>
          <w:sz w:val="24"/>
          <w:highlight w:val="none"/>
          <w:lang w:val="zh-CN"/>
        </w:rPr>
        <w:t>_______</w:t>
      </w:r>
      <w:r>
        <w:rPr>
          <w:rFonts w:hint="eastAsia" w:ascii="宋体" w:hAnsi="宋体" w:eastAsia="宋体" w:cs="宋体"/>
          <w:i w:val="0"/>
          <w:iCs w:val="0"/>
          <w:color w:val="auto"/>
          <w:spacing w:val="0"/>
          <w:position w:val="0"/>
          <w:sz w:val="24"/>
          <w:szCs w:val="20"/>
          <w:highlight w:val="none"/>
        </w:rPr>
        <w:t>（姓名）系</w:t>
      </w:r>
      <w:r>
        <w:rPr>
          <w:rFonts w:hint="eastAsia" w:ascii="宋体" w:hAnsi="宋体" w:eastAsia="宋体" w:cs="宋体"/>
          <w:i w:val="0"/>
          <w:iCs w:val="0"/>
          <w:color w:val="auto"/>
          <w:spacing w:val="0"/>
          <w:position w:val="0"/>
          <w:sz w:val="24"/>
          <w:highlight w:val="none"/>
          <w:lang w:val="zh-CN"/>
        </w:rPr>
        <w:t>________________</w:t>
      </w:r>
      <w:r>
        <w:rPr>
          <w:rFonts w:hint="eastAsia" w:ascii="宋体" w:hAnsi="宋体" w:eastAsia="宋体" w:cs="宋体"/>
          <w:i w:val="0"/>
          <w:iCs w:val="0"/>
          <w:color w:val="auto"/>
          <w:spacing w:val="0"/>
          <w:position w:val="0"/>
          <w:sz w:val="24"/>
          <w:szCs w:val="20"/>
          <w:highlight w:val="none"/>
        </w:rPr>
        <w:t>（投标人名称）的法定代表人（单位负责人），现委托</w:t>
      </w:r>
      <w:r>
        <w:rPr>
          <w:rFonts w:hint="eastAsia" w:ascii="宋体" w:hAnsi="宋体" w:eastAsia="宋体" w:cs="宋体"/>
          <w:i w:val="0"/>
          <w:iCs w:val="0"/>
          <w:color w:val="auto"/>
          <w:spacing w:val="0"/>
          <w:position w:val="0"/>
          <w:sz w:val="24"/>
          <w:highlight w:val="none"/>
          <w:lang w:val="zh-CN"/>
        </w:rPr>
        <w:t>_______</w:t>
      </w:r>
      <w:r>
        <w:rPr>
          <w:rFonts w:hint="eastAsia" w:ascii="宋体" w:hAnsi="宋体" w:eastAsia="宋体" w:cs="宋体"/>
          <w:i w:val="0"/>
          <w:iCs w:val="0"/>
          <w:color w:val="auto"/>
          <w:spacing w:val="0"/>
          <w:position w:val="0"/>
          <w:sz w:val="24"/>
          <w:szCs w:val="20"/>
          <w:highlight w:val="none"/>
        </w:rPr>
        <w:t>（姓名）为我方代理人。代理人根据授权，以我方名义签署、澄清确认、提交、撤回、修改</w:t>
      </w:r>
      <w:r>
        <w:rPr>
          <w:rFonts w:hint="eastAsia" w:ascii="宋体" w:hAnsi="宋体" w:eastAsia="宋体" w:cs="宋体"/>
          <w:i w:val="0"/>
          <w:iCs w:val="0"/>
          <w:color w:val="auto"/>
          <w:spacing w:val="0"/>
          <w:position w:val="0"/>
          <w:sz w:val="24"/>
          <w:highlight w:val="none"/>
          <w:lang w:val="zh-CN"/>
        </w:rPr>
        <w:t>________________</w:t>
      </w:r>
      <w:r>
        <w:rPr>
          <w:rFonts w:hint="eastAsia" w:ascii="宋体" w:hAnsi="宋体" w:eastAsia="宋体" w:cs="宋体"/>
          <w:i w:val="0"/>
          <w:iCs w:val="0"/>
          <w:color w:val="auto"/>
          <w:spacing w:val="0"/>
          <w:position w:val="0"/>
          <w:sz w:val="24"/>
          <w:szCs w:val="20"/>
          <w:highlight w:val="none"/>
        </w:rPr>
        <w:t>（项目名称）投标文件和处理有关事宜，其法律后果由我方承担。</w:t>
      </w:r>
    </w:p>
    <w:p w14:paraId="34D223E1">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委托期限：自本授权委托书签署之日起至投标有效期届满之日止。</w:t>
      </w:r>
    </w:p>
    <w:p w14:paraId="2A81AD24">
      <w:pPr>
        <w:pageBreakBefore w:val="0"/>
        <w:wordWrap/>
        <w:topLinePunct w:val="0"/>
        <w:bidi w:val="0"/>
        <w:spacing w:line="360" w:lineRule="auto"/>
        <w:ind w:firstLine="42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代理人无转委托权。</w:t>
      </w:r>
      <w:r>
        <w:rPr>
          <w:rFonts w:hint="eastAsia" w:ascii="宋体" w:hAnsi="宋体" w:eastAsia="宋体" w:cs="宋体"/>
          <w:i w:val="0"/>
          <w:iCs w:val="0"/>
          <w:color w:val="auto"/>
          <w:spacing w:val="0"/>
          <w:position w:val="0"/>
          <w:sz w:val="24"/>
          <w:szCs w:val="20"/>
          <w:highlight w:val="none"/>
        </w:rPr>
        <w:cr/>
      </w:r>
    </w:p>
    <w:p w14:paraId="679FBD41">
      <w:pPr>
        <w:pageBreakBefore w:val="0"/>
        <w:wordWrap/>
        <w:topLinePunct w:val="0"/>
        <w:bidi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：________________</w:t>
      </w:r>
    </w:p>
    <w:p w14:paraId="7B3534B5">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法定代表人（单位负责人）（签字或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sz w:val="24"/>
          <w:szCs w:val="20"/>
          <w:highlight w:val="none"/>
        </w:rPr>
        <w:t>）：</w:t>
      </w:r>
      <w:r>
        <w:rPr>
          <w:rFonts w:hint="eastAsia" w:ascii="宋体" w:hAnsi="宋体" w:eastAsia="宋体" w:cs="宋体"/>
          <w:i w:val="0"/>
          <w:iCs w:val="0"/>
          <w:color w:val="auto"/>
          <w:spacing w:val="0"/>
          <w:position w:val="0"/>
          <w:sz w:val="24"/>
          <w:highlight w:val="none"/>
          <w:lang w:val="zh-CN"/>
        </w:rPr>
        <w:t>________________</w:t>
      </w:r>
    </w:p>
    <w:p w14:paraId="6510C77C">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委托代理人（签字或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highlight w:val="none"/>
          <w:lang w:val="zh-CN"/>
        </w:rPr>
        <w:t>________________</w:t>
      </w:r>
    </w:p>
    <w:p w14:paraId="321BAE97">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日期：_____年______月______日</w:t>
      </w:r>
    </w:p>
    <w:p w14:paraId="330075C2">
      <w:pPr>
        <w:pageBreakBefore w:val="0"/>
        <w:tabs>
          <w:tab w:val="left" w:pos="5580"/>
        </w:tabs>
        <w:wordWrap/>
        <w:topLinePunct w:val="0"/>
        <w:bidi w:val="0"/>
        <w:spacing w:line="360" w:lineRule="auto"/>
        <w:ind w:firstLine="480" w:firstLineChars="200"/>
        <w:rPr>
          <w:rFonts w:hint="eastAsia" w:ascii="宋体" w:hAnsi="宋体" w:eastAsia="宋体" w:cs="宋体"/>
          <w:i w:val="0"/>
          <w:iCs w:val="0"/>
          <w:color w:val="auto"/>
          <w:spacing w:val="0"/>
          <w:position w:val="0"/>
          <w:sz w:val="24"/>
          <w:szCs w:val="20"/>
          <w:highlight w:val="none"/>
        </w:rPr>
      </w:pPr>
    </w:p>
    <w:p w14:paraId="6F46227A">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附：法定代表人（单位负责人）及委托代理人身份证明文件电子件：</w:t>
      </w:r>
    </w:p>
    <w:p w14:paraId="7E2F20D2">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75BB6FC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1CE3C8F5">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p>
    <w:p w14:paraId="55A4240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说明：</w:t>
      </w:r>
    </w:p>
    <w:p w14:paraId="390B1C30">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1.若供应商为事业单位或其他组织或分支机构，则法定代表人（单位负责人）处的签署人可为单位负责人。</w:t>
      </w:r>
    </w:p>
    <w:p w14:paraId="303F0AD8">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373AF79A">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3.供应商为自然人的情形，可不提供本《授权委托书》。</w:t>
      </w:r>
    </w:p>
    <w:p w14:paraId="36B518ED">
      <w:pPr>
        <w:pageBreakBefore w:val="0"/>
        <w:tabs>
          <w:tab w:val="left" w:pos="5580"/>
        </w:tabs>
        <w:wordWrap/>
        <w:topLinePunct w:val="0"/>
        <w:bidi w:val="0"/>
        <w:spacing w:line="360" w:lineRule="auto"/>
        <w:jc w:val="left"/>
        <w:rPr>
          <w:rFonts w:hint="eastAsia" w:ascii="宋体" w:hAnsi="宋体" w:eastAsia="宋体" w:cs="宋体"/>
          <w:i w:val="0"/>
          <w:iCs w:val="0"/>
          <w:color w:val="auto"/>
          <w:spacing w:val="0"/>
          <w:position w:val="0"/>
          <w:sz w:val="30"/>
          <w:szCs w:val="30"/>
          <w:highlight w:val="none"/>
        </w:rPr>
      </w:pPr>
      <w:r>
        <w:rPr>
          <w:rFonts w:hint="eastAsia" w:ascii="宋体" w:hAnsi="宋体" w:eastAsia="宋体" w:cs="宋体"/>
          <w:i w:val="0"/>
          <w:iCs w:val="0"/>
          <w:color w:val="auto"/>
          <w:spacing w:val="0"/>
          <w:position w:val="0"/>
          <w:sz w:val="24"/>
          <w:szCs w:val="20"/>
          <w:highlight w:val="none"/>
        </w:rPr>
        <w:t>4.供应商应随本《授权委托书》同时提供法定代表人（单位负责人）及委托代理人的有效的身份证或护照等身份证明文件电子件。提供身份证的，应同时提供身份证</w:t>
      </w:r>
      <w:r>
        <w:rPr>
          <w:rFonts w:hint="eastAsia" w:ascii="宋体" w:hAnsi="宋体" w:eastAsia="宋体" w:cs="宋体"/>
          <w:b/>
          <w:i w:val="0"/>
          <w:iCs w:val="0"/>
          <w:color w:val="auto"/>
          <w:spacing w:val="0"/>
          <w:position w:val="0"/>
          <w:sz w:val="24"/>
          <w:szCs w:val="20"/>
          <w:highlight w:val="none"/>
        </w:rPr>
        <w:t>双面</w:t>
      </w:r>
      <w:r>
        <w:rPr>
          <w:rFonts w:hint="eastAsia" w:ascii="宋体" w:hAnsi="宋体" w:eastAsia="宋体" w:cs="宋体"/>
          <w:i w:val="0"/>
          <w:iCs w:val="0"/>
          <w:color w:val="auto"/>
          <w:spacing w:val="0"/>
          <w:position w:val="0"/>
          <w:sz w:val="24"/>
          <w:szCs w:val="20"/>
          <w:highlight w:val="none"/>
        </w:rPr>
        <w:t>电子件。</w:t>
      </w:r>
      <w:r>
        <w:rPr>
          <w:rFonts w:hint="eastAsia" w:ascii="宋体" w:hAnsi="宋体" w:eastAsia="宋体" w:cs="宋体"/>
          <w:i w:val="0"/>
          <w:iCs w:val="0"/>
          <w:color w:val="auto"/>
          <w:spacing w:val="0"/>
          <w:position w:val="0"/>
          <w:sz w:val="30"/>
          <w:szCs w:val="30"/>
          <w:highlight w:val="none"/>
        </w:rPr>
        <w:br w:type="page"/>
      </w:r>
    </w:p>
    <w:p w14:paraId="2EA8B514">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法定代表人（单位负责人）身份证明</w:t>
      </w:r>
    </w:p>
    <w:p w14:paraId="5AB2DE88">
      <w:pPr>
        <w:pageBreakBefore w:val="0"/>
        <w:kinsoku w:val="0"/>
        <w:wordWrap/>
        <w:overflowPunct w:val="0"/>
        <w:topLinePunct w:val="0"/>
        <w:bidi w:val="0"/>
        <w:spacing w:line="360" w:lineRule="auto"/>
        <w:rPr>
          <w:rFonts w:hint="eastAsia" w:ascii="宋体" w:hAnsi="宋体" w:eastAsia="宋体" w:cs="宋体"/>
          <w:i w:val="0"/>
          <w:iCs w:val="0"/>
          <w:color w:val="auto"/>
          <w:spacing w:val="0"/>
          <w:position w:val="0"/>
          <w:sz w:val="20"/>
          <w:szCs w:val="20"/>
          <w:highlight w:val="none"/>
        </w:rPr>
      </w:pPr>
    </w:p>
    <w:p w14:paraId="7B9284EE">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致：</w:t>
      </w:r>
      <w:r>
        <w:rPr>
          <w:rFonts w:hint="eastAsia" w:ascii="宋体" w:hAnsi="宋体" w:eastAsia="宋体" w:cs="宋体"/>
          <w:i w:val="0"/>
          <w:iCs w:val="0"/>
          <w:color w:val="auto"/>
          <w:spacing w:val="0"/>
          <w:position w:val="0"/>
          <w:sz w:val="24"/>
          <w:highlight w:val="none"/>
          <w:u w:val="single"/>
        </w:rPr>
        <w:t>（采购人或采购代理机构）</w:t>
      </w:r>
    </w:p>
    <w:p w14:paraId="191065E8">
      <w:pPr>
        <w:pStyle w:val="18"/>
        <w:pageBreakBefore w:val="0"/>
        <w:tabs>
          <w:tab w:val="left" w:pos="2412"/>
          <w:tab w:val="left" w:pos="3883"/>
          <w:tab w:val="left" w:pos="5352"/>
          <w:tab w:val="left" w:pos="6821"/>
        </w:tabs>
        <w:kinsoku w:val="0"/>
        <w:wordWrap/>
        <w:overflowPunct w:val="0"/>
        <w:topLinePunct w:val="0"/>
        <w:bidi w:val="0"/>
        <w:spacing w:line="360" w:lineRule="auto"/>
        <w:ind w:firstLine="480" w:firstLineChars="200"/>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兹证明，</w:t>
      </w:r>
    </w:p>
    <w:p w14:paraId="33F3796A">
      <w:pPr>
        <w:pStyle w:val="18"/>
        <w:pageBreakBefore w:val="0"/>
        <w:tabs>
          <w:tab w:val="left" w:pos="1690"/>
          <w:tab w:val="left" w:pos="3400"/>
          <w:tab w:val="left" w:pos="5110"/>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姓名：____性别：____年龄：____职务：____</w:t>
      </w:r>
    </w:p>
    <w:p w14:paraId="06B08866">
      <w:pPr>
        <w:pStyle w:val="18"/>
        <w:pageBreakBefore w:val="0"/>
        <w:tabs>
          <w:tab w:val="left" w:pos="2412"/>
          <w:tab w:val="left" w:pos="3883"/>
          <w:tab w:val="left" w:pos="5352"/>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p>
    <w:p w14:paraId="7950614E">
      <w:pPr>
        <w:pStyle w:val="18"/>
        <w:pageBreakBefore w:val="0"/>
        <w:tabs>
          <w:tab w:val="left" w:pos="2250"/>
          <w:tab w:val="left" w:pos="2412"/>
          <w:tab w:val="left" w:pos="3883"/>
          <w:tab w:val="left" w:pos="5352"/>
          <w:tab w:val="left" w:pos="6821"/>
          <w:tab w:val="clear" w:pos="567"/>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系</w:t>
      </w:r>
      <w:r>
        <w:rPr>
          <w:rFonts w:hint="eastAsia" w:ascii="宋体" w:hAnsi="宋体" w:eastAsia="宋体" w:cs="宋体"/>
          <w:i w:val="0"/>
          <w:iCs w:val="0"/>
          <w:color w:val="auto"/>
          <w:spacing w:val="0"/>
          <w:position w:val="0"/>
          <w:highlight w:val="none"/>
          <w:u w:val="single"/>
        </w:rPr>
        <w:tab/>
      </w:r>
      <w:r>
        <w:rPr>
          <w:rFonts w:hint="eastAsia" w:ascii="宋体" w:hAnsi="宋体" w:eastAsia="宋体" w:cs="宋体"/>
          <w:i w:val="0"/>
          <w:iCs w:val="0"/>
          <w:color w:val="auto"/>
          <w:spacing w:val="0"/>
          <w:position w:val="0"/>
          <w:highlight w:val="none"/>
        </w:rPr>
        <w:t>（投标人名称）的法定代表人（单位负责人）。</w:t>
      </w:r>
    </w:p>
    <w:p w14:paraId="13496844">
      <w:pPr>
        <w:pStyle w:val="18"/>
        <w:pageBreakBefore w:val="0"/>
        <w:tabs>
          <w:tab w:val="left" w:pos="2412"/>
          <w:tab w:val="left" w:pos="3883"/>
          <w:tab w:val="left" w:pos="5352"/>
          <w:tab w:val="left" w:pos="6821"/>
        </w:tabs>
        <w:kinsoku w:val="0"/>
        <w:wordWrap/>
        <w:overflowPunct w:val="0"/>
        <w:topLinePunct w:val="0"/>
        <w:bidi w:val="0"/>
        <w:spacing w:line="360" w:lineRule="auto"/>
        <w:rPr>
          <w:rFonts w:hint="eastAsia" w:ascii="宋体" w:hAnsi="宋体" w:eastAsia="宋体" w:cs="宋体"/>
          <w:i w:val="0"/>
          <w:iCs w:val="0"/>
          <w:color w:val="auto"/>
          <w:spacing w:val="0"/>
          <w:position w:val="0"/>
          <w:highlight w:val="none"/>
        </w:rPr>
      </w:pPr>
    </w:p>
    <w:p w14:paraId="14675B34">
      <w:pPr>
        <w:pStyle w:val="18"/>
        <w:pageBreakBefore w:val="0"/>
        <w:kinsoku w:val="0"/>
        <w:wordWrap/>
        <w:overflowPunct w:val="0"/>
        <w:topLinePunct w:val="0"/>
        <w:bidi w:val="0"/>
        <w:spacing w:line="360" w:lineRule="auto"/>
        <w:ind w:right="-46"/>
        <w:rPr>
          <w:rFonts w:hint="eastAsia" w:ascii="宋体" w:hAnsi="宋体" w:eastAsia="宋体" w:cs="宋体"/>
          <w:i w:val="0"/>
          <w:iCs w:val="0"/>
          <w:color w:val="auto"/>
          <w:spacing w:val="0"/>
          <w:position w:val="0"/>
          <w:szCs w:val="20"/>
          <w:highlight w:val="none"/>
        </w:rPr>
      </w:pPr>
      <w:r>
        <w:rPr>
          <w:rFonts w:hint="eastAsia" w:ascii="宋体" w:hAnsi="宋体" w:eastAsia="宋体" w:cs="宋体"/>
          <w:i w:val="0"/>
          <w:iCs w:val="0"/>
          <w:color w:val="auto"/>
          <w:spacing w:val="0"/>
          <w:position w:val="0"/>
          <w:szCs w:val="20"/>
          <w:highlight w:val="none"/>
        </w:rPr>
        <w:t>附：法定代表人（单位负责人）身份证或护照等身份证明文件电子件：</w:t>
      </w:r>
    </w:p>
    <w:p w14:paraId="5276D944">
      <w:pPr>
        <w:pStyle w:val="18"/>
        <w:pageBreakBefore w:val="0"/>
        <w:kinsoku w:val="0"/>
        <w:wordWrap/>
        <w:overflowPunct w:val="0"/>
        <w:topLinePunct w:val="0"/>
        <w:bidi w:val="0"/>
        <w:spacing w:line="360" w:lineRule="auto"/>
        <w:ind w:right="4305"/>
        <w:rPr>
          <w:rFonts w:hint="eastAsia" w:ascii="宋体" w:hAnsi="宋体" w:eastAsia="宋体" w:cs="宋体"/>
          <w:i w:val="0"/>
          <w:iCs w:val="0"/>
          <w:color w:val="auto"/>
          <w:spacing w:val="0"/>
          <w:position w:val="0"/>
          <w:highlight w:val="none"/>
        </w:rPr>
      </w:pPr>
    </w:p>
    <w:p w14:paraId="5C0FCA56">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：________________</w:t>
      </w:r>
    </w:p>
    <w:p w14:paraId="6E5D3D02">
      <w:pPr>
        <w:pStyle w:val="18"/>
        <w:pageBreakBefore w:val="0"/>
        <w:kinsoku w:val="0"/>
        <w:wordWrap/>
        <w:overflowPunct w:val="0"/>
        <w:topLinePunct w:val="0"/>
        <w:bidi w:val="0"/>
        <w:spacing w:line="360" w:lineRule="auto"/>
        <w:ind w:right="95"/>
        <w:rPr>
          <w:rFonts w:hint="eastAsia" w:ascii="宋体" w:hAnsi="宋体" w:eastAsia="宋体" w:cs="宋体"/>
          <w:i w:val="0"/>
          <w:iCs w:val="0"/>
          <w:color w:val="auto"/>
          <w:spacing w:val="0"/>
          <w:position w:val="0"/>
          <w:highlight w:val="none"/>
        </w:rPr>
      </w:pPr>
      <w:r>
        <w:rPr>
          <w:rFonts w:hint="eastAsia" w:ascii="宋体" w:hAnsi="宋体" w:eastAsia="宋体" w:cs="宋体"/>
          <w:i w:val="0"/>
          <w:iCs w:val="0"/>
          <w:color w:val="auto"/>
          <w:spacing w:val="0"/>
          <w:position w:val="0"/>
          <w:highlight w:val="none"/>
        </w:rPr>
        <w:t>法定代表人（单位负责人）（签字或</w:t>
      </w:r>
      <w:r>
        <w:rPr>
          <w:rFonts w:hint="eastAsia" w:ascii="宋体" w:hAnsi="宋体" w:cs="宋体"/>
          <w:i w:val="0"/>
          <w:iCs w:val="0"/>
          <w:color w:val="auto"/>
          <w:spacing w:val="0"/>
          <w:position w:val="0"/>
          <w:sz w:val="24"/>
          <w:highlight w:val="none"/>
          <w:lang w:val="en-US" w:eastAsia="zh-CN"/>
        </w:rPr>
        <w:t>盖章</w:t>
      </w:r>
      <w:r>
        <w:rPr>
          <w:rFonts w:hint="eastAsia" w:ascii="宋体" w:hAnsi="宋体" w:eastAsia="宋体" w:cs="宋体"/>
          <w:i w:val="0"/>
          <w:iCs w:val="0"/>
          <w:color w:val="auto"/>
          <w:spacing w:val="0"/>
          <w:position w:val="0"/>
          <w:highlight w:val="none"/>
        </w:rPr>
        <w:t>）：_______</w:t>
      </w:r>
    </w:p>
    <w:p w14:paraId="2DCBC77B">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rPr>
      </w:pPr>
    </w:p>
    <w:p w14:paraId="7C710C1F">
      <w:pPr>
        <w:pageBreakBefore w:val="0"/>
        <w:wordWrap/>
        <w:topLinePunct w:val="0"/>
        <w:autoSpaceDE w:val="0"/>
        <w:autoSpaceDN w:val="0"/>
        <w:bidi w:val="0"/>
        <w:adjustRightInd w:val="0"/>
        <w:snapToGrid w:val="0"/>
        <w:spacing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日期：_____年______月______日</w:t>
      </w:r>
    </w:p>
    <w:p w14:paraId="74CD8EEC">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u w:val="single"/>
        </w:rPr>
      </w:pPr>
    </w:p>
    <w:p w14:paraId="475CAE75">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4C2CF16">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开标一览表</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r>
        <w:rPr>
          <w:rFonts w:hint="eastAsia" w:ascii="宋体" w:hAnsi="宋体" w:eastAsia="宋体" w:cs="宋体"/>
          <w:i w:val="0"/>
          <w:iCs w:val="0"/>
          <w:color w:val="auto"/>
          <w:spacing w:val="0"/>
          <w:position w:val="0"/>
          <w:sz w:val="24"/>
          <w:szCs w:val="20"/>
          <w:highlight w:val="none"/>
        </w:rPr>
        <w:t>（实质性格式）</w:t>
      </w:r>
    </w:p>
    <w:p w14:paraId="7836335C">
      <w:pPr>
        <w:pageBreakBefore w:val="0"/>
        <w:wordWrap/>
        <w:topLinePunct w:val="0"/>
        <w:bidi w:val="0"/>
        <w:spacing w:line="360" w:lineRule="auto"/>
        <w:jc w:val="center"/>
        <w:rPr>
          <w:rFonts w:hint="eastAsia" w:ascii="宋体" w:hAnsi="宋体" w:eastAsia="宋体" w:cs="宋体"/>
          <w:b/>
          <w:i w:val="0"/>
          <w:iCs w:val="0"/>
          <w:color w:val="auto"/>
          <w:spacing w:val="0"/>
          <w:position w:val="0"/>
          <w:sz w:val="36"/>
          <w:szCs w:val="36"/>
          <w:highlight w:val="none"/>
        </w:rPr>
      </w:pPr>
      <w:bookmarkStart w:id="950" w:name="_Toc305158826"/>
      <w:bookmarkStart w:id="951" w:name="_Toc164608827"/>
      <w:bookmarkStart w:id="952" w:name="_Toc226309802"/>
      <w:bookmarkStart w:id="953" w:name="_Toc226965831"/>
      <w:bookmarkStart w:id="954" w:name="_Toc226337254"/>
      <w:bookmarkStart w:id="955" w:name="_Toc264969248"/>
      <w:bookmarkStart w:id="956" w:name="_Toc265228396"/>
      <w:bookmarkStart w:id="957" w:name="_Toc164608672"/>
      <w:bookmarkStart w:id="958" w:name="_Toc305158900"/>
      <w:bookmarkStart w:id="959" w:name="_Toc226965748"/>
      <w:bookmarkStart w:id="960" w:name="_Toc195842923"/>
      <w:r>
        <w:rPr>
          <w:rFonts w:hint="eastAsia" w:ascii="宋体" w:hAnsi="宋体" w:eastAsia="宋体" w:cs="宋体"/>
          <w:b/>
          <w:i w:val="0"/>
          <w:iCs w:val="0"/>
          <w:color w:val="auto"/>
          <w:spacing w:val="0"/>
          <w:position w:val="0"/>
          <w:sz w:val="36"/>
          <w:szCs w:val="36"/>
          <w:highlight w:val="none"/>
        </w:rPr>
        <w:t>开标一览表</w:t>
      </w:r>
      <w:bookmarkEnd w:id="950"/>
      <w:bookmarkEnd w:id="951"/>
      <w:bookmarkEnd w:id="952"/>
      <w:bookmarkEnd w:id="953"/>
      <w:bookmarkEnd w:id="954"/>
      <w:bookmarkEnd w:id="955"/>
      <w:bookmarkEnd w:id="956"/>
      <w:bookmarkEnd w:id="957"/>
      <w:bookmarkEnd w:id="958"/>
      <w:bookmarkEnd w:id="959"/>
      <w:bookmarkEnd w:id="960"/>
    </w:p>
    <w:p w14:paraId="5007964C">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0B77C385">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FC32E4A">
      <w:pPr>
        <w:pageBreakBefore w:val="0"/>
        <w:tabs>
          <w:tab w:val="left" w:pos="1800"/>
          <w:tab w:val="left" w:pos="5580"/>
        </w:tabs>
        <w:wordWrap/>
        <w:topLinePunct w:val="0"/>
        <w:bidi w:val="0"/>
        <w:spacing w:line="360" w:lineRule="auto"/>
        <w:ind w:firstLine="240" w:firstLineChars="100"/>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项目编号：_____________________     项目名称：____________</w:t>
      </w:r>
    </w:p>
    <w:tbl>
      <w:tblPr>
        <w:tblStyle w:val="45"/>
        <w:tblW w:w="4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3"/>
        <w:gridCol w:w="4009"/>
        <w:gridCol w:w="2148"/>
        <w:gridCol w:w="2145"/>
      </w:tblGrid>
      <w:tr w14:paraId="77085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1" w:hRule="atLeast"/>
          <w:jc w:val="center"/>
        </w:trPr>
        <w:tc>
          <w:tcPr>
            <w:tcW w:w="411" w:type="pct"/>
            <w:vMerge w:val="restart"/>
            <w:vAlign w:val="center"/>
          </w:tcPr>
          <w:p w14:paraId="5086E31D">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包号</w:t>
            </w:r>
          </w:p>
        </w:tc>
        <w:tc>
          <w:tcPr>
            <w:tcW w:w="2215" w:type="pct"/>
            <w:vMerge w:val="restart"/>
            <w:vAlign w:val="center"/>
          </w:tcPr>
          <w:p w14:paraId="138FB72C">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投标人名称</w:t>
            </w:r>
          </w:p>
        </w:tc>
        <w:tc>
          <w:tcPr>
            <w:tcW w:w="2372" w:type="pct"/>
            <w:gridSpan w:val="2"/>
            <w:vAlign w:val="center"/>
          </w:tcPr>
          <w:p w14:paraId="2F5067E6">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default" w:ascii="宋体" w:hAnsi="宋体" w:eastAsia="宋体" w:cs="宋体"/>
                <w:b/>
                <w:i w:val="0"/>
                <w:iCs w:val="0"/>
                <w:color w:val="auto"/>
                <w:spacing w:val="0"/>
                <w:position w:val="0"/>
                <w:sz w:val="24"/>
                <w:highlight w:val="none"/>
                <w:lang w:val="en-US" w:eastAsia="zh-CN"/>
              </w:rPr>
            </w:pPr>
            <w:r>
              <w:rPr>
                <w:rFonts w:hint="eastAsia" w:ascii="宋体" w:hAnsi="宋体" w:eastAsia="宋体" w:cs="宋体"/>
                <w:b/>
                <w:i w:val="0"/>
                <w:iCs w:val="0"/>
                <w:color w:val="auto"/>
                <w:spacing w:val="0"/>
                <w:position w:val="0"/>
                <w:sz w:val="24"/>
                <w:highlight w:val="none"/>
              </w:rPr>
              <w:t>投标报价</w:t>
            </w:r>
            <w:r>
              <w:rPr>
                <w:rFonts w:hint="eastAsia" w:ascii="宋体" w:hAnsi="宋体" w:eastAsia="宋体" w:cs="宋体"/>
                <w:b/>
                <w:i w:val="0"/>
                <w:iCs w:val="0"/>
                <w:color w:val="auto"/>
                <w:spacing w:val="0"/>
                <w:position w:val="0"/>
                <w:sz w:val="24"/>
                <w:highlight w:val="none"/>
                <w:lang w:eastAsia="zh-CN"/>
              </w:rPr>
              <w:t>（</w:t>
            </w:r>
            <w:r>
              <w:rPr>
                <w:rFonts w:hint="eastAsia" w:ascii="宋体" w:hAnsi="宋体" w:eastAsia="宋体" w:cs="宋体"/>
                <w:b/>
                <w:i w:val="0"/>
                <w:iCs w:val="0"/>
                <w:color w:val="auto"/>
                <w:spacing w:val="0"/>
                <w:position w:val="0"/>
                <w:sz w:val="24"/>
                <w:highlight w:val="none"/>
                <w:lang w:val="en-US" w:eastAsia="zh-CN"/>
              </w:rPr>
              <w:t>元）</w:t>
            </w:r>
          </w:p>
        </w:tc>
      </w:tr>
      <w:tr w14:paraId="1422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411" w:type="pct"/>
            <w:vMerge w:val="continue"/>
            <w:vAlign w:val="center"/>
          </w:tcPr>
          <w:p w14:paraId="7AAB2139">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2215" w:type="pct"/>
            <w:vMerge w:val="continue"/>
            <w:vAlign w:val="center"/>
          </w:tcPr>
          <w:p w14:paraId="63617D78">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7" w:type="pct"/>
            <w:vAlign w:val="center"/>
          </w:tcPr>
          <w:p w14:paraId="298C5363">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大写</w:t>
            </w:r>
          </w:p>
        </w:tc>
        <w:tc>
          <w:tcPr>
            <w:tcW w:w="1185" w:type="pct"/>
            <w:vAlign w:val="center"/>
          </w:tcPr>
          <w:p w14:paraId="357E2F37">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小写</w:t>
            </w:r>
          </w:p>
        </w:tc>
      </w:tr>
      <w:tr w14:paraId="4503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8" w:hRule="atLeast"/>
          <w:jc w:val="center"/>
        </w:trPr>
        <w:tc>
          <w:tcPr>
            <w:tcW w:w="411" w:type="pct"/>
            <w:vAlign w:val="center"/>
          </w:tcPr>
          <w:p w14:paraId="6BBB74F2">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2215" w:type="pct"/>
            <w:vAlign w:val="center"/>
          </w:tcPr>
          <w:p w14:paraId="6E444E4D">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7" w:type="pct"/>
            <w:vAlign w:val="center"/>
          </w:tcPr>
          <w:p w14:paraId="58A41DC1">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185" w:type="pct"/>
            <w:vAlign w:val="center"/>
          </w:tcPr>
          <w:p w14:paraId="329A0354">
            <w:pPr>
              <w:keepNext w:val="0"/>
              <w:keepLines w:val="0"/>
              <w:pageBreakBefore w:val="0"/>
              <w:widowControl w:val="0"/>
              <w:tabs>
                <w:tab w:val="left" w:pos="5580"/>
              </w:tabs>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spacing w:val="0"/>
                <w:position w:val="0"/>
                <w:sz w:val="24"/>
                <w:highlight w:val="none"/>
              </w:rPr>
            </w:pPr>
          </w:p>
        </w:tc>
      </w:tr>
    </w:tbl>
    <w:p w14:paraId="668AD622">
      <w:pPr>
        <w:pageBreakBefore w:val="0"/>
        <w:wordWrap/>
        <w:topLinePunct w:val="0"/>
        <w:autoSpaceDE w:val="0"/>
        <w:autoSpaceDN w:val="0"/>
        <w:bidi w:val="0"/>
        <w:adjustRightInd w:val="0"/>
        <w:spacing w:line="360" w:lineRule="auto"/>
        <w:jc w:val="left"/>
        <w:rPr>
          <w:rFonts w:hint="eastAsia" w:ascii="宋体" w:hAnsi="宋体" w:eastAsia="宋体" w:cs="宋体"/>
          <w:i w:val="0"/>
          <w:iCs w:val="0"/>
          <w:color w:val="auto"/>
          <w:spacing w:val="0"/>
          <w:kern w:val="0"/>
          <w:position w:val="0"/>
          <w:sz w:val="24"/>
          <w:highlight w:val="none"/>
        </w:rPr>
      </w:pPr>
    </w:p>
    <w:p w14:paraId="34830E44">
      <w:pPr>
        <w:pageBreakBefore w:val="0"/>
        <w:wordWrap/>
        <w:topLinePunct w:val="0"/>
        <w:autoSpaceDE w:val="0"/>
        <w:autoSpaceDN w:val="0"/>
        <w:bidi w:val="0"/>
        <w:adjustRightInd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kern w:val="0"/>
          <w:position w:val="0"/>
          <w:sz w:val="24"/>
          <w:highlight w:val="none"/>
        </w:rPr>
        <w:t>注：1</w:t>
      </w:r>
      <w:r>
        <w:rPr>
          <w:rFonts w:hint="eastAsia" w:ascii="宋体" w:hAnsi="宋体" w:eastAsia="宋体" w:cs="宋体"/>
          <w:i w:val="0"/>
          <w:iCs w:val="0"/>
          <w:color w:val="auto"/>
          <w:spacing w:val="0"/>
          <w:position w:val="0"/>
          <w:sz w:val="24"/>
          <w:szCs w:val="20"/>
          <w:highlight w:val="none"/>
        </w:rPr>
        <w:t>.此表中，每包的投标报价应和《投标分项报价表》中的总价相一致。</w:t>
      </w:r>
    </w:p>
    <w:p w14:paraId="7F07C4C8">
      <w:pPr>
        <w:pageBreakBefore w:val="0"/>
        <w:tabs>
          <w:tab w:val="left" w:pos="5580"/>
        </w:tabs>
        <w:wordWrap/>
        <w:topLinePunct w:val="0"/>
        <w:bidi w:val="0"/>
        <w:spacing w:line="360" w:lineRule="auto"/>
        <w:ind w:firstLine="480" w:firstLineChars="200"/>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2.本表必须按包分别填写。</w:t>
      </w:r>
    </w:p>
    <w:p w14:paraId="5B8D1562">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3BE5AFC4">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49E8B2E4">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5501CDCD">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szCs w:val="20"/>
          <w:highlight w:val="none"/>
        </w:rPr>
        <w:sectPr>
          <w:headerReference r:id="rId16" w:type="first"/>
          <w:footerReference r:id="rId18" w:type="first"/>
          <w:headerReference r:id="rId15" w:type="default"/>
          <w:footerReference r:id="rId17" w:type="default"/>
          <w:pgSz w:w="11907" w:h="16840"/>
          <w:pgMar w:top="1417" w:right="1417" w:bottom="1417" w:left="1417" w:header="1134" w:footer="1134" w:gutter="0"/>
          <w:pgBorders>
            <w:top w:val="none" w:sz="0" w:space="0"/>
            <w:left w:val="none" w:sz="0" w:space="0"/>
            <w:bottom w:val="none" w:sz="0" w:space="0"/>
            <w:right w:val="none" w:sz="0" w:space="0"/>
          </w:pgBorders>
          <w:pgNumType w:fmt="decimal"/>
          <w:cols w:space="0" w:num="1"/>
          <w:titlePg/>
          <w:rtlGutter w:val="0"/>
          <w:docGrid w:linePitch="462" w:charSpace="0"/>
        </w:sectPr>
      </w:pPr>
      <w:r>
        <w:rPr>
          <w:rFonts w:hint="eastAsia" w:ascii="宋体" w:hAnsi="宋体" w:eastAsia="宋体" w:cs="宋体"/>
          <w:i w:val="0"/>
          <w:iCs w:val="0"/>
          <w:color w:val="auto"/>
          <w:spacing w:val="0"/>
          <w:position w:val="0"/>
          <w:sz w:val="24"/>
          <w:szCs w:val="20"/>
          <w:highlight w:val="none"/>
        </w:rPr>
        <w:t>日期：_____年______月______</w:t>
      </w:r>
    </w:p>
    <w:p w14:paraId="628FA640">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szCs w:val="20"/>
          <w:highlight w:val="none"/>
          <w:lang w:val="zh-CN"/>
        </w:rPr>
      </w:pPr>
    </w:p>
    <w:p w14:paraId="09040E62">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bookmarkStart w:id="961" w:name="_Toc305158901"/>
      <w:bookmarkStart w:id="962" w:name="_Toc264969249"/>
      <w:bookmarkStart w:id="963" w:name="_Toc150480796"/>
      <w:bookmarkStart w:id="964" w:name="_Toc127151558"/>
      <w:bookmarkStart w:id="965" w:name="_Toc226965832"/>
      <w:bookmarkStart w:id="966" w:name="_Toc226965749"/>
      <w:bookmarkStart w:id="967" w:name="_Toc226337255"/>
      <w:bookmarkStart w:id="968" w:name="_Toc226309803"/>
      <w:bookmarkStart w:id="969" w:name="_Toc305158827"/>
      <w:bookmarkStart w:id="970" w:name="_Toc150774763"/>
      <w:bookmarkStart w:id="971" w:name="_Toc142311060"/>
      <w:bookmarkStart w:id="972" w:name="_Toc265228397"/>
      <w:bookmarkStart w:id="973" w:name="_Toc195842924"/>
      <w:r>
        <w:rPr>
          <w:rFonts w:hint="eastAsia" w:ascii="宋体" w:hAnsi="宋体" w:eastAsia="宋体" w:cs="宋体"/>
          <w:i w:val="0"/>
          <w:iCs w:val="0"/>
          <w:color w:val="auto"/>
          <w:spacing w:val="0"/>
          <w:position w:val="0"/>
          <w:sz w:val="24"/>
          <w:szCs w:val="20"/>
          <w:highlight w:val="none"/>
        </w:rPr>
        <w:t>投标分项报价表</w:t>
      </w:r>
      <w:bookmarkEnd w:id="961"/>
      <w:bookmarkEnd w:id="962"/>
      <w:bookmarkEnd w:id="963"/>
      <w:bookmarkEnd w:id="964"/>
      <w:bookmarkEnd w:id="965"/>
      <w:bookmarkEnd w:id="966"/>
      <w:bookmarkEnd w:id="967"/>
      <w:bookmarkEnd w:id="968"/>
      <w:bookmarkEnd w:id="969"/>
      <w:bookmarkEnd w:id="970"/>
      <w:bookmarkEnd w:id="971"/>
      <w:bookmarkEnd w:id="972"/>
      <w:bookmarkEnd w:id="973"/>
      <w:r>
        <w:rPr>
          <w:rFonts w:hint="eastAsia" w:ascii="宋体" w:hAnsi="宋体" w:eastAsia="宋体" w:cs="宋体"/>
          <w:i w:val="0"/>
          <w:iCs w:val="0"/>
          <w:color w:val="auto"/>
          <w:spacing w:val="0"/>
          <w:position w:val="0"/>
          <w:sz w:val="24"/>
          <w:szCs w:val="20"/>
          <w:highlight w:val="none"/>
        </w:rPr>
        <w:t>（实质性格式）</w:t>
      </w:r>
    </w:p>
    <w:p w14:paraId="28B31E5C">
      <w:pPr>
        <w:pageBreakBefore w:val="0"/>
        <w:wordWrap/>
        <w:topLinePunct w:val="0"/>
        <w:bidi w:val="0"/>
        <w:spacing w:line="360" w:lineRule="auto"/>
        <w:jc w:val="center"/>
        <w:rPr>
          <w:rFonts w:hint="eastAsia" w:ascii="宋体" w:hAnsi="宋体" w:eastAsia="宋体" w:cs="宋体"/>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投标分项报价表</w:t>
      </w:r>
    </w:p>
    <w:p w14:paraId="490C285A">
      <w:pPr>
        <w:pageBreakBefore w:val="0"/>
        <w:wordWrap/>
        <w:topLinePunct w:val="0"/>
        <w:bidi w:val="0"/>
        <w:adjustRightInd w:val="0"/>
        <w:snapToGrid w:val="0"/>
        <w:spacing w:before="240" w:beforeLines="100" w:after="240" w:afterLines="100" w:line="360" w:lineRule="auto"/>
        <w:jc w:val="left"/>
        <w:rPr>
          <w:rFonts w:hint="eastAsia" w:ascii="宋体" w:hAnsi="宋体" w:eastAsia="宋体" w:cs="宋体"/>
          <w:b/>
          <w:i w:val="0"/>
          <w:iCs w:val="0"/>
          <w:color w:val="auto"/>
          <w:spacing w:val="0"/>
          <w:position w:val="0"/>
          <w:sz w:val="24"/>
          <w:highlight w:val="none"/>
        </w:rPr>
      </w:pPr>
    </w:p>
    <w:p w14:paraId="312C320C">
      <w:pPr>
        <w:pageBreakBefore w:val="0"/>
        <w:tabs>
          <w:tab w:val="left" w:pos="1800"/>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项目编号/包号：___________ 项目名称：__________报价单位：人民币元</w:t>
      </w:r>
    </w:p>
    <w:tbl>
      <w:tblPr>
        <w:tblStyle w:val="45"/>
        <w:tblW w:w="45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5067"/>
        <w:gridCol w:w="1609"/>
        <w:gridCol w:w="1658"/>
        <w:gridCol w:w="2154"/>
        <w:gridCol w:w="1548"/>
      </w:tblGrid>
      <w:tr w14:paraId="66AC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309" w:type="pct"/>
            <w:vAlign w:val="center"/>
          </w:tcPr>
          <w:p w14:paraId="4303E3C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序号</w:t>
            </w:r>
          </w:p>
        </w:tc>
        <w:tc>
          <w:tcPr>
            <w:tcW w:w="1974" w:type="pct"/>
            <w:vAlign w:val="center"/>
          </w:tcPr>
          <w:p w14:paraId="0017DA4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分项名称</w:t>
            </w:r>
          </w:p>
        </w:tc>
        <w:tc>
          <w:tcPr>
            <w:tcW w:w="627" w:type="pct"/>
            <w:vAlign w:val="center"/>
          </w:tcPr>
          <w:p w14:paraId="157ACCB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单价（元）</w:t>
            </w:r>
          </w:p>
        </w:tc>
        <w:tc>
          <w:tcPr>
            <w:tcW w:w="646" w:type="pct"/>
            <w:vAlign w:val="center"/>
          </w:tcPr>
          <w:p w14:paraId="3BE7753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数量</w:t>
            </w:r>
          </w:p>
        </w:tc>
        <w:tc>
          <w:tcPr>
            <w:tcW w:w="839" w:type="pct"/>
            <w:vAlign w:val="center"/>
          </w:tcPr>
          <w:p w14:paraId="191E87E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合价（元）</w:t>
            </w:r>
          </w:p>
        </w:tc>
        <w:tc>
          <w:tcPr>
            <w:tcW w:w="603" w:type="pct"/>
            <w:vAlign w:val="center"/>
          </w:tcPr>
          <w:p w14:paraId="25FE4A4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b/>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备注/说明</w:t>
            </w:r>
          </w:p>
        </w:tc>
      </w:tr>
      <w:tr w14:paraId="6ACD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Merge w:val="restart"/>
            <w:vAlign w:val="center"/>
          </w:tcPr>
          <w:p w14:paraId="51D44B7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1</w:t>
            </w:r>
          </w:p>
        </w:tc>
        <w:tc>
          <w:tcPr>
            <w:tcW w:w="1974" w:type="pct"/>
            <w:vMerge w:val="restart"/>
            <w:vAlign w:val="center"/>
          </w:tcPr>
          <w:p w14:paraId="67158FA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扬尘精细化治理服务：1</w:t>
            </w:r>
            <w:r>
              <w:rPr>
                <w:rFonts w:hint="eastAsia" w:ascii="宋体" w:hAnsi="宋体" w:eastAsia="宋体" w:cs="宋体"/>
                <w:i w:val="0"/>
                <w:iCs w:val="0"/>
                <w:color w:val="auto"/>
                <w:spacing w:val="0"/>
                <w:position w:val="0"/>
                <w:sz w:val="21"/>
                <w:szCs w:val="21"/>
                <w:highlight w:val="none"/>
                <w:lang w:eastAsia="zh-CN"/>
              </w:rPr>
              <w:t>、</w:t>
            </w:r>
            <w:r>
              <w:rPr>
                <w:rFonts w:hint="eastAsia" w:ascii="宋体" w:hAnsi="宋体" w:eastAsia="宋体" w:cs="宋体"/>
                <w:i w:val="0"/>
                <w:iCs w:val="0"/>
                <w:color w:val="auto"/>
                <w:spacing w:val="0"/>
                <w:position w:val="0"/>
                <w:sz w:val="21"/>
                <w:szCs w:val="21"/>
                <w:highlight w:val="none"/>
              </w:rPr>
              <w:t>重点区域微环境浮尘深度治理</w:t>
            </w:r>
          </w:p>
        </w:tc>
        <w:tc>
          <w:tcPr>
            <w:tcW w:w="627" w:type="pct"/>
            <w:vAlign w:val="center"/>
          </w:tcPr>
          <w:p w14:paraId="715393E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5AC90FE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p>
        </w:tc>
        <w:tc>
          <w:tcPr>
            <w:tcW w:w="839" w:type="pct"/>
            <w:vAlign w:val="center"/>
          </w:tcPr>
          <w:p w14:paraId="061475D5">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4B15FD3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1ED64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Merge w:val="restart"/>
            <w:vAlign w:val="center"/>
          </w:tcPr>
          <w:p w14:paraId="7B5B9DB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2</w:t>
            </w:r>
          </w:p>
        </w:tc>
        <w:tc>
          <w:tcPr>
            <w:tcW w:w="1974" w:type="pct"/>
            <w:vMerge w:val="restart"/>
            <w:vAlign w:val="center"/>
          </w:tcPr>
          <w:p w14:paraId="2B1DBA0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扬尘精细化治理服务：2、重点区域道路扬尘精细化专项治理</w:t>
            </w:r>
          </w:p>
        </w:tc>
        <w:tc>
          <w:tcPr>
            <w:tcW w:w="627" w:type="pct"/>
            <w:vAlign w:val="center"/>
          </w:tcPr>
          <w:p w14:paraId="4BCA100E">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2FA4A40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53A26C1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4FE83ED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09C1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Merge w:val="restart"/>
            <w:vAlign w:val="center"/>
          </w:tcPr>
          <w:p w14:paraId="214F9CD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3</w:t>
            </w:r>
          </w:p>
        </w:tc>
        <w:tc>
          <w:tcPr>
            <w:tcW w:w="1974" w:type="pct"/>
            <w:vMerge w:val="restart"/>
            <w:vAlign w:val="center"/>
          </w:tcPr>
          <w:p w14:paraId="48D48A1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颗粒物来源解析服务：1、颗粒物组分立体监测</w:t>
            </w:r>
          </w:p>
        </w:tc>
        <w:tc>
          <w:tcPr>
            <w:tcW w:w="627" w:type="pct"/>
            <w:vAlign w:val="center"/>
          </w:tcPr>
          <w:p w14:paraId="498CC0D3">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74F6E9C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066657D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4689852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4F7EC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Merge w:val="restart"/>
            <w:vAlign w:val="center"/>
          </w:tcPr>
          <w:p w14:paraId="23F4ADA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4</w:t>
            </w:r>
          </w:p>
        </w:tc>
        <w:tc>
          <w:tcPr>
            <w:tcW w:w="1974" w:type="pct"/>
            <w:vMerge w:val="restart"/>
            <w:vAlign w:val="center"/>
          </w:tcPr>
          <w:p w14:paraId="0963791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颗粒物来源解析服务：2、立体监测能力提升优化</w:t>
            </w:r>
          </w:p>
        </w:tc>
        <w:tc>
          <w:tcPr>
            <w:tcW w:w="627" w:type="pct"/>
            <w:vAlign w:val="center"/>
          </w:tcPr>
          <w:p w14:paraId="00779A5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5B9CBB3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057E433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4276B2E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5451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Align w:val="center"/>
          </w:tcPr>
          <w:p w14:paraId="79A36CB2">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5</w:t>
            </w:r>
          </w:p>
        </w:tc>
        <w:tc>
          <w:tcPr>
            <w:tcW w:w="1974" w:type="pct"/>
            <w:vAlign w:val="center"/>
          </w:tcPr>
          <w:p w14:paraId="3E7B994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p w14:paraId="6A4ED85E">
            <w:pPr>
              <w:bidi w:val="0"/>
              <w:jc w:val="center"/>
              <w:rPr>
                <w:rFonts w:hint="eastAsia" w:ascii="宋体" w:hAnsi="宋体" w:eastAsia="宋体" w:cs="宋体"/>
                <w:kern w:val="2"/>
                <w:sz w:val="21"/>
                <w:szCs w:val="21"/>
                <w:lang w:val="en-US" w:eastAsia="zh-CN" w:bidi="ar-SA"/>
              </w:rPr>
            </w:pPr>
          </w:p>
          <w:p w14:paraId="14DE87C1">
            <w:pPr>
              <w:bidi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颗粒物来源解析服务：3、重点区域空气质量综合分析</w:t>
            </w:r>
          </w:p>
          <w:p w14:paraId="6949B9E0">
            <w:pPr>
              <w:bidi w:val="0"/>
              <w:jc w:val="center"/>
              <w:rPr>
                <w:rFonts w:hint="eastAsia" w:ascii="宋体" w:hAnsi="宋体" w:eastAsia="宋体" w:cs="宋体"/>
                <w:sz w:val="21"/>
                <w:szCs w:val="21"/>
                <w:lang w:val="en-US" w:eastAsia="zh-CN"/>
              </w:rPr>
            </w:pPr>
          </w:p>
          <w:p w14:paraId="35B66E3E">
            <w:pPr>
              <w:bidi w:val="0"/>
              <w:jc w:val="center"/>
              <w:rPr>
                <w:rFonts w:hint="eastAsia" w:ascii="宋体" w:hAnsi="宋体" w:eastAsia="宋体" w:cs="宋体"/>
                <w:sz w:val="21"/>
                <w:szCs w:val="21"/>
                <w:lang w:val="en-US" w:eastAsia="zh-CN"/>
              </w:rPr>
            </w:pPr>
          </w:p>
          <w:p w14:paraId="7372C65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627" w:type="pct"/>
            <w:vAlign w:val="center"/>
          </w:tcPr>
          <w:p w14:paraId="465A1A7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15520D3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04710BF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2FB057B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143A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Align w:val="center"/>
          </w:tcPr>
          <w:p w14:paraId="0913277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6</w:t>
            </w:r>
          </w:p>
        </w:tc>
        <w:tc>
          <w:tcPr>
            <w:tcW w:w="1974" w:type="pct"/>
            <w:vAlign w:val="center"/>
          </w:tcPr>
          <w:p w14:paraId="33CD0B53">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颗粒物来源解析服务：4、精细化溯源巡查排查</w:t>
            </w:r>
          </w:p>
        </w:tc>
        <w:tc>
          <w:tcPr>
            <w:tcW w:w="627" w:type="pct"/>
            <w:vAlign w:val="center"/>
          </w:tcPr>
          <w:p w14:paraId="4822DA3C">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43DFB56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20BE650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3729C2A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37B2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309" w:type="pct"/>
            <w:vAlign w:val="center"/>
          </w:tcPr>
          <w:p w14:paraId="793A209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lang w:val="en-US" w:eastAsia="zh-CN"/>
              </w:rPr>
            </w:pPr>
            <w:r>
              <w:rPr>
                <w:rFonts w:hint="eastAsia" w:ascii="宋体" w:hAnsi="宋体" w:eastAsia="宋体" w:cs="宋体"/>
                <w:i w:val="0"/>
                <w:iCs w:val="0"/>
                <w:color w:val="auto"/>
                <w:spacing w:val="0"/>
                <w:position w:val="0"/>
                <w:sz w:val="21"/>
                <w:szCs w:val="21"/>
                <w:highlight w:val="none"/>
                <w:lang w:val="en-US" w:eastAsia="zh-CN"/>
              </w:rPr>
              <w:t>7</w:t>
            </w:r>
          </w:p>
        </w:tc>
        <w:tc>
          <w:tcPr>
            <w:tcW w:w="1974" w:type="pct"/>
            <w:vAlign w:val="center"/>
          </w:tcPr>
          <w:p w14:paraId="19D8C52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i w:val="0"/>
                <w:iCs w:val="0"/>
                <w:color w:val="auto"/>
                <w:spacing w:val="0"/>
                <w:position w:val="0"/>
                <w:sz w:val="21"/>
                <w:szCs w:val="21"/>
                <w:highlight w:val="none"/>
              </w:rPr>
              <w:t>污染应急指导管控服务</w:t>
            </w:r>
          </w:p>
        </w:tc>
        <w:tc>
          <w:tcPr>
            <w:tcW w:w="627" w:type="pct"/>
            <w:vAlign w:val="center"/>
          </w:tcPr>
          <w:p w14:paraId="50000282">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46" w:type="pct"/>
            <w:vAlign w:val="center"/>
          </w:tcPr>
          <w:p w14:paraId="26C681A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p>
        </w:tc>
        <w:tc>
          <w:tcPr>
            <w:tcW w:w="839" w:type="pct"/>
            <w:vAlign w:val="center"/>
          </w:tcPr>
          <w:p w14:paraId="044B2E4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0B839EFB">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r w14:paraId="65FC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556" w:type="pct"/>
            <w:gridSpan w:val="4"/>
            <w:vAlign w:val="center"/>
          </w:tcPr>
          <w:p w14:paraId="6D838F2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1"/>
                <w:szCs w:val="21"/>
                <w:highlight w:val="none"/>
              </w:rPr>
            </w:pPr>
            <w:r>
              <w:rPr>
                <w:rFonts w:hint="eastAsia" w:ascii="宋体" w:hAnsi="宋体" w:eastAsia="宋体" w:cs="宋体"/>
                <w:b/>
                <w:i w:val="0"/>
                <w:iCs w:val="0"/>
                <w:color w:val="auto"/>
                <w:spacing w:val="0"/>
                <w:position w:val="0"/>
                <w:sz w:val="21"/>
                <w:szCs w:val="21"/>
                <w:highlight w:val="none"/>
              </w:rPr>
              <w:t>总价（元）</w:t>
            </w:r>
          </w:p>
        </w:tc>
        <w:tc>
          <w:tcPr>
            <w:tcW w:w="839" w:type="pct"/>
            <w:vAlign w:val="center"/>
          </w:tcPr>
          <w:p w14:paraId="0EF8B7D6">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c>
          <w:tcPr>
            <w:tcW w:w="603" w:type="pct"/>
            <w:vAlign w:val="center"/>
          </w:tcPr>
          <w:p w14:paraId="1CC19D30">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1"/>
                <w:szCs w:val="21"/>
                <w:highlight w:val="none"/>
              </w:rPr>
            </w:pPr>
          </w:p>
        </w:tc>
      </w:tr>
    </w:tbl>
    <w:p w14:paraId="320CCB3C">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649CF1AF">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注：1.本表应按包分别填写。</w:t>
      </w:r>
    </w:p>
    <w:p w14:paraId="1F75987F">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2.如果不提供分项报价将视为没有实质性响应招标文件。</w:t>
      </w:r>
    </w:p>
    <w:p w14:paraId="70BEAF02">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3.上述各项的详细规格（如有），可另页描述。</w:t>
      </w:r>
    </w:p>
    <w:p w14:paraId="3BB36642">
      <w:pPr>
        <w:keepNext w:val="0"/>
        <w:keepLines w:val="0"/>
        <w:pageBreakBefore w:val="0"/>
        <w:widowControl w:val="0"/>
        <w:tabs>
          <w:tab w:val="left" w:pos="1800"/>
          <w:tab w:val="left" w:pos="5580"/>
        </w:tabs>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4.制造商规模列应填写</w:t>
      </w:r>
      <w:bookmarkStart w:id="974" w:name="_Hlk168431865"/>
      <w:bookmarkStart w:id="975" w:name="_Hlk168431972"/>
      <w:bookmarkStart w:id="976" w:name="_Hlk144194261"/>
      <w:r>
        <w:rPr>
          <w:rFonts w:hint="eastAsia" w:ascii="宋体" w:hAnsi="宋体" w:eastAsia="宋体" w:cs="宋体"/>
          <w:i w:val="0"/>
          <w:iCs w:val="0"/>
          <w:color w:val="auto"/>
          <w:spacing w:val="0"/>
          <w:position w:val="0"/>
          <w:sz w:val="24"/>
          <w:highlight w:val="none"/>
        </w:rPr>
        <w:t>“大型”、</w:t>
      </w:r>
      <w:bookmarkEnd w:id="974"/>
      <w:r>
        <w:rPr>
          <w:rFonts w:hint="eastAsia" w:ascii="宋体" w:hAnsi="宋体" w:eastAsia="宋体" w:cs="宋体"/>
          <w:i w:val="0"/>
          <w:iCs w:val="0"/>
          <w:color w:val="auto"/>
          <w:spacing w:val="0"/>
          <w:position w:val="0"/>
          <w:sz w:val="24"/>
          <w:highlight w:val="none"/>
        </w:rPr>
        <w:t>“</w:t>
      </w:r>
      <w:bookmarkEnd w:id="975"/>
      <w:r>
        <w:rPr>
          <w:rFonts w:hint="eastAsia" w:ascii="宋体" w:hAnsi="宋体" w:eastAsia="宋体" w:cs="宋体"/>
          <w:i w:val="0"/>
          <w:iCs w:val="0"/>
          <w:color w:val="auto"/>
          <w:spacing w:val="0"/>
          <w:position w:val="0"/>
          <w:sz w:val="24"/>
          <w:highlight w:val="none"/>
        </w:rPr>
        <w:t>中型”、“小型”、“微型”或“其他”</w:t>
      </w:r>
      <w:bookmarkEnd w:id="976"/>
      <w:r>
        <w:rPr>
          <w:rFonts w:hint="eastAsia" w:ascii="宋体" w:hAnsi="宋体" w:eastAsia="宋体" w:cs="宋体"/>
          <w:i w:val="0"/>
          <w:iCs w:val="0"/>
          <w:color w:val="auto"/>
          <w:spacing w:val="0"/>
          <w:position w:val="0"/>
          <w:sz w:val="24"/>
          <w:highlight w:val="none"/>
        </w:rPr>
        <w:t>，且不应与《中小企业声明函》或《拟分包情况说明》中内容矛盾。制造商所属性别请填写“男”或“女”，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p w14:paraId="413FD7CA">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1000889E">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1D0D6D2D">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：____________</w:t>
      </w:r>
    </w:p>
    <w:p w14:paraId="78DB3289">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szCs w:val="20"/>
          <w:highlight w:val="none"/>
        </w:rPr>
        <w:sectPr>
          <w:pgSz w:w="16840" w:h="11907" w:orient="landscape"/>
          <w:pgMar w:top="1417" w:right="1417" w:bottom="1417" w:left="1417" w:header="1134" w:footer="1134" w:gutter="0"/>
          <w:pgBorders>
            <w:top w:val="none" w:sz="0" w:space="0"/>
            <w:left w:val="none" w:sz="0" w:space="0"/>
            <w:bottom w:val="none" w:sz="0" w:space="0"/>
            <w:right w:val="none" w:sz="0" w:space="0"/>
          </w:pgBorders>
          <w:pgNumType w:fmt="decimal"/>
          <w:cols w:space="0" w:num="1"/>
          <w:titlePg/>
          <w:rtlGutter w:val="0"/>
          <w:docGrid w:linePitch="462" w:charSpace="0"/>
        </w:sectPr>
      </w:pPr>
      <w:r>
        <w:rPr>
          <w:rFonts w:hint="eastAsia" w:ascii="宋体" w:hAnsi="宋体" w:eastAsia="宋体" w:cs="宋体"/>
          <w:i w:val="0"/>
          <w:iCs w:val="0"/>
          <w:color w:val="auto"/>
          <w:spacing w:val="0"/>
          <w:position w:val="0"/>
          <w:sz w:val="24"/>
          <w:szCs w:val="20"/>
          <w:highlight w:val="none"/>
        </w:rPr>
        <w:t>日期：_____年______月______日</w:t>
      </w:r>
    </w:p>
    <w:p w14:paraId="63D699E7">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bookmarkStart w:id="977" w:name="_Toc226337258"/>
      <w:bookmarkStart w:id="978" w:name="_Toc127151562"/>
      <w:bookmarkStart w:id="979" w:name="_Toc150774765"/>
      <w:bookmarkStart w:id="980" w:name="_Toc150480798"/>
      <w:bookmarkStart w:id="981" w:name="_Toc305158904"/>
      <w:bookmarkStart w:id="982" w:name="_Toc265228400"/>
      <w:bookmarkStart w:id="983" w:name="_Toc195842927"/>
      <w:bookmarkStart w:id="984" w:name="_Toc226965835"/>
      <w:bookmarkStart w:id="985" w:name="_Toc305158830"/>
      <w:bookmarkStart w:id="986" w:name="_Toc264969252"/>
      <w:bookmarkStart w:id="987" w:name="_Toc226965752"/>
      <w:bookmarkStart w:id="988" w:name="_Toc226309806"/>
      <w:bookmarkStart w:id="989" w:name="_Toc142311062"/>
      <w:bookmarkStart w:id="990" w:name="_Toc127151561"/>
      <w:bookmarkStart w:id="991" w:name="_Toc305158903"/>
      <w:bookmarkStart w:id="992" w:name="_Toc142311061"/>
      <w:bookmarkStart w:id="993" w:name="_Toc195842926"/>
      <w:bookmarkStart w:id="994" w:name="_Toc265228399"/>
      <w:bookmarkStart w:id="995" w:name="_Toc226965834"/>
      <w:bookmarkStart w:id="996" w:name="_Toc226965751"/>
      <w:bookmarkStart w:id="997" w:name="_Toc150480797"/>
      <w:bookmarkStart w:id="998" w:name="_Toc264969251"/>
      <w:bookmarkStart w:id="999" w:name="_Toc226337257"/>
      <w:bookmarkStart w:id="1000" w:name="_Toc305158829"/>
      <w:bookmarkStart w:id="1001" w:name="_Toc150774764"/>
      <w:bookmarkStart w:id="1002" w:name="_Toc226309805"/>
      <w:r>
        <w:rPr>
          <w:rFonts w:hint="eastAsia" w:ascii="宋体" w:hAnsi="宋体" w:eastAsia="宋体" w:cs="宋体"/>
          <w:i w:val="0"/>
          <w:iCs w:val="0"/>
          <w:color w:val="auto"/>
          <w:spacing w:val="0"/>
          <w:position w:val="0"/>
          <w:sz w:val="24"/>
          <w:szCs w:val="20"/>
          <w:highlight w:val="none"/>
        </w:rPr>
        <w:t>合同条款偏离表</w:t>
      </w:r>
      <w:bookmarkEnd w:id="977"/>
      <w:bookmarkEnd w:id="978"/>
      <w:bookmarkEnd w:id="979"/>
      <w:bookmarkEnd w:id="980"/>
      <w:bookmarkEnd w:id="981"/>
      <w:bookmarkEnd w:id="982"/>
      <w:bookmarkEnd w:id="983"/>
      <w:bookmarkEnd w:id="984"/>
      <w:bookmarkEnd w:id="985"/>
      <w:bookmarkEnd w:id="986"/>
      <w:bookmarkEnd w:id="987"/>
      <w:bookmarkEnd w:id="988"/>
      <w:bookmarkEnd w:id="989"/>
      <w:r>
        <w:rPr>
          <w:rFonts w:hint="eastAsia" w:ascii="宋体" w:hAnsi="宋体" w:eastAsia="宋体" w:cs="宋体"/>
          <w:i w:val="0"/>
          <w:iCs w:val="0"/>
          <w:color w:val="auto"/>
          <w:spacing w:val="0"/>
          <w:position w:val="0"/>
          <w:sz w:val="24"/>
          <w:szCs w:val="20"/>
          <w:highlight w:val="none"/>
        </w:rPr>
        <w:t>（实质性格式）</w:t>
      </w:r>
    </w:p>
    <w:p w14:paraId="21ACE3AD">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327BEB08">
      <w:pPr>
        <w:pageBreakBefore w:val="0"/>
        <w:tabs>
          <w:tab w:val="left" w:pos="2775"/>
          <w:tab w:val="center" w:pos="4153"/>
        </w:tabs>
        <w:wordWrap/>
        <w:topLinePunct w:val="0"/>
        <w:autoSpaceDE w:val="0"/>
        <w:autoSpaceDN w:val="0"/>
        <w:bidi w:val="0"/>
        <w:adjustRightInd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合同条款偏离表</w:t>
      </w:r>
    </w:p>
    <w:p w14:paraId="762A5404">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项目编号/包号：_____________________     项目名称：_____________</w:t>
      </w:r>
    </w:p>
    <w:tbl>
      <w:tblPr>
        <w:tblStyle w:val="4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0"/>
        <w:gridCol w:w="1736"/>
        <w:gridCol w:w="1632"/>
        <w:gridCol w:w="1631"/>
        <w:gridCol w:w="1824"/>
        <w:gridCol w:w="1110"/>
      </w:tblGrid>
      <w:tr w14:paraId="2D14E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6BB1FA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bookmarkStart w:id="1003" w:name="_Hlk144279231"/>
            <w:r>
              <w:rPr>
                <w:rFonts w:hint="eastAsia" w:ascii="宋体" w:hAnsi="宋体" w:eastAsia="宋体" w:cs="宋体"/>
                <w:i w:val="0"/>
                <w:iCs w:val="0"/>
                <w:color w:val="auto"/>
                <w:spacing w:val="0"/>
                <w:position w:val="0"/>
                <w:sz w:val="24"/>
                <w:highlight w:val="none"/>
              </w:rPr>
              <w:t>序号</w:t>
            </w:r>
          </w:p>
        </w:tc>
        <w:tc>
          <w:tcPr>
            <w:tcW w:w="1646" w:type="dxa"/>
            <w:vAlign w:val="center"/>
          </w:tcPr>
          <w:p w14:paraId="6B25BF0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1"/>
                <w:highlight w:val="none"/>
              </w:rPr>
              <w:t>招标文件</w:t>
            </w:r>
            <w:r>
              <w:rPr>
                <w:rFonts w:hint="eastAsia" w:ascii="宋体" w:hAnsi="宋体" w:eastAsia="宋体" w:cs="宋体"/>
                <w:i w:val="0"/>
                <w:iCs w:val="0"/>
                <w:color w:val="auto"/>
                <w:spacing w:val="0"/>
                <w:position w:val="0"/>
                <w:sz w:val="24"/>
                <w:highlight w:val="none"/>
              </w:rPr>
              <w:t>条目号（页码）</w:t>
            </w:r>
          </w:p>
        </w:tc>
        <w:tc>
          <w:tcPr>
            <w:tcW w:w="1688" w:type="dxa"/>
            <w:vAlign w:val="center"/>
          </w:tcPr>
          <w:p w14:paraId="0FD298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szCs w:val="21"/>
                <w:highlight w:val="none"/>
              </w:rPr>
              <w:t>招标文件</w:t>
            </w:r>
            <w:r>
              <w:rPr>
                <w:rFonts w:hint="eastAsia" w:ascii="宋体" w:hAnsi="宋体" w:eastAsia="宋体" w:cs="宋体"/>
                <w:i w:val="0"/>
                <w:iCs w:val="0"/>
                <w:color w:val="auto"/>
                <w:spacing w:val="0"/>
                <w:position w:val="0"/>
                <w:sz w:val="24"/>
                <w:highlight w:val="none"/>
              </w:rPr>
              <w:t>要求</w:t>
            </w:r>
          </w:p>
        </w:tc>
        <w:tc>
          <w:tcPr>
            <w:tcW w:w="1688" w:type="dxa"/>
            <w:vAlign w:val="center"/>
          </w:tcPr>
          <w:p w14:paraId="572DC8D8">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投标文件内容</w:t>
            </w:r>
          </w:p>
        </w:tc>
        <w:tc>
          <w:tcPr>
            <w:tcW w:w="1925" w:type="dxa"/>
            <w:vAlign w:val="center"/>
          </w:tcPr>
          <w:p w14:paraId="27FAE18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偏离情况</w:t>
            </w:r>
          </w:p>
        </w:tc>
        <w:tc>
          <w:tcPr>
            <w:tcW w:w="1045" w:type="dxa"/>
            <w:vAlign w:val="center"/>
          </w:tcPr>
          <w:p w14:paraId="4DA35C5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tc>
      </w:tr>
      <w:tr w14:paraId="5DF2F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53ADEC3F">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bCs/>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对本项目合同条款的偏离情况</w:t>
            </w:r>
            <w:r>
              <w:rPr>
                <w:rFonts w:hint="eastAsia" w:ascii="宋体" w:hAnsi="宋体" w:eastAsia="宋体" w:cs="宋体"/>
                <w:bCs/>
                <w:i w:val="0"/>
                <w:iCs w:val="0"/>
                <w:color w:val="auto"/>
                <w:spacing w:val="0"/>
                <w:position w:val="0"/>
                <w:sz w:val="24"/>
                <w:highlight w:val="none"/>
              </w:rPr>
              <w:t>（应进行选择，未选择</w:t>
            </w:r>
            <w:r>
              <w:rPr>
                <w:rFonts w:hint="eastAsia" w:ascii="宋体" w:hAnsi="宋体" w:eastAsia="宋体" w:cs="宋体"/>
                <w:b/>
                <w:i w:val="0"/>
                <w:iCs w:val="0"/>
                <w:color w:val="auto"/>
                <w:spacing w:val="0"/>
                <w:position w:val="0"/>
                <w:sz w:val="24"/>
                <w:highlight w:val="none"/>
              </w:rPr>
              <w:t>投标无效</w:t>
            </w:r>
            <w:r>
              <w:rPr>
                <w:rFonts w:hint="eastAsia" w:ascii="宋体" w:hAnsi="宋体" w:eastAsia="宋体" w:cs="宋体"/>
                <w:bCs/>
                <w:i w:val="0"/>
                <w:iCs w:val="0"/>
                <w:color w:val="auto"/>
                <w:spacing w:val="0"/>
                <w:position w:val="0"/>
                <w:sz w:val="24"/>
                <w:highlight w:val="none"/>
              </w:rPr>
              <w:t>）：</w:t>
            </w:r>
          </w:p>
          <w:p w14:paraId="68CFAEF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无偏离</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szCs w:val="21"/>
                <w:highlight w:val="none"/>
              </w:rPr>
              <w:t>如无偏离，仅选择无偏离即可；</w:t>
            </w:r>
            <w:r>
              <w:rPr>
                <w:rFonts w:hint="eastAsia" w:ascii="宋体" w:hAnsi="宋体" w:eastAsia="宋体" w:cs="宋体"/>
                <w:bCs/>
                <w:i w:val="0"/>
                <w:iCs w:val="0"/>
                <w:color w:val="auto"/>
                <w:spacing w:val="0"/>
                <w:position w:val="0"/>
                <w:sz w:val="24"/>
                <w:highlight w:val="none"/>
              </w:rPr>
              <w:t>无偏离即为</w:t>
            </w:r>
            <w:r>
              <w:rPr>
                <w:rFonts w:hint="eastAsia" w:ascii="宋体" w:hAnsi="宋体" w:eastAsia="宋体" w:cs="宋体"/>
                <w:i w:val="0"/>
                <w:iCs w:val="0"/>
                <w:color w:val="auto"/>
                <w:spacing w:val="0"/>
                <w:position w:val="0"/>
                <w:sz w:val="24"/>
                <w:highlight w:val="none"/>
              </w:rPr>
              <w:t>对合同条款中的所有要求，均视作供应商已对之理解和响应。）</w:t>
            </w:r>
          </w:p>
          <w:p w14:paraId="7B3507D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有偏离</w:t>
            </w:r>
            <w:r>
              <w:rPr>
                <w:rFonts w:hint="eastAsia" w:ascii="宋体" w:hAnsi="宋体" w:eastAsia="宋体" w:cs="宋体"/>
                <w:i w:val="0"/>
                <w:iCs w:val="0"/>
                <w:color w:val="auto"/>
                <w:spacing w:val="0"/>
                <w:position w:val="0"/>
                <w:sz w:val="24"/>
                <w:highlight w:val="none"/>
              </w:rPr>
              <w:t>（</w:t>
            </w:r>
            <w:r>
              <w:rPr>
                <w:rFonts w:hint="eastAsia" w:ascii="宋体" w:hAnsi="宋体" w:eastAsia="宋体" w:cs="宋体"/>
                <w:i w:val="0"/>
                <w:iCs w:val="0"/>
                <w:color w:val="auto"/>
                <w:spacing w:val="0"/>
                <w:position w:val="0"/>
                <w:sz w:val="24"/>
                <w:szCs w:val="21"/>
                <w:highlight w:val="none"/>
              </w:rPr>
              <w:t>如有偏离，</w:t>
            </w:r>
            <w:r>
              <w:rPr>
                <w:rFonts w:hint="eastAsia" w:ascii="宋体" w:hAnsi="宋体" w:eastAsia="宋体" w:cs="宋体"/>
                <w:i w:val="0"/>
                <w:iCs w:val="0"/>
                <w:color w:val="auto"/>
                <w:spacing w:val="0"/>
                <w:position w:val="0"/>
                <w:sz w:val="24"/>
                <w:highlight w:val="none"/>
              </w:rPr>
              <w:t>则应在本表中对负偏离项逐一列明，否则</w:t>
            </w:r>
            <w:r>
              <w:rPr>
                <w:rFonts w:hint="eastAsia" w:ascii="宋体" w:hAnsi="宋体" w:eastAsia="宋体" w:cs="宋体"/>
                <w:b/>
                <w:bCs/>
                <w:i w:val="0"/>
                <w:iCs w:val="0"/>
                <w:color w:val="auto"/>
                <w:spacing w:val="0"/>
                <w:position w:val="0"/>
                <w:sz w:val="24"/>
                <w:highlight w:val="none"/>
              </w:rPr>
              <w:t>投标无效</w:t>
            </w:r>
            <w:r>
              <w:rPr>
                <w:rFonts w:hint="eastAsia" w:ascii="宋体" w:hAnsi="宋体" w:eastAsia="宋体" w:cs="宋体"/>
                <w:i w:val="0"/>
                <w:iCs w:val="0"/>
                <w:color w:val="auto"/>
                <w:spacing w:val="0"/>
                <w:position w:val="0"/>
                <w:sz w:val="24"/>
                <w:highlight w:val="none"/>
              </w:rPr>
              <w:t>；对合同条款中的所有要求，除本表列明的偏离外，均视作供应商已对之理解和响应。）</w:t>
            </w:r>
          </w:p>
        </w:tc>
      </w:tr>
      <w:tr w14:paraId="50139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1EF9EE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213FCD4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6305D20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6F8FC46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58AC889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2B15FA2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7AC0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7ADF1F0">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2302F7E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3A7958A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53460BB9">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7B40AEB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035C4A7D">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5A111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6DA048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55516DE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13FA60F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4CE02C4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5F501FB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29BF2FEC">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tr w14:paraId="6CFA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FE8A4F4">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46" w:type="dxa"/>
            <w:vAlign w:val="center"/>
          </w:tcPr>
          <w:p w14:paraId="73DB0B56">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1237AFC7">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688" w:type="dxa"/>
            <w:vAlign w:val="center"/>
          </w:tcPr>
          <w:p w14:paraId="0874875E">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925" w:type="dxa"/>
            <w:vAlign w:val="center"/>
          </w:tcPr>
          <w:p w14:paraId="73951481">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c>
          <w:tcPr>
            <w:tcW w:w="1045" w:type="dxa"/>
            <w:vAlign w:val="center"/>
          </w:tcPr>
          <w:p w14:paraId="6B1F2BDF">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宋体" w:hAnsi="宋体" w:eastAsia="宋体" w:cs="宋体"/>
                <w:i w:val="0"/>
                <w:iCs w:val="0"/>
                <w:color w:val="auto"/>
                <w:spacing w:val="0"/>
                <w:position w:val="0"/>
                <w:sz w:val="24"/>
                <w:highlight w:val="none"/>
              </w:rPr>
            </w:pPr>
          </w:p>
        </w:tc>
      </w:tr>
      <w:bookmarkEnd w:id="1003"/>
    </w:tbl>
    <w:p w14:paraId="4F854D89">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642ECD0C">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注：“偏离情况”列应据实填写“正偏离”或“负偏离”。</w:t>
      </w:r>
    </w:p>
    <w:p w14:paraId="27E56281">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289B8A42">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118A987E">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    ____________</w:t>
      </w:r>
    </w:p>
    <w:p w14:paraId="742FDFA9">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szCs w:val="20"/>
          <w:highlight w:val="none"/>
        </w:rPr>
        <w:t>日期：_____年______月______日</w:t>
      </w:r>
    </w:p>
    <w:p w14:paraId="4176EA62">
      <w:pPr>
        <w:pageBreakBefore w:val="0"/>
        <w:numPr>
          <w:ilvl w:val="0"/>
          <w:numId w:val="14"/>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bookmarkEnd w:id="990"/>
      <w:bookmarkEnd w:id="991"/>
      <w:bookmarkEnd w:id="992"/>
      <w:bookmarkEnd w:id="993"/>
      <w:bookmarkEnd w:id="994"/>
      <w:bookmarkEnd w:id="995"/>
      <w:bookmarkEnd w:id="996"/>
      <w:bookmarkEnd w:id="997"/>
      <w:bookmarkEnd w:id="998"/>
      <w:bookmarkEnd w:id="999"/>
      <w:bookmarkEnd w:id="1000"/>
      <w:bookmarkEnd w:id="1001"/>
      <w:bookmarkEnd w:id="1002"/>
      <w:r>
        <w:rPr>
          <w:rFonts w:hint="eastAsia" w:ascii="宋体" w:hAnsi="宋体" w:eastAsia="宋体" w:cs="宋体"/>
          <w:i w:val="0"/>
          <w:iCs w:val="0"/>
          <w:color w:val="auto"/>
          <w:spacing w:val="0"/>
          <w:position w:val="0"/>
          <w:sz w:val="24"/>
          <w:szCs w:val="20"/>
          <w:highlight w:val="none"/>
        </w:rPr>
        <w:t>采购需求偏离表（实质性格式）</w:t>
      </w:r>
    </w:p>
    <w:p w14:paraId="55F8A3ED">
      <w:pPr>
        <w:pageBreakBefore w:val="0"/>
        <w:wordWrap/>
        <w:topLinePunct w:val="0"/>
        <w:autoSpaceDE w:val="0"/>
        <w:autoSpaceDN w:val="0"/>
        <w:bidi w:val="0"/>
        <w:adjustRightInd w:val="0"/>
        <w:spacing w:line="360" w:lineRule="auto"/>
        <w:jc w:val="center"/>
        <w:rPr>
          <w:rFonts w:hint="eastAsia" w:ascii="宋体" w:hAnsi="宋体" w:eastAsia="宋体" w:cs="宋体"/>
          <w:b/>
          <w:i w:val="0"/>
          <w:iCs w:val="0"/>
          <w:color w:val="auto"/>
          <w:spacing w:val="0"/>
          <w:position w:val="0"/>
          <w:sz w:val="36"/>
          <w:szCs w:val="36"/>
          <w:highlight w:val="none"/>
        </w:rPr>
      </w:pPr>
      <w:r>
        <w:rPr>
          <w:rFonts w:hint="eastAsia" w:ascii="宋体" w:hAnsi="宋体" w:eastAsia="宋体" w:cs="宋体"/>
          <w:b/>
          <w:i w:val="0"/>
          <w:iCs w:val="0"/>
          <w:color w:val="auto"/>
          <w:spacing w:val="0"/>
          <w:position w:val="0"/>
          <w:sz w:val="36"/>
          <w:szCs w:val="36"/>
          <w:highlight w:val="none"/>
        </w:rPr>
        <w:t>采购需求偏离表</w:t>
      </w:r>
    </w:p>
    <w:p w14:paraId="0F324512">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u w:val="single"/>
        </w:rPr>
      </w:pPr>
      <w:r>
        <w:rPr>
          <w:rFonts w:hint="eastAsia" w:ascii="宋体" w:hAnsi="宋体" w:eastAsia="宋体" w:cs="宋体"/>
          <w:i w:val="0"/>
          <w:iCs w:val="0"/>
          <w:color w:val="auto"/>
          <w:spacing w:val="0"/>
          <w:position w:val="0"/>
          <w:sz w:val="24"/>
          <w:highlight w:val="none"/>
        </w:rPr>
        <w:t>项目编号/包号：_____________________     项目名称：____________</w:t>
      </w:r>
    </w:p>
    <w:tbl>
      <w:tblPr>
        <w:tblStyle w:val="45"/>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12"/>
        <w:gridCol w:w="2272"/>
        <w:gridCol w:w="2026"/>
        <w:gridCol w:w="1787"/>
        <w:gridCol w:w="961"/>
      </w:tblGrid>
      <w:tr w14:paraId="0B0F5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38" w:type="dxa"/>
            <w:vAlign w:val="center"/>
          </w:tcPr>
          <w:p w14:paraId="6DDC2EB9">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序号</w:t>
            </w:r>
          </w:p>
        </w:tc>
        <w:tc>
          <w:tcPr>
            <w:tcW w:w="1412" w:type="dxa"/>
            <w:vAlign w:val="center"/>
          </w:tcPr>
          <w:p w14:paraId="6A13CFE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招标文件条目号(页码)</w:t>
            </w:r>
          </w:p>
        </w:tc>
        <w:tc>
          <w:tcPr>
            <w:tcW w:w="2272" w:type="dxa"/>
            <w:vAlign w:val="center"/>
          </w:tcPr>
          <w:p w14:paraId="7D0E9173">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招标文件要求</w:t>
            </w:r>
          </w:p>
        </w:tc>
        <w:tc>
          <w:tcPr>
            <w:tcW w:w="2026" w:type="dxa"/>
            <w:vAlign w:val="center"/>
          </w:tcPr>
          <w:p w14:paraId="2CD8F0C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投标响应内容</w:t>
            </w:r>
          </w:p>
        </w:tc>
        <w:tc>
          <w:tcPr>
            <w:tcW w:w="1787" w:type="dxa"/>
            <w:vAlign w:val="center"/>
          </w:tcPr>
          <w:p w14:paraId="55333C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偏离情况</w:t>
            </w:r>
          </w:p>
        </w:tc>
        <w:tc>
          <w:tcPr>
            <w:tcW w:w="961" w:type="dxa"/>
            <w:vAlign w:val="center"/>
          </w:tcPr>
          <w:p w14:paraId="6E2744F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tc>
      </w:tr>
      <w:tr w14:paraId="0315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10AA6F0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4325503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2488568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6524FA5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51F6926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7F588CCA">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0F0DA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4F52737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747995D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57EC3C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5E47751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7717B72C">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4A75D60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05158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7B42FA5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7F77FAE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095F1D4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2D43DCF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77F6C7FE">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416010E4">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46102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33C24404">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452A19E2">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14C5244C">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63C2F5C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16B9B9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3954BCD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1596B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209EC14B">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331B5C47">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624A6B8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79B0266D">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42F20ABA">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11FE1EC0">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r w14:paraId="5CED1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38" w:type="dxa"/>
            <w:vAlign w:val="center"/>
          </w:tcPr>
          <w:p w14:paraId="37185C25">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412" w:type="dxa"/>
            <w:vAlign w:val="center"/>
          </w:tcPr>
          <w:p w14:paraId="1E89D7B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272" w:type="dxa"/>
            <w:vAlign w:val="center"/>
          </w:tcPr>
          <w:p w14:paraId="78437F9F">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2026" w:type="dxa"/>
            <w:vAlign w:val="center"/>
          </w:tcPr>
          <w:p w14:paraId="34502A1B">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1787" w:type="dxa"/>
            <w:vAlign w:val="center"/>
          </w:tcPr>
          <w:p w14:paraId="22A334A6">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c>
          <w:tcPr>
            <w:tcW w:w="961" w:type="dxa"/>
            <w:vAlign w:val="center"/>
          </w:tcPr>
          <w:p w14:paraId="72AA7038">
            <w:pPr>
              <w:pageBreakBefore w:val="0"/>
              <w:wordWrap/>
              <w:topLinePunct w:val="0"/>
              <w:bidi w:val="0"/>
              <w:adjustRightInd w:val="0"/>
              <w:snapToGrid w:val="0"/>
              <w:spacing w:line="360" w:lineRule="auto"/>
              <w:jc w:val="center"/>
              <w:rPr>
                <w:rFonts w:hint="eastAsia" w:ascii="宋体" w:hAnsi="宋体" w:eastAsia="宋体" w:cs="宋体"/>
                <w:i w:val="0"/>
                <w:iCs w:val="0"/>
                <w:color w:val="auto"/>
                <w:spacing w:val="0"/>
                <w:position w:val="0"/>
                <w:sz w:val="24"/>
                <w:highlight w:val="none"/>
              </w:rPr>
            </w:pPr>
          </w:p>
        </w:tc>
      </w:tr>
    </w:tbl>
    <w:p w14:paraId="0DBE2AB4">
      <w:pPr>
        <w:pageBreakBefore w:val="0"/>
        <w:tabs>
          <w:tab w:val="left" w:pos="1800"/>
          <w:tab w:val="left" w:pos="5580"/>
        </w:tabs>
        <w:wordWrap/>
        <w:topLinePunct w:val="0"/>
        <w:bidi w:val="0"/>
        <w:spacing w:line="360" w:lineRule="auto"/>
        <w:ind w:firstLine="360" w:firstLineChars="150"/>
        <w:jc w:val="left"/>
        <w:rPr>
          <w:rFonts w:hint="eastAsia" w:ascii="宋体" w:hAnsi="宋体" w:eastAsia="宋体" w:cs="宋体"/>
          <w:i w:val="0"/>
          <w:iCs w:val="0"/>
          <w:color w:val="auto"/>
          <w:spacing w:val="0"/>
          <w:position w:val="0"/>
          <w:sz w:val="24"/>
          <w:highlight w:val="none"/>
          <w:u w:val="single"/>
        </w:rPr>
      </w:pPr>
    </w:p>
    <w:p w14:paraId="724E19D0">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w:t>
      </w:r>
    </w:p>
    <w:p w14:paraId="6D5BFED6">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 对招标文件中的所有商务、技术要求，除本表所列明的所有偏离外，均视作供应商已对之理解和响应。此表中若无任何文字说明，内容为空白的，</w:t>
      </w:r>
      <w:r>
        <w:rPr>
          <w:rFonts w:hint="eastAsia" w:ascii="宋体" w:hAnsi="宋体" w:eastAsia="宋体" w:cs="宋体"/>
          <w:b/>
          <w:i w:val="0"/>
          <w:iCs w:val="0"/>
          <w:color w:val="auto"/>
          <w:spacing w:val="0"/>
          <w:position w:val="0"/>
          <w:sz w:val="24"/>
          <w:highlight w:val="none"/>
        </w:rPr>
        <w:t>投标无效。</w:t>
      </w:r>
    </w:p>
    <w:p w14:paraId="3C601960">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2.“偏离情况”列应据实填写“无偏离”、“正偏离”或“负偏离”。</w:t>
      </w:r>
    </w:p>
    <w:p w14:paraId="4077BC2A">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D5E1493">
      <w:pPr>
        <w:pageBreakBefore w:val="0"/>
        <w:tabs>
          <w:tab w:val="left" w:pos="1800"/>
          <w:tab w:val="left" w:pos="5580"/>
        </w:tabs>
        <w:wordWrap/>
        <w:topLinePunct w:val="0"/>
        <w:bidi w:val="0"/>
        <w:spacing w:line="360" w:lineRule="auto"/>
        <w:jc w:val="left"/>
        <w:rPr>
          <w:rFonts w:hint="eastAsia" w:ascii="宋体" w:hAnsi="宋体" w:eastAsia="宋体" w:cs="宋体"/>
          <w:i w:val="0"/>
          <w:iCs w:val="0"/>
          <w:color w:val="auto"/>
          <w:spacing w:val="0"/>
          <w:position w:val="0"/>
          <w:sz w:val="24"/>
          <w:highlight w:val="none"/>
        </w:rPr>
      </w:pPr>
    </w:p>
    <w:p w14:paraId="5DB7DC3D">
      <w:pPr>
        <w:pageBreakBefore w:val="0"/>
        <w:wordWrap/>
        <w:topLinePunct w:val="0"/>
        <w:bidi w:val="0"/>
        <w:spacing w:line="360" w:lineRule="auto"/>
        <w:rPr>
          <w:rFonts w:hint="eastAsia" w:ascii="宋体" w:hAnsi="宋体" w:eastAsia="宋体" w:cs="宋体"/>
          <w:i w:val="0"/>
          <w:iCs w:val="0"/>
          <w:color w:val="auto"/>
          <w:spacing w:val="0"/>
          <w:position w:val="0"/>
          <w:sz w:val="24"/>
          <w:szCs w:val="20"/>
          <w:highlight w:val="none"/>
        </w:rPr>
      </w:pPr>
    </w:p>
    <w:p w14:paraId="57562433">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p>
    <w:p w14:paraId="324BC285">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highlight w:val="none"/>
        </w:rPr>
        <w:t>投标人名称（加盖公章）</w:t>
      </w:r>
      <w:r>
        <w:rPr>
          <w:rFonts w:hint="eastAsia" w:ascii="宋体" w:hAnsi="宋体" w:eastAsia="宋体" w:cs="宋体"/>
          <w:i w:val="0"/>
          <w:iCs w:val="0"/>
          <w:color w:val="auto"/>
          <w:spacing w:val="0"/>
          <w:position w:val="0"/>
          <w:sz w:val="24"/>
          <w:highlight w:val="none"/>
          <w:lang w:val="zh-CN"/>
        </w:rPr>
        <w:t>：    ____________</w:t>
      </w:r>
    </w:p>
    <w:p w14:paraId="5FB17127">
      <w:pPr>
        <w:pageBreakBefore w:val="0"/>
        <w:wordWrap/>
        <w:topLinePunct w:val="0"/>
        <w:autoSpaceDE w:val="0"/>
        <w:autoSpaceDN w:val="0"/>
        <w:bidi w:val="0"/>
        <w:adjustRightInd w:val="0"/>
        <w:snapToGrid w:val="0"/>
        <w:spacing w:before="25" w:after="25" w:line="360" w:lineRule="auto"/>
        <w:rPr>
          <w:rFonts w:hint="eastAsia" w:ascii="宋体" w:hAnsi="宋体" w:eastAsia="宋体" w:cs="宋体"/>
          <w:i w:val="0"/>
          <w:iCs w:val="0"/>
          <w:color w:val="auto"/>
          <w:spacing w:val="0"/>
          <w:position w:val="0"/>
          <w:sz w:val="24"/>
          <w:highlight w:val="none"/>
          <w:lang w:val="zh-CN"/>
        </w:rPr>
      </w:pPr>
      <w:r>
        <w:rPr>
          <w:rFonts w:hint="eastAsia" w:ascii="宋体" w:hAnsi="宋体" w:eastAsia="宋体" w:cs="宋体"/>
          <w:i w:val="0"/>
          <w:iCs w:val="0"/>
          <w:color w:val="auto"/>
          <w:spacing w:val="0"/>
          <w:position w:val="0"/>
          <w:sz w:val="24"/>
          <w:szCs w:val="20"/>
          <w:highlight w:val="none"/>
        </w:rPr>
        <w:t>日期：_____年______月______日</w:t>
      </w:r>
    </w:p>
    <w:p w14:paraId="131D27A9">
      <w:pPr>
        <w:pageBreakBefore w:val="0"/>
        <w:numPr>
          <w:ilvl w:val="0"/>
          <w:numId w:val="15"/>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r>
        <w:rPr>
          <w:rFonts w:hint="eastAsia" w:ascii="宋体" w:hAnsi="宋体" w:eastAsia="宋体" w:cs="宋体"/>
          <w:i w:val="0"/>
          <w:iCs w:val="0"/>
          <w:color w:val="auto"/>
          <w:spacing w:val="0"/>
          <w:position w:val="0"/>
          <w:sz w:val="24"/>
          <w:szCs w:val="20"/>
          <w:highlight w:val="none"/>
        </w:rPr>
        <w:t>本国产品标准证明文件</w:t>
      </w:r>
      <w:r>
        <w:rPr>
          <w:rFonts w:hint="eastAsia" w:ascii="宋体" w:hAnsi="宋体" w:cs="宋体"/>
          <w:i w:val="0"/>
          <w:iCs w:val="0"/>
          <w:color w:val="auto"/>
          <w:spacing w:val="0"/>
          <w:position w:val="0"/>
          <w:sz w:val="24"/>
          <w:szCs w:val="20"/>
          <w:highlight w:val="none"/>
          <w:lang w:eastAsia="zh-CN"/>
        </w:rPr>
        <w:t>（</w:t>
      </w:r>
      <w:r>
        <w:rPr>
          <w:rFonts w:hint="eastAsia" w:ascii="宋体" w:hAnsi="宋体" w:cs="宋体"/>
          <w:i w:val="0"/>
          <w:iCs w:val="0"/>
          <w:color w:val="auto"/>
          <w:spacing w:val="0"/>
          <w:position w:val="0"/>
          <w:sz w:val="24"/>
          <w:szCs w:val="20"/>
          <w:highlight w:val="none"/>
          <w:lang w:val="en-US" w:eastAsia="zh-CN"/>
        </w:rPr>
        <w:t>此项目不适用）</w:t>
      </w:r>
    </w:p>
    <w:p w14:paraId="57DEB2EB">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984604F">
      <w:pPr>
        <w:pageBreakBefore w:val="0"/>
        <w:numPr>
          <w:ilvl w:val="0"/>
          <w:numId w:val="16"/>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中小企业证明文件</w:t>
      </w:r>
    </w:p>
    <w:p w14:paraId="473610CC">
      <w:pPr>
        <w:pageBreakBefore w:val="0"/>
        <w:tabs>
          <w:tab w:val="left" w:pos="5580"/>
        </w:tabs>
        <w:wordWrap/>
        <w:topLinePunct w:val="0"/>
        <w:bidi w:val="0"/>
        <w:spacing w:line="360" w:lineRule="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说明：</w:t>
      </w:r>
    </w:p>
    <w:p w14:paraId="3FBC5FFF">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36A8AA62">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52E2FF70">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3）对于多标的采购项目，投标人应充分、准确地了解所提供货物的制造企业、提供服务的承接企业信息。对相关情况了解不清楚的，不建议填报本声明函。</w:t>
      </w:r>
    </w:p>
    <w:p w14:paraId="5B99604F">
      <w:pPr>
        <w:keepNext w:val="0"/>
        <w:keepLines w:val="0"/>
        <w:pageBreakBefore w:val="0"/>
        <w:widowControl w:val="0"/>
        <w:tabs>
          <w:tab w:val="left" w:pos="5580"/>
        </w:tabs>
        <w:kinsoku/>
        <w:wordWrap/>
        <w:overflowPunct/>
        <w:topLinePunct w:val="0"/>
        <w:autoSpaceDE/>
        <w:autoSpaceDN/>
        <w:bidi w:val="0"/>
        <w:adjustRightInd/>
        <w:snapToGrid/>
        <w:spacing w:line="360" w:lineRule="auto"/>
        <w:ind w:left="360" w:hanging="360" w:hangingChars="150"/>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金融业企业划型标准规定》（银发〔2015〕309 号）等国务院批准的中小企业划分标准执行。</w:t>
      </w:r>
    </w:p>
    <w:p w14:paraId="18168E53">
      <w:pPr>
        <w:pageBreakBefore w:val="0"/>
        <w:widowControl/>
        <w:wordWrap/>
        <w:topLinePunct w:val="0"/>
        <w:bidi w:val="0"/>
        <w:spacing w:line="360" w:lineRule="auto"/>
        <w:jc w:val="center"/>
        <w:rPr>
          <w:rFonts w:hint="eastAsia" w:ascii="宋体" w:hAnsi="宋体" w:eastAsia="宋体" w:cs="宋体"/>
          <w:b/>
          <w:bCs/>
          <w:i w:val="0"/>
          <w:iCs w:val="0"/>
          <w:color w:val="auto"/>
          <w:spacing w:val="0"/>
          <w:position w:val="0"/>
          <w:sz w:val="36"/>
          <w:szCs w:val="36"/>
          <w:highlight w:val="none"/>
        </w:rPr>
      </w:pPr>
      <w:r>
        <w:rPr>
          <w:rFonts w:hint="eastAsia" w:ascii="宋体" w:hAnsi="宋体" w:eastAsia="宋体" w:cs="宋体"/>
          <w:i w:val="0"/>
          <w:iCs w:val="0"/>
          <w:color w:val="auto"/>
          <w:spacing w:val="0"/>
          <w:position w:val="0"/>
          <w:sz w:val="24"/>
          <w:highlight w:val="none"/>
        </w:rPr>
        <w:br w:type="page"/>
      </w:r>
      <w:r>
        <w:rPr>
          <w:rFonts w:hint="eastAsia" w:ascii="宋体" w:hAnsi="宋体" w:eastAsia="宋体" w:cs="宋体"/>
          <w:b/>
          <w:bCs/>
          <w:i w:val="0"/>
          <w:iCs w:val="0"/>
          <w:color w:val="auto"/>
          <w:spacing w:val="0"/>
          <w:position w:val="0"/>
          <w:sz w:val="36"/>
          <w:szCs w:val="36"/>
          <w:highlight w:val="none"/>
        </w:rPr>
        <w:t>中小企业声明函（工程、服务）格式</w:t>
      </w:r>
    </w:p>
    <w:p w14:paraId="79D0F6D6">
      <w:pPr>
        <w:pageBreakBefore w:val="0"/>
        <w:wordWrap/>
        <w:topLinePunct w:val="0"/>
        <w:autoSpaceDE w:val="0"/>
        <w:autoSpaceDN w:val="0"/>
        <w:bidi w:val="0"/>
        <w:spacing w:line="360" w:lineRule="auto"/>
        <w:ind w:left="220" w:right="415" w:firstLine="640"/>
        <w:jc w:val="left"/>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本公司（联合体）郑重声明，根据《政府采购促进中小企业发展管理办法》（财库﹝2020﹞46号）的规定，本公司（联合体）参加</w:t>
      </w:r>
      <w:r>
        <w:rPr>
          <w:rFonts w:hint="eastAsia" w:ascii="宋体" w:hAnsi="宋体" w:eastAsia="宋体" w:cs="宋体"/>
          <w:i w:val="0"/>
          <w:iCs w:val="0"/>
          <w:color w:val="auto"/>
          <w:spacing w:val="0"/>
          <w:kern w:val="0"/>
          <w:position w:val="0"/>
          <w:sz w:val="24"/>
          <w:highlight w:val="none"/>
          <w:u w:val="single"/>
        </w:rPr>
        <w:t>（单位名称）</w:t>
      </w:r>
      <w:r>
        <w:rPr>
          <w:rFonts w:hint="eastAsia" w:ascii="宋体" w:hAnsi="宋体" w:eastAsia="宋体" w:cs="宋体"/>
          <w:i w:val="0"/>
          <w:iCs w:val="0"/>
          <w:color w:val="auto"/>
          <w:spacing w:val="0"/>
          <w:kern w:val="0"/>
          <w:position w:val="0"/>
          <w:sz w:val="24"/>
          <w:highlight w:val="none"/>
        </w:rPr>
        <w:t>的</w:t>
      </w:r>
      <w:r>
        <w:rPr>
          <w:rFonts w:hint="eastAsia" w:ascii="宋体" w:hAnsi="宋体" w:eastAsia="宋体" w:cs="宋体"/>
          <w:i w:val="0"/>
          <w:iCs w:val="0"/>
          <w:color w:val="auto"/>
          <w:spacing w:val="0"/>
          <w:kern w:val="0"/>
          <w:position w:val="0"/>
          <w:sz w:val="24"/>
          <w:highlight w:val="none"/>
          <w:u w:val="single"/>
        </w:rPr>
        <w:t>（项目名称）</w:t>
      </w:r>
      <w:r>
        <w:rPr>
          <w:rFonts w:hint="eastAsia" w:ascii="宋体" w:hAnsi="宋体" w:eastAsia="宋体" w:cs="宋体"/>
          <w:i w:val="0"/>
          <w:iCs w:val="0"/>
          <w:color w:val="auto"/>
          <w:spacing w:val="0"/>
          <w:kern w:val="0"/>
          <w:positio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342B34D0">
      <w:pPr>
        <w:pageBreakBefore w:val="0"/>
        <w:numPr>
          <w:ilvl w:val="0"/>
          <w:numId w:val="17"/>
        </w:numPr>
        <w:tabs>
          <w:tab w:val="left" w:pos="1276"/>
          <w:tab w:val="left" w:pos="5005"/>
          <w:tab w:val="left" w:pos="7227"/>
        </w:tabs>
        <w:wordWrap/>
        <w:topLinePunct w:val="0"/>
        <w:autoSpaceDE w:val="0"/>
        <w:autoSpaceDN w:val="0"/>
        <w:bidi w:val="0"/>
        <w:spacing w:line="360" w:lineRule="auto"/>
        <w:ind w:left="284" w:right="236" w:firstLine="576"/>
        <w:jc w:val="left"/>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u w:val="single" w:color="000000"/>
        </w:rPr>
        <w:t>（标的名称）</w:t>
      </w:r>
      <w:r>
        <w:rPr>
          <w:rFonts w:hint="eastAsia" w:ascii="宋体" w:hAnsi="宋体" w:eastAsia="宋体" w:cs="宋体"/>
          <w:i w:val="0"/>
          <w:iCs w:val="0"/>
          <w:color w:val="auto"/>
          <w:spacing w:val="0"/>
          <w:kern w:val="0"/>
          <w:position w:val="0"/>
          <w:sz w:val="24"/>
          <w:highlight w:val="none"/>
          <w:u w:color="000000"/>
        </w:rPr>
        <w:t>，属于（</w:t>
      </w:r>
      <w:r>
        <w:rPr>
          <w:rFonts w:hint="eastAsia" w:ascii="宋体" w:hAnsi="宋体" w:eastAsia="宋体" w:cs="宋体"/>
          <w:i w:val="0"/>
          <w:iCs w:val="0"/>
          <w:color w:val="auto"/>
          <w:spacing w:val="0"/>
          <w:kern w:val="0"/>
          <w:position w:val="0"/>
          <w:sz w:val="24"/>
          <w:highlight w:val="none"/>
          <w:u w:val="single" w:color="000000"/>
        </w:rPr>
        <w:t>采购文件中明确的所属行业）</w:t>
      </w:r>
      <w:r>
        <w:rPr>
          <w:rFonts w:hint="eastAsia" w:ascii="宋体" w:hAnsi="宋体" w:eastAsia="宋体" w:cs="宋体"/>
          <w:i w:val="0"/>
          <w:iCs w:val="0"/>
          <w:color w:val="auto"/>
          <w:spacing w:val="0"/>
          <w:kern w:val="0"/>
          <w:position w:val="0"/>
          <w:sz w:val="24"/>
          <w:highlight w:val="none"/>
          <w:u w:color="000000"/>
        </w:rPr>
        <w:t>；</w:t>
      </w:r>
      <w:r>
        <w:rPr>
          <w:rFonts w:hint="eastAsia" w:ascii="宋体" w:hAnsi="宋体" w:eastAsia="宋体" w:cs="宋体"/>
          <w:i w:val="0"/>
          <w:iCs w:val="0"/>
          <w:color w:val="auto"/>
          <w:spacing w:val="0"/>
          <w:kern w:val="0"/>
          <w:position w:val="0"/>
          <w:sz w:val="24"/>
          <w:highlight w:val="none"/>
        </w:rPr>
        <w:t>承建（承接）企业为</w:t>
      </w:r>
      <w:r>
        <w:rPr>
          <w:rFonts w:hint="eastAsia" w:ascii="宋体" w:hAnsi="宋体" w:eastAsia="宋体" w:cs="宋体"/>
          <w:i w:val="0"/>
          <w:iCs w:val="0"/>
          <w:color w:val="auto"/>
          <w:spacing w:val="0"/>
          <w:kern w:val="0"/>
          <w:position w:val="0"/>
          <w:sz w:val="24"/>
          <w:highlight w:val="none"/>
          <w:u w:val="single"/>
        </w:rPr>
        <w:t>（企业名称）</w:t>
      </w:r>
      <w:r>
        <w:rPr>
          <w:rFonts w:hint="eastAsia" w:ascii="宋体" w:hAnsi="宋体" w:eastAsia="宋体" w:cs="宋体"/>
          <w:i w:val="0"/>
          <w:iCs w:val="0"/>
          <w:color w:val="auto"/>
          <w:spacing w:val="0"/>
          <w:kern w:val="0"/>
          <w:position w:val="0"/>
          <w:sz w:val="24"/>
          <w:highlight w:val="none"/>
        </w:rPr>
        <w:t>，从业人员</w:t>
      </w:r>
      <w:r>
        <w:rPr>
          <w:rFonts w:hint="eastAsia" w:ascii="宋体" w:hAnsi="宋体" w:eastAsia="宋体" w:cs="宋体"/>
          <w:i w:val="0"/>
          <w:iCs w:val="0"/>
          <w:color w:val="auto"/>
          <w:spacing w:val="0"/>
          <w:kern w:val="0"/>
          <w:position w:val="0"/>
          <w:sz w:val="24"/>
          <w:highlight w:val="none"/>
          <w:u w:val="single"/>
        </w:rPr>
        <w:tab/>
      </w:r>
      <w:r>
        <w:rPr>
          <w:rFonts w:hint="eastAsia" w:ascii="宋体" w:hAnsi="宋体" w:eastAsia="宋体" w:cs="宋体"/>
          <w:i w:val="0"/>
          <w:iCs w:val="0"/>
          <w:color w:val="auto"/>
          <w:spacing w:val="0"/>
          <w:kern w:val="0"/>
          <w:position w:val="0"/>
          <w:sz w:val="24"/>
          <w:highlight w:val="none"/>
        </w:rPr>
        <w:t>人，营业收入为</w:t>
      </w:r>
      <w:r>
        <w:rPr>
          <w:rFonts w:hint="eastAsia" w:ascii="宋体" w:hAnsi="宋体" w:eastAsia="宋体" w:cs="宋体"/>
          <w:i w:val="0"/>
          <w:iCs w:val="0"/>
          <w:color w:val="auto"/>
          <w:spacing w:val="0"/>
          <w:kern w:val="0"/>
          <w:position w:val="0"/>
          <w:sz w:val="24"/>
          <w:highlight w:val="none"/>
          <w:u w:val="single"/>
        </w:rPr>
        <w:tab/>
      </w:r>
      <w:r>
        <w:rPr>
          <w:rFonts w:hint="eastAsia" w:ascii="宋体" w:hAnsi="宋体" w:eastAsia="宋体" w:cs="宋体"/>
          <w:i w:val="0"/>
          <w:iCs w:val="0"/>
          <w:color w:val="auto"/>
          <w:spacing w:val="0"/>
          <w:kern w:val="0"/>
          <w:position w:val="0"/>
          <w:sz w:val="24"/>
          <w:highlight w:val="none"/>
        </w:rPr>
        <w:t>万元，资产总额为</w:t>
      </w:r>
      <w:r>
        <w:rPr>
          <w:rFonts w:hint="eastAsia" w:ascii="宋体" w:hAnsi="宋体" w:eastAsia="宋体" w:cs="宋体"/>
          <w:i w:val="0"/>
          <w:iCs w:val="0"/>
          <w:color w:val="auto"/>
          <w:spacing w:val="0"/>
          <w:kern w:val="0"/>
          <w:position w:val="0"/>
          <w:sz w:val="24"/>
          <w:highlight w:val="none"/>
          <w:u w:val="single"/>
        </w:rPr>
        <w:tab/>
      </w:r>
      <w:r>
        <w:rPr>
          <w:rFonts w:hint="eastAsia" w:ascii="宋体" w:hAnsi="宋体" w:eastAsia="宋体" w:cs="宋体"/>
          <w:i w:val="0"/>
          <w:iCs w:val="0"/>
          <w:color w:val="auto"/>
          <w:spacing w:val="0"/>
          <w:kern w:val="0"/>
          <w:position w:val="0"/>
          <w:sz w:val="24"/>
          <w:highlight w:val="none"/>
        </w:rPr>
        <w:t>万元</w:t>
      </w:r>
      <w:r>
        <w:rPr>
          <w:rFonts w:hint="eastAsia" w:ascii="宋体" w:hAnsi="宋体" w:eastAsia="宋体" w:cs="宋体"/>
          <w:i w:val="0"/>
          <w:iCs w:val="0"/>
          <w:color w:val="auto"/>
          <w:spacing w:val="0"/>
          <w:position w:val="0"/>
          <w:highlight w:val="none"/>
        </w:rPr>
        <w:fldChar w:fldCharType="begin"/>
      </w:r>
      <w:r>
        <w:rPr>
          <w:rFonts w:hint="eastAsia" w:ascii="宋体" w:hAnsi="宋体" w:eastAsia="宋体" w:cs="宋体"/>
          <w:i w:val="0"/>
          <w:iCs w:val="0"/>
          <w:color w:val="auto"/>
          <w:spacing w:val="0"/>
          <w:position w:val="0"/>
          <w:highlight w:val="none"/>
        </w:rPr>
        <w:instrText xml:space="preserve"> HYPERLINK \l "_bookmark1" </w:instrText>
      </w:r>
      <w:r>
        <w:rPr>
          <w:rFonts w:hint="eastAsia" w:ascii="宋体" w:hAnsi="宋体" w:eastAsia="宋体" w:cs="宋体"/>
          <w:i w:val="0"/>
          <w:iCs w:val="0"/>
          <w:color w:val="auto"/>
          <w:spacing w:val="0"/>
          <w:position w:val="0"/>
          <w:highlight w:val="none"/>
        </w:rPr>
        <w:fldChar w:fldCharType="separate"/>
      </w:r>
      <w:r>
        <w:rPr>
          <w:rFonts w:hint="eastAsia" w:ascii="宋体" w:hAnsi="宋体" w:eastAsia="宋体" w:cs="宋体"/>
          <w:i w:val="0"/>
          <w:iCs w:val="0"/>
          <w:color w:val="auto"/>
          <w:spacing w:val="0"/>
          <w:kern w:val="0"/>
          <w:position w:val="0"/>
          <w:sz w:val="24"/>
          <w:highlight w:val="none"/>
        </w:rPr>
        <w:t>1</w:t>
      </w:r>
      <w:r>
        <w:rPr>
          <w:rFonts w:hint="eastAsia" w:ascii="宋体" w:hAnsi="宋体" w:eastAsia="宋体" w:cs="宋体"/>
          <w:i w:val="0"/>
          <w:iCs w:val="0"/>
          <w:color w:val="auto"/>
          <w:spacing w:val="0"/>
          <w:kern w:val="0"/>
          <w:position w:val="0"/>
          <w:sz w:val="24"/>
          <w:highlight w:val="none"/>
        </w:rPr>
        <w:fldChar w:fldCharType="end"/>
      </w:r>
      <w:r>
        <w:rPr>
          <w:rFonts w:hint="eastAsia" w:ascii="宋体" w:hAnsi="宋体" w:eastAsia="宋体" w:cs="宋体"/>
          <w:i w:val="0"/>
          <w:iCs w:val="0"/>
          <w:color w:val="auto"/>
          <w:spacing w:val="0"/>
          <w:kern w:val="0"/>
          <w:position w:val="0"/>
          <w:sz w:val="24"/>
          <w:highlight w:val="none"/>
        </w:rPr>
        <w:t>，属于</w:t>
      </w:r>
      <w:r>
        <w:rPr>
          <w:rFonts w:hint="eastAsia" w:ascii="宋体" w:hAnsi="宋体" w:eastAsia="宋体" w:cs="宋体"/>
          <w:i w:val="0"/>
          <w:iCs w:val="0"/>
          <w:color w:val="auto"/>
          <w:spacing w:val="0"/>
          <w:kern w:val="0"/>
          <w:position w:val="0"/>
          <w:sz w:val="24"/>
          <w:highlight w:val="none"/>
          <w:u w:val="single"/>
        </w:rPr>
        <w:t>（中型企业、小型企业、微型企业）</w:t>
      </w:r>
      <w:r>
        <w:rPr>
          <w:rFonts w:hint="eastAsia" w:ascii="宋体" w:hAnsi="宋体" w:eastAsia="宋体" w:cs="宋体"/>
          <w:i w:val="0"/>
          <w:iCs w:val="0"/>
          <w:color w:val="auto"/>
          <w:spacing w:val="0"/>
          <w:kern w:val="0"/>
          <w:position w:val="0"/>
          <w:sz w:val="24"/>
          <w:highlight w:val="none"/>
        </w:rPr>
        <w:t>；</w:t>
      </w:r>
    </w:p>
    <w:p w14:paraId="1708718E">
      <w:pPr>
        <w:pageBreakBefore w:val="0"/>
        <w:numPr>
          <w:ilvl w:val="0"/>
          <w:numId w:val="17"/>
        </w:numPr>
        <w:tabs>
          <w:tab w:val="left" w:pos="1243"/>
          <w:tab w:val="left" w:pos="1806"/>
          <w:tab w:val="left" w:pos="5005"/>
          <w:tab w:val="left" w:pos="7213"/>
        </w:tabs>
        <w:wordWrap/>
        <w:topLinePunct w:val="0"/>
        <w:autoSpaceDE w:val="0"/>
        <w:autoSpaceDN w:val="0"/>
        <w:bidi w:val="0"/>
        <w:spacing w:line="360" w:lineRule="auto"/>
        <w:ind w:left="205" w:right="258" w:firstLine="655"/>
        <w:jc w:val="left"/>
        <w:rPr>
          <w:rFonts w:hint="eastAsia" w:ascii="宋体" w:hAnsi="宋体" w:eastAsia="宋体" w:cs="宋体"/>
          <w:i w:val="0"/>
          <w:iCs w:val="0"/>
          <w:color w:val="auto"/>
          <w:spacing w:val="0"/>
          <w:kern w:val="0"/>
          <w:position w:val="0"/>
          <w:sz w:val="24"/>
          <w:highlight w:val="none"/>
          <w:u w:color="000000"/>
        </w:rPr>
      </w:pPr>
      <w:r>
        <w:rPr>
          <w:rFonts w:hint="eastAsia" w:ascii="宋体" w:hAnsi="宋体" w:eastAsia="宋体" w:cs="宋体"/>
          <w:i w:val="0"/>
          <w:iCs w:val="0"/>
          <w:color w:val="auto"/>
          <w:spacing w:val="0"/>
          <w:kern w:val="0"/>
          <w:position w:val="0"/>
          <w:sz w:val="24"/>
          <w:highlight w:val="none"/>
          <w:u w:val="single" w:color="000000"/>
        </w:rPr>
        <w:t>（标的名称）</w:t>
      </w:r>
      <w:r>
        <w:rPr>
          <w:rFonts w:hint="eastAsia" w:ascii="宋体" w:hAnsi="宋体" w:eastAsia="宋体" w:cs="宋体"/>
          <w:i w:val="0"/>
          <w:iCs w:val="0"/>
          <w:color w:val="auto"/>
          <w:spacing w:val="0"/>
          <w:kern w:val="0"/>
          <w:position w:val="0"/>
          <w:sz w:val="24"/>
          <w:highlight w:val="none"/>
          <w:u w:color="000000"/>
        </w:rPr>
        <w:t>，属于（</w:t>
      </w:r>
      <w:r>
        <w:rPr>
          <w:rFonts w:hint="eastAsia" w:ascii="宋体" w:hAnsi="宋体" w:eastAsia="宋体" w:cs="宋体"/>
          <w:i w:val="0"/>
          <w:iCs w:val="0"/>
          <w:color w:val="auto"/>
          <w:spacing w:val="0"/>
          <w:kern w:val="0"/>
          <w:position w:val="0"/>
          <w:sz w:val="24"/>
          <w:highlight w:val="none"/>
          <w:u w:val="single" w:color="000000"/>
        </w:rPr>
        <w:t>采购文件中明确的所属行业）</w:t>
      </w:r>
      <w:r>
        <w:rPr>
          <w:rFonts w:hint="eastAsia" w:ascii="宋体" w:hAnsi="宋体" w:eastAsia="宋体" w:cs="宋体"/>
          <w:i w:val="0"/>
          <w:iCs w:val="0"/>
          <w:color w:val="auto"/>
          <w:spacing w:val="0"/>
          <w:kern w:val="0"/>
          <w:position w:val="0"/>
          <w:sz w:val="24"/>
          <w:highlight w:val="none"/>
          <w:u w:color="000000"/>
        </w:rPr>
        <w:t>；承建（承接）企业为</w:t>
      </w:r>
      <w:r>
        <w:rPr>
          <w:rFonts w:hint="eastAsia" w:ascii="宋体" w:hAnsi="宋体" w:eastAsia="宋体" w:cs="宋体"/>
          <w:i w:val="0"/>
          <w:iCs w:val="0"/>
          <w:color w:val="auto"/>
          <w:spacing w:val="0"/>
          <w:kern w:val="0"/>
          <w:position w:val="0"/>
          <w:sz w:val="24"/>
          <w:highlight w:val="none"/>
          <w:u w:val="single" w:color="000000"/>
        </w:rPr>
        <w:t>（企业名称）</w:t>
      </w:r>
      <w:r>
        <w:rPr>
          <w:rFonts w:hint="eastAsia" w:ascii="宋体" w:hAnsi="宋体" w:eastAsia="宋体" w:cs="宋体"/>
          <w:i w:val="0"/>
          <w:iCs w:val="0"/>
          <w:color w:val="auto"/>
          <w:spacing w:val="0"/>
          <w:kern w:val="0"/>
          <w:position w:val="0"/>
          <w:sz w:val="24"/>
          <w:highlight w:val="none"/>
          <w:u w:color="000000"/>
        </w:rPr>
        <w:t>，从业人员</w:t>
      </w:r>
      <w:r>
        <w:rPr>
          <w:rFonts w:hint="eastAsia" w:ascii="宋体" w:hAnsi="宋体" w:eastAsia="宋体" w:cs="宋体"/>
          <w:i w:val="0"/>
          <w:iCs w:val="0"/>
          <w:color w:val="auto"/>
          <w:spacing w:val="0"/>
          <w:kern w:val="0"/>
          <w:position w:val="0"/>
          <w:sz w:val="24"/>
          <w:highlight w:val="none"/>
          <w:u w:val="single" w:color="000000"/>
        </w:rPr>
        <w:tab/>
      </w:r>
      <w:r>
        <w:rPr>
          <w:rFonts w:hint="eastAsia" w:ascii="宋体" w:hAnsi="宋体" w:eastAsia="宋体" w:cs="宋体"/>
          <w:i w:val="0"/>
          <w:iCs w:val="0"/>
          <w:color w:val="auto"/>
          <w:spacing w:val="0"/>
          <w:kern w:val="0"/>
          <w:position w:val="0"/>
          <w:sz w:val="24"/>
          <w:highlight w:val="none"/>
          <w:u w:color="000000"/>
        </w:rPr>
        <w:t>人，营业收入为</w:t>
      </w:r>
      <w:r>
        <w:rPr>
          <w:rFonts w:hint="eastAsia" w:ascii="宋体" w:hAnsi="宋体" w:eastAsia="宋体" w:cs="宋体"/>
          <w:i w:val="0"/>
          <w:iCs w:val="0"/>
          <w:color w:val="auto"/>
          <w:spacing w:val="0"/>
          <w:kern w:val="0"/>
          <w:position w:val="0"/>
          <w:sz w:val="24"/>
          <w:highlight w:val="none"/>
          <w:u w:val="single" w:color="000000"/>
        </w:rPr>
        <w:tab/>
      </w:r>
      <w:r>
        <w:rPr>
          <w:rFonts w:hint="eastAsia" w:ascii="宋体" w:hAnsi="宋体" w:eastAsia="宋体" w:cs="宋体"/>
          <w:i w:val="0"/>
          <w:iCs w:val="0"/>
          <w:color w:val="auto"/>
          <w:spacing w:val="0"/>
          <w:kern w:val="0"/>
          <w:position w:val="0"/>
          <w:sz w:val="24"/>
          <w:highlight w:val="none"/>
          <w:u w:color="000000"/>
        </w:rPr>
        <w:t>万元，资产总额为</w:t>
      </w:r>
      <w:r>
        <w:rPr>
          <w:rFonts w:hint="eastAsia" w:ascii="宋体" w:hAnsi="宋体" w:eastAsia="宋体" w:cs="宋体"/>
          <w:i w:val="0"/>
          <w:iCs w:val="0"/>
          <w:color w:val="auto"/>
          <w:spacing w:val="0"/>
          <w:kern w:val="0"/>
          <w:position w:val="0"/>
          <w:sz w:val="24"/>
          <w:highlight w:val="none"/>
          <w:u w:val="single" w:color="000000"/>
        </w:rPr>
        <w:tab/>
      </w:r>
      <w:r>
        <w:rPr>
          <w:rFonts w:hint="eastAsia" w:ascii="宋体" w:hAnsi="宋体" w:eastAsia="宋体" w:cs="宋体"/>
          <w:i w:val="0"/>
          <w:iCs w:val="0"/>
          <w:color w:val="auto"/>
          <w:spacing w:val="0"/>
          <w:kern w:val="0"/>
          <w:position w:val="0"/>
          <w:sz w:val="24"/>
          <w:highlight w:val="none"/>
          <w:u w:color="000000"/>
        </w:rPr>
        <w:t>万元，属于</w:t>
      </w:r>
      <w:r>
        <w:rPr>
          <w:rFonts w:hint="eastAsia" w:ascii="宋体" w:hAnsi="宋体" w:eastAsia="宋体" w:cs="宋体"/>
          <w:i w:val="0"/>
          <w:iCs w:val="0"/>
          <w:color w:val="auto"/>
          <w:spacing w:val="0"/>
          <w:kern w:val="0"/>
          <w:position w:val="0"/>
          <w:sz w:val="24"/>
          <w:highlight w:val="none"/>
          <w:u w:val="single" w:color="000000"/>
        </w:rPr>
        <w:t>（中型企业、小型企业、微型企业）</w:t>
      </w:r>
      <w:r>
        <w:rPr>
          <w:rFonts w:hint="eastAsia" w:ascii="宋体" w:hAnsi="宋体" w:eastAsia="宋体" w:cs="宋体"/>
          <w:i w:val="0"/>
          <w:iCs w:val="0"/>
          <w:color w:val="auto"/>
          <w:spacing w:val="0"/>
          <w:kern w:val="0"/>
          <w:position w:val="0"/>
          <w:sz w:val="24"/>
          <w:highlight w:val="none"/>
          <w:u w:color="000000"/>
        </w:rPr>
        <w:t>；</w:t>
      </w:r>
    </w:p>
    <w:p w14:paraId="28796547">
      <w:pPr>
        <w:pageBreakBefore w:val="0"/>
        <w:wordWrap/>
        <w:topLinePunct w:val="0"/>
        <w:autoSpaceDE w:val="0"/>
        <w:autoSpaceDN w:val="0"/>
        <w:bidi w:val="0"/>
        <w:spacing w:line="360" w:lineRule="auto"/>
        <w:ind w:left="860"/>
        <w:jc w:val="left"/>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w:t>
      </w:r>
    </w:p>
    <w:p w14:paraId="552F861E">
      <w:pPr>
        <w:pageBreakBefore w:val="0"/>
        <w:wordWrap/>
        <w:topLinePunct w:val="0"/>
        <w:autoSpaceDE w:val="0"/>
        <w:autoSpaceDN w:val="0"/>
        <w:bidi w:val="0"/>
        <w:spacing w:line="360" w:lineRule="auto"/>
        <w:ind w:left="220" w:right="417" w:firstLine="645"/>
        <w:rPr>
          <w:rFonts w:hint="eastAsia" w:ascii="宋体" w:hAnsi="宋体" w:eastAsia="宋体" w:cs="宋体"/>
          <w:i w:val="0"/>
          <w:iCs w:val="0"/>
          <w:color w:val="auto"/>
          <w:spacing w:val="0"/>
          <w:kern w:val="0"/>
          <w:position w:val="0"/>
          <w:sz w:val="24"/>
          <w:highlight w:val="none"/>
        </w:rPr>
      </w:pPr>
      <w:r>
        <w:rPr>
          <w:rFonts w:hint="eastAsia" w:ascii="宋体" w:hAnsi="宋体" w:eastAsia="宋体" w:cs="宋体"/>
          <w:i w:val="0"/>
          <w:iCs w:val="0"/>
          <w:color w:val="auto"/>
          <w:spacing w:val="0"/>
          <w:kern w:val="0"/>
          <w:position w:val="0"/>
          <w:sz w:val="24"/>
          <w:highlight w:val="none"/>
        </w:rPr>
        <w:t>以上企业，不属于大企业的分支机构，不存在控股股东为大企业的情形，也不存在与大企业的负责人为同一人的情形。</w:t>
      </w:r>
    </w:p>
    <w:p w14:paraId="11EE5C15">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rPr>
        <w:t>本企业对上述声明内容的真实性负责。如有虚假，将依法承担相应责任。</w:t>
      </w:r>
    </w:p>
    <w:p w14:paraId="22D596F0">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p>
    <w:p w14:paraId="6E8F79C2">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1F2AB847">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企业名称（盖章）：________</w:t>
      </w:r>
    </w:p>
    <w:p w14:paraId="5CC906B5">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日 期：________</w:t>
      </w:r>
    </w:p>
    <w:p w14:paraId="3391D9EF">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6945E0F0">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 w:val="24"/>
          <w:szCs w:val="21"/>
          <w:highlight w:val="none"/>
        </w:rPr>
      </w:pPr>
    </w:p>
    <w:tbl>
      <w:tblPr>
        <w:tblStyle w:val="45"/>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B3160A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4E89825F">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rPr>
            </w:pPr>
            <w:r>
              <w:rPr>
                <w:rFonts w:hint="eastAsia" w:ascii="宋体" w:hAnsi="宋体" w:eastAsia="宋体" w:cs="宋体"/>
                <w:i w:val="0"/>
                <w:iCs w:val="0"/>
                <w:color w:val="auto"/>
                <w:spacing w:val="0"/>
                <w:position w:val="0"/>
                <w:szCs w:val="21"/>
                <w:highlight w:val="none"/>
                <w:vertAlign w:val="superscript"/>
              </w:rPr>
              <w:t>1</w:t>
            </w:r>
            <w:r>
              <w:rPr>
                <w:rFonts w:hint="eastAsia" w:ascii="宋体" w:hAnsi="宋体" w:eastAsia="宋体" w:cs="宋体"/>
                <w:i w:val="0"/>
                <w:iCs w:val="0"/>
                <w:color w:val="auto"/>
                <w:spacing w:val="0"/>
                <w:position w:val="0"/>
                <w:szCs w:val="21"/>
                <w:highlight w:val="none"/>
              </w:rPr>
              <w:t>从业人员、营业收入、资产总额填报上一年度数据，无上一年度数据的新成立企业可不填报。</w:t>
            </w:r>
          </w:p>
        </w:tc>
      </w:tr>
    </w:tbl>
    <w:p w14:paraId="34192783">
      <w:pPr>
        <w:pageBreakBefore w:val="0"/>
        <w:wordWrap/>
        <w:topLinePunct w:val="0"/>
        <w:bidi w:val="0"/>
        <w:adjustRightInd w:val="0"/>
        <w:snapToGrid w:val="0"/>
        <w:spacing w:line="360" w:lineRule="auto"/>
        <w:jc w:val="left"/>
        <w:rPr>
          <w:rFonts w:hint="eastAsia" w:ascii="宋体" w:hAnsi="宋体" w:eastAsia="宋体" w:cs="宋体"/>
          <w:i w:val="0"/>
          <w:iCs w:val="0"/>
          <w:color w:val="auto"/>
          <w:spacing w:val="0"/>
          <w:position w:val="0"/>
          <w:szCs w:val="21"/>
          <w:highlight w:val="none"/>
          <w:vertAlign w:val="superscript"/>
        </w:rPr>
      </w:pPr>
    </w:p>
    <w:p w14:paraId="3E3CFE55">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4C5F1DE5">
      <w:pPr>
        <w:pageBreakBefore w:val="0"/>
        <w:wordWrap/>
        <w:topLinePunct w:val="0"/>
        <w:bidi w:val="0"/>
        <w:spacing w:line="360" w:lineRule="auto"/>
        <w:ind w:right="360" w:firstLine="480"/>
        <w:jc w:val="right"/>
        <w:rPr>
          <w:rFonts w:hint="eastAsia" w:ascii="宋体" w:hAnsi="宋体" w:eastAsia="宋体" w:cs="宋体"/>
          <w:i w:val="0"/>
          <w:iCs w:val="0"/>
          <w:color w:val="auto"/>
          <w:spacing w:val="0"/>
          <w:position w:val="0"/>
          <w:sz w:val="24"/>
          <w:highlight w:val="none"/>
        </w:rPr>
      </w:pPr>
    </w:p>
    <w:p w14:paraId="531EBF3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p>
    <w:p w14:paraId="28815F8F">
      <w:pPr>
        <w:pageBreakBefore w:val="0"/>
        <w:wordWrap/>
        <w:topLinePunct w:val="0"/>
        <w:bidi w:val="0"/>
        <w:spacing w:before="240" w:beforeLines="100" w:after="240" w:afterLines="100" w:line="360" w:lineRule="auto"/>
        <w:jc w:val="center"/>
        <w:rPr>
          <w:rFonts w:hint="eastAsia" w:ascii="宋体" w:hAnsi="宋体" w:eastAsia="宋体" w:cs="宋体"/>
          <w:i w:val="0"/>
          <w:iCs w:val="0"/>
          <w:color w:val="auto"/>
          <w:spacing w:val="0"/>
          <w:position w:val="0"/>
          <w:sz w:val="36"/>
          <w:szCs w:val="36"/>
          <w:highlight w:val="none"/>
        </w:rPr>
      </w:pPr>
      <w:r>
        <w:rPr>
          <w:rFonts w:hint="eastAsia" w:ascii="宋体" w:hAnsi="宋体" w:eastAsia="宋体" w:cs="宋体"/>
          <w:b/>
          <w:bCs/>
          <w:i w:val="0"/>
          <w:iCs w:val="0"/>
          <w:color w:val="auto"/>
          <w:spacing w:val="0"/>
          <w:position w:val="0"/>
          <w:sz w:val="36"/>
          <w:szCs w:val="36"/>
          <w:highlight w:val="none"/>
        </w:rPr>
        <w:t>残疾人福利性单位声明函格式</w:t>
      </w:r>
      <w:r>
        <w:rPr>
          <w:rFonts w:hint="eastAsia" w:ascii="宋体" w:hAnsi="宋体" w:eastAsia="宋体" w:cs="宋体"/>
          <w:i w:val="0"/>
          <w:iCs w:val="0"/>
          <w:color w:val="auto"/>
          <w:spacing w:val="0"/>
          <w:position w:val="0"/>
          <w:sz w:val="36"/>
          <w:szCs w:val="36"/>
          <w:highlight w:val="none"/>
        </w:rPr>
        <w:t xml:space="preserve"> </w:t>
      </w:r>
    </w:p>
    <w:p w14:paraId="4312D65A">
      <w:pPr>
        <w:pageBreakBefore w:val="0"/>
        <w:wordWrap/>
        <w:topLinePunct w:val="0"/>
        <w:bidi w:val="0"/>
        <w:spacing w:line="360" w:lineRule="auto"/>
        <w:ind w:firstLine="504"/>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本单位郑重声明，根据《财政部 民政部 中国残疾人联合会关于促进残疾人就业政府采购政策的通知》（财库〔2017〕141号）的规定，本单位</w:t>
      </w:r>
      <w:r>
        <w:rPr>
          <w:rFonts w:hint="eastAsia" w:ascii="宋体" w:hAnsi="宋体" w:eastAsia="宋体" w:cs="宋体"/>
          <w:b/>
          <w:i w:val="0"/>
          <w:iCs w:val="0"/>
          <w:color w:val="auto"/>
          <w:spacing w:val="0"/>
          <w:position w:val="0"/>
          <w:sz w:val="24"/>
          <w:highlight w:val="none"/>
        </w:rPr>
        <w:t>（请进行选择）</w:t>
      </w:r>
      <w:r>
        <w:rPr>
          <w:rFonts w:hint="eastAsia" w:ascii="宋体" w:hAnsi="宋体" w:eastAsia="宋体" w:cs="宋体"/>
          <w:i w:val="0"/>
          <w:iCs w:val="0"/>
          <w:color w:val="auto"/>
          <w:spacing w:val="0"/>
          <w:position w:val="0"/>
          <w:sz w:val="24"/>
          <w:highlight w:val="none"/>
        </w:rPr>
        <w:t>：</w:t>
      </w:r>
    </w:p>
    <w:p w14:paraId="70A1AFEC">
      <w:pPr>
        <w:pageBreakBefore w:val="0"/>
        <w:wordWrap/>
        <w:topLinePunct w:val="0"/>
        <w:bidi w:val="0"/>
        <w:spacing w:line="360" w:lineRule="auto"/>
        <w:ind w:firstLine="482"/>
        <w:rPr>
          <w:rFonts w:hint="eastAsia" w:ascii="宋体" w:hAnsi="宋体" w:eastAsia="宋体" w:cs="宋体"/>
          <w:b/>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不属于符合条件的残疾人福利性单位。</w:t>
      </w:r>
    </w:p>
    <w:p w14:paraId="73934EB1">
      <w:pPr>
        <w:pageBreakBefore w:val="0"/>
        <w:wordWrap/>
        <w:topLinePunct w:val="0"/>
        <w:bidi w:val="0"/>
        <w:spacing w:line="360" w:lineRule="auto"/>
        <w:ind w:firstLine="482"/>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kern w:val="0"/>
          <w:position w:val="0"/>
          <w:sz w:val="24"/>
          <w:highlight w:val="none"/>
          <w:lang w:eastAsia="zh-CN"/>
        </w:rPr>
        <w:t>□</w:t>
      </w:r>
      <w:r>
        <w:rPr>
          <w:rFonts w:hint="eastAsia" w:ascii="宋体" w:hAnsi="宋体" w:eastAsia="宋体" w:cs="宋体"/>
          <w:b/>
          <w:i w:val="0"/>
          <w:iCs w:val="0"/>
          <w:color w:val="auto"/>
          <w:spacing w:val="0"/>
          <w:position w:val="0"/>
          <w:sz w:val="24"/>
          <w:highlight w:val="none"/>
        </w:rPr>
        <w:t>属于符合条件的残疾人福利性单位，</w:t>
      </w:r>
      <w:r>
        <w:rPr>
          <w:rFonts w:hint="eastAsia" w:ascii="宋体" w:hAnsi="宋体" w:eastAsia="宋体" w:cs="宋体"/>
          <w:i w:val="0"/>
          <w:iCs w:val="0"/>
          <w:color w:val="auto"/>
          <w:spacing w:val="0"/>
          <w:position w:val="0"/>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0C33AB2E">
      <w:pPr>
        <w:pageBreakBefore w:val="0"/>
        <w:wordWrap/>
        <w:topLinePunct w:val="0"/>
        <w:bidi w:val="0"/>
        <w:spacing w:line="360" w:lineRule="auto"/>
        <w:ind w:firstLine="482" w:firstLineChars="200"/>
        <w:rPr>
          <w:rFonts w:hint="eastAsia" w:ascii="宋体" w:hAnsi="宋体" w:eastAsia="宋体" w:cs="宋体"/>
          <w:i w:val="0"/>
          <w:iCs w:val="0"/>
          <w:color w:val="auto"/>
          <w:spacing w:val="0"/>
          <w:position w:val="0"/>
          <w:sz w:val="24"/>
          <w:highlight w:val="none"/>
        </w:rPr>
      </w:pPr>
      <w:r>
        <w:rPr>
          <w:rFonts w:hint="eastAsia" w:ascii="宋体" w:hAnsi="宋体" w:eastAsia="宋体" w:cs="宋体"/>
          <w:b/>
          <w:i w:val="0"/>
          <w:iCs w:val="0"/>
          <w:color w:val="auto"/>
          <w:spacing w:val="0"/>
          <w:position w:val="0"/>
          <w:sz w:val="24"/>
          <w:highlight w:val="none"/>
        </w:rPr>
        <w:t>本单位对上述声明的真实性负责。如有虚假，将依法承担相应责任。</w:t>
      </w:r>
    </w:p>
    <w:p w14:paraId="1EC28860">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35DEBD04">
      <w:pPr>
        <w:pageBreakBefore w:val="0"/>
        <w:wordWrap/>
        <w:topLinePunct w:val="0"/>
        <w:bidi w:val="0"/>
        <w:spacing w:line="360" w:lineRule="auto"/>
        <w:ind w:firstLine="480" w:firstLineChars="200"/>
        <w:rPr>
          <w:rFonts w:hint="eastAsia" w:ascii="宋体" w:hAnsi="宋体" w:eastAsia="宋体" w:cs="宋体"/>
          <w:i w:val="0"/>
          <w:iCs w:val="0"/>
          <w:color w:val="auto"/>
          <w:spacing w:val="0"/>
          <w:position w:val="0"/>
          <w:sz w:val="24"/>
          <w:highlight w:val="none"/>
        </w:rPr>
      </w:pPr>
    </w:p>
    <w:p w14:paraId="080010B0">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单位名称（盖章）：</w:t>
      </w:r>
    </w:p>
    <w:p w14:paraId="6EA3B62A">
      <w:pPr>
        <w:pageBreakBefore w:val="0"/>
        <w:tabs>
          <w:tab w:val="left" w:pos="4860"/>
        </w:tabs>
        <w:wordWrap/>
        <w:topLinePunct w:val="0"/>
        <w:bidi w:val="0"/>
        <w:spacing w:line="360" w:lineRule="auto"/>
        <w:ind w:right="1560" w:firstLine="480" w:firstLineChars="200"/>
        <w:jc w:val="center"/>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 xml:space="preserve">       日  期：</w:t>
      </w:r>
    </w:p>
    <w:p w14:paraId="36A516A6">
      <w:pPr>
        <w:pageBreakBefore w:val="0"/>
        <w:numPr>
          <w:ilvl w:val="0"/>
          <w:numId w:val="16"/>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Cs w:val="20"/>
          <w:highlight w:val="none"/>
        </w:rPr>
        <w:br w:type="page"/>
      </w:r>
      <w:r>
        <w:rPr>
          <w:rFonts w:hint="eastAsia" w:ascii="宋体" w:hAnsi="宋体" w:eastAsia="宋体" w:cs="宋体"/>
          <w:i w:val="0"/>
          <w:iCs w:val="0"/>
          <w:color w:val="auto"/>
          <w:spacing w:val="0"/>
          <w:position w:val="0"/>
          <w:sz w:val="24"/>
          <w:szCs w:val="20"/>
          <w:highlight w:val="none"/>
        </w:rPr>
        <w:t>拟分包情况说明</w:t>
      </w:r>
      <w:r>
        <w:rPr>
          <w:rFonts w:hint="eastAsia" w:ascii="宋体" w:hAnsi="宋体" w:cs="宋体"/>
          <w:i w:val="0"/>
          <w:iCs w:val="0"/>
          <w:color w:val="auto"/>
          <w:spacing w:val="0"/>
          <w:position w:val="0"/>
          <w:sz w:val="24"/>
          <w:szCs w:val="20"/>
          <w:highlight w:val="none"/>
          <w:lang w:eastAsia="zh-CN"/>
        </w:rPr>
        <w:t>（</w:t>
      </w:r>
      <w:r>
        <w:rPr>
          <w:rFonts w:hint="eastAsia" w:ascii="宋体" w:hAnsi="宋体" w:cs="宋体"/>
          <w:i w:val="0"/>
          <w:iCs w:val="0"/>
          <w:color w:val="auto"/>
          <w:spacing w:val="0"/>
          <w:position w:val="0"/>
          <w:sz w:val="24"/>
          <w:szCs w:val="20"/>
          <w:highlight w:val="none"/>
          <w:lang w:val="en-US" w:eastAsia="zh-CN"/>
        </w:rPr>
        <w:t>此项目不适用）</w:t>
      </w:r>
    </w:p>
    <w:p w14:paraId="0403A0E6">
      <w:pPr>
        <w:pageBreakBefore w:val="0"/>
        <w:numPr>
          <w:ilvl w:val="0"/>
          <w:numId w:val="16"/>
        </w:numPr>
        <w:tabs>
          <w:tab w:val="left" w:pos="360"/>
        </w:tabs>
        <w:wordWrap/>
        <w:topLinePunct w:val="0"/>
        <w:bidi w:val="0"/>
        <w:snapToGrid w:val="0"/>
        <w:spacing w:line="360" w:lineRule="auto"/>
        <w:outlineLvl w:val="1"/>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br w:type="page"/>
      </w:r>
      <w:r>
        <w:rPr>
          <w:rFonts w:hint="eastAsia" w:ascii="宋体" w:hAnsi="宋体" w:eastAsia="宋体" w:cs="宋体"/>
          <w:i w:val="0"/>
          <w:iCs w:val="0"/>
          <w:color w:val="auto"/>
          <w:spacing w:val="0"/>
          <w:position w:val="0"/>
          <w:sz w:val="24"/>
          <w:szCs w:val="20"/>
          <w:highlight w:val="none"/>
        </w:rPr>
        <w:t>招标文件要求提供或投标人认为应附的其他材料</w:t>
      </w:r>
    </w:p>
    <w:p w14:paraId="70443309">
      <w:pPr>
        <w:pageBreakBefore w:val="0"/>
        <w:widowControl/>
        <w:wordWrap/>
        <w:topLinePunct w:val="0"/>
        <w:bidi w:val="0"/>
        <w:spacing w:line="360" w:lineRule="auto"/>
        <w:jc w:val="left"/>
        <w:rPr>
          <w:rFonts w:hint="eastAsia" w:ascii="宋体" w:hAnsi="宋体" w:eastAsia="宋体" w:cs="宋体"/>
          <w:i w:val="0"/>
          <w:iCs w:val="0"/>
          <w:color w:val="auto"/>
          <w:spacing w:val="0"/>
          <w:position w:val="0"/>
          <w:sz w:val="24"/>
          <w:szCs w:val="20"/>
          <w:highlight w:val="none"/>
        </w:rPr>
      </w:pPr>
      <w:r>
        <w:rPr>
          <w:rFonts w:hint="eastAsia" w:ascii="宋体" w:hAnsi="宋体" w:eastAsia="宋体" w:cs="宋体"/>
          <w:i w:val="0"/>
          <w:iCs w:val="0"/>
          <w:color w:val="auto"/>
          <w:spacing w:val="0"/>
          <w:position w:val="0"/>
          <w:sz w:val="24"/>
          <w:szCs w:val="20"/>
          <w:highlight w:val="none"/>
        </w:rPr>
        <w:t>10-1供应商信息采集表</w:t>
      </w:r>
    </w:p>
    <w:tbl>
      <w:tblPr>
        <w:tblStyle w:val="46"/>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2"/>
        <w:gridCol w:w="3020"/>
      </w:tblGrid>
      <w:tr w14:paraId="3A745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A6A0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供应商名称</w:t>
            </w:r>
          </w:p>
        </w:tc>
        <w:tc>
          <w:tcPr>
            <w:tcW w:w="1667" w:type="pct"/>
          </w:tcPr>
          <w:p w14:paraId="0A2527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供应商所属性别</w:t>
            </w:r>
          </w:p>
        </w:tc>
        <w:tc>
          <w:tcPr>
            <w:tcW w:w="1667" w:type="pct"/>
          </w:tcPr>
          <w:p w14:paraId="3919CC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外商投资类型</w:t>
            </w:r>
          </w:p>
        </w:tc>
      </w:tr>
      <w:tr w14:paraId="27507F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51EC82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883B0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570BB7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4D02B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11ABBC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34AF7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6B33C2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724E8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E3C01F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2A9B35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3432CA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r w14:paraId="38226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0266BA3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724C460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c>
          <w:tcPr>
            <w:tcW w:w="1667" w:type="pct"/>
          </w:tcPr>
          <w:p w14:paraId="537FFE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auto"/>
                <w:spacing w:val="0"/>
                <w:position w:val="0"/>
                <w:sz w:val="24"/>
                <w:highlight w:val="none"/>
              </w:rPr>
            </w:pPr>
          </w:p>
        </w:tc>
      </w:tr>
    </w:tbl>
    <w:p w14:paraId="779BACD1">
      <w:pPr>
        <w:keepNext w:val="0"/>
        <w:keepLines w:val="0"/>
        <w:pageBreakBefore w:val="0"/>
        <w:widowControl w:val="0"/>
        <w:tabs>
          <w:tab w:val="left" w:pos="1800"/>
          <w:tab w:val="left" w:pos="5580"/>
        </w:tabs>
        <w:kinsoku/>
        <w:wordWrap/>
        <w:overflowPunct/>
        <w:topLinePunct w:val="0"/>
        <w:autoSpaceDE/>
        <w:autoSpaceDN/>
        <w:bidi w:val="0"/>
        <w:adjustRightInd/>
        <w:snapToGrid/>
        <w:spacing w:before="464" w:beforeLines="100" w:line="360" w:lineRule="auto"/>
        <w:jc w:val="left"/>
        <w:textAlignment w:val="auto"/>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注：1.供应商如为联合体，则应填写联合体各成员信息。</w:t>
      </w:r>
    </w:p>
    <w:p w14:paraId="2D13FF58">
      <w:pPr>
        <w:pageBreakBefore w:val="0"/>
        <w:tabs>
          <w:tab w:val="left" w:pos="1800"/>
          <w:tab w:val="left" w:pos="5580"/>
        </w:tabs>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2.供应商所属性别请填写“男”或“女”，指拥有供应商51%以上绝对所有权的性别；绝对所有权拥有者可以是一个人，也可以是多人合计计算。</w:t>
      </w:r>
    </w:p>
    <w:p w14:paraId="3EEA84E2">
      <w:pPr>
        <w:pageBreakBefore w:val="0"/>
        <w:tabs>
          <w:tab w:val="left" w:pos="1800"/>
          <w:tab w:val="left" w:pos="5580"/>
        </w:tabs>
        <w:wordWrap/>
        <w:topLinePunct w:val="0"/>
        <w:bidi w:val="0"/>
        <w:spacing w:line="360" w:lineRule="auto"/>
        <w:ind w:firstLine="480" w:firstLineChars="200"/>
        <w:jc w:val="left"/>
        <w:rPr>
          <w:rFonts w:hint="eastAsia" w:ascii="宋体" w:hAnsi="宋体" w:eastAsia="宋体" w:cs="宋体"/>
          <w:i w:val="0"/>
          <w:iCs w:val="0"/>
          <w:color w:val="auto"/>
          <w:spacing w:val="0"/>
          <w:position w:val="0"/>
          <w:sz w:val="24"/>
          <w:highlight w:val="none"/>
        </w:rPr>
      </w:pPr>
      <w:r>
        <w:rPr>
          <w:rFonts w:hint="eastAsia" w:ascii="宋体" w:hAnsi="宋体" w:eastAsia="宋体" w:cs="宋体"/>
          <w:i w:val="0"/>
          <w:iCs w:val="0"/>
          <w:color w:val="auto"/>
          <w:spacing w:val="0"/>
          <w:position w:val="0"/>
          <w:sz w:val="24"/>
          <w:highlight w:val="none"/>
        </w:rPr>
        <w:t>3.外商投资类型请填写“外商单独投资”、“外商部分投资”或“内资”。</w:t>
      </w:r>
    </w:p>
    <w:p w14:paraId="4704FD52">
      <w:pPr>
        <w:pageBreakBefore w:val="0"/>
        <w:widowControl/>
        <w:wordWrap/>
        <w:topLinePunct w:val="0"/>
        <w:bidi w:val="0"/>
        <w:spacing w:line="360" w:lineRule="auto"/>
        <w:jc w:val="left"/>
        <w:rPr>
          <w:rFonts w:hint="eastAsia" w:ascii="宋体" w:hAnsi="宋体" w:eastAsia="宋体" w:cs="宋体"/>
          <w:b/>
          <w:i w:val="0"/>
          <w:iCs w:val="0"/>
          <w:color w:val="auto"/>
          <w:spacing w:val="0"/>
          <w:position w:val="0"/>
          <w:sz w:val="36"/>
          <w:szCs w:val="36"/>
          <w:highlight w:val="none"/>
        </w:rPr>
      </w:pPr>
    </w:p>
    <w:sectPr>
      <w:pgSz w:w="11907" w:h="16840"/>
      <w:pgMar w:top="1417" w:right="1417" w:bottom="1417" w:left="1417" w:header="1134" w:footer="1134" w:gutter="0"/>
      <w:pgBorders>
        <w:top w:val="none" w:sz="0" w:space="0"/>
        <w:left w:val="none" w:sz="0" w:space="0"/>
        <w:bottom w:val="none" w:sz="0" w:space="0"/>
        <w:right w:val="none" w:sz="0" w:space="0"/>
      </w:pgBorders>
      <w:pgNumType w:fmt="decimal"/>
      <w:cols w:space="0" w:num="1"/>
      <w:titlePg/>
      <w:rtlGutter w:val="0"/>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方正小标宋简体">
    <w:altName w:val="方正舒体"/>
    <w:panose1 w:val="02000000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4B6494">
    <w:pPr>
      <w:pStyle w:val="29"/>
      <w:ind w:right="360"/>
      <w:rPr>
        <w:rStyle w:val="50"/>
      </w:rPr>
    </w:pPr>
  </w:p>
  <w:p w14:paraId="440E58A9">
    <w:pPr>
      <w:pStyle w:val="29"/>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BC473D">
    <w:pPr>
      <w:pStyle w:val="29"/>
      <w:framePr w:wrap="around" w:vAnchor="text" w:hAnchor="margin" w:xAlign="center" w:y="1"/>
      <w:rPr>
        <w:rStyle w:val="50"/>
      </w:rPr>
    </w:pPr>
    <w:r>
      <w:fldChar w:fldCharType="begin"/>
    </w:r>
    <w:r>
      <w:rPr>
        <w:rStyle w:val="50"/>
      </w:rPr>
      <w:instrText xml:space="preserve">PAGE  </w:instrText>
    </w:r>
    <w:r>
      <w:fldChar w:fldCharType="end"/>
    </w:r>
  </w:p>
  <w:p w14:paraId="7C09810F">
    <w:pPr>
      <w:pStyle w:val="2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9AC1">
    <w:pPr>
      <w:pStyle w:val="29"/>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5F5E6">
    <w:pPr>
      <w:pStyle w:val="29"/>
      <w:tabs>
        <w:tab w:val="center" w:pos="4337"/>
        <w:tab w:val="clear" w:pos="4153"/>
      </w:tabs>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ED930B">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2ED930B">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0A583">
    <w:pPr>
      <w:pStyle w:val="29"/>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9187BA">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E9187BA">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FBB1A">
    <w:pPr>
      <w:pStyle w:val="2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B5C8E6">
                          <w:pPr>
                            <w:pStyle w:val="2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8B5C8E6">
                    <w:pPr>
                      <w:pStyle w:val="2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148E1">
    <w:pPr>
      <w:spacing w:line="193" w:lineRule="auto"/>
      <w:ind w:left="4565"/>
      <w:rPr>
        <w:rFonts w:ascii="宋体" w:hAnsi="宋体" w:cs="宋体"/>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9323A3">
                          <w:pPr>
                            <w:pStyle w:val="29"/>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089323A3">
                    <w:pPr>
                      <w:pStyle w:val="29"/>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22571">
    <w:pPr>
      <w:pStyle w:val="29"/>
      <w:tabs>
        <w:tab w:val="center" w:pos="4337"/>
        <w:tab w:val="clear" w:pos="4153"/>
      </w:tabs>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32B80">
                          <w:pPr>
                            <w:pStyle w:val="29"/>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F32B80">
                    <w:pPr>
                      <w:pStyle w:val="29"/>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86B4FB">
    <w:pPr>
      <w:pStyle w:val="29"/>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4BA1A3">
                          <w:pPr>
                            <w:pStyle w:val="2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34BA1A3">
                    <w:pPr>
                      <w:pStyle w:val="2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F4D680">
    <w:pPr>
      <w:pStyle w:val="30"/>
      <w:pBdr>
        <w:top w:val="none" w:color="auto" w:sz="0" w:space="0"/>
        <w:left w:val="none" w:color="auto" w:sz="0" w:space="0"/>
        <w:bottom w:val="none" w:color="auto" w:sz="0" w:space="1"/>
        <w:right w:val="none" w:color="auto" w:sz="0" w:space="0"/>
        <w:between w:val="none" w:color="auto" w:sz="0" w:space="0"/>
      </w:pBdr>
      <w:jc w:val="left"/>
    </w:pPr>
    <w:r>
      <w:rPr>
        <w:rFonts w:hint="eastAsia" w:ascii="宋体" w:hAnsi="宋体" w:eastAsia="宋体" w:cs="宋体"/>
        <w:color w:val="auto"/>
        <w:kern w:val="0"/>
        <w:sz w:val="60"/>
        <w:szCs w:val="60"/>
        <w:highlight w:val="none"/>
        <w:lang w:val="zh-CN" w:eastAsia="zh-CN" w:bidi="zh-CN"/>
      </w:rPr>
      <w:drawing>
        <wp:inline distT="0" distB="0" distL="114300" distR="114300">
          <wp:extent cx="961390" cy="1015365"/>
          <wp:effectExtent l="0" t="0" r="3810" b="635"/>
          <wp:docPr id="9" name="图片 1"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中规咨询竖式logo"/>
                  <pic:cNvPicPr>
                    <a:picLocks noChangeAspect="1"/>
                  </pic:cNvPicPr>
                </pic:nvPicPr>
                <pic:blipFill>
                  <a:blip r:embed="rId1"/>
                  <a:srcRect l="11173" t="9302" r="12285" b="9858"/>
                  <a:stretch>
                    <a:fillRect/>
                  </a:stretch>
                </pic:blipFill>
                <pic:spPr>
                  <a:xfrm>
                    <a:off x="0" y="0"/>
                    <a:ext cx="961390" cy="101536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82AA">
    <w:pPr>
      <w:pStyle w:val="30"/>
      <w:pBdr>
        <w:bottom w:val="none" w:color="auto" w:sz="0" w:space="0"/>
      </w:pBdr>
      <w:jc w:val="left"/>
    </w:pPr>
    <w:r>
      <w:rPr>
        <w:rFonts w:hint="eastAsia" w:ascii="宋体" w:hAnsi="宋体" w:eastAsia="宋体" w:cs="宋体"/>
        <w:color w:val="auto"/>
        <w:kern w:val="0"/>
        <w:sz w:val="60"/>
        <w:szCs w:val="60"/>
        <w:highlight w:val="none"/>
        <w:lang w:val="zh-CN" w:eastAsia="zh-CN" w:bidi="zh-CN"/>
      </w:rPr>
      <w:drawing>
        <wp:inline distT="0" distB="0" distL="114300" distR="114300">
          <wp:extent cx="961390" cy="1015365"/>
          <wp:effectExtent l="0" t="0" r="3810" b="635"/>
          <wp:docPr id="2" name="图片 1" descr="中规咨询竖式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中规咨询竖式logo"/>
                  <pic:cNvPicPr>
                    <a:picLocks noChangeAspect="1"/>
                  </pic:cNvPicPr>
                </pic:nvPicPr>
                <pic:blipFill>
                  <a:blip r:embed="rId1"/>
                  <a:srcRect l="11173" t="9302" r="12285" b="9858"/>
                  <a:stretch>
                    <a:fillRect/>
                  </a:stretch>
                </pic:blipFill>
                <pic:spPr>
                  <a:xfrm>
                    <a:off x="0" y="0"/>
                    <a:ext cx="961390" cy="101536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B3EF6">
    <w:pPr>
      <w:pStyle w:val="30"/>
      <w:pBdr>
        <w:top w:val="none" w:color="auto" w:sz="0" w:space="0"/>
        <w:left w:val="none" w:color="auto" w:sz="0" w:space="0"/>
        <w:bottom w:val="none" w:color="auto" w:sz="0" w:space="1"/>
        <w:right w:val="none" w:color="auto" w:sz="0" w:space="0"/>
        <w:between w:val="none" w:color="auto" w:sz="0" w:space="0"/>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A6AE">
    <w:pPr>
      <w:pStyle w:val="30"/>
      <w:pBdr>
        <w:top w:val="none" w:color="auto" w:sz="0" w:space="0"/>
        <w:left w:val="none" w:color="auto" w:sz="0" w:space="0"/>
        <w:bottom w:val="none" w:color="auto" w:sz="0" w:space="1"/>
        <w:right w:val="none" w:color="auto" w:sz="0" w:space="0"/>
        <w:between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22A58">
    <w:pPr>
      <w:pStyle w:val="30"/>
      <w:jc w:val="both"/>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5D844">
    <w:pPr>
      <w:pStyle w:val="30"/>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4EA2D">
    <w:pPr>
      <w:pStyle w:val="3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宋体" w:hAnsi="宋体" w:eastAsia="宋体" w:cs="宋体"/>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Theme="minorEastAsia" w:hAnsiTheme="minorEastAsia" w:eastAsiaTheme="minorEastAsia" w:cstheme="minorEastAsia"/>
        <w:spacing w:val="0"/>
        <w:w w:val="99"/>
        <w:sz w:val="24"/>
        <w:szCs w:val="24"/>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heme="majorEastAsia" w:hAnsiTheme="majorEastAsia" w:eastAsiaTheme="majorEastAsia" w:cstheme="majorEastAsia"/>
        <w:sz w:val="24"/>
        <w:szCs w:val="24"/>
      </w:rPr>
    </w:lvl>
    <w:lvl w:ilvl="2" w:tentative="0">
      <w:start w:val="1"/>
      <w:numFmt w:val="decimal"/>
      <w:lvlText w:val="%1.%2.%3"/>
      <w:lvlJc w:val="left"/>
      <w:pPr>
        <w:tabs>
          <w:tab w:val="left" w:pos="1980"/>
        </w:tabs>
        <w:ind w:left="1980" w:hanging="900"/>
      </w:pPr>
      <w:rPr>
        <w:rFonts w:hint="default" w:asciiTheme="majorEastAsia" w:hAnsiTheme="majorEastAsia" w:eastAsiaTheme="majorEastAsia" w:cstheme="major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0"/>
  </w:num>
  <w:num w:numId="10">
    <w:abstractNumId w:val="14"/>
  </w:num>
  <w:num w:numId="11">
    <w:abstractNumId w:val="10"/>
  </w:num>
  <w:num w:numId="12">
    <w:abstractNumId w:val="15"/>
  </w:num>
  <w:num w:numId="13">
    <w:abstractNumId w:val="12"/>
  </w:num>
  <w:num w:numId="14">
    <w:abstractNumId w:val="13"/>
  </w:num>
  <w:num w:numId="15">
    <w:abstractNumId w:val="11"/>
  </w:num>
  <w:num w:numId="16">
    <w:abstractNumId w:val="16"/>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trackRevisions w:val="1"/>
  <w:documentProtection w:edit="trackedChanges" w:formatting="1" w:enforcement="0"/>
  <w:defaultTabStop w:val="420"/>
  <w:drawingGridHorizontalSpacing w:val="95"/>
  <w:drawingGridVerticalSpacing w:val="19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C26"/>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9C"/>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793"/>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57"/>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16D"/>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D64"/>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88A"/>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2E"/>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0F3"/>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6D3"/>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04D"/>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CDB"/>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982"/>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4FE"/>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993"/>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AD0"/>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07A"/>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0B26"/>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3FA"/>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75B"/>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4CA"/>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2D"/>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160"/>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8C"/>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A2"/>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181DD9"/>
    <w:rsid w:val="014B07F6"/>
    <w:rsid w:val="015B3238"/>
    <w:rsid w:val="016F05E9"/>
    <w:rsid w:val="016F4726"/>
    <w:rsid w:val="01773477"/>
    <w:rsid w:val="01785B98"/>
    <w:rsid w:val="017D7CB0"/>
    <w:rsid w:val="017E6F26"/>
    <w:rsid w:val="01AC5842"/>
    <w:rsid w:val="01B841E6"/>
    <w:rsid w:val="01BB5A85"/>
    <w:rsid w:val="01C532E9"/>
    <w:rsid w:val="01C74429"/>
    <w:rsid w:val="01DE4F25"/>
    <w:rsid w:val="02056D00"/>
    <w:rsid w:val="02226DE7"/>
    <w:rsid w:val="025A34EF"/>
    <w:rsid w:val="026C4FD1"/>
    <w:rsid w:val="027D2D3A"/>
    <w:rsid w:val="02820350"/>
    <w:rsid w:val="02877FB5"/>
    <w:rsid w:val="029F7154"/>
    <w:rsid w:val="02A14EBF"/>
    <w:rsid w:val="02A36C44"/>
    <w:rsid w:val="02BA21E0"/>
    <w:rsid w:val="02D74B40"/>
    <w:rsid w:val="02E92054"/>
    <w:rsid w:val="02F019DF"/>
    <w:rsid w:val="02FF5E45"/>
    <w:rsid w:val="030A0A72"/>
    <w:rsid w:val="031A4A2D"/>
    <w:rsid w:val="034E1F6F"/>
    <w:rsid w:val="035B4EB4"/>
    <w:rsid w:val="036F6B27"/>
    <w:rsid w:val="03822CFE"/>
    <w:rsid w:val="03975670"/>
    <w:rsid w:val="03993BA4"/>
    <w:rsid w:val="039A36A3"/>
    <w:rsid w:val="03B05E7E"/>
    <w:rsid w:val="03B42563"/>
    <w:rsid w:val="03B7227C"/>
    <w:rsid w:val="03C03826"/>
    <w:rsid w:val="03E5328D"/>
    <w:rsid w:val="03FD4132"/>
    <w:rsid w:val="04003C23"/>
    <w:rsid w:val="041B6CAE"/>
    <w:rsid w:val="041C00E5"/>
    <w:rsid w:val="041D2A27"/>
    <w:rsid w:val="04296264"/>
    <w:rsid w:val="0433224A"/>
    <w:rsid w:val="043F0BEF"/>
    <w:rsid w:val="046248DD"/>
    <w:rsid w:val="046917C8"/>
    <w:rsid w:val="04714B20"/>
    <w:rsid w:val="04926F71"/>
    <w:rsid w:val="0495080F"/>
    <w:rsid w:val="04BA0275"/>
    <w:rsid w:val="04E145D0"/>
    <w:rsid w:val="05123C0E"/>
    <w:rsid w:val="052102F4"/>
    <w:rsid w:val="052A53FB"/>
    <w:rsid w:val="052B1309"/>
    <w:rsid w:val="05557F9E"/>
    <w:rsid w:val="056D178C"/>
    <w:rsid w:val="05700CD7"/>
    <w:rsid w:val="05852631"/>
    <w:rsid w:val="059709C8"/>
    <w:rsid w:val="05C84C14"/>
    <w:rsid w:val="05D1471C"/>
    <w:rsid w:val="05DB44E5"/>
    <w:rsid w:val="05DD246D"/>
    <w:rsid w:val="05ED6429"/>
    <w:rsid w:val="05F11A75"/>
    <w:rsid w:val="06053772"/>
    <w:rsid w:val="06175254"/>
    <w:rsid w:val="061D0A80"/>
    <w:rsid w:val="063D115E"/>
    <w:rsid w:val="065546FA"/>
    <w:rsid w:val="0676641E"/>
    <w:rsid w:val="06B64A6C"/>
    <w:rsid w:val="06C07699"/>
    <w:rsid w:val="06D01FD2"/>
    <w:rsid w:val="06DF3FC3"/>
    <w:rsid w:val="06E20753"/>
    <w:rsid w:val="06E25862"/>
    <w:rsid w:val="06E4782C"/>
    <w:rsid w:val="06E8731C"/>
    <w:rsid w:val="06F85085"/>
    <w:rsid w:val="071C6FC5"/>
    <w:rsid w:val="07245E7A"/>
    <w:rsid w:val="07397B77"/>
    <w:rsid w:val="07524795"/>
    <w:rsid w:val="07697D31"/>
    <w:rsid w:val="078B5EF9"/>
    <w:rsid w:val="079E5C2C"/>
    <w:rsid w:val="07A87985"/>
    <w:rsid w:val="07B611C8"/>
    <w:rsid w:val="07C35693"/>
    <w:rsid w:val="07E5385B"/>
    <w:rsid w:val="08061963"/>
    <w:rsid w:val="08104776"/>
    <w:rsid w:val="08163A15"/>
    <w:rsid w:val="081710BE"/>
    <w:rsid w:val="08362309"/>
    <w:rsid w:val="08444A26"/>
    <w:rsid w:val="084C5688"/>
    <w:rsid w:val="08513CCE"/>
    <w:rsid w:val="08597DA5"/>
    <w:rsid w:val="085D7C9A"/>
    <w:rsid w:val="086C5357"/>
    <w:rsid w:val="0874408C"/>
    <w:rsid w:val="087C32C1"/>
    <w:rsid w:val="087F489B"/>
    <w:rsid w:val="088968DD"/>
    <w:rsid w:val="089B216C"/>
    <w:rsid w:val="08AF0BCB"/>
    <w:rsid w:val="08AF5C17"/>
    <w:rsid w:val="08BC3764"/>
    <w:rsid w:val="08C43471"/>
    <w:rsid w:val="08DF474E"/>
    <w:rsid w:val="08ED6E6B"/>
    <w:rsid w:val="08F448A1"/>
    <w:rsid w:val="08FC0E5C"/>
    <w:rsid w:val="08FE60FF"/>
    <w:rsid w:val="093F51ED"/>
    <w:rsid w:val="094E5430"/>
    <w:rsid w:val="094E71DE"/>
    <w:rsid w:val="095073FA"/>
    <w:rsid w:val="095A2027"/>
    <w:rsid w:val="095C40C9"/>
    <w:rsid w:val="09954E0D"/>
    <w:rsid w:val="09AB63DF"/>
    <w:rsid w:val="09C6602A"/>
    <w:rsid w:val="09CD0728"/>
    <w:rsid w:val="09D516AE"/>
    <w:rsid w:val="09EB0ED1"/>
    <w:rsid w:val="0A0D0E47"/>
    <w:rsid w:val="0A2368BD"/>
    <w:rsid w:val="0A342878"/>
    <w:rsid w:val="0A3D172D"/>
    <w:rsid w:val="0A3E36F7"/>
    <w:rsid w:val="0A410AF1"/>
    <w:rsid w:val="0A481E7F"/>
    <w:rsid w:val="0A4A209B"/>
    <w:rsid w:val="0A856C30"/>
    <w:rsid w:val="0A8A2498"/>
    <w:rsid w:val="0ABA2D7D"/>
    <w:rsid w:val="0AF142C5"/>
    <w:rsid w:val="0AF618DB"/>
    <w:rsid w:val="0B2529AE"/>
    <w:rsid w:val="0B350656"/>
    <w:rsid w:val="0B404839"/>
    <w:rsid w:val="0B5807E8"/>
    <w:rsid w:val="0B660C1A"/>
    <w:rsid w:val="0B6902FF"/>
    <w:rsid w:val="0B6C7DF0"/>
    <w:rsid w:val="0B81776F"/>
    <w:rsid w:val="0B860EB1"/>
    <w:rsid w:val="0B9176F8"/>
    <w:rsid w:val="0BA37CB5"/>
    <w:rsid w:val="0BC814CA"/>
    <w:rsid w:val="0BC83278"/>
    <w:rsid w:val="0BCD4D32"/>
    <w:rsid w:val="0BED2CDE"/>
    <w:rsid w:val="0BF7590B"/>
    <w:rsid w:val="0C061FF2"/>
    <w:rsid w:val="0C0B13B7"/>
    <w:rsid w:val="0C0F0EA7"/>
    <w:rsid w:val="0C4072B2"/>
    <w:rsid w:val="0C4D19CF"/>
    <w:rsid w:val="0C5732FD"/>
    <w:rsid w:val="0C5B0590"/>
    <w:rsid w:val="0C5F38DA"/>
    <w:rsid w:val="0C6C0B64"/>
    <w:rsid w:val="0CA35A93"/>
    <w:rsid w:val="0CAA0BCF"/>
    <w:rsid w:val="0CAF61E6"/>
    <w:rsid w:val="0CEF0CD8"/>
    <w:rsid w:val="0D0429D6"/>
    <w:rsid w:val="0D0C6305"/>
    <w:rsid w:val="0D242541"/>
    <w:rsid w:val="0D2E2BDA"/>
    <w:rsid w:val="0D374B59"/>
    <w:rsid w:val="0D444B80"/>
    <w:rsid w:val="0D904269"/>
    <w:rsid w:val="0D9378B6"/>
    <w:rsid w:val="0DA43871"/>
    <w:rsid w:val="0DAD0977"/>
    <w:rsid w:val="0DAF0B93"/>
    <w:rsid w:val="0DB461AA"/>
    <w:rsid w:val="0DC65EDD"/>
    <w:rsid w:val="0DCC3FC5"/>
    <w:rsid w:val="0DD203DE"/>
    <w:rsid w:val="0DDA7292"/>
    <w:rsid w:val="0DF04D08"/>
    <w:rsid w:val="0E0D58BA"/>
    <w:rsid w:val="0E172295"/>
    <w:rsid w:val="0E2A1FC8"/>
    <w:rsid w:val="0E303356"/>
    <w:rsid w:val="0E462B7A"/>
    <w:rsid w:val="0E4806A0"/>
    <w:rsid w:val="0E4F4C06"/>
    <w:rsid w:val="0E6059EA"/>
    <w:rsid w:val="0E6C2BD1"/>
    <w:rsid w:val="0E6D45AA"/>
    <w:rsid w:val="0E6F0323"/>
    <w:rsid w:val="0E76345F"/>
    <w:rsid w:val="0E76520D"/>
    <w:rsid w:val="0E884F40"/>
    <w:rsid w:val="0E8957CE"/>
    <w:rsid w:val="0EA64893"/>
    <w:rsid w:val="0EC00B7E"/>
    <w:rsid w:val="0EC341CA"/>
    <w:rsid w:val="0EC51CF1"/>
    <w:rsid w:val="0ED257E8"/>
    <w:rsid w:val="0ED91C40"/>
    <w:rsid w:val="0EDE1004"/>
    <w:rsid w:val="0EF0290F"/>
    <w:rsid w:val="0F00541F"/>
    <w:rsid w:val="0F0C3DC3"/>
    <w:rsid w:val="0F0C5B71"/>
    <w:rsid w:val="0F2729AB"/>
    <w:rsid w:val="0F3D3F7D"/>
    <w:rsid w:val="0F3F1AA3"/>
    <w:rsid w:val="0F3F7CF5"/>
    <w:rsid w:val="0F5C71A8"/>
    <w:rsid w:val="0F6239E3"/>
    <w:rsid w:val="0F625791"/>
    <w:rsid w:val="0F847DFE"/>
    <w:rsid w:val="0F8959CB"/>
    <w:rsid w:val="0FB104C7"/>
    <w:rsid w:val="0FB748D6"/>
    <w:rsid w:val="0FC920BA"/>
    <w:rsid w:val="0FD22917"/>
    <w:rsid w:val="0FD7617F"/>
    <w:rsid w:val="0FDF0019"/>
    <w:rsid w:val="0FE34B24"/>
    <w:rsid w:val="0FE91A0F"/>
    <w:rsid w:val="101051ED"/>
    <w:rsid w:val="101271B8"/>
    <w:rsid w:val="10246EEB"/>
    <w:rsid w:val="103A226A"/>
    <w:rsid w:val="105570A4"/>
    <w:rsid w:val="106D2640"/>
    <w:rsid w:val="107734BE"/>
    <w:rsid w:val="10802373"/>
    <w:rsid w:val="108A31F2"/>
    <w:rsid w:val="108D2888"/>
    <w:rsid w:val="109619EC"/>
    <w:rsid w:val="109B53FF"/>
    <w:rsid w:val="10C14D88"/>
    <w:rsid w:val="10CC380A"/>
    <w:rsid w:val="10CF32FA"/>
    <w:rsid w:val="10D75D0B"/>
    <w:rsid w:val="10E741A0"/>
    <w:rsid w:val="10F468BD"/>
    <w:rsid w:val="10FD1C16"/>
    <w:rsid w:val="11085182"/>
    <w:rsid w:val="111D2270"/>
    <w:rsid w:val="114A472F"/>
    <w:rsid w:val="11651569"/>
    <w:rsid w:val="117532E4"/>
    <w:rsid w:val="117F087D"/>
    <w:rsid w:val="11902A8A"/>
    <w:rsid w:val="11A04D7E"/>
    <w:rsid w:val="11B85B3D"/>
    <w:rsid w:val="11D129C7"/>
    <w:rsid w:val="11D87DD3"/>
    <w:rsid w:val="11E14EB1"/>
    <w:rsid w:val="11E626AA"/>
    <w:rsid w:val="11E86941"/>
    <w:rsid w:val="122E5DFF"/>
    <w:rsid w:val="12723F3D"/>
    <w:rsid w:val="12767ED2"/>
    <w:rsid w:val="127952CC"/>
    <w:rsid w:val="127F665A"/>
    <w:rsid w:val="128B14A3"/>
    <w:rsid w:val="128F2D41"/>
    <w:rsid w:val="12AB56A1"/>
    <w:rsid w:val="12D270D2"/>
    <w:rsid w:val="12F13861"/>
    <w:rsid w:val="12FB03D7"/>
    <w:rsid w:val="1303728B"/>
    <w:rsid w:val="1323348A"/>
    <w:rsid w:val="13255454"/>
    <w:rsid w:val="134753CA"/>
    <w:rsid w:val="134D0507"/>
    <w:rsid w:val="136715C8"/>
    <w:rsid w:val="13693592"/>
    <w:rsid w:val="137A57A0"/>
    <w:rsid w:val="137B1518"/>
    <w:rsid w:val="138E1CF5"/>
    <w:rsid w:val="13987DB4"/>
    <w:rsid w:val="13B3480E"/>
    <w:rsid w:val="13B72BE8"/>
    <w:rsid w:val="13C22CA3"/>
    <w:rsid w:val="13D1738A"/>
    <w:rsid w:val="13E17F4C"/>
    <w:rsid w:val="14024910"/>
    <w:rsid w:val="14131750"/>
    <w:rsid w:val="142851FC"/>
    <w:rsid w:val="14310739"/>
    <w:rsid w:val="143F6008"/>
    <w:rsid w:val="144D6A10"/>
    <w:rsid w:val="145C30F7"/>
    <w:rsid w:val="146944C2"/>
    <w:rsid w:val="1493417A"/>
    <w:rsid w:val="14A34882"/>
    <w:rsid w:val="14AB3737"/>
    <w:rsid w:val="14C01F6E"/>
    <w:rsid w:val="14C30A80"/>
    <w:rsid w:val="14C96177"/>
    <w:rsid w:val="14DF603C"/>
    <w:rsid w:val="14ED3D4F"/>
    <w:rsid w:val="14FE5F5C"/>
    <w:rsid w:val="15086DDB"/>
    <w:rsid w:val="151B08BC"/>
    <w:rsid w:val="1525173B"/>
    <w:rsid w:val="152D239E"/>
    <w:rsid w:val="153B0F5F"/>
    <w:rsid w:val="154716B1"/>
    <w:rsid w:val="15597D95"/>
    <w:rsid w:val="156F29B6"/>
    <w:rsid w:val="15714980"/>
    <w:rsid w:val="1575054D"/>
    <w:rsid w:val="15823158"/>
    <w:rsid w:val="15891CCA"/>
    <w:rsid w:val="159A3ED7"/>
    <w:rsid w:val="159E329B"/>
    <w:rsid w:val="15A05265"/>
    <w:rsid w:val="15AA23B2"/>
    <w:rsid w:val="15D45246"/>
    <w:rsid w:val="15EE4223"/>
    <w:rsid w:val="16077093"/>
    <w:rsid w:val="160E21CF"/>
    <w:rsid w:val="161C0D90"/>
    <w:rsid w:val="162163A6"/>
    <w:rsid w:val="162E6AF4"/>
    <w:rsid w:val="1651030E"/>
    <w:rsid w:val="16571DC8"/>
    <w:rsid w:val="16663DB9"/>
    <w:rsid w:val="166B13D0"/>
    <w:rsid w:val="16884C04"/>
    <w:rsid w:val="169326D4"/>
    <w:rsid w:val="16995FBA"/>
    <w:rsid w:val="169A1CB5"/>
    <w:rsid w:val="16B56AEF"/>
    <w:rsid w:val="16B73C96"/>
    <w:rsid w:val="16D2144F"/>
    <w:rsid w:val="16DA5D65"/>
    <w:rsid w:val="16FC471D"/>
    <w:rsid w:val="17101F77"/>
    <w:rsid w:val="17105A3A"/>
    <w:rsid w:val="171750B3"/>
    <w:rsid w:val="17312619"/>
    <w:rsid w:val="1735378C"/>
    <w:rsid w:val="17400531"/>
    <w:rsid w:val="17481711"/>
    <w:rsid w:val="174A36DB"/>
    <w:rsid w:val="1767603B"/>
    <w:rsid w:val="176E5DD1"/>
    <w:rsid w:val="177644D0"/>
    <w:rsid w:val="177B0D14"/>
    <w:rsid w:val="17836BED"/>
    <w:rsid w:val="17AE3C6A"/>
    <w:rsid w:val="17C57205"/>
    <w:rsid w:val="17CC2342"/>
    <w:rsid w:val="17F93E0B"/>
    <w:rsid w:val="17FF5486"/>
    <w:rsid w:val="18047D2E"/>
    <w:rsid w:val="18133ACD"/>
    <w:rsid w:val="18226406"/>
    <w:rsid w:val="186B1B5B"/>
    <w:rsid w:val="186D58D3"/>
    <w:rsid w:val="18B21538"/>
    <w:rsid w:val="18B24DA0"/>
    <w:rsid w:val="18B95787"/>
    <w:rsid w:val="18C13529"/>
    <w:rsid w:val="18C662FD"/>
    <w:rsid w:val="18C66D91"/>
    <w:rsid w:val="18CB084B"/>
    <w:rsid w:val="18D23988"/>
    <w:rsid w:val="18D72D4C"/>
    <w:rsid w:val="18E54BB3"/>
    <w:rsid w:val="18ED5373"/>
    <w:rsid w:val="18FA6A3B"/>
    <w:rsid w:val="19044F98"/>
    <w:rsid w:val="190D676E"/>
    <w:rsid w:val="191A4F3D"/>
    <w:rsid w:val="19383B62"/>
    <w:rsid w:val="193E726F"/>
    <w:rsid w:val="19472589"/>
    <w:rsid w:val="1977008B"/>
    <w:rsid w:val="197902A7"/>
    <w:rsid w:val="19882298"/>
    <w:rsid w:val="199B1FCC"/>
    <w:rsid w:val="19BD4746"/>
    <w:rsid w:val="19C552C9"/>
    <w:rsid w:val="19CF11E5"/>
    <w:rsid w:val="19EB6E5E"/>
    <w:rsid w:val="19F85670"/>
    <w:rsid w:val="1A082804"/>
    <w:rsid w:val="1A165AF6"/>
    <w:rsid w:val="1A345F7C"/>
    <w:rsid w:val="1A491A28"/>
    <w:rsid w:val="1A676352"/>
    <w:rsid w:val="1A6A7BF0"/>
    <w:rsid w:val="1A7F18ED"/>
    <w:rsid w:val="1A8962C8"/>
    <w:rsid w:val="1A9C249F"/>
    <w:rsid w:val="1A9C424D"/>
    <w:rsid w:val="1AA650CC"/>
    <w:rsid w:val="1AB04E2D"/>
    <w:rsid w:val="1AC45552"/>
    <w:rsid w:val="1AC77420"/>
    <w:rsid w:val="1AF06347"/>
    <w:rsid w:val="1AF30369"/>
    <w:rsid w:val="1B09565B"/>
    <w:rsid w:val="1B177D78"/>
    <w:rsid w:val="1B1D623E"/>
    <w:rsid w:val="1B397CEE"/>
    <w:rsid w:val="1B414DF5"/>
    <w:rsid w:val="1B445364"/>
    <w:rsid w:val="1B4B5C73"/>
    <w:rsid w:val="1B682381"/>
    <w:rsid w:val="1B724FAE"/>
    <w:rsid w:val="1B834DCF"/>
    <w:rsid w:val="1B866CAC"/>
    <w:rsid w:val="1B904D56"/>
    <w:rsid w:val="1B970EB9"/>
    <w:rsid w:val="1B9D0393"/>
    <w:rsid w:val="1BCC2910"/>
    <w:rsid w:val="1BD23C9F"/>
    <w:rsid w:val="1BD95505"/>
    <w:rsid w:val="1BDC68CC"/>
    <w:rsid w:val="1BDD4B1E"/>
    <w:rsid w:val="1C054074"/>
    <w:rsid w:val="1C06203D"/>
    <w:rsid w:val="1C0E117B"/>
    <w:rsid w:val="1C27223D"/>
    <w:rsid w:val="1C35495A"/>
    <w:rsid w:val="1C455CA5"/>
    <w:rsid w:val="1C7237A6"/>
    <w:rsid w:val="1C730FDE"/>
    <w:rsid w:val="1C76287C"/>
    <w:rsid w:val="1C962F1E"/>
    <w:rsid w:val="1C9D605B"/>
    <w:rsid w:val="1CA70C88"/>
    <w:rsid w:val="1CB3762C"/>
    <w:rsid w:val="1CE05C7B"/>
    <w:rsid w:val="1CE7377A"/>
    <w:rsid w:val="1CFE17B2"/>
    <w:rsid w:val="1D0165EA"/>
    <w:rsid w:val="1D0C4F8F"/>
    <w:rsid w:val="1D175E0D"/>
    <w:rsid w:val="1D2C69D2"/>
    <w:rsid w:val="1D2E5635"/>
    <w:rsid w:val="1D322C47"/>
    <w:rsid w:val="1D3369BF"/>
    <w:rsid w:val="1D41732E"/>
    <w:rsid w:val="1D444728"/>
    <w:rsid w:val="1D4D5CD3"/>
    <w:rsid w:val="1D5F77B4"/>
    <w:rsid w:val="1D923E12"/>
    <w:rsid w:val="1DA11B7B"/>
    <w:rsid w:val="1DB16262"/>
    <w:rsid w:val="1DC00253"/>
    <w:rsid w:val="1DC6338F"/>
    <w:rsid w:val="1DCF493A"/>
    <w:rsid w:val="1DF47E29"/>
    <w:rsid w:val="1E25455A"/>
    <w:rsid w:val="1E3E1D2D"/>
    <w:rsid w:val="1E5170FD"/>
    <w:rsid w:val="1E71154D"/>
    <w:rsid w:val="1E957931"/>
    <w:rsid w:val="1EA41923"/>
    <w:rsid w:val="1EA96F39"/>
    <w:rsid w:val="1EAC07D7"/>
    <w:rsid w:val="1EAE454F"/>
    <w:rsid w:val="1ED3045A"/>
    <w:rsid w:val="1EE937D9"/>
    <w:rsid w:val="1EEB57A3"/>
    <w:rsid w:val="1EEE0DF0"/>
    <w:rsid w:val="1EF5217E"/>
    <w:rsid w:val="1EFA7794"/>
    <w:rsid w:val="1EFB5963"/>
    <w:rsid w:val="1F010B23"/>
    <w:rsid w:val="1F0B3750"/>
    <w:rsid w:val="1F10520A"/>
    <w:rsid w:val="1F144534"/>
    <w:rsid w:val="1F1F369F"/>
    <w:rsid w:val="1F205C1D"/>
    <w:rsid w:val="1F3A4035"/>
    <w:rsid w:val="1F4153C3"/>
    <w:rsid w:val="1F42113B"/>
    <w:rsid w:val="1F4B6242"/>
    <w:rsid w:val="1F4D3D68"/>
    <w:rsid w:val="1F4E1B6A"/>
    <w:rsid w:val="1F501AAA"/>
    <w:rsid w:val="1F542BBF"/>
    <w:rsid w:val="1F681363"/>
    <w:rsid w:val="1F751511"/>
    <w:rsid w:val="1F797D51"/>
    <w:rsid w:val="1FB02549"/>
    <w:rsid w:val="1FC14756"/>
    <w:rsid w:val="1FDE2C12"/>
    <w:rsid w:val="1FEA0867"/>
    <w:rsid w:val="1FEF6BCD"/>
    <w:rsid w:val="1FF13E14"/>
    <w:rsid w:val="1FFB1A16"/>
    <w:rsid w:val="20085EE1"/>
    <w:rsid w:val="200B3AEE"/>
    <w:rsid w:val="200F7270"/>
    <w:rsid w:val="202D5948"/>
    <w:rsid w:val="202F346E"/>
    <w:rsid w:val="203E1903"/>
    <w:rsid w:val="20484530"/>
    <w:rsid w:val="205729C5"/>
    <w:rsid w:val="205C7FDB"/>
    <w:rsid w:val="206C4540"/>
    <w:rsid w:val="206F41B2"/>
    <w:rsid w:val="206F7D0E"/>
    <w:rsid w:val="20784E15"/>
    <w:rsid w:val="20857532"/>
    <w:rsid w:val="208714FC"/>
    <w:rsid w:val="20943C19"/>
    <w:rsid w:val="20A200E4"/>
    <w:rsid w:val="20A36C18"/>
    <w:rsid w:val="20A53730"/>
    <w:rsid w:val="20A57BD4"/>
    <w:rsid w:val="20B147CB"/>
    <w:rsid w:val="20D52267"/>
    <w:rsid w:val="20DA1129"/>
    <w:rsid w:val="20DB1848"/>
    <w:rsid w:val="21026DD4"/>
    <w:rsid w:val="210466A8"/>
    <w:rsid w:val="21091F11"/>
    <w:rsid w:val="21117017"/>
    <w:rsid w:val="21134B3E"/>
    <w:rsid w:val="21143A54"/>
    <w:rsid w:val="2119509B"/>
    <w:rsid w:val="211F34E2"/>
    <w:rsid w:val="213C22E6"/>
    <w:rsid w:val="217355DC"/>
    <w:rsid w:val="21771570"/>
    <w:rsid w:val="2181419D"/>
    <w:rsid w:val="21823A71"/>
    <w:rsid w:val="21867A05"/>
    <w:rsid w:val="21AF5EE0"/>
    <w:rsid w:val="21B36D0B"/>
    <w:rsid w:val="21C347B6"/>
    <w:rsid w:val="21C35326"/>
    <w:rsid w:val="21D97B35"/>
    <w:rsid w:val="21E604A4"/>
    <w:rsid w:val="21EC76F0"/>
    <w:rsid w:val="221E19EC"/>
    <w:rsid w:val="221E379A"/>
    <w:rsid w:val="222F59A7"/>
    <w:rsid w:val="224376A4"/>
    <w:rsid w:val="22456F79"/>
    <w:rsid w:val="22552F34"/>
    <w:rsid w:val="225B6BAF"/>
    <w:rsid w:val="226A69DF"/>
    <w:rsid w:val="22916662"/>
    <w:rsid w:val="22A243CB"/>
    <w:rsid w:val="22AE198E"/>
    <w:rsid w:val="22B12860"/>
    <w:rsid w:val="22D020C8"/>
    <w:rsid w:val="22D14CB0"/>
    <w:rsid w:val="22ED5A82"/>
    <w:rsid w:val="22F015DA"/>
    <w:rsid w:val="22F46F43"/>
    <w:rsid w:val="23152DEF"/>
    <w:rsid w:val="233174FD"/>
    <w:rsid w:val="233B65CE"/>
    <w:rsid w:val="2351194D"/>
    <w:rsid w:val="236C49D9"/>
    <w:rsid w:val="236E24FF"/>
    <w:rsid w:val="23843AD1"/>
    <w:rsid w:val="23867D22"/>
    <w:rsid w:val="239E00B4"/>
    <w:rsid w:val="23A203FB"/>
    <w:rsid w:val="23CD24BD"/>
    <w:rsid w:val="23D136E6"/>
    <w:rsid w:val="23D51C4A"/>
    <w:rsid w:val="23E10F23"/>
    <w:rsid w:val="23F30C56"/>
    <w:rsid w:val="23FB085C"/>
    <w:rsid w:val="24003BFB"/>
    <w:rsid w:val="24084702"/>
    <w:rsid w:val="240E783E"/>
    <w:rsid w:val="24172B97"/>
    <w:rsid w:val="241E535C"/>
    <w:rsid w:val="241F37F9"/>
    <w:rsid w:val="242A0B1C"/>
    <w:rsid w:val="242F281A"/>
    <w:rsid w:val="24387A79"/>
    <w:rsid w:val="2466767A"/>
    <w:rsid w:val="248A0A7D"/>
    <w:rsid w:val="249917FE"/>
    <w:rsid w:val="24BB1774"/>
    <w:rsid w:val="24C22B02"/>
    <w:rsid w:val="24C34ACD"/>
    <w:rsid w:val="24D34421"/>
    <w:rsid w:val="24FA6C68"/>
    <w:rsid w:val="24FD7FDE"/>
    <w:rsid w:val="250C0222"/>
    <w:rsid w:val="251E74A4"/>
    <w:rsid w:val="25253091"/>
    <w:rsid w:val="252C2672"/>
    <w:rsid w:val="255E59A9"/>
    <w:rsid w:val="25714529"/>
    <w:rsid w:val="25805811"/>
    <w:rsid w:val="25B368EF"/>
    <w:rsid w:val="25CB2C46"/>
    <w:rsid w:val="25CC3712"/>
    <w:rsid w:val="25D6438C"/>
    <w:rsid w:val="25D80104"/>
    <w:rsid w:val="25E22D30"/>
    <w:rsid w:val="25F63DD5"/>
    <w:rsid w:val="25FA2770"/>
    <w:rsid w:val="2605484F"/>
    <w:rsid w:val="260D5FFF"/>
    <w:rsid w:val="26193812"/>
    <w:rsid w:val="262275D1"/>
    <w:rsid w:val="262F241A"/>
    <w:rsid w:val="2633160E"/>
    <w:rsid w:val="26541209"/>
    <w:rsid w:val="26555BF8"/>
    <w:rsid w:val="26597496"/>
    <w:rsid w:val="267047E0"/>
    <w:rsid w:val="267642A7"/>
    <w:rsid w:val="26834513"/>
    <w:rsid w:val="26AA5F44"/>
    <w:rsid w:val="26AF5308"/>
    <w:rsid w:val="26CA0394"/>
    <w:rsid w:val="27007912"/>
    <w:rsid w:val="271649AE"/>
    <w:rsid w:val="2729330D"/>
    <w:rsid w:val="272950BB"/>
    <w:rsid w:val="27315D1D"/>
    <w:rsid w:val="273F48DE"/>
    <w:rsid w:val="27482BFF"/>
    <w:rsid w:val="274C2B57"/>
    <w:rsid w:val="275F0ADD"/>
    <w:rsid w:val="276500BD"/>
    <w:rsid w:val="277E00FB"/>
    <w:rsid w:val="27843CE5"/>
    <w:rsid w:val="27870033"/>
    <w:rsid w:val="278C73F8"/>
    <w:rsid w:val="279B588D"/>
    <w:rsid w:val="27B457B1"/>
    <w:rsid w:val="27C13545"/>
    <w:rsid w:val="27CC5A46"/>
    <w:rsid w:val="27CF082F"/>
    <w:rsid w:val="27D17500"/>
    <w:rsid w:val="27D25752"/>
    <w:rsid w:val="27D824EE"/>
    <w:rsid w:val="27E234BC"/>
    <w:rsid w:val="27E50F81"/>
    <w:rsid w:val="27E72880"/>
    <w:rsid w:val="27F31225"/>
    <w:rsid w:val="27F8683B"/>
    <w:rsid w:val="281178FD"/>
    <w:rsid w:val="28185258"/>
    <w:rsid w:val="281C0984"/>
    <w:rsid w:val="28373807"/>
    <w:rsid w:val="28577A06"/>
    <w:rsid w:val="28687E65"/>
    <w:rsid w:val="287B7B98"/>
    <w:rsid w:val="287D0A7D"/>
    <w:rsid w:val="2886198F"/>
    <w:rsid w:val="288D78CB"/>
    <w:rsid w:val="28996270"/>
    <w:rsid w:val="28B210E0"/>
    <w:rsid w:val="28CA642A"/>
    <w:rsid w:val="28E107A2"/>
    <w:rsid w:val="28E3573D"/>
    <w:rsid w:val="290B259E"/>
    <w:rsid w:val="291476A5"/>
    <w:rsid w:val="293F4385"/>
    <w:rsid w:val="294E705B"/>
    <w:rsid w:val="29600B3C"/>
    <w:rsid w:val="296C5885"/>
    <w:rsid w:val="297840D8"/>
    <w:rsid w:val="29841FED"/>
    <w:rsid w:val="2987256D"/>
    <w:rsid w:val="29A7369C"/>
    <w:rsid w:val="29A94291"/>
    <w:rsid w:val="29B30AFA"/>
    <w:rsid w:val="29C410CB"/>
    <w:rsid w:val="29CA4207"/>
    <w:rsid w:val="29FC6AB7"/>
    <w:rsid w:val="29FF0355"/>
    <w:rsid w:val="2A0B4F4C"/>
    <w:rsid w:val="2A2B2EF8"/>
    <w:rsid w:val="2A2D63B5"/>
    <w:rsid w:val="2A522B7B"/>
    <w:rsid w:val="2A524929"/>
    <w:rsid w:val="2A570191"/>
    <w:rsid w:val="2A58372E"/>
    <w:rsid w:val="2A5A558B"/>
    <w:rsid w:val="2A612DBE"/>
    <w:rsid w:val="2AB23619"/>
    <w:rsid w:val="2AC63914"/>
    <w:rsid w:val="2ACE4132"/>
    <w:rsid w:val="2AD4533E"/>
    <w:rsid w:val="2AEF03C9"/>
    <w:rsid w:val="2B0379D1"/>
    <w:rsid w:val="2B057BED"/>
    <w:rsid w:val="2B125E66"/>
    <w:rsid w:val="2B400742"/>
    <w:rsid w:val="2B62173A"/>
    <w:rsid w:val="2B77216D"/>
    <w:rsid w:val="2B8925CC"/>
    <w:rsid w:val="2B964CE9"/>
    <w:rsid w:val="2BA016C4"/>
    <w:rsid w:val="2BA54F2C"/>
    <w:rsid w:val="2BC453B2"/>
    <w:rsid w:val="2BD55811"/>
    <w:rsid w:val="2BEA293F"/>
    <w:rsid w:val="2C025EDA"/>
    <w:rsid w:val="2C13380B"/>
    <w:rsid w:val="2C29790B"/>
    <w:rsid w:val="2C2B3683"/>
    <w:rsid w:val="2C3C1CCE"/>
    <w:rsid w:val="2C3D01A4"/>
    <w:rsid w:val="2C4D2D8A"/>
    <w:rsid w:val="2C8C73B1"/>
    <w:rsid w:val="2C9761F4"/>
    <w:rsid w:val="2CA13945"/>
    <w:rsid w:val="2CA35285"/>
    <w:rsid w:val="2CAD5E46"/>
    <w:rsid w:val="2CC8426E"/>
    <w:rsid w:val="2CCB2770"/>
    <w:rsid w:val="2CDA5934"/>
    <w:rsid w:val="2CDE06F5"/>
    <w:rsid w:val="2CDF7FCA"/>
    <w:rsid w:val="2CE11F94"/>
    <w:rsid w:val="2CF03F85"/>
    <w:rsid w:val="2CFE48F4"/>
    <w:rsid w:val="2D095047"/>
    <w:rsid w:val="2D251F02"/>
    <w:rsid w:val="2D2D1661"/>
    <w:rsid w:val="2D340315"/>
    <w:rsid w:val="2D3F0ECE"/>
    <w:rsid w:val="2D455153"/>
    <w:rsid w:val="2D5C786C"/>
    <w:rsid w:val="2DA32A8E"/>
    <w:rsid w:val="2DA940F3"/>
    <w:rsid w:val="2DAC4ED7"/>
    <w:rsid w:val="2DD85145"/>
    <w:rsid w:val="2DEE1567"/>
    <w:rsid w:val="2DEE20E8"/>
    <w:rsid w:val="2DF61A6F"/>
    <w:rsid w:val="2E20089A"/>
    <w:rsid w:val="2E2627B5"/>
    <w:rsid w:val="2E536EC1"/>
    <w:rsid w:val="2E7A61FC"/>
    <w:rsid w:val="2E9657E0"/>
    <w:rsid w:val="2E980D78"/>
    <w:rsid w:val="2E9B04A6"/>
    <w:rsid w:val="2E9F5C62"/>
    <w:rsid w:val="2EC15BD9"/>
    <w:rsid w:val="2EC36CB4"/>
    <w:rsid w:val="2EE6487F"/>
    <w:rsid w:val="2EE91DEC"/>
    <w:rsid w:val="2EEB0EA8"/>
    <w:rsid w:val="2EEB534C"/>
    <w:rsid w:val="2EEB70FA"/>
    <w:rsid w:val="2EF02962"/>
    <w:rsid w:val="2EF57F78"/>
    <w:rsid w:val="2EF7784D"/>
    <w:rsid w:val="2EFE5E9C"/>
    <w:rsid w:val="2F00423A"/>
    <w:rsid w:val="2F146650"/>
    <w:rsid w:val="2F300FB0"/>
    <w:rsid w:val="2F37233F"/>
    <w:rsid w:val="2F3C7955"/>
    <w:rsid w:val="2F3F11F4"/>
    <w:rsid w:val="2F40361B"/>
    <w:rsid w:val="2F931024"/>
    <w:rsid w:val="2FA03738"/>
    <w:rsid w:val="2FA86D99"/>
    <w:rsid w:val="2FB23CE6"/>
    <w:rsid w:val="2FD95EB5"/>
    <w:rsid w:val="300246FB"/>
    <w:rsid w:val="300F506A"/>
    <w:rsid w:val="301277B1"/>
    <w:rsid w:val="301601A6"/>
    <w:rsid w:val="301D7787"/>
    <w:rsid w:val="3043156F"/>
    <w:rsid w:val="306E05B3"/>
    <w:rsid w:val="307F3F9D"/>
    <w:rsid w:val="30896BCA"/>
    <w:rsid w:val="30973596"/>
    <w:rsid w:val="30973E22"/>
    <w:rsid w:val="30B360F4"/>
    <w:rsid w:val="30C85944"/>
    <w:rsid w:val="30D65C0A"/>
    <w:rsid w:val="30D836AE"/>
    <w:rsid w:val="30DA5678"/>
    <w:rsid w:val="30E6401D"/>
    <w:rsid w:val="30EE67A3"/>
    <w:rsid w:val="31191C5C"/>
    <w:rsid w:val="311B7355"/>
    <w:rsid w:val="311E5564"/>
    <w:rsid w:val="313703D4"/>
    <w:rsid w:val="313E79B5"/>
    <w:rsid w:val="31492A48"/>
    <w:rsid w:val="316247AA"/>
    <w:rsid w:val="31745184"/>
    <w:rsid w:val="317E6003"/>
    <w:rsid w:val="318A49A8"/>
    <w:rsid w:val="318D4498"/>
    <w:rsid w:val="319566E7"/>
    <w:rsid w:val="31967CDB"/>
    <w:rsid w:val="319F103E"/>
    <w:rsid w:val="31E54D56"/>
    <w:rsid w:val="31EE13DB"/>
    <w:rsid w:val="31EF6F01"/>
    <w:rsid w:val="32106030"/>
    <w:rsid w:val="322C1F03"/>
    <w:rsid w:val="324B1ED4"/>
    <w:rsid w:val="32694FCA"/>
    <w:rsid w:val="327A2C6E"/>
    <w:rsid w:val="327B2096"/>
    <w:rsid w:val="32805DAB"/>
    <w:rsid w:val="32827D75"/>
    <w:rsid w:val="3283369C"/>
    <w:rsid w:val="328E671A"/>
    <w:rsid w:val="329A43A7"/>
    <w:rsid w:val="32A40394"/>
    <w:rsid w:val="32B75C71"/>
    <w:rsid w:val="32EB653A"/>
    <w:rsid w:val="32F32A21"/>
    <w:rsid w:val="332C1A8F"/>
    <w:rsid w:val="33411D32"/>
    <w:rsid w:val="33423060"/>
    <w:rsid w:val="334F40FB"/>
    <w:rsid w:val="335C05C6"/>
    <w:rsid w:val="33664FA1"/>
    <w:rsid w:val="3369683F"/>
    <w:rsid w:val="33775400"/>
    <w:rsid w:val="33997107"/>
    <w:rsid w:val="33A04957"/>
    <w:rsid w:val="33AE4708"/>
    <w:rsid w:val="33AF0952"/>
    <w:rsid w:val="33B72A4E"/>
    <w:rsid w:val="33D740F0"/>
    <w:rsid w:val="33DB773D"/>
    <w:rsid w:val="33E365F1"/>
    <w:rsid w:val="33F24A86"/>
    <w:rsid w:val="33FC76B3"/>
    <w:rsid w:val="34052A0C"/>
    <w:rsid w:val="340B635C"/>
    <w:rsid w:val="342235BE"/>
    <w:rsid w:val="34325348"/>
    <w:rsid w:val="34384B8F"/>
    <w:rsid w:val="343D03F7"/>
    <w:rsid w:val="344828F8"/>
    <w:rsid w:val="34496D9C"/>
    <w:rsid w:val="34607E7E"/>
    <w:rsid w:val="34627AFE"/>
    <w:rsid w:val="34637732"/>
    <w:rsid w:val="347170C3"/>
    <w:rsid w:val="34813A56"/>
    <w:rsid w:val="349C35B5"/>
    <w:rsid w:val="34CE2DFE"/>
    <w:rsid w:val="34D67F04"/>
    <w:rsid w:val="34E73EBF"/>
    <w:rsid w:val="34EF0FC6"/>
    <w:rsid w:val="34F5423B"/>
    <w:rsid w:val="34F5482E"/>
    <w:rsid w:val="34F65359"/>
    <w:rsid w:val="34FB796B"/>
    <w:rsid w:val="350B22A4"/>
    <w:rsid w:val="354632DC"/>
    <w:rsid w:val="35594813"/>
    <w:rsid w:val="355F451E"/>
    <w:rsid w:val="35636CD1"/>
    <w:rsid w:val="3579545F"/>
    <w:rsid w:val="358E6A31"/>
    <w:rsid w:val="359027A9"/>
    <w:rsid w:val="35942299"/>
    <w:rsid w:val="35956011"/>
    <w:rsid w:val="35A818A1"/>
    <w:rsid w:val="35AF70D3"/>
    <w:rsid w:val="35BE7316"/>
    <w:rsid w:val="35C30488"/>
    <w:rsid w:val="35DB7EC8"/>
    <w:rsid w:val="35DE3514"/>
    <w:rsid w:val="35EA7E72"/>
    <w:rsid w:val="35F25212"/>
    <w:rsid w:val="36274EBB"/>
    <w:rsid w:val="362D624A"/>
    <w:rsid w:val="362D7FF8"/>
    <w:rsid w:val="364041CF"/>
    <w:rsid w:val="36463828"/>
    <w:rsid w:val="36525CB0"/>
    <w:rsid w:val="36554EEE"/>
    <w:rsid w:val="36575075"/>
    <w:rsid w:val="365E4655"/>
    <w:rsid w:val="36653C36"/>
    <w:rsid w:val="36794FEB"/>
    <w:rsid w:val="36A209E6"/>
    <w:rsid w:val="36B44275"/>
    <w:rsid w:val="36C73FA8"/>
    <w:rsid w:val="36E0506A"/>
    <w:rsid w:val="372B2789"/>
    <w:rsid w:val="372E5DD5"/>
    <w:rsid w:val="374101FF"/>
    <w:rsid w:val="377C1237"/>
    <w:rsid w:val="378404AE"/>
    <w:rsid w:val="37847F8D"/>
    <w:rsid w:val="378B3228"/>
    <w:rsid w:val="378B76CC"/>
    <w:rsid w:val="37A13D0C"/>
    <w:rsid w:val="37A442EA"/>
    <w:rsid w:val="37DA7D0B"/>
    <w:rsid w:val="37DB62C5"/>
    <w:rsid w:val="37FE7E9E"/>
    <w:rsid w:val="38012DCB"/>
    <w:rsid w:val="380F20AB"/>
    <w:rsid w:val="38163439"/>
    <w:rsid w:val="382A0C93"/>
    <w:rsid w:val="38653A79"/>
    <w:rsid w:val="386E46AB"/>
    <w:rsid w:val="388303A3"/>
    <w:rsid w:val="38887767"/>
    <w:rsid w:val="38961E84"/>
    <w:rsid w:val="38AF1198"/>
    <w:rsid w:val="38B30C88"/>
    <w:rsid w:val="38B7004D"/>
    <w:rsid w:val="38C764E2"/>
    <w:rsid w:val="38CC0229"/>
    <w:rsid w:val="38CD2426"/>
    <w:rsid w:val="38D26C34"/>
    <w:rsid w:val="38EB6C68"/>
    <w:rsid w:val="38EC7F72"/>
    <w:rsid w:val="38F66DC7"/>
    <w:rsid w:val="38F8669B"/>
    <w:rsid w:val="39014694"/>
    <w:rsid w:val="390F1C37"/>
    <w:rsid w:val="39111E53"/>
    <w:rsid w:val="39186D3D"/>
    <w:rsid w:val="391F00CC"/>
    <w:rsid w:val="39290F4A"/>
    <w:rsid w:val="39363667"/>
    <w:rsid w:val="39396CB4"/>
    <w:rsid w:val="393D0DA4"/>
    <w:rsid w:val="393F076E"/>
    <w:rsid w:val="396C0E37"/>
    <w:rsid w:val="397D4DF2"/>
    <w:rsid w:val="3982065B"/>
    <w:rsid w:val="3995038E"/>
    <w:rsid w:val="39B5458C"/>
    <w:rsid w:val="39D4535A"/>
    <w:rsid w:val="39D75DA5"/>
    <w:rsid w:val="39D76BF8"/>
    <w:rsid w:val="39E3734B"/>
    <w:rsid w:val="39FE23D7"/>
    <w:rsid w:val="3A1C0AAF"/>
    <w:rsid w:val="3A2A31CC"/>
    <w:rsid w:val="3A301503"/>
    <w:rsid w:val="3A4233A8"/>
    <w:rsid w:val="3A490B50"/>
    <w:rsid w:val="3A595F4B"/>
    <w:rsid w:val="3A63685A"/>
    <w:rsid w:val="3A6A7A6C"/>
    <w:rsid w:val="3A7A7584"/>
    <w:rsid w:val="3A8D3E1B"/>
    <w:rsid w:val="3A8F1281"/>
    <w:rsid w:val="3A970136"/>
    <w:rsid w:val="3A9E14C4"/>
    <w:rsid w:val="3AA36ADA"/>
    <w:rsid w:val="3AB900AC"/>
    <w:rsid w:val="3AC32CD9"/>
    <w:rsid w:val="3AD76784"/>
    <w:rsid w:val="3AF37A62"/>
    <w:rsid w:val="3AF45588"/>
    <w:rsid w:val="3AFB2473"/>
    <w:rsid w:val="3AFD443D"/>
    <w:rsid w:val="3AFE3AA8"/>
    <w:rsid w:val="3B057795"/>
    <w:rsid w:val="3B07350D"/>
    <w:rsid w:val="3B0D3370"/>
    <w:rsid w:val="3B0E664A"/>
    <w:rsid w:val="3B286FE0"/>
    <w:rsid w:val="3B2D45F6"/>
    <w:rsid w:val="3B5D137F"/>
    <w:rsid w:val="3B642813"/>
    <w:rsid w:val="3B6E2210"/>
    <w:rsid w:val="3B702E61"/>
    <w:rsid w:val="3B9C637B"/>
    <w:rsid w:val="3B9D5C20"/>
    <w:rsid w:val="3BA945C4"/>
    <w:rsid w:val="3BB15227"/>
    <w:rsid w:val="3BB7326E"/>
    <w:rsid w:val="3BC62A80"/>
    <w:rsid w:val="3BCB6780"/>
    <w:rsid w:val="3BD333EF"/>
    <w:rsid w:val="3BEB0739"/>
    <w:rsid w:val="3BF82E56"/>
    <w:rsid w:val="3C090BBF"/>
    <w:rsid w:val="3C137C90"/>
    <w:rsid w:val="3C1A7270"/>
    <w:rsid w:val="3C1F4887"/>
    <w:rsid w:val="3C29300F"/>
    <w:rsid w:val="3C2E55CC"/>
    <w:rsid w:val="3C3814A4"/>
    <w:rsid w:val="3C430575"/>
    <w:rsid w:val="3C6E4EC6"/>
    <w:rsid w:val="3C776578"/>
    <w:rsid w:val="3C94492D"/>
    <w:rsid w:val="3C94542C"/>
    <w:rsid w:val="3C97441D"/>
    <w:rsid w:val="3CA53AD7"/>
    <w:rsid w:val="3CA64660"/>
    <w:rsid w:val="3CC350C0"/>
    <w:rsid w:val="3CCA65A0"/>
    <w:rsid w:val="3CCF30D1"/>
    <w:rsid w:val="3CE04016"/>
    <w:rsid w:val="3CE120F1"/>
    <w:rsid w:val="3CE138EA"/>
    <w:rsid w:val="3CF03B2D"/>
    <w:rsid w:val="3CFC0724"/>
    <w:rsid w:val="3CFE624A"/>
    <w:rsid w:val="3D0C6BB9"/>
    <w:rsid w:val="3D0E0B83"/>
    <w:rsid w:val="3D0F66A9"/>
    <w:rsid w:val="3D545E2B"/>
    <w:rsid w:val="3D6562C9"/>
    <w:rsid w:val="3D712EC0"/>
    <w:rsid w:val="3D7604D6"/>
    <w:rsid w:val="3D96660D"/>
    <w:rsid w:val="3D995F73"/>
    <w:rsid w:val="3DC456E6"/>
    <w:rsid w:val="3DDB658B"/>
    <w:rsid w:val="3DDD2303"/>
    <w:rsid w:val="3DE23C97"/>
    <w:rsid w:val="3E03620E"/>
    <w:rsid w:val="3E18158D"/>
    <w:rsid w:val="3E2717D1"/>
    <w:rsid w:val="3E2E7003"/>
    <w:rsid w:val="3E385A19"/>
    <w:rsid w:val="3E3A7756"/>
    <w:rsid w:val="3E4B1963"/>
    <w:rsid w:val="3E5720B6"/>
    <w:rsid w:val="3E575950"/>
    <w:rsid w:val="3E7B365E"/>
    <w:rsid w:val="3E8B5005"/>
    <w:rsid w:val="3E9C23C7"/>
    <w:rsid w:val="3EB05C6A"/>
    <w:rsid w:val="3EB92D70"/>
    <w:rsid w:val="3EC80C8D"/>
    <w:rsid w:val="3ECC7453"/>
    <w:rsid w:val="3ED731F7"/>
    <w:rsid w:val="3EDC6A5F"/>
    <w:rsid w:val="3EEE4BCF"/>
    <w:rsid w:val="3F010273"/>
    <w:rsid w:val="3F073ADC"/>
    <w:rsid w:val="3F081602"/>
    <w:rsid w:val="3F115748"/>
    <w:rsid w:val="3F185CE9"/>
    <w:rsid w:val="3F19736B"/>
    <w:rsid w:val="3F3146B5"/>
    <w:rsid w:val="3F4563B2"/>
    <w:rsid w:val="3F46408F"/>
    <w:rsid w:val="3F520ACF"/>
    <w:rsid w:val="3F6C1B91"/>
    <w:rsid w:val="3F780536"/>
    <w:rsid w:val="3F7942AE"/>
    <w:rsid w:val="3F830C89"/>
    <w:rsid w:val="3FDF2363"/>
    <w:rsid w:val="3FEC2CD2"/>
    <w:rsid w:val="3FFA719D"/>
    <w:rsid w:val="3FFC3671"/>
    <w:rsid w:val="401D2E8B"/>
    <w:rsid w:val="40275AB8"/>
    <w:rsid w:val="40354679"/>
    <w:rsid w:val="40373D90"/>
    <w:rsid w:val="403F2E01"/>
    <w:rsid w:val="404843AC"/>
    <w:rsid w:val="405A40DF"/>
    <w:rsid w:val="4065146E"/>
    <w:rsid w:val="40662CB8"/>
    <w:rsid w:val="407B38F6"/>
    <w:rsid w:val="4084115C"/>
    <w:rsid w:val="408B24EB"/>
    <w:rsid w:val="409F5F96"/>
    <w:rsid w:val="40B06A01"/>
    <w:rsid w:val="40C63523"/>
    <w:rsid w:val="40DE0554"/>
    <w:rsid w:val="40E37C31"/>
    <w:rsid w:val="40EB11DB"/>
    <w:rsid w:val="40EC2B1F"/>
    <w:rsid w:val="40F31392"/>
    <w:rsid w:val="40F40090"/>
    <w:rsid w:val="40FB141E"/>
    <w:rsid w:val="41151A6D"/>
    <w:rsid w:val="4119303E"/>
    <w:rsid w:val="411C1395"/>
    <w:rsid w:val="4142704D"/>
    <w:rsid w:val="41456B3D"/>
    <w:rsid w:val="414B422F"/>
    <w:rsid w:val="4151103E"/>
    <w:rsid w:val="415B7967"/>
    <w:rsid w:val="41766CF7"/>
    <w:rsid w:val="4194717D"/>
    <w:rsid w:val="41A02373"/>
    <w:rsid w:val="41A5138A"/>
    <w:rsid w:val="41A82C28"/>
    <w:rsid w:val="41B33D57"/>
    <w:rsid w:val="41C55588"/>
    <w:rsid w:val="41E2438C"/>
    <w:rsid w:val="41FF0A9A"/>
    <w:rsid w:val="42390634"/>
    <w:rsid w:val="4242307D"/>
    <w:rsid w:val="427D5E63"/>
    <w:rsid w:val="428C42F8"/>
    <w:rsid w:val="429576C9"/>
    <w:rsid w:val="42A45AE6"/>
    <w:rsid w:val="42A930FC"/>
    <w:rsid w:val="42AB29D0"/>
    <w:rsid w:val="42BE0955"/>
    <w:rsid w:val="42CD0A98"/>
    <w:rsid w:val="42D263AC"/>
    <w:rsid w:val="42E63A08"/>
    <w:rsid w:val="42FC322C"/>
    <w:rsid w:val="43002288"/>
    <w:rsid w:val="430640AA"/>
    <w:rsid w:val="431A0C09"/>
    <w:rsid w:val="432F3601"/>
    <w:rsid w:val="43362BE2"/>
    <w:rsid w:val="43463E1A"/>
    <w:rsid w:val="43482915"/>
    <w:rsid w:val="436F39FE"/>
    <w:rsid w:val="43812344"/>
    <w:rsid w:val="43951D96"/>
    <w:rsid w:val="439E377F"/>
    <w:rsid w:val="43B65AD0"/>
    <w:rsid w:val="43B9111D"/>
    <w:rsid w:val="43CC3AB9"/>
    <w:rsid w:val="43DB72E5"/>
    <w:rsid w:val="43DD305D"/>
    <w:rsid w:val="43EA577A"/>
    <w:rsid w:val="44095C00"/>
    <w:rsid w:val="441403C0"/>
    <w:rsid w:val="4416656F"/>
    <w:rsid w:val="4420119C"/>
    <w:rsid w:val="44254A04"/>
    <w:rsid w:val="442A3DC9"/>
    <w:rsid w:val="44315157"/>
    <w:rsid w:val="44330ECF"/>
    <w:rsid w:val="445C6678"/>
    <w:rsid w:val="44654E01"/>
    <w:rsid w:val="44754A2D"/>
    <w:rsid w:val="447C2876"/>
    <w:rsid w:val="447F2366"/>
    <w:rsid w:val="44A75419"/>
    <w:rsid w:val="44B00772"/>
    <w:rsid w:val="44B6565C"/>
    <w:rsid w:val="44BD4C3D"/>
    <w:rsid w:val="44C157DB"/>
    <w:rsid w:val="44FF7003"/>
    <w:rsid w:val="45010FCD"/>
    <w:rsid w:val="450E7246"/>
    <w:rsid w:val="45284B01"/>
    <w:rsid w:val="45294080"/>
    <w:rsid w:val="452D1DC2"/>
    <w:rsid w:val="453C2005"/>
    <w:rsid w:val="456B6447"/>
    <w:rsid w:val="45790B64"/>
    <w:rsid w:val="457E617A"/>
    <w:rsid w:val="45886FF9"/>
    <w:rsid w:val="4597723C"/>
    <w:rsid w:val="45A04342"/>
    <w:rsid w:val="45B1505C"/>
    <w:rsid w:val="45C75D73"/>
    <w:rsid w:val="45CA13BF"/>
    <w:rsid w:val="45F34DBA"/>
    <w:rsid w:val="46144188"/>
    <w:rsid w:val="46250CEB"/>
    <w:rsid w:val="4629258A"/>
    <w:rsid w:val="462A6302"/>
    <w:rsid w:val="462C182F"/>
    <w:rsid w:val="462F1C33"/>
    <w:rsid w:val="463F7FFF"/>
    <w:rsid w:val="46401681"/>
    <w:rsid w:val="46413375"/>
    <w:rsid w:val="46456C98"/>
    <w:rsid w:val="46470C62"/>
    <w:rsid w:val="464E0242"/>
    <w:rsid w:val="464E3D9E"/>
    <w:rsid w:val="466C06C8"/>
    <w:rsid w:val="467D2532"/>
    <w:rsid w:val="46902609"/>
    <w:rsid w:val="4691012F"/>
    <w:rsid w:val="46DF12D2"/>
    <w:rsid w:val="46E464B1"/>
    <w:rsid w:val="46FD57C4"/>
    <w:rsid w:val="470628CB"/>
    <w:rsid w:val="470703F1"/>
    <w:rsid w:val="470D1EAB"/>
    <w:rsid w:val="4710374A"/>
    <w:rsid w:val="471A1ED2"/>
    <w:rsid w:val="47205D81"/>
    <w:rsid w:val="472C7DEF"/>
    <w:rsid w:val="473016F6"/>
    <w:rsid w:val="47665118"/>
    <w:rsid w:val="47721D0E"/>
    <w:rsid w:val="478A34FC"/>
    <w:rsid w:val="478F0B12"/>
    <w:rsid w:val="479954ED"/>
    <w:rsid w:val="4799729B"/>
    <w:rsid w:val="47AD02B9"/>
    <w:rsid w:val="47AD64A7"/>
    <w:rsid w:val="47BB1907"/>
    <w:rsid w:val="47D31AAF"/>
    <w:rsid w:val="47E250E6"/>
    <w:rsid w:val="47EF7803"/>
    <w:rsid w:val="480C5CBF"/>
    <w:rsid w:val="480E2158"/>
    <w:rsid w:val="48113E7C"/>
    <w:rsid w:val="481D5E6A"/>
    <w:rsid w:val="4820176A"/>
    <w:rsid w:val="48217EC1"/>
    <w:rsid w:val="483831BA"/>
    <w:rsid w:val="48623B31"/>
    <w:rsid w:val="486D24D6"/>
    <w:rsid w:val="487675DC"/>
    <w:rsid w:val="48AE4FC8"/>
    <w:rsid w:val="48CB3DCC"/>
    <w:rsid w:val="48CD6E00"/>
    <w:rsid w:val="48D03190"/>
    <w:rsid w:val="48D42CC1"/>
    <w:rsid w:val="48F75C9D"/>
    <w:rsid w:val="48FD384B"/>
    <w:rsid w:val="491E1EB4"/>
    <w:rsid w:val="492B486B"/>
    <w:rsid w:val="492E435B"/>
    <w:rsid w:val="49310822"/>
    <w:rsid w:val="493D634C"/>
    <w:rsid w:val="49551CDB"/>
    <w:rsid w:val="49753D38"/>
    <w:rsid w:val="49861AA1"/>
    <w:rsid w:val="49BE7DC6"/>
    <w:rsid w:val="49C820BA"/>
    <w:rsid w:val="49D61A36"/>
    <w:rsid w:val="49EC3FFA"/>
    <w:rsid w:val="49F70BF1"/>
    <w:rsid w:val="4A084BAC"/>
    <w:rsid w:val="4A0C644A"/>
    <w:rsid w:val="4A2319E6"/>
    <w:rsid w:val="4A3414FD"/>
    <w:rsid w:val="4A4060F4"/>
    <w:rsid w:val="4A4A6F73"/>
    <w:rsid w:val="4A606796"/>
    <w:rsid w:val="4A6A3171"/>
    <w:rsid w:val="4A743FEF"/>
    <w:rsid w:val="4A8204BA"/>
    <w:rsid w:val="4A946440"/>
    <w:rsid w:val="4AA76173"/>
    <w:rsid w:val="4AA85A47"/>
    <w:rsid w:val="4AAC19DB"/>
    <w:rsid w:val="4ABF450B"/>
    <w:rsid w:val="4ACA3C0F"/>
    <w:rsid w:val="4AD11442"/>
    <w:rsid w:val="4AD30D16"/>
    <w:rsid w:val="4B1732F9"/>
    <w:rsid w:val="4B182BCD"/>
    <w:rsid w:val="4B1B26BD"/>
    <w:rsid w:val="4B412124"/>
    <w:rsid w:val="4B43686F"/>
    <w:rsid w:val="4B4F76A7"/>
    <w:rsid w:val="4B65373A"/>
    <w:rsid w:val="4B6B53F2"/>
    <w:rsid w:val="4B7668BA"/>
    <w:rsid w:val="4B775B45"/>
    <w:rsid w:val="4B9C37FE"/>
    <w:rsid w:val="4BB723E6"/>
    <w:rsid w:val="4BBD5522"/>
    <w:rsid w:val="4BC04353"/>
    <w:rsid w:val="4BC863A1"/>
    <w:rsid w:val="4BCF3BD3"/>
    <w:rsid w:val="4BDB78EF"/>
    <w:rsid w:val="4C033F52"/>
    <w:rsid w:val="4C101AF6"/>
    <w:rsid w:val="4C4F3FC2"/>
    <w:rsid w:val="4C5C5856"/>
    <w:rsid w:val="4C602A7D"/>
    <w:rsid w:val="4C60482B"/>
    <w:rsid w:val="4C612351"/>
    <w:rsid w:val="4C7E73A7"/>
    <w:rsid w:val="4C7F348C"/>
    <w:rsid w:val="4C87625C"/>
    <w:rsid w:val="4C8A2FFB"/>
    <w:rsid w:val="4CB132D9"/>
    <w:rsid w:val="4CBF4276"/>
    <w:rsid w:val="4CBF59F6"/>
    <w:rsid w:val="4CCE3E8B"/>
    <w:rsid w:val="4CDE39A2"/>
    <w:rsid w:val="4CEE62DB"/>
    <w:rsid w:val="4D00163A"/>
    <w:rsid w:val="4D183358"/>
    <w:rsid w:val="4D203FBB"/>
    <w:rsid w:val="4D6B3488"/>
    <w:rsid w:val="4D6C5694"/>
    <w:rsid w:val="4D8D78A2"/>
    <w:rsid w:val="4D9724CF"/>
    <w:rsid w:val="4DA8648A"/>
    <w:rsid w:val="4DB90697"/>
    <w:rsid w:val="4DCE1C69"/>
    <w:rsid w:val="4DD80ABA"/>
    <w:rsid w:val="4DDE00FE"/>
    <w:rsid w:val="4DDF79D2"/>
    <w:rsid w:val="4E035DB6"/>
    <w:rsid w:val="4E067654"/>
    <w:rsid w:val="4E121B55"/>
    <w:rsid w:val="4E1C4782"/>
    <w:rsid w:val="4E1F4272"/>
    <w:rsid w:val="4E201A58"/>
    <w:rsid w:val="4E21623C"/>
    <w:rsid w:val="4E2377EB"/>
    <w:rsid w:val="4E3F66C2"/>
    <w:rsid w:val="4E4C150B"/>
    <w:rsid w:val="4E4D2ADE"/>
    <w:rsid w:val="4E5B79A0"/>
    <w:rsid w:val="4E676345"/>
    <w:rsid w:val="4E6D3230"/>
    <w:rsid w:val="4E74636C"/>
    <w:rsid w:val="4E850579"/>
    <w:rsid w:val="4E8F13F8"/>
    <w:rsid w:val="4E95707A"/>
    <w:rsid w:val="4E960E86"/>
    <w:rsid w:val="4E9D1D67"/>
    <w:rsid w:val="4E9E163B"/>
    <w:rsid w:val="4EAB722A"/>
    <w:rsid w:val="4EC2357B"/>
    <w:rsid w:val="4EC45545"/>
    <w:rsid w:val="4ECC61A8"/>
    <w:rsid w:val="4ECF3EEA"/>
    <w:rsid w:val="4ED43D8A"/>
    <w:rsid w:val="4ED96B17"/>
    <w:rsid w:val="4EE03A01"/>
    <w:rsid w:val="4EF61477"/>
    <w:rsid w:val="4F027E1C"/>
    <w:rsid w:val="4F075432"/>
    <w:rsid w:val="4F0F5BE3"/>
    <w:rsid w:val="4F12421F"/>
    <w:rsid w:val="4F196F13"/>
    <w:rsid w:val="4F231B40"/>
    <w:rsid w:val="4F3325B6"/>
    <w:rsid w:val="4F3A75B6"/>
    <w:rsid w:val="4F493C9D"/>
    <w:rsid w:val="4F4C1097"/>
    <w:rsid w:val="4F4E3061"/>
    <w:rsid w:val="4F532425"/>
    <w:rsid w:val="4F5F0DCA"/>
    <w:rsid w:val="4F710AFD"/>
    <w:rsid w:val="4F860A4D"/>
    <w:rsid w:val="4F8922EB"/>
    <w:rsid w:val="4F936CC6"/>
    <w:rsid w:val="4FA72771"/>
    <w:rsid w:val="4FAE3B00"/>
    <w:rsid w:val="4FB214FE"/>
    <w:rsid w:val="4FC27D66"/>
    <w:rsid w:val="4FC60E49"/>
    <w:rsid w:val="4FD25E02"/>
    <w:rsid w:val="50055358"/>
    <w:rsid w:val="501F4569"/>
    <w:rsid w:val="50320027"/>
    <w:rsid w:val="506F328F"/>
    <w:rsid w:val="506F7733"/>
    <w:rsid w:val="50770396"/>
    <w:rsid w:val="508A1E77"/>
    <w:rsid w:val="5095081C"/>
    <w:rsid w:val="50A05B3E"/>
    <w:rsid w:val="50A843EA"/>
    <w:rsid w:val="50D2381E"/>
    <w:rsid w:val="50DD469C"/>
    <w:rsid w:val="50E152D5"/>
    <w:rsid w:val="50E21CB3"/>
    <w:rsid w:val="5100038B"/>
    <w:rsid w:val="51002139"/>
    <w:rsid w:val="511107EA"/>
    <w:rsid w:val="513F5914"/>
    <w:rsid w:val="514E10F6"/>
    <w:rsid w:val="514E7348"/>
    <w:rsid w:val="51532A7B"/>
    <w:rsid w:val="518A5EA7"/>
    <w:rsid w:val="518C1C1F"/>
    <w:rsid w:val="51984A67"/>
    <w:rsid w:val="51B01DB1"/>
    <w:rsid w:val="51C4760A"/>
    <w:rsid w:val="51C770FB"/>
    <w:rsid w:val="51CE0489"/>
    <w:rsid w:val="520E792B"/>
    <w:rsid w:val="521C46C2"/>
    <w:rsid w:val="522340F0"/>
    <w:rsid w:val="523D116B"/>
    <w:rsid w:val="52422029"/>
    <w:rsid w:val="52592449"/>
    <w:rsid w:val="52630BD1"/>
    <w:rsid w:val="52666914"/>
    <w:rsid w:val="5273385E"/>
    <w:rsid w:val="527505BB"/>
    <w:rsid w:val="527E3C5D"/>
    <w:rsid w:val="528C45CC"/>
    <w:rsid w:val="52B3150C"/>
    <w:rsid w:val="52B92EE7"/>
    <w:rsid w:val="52EF46BE"/>
    <w:rsid w:val="530C1269"/>
    <w:rsid w:val="531719BC"/>
    <w:rsid w:val="532145E9"/>
    <w:rsid w:val="53277E51"/>
    <w:rsid w:val="5334431C"/>
    <w:rsid w:val="533D58C6"/>
    <w:rsid w:val="533E33EC"/>
    <w:rsid w:val="533F47B1"/>
    <w:rsid w:val="53472121"/>
    <w:rsid w:val="535B5D4C"/>
    <w:rsid w:val="536C1D08"/>
    <w:rsid w:val="537312E8"/>
    <w:rsid w:val="5373753A"/>
    <w:rsid w:val="53786DFC"/>
    <w:rsid w:val="53876B42"/>
    <w:rsid w:val="5391176E"/>
    <w:rsid w:val="53B13BBE"/>
    <w:rsid w:val="53B65679"/>
    <w:rsid w:val="53B813F1"/>
    <w:rsid w:val="53E21FCA"/>
    <w:rsid w:val="53E47AF0"/>
    <w:rsid w:val="53EC109A"/>
    <w:rsid w:val="53F1220D"/>
    <w:rsid w:val="53F65A75"/>
    <w:rsid w:val="541F321E"/>
    <w:rsid w:val="542362A5"/>
    <w:rsid w:val="54273E81"/>
    <w:rsid w:val="545253A1"/>
    <w:rsid w:val="5463310B"/>
    <w:rsid w:val="54694499"/>
    <w:rsid w:val="546D21DB"/>
    <w:rsid w:val="54752E3E"/>
    <w:rsid w:val="54880DC3"/>
    <w:rsid w:val="549A5EE9"/>
    <w:rsid w:val="54A11E85"/>
    <w:rsid w:val="54B0031A"/>
    <w:rsid w:val="54E63D3C"/>
    <w:rsid w:val="54FA3343"/>
    <w:rsid w:val="55040901"/>
    <w:rsid w:val="5512068D"/>
    <w:rsid w:val="554115DE"/>
    <w:rsid w:val="5560764A"/>
    <w:rsid w:val="55713605"/>
    <w:rsid w:val="55855303"/>
    <w:rsid w:val="55886BA1"/>
    <w:rsid w:val="55A0038E"/>
    <w:rsid w:val="55AD03B6"/>
    <w:rsid w:val="55AF05D2"/>
    <w:rsid w:val="55B55BE8"/>
    <w:rsid w:val="55D122F6"/>
    <w:rsid w:val="55D65B5E"/>
    <w:rsid w:val="55DA38A0"/>
    <w:rsid w:val="55E464CD"/>
    <w:rsid w:val="560C4938"/>
    <w:rsid w:val="561072C2"/>
    <w:rsid w:val="561B7A15"/>
    <w:rsid w:val="56244B1C"/>
    <w:rsid w:val="56270168"/>
    <w:rsid w:val="56290384"/>
    <w:rsid w:val="5630526E"/>
    <w:rsid w:val="56327239"/>
    <w:rsid w:val="564B20A8"/>
    <w:rsid w:val="567A298E"/>
    <w:rsid w:val="567F7FA4"/>
    <w:rsid w:val="56903F5F"/>
    <w:rsid w:val="569357FD"/>
    <w:rsid w:val="56A77ED4"/>
    <w:rsid w:val="56BA5480"/>
    <w:rsid w:val="56CD6F61"/>
    <w:rsid w:val="56DF05DE"/>
    <w:rsid w:val="56E66275"/>
    <w:rsid w:val="570566FB"/>
    <w:rsid w:val="57387FCA"/>
    <w:rsid w:val="57572CCF"/>
    <w:rsid w:val="57596A47"/>
    <w:rsid w:val="575E5E0B"/>
    <w:rsid w:val="576C0528"/>
    <w:rsid w:val="57734378"/>
    <w:rsid w:val="578F06BB"/>
    <w:rsid w:val="5790570A"/>
    <w:rsid w:val="57B04FE9"/>
    <w:rsid w:val="57D460CD"/>
    <w:rsid w:val="57D52571"/>
    <w:rsid w:val="57E26A3C"/>
    <w:rsid w:val="57FC6189"/>
    <w:rsid w:val="57FD3876"/>
    <w:rsid w:val="580746F5"/>
    <w:rsid w:val="5853793A"/>
    <w:rsid w:val="585A4825"/>
    <w:rsid w:val="585C4CB9"/>
    <w:rsid w:val="587358E6"/>
    <w:rsid w:val="587C0C3F"/>
    <w:rsid w:val="587D49B7"/>
    <w:rsid w:val="587D6765"/>
    <w:rsid w:val="58845D45"/>
    <w:rsid w:val="58953AAF"/>
    <w:rsid w:val="58975A79"/>
    <w:rsid w:val="58B34C17"/>
    <w:rsid w:val="58B55EFF"/>
    <w:rsid w:val="58BF0B2C"/>
    <w:rsid w:val="58CF5213"/>
    <w:rsid w:val="58D740C7"/>
    <w:rsid w:val="58DF4D2A"/>
    <w:rsid w:val="58FB73D6"/>
    <w:rsid w:val="5900361E"/>
    <w:rsid w:val="59030A18"/>
    <w:rsid w:val="59073C90"/>
    <w:rsid w:val="592117E6"/>
    <w:rsid w:val="592A2449"/>
    <w:rsid w:val="593037D7"/>
    <w:rsid w:val="5934041B"/>
    <w:rsid w:val="596811C3"/>
    <w:rsid w:val="598D0C2A"/>
    <w:rsid w:val="598F1658"/>
    <w:rsid w:val="59995821"/>
    <w:rsid w:val="59B44408"/>
    <w:rsid w:val="59CA59DA"/>
    <w:rsid w:val="59D95C1D"/>
    <w:rsid w:val="59D979CB"/>
    <w:rsid w:val="59E24AD2"/>
    <w:rsid w:val="59E720E8"/>
    <w:rsid w:val="59F8589C"/>
    <w:rsid w:val="5A2055FA"/>
    <w:rsid w:val="5A292701"/>
    <w:rsid w:val="5A380B96"/>
    <w:rsid w:val="5A382944"/>
    <w:rsid w:val="5A3D43FE"/>
    <w:rsid w:val="5A533C21"/>
    <w:rsid w:val="5A5F4374"/>
    <w:rsid w:val="5A601E9A"/>
    <w:rsid w:val="5A6B0F6B"/>
    <w:rsid w:val="5A6E45B7"/>
    <w:rsid w:val="5A8550FA"/>
    <w:rsid w:val="5A8B6F17"/>
    <w:rsid w:val="5A9A1850"/>
    <w:rsid w:val="5AA81FF6"/>
    <w:rsid w:val="5AD52888"/>
    <w:rsid w:val="5AE40D1D"/>
    <w:rsid w:val="5AEB2B2A"/>
    <w:rsid w:val="5AF2343A"/>
    <w:rsid w:val="5B136F0D"/>
    <w:rsid w:val="5B1F3B03"/>
    <w:rsid w:val="5B264E92"/>
    <w:rsid w:val="5B295620"/>
    <w:rsid w:val="5B370E4D"/>
    <w:rsid w:val="5B4A6DD2"/>
    <w:rsid w:val="5B4D0671"/>
    <w:rsid w:val="5B5E07F4"/>
    <w:rsid w:val="5B5FED2E"/>
    <w:rsid w:val="5B61411C"/>
    <w:rsid w:val="5B661732"/>
    <w:rsid w:val="5B726F99"/>
    <w:rsid w:val="5B7B3430"/>
    <w:rsid w:val="5B9261ED"/>
    <w:rsid w:val="5B9D6A58"/>
    <w:rsid w:val="5BAC183B"/>
    <w:rsid w:val="5BBE5A8E"/>
    <w:rsid w:val="5BC30933"/>
    <w:rsid w:val="5BD3501A"/>
    <w:rsid w:val="5BD57CB7"/>
    <w:rsid w:val="5BDB5C7C"/>
    <w:rsid w:val="5BF00094"/>
    <w:rsid w:val="5C164F06"/>
    <w:rsid w:val="5C2515ED"/>
    <w:rsid w:val="5C277114"/>
    <w:rsid w:val="5C384E7D"/>
    <w:rsid w:val="5C3D6937"/>
    <w:rsid w:val="5C5872CD"/>
    <w:rsid w:val="5C6A0DAE"/>
    <w:rsid w:val="5C725B62"/>
    <w:rsid w:val="5C7559A0"/>
    <w:rsid w:val="5C8356CE"/>
    <w:rsid w:val="5C9F314E"/>
    <w:rsid w:val="5CB12E81"/>
    <w:rsid w:val="5CB5471F"/>
    <w:rsid w:val="5CBA7F88"/>
    <w:rsid w:val="5CD10E2D"/>
    <w:rsid w:val="5CF0029A"/>
    <w:rsid w:val="5D041203"/>
    <w:rsid w:val="5D207CD9"/>
    <w:rsid w:val="5D301FF8"/>
    <w:rsid w:val="5D5F468B"/>
    <w:rsid w:val="5D704AEA"/>
    <w:rsid w:val="5D730D16"/>
    <w:rsid w:val="5D755C5D"/>
    <w:rsid w:val="5D7A3273"/>
    <w:rsid w:val="5D8440F2"/>
    <w:rsid w:val="5D902A97"/>
    <w:rsid w:val="5D9B1B67"/>
    <w:rsid w:val="5DA36C6E"/>
    <w:rsid w:val="5DA402F0"/>
    <w:rsid w:val="5DCD5A99"/>
    <w:rsid w:val="5DE05293"/>
    <w:rsid w:val="5DED1C97"/>
    <w:rsid w:val="5E082F75"/>
    <w:rsid w:val="5E27164D"/>
    <w:rsid w:val="5E280F21"/>
    <w:rsid w:val="5E343D6A"/>
    <w:rsid w:val="5E4C10B3"/>
    <w:rsid w:val="5E785A05"/>
    <w:rsid w:val="5E7D301B"/>
    <w:rsid w:val="5E8720EC"/>
    <w:rsid w:val="5EBF1885"/>
    <w:rsid w:val="5ED2780B"/>
    <w:rsid w:val="5EDF5A84"/>
    <w:rsid w:val="5EF13A09"/>
    <w:rsid w:val="5F073306"/>
    <w:rsid w:val="5F096FA4"/>
    <w:rsid w:val="5F100333"/>
    <w:rsid w:val="5F265461"/>
    <w:rsid w:val="5F27114E"/>
    <w:rsid w:val="5F296CFF"/>
    <w:rsid w:val="5F2E6D1C"/>
    <w:rsid w:val="5F41229A"/>
    <w:rsid w:val="5F455B2E"/>
    <w:rsid w:val="5F585836"/>
    <w:rsid w:val="5F5A087C"/>
    <w:rsid w:val="5F5D2E4C"/>
    <w:rsid w:val="5F5F73B9"/>
    <w:rsid w:val="5F6047B3"/>
    <w:rsid w:val="5F723E28"/>
    <w:rsid w:val="5F8959EF"/>
    <w:rsid w:val="5F8B1768"/>
    <w:rsid w:val="5FA8056B"/>
    <w:rsid w:val="5FB05672"/>
    <w:rsid w:val="5FB23198"/>
    <w:rsid w:val="5FC15E5A"/>
    <w:rsid w:val="5FC94327"/>
    <w:rsid w:val="5FCC24AC"/>
    <w:rsid w:val="5FED41D0"/>
    <w:rsid w:val="60251BBC"/>
    <w:rsid w:val="602A0F80"/>
    <w:rsid w:val="602A2D2E"/>
    <w:rsid w:val="60327E35"/>
    <w:rsid w:val="60551956"/>
    <w:rsid w:val="60602BF4"/>
    <w:rsid w:val="60624BBE"/>
    <w:rsid w:val="606A00FF"/>
    <w:rsid w:val="606A59D9"/>
    <w:rsid w:val="608B31A3"/>
    <w:rsid w:val="609B1E7E"/>
    <w:rsid w:val="60B13450"/>
    <w:rsid w:val="60B430B8"/>
    <w:rsid w:val="60D809DC"/>
    <w:rsid w:val="60E802AD"/>
    <w:rsid w:val="60F4333C"/>
    <w:rsid w:val="60F8107F"/>
    <w:rsid w:val="610619ED"/>
    <w:rsid w:val="610726FE"/>
    <w:rsid w:val="61241E74"/>
    <w:rsid w:val="612B4FB0"/>
    <w:rsid w:val="612E2CF2"/>
    <w:rsid w:val="612E4AA0"/>
    <w:rsid w:val="6134435C"/>
    <w:rsid w:val="614C4F26"/>
    <w:rsid w:val="61502C69"/>
    <w:rsid w:val="6166248C"/>
    <w:rsid w:val="61730705"/>
    <w:rsid w:val="619736AB"/>
    <w:rsid w:val="619758A9"/>
    <w:rsid w:val="61A92379"/>
    <w:rsid w:val="61AB4343"/>
    <w:rsid w:val="61B74A96"/>
    <w:rsid w:val="61BC46E9"/>
    <w:rsid w:val="61CB22EF"/>
    <w:rsid w:val="61D92239"/>
    <w:rsid w:val="61F71146"/>
    <w:rsid w:val="61F86BC7"/>
    <w:rsid w:val="62045801"/>
    <w:rsid w:val="62065A1D"/>
    <w:rsid w:val="6208709F"/>
    <w:rsid w:val="620C3034"/>
    <w:rsid w:val="620D46B6"/>
    <w:rsid w:val="62143C96"/>
    <w:rsid w:val="621C2B4B"/>
    <w:rsid w:val="622D6B06"/>
    <w:rsid w:val="622F7EFB"/>
    <w:rsid w:val="62361E5F"/>
    <w:rsid w:val="624A3B5C"/>
    <w:rsid w:val="62713A30"/>
    <w:rsid w:val="627E3805"/>
    <w:rsid w:val="62A72D5C"/>
    <w:rsid w:val="62BD4E12"/>
    <w:rsid w:val="62C21944"/>
    <w:rsid w:val="62C3746A"/>
    <w:rsid w:val="62C93AA5"/>
    <w:rsid w:val="62D376AD"/>
    <w:rsid w:val="62D3782F"/>
    <w:rsid w:val="62E713AB"/>
    <w:rsid w:val="62ED5559"/>
    <w:rsid w:val="62F45876"/>
    <w:rsid w:val="62FB6C04"/>
    <w:rsid w:val="62FF4946"/>
    <w:rsid w:val="63185A08"/>
    <w:rsid w:val="6320666B"/>
    <w:rsid w:val="632223E3"/>
    <w:rsid w:val="632B573B"/>
    <w:rsid w:val="633B16F7"/>
    <w:rsid w:val="63416D0D"/>
    <w:rsid w:val="63575F86"/>
    <w:rsid w:val="635F7193"/>
    <w:rsid w:val="636E605C"/>
    <w:rsid w:val="637532C0"/>
    <w:rsid w:val="638E1826"/>
    <w:rsid w:val="638E7A78"/>
    <w:rsid w:val="639C03E7"/>
    <w:rsid w:val="639F1C85"/>
    <w:rsid w:val="63AC7EFE"/>
    <w:rsid w:val="63BE5447"/>
    <w:rsid w:val="63C45248"/>
    <w:rsid w:val="63C96D1D"/>
    <w:rsid w:val="63CE6779"/>
    <w:rsid w:val="63D86F45"/>
    <w:rsid w:val="63DD630A"/>
    <w:rsid w:val="64033FC2"/>
    <w:rsid w:val="64055F8C"/>
    <w:rsid w:val="640B2E77"/>
    <w:rsid w:val="64195594"/>
    <w:rsid w:val="64300B2F"/>
    <w:rsid w:val="64356146"/>
    <w:rsid w:val="643B19AE"/>
    <w:rsid w:val="644665A5"/>
    <w:rsid w:val="64477904"/>
    <w:rsid w:val="644F0FB6"/>
    <w:rsid w:val="64520AA6"/>
    <w:rsid w:val="64596D04"/>
    <w:rsid w:val="645A64FF"/>
    <w:rsid w:val="646627A3"/>
    <w:rsid w:val="646A4041"/>
    <w:rsid w:val="64803865"/>
    <w:rsid w:val="64872E45"/>
    <w:rsid w:val="64990483"/>
    <w:rsid w:val="649C7F73"/>
    <w:rsid w:val="64BC23C3"/>
    <w:rsid w:val="64C73242"/>
    <w:rsid w:val="65046244"/>
    <w:rsid w:val="65085608"/>
    <w:rsid w:val="65130235"/>
    <w:rsid w:val="651B4B76"/>
    <w:rsid w:val="6526661E"/>
    <w:rsid w:val="653D760D"/>
    <w:rsid w:val="654523B9"/>
    <w:rsid w:val="654A62EA"/>
    <w:rsid w:val="655062D6"/>
    <w:rsid w:val="656211BC"/>
    <w:rsid w:val="657809E0"/>
    <w:rsid w:val="65BA2DA7"/>
    <w:rsid w:val="65BD2897"/>
    <w:rsid w:val="65C94D98"/>
    <w:rsid w:val="65CE1B16"/>
    <w:rsid w:val="65F07C88"/>
    <w:rsid w:val="660758C0"/>
    <w:rsid w:val="66140709"/>
    <w:rsid w:val="661C61A8"/>
    <w:rsid w:val="662D5327"/>
    <w:rsid w:val="665E3732"/>
    <w:rsid w:val="66974E96"/>
    <w:rsid w:val="66A7157D"/>
    <w:rsid w:val="66C304F7"/>
    <w:rsid w:val="66DE2AC5"/>
    <w:rsid w:val="66EA1469"/>
    <w:rsid w:val="66EE5755"/>
    <w:rsid w:val="66FC2F4B"/>
    <w:rsid w:val="671B7875"/>
    <w:rsid w:val="672D1356"/>
    <w:rsid w:val="67423054"/>
    <w:rsid w:val="67580AC9"/>
    <w:rsid w:val="67695C49"/>
    <w:rsid w:val="67917B37"/>
    <w:rsid w:val="67A45EAE"/>
    <w:rsid w:val="67A4622C"/>
    <w:rsid w:val="67A535E2"/>
    <w:rsid w:val="67AE693B"/>
    <w:rsid w:val="67BA708E"/>
    <w:rsid w:val="67D6379C"/>
    <w:rsid w:val="67E73BFB"/>
    <w:rsid w:val="680B78E9"/>
    <w:rsid w:val="681744E0"/>
    <w:rsid w:val="681D13CB"/>
    <w:rsid w:val="6838144E"/>
    <w:rsid w:val="684F481F"/>
    <w:rsid w:val="685313AA"/>
    <w:rsid w:val="6854109A"/>
    <w:rsid w:val="686314D3"/>
    <w:rsid w:val="6870599E"/>
    <w:rsid w:val="688558EE"/>
    <w:rsid w:val="689B5B56"/>
    <w:rsid w:val="68AA7398"/>
    <w:rsid w:val="68B4049D"/>
    <w:rsid w:val="68C83A2C"/>
    <w:rsid w:val="68D67EF7"/>
    <w:rsid w:val="68DC28D0"/>
    <w:rsid w:val="68F4037D"/>
    <w:rsid w:val="68FB170C"/>
    <w:rsid w:val="69006D22"/>
    <w:rsid w:val="69020CEC"/>
    <w:rsid w:val="69293B0C"/>
    <w:rsid w:val="693D7F76"/>
    <w:rsid w:val="694035C3"/>
    <w:rsid w:val="694A16A0"/>
    <w:rsid w:val="694A61EF"/>
    <w:rsid w:val="69670B4F"/>
    <w:rsid w:val="69717C20"/>
    <w:rsid w:val="6974326C"/>
    <w:rsid w:val="698200F7"/>
    <w:rsid w:val="6985191D"/>
    <w:rsid w:val="698A0CE2"/>
    <w:rsid w:val="69A73642"/>
    <w:rsid w:val="69D34437"/>
    <w:rsid w:val="69DD7064"/>
    <w:rsid w:val="69ED6F02"/>
    <w:rsid w:val="69EF02B7"/>
    <w:rsid w:val="6A0C7949"/>
    <w:rsid w:val="6A1A02B8"/>
    <w:rsid w:val="6A425119"/>
    <w:rsid w:val="6A4946F9"/>
    <w:rsid w:val="6A49665A"/>
    <w:rsid w:val="6A8B4890"/>
    <w:rsid w:val="6A8B6AC0"/>
    <w:rsid w:val="6A9C6F1F"/>
    <w:rsid w:val="6AC87D14"/>
    <w:rsid w:val="6AD4163C"/>
    <w:rsid w:val="6AEA0D00"/>
    <w:rsid w:val="6B1A47F0"/>
    <w:rsid w:val="6B1C3BBC"/>
    <w:rsid w:val="6B256F14"/>
    <w:rsid w:val="6B3042FF"/>
    <w:rsid w:val="6B625A72"/>
    <w:rsid w:val="6B6317EA"/>
    <w:rsid w:val="6B7D526B"/>
    <w:rsid w:val="6B8E7776"/>
    <w:rsid w:val="6B99520C"/>
    <w:rsid w:val="6BA918F3"/>
    <w:rsid w:val="6BBB33D4"/>
    <w:rsid w:val="6BCC7390"/>
    <w:rsid w:val="6BE02E3B"/>
    <w:rsid w:val="6BE24E05"/>
    <w:rsid w:val="6BF15048"/>
    <w:rsid w:val="6BFD1C3F"/>
    <w:rsid w:val="6C0578D5"/>
    <w:rsid w:val="6C0B435C"/>
    <w:rsid w:val="6C0E5BFA"/>
    <w:rsid w:val="6C1F3963"/>
    <w:rsid w:val="6C276CBC"/>
    <w:rsid w:val="6C303DC2"/>
    <w:rsid w:val="6C315445"/>
    <w:rsid w:val="6C4038DA"/>
    <w:rsid w:val="6C53185F"/>
    <w:rsid w:val="6C5A7A8C"/>
    <w:rsid w:val="6C77456B"/>
    <w:rsid w:val="6C9F6852"/>
    <w:rsid w:val="6CA572BA"/>
    <w:rsid w:val="6CBB46B3"/>
    <w:rsid w:val="6CC30793"/>
    <w:rsid w:val="6CC61B80"/>
    <w:rsid w:val="6CC85251"/>
    <w:rsid w:val="6CE1330F"/>
    <w:rsid w:val="6CF21078"/>
    <w:rsid w:val="6D036DE1"/>
    <w:rsid w:val="6D0E5786"/>
    <w:rsid w:val="6D152ED1"/>
    <w:rsid w:val="6D3B36F5"/>
    <w:rsid w:val="6D4F64CA"/>
    <w:rsid w:val="6D5533B5"/>
    <w:rsid w:val="6D5E495F"/>
    <w:rsid w:val="6D6535F8"/>
    <w:rsid w:val="6D6830E8"/>
    <w:rsid w:val="6D8819DC"/>
    <w:rsid w:val="6D9E4D5C"/>
    <w:rsid w:val="6DA32372"/>
    <w:rsid w:val="6DA51372"/>
    <w:rsid w:val="6DA73C10"/>
    <w:rsid w:val="6DAC56CB"/>
    <w:rsid w:val="6DC618A6"/>
    <w:rsid w:val="6DC9627D"/>
    <w:rsid w:val="6DE73EA1"/>
    <w:rsid w:val="6E0A3294"/>
    <w:rsid w:val="6E0F771C"/>
    <w:rsid w:val="6E14501E"/>
    <w:rsid w:val="6E301E58"/>
    <w:rsid w:val="6E361438"/>
    <w:rsid w:val="6E386F5E"/>
    <w:rsid w:val="6E671E2C"/>
    <w:rsid w:val="6E697118"/>
    <w:rsid w:val="6E8B3532"/>
    <w:rsid w:val="6E8E29A1"/>
    <w:rsid w:val="6EA1250E"/>
    <w:rsid w:val="6ED529FF"/>
    <w:rsid w:val="6EDB52E8"/>
    <w:rsid w:val="6EEF1D13"/>
    <w:rsid w:val="6F17502C"/>
    <w:rsid w:val="6F40683E"/>
    <w:rsid w:val="6F4A0956"/>
    <w:rsid w:val="6F5222A2"/>
    <w:rsid w:val="6F5B73A8"/>
    <w:rsid w:val="6F616041"/>
    <w:rsid w:val="6F6D49E6"/>
    <w:rsid w:val="6F9540A0"/>
    <w:rsid w:val="6FA80114"/>
    <w:rsid w:val="6FB22D40"/>
    <w:rsid w:val="6FCB6AF9"/>
    <w:rsid w:val="6FD9000D"/>
    <w:rsid w:val="6FE62BA6"/>
    <w:rsid w:val="6FED0D7C"/>
    <w:rsid w:val="6FF15617"/>
    <w:rsid w:val="6FF17B65"/>
    <w:rsid w:val="6FF43359"/>
    <w:rsid w:val="70115CB9"/>
    <w:rsid w:val="701B08E6"/>
    <w:rsid w:val="703B0F88"/>
    <w:rsid w:val="705604C3"/>
    <w:rsid w:val="7056191E"/>
    <w:rsid w:val="70AE6124"/>
    <w:rsid w:val="70CB2A08"/>
    <w:rsid w:val="70F353BF"/>
    <w:rsid w:val="7111358D"/>
    <w:rsid w:val="7112100E"/>
    <w:rsid w:val="71167A14"/>
    <w:rsid w:val="711C0290"/>
    <w:rsid w:val="71291E2C"/>
    <w:rsid w:val="712F49A0"/>
    <w:rsid w:val="71493231"/>
    <w:rsid w:val="715F2A54"/>
    <w:rsid w:val="71687C83"/>
    <w:rsid w:val="716D6F1F"/>
    <w:rsid w:val="716F0EE9"/>
    <w:rsid w:val="71926986"/>
    <w:rsid w:val="71B2527A"/>
    <w:rsid w:val="71B47B68"/>
    <w:rsid w:val="71B544D8"/>
    <w:rsid w:val="71E76CD1"/>
    <w:rsid w:val="71F260FE"/>
    <w:rsid w:val="71F81A43"/>
    <w:rsid w:val="71FB09CF"/>
    <w:rsid w:val="720B2203"/>
    <w:rsid w:val="720F6228"/>
    <w:rsid w:val="72281098"/>
    <w:rsid w:val="723839D1"/>
    <w:rsid w:val="723A46F9"/>
    <w:rsid w:val="723D2D95"/>
    <w:rsid w:val="724760D2"/>
    <w:rsid w:val="724C122A"/>
    <w:rsid w:val="72536115"/>
    <w:rsid w:val="72617A36"/>
    <w:rsid w:val="726A16B0"/>
    <w:rsid w:val="72800ED4"/>
    <w:rsid w:val="72842772"/>
    <w:rsid w:val="728E35F1"/>
    <w:rsid w:val="729C2D68"/>
    <w:rsid w:val="729E274D"/>
    <w:rsid w:val="729F57FE"/>
    <w:rsid w:val="72A72905"/>
    <w:rsid w:val="72B55021"/>
    <w:rsid w:val="72D67313"/>
    <w:rsid w:val="72EB0A43"/>
    <w:rsid w:val="72FF44EF"/>
    <w:rsid w:val="730613D9"/>
    <w:rsid w:val="731F693F"/>
    <w:rsid w:val="73261A7B"/>
    <w:rsid w:val="732B0E40"/>
    <w:rsid w:val="733817AF"/>
    <w:rsid w:val="73395F5A"/>
    <w:rsid w:val="73536A3B"/>
    <w:rsid w:val="735935F3"/>
    <w:rsid w:val="736675BE"/>
    <w:rsid w:val="737C78ED"/>
    <w:rsid w:val="73A016D5"/>
    <w:rsid w:val="73A07DC5"/>
    <w:rsid w:val="73A6496A"/>
    <w:rsid w:val="73AD7AA7"/>
    <w:rsid w:val="73B928EF"/>
    <w:rsid w:val="73C7661F"/>
    <w:rsid w:val="73D239B1"/>
    <w:rsid w:val="73E7745D"/>
    <w:rsid w:val="74147B26"/>
    <w:rsid w:val="741B5358"/>
    <w:rsid w:val="742C597A"/>
    <w:rsid w:val="743E1047"/>
    <w:rsid w:val="745D14CD"/>
    <w:rsid w:val="745F1A7B"/>
    <w:rsid w:val="746C0E4C"/>
    <w:rsid w:val="746F6492"/>
    <w:rsid w:val="747B1953"/>
    <w:rsid w:val="747B32BE"/>
    <w:rsid w:val="7481774B"/>
    <w:rsid w:val="74827185"/>
    <w:rsid w:val="74853EF3"/>
    <w:rsid w:val="749173C8"/>
    <w:rsid w:val="74B86703"/>
    <w:rsid w:val="74D65E5E"/>
    <w:rsid w:val="74EA366E"/>
    <w:rsid w:val="74ED1456"/>
    <w:rsid w:val="74FA4F6E"/>
    <w:rsid w:val="74FF07D6"/>
    <w:rsid w:val="74FF6B82"/>
    <w:rsid w:val="750951B1"/>
    <w:rsid w:val="75157FF9"/>
    <w:rsid w:val="75260EE2"/>
    <w:rsid w:val="752E2E69"/>
    <w:rsid w:val="753164B5"/>
    <w:rsid w:val="754B3A1B"/>
    <w:rsid w:val="754E7ED5"/>
    <w:rsid w:val="754F71E0"/>
    <w:rsid w:val="755F1275"/>
    <w:rsid w:val="755F74C6"/>
    <w:rsid w:val="75703482"/>
    <w:rsid w:val="75736ACE"/>
    <w:rsid w:val="75930F1E"/>
    <w:rsid w:val="759F5B15"/>
    <w:rsid w:val="75A562CE"/>
    <w:rsid w:val="75C17839"/>
    <w:rsid w:val="75C735CB"/>
    <w:rsid w:val="75D02172"/>
    <w:rsid w:val="75D91F21"/>
    <w:rsid w:val="75E8126A"/>
    <w:rsid w:val="75F27075"/>
    <w:rsid w:val="75F77B9F"/>
    <w:rsid w:val="761262E7"/>
    <w:rsid w:val="762027B2"/>
    <w:rsid w:val="762878B8"/>
    <w:rsid w:val="764B35A7"/>
    <w:rsid w:val="76636B42"/>
    <w:rsid w:val="766C3C49"/>
    <w:rsid w:val="76880357"/>
    <w:rsid w:val="768F16E6"/>
    <w:rsid w:val="76A95A38"/>
    <w:rsid w:val="76AA4771"/>
    <w:rsid w:val="76C70E7F"/>
    <w:rsid w:val="76F1414E"/>
    <w:rsid w:val="770E2F52"/>
    <w:rsid w:val="771D4F43"/>
    <w:rsid w:val="772D37F2"/>
    <w:rsid w:val="773D3837"/>
    <w:rsid w:val="77440722"/>
    <w:rsid w:val="77536BB7"/>
    <w:rsid w:val="776112D4"/>
    <w:rsid w:val="777F348A"/>
    <w:rsid w:val="77892370"/>
    <w:rsid w:val="77A92C7B"/>
    <w:rsid w:val="77AD276B"/>
    <w:rsid w:val="77B43AFA"/>
    <w:rsid w:val="77C67389"/>
    <w:rsid w:val="77C81353"/>
    <w:rsid w:val="77CE623E"/>
    <w:rsid w:val="77D20625"/>
    <w:rsid w:val="77D210A2"/>
    <w:rsid w:val="77D35B06"/>
    <w:rsid w:val="77D54725"/>
    <w:rsid w:val="77DC4DFE"/>
    <w:rsid w:val="77EF68E0"/>
    <w:rsid w:val="77F42148"/>
    <w:rsid w:val="78056103"/>
    <w:rsid w:val="780A2709"/>
    <w:rsid w:val="78236589"/>
    <w:rsid w:val="78393FFF"/>
    <w:rsid w:val="784A7FBA"/>
    <w:rsid w:val="787212BF"/>
    <w:rsid w:val="78757AE0"/>
    <w:rsid w:val="787C3EEC"/>
    <w:rsid w:val="788B62D2"/>
    <w:rsid w:val="78911745"/>
    <w:rsid w:val="78992CEF"/>
    <w:rsid w:val="78C31CAF"/>
    <w:rsid w:val="78CD2BDF"/>
    <w:rsid w:val="78EA354B"/>
    <w:rsid w:val="78F341AE"/>
    <w:rsid w:val="79142376"/>
    <w:rsid w:val="791B3704"/>
    <w:rsid w:val="791D122B"/>
    <w:rsid w:val="791F1447"/>
    <w:rsid w:val="791F31F5"/>
    <w:rsid w:val="79330A4E"/>
    <w:rsid w:val="794F33AE"/>
    <w:rsid w:val="79507852"/>
    <w:rsid w:val="795A0647"/>
    <w:rsid w:val="79782905"/>
    <w:rsid w:val="797B4A37"/>
    <w:rsid w:val="797C23F5"/>
    <w:rsid w:val="79865022"/>
    <w:rsid w:val="79984207"/>
    <w:rsid w:val="799A1262"/>
    <w:rsid w:val="799A6D1F"/>
    <w:rsid w:val="79A454A8"/>
    <w:rsid w:val="79A742C4"/>
    <w:rsid w:val="79B55907"/>
    <w:rsid w:val="79BE0C60"/>
    <w:rsid w:val="79BF0534"/>
    <w:rsid w:val="79D3669A"/>
    <w:rsid w:val="79DA711C"/>
    <w:rsid w:val="79DF4732"/>
    <w:rsid w:val="79F72FA5"/>
    <w:rsid w:val="7A0B5527"/>
    <w:rsid w:val="7A326F58"/>
    <w:rsid w:val="7A37456E"/>
    <w:rsid w:val="7A3E58FC"/>
    <w:rsid w:val="7A41719B"/>
    <w:rsid w:val="7A480529"/>
    <w:rsid w:val="7A5A200A"/>
    <w:rsid w:val="7A62237E"/>
    <w:rsid w:val="7A805F15"/>
    <w:rsid w:val="7A807CC3"/>
    <w:rsid w:val="7A884DCA"/>
    <w:rsid w:val="7A8D23E0"/>
    <w:rsid w:val="7A9D6AC7"/>
    <w:rsid w:val="7AA02113"/>
    <w:rsid w:val="7AA1145D"/>
    <w:rsid w:val="7AB23BF5"/>
    <w:rsid w:val="7AB756AF"/>
    <w:rsid w:val="7ACD0A2E"/>
    <w:rsid w:val="7AD1051F"/>
    <w:rsid w:val="7ADC6EC3"/>
    <w:rsid w:val="7AF20495"/>
    <w:rsid w:val="7B191C40"/>
    <w:rsid w:val="7B256ABC"/>
    <w:rsid w:val="7B486307"/>
    <w:rsid w:val="7B4C4049"/>
    <w:rsid w:val="7B851426"/>
    <w:rsid w:val="7B931C78"/>
    <w:rsid w:val="7B9559F0"/>
    <w:rsid w:val="7BB51BEE"/>
    <w:rsid w:val="7BB8348D"/>
    <w:rsid w:val="7BBB4D2B"/>
    <w:rsid w:val="7BCE7867"/>
    <w:rsid w:val="7BDE0BC1"/>
    <w:rsid w:val="7BF2699E"/>
    <w:rsid w:val="7C077F70"/>
    <w:rsid w:val="7C1B7C6D"/>
    <w:rsid w:val="7C222820"/>
    <w:rsid w:val="7C240B22"/>
    <w:rsid w:val="7C3743CF"/>
    <w:rsid w:val="7C676761"/>
    <w:rsid w:val="7C765821"/>
    <w:rsid w:val="7C783964"/>
    <w:rsid w:val="7C7F3FAA"/>
    <w:rsid w:val="7C9537CE"/>
    <w:rsid w:val="7CA91E7F"/>
    <w:rsid w:val="7CC3033B"/>
    <w:rsid w:val="7D035D55"/>
    <w:rsid w:val="7D053E64"/>
    <w:rsid w:val="7D0746CC"/>
    <w:rsid w:val="7D0C7F34"/>
    <w:rsid w:val="7D15778E"/>
    <w:rsid w:val="7D2D3A06"/>
    <w:rsid w:val="7D731D61"/>
    <w:rsid w:val="7D7776E4"/>
    <w:rsid w:val="7D913F95"/>
    <w:rsid w:val="7D9B3066"/>
    <w:rsid w:val="7DA10D7A"/>
    <w:rsid w:val="7DAC5273"/>
    <w:rsid w:val="7DB55ED6"/>
    <w:rsid w:val="7DC3365B"/>
    <w:rsid w:val="7DDD367E"/>
    <w:rsid w:val="7DDD542C"/>
    <w:rsid w:val="7DDF73F6"/>
    <w:rsid w:val="7DFC3B04"/>
    <w:rsid w:val="7DFF1847"/>
    <w:rsid w:val="7E186D28"/>
    <w:rsid w:val="7E413C0D"/>
    <w:rsid w:val="7E4548B9"/>
    <w:rsid w:val="7E734445"/>
    <w:rsid w:val="7E7A0ECD"/>
    <w:rsid w:val="7E865AC4"/>
    <w:rsid w:val="7EA11CDF"/>
    <w:rsid w:val="7EA877E8"/>
    <w:rsid w:val="7ED24865"/>
    <w:rsid w:val="7EDB7BBE"/>
    <w:rsid w:val="7EF0118F"/>
    <w:rsid w:val="7F0337A1"/>
    <w:rsid w:val="7F0D1E11"/>
    <w:rsid w:val="7F182BC0"/>
    <w:rsid w:val="7F525E81"/>
    <w:rsid w:val="7F732964"/>
    <w:rsid w:val="7F7D6EC7"/>
    <w:rsid w:val="7F8042C1"/>
    <w:rsid w:val="7F813619"/>
    <w:rsid w:val="7F8E71C1"/>
    <w:rsid w:val="7F9E0BEB"/>
    <w:rsid w:val="7FA73F44"/>
    <w:rsid w:val="7FB87EFF"/>
    <w:rsid w:val="7FC5602F"/>
    <w:rsid w:val="7FD0349B"/>
    <w:rsid w:val="7FDE2B69"/>
    <w:rsid w:val="7FDF6496"/>
    <w:rsid w:val="7FEA3E31"/>
    <w:rsid w:val="7FFF5B2E"/>
    <w:rsid w:val="A6BEB84C"/>
    <w:rsid w:val="A6DAC1EB"/>
    <w:rsid w:val="B77F8749"/>
    <w:rsid w:val="BFAFD1E5"/>
    <w:rsid w:val="C5FF1D65"/>
    <w:rsid w:val="FDEFF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4">
    <w:name w:val="heading 2"/>
    <w:basedOn w:val="1"/>
    <w:next w:val="1"/>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1"/>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2"/>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8">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index 9"/>
    <w:basedOn w:val="1"/>
    <w:next w:val="1"/>
    <w:qFormat/>
    <w:uiPriority w:val="0"/>
    <w:pPr>
      <w:ind w:left="1600" w:leftChars="1600"/>
    </w:pPr>
  </w:style>
  <w:style w:type="paragraph" w:styleId="12">
    <w:name w:val="toc 7"/>
    <w:basedOn w:val="1"/>
    <w:next w:val="1"/>
    <w:qFormat/>
    <w:uiPriority w:val="0"/>
    <w:pPr>
      <w:ind w:left="2520" w:leftChars="1200"/>
    </w:pPr>
  </w:style>
  <w:style w:type="paragraph" w:styleId="13">
    <w:name w:val="Normal Indent"/>
    <w:basedOn w:val="1"/>
    <w:link w:val="64"/>
    <w:qFormat/>
    <w:uiPriority w:val="0"/>
    <w:pPr>
      <w:autoSpaceDE w:val="0"/>
      <w:autoSpaceDN w:val="0"/>
      <w:adjustRightInd w:val="0"/>
      <w:ind w:firstLine="420"/>
      <w:jc w:val="left"/>
    </w:pPr>
    <w:rPr>
      <w:rFonts w:ascii="宋体"/>
      <w:sz w:val="24"/>
    </w:r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annotation text"/>
    <w:basedOn w:val="1"/>
    <w:link w:val="184"/>
    <w:qFormat/>
    <w:uiPriority w:val="99"/>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next w:val="1"/>
    <w:link w:val="240"/>
    <w:qFormat/>
    <w:uiPriority w:val="0"/>
    <w:pPr>
      <w:tabs>
        <w:tab w:val="left" w:pos="567"/>
      </w:tabs>
      <w:spacing w:before="120" w:line="22" w:lineRule="atLeast"/>
    </w:pPr>
    <w:rPr>
      <w:rFonts w:ascii="宋体" w:hAnsi="宋体"/>
      <w:sz w:val="24"/>
    </w:rPr>
  </w:style>
  <w:style w:type="paragraph" w:styleId="19">
    <w:name w:val="Body Text Indent"/>
    <w:basedOn w:val="1"/>
    <w:link w:val="69"/>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4"/>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1"/>
    <w:qFormat/>
    <w:uiPriority w:val="0"/>
    <w:pPr>
      <w:ind w:left="100" w:leftChars="2500"/>
    </w:pPr>
    <w:rPr>
      <w:rFonts w:ascii="仿宋_GB2312" w:hAnsi="宋体" w:eastAsia="仿宋_GB2312"/>
      <w:color w:val="000000"/>
      <w:sz w:val="24"/>
    </w:rPr>
  </w:style>
  <w:style w:type="paragraph" w:styleId="27">
    <w:name w:val="Body Text Indent 2"/>
    <w:basedOn w:val="1"/>
    <w:link w:val="242"/>
    <w:qFormat/>
    <w:uiPriority w:val="0"/>
    <w:pPr>
      <w:ind w:firstLine="480" w:firstLineChars="200"/>
    </w:pPr>
    <w:rPr>
      <w:rFonts w:ascii="仿宋_GB2312" w:eastAsia="仿宋_GB2312"/>
      <w:sz w:val="24"/>
    </w:rPr>
  </w:style>
  <w:style w:type="paragraph" w:styleId="28">
    <w:name w:val="Balloon Text"/>
    <w:basedOn w:val="1"/>
    <w:link w:val="243"/>
    <w:qFormat/>
    <w:uiPriority w:val="0"/>
    <w:rPr>
      <w:sz w:val="18"/>
      <w:szCs w:val="18"/>
    </w:rPr>
  </w:style>
  <w:style w:type="paragraph" w:styleId="29">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Body Text 2"/>
    <w:basedOn w:val="1"/>
    <w:qFormat/>
    <w:uiPriority w:val="99"/>
    <w:pPr>
      <w:jc w:val="center"/>
    </w:pPr>
    <w:rPr>
      <w:rFonts w:eastAsia="黑体"/>
      <w:bCs/>
      <w:kern w:val="0"/>
      <w:sz w:val="24"/>
    </w:rPr>
  </w:style>
  <w:style w:type="paragraph" w:styleId="38">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9">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qFormat/>
    <w:uiPriority w:val="0"/>
    <w:rPr>
      <w:szCs w:val="20"/>
    </w:rPr>
  </w:style>
  <w:style w:type="paragraph" w:styleId="41">
    <w:name w:val="Title"/>
    <w:basedOn w:val="1"/>
    <w:link w:val="190"/>
    <w:qFormat/>
    <w:uiPriority w:val="0"/>
    <w:pPr>
      <w:jc w:val="center"/>
      <w:outlineLvl w:val="0"/>
    </w:pPr>
    <w:rPr>
      <w:b/>
      <w:sz w:val="32"/>
      <w:szCs w:val="20"/>
    </w:rPr>
  </w:style>
  <w:style w:type="paragraph" w:styleId="42">
    <w:name w:val="annotation subject"/>
    <w:basedOn w:val="16"/>
    <w:next w:val="16"/>
    <w:link w:val="246"/>
    <w:qFormat/>
    <w:uiPriority w:val="0"/>
    <w:rPr>
      <w:b/>
      <w:bCs/>
    </w:rPr>
  </w:style>
  <w:style w:type="paragraph" w:styleId="43">
    <w:name w:val="Body Text First Indent"/>
    <w:basedOn w:val="18"/>
    <w:next w:val="44"/>
    <w:qFormat/>
    <w:uiPriority w:val="0"/>
    <w:pPr>
      <w:spacing w:after="120" w:line="240" w:lineRule="auto"/>
      <w:ind w:firstLine="420" w:firstLineChars="100"/>
    </w:pPr>
    <w:rPr>
      <w:sz w:val="21"/>
    </w:rPr>
  </w:style>
  <w:style w:type="paragraph" w:styleId="44">
    <w:name w:val="Body Text First Indent 2"/>
    <w:basedOn w:val="19"/>
    <w:link w:val="247"/>
    <w:qFormat/>
    <w:uiPriority w:val="0"/>
    <w:pPr>
      <w:spacing w:after="120" w:line="480" w:lineRule="exact"/>
      <w:ind w:left="420" w:leftChars="200" w:firstLine="420" w:firstLineChars="200"/>
    </w:pPr>
    <w:rPr>
      <w:szCs w:val="20"/>
    </w:rPr>
  </w:style>
  <w:style w:type="table" w:styleId="46">
    <w:name w:val="Table Grid"/>
    <w:basedOn w:val="45"/>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7">
    <w:name w:val="Medium Grid 1 Accent 2"/>
    <w:basedOn w:val="45"/>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9">
    <w:name w:val="Strong"/>
    <w:basedOn w:val="48"/>
    <w:qFormat/>
    <w:uiPriority w:val="0"/>
    <w:rPr>
      <w:b/>
      <w:bCs/>
    </w:rPr>
  </w:style>
  <w:style w:type="character" w:styleId="50">
    <w:name w:val="page number"/>
    <w:basedOn w:val="48"/>
    <w:qFormat/>
    <w:uiPriority w:val="0"/>
  </w:style>
  <w:style w:type="character" w:styleId="51">
    <w:name w:val="FollowedHyperlink"/>
    <w:qFormat/>
    <w:uiPriority w:val="0"/>
    <w:rPr>
      <w:color w:val="800080"/>
      <w:u w:val="single"/>
    </w:rPr>
  </w:style>
  <w:style w:type="character" w:styleId="52">
    <w:name w:val="Emphasis"/>
    <w:qFormat/>
    <w:uiPriority w:val="0"/>
    <w:rPr>
      <w:color w:val="CC0033"/>
    </w:rPr>
  </w:style>
  <w:style w:type="character" w:styleId="53">
    <w:name w:val="Hyperlink"/>
    <w:qFormat/>
    <w:uiPriority w:val="99"/>
    <w:rPr>
      <w:color w:val="0000FF"/>
      <w:u w:val="single"/>
    </w:rPr>
  </w:style>
  <w:style w:type="character" w:styleId="54">
    <w:name w:val="annotation reference"/>
    <w:qFormat/>
    <w:uiPriority w:val="99"/>
    <w:rPr>
      <w:sz w:val="21"/>
      <w:szCs w:val="21"/>
    </w:rPr>
  </w:style>
  <w:style w:type="character" w:styleId="55">
    <w:name w:val="HTML Cite"/>
    <w:qFormat/>
    <w:uiPriority w:val="0"/>
    <w:rPr>
      <w:i/>
      <w:iCs/>
    </w:rPr>
  </w:style>
  <w:style w:type="character" w:customStyle="1" w:styleId="56">
    <w:name w:val="标题 2 字符"/>
    <w:link w:val="4"/>
    <w:qFormat/>
    <w:uiPriority w:val="0"/>
    <w:rPr>
      <w:rFonts w:ascii="Arial" w:hAnsi="Arial" w:eastAsia="黑体"/>
      <w:b/>
      <w:sz w:val="30"/>
      <w:lang w:val="en-US" w:eastAsia="zh-CN" w:bidi="ar-SA"/>
    </w:rPr>
  </w:style>
  <w:style w:type="character" w:customStyle="1" w:styleId="57">
    <w:name w:val="标题 3 字符"/>
    <w:link w:val="5"/>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8"/>
    <w:qFormat/>
    <w:uiPriority w:val="0"/>
  </w:style>
  <w:style w:type="character" w:customStyle="1" w:styleId="63">
    <w:name w:val="locality"/>
    <w:basedOn w:val="48"/>
    <w:qFormat/>
    <w:uiPriority w:val="0"/>
  </w:style>
  <w:style w:type="character" w:customStyle="1" w:styleId="64">
    <w:name w:val="正文缩进 字符"/>
    <w:link w:val="13"/>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8"/>
    <w:qFormat/>
    <w:uiPriority w:val="0"/>
  </w:style>
  <w:style w:type="character" w:customStyle="1" w:styleId="69">
    <w:name w:val="正文文本缩进 字符"/>
    <w:link w:val="19"/>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30"/>
    <w:qFormat/>
    <w:uiPriority w:val="0"/>
    <w:rPr>
      <w:rFonts w:eastAsia="宋体"/>
      <w:kern w:val="2"/>
      <w:sz w:val="18"/>
      <w:szCs w:val="18"/>
      <w:lang w:val="en-US" w:eastAsia="zh-CN" w:bidi="ar-SA"/>
    </w:rPr>
  </w:style>
  <w:style w:type="character" w:customStyle="1" w:styleId="79">
    <w:name w:val="chanpin拷贝"/>
    <w:basedOn w:val="48"/>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4"/>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40"/>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9"/>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6"/>
    <w:qFormat/>
    <w:uiPriority w:val="99"/>
    <w:rPr>
      <w:kern w:val="2"/>
      <w:sz w:val="21"/>
      <w:szCs w:val="24"/>
    </w:rPr>
  </w:style>
  <w:style w:type="paragraph" w:customStyle="1" w:styleId="185">
    <w:name w:val="标题1-附件"/>
    <w:basedOn w:val="3"/>
    <w:qFormat/>
    <w:uiPriority w:val="0"/>
    <w:pPr>
      <w:jc w:val="left"/>
    </w:pPr>
    <w:rPr>
      <w:sz w:val="24"/>
      <w:szCs w:val="24"/>
    </w:rPr>
  </w:style>
  <w:style w:type="paragraph" w:customStyle="1" w:styleId="186">
    <w:name w:val="正文小标题"/>
    <w:basedOn w:val="1"/>
    <w:next w:val="13"/>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13"/>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1"/>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8"/>
    <w:link w:val="24"/>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3">
    <w:name w:val="Revision"/>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8"/>
    <w:link w:val="3"/>
    <w:qFormat/>
    <w:uiPriority w:val="0"/>
    <w:rPr>
      <w:rFonts w:ascii="宋体"/>
      <w:b/>
      <w:kern w:val="44"/>
      <w:sz w:val="32"/>
    </w:rPr>
  </w:style>
  <w:style w:type="character" w:customStyle="1" w:styleId="232">
    <w:name w:val="标题 4 字符"/>
    <w:basedOn w:val="48"/>
    <w:link w:val="6"/>
    <w:qFormat/>
    <w:uiPriority w:val="0"/>
    <w:rPr>
      <w:sz w:val="24"/>
    </w:rPr>
  </w:style>
  <w:style w:type="character" w:customStyle="1" w:styleId="233">
    <w:name w:val="标题 5 字符"/>
    <w:basedOn w:val="48"/>
    <w:link w:val="7"/>
    <w:qFormat/>
    <w:uiPriority w:val="0"/>
    <w:rPr>
      <w:b/>
      <w:sz w:val="28"/>
    </w:rPr>
  </w:style>
  <w:style w:type="character" w:customStyle="1" w:styleId="234">
    <w:name w:val="标题 6 字符"/>
    <w:basedOn w:val="48"/>
    <w:link w:val="8"/>
    <w:qFormat/>
    <w:uiPriority w:val="0"/>
    <w:rPr>
      <w:rFonts w:ascii="Arial" w:hAnsi="Arial" w:eastAsia="黑体"/>
      <w:b/>
      <w:sz w:val="24"/>
    </w:rPr>
  </w:style>
  <w:style w:type="character" w:customStyle="1" w:styleId="235">
    <w:name w:val="标题 7 字符"/>
    <w:basedOn w:val="48"/>
    <w:link w:val="9"/>
    <w:qFormat/>
    <w:uiPriority w:val="0"/>
    <w:rPr>
      <w:b/>
      <w:sz w:val="24"/>
    </w:rPr>
  </w:style>
  <w:style w:type="character" w:customStyle="1" w:styleId="236">
    <w:name w:val="标题 8 字符"/>
    <w:basedOn w:val="48"/>
    <w:link w:val="10"/>
    <w:qFormat/>
    <w:uiPriority w:val="0"/>
    <w:rPr>
      <w:rFonts w:ascii="Arial" w:hAnsi="Arial" w:eastAsia="黑体"/>
      <w:sz w:val="24"/>
    </w:rPr>
  </w:style>
  <w:style w:type="character" w:customStyle="1" w:styleId="237">
    <w:name w:val="标题 9 字符"/>
    <w:basedOn w:val="48"/>
    <w:link w:val="11"/>
    <w:qFormat/>
    <w:uiPriority w:val="0"/>
    <w:rPr>
      <w:rFonts w:ascii="Arial" w:hAnsi="Arial" w:eastAsia="黑体"/>
      <w:sz w:val="21"/>
    </w:rPr>
  </w:style>
  <w:style w:type="character" w:customStyle="1" w:styleId="238">
    <w:name w:val="文档结构图 字符"/>
    <w:basedOn w:val="48"/>
    <w:link w:val="15"/>
    <w:qFormat/>
    <w:uiPriority w:val="0"/>
    <w:rPr>
      <w:kern w:val="2"/>
      <w:sz w:val="21"/>
      <w:szCs w:val="24"/>
      <w:shd w:val="clear" w:color="auto" w:fill="000080"/>
    </w:rPr>
  </w:style>
  <w:style w:type="character" w:customStyle="1" w:styleId="239">
    <w:name w:val="正文文本 3 字符"/>
    <w:basedOn w:val="48"/>
    <w:link w:val="17"/>
    <w:qFormat/>
    <w:uiPriority w:val="0"/>
    <w:rPr>
      <w:kern w:val="2"/>
      <w:sz w:val="16"/>
      <w:szCs w:val="16"/>
    </w:rPr>
  </w:style>
  <w:style w:type="character" w:customStyle="1" w:styleId="240">
    <w:name w:val="正文文本 字符"/>
    <w:basedOn w:val="48"/>
    <w:link w:val="18"/>
    <w:qFormat/>
    <w:uiPriority w:val="0"/>
    <w:rPr>
      <w:rFonts w:ascii="宋体" w:hAnsi="宋体"/>
      <w:kern w:val="2"/>
      <w:sz w:val="24"/>
      <w:szCs w:val="24"/>
    </w:rPr>
  </w:style>
  <w:style w:type="character" w:customStyle="1" w:styleId="241">
    <w:name w:val="日期 字符"/>
    <w:basedOn w:val="48"/>
    <w:link w:val="26"/>
    <w:qFormat/>
    <w:uiPriority w:val="0"/>
    <w:rPr>
      <w:rFonts w:ascii="仿宋_GB2312" w:hAnsi="宋体" w:eastAsia="仿宋_GB2312"/>
      <w:color w:val="000000"/>
      <w:kern w:val="2"/>
      <w:sz w:val="24"/>
      <w:szCs w:val="24"/>
    </w:rPr>
  </w:style>
  <w:style w:type="character" w:customStyle="1" w:styleId="242">
    <w:name w:val="正文文本缩进 2 字符"/>
    <w:basedOn w:val="48"/>
    <w:link w:val="27"/>
    <w:qFormat/>
    <w:uiPriority w:val="0"/>
    <w:rPr>
      <w:rFonts w:ascii="仿宋_GB2312" w:eastAsia="仿宋_GB2312"/>
      <w:kern w:val="2"/>
      <w:sz w:val="24"/>
      <w:szCs w:val="24"/>
    </w:rPr>
  </w:style>
  <w:style w:type="character" w:customStyle="1" w:styleId="243">
    <w:name w:val="批注框文本 字符"/>
    <w:basedOn w:val="48"/>
    <w:link w:val="28"/>
    <w:qFormat/>
    <w:uiPriority w:val="0"/>
    <w:rPr>
      <w:kern w:val="2"/>
      <w:sz w:val="18"/>
      <w:szCs w:val="18"/>
    </w:rPr>
  </w:style>
  <w:style w:type="character" w:customStyle="1" w:styleId="244">
    <w:name w:val="正文文本缩进 3 字符"/>
    <w:basedOn w:val="48"/>
    <w:link w:val="34"/>
    <w:qFormat/>
    <w:uiPriority w:val="0"/>
    <w:rPr>
      <w:rFonts w:ascii="宋体"/>
      <w:sz w:val="24"/>
    </w:rPr>
  </w:style>
  <w:style w:type="character" w:customStyle="1" w:styleId="245">
    <w:name w:val="HTML 预设格式 字符"/>
    <w:basedOn w:val="48"/>
    <w:link w:val="38"/>
    <w:qFormat/>
    <w:uiPriority w:val="0"/>
    <w:rPr>
      <w:rFonts w:ascii="宋体" w:hAnsi="宋体" w:cs="宋体"/>
      <w:sz w:val="24"/>
      <w:szCs w:val="24"/>
    </w:rPr>
  </w:style>
  <w:style w:type="character" w:customStyle="1" w:styleId="246">
    <w:name w:val="批注主题 字符"/>
    <w:basedOn w:val="196"/>
    <w:link w:val="42"/>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4"/>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table" w:customStyle="1" w:styleId="249">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2">
    <w:name w:val="cf01"/>
    <w:basedOn w:val="48"/>
    <w:qFormat/>
    <w:uiPriority w:val="0"/>
    <w:rPr>
      <w:rFonts w:hint="eastAsia" w:ascii="Microsoft YaHei UI" w:hAnsi="Microsoft YaHei UI" w:eastAsia="Microsoft YaHei UI"/>
      <w:sz w:val="18"/>
      <w:szCs w:val="18"/>
    </w:rPr>
  </w:style>
  <w:style w:type="character" w:customStyle="1" w:styleId="253">
    <w:name w:val="cf21"/>
    <w:basedOn w:val="48"/>
    <w:qFormat/>
    <w:uiPriority w:val="0"/>
    <w:rPr>
      <w:rFonts w:hint="eastAsia" w:ascii="Microsoft YaHei UI" w:hAnsi="Microsoft YaHei UI" w:eastAsia="Microsoft YaHei UI"/>
      <w:sz w:val="18"/>
      <w:szCs w:val="18"/>
      <w:shd w:val="clear" w:color="auto" w:fill="FFFFFF"/>
    </w:rPr>
  </w:style>
  <w:style w:type="character" w:customStyle="1" w:styleId="254">
    <w:name w:val="cf11"/>
    <w:basedOn w:val="48"/>
    <w:qFormat/>
    <w:uiPriority w:val="0"/>
    <w:rPr>
      <w:rFonts w:hint="eastAsia" w:ascii="Microsoft YaHei UI" w:hAnsi="Microsoft YaHei UI" w:eastAsia="Microsoft YaHei UI"/>
      <w:sz w:val="18"/>
      <w:szCs w:val="18"/>
    </w:rPr>
  </w:style>
  <w:style w:type="paragraph" w:customStyle="1" w:styleId="255">
    <w:name w:val="Table Text"/>
    <w:basedOn w:val="1"/>
    <w:semiHidden/>
    <w:qFormat/>
    <w:uiPriority w:val="0"/>
    <w:rPr>
      <w:rFonts w:ascii="宋体" w:hAnsi="宋体" w:eastAsia="宋体" w:cs="宋体"/>
      <w:sz w:val="24"/>
      <w:szCs w:val="24"/>
      <w:lang w:val="en-US" w:eastAsia="en-US" w:bidi="ar-SA"/>
    </w:rPr>
  </w:style>
  <w:style w:type="paragraph" w:customStyle="1" w:styleId="256">
    <w:name w:val="列出段落4"/>
    <w:basedOn w:val="1"/>
    <w:autoRedefine/>
    <w:qFormat/>
    <w:uiPriority w:val="34"/>
    <w:pPr>
      <w:ind w:firstLine="420" w:firstLineChars="200"/>
    </w:pPr>
    <w:rPr>
      <w:rFonts w:ascii="Calibri" w:hAnsi="Calibri"/>
      <w:color w:val="FF0000"/>
      <w:szCs w:val="22"/>
    </w:rPr>
  </w:style>
  <w:style w:type="paragraph" w:customStyle="1" w:styleId="257">
    <w:name w:val="无间隔1"/>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58">
    <w:name w:val="列表段落1"/>
    <w:basedOn w:val="1"/>
    <w:qFormat/>
    <w:uiPriority w:val="34"/>
    <w:pPr>
      <w:ind w:firstLine="420" w:firstLineChars="200"/>
    </w:pPr>
    <w:rPr>
      <w:rFonts w:ascii="Calibri" w:hAnsi="Calibri" w:eastAsiaTheme="minorEastAsia" w:cstheme="minorBidi"/>
      <w:szCs w:val="22"/>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114</Pages>
  <Words>12790</Words>
  <Characters>13538</Characters>
  <Lines>1296</Lines>
  <Paragraphs>1101</Paragraphs>
  <TotalTime>24</TotalTime>
  <ScaleCrop>false</ScaleCrop>
  <LinksUpToDate>false</LinksUpToDate>
  <CharactersWithSpaces>13711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2024-06-07T01:36:00Z</dcterms:created>
  <dc:creator>Lenovo</dc:creator>
  <cp:lastModifiedBy>wps</cp:lastModifiedBy>
  <cp:lastPrinted>2026-06-05T18:06:00Z</cp:lastPrinted>
  <dcterms:modified xsi:type="dcterms:W3CDTF">2026-09-29T13:11:47Z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932AE84EDF3C4D368B87D79F9C9E3955_13</vt:lpwstr>
  </property>
  <property fmtid="{D5CDD505-2E9C-101B-9397-08002B2CF9AE}" pid="4" name="KSOTemplateDocerSaveRecord">
    <vt:lpwstr>eyJoZGlkIjoiYWI4N2QyNjY1MzVhMTUwMzhlYmQzMDIzZTQwMTgwYWMiLCJ1c2VySWQiOiI1MjkyODQ2MTcifQ==</vt:lpwstr>
  </property>
</Properties>
</file>