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4D52B3">
      <w:pPr>
        <w:spacing w:line="360" w:lineRule="auto"/>
        <w:ind w:firstLine="160" w:firstLineChars="50"/>
        <w:rPr>
          <w:rFonts w:hint="eastAsia" w:ascii="宋体" w:hAnsi="宋体" w:cs="CESI黑体-GB2312"/>
          <w:color w:val="auto"/>
          <w:sz w:val="32"/>
          <w:szCs w:val="32"/>
        </w:rPr>
      </w:pPr>
    </w:p>
    <w:p w14:paraId="426A670F">
      <w:pPr>
        <w:spacing w:line="360" w:lineRule="auto"/>
        <w:ind w:firstLine="300" w:firstLineChars="50"/>
        <w:rPr>
          <w:rFonts w:hint="eastAsia" w:ascii="宋体" w:hAnsi="宋体"/>
          <w:color w:val="auto"/>
          <w:sz w:val="60"/>
          <w:szCs w:val="60"/>
        </w:rPr>
      </w:pPr>
    </w:p>
    <w:p w14:paraId="07006F9D">
      <w:pPr>
        <w:spacing w:line="360" w:lineRule="auto"/>
        <w:ind w:firstLine="300" w:firstLineChars="50"/>
        <w:rPr>
          <w:rFonts w:hint="eastAsia" w:ascii="宋体" w:hAnsi="宋体"/>
          <w:color w:val="auto"/>
          <w:sz w:val="60"/>
          <w:szCs w:val="60"/>
        </w:rPr>
      </w:pPr>
    </w:p>
    <w:p w14:paraId="36C68040">
      <w:pPr>
        <w:jc w:val="center"/>
        <w:rPr>
          <w:rFonts w:hint="eastAsia" w:ascii="宋体" w:hAnsi="宋体"/>
          <w:b/>
          <w:bCs/>
          <w:color w:val="auto"/>
          <w:sz w:val="60"/>
          <w:szCs w:val="60"/>
        </w:rPr>
      </w:pPr>
      <w:r>
        <w:rPr>
          <w:rFonts w:ascii="宋体" w:hAnsi="宋体"/>
          <w:b/>
          <w:bCs/>
          <w:color w:val="auto"/>
          <w:sz w:val="60"/>
          <w:szCs w:val="60"/>
        </w:rPr>
        <w:t>北京市政府采购项目</w:t>
      </w:r>
    </w:p>
    <w:p w14:paraId="7832E326">
      <w:pPr>
        <w:jc w:val="center"/>
        <w:rPr>
          <w:rFonts w:hint="eastAsia" w:ascii="宋体" w:hAnsi="宋体"/>
          <w:b/>
          <w:bCs/>
          <w:color w:val="auto"/>
          <w:sz w:val="60"/>
          <w:szCs w:val="60"/>
        </w:rPr>
      </w:pPr>
      <w:r>
        <w:rPr>
          <w:rFonts w:ascii="宋体" w:hAnsi="宋体"/>
          <w:b/>
          <w:bCs/>
          <w:color w:val="auto"/>
          <w:sz w:val="60"/>
          <w:szCs w:val="60"/>
        </w:rPr>
        <w:t>竞争性磋商文件示范文本</w:t>
      </w:r>
    </w:p>
    <w:p w14:paraId="53412915">
      <w:pPr>
        <w:jc w:val="center"/>
        <w:rPr>
          <w:rFonts w:hint="eastAsia" w:ascii="宋体" w:hAnsi="宋体"/>
          <w:b/>
          <w:bCs/>
          <w:color w:val="auto"/>
          <w:sz w:val="60"/>
          <w:szCs w:val="60"/>
        </w:rPr>
      </w:pPr>
      <w:r>
        <w:rPr>
          <w:rFonts w:hint="eastAsia" w:ascii="宋体" w:hAnsi="宋体"/>
          <w:b/>
          <w:bCs/>
          <w:color w:val="auto"/>
          <w:sz w:val="60"/>
          <w:szCs w:val="60"/>
        </w:rPr>
        <w:t>（2024年版）</w:t>
      </w:r>
    </w:p>
    <w:p w14:paraId="05D1E346">
      <w:pPr>
        <w:spacing w:line="360" w:lineRule="auto"/>
        <w:jc w:val="center"/>
        <w:rPr>
          <w:rFonts w:hint="eastAsia" w:ascii="宋体" w:hAnsi="宋体"/>
          <w:b/>
          <w:bCs/>
          <w:color w:val="auto"/>
          <w:sz w:val="60"/>
          <w:szCs w:val="60"/>
        </w:rPr>
      </w:pPr>
    </w:p>
    <w:p w14:paraId="6008A355">
      <w:pPr>
        <w:spacing w:line="360" w:lineRule="auto"/>
        <w:jc w:val="center"/>
        <w:rPr>
          <w:rFonts w:hint="eastAsia" w:ascii="宋体" w:hAnsi="宋体"/>
          <w:b/>
          <w:bCs/>
          <w:color w:val="auto"/>
          <w:sz w:val="60"/>
          <w:szCs w:val="60"/>
        </w:rPr>
      </w:pPr>
    </w:p>
    <w:p w14:paraId="466EE8D8">
      <w:pPr>
        <w:spacing w:line="360" w:lineRule="auto"/>
        <w:jc w:val="center"/>
        <w:rPr>
          <w:rFonts w:hint="eastAsia" w:ascii="宋体" w:hAnsi="宋体"/>
          <w:b/>
          <w:bCs/>
          <w:color w:val="auto"/>
          <w:sz w:val="60"/>
          <w:szCs w:val="60"/>
        </w:rPr>
      </w:pPr>
    </w:p>
    <w:p w14:paraId="27E76EB4">
      <w:pPr>
        <w:spacing w:line="360" w:lineRule="auto"/>
        <w:jc w:val="center"/>
        <w:rPr>
          <w:rFonts w:hint="eastAsia" w:ascii="宋体" w:hAnsi="宋体"/>
          <w:b/>
          <w:bCs/>
          <w:color w:val="auto"/>
          <w:sz w:val="60"/>
          <w:szCs w:val="60"/>
        </w:rPr>
      </w:pPr>
    </w:p>
    <w:p w14:paraId="748EA6C2">
      <w:pPr>
        <w:tabs>
          <w:tab w:val="left" w:pos="5609"/>
        </w:tabs>
        <w:spacing w:line="360" w:lineRule="auto"/>
        <w:ind w:left="2403" w:leftChars="442" w:right="651" w:rightChars="310" w:hanging="1475" w:hangingChars="461"/>
        <w:jc w:val="left"/>
        <w:rPr>
          <w:rFonts w:hint="eastAsia" w:ascii="宋体" w:hAnsi="宋体" w:eastAsia="宋体"/>
          <w:bCs/>
          <w:color w:val="auto"/>
          <w:sz w:val="32"/>
          <w:szCs w:val="32"/>
          <w:lang w:eastAsia="zh-CN"/>
        </w:rPr>
      </w:pPr>
      <w:r>
        <w:rPr>
          <w:rFonts w:ascii="宋体" w:hAnsi="宋体"/>
          <w:bCs/>
          <w:color w:val="auto"/>
          <w:sz w:val="32"/>
          <w:szCs w:val="32"/>
        </w:rPr>
        <w:t>项目名称：</w:t>
      </w:r>
      <w:r>
        <w:rPr>
          <w:rFonts w:hint="eastAsia" w:ascii="宋体" w:hAnsi="宋体"/>
          <w:bCs/>
          <w:color w:val="auto"/>
          <w:sz w:val="32"/>
          <w:szCs w:val="32"/>
          <w:lang w:eastAsia="zh-CN"/>
        </w:rPr>
        <w:t>2026年拆违任务</w:t>
      </w:r>
    </w:p>
    <w:p w14:paraId="6A05FF13">
      <w:pPr>
        <w:tabs>
          <w:tab w:val="left" w:pos="5609"/>
        </w:tabs>
        <w:spacing w:line="360" w:lineRule="auto"/>
        <w:ind w:left="2621" w:leftChars="444" w:right="368" w:rightChars="175" w:hanging="1689" w:hangingChars="528"/>
        <w:jc w:val="left"/>
        <w:rPr>
          <w:rFonts w:hint="default" w:ascii="宋体" w:hAnsi="宋体" w:eastAsia="宋体"/>
          <w:color w:val="auto"/>
          <w:sz w:val="24"/>
          <w:lang w:val="en-US" w:eastAsia="zh-CN"/>
        </w:rPr>
      </w:pPr>
      <w:r>
        <w:rPr>
          <w:rFonts w:ascii="宋体" w:hAnsi="宋体"/>
          <w:bCs/>
          <w:color w:val="auto"/>
          <w:sz w:val="32"/>
          <w:szCs w:val="32"/>
        </w:rPr>
        <w:t>项目编</w:t>
      </w:r>
      <w:r>
        <w:rPr>
          <w:rFonts w:hint="eastAsia" w:ascii="宋体" w:hAnsi="宋体"/>
          <w:bCs/>
          <w:color w:val="auto"/>
          <w:sz w:val="32"/>
          <w:szCs w:val="32"/>
        </w:rPr>
        <w:t>号/包号：</w:t>
      </w:r>
      <w:bookmarkStart w:id="0" w:name="OLE_LINK45"/>
      <w:r>
        <w:rPr>
          <w:rFonts w:hint="eastAsia" w:ascii="宋体" w:hAnsi="宋体"/>
          <w:bCs/>
          <w:color w:val="auto"/>
          <w:sz w:val="32"/>
          <w:szCs w:val="32"/>
        </w:rPr>
        <w:t>11011226210200019966-XM001</w:t>
      </w:r>
      <w:r>
        <w:rPr>
          <w:rFonts w:hint="eastAsia" w:ascii="宋体" w:hAnsi="宋体"/>
          <w:bCs/>
          <w:color w:val="auto"/>
          <w:sz w:val="32"/>
          <w:szCs w:val="32"/>
          <w:lang w:val="en-US" w:eastAsia="zh-CN"/>
        </w:rPr>
        <w:t>/01</w:t>
      </w:r>
    </w:p>
    <w:bookmarkEnd w:id="0"/>
    <w:p w14:paraId="67FFD5A4">
      <w:pPr>
        <w:tabs>
          <w:tab w:val="left" w:pos="5609"/>
        </w:tabs>
        <w:spacing w:line="360" w:lineRule="auto"/>
        <w:ind w:left="2558" w:leftChars="444" w:right="708" w:rightChars="337" w:hanging="1626" w:hangingChars="528"/>
        <w:jc w:val="left"/>
        <w:rPr>
          <w:rFonts w:hint="eastAsia" w:ascii="宋体" w:hAnsi="宋体"/>
          <w:bCs/>
          <w:color w:val="auto"/>
          <w:spacing w:val="-6"/>
          <w:sz w:val="32"/>
          <w:szCs w:val="32"/>
        </w:rPr>
      </w:pPr>
      <w:r>
        <w:rPr>
          <w:rFonts w:ascii="宋体" w:hAnsi="宋体"/>
          <w:bCs/>
          <w:color w:val="auto"/>
          <w:spacing w:val="-6"/>
          <w:sz w:val="32"/>
          <w:szCs w:val="32"/>
        </w:rPr>
        <w:t>采 购 人：</w:t>
      </w:r>
      <w:bookmarkStart w:id="1" w:name="OLE_LINK25"/>
      <w:r>
        <w:rPr>
          <w:rFonts w:hint="eastAsia" w:ascii="宋体" w:hAnsi="宋体"/>
          <w:bCs/>
          <w:color w:val="auto"/>
          <w:spacing w:val="-6"/>
          <w:sz w:val="32"/>
          <w:szCs w:val="32"/>
        </w:rPr>
        <w:t>北京市通州区永顺镇人民政府</w:t>
      </w:r>
    </w:p>
    <w:bookmarkEnd w:id="1"/>
    <w:p w14:paraId="5CB3E438">
      <w:pPr>
        <w:tabs>
          <w:tab w:val="left" w:pos="5609"/>
        </w:tabs>
        <w:spacing w:line="360" w:lineRule="auto"/>
        <w:ind w:left="2621" w:leftChars="444" w:right="708" w:rightChars="337" w:hanging="1689" w:hangingChars="528"/>
        <w:jc w:val="left"/>
        <w:rPr>
          <w:rFonts w:hint="eastAsia" w:ascii="宋体" w:hAnsi="宋体"/>
          <w:bCs/>
          <w:color w:val="auto"/>
          <w:sz w:val="32"/>
          <w:szCs w:val="32"/>
        </w:rPr>
      </w:pPr>
      <w:r>
        <w:rPr>
          <w:rFonts w:hint="eastAsia" w:ascii="宋体" w:hAnsi="宋体"/>
          <w:bCs/>
          <w:color w:val="auto"/>
          <w:sz w:val="32"/>
          <w:szCs w:val="32"/>
        </w:rPr>
        <w:t>采购</w:t>
      </w:r>
      <w:r>
        <w:rPr>
          <w:rFonts w:ascii="宋体" w:hAnsi="宋体"/>
          <w:bCs/>
          <w:color w:val="auto"/>
          <w:sz w:val="32"/>
          <w:szCs w:val="32"/>
        </w:rPr>
        <w:t>代理机构：</w:t>
      </w:r>
      <w:r>
        <w:rPr>
          <w:rFonts w:hint="eastAsia" w:ascii="宋体" w:hAnsi="宋体"/>
          <w:bCs/>
          <w:color w:val="auto"/>
          <w:sz w:val="32"/>
          <w:szCs w:val="32"/>
        </w:rPr>
        <w:t>北京博睿丰工程咨询有限公司</w:t>
      </w:r>
    </w:p>
    <w:p w14:paraId="7C472AE8">
      <w:pPr>
        <w:widowControl/>
        <w:jc w:val="left"/>
        <w:rPr>
          <w:rFonts w:hint="eastAsia" w:ascii="宋体" w:hAnsi="宋体"/>
          <w:color w:val="auto"/>
          <w:kern w:val="0"/>
          <w:sz w:val="24"/>
        </w:rPr>
      </w:pPr>
      <w:r>
        <w:rPr>
          <w:rFonts w:ascii="宋体" w:hAnsi="宋体"/>
          <w:b/>
          <w:bCs/>
          <w:color w:val="auto"/>
          <w:sz w:val="44"/>
        </w:rPr>
        <w:br w:type="page"/>
      </w:r>
    </w:p>
    <w:p w14:paraId="5145FC11">
      <w:pPr>
        <w:pStyle w:val="196"/>
        <w:spacing w:line="360" w:lineRule="auto"/>
        <w:rPr>
          <w:rFonts w:hint="eastAsia" w:ascii="宋体" w:hAnsi="宋体" w:cs="Times New Roman"/>
          <w:color w:val="auto"/>
        </w:rPr>
      </w:pPr>
    </w:p>
    <w:p w14:paraId="04E406B3">
      <w:pPr>
        <w:spacing w:line="360" w:lineRule="auto"/>
        <w:jc w:val="center"/>
        <w:outlineLvl w:val="0"/>
        <w:rPr>
          <w:rFonts w:hint="eastAsia" w:ascii="宋体" w:hAnsi="宋体"/>
          <w:b/>
          <w:color w:val="auto"/>
          <w:sz w:val="44"/>
          <w:szCs w:val="44"/>
        </w:rPr>
      </w:pPr>
      <w:bookmarkStart w:id="2" w:name="_Toc29477"/>
      <w:bookmarkStart w:id="3" w:name="_Toc22204"/>
      <w:bookmarkStart w:id="4" w:name="_Toc148453431"/>
      <w:bookmarkStart w:id="5" w:name="_Toc217651273"/>
      <w:bookmarkStart w:id="6" w:name="_Toc170718520"/>
      <w:bookmarkStart w:id="7" w:name="_Toc104476748"/>
      <w:r>
        <w:rPr>
          <w:rFonts w:hint="eastAsia" w:ascii="宋体" w:hAnsi="宋体"/>
          <w:b/>
          <w:color w:val="auto"/>
          <w:sz w:val="44"/>
          <w:szCs w:val="44"/>
        </w:rPr>
        <w:t>目</w:t>
      </w:r>
      <w:r>
        <w:rPr>
          <w:rFonts w:ascii="宋体" w:hAnsi="宋体"/>
          <w:b/>
          <w:color w:val="auto"/>
          <w:sz w:val="44"/>
          <w:szCs w:val="44"/>
        </w:rPr>
        <w:t xml:space="preserve">   </w:t>
      </w:r>
      <w:r>
        <w:rPr>
          <w:rFonts w:hint="eastAsia" w:ascii="宋体" w:hAnsi="宋体"/>
          <w:b/>
          <w:color w:val="auto"/>
          <w:sz w:val="44"/>
          <w:szCs w:val="44"/>
        </w:rPr>
        <w:t>录</w:t>
      </w:r>
      <w:bookmarkEnd w:id="2"/>
      <w:bookmarkEnd w:id="3"/>
      <w:bookmarkEnd w:id="4"/>
      <w:bookmarkEnd w:id="5"/>
      <w:bookmarkEnd w:id="6"/>
      <w:bookmarkEnd w:id="7"/>
    </w:p>
    <w:p w14:paraId="4013DA14">
      <w:pPr>
        <w:pStyle w:val="36"/>
        <w:rPr>
          <w:rFonts w:hint="eastAsia" w:asciiTheme="minorHAnsi" w:hAnsiTheme="minorHAnsi" w:eastAsiaTheme="minorEastAsia" w:cstheme="minorBidi"/>
          <w:b w:val="0"/>
          <w:color w:val="auto"/>
          <w:sz w:val="22"/>
          <w14:ligatures w14:val="standardContextual"/>
        </w:rPr>
      </w:pPr>
      <w:r>
        <w:rPr>
          <w:b w:val="0"/>
          <w:color w:val="auto"/>
        </w:rPr>
        <w:fldChar w:fldCharType="begin"/>
      </w:r>
      <w:r>
        <w:rPr>
          <w:b w:val="0"/>
          <w:color w:val="auto"/>
        </w:rPr>
        <w:instrText xml:space="preserve"> TOC \o "1-1" \h \z \u </w:instrText>
      </w:r>
      <w:r>
        <w:rPr>
          <w:b w:val="0"/>
          <w:color w:val="auto"/>
        </w:rPr>
        <w:fldChar w:fldCharType="separate"/>
      </w:r>
      <w:r>
        <w:rPr>
          <w:color w:val="auto"/>
        </w:rPr>
        <w:fldChar w:fldCharType="begin"/>
      </w:r>
      <w:r>
        <w:rPr>
          <w:color w:val="auto"/>
        </w:rPr>
        <w:instrText xml:space="preserve"> HYPERLINK \l "_Toc217651273" </w:instrText>
      </w:r>
      <w:r>
        <w:rPr>
          <w:rFonts w:hint="eastAsia"/>
          <w:color w:val="auto"/>
        </w:rPr>
        <w:fldChar w:fldCharType="separate"/>
      </w:r>
      <w:r>
        <w:rPr>
          <w:color w:val="auto"/>
        </w:rPr>
        <w:fldChar w:fldCharType="end"/>
      </w:r>
    </w:p>
    <w:p w14:paraId="54A1FA2B">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"_Toc217651274" </w:instrText>
      </w:r>
      <w:r>
        <w:rPr>
          <w:rFonts w:hint="eastAsia"/>
          <w:color w:val="auto"/>
        </w:rPr>
        <w:fldChar w:fldCharType="separate"/>
      </w:r>
      <w:r>
        <w:rPr>
          <w:rStyle w:val="63"/>
          <w:rFonts w:hint="eastAsia"/>
          <w:color w:val="auto"/>
        </w:rPr>
        <w:t>第一章   采购邀请</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_Toc217651274 \h</w:instrText>
      </w:r>
      <w:r>
        <w:rPr>
          <w:rFonts w:hint="eastAsia"/>
          <w:color w:val="auto"/>
        </w:rPr>
        <w:instrText xml:space="preserve"> </w:instrText>
      </w:r>
      <w:r>
        <w:rPr>
          <w:rFonts w:hint="eastAsia"/>
          <w:color w:val="auto"/>
        </w:rPr>
        <w:fldChar w:fldCharType="separate"/>
      </w:r>
      <w:r>
        <w:rPr>
          <w:color w:val="auto"/>
        </w:rPr>
        <w:t>1</w:t>
      </w:r>
      <w:r>
        <w:rPr>
          <w:rFonts w:hint="eastAsia"/>
          <w:color w:val="auto"/>
        </w:rPr>
        <w:fldChar w:fldCharType="end"/>
      </w:r>
      <w:r>
        <w:rPr>
          <w:rFonts w:hint="eastAsia"/>
          <w:color w:val="auto"/>
        </w:rPr>
        <w:fldChar w:fldCharType="end"/>
      </w:r>
    </w:p>
    <w:p w14:paraId="650739B5">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"_Toc217651275" </w:instrText>
      </w:r>
      <w:r>
        <w:rPr>
          <w:rFonts w:hint="eastAsia"/>
          <w:color w:val="auto"/>
        </w:rPr>
        <w:fldChar w:fldCharType="separate"/>
      </w:r>
      <w:r>
        <w:rPr>
          <w:rStyle w:val="63"/>
          <w:rFonts w:hint="eastAsia"/>
          <w:color w:val="auto"/>
        </w:rPr>
        <w:t>第二章   供应商须知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_Toc217651275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613DB8C8">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"_Toc217651276" </w:instrText>
      </w:r>
      <w:r>
        <w:rPr>
          <w:rFonts w:hint="eastAsia"/>
          <w:color w:val="auto"/>
        </w:rPr>
        <w:fldChar w:fldCharType="separate"/>
      </w:r>
      <w:r>
        <w:rPr>
          <w:rStyle w:val="63"/>
          <w:rFonts w:hint="eastAsia"/>
          <w:color w:val="auto"/>
        </w:rPr>
        <w:t>第三章   评审方法和评审标准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_Toc217651276 \h</w:instrText>
      </w:r>
      <w:r>
        <w:rPr>
          <w:rFonts w:hint="eastAsia"/>
          <w:color w:val="auto"/>
        </w:rPr>
        <w:instrText xml:space="preserve"> </w:instrText>
      </w:r>
      <w:r>
        <w:rPr>
          <w:rFonts w:hint="eastAsia"/>
          <w:color w:val="auto"/>
        </w:rPr>
        <w:fldChar w:fldCharType="separate"/>
      </w:r>
      <w:r>
        <w:rPr>
          <w:color w:val="auto"/>
        </w:rPr>
        <w:t>23</w:t>
      </w:r>
      <w:r>
        <w:rPr>
          <w:rFonts w:hint="eastAsia"/>
          <w:color w:val="auto"/>
        </w:rPr>
        <w:fldChar w:fldCharType="end"/>
      </w:r>
      <w:r>
        <w:rPr>
          <w:rFonts w:hint="eastAsia"/>
          <w:color w:val="auto"/>
        </w:rPr>
        <w:fldChar w:fldCharType="end"/>
      </w:r>
    </w:p>
    <w:p w14:paraId="17E6BD4E">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"_Toc217651277" </w:instrText>
      </w:r>
      <w:r>
        <w:rPr>
          <w:rFonts w:hint="eastAsia"/>
          <w:color w:val="auto"/>
        </w:rPr>
        <w:fldChar w:fldCharType="separate"/>
      </w:r>
      <w:r>
        <w:rPr>
          <w:rStyle w:val="63"/>
          <w:rFonts w:hint="eastAsia"/>
          <w:color w:val="auto"/>
        </w:rPr>
        <w:t>第四章   采购需求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_Toc217651277 \h</w:instrText>
      </w:r>
      <w:r>
        <w:rPr>
          <w:rFonts w:hint="eastAsia"/>
          <w:color w:val="auto"/>
        </w:rPr>
        <w:instrText xml:space="preserve"> </w:instrText>
      </w:r>
      <w:r>
        <w:rPr>
          <w:rFonts w:hint="eastAsia"/>
          <w:color w:val="auto"/>
        </w:rPr>
        <w:fldChar w:fldCharType="separate"/>
      </w:r>
      <w:r>
        <w:rPr>
          <w:color w:val="auto"/>
        </w:rPr>
        <w:t>34</w:t>
      </w:r>
      <w:r>
        <w:rPr>
          <w:rFonts w:hint="eastAsia"/>
          <w:color w:val="auto"/>
        </w:rPr>
        <w:fldChar w:fldCharType="end"/>
      </w:r>
      <w:r>
        <w:rPr>
          <w:rFonts w:hint="eastAsia"/>
          <w:color w:val="auto"/>
        </w:rPr>
        <w:fldChar w:fldCharType="end"/>
      </w:r>
    </w:p>
    <w:p w14:paraId="00B2AA1A">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"_Toc217651278" </w:instrText>
      </w:r>
      <w:r>
        <w:rPr>
          <w:rFonts w:hint="eastAsia"/>
          <w:color w:val="auto"/>
        </w:rPr>
        <w:fldChar w:fldCharType="separate"/>
      </w:r>
      <w:r>
        <w:rPr>
          <w:rStyle w:val="63"/>
          <w:rFonts w:hint="eastAsia"/>
          <w:color w:val="auto"/>
        </w:rPr>
        <w:t>第五章   合同草案条款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_Toc217651278 \h</w:instrText>
      </w:r>
      <w:r>
        <w:rPr>
          <w:rFonts w:hint="eastAsia"/>
          <w:color w:val="auto"/>
        </w:rPr>
        <w:instrText xml:space="preserve"> </w:instrText>
      </w:r>
      <w:r>
        <w:rPr>
          <w:rFonts w:hint="eastAsia"/>
          <w:color w:val="auto"/>
        </w:rPr>
        <w:fldChar w:fldCharType="separate"/>
      </w:r>
      <w:r>
        <w:rPr>
          <w:color w:val="auto"/>
        </w:rPr>
        <w:t>39</w:t>
      </w:r>
      <w:r>
        <w:rPr>
          <w:rFonts w:hint="eastAsia"/>
          <w:color w:val="auto"/>
        </w:rPr>
        <w:fldChar w:fldCharType="end"/>
      </w:r>
      <w:r>
        <w:rPr>
          <w:rFonts w:hint="eastAsia"/>
          <w:color w:val="auto"/>
        </w:rPr>
        <w:fldChar w:fldCharType="end"/>
      </w:r>
    </w:p>
    <w:p w14:paraId="6134456A">
      <w:pPr>
        <w:pStyle w:val="36"/>
        <w:rPr>
          <w:rFonts w:hint="eastAsia" w:asciiTheme="minorHAnsi" w:hAnsiTheme="minorHAnsi" w:eastAsiaTheme="minorEastAsia" w:cstheme="minorBidi"/>
          <w:b w:val="0"/>
          <w:color w:val="auto"/>
          <w:sz w:val="22"/>
          <w14:ligatures w14:val="standardContextual"/>
        </w:rPr>
      </w:pPr>
      <w:r>
        <w:rPr>
          <w:rFonts w:hint="eastAsia"/>
          <w:color w:val="auto"/>
        </w:rPr>
        <w:fldChar w:fldCharType="begin"/>
      </w:r>
      <w:r>
        <w:rPr>
          <w:color w:val="auto"/>
        </w:rPr>
        <w:instrText xml:space="preserve"> HYPERLINK \l "_Toc217651283" </w:instrText>
      </w:r>
      <w:r>
        <w:rPr>
          <w:rFonts w:hint="eastAsia"/>
          <w:color w:val="auto"/>
        </w:rPr>
        <w:fldChar w:fldCharType="separate"/>
      </w:r>
      <w:r>
        <w:rPr>
          <w:rStyle w:val="63"/>
          <w:rFonts w:hint="eastAsia"/>
          <w:color w:val="auto"/>
        </w:rPr>
        <w:t>第六章   响应文件格式</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_Toc217651283 \h</w:instrText>
      </w:r>
      <w:r>
        <w:rPr>
          <w:rFonts w:hint="eastAsia"/>
          <w:color w:val="auto"/>
        </w:rPr>
        <w:instrText xml:space="preserve"> </w:instrText>
      </w:r>
      <w:r>
        <w:rPr>
          <w:rFonts w:hint="eastAsia"/>
          <w:color w:val="auto"/>
        </w:rPr>
        <w:fldChar w:fldCharType="separate"/>
      </w:r>
      <w:r>
        <w:rPr>
          <w:color w:val="auto"/>
        </w:rPr>
        <w:t>47</w:t>
      </w:r>
      <w:r>
        <w:rPr>
          <w:rFonts w:hint="eastAsia"/>
          <w:color w:val="auto"/>
        </w:rPr>
        <w:fldChar w:fldCharType="end"/>
      </w:r>
      <w:r>
        <w:rPr>
          <w:rFonts w:hint="eastAsia"/>
          <w:color w:val="auto"/>
        </w:rPr>
        <w:fldChar w:fldCharType="end"/>
      </w:r>
    </w:p>
    <w:p w14:paraId="39251924">
      <w:pPr>
        <w:pStyle w:val="36"/>
        <w:spacing w:line="360" w:lineRule="auto"/>
        <w:rPr>
          <w:rFonts w:hint="eastAsia"/>
          <w:b w:val="0"/>
          <w:color w:val="auto"/>
        </w:rPr>
      </w:pPr>
      <w:r>
        <w:rPr>
          <w:color w:val="auto"/>
        </w:rPr>
        <w:fldChar w:fldCharType="end"/>
      </w:r>
    </w:p>
    <w:p w14:paraId="5F4253D7">
      <w:pPr>
        <w:spacing w:line="360" w:lineRule="auto"/>
        <w:ind w:left="424" w:hanging="424" w:hangingChars="202"/>
        <w:rPr>
          <w:color w:val="auto"/>
        </w:rPr>
      </w:pPr>
      <w:r>
        <w:rPr>
          <w:rFonts w:hint="eastAsia"/>
          <w:color w:val="auto"/>
        </w:rPr>
        <w:t>注：采购文件条款中以 “■”形式标记的内容适用于本项目，以“□”形式标记的内容不适用于本项目。</w:t>
      </w:r>
    </w:p>
    <w:p w14:paraId="0E97502D">
      <w:pPr>
        <w:spacing w:line="360" w:lineRule="auto"/>
        <w:jc w:val="center"/>
        <w:outlineLvl w:val="0"/>
        <w:rPr>
          <w:rFonts w:hint="eastAsia" w:ascii="宋体" w:hAnsi="宋体"/>
          <w:b/>
          <w:color w:val="auto"/>
          <w:sz w:val="36"/>
          <w:szCs w:val="36"/>
        </w:rPr>
        <w:sectPr>
          <w:headerReference r:id="rId4" w:type="first"/>
          <w:footerReference r:id="rId7" w:type="first"/>
          <w:headerReference r:id="rId3" w:type="default"/>
          <w:footerReference r:id="rId5" w:type="default"/>
          <w:footerReference r:id="rId6" w:type="even"/>
          <w:type w:val="nextColumn"/>
          <w:pgSz w:w="11907" w:h="16840"/>
          <w:pgMar w:top="1440" w:right="1701" w:bottom="1440" w:left="1560" w:header="851" w:footer="851" w:gutter="0"/>
          <w:pgNumType w:start="1"/>
          <w:cols w:space="720" w:num="1"/>
          <w:titlePg/>
          <w:docGrid w:linePitch="462" w:charSpace="0"/>
        </w:sectPr>
      </w:pPr>
    </w:p>
    <w:p w14:paraId="5DEB857E">
      <w:pPr>
        <w:spacing w:line="360" w:lineRule="auto"/>
        <w:jc w:val="center"/>
        <w:outlineLvl w:val="0"/>
        <w:rPr>
          <w:rFonts w:hint="eastAsia" w:ascii="宋体" w:hAnsi="宋体"/>
          <w:b/>
          <w:color w:val="auto"/>
          <w:sz w:val="36"/>
          <w:szCs w:val="36"/>
        </w:rPr>
      </w:pPr>
      <w:bookmarkStart w:id="8" w:name="_Toc217651274"/>
      <w:r>
        <w:rPr>
          <w:rFonts w:ascii="宋体" w:hAnsi="宋体"/>
          <w:b/>
          <w:color w:val="auto"/>
          <w:sz w:val="36"/>
          <w:szCs w:val="36"/>
        </w:rPr>
        <w:t xml:space="preserve">第一章   </w:t>
      </w:r>
      <w:bookmarkStart w:id="9" w:name="_Hlk105077144"/>
      <w:r>
        <w:rPr>
          <w:rFonts w:ascii="宋体" w:hAnsi="宋体"/>
          <w:b/>
          <w:color w:val="auto"/>
          <w:sz w:val="36"/>
          <w:szCs w:val="36"/>
        </w:rPr>
        <w:t>采购邀请</w:t>
      </w:r>
      <w:bookmarkEnd w:id="8"/>
      <w:bookmarkStart w:id="10" w:name="_Toc28359079"/>
      <w:bookmarkStart w:id="11" w:name="_Toc28359002"/>
      <w:bookmarkStart w:id="12" w:name="_Toc35393790"/>
      <w:bookmarkStart w:id="13" w:name="_Toc35393621"/>
      <w:bookmarkStart w:id="14" w:name="_Hlk24379207"/>
    </w:p>
    <w:p w14:paraId="2F6D26FD">
      <w:pPr>
        <w:pStyle w:val="3"/>
        <w:spacing w:before="0" w:line="360" w:lineRule="auto"/>
        <w:jc w:val="left"/>
        <w:rPr>
          <w:rFonts w:hint="eastAsia" w:ascii="宋体" w:hAnsi="宋体" w:eastAsia="宋体"/>
          <w:color w:val="auto"/>
          <w:sz w:val="24"/>
          <w:szCs w:val="24"/>
        </w:rPr>
      </w:pPr>
      <w:bookmarkStart w:id="15" w:name="OLE_LINK46"/>
      <w:r>
        <w:rPr>
          <w:rFonts w:ascii="宋体" w:hAnsi="宋体" w:eastAsia="宋体"/>
          <w:color w:val="auto"/>
          <w:sz w:val="24"/>
          <w:szCs w:val="24"/>
        </w:rPr>
        <w:t>一、项目基本情况</w:t>
      </w:r>
      <w:bookmarkEnd w:id="10"/>
      <w:bookmarkEnd w:id="11"/>
      <w:bookmarkEnd w:id="12"/>
      <w:bookmarkEnd w:id="13"/>
    </w:p>
    <w:p w14:paraId="097D8730">
      <w:pPr>
        <w:spacing w:line="360" w:lineRule="auto"/>
        <w:ind w:firstLine="480" w:firstLineChars="200"/>
        <w:rPr>
          <w:rFonts w:hint="eastAsia" w:ascii="宋体" w:hAnsi="宋体"/>
          <w:color w:val="auto"/>
          <w:sz w:val="24"/>
        </w:rPr>
      </w:pPr>
      <w:r>
        <w:rPr>
          <w:rFonts w:ascii="宋体" w:hAnsi="宋体"/>
          <w:color w:val="auto"/>
          <w:sz w:val="24"/>
        </w:rPr>
        <w:t>1.项目编号：</w:t>
      </w:r>
      <w:r>
        <w:rPr>
          <w:rFonts w:hint="eastAsia" w:ascii="宋体" w:hAnsi="宋体"/>
          <w:color w:val="auto"/>
          <w:sz w:val="24"/>
        </w:rPr>
        <w:t>11011226210200019966-XM001</w:t>
      </w:r>
    </w:p>
    <w:p w14:paraId="2FB7F6A8">
      <w:pPr>
        <w:spacing w:line="360" w:lineRule="auto"/>
        <w:ind w:firstLine="480" w:firstLineChars="200"/>
        <w:rPr>
          <w:rFonts w:hint="eastAsia" w:ascii="宋体" w:hAnsi="宋体" w:eastAsia="宋体"/>
          <w:color w:val="auto"/>
          <w:sz w:val="24"/>
          <w:lang w:eastAsia="zh-CN"/>
        </w:rPr>
      </w:pPr>
      <w:r>
        <w:rPr>
          <w:rFonts w:ascii="宋体" w:hAnsi="宋体"/>
          <w:color w:val="auto"/>
          <w:sz w:val="24"/>
        </w:rPr>
        <w:t>2.项目名称：</w:t>
      </w:r>
      <w:r>
        <w:rPr>
          <w:rFonts w:hint="eastAsia" w:ascii="宋体" w:hAnsi="宋体"/>
          <w:color w:val="auto"/>
          <w:sz w:val="24"/>
          <w:lang w:eastAsia="zh-CN"/>
        </w:rPr>
        <w:t>2026年拆违任务</w:t>
      </w:r>
    </w:p>
    <w:p w14:paraId="3F7E6A0A">
      <w:pPr>
        <w:spacing w:line="360" w:lineRule="auto"/>
        <w:ind w:firstLine="480" w:firstLineChars="200"/>
        <w:rPr>
          <w:rFonts w:hint="eastAsia" w:ascii="宋体" w:hAnsi="宋体"/>
          <w:color w:val="auto"/>
          <w:sz w:val="24"/>
        </w:rPr>
      </w:pPr>
      <w:r>
        <w:rPr>
          <w:rFonts w:ascii="宋体" w:hAnsi="宋体"/>
          <w:color w:val="auto"/>
          <w:sz w:val="24"/>
        </w:rPr>
        <w:t>3.采购方式：竞争性磋商</w:t>
      </w:r>
    </w:p>
    <w:bookmarkEnd w:id="14"/>
    <w:p w14:paraId="6FB6E7C2">
      <w:pPr>
        <w:spacing w:line="360" w:lineRule="auto"/>
        <w:ind w:firstLine="480" w:firstLineChars="200"/>
        <w:rPr>
          <w:rFonts w:hint="eastAsia" w:ascii="宋体" w:hAnsi="宋体" w:eastAsia="宋体"/>
          <w:color w:val="auto"/>
          <w:sz w:val="24"/>
          <w:lang w:eastAsia="zh-CN"/>
        </w:rPr>
      </w:pPr>
      <w:r>
        <w:rPr>
          <w:rFonts w:ascii="宋体" w:hAnsi="宋体"/>
          <w:color w:val="auto"/>
          <w:sz w:val="24"/>
        </w:rPr>
        <w:t>4.项目预算金额</w:t>
      </w:r>
      <w:r>
        <w:rPr>
          <w:rFonts w:hint="eastAsia" w:ascii="宋体" w:hAnsi="宋体"/>
          <w:bCs/>
          <w:color w:val="auto"/>
          <w:sz w:val="24"/>
        </w:rPr>
        <w:t>：</w:t>
      </w:r>
      <w:r>
        <w:rPr>
          <w:rFonts w:hint="eastAsia" w:ascii="宋体" w:hAnsi="宋体"/>
          <w:bCs/>
          <w:color w:val="auto"/>
          <w:sz w:val="24"/>
          <w:u w:val="single"/>
          <w:lang w:val="en-US" w:eastAsia="zh-CN"/>
        </w:rPr>
        <w:t>349.968039</w:t>
      </w:r>
      <w:r>
        <w:rPr>
          <w:rFonts w:hint="eastAsia" w:ascii="宋体" w:hAnsi="宋体"/>
          <w:bCs/>
          <w:color w:val="auto"/>
          <w:sz w:val="24"/>
        </w:rPr>
        <w:t>万元</w:t>
      </w:r>
    </w:p>
    <w:p w14:paraId="56E5ED6B">
      <w:pPr>
        <w:spacing w:line="360" w:lineRule="auto"/>
        <w:ind w:firstLine="480" w:firstLineChars="200"/>
        <w:rPr>
          <w:rFonts w:hint="eastAsia" w:ascii="宋体" w:hAnsi="宋体"/>
          <w:color w:val="auto"/>
          <w:sz w:val="24"/>
        </w:rPr>
      </w:pPr>
      <w:r>
        <w:rPr>
          <w:rFonts w:ascii="宋体" w:hAnsi="宋体"/>
          <w:color w:val="auto"/>
          <w:sz w:val="24"/>
        </w:rPr>
        <w:t>5.采购需求：</w:t>
      </w:r>
    </w:p>
    <w:tbl>
      <w:tblPr>
        <w:tblStyle w:val="5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65"/>
        <w:gridCol w:w="1723"/>
        <w:gridCol w:w="1723"/>
        <w:gridCol w:w="796"/>
        <w:gridCol w:w="3478"/>
      </w:tblGrid>
      <w:tr w14:paraId="3601D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9" w:type="dxa"/>
            <w:vAlign w:val="center"/>
          </w:tcPr>
          <w:p w14:paraId="4DD20A19">
            <w:pPr>
              <w:jc w:val="center"/>
              <w:rPr>
                <w:rFonts w:hint="eastAsia" w:ascii="宋体" w:hAnsi="宋体" w:cs="宋体"/>
                <w:bCs/>
                <w:color w:val="auto"/>
                <w:sz w:val="20"/>
                <w:szCs w:val="20"/>
              </w:rPr>
            </w:pPr>
            <w:r>
              <w:rPr>
                <w:rFonts w:hint="eastAsia" w:ascii="宋体" w:hAnsi="宋体" w:cs="宋体"/>
                <w:bCs/>
                <w:color w:val="auto"/>
                <w:sz w:val="20"/>
                <w:szCs w:val="20"/>
              </w:rPr>
              <w:t>包号</w:t>
            </w:r>
          </w:p>
        </w:tc>
        <w:tc>
          <w:tcPr>
            <w:tcW w:w="1465" w:type="dxa"/>
            <w:vAlign w:val="center"/>
          </w:tcPr>
          <w:p w14:paraId="44AB5355">
            <w:pPr>
              <w:jc w:val="center"/>
              <w:rPr>
                <w:rFonts w:hint="eastAsia" w:ascii="宋体" w:hAnsi="宋体" w:cs="宋体"/>
                <w:bCs/>
                <w:color w:val="auto"/>
                <w:sz w:val="20"/>
                <w:szCs w:val="20"/>
              </w:rPr>
            </w:pPr>
            <w:r>
              <w:rPr>
                <w:rFonts w:hint="eastAsia" w:ascii="宋体" w:hAnsi="宋体" w:cs="宋体"/>
                <w:bCs/>
                <w:color w:val="auto"/>
                <w:sz w:val="20"/>
                <w:szCs w:val="20"/>
              </w:rPr>
              <w:t>标包名称</w:t>
            </w:r>
          </w:p>
        </w:tc>
        <w:tc>
          <w:tcPr>
            <w:tcW w:w="1723" w:type="dxa"/>
            <w:vAlign w:val="center"/>
          </w:tcPr>
          <w:p w14:paraId="3809CD16">
            <w:pPr>
              <w:jc w:val="center"/>
              <w:rPr>
                <w:rFonts w:hint="eastAsia" w:ascii="宋体" w:hAnsi="宋体" w:cs="宋体"/>
                <w:bCs/>
                <w:color w:val="auto"/>
                <w:sz w:val="20"/>
                <w:szCs w:val="20"/>
              </w:rPr>
            </w:pPr>
            <w:r>
              <w:rPr>
                <w:rFonts w:hint="eastAsia" w:ascii="宋体" w:hAnsi="宋体" w:cs="宋体"/>
                <w:bCs/>
                <w:color w:val="auto"/>
                <w:sz w:val="20"/>
                <w:szCs w:val="20"/>
              </w:rPr>
              <w:t>标的名称</w:t>
            </w:r>
          </w:p>
        </w:tc>
        <w:tc>
          <w:tcPr>
            <w:tcW w:w="1723" w:type="dxa"/>
            <w:vAlign w:val="center"/>
          </w:tcPr>
          <w:p w14:paraId="0DDA2DF6">
            <w:pPr>
              <w:jc w:val="center"/>
              <w:rPr>
                <w:rFonts w:hint="eastAsia" w:ascii="宋体" w:hAnsi="宋体" w:cs="宋体"/>
                <w:bCs/>
                <w:color w:val="auto"/>
                <w:sz w:val="20"/>
                <w:szCs w:val="20"/>
              </w:rPr>
            </w:pPr>
            <w:r>
              <w:rPr>
                <w:rFonts w:hint="eastAsia" w:ascii="宋体" w:hAnsi="宋体" w:cs="宋体"/>
                <w:bCs/>
                <w:color w:val="auto"/>
                <w:sz w:val="20"/>
                <w:szCs w:val="20"/>
              </w:rPr>
              <w:t>采购包预算金额</w:t>
            </w:r>
          </w:p>
          <w:p w14:paraId="0621F7C9">
            <w:pPr>
              <w:jc w:val="center"/>
              <w:rPr>
                <w:rFonts w:hint="eastAsia" w:ascii="宋体" w:hAnsi="宋体" w:cs="宋体"/>
                <w:bCs/>
                <w:color w:val="auto"/>
                <w:sz w:val="20"/>
                <w:szCs w:val="20"/>
              </w:rPr>
            </w:pPr>
            <w:r>
              <w:rPr>
                <w:rFonts w:hint="eastAsia" w:ascii="宋体" w:hAnsi="宋体" w:cs="宋体"/>
                <w:bCs/>
                <w:color w:val="auto"/>
                <w:sz w:val="20"/>
                <w:szCs w:val="20"/>
              </w:rPr>
              <w:t>（万元）</w:t>
            </w:r>
          </w:p>
        </w:tc>
        <w:tc>
          <w:tcPr>
            <w:tcW w:w="796" w:type="dxa"/>
            <w:vAlign w:val="center"/>
          </w:tcPr>
          <w:p w14:paraId="602B7D16">
            <w:pPr>
              <w:jc w:val="center"/>
              <w:rPr>
                <w:rFonts w:hint="eastAsia" w:ascii="宋体" w:hAnsi="宋体" w:cs="宋体"/>
                <w:bCs/>
                <w:color w:val="auto"/>
                <w:sz w:val="20"/>
                <w:szCs w:val="20"/>
              </w:rPr>
            </w:pPr>
            <w:r>
              <w:rPr>
                <w:rFonts w:hint="eastAsia" w:ascii="宋体" w:hAnsi="宋体" w:cs="宋体"/>
                <w:bCs/>
                <w:color w:val="auto"/>
                <w:sz w:val="20"/>
                <w:szCs w:val="20"/>
              </w:rPr>
              <w:t>数量</w:t>
            </w:r>
          </w:p>
        </w:tc>
        <w:tc>
          <w:tcPr>
            <w:tcW w:w="3478" w:type="dxa"/>
            <w:vAlign w:val="center"/>
          </w:tcPr>
          <w:p w14:paraId="7F6A8F21">
            <w:pPr>
              <w:jc w:val="center"/>
              <w:rPr>
                <w:rFonts w:hint="eastAsia" w:ascii="宋体" w:hAnsi="宋体" w:cs="宋体"/>
                <w:color w:val="auto"/>
                <w:sz w:val="20"/>
                <w:szCs w:val="20"/>
              </w:rPr>
            </w:pPr>
            <w:r>
              <w:rPr>
                <w:rFonts w:hint="eastAsia" w:ascii="宋体" w:hAnsi="宋体" w:cs="宋体"/>
                <w:color w:val="auto"/>
                <w:sz w:val="20"/>
                <w:szCs w:val="20"/>
              </w:rPr>
              <w:t>简要技术需求或服务要求</w:t>
            </w:r>
          </w:p>
        </w:tc>
      </w:tr>
      <w:tr w14:paraId="173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79" w:type="dxa"/>
            <w:vAlign w:val="center"/>
          </w:tcPr>
          <w:p w14:paraId="7EF69AD2">
            <w:pPr>
              <w:jc w:val="center"/>
              <w:rPr>
                <w:rFonts w:hint="eastAsia" w:ascii="宋体" w:hAnsi="宋体"/>
                <w:color w:val="auto"/>
                <w:kern w:val="0"/>
                <w:sz w:val="20"/>
                <w:szCs w:val="20"/>
              </w:rPr>
            </w:pPr>
            <w:r>
              <w:rPr>
                <w:rFonts w:hint="eastAsia" w:ascii="宋体" w:hAnsi="宋体"/>
                <w:color w:val="auto"/>
                <w:kern w:val="0"/>
                <w:sz w:val="20"/>
                <w:szCs w:val="20"/>
              </w:rPr>
              <w:t>01</w:t>
            </w:r>
          </w:p>
        </w:tc>
        <w:tc>
          <w:tcPr>
            <w:tcW w:w="1465" w:type="dxa"/>
            <w:vAlign w:val="center"/>
          </w:tcPr>
          <w:p w14:paraId="13DC37E5">
            <w:pPr>
              <w:rPr>
                <w:rFonts w:hint="eastAsia" w:ascii="宋体" w:hAnsi="宋体"/>
                <w:color w:val="auto"/>
                <w:kern w:val="0"/>
                <w:sz w:val="20"/>
                <w:szCs w:val="20"/>
              </w:rPr>
            </w:pPr>
            <w:bookmarkStart w:id="16" w:name="OLE_LINK22"/>
            <w:bookmarkStart w:id="17" w:name="OLE_LINK14"/>
            <w:r>
              <w:rPr>
                <w:rFonts w:hint="eastAsia" w:ascii="宋体" w:hAnsi="宋体"/>
                <w:color w:val="auto"/>
                <w:kern w:val="0"/>
                <w:sz w:val="20"/>
                <w:szCs w:val="20"/>
                <w:lang w:eastAsia="zh-CN"/>
              </w:rPr>
              <w:t>2026年拆违任务</w:t>
            </w:r>
            <w:r>
              <w:rPr>
                <w:rFonts w:hint="eastAsia" w:ascii="宋体" w:hAnsi="宋体"/>
                <w:color w:val="auto"/>
                <w:kern w:val="0"/>
                <w:sz w:val="20"/>
                <w:szCs w:val="20"/>
              </w:rPr>
              <w:t>（一标段）</w:t>
            </w:r>
            <w:bookmarkEnd w:id="16"/>
            <w:bookmarkEnd w:id="17"/>
          </w:p>
        </w:tc>
        <w:tc>
          <w:tcPr>
            <w:tcW w:w="1723" w:type="dxa"/>
            <w:vAlign w:val="center"/>
          </w:tcPr>
          <w:p w14:paraId="0270FBA0">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tc>
        <w:tc>
          <w:tcPr>
            <w:tcW w:w="1723" w:type="dxa"/>
            <w:vAlign w:val="center"/>
          </w:tcPr>
          <w:p w14:paraId="559E6E50">
            <w:pPr>
              <w:jc w:val="center"/>
              <w:rPr>
                <w:rFonts w:hint="default" w:ascii="宋体" w:hAnsi="宋体" w:eastAsia="宋体"/>
                <w:color w:val="auto"/>
                <w:kern w:val="0"/>
                <w:sz w:val="20"/>
                <w:szCs w:val="20"/>
                <w:lang w:val="en-US" w:eastAsia="zh-CN"/>
              </w:rPr>
            </w:pPr>
            <w:r>
              <w:rPr>
                <w:rFonts w:hint="eastAsia" w:ascii="宋体" w:hAnsi="宋体"/>
                <w:color w:val="auto"/>
                <w:kern w:val="0"/>
                <w:sz w:val="20"/>
                <w:szCs w:val="20"/>
                <w:lang w:val="en-US" w:eastAsia="zh-CN"/>
              </w:rPr>
              <w:t>229.517035</w:t>
            </w:r>
          </w:p>
        </w:tc>
        <w:tc>
          <w:tcPr>
            <w:tcW w:w="796" w:type="dxa"/>
            <w:vAlign w:val="center"/>
          </w:tcPr>
          <w:p w14:paraId="39FACF00">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35EE9A5D">
            <w:pPr>
              <w:rPr>
                <w:rFonts w:hint="eastAsia" w:ascii="宋体" w:hAnsi="宋体"/>
                <w:color w:val="auto"/>
                <w:kern w:val="0"/>
                <w:sz w:val="20"/>
                <w:szCs w:val="20"/>
              </w:rPr>
            </w:pPr>
            <w:r>
              <w:rPr>
                <w:rFonts w:hint="eastAsia" w:ascii="宋体" w:hAnsi="宋体"/>
                <w:color w:val="auto"/>
                <w:kern w:val="0"/>
                <w:sz w:val="20"/>
                <w:szCs w:val="20"/>
              </w:rPr>
              <w:t>（1）施工范围：</w:t>
            </w:r>
            <w:bookmarkStart w:id="18" w:name="OLE_LINK11"/>
            <w:r>
              <w:rPr>
                <w:rFonts w:hint="eastAsia" w:ascii="宋体" w:hAnsi="宋体"/>
                <w:color w:val="auto"/>
                <w:kern w:val="0"/>
                <w:sz w:val="20"/>
                <w:szCs w:val="20"/>
              </w:rPr>
              <w:t>对位于通州区内果园三角地、焦王庄污水处理厂、范庄污水处理厂、</w:t>
            </w:r>
            <w:r>
              <w:rPr>
                <w:rFonts w:hint="eastAsia" w:ascii="宋体" w:hAnsi="宋体"/>
                <w:color w:val="auto"/>
                <w:kern w:val="0"/>
                <w:sz w:val="20"/>
                <w:szCs w:val="20"/>
                <w:lang w:val="en-US" w:eastAsia="zh-CN"/>
              </w:rPr>
              <w:t>北京</w:t>
            </w:r>
            <w:r>
              <w:rPr>
                <w:rFonts w:hint="eastAsia" w:ascii="宋体" w:hAnsi="宋体"/>
                <w:color w:val="auto"/>
                <w:kern w:val="0"/>
                <w:sz w:val="20"/>
                <w:szCs w:val="20"/>
              </w:rPr>
              <w:t>胸科医院</w:t>
            </w:r>
            <w:r>
              <w:rPr>
                <w:rFonts w:hint="eastAsia" w:ascii="宋体" w:hAnsi="宋体"/>
                <w:color w:val="auto"/>
                <w:kern w:val="0"/>
                <w:sz w:val="20"/>
                <w:szCs w:val="20"/>
                <w:lang w:eastAsia="zh-CN"/>
              </w:rPr>
              <w:t>、</w:t>
            </w:r>
            <w:r>
              <w:rPr>
                <w:rFonts w:hint="eastAsia" w:ascii="宋体" w:hAnsi="宋体"/>
                <w:color w:val="auto"/>
                <w:kern w:val="0"/>
                <w:sz w:val="20"/>
                <w:szCs w:val="20"/>
              </w:rPr>
              <w:t>上营花鸟市场东北角、</w:t>
            </w:r>
            <w:r>
              <w:rPr>
                <w:rFonts w:hint="eastAsia" w:ascii="宋体" w:hAnsi="宋体"/>
                <w:color w:val="auto"/>
                <w:kern w:val="0"/>
                <w:sz w:val="20"/>
                <w:szCs w:val="20"/>
                <w:lang w:val="en-US" w:eastAsia="zh-CN"/>
              </w:rPr>
              <w:t>华山幼儿园</w:t>
            </w:r>
            <w:r>
              <w:rPr>
                <w:rFonts w:hint="eastAsia" w:ascii="宋体" w:hAnsi="宋体"/>
                <w:color w:val="auto"/>
                <w:kern w:val="0"/>
                <w:sz w:val="20"/>
                <w:szCs w:val="20"/>
              </w:rPr>
              <w:t>等</w:t>
            </w:r>
            <w:bookmarkEnd w:id="18"/>
            <w:r>
              <w:rPr>
                <w:rFonts w:hint="eastAsia" w:ascii="宋体" w:hAnsi="宋体"/>
                <w:color w:val="auto"/>
                <w:kern w:val="0"/>
                <w:sz w:val="20"/>
                <w:szCs w:val="20"/>
              </w:rPr>
              <w:t>历史遗留点位实施拆除及场地清理等相关工作（详见设计图纸）；</w:t>
            </w:r>
          </w:p>
          <w:p w14:paraId="6DD1D178">
            <w:pPr>
              <w:rPr>
                <w:rFonts w:hint="eastAsia" w:ascii="宋体" w:hAnsi="宋体"/>
                <w:color w:val="auto"/>
                <w:kern w:val="0"/>
                <w:sz w:val="20"/>
                <w:szCs w:val="20"/>
              </w:rPr>
            </w:pPr>
            <w:r>
              <w:rPr>
                <w:rFonts w:hint="eastAsia" w:ascii="宋体" w:hAnsi="宋体"/>
                <w:color w:val="auto"/>
                <w:kern w:val="0"/>
                <w:sz w:val="20"/>
                <w:szCs w:val="20"/>
              </w:rPr>
              <w:t>（2）</w:t>
            </w:r>
            <w:r>
              <w:rPr>
                <w:rFonts w:hint="eastAsia" w:ascii="宋体" w:hAnsi="宋体"/>
                <w:color w:val="auto"/>
                <w:kern w:val="0"/>
                <w:sz w:val="20"/>
                <w:szCs w:val="20"/>
                <w:lang w:eastAsia="zh-CN"/>
              </w:rPr>
              <w:t>规模</w:t>
            </w:r>
            <w:r>
              <w:rPr>
                <w:rFonts w:hint="eastAsia" w:ascii="宋体" w:hAnsi="宋体"/>
                <w:color w:val="auto"/>
                <w:kern w:val="0"/>
                <w:sz w:val="20"/>
                <w:szCs w:val="20"/>
              </w:rPr>
              <w:t>：拆除面积约</w:t>
            </w:r>
            <w:bookmarkStart w:id="19" w:name="OLE_LINK12"/>
            <w:r>
              <w:rPr>
                <w:rFonts w:hint="eastAsia" w:ascii="宋体" w:hAnsi="宋体"/>
                <w:color w:val="auto"/>
                <w:kern w:val="0"/>
                <w:sz w:val="20"/>
                <w:szCs w:val="20"/>
                <w:lang w:val="en-US" w:eastAsia="zh-CN"/>
              </w:rPr>
              <w:t>10336.34</w:t>
            </w:r>
            <w:r>
              <w:rPr>
                <w:rFonts w:hint="eastAsia" w:ascii="宋体" w:hAnsi="宋体"/>
                <w:color w:val="auto"/>
                <w:kern w:val="0"/>
                <w:sz w:val="20"/>
                <w:szCs w:val="20"/>
              </w:rPr>
              <w:t>平方米</w:t>
            </w:r>
            <w:r>
              <w:rPr>
                <w:rFonts w:hint="eastAsia" w:ascii="宋体" w:hAnsi="宋体"/>
                <w:color w:val="auto"/>
                <w:kern w:val="0"/>
                <w:sz w:val="20"/>
                <w:szCs w:val="20"/>
                <w:lang w:eastAsia="zh-CN"/>
              </w:rPr>
              <w:t>（</w:t>
            </w:r>
            <w:r>
              <w:rPr>
                <w:rFonts w:hint="eastAsia" w:ascii="宋体" w:hAnsi="宋体"/>
                <w:color w:val="auto"/>
                <w:kern w:val="0"/>
                <w:sz w:val="20"/>
                <w:szCs w:val="20"/>
                <w:lang w:val="en-US" w:eastAsia="zh-CN"/>
              </w:rPr>
              <w:t>具体拆除面积以实际为准</w:t>
            </w:r>
            <w:r>
              <w:rPr>
                <w:rFonts w:hint="eastAsia" w:ascii="宋体" w:hAnsi="宋体"/>
                <w:color w:val="auto"/>
                <w:kern w:val="0"/>
                <w:sz w:val="20"/>
                <w:szCs w:val="20"/>
                <w:lang w:eastAsia="zh-CN"/>
              </w:rPr>
              <w:t>）</w:t>
            </w:r>
            <w:r>
              <w:rPr>
                <w:rFonts w:hint="eastAsia" w:ascii="宋体" w:hAnsi="宋体"/>
                <w:color w:val="auto"/>
                <w:kern w:val="0"/>
                <w:sz w:val="20"/>
                <w:szCs w:val="20"/>
              </w:rPr>
              <w:t>；</w:t>
            </w:r>
            <w:bookmarkEnd w:id="19"/>
          </w:p>
          <w:p w14:paraId="1DA4B2B6">
            <w:pPr>
              <w:jc w:val="left"/>
              <w:rPr>
                <w:rFonts w:hint="eastAsia" w:ascii="宋体" w:hAnsi="宋体"/>
                <w:color w:val="auto"/>
                <w:kern w:val="0"/>
                <w:sz w:val="20"/>
                <w:szCs w:val="20"/>
              </w:rPr>
            </w:pPr>
            <w:r>
              <w:rPr>
                <w:rFonts w:hint="eastAsia" w:ascii="宋体" w:hAnsi="宋体"/>
                <w:color w:val="auto"/>
                <w:kern w:val="0"/>
                <w:sz w:val="20"/>
                <w:szCs w:val="20"/>
              </w:rPr>
              <w:t>（3）</w:t>
            </w:r>
            <w:bookmarkStart w:id="20" w:name="OLE_LINK26"/>
            <w:r>
              <w:rPr>
                <w:rFonts w:hint="eastAsia" w:ascii="宋体" w:hAnsi="宋体"/>
                <w:color w:val="auto"/>
                <w:kern w:val="0"/>
                <w:sz w:val="20"/>
                <w:szCs w:val="20"/>
              </w:rPr>
              <w:t>拆除地点</w:t>
            </w:r>
            <w:bookmarkEnd w:id="20"/>
            <w:r>
              <w:rPr>
                <w:rFonts w:hint="eastAsia" w:ascii="宋体" w:hAnsi="宋体"/>
                <w:color w:val="auto"/>
                <w:kern w:val="0"/>
                <w:sz w:val="20"/>
                <w:szCs w:val="20"/>
              </w:rPr>
              <w:t>：北京市通州区；</w:t>
            </w:r>
          </w:p>
          <w:p w14:paraId="5268AA30">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1455C483">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1A179F01">
            <w:pPr>
              <w:jc w:val="left"/>
              <w:rPr>
                <w:rFonts w:hint="eastAsia" w:ascii="宋体" w:hAnsi="宋体"/>
                <w:color w:val="auto"/>
                <w:kern w:val="0"/>
                <w:sz w:val="20"/>
                <w:szCs w:val="20"/>
              </w:rPr>
            </w:pPr>
            <w:r>
              <w:rPr>
                <w:rFonts w:hint="eastAsia" w:ascii="宋体" w:hAnsi="宋体"/>
                <w:color w:val="auto"/>
                <w:kern w:val="0"/>
                <w:sz w:val="20"/>
                <w:szCs w:val="20"/>
              </w:rPr>
              <w:t>具体内容详见“第四章采购需求”。</w:t>
            </w:r>
          </w:p>
        </w:tc>
      </w:tr>
      <w:tr w14:paraId="463D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79" w:type="dxa"/>
            <w:vAlign w:val="center"/>
          </w:tcPr>
          <w:p w14:paraId="05380CAE">
            <w:pPr>
              <w:jc w:val="center"/>
              <w:rPr>
                <w:rFonts w:hint="eastAsia" w:ascii="宋体" w:hAnsi="宋体"/>
                <w:color w:val="auto"/>
                <w:kern w:val="0"/>
                <w:sz w:val="20"/>
                <w:szCs w:val="20"/>
              </w:rPr>
            </w:pPr>
            <w:r>
              <w:rPr>
                <w:rFonts w:hint="eastAsia" w:ascii="宋体" w:hAnsi="宋体"/>
                <w:color w:val="auto"/>
                <w:kern w:val="0"/>
                <w:sz w:val="20"/>
                <w:szCs w:val="20"/>
              </w:rPr>
              <w:t>02</w:t>
            </w:r>
          </w:p>
        </w:tc>
        <w:tc>
          <w:tcPr>
            <w:tcW w:w="1465" w:type="dxa"/>
            <w:vAlign w:val="center"/>
          </w:tcPr>
          <w:p w14:paraId="2E68B15C">
            <w:pPr>
              <w:rPr>
                <w:rFonts w:hint="eastAsia" w:ascii="宋体" w:hAnsi="宋体"/>
                <w:color w:val="auto"/>
                <w:kern w:val="0"/>
                <w:sz w:val="20"/>
                <w:szCs w:val="20"/>
              </w:rPr>
            </w:pPr>
            <w:bookmarkStart w:id="21" w:name="_Hlk218410157"/>
            <w:r>
              <w:rPr>
                <w:rFonts w:hint="eastAsia" w:ascii="宋体" w:hAnsi="宋体"/>
                <w:color w:val="auto"/>
                <w:kern w:val="0"/>
                <w:sz w:val="20"/>
                <w:szCs w:val="20"/>
                <w:lang w:eastAsia="zh-CN"/>
              </w:rPr>
              <w:t>2026年拆违任务</w:t>
            </w:r>
            <w:r>
              <w:rPr>
                <w:rFonts w:hint="eastAsia" w:ascii="宋体" w:hAnsi="宋体"/>
                <w:color w:val="auto"/>
                <w:kern w:val="0"/>
                <w:sz w:val="20"/>
                <w:szCs w:val="20"/>
              </w:rPr>
              <w:t>（二标段）</w:t>
            </w:r>
            <w:bookmarkEnd w:id="21"/>
          </w:p>
        </w:tc>
        <w:tc>
          <w:tcPr>
            <w:tcW w:w="1723" w:type="dxa"/>
            <w:vAlign w:val="center"/>
          </w:tcPr>
          <w:p w14:paraId="0473373E">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tc>
        <w:tc>
          <w:tcPr>
            <w:tcW w:w="1723" w:type="dxa"/>
            <w:vAlign w:val="center"/>
          </w:tcPr>
          <w:p w14:paraId="524B2D1A">
            <w:pPr>
              <w:jc w:val="center"/>
              <w:rPr>
                <w:rFonts w:hint="default" w:ascii="宋体" w:hAnsi="宋体" w:eastAsia="宋体"/>
                <w:color w:val="auto"/>
                <w:kern w:val="0"/>
                <w:sz w:val="20"/>
                <w:szCs w:val="20"/>
                <w:lang w:val="en-US" w:eastAsia="zh-CN"/>
              </w:rPr>
            </w:pPr>
            <w:r>
              <w:rPr>
                <w:rFonts w:hint="eastAsia" w:ascii="宋体" w:hAnsi="宋体"/>
                <w:color w:val="auto"/>
                <w:sz w:val="20"/>
                <w:szCs w:val="20"/>
                <w:lang w:val="en-US" w:eastAsia="zh-CN"/>
              </w:rPr>
              <w:t>120.451004</w:t>
            </w:r>
          </w:p>
        </w:tc>
        <w:tc>
          <w:tcPr>
            <w:tcW w:w="796" w:type="dxa"/>
            <w:vAlign w:val="center"/>
          </w:tcPr>
          <w:p w14:paraId="290E19A3">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4B3F28E2">
            <w:pPr>
              <w:jc w:val="left"/>
              <w:rPr>
                <w:rFonts w:hint="eastAsia" w:ascii="宋体" w:hAnsi="宋体" w:eastAsia="宋体"/>
                <w:color w:val="auto"/>
                <w:kern w:val="0"/>
                <w:sz w:val="20"/>
                <w:szCs w:val="20"/>
                <w:lang w:eastAsia="zh-CN"/>
              </w:rPr>
            </w:pPr>
            <w:r>
              <w:rPr>
                <w:rFonts w:hint="eastAsia" w:ascii="宋体" w:hAnsi="宋体"/>
                <w:color w:val="auto"/>
                <w:kern w:val="0"/>
                <w:sz w:val="20"/>
                <w:szCs w:val="20"/>
              </w:rPr>
              <w:t>（1）施工范围：对位于通州区西马庄马场、园中园垃圾房、馨通家园、市政路桥公司南院、邓家窑家居市场等历史遗留点位实施拆除及场地清理等相关工作（详见设计图纸）</w:t>
            </w:r>
            <w:r>
              <w:rPr>
                <w:rFonts w:hint="eastAsia" w:ascii="宋体" w:hAnsi="宋体"/>
                <w:color w:val="auto"/>
                <w:kern w:val="0"/>
                <w:sz w:val="20"/>
                <w:szCs w:val="20"/>
                <w:lang w:eastAsia="zh-CN"/>
              </w:rPr>
              <w:t>；</w:t>
            </w:r>
          </w:p>
          <w:p w14:paraId="1BCDEFB0">
            <w:pPr>
              <w:jc w:val="left"/>
              <w:rPr>
                <w:rFonts w:hint="eastAsia" w:ascii="宋体" w:hAnsi="宋体"/>
                <w:color w:val="auto"/>
                <w:kern w:val="0"/>
                <w:sz w:val="20"/>
                <w:szCs w:val="20"/>
              </w:rPr>
            </w:pPr>
            <w:r>
              <w:rPr>
                <w:rFonts w:hint="eastAsia" w:ascii="宋体" w:hAnsi="宋体"/>
                <w:color w:val="auto"/>
                <w:kern w:val="0"/>
                <w:sz w:val="20"/>
                <w:szCs w:val="20"/>
              </w:rPr>
              <w:t>（2）规模：拆除面积约5869.04平方米（具体拆除面积以实际为准）；</w:t>
            </w:r>
          </w:p>
          <w:p w14:paraId="390ED61A">
            <w:pPr>
              <w:jc w:val="left"/>
              <w:rPr>
                <w:rFonts w:hint="eastAsia" w:ascii="宋体" w:hAnsi="宋体"/>
                <w:color w:val="auto"/>
                <w:kern w:val="0"/>
                <w:sz w:val="20"/>
                <w:szCs w:val="20"/>
              </w:rPr>
            </w:pPr>
            <w:r>
              <w:rPr>
                <w:rFonts w:hint="eastAsia" w:ascii="宋体" w:hAnsi="宋体"/>
                <w:color w:val="auto"/>
                <w:kern w:val="0"/>
                <w:sz w:val="20"/>
                <w:szCs w:val="20"/>
              </w:rPr>
              <w:t>（3）拆除地点：北京市通州区；</w:t>
            </w:r>
          </w:p>
          <w:p w14:paraId="6630E000">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56851A04">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22E8BFE1">
            <w:pPr>
              <w:jc w:val="left"/>
              <w:rPr>
                <w:rFonts w:hint="eastAsia" w:ascii="宋体" w:hAnsi="宋体"/>
                <w:color w:val="auto"/>
                <w:kern w:val="0"/>
                <w:sz w:val="20"/>
                <w:szCs w:val="20"/>
              </w:rPr>
            </w:pPr>
            <w:r>
              <w:rPr>
                <w:rFonts w:hint="eastAsia" w:ascii="宋体" w:hAnsi="宋体"/>
                <w:color w:val="auto"/>
                <w:kern w:val="0"/>
                <w:sz w:val="20"/>
                <w:szCs w:val="20"/>
              </w:rPr>
              <w:t>具体内容详见“第四章采购需求”。</w:t>
            </w:r>
          </w:p>
        </w:tc>
      </w:tr>
    </w:tbl>
    <w:p w14:paraId="54DD0B31">
      <w:pPr>
        <w:spacing w:before="240" w:line="360" w:lineRule="auto"/>
        <w:ind w:firstLine="480" w:firstLineChars="200"/>
        <w:rPr>
          <w:rFonts w:hint="eastAsia" w:ascii="宋体" w:hAnsi="宋体"/>
          <w:color w:val="auto"/>
          <w:sz w:val="24"/>
        </w:rPr>
      </w:pPr>
      <w:r>
        <w:rPr>
          <w:rFonts w:hint="eastAsia" w:ascii="宋体" w:hAnsi="宋体"/>
          <w:color w:val="auto"/>
          <w:sz w:val="24"/>
        </w:rPr>
        <w:t>6</w:t>
      </w:r>
      <w:r>
        <w:rPr>
          <w:rFonts w:ascii="宋体" w:hAnsi="宋体"/>
          <w:color w:val="auto"/>
          <w:sz w:val="24"/>
        </w:rPr>
        <w:t>.合同履行期限</w:t>
      </w:r>
      <w:r>
        <w:rPr>
          <w:rFonts w:hint="eastAsia" w:ascii="宋体" w:hAnsi="宋体"/>
          <w:color w:val="auto"/>
          <w:sz w:val="24"/>
        </w:rPr>
        <w:t>（工期）</w:t>
      </w:r>
      <w:r>
        <w:rPr>
          <w:rFonts w:ascii="宋体" w:hAnsi="宋体"/>
          <w:color w:val="auto"/>
          <w:sz w:val="24"/>
        </w:rPr>
        <w:t>：</w:t>
      </w:r>
    </w:p>
    <w:p w14:paraId="78CD32BD">
      <w:pPr>
        <w:spacing w:line="360" w:lineRule="auto"/>
        <w:ind w:firstLine="480" w:firstLineChars="200"/>
        <w:rPr>
          <w:rFonts w:hint="eastAsia" w:ascii="宋体" w:hAnsi="宋体"/>
          <w:color w:val="auto"/>
          <w:sz w:val="24"/>
        </w:rPr>
      </w:pPr>
      <w:r>
        <w:rPr>
          <w:rFonts w:hint="eastAsia" w:ascii="宋体" w:hAnsi="宋体"/>
          <w:color w:val="auto"/>
          <w:sz w:val="24"/>
        </w:rPr>
        <w:t>01包：</w:t>
      </w:r>
      <w:r>
        <w:rPr>
          <w:rFonts w:hint="eastAsia" w:ascii="宋体" w:hAnsi="宋体"/>
          <w:color w:val="auto"/>
          <w:sz w:val="24"/>
          <w:lang w:val="en-US" w:eastAsia="zh-CN"/>
        </w:rPr>
        <w:t>117</w:t>
      </w:r>
      <w:r>
        <w:rPr>
          <w:rFonts w:hint="eastAsia" w:ascii="宋体" w:hAnsi="宋体"/>
          <w:color w:val="auto"/>
          <w:sz w:val="24"/>
        </w:rPr>
        <w:t>日历天（具体开工日期以合同签订为准）。</w:t>
      </w:r>
    </w:p>
    <w:p w14:paraId="6C450696">
      <w:pPr>
        <w:spacing w:line="360" w:lineRule="auto"/>
        <w:ind w:firstLine="480" w:firstLineChars="200"/>
        <w:rPr>
          <w:rFonts w:hint="eastAsia" w:ascii="宋体" w:hAnsi="宋体"/>
          <w:color w:val="auto"/>
          <w:sz w:val="24"/>
        </w:rPr>
      </w:pPr>
      <w:r>
        <w:rPr>
          <w:rFonts w:hint="eastAsia" w:ascii="宋体" w:hAnsi="宋体"/>
          <w:color w:val="auto"/>
          <w:sz w:val="24"/>
        </w:rPr>
        <w:t>02包：</w:t>
      </w:r>
      <w:r>
        <w:rPr>
          <w:rFonts w:hint="eastAsia" w:ascii="宋体" w:hAnsi="宋体"/>
          <w:color w:val="auto"/>
          <w:sz w:val="24"/>
          <w:lang w:val="en-US" w:eastAsia="zh-CN"/>
        </w:rPr>
        <w:t>117</w:t>
      </w:r>
      <w:r>
        <w:rPr>
          <w:rFonts w:hint="eastAsia" w:ascii="宋体" w:hAnsi="宋体"/>
          <w:color w:val="auto"/>
          <w:sz w:val="24"/>
        </w:rPr>
        <w:t>日历天（具体开工日期以合同签订为准）。</w:t>
      </w:r>
    </w:p>
    <w:p w14:paraId="4415BE26">
      <w:pPr>
        <w:spacing w:line="360" w:lineRule="auto"/>
        <w:ind w:firstLine="480" w:firstLineChars="200"/>
        <w:rPr>
          <w:rFonts w:hint="eastAsia" w:ascii="宋体" w:hAnsi="宋体"/>
          <w:color w:val="auto"/>
          <w:sz w:val="24"/>
        </w:rPr>
      </w:pPr>
      <w:r>
        <w:rPr>
          <w:rFonts w:hint="eastAsia" w:ascii="宋体" w:hAnsi="宋体"/>
          <w:color w:val="auto"/>
          <w:sz w:val="24"/>
        </w:rPr>
        <w:t>7</w:t>
      </w:r>
      <w:r>
        <w:rPr>
          <w:rFonts w:ascii="宋体" w:hAnsi="宋体"/>
          <w:color w:val="auto"/>
          <w:sz w:val="24"/>
        </w:rPr>
        <w:t>.本项目是否接受联合体：</w:t>
      </w:r>
      <w:r>
        <w:rPr>
          <w:rFonts w:hint="eastAsia" w:ascii="宋体" w:hAnsi="宋体"/>
          <w:color w:val="auto"/>
          <w:sz w:val="24"/>
        </w:rPr>
        <w:t>□</w:t>
      </w:r>
      <w:r>
        <w:rPr>
          <w:rFonts w:ascii="宋体" w:hAnsi="宋体"/>
          <w:color w:val="auto"/>
          <w:sz w:val="24"/>
        </w:rPr>
        <w:t xml:space="preserve">是  </w:t>
      </w:r>
      <w:r>
        <w:rPr>
          <w:rFonts w:hint="eastAsia" w:ascii="宋体" w:hAnsi="宋体"/>
          <w:color w:val="auto"/>
          <w:sz w:val="24"/>
        </w:rPr>
        <w:t>■</w:t>
      </w:r>
      <w:r>
        <w:rPr>
          <w:rFonts w:ascii="宋体" w:hAnsi="宋体"/>
          <w:color w:val="auto"/>
          <w:sz w:val="24"/>
        </w:rPr>
        <w:t>否</w:t>
      </w:r>
    </w:p>
    <w:p w14:paraId="112C99AA">
      <w:pPr>
        <w:pStyle w:val="3"/>
        <w:spacing w:before="0" w:line="360" w:lineRule="auto"/>
        <w:jc w:val="left"/>
        <w:rPr>
          <w:rFonts w:hint="eastAsia" w:ascii="宋体" w:hAnsi="宋体" w:eastAsia="宋体"/>
          <w:color w:val="auto"/>
          <w:sz w:val="24"/>
          <w:szCs w:val="24"/>
        </w:rPr>
      </w:pPr>
      <w:bookmarkStart w:id="22" w:name="_Toc35393622"/>
      <w:bookmarkStart w:id="23" w:name="_Toc28359003"/>
      <w:bookmarkStart w:id="24" w:name="_Toc28359080"/>
      <w:bookmarkStart w:id="25" w:name="_Toc35393791"/>
      <w:r>
        <w:rPr>
          <w:rFonts w:ascii="宋体" w:hAnsi="宋体" w:eastAsia="宋体"/>
          <w:color w:val="auto"/>
          <w:sz w:val="24"/>
          <w:szCs w:val="24"/>
        </w:rPr>
        <w:t>二、申请人的资格要求（须同时满足）</w:t>
      </w:r>
      <w:bookmarkEnd w:id="22"/>
      <w:bookmarkEnd w:id="23"/>
      <w:bookmarkEnd w:id="24"/>
      <w:bookmarkEnd w:id="25"/>
    </w:p>
    <w:p w14:paraId="770FCAC6">
      <w:pPr>
        <w:spacing w:line="360" w:lineRule="auto"/>
        <w:ind w:firstLine="480" w:firstLineChars="200"/>
        <w:rPr>
          <w:rFonts w:hint="eastAsia" w:ascii="宋体" w:hAnsi="宋体"/>
          <w:color w:val="auto"/>
          <w:sz w:val="24"/>
        </w:rPr>
      </w:pPr>
      <w:r>
        <w:rPr>
          <w:rFonts w:ascii="宋体" w:hAnsi="宋体"/>
          <w:color w:val="auto"/>
          <w:sz w:val="24"/>
        </w:rPr>
        <w:t>1.满足《中华人民共和国政府采购法》第二十二条规定；</w:t>
      </w:r>
    </w:p>
    <w:p w14:paraId="33E2FABA">
      <w:pPr>
        <w:spacing w:line="360" w:lineRule="auto"/>
        <w:ind w:firstLine="480" w:firstLineChars="200"/>
        <w:rPr>
          <w:rFonts w:hint="eastAsia" w:ascii="宋体" w:hAnsi="宋体"/>
          <w:color w:val="auto"/>
          <w:sz w:val="24"/>
        </w:rPr>
      </w:pPr>
      <w:bookmarkStart w:id="26" w:name="_Toc28359081"/>
      <w:bookmarkStart w:id="27" w:name="_Toc28359004"/>
      <w:r>
        <w:rPr>
          <w:rFonts w:ascii="宋体" w:hAnsi="宋体"/>
          <w:color w:val="auto"/>
          <w:sz w:val="24"/>
        </w:rPr>
        <w:t>2.落实政府采购政策需满足的资格要求：</w:t>
      </w:r>
    </w:p>
    <w:p w14:paraId="25B98185">
      <w:pPr>
        <w:spacing w:line="360" w:lineRule="auto"/>
        <w:ind w:firstLine="480" w:firstLineChars="200"/>
        <w:rPr>
          <w:rFonts w:hint="eastAsia" w:ascii="宋体" w:hAnsi="宋体"/>
          <w:color w:val="auto"/>
          <w:sz w:val="24"/>
          <w:u w:val="single"/>
        </w:rPr>
      </w:pPr>
      <w:r>
        <w:rPr>
          <w:rFonts w:ascii="宋体" w:hAnsi="宋体"/>
          <w:color w:val="auto"/>
          <w:sz w:val="24"/>
        </w:rPr>
        <w:t>2.1 中小企业政策</w:t>
      </w:r>
      <w:r>
        <w:rPr>
          <w:rFonts w:hint="eastAsia" w:ascii="宋体" w:hAnsi="宋体"/>
          <w:color w:val="auto"/>
          <w:sz w:val="24"/>
        </w:rPr>
        <w:t>：</w:t>
      </w:r>
    </w:p>
    <w:p w14:paraId="58AA9DE3">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本项目不专门面向中小企业预留采购份额。</w:t>
      </w:r>
    </w:p>
    <w:p w14:paraId="2477EDC0">
      <w:pPr>
        <w:spacing w:line="360" w:lineRule="auto"/>
        <w:ind w:firstLine="480" w:firstLineChars="200"/>
        <w:rPr>
          <w:rFonts w:hint="eastAsia" w:ascii="宋体" w:hAnsi="宋体"/>
          <w:color w:val="auto"/>
          <w:sz w:val="24"/>
        </w:rPr>
      </w:pPr>
      <w:r>
        <w:rPr>
          <w:rFonts w:hint="eastAsia" w:ascii="宋体" w:hAnsi="宋体"/>
          <w:color w:val="auto"/>
          <w:sz w:val="24"/>
        </w:rPr>
        <w:t>■</w:t>
      </w:r>
      <w:r>
        <w:rPr>
          <w:rFonts w:ascii="宋体" w:hAnsi="宋体"/>
          <w:color w:val="auto"/>
          <w:sz w:val="24"/>
        </w:rPr>
        <w:t xml:space="preserve">本项目专门面向 </w:t>
      </w:r>
      <w:r>
        <w:rPr>
          <w:rFonts w:hint="eastAsia" w:ascii="宋体" w:hAnsi="宋体"/>
          <w:color w:val="auto"/>
          <w:sz w:val="24"/>
        </w:rPr>
        <w:t>■</w:t>
      </w:r>
      <w:r>
        <w:rPr>
          <w:rFonts w:ascii="宋体" w:hAnsi="宋体"/>
          <w:color w:val="auto"/>
          <w:sz w:val="24"/>
        </w:rPr>
        <w:t xml:space="preserve"> 中小</w:t>
      </w:r>
      <w:r>
        <w:rPr>
          <w:rFonts w:hint="eastAsia" w:ascii="宋体" w:hAnsi="宋体"/>
          <w:color w:val="auto"/>
          <w:sz w:val="24"/>
        </w:rPr>
        <w:t xml:space="preserve">  □</w:t>
      </w:r>
      <w:r>
        <w:rPr>
          <w:rFonts w:ascii="宋体" w:hAnsi="宋体"/>
          <w:color w:val="auto"/>
          <w:sz w:val="24"/>
        </w:rPr>
        <w:t>小微企业  采购。即：提供的</w:t>
      </w:r>
      <w:r>
        <w:rPr>
          <w:rFonts w:hint="eastAsia" w:ascii="宋体" w:hAnsi="宋体"/>
          <w:color w:val="auto"/>
          <w:sz w:val="24"/>
        </w:rPr>
        <w:t>工程全部由中小企业承建</w:t>
      </w:r>
      <w:r>
        <w:rPr>
          <w:rFonts w:ascii="宋体" w:hAnsi="宋体"/>
          <w:color w:val="auto"/>
          <w:sz w:val="24"/>
        </w:rPr>
        <w:t>。</w:t>
      </w:r>
    </w:p>
    <w:p w14:paraId="27E8A1E3">
      <w:pPr>
        <w:spacing w:line="360" w:lineRule="auto"/>
        <w:ind w:firstLine="480" w:firstLineChars="200"/>
        <w:rPr>
          <w:rFonts w:hint="eastAsia" w:ascii="宋体" w:hAnsi="宋体"/>
          <w:color w:val="auto"/>
          <w:sz w:val="24"/>
        </w:rPr>
      </w:pPr>
      <w:r>
        <w:rPr>
          <w:rFonts w:hint="eastAsia" w:ascii="宋体" w:hAnsi="宋体"/>
          <w:color w:val="auto"/>
          <w:sz w:val="24"/>
        </w:rPr>
        <w:t>□本项目预留部分采购项目预算专门面向中小企业采购。对于预留份额，提供的工程由符合政策要求的中小企业承建。预留份额通过以下措施进行</w:t>
      </w:r>
      <w:r>
        <w:rPr>
          <w:rFonts w:hint="eastAsia"/>
          <w:color w:val="auto"/>
        </w:rPr>
        <w:t>：/</w:t>
      </w:r>
    </w:p>
    <w:p w14:paraId="229751B7">
      <w:pPr>
        <w:spacing w:line="360" w:lineRule="auto"/>
        <w:ind w:firstLine="480" w:firstLineChars="200"/>
        <w:rPr>
          <w:rFonts w:hint="eastAsia" w:ascii="宋体" w:hAnsi="宋体"/>
          <w:color w:val="auto"/>
          <w:sz w:val="24"/>
        </w:rPr>
      </w:pPr>
      <w:r>
        <w:rPr>
          <w:rFonts w:ascii="宋体" w:hAnsi="宋体"/>
          <w:color w:val="auto"/>
          <w:sz w:val="24"/>
        </w:rPr>
        <w:t>2.2 其它落实政府采购政策的资格要求（如有）：</w:t>
      </w:r>
      <w:r>
        <w:rPr>
          <w:rFonts w:ascii="宋体" w:hAnsi="宋体"/>
          <w:color w:val="auto"/>
          <w:sz w:val="24"/>
          <w:u w:val="single"/>
        </w:rPr>
        <w:t xml:space="preserve">   /   </w:t>
      </w:r>
      <w:r>
        <w:rPr>
          <w:rFonts w:hint="eastAsia" w:ascii="宋体" w:hAnsi="宋体"/>
          <w:color w:val="auto"/>
          <w:sz w:val="24"/>
        </w:rPr>
        <w:t>。</w:t>
      </w:r>
    </w:p>
    <w:p w14:paraId="2226A190">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3.本项目的特定资格要求：</w:t>
      </w:r>
      <w:r>
        <w:rPr>
          <w:rFonts w:hint="eastAsia" w:ascii="宋体" w:hAnsi="宋体"/>
          <w:color w:val="auto"/>
          <w:sz w:val="24"/>
        </w:rPr>
        <w:t xml:space="preserve"> </w:t>
      </w:r>
    </w:p>
    <w:p w14:paraId="42DCCFFA">
      <w:pPr>
        <w:pStyle w:val="269"/>
        <w:spacing w:before="0" w:beforeAutospacing="0" w:after="0" w:afterAutospacing="0" w:line="360" w:lineRule="auto"/>
        <w:ind w:firstLine="480" w:firstLineChars="200"/>
        <w:rPr>
          <w:rFonts w:hint="eastAsia" w:cs="Times New Roman"/>
          <w:color w:val="auto"/>
          <w:kern w:val="2"/>
        </w:rPr>
      </w:pPr>
      <w:r>
        <w:rPr>
          <w:color w:val="auto"/>
        </w:rPr>
        <w:t>3.</w:t>
      </w:r>
      <w:r>
        <w:rPr>
          <w:rFonts w:hint="eastAsia"/>
          <w:color w:val="auto"/>
        </w:rPr>
        <w:t>1</w:t>
      </w:r>
      <w:r>
        <w:rPr>
          <w:rFonts w:hint="eastAsia" w:cs="Times New Roman"/>
          <w:color w:val="auto"/>
          <w:kern w:val="2"/>
        </w:rPr>
        <w:t xml:space="preserve"> 特定资格要求：</w:t>
      </w:r>
    </w:p>
    <w:p w14:paraId="2C236EFB">
      <w:pPr>
        <w:tabs>
          <w:tab w:val="left" w:pos="900"/>
          <w:tab w:val="left" w:pos="1134"/>
          <w:tab w:val="left" w:pos="1589"/>
          <w:tab w:val="left" w:pos="5521"/>
        </w:tabs>
        <w:snapToGrid w:val="0"/>
        <w:spacing w:line="360" w:lineRule="auto"/>
        <w:ind w:firstLine="480" w:firstLineChars="200"/>
        <w:rPr>
          <w:rFonts w:hint="eastAsia" w:ascii="宋体" w:hAnsi="宋体"/>
          <w:color w:val="auto"/>
          <w:sz w:val="24"/>
        </w:rPr>
      </w:pPr>
      <w:r>
        <w:rPr>
          <w:rFonts w:ascii="宋体" w:hAnsi="宋体"/>
          <w:color w:val="auto"/>
          <w:sz w:val="24"/>
        </w:rPr>
        <w:t>本项目是否属于政府购买服务：</w:t>
      </w:r>
    </w:p>
    <w:p w14:paraId="66655FC2">
      <w:pPr>
        <w:tabs>
          <w:tab w:val="left" w:pos="900"/>
          <w:tab w:val="left" w:pos="1134"/>
          <w:tab w:val="left" w:pos="1589"/>
          <w:tab w:val="left" w:pos="5521"/>
        </w:tabs>
        <w:snapToGrid w:val="0"/>
        <w:spacing w:line="360" w:lineRule="auto"/>
        <w:ind w:firstLine="960" w:firstLineChars="400"/>
        <w:rPr>
          <w:rFonts w:hint="eastAsia" w:ascii="宋体" w:hAnsi="宋体"/>
          <w:color w:val="auto"/>
          <w:sz w:val="24"/>
        </w:rPr>
      </w:pPr>
      <w:r>
        <w:rPr>
          <w:rFonts w:hint="eastAsia" w:ascii="宋体" w:hAnsi="宋体"/>
          <w:color w:val="auto"/>
          <w:sz w:val="24"/>
        </w:rPr>
        <w:t>■</w:t>
      </w:r>
      <w:r>
        <w:rPr>
          <w:rFonts w:ascii="宋体" w:hAnsi="宋体"/>
          <w:color w:val="auto"/>
          <w:sz w:val="24"/>
        </w:rPr>
        <w:t>否</w:t>
      </w:r>
    </w:p>
    <w:p w14:paraId="5A1787BE">
      <w:pPr>
        <w:tabs>
          <w:tab w:val="left" w:pos="900"/>
          <w:tab w:val="left" w:pos="1134"/>
          <w:tab w:val="left" w:pos="1589"/>
          <w:tab w:val="left" w:pos="5521"/>
        </w:tabs>
        <w:snapToGrid w:val="0"/>
        <w:spacing w:line="360" w:lineRule="auto"/>
        <w:ind w:firstLine="960" w:firstLineChars="400"/>
        <w:rPr>
          <w:rFonts w:hint="eastAsia" w:ascii="宋体" w:hAnsi="宋体"/>
          <w:color w:val="auto"/>
          <w:sz w:val="24"/>
        </w:rPr>
      </w:pPr>
      <w:r>
        <w:rPr>
          <w:rFonts w:hint="eastAsia" w:ascii="宋体" w:hAnsi="宋体"/>
          <w:color w:val="auto"/>
          <w:sz w:val="24"/>
        </w:rPr>
        <w:t>□</w:t>
      </w:r>
      <w:r>
        <w:rPr>
          <w:rFonts w:ascii="宋体" w:hAnsi="宋体"/>
          <w:color w:val="auto"/>
          <w:sz w:val="24"/>
        </w:rPr>
        <w:t>是，公益一类事业单位、使用事业编制且由财政拨款保障的群团组织，不得作为承接主体；</w:t>
      </w:r>
    </w:p>
    <w:p w14:paraId="346B5031">
      <w:pPr>
        <w:pStyle w:val="269"/>
        <w:spacing w:before="0" w:beforeAutospacing="0" w:after="0" w:afterAutospacing="0" w:line="360" w:lineRule="auto"/>
        <w:ind w:firstLine="480" w:firstLineChars="200"/>
        <w:rPr>
          <w:rFonts w:hint="eastAsia"/>
          <w:color w:val="auto"/>
        </w:rPr>
      </w:pPr>
      <w:r>
        <w:rPr>
          <w:color w:val="auto"/>
        </w:rPr>
        <w:t>3.</w:t>
      </w:r>
      <w:r>
        <w:rPr>
          <w:rFonts w:hint="eastAsia"/>
          <w:color w:val="auto"/>
        </w:rPr>
        <w:t>2</w:t>
      </w:r>
      <w:r>
        <w:rPr>
          <w:color w:val="auto"/>
        </w:rPr>
        <w:t>其他特定资格要求：</w:t>
      </w:r>
    </w:p>
    <w:p w14:paraId="5AF4C95A">
      <w:pPr>
        <w:pStyle w:val="269"/>
        <w:spacing w:before="0" w:beforeAutospacing="0" w:after="0" w:afterAutospacing="0" w:line="360" w:lineRule="auto"/>
        <w:ind w:firstLine="480" w:firstLineChars="200"/>
        <w:rPr>
          <w:rFonts w:hint="eastAsia" w:cs="Times New Roman"/>
          <w:color w:val="auto"/>
          <w:kern w:val="2"/>
        </w:rPr>
      </w:pPr>
      <w:bookmarkStart w:id="28" w:name="OLE_LINK6"/>
      <w:r>
        <w:rPr>
          <w:rFonts w:hint="eastAsia" w:cs="Times New Roman"/>
          <w:color w:val="auto"/>
          <w:kern w:val="2"/>
        </w:rPr>
        <w:t>3.2.1 特定资格要求：</w:t>
      </w:r>
    </w:p>
    <w:bookmarkEnd w:id="28"/>
    <w:p w14:paraId="682C94F8">
      <w:pPr>
        <w:pStyle w:val="269"/>
        <w:spacing w:before="0" w:beforeAutospacing="0" w:after="0" w:afterAutospacing="0" w:line="360" w:lineRule="auto"/>
        <w:ind w:firstLine="480" w:firstLineChars="200"/>
        <w:rPr>
          <w:rFonts w:cs="Times New Roman"/>
          <w:color w:val="auto"/>
          <w:kern w:val="2"/>
        </w:rPr>
      </w:pPr>
      <w:r>
        <w:rPr>
          <w:rFonts w:hint="eastAsia" w:cs="Times New Roman"/>
          <w:color w:val="auto"/>
          <w:kern w:val="2"/>
        </w:rPr>
        <w:t>本项目各包次供应商均需满足以下特定资格要求：</w:t>
      </w:r>
    </w:p>
    <w:p w14:paraId="13F03F18">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（1）</w:t>
      </w:r>
      <w:r>
        <w:rPr>
          <w:rFonts w:hint="eastAsia" w:cs="Times New Roman"/>
          <w:color w:val="auto"/>
          <w:kern w:val="2"/>
          <w:u w:val="single"/>
        </w:rPr>
        <w:t>供应商须具备建设行政主管部门颁发的有效的建筑工程施工总承包三级（含以上级）资质</w:t>
      </w:r>
      <w:r>
        <w:rPr>
          <w:rFonts w:hint="eastAsia" w:cs="Times New Roman"/>
          <w:color w:val="auto"/>
          <w:kern w:val="2"/>
        </w:rPr>
        <w:t>；</w:t>
      </w:r>
    </w:p>
    <w:p w14:paraId="02B146A7">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（2）</w:t>
      </w:r>
      <w:r>
        <w:rPr>
          <w:rFonts w:hint="eastAsia" w:cs="Times New Roman"/>
          <w:color w:val="auto"/>
          <w:kern w:val="2"/>
          <w:u w:val="single"/>
        </w:rPr>
        <w:t>供应商须具备建设行政主管部门颁发的有效的《安全生产许可证》，且未被北京市住房城乡建设主管部门</w:t>
      </w:r>
      <w:bookmarkStart w:id="29" w:name="OLE_LINK4"/>
      <w:r>
        <w:rPr>
          <w:rFonts w:hint="eastAsia" w:cs="Times New Roman"/>
          <w:color w:val="auto"/>
          <w:kern w:val="2"/>
          <w:u w:val="single"/>
        </w:rPr>
        <w:t>暂扣</w:t>
      </w:r>
      <w:bookmarkEnd w:id="29"/>
      <w:r>
        <w:rPr>
          <w:rFonts w:hint="eastAsia" w:cs="Times New Roman"/>
          <w:color w:val="auto"/>
          <w:kern w:val="2"/>
        </w:rPr>
        <w:t>；</w:t>
      </w:r>
    </w:p>
    <w:p w14:paraId="65F01A5B">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（3）</w:t>
      </w:r>
      <w:r>
        <w:rPr>
          <w:rFonts w:hint="eastAsia" w:cs="Times New Roman"/>
          <w:color w:val="auto"/>
          <w:kern w:val="2"/>
          <w:u w:val="single"/>
        </w:rPr>
        <w:t>供应商不存在被北京市住房城乡建设主管部门标注资质（本项目所涉及资质）异常且未完成整改情形</w:t>
      </w:r>
      <w:r>
        <w:rPr>
          <w:rFonts w:hint="eastAsia" w:cs="Times New Roman"/>
          <w:color w:val="auto"/>
          <w:kern w:val="2"/>
        </w:rPr>
        <w:t>；</w:t>
      </w:r>
    </w:p>
    <w:p w14:paraId="472FFCE9">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（4）</w:t>
      </w:r>
      <w:r>
        <w:rPr>
          <w:rFonts w:hint="eastAsia" w:cs="Times New Roman"/>
          <w:color w:val="auto"/>
          <w:kern w:val="2"/>
          <w:u w:val="single"/>
        </w:rPr>
        <w:t>供应商未被北京市住房城乡建设主管部门警示为施工安全风险企业</w:t>
      </w:r>
      <w:r>
        <w:rPr>
          <w:rFonts w:hint="eastAsia" w:cs="Times New Roman"/>
          <w:color w:val="auto"/>
          <w:kern w:val="2"/>
        </w:rPr>
        <w:t>；</w:t>
      </w:r>
    </w:p>
    <w:p w14:paraId="17065E0C">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（5）</w:t>
      </w:r>
      <w:r>
        <w:rPr>
          <w:rFonts w:hint="eastAsia" w:cs="Times New Roman"/>
          <w:color w:val="auto"/>
          <w:kern w:val="2"/>
          <w:u w:val="single"/>
        </w:rPr>
        <w:t>供应商拟派项目经理须具备建筑工程专业二级注册建造师执业资格，具备有效的安全生产考核合格证书（B本），且在确定成交人时不得担任其他在施建设工程项目的项目经理</w:t>
      </w:r>
      <w:r>
        <w:rPr>
          <w:rFonts w:hint="eastAsia" w:cs="Times New Roman"/>
          <w:color w:val="auto"/>
          <w:kern w:val="2"/>
        </w:rPr>
        <w:t>。</w:t>
      </w:r>
    </w:p>
    <w:bookmarkEnd w:id="26"/>
    <w:bookmarkEnd w:id="27"/>
    <w:p w14:paraId="6A52BF4F">
      <w:pPr>
        <w:pStyle w:val="3"/>
        <w:widowControl/>
        <w:spacing w:before="0" w:line="360" w:lineRule="auto"/>
        <w:jc w:val="left"/>
        <w:rPr>
          <w:rFonts w:hint="eastAsia" w:ascii="宋体" w:hAnsi="宋体" w:eastAsia="宋体"/>
          <w:color w:val="auto"/>
          <w:sz w:val="24"/>
          <w:szCs w:val="24"/>
        </w:rPr>
      </w:pPr>
      <w:bookmarkStart w:id="30" w:name="_Toc35393792"/>
      <w:bookmarkStart w:id="31" w:name="_Toc35393623"/>
      <w:r>
        <w:rPr>
          <w:rFonts w:ascii="宋体" w:hAnsi="宋体" w:eastAsia="宋体"/>
          <w:color w:val="auto"/>
          <w:sz w:val="24"/>
          <w:szCs w:val="24"/>
        </w:rPr>
        <w:t>三、获取采购文件</w:t>
      </w:r>
      <w:bookmarkEnd w:id="30"/>
      <w:bookmarkEnd w:id="31"/>
    </w:p>
    <w:p w14:paraId="03822872">
      <w:pPr>
        <w:adjustRightInd w:val="0"/>
        <w:snapToGrid w:val="0"/>
        <w:spacing w:line="360" w:lineRule="auto"/>
        <w:ind w:firstLine="480" w:firstLineChars="200"/>
        <w:rPr>
          <w:rFonts w:hint="eastAsia" w:ascii="宋体" w:hAnsi="宋体"/>
          <w:color w:val="auto"/>
          <w:sz w:val="24"/>
          <w:lang w:bidi="ar"/>
        </w:rPr>
      </w:pPr>
      <w:r>
        <w:rPr>
          <w:rFonts w:ascii="宋体" w:hAnsi="宋体"/>
          <w:color w:val="auto"/>
          <w:sz w:val="24"/>
          <w:lang w:bidi="ar"/>
        </w:rPr>
        <w:t>1.时间：</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bidi="ar"/>
        </w:rPr>
        <w:t>2</w:t>
      </w:r>
      <w:r>
        <w:rPr>
          <w:rFonts w:ascii="宋体" w:hAnsi="宋体"/>
          <w:color w:val="auto"/>
          <w:sz w:val="24"/>
          <w:lang w:bidi="ar"/>
        </w:rPr>
        <w:t>月</w:t>
      </w:r>
      <w:r>
        <w:rPr>
          <w:rFonts w:hint="eastAsia" w:ascii="宋体" w:hAnsi="宋体"/>
          <w:color w:val="auto"/>
          <w:sz w:val="24"/>
          <w:u w:val="single"/>
          <w:lang w:val="en-US" w:eastAsia="zh-CN"/>
        </w:rPr>
        <w:t>12</w:t>
      </w:r>
      <w:r>
        <w:rPr>
          <w:rFonts w:ascii="宋体" w:hAnsi="宋体"/>
          <w:color w:val="auto"/>
          <w:sz w:val="24"/>
          <w:lang w:bidi="ar"/>
        </w:rPr>
        <w:t>日至</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25</w:t>
      </w:r>
      <w:r>
        <w:rPr>
          <w:rFonts w:ascii="宋体" w:hAnsi="宋体"/>
          <w:color w:val="auto"/>
          <w:sz w:val="24"/>
          <w:lang w:bidi="ar"/>
        </w:rPr>
        <w:t>日，每天上午</w:t>
      </w:r>
      <w:r>
        <w:rPr>
          <w:rFonts w:ascii="宋体" w:hAnsi="宋体"/>
          <w:color w:val="auto"/>
          <w:sz w:val="24"/>
          <w:u w:val="single"/>
        </w:rPr>
        <w:t>09:00</w:t>
      </w:r>
      <w:r>
        <w:rPr>
          <w:rFonts w:ascii="宋体" w:hAnsi="宋体"/>
          <w:color w:val="auto"/>
          <w:sz w:val="24"/>
          <w:lang w:bidi="ar"/>
        </w:rPr>
        <w:t>至</w:t>
      </w:r>
      <w:r>
        <w:rPr>
          <w:rFonts w:ascii="宋体" w:hAnsi="宋体"/>
          <w:color w:val="auto"/>
          <w:sz w:val="24"/>
          <w:u w:val="single"/>
        </w:rPr>
        <w:t>12:00</w:t>
      </w:r>
      <w:r>
        <w:rPr>
          <w:rFonts w:ascii="宋体" w:hAnsi="宋体"/>
          <w:color w:val="auto"/>
          <w:sz w:val="24"/>
          <w:lang w:bidi="ar"/>
        </w:rPr>
        <w:t>，下午</w:t>
      </w:r>
      <w:r>
        <w:rPr>
          <w:rFonts w:ascii="宋体" w:hAnsi="宋体"/>
          <w:color w:val="auto"/>
          <w:sz w:val="24"/>
          <w:u w:val="single"/>
        </w:rPr>
        <w:t>12:00</w:t>
      </w:r>
      <w:r>
        <w:rPr>
          <w:rFonts w:ascii="宋体" w:hAnsi="宋体"/>
          <w:color w:val="auto"/>
          <w:sz w:val="24"/>
          <w:lang w:bidi="ar"/>
        </w:rPr>
        <w:t>至</w:t>
      </w:r>
      <w:r>
        <w:rPr>
          <w:rFonts w:ascii="宋体" w:hAnsi="宋体"/>
          <w:color w:val="auto"/>
          <w:sz w:val="24"/>
          <w:u w:val="single"/>
        </w:rPr>
        <w:t>17:00</w:t>
      </w:r>
      <w:r>
        <w:rPr>
          <w:rFonts w:ascii="宋体" w:hAnsi="宋体"/>
          <w:color w:val="auto"/>
          <w:sz w:val="24"/>
          <w:lang w:bidi="ar"/>
        </w:rPr>
        <w:t>（北京时间，法定节假日除外）。</w:t>
      </w:r>
    </w:p>
    <w:p w14:paraId="335662B9">
      <w:pPr>
        <w:adjustRightInd w:val="0"/>
        <w:snapToGrid w:val="0"/>
        <w:spacing w:line="360" w:lineRule="auto"/>
        <w:ind w:firstLine="480" w:firstLineChars="200"/>
        <w:rPr>
          <w:rFonts w:hint="eastAsia" w:ascii="宋体" w:hAnsi="宋体"/>
          <w:color w:val="auto"/>
          <w:sz w:val="24"/>
        </w:rPr>
      </w:pPr>
      <w:r>
        <w:rPr>
          <w:rFonts w:ascii="宋体" w:hAnsi="宋体"/>
          <w:color w:val="auto"/>
          <w:sz w:val="24"/>
          <w:lang w:bidi="ar"/>
        </w:rPr>
        <w:t>2.地点：</w:t>
      </w:r>
      <w:r>
        <w:rPr>
          <w:rFonts w:hint="eastAsia" w:ascii="宋体" w:hAnsi="宋体"/>
          <w:color w:val="auto"/>
          <w:sz w:val="24"/>
          <w:lang w:bidi="ar"/>
        </w:rPr>
        <w:t>北京市政府采购电子交易平台</w:t>
      </w:r>
    </w:p>
    <w:p w14:paraId="14162DB9">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3.方式：供应商使用CA数字证书或电子营业执照登录北京市政府采购电子交易平台</w:t>
      </w:r>
      <w:r>
        <w:rPr>
          <w:rFonts w:hint="eastAsia" w:ascii="宋体" w:hAnsi="宋体"/>
          <w:color w:val="auto"/>
          <w:spacing w:val="-6"/>
          <w:sz w:val="24"/>
          <w:lang w:bidi="ar"/>
        </w:rPr>
        <w:t>（http://zbcg-bjzc.zhongcy.com/bjczj-portal-site/index.html#/home）</w:t>
      </w:r>
      <w:r>
        <w:rPr>
          <w:rFonts w:ascii="宋体" w:hAnsi="宋体"/>
          <w:color w:val="auto"/>
          <w:sz w:val="24"/>
          <w:lang w:bidi="ar"/>
        </w:rPr>
        <w:t>获取电子版竞争性磋商文件。</w:t>
      </w:r>
    </w:p>
    <w:p w14:paraId="31E4D5DE">
      <w:pPr>
        <w:widowControl/>
        <w:adjustRightInd w:val="0"/>
        <w:snapToGrid w:val="0"/>
        <w:spacing w:line="360" w:lineRule="auto"/>
        <w:ind w:firstLine="480" w:firstLineChars="200"/>
        <w:jc w:val="left"/>
        <w:rPr>
          <w:rFonts w:hint="eastAsia" w:ascii="宋体" w:hAnsi="宋体"/>
          <w:color w:val="auto"/>
          <w:sz w:val="24"/>
        </w:rPr>
      </w:pPr>
      <w:r>
        <w:rPr>
          <w:rFonts w:ascii="宋体" w:hAnsi="宋体"/>
          <w:color w:val="auto"/>
          <w:sz w:val="24"/>
          <w:lang w:bidi="ar"/>
        </w:rPr>
        <w:t>4.售价：0元。</w:t>
      </w:r>
    </w:p>
    <w:p w14:paraId="32ED8050">
      <w:pPr>
        <w:pStyle w:val="3"/>
        <w:widowControl/>
        <w:spacing w:before="0" w:line="360" w:lineRule="auto"/>
        <w:jc w:val="left"/>
        <w:rPr>
          <w:rFonts w:hint="eastAsia" w:ascii="宋体" w:hAnsi="宋体" w:eastAsia="宋体"/>
          <w:color w:val="auto"/>
          <w:sz w:val="24"/>
          <w:szCs w:val="24"/>
        </w:rPr>
      </w:pPr>
      <w:bookmarkStart w:id="32" w:name="_Toc28359082"/>
      <w:bookmarkStart w:id="33" w:name="_Toc35393793"/>
      <w:bookmarkStart w:id="34" w:name="_Toc35393624"/>
      <w:bookmarkStart w:id="35" w:name="_Toc28359005"/>
      <w:r>
        <w:rPr>
          <w:rFonts w:ascii="宋体" w:hAnsi="宋体" w:eastAsia="宋体"/>
          <w:color w:val="auto"/>
          <w:sz w:val="24"/>
          <w:szCs w:val="24"/>
        </w:rPr>
        <w:t>四、</w:t>
      </w:r>
      <w:bookmarkEnd w:id="32"/>
      <w:bookmarkEnd w:id="33"/>
      <w:bookmarkEnd w:id="34"/>
      <w:bookmarkEnd w:id="35"/>
      <w:r>
        <w:rPr>
          <w:rFonts w:ascii="宋体" w:hAnsi="宋体" w:eastAsia="宋体"/>
          <w:color w:val="auto"/>
          <w:sz w:val="24"/>
          <w:szCs w:val="24"/>
        </w:rPr>
        <w:t>响应文件提交</w:t>
      </w:r>
    </w:p>
    <w:p w14:paraId="5C604EA8">
      <w:pPr>
        <w:spacing w:line="360" w:lineRule="auto"/>
        <w:ind w:firstLine="480" w:firstLineChars="200"/>
        <w:rPr>
          <w:rFonts w:hint="eastAsia" w:ascii="宋体" w:hAnsi="宋体"/>
          <w:bCs/>
          <w:color w:val="auto"/>
          <w:sz w:val="24"/>
          <w:u w:val="single"/>
        </w:rPr>
      </w:pPr>
      <w:r>
        <w:rPr>
          <w:rFonts w:ascii="宋体" w:hAnsi="宋体"/>
          <w:color w:val="auto"/>
          <w:sz w:val="24"/>
          <w:lang w:bidi="ar"/>
        </w:rPr>
        <w:t>截止时间：</w:t>
      </w:r>
      <w:bookmarkStart w:id="36" w:name="OLE_LINK17"/>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27</w:t>
      </w:r>
      <w:r>
        <w:rPr>
          <w:rFonts w:ascii="宋体" w:hAnsi="宋体"/>
          <w:color w:val="auto"/>
          <w:sz w:val="24"/>
          <w:lang w:bidi="ar"/>
        </w:rPr>
        <w:t>日</w:t>
      </w:r>
      <w:r>
        <w:rPr>
          <w:rFonts w:ascii="宋体" w:hAnsi="宋体"/>
          <w:color w:val="auto"/>
          <w:sz w:val="24"/>
          <w:u w:val="single"/>
        </w:rPr>
        <w:t>9</w:t>
      </w:r>
      <w:r>
        <w:rPr>
          <w:rFonts w:ascii="宋体" w:hAnsi="宋体"/>
          <w:color w:val="auto"/>
          <w:sz w:val="24"/>
          <w:lang w:bidi="ar"/>
        </w:rPr>
        <w:t>点</w:t>
      </w:r>
      <w:r>
        <w:rPr>
          <w:rFonts w:ascii="宋体" w:hAnsi="宋体"/>
          <w:color w:val="auto"/>
          <w:sz w:val="24"/>
          <w:u w:val="single"/>
        </w:rPr>
        <w:t>30</w:t>
      </w:r>
      <w:r>
        <w:rPr>
          <w:rFonts w:ascii="宋体" w:hAnsi="宋体"/>
          <w:color w:val="auto"/>
          <w:sz w:val="24"/>
          <w:lang w:bidi="ar"/>
        </w:rPr>
        <w:t>分</w:t>
      </w:r>
      <w:bookmarkEnd w:id="36"/>
      <w:r>
        <w:rPr>
          <w:rFonts w:ascii="宋体" w:hAnsi="宋体"/>
          <w:bCs/>
          <w:color w:val="auto"/>
          <w:sz w:val="24"/>
          <w:lang w:bidi="ar"/>
        </w:rPr>
        <w:t>（北京时间）</w:t>
      </w:r>
      <w:r>
        <w:rPr>
          <w:rFonts w:ascii="宋体" w:hAnsi="宋体"/>
          <w:iCs/>
          <w:color w:val="auto"/>
          <w:sz w:val="24"/>
          <w:lang w:bidi="ar"/>
        </w:rPr>
        <w:t>。</w:t>
      </w:r>
    </w:p>
    <w:p w14:paraId="75B67BD0">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地点：</w:t>
      </w:r>
      <w:r>
        <w:rPr>
          <w:rFonts w:hint="eastAsia" w:ascii="宋体" w:hAnsi="宋体"/>
          <w:color w:val="auto"/>
          <w:sz w:val="24"/>
          <w:lang w:bidi="ar"/>
        </w:rPr>
        <w:t>北京市政府采购电子交易平台</w:t>
      </w:r>
      <w:r>
        <w:rPr>
          <w:color w:val="auto"/>
          <w:sz w:val="24"/>
          <w:lang w:val="zh-TW" w:bidi="ar"/>
        </w:rPr>
        <w:t>。</w:t>
      </w:r>
      <w:r>
        <w:rPr>
          <w:rFonts w:hint="eastAsia" w:ascii="宋体" w:hAnsi="宋体"/>
          <w:color w:val="auto"/>
          <w:sz w:val="24"/>
          <w:u w:val="single"/>
          <w:lang w:bidi="ar"/>
        </w:rPr>
        <w:t>（http://zbcg-bjzc.zhongcy.com/bjczj-portal-site/index.html#/home）</w:t>
      </w:r>
    </w:p>
    <w:p w14:paraId="74B8D345">
      <w:pPr>
        <w:pStyle w:val="3"/>
        <w:spacing w:line="360" w:lineRule="auto"/>
        <w:jc w:val="left"/>
        <w:rPr>
          <w:rFonts w:hint="eastAsia" w:ascii="宋体" w:hAnsi="宋体" w:eastAsia="宋体"/>
          <w:color w:val="auto"/>
          <w:sz w:val="24"/>
          <w:szCs w:val="24"/>
        </w:rPr>
      </w:pPr>
      <w:r>
        <w:rPr>
          <w:rFonts w:ascii="宋体" w:hAnsi="宋体" w:eastAsia="宋体"/>
          <w:color w:val="auto"/>
          <w:sz w:val="24"/>
          <w:szCs w:val="24"/>
        </w:rPr>
        <w:t>五、开启</w:t>
      </w:r>
    </w:p>
    <w:p w14:paraId="718DEFE1">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时间：</w:t>
      </w:r>
      <w:r>
        <w:rPr>
          <w:rFonts w:ascii="宋体" w:hAnsi="宋体"/>
          <w:color w:val="auto"/>
          <w:sz w:val="24"/>
          <w:u w:val="single"/>
        </w:rPr>
        <w:t>202</w:t>
      </w:r>
      <w:r>
        <w:rPr>
          <w:rFonts w:hint="eastAsia" w:ascii="宋体" w:hAnsi="宋体"/>
          <w:color w:val="auto"/>
          <w:sz w:val="24"/>
          <w:u w:val="single"/>
        </w:rPr>
        <w:t>6</w:t>
      </w:r>
      <w:r>
        <w:rPr>
          <w:rFonts w:ascii="宋体" w:hAnsi="宋体"/>
          <w:color w:val="auto"/>
          <w:sz w:val="24"/>
          <w:lang w:bidi="ar"/>
        </w:rPr>
        <w:t>年</w:t>
      </w:r>
      <w:r>
        <w:rPr>
          <w:rFonts w:hint="eastAsia" w:ascii="宋体" w:hAnsi="宋体"/>
          <w:color w:val="auto"/>
          <w:sz w:val="24"/>
          <w:u w:val="single"/>
          <w:lang w:val="en-US" w:eastAsia="zh-CN"/>
        </w:rPr>
        <w:t>2</w:t>
      </w:r>
      <w:r>
        <w:rPr>
          <w:rFonts w:ascii="宋体" w:hAnsi="宋体"/>
          <w:color w:val="auto"/>
          <w:sz w:val="24"/>
          <w:lang w:bidi="ar"/>
        </w:rPr>
        <w:t>月</w:t>
      </w:r>
      <w:r>
        <w:rPr>
          <w:rFonts w:hint="eastAsia" w:ascii="宋体" w:hAnsi="宋体"/>
          <w:color w:val="auto"/>
          <w:sz w:val="24"/>
          <w:u w:val="single"/>
          <w:lang w:val="en-US" w:eastAsia="zh-CN"/>
        </w:rPr>
        <w:t>27</w:t>
      </w:r>
      <w:r>
        <w:rPr>
          <w:rFonts w:ascii="宋体" w:hAnsi="宋体"/>
          <w:color w:val="auto"/>
          <w:sz w:val="24"/>
          <w:lang w:bidi="ar"/>
        </w:rPr>
        <w:t>日</w:t>
      </w:r>
      <w:r>
        <w:rPr>
          <w:rFonts w:ascii="宋体" w:hAnsi="宋体"/>
          <w:color w:val="auto"/>
          <w:sz w:val="24"/>
          <w:u w:val="single"/>
        </w:rPr>
        <w:t>9</w:t>
      </w:r>
      <w:r>
        <w:rPr>
          <w:rFonts w:ascii="宋体" w:hAnsi="宋体"/>
          <w:color w:val="auto"/>
          <w:sz w:val="24"/>
          <w:lang w:bidi="ar"/>
        </w:rPr>
        <w:t>点</w:t>
      </w:r>
      <w:r>
        <w:rPr>
          <w:rFonts w:ascii="宋体" w:hAnsi="宋体"/>
          <w:color w:val="auto"/>
          <w:sz w:val="24"/>
          <w:u w:val="single"/>
        </w:rPr>
        <w:t>30</w:t>
      </w:r>
      <w:r>
        <w:rPr>
          <w:rFonts w:ascii="宋体" w:hAnsi="宋体"/>
          <w:color w:val="auto"/>
          <w:sz w:val="24"/>
          <w:lang w:bidi="ar"/>
        </w:rPr>
        <w:t>分（北京时间）。</w:t>
      </w:r>
    </w:p>
    <w:p w14:paraId="6D3887A4">
      <w:pPr>
        <w:widowControl/>
        <w:adjustRightInd w:val="0"/>
        <w:snapToGrid w:val="0"/>
        <w:spacing w:line="360" w:lineRule="auto"/>
        <w:ind w:firstLine="480" w:firstLineChars="200"/>
        <w:jc w:val="left"/>
        <w:rPr>
          <w:rFonts w:hint="eastAsia" w:ascii="宋体" w:hAnsi="宋体"/>
          <w:color w:val="auto"/>
          <w:sz w:val="24"/>
          <w:lang w:bidi="ar"/>
        </w:rPr>
      </w:pPr>
      <w:r>
        <w:rPr>
          <w:rFonts w:ascii="宋体" w:hAnsi="宋体"/>
          <w:color w:val="auto"/>
          <w:sz w:val="24"/>
          <w:lang w:bidi="ar"/>
        </w:rPr>
        <w:t>地点：</w:t>
      </w:r>
      <w:r>
        <w:rPr>
          <w:rFonts w:hint="eastAsia" w:ascii="宋体" w:hAnsi="宋体"/>
          <w:color w:val="auto"/>
          <w:sz w:val="24"/>
          <w:u w:val="single"/>
          <w:lang w:bidi="ar"/>
        </w:rPr>
        <w:t>北京市顺义区幸福西街2-2室（同仁堂药店西侧）</w:t>
      </w:r>
      <w:r>
        <w:rPr>
          <w:color w:val="auto"/>
          <w:sz w:val="24"/>
          <w:lang w:val="zh-TW" w:bidi="ar"/>
        </w:rPr>
        <w:t>。</w:t>
      </w:r>
    </w:p>
    <w:p w14:paraId="2CB896FD">
      <w:pPr>
        <w:pStyle w:val="3"/>
        <w:spacing w:line="360" w:lineRule="auto"/>
        <w:jc w:val="left"/>
        <w:rPr>
          <w:rFonts w:hint="eastAsia" w:ascii="宋体" w:hAnsi="宋体" w:eastAsia="宋体"/>
          <w:color w:val="auto"/>
          <w:sz w:val="24"/>
          <w:szCs w:val="24"/>
        </w:rPr>
      </w:pPr>
      <w:bookmarkStart w:id="37" w:name="_Toc35393794"/>
      <w:bookmarkStart w:id="38" w:name="_Toc28359084"/>
      <w:bookmarkStart w:id="39" w:name="_Toc28359007"/>
      <w:bookmarkStart w:id="40" w:name="_Toc35393625"/>
      <w:r>
        <w:rPr>
          <w:rFonts w:ascii="宋体" w:hAnsi="宋体" w:eastAsia="宋体"/>
          <w:color w:val="auto"/>
          <w:sz w:val="24"/>
          <w:szCs w:val="24"/>
        </w:rPr>
        <w:t>六、公告期限</w:t>
      </w:r>
      <w:bookmarkEnd w:id="37"/>
      <w:bookmarkEnd w:id="38"/>
      <w:bookmarkEnd w:id="39"/>
      <w:bookmarkEnd w:id="40"/>
    </w:p>
    <w:p w14:paraId="40853DDA">
      <w:pPr>
        <w:spacing w:line="360" w:lineRule="auto"/>
        <w:ind w:firstLine="480" w:firstLineChars="200"/>
        <w:rPr>
          <w:rFonts w:hint="eastAsia" w:ascii="宋体" w:hAnsi="宋体"/>
          <w:color w:val="auto"/>
          <w:kern w:val="0"/>
          <w:sz w:val="24"/>
        </w:rPr>
      </w:pPr>
      <w:r>
        <w:rPr>
          <w:rFonts w:ascii="宋体" w:hAnsi="宋体"/>
          <w:color w:val="auto"/>
          <w:kern w:val="0"/>
          <w:sz w:val="24"/>
        </w:rPr>
        <w:t>自本公告发布之日起3个工作日。</w:t>
      </w:r>
    </w:p>
    <w:p w14:paraId="52A2BB25">
      <w:pPr>
        <w:pStyle w:val="3"/>
        <w:spacing w:line="360" w:lineRule="auto"/>
        <w:jc w:val="left"/>
        <w:rPr>
          <w:rFonts w:hint="eastAsia" w:ascii="宋体" w:hAnsi="宋体" w:eastAsia="宋体"/>
          <w:color w:val="auto"/>
          <w:sz w:val="24"/>
          <w:szCs w:val="24"/>
        </w:rPr>
      </w:pPr>
      <w:bookmarkStart w:id="41" w:name="_Toc35393795"/>
      <w:bookmarkStart w:id="42" w:name="_Toc35393626"/>
      <w:r>
        <w:rPr>
          <w:rFonts w:ascii="宋体" w:hAnsi="宋体" w:eastAsia="宋体"/>
          <w:color w:val="auto"/>
          <w:sz w:val="24"/>
          <w:szCs w:val="24"/>
        </w:rPr>
        <w:t>七、其他补充事宜</w:t>
      </w:r>
      <w:bookmarkEnd w:id="41"/>
      <w:bookmarkEnd w:id="42"/>
    </w:p>
    <w:p w14:paraId="47F26A4F">
      <w:pPr>
        <w:spacing w:line="360" w:lineRule="auto"/>
        <w:ind w:firstLine="480" w:firstLineChars="200"/>
        <w:rPr>
          <w:rFonts w:hint="eastAsia" w:ascii="宋体" w:hAnsi="宋体"/>
          <w:color w:val="auto"/>
          <w:sz w:val="24"/>
        </w:rPr>
      </w:pPr>
      <w:r>
        <w:rPr>
          <w:rFonts w:ascii="宋体" w:hAnsi="宋体"/>
          <w:color w:val="auto"/>
          <w:sz w:val="24"/>
        </w:rPr>
        <w:t>1.本项目需要落实的政府采购政策：</w:t>
      </w:r>
      <w:r>
        <w:rPr>
          <w:rFonts w:hint="eastAsia" w:ascii="宋体" w:hAnsi="宋体"/>
          <w:color w:val="auto"/>
          <w:sz w:val="24"/>
          <w:lang w:bidi="ar"/>
        </w:rPr>
        <w:t>本项目需要落实</w:t>
      </w:r>
      <w:r>
        <w:rPr>
          <w:rFonts w:hint="eastAsia" w:ascii="宋体" w:hAnsi="宋体"/>
          <w:color w:val="auto"/>
          <w:sz w:val="24"/>
          <w:u w:val="single"/>
          <w:lang w:bidi="ar"/>
        </w:rPr>
        <w:t>促进中小企业、监狱企业及残疾人福利性单位发展、节能环保</w:t>
      </w:r>
      <w:r>
        <w:rPr>
          <w:rFonts w:hint="eastAsia" w:ascii="宋体" w:hAnsi="宋体"/>
          <w:color w:val="auto"/>
          <w:sz w:val="24"/>
          <w:lang w:bidi="ar"/>
        </w:rPr>
        <w:t>等政府采购政策（具体要求见竞争性磋商文件）</w:t>
      </w:r>
      <w:r>
        <w:rPr>
          <w:rFonts w:ascii="宋体" w:hAnsi="宋体"/>
          <w:color w:val="auto"/>
          <w:sz w:val="24"/>
          <w:lang w:bidi="ar"/>
        </w:rPr>
        <w:t>。</w:t>
      </w:r>
    </w:p>
    <w:p w14:paraId="39E539C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E77D43">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CA数字证书服务热线010-58511086</w:t>
      </w:r>
    </w:p>
    <w:p w14:paraId="30BD3C9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电子营业执照服务热线 400-699-7000</w:t>
      </w:r>
    </w:p>
    <w:p w14:paraId="66CB6BF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技术支持服务热线 010-86483801</w:t>
      </w:r>
    </w:p>
    <w:p w14:paraId="24F9B228">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2.1 办理CA数字证书或电子营业执照</w:t>
      </w:r>
    </w:p>
    <w:p w14:paraId="1A3470B1">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供应商登录北京市政府采购电子交易平台查阅“用户指南”—“操作指南”—“市场主体CA办理操作流程指引”/“电子营业执照使用指南”，按照程序要求办理。</w:t>
      </w:r>
    </w:p>
    <w:p w14:paraId="68D3E6B4">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2.2 注册</w:t>
      </w:r>
    </w:p>
    <w:p w14:paraId="24466E45">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供应商登录北京市政府采购电子交易平台“用户指南”—“操作指南”—“市场主体注册入库操作流程指引”进行自助注册绑定。</w:t>
      </w:r>
    </w:p>
    <w:p w14:paraId="3D010F9A">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2.3 驱动、客户端下载</w:t>
      </w:r>
    </w:p>
    <w:p w14:paraId="6CC06C2C">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供应商登录北京市政府采购电子交易平台“用户指南”—“工具下载”—“招标采购系统文件驱动安装包”下载相关驱动。 </w:t>
      </w:r>
    </w:p>
    <w:p w14:paraId="2D02BD09">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供应商登录北京市政府采购电子交易平台“用户指南”—“工具下载”—“投标文件编制工具”下载相关客户端。</w:t>
      </w:r>
    </w:p>
    <w:p w14:paraId="5D1ACF38">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2.4 获取电子竞争性磋商文件</w:t>
      </w:r>
    </w:p>
    <w:p w14:paraId="688C861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供应商使用CA数字证书或电子营业执照登录北京市政府采购电子交易平台获取电子竞争性磋商文件。</w:t>
      </w:r>
    </w:p>
    <w:p w14:paraId="7200E5A9">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27778546">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2.5 编制电子响应文件 </w:t>
      </w:r>
    </w:p>
    <w:p w14:paraId="2F409217">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5B315704">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2.6 提交电子响应文件</w:t>
      </w:r>
    </w:p>
    <w:p w14:paraId="0EE42C6B">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供应商应于响应文件提交截止时间前在平台提交电子响应文件，上传电子响应文件过程中请保持与互联网的连接畅通。</w:t>
      </w:r>
    </w:p>
    <w:p w14:paraId="6288B0ED">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 xml:space="preserve">2.7 开启响应文件 </w:t>
      </w:r>
    </w:p>
    <w:p w14:paraId="30F86CCF">
      <w:pPr>
        <w:spacing w:line="360" w:lineRule="auto"/>
        <w:ind w:firstLine="480" w:firstLineChars="200"/>
        <w:rPr>
          <w:rFonts w:hint="eastAsia" w:ascii="宋体" w:hAnsi="宋体"/>
          <w:color w:val="auto"/>
          <w:sz w:val="24"/>
          <w:lang w:bidi="ar"/>
        </w:rPr>
      </w:pPr>
      <w:r>
        <w:rPr>
          <w:rFonts w:hint="eastAsia" w:ascii="宋体" w:hAnsi="宋体"/>
          <w:color w:val="auto"/>
          <w:sz w:val="24"/>
          <w:lang w:bidi="ar"/>
        </w:rPr>
        <w:t>供应商于磋商文件规定的开启时间、在开启地点使用CA数字证书或电子营业执照登录北京市政府采购电子交易平台解密并开启响应文件。如因供应商问题，解密不成功，则响应无效。</w:t>
      </w:r>
    </w:p>
    <w:p w14:paraId="7B897924">
      <w:pPr>
        <w:pStyle w:val="1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olor w:val="auto"/>
          <w:sz w:val="24"/>
          <w:lang w:bidi="ar"/>
        </w:rPr>
      </w:pPr>
      <w:r>
        <w:rPr>
          <w:rFonts w:hint="eastAsia" w:ascii="宋体" w:hAnsi="宋体"/>
          <w:color w:val="auto"/>
          <w:sz w:val="24"/>
          <w:lang w:bidi="ar"/>
        </w:rPr>
        <w:t>3.</w:t>
      </w:r>
      <w:r>
        <w:rPr>
          <w:rFonts w:hint="eastAsia" w:ascii="宋体" w:hAnsi="宋体"/>
          <w:color w:val="auto"/>
          <w:sz w:val="24"/>
        </w:rPr>
        <w:t>本项目共划分2个包次，本采购包的包号为01/02</w:t>
      </w:r>
      <w:r>
        <w:rPr>
          <w:rFonts w:hint="eastAsia" w:ascii="宋体" w:hAnsi="宋体"/>
          <w:color w:val="auto"/>
          <w:sz w:val="24"/>
          <w:lang w:eastAsia="zh-CN"/>
        </w:rPr>
        <w:t>，</w:t>
      </w:r>
      <w:r>
        <w:rPr>
          <w:rFonts w:hint="eastAsia" w:ascii="宋体" w:hAnsi="宋体"/>
          <w:color w:val="auto"/>
          <w:sz w:val="24"/>
          <w:lang w:bidi="ar"/>
        </w:rPr>
        <w:t>其中01包</w:t>
      </w:r>
      <w:r>
        <w:rPr>
          <w:rFonts w:hint="eastAsia" w:ascii="宋体" w:hAnsi="宋体"/>
          <w:color w:val="auto"/>
          <w:sz w:val="24"/>
          <w:lang w:eastAsia="zh-CN" w:bidi="ar"/>
        </w:rPr>
        <w:t>2026年拆违任务</w:t>
      </w:r>
      <w:r>
        <w:rPr>
          <w:rFonts w:hint="eastAsia" w:ascii="宋体" w:hAnsi="宋体"/>
          <w:color w:val="auto"/>
          <w:sz w:val="24"/>
          <w:lang w:bidi="ar"/>
        </w:rPr>
        <w:t>（一标段）</w:t>
      </w:r>
      <w:r>
        <w:rPr>
          <w:rFonts w:ascii="宋体" w:hAnsi="宋体"/>
          <w:color w:val="auto"/>
          <w:sz w:val="24"/>
        </w:rPr>
        <w:t>最高限价：</w:t>
      </w:r>
      <w:r>
        <w:rPr>
          <w:rFonts w:hint="eastAsia" w:ascii="宋体" w:hAnsi="宋体"/>
          <w:color w:val="auto"/>
          <w:sz w:val="24"/>
          <w:lang w:val="en-US" w:eastAsia="zh-CN"/>
        </w:rPr>
        <w:t>260</w:t>
      </w:r>
      <w:r>
        <w:rPr>
          <w:rFonts w:hint="eastAsia" w:ascii="宋体" w:hAnsi="宋体"/>
          <w:color w:val="auto"/>
          <w:sz w:val="24"/>
        </w:rPr>
        <w:t>元</w:t>
      </w:r>
      <w:r>
        <w:rPr>
          <w:rFonts w:hint="eastAsia" w:ascii="宋体" w:hAnsi="宋体"/>
          <w:color w:val="auto"/>
          <w:sz w:val="24"/>
          <w:lang w:val="en-US" w:eastAsia="zh-CN"/>
        </w:rPr>
        <w:t>/平方米</w:t>
      </w:r>
      <w:r>
        <w:rPr>
          <w:rFonts w:hint="eastAsia" w:ascii="宋体" w:hAnsi="宋体"/>
          <w:color w:val="auto"/>
          <w:sz w:val="24"/>
        </w:rPr>
        <w:t>；</w:t>
      </w:r>
      <w:r>
        <w:rPr>
          <w:rFonts w:hint="eastAsia" w:ascii="宋体" w:hAnsi="宋体"/>
          <w:color w:val="auto"/>
          <w:sz w:val="24"/>
          <w:lang w:bidi="ar"/>
        </w:rPr>
        <w:t>02包</w:t>
      </w:r>
      <w:r>
        <w:rPr>
          <w:rFonts w:hint="eastAsia" w:ascii="宋体" w:hAnsi="宋体"/>
          <w:color w:val="auto"/>
          <w:sz w:val="24"/>
          <w:lang w:eastAsia="zh-CN" w:bidi="ar"/>
        </w:rPr>
        <w:t>2026年拆违任务</w:t>
      </w:r>
      <w:r>
        <w:rPr>
          <w:rFonts w:hint="eastAsia" w:ascii="宋体" w:hAnsi="宋体"/>
          <w:color w:val="auto"/>
          <w:sz w:val="24"/>
          <w:lang w:bidi="ar"/>
        </w:rPr>
        <w:t>（二标段）最高限价：</w:t>
      </w:r>
      <w:r>
        <w:rPr>
          <w:rFonts w:hint="eastAsia" w:ascii="宋体" w:hAnsi="宋体"/>
          <w:color w:val="auto"/>
          <w:sz w:val="24"/>
        </w:rPr>
        <w:t>260元</w:t>
      </w:r>
      <w:r>
        <w:rPr>
          <w:rFonts w:hint="eastAsia" w:ascii="宋体" w:hAnsi="宋体"/>
          <w:color w:val="auto"/>
          <w:sz w:val="24"/>
          <w:lang w:val="en-US" w:eastAsia="zh-CN"/>
        </w:rPr>
        <w:t>/平方米</w:t>
      </w:r>
      <w:r>
        <w:rPr>
          <w:rFonts w:hint="eastAsia" w:ascii="宋体" w:hAnsi="宋体"/>
          <w:color w:val="auto"/>
          <w:sz w:val="24"/>
          <w:lang w:bidi="ar"/>
        </w:rPr>
        <w:t>。</w:t>
      </w:r>
    </w:p>
    <w:p w14:paraId="45730C94">
      <w:pPr>
        <w:spacing w:line="360" w:lineRule="auto"/>
        <w:ind w:firstLine="480" w:firstLineChars="200"/>
        <w:rPr>
          <w:rFonts w:hint="eastAsia" w:ascii="宋体" w:hAnsi="宋体"/>
          <w:color w:val="auto"/>
          <w:sz w:val="24"/>
          <w:lang w:val="en" w:bidi="ar"/>
        </w:rPr>
      </w:pPr>
      <w:r>
        <w:rPr>
          <w:rFonts w:hint="eastAsia" w:ascii="宋体" w:hAnsi="宋体"/>
          <w:color w:val="auto"/>
          <w:sz w:val="24"/>
          <w:lang w:bidi="ar"/>
        </w:rPr>
        <w:t>4.</w:t>
      </w:r>
      <w:r>
        <w:rPr>
          <w:rFonts w:hint="eastAsia" w:ascii="宋体" w:hAnsi="宋体"/>
          <w:color w:val="auto"/>
          <w:sz w:val="24"/>
          <w:lang w:val="en" w:bidi="ar"/>
        </w:rPr>
        <w:t>公告媒体：本公告在中国政府采购网、北京市政府采购网发布。</w:t>
      </w:r>
    </w:p>
    <w:p w14:paraId="69B65943">
      <w:pPr>
        <w:pStyle w:val="3"/>
        <w:spacing w:before="0" w:line="360" w:lineRule="auto"/>
        <w:jc w:val="left"/>
        <w:rPr>
          <w:rFonts w:hint="eastAsia" w:ascii="宋体" w:hAnsi="宋体" w:eastAsia="宋体"/>
          <w:color w:val="auto"/>
          <w:sz w:val="24"/>
          <w:szCs w:val="24"/>
        </w:rPr>
      </w:pPr>
      <w:bookmarkStart w:id="43" w:name="_Toc35393627"/>
      <w:bookmarkStart w:id="44" w:name="_Toc28359085"/>
      <w:bookmarkStart w:id="45" w:name="_Toc28359008"/>
      <w:bookmarkStart w:id="46" w:name="_Toc35393796"/>
      <w:r>
        <w:rPr>
          <w:rFonts w:ascii="宋体" w:hAnsi="宋体" w:eastAsia="宋体"/>
          <w:color w:val="auto"/>
          <w:sz w:val="24"/>
          <w:szCs w:val="24"/>
        </w:rPr>
        <w:t>八、对本项目提出询问，请按以下方式联系。</w:t>
      </w:r>
      <w:bookmarkEnd w:id="43"/>
      <w:bookmarkEnd w:id="44"/>
      <w:bookmarkEnd w:id="45"/>
      <w:bookmarkEnd w:id="46"/>
    </w:p>
    <w:p w14:paraId="138B54D5">
      <w:pPr>
        <w:widowControl/>
        <w:spacing w:line="360" w:lineRule="auto"/>
        <w:jc w:val="left"/>
        <w:rPr>
          <w:rFonts w:hint="eastAsia" w:ascii="宋体" w:hAnsi="宋体"/>
          <w:b/>
          <w:color w:val="auto"/>
          <w:sz w:val="24"/>
        </w:rPr>
      </w:pPr>
      <w:r>
        <w:rPr>
          <w:rFonts w:ascii="宋体" w:hAnsi="宋体"/>
          <w:color w:val="auto"/>
          <w:sz w:val="24"/>
        </w:rPr>
        <w:t>　　　</w:t>
      </w:r>
      <w:r>
        <w:rPr>
          <w:rFonts w:ascii="宋体" w:hAnsi="宋体"/>
          <w:b/>
          <w:color w:val="auto"/>
          <w:sz w:val="24"/>
        </w:rPr>
        <w:t>1.采购人信息</w:t>
      </w:r>
    </w:p>
    <w:p w14:paraId="63421BA9">
      <w:pPr>
        <w:spacing w:line="360" w:lineRule="auto"/>
        <w:ind w:left="1076" w:leftChars="371" w:hanging="297" w:hangingChars="124"/>
        <w:jc w:val="left"/>
        <w:rPr>
          <w:rFonts w:hint="eastAsia" w:ascii="宋体" w:hAnsi="宋体"/>
          <w:color w:val="auto"/>
          <w:sz w:val="24"/>
        </w:rPr>
      </w:pPr>
      <w:bookmarkStart w:id="47" w:name="_Toc28359086"/>
      <w:bookmarkStart w:id="48" w:name="_Toc28359009"/>
      <w:r>
        <w:rPr>
          <w:rFonts w:hint="eastAsia" w:ascii="宋体" w:hAnsi="宋体"/>
          <w:color w:val="auto"/>
          <w:sz w:val="24"/>
        </w:rPr>
        <w:t>名    称：</w:t>
      </w:r>
      <w:r>
        <w:rPr>
          <w:rFonts w:hint="eastAsia" w:ascii="宋体" w:hAnsi="宋体"/>
          <w:color w:val="auto"/>
          <w:sz w:val="24"/>
          <w:u w:val="single"/>
        </w:rPr>
        <w:t>北京市通州区永顺镇人民政府</w:t>
      </w:r>
    </w:p>
    <w:p w14:paraId="7A2C09A4">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地    址：</w:t>
      </w:r>
      <w:r>
        <w:rPr>
          <w:rFonts w:hint="eastAsia" w:ascii="宋体" w:hAnsi="宋体"/>
          <w:color w:val="auto"/>
          <w:sz w:val="24"/>
          <w:u w:val="single"/>
        </w:rPr>
        <w:t xml:space="preserve">北京市通州区新华北路55号 </w:t>
      </w:r>
    </w:p>
    <w:p w14:paraId="067AE453">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联系方式：</w:t>
      </w:r>
      <w:bookmarkStart w:id="49" w:name="OLE_LINK28"/>
      <w:r>
        <w:rPr>
          <w:rFonts w:hint="eastAsia" w:ascii="宋体" w:hAnsi="宋体"/>
          <w:color w:val="auto"/>
          <w:sz w:val="24"/>
          <w:u w:val="single"/>
        </w:rPr>
        <w:t>惠美佳、</w:t>
      </w:r>
      <w:bookmarkEnd w:id="49"/>
      <w:r>
        <w:rPr>
          <w:rFonts w:hint="eastAsia" w:ascii="宋体" w:hAnsi="宋体"/>
          <w:color w:val="auto"/>
          <w:sz w:val="24"/>
          <w:u w:val="single"/>
        </w:rPr>
        <w:t>010-69548753</w:t>
      </w:r>
    </w:p>
    <w:p w14:paraId="3395EE7D">
      <w:pPr>
        <w:spacing w:line="360" w:lineRule="auto"/>
        <w:ind w:left="1078" w:leftChars="371" w:hanging="299" w:hangingChars="124"/>
        <w:jc w:val="left"/>
        <w:rPr>
          <w:rFonts w:hint="eastAsia" w:ascii="宋体" w:hAnsi="宋体"/>
          <w:b/>
          <w:color w:val="auto"/>
          <w:sz w:val="24"/>
        </w:rPr>
      </w:pPr>
      <w:r>
        <w:rPr>
          <w:rFonts w:ascii="宋体" w:hAnsi="宋体"/>
          <w:b/>
          <w:color w:val="auto"/>
          <w:sz w:val="24"/>
        </w:rPr>
        <w:t>2.采购代理机构信息</w:t>
      </w:r>
      <w:bookmarkEnd w:id="47"/>
      <w:bookmarkEnd w:id="48"/>
      <w:r>
        <w:rPr>
          <w:rFonts w:hint="eastAsia" w:ascii="宋体" w:hAnsi="宋体"/>
          <w:b/>
          <w:color w:val="auto"/>
          <w:sz w:val="24"/>
        </w:rPr>
        <w:t xml:space="preserve"> </w:t>
      </w:r>
    </w:p>
    <w:p w14:paraId="19EAFCF1">
      <w:pPr>
        <w:spacing w:line="360" w:lineRule="auto"/>
        <w:ind w:left="1076" w:leftChars="371" w:hanging="297" w:hangingChars="124"/>
        <w:jc w:val="left"/>
        <w:rPr>
          <w:rFonts w:hint="eastAsia" w:ascii="宋体" w:hAnsi="宋体"/>
          <w:color w:val="auto"/>
          <w:sz w:val="24"/>
        </w:rPr>
      </w:pPr>
      <w:bookmarkStart w:id="50" w:name="_Toc28359010"/>
      <w:bookmarkStart w:id="51" w:name="_Toc28359087"/>
      <w:r>
        <w:rPr>
          <w:rFonts w:hint="eastAsia" w:ascii="宋体" w:hAnsi="宋体"/>
          <w:color w:val="auto"/>
          <w:sz w:val="24"/>
        </w:rPr>
        <w:t xml:space="preserve">名 </w:t>
      </w:r>
      <w:r>
        <w:rPr>
          <w:rFonts w:ascii="宋体" w:hAnsi="宋体"/>
          <w:color w:val="auto"/>
          <w:sz w:val="24"/>
        </w:rPr>
        <w:t xml:space="preserve">   </w:t>
      </w:r>
      <w:r>
        <w:rPr>
          <w:rFonts w:hint="eastAsia" w:ascii="宋体" w:hAnsi="宋体"/>
          <w:color w:val="auto"/>
          <w:sz w:val="24"/>
        </w:rPr>
        <w:t>称：</w:t>
      </w:r>
      <w:r>
        <w:rPr>
          <w:rFonts w:hint="eastAsia" w:ascii="宋体" w:hAnsi="宋体"/>
          <w:color w:val="auto"/>
          <w:sz w:val="24"/>
          <w:u w:val="single"/>
        </w:rPr>
        <w:t>北京博睿丰工程咨询有限公司</w:t>
      </w:r>
    </w:p>
    <w:p w14:paraId="66F6609F">
      <w:pPr>
        <w:spacing w:line="360" w:lineRule="auto"/>
        <w:ind w:left="1076" w:leftChars="371" w:hanging="297" w:hangingChars="124"/>
        <w:jc w:val="left"/>
        <w:rPr>
          <w:rFonts w:hint="eastAsia" w:ascii="宋体" w:hAnsi="宋体"/>
          <w:color w:val="auto"/>
          <w:sz w:val="24"/>
        </w:rPr>
      </w:pPr>
      <w:r>
        <w:rPr>
          <w:rFonts w:hint="eastAsia" w:ascii="宋体" w:hAnsi="宋体"/>
          <w:color w:val="auto"/>
          <w:sz w:val="24"/>
        </w:rPr>
        <w:t xml:space="preserve">地   </w:t>
      </w:r>
      <w:r>
        <w:rPr>
          <w:rFonts w:ascii="宋体" w:hAnsi="宋体"/>
          <w:color w:val="auto"/>
          <w:sz w:val="24"/>
        </w:rPr>
        <w:t xml:space="preserve"> </w:t>
      </w:r>
      <w:r>
        <w:rPr>
          <w:rFonts w:hint="eastAsia" w:ascii="宋体" w:hAnsi="宋体"/>
          <w:color w:val="auto"/>
          <w:sz w:val="24"/>
        </w:rPr>
        <w:t>址：</w:t>
      </w:r>
      <w:r>
        <w:rPr>
          <w:rFonts w:hint="eastAsia" w:ascii="宋体" w:hAnsi="宋体"/>
          <w:color w:val="auto"/>
          <w:sz w:val="24"/>
          <w:u w:val="single"/>
        </w:rPr>
        <w:t>北京市顺义区林河南大街9号院9号楼2层262室</w:t>
      </w:r>
    </w:p>
    <w:p w14:paraId="14E5A103">
      <w:pPr>
        <w:pStyle w:val="19"/>
        <w:spacing w:line="360" w:lineRule="auto"/>
        <w:ind w:firstLine="720" w:firstLineChars="300"/>
        <w:rPr>
          <w:rFonts w:hint="eastAsia" w:ascii="宋体" w:hAnsi="宋体"/>
          <w:color w:val="auto"/>
          <w:sz w:val="24"/>
          <w:u w:val="single"/>
        </w:rPr>
      </w:pPr>
      <w:r>
        <w:rPr>
          <w:rFonts w:hint="eastAsia" w:ascii="宋体" w:hAnsi="宋体"/>
          <w:color w:val="auto"/>
          <w:sz w:val="24"/>
        </w:rPr>
        <w:t>联系方式：</w:t>
      </w:r>
      <w:bookmarkStart w:id="52" w:name="OLE_LINK2"/>
      <w:r>
        <w:rPr>
          <w:rFonts w:hint="eastAsia" w:ascii="宋体" w:hAnsi="宋体"/>
          <w:color w:val="auto"/>
          <w:spacing w:val="-6"/>
          <w:sz w:val="24"/>
          <w:u w:val="single"/>
        </w:rPr>
        <w:t>郭大龙、于辉、赵毛鹅、路璐、孙萌、王鑫磊、金文玲、王海霞、赵星梅</w:t>
      </w:r>
      <w:bookmarkEnd w:id="52"/>
      <w:r>
        <w:rPr>
          <w:rFonts w:hint="eastAsia" w:ascii="宋体" w:hAnsi="宋体"/>
          <w:color w:val="auto"/>
          <w:sz w:val="24"/>
          <w:u w:val="single"/>
        </w:rPr>
        <w:t>010-61409078、13716552263</w:t>
      </w:r>
    </w:p>
    <w:p w14:paraId="485E9D1F">
      <w:pPr>
        <w:spacing w:line="360" w:lineRule="auto"/>
        <w:ind w:left="1078" w:leftChars="371" w:hanging="299" w:hangingChars="124"/>
        <w:rPr>
          <w:rFonts w:hint="eastAsia" w:ascii="宋体" w:hAnsi="宋体"/>
          <w:b/>
          <w:color w:val="auto"/>
          <w:sz w:val="24"/>
          <w:u w:val="single"/>
        </w:rPr>
      </w:pPr>
      <w:r>
        <w:rPr>
          <w:rFonts w:ascii="宋体" w:hAnsi="宋体"/>
          <w:b/>
          <w:color w:val="auto"/>
          <w:sz w:val="24"/>
        </w:rPr>
        <w:t>3.项目联系方式</w:t>
      </w:r>
      <w:bookmarkEnd w:id="50"/>
      <w:bookmarkEnd w:id="51"/>
    </w:p>
    <w:p w14:paraId="2E95BEFB">
      <w:pPr>
        <w:pStyle w:val="19"/>
        <w:spacing w:line="360" w:lineRule="auto"/>
        <w:ind w:firstLine="654" w:firstLineChars="300"/>
        <w:rPr>
          <w:rFonts w:hint="eastAsia" w:ascii="宋体" w:hAnsi="宋体"/>
          <w:color w:val="auto"/>
          <w:spacing w:val="-6"/>
          <w:sz w:val="24"/>
          <w:u w:val="single"/>
        </w:rPr>
      </w:pPr>
      <w:r>
        <w:rPr>
          <w:rFonts w:hint="eastAsia" w:ascii="宋体" w:hAnsi="宋体"/>
          <w:color w:val="auto"/>
          <w:spacing w:val="-11"/>
          <w:sz w:val="24"/>
        </w:rPr>
        <w:t>项目联系人：</w:t>
      </w:r>
      <w:r>
        <w:rPr>
          <w:rFonts w:hint="eastAsia" w:ascii="宋体" w:hAnsi="宋体"/>
          <w:color w:val="auto"/>
          <w:spacing w:val="-6"/>
          <w:sz w:val="24"/>
          <w:u w:val="single"/>
        </w:rPr>
        <w:t>郭大龙、于辉、赵毛鹅、路璐、孙萌、王鑫磊、金文玲、王海霞、赵星梅</w:t>
      </w:r>
    </w:p>
    <w:p w14:paraId="30AFC412">
      <w:pPr>
        <w:pStyle w:val="19"/>
        <w:spacing w:line="360" w:lineRule="auto"/>
        <w:ind w:firstLine="720" w:firstLineChars="300"/>
        <w:rPr>
          <w:rFonts w:hint="eastAsia" w:ascii="宋体" w:hAnsi="宋体"/>
          <w:b/>
          <w:color w:val="auto"/>
          <w:sz w:val="36"/>
          <w:szCs w:val="36"/>
        </w:rPr>
        <w:sectPr>
          <w:footerReference r:id="rId9" w:type="first"/>
          <w:footerReference r:id="rId8" w:type="default"/>
          <w:type w:val="nextColumn"/>
          <w:pgSz w:w="11907" w:h="16840"/>
          <w:pgMar w:top="1440" w:right="1800" w:bottom="567" w:left="1800" w:header="851" w:footer="851" w:gutter="0"/>
          <w:pgNumType w:start="1"/>
          <w:cols w:space="720" w:num="1"/>
          <w:titlePg/>
          <w:docGrid w:linePitch="462" w:charSpace="0"/>
        </w:sectPr>
      </w:pPr>
      <w:r>
        <w:rPr>
          <w:rFonts w:hint="eastAsia" w:ascii="宋体" w:hAnsi="宋体"/>
          <w:color w:val="auto"/>
          <w:sz w:val="24"/>
        </w:rPr>
        <w:t xml:space="preserve">电     </w:t>
      </w:r>
      <w:r>
        <w:rPr>
          <w:rFonts w:ascii="宋体" w:hAnsi="宋体"/>
          <w:color w:val="auto"/>
          <w:sz w:val="24"/>
        </w:rPr>
        <w:t xml:space="preserve"> </w:t>
      </w:r>
      <w:r>
        <w:rPr>
          <w:rFonts w:hint="eastAsia" w:ascii="宋体" w:hAnsi="宋体"/>
          <w:color w:val="auto"/>
          <w:sz w:val="24"/>
        </w:rPr>
        <w:t>话：</w:t>
      </w:r>
      <w:r>
        <w:rPr>
          <w:rFonts w:hint="eastAsia" w:ascii="宋体" w:hAnsi="宋体"/>
          <w:color w:val="auto"/>
          <w:sz w:val="24"/>
          <w:u w:val="single"/>
        </w:rPr>
        <w:t>010-61409078、</w:t>
      </w:r>
      <w:bookmarkEnd w:id="9"/>
      <w:bookmarkStart w:id="53" w:name="_Toc150774783"/>
      <w:bookmarkStart w:id="54" w:name="_Toc305158928"/>
      <w:bookmarkStart w:id="55" w:name="_Toc127161488"/>
      <w:bookmarkStart w:id="56" w:name="_Toc127151777"/>
      <w:bookmarkStart w:id="57" w:name="_Toc305158854"/>
      <w:bookmarkStart w:id="58" w:name="_Toc226965856"/>
      <w:bookmarkStart w:id="59" w:name="_Toc264969275"/>
      <w:bookmarkStart w:id="60" w:name="_Toc265228423"/>
      <w:bookmarkStart w:id="61" w:name="_Toc353825548"/>
      <w:bookmarkStart w:id="62" w:name="_Toc353873938"/>
      <w:bookmarkStart w:id="63" w:name="_Toc512937850"/>
      <w:bookmarkStart w:id="64" w:name="_Toc195842950"/>
      <w:r>
        <w:rPr>
          <w:rFonts w:hint="eastAsia" w:ascii="宋体" w:hAnsi="宋体"/>
          <w:color w:val="auto"/>
          <w:sz w:val="24"/>
          <w:u w:val="single"/>
        </w:rPr>
        <w:t>13716552263</w:t>
      </w:r>
    </w:p>
    <w:bookmarkEnd w:id="15"/>
    <w:p w14:paraId="6201B536">
      <w:pPr>
        <w:spacing w:line="360" w:lineRule="auto"/>
        <w:jc w:val="center"/>
        <w:outlineLvl w:val="0"/>
        <w:rPr>
          <w:rFonts w:hint="eastAsia" w:ascii="宋体" w:hAnsi="宋体"/>
          <w:b/>
          <w:color w:val="auto"/>
          <w:sz w:val="32"/>
          <w:szCs w:val="32"/>
        </w:rPr>
      </w:pPr>
      <w:bookmarkStart w:id="65" w:name="_Toc217651275"/>
      <w:r>
        <w:rPr>
          <w:rFonts w:ascii="宋体" w:hAnsi="宋体"/>
          <w:b/>
          <w:color w:val="auto"/>
          <w:sz w:val="36"/>
          <w:szCs w:val="36"/>
        </w:rPr>
        <w:t>第二章   供应商须知</w:t>
      </w:r>
      <w:bookmarkEnd w:id="53"/>
      <w:bookmarkEnd w:id="54"/>
      <w:bookmarkEnd w:id="55"/>
      <w:bookmarkEnd w:id="56"/>
      <w:bookmarkEnd w:id="57"/>
      <w:bookmarkEnd w:id="58"/>
      <w:bookmarkEnd w:id="59"/>
      <w:bookmarkEnd w:id="60"/>
      <w:bookmarkEnd w:id="61"/>
      <w:bookmarkEnd w:id="62"/>
      <w:bookmarkEnd w:id="63"/>
      <w:bookmarkEnd w:id="64"/>
      <w:bookmarkEnd w:id="65"/>
    </w:p>
    <w:p w14:paraId="7691CE2D">
      <w:pPr>
        <w:pStyle w:val="3"/>
        <w:tabs>
          <w:tab w:val="center" w:pos="4592"/>
          <w:tab w:val="left" w:pos="7860"/>
        </w:tabs>
        <w:spacing w:before="0" w:line="360" w:lineRule="auto"/>
        <w:rPr>
          <w:rFonts w:hint="eastAsia" w:ascii="宋体" w:hAnsi="宋体" w:eastAsia="宋体"/>
          <w:b w:val="0"/>
          <w:color w:val="auto"/>
          <w:sz w:val="28"/>
        </w:rPr>
      </w:pPr>
      <w:bookmarkStart w:id="66" w:name="_Toc150509270"/>
      <w:bookmarkStart w:id="67" w:name="_Toc127161433"/>
      <w:bookmarkStart w:id="68" w:name="_Toc150480757"/>
      <w:bookmarkStart w:id="69" w:name="_Toc150774724"/>
      <w:bookmarkStart w:id="70" w:name="_Toc164608633"/>
      <w:bookmarkStart w:id="71" w:name="_Toc226309763"/>
      <w:bookmarkStart w:id="72" w:name="_Toc195842884"/>
      <w:bookmarkStart w:id="73" w:name="_Toc151193907"/>
      <w:bookmarkStart w:id="74" w:name="_Toc151193689"/>
      <w:bookmarkStart w:id="75" w:name="_Toc127151519"/>
      <w:bookmarkStart w:id="76" w:name="_Toc149720812"/>
      <w:bookmarkStart w:id="77" w:name="_Toc127151720"/>
      <w:bookmarkStart w:id="78" w:name="_Toc142311021"/>
      <w:bookmarkStart w:id="79" w:name="_Toc164351613"/>
      <w:bookmarkStart w:id="80" w:name="_Toc226965709"/>
      <w:bookmarkStart w:id="81" w:name="_Toc164229214"/>
      <w:bookmarkStart w:id="82" w:name="_Toc151190146"/>
      <w:bookmarkStart w:id="83" w:name="_Toc164229360"/>
      <w:bookmarkStart w:id="84" w:name="_Toc150774619"/>
      <w:bookmarkStart w:id="85" w:name="_Toc226965792"/>
      <w:bookmarkStart w:id="86" w:name="_Toc151193617"/>
      <w:bookmarkStart w:id="87" w:name="_Toc151193833"/>
      <w:bookmarkStart w:id="88" w:name="_Toc520356144"/>
      <w:bookmarkStart w:id="89" w:name="_Toc151193761"/>
      <w:bookmarkStart w:id="90" w:name="_Toc164608788"/>
      <w:bookmarkStart w:id="91" w:name="_Toc226337215"/>
      <w:r>
        <w:rPr>
          <w:rFonts w:ascii="宋体" w:hAnsi="宋体" w:eastAsia="宋体"/>
          <w:color w:val="auto"/>
          <w:sz w:val="28"/>
        </w:rPr>
        <w:t>供应商须知资料表</w:t>
      </w:r>
    </w:p>
    <w:p w14:paraId="529F9453">
      <w:pPr>
        <w:jc w:val="center"/>
        <w:rPr>
          <w:rFonts w:hint="eastAsia" w:ascii="宋体" w:hAnsi="宋体"/>
          <w:b/>
          <w:color w:val="auto"/>
          <w:sz w:val="10"/>
          <w:szCs w:val="10"/>
        </w:rPr>
      </w:pPr>
    </w:p>
    <w:p w14:paraId="4F0A1748">
      <w:pPr>
        <w:spacing w:line="360" w:lineRule="auto"/>
        <w:ind w:firstLine="480"/>
        <w:rPr>
          <w:rFonts w:hint="eastAsia" w:ascii="宋体" w:hAnsi="宋体"/>
          <w:color w:val="auto"/>
          <w:sz w:val="24"/>
        </w:rPr>
      </w:pPr>
      <w:r>
        <w:rPr>
          <w:rFonts w:ascii="宋体" w:hAnsi="宋体"/>
          <w:color w:val="auto"/>
          <w:sz w:val="24"/>
        </w:rPr>
        <w:t>本表是对供应商须知的具体补充和修改，如有矛盾，均以本资料表为准。标记“</w:t>
      </w:r>
      <w:r>
        <w:rPr>
          <w:rFonts w:ascii="宋体" w:hAnsi="宋体"/>
          <w:b/>
          <w:color w:val="auto"/>
          <w:sz w:val="24"/>
        </w:rPr>
        <w:t>■</w:t>
      </w:r>
      <w:r>
        <w:rPr>
          <w:rFonts w:ascii="宋体" w:hAnsi="宋体"/>
          <w:color w:val="auto"/>
          <w:sz w:val="24"/>
        </w:rPr>
        <w:t>”的选项意为适用于本项目，标记“</w:t>
      </w:r>
      <w:r>
        <w:rPr>
          <w:rFonts w:ascii="宋体" w:hAnsi="宋体"/>
          <w:color w:val="auto"/>
        </w:rPr>
        <w:t>□</w:t>
      </w:r>
      <w:r>
        <w:rPr>
          <w:rFonts w:ascii="宋体" w:hAnsi="宋体"/>
          <w:color w:val="auto"/>
          <w:sz w:val="24"/>
        </w:rPr>
        <w:t>”的选项意为不适用于本项目。</w:t>
      </w:r>
    </w:p>
    <w:tbl>
      <w:tblPr>
        <w:tblStyle w:val="53"/>
        <w:tblW w:w="9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55"/>
        <w:gridCol w:w="7366"/>
      </w:tblGrid>
      <w:tr w14:paraId="77D3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blHeader/>
          <w:jc w:val="center"/>
        </w:trPr>
        <w:tc>
          <w:tcPr>
            <w:tcW w:w="993" w:type="dxa"/>
            <w:vAlign w:val="center"/>
          </w:tcPr>
          <w:p w14:paraId="512C0AE8">
            <w:pPr>
              <w:jc w:val="center"/>
              <w:rPr>
                <w:rFonts w:hint="eastAsia" w:ascii="宋体" w:hAnsi="宋体"/>
                <w:b/>
                <w:bCs/>
                <w:color w:val="auto"/>
                <w:sz w:val="24"/>
              </w:rPr>
            </w:pPr>
            <w:r>
              <w:rPr>
                <w:rFonts w:ascii="宋体" w:hAnsi="宋体"/>
                <w:b/>
                <w:color w:val="auto"/>
                <w:sz w:val="24"/>
              </w:rPr>
              <w:t>条款号</w:t>
            </w:r>
          </w:p>
        </w:tc>
        <w:tc>
          <w:tcPr>
            <w:tcW w:w="1555" w:type="dxa"/>
            <w:vAlign w:val="center"/>
          </w:tcPr>
          <w:p w14:paraId="21AB59BF">
            <w:pPr>
              <w:jc w:val="center"/>
              <w:rPr>
                <w:rFonts w:hint="eastAsia" w:ascii="宋体" w:hAnsi="宋体"/>
                <w:b/>
                <w:bCs/>
                <w:color w:val="auto"/>
                <w:sz w:val="24"/>
              </w:rPr>
            </w:pPr>
            <w:r>
              <w:rPr>
                <w:rFonts w:ascii="宋体" w:hAnsi="宋体"/>
                <w:b/>
                <w:bCs/>
                <w:color w:val="auto"/>
                <w:sz w:val="24"/>
              </w:rPr>
              <w:t>条目</w:t>
            </w:r>
          </w:p>
        </w:tc>
        <w:tc>
          <w:tcPr>
            <w:tcW w:w="7366" w:type="dxa"/>
            <w:vAlign w:val="center"/>
          </w:tcPr>
          <w:p w14:paraId="459ECAB4">
            <w:pPr>
              <w:jc w:val="center"/>
              <w:rPr>
                <w:rFonts w:hint="eastAsia" w:ascii="宋体" w:hAnsi="宋体"/>
                <w:b/>
                <w:bCs/>
                <w:color w:val="auto"/>
                <w:sz w:val="24"/>
              </w:rPr>
            </w:pPr>
            <w:r>
              <w:rPr>
                <w:rFonts w:ascii="宋体" w:hAnsi="宋体"/>
                <w:b/>
                <w:bCs/>
                <w:color w:val="auto"/>
                <w:sz w:val="24"/>
              </w:rPr>
              <w:t>内容</w:t>
            </w:r>
          </w:p>
        </w:tc>
      </w:tr>
      <w:tr w14:paraId="68016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7E1DD98C">
            <w:pPr>
              <w:pStyle w:val="28"/>
              <w:adjustRightInd w:val="0"/>
              <w:snapToGrid w:val="0"/>
              <w:jc w:val="center"/>
              <w:rPr>
                <w:rFonts w:hAnsi="宋体"/>
                <w:color w:val="auto"/>
                <w:sz w:val="24"/>
                <w:szCs w:val="24"/>
              </w:rPr>
            </w:pPr>
            <w:r>
              <w:rPr>
                <w:rFonts w:hint="default" w:hAnsi="宋体"/>
                <w:color w:val="auto"/>
                <w:sz w:val="24"/>
                <w:szCs w:val="24"/>
              </w:rPr>
              <w:t>2.2</w:t>
            </w:r>
          </w:p>
        </w:tc>
        <w:tc>
          <w:tcPr>
            <w:tcW w:w="1555" w:type="dxa"/>
            <w:vAlign w:val="center"/>
          </w:tcPr>
          <w:p w14:paraId="5A2FD95A">
            <w:pPr>
              <w:jc w:val="center"/>
              <w:rPr>
                <w:rFonts w:hint="eastAsia" w:ascii="宋体" w:hAnsi="宋体"/>
                <w:color w:val="auto"/>
                <w:sz w:val="24"/>
              </w:rPr>
            </w:pPr>
            <w:r>
              <w:rPr>
                <w:rFonts w:ascii="宋体" w:hAnsi="宋体"/>
                <w:color w:val="auto"/>
                <w:sz w:val="24"/>
              </w:rPr>
              <w:t>项目属性</w:t>
            </w:r>
          </w:p>
        </w:tc>
        <w:tc>
          <w:tcPr>
            <w:tcW w:w="7366" w:type="dxa"/>
            <w:vAlign w:val="center"/>
          </w:tcPr>
          <w:p w14:paraId="78B23785">
            <w:pPr>
              <w:jc w:val="left"/>
              <w:rPr>
                <w:rFonts w:hint="eastAsia" w:ascii="宋体" w:hAnsi="宋体"/>
                <w:color w:val="auto"/>
                <w:sz w:val="24"/>
              </w:rPr>
            </w:pPr>
            <w:r>
              <w:rPr>
                <w:rFonts w:ascii="宋体" w:hAnsi="宋体"/>
                <w:color w:val="auto"/>
                <w:sz w:val="24"/>
              </w:rPr>
              <w:t>项目属性：</w:t>
            </w:r>
          </w:p>
          <w:p w14:paraId="6808E3BF">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服务</w:t>
            </w:r>
          </w:p>
          <w:p w14:paraId="38160F1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货物</w:t>
            </w:r>
          </w:p>
          <w:p w14:paraId="414DFD76">
            <w:pPr>
              <w:jc w:val="left"/>
              <w:rPr>
                <w:rFonts w:hint="eastAsia" w:ascii="宋体" w:hAnsi="宋体"/>
                <w:color w:val="auto"/>
                <w:sz w:val="24"/>
                <w:u w:val="single"/>
              </w:rPr>
            </w:pPr>
            <w:r>
              <w:rPr>
                <w:rFonts w:hint="eastAsia" w:ascii="宋体" w:hAnsi="宋体"/>
                <w:color w:val="auto"/>
                <w:sz w:val="24"/>
              </w:rPr>
              <w:t>■工程</w:t>
            </w:r>
          </w:p>
        </w:tc>
      </w:tr>
      <w:tr w14:paraId="52C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8E75047">
            <w:pPr>
              <w:pStyle w:val="28"/>
              <w:adjustRightInd w:val="0"/>
              <w:snapToGrid w:val="0"/>
              <w:jc w:val="center"/>
              <w:rPr>
                <w:rFonts w:hAnsi="宋体"/>
                <w:color w:val="auto"/>
                <w:sz w:val="24"/>
                <w:szCs w:val="24"/>
              </w:rPr>
            </w:pPr>
            <w:r>
              <w:rPr>
                <w:rFonts w:hint="default" w:hAnsi="宋体"/>
                <w:color w:val="auto"/>
                <w:sz w:val="24"/>
                <w:szCs w:val="24"/>
              </w:rPr>
              <w:t>2.3</w:t>
            </w:r>
          </w:p>
        </w:tc>
        <w:tc>
          <w:tcPr>
            <w:tcW w:w="1555" w:type="dxa"/>
            <w:vAlign w:val="center"/>
          </w:tcPr>
          <w:p w14:paraId="7CFF6012">
            <w:pPr>
              <w:jc w:val="center"/>
              <w:rPr>
                <w:rFonts w:hint="eastAsia" w:ascii="宋体" w:hAnsi="宋体"/>
                <w:color w:val="auto"/>
                <w:sz w:val="24"/>
              </w:rPr>
            </w:pPr>
            <w:r>
              <w:rPr>
                <w:rFonts w:ascii="宋体" w:hAnsi="宋体"/>
                <w:color w:val="auto"/>
                <w:sz w:val="24"/>
              </w:rPr>
              <w:t>科研仪器设备</w:t>
            </w:r>
          </w:p>
        </w:tc>
        <w:tc>
          <w:tcPr>
            <w:tcW w:w="7366" w:type="dxa"/>
            <w:vAlign w:val="center"/>
          </w:tcPr>
          <w:p w14:paraId="6C15A027">
            <w:pPr>
              <w:jc w:val="left"/>
              <w:rPr>
                <w:rFonts w:hint="eastAsia" w:ascii="宋体" w:hAnsi="宋体"/>
                <w:color w:val="auto"/>
                <w:sz w:val="24"/>
              </w:rPr>
            </w:pPr>
            <w:r>
              <w:rPr>
                <w:rFonts w:ascii="宋体" w:hAnsi="宋体"/>
                <w:color w:val="auto"/>
                <w:sz w:val="24"/>
              </w:rPr>
              <w:t>是否属于科研仪器设备采购项目：</w:t>
            </w:r>
          </w:p>
          <w:p w14:paraId="14ADDDB3">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是</w:t>
            </w:r>
          </w:p>
          <w:p w14:paraId="6D1ED44C">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否</w:t>
            </w:r>
          </w:p>
        </w:tc>
      </w:tr>
      <w:tr w14:paraId="7BFE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restart"/>
            <w:vAlign w:val="center"/>
          </w:tcPr>
          <w:p w14:paraId="2A112F50">
            <w:pPr>
              <w:pStyle w:val="28"/>
              <w:adjustRightInd w:val="0"/>
              <w:snapToGrid w:val="0"/>
              <w:jc w:val="center"/>
              <w:rPr>
                <w:rFonts w:hAnsi="宋体"/>
                <w:color w:val="auto"/>
                <w:sz w:val="24"/>
                <w:szCs w:val="24"/>
              </w:rPr>
            </w:pPr>
            <w:r>
              <w:rPr>
                <w:rFonts w:hint="default" w:hAnsi="宋体"/>
                <w:color w:val="auto"/>
                <w:sz w:val="24"/>
                <w:szCs w:val="24"/>
              </w:rPr>
              <w:t>3.1</w:t>
            </w:r>
          </w:p>
        </w:tc>
        <w:tc>
          <w:tcPr>
            <w:tcW w:w="1555" w:type="dxa"/>
            <w:vAlign w:val="center"/>
          </w:tcPr>
          <w:p w14:paraId="7050DDD6">
            <w:pPr>
              <w:jc w:val="center"/>
              <w:rPr>
                <w:rFonts w:hint="eastAsia" w:ascii="宋体" w:hAnsi="宋体"/>
                <w:color w:val="auto"/>
                <w:sz w:val="24"/>
              </w:rPr>
            </w:pPr>
            <w:r>
              <w:rPr>
                <w:rFonts w:ascii="宋体" w:hAnsi="宋体"/>
                <w:color w:val="auto"/>
                <w:sz w:val="24"/>
              </w:rPr>
              <w:t>现场考察</w:t>
            </w:r>
          </w:p>
        </w:tc>
        <w:tc>
          <w:tcPr>
            <w:tcW w:w="7366" w:type="dxa"/>
            <w:vAlign w:val="center"/>
          </w:tcPr>
          <w:p w14:paraId="695B496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不组织</w:t>
            </w:r>
          </w:p>
          <w:p w14:paraId="6E1C25EC">
            <w:pPr>
              <w:jc w:val="left"/>
              <w:rPr>
                <w:rFonts w:hint="eastAsia" w:ascii="宋体" w:hAnsi="宋体"/>
                <w:bCs/>
                <w:color w:val="auto"/>
                <w:sz w:val="24"/>
              </w:rPr>
            </w:pPr>
            <w:r>
              <w:rPr>
                <w:rFonts w:hint="eastAsia" w:ascii="宋体" w:hAnsi="宋体"/>
                <w:color w:val="auto"/>
                <w:sz w:val="24"/>
              </w:rPr>
              <w:t>□</w:t>
            </w:r>
            <w:r>
              <w:rPr>
                <w:rFonts w:ascii="宋体" w:hAnsi="宋体"/>
                <w:color w:val="auto"/>
                <w:sz w:val="24"/>
              </w:rPr>
              <w:t>组织，考察时间：</w:t>
            </w:r>
            <w:r>
              <w:rPr>
                <w:rFonts w:ascii="宋体" w:hAnsi="宋体"/>
                <w:color w:val="auto"/>
                <w:sz w:val="24"/>
                <w:u w:val="single"/>
              </w:rPr>
              <w:t xml:space="preserve">  /  </w:t>
            </w:r>
            <w:r>
              <w:rPr>
                <w:rFonts w:ascii="宋体" w:hAnsi="宋体"/>
                <w:color w:val="auto"/>
                <w:sz w:val="24"/>
                <w:lang w:bidi="ar"/>
              </w:rPr>
              <w:t>年</w:t>
            </w:r>
            <w:r>
              <w:rPr>
                <w:rFonts w:ascii="宋体" w:hAnsi="宋体"/>
                <w:color w:val="auto"/>
                <w:sz w:val="24"/>
                <w:u w:val="single"/>
              </w:rPr>
              <w:t xml:space="preserve">  /  </w:t>
            </w:r>
            <w:r>
              <w:rPr>
                <w:rFonts w:ascii="宋体" w:hAnsi="宋体"/>
                <w:color w:val="auto"/>
                <w:sz w:val="24"/>
                <w:lang w:bidi="ar"/>
              </w:rPr>
              <w:t>月</w:t>
            </w:r>
            <w:r>
              <w:rPr>
                <w:rFonts w:ascii="宋体" w:hAnsi="宋体"/>
                <w:color w:val="auto"/>
                <w:sz w:val="24"/>
                <w:u w:val="single"/>
              </w:rPr>
              <w:t xml:space="preserve">  /  </w:t>
            </w:r>
            <w:r>
              <w:rPr>
                <w:rFonts w:ascii="宋体" w:hAnsi="宋体"/>
                <w:color w:val="auto"/>
                <w:sz w:val="24"/>
                <w:lang w:bidi="ar"/>
              </w:rPr>
              <w:t>日</w:t>
            </w:r>
            <w:r>
              <w:rPr>
                <w:rFonts w:ascii="宋体" w:hAnsi="宋体"/>
                <w:color w:val="auto"/>
                <w:sz w:val="24"/>
                <w:u w:val="single"/>
              </w:rPr>
              <w:t xml:space="preserve">  /  </w:t>
            </w:r>
            <w:r>
              <w:rPr>
                <w:rFonts w:ascii="宋体" w:hAnsi="宋体"/>
                <w:color w:val="auto"/>
                <w:sz w:val="24"/>
                <w:lang w:bidi="ar"/>
              </w:rPr>
              <w:t>点</w:t>
            </w:r>
            <w:r>
              <w:rPr>
                <w:rFonts w:ascii="宋体" w:hAnsi="宋体"/>
                <w:color w:val="auto"/>
                <w:sz w:val="24"/>
                <w:u w:val="single"/>
              </w:rPr>
              <w:t xml:space="preserve">  /  </w:t>
            </w:r>
            <w:r>
              <w:rPr>
                <w:rFonts w:ascii="宋体" w:hAnsi="宋体"/>
                <w:color w:val="auto"/>
                <w:sz w:val="24"/>
                <w:lang w:bidi="ar"/>
              </w:rPr>
              <w:t>分</w:t>
            </w:r>
          </w:p>
          <w:p w14:paraId="48E7B456">
            <w:pPr>
              <w:pStyle w:val="28"/>
              <w:adjustRightInd w:val="0"/>
              <w:snapToGrid w:val="0"/>
              <w:rPr>
                <w:rFonts w:hAnsi="宋体"/>
                <w:color w:val="auto"/>
                <w:sz w:val="24"/>
                <w:szCs w:val="24"/>
              </w:rPr>
            </w:pPr>
            <w:r>
              <w:rPr>
                <w:rFonts w:hint="default" w:hAnsi="宋体"/>
                <w:color w:val="auto"/>
                <w:sz w:val="24"/>
              </w:rPr>
              <w:t>考察地点：</w:t>
            </w:r>
            <w:r>
              <w:rPr>
                <w:rFonts w:hint="default" w:hAnsi="宋体"/>
                <w:color w:val="auto"/>
                <w:sz w:val="24"/>
                <w:u w:val="single"/>
              </w:rPr>
              <w:t xml:space="preserve">    /    </w:t>
            </w:r>
            <w:r>
              <w:rPr>
                <w:rFonts w:hAnsi="宋体"/>
                <w:color w:val="auto"/>
                <w:sz w:val="24"/>
              </w:rPr>
              <w:t>。</w:t>
            </w:r>
          </w:p>
        </w:tc>
      </w:tr>
      <w:tr w14:paraId="3C551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Merge w:val="continue"/>
            <w:vAlign w:val="center"/>
          </w:tcPr>
          <w:p w14:paraId="61086020">
            <w:pPr>
              <w:pStyle w:val="28"/>
              <w:adjustRightInd w:val="0"/>
              <w:snapToGrid w:val="0"/>
              <w:jc w:val="center"/>
              <w:rPr>
                <w:rFonts w:hAnsi="宋体"/>
                <w:color w:val="auto"/>
                <w:sz w:val="24"/>
                <w:szCs w:val="24"/>
              </w:rPr>
            </w:pPr>
          </w:p>
        </w:tc>
        <w:tc>
          <w:tcPr>
            <w:tcW w:w="1555" w:type="dxa"/>
            <w:vAlign w:val="center"/>
          </w:tcPr>
          <w:p w14:paraId="195C8E75">
            <w:pPr>
              <w:jc w:val="center"/>
              <w:rPr>
                <w:rFonts w:hint="eastAsia" w:ascii="宋体" w:hAnsi="宋体"/>
                <w:color w:val="auto"/>
                <w:sz w:val="24"/>
              </w:rPr>
            </w:pPr>
            <w:r>
              <w:rPr>
                <w:rFonts w:ascii="宋体" w:hAnsi="宋体"/>
                <w:color w:val="auto"/>
                <w:sz w:val="24"/>
              </w:rPr>
              <w:t>磋商前答疑会</w:t>
            </w:r>
          </w:p>
        </w:tc>
        <w:tc>
          <w:tcPr>
            <w:tcW w:w="7366" w:type="dxa"/>
            <w:vAlign w:val="center"/>
          </w:tcPr>
          <w:p w14:paraId="0ED1E863">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不召开</w:t>
            </w:r>
          </w:p>
          <w:p w14:paraId="25CCD530">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召开，召开时间：</w:t>
            </w:r>
            <w:r>
              <w:rPr>
                <w:rFonts w:ascii="宋体" w:hAnsi="宋体"/>
                <w:color w:val="auto"/>
                <w:sz w:val="24"/>
                <w:u w:val="single"/>
              </w:rPr>
              <w:t xml:space="preserve">  /  </w:t>
            </w:r>
            <w:r>
              <w:rPr>
                <w:rFonts w:ascii="宋体" w:hAnsi="宋体"/>
                <w:color w:val="auto"/>
                <w:sz w:val="24"/>
                <w:lang w:bidi="ar"/>
              </w:rPr>
              <w:t>年</w:t>
            </w:r>
            <w:r>
              <w:rPr>
                <w:rFonts w:ascii="宋体" w:hAnsi="宋体"/>
                <w:color w:val="auto"/>
                <w:sz w:val="24"/>
                <w:u w:val="single"/>
              </w:rPr>
              <w:t xml:space="preserve">  /  </w:t>
            </w:r>
            <w:r>
              <w:rPr>
                <w:rFonts w:ascii="宋体" w:hAnsi="宋体"/>
                <w:color w:val="auto"/>
                <w:sz w:val="24"/>
                <w:lang w:bidi="ar"/>
              </w:rPr>
              <w:t>月</w:t>
            </w:r>
            <w:r>
              <w:rPr>
                <w:rFonts w:ascii="宋体" w:hAnsi="宋体"/>
                <w:color w:val="auto"/>
                <w:sz w:val="24"/>
                <w:u w:val="single"/>
              </w:rPr>
              <w:t xml:space="preserve">  /  </w:t>
            </w:r>
            <w:r>
              <w:rPr>
                <w:rFonts w:ascii="宋体" w:hAnsi="宋体"/>
                <w:color w:val="auto"/>
                <w:sz w:val="24"/>
                <w:lang w:bidi="ar"/>
              </w:rPr>
              <w:t>日</w:t>
            </w:r>
            <w:r>
              <w:rPr>
                <w:rFonts w:ascii="宋体" w:hAnsi="宋体"/>
                <w:color w:val="auto"/>
                <w:sz w:val="24"/>
                <w:u w:val="single"/>
              </w:rPr>
              <w:t xml:space="preserve">  /  </w:t>
            </w:r>
            <w:r>
              <w:rPr>
                <w:rFonts w:ascii="宋体" w:hAnsi="宋体"/>
                <w:color w:val="auto"/>
                <w:sz w:val="24"/>
                <w:lang w:bidi="ar"/>
              </w:rPr>
              <w:t>点</w:t>
            </w:r>
            <w:r>
              <w:rPr>
                <w:rFonts w:ascii="宋体" w:hAnsi="宋体"/>
                <w:color w:val="auto"/>
                <w:sz w:val="24"/>
                <w:u w:val="single"/>
              </w:rPr>
              <w:t xml:space="preserve">  /  </w:t>
            </w:r>
            <w:r>
              <w:rPr>
                <w:rFonts w:ascii="宋体" w:hAnsi="宋体"/>
                <w:color w:val="auto"/>
                <w:sz w:val="24"/>
                <w:lang w:bidi="ar"/>
              </w:rPr>
              <w:t>分</w:t>
            </w:r>
          </w:p>
          <w:p w14:paraId="3E1B6742">
            <w:pPr>
              <w:jc w:val="left"/>
              <w:rPr>
                <w:rFonts w:hint="eastAsia" w:ascii="宋体" w:hAnsi="宋体"/>
                <w:color w:val="auto"/>
                <w:sz w:val="24"/>
              </w:rPr>
            </w:pPr>
            <w:r>
              <w:rPr>
                <w:rFonts w:ascii="宋体" w:hAnsi="宋体"/>
                <w:color w:val="auto"/>
                <w:sz w:val="24"/>
              </w:rPr>
              <w:t>召开地点：</w:t>
            </w:r>
            <w:r>
              <w:rPr>
                <w:rFonts w:ascii="宋体" w:hAnsi="宋体"/>
                <w:color w:val="auto"/>
                <w:sz w:val="24"/>
                <w:u w:val="single"/>
              </w:rPr>
              <w:t xml:space="preserve">    /    </w:t>
            </w:r>
            <w:r>
              <w:rPr>
                <w:rFonts w:hint="eastAsia" w:ascii="宋体" w:hAnsi="宋体"/>
                <w:color w:val="auto"/>
                <w:sz w:val="24"/>
              </w:rPr>
              <w:t>。</w:t>
            </w:r>
          </w:p>
        </w:tc>
      </w:tr>
      <w:tr w14:paraId="4007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993" w:type="dxa"/>
            <w:vAlign w:val="center"/>
          </w:tcPr>
          <w:p w14:paraId="27D844F3">
            <w:pPr>
              <w:pStyle w:val="28"/>
              <w:adjustRightInd w:val="0"/>
              <w:snapToGrid w:val="0"/>
              <w:jc w:val="center"/>
              <w:rPr>
                <w:rFonts w:hAnsi="宋体"/>
                <w:color w:val="auto"/>
                <w:sz w:val="24"/>
                <w:szCs w:val="24"/>
              </w:rPr>
            </w:pPr>
            <w:r>
              <w:rPr>
                <w:rFonts w:hint="default" w:hAnsi="宋体"/>
                <w:color w:val="auto"/>
                <w:sz w:val="24"/>
                <w:szCs w:val="24"/>
              </w:rPr>
              <w:t>4.2.5</w:t>
            </w:r>
          </w:p>
        </w:tc>
        <w:tc>
          <w:tcPr>
            <w:tcW w:w="1555" w:type="dxa"/>
            <w:vAlign w:val="center"/>
          </w:tcPr>
          <w:p w14:paraId="2ED9D367">
            <w:pPr>
              <w:jc w:val="center"/>
              <w:rPr>
                <w:rFonts w:hint="eastAsia" w:ascii="宋体" w:hAnsi="宋体"/>
                <w:color w:val="auto"/>
                <w:sz w:val="24"/>
              </w:rPr>
            </w:pPr>
            <w:r>
              <w:rPr>
                <w:rFonts w:ascii="宋体" w:hAnsi="宋体"/>
                <w:color w:val="auto"/>
                <w:sz w:val="24"/>
              </w:rPr>
              <w:t>标的所属行业</w:t>
            </w:r>
          </w:p>
        </w:tc>
        <w:tc>
          <w:tcPr>
            <w:tcW w:w="7366" w:type="dxa"/>
            <w:vAlign w:val="center"/>
          </w:tcPr>
          <w:p w14:paraId="758FE7F0">
            <w:pPr>
              <w:jc w:val="left"/>
              <w:rPr>
                <w:rFonts w:hint="eastAsia" w:ascii="宋体" w:hAnsi="宋体"/>
                <w:color w:val="auto"/>
                <w:sz w:val="24"/>
              </w:rPr>
            </w:pPr>
            <w:r>
              <w:rPr>
                <w:rFonts w:ascii="宋体" w:hAnsi="宋体"/>
                <w:color w:val="auto"/>
                <w:sz w:val="24"/>
              </w:rPr>
              <w:t>本项目采购标的对应的中小企业划分标准所属行业：</w:t>
            </w:r>
          </w:p>
          <w:tbl>
            <w:tblPr>
              <w:tblStyle w:val="53"/>
              <w:tblW w:w="3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6"/>
              <w:gridCol w:w="2533"/>
              <w:gridCol w:w="2020"/>
            </w:tblGrid>
            <w:tr w14:paraId="4602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 w:hRule="atLeast"/>
                <w:jc w:val="center"/>
              </w:trPr>
              <w:tc>
                <w:tcPr>
                  <w:tcW w:w="963" w:type="pct"/>
                  <w:vAlign w:val="center"/>
                </w:tcPr>
                <w:p w14:paraId="67E622BF">
                  <w:pPr>
                    <w:jc w:val="center"/>
                    <w:rPr>
                      <w:rFonts w:hint="eastAsia" w:ascii="宋体" w:hAnsi="宋体"/>
                      <w:color w:val="auto"/>
                      <w:kern w:val="0"/>
                      <w:sz w:val="24"/>
                    </w:rPr>
                  </w:pPr>
                  <w:r>
                    <w:rPr>
                      <w:rFonts w:hint="eastAsia" w:ascii="宋体" w:hAnsi="宋体"/>
                      <w:color w:val="auto"/>
                      <w:kern w:val="0"/>
                      <w:sz w:val="24"/>
                    </w:rPr>
                    <w:t>包号</w:t>
                  </w:r>
                </w:p>
              </w:tc>
              <w:tc>
                <w:tcPr>
                  <w:tcW w:w="2245" w:type="pct"/>
                  <w:tcBorders>
                    <w:top w:val="single" w:color="auto" w:sz="4" w:space="0"/>
                    <w:left w:val="single" w:color="auto" w:sz="4" w:space="0"/>
                    <w:bottom w:val="single" w:color="auto" w:sz="4" w:space="0"/>
                    <w:right w:val="single" w:color="auto" w:sz="4" w:space="0"/>
                  </w:tcBorders>
                  <w:vAlign w:val="center"/>
                </w:tcPr>
                <w:p w14:paraId="2CC1D401">
                  <w:pPr>
                    <w:jc w:val="center"/>
                    <w:rPr>
                      <w:rFonts w:hint="eastAsia" w:ascii="宋体" w:hAnsi="宋体"/>
                      <w:color w:val="auto"/>
                      <w:kern w:val="0"/>
                      <w:sz w:val="24"/>
                    </w:rPr>
                  </w:pPr>
                  <w:r>
                    <w:rPr>
                      <w:rFonts w:ascii="宋体" w:hAnsi="宋体"/>
                      <w:color w:val="auto"/>
                      <w:kern w:val="0"/>
                      <w:sz w:val="24"/>
                    </w:rPr>
                    <w:t>标的名称</w:t>
                  </w:r>
                </w:p>
              </w:tc>
              <w:tc>
                <w:tcPr>
                  <w:tcW w:w="1790" w:type="pct"/>
                  <w:tcBorders>
                    <w:top w:val="single" w:color="auto" w:sz="4" w:space="0"/>
                    <w:left w:val="single" w:color="auto" w:sz="4" w:space="0"/>
                    <w:bottom w:val="single" w:color="auto" w:sz="4" w:space="0"/>
                    <w:right w:val="single" w:color="auto" w:sz="4" w:space="0"/>
                  </w:tcBorders>
                  <w:vAlign w:val="center"/>
                </w:tcPr>
                <w:p w14:paraId="22EF00E8">
                  <w:pPr>
                    <w:jc w:val="center"/>
                    <w:rPr>
                      <w:rFonts w:hint="eastAsia" w:ascii="宋体" w:hAnsi="宋体"/>
                      <w:color w:val="auto"/>
                      <w:sz w:val="24"/>
                    </w:rPr>
                  </w:pPr>
                  <w:r>
                    <w:rPr>
                      <w:rFonts w:ascii="宋体" w:hAnsi="宋体"/>
                      <w:color w:val="auto"/>
                      <w:sz w:val="24"/>
                    </w:rPr>
                    <w:t>中小企业划分标准所属行业</w:t>
                  </w:r>
                </w:p>
              </w:tc>
            </w:tr>
            <w:tr w14:paraId="2D0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63" w:type="pct"/>
                  <w:vAlign w:val="center"/>
                </w:tcPr>
                <w:p w14:paraId="7CB009AA">
                  <w:pPr>
                    <w:jc w:val="center"/>
                    <w:rPr>
                      <w:rFonts w:hint="eastAsia" w:ascii="宋体" w:hAnsi="宋体"/>
                      <w:color w:val="auto"/>
                      <w:kern w:val="0"/>
                      <w:sz w:val="24"/>
                    </w:rPr>
                  </w:pPr>
                  <w:r>
                    <w:rPr>
                      <w:rFonts w:hint="eastAsia" w:ascii="宋体" w:hAnsi="宋体"/>
                      <w:color w:val="auto"/>
                      <w:kern w:val="0"/>
                      <w:sz w:val="24"/>
                    </w:rPr>
                    <w:t>01</w:t>
                  </w:r>
                </w:p>
              </w:tc>
              <w:tc>
                <w:tcPr>
                  <w:tcW w:w="2245" w:type="pct"/>
                  <w:tcBorders>
                    <w:top w:val="single" w:color="auto" w:sz="4" w:space="0"/>
                    <w:left w:val="single" w:color="auto" w:sz="4" w:space="0"/>
                    <w:bottom w:val="single" w:color="auto" w:sz="4" w:space="0"/>
                    <w:right w:val="single" w:color="auto" w:sz="4" w:space="0"/>
                  </w:tcBorders>
                  <w:vAlign w:val="center"/>
                </w:tcPr>
                <w:p w14:paraId="6C4B0A83">
                  <w:pPr>
                    <w:rPr>
                      <w:rFonts w:hint="eastAsia" w:ascii="宋体" w:hAnsi="宋体"/>
                      <w:color w:val="auto"/>
                      <w:kern w:val="0"/>
                      <w:sz w:val="24"/>
                    </w:rPr>
                  </w:pPr>
                  <w:r>
                    <w:rPr>
                      <w:rFonts w:hint="eastAsia" w:ascii="宋体" w:hAnsi="宋体"/>
                      <w:color w:val="auto"/>
                      <w:kern w:val="0"/>
                      <w:sz w:val="24"/>
                    </w:rPr>
                    <w:t>建筑物拆除活动</w:t>
                  </w:r>
                </w:p>
              </w:tc>
              <w:tc>
                <w:tcPr>
                  <w:tcW w:w="1790" w:type="pct"/>
                  <w:tcBorders>
                    <w:top w:val="single" w:color="auto" w:sz="4" w:space="0"/>
                    <w:left w:val="single" w:color="auto" w:sz="4" w:space="0"/>
                    <w:bottom w:val="single" w:color="auto" w:sz="4" w:space="0"/>
                    <w:right w:val="single" w:color="auto" w:sz="4" w:space="0"/>
                  </w:tcBorders>
                  <w:vAlign w:val="center"/>
                </w:tcPr>
                <w:p w14:paraId="15DF27B2">
                  <w:pPr>
                    <w:jc w:val="center"/>
                    <w:rPr>
                      <w:rFonts w:hint="eastAsia" w:ascii="宋体" w:hAnsi="宋体"/>
                      <w:color w:val="auto"/>
                      <w:kern w:val="0"/>
                      <w:sz w:val="24"/>
                    </w:rPr>
                  </w:pPr>
                  <w:r>
                    <w:rPr>
                      <w:rFonts w:hint="eastAsia" w:ascii="宋体" w:hAnsi="宋体"/>
                      <w:color w:val="auto"/>
                      <w:kern w:val="0"/>
                      <w:sz w:val="24"/>
                    </w:rPr>
                    <w:t>建筑业</w:t>
                  </w:r>
                </w:p>
              </w:tc>
            </w:tr>
            <w:tr w14:paraId="29C8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63" w:type="pct"/>
                  <w:vAlign w:val="center"/>
                </w:tcPr>
                <w:p w14:paraId="5D256DA3">
                  <w:pPr>
                    <w:jc w:val="center"/>
                    <w:rPr>
                      <w:rFonts w:hint="eastAsia" w:ascii="宋体" w:hAnsi="宋体"/>
                      <w:color w:val="auto"/>
                      <w:kern w:val="0"/>
                      <w:sz w:val="24"/>
                    </w:rPr>
                  </w:pPr>
                  <w:r>
                    <w:rPr>
                      <w:rFonts w:hint="eastAsia" w:ascii="宋体" w:hAnsi="宋体"/>
                      <w:color w:val="auto"/>
                      <w:kern w:val="0"/>
                      <w:sz w:val="24"/>
                    </w:rPr>
                    <w:t>02</w:t>
                  </w:r>
                </w:p>
              </w:tc>
              <w:tc>
                <w:tcPr>
                  <w:tcW w:w="2245" w:type="pct"/>
                  <w:tcBorders>
                    <w:top w:val="single" w:color="auto" w:sz="4" w:space="0"/>
                    <w:left w:val="single" w:color="auto" w:sz="4" w:space="0"/>
                    <w:bottom w:val="single" w:color="auto" w:sz="4" w:space="0"/>
                    <w:right w:val="single" w:color="auto" w:sz="4" w:space="0"/>
                  </w:tcBorders>
                  <w:vAlign w:val="center"/>
                </w:tcPr>
                <w:p w14:paraId="1380931A">
                  <w:pPr>
                    <w:rPr>
                      <w:rFonts w:hint="eastAsia" w:ascii="宋体" w:hAnsi="宋体"/>
                      <w:color w:val="auto"/>
                      <w:kern w:val="0"/>
                      <w:sz w:val="24"/>
                    </w:rPr>
                  </w:pPr>
                  <w:r>
                    <w:rPr>
                      <w:rFonts w:hint="eastAsia" w:ascii="宋体" w:hAnsi="宋体"/>
                      <w:color w:val="auto"/>
                      <w:kern w:val="0"/>
                      <w:sz w:val="24"/>
                    </w:rPr>
                    <w:t>建筑物拆除活动</w:t>
                  </w:r>
                </w:p>
              </w:tc>
              <w:tc>
                <w:tcPr>
                  <w:tcW w:w="1790" w:type="pct"/>
                  <w:tcBorders>
                    <w:top w:val="single" w:color="auto" w:sz="4" w:space="0"/>
                    <w:left w:val="single" w:color="auto" w:sz="4" w:space="0"/>
                    <w:bottom w:val="single" w:color="auto" w:sz="4" w:space="0"/>
                    <w:right w:val="single" w:color="auto" w:sz="4" w:space="0"/>
                  </w:tcBorders>
                  <w:vAlign w:val="center"/>
                </w:tcPr>
                <w:p w14:paraId="3917B457">
                  <w:pPr>
                    <w:jc w:val="center"/>
                    <w:rPr>
                      <w:rFonts w:hint="eastAsia" w:ascii="宋体" w:hAnsi="宋体"/>
                      <w:color w:val="auto"/>
                      <w:kern w:val="0"/>
                      <w:sz w:val="24"/>
                    </w:rPr>
                  </w:pPr>
                  <w:r>
                    <w:rPr>
                      <w:rFonts w:hint="eastAsia" w:ascii="宋体" w:hAnsi="宋体"/>
                      <w:color w:val="auto"/>
                      <w:kern w:val="0"/>
                      <w:sz w:val="24"/>
                    </w:rPr>
                    <w:t>建筑业</w:t>
                  </w:r>
                </w:p>
              </w:tc>
            </w:tr>
          </w:tbl>
          <w:p w14:paraId="723E0C57">
            <w:pPr>
              <w:jc w:val="left"/>
              <w:rPr>
                <w:rFonts w:hint="eastAsia" w:ascii="宋体" w:hAnsi="宋体"/>
                <w:color w:val="auto"/>
                <w:sz w:val="24"/>
              </w:rPr>
            </w:pPr>
          </w:p>
        </w:tc>
      </w:tr>
      <w:tr w14:paraId="799D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93" w:type="dxa"/>
            <w:vAlign w:val="center"/>
          </w:tcPr>
          <w:p w14:paraId="0125D90F">
            <w:pPr>
              <w:pStyle w:val="28"/>
              <w:adjustRightInd w:val="0"/>
              <w:snapToGrid w:val="0"/>
              <w:jc w:val="center"/>
              <w:rPr>
                <w:rFonts w:hAnsi="宋体"/>
                <w:color w:val="auto"/>
                <w:sz w:val="24"/>
                <w:szCs w:val="24"/>
              </w:rPr>
            </w:pPr>
            <w:r>
              <w:rPr>
                <w:rFonts w:hint="default" w:hAnsi="宋体"/>
                <w:color w:val="auto"/>
                <w:sz w:val="24"/>
                <w:szCs w:val="24"/>
              </w:rPr>
              <w:t>10.2</w:t>
            </w:r>
          </w:p>
        </w:tc>
        <w:tc>
          <w:tcPr>
            <w:tcW w:w="1555" w:type="dxa"/>
            <w:vAlign w:val="center"/>
          </w:tcPr>
          <w:p w14:paraId="2404CA06">
            <w:pPr>
              <w:jc w:val="center"/>
              <w:rPr>
                <w:rFonts w:hint="eastAsia" w:ascii="宋体" w:hAnsi="宋体"/>
                <w:color w:val="auto"/>
                <w:sz w:val="24"/>
              </w:rPr>
            </w:pPr>
            <w:r>
              <w:rPr>
                <w:rFonts w:ascii="宋体" w:hAnsi="宋体"/>
                <w:color w:val="auto"/>
                <w:sz w:val="24"/>
              </w:rPr>
              <w:t>报价</w:t>
            </w:r>
          </w:p>
        </w:tc>
        <w:tc>
          <w:tcPr>
            <w:tcW w:w="7366" w:type="dxa"/>
            <w:vAlign w:val="center"/>
          </w:tcPr>
          <w:p w14:paraId="66C71D26">
            <w:pPr>
              <w:jc w:val="left"/>
              <w:rPr>
                <w:rFonts w:hint="eastAsia" w:ascii="宋体" w:hAnsi="宋体"/>
                <w:color w:val="auto"/>
                <w:sz w:val="24"/>
              </w:rPr>
            </w:pPr>
            <w:r>
              <w:rPr>
                <w:rFonts w:ascii="宋体" w:hAnsi="宋体"/>
                <w:color w:val="auto"/>
                <w:sz w:val="24"/>
              </w:rPr>
              <w:t>报价的特殊规定：</w:t>
            </w:r>
          </w:p>
          <w:p w14:paraId="7FB61F64">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08DF4D1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有，具体情形：</w:t>
            </w:r>
            <w:r>
              <w:rPr>
                <w:rFonts w:hint="eastAsia" w:ascii="宋体" w:hAnsi="宋体"/>
                <w:color w:val="auto"/>
                <w:sz w:val="24"/>
                <w:u w:val="single"/>
              </w:rPr>
              <w:t>本项目最高限价：</w:t>
            </w:r>
            <w:r>
              <w:rPr>
                <w:rFonts w:hint="eastAsia" w:ascii="宋体" w:hAnsi="宋体"/>
                <w:color w:val="auto"/>
                <w:sz w:val="24"/>
                <w:u w:val="single"/>
                <w:lang w:val="en-US" w:eastAsia="zh-CN"/>
              </w:rPr>
              <w:t>260</w:t>
            </w:r>
            <w:r>
              <w:rPr>
                <w:rFonts w:hint="eastAsia" w:ascii="宋体" w:hAnsi="宋体"/>
                <w:color w:val="auto"/>
                <w:sz w:val="24"/>
                <w:u w:val="single"/>
              </w:rPr>
              <w:t>元</w:t>
            </w:r>
            <w:r>
              <w:rPr>
                <w:rFonts w:hint="eastAsia" w:ascii="宋体" w:hAnsi="宋体"/>
                <w:color w:val="auto"/>
                <w:sz w:val="24"/>
                <w:u w:val="single"/>
                <w:lang w:val="en-US" w:eastAsia="zh-CN"/>
              </w:rPr>
              <w:t>/平方米</w:t>
            </w:r>
            <w:r>
              <w:rPr>
                <w:rFonts w:hint="eastAsia" w:ascii="宋体" w:hAnsi="宋体"/>
                <w:color w:val="auto"/>
                <w:sz w:val="24"/>
                <w:u w:val="single"/>
              </w:rPr>
              <w:t>，工程量暂</w:t>
            </w:r>
            <w:r>
              <w:rPr>
                <w:rFonts w:hint="eastAsia" w:ascii="宋体" w:hAnsi="宋体" w:eastAsia="宋体"/>
                <w:color w:val="auto"/>
                <w:sz w:val="24"/>
                <w:szCs w:val="24"/>
                <w:u w:val="single"/>
              </w:rPr>
              <w:t>按1个计量单位统计</w:t>
            </w:r>
            <w:r>
              <w:rPr>
                <w:rFonts w:hint="eastAsia" w:ascii="宋体" w:hAnsi="宋体"/>
                <w:color w:val="auto"/>
                <w:sz w:val="24"/>
                <w:szCs w:val="24"/>
                <w:u w:val="single"/>
                <w:lang w:eastAsia="zh-CN"/>
              </w:rPr>
              <w:t>，由此计算得到的响应报价仅用于本次价格评审</w:t>
            </w:r>
            <w:r>
              <w:rPr>
                <w:rFonts w:hint="eastAsia" w:ascii="宋体" w:hAnsi="宋体"/>
                <w:color w:val="auto"/>
                <w:sz w:val="24"/>
                <w:u w:val="single"/>
              </w:rPr>
              <w:t>，最终</w:t>
            </w:r>
            <w:r>
              <w:rPr>
                <w:rFonts w:hint="eastAsia" w:ascii="宋体" w:hAnsi="宋体"/>
                <w:color w:val="auto"/>
                <w:sz w:val="24"/>
                <w:u w:val="single"/>
                <w:lang w:val="en-US" w:eastAsia="zh-CN"/>
              </w:rPr>
              <w:t>执行</w:t>
            </w:r>
            <w:r>
              <w:rPr>
                <w:rFonts w:hint="eastAsia" w:ascii="宋体" w:hAnsi="宋体"/>
                <w:color w:val="auto"/>
                <w:sz w:val="24"/>
                <w:u w:val="single"/>
              </w:rPr>
              <w:t>单价</w:t>
            </w:r>
            <w:r>
              <w:rPr>
                <w:rFonts w:hint="eastAsia" w:ascii="宋体" w:hAnsi="宋体"/>
                <w:color w:val="auto"/>
                <w:sz w:val="24"/>
                <w:u w:val="single"/>
                <w:lang w:val="en-US" w:eastAsia="zh-CN"/>
              </w:rPr>
              <w:t>合同</w:t>
            </w:r>
            <w:r>
              <w:rPr>
                <w:rFonts w:ascii="宋体" w:hAnsi="宋体"/>
                <w:color w:val="auto"/>
                <w:sz w:val="24"/>
              </w:rPr>
              <w:t>。</w:t>
            </w:r>
          </w:p>
        </w:tc>
      </w:tr>
      <w:tr w14:paraId="5B30F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545B4DE">
            <w:pPr>
              <w:pStyle w:val="28"/>
              <w:adjustRightInd w:val="0"/>
              <w:snapToGrid w:val="0"/>
              <w:jc w:val="center"/>
              <w:rPr>
                <w:rFonts w:hAnsi="宋体"/>
                <w:color w:val="auto"/>
                <w:sz w:val="24"/>
                <w:szCs w:val="24"/>
              </w:rPr>
            </w:pPr>
            <w:r>
              <w:rPr>
                <w:rFonts w:hint="default" w:hAnsi="宋体"/>
                <w:color w:val="auto"/>
                <w:sz w:val="24"/>
                <w:szCs w:val="24"/>
              </w:rPr>
              <w:t>11.1</w:t>
            </w:r>
          </w:p>
        </w:tc>
        <w:tc>
          <w:tcPr>
            <w:tcW w:w="1555" w:type="dxa"/>
            <w:vMerge w:val="restart"/>
            <w:vAlign w:val="center"/>
          </w:tcPr>
          <w:p w14:paraId="7E386E1A">
            <w:pPr>
              <w:jc w:val="center"/>
              <w:rPr>
                <w:rFonts w:hint="eastAsia" w:ascii="宋体" w:hAnsi="宋体"/>
                <w:color w:val="auto"/>
                <w:sz w:val="24"/>
              </w:rPr>
            </w:pPr>
            <w:r>
              <w:rPr>
                <w:rFonts w:ascii="宋体" w:hAnsi="宋体"/>
                <w:color w:val="auto"/>
                <w:sz w:val="24"/>
              </w:rPr>
              <w:t>磋商保证金</w:t>
            </w:r>
          </w:p>
        </w:tc>
        <w:tc>
          <w:tcPr>
            <w:tcW w:w="7366" w:type="dxa"/>
            <w:vAlign w:val="center"/>
          </w:tcPr>
          <w:p w14:paraId="55E4EA42">
            <w:pPr>
              <w:pStyle w:val="28"/>
              <w:adjustRightInd w:val="0"/>
              <w:snapToGrid w:val="0"/>
              <w:rPr>
                <w:rFonts w:hAnsi="宋体"/>
                <w:color w:val="auto"/>
                <w:sz w:val="24"/>
                <w:szCs w:val="24"/>
              </w:rPr>
            </w:pPr>
            <w:r>
              <w:rPr>
                <w:rFonts w:hint="default" w:hAnsi="宋体"/>
                <w:color w:val="auto"/>
                <w:sz w:val="24"/>
                <w:szCs w:val="24"/>
              </w:rPr>
              <w:t>磋商保证金金额：</w:t>
            </w:r>
            <w:r>
              <w:rPr>
                <w:rFonts w:hAnsi="宋体"/>
                <w:color w:val="auto"/>
                <w:sz w:val="24"/>
                <w:szCs w:val="24"/>
                <w:u w:val="single"/>
              </w:rPr>
              <w:t xml:space="preserve">  /  </w:t>
            </w:r>
            <w:r>
              <w:rPr>
                <w:rFonts w:hAnsi="宋体"/>
                <w:color w:val="auto"/>
                <w:sz w:val="24"/>
                <w:szCs w:val="24"/>
              </w:rPr>
              <w:t>元</w:t>
            </w:r>
            <w:r>
              <w:rPr>
                <w:rFonts w:hAnsi="宋体"/>
                <w:color w:val="auto"/>
                <w:sz w:val="24"/>
              </w:rPr>
              <w:t>。</w:t>
            </w:r>
          </w:p>
          <w:p w14:paraId="49FBC7E8">
            <w:pPr>
              <w:jc w:val="left"/>
              <w:rPr>
                <w:rFonts w:hint="eastAsia" w:ascii="宋体" w:hAnsi="宋体"/>
                <w:color w:val="auto"/>
                <w:sz w:val="24"/>
                <w:u w:val="single"/>
              </w:rPr>
            </w:pPr>
            <w:r>
              <w:rPr>
                <w:rFonts w:hint="eastAsia" w:ascii="宋体" w:hAnsi="宋体"/>
                <w:color w:val="auto"/>
                <w:sz w:val="24"/>
              </w:rPr>
              <w:t>磋商</w:t>
            </w:r>
            <w:r>
              <w:rPr>
                <w:rFonts w:ascii="宋体" w:hAnsi="宋体"/>
                <w:color w:val="auto"/>
                <w:sz w:val="24"/>
              </w:rPr>
              <w:t>保证金收受人信息：</w:t>
            </w:r>
            <w:r>
              <w:rPr>
                <w:rFonts w:hint="eastAsia" w:hAnsi="宋体"/>
                <w:color w:val="auto"/>
                <w:sz w:val="24"/>
                <w:u w:val="single"/>
              </w:rPr>
              <w:t xml:space="preserve">  /  </w:t>
            </w:r>
            <w:r>
              <w:rPr>
                <w:rFonts w:hAnsi="宋体"/>
                <w:color w:val="auto"/>
                <w:sz w:val="24"/>
              </w:rPr>
              <w:t>。</w:t>
            </w:r>
          </w:p>
        </w:tc>
      </w:tr>
      <w:tr w14:paraId="0FFA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00BF212B">
            <w:pPr>
              <w:pStyle w:val="28"/>
              <w:adjustRightInd w:val="0"/>
              <w:snapToGrid w:val="0"/>
              <w:jc w:val="center"/>
              <w:rPr>
                <w:rFonts w:hAnsi="宋体"/>
                <w:color w:val="auto"/>
                <w:sz w:val="24"/>
                <w:szCs w:val="24"/>
              </w:rPr>
            </w:pPr>
            <w:r>
              <w:rPr>
                <w:rFonts w:hint="default" w:hAnsi="宋体"/>
                <w:color w:val="auto"/>
                <w:sz w:val="24"/>
                <w:szCs w:val="24"/>
              </w:rPr>
              <w:t>11.</w:t>
            </w:r>
            <w:r>
              <w:rPr>
                <w:rFonts w:hAnsi="宋体"/>
                <w:color w:val="auto"/>
                <w:sz w:val="24"/>
                <w:szCs w:val="24"/>
              </w:rPr>
              <w:t>8</w:t>
            </w:r>
            <w:r>
              <w:rPr>
                <w:rFonts w:hint="default" w:hAnsi="宋体"/>
                <w:color w:val="auto"/>
                <w:sz w:val="24"/>
                <w:szCs w:val="24"/>
              </w:rPr>
              <w:t>.5</w:t>
            </w:r>
          </w:p>
        </w:tc>
        <w:tc>
          <w:tcPr>
            <w:tcW w:w="1555" w:type="dxa"/>
            <w:vMerge w:val="continue"/>
            <w:vAlign w:val="center"/>
          </w:tcPr>
          <w:p w14:paraId="3F681895">
            <w:pPr>
              <w:jc w:val="center"/>
              <w:rPr>
                <w:rFonts w:hint="eastAsia" w:ascii="宋体" w:hAnsi="宋体"/>
                <w:color w:val="auto"/>
                <w:sz w:val="24"/>
              </w:rPr>
            </w:pPr>
          </w:p>
        </w:tc>
        <w:tc>
          <w:tcPr>
            <w:tcW w:w="7366" w:type="dxa"/>
            <w:vAlign w:val="center"/>
          </w:tcPr>
          <w:p w14:paraId="1783DB2F">
            <w:pPr>
              <w:jc w:val="left"/>
              <w:rPr>
                <w:rFonts w:hint="eastAsia" w:ascii="宋体" w:hAnsi="宋体"/>
                <w:color w:val="auto"/>
                <w:sz w:val="24"/>
              </w:rPr>
            </w:pPr>
            <w:r>
              <w:rPr>
                <w:rFonts w:ascii="宋体" w:hAnsi="宋体"/>
                <w:color w:val="auto"/>
                <w:sz w:val="24"/>
              </w:rPr>
              <w:t>磋商保证金不予退还的其他情形：</w:t>
            </w:r>
          </w:p>
          <w:p w14:paraId="387C4ADA">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无</w:t>
            </w:r>
          </w:p>
          <w:p w14:paraId="1350708E">
            <w:pPr>
              <w:pStyle w:val="28"/>
              <w:adjustRightInd w:val="0"/>
              <w:snapToGrid w:val="0"/>
              <w:rPr>
                <w:rFonts w:hAnsi="宋体"/>
                <w:color w:val="auto"/>
                <w:sz w:val="24"/>
                <w:szCs w:val="24"/>
              </w:rPr>
            </w:pPr>
            <w:r>
              <w:rPr>
                <w:rFonts w:hAnsi="宋体"/>
                <w:color w:val="auto"/>
                <w:sz w:val="24"/>
              </w:rPr>
              <w:t>□</w:t>
            </w:r>
            <w:r>
              <w:rPr>
                <w:rFonts w:hint="default" w:hAnsi="宋体"/>
                <w:color w:val="auto"/>
                <w:sz w:val="24"/>
              </w:rPr>
              <w:t>有，具体情形：</w:t>
            </w:r>
            <w:r>
              <w:rPr>
                <w:rFonts w:hint="default" w:hAnsi="宋体"/>
                <w:color w:val="auto"/>
                <w:sz w:val="24"/>
                <w:u w:val="single"/>
              </w:rPr>
              <w:t xml:space="preserve">    /    </w:t>
            </w:r>
            <w:r>
              <w:rPr>
                <w:rFonts w:hint="default" w:hAnsi="宋体"/>
                <w:color w:val="auto"/>
                <w:sz w:val="24"/>
              </w:rPr>
              <w:t>。</w:t>
            </w:r>
          </w:p>
        </w:tc>
      </w:tr>
      <w:tr w14:paraId="064F2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DACA00F">
            <w:pPr>
              <w:pStyle w:val="28"/>
              <w:adjustRightInd w:val="0"/>
              <w:snapToGrid w:val="0"/>
              <w:jc w:val="center"/>
              <w:rPr>
                <w:rFonts w:hAnsi="宋体"/>
                <w:color w:val="auto"/>
                <w:sz w:val="24"/>
                <w:szCs w:val="24"/>
              </w:rPr>
            </w:pPr>
            <w:r>
              <w:rPr>
                <w:rFonts w:hint="default" w:hAnsi="宋体"/>
                <w:color w:val="auto"/>
                <w:sz w:val="24"/>
                <w:szCs w:val="24"/>
              </w:rPr>
              <w:t>12.1</w:t>
            </w:r>
          </w:p>
        </w:tc>
        <w:tc>
          <w:tcPr>
            <w:tcW w:w="1555" w:type="dxa"/>
            <w:vAlign w:val="center"/>
          </w:tcPr>
          <w:p w14:paraId="02851088">
            <w:pPr>
              <w:jc w:val="center"/>
              <w:rPr>
                <w:rFonts w:hint="eastAsia" w:ascii="宋体" w:hAnsi="宋体"/>
                <w:color w:val="auto"/>
                <w:sz w:val="24"/>
              </w:rPr>
            </w:pPr>
            <w:r>
              <w:rPr>
                <w:rFonts w:ascii="宋体" w:hAnsi="宋体"/>
                <w:color w:val="auto"/>
                <w:sz w:val="24"/>
              </w:rPr>
              <w:t>响应有效期</w:t>
            </w:r>
          </w:p>
        </w:tc>
        <w:tc>
          <w:tcPr>
            <w:tcW w:w="7366" w:type="dxa"/>
            <w:vAlign w:val="center"/>
          </w:tcPr>
          <w:p w14:paraId="45D7E3E8">
            <w:pPr>
              <w:jc w:val="left"/>
              <w:rPr>
                <w:rFonts w:hint="eastAsia" w:ascii="宋体" w:hAnsi="宋体"/>
                <w:color w:val="auto"/>
                <w:sz w:val="24"/>
              </w:rPr>
            </w:pPr>
            <w:r>
              <w:rPr>
                <w:rFonts w:ascii="宋体" w:hAnsi="宋体"/>
                <w:color w:val="auto"/>
                <w:sz w:val="24"/>
              </w:rPr>
              <w:t>自响应文件提交截止之日起算</w:t>
            </w:r>
            <w:r>
              <w:rPr>
                <w:rFonts w:ascii="宋体" w:hAnsi="宋体"/>
                <w:color w:val="auto"/>
                <w:sz w:val="24"/>
                <w:u w:val="single"/>
              </w:rPr>
              <w:t xml:space="preserve">  </w:t>
            </w:r>
            <w:r>
              <w:rPr>
                <w:rFonts w:hint="eastAsia" w:ascii="宋体" w:hAnsi="宋体"/>
                <w:color w:val="auto"/>
                <w:sz w:val="24"/>
                <w:u w:val="single"/>
              </w:rPr>
              <w:t>90</w:t>
            </w:r>
            <w:r>
              <w:rPr>
                <w:rFonts w:ascii="宋体" w:hAnsi="宋体"/>
                <w:color w:val="auto"/>
                <w:sz w:val="24"/>
                <w:u w:val="single"/>
              </w:rPr>
              <w:t xml:space="preserve">  </w:t>
            </w:r>
            <w:r>
              <w:rPr>
                <w:rFonts w:ascii="宋体" w:hAnsi="宋体"/>
                <w:color w:val="auto"/>
                <w:sz w:val="24"/>
              </w:rPr>
              <w:t>日历天。</w:t>
            </w:r>
          </w:p>
        </w:tc>
      </w:tr>
      <w:tr w14:paraId="1C21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55CD2BF">
            <w:pPr>
              <w:pStyle w:val="28"/>
              <w:adjustRightInd w:val="0"/>
              <w:snapToGrid w:val="0"/>
              <w:jc w:val="center"/>
              <w:rPr>
                <w:rFonts w:hAnsi="宋体"/>
                <w:color w:val="auto"/>
                <w:sz w:val="24"/>
                <w:szCs w:val="24"/>
              </w:rPr>
            </w:pPr>
            <w:r>
              <w:rPr>
                <w:rFonts w:hAnsi="宋体"/>
                <w:color w:val="auto"/>
                <w:sz w:val="24"/>
                <w:szCs w:val="24"/>
              </w:rPr>
              <w:t>17.1</w:t>
            </w:r>
          </w:p>
        </w:tc>
        <w:tc>
          <w:tcPr>
            <w:tcW w:w="1555" w:type="dxa"/>
            <w:vAlign w:val="center"/>
          </w:tcPr>
          <w:p w14:paraId="750DA9AC">
            <w:pPr>
              <w:jc w:val="center"/>
              <w:rPr>
                <w:rFonts w:hint="eastAsia" w:ascii="宋体" w:hAnsi="宋体"/>
                <w:color w:val="auto"/>
                <w:sz w:val="24"/>
              </w:rPr>
            </w:pPr>
            <w:r>
              <w:rPr>
                <w:rFonts w:hint="eastAsia" w:ascii="宋体" w:hAnsi="宋体"/>
                <w:color w:val="auto"/>
                <w:sz w:val="24"/>
              </w:rPr>
              <w:t>响应文件的解密与开启</w:t>
            </w:r>
          </w:p>
        </w:tc>
        <w:tc>
          <w:tcPr>
            <w:tcW w:w="7366" w:type="dxa"/>
            <w:vAlign w:val="center"/>
          </w:tcPr>
          <w:p w14:paraId="283325D8">
            <w:pPr>
              <w:jc w:val="left"/>
              <w:rPr>
                <w:rFonts w:hint="eastAsia" w:ascii="宋体" w:hAnsi="宋体"/>
                <w:color w:val="auto"/>
                <w:sz w:val="24"/>
              </w:rPr>
            </w:pPr>
            <w:r>
              <w:rPr>
                <w:rFonts w:ascii="宋体" w:hAnsi="宋体"/>
                <w:color w:val="auto"/>
                <w:sz w:val="24"/>
              </w:rPr>
              <w:t>采购人或采购代理机构将按</w:t>
            </w:r>
            <w:r>
              <w:rPr>
                <w:rFonts w:hint="eastAsia" w:ascii="宋体" w:hAnsi="宋体"/>
                <w:color w:val="auto"/>
                <w:sz w:val="24"/>
              </w:rPr>
              <w:t>竞争性</w:t>
            </w:r>
            <w:r>
              <w:rPr>
                <w:rFonts w:ascii="宋体" w:hAnsi="宋体"/>
                <w:color w:val="auto"/>
                <w:sz w:val="24"/>
              </w:rPr>
              <w:t>磋商文件的规定，在提交</w:t>
            </w:r>
            <w:r>
              <w:rPr>
                <w:rFonts w:hint="eastAsia" w:ascii="宋体" w:hAnsi="宋体"/>
                <w:color w:val="auto"/>
                <w:sz w:val="24"/>
              </w:rPr>
              <w:t>响应文件</w:t>
            </w:r>
            <w:r>
              <w:rPr>
                <w:rFonts w:ascii="宋体" w:hAnsi="宋体"/>
                <w:color w:val="auto"/>
                <w:sz w:val="24"/>
              </w:rPr>
              <w:t>截止时间的同一时间和</w:t>
            </w:r>
            <w:r>
              <w:rPr>
                <w:rFonts w:hint="eastAsia" w:ascii="宋体" w:hAnsi="宋体"/>
                <w:color w:val="auto"/>
                <w:sz w:val="24"/>
              </w:rPr>
              <w:t>竞争性</w:t>
            </w:r>
            <w:r>
              <w:rPr>
                <w:rFonts w:ascii="宋体" w:hAnsi="宋体"/>
                <w:color w:val="auto"/>
                <w:sz w:val="24"/>
              </w:rPr>
              <w:t>磋商文件预先确定的地点组织</w:t>
            </w:r>
            <w:r>
              <w:rPr>
                <w:rFonts w:hint="eastAsia" w:ascii="宋体" w:hAnsi="宋体"/>
                <w:color w:val="auto"/>
                <w:sz w:val="24"/>
              </w:rPr>
              <w:t>磋商</w:t>
            </w:r>
            <w:r>
              <w:rPr>
                <w:rFonts w:ascii="宋体" w:hAnsi="宋体"/>
                <w:color w:val="auto"/>
                <w:sz w:val="24"/>
              </w:rPr>
              <w:t>。</w:t>
            </w:r>
            <w:r>
              <w:rPr>
                <w:rFonts w:hint="eastAsia" w:ascii="宋体" w:hAnsi="宋体"/>
                <w:color w:val="auto"/>
                <w:sz w:val="24"/>
              </w:rPr>
              <w:t>磋商时邀请所有供应商授权代表、采购人代表参加。</w:t>
            </w:r>
          </w:p>
          <w:p w14:paraId="4D3F9AC5">
            <w:pPr>
              <w:jc w:val="left"/>
              <w:rPr>
                <w:rFonts w:hint="eastAsia" w:ascii="宋体" w:hAnsi="宋体"/>
                <w:b/>
                <w:color w:val="auto"/>
                <w:sz w:val="24"/>
              </w:rPr>
            </w:pPr>
            <w:r>
              <w:rPr>
                <w:rFonts w:hint="eastAsia"/>
                <w:color w:val="auto"/>
                <w:sz w:val="24"/>
              </w:rPr>
              <w:t>供应商所委派的磋商代表与响应文件中授权代表不一致时，供应商需单独提供磋商代表的授权委托书原件。供应商所委派的磋商代表与响应文件中授权的代理人相同时，可不单独提供授权委托书。</w:t>
            </w:r>
          </w:p>
        </w:tc>
      </w:tr>
      <w:tr w14:paraId="66D50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864901D">
            <w:pPr>
              <w:pStyle w:val="28"/>
              <w:adjustRightInd w:val="0"/>
              <w:snapToGrid w:val="0"/>
              <w:jc w:val="center"/>
              <w:rPr>
                <w:rFonts w:hAnsi="宋体"/>
                <w:color w:val="auto"/>
                <w:sz w:val="24"/>
                <w:szCs w:val="24"/>
              </w:rPr>
            </w:pPr>
            <w:r>
              <w:rPr>
                <w:rFonts w:hAnsi="宋体"/>
                <w:color w:val="auto"/>
                <w:sz w:val="24"/>
                <w:szCs w:val="24"/>
              </w:rPr>
              <w:t>17.2</w:t>
            </w:r>
          </w:p>
        </w:tc>
        <w:tc>
          <w:tcPr>
            <w:tcW w:w="1555" w:type="dxa"/>
            <w:vAlign w:val="center"/>
          </w:tcPr>
          <w:p w14:paraId="54F97ACE">
            <w:pPr>
              <w:jc w:val="center"/>
              <w:rPr>
                <w:rFonts w:hint="eastAsia" w:ascii="宋体" w:hAnsi="宋体"/>
                <w:color w:val="auto"/>
                <w:sz w:val="24"/>
              </w:rPr>
            </w:pPr>
            <w:r>
              <w:rPr>
                <w:rFonts w:hint="eastAsia" w:ascii="宋体" w:hAnsi="宋体"/>
                <w:color w:val="auto"/>
                <w:sz w:val="24"/>
              </w:rPr>
              <w:t>解密时间</w:t>
            </w:r>
          </w:p>
        </w:tc>
        <w:tc>
          <w:tcPr>
            <w:tcW w:w="7366" w:type="dxa"/>
            <w:vAlign w:val="center"/>
          </w:tcPr>
          <w:p w14:paraId="01E91B9D">
            <w:pPr>
              <w:jc w:val="left"/>
              <w:rPr>
                <w:rFonts w:hint="eastAsia" w:ascii="宋体" w:hAnsi="宋体"/>
                <w:color w:val="auto"/>
                <w:sz w:val="24"/>
              </w:rPr>
            </w:pPr>
            <w:r>
              <w:rPr>
                <w:rFonts w:hint="eastAsia" w:ascii="宋体" w:hAnsi="宋体"/>
                <w:color w:val="auto"/>
                <w:sz w:val="24"/>
              </w:rPr>
              <w:t>解密时间：</w:t>
            </w:r>
            <w:r>
              <w:rPr>
                <w:rFonts w:hint="eastAsia" w:ascii="宋体" w:hAnsi="宋体"/>
                <w:color w:val="auto"/>
                <w:sz w:val="24"/>
                <w:u w:val="single"/>
              </w:rPr>
              <w:t xml:space="preserve">  10  </w:t>
            </w:r>
            <w:r>
              <w:rPr>
                <w:rFonts w:hint="eastAsia" w:ascii="宋体" w:hAnsi="宋体"/>
                <w:color w:val="auto"/>
                <w:sz w:val="24"/>
              </w:rPr>
              <w:t>分钟。</w:t>
            </w:r>
          </w:p>
        </w:tc>
      </w:tr>
      <w:tr w14:paraId="122B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4EC2300">
            <w:pPr>
              <w:pStyle w:val="28"/>
              <w:adjustRightInd w:val="0"/>
              <w:snapToGrid w:val="0"/>
              <w:jc w:val="center"/>
              <w:rPr>
                <w:rFonts w:hAnsi="宋体"/>
                <w:color w:val="auto"/>
                <w:sz w:val="24"/>
                <w:szCs w:val="24"/>
              </w:rPr>
            </w:pPr>
            <w:r>
              <w:rPr>
                <w:rFonts w:hint="default" w:hAnsi="宋体"/>
                <w:color w:val="auto"/>
                <w:sz w:val="24"/>
                <w:szCs w:val="24"/>
              </w:rPr>
              <w:t>20.1</w:t>
            </w:r>
          </w:p>
        </w:tc>
        <w:tc>
          <w:tcPr>
            <w:tcW w:w="1555" w:type="dxa"/>
            <w:vAlign w:val="center"/>
          </w:tcPr>
          <w:p w14:paraId="42077DCF">
            <w:pPr>
              <w:jc w:val="center"/>
              <w:rPr>
                <w:rFonts w:hint="eastAsia" w:ascii="宋体" w:hAnsi="宋体"/>
                <w:color w:val="auto"/>
                <w:sz w:val="24"/>
              </w:rPr>
            </w:pPr>
            <w:r>
              <w:rPr>
                <w:rFonts w:ascii="宋体" w:hAnsi="宋体"/>
                <w:color w:val="auto"/>
                <w:sz w:val="24"/>
              </w:rPr>
              <w:t>确认成交供应商</w:t>
            </w:r>
          </w:p>
        </w:tc>
        <w:tc>
          <w:tcPr>
            <w:tcW w:w="7366" w:type="dxa"/>
            <w:vAlign w:val="center"/>
          </w:tcPr>
          <w:p w14:paraId="34723AA1">
            <w:pPr>
              <w:pStyle w:val="28"/>
              <w:adjustRightInd w:val="0"/>
              <w:snapToGrid w:val="0"/>
              <w:rPr>
                <w:rFonts w:hAnsi="宋体"/>
                <w:color w:val="auto"/>
                <w:sz w:val="24"/>
              </w:rPr>
            </w:pPr>
            <w:r>
              <w:rPr>
                <w:rFonts w:hint="default" w:hAnsi="宋体"/>
                <w:color w:val="auto"/>
                <w:sz w:val="24"/>
              </w:rPr>
              <w:t>采购人是否授权磋商小组直接确定成交供应商：</w:t>
            </w:r>
          </w:p>
          <w:p w14:paraId="1D3FF075">
            <w:pPr>
              <w:pStyle w:val="28"/>
              <w:adjustRightInd w:val="0"/>
              <w:snapToGrid w:val="0"/>
              <w:rPr>
                <w:rFonts w:hAnsi="宋体"/>
                <w:color w:val="auto"/>
                <w:sz w:val="24"/>
              </w:rPr>
            </w:pPr>
            <w:r>
              <w:rPr>
                <w:rFonts w:hAnsi="宋体"/>
                <w:color w:val="auto"/>
                <w:sz w:val="24"/>
              </w:rPr>
              <w:t>■</w:t>
            </w:r>
            <w:r>
              <w:rPr>
                <w:rFonts w:hint="default" w:hAnsi="宋体"/>
                <w:color w:val="auto"/>
                <w:sz w:val="24"/>
              </w:rPr>
              <w:t>否</w:t>
            </w:r>
          </w:p>
          <w:p w14:paraId="38F8744C">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是</w:t>
            </w:r>
          </w:p>
          <w:p w14:paraId="2E925F80">
            <w:pPr>
              <w:jc w:val="left"/>
              <w:rPr>
                <w:rFonts w:hint="eastAsia" w:ascii="宋体" w:hAnsi="宋体"/>
                <w:color w:val="auto"/>
                <w:sz w:val="24"/>
              </w:rPr>
            </w:pPr>
            <w:r>
              <w:rPr>
                <w:rFonts w:hint="eastAsia" w:ascii="宋体" w:hAnsi="宋体"/>
                <w:color w:val="auto"/>
                <w:sz w:val="24"/>
              </w:rPr>
              <w:t>（1）</w:t>
            </w:r>
            <w:r>
              <w:rPr>
                <w:rFonts w:ascii="宋体" w:hAnsi="宋体"/>
                <w:color w:val="auto"/>
                <w:sz w:val="24"/>
              </w:rPr>
              <w:t>成交候选人并列的，按照以下方式确定成交供应商：</w:t>
            </w:r>
            <w:r>
              <w:rPr>
                <w:rFonts w:hint="eastAsia" w:ascii="宋体" w:hAnsi="宋体"/>
                <w:color w:val="auto"/>
                <w:sz w:val="24"/>
                <w:u w:val="single"/>
              </w:rPr>
              <w:t>得分相同，以响应报价较低的优先；得分且响应报价均相同的，以技术部分评审得分高者为成交供应商；技术部分评审也相同的，以技术部分中的</w:t>
            </w:r>
            <w:r>
              <w:rPr>
                <w:rFonts w:hint="eastAsia" w:ascii="宋体" w:hAnsi="宋体" w:eastAsia="宋体"/>
                <w:color w:val="auto"/>
                <w:sz w:val="24"/>
                <w:u w:val="single"/>
              </w:rPr>
              <w:t>“</w:t>
            </w:r>
            <w:r>
              <w:rPr>
                <w:rFonts w:hint="eastAsia" w:ascii="宋体" w:hAnsi="宋体" w:eastAsia="宋体"/>
                <w:color w:val="auto"/>
                <w:sz w:val="24"/>
                <w:u w:val="single"/>
                <w:lang w:val="en-US" w:eastAsia="zh-CN"/>
              </w:rPr>
              <w:t>拆除专项方案</w:t>
            </w:r>
            <w:r>
              <w:rPr>
                <w:rFonts w:hint="eastAsia" w:ascii="宋体" w:hAnsi="宋体" w:eastAsia="宋体"/>
                <w:color w:val="auto"/>
                <w:sz w:val="24"/>
                <w:u w:val="single"/>
              </w:rPr>
              <w:t>”评审得分高者为成交供</w:t>
            </w:r>
            <w:r>
              <w:rPr>
                <w:rFonts w:hint="eastAsia" w:ascii="宋体" w:hAnsi="宋体"/>
                <w:color w:val="auto"/>
                <w:sz w:val="24"/>
                <w:u w:val="single"/>
              </w:rPr>
              <w:t>应商</w:t>
            </w:r>
            <w:r>
              <w:rPr>
                <w:rFonts w:ascii="宋体" w:hAnsi="宋体"/>
                <w:color w:val="auto"/>
                <w:sz w:val="24"/>
              </w:rPr>
              <w:t>。</w:t>
            </w:r>
          </w:p>
          <w:p w14:paraId="40668DD0">
            <w:pPr>
              <w:pStyle w:val="269"/>
              <w:spacing w:before="0" w:beforeAutospacing="0" w:after="0" w:afterAutospacing="0"/>
              <w:rPr>
                <w:rFonts w:hint="eastAsia" w:cs="Times New Roman"/>
                <w:color w:val="auto"/>
                <w:kern w:val="2"/>
              </w:rPr>
            </w:pPr>
            <w:r>
              <w:rPr>
                <w:rFonts w:cs="Times New Roman"/>
                <w:color w:val="auto"/>
                <w:kern w:val="2"/>
              </w:rPr>
              <w:t>（2）采购人根据磋商小组推荐的有排序的成交候选人情况，确定排名第一的成交候选人为成交人。排名第一的成交候选人发生如下情形导致不符合成交条件的，采购人可以按照磋商小组提出的成交候选人名单排序依次确定其他成交候选人为成交人：</w:t>
            </w:r>
          </w:p>
          <w:p w14:paraId="395B3603">
            <w:pPr>
              <w:jc w:val="left"/>
              <w:rPr>
                <w:rFonts w:hint="eastAsia" w:ascii="宋体" w:hAnsi="宋体"/>
                <w:color w:val="auto"/>
                <w:sz w:val="24"/>
                <w:u w:val="single"/>
              </w:rPr>
            </w:pPr>
            <w:r>
              <w:rPr>
                <w:rFonts w:hint="eastAsia" w:ascii="宋体" w:hAnsi="宋体"/>
                <w:color w:val="auto"/>
                <w:sz w:val="24"/>
              </w:rPr>
              <w:t>1）</w:t>
            </w:r>
            <w:r>
              <w:rPr>
                <w:rFonts w:hint="eastAsia" w:ascii="宋体" w:hAnsi="宋体"/>
                <w:color w:val="auto"/>
                <w:sz w:val="24"/>
                <w:u w:val="single"/>
              </w:rPr>
              <w:t>放弃成交的</w:t>
            </w:r>
            <w:r>
              <w:rPr>
                <w:rFonts w:hint="eastAsia" w:ascii="宋体" w:hAnsi="宋体"/>
                <w:color w:val="auto"/>
                <w:sz w:val="24"/>
              </w:rPr>
              <w:t>；</w:t>
            </w:r>
          </w:p>
          <w:p w14:paraId="7B33D592">
            <w:pPr>
              <w:jc w:val="left"/>
              <w:rPr>
                <w:rFonts w:hint="eastAsia" w:ascii="宋体" w:hAnsi="宋体"/>
                <w:color w:val="auto"/>
                <w:sz w:val="24"/>
              </w:rPr>
            </w:pPr>
            <w:r>
              <w:rPr>
                <w:rFonts w:hint="eastAsia" w:ascii="宋体" w:hAnsi="宋体"/>
                <w:color w:val="auto"/>
                <w:sz w:val="24"/>
              </w:rPr>
              <w:t>2）</w:t>
            </w:r>
            <w:r>
              <w:rPr>
                <w:rFonts w:hint="eastAsia" w:ascii="宋体" w:hAnsi="宋体"/>
                <w:color w:val="auto"/>
                <w:sz w:val="24"/>
                <w:u w:val="single"/>
              </w:rPr>
              <w:t>拟派项目经理担任其他在施建设工程项目的项目经理的</w:t>
            </w:r>
            <w:r>
              <w:rPr>
                <w:rFonts w:hint="eastAsia" w:ascii="宋体" w:hAnsi="宋体"/>
                <w:color w:val="auto"/>
                <w:sz w:val="24"/>
              </w:rPr>
              <w:t>；</w:t>
            </w:r>
          </w:p>
          <w:p w14:paraId="0E9542FE">
            <w:pPr>
              <w:jc w:val="left"/>
              <w:rPr>
                <w:rFonts w:hint="eastAsia" w:ascii="宋体" w:hAnsi="宋体"/>
                <w:color w:val="auto"/>
                <w:sz w:val="24"/>
                <w:u w:val="single"/>
              </w:rPr>
            </w:pPr>
            <w:r>
              <w:rPr>
                <w:rFonts w:hint="eastAsia" w:ascii="宋体" w:hAnsi="宋体"/>
                <w:color w:val="auto"/>
                <w:sz w:val="24"/>
              </w:rPr>
              <w:t>3）</w:t>
            </w:r>
            <w:r>
              <w:rPr>
                <w:rFonts w:hint="eastAsia" w:ascii="宋体" w:hAnsi="宋体"/>
                <w:color w:val="auto"/>
                <w:sz w:val="24"/>
                <w:u w:val="single"/>
              </w:rPr>
              <w:t>因不可抗力提出不能履行合同的</w:t>
            </w:r>
            <w:r>
              <w:rPr>
                <w:rFonts w:hint="eastAsia" w:ascii="宋体" w:hAnsi="宋体"/>
                <w:color w:val="auto"/>
                <w:sz w:val="24"/>
              </w:rPr>
              <w:t>；</w:t>
            </w:r>
          </w:p>
          <w:p w14:paraId="0F37D4FB">
            <w:pPr>
              <w:jc w:val="left"/>
              <w:rPr>
                <w:rFonts w:hint="eastAsia" w:ascii="宋体" w:hAnsi="宋体"/>
                <w:color w:val="auto"/>
                <w:sz w:val="24"/>
                <w:u w:val="single"/>
              </w:rPr>
            </w:pPr>
            <w:r>
              <w:rPr>
                <w:rFonts w:hint="eastAsia" w:ascii="宋体" w:hAnsi="宋体"/>
                <w:color w:val="auto"/>
                <w:sz w:val="24"/>
              </w:rPr>
              <w:t>4）</w:t>
            </w:r>
            <w:r>
              <w:rPr>
                <w:rFonts w:hint="eastAsia" w:ascii="宋体" w:hAnsi="宋体"/>
                <w:color w:val="auto"/>
                <w:sz w:val="24"/>
                <w:u w:val="single"/>
              </w:rPr>
              <w:t>被警示为施工安全风险企业的</w:t>
            </w:r>
            <w:r>
              <w:rPr>
                <w:rFonts w:hint="eastAsia" w:ascii="宋体" w:hAnsi="宋体"/>
                <w:color w:val="auto"/>
                <w:sz w:val="24"/>
              </w:rPr>
              <w:t>；</w:t>
            </w:r>
          </w:p>
          <w:p w14:paraId="6BF25854">
            <w:pPr>
              <w:jc w:val="left"/>
              <w:rPr>
                <w:rFonts w:hint="eastAsia" w:ascii="宋体" w:hAnsi="宋体"/>
                <w:color w:val="auto"/>
                <w:sz w:val="24"/>
              </w:rPr>
            </w:pPr>
            <w:r>
              <w:rPr>
                <w:rFonts w:hint="eastAsia" w:ascii="宋体" w:hAnsi="宋体"/>
                <w:color w:val="auto"/>
                <w:sz w:val="24"/>
              </w:rPr>
              <w:t>5）</w:t>
            </w:r>
            <w:r>
              <w:rPr>
                <w:rFonts w:hint="eastAsia" w:ascii="宋体" w:hAnsi="宋体"/>
                <w:color w:val="auto"/>
                <w:sz w:val="24"/>
                <w:u w:val="single"/>
              </w:rPr>
              <w:t>被北京市住房城乡建设主管部门暂扣安全生产许可证的</w:t>
            </w:r>
            <w:r>
              <w:rPr>
                <w:rFonts w:hint="eastAsia" w:ascii="宋体" w:hAnsi="宋体"/>
                <w:color w:val="auto"/>
                <w:sz w:val="24"/>
              </w:rPr>
              <w:t>；</w:t>
            </w:r>
          </w:p>
          <w:p w14:paraId="4B3382BB">
            <w:pPr>
              <w:pStyle w:val="269"/>
              <w:spacing w:before="0" w:beforeAutospacing="0" w:after="0" w:afterAutospacing="0"/>
              <w:rPr>
                <w:rFonts w:hint="eastAsia" w:cs="Times New Roman"/>
                <w:color w:val="auto"/>
                <w:kern w:val="2"/>
              </w:rPr>
            </w:pPr>
            <w:r>
              <w:rPr>
                <w:rFonts w:hint="eastAsia"/>
                <w:color w:val="auto"/>
              </w:rPr>
              <w:t>6）</w:t>
            </w:r>
            <w:r>
              <w:rPr>
                <w:rFonts w:hint="eastAsia" w:cs="Times New Roman"/>
                <w:color w:val="auto"/>
                <w:kern w:val="2"/>
                <w:u w:val="single"/>
              </w:rPr>
              <w:t>不存在被北京市住房城乡建设主管部门标注资质（本项目所涉及资质）异常且未完成整改情形</w:t>
            </w:r>
            <w:r>
              <w:rPr>
                <w:rFonts w:hint="eastAsia"/>
                <w:color w:val="auto"/>
              </w:rPr>
              <w:t>。</w:t>
            </w:r>
          </w:p>
        </w:tc>
      </w:tr>
      <w:tr w14:paraId="0E4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18F624B6">
            <w:pPr>
              <w:pStyle w:val="28"/>
              <w:adjustRightInd w:val="0"/>
              <w:snapToGrid w:val="0"/>
              <w:jc w:val="center"/>
              <w:rPr>
                <w:rFonts w:hAnsi="宋体"/>
                <w:color w:val="auto"/>
                <w:sz w:val="24"/>
                <w:szCs w:val="24"/>
              </w:rPr>
            </w:pPr>
            <w:r>
              <w:rPr>
                <w:rFonts w:hint="default" w:hAnsi="宋体"/>
                <w:color w:val="auto"/>
                <w:sz w:val="24"/>
                <w:szCs w:val="24"/>
              </w:rPr>
              <w:t>23.5</w:t>
            </w:r>
          </w:p>
        </w:tc>
        <w:tc>
          <w:tcPr>
            <w:tcW w:w="1555" w:type="dxa"/>
            <w:vAlign w:val="center"/>
          </w:tcPr>
          <w:p w14:paraId="35EB0EA5">
            <w:pPr>
              <w:jc w:val="center"/>
              <w:rPr>
                <w:rFonts w:hint="eastAsia" w:ascii="宋体" w:hAnsi="宋体"/>
                <w:color w:val="auto"/>
                <w:sz w:val="24"/>
              </w:rPr>
            </w:pPr>
            <w:r>
              <w:rPr>
                <w:rFonts w:ascii="宋体" w:hAnsi="宋体"/>
                <w:color w:val="auto"/>
                <w:sz w:val="24"/>
              </w:rPr>
              <w:t>分包</w:t>
            </w:r>
          </w:p>
        </w:tc>
        <w:tc>
          <w:tcPr>
            <w:tcW w:w="7366" w:type="dxa"/>
            <w:vAlign w:val="center"/>
          </w:tcPr>
          <w:p w14:paraId="159D9015">
            <w:pPr>
              <w:jc w:val="left"/>
              <w:rPr>
                <w:rFonts w:hint="eastAsia" w:ascii="宋体" w:hAnsi="宋体"/>
                <w:color w:val="auto"/>
                <w:sz w:val="24"/>
              </w:rPr>
            </w:pPr>
            <w:r>
              <w:rPr>
                <w:rFonts w:ascii="宋体" w:hAnsi="宋体"/>
                <w:color w:val="auto"/>
                <w:sz w:val="24"/>
              </w:rPr>
              <w:t xml:space="preserve">本项目是否允许分包： </w:t>
            </w:r>
          </w:p>
          <w:p w14:paraId="58AD3BB0">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不允许</w:t>
            </w:r>
          </w:p>
          <w:p w14:paraId="08D7A269">
            <w:pPr>
              <w:jc w:val="left"/>
              <w:rPr>
                <w:rFonts w:hint="eastAsia" w:ascii="宋体" w:hAnsi="宋体"/>
                <w:color w:val="auto"/>
                <w:sz w:val="24"/>
              </w:rPr>
            </w:pPr>
            <w:r>
              <w:rPr>
                <w:rFonts w:hint="eastAsia" w:ascii="宋体" w:hAnsi="宋体"/>
                <w:color w:val="auto"/>
                <w:sz w:val="24"/>
              </w:rPr>
              <w:t>□</w:t>
            </w:r>
            <w:r>
              <w:rPr>
                <w:rFonts w:ascii="宋体" w:hAnsi="宋体"/>
                <w:color w:val="auto"/>
                <w:sz w:val="24"/>
              </w:rPr>
              <w:t>允许，具体要求：</w:t>
            </w:r>
            <w:r>
              <w:rPr>
                <w:rFonts w:ascii="宋体" w:hAnsi="宋体"/>
                <w:color w:val="auto"/>
                <w:sz w:val="24"/>
                <w:u w:val="single"/>
              </w:rPr>
              <w:t xml:space="preserve">  /  </w:t>
            </w:r>
            <w:r>
              <w:rPr>
                <w:rFonts w:ascii="宋体" w:hAnsi="宋体"/>
                <w:color w:val="auto"/>
                <w:sz w:val="24"/>
              </w:rPr>
              <w:t>。</w:t>
            </w:r>
          </w:p>
          <w:p w14:paraId="537E56F5">
            <w:pPr>
              <w:jc w:val="left"/>
              <w:rPr>
                <w:rFonts w:hint="eastAsia" w:ascii="宋体" w:hAnsi="宋体"/>
                <w:color w:val="auto"/>
                <w:sz w:val="24"/>
              </w:rPr>
            </w:pPr>
            <w:r>
              <w:rPr>
                <w:rFonts w:hint="eastAsia" w:ascii="宋体" w:hAnsi="宋体"/>
                <w:color w:val="auto"/>
                <w:sz w:val="24"/>
              </w:rPr>
              <w:t>（1）可以分包履行的具体内容：</w:t>
            </w:r>
            <w:r>
              <w:rPr>
                <w:rStyle w:val="65"/>
                <w:rFonts w:hint="eastAsia"/>
                <w:color w:val="auto"/>
                <w:u w:val="single"/>
              </w:rPr>
              <w:t>/</w:t>
            </w:r>
            <w:r>
              <w:rPr>
                <w:rFonts w:hint="eastAsia" w:ascii="宋体" w:hAnsi="宋体"/>
                <w:color w:val="auto"/>
                <w:sz w:val="24"/>
              </w:rPr>
              <w:t>；</w:t>
            </w:r>
          </w:p>
          <w:p w14:paraId="30DAD36A">
            <w:pPr>
              <w:jc w:val="left"/>
              <w:rPr>
                <w:rFonts w:hint="eastAsia" w:ascii="宋体" w:hAnsi="宋体"/>
                <w:color w:val="auto"/>
                <w:sz w:val="24"/>
              </w:rPr>
            </w:pPr>
            <w:r>
              <w:rPr>
                <w:rFonts w:hint="eastAsia" w:ascii="宋体" w:hAnsi="宋体"/>
                <w:color w:val="auto"/>
                <w:sz w:val="24"/>
              </w:rPr>
              <w:t>（2）允许分包的金额或者比例：/；</w:t>
            </w:r>
          </w:p>
          <w:p w14:paraId="55ED5E40">
            <w:pPr>
              <w:jc w:val="left"/>
              <w:rPr>
                <w:rFonts w:hint="eastAsia" w:ascii="宋体" w:hAnsi="宋体"/>
                <w:color w:val="auto"/>
                <w:sz w:val="24"/>
              </w:rPr>
            </w:pPr>
            <w:r>
              <w:rPr>
                <w:rFonts w:hint="eastAsia" w:ascii="宋体" w:hAnsi="宋体"/>
                <w:color w:val="auto"/>
                <w:sz w:val="24"/>
              </w:rPr>
              <w:t>（3）其他要求：/</w:t>
            </w:r>
          </w:p>
        </w:tc>
      </w:tr>
      <w:tr w14:paraId="236A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1432231">
            <w:pPr>
              <w:pStyle w:val="28"/>
              <w:adjustRightInd w:val="0"/>
              <w:snapToGrid w:val="0"/>
              <w:jc w:val="center"/>
              <w:rPr>
                <w:rFonts w:hAnsi="宋体"/>
                <w:color w:val="auto"/>
                <w:sz w:val="24"/>
                <w:szCs w:val="24"/>
              </w:rPr>
            </w:pPr>
            <w:r>
              <w:rPr>
                <w:rFonts w:hAnsi="宋体"/>
                <w:color w:val="auto"/>
                <w:sz w:val="24"/>
                <w:szCs w:val="24"/>
              </w:rPr>
              <w:t>23.6</w:t>
            </w:r>
          </w:p>
        </w:tc>
        <w:tc>
          <w:tcPr>
            <w:tcW w:w="1555" w:type="dxa"/>
            <w:vAlign w:val="center"/>
          </w:tcPr>
          <w:p w14:paraId="2783668D">
            <w:pPr>
              <w:jc w:val="center"/>
              <w:rPr>
                <w:rFonts w:hint="eastAsia" w:ascii="宋体" w:hAnsi="宋体"/>
                <w:color w:val="auto"/>
                <w:sz w:val="24"/>
              </w:rPr>
            </w:pPr>
            <w:r>
              <w:rPr>
                <w:rFonts w:hint="eastAsia" w:ascii="宋体" w:hAnsi="宋体"/>
                <w:color w:val="auto"/>
                <w:sz w:val="24"/>
              </w:rPr>
              <w:t>政采贷</w:t>
            </w:r>
          </w:p>
        </w:tc>
        <w:tc>
          <w:tcPr>
            <w:tcW w:w="7366" w:type="dxa"/>
            <w:vAlign w:val="center"/>
          </w:tcPr>
          <w:p w14:paraId="77020443">
            <w:pPr>
              <w:rPr>
                <w:rFonts w:hint="eastAsia" w:ascii="宋体" w:hAnsi="宋体"/>
                <w:color w:val="auto"/>
                <w:sz w:val="24"/>
              </w:rPr>
            </w:pPr>
            <w:r>
              <w:rPr>
                <w:rFonts w:hint="eastAsia" w:ascii="宋体" w:hAnsi="宋体"/>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ECD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48740195">
            <w:pPr>
              <w:pStyle w:val="28"/>
              <w:adjustRightInd w:val="0"/>
              <w:snapToGrid w:val="0"/>
              <w:jc w:val="center"/>
              <w:rPr>
                <w:rFonts w:hAnsi="宋体"/>
                <w:color w:val="auto"/>
                <w:sz w:val="24"/>
                <w:szCs w:val="24"/>
              </w:rPr>
            </w:pPr>
            <w:r>
              <w:rPr>
                <w:rFonts w:hint="default" w:hAnsi="宋体"/>
                <w:color w:val="auto"/>
                <w:sz w:val="24"/>
                <w:szCs w:val="24"/>
              </w:rPr>
              <w:t>24.1.1</w:t>
            </w:r>
          </w:p>
        </w:tc>
        <w:tc>
          <w:tcPr>
            <w:tcW w:w="1555" w:type="dxa"/>
            <w:vAlign w:val="center"/>
          </w:tcPr>
          <w:p w14:paraId="256D9BAE">
            <w:pPr>
              <w:jc w:val="center"/>
              <w:rPr>
                <w:rFonts w:hint="eastAsia" w:ascii="宋体" w:hAnsi="宋体"/>
                <w:color w:val="auto"/>
                <w:sz w:val="24"/>
              </w:rPr>
            </w:pPr>
            <w:r>
              <w:rPr>
                <w:rFonts w:ascii="宋体" w:hAnsi="宋体"/>
                <w:color w:val="auto"/>
                <w:sz w:val="24"/>
              </w:rPr>
              <w:t>询问</w:t>
            </w:r>
          </w:p>
        </w:tc>
        <w:tc>
          <w:tcPr>
            <w:tcW w:w="7366" w:type="dxa"/>
            <w:vAlign w:val="center"/>
          </w:tcPr>
          <w:p w14:paraId="78FA20EC">
            <w:pPr>
              <w:jc w:val="left"/>
              <w:rPr>
                <w:rFonts w:hint="eastAsia" w:ascii="宋体" w:hAnsi="宋体"/>
                <w:color w:val="auto"/>
                <w:sz w:val="24"/>
              </w:rPr>
            </w:pPr>
            <w:r>
              <w:rPr>
                <w:rFonts w:ascii="宋体" w:hAnsi="宋体"/>
                <w:color w:val="auto"/>
                <w:sz w:val="24"/>
              </w:rPr>
              <w:t>询问提出形式：</w:t>
            </w:r>
            <w:r>
              <w:rPr>
                <w:rFonts w:hint="eastAsia" w:ascii="宋体" w:hAnsi="宋体"/>
                <w:color w:val="auto"/>
                <w:sz w:val="24"/>
                <w:u w:val="single"/>
              </w:rPr>
              <w:t>书面形式（传真、电子邮件、加盖公章的纸质文件等）</w:t>
            </w:r>
            <w:r>
              <w:rPr>
                <w:rFonts w:ascii="宋体" w:hAnsi="宋体"/>
                <w:color w:val="auto"/>
                <w:sz w:val="24"/>
              </w:rPr>
              <w:t>。</w:t>
            </w:r>
          </w:p>
        </w:tc>
      </w:tr>
      <w:tr w14:paraId="263D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93" w:type="dxa"/>
            <w:vAlign w:val="center"/>
          </w:tcPr>
          <w:p w14:paraId="2FC48FAA">
            <w:pPr>
              <w:pStyle w:val="28"/>
              <w:adjustRightInd w:val="0"/>
              <w:snapToGrid w:val="0"/>
              <w:jc w:val="center"/>
              <w:rPr>
                <w:rFonts w:hAnsi="宋体"/>
                <w:color w:val="auto"/>
                <w:sz w:val="24"/>
                <w:szCs w:val="24"/>
              </w:rPr>
            </w:pPr>
            <w:r>
              <w:rPr>
                <w:rFonts w:hint="default" w:hAnsi="宋体"/>
                <w:color w:val="auto"/>
                <w:sz w:val="24"/>
                <w:szCs w:val="24"/>
              </w:rPr>
              <w:t>24.3</w:t>
            </w:r>
          </w:p>
        </w:tc>
        <w:tc>
          <w:tcPr>
            <w:tcW w:w="1555" w:type="dxa"/>
            <w:vAlign w:val="center"/>
          </w:tcPr>
          <w:p w14:paraId="22C82674">
            <w:pPr>
              <w:jc w:val="center"/>
              <w:rPr>
                <w:rFonts w:hint="eastAsia" w:ascii="宋体" w:hAnsi="宋体"/>
                <w:color w:val="auto"/>
                <w:sz w:val="24"/>
              </w:rPr>
            </w:pPr>
            <w:r>
              <w:rPr>
                <w:rFonts w:ascii="宋体" w:hAnsi="宋体"/>
                <w:color w:val="auto"/>
                <w:sz w:val="24"/>
              </w:rPr>
              <w:t>联系方式</w:t>
            </w:r>
          </w:p>
        </w:tc>
        <w:tc>
          <w:tcPr>
            <w:tcW w:w="7366" w:type="dxa"/>
            <w:vAlign w:val="center"/>
          </w:tcPr>
          <w:p w14:paraId="737804BB">
            <w:pPr>
              <w:jc w:val="left"/>
              <w:rPr>
                <w:rFonts w:hint="eastAsia" w:ascii="宋体" w:hAnsi="宋体"/>
                <w:color w:val="auto"/>
                <w:sz w:val="24"/>
              </w:rPr>
            </w:pPr>
            <w:r>
              <w:rPr>
                <w:rFonts w:ascii="宋体" w:hAnsi="宋体"/>
                <w:color w:val="auto"/>
                <w:sz w:val="24"/>
              </w:rPr>
              <w:t>接收询问和质疑的联系方式</w:t>
            </w:r>
          </w:p>
          <w:p w14:paraId="5E5A7CE8">
            <w:pPr>
              <w:jc w:val="left"/>
              <w:rPr>
                <w:rFonts w:hint="eastAsia" w:ascii="宋体" w:hAnsi="宋体"/>
                <w:color w:val="auto"/>
                <w:sz w:val="24"/>
                <w:u w:val="single"/>
              </w:rPr>
            </w:pPr>
            <w:r>
              <w:rPr>
                <w:rFonts w:ascii="宋体" w:hAnsi="宋体"/>
                <w:color w:val="auto"/>
                <w:sz w:val="24"/>
              </w:rPr>
              <w:t>联系部门：</w:t>
            </w:r>
            <w:r>
              <w:rPr>
                <w:rFonts w:hint="eastAsia" w:ascii="宋体" w:hAnsi="宋体"/>
                <w:color w:val="auto"/>
                <w:sz w:val="24"/>
                <w:u w:val="single"/>
              </w:rPr>
              <w:t>北京博睿丰工程咨询有限公司</w:t>
            </w:r>
          </w:p>
          <w:p w14:paraId="5076BD9A">
            <w:pPr>
              <w:jc w:val="left"/>
              <w:rPr>
                <w:rFonts w:hint="eastAsia" w:ascii="宋体" w:hAnsi="宋体"/>
                <w:color w:val="auto"/>
                <w:sz w:val="24"/>
              </w:rPr>
            </w:pPr>
            <w:r>
              <w:rPr>
                <w:rFonts w:ascii="宋体" w:hAnsi="宋体"/>
                <w:color w:val="auto"/>
                <w:sz w:val="24"/>
              </w:rPr>
              <w:t>联系电话：</w:t>
            </w:r>
            <w:r>
              <w:rPr>
                <w:rFonts w:hint="eastAsia" w:ascii="宋体" w:hAnsi="宋体"/>
                <w:color w:val="auto"/>
                <w:sz w:val="24"/>
                <w:u w:val="single"/>
              </w:rPr>
              <w:t>010-61409078、13716552263</w:t>
            </w:r>
            <w:r>
              <w:rPr>
                <w:rFonts w:ascii="宋体" w:hAnsi="宋体"/>
                <w:color w:val="auto"/>
                <w:sz w:val="24"/>
              </w:rPr>
              <w:t>；</w:t>
            </w:r>
          </w:p>
          <w:p w14:paraId="7654974E">
            <w:pPr>
              <w:jc w:val="left"/>
              <w:rPr>
                <w:rFonts w:hint="eastAsia" w:ascii="宋体" w:hAnsi="宋体"/>
                <w:color w:val="auto"/>
                <w:sz w:val="24"/>
              </w:rPr>
            </w:pPr>
            <w:r>
              <w:rPr>
                <w:rFonts w:ascii="宋体" w:hAnsi="宋体"/>
                <w:color w:val="auto"/>
                <w:sz w:val="24"/>
              </w:rPr>
              <w:t>通讯地址：</w:t>
            </w:r>
            <w:r>
              <w:rPr>
                <w:rFonts w:hint="eastAsia" w:ascii="宋体" w:hAnsi="宋体"/>
                <w:color w:val="auto"/>
                <w:sz w:val="24"/>
                <w:u w:val="single"/>
              </w:rPr>
              <w:t>北京市顺义区林河南大街9号院9号楼2层262室</w:t>
            </w:r>
            <w:r>
              <w:rPr>
                <w:rFonts w:ascii="宋体" w:hAnsi="宋体"/>
                <w:color w:val="auto"/>
                <w:sz w:val="24"/>
              </w:rPr>
              <w:t>。</w:t>
            </w:r>
          </w:p>
        </w:tc>
      </w:tr>
      <w:tr w14:paraId="5CFAD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993" w:type="dxa"/>
            <w:vAlign w:val="center"/>
          </w:tcPr>
          <w:p w14:paraId="22753B00">
            <w:pPr>
              <w:pStyle w:val="28"/>
              <w:adjustRightInd w:val="0"/>
              <w:snapToGrid w:val="0"/>
              <w:jc w:val="center"/>
              <w:rPr>
                <w:rFonts w:hAnsi="宋体"/>
                <w:color w:val="auto"/>
                <w:sz w:val="24"/>
                <w:szCs w:val="24"/>
              </w:rPr>
            </w:pPr>
            <w:r>
              <w:rPr>
                <w:rFonts w:hint="default" w:hAnsi="宋体"/>
                <w:color w:val="auto"/>
                <w:sz w:val="24"/>
                <w:szCs w:val="24"/>
              </w:rPr>
              <w:t>25</w:t>
            </w:r>
          </w:p>
        </w:tc>
        <w:tc>
          <w:tcPr>
            <w:tcW w:w="1555" w:type="dxa"/>
            <w:vAlign w:val="center"/>
          </w:tcPr>
          <w:p w14:paraId="066546D2">
            <w:pPr>
              <w:jc w:val="center"/>
              <w:rPr>
                <w:rFonts w:hint="eastAsia" w:ascii="宋体" w:hAnsi="宋体"/>
                <w:color w:val="auto"/>
                <w:sz w:val="24"/>
              </w:rPr>
            </w:pPr>
            <w:r>
              <w:rPr>
                <w:rFonts w:ascii="宋体" w:hAnsi="宋体"/>
                <w:color w:val="auto"/>
                <w:sz w:val="24"/>
              </w:rPr>
              <w:t>代理费</w:t>
            </w:r>
          </w:p>
        </w:tc>
        <w:tc>
          <w:tcPr>
            <w:tcW w:w="7366" w:type="dxa"/>
            <w:vAlign w:val="center"/>
          </w:tcPr>
          <w:p w14:paraId="765A9544">
            <w:pPr>
              <w:jc w:val="left"/>
              <w:rPr>
                <w:rFonts w:hint="eastAsia" w:ascii="宋体" w:hAnsi="宋体"/>
                <w:color w:val="auto"/>
                <w:sz w:val="24"/>
              </w:rPr>
            </w:pPr>
            <w:r>
              <w:rPr>
                <w:rFonts w:hint="eastAsia" w:ascii="宋体" w:hAnsi="宋体"/>
                <w:color w:val="auto"/>
                <w:sz w:val="24"/>
              </w:rPr>
              <w:t>1.代理费收费对象：</w:t>
            </w:r>
          </w:p>
          <w:p w14:paraId="0C1D4DA3">
            <w:pPr>
              <w:jc w:val="left"/>
              <w:rPr>
                <w:rFonts w:hint="eastAsia" w:ascii="宋体" w:hAnsi="宋体"/>
                <w:color w:val="auto"/>
                <w:sz w:val="24"/>
              </w:rPr>
            </w:pPr>
            <w:r>
              <w:rPr>
                <w:rFonts w:hint="eastAsia" w:ascii="宋体" w:hAnsi="宋体"/>
                <w:color w:val="auto"/>
                <w:sz w:val="24"/>
              </w:rPr>
              <w:t>■采购人</w:t>
            </w:r>
          </w:p>
          <w:p w14:paraId="5B382A79">
            <w:pPr>
              <w:jc w:val="left"/>
              <w:rPr>
                <w:rFonts w:hint="eastAsia" w:ascii="宋体" w:hAnsi="宋体"/>
                <w:color w:val="auto"/>
                <w:sz w:val="24"/>
              </w:rPr>
            </w:pPr>
            <w:r>
              <w:rPr>
                <w:rFonts w:hint="eastAsia" w:ascii="宋体" w:hAnsi="宋体"/>
                <w:color w:val="auto"/>
                <w:sz w:val="24"/>
              </w:rPr>
              <w:t>□成交供应商</w:t>
            </w:r>
          </w:p>
          <w:p w14:paraId="14C25002">
            <w:pPr>
              <w:jc w:val="left"/>
              <w:rPr>
                <w:color w:val="auto"/>
                <w:kern w:val="0"/>
                <w:sz w:val="24"/>
                <w:u w:val="single"/>
              </w:rPr>
            </w:pPr>
            <w:r>
              <w:rPr>
                <w:rFonts w:hint="eastAsia" w:ascii="宋体" w:hAnsi="宋体"/>
                <w:color w:val="auto"/>
                <w:sz w:val="24"/>
              </w:rPr>
              <w:t>收费标准：</w:t>
            </w:r>
            <w:r>
              <w:rPr>
                <w:rFonts w:hint="eastAsia"/>
                <w:color w:val="auto"/>
                <w:kern w:val="0"/>
                <w:sz w:val="24"/>
                <w:u w:val="single"/>
              </w:rPr>
              <w:t>将采购项目或包次中标(成交)金额划分成若干区间并按项目类别设定标准费率，各区间中标(成交)金额与对应费率之积为该区间计费额，各区间计费额之和，即为乙方应得报酬。最终以财政评审审定金额为准。</w:t>
            </w:r>
          </w:p>
          <w:p w14:paraId="7D840D5A">
            <w:pPr>
              <w:jc w:val="left"/>
              <w:rPr>
                <w:color w:val="auto"/>
              </w:rPr>
            </w:pPr>
            <w:r>
              <w:rPr>
                <w:rFonts w:hint="eastAsia" w:ascii="宋体" w:hAnsi="宋体"/>
                <w:color w:val="auto"/>
                <w:sz w:val="24"/>
              </w:rPr>
              <w:t>详见下表：</w:t>
            </w:r>
          </w:p>
          <w:p w14:paraId="4E01317A">
            <w:pPr>
              <w:ind w:firstLine="2891" w:firstLineChars="1200"/>
              <w:jc w:val="left"/>
              <w:rPr>
                <w:rFonts w:hint="eastAsia" w:ascii="宋体" w:hAnsi="宋体" w:cs="宋体"/>
                <w:b/>
                <w:bCs/>
                <w:color w:val="auto"/>
                <w:sz w:val="24"/>
              </w:rPr>
            </w:pPr>
            <w:r>
              <w:rPr>
                <w:rFonts w:hint="eastAsia" w:ascii="宋体" w:hAnsi="宋体" w:cs="宋体"/>
                <w:b/>
                <w:bCs/>
                <w:color w:val="auto"/>
                <w:sz w:val="24"/>
              </w:rPr>
              <w:t>代理服务收费标准</w:t>
            </w:r>
          </w:p>
          <w:tbl>
            <w:tblPr>
              <w:tblStyle w:val="53"/>
              <w:tblW w:w="6728"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946"/>
              <w:gridCol w:w="1289"/>
              <w:gridCol w:w="1139"/>
              <w:gridCol w:w="1354"/>
            </w:tblGrid>
            <w:tr w14:paraId="04AF36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tblCellSpacing w:w="0" w:type="dxa"/>
                <w:jc w:val="center"/>
              </w:trPr>
              <w:tc>
                <w:tcPr>
                  <w:tcW w:w="2946" w:type="dxa"/>
                  <w:vMerge w:val="restart"/>
                  <w:tcBorders>
                    <w:top w:val="outset" w:color="auto" w:sz="6" w:space="0"/>
                    <w:left w:val="outset" w:color="auto" w:sz="6" w:space="0"/>
                    <w:right w:val="outset" w:color="auto" w:sz="6" w:space="0"/>
                    <w:tl2br w:val="outset" w:color="auto" w:sz="6" w:space="0"/>
                  </w:tcBorders>
                  <w:vAlign w:val="center"/>
                </w:tcPr>
                <w:p w14:paraId="1ED3F1DC">
                  <w:pPr>
                    <w:widowControl/>
                    <w:tabs>
                      <w:tab w:val="left" w:pos="2520"/>
                      <w:tab w:val="left" w:pos="2730"/>
                    </w:tabs>
                    <w:jc w:val="center"/>
                    <w:rPr>
                      <w:rFonts w:hint="eastAsia" w:ascii="宋体" w:hAnsi="宋体" w:cs="宋体"/>
                      <w:color w:val="auto"/>
                      <w:sz w:val="24"/>
                    </w:rPr>
                  </w:pPr>
                  <w:r>
                    <w:rPr>
                      <w:rFonts w:hint="eastAsia" w:ascii="宋体" w:hAnsi="宋体" w:cs="宋体"/>
                      <w:color w:val="auto"/>
                      <w:sz w:val="24"/>
                    </w:rPr>
                    <w:t xml:space="preserve">               项目类别</w:t>
                  </w:r>
                </w:p>
                <w:p w14:paraId="43F244E9">
                  <w:pPr>
                    <w:ind w:left="720" w:hanging="720" w:hangingChars="300"/>
                    <w:rPr>
                      <w:rFonts w:hint="eastAsia" w:ascii="宋体" w:hAnsi="宋体" w:cs="宋体"/>
                      <w:color w:val="auto"/>
                      <w:sz w:val="24"/>
                    </w:rPr>
                  </w:pPr>
                  <w:r>
                    <w:rPr>
                      <w:rFonts w:hint="eastAsia" w:ascii="宋体" w:hAnsi="宋体" w:cs="宋体"/>
                      <w:color w:val="auto"/>
                      <w:sz w:val="24"/>
                    </w:rPr>
                    <w:t>成交金额(万元)</w:t>
                  </w:r>
                </w:p>
              </w:tc>
              <w:tc>
                <w:tcPr>
                  <w:tcW w:w="3782" w:type="dxa"/>
                  <w:gridSpan w:val="3"/>
                  <w:tcBorders>
                    <w:top w:val="outset" w:color="auto" w:sz="6" w:space="0"/>
                    <w:left w:val="outset" w:color="auto" w:sz="6" w:space="0"/>
                    <w:bottom w:val="outset" w:color="auto" w:sz="6" w:space="0"/>
                    <w:right w:val="outset" w:color="auto" w:sz="6" w:space="0"/>
                  </w:tcBorders>
                  <w:vAlign w:val="center"/>
                </w:tcPr>
                <w:p w14:paraId="404A7D21">
                  <w:pPr>
                    <w:widowControl/>
                    <w:jc w:val="center"/>
                    <w:rPr>
                      <w:rFonts w:hint="eastAsia" w:ascii="宋体" w:hAnsi="宋体" w:cs="宋体"/>
                      <w:color w:val="auto"/>
                      <w:sz w:val="24"/>
                    </w:rPr>
                  </w:pPr>
                  <w:r>
                    <w:rPr>
                      <w:rFonts w:hint="eastAsia" w:ascii="宋体" w:hAnsi="宋体" w:cs="宋体"/>
                      <w:color w:val="auto"/>
                      <w:sz w:val="24"/>
                    </w:rPr>
                    <w:t>标准费率（%）</w:t>
                  </w:r>
                </w:p>
              </w:tc>
            </w:tr>
            <w:tr w14:paraId="2C7015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tblCellSpacing w:w="0" w:type="dxa"/>
                <w:jc w:val="center"/>
              </w:trPr>
              <w:tc>
                <w:tcPr>
                  <w:tcW w:w="2946" w:type="dxa"/>
                  <w:vMerge w:val="continue"/>
                  <w:tcBorders>
                    <w:left w:val="outset" w:color="auto" w:sz="6" w:space="0"/>
                    <w:bottom w:val="outset" w:color="auto" w:sz="6" w:space="0"/>
                    <w:right w:val="outset" w:color="auto" w:sz="6" w:space="0"/>
                    <w:tl2br w:val="outset" w:color="auto" w:sz="6" w:space="0"/>
                  </w:tcBorders>
                  <w:vAlign w:val="center"/>
                </w:tcPr>
                <w:p w14:paraId="50D25774">
                  <w:pPr>
                    <w:widowControl/>
                    <w:jc w:val="center"/>
                    <w:rPr>
                      <w:rFonts w:hint="eastAsia" w:ascii="宋体" w:hAnsi="宋体" w:cs="宋体"/>
                      <w:color w:val="auto"/>
                      <w:sz w:val="24"/>
                    </w:rPr>
                  </w:pPr>
                </w:p>
              </w:tc>
              <w:tc>
                <w:tcPr>
                  <w:tcW w:w="1289" w:type="dxa"/>
                  <w:tcBorders>
                    <w:top w:val="outset" w:color="auto" w:sz="6" w:space="0"/>
                    <w:left w:val="outset" w:color="auto" w:sz="6" w:space="0"/>
                    <w:bottom w:val="outset" w:color="auto" w:sz="6" w:space="0"/>
                    <w:right w:val="outset" w:color="auto" w:sz="6" w:space="0"/>
                  </w:tcBorders>
                  <w:vAlign w:val="center"/>
                </w:tcPr>
                <w:p w14:paraId="3071E298">
                  <w:pPr>
                    <w:widowControl/>
                    <w:spacing w:before="100" w:beforeAutospacing="1" w:after="100" w:afterAutospacing="1"/>
                    <w:jc w:val="center"/>
                    <w:rPr>
                      <w:rFonts w:hint="eastAsia" w:ascii="宋体" w:hAnsi="宋体" w:cs="宋体"/>
                      <w:color w:val="auto"/>
                      <w:sz w:val="24"/>
                    </w:rPr>
                  </w:pPr>
                  <w:r>
                    <w:rPr>
                      <w:rFonts w:hint="eastAsia" w:ascii="宋体" w:hAnsi="宋体" w:cs="宋体"/>
                      <w:color w:val="auto"/>
                      <w:sz w:val="24"/>
                    </w:rPr>
                    <w:t>货物</w:t>
                  </w:r>
                </w:p>
              </w:tc>
              <w:tc>
                <w:tcPr>
                  <w:tcW w:w="1139" w:type="dxa"/>
                  <w:tcBorders>
                    <w:top w:val="outset" w:color="auto" w:sz="6" w:space="0"/>
                    <w:left w:val="outset" w:color="auto" w:sz="6" w:space="0"/>
                    <w:bottom w:val="outset" w:color="auto" w:sz="6" w:space="0"/>
                    <w:right w:val="outset" w:color="auto" w:sz="6" w:space="0"/>
                  </w:tcBorders>
                  <w:vAlign w:val="center"/>
                </w:tcPr>
                <w:p w14:paraId="1C0EB8D0">
                  <w:pPr>
                    <w:widowControl/>
                    <w:jc w:val="center"/>
                    <w:rPr>
                      <w:rFonts w:hint="eastAsia" w:ascii="宋体" w:hAnsi="宋体" w:cs="宋体"/>
                      <w:color w:val="auto"/>
                      <w:sz w:val="24"/>
                    </w:rPr>
                  </w:pPr>
                  <w:r>
                    <w:rPr>
                      <w:rFonts w:hint="eastAsia" w:ascii="宋体" w:hAnsi="宋体" w:cs="宋体"/>
                      <w:color w:val="auto"/>
                      <w:sz w:val="24"/>
                    </w:rPr>
                    <w:t>服务</w:t>
                  </w:r>
                </w:p>
              </w:tc>
              <w:tc>
                <w:tcPr>
                  <w:tcW w:w="1354" w:type="dxa"/>
                  <w:tcBorders>
                    <w:top w:val="outset" w:color="auto" w:sz="6" w:space="0"/>
                    <w:left w:val="outset" w:color="auto" w:sz="6" w:space="0"/>
                    <w:bottom w:val="outset" w:color="auto" w:sz="6" w:space="0"/>
                    <w:right w:val="outset" w:color="auto" w:sz="6" w:space="0"/>
                  </w:tcBorders>
                  <w:vAlign w:val="center"/>
                </w:tcPr>
                <w:p w14:paraId="7BD4C3FF">
                  <w:pPr>
                    <w:widowControl/>
                    <w:jc w:val="center"/>
                    <w:rPr>
                      <w:rFonts w:hint="eastAsia" w:ascii="宋体" w:hAnsi="宋体" w:cs="宋体"/>
                      <w:color w:val="auto"/>
                      <w:sz w:val="24"/>
                    </w:rPr>
                  </w:pPr>
                  <w:r>
                    <w:rPr>
                      <w:rFonts w:hint="eastAsia" w:ascii="宋体" w:hAnsi="宋体" w:cs="宋体"/>
                      <w:color w:val="auto"/>
                      <w:sz w:val="24"/>
                    </w:rPr>
                    <w:t>工程</w:t>
                  </w:r>
                </w:p>
              </w:tc>
            </w:tr>
            <w:tr w14:paraId="5C29C8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630634E2">
                  <w:pPr>
                    <w:widowControl/>
                    <w:ind w:firstLine="480" w:firstLineChars="200"/>
                    <w:jc w:val="left"/>
                    <w:rPr>
                      <w:rFonts w:hint="eastAsia" w:ascii="宋体" w:hAnsi="宋体" w:cs="宋体"/>
                      <w:color w:val="auto"/>
                      <w:sz w:val="24"/>
                    </w:rPr>
                  </w:pPr>
                  <w:r>
                    <w:rPr>
                      <w:rFonts w:hint="eastAsia" w:ascii="宋体" w:hAnsi="宋体" w:cs="宋体"/>
                      <w:color w:val="auto"/>
                      <w:sz w:val="24"/>
                    </w:rPr>
                    <w:t>100以下</w:t>
                  </w:r>
                </w:p>
              </w:tc>
              <w:tc>
                <w:tcPr>
                  <w:tcW w:w="1289" w:type="dxa"/>
                  <w:tcBorders>
                    <w:top w:val="outset" w:color="auto" w:sz="6" w:space="0"/>
                    <w:left w:val="outset" w:color="auto" w:sz="6" w:space="0"/>
                    <w:bottom w:val="outset" w:color="auto" w:sz="6" w:space="0"/>
                    <w:right w:val="outset" w:color="auto" w:sz="6" w:space="0"/>
                  </w:tcBorders>
                  <w:vAlign w:val="center"/>
                </w:tcPr>
                <w:p w14:paraId="0027B1C0">
                  <w:pPr>
                    <w:widowControl/>
                    <w:jc w:val="center"/>
                    <w:rPr>
                      <w:rFonts w:hint="eastAsia" w:ascii="宋体" w:hAnsi="宋体" w:cs="宋体"/>
                      <w:color w:val="auto"/>
                      <w:sz w:val="24"/>
                    </w:rPr>
                  </w:pPr>
                  <w:r>
                    <w:rPr>
                      <w:rFonts w:hint="eastAsia" w:ascii="宋体" w:hAnsi="宋体" w:cs="宋体"/>
                      <w:color w:val="auto"/>
                      <w:sz w:val="24"/>
                    </w:rPr>
                    <w:t>1.5</w:t>
                  </w:r>
                </w:p>
              </w:tc>
              <w:tc>
                <w:tcPr>
                  <w:tcW w:w="1139" w:type="dxa"/>
                  <w:tcBorders>
                    <w:top w:val="outset" w:color="auto" w:sz="6" w:space="0"/>
                    <w:left w:val="outset" w:color="auto" w:sz="6" w:space="0"/>
                    <w:bottom w:val="outset" w:color="auto" w:sz="6" w:space="0"/>
                    <w:right w:val="outset" w:color="auto" w:sz="6" w:space="0"/>
                  </w:tcBorders>
                  <w:vAlign w:val="center"/>
                </w:tcPr>
                <w:p w14:paraId="0DDAB898">
                  <w:pPr>
                    <w:widowControl/>
                    <w:jc w:val="center"/>
                    <w:rPr>
                      <w:rFonts w:hint="eastAsia" w:ascii="宋体" w:hAnsi="宋体" w:cs="宋体"/>
                      <w:color w:val="auto"/>
                      <w:sz w:val="24"/>
                    </w:rPr>
                  </w:pPr>
                  <w:r>
                    <w:rPr>
                      <w:rFonts w:hint="eastAsia" w:ascii="宋体" w:hAnsi="宋体" w:cs="宋体"/>
                      <w:color w:val="auto"/>
                      <w:sz w:val="24"/>
                    </w:rPr>
                    <w:t>1.5</w:t>
                  </w:r>
                </w:p>
              </w:tc>
              <w:tc>
                <w:tcPr>
                  <w:tcW w:w="1354" w:type="dxa"/>
                  <w:tcBorders>
                    <w:top w:val="outset" w:color="auto" w:sz="6" w:space="0"/>
                    <w:left w:val="outset" w:color="auto" w:sz="6" w:space="0"/>
                    <w:bottom w:val="outset" w:color="auto" w:sz="6" w:space="0"/>
                    <w:right w:val="outset" w:color="auto" w:sz="6" w:space="0"/>
                  </w:tcBorders>
                  <w:vAlign w:val="center"/>
                </w:tcPr>
                <w:p w14:paraId="1AE84849">
                  <w:pPr>
                    <w:widowControl/>
                    <w:jc w:val="center"/>
                    <w:rPr>
                      <w:rFonts w:hint="eastAsia" w:ascii="宋体" w:hAnsi="宋体" w:cs="宋体"/>
                      <w:color w:val="auto"/>
                      <w:sz w:val="24"/>
                    </w:rPr>
                  </w:pPr>
                  <w:r>
                    <w:rPr>
                      <w:rFonts w:hint="eastAsia" w:ascii="宋体" w:hAnsi="宋体" w:cs="宋体"/>
                      <w:color w:val="auto"/>
                      <w:sz w:val="24"/>
                    </w:rPr>
                    <w:t>1.0</w:t>
                  </w:r>
                </w:p>
              </w:tc>
            </w:tr>
            <w:tr w14:paraId="462A39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4A04950D">
                  <w:pPr>
                    <w:widowControl/>
                    <w:ind w:firstLine="480" w:firstLineChars="200"/>
                    <w:jc w:val="left"/>
                    <w:rPr>
                      <w:rFonts w:hint="eastAsia" w:ascii="宋体" w:hAnsi="宋体" w:cs="宋体"/>
                      <w:color w:val="auto"/>
                      <w:sz w:val="24"/>
                    </w:rPr>
                  </w:pPr>
                  <w:r>
                    <w:rPr>
                      <w:rFonts w:hint="eastAsia" w:ascii="宋体" w:hAnsi="宋体" w:cs="宋体"/>
                      <w:color w:val="auto"/>
                      <w:sz w:val="24"/>
                    </w:rPr>
                    <w:t>100—500</w:t>
                  </w:r>
                </w:p>
              </w:tc>
              <w:tc>
                <w:tcPr>
                  <w:tcW w:w="1289" w:type="dxa"/>
                  <w:tcBorders>
                    <w:top w:val="outset" w:color="auto" w:sz="6" w:space="0"/>
                    <w:left w:val="outset" w:color="auto" w:sz="6" w:space="0"/>
                    <w:bottom w:val="outset" w:color="auto" w:sz="6" w:space="0"/>
                    <w:right w:val="outset" w:color="auto" w:sz="6" w:space="0"/>
                  </w:tcBorders>
                  <w:vAlign w:val="center"/>
                </w:tcPr>
                <w:p w14:paraId="2CD6E565">
                  <w:pPr>
                    <w:widowControl/>
                    <w:jc w:val="center"/>
                    <w:rPr>
                      <w:rFonts w:hint="eastAsia" w:ascii="宋体" w:hAnsi="宋体" w:cs="宋体"/>
                      <w:color w:val="auto"/>
                      <w:sz w:val="24"/>
                    </w:rPr>
                  </w:pPr>
                  <w:r>
                    <w:rPr>
                      <w:rFonts w:hint="eastAsia" w:ascii="宋体" w:hAnsi="宋体" w:cs="宋体"/>
                      <w:color w:val="auto"/>
                      <w:sz w:val="24"/>
                    </w:rPr>
                    <w:t>1.1</w:t>
                  </w:r>
                </w:p>
              </w:tc>
              <w:tc>
                <w:tcPr>
                  <w:tcW w:w="1139" w:type="dxa"/>
                  <w:tcBorders>
                    <w:top w:val="outset" w:color="auto" w:sz="6" w:space="0"/>
                    <w:left w:val="outset" w:color="auto" w:sz="6" w:space="0"/>
                    <w:bottom w:val="outset" w:color="auto" w:sz="6" w:space="0"/>
                    <w:right w:val="outset" w:color="auto" w:sz="6" w:space="0"/>
                  </w:tcBorders>
                  <w:vAlign w:val="center"/>
                </w:tcPr>
                <w:p w14:paraId="4B2B2D15">
                  <w:pPr>
                    <w:widowControl/>
                    <w:jc w:val="center"/>
                    <w:rPr>
                      <w:rFonts w:hint="eastAsia" w:ascii="宋体" w:hAnsi="宋体" w:cs="宋体"/>
                      <w:color w:val="auto"/>
                      <w:sz w:val="24"/>
                    </w:rPr>
                  </w:pPr>
                  <w:r>
                    <w:rPr>
                      <w:rFonts w:hint="eastAsia" w:ascii="宋体" w:hAnsi="宋体" w:cs="宋体"/>
                      <w:color w:val="auto"/>
                      <w:sz w:val="24"/>
                    </w:rPr>
                    <w:t>0.8</w:t>
                  </w:r>
                </w:p>
              </w:tc>
              <w:tc>
                <w:tcPr>
                  <w:tcW w:w="1354" w:type="dxa"/>
                  <w:tcBorders>
                    <w:top w:val="outset" w:color="auto" w:sz="6" w:space="0"/>
                    <w:left w:val="outset" w:color="auto" w:sz="6" w:space="0"/>
                    <w:bottom w:val="outset" w:color="auto" w:sz="6" w:space="0"/>
                    <w:right w:val="outset" w:color="auto" w:sz="6" w:space="0"/>
                  </w:tcBorders>
                  <w:vAlign w:val="center"/>
                </w:tcPr>
                <w:p w14:paraId="526D4CDA">
                  <w:pPr>
                    <w:widowControl/>
                    <w:jc w:val="center"/>
                    <w:rPr>
                      <w:rFonts w:hint="eastAsia" w:ascii="宋体" w:hAnsi="宋体" w:cs="宋体"/>
                      <w:color w:val="auto"/>
                      <w:sz w:val="24"/>
                    </w:rPr>
                  </w:pPr>
                  <w:r>
                    <w:rPr>
                      <w:rFonts w:hint="eastAsia" w:ascii="宋体" w:hAnsi="宋体" w:cs="宋体"/>
                      <w:color w:val="auto"/>
                      <w:sz w:val="24"/>
                    </w:rPr>
                    <w:t>0.7</w:t>
                  </w:r>
                </w:p>
              </w:tc>
            </w:tr>
            <w:tr w14:paraId="2129D4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CE57E0A">
                  <w:pPr>
                    <w:widowControl/>
                    <w:ind w:firstLine="480" w:firstLineChars="200"/>
                    <w:jc w:val="left"/>
                    <w:rPr>
                      <w:rFonts w:hint="eastAsia" w:ascii="宋体" w:hAnsi="宋体" w:cs="宋体"/>
                      <w:color w:val="auto"/>
                      <w:sz w:val="24"/>
                    </w:rPr>
                  </w:pPr>
                  <w:r>
                    <w:rPr>
                      <w:rFonts w:hint="eastAsia" w:ascii="宋体" w:hAnsi="宋体" w:cs="宋体"/>
                      <w:color w:val="auto"/>
                      <w:sz w:val="24"/>
                    </w:rPr>
                    <w:t>500—1000</w:t>
                  </w:r>
                </w:p>
              </w:tc>
              <w:tc>
                <w:tcPr>
                  <w:tcW w:w="1289" w:type="dxa"/>
                  <w:tcBorders>
                    <w:top w:val="outset" w:color="auto" w:sz="6" w:space="0"/>
                    <w:left w:val="outset" w:color="auto" w:sz="6" w:space="0"/>
                    <w:bottom w:val="outset" w:color="auto" w:sz="6" w:space="0"/>
                    <w:right w:val="outset" w:color="auto" w:sz="6" w:space="0"/>
                  </w:tcBorders>
                  <w:vAlign w:val="center"/>
                </w:tcPr>
                <w:p w14:paraId="6B212683">
                  <w:pPr>
                    <w:widowControl/>
                    <w:jc w:val="center"/>
                    <w:rPr>
                      <w:rFonts w:hint="eastAsia" w:ascii="宋体" w:hAnsi="宋体" w:cs="宋体"/>
                      <w:color w:val="auto"/>
                      <w:sz w:val="24"/>
                    </w:rPr>
                  </w:pPr>
                  <w:r>
                    <w:rPr>
                      <w:rFonts w:hint="eastAsia" w:ascii="宋体" w:hAnsi="宋体" w:cs="宋体"/>
                      <w:color w:val="auto"/>
                      <w:sz w:val="24"/>
                    </w:rPr>
                    <w:t>0.8</w:t>
                  </w:r>
                </w:p>
              </w:tc>
              <w:tc>
                <w:tcPr>
                  <w:tcW w:w="1139" w:type="dxa"/>
                  <w:tcBorders>
                    <w:top w:val="outset" w:color="auto" w:sz="6" w:space="0"/>
                    <w:left w:val="outset" w:color="auto" w:sz="6" w:space="0"/>
                    <w:bottom w:val="outset" w:color="auto" w:sz="6" w:space="0"/>
                    <w:right w:val="outset" w:color="auto" w:sz="6" w:space="0"/>
                  </w:tcBorders>
                  <w:vAlign w:val="center"/>
                </w:tcPr>
                <w:p w14:paraId="71CF6A78">
                  <w:pPr>
                    <w:widowControl/>
                    <w:jc w:val="center"/>
                    <w:rPr>
                      <w:rFonts w:hint="eastAsia" w:ascii="宋体" w:hAnsi="宋体" w:cs="宋体"/>
                      <w:color w:val="auto"/>
                      <w:sz w:val="24"/>
                    </w:rPr>
                  </w:pPr>
                  <w:r>
                    <w:rPr>
                      <w:rFonts w:hint="eastAsia" w:ascii="宋体" w:hAnsi="宋体" w:cs="宋体"/>
                      <w:color w:val="auto"/>
                      <w:sz w:val="24"/>
                    </w:rPr>
                    <w:t>0.45</w:t>
                  </w:r>
                </w:p>
              </w:tc>
              <w:tc>
                <w:tcPr>
                  <w:tcW w:w="1354" w:type="dxa"/>
                  <w:tcBorders>
                    <w:top w:val="outset" w:color="auto" w:sz="6" w:space="0"/>
                    <w:left w:val="outset" w:color="auto" w:sz="6" w:space="0"/>
                    <w:bottom w:val="outset" w:color="auto" w:sz="6" w:space="0"/>
                    <w:right w:val="outset" w:color="auto" w:sz="6" w:space="0"/>
                  </w:tcBorders>
                  <w:vAlign w:val="center"/>
                </w:tcPr>
                <w:p w14:paraId="3D34799A">
                  <w:pPr>
                    <w:widowControl/>
                    <w:jc w:val="center"/>
                    <w:rPr>
                      <w:rFonts w:hint="eastAsia" w:ascii="宋体" w:hAnsi="宋体" w:cs="宋体"/>
                      <w:color w:val="auto"/>
                      <w:sz w:val="24"/>
                    </w:rPr>
                  </w:pPr>
                  <w:r>
                    <w:rPr>
                      <w:rFonts w:hint="eastAsia" w:ascii="宋体" w:hAnsi="宋体" w:cs="宋体"/>
                      <w:color w:val="auto"/>
                      <w:sz w:val="24"/>
                    </w:rPr>
                    <w:t>0.55</w:t>
                  </w:r>
                </w:p>
              </w:tc>
            </w:tr>
            <w:tr w14:paraId="13014B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5CBAA40A">
                  <w:pPr>
                    <w:widowControl/>
                    <w:ind w:firstLine="480" w:firstLineChars="200"/>
                    <w:jc w:val="left"/>
                    <w:rPr>
                      <w:rFonts w:hint="eastAsia" w:ascii="宋体" w:hAnsi="宋体" w:cs="宋体"/>
                      <w:color w:val="auto"/>
                      <w:sz w:val="24"/>
                    </w:rPr>
                  </w:pPr>
                  <w:r>
                    <w:rPr>
                      <w:rFonts w:hint="eastAsia" w:ascii="宋体" w:hAnsi="宋体" w:cs="宋体"/>
                      <w:color w:val="auto"/>
                      <w:sz w:val="24"/>
                    </w:rPr>
                    <w:t>1000—5000</w:t>
                  </w:r>
                </w:p>
              </w:tc>
              <w:tc>
                <w:tcPr>
                  <w:tcW w:w="1289" w:type="dxa"/>
                  <w:tcBorders>
                    <w:top w:val="outset" w:color="auto" w:sz="6" w:space="0"/>
                    <w:left w:val="outset" w:color="auto" w:sz="6" w:space="0"/>
                    <w:bottom w:val="outset" w:color="auto" w:sz="6" w:space="0"/>
                    <w:right w:val="outset" w:color="auto" w:sz="6" w:space="0"/>
                  </w:tcBorders>
                  <w:vAlign w:val="center"/>
                </w:tcPr>
                <w:p w14:paraId="7F33EF1E">
                  <w:pPr>
                    <w:widowControl/>
                    <w:jc w:val="center"/>
                    <w:rPr>
                      <w:rFonts w:hint="eastAsia" w:ascii="宋体" w:hAnsi="宋体" w:cs="宋体"/>
                      <w:color w:val="auto"/>
                      <w:sz w:val="24"/>
                    </w:rPr>
                  </w:pPr>
                  <w:r>
                    <w:rPr>
                      <w:rFonts w:hint="eastAsia" w:ascii="宋体" w:hAnsi="宋体" w:cs="宋体"/>
                      <w:color w:val="auto"/>
                      <w:sz w:val="24"/>
                    </w:rPr>
                    <w:t>0.5</w:t>
                  </w:r>
                </w:p>
              </w:tc>
              <w:tc>
                <w:tcPr>
                  <w:tcW w:w="1139" w:type="dxa"/>
                  <w:tcBorders>
                    <w:top w:val="outset" w:color="auto" w:sz="6" w:space="0"/>
                    <w:left w:val="outset" w:color="auto" w:sz="6" w:space="0"/>
                    <w:bottom w:val="outset" w:color="auto" w:sz="6" w:space="0"/>
                    <w:right w:val="outset" w:color="auto" w:sz="6" w:space="0"/>
                  </w:tcBorders>
                  <w:vAlign w:val="center"/>
                </w:tcPr>
                <w:p w14:paraId="066949CA">
                  <w:pPr>
                    <w:widowControl/>
                    <w:jc w:val="center"/>
                    <w:rPr>
                      <w:rFonts w:hint="eastAsia" w:ascii="宋体" w:hAnsi="宋体" w:cs="宋体"/>
                      <w:color w:val="auto"/>
                      <w:sz w:val="24"/>
                    </w:rPr>
                  </w:pPr>
                  <w:r>
                    <w:rPr>
                      <w:rFonts w:hint="eastAsia" w:ascii="宋体" w:hAnsi="宋体" w:cs="宋体"/>
                      <w:color w:val="auto"/>
                      <w:sz w:val="24"/>
                    </w:rPr>
                    <w:t>0.25</w:t>
                  </w:r>
                </w:p>
              </w:tc>
              <w:tc>
                <w:tcPr>
                  <w:tcW w:w="1354" w:type="dxa"/>
                  <w:tcBorders>
                    <w:top w:val="outset" w:color="auto" w:sz="6" w:space="0"/>
                    <w:left w:val="outset" w:color="auto" w:sz="6" w:space="0"/>
                    <w:bottom w:val="outset" w:color="auto" w:sz="6" w:space="0"/>
                    <w:right w:val="outset" w:color="auto" w:sz="6" w:space="0"/>
                  </w:tcBorders>
                  <w:vAlign w:val="center"/>
                </w:tcPr>
                <w:p w14:paraId="10406F7A">
                  <w:pPr>
                    <w:widowControl/>
                    <w:jc w:val="center"/>
                    <w:rPr>
                      <w:rFonts w:hint="eastAsia" w:ascii="宋体" w:hAnsi="宋体" w:cs="宋体"/>
                      <w:color w:val="auto"/>
                      <w:sz w:val="24"/>
                    </w:rPr>
                  </w:pPr>
                  <w:r>
                    <w:rPr>
                      <w:rFonts w:hint="eastAsia" w:ascii="宋体" w:hAnsi="宋体" w:cs="宋体"/>
                      <w:color w:val="auto"/>
                      <w:sz w:val="24"/>
                    </w:rPr>
                    <w:t>0.35</w:t>
                  </w:r>
                </w:p>
              </w:tc>
            </w:tr>
            <w:tr w14:paraId="0C1DF5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33B75F9A">
                  <w:pPr>
                    <w:widowControl/>
                    <w:ind w:firstLine="480" w:firstLineChars="200"/>
                    <w:jc w:val="left"/>
                    <w:rPr>
                      <w:rFonts w:hint="eastAsia" w:ascii="宋体" w:hAnsi="宋体" w:cs="宋体"/>
                      <w:color w:val="auto"/>
                      <w:sz w:val="24"/>
                    </w:rPr>
                  </w:pPr>
                  <w:r>
                    <w:rPr>
                      <w:rFonts w:hint="eastAsia" w:ascii="宋体" w:hAnsi="宋体" w:cs="宋体"/>
                      <w:color w:val="auto"/>
                      <w:sz w:val="24"/>
                    </w:rPr>
                    <w:t>5000—10000</w:t>
                  </w:r>
                </w:p>
              </w:tc>
              <w:tc>
                <w:tcPr>
                  <w:tcW w:w="1289" w:type="dxa"/>
                  <w:tcBorders>
                    <w:top w:val="outset" w:color="auto" w:sz="6" w:space="0"/>
                    <w:left w:val="outset" w:color="auto" w:sz="6" w:space="0"/>
                    <w:bottom w:val="outset" w:color="auto" w:sz="6" w:space="0"/>
                    <w:right w:val="outset" w:color="auto" w:sz="6" w:space="0"/>
                  </w:tcBorders>
                  <w:vAlign w:val="center"/>
                </w:tcPr>
                <w:p w14:paraId="1CDB69F8">
                  <w:pPr>
                    <w:widowControl/>
                    <w:jc w:val="center"/>
                    <w:rPr>
                      <w:rFonts w:hint="eastAsia" w:ascii="宋体" w:hAnsi="宋体" w:cs="宋体"/>
                      <w:color w:val="auto"/>
                      <w:sz w:val="24"/>
                    </w:rPr>
                  </w:pPr>
                  <w:r>
                    <w:rPr>
                      <w:rFonts w:hint="eastAsia" w:ascii="宋体" w:hAnsi="宋体" w:cs="宋体"/>
                      <w:color w:val="auto"/>
                      <w:sz w:val="24"/>
                    </w:rPr>
                    <w:t>0.25</w:t>
                  </w:r>
                </w:p>
              </w:tc>
              <w:tc>
                <w:tcPr>
                  <w:tcW w:w="1139" w:type="dxa"/>
                  <w:tcBorders>
                    <w:top w:val="outset" w:color="auto" w:sz="6" w:space="0"/>
                    <w:left w:val="outset" w:color="auto" w:sz="6" w:space="0"/>
                    <w:bottom w:val="outset" w:color="auto" w:sz="6" w:space="0"/>
                    <w:right w:val="outset" w:color="auto" w:sz="6" w:space="0"/>
                  </w:tcBorders>
                  <w:vAlign w:val="center"/>
                </w:tcPr>
                <w:p w14:paraId="287D0C76">
                  <w:pPr>
                    <w:widowControl/>
                    <w:jc w:val="center"/>
                    <w:rPr>
                      <w:rFonts w:hint="eastAsia" w:ascii="宋体" w:hAnsi="宋体" w:cs="宋体"/>
                      <w:color w:val="auto"/>
                      <w:sz w:val="24"/>
                    </w:rPr>
                  </w:pPr>
                  <w:r>
                    <w:rPr>
                      <w:rFonts w:hint="eastAsia" w:ascii="宋体" w:hAnsi="宋体" w:cs="宋体"/>
                      <w:color w:val="auto"/>
                      <w:sz w:val="24"/>
                    </w:rPr>
                    <w:t>0.1</w:t>
                  </w:r>
                </w:p>
              </w:tc>
              <w:tc>
                <w:tcPr>
                  <w:tcW w:w="1354" w:type="dxa"/>
                  <w:tcBorders>
                    <w:top w:val="outset" w:color="auto" w:sz="6" w:space="0"/>
                    <w:left w:val="outset" w:color="auto" w:sz="6" w:space="0"/>
                    <w:bottom w:val="outset" w:color="auto" w:sz="6" w:space="0"/>
                    <w:right w:val="outset" w:color="auto" w:sz="6" w:space="0"/>
                  </w:tcBorders>
                  <w:vAlign w:val="center"/>
                </w:tcPr>
                <w:p w14:paraId="6053DBA3">
                  <w:pPr>
                    <w:widowControl/>
                    <w:jc w:val="center"/>
                    <w:rPr>
                      <w:rFonts w:hint="eastAsia" w:ascii="宋体" w:hAnsi="宋体" w:cs="宋体"/>
                      <w:color w:val="auto"/>
                      <w:sz w:val="24"/>
                    </w:rPr>
                  </w:pPr>
                  <w:r>
                    <w:rPr>
                      <w:rFonts w:hint="eastAsia" w:ascii="宋体" w:hAnsi="宋体" w:cs="宋体"/>
                      <w:color w:val="auto"/>
                      <w:sz w:val="24"/>
                    </w:rPr>
                    <w:t>0.2</w:t>
                  </w:r>
                </w:p>
              </w:tc>
            </w:tr>
            <w:tr w14:paraId="0D58052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744FB337">
                  <w:pPr>
                    <w:widowControl/>
                    <w:ind w:firstLine="480" w:firstLineChars="200"/>
                    <w:jc w:val="left"/>
                    <w:rPr>
                      <w:rFonts w:hint="eastAsia" w:ascii="宋体" w:hAnsi="宋体" w:cs="宋体"/>
                      <w:color w:val="auto"/>
                      <w:sz w:val="24"/>
                    </w:rPr>
                  </w:pPr>
                  <w:r>
                    <w:rPr>
                      <w:rFonts w:hint="eastAsia" w:ascii="宋体" w:hAnsi="宋体" w:cs="宋体"/>
                      <w:color w:val="auto"/>
                      <w:sz w:val="24"/>
                    </w:rPr>
                    <w:t>10000—50000</w:t>
                  </w:r>
                </w:p>
              </w:tc>
              <w:tc>
                <w:tcPr>
                  <w:tcW w:w="1289" w:type="dxa"/>
                  <w:tcBorders>
                    <w:top w:val="outset" w:color="auto" w:sz="6" w:space="0"/>
                    <w:left w:val="outset" w:color="auto" w:sz="6" w:space="0"/>
                    <w:bottom w:val="outset" w:color="auto" w:sz="6" w:space="0"/>
                    <w:right w:val="outset" w:color="auto" w:sz="6" w:space="0"/>
                  </w:tcBorders>
                  <w:vAlign w:val="center"/>
                </w:tcPr>
                <w:p w14:paraId="309B329A">
                  <w:pPr>
                    <w:widowControl/>
                    <w:jc w:val="center"/>
                    <w:rPr>
                      <w:rFonts w:hint="eastAsia" w:ascii="宋体" w:hAnsi="宋体" w:cs="宋体"/>
                      <w:color w:val="auto"/>
                      <w:sz w:val="24"/>
                    </w:rPr>
                  </w:pPr>
                  <w:r>
                    <w:rPr>
                      <w:rFonts w:hint="eastAsia" w:ascii="宋体" w:hAnsi="宋体" w:cs="宋体"/>
                      <w:color w:val="auto"/>
                      <w:sz w:val="24"/>
                    </w:rPr>
                    <w:t>0.05</w:t>
                  </w:r>
                </w:p>
              </w:tc>
              <w:tc>
                <w:tcPr>
                  <w:tcW w:w="1139" w:type="dxa"/>
                  <w:tcBorders>
                    <w:top w:val="outset" w:color="auto" w:sz="6" w:space="0"/>
                    <w:left w:val="outset" w:color="auto" w:sz="6" w:space="0"/>
                    <w:bottom w:val="outset" w:color="auto" w:sz="6" w:space="0"/>
                    <w:right w:val="outset" w:color="auto" w:sz="6" w:space="0"/>
                  </w:tcBorders>
                  <w:vAlign w:val="center"/>
                </w:tcPr>
                <w:p w14:paraId="4CF10DE5">
                  <w:pPr>
                    <w:widowControl/>
                    <w:jc w:val="center"/>
                    <w:rPr>
                      <w:rFonts w:hint="eastAsia" w:ascii="宋体" w:hAnsi="宋体" w:cs="宋体"/>
                      <w:color w:val="auto"/>
                      <w:sz w:val="24"/>
                    </w:rPr>
                  </w:pPr>
                  <w:r>
                    <w:rPr>
                      <w:rFonts w:hint="eastAsia" w:ascii="宋体" w:hAnsi="宋体" w:cs="宋体"/>
                      <w:color w:val="auto"/>
                      <w:sz w:val="24"/>
                    </w:rPr>
                    <w:t>0.05</w:t>
                  </w:r>
                </w:p>
              </w:tc>
              <w:tc>
                <w:tcPr>
                  <w:tcW w:w="1354" w:type="dxa"/>
                  <w:tcBorders>
                    <w:top w:val="outset" w:color="auto" w:sz="6" w:space="0"/>
                    <w:left w:val="outset" w:color="auto" w:sz="6" w:space="0"/>
                    <w:bottom w:val="outset" w:color="auto" w:sz="6" w:space="0"/>
                    <w:right w:val="outset" w:color="auto" w:sz="6" w:space="0"/>
                  </w:tcBorders>
                  <w:vAlign w:val="center"/>
                </w:tcPr>
                <w:p w14:paraId="56AEDCC3">
                  <w:pPr>
                    <w:widowControl/>
                    <w:jc w:val="center"/>
                    <w:rPr>
                      <w:rFonts w:hint="eastAsia" w:ascii="宋体" w:hAnsi="宋体" w:cs="宋体"/>
                      <w:color w:val="auto"/>
                      <w:sz w:val="24"/>
                    </w:rPr>
                  </w:pPr>
                  <w:r>
                    <w:rPr>
                      <w:rFonts w:hint="eastAsia" w:ascii="宋体" w:hAnsi="宋体" w:cs="宋体"/>
                      <w:color w:val="auto"/>
                      <w:sz w:val="24"/>
                    </w:rPr>
                    <w:t>0.05</w:t>
                  </w:r>
                </w:p>
              </w:tc>
            </w:tr>
            <w:tr w14:paraId="7178FE0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10" w:hRule="atLeast"/>
                <w:tblCellSpacing w:w="0" w:type="dxa"/>
                <w:jc w:val="center"/>
              </w:trPr>
              <w:tc>
                <w:tcPr>
                  <w:tcW w:w="2946" w:type="dxa"/>
                  <w:tcBorders>
                    <w:top w:val="outset" w:color="auto" w:sz="6" w:space="0"/>
                    <w:left w:val="outset" w:color="auto" w:sz="6" w:space="0"/>
                    <w:bottom w:val="outset" w:color="auto" w:sz="6" w:space="0"/>
                    <w:right w:val="outset" w:color="auto" w:sz="6" w:space="0"/>
                  </w:tcBorders>
                  <w:vAlign w:val="center"/>
                </w:tcPr>
                <w:p w14:paraId="04C95FC4">
                  <w:pPr>
                    <w:widowControl/>
                    <w:ind w:firstLine="480" w:firstLineChars="200"/>
                    <w:jc w:val="left"/>
                    <w:rPr>
                      <w:rFonts w:hint="eastAsia" w:ascii="宋体" w:hAnsi="宋体" w:cs="宋体"/>
                      <w:color w:val="auto"/>
                      <w:sz w:val="24"/>
                    </w:rPr>
                  </w:pPr>
                  <w:r>
                    <w:rPr>
                      <w:rFonts w:hint="eastAsia" w:ascii="宋体" w:hAnsi="宋体" w:cs="宋体"/>
                      <w:color w:val="auto"/>
                      <w:sz w:val="24"/>
                    </w:rPr>
                    <w:t>50000—8000000</w:t>
                  </w:r>
                </w:p>
              </w:tc>
              <w:tc>
                <w:tcPr>
                  <w:tcW w:w="1289" w:type="dxa"/>
                  <w:tcBorders>
                    <w:top w:val="outset" w:color="auto" w:sz="6" w:space="0"/>
                    <w:left w:val="outset" w:color="auto" w:sz="6" w:space="0"/>
                    <w:bottom w:val="outset" w:color="auto" w:sz="6" w:space="0"/>
                    <w:right w:val="outset" w:color="auto" w:sz="6" w:space="0"/>
                  </w:tcBorders>
                  <w:vAlign w:val="center"/>
                </w:tcPr>
                <w:p w14:paraId="3C6B8C17">
                  <w:pPr>
                    <w:widowControl/>
                    <w:jc w:val="center"/>
                    <w:rPr>
                      <w:rFonts w:hint="eastAsia" w:ascii="宋体" w:hAnsi="宋体" w:cs="宋体"/>
                      <w:color w:val="auto"/>
                      <w:sz w:val="24"/>
                    </w:rPr>
                  </w:pPr>
                  <w:r>
                    <w:rPr>
                      <w:rFonts w:hint="eastAsia" w:ascii="宋体" w:hAnsi="宋体" w:cs="宋体"/>
                      <w:color w:val="auto"/>
                      <w:sz w:val="24"/>
                    </w:rPr>
                    <w:t>0.035</w:t>
                  </w:r>
                </w:p>
              </w:tc>
              <w:tc>
                <w:tcPr>
                  <w:tcW w:w="1139" w:type="dxa"/>
                  <w:tcBorders>
                    <w:top w:val="outset" w:color="auto" w:sz="6" w:space="0"/>
                    <w:left w:val="outset" w:color="auto" w:sz="6" w:space="0"/>
                    <w:bottom w:val="outset" w:color="auto" w:sz="6" w:space="0"/>
                    <w:right w:val="outset" w:color="auto" w:sz="6" w:space="0"/>
                  </w:tcBorders>
                  <w:vAlign w:val="center"/>
                </w:tcPr>
                <w:p w14:paraId="04EA1671">
                  <w:pPr>
                    <w:widowControl/>
                    <w:jc w:val="center"/>
                    <w:rPr>
                      <w:rFonts w:hint="eastAsia" w:ascii="宋体" w:hAnsi="宋体" w:cs="宋体"/>
                      <w:color w:val="auto"/>
                      <w:sz w:val="24"/>
                    </w:rPr>
                  </w:pPr>
                  <w:r>
                    <w:rPr>
                      <w:rFonts w:hint="eastAsia" w:ascii="宋体" w:hAnsi="宋体" w:cs="宋体"/>
                      <w:color w:val="auto"/>
                      <w:sz w:val="24"/>
                    </w:rPr>
                    <w:t>0.035</w:t>
                  </w:r>
                </w:p>
              </w:tc>
              <w:tc>
                <w:tcPr>
                  <w:tcW w:w="1354" w:type="dxa"/>
                  <w:tcBorders>
                    <w:top w:val="outset" w:color="auto" w:sz="6" w:space="0"/>
                    <w:left w:val="outset" w:color="auto" w:sz="6" w:space="0"/>
                    <w:bottom w:val="outset" w:color="auto" w:sz="6" w:space="0"/>
                    <w:right w:val="outset" w:color="auto" w:sz="6" w:space="0"/>
                  </w:tcBorders>
                  <w:vAlign w:val="center"/>
                </w:tcPr>
                <w:p w14:paraId="236B967D">
                  <w:pPr>
                    <w:widowControl/>
                    <w:jc w:val="center"/>
                    <w:rPr>
                      <w:rFonts w:hint="eastAsia" w:ascii="宋体" w:hAnsi="宋体" w:cs="宋体"/>
                      <w:color w:val="auto"/>
                      <w:sz w:val="24"/>
                    </w:rPr>
                  </w:pPr>
                  <w:r>
                    <w:rPr>
                      <w:rFonts w:hint="eastAsia" w:ascii="宋体" w:hAnsi="宋体" w:cs="宋体"/>
                      <w:color w:val="auto"/>
                      <w:sz w:val="24"/>
                    </w:rPr>
                    <w:t>0.035</w:t>
                  </w:r>
                </w:p>
              </w:tc>
            </w:tr>
          </w:tbl>
          <w:p w14:paraId="49B6D485">
            <w:pPr>
              <w:pStyle w:val="209"/>
              <w:rPr>
                <w:color w:val="auto"/>
                <w:lang w:bidi="ar"/>
              </w:rPr>
            </w:pPr>
          </w:p>
          <w:p w14:paraId="0603DB25">
            <w:pPr>
              <w:jc w:val="left"/>
              <w:rPr>
                <w:color w:val="auto"/>
              </w:rPr>
            </w:pPr>
            <w:r>
              <w:rPr>
                <w:rFonts w:hint="eastAsia" w:ascii="宋体" w:hAnsi="宋体"/>
                <w:color w:val="auto"/>
                <w:sz w:val="24"/>
              </w:rPr>
              <w:t>2.缴纳时间：</w:t>
            </w:r>
            <w:r>
              <w:rPr>
                <w:rFonts w:hint="eastAsia" w:ascii="宋体" w:hAnsi="宋体"/>
                <w:color w:val="auto"/>
                <w:sz w:val="24"/>
                <w:u w:val="single"/>
                <w:lang w:val="en-US" w:eastAsia="zh-CN"/>
              </w:rPr>
              <w:t>代理机构</w:t>
            </w:r>
            <w:r>
              <w:rPr>
                <w:rFonts w:hint="eastAsia" w:ascii="宋体" w:hAnsi="宋体"/>
                <w:color w:val="auto"/>
                <w:sz w:val="24"/>
                <w:u w:val="single"/>
              </w:rPr>
              <w:t>向</w:t>
            </w:r>
            <w:r>
              <w:rPr>
                <w:rFonts w:hint="eastAsia" w:ascii="宋体" w:hAnsi="宋体"/>
                <w:color w:val="auto"/>
                <w:sz w:val="24"/>
                <w:u w:val="single"/>
                <w:lang w:val="en-US" w:eastAsia="zh-CN"/>
              </w:rPr>
              <w:t>采购人</w:t>
            </w:r>
            <w:r>
              <w:rPr>
                <w:rFonts w:hint="eastAsia" w:ascii="宋体" w:hAnsi="宋体"/>
                <w:color w:val="auto"/>
                <w:sz w:val="24"/>
                <w:u w:val="single"/>
              </w:rPr>
              <w:t>移交完整、合规的项目全套资料，经</w:t>
            </w:r>
            <w:r>
              <w:rPr>
                <w:rFonts w:hint="eastAsia" w:ascii="宋体" w:hAnsi="宋体"/>
                <w:color w:val="auto"/>
                <w:sz w:val="24"/>
                <w:u w:val="single"/>
                <w:lang w:val="en-US" w:eastAsia="zh-CN"/>
              </w:rPr>
              <w:t>采购人</w:t>
            </w:r>
            <w:r>
              <w:rPr>
                <w:rFonts w:hint="eastAsia" w:ascii="宋体" w:hAnsi="宋体"/>
                <w:color w:val="auto"/>
                <w:sz w:val="24"/>
                <w:u w:val="single"/>
              </w:rPr>
              <w:t>书面验收合格后60日内，</w:t>
            </w:r>
            <w:r>
              <w:rPr>
                <w:rFonts w:hint="eastAsia" w:ascii="宋体" w:hAnsi="宋体"/>
                <w:color w:val="auto"/>
                <w:sz w:val="24"/>
                <w:u w:val="single"/>
                <w:lang w:val="en-US" w:eastAsia="zh-CN"/>
              </w:rPr>
              <w:t>采购人</w:t>
            </w:r>
            <w:r>
              <w:rPr>
                <w:rFonts w:hint="eastAsia" w:ascii="宋体" w:hAnsi="宋体"/>
                <w:color w:val="auto"/>
                <w:sz w:val="24"/>
                <w:u w:val="single"/>
              </w:rPr>
              <w:t>向</w:t>
            </w:r>
            <w:r>
              <w:rPr>
                <w:rFonts w:hint="eastAsia" w:ascii="宋体" w:hAnsi="宋体"/>
                <w:color w:val="auto"/>
                <w:sz w:val="24"/>
                <w:u w:val="single"/>
                <w:lang w:val="en-US" w:eastAsia="zh-CN"/>
              </w:rPr>
              <w:t>代理机构</w:t>
            </w:r>
            <w:r>
              <w:rPr>
                <w:rFonts w:hint="eastAsia" w:ascii="宋体" w:hAnsi="宋体"/>
                <w:color w:val="auto"/>
                <w:sz w:val="24"/>
                <w:u w:val="single"/>
              </w:rPr>
              <w:t>支付服务报酬</w:t>
            </w:r>
            <w:r>
              <w:rPr>
                <w:rFonts w:hint="eastAsia" w:ascii="宋体" w:hAnsi="宋体"/>
                <w:color w:val="auto"/>
                <w:sz w:val="24"/>
              </w:rPr>
              <w:t>。</w:t>
            </w:r>
          </w:p>
        </w:tc>
      </w:tr>
    </w:tbl>
    <w:p w14:paraId="0D444F3D">
      <w:pPr>
        <w:tabs>
          <w:tab w:val="left" w:pos="5580"/>
        </w:tabs>
        <w:adjustRightInd w:val="0"/>
        <w:spacing w:line="360" w:lineRule="auto"/>
        <w:jc w:val="distribute"/>
        <w:rPr>
          <w:rFonts w:hint="eastAsia" w:ascii="宋体" w:hAnsi="宋体"/>
          <w:color w:val="auto"/>
          <w:sz w:val="24"/>
        </w:rPr>
        <w:sectPr>
          <w:type w:val="nextColumn"/>
          <w:pgSz w:w="11907" w:h="16840"/>
          <w:pgMar w:top="1440" w:right="1800" w:bottom="1440" w:left="1800" w:header="851" w:footer="851" w:gutter="0"/>
          <w:cols w:space="720" w:num="1"/>
          <w:titlePg/>
          <w:docGrid w:linePitch="462" w:charSpace="0"/>
        </w:sectPr>
      </w:pPr>
    </w:p>
    <w:p w14:paraId="0E1CC4E0">
      <w:pPr>
        <w:spacing w:before="240" w:beforeLines="100" w:after="240"/>
        <w:jc w:val="center"/>
        <w:rPr>
          <w:rFonts w:hint="eastAsia" w:ascii="宋体" w:hAnsi="宋体"/>
          <w:b/>
          <w:color w:val="auto"/>
          <w:sz w:val="28"/>
          <w:szCs w:val="28"/>
        </w:rPr>
      </w:pPr>
      <w:r>
        <w:rPr>
          <w:rFonts w:ascii="宋体" w:hAnsi="宋体"/>
          <w:b/>
          <w:color w:val="auto"/>
          <w:sz w:val="28"/>
          <w:szCs w:val="28"/>
        </w:rPr>
        <w:t>供应商须知</w:t>
      </w:r>
    </w:p>
    <w:p w14:paraId="00B970D6">
      <w:pPr>
        <w:pStyle w:val="3"/>
        <w:tabs>
          <w:tab w:val="center" w:pos="4592"/>
          <w:tab w:val="left" w:pos="7860"/>
        </w:tabs>
        <w:spacing w:before="0" w:line="360" w:lineRule="auto"/>
        <w:rPr>
          <w:rFonts w:hint="eastAsia" w:ascii="宋体" w:hAnsi="宋体" w:eastAsia="宋体"/>
          <w:color w:val="auto"/>
          <w:sz w:val="28"/>
        </w:rPr>
      </w:pPr>
      <w:bookmarkStart w:id="92" w:name="_Toc151190145"/>
      <w:bookmarkStart w:id="93" w:name="_Toc265228356"/>
      <w:bookmarkStart w:id="94" w:name="_Toc226965708"/>
      <w:bookmarkStart w:id="95" w:name="_Toc150774723"/>
      <w:bookmarkStart w:id="96" w:name="_Toc305158860"/>
      <w:bookmarkStart w:id="97" w:name="_Toc226309762"/>
      <w:bookmarkStart w:id="98" w:name="_Toc151193688"/>
      <w:bookmarkStart w:id="99" w:name="_Toc226965791"/>
      <w:bookmarkStart w:id="100" w:name="_Toc151193760"/>
      <w:bookmarkStart w:id="101" w:name="_Toc151193616"/>
      <w:bookmarkStart w:id="102" w:name="_Toc142311020"/>
      <w:bookmarkStart w:id="103" w:name="_Toc151193906"/>
      <w:bookmarkStart w:id="104" w:name="_Toc150774618"/>
      <w:bookmarkStart w:id="105" w:name="_Toc264969208"/>
      <w:bookmarkStart w:id="106" w:name="_Toc127151518"/>
      <w:bookmarkStart w:id="107" w:name="_Toc226337214"/>
      <w:bookmarkStart w:id="108" w:name="_Toc151193832"/>
      <w:bookmarkStart w:id="109" w:name="_Toc150480756"/>
      <w:bookmarkStart w:id="110" w:name="_Toc150509269"/>
      <w:bookmarkStart w:id="111" w:name="_Toc195842883"/>
      <w:bookmarkStart w:id="112" w:name="_Toc305158786"/>
      <w:bookmarkStart w:id="113" w:name="_Toc520356143"/>
      <w:r>
        <w:rPr>
          <w:rFonts w:ascii="宋体" w:hAnsi="宋体" w:eastAsia="宋体"/>
          <w:color w:val="auto"/>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52A82B4">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bookmarkStart w:id="114" w:name="_Toc265228357"/>
      <w:bookmarkStart w:id="115" w:name="_Toc305158861"/>
      <w:bookmarkStart w:id="116" w:name="_Toc264969209"/>
      <w:bookmarkStart w:id="117" w:name="_Toc305158787"/>
      <w:r>
        <w:rPr>
          <w:rFonts w:ascii="宋体" w:hAnsi="宋体"/>
          <w:color w:val="auto"/>
          <w:sz w:val="24"/>
        </w:rPr>
        <w:t>采购人、采购代理机构、供应商</w:t>
      </w:r>
      <w:bookmarkEnd w:id="114"/>
      <w:bookmarkEnd w:id="115"/>
      <w:bookmarkEnd w:id="116"/>
      <w:bookmarkEnd w:id="117"/>
      <w:r>
        <w:rPr>
          <w:rFonts w:ascii="宋体" w:hAnsi="宋体"/>
          <w:color w:val="auto"/>
          <w:sz w:val="24"/>
        </w:rPr>
        <w:t>、联合体</w:t>
      </w:r>
    </w:p>
    <w:p w14:paraId="2AE51FBD">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采购人、采购代理机构：指依法进行政府采购的国家机关、事业单位、团体组织，及其委托的采购代理机构。本项目采购人、采购代理机构见第一章《采购邀请》。</w:t>
      </w:r>
    </w:p>
    <w:p w14:paraId="32FF6DA1">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供应商（也称“申请人”）：指向采购人提供货物、工程或者服务的法人、其他组织或者自然人。</w:t>
      </w:r>
    </w:p>
    <w:p w14:paraId="0C1D7669">
      <w:pPr>
        <w:numPr>
          <w:ilvl w:val="1"/>
          <w:numId w:val="8"/>
        </w:numPr>
        <w:tabs>
          <w:tab w:val="left" w:pos="1080"/>
          <w:tab w:val="left" w:pos="2014"/>
          <w:tab w:val="left" w:pos="5521"/>
        </w:tabs>
        <w:snapToGrid w:val="0"/>
        <w:spacing w:line="360" w:lineRule="auto"/>
        <w:ind w:left="1080" w:hanging="720"/>
        <w:rPr>
          <w:rFonts w:hint="eastAsia" w:ascii="宋体" w:hAnsi="宋体"/>
          <w:color w:val="auto"/>
          <w:sz w:val="24"/>
        </w:rPr>
      </w:pPr>
      <w:r>
        <w:rPr>
          <w:rFonts w:ascii="宋体" w:hAnsi="宋体"/>
          <w:color w:val="auto"/>
          <w:sz w:val="24"/>
        </w:rPr>
        <w:t>联合体：指两个以上的自然人、法人或者其他组织组成一个联合体，以一个供应商的身份共同参加政府采购。</w:t>
      </w:r>
    </w:p>
    <w:p w14:paraId="6154411B">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bookmarkStart w:id="118" w:name="_Toc151193762"/>
      <w:bookmarkStart w:id="119" w:name="_Toc127151721"/>
      <w:bookmarkStart w:id="120" w:name="_Toc150480758"/>
      <w:bookmarkStart w:id="121" w:name="_Toc164608789"/>
      <w:bookmarkStart w:id="122" w:name="_Toc142311022"/>
      <w:bookmarkStart w:id="123" w:name="_Toc264969210"/>
      <w:bookmarkStart w:id="124" w:name="_Toc151193690"/>
      <w:bookmarkStart w:id="125" w:name="_Toc150774620"/>
      <w:bookmarkStart w:id="126" w:name="_Toc151190147"/>
      <w:bookmarkStart w:id="127" w:name="_Toc226965793"/>
      <w:bookmarkStart w:id="128" w:name="_Toc150509271"/>
      <w:bookmarkStart w:id="129" w:name="_Toc150774725"/>
      <w:bookmarkStart w:id="130" w:name="_Toc164608634"/>
      <w:bookmarkStart w:id="131" w:name="_Toc164351614"/>
      <w:bookmarkStart w:id="132" w:name="_Toc305158788"/>
      <w:bookmarkStart w:id="133" w:name="_Toc226965710"/>
      <w:bookmarkStart w:id="134" w:name="_Toc127161434"/>
      <w:bookmarkStart w:id="135" w:name="_Toc305158862"/>
      <w:bookmarkStart w:id="136" w:name="_Toc151193908"/>
      <w:bookmarkStart w:id="137" w:name="_Toc164229361"/>
      <w:bookmarkStart w:id="138" w:name="_Toc226309764"/>
      <w:bookmarkStart w:id="139" w:name="_Toc149720813"/>
      <w:bookmarkStart w:id="140" w:name="_Toc164229215"/>
      <w:bookmarkStart w:id="141" w:name="_Toc127151520"/>
      <w:bookmarkStart w:id="142" w:name="_Toc226337216"/>
      <w:bookmarkStart w:id="143" w:name="_Toc195842885"/>
      <w:bookmarkStart w:id="144" w:name="_Toc265228358"/>
      <w:bookmarkStart w:id="145" w:name="_Toc151193834"/>
      <w:bookmarkStart w:id="146" w:name="_Toc151193618"/>
      <w:r>
        <w:rPr>
          <w:rFonts w:ascii="宋体" w:hAnsi="宋体"/>
          <w:color w:val="auto"/>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ascii="宋体" w:hAnsi="宋体"/>
          <w:color w:val="auto"/>
          <w:sz w:val="24"/>
        </w:rPr>
        <w:t>、项目属性、科研仪器设备采购</w:t>
      </w:r>
    </w:p>
    <w:p w14:paraId="78529407">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资金来源为财政性资金和/或本项目采购中无法与财政性资金分割的非财政性资金。</w:t>
      </w:r>
    </w:p>
    <w:p w14:paraId="1305CDFA">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项目属性见《供应商须知资料表》。</w:t>
      </w:r>
    </w:p>
    <w:p w14:paraId="60BBA5FE">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是否属于科研仪器设备采购见《供应商须知资料表》。</w:t>
      </w:r>
    </w:p>
    <w:p w14:paraId="19DBE7A1">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现场考察、磋商前答疑会</w:t>
      </w:r>
    </w:p>
    <w:p w14:paraId="2451C39D">
      <w:pPr>
        <w:numPr>
          <w:ilvl w:val="1"/>
          <w:numId w:val="8"/>
        </w:numPr>
        <w:tabs>
          <w:tab w:val="left" w:pos="1080"/>
          <w:tab w:val="left" w:pos="2014"/>
        </w:tabs>
        <w:snapToGrid w:val="0"/>
        <w:spacing w:line="360" w:lineRule="auto"/>
        <w:ind w:left="1080" w:hanging="720"/>
        <w:rPr>
          <w:rFonts w:hint="eastAsia" w:ascii="宋体" w:hAnsi="宋体"/>
          <w:color w:val="auto"/>
          <w:sz w:val="28"/>
        </w:rPr>
      </w:pPr>
      <w:r>
        <w:rPr>
          <w:rFonts w:ascii="宋体" w:hAnsi="宋体"/>
          <w:color w:val="auto"/>
          <w:sz w:val="24"/>
        </w:rPr>
        <w:t>若《供应商须知资料表》中规定了组织现场考察、召开磋商前答疑会，则供应商应按要求在规定的时间和地点参加。</w:t>
      </w:r>
      <w:bookmarkStart w:id="147" w:name="_Toc305158790"/>
      <w:bookmarkStart w:id="148" w:name="_Toc265228360"/>
      <w:bookmarkStart w:id="149" w:name="_Toc520356146"/>
      <w:bookmarkStart w:id="150" w:name="_Toc150774622"/>
      <w:bookmarkStart w:id="151" w:name="_Toc151193764"/>
      <w:bookmarkStart w:id="152" w:name="_Toc264969212"/>
      <w:bookmarkStart w:id="153" w:name="_Toc151193836"/>
      <w:bookmarkStart w:id="154" w:name="_Toc150509273"/>
      <w:bookmarkStart w:id="155" w:name="_Toc151190149"/>
      <w:bookmarkStart w:id="156" w:name="_Toc305158864"/>
      <w:bookmarkStart w:id="157" w:name="_Toc226965795"/>
      <w:bookmarkStart w:id="158" w:name="_Toc151193620"/>
      <w:bookmarkStart w:id="159" w:name="_Toc226965712"/>
      <w:bookmarkStart w:id="160" w:name="_Toc151193692"/>
      <w:bookmarkStart w:id="161" w:name="_Toc142311024"/>
      <w:bookmarkStart w:id="162" w:name="_Toc195842887"/>
      <w:bookmarkStart w:id="163" w:name="_Toc226337218"/>
      <w:bookmarkStart w:id="164" w:name="_Toc226309766"/>
      <w:bookmarkStart w:id="165" w:name="_Toc127151522"/>
      <w:bookmarkStart w:id="166" w:name="_Toc150774727"/>
      <w:bookmarkStart w:id="167" w:name="_Toc151193910"/>
      <w:bookmarkStart w:id="168" w:name="_Toc150480760"/>
    </w:p>
    <w:p w14:paraId="6FCA1362">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由于未参加现场考察或磋商前答疑会而导致对项目实际情况不了解，影响响应文件编制、报价准确性、综合因素响应不全面等问题的，由供应商自行承担不利评审后果。</w:t>
      </w:r>
    </w:p>
    <w:p w14:paraId="36567D08">
      <w:pPr>
        <w:numPr>
          <w:ilvl w:val="0"/>
          <w:numId w:val="8"/>
        </w:numPr>
        <w:tabs>
          <w:tab w:val="left" w:pos="360"/>
          <w:tab w:val="clear" w:pos="900"/>
        </w:tabs>
        <w:snapToGrid w:val="0"/>
        <w:spacing w:line="360" w:lineRule="auto"/>
        <w:ind w:left="357" w:hanging="357"/>
        <w:outlineLvl w:val="1"/>
        <w:rPr>
          <w:rFonts w:hint="eastAsia" w:ascii="宋体" w:hAnsi="宋体"/>
          <w:color w:val="auto"/>
          <w:sz w:val="24"/>
        </w:rPr>
      </w:pPr>
      <w:r>
        <w:rPr>
          <w:rFonts w:ascii="宋体" w:hAnsi="宋体"/>
          <w:color w:val="auto"/>
          <w:sz w:val="24"/>
        </w:rPr>
        <w:t>政府采购政策（包括但不限于下列具体政策要求）</w:t>
      </w:r>
    </w:p>
    <w:p w14:paraId="2F075B12">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采购本国货物、工程和服务</w:t>
      </w:r>
    </w:p>
    <w:p w14:paraId="483DA019">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政府采购应当采购本国货物、工程和服务。但有《</w:t>
      </w:r>
      <w:r>
        <w:rPr>
          <w:rFonts w:hint="eastAsia" w:ascii="宋体" w:hAnsi="宋体"/>
          <w:b/>
          <w:bCs/>
          <w:color w:val="auto"/>
          <w:sz w:val="24"/>
        </w:rPr>
        <w:t>中华人民共和国政府采购法</w:t>
      </w:r>
      <w:r>
        <w:rPr>
          <w:rFonts w:hint="eastAsia" w:ascii="宋体" w:hAnsi="宋体"/>
          <w:color w:val="auto"/>
          <w:sz w:val="24"/>
        </w:rPr>
        <w:t>》第十条规定情形的除外。</w:t>
      </w:r>
    </w:p>
    <w:p w14:paraId="7F33C1C2">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本项目如接受非本国货物、工程、服务参与投标，则具体要求见第四章《采购需求》。</w:t>
      </w:r>
    </w:p>
    <w:p w14:paraId="7F9D3824">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D7FC945">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中小企业、监狱企业及残疾人福利性单位</w:t>
      </w:r>
    </w:p>
    <w:p w14:paraId="3A593036">
      <w:pPr>
        <w:numPr>
          <w:ilvl w:val="2"/>
          <w:numId w:val="8"/>
        </w:numPr>
        <w:snapToGrid w:val="0"/>
        <w:spacing w:line="360" w:lineRule="auto"/>
        <w:rPr>
          <w:rFonts w:hint="eastAsia" w:ascii="宋体" w:hAnsi="宋体"/>
          <w:color w:val="auto"/>
          <w:sz w:val="24"/>
        </w:rPr>
      </w:pPr>
      <w:r>
        <w:rPr>
          <w:rFonts w:ascii="宋体" w:hAnsi="宋体"/>
          <w:color w:val="auto"/>
          <w:sz w:val="24"/>
        </w:rPr>
        <w:t>中小企业定义：</w:t>
      </w:r>
    </w:p>
    <w:p w14:paraId="0A9B60C9">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05DCB858">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7F98B9B8">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2119B910">
      <w:pPr>
        <w:pStyle w:val="112"/>
        <w:numPr>
          <w:ilvl w:val="0"/>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72DD5FF8">
      <w:pPr>
        <w:pStyle w:val="112"/>
        <w:numPr>
          <w:ilvl w:val="1"/>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31B7A009">
      <w:pPr>
        <w:pStyle w:val="112"/>
        <w:numPr>
          <w:ilvl w:val="1"/>
          <w:numId w:val="9"/>
        </w:numPr>
        <w:tabs>
          <w:tab w:val="left" w:pos="1980"/>
          <w:tab w:val="left" w:pos="2035"/>
          <w:tab w:val="left" w:pos="2977"/>
        </w:tabs>
        <w:snapToGrid w:val="0"/>
        <w:spacing w:line="360" w:lineRule="auto"/>
        <w:ind w:firstLineChars="0"/>
        <w:rPr>
          <w:rFonts w:hint="eastAsia" w:ascii="宋体" w:hAnsi="宋体"/>
          <w:vanish/>
          <w:color w:val="auto"/>
          <w:sz w:val="24"/>
          <w:szCs w:val="24"/>
        </w:rPr>
      </w:pPr>
    </w:p>
    <w:p w14:paraId="6C834552">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030742A5">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中小企业是指在中华人民共和国境内依法设立，依据国务院</w:t>
      </w:r>
      <w:r>
        <w:rPr>
          <w:rFonts w:hint="eastAsia" w:ascii="宋体" w:hAnsi="宋体"/>
          <w:color w:val="auto"/>
          <w:sz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金融业企业划型标准规定》（〔2015〕309 号）等国务院批准的中小企业划分标准执行。</w:t>
      </w:r>
    </w:p>
    <w:p w14:paraId="48945E20">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供应商提供的货物、工程或者服务符合下列情形的，享受中小企业扶持政策：</w:t>
      </w:r>
    </w:p>
    <w:p w14:paraId="7EEBD594">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（1）在货物采购项目中，货物由中小企业制造，即货物由中小企业生产且使用该中小企业商号或者注册商标；</w:t>
      </w:r>
    </w:p>
    <w:p w14:paraId="386D8B72">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（2）在工程采购项目中，工程由中小企业承建，即工程施工单位为中小企业；</w:t>
      </w:r>
    </w:p>
    <w:p w14:paraId="5D8B77D8">
      <w:pPr>
        <w:tabs>
          <w:tab w:val="left" w:pos="1980"/>
        </w:tabs>
        <w:snapToGrid w:val="0"/>
        <w:spacing w:line="360" w:lineRule="auto"/>
        <w:ind w:left="2835" w:leftChars="1350"/>
        <w:rPr>
          <w:rFonts w:hint="eastAsia" w:ascii="宋体" w:hAnsi="宋体"/>
          <w:color w:val="auto"/>
          <w:sz w:val="24"/>
        </w:rPr>
      </w:pPr>
      <w:r>
        <w:rPr>
          <w:rFonts w:ascii="宋体" w:hAnsi="宋体"/>
          <w:color w:val="auto"/>
          <w:sz w:val="24"/>
        </w:rPr>
        <w:t>（3）在服务采购项目中，服务由中小企业承接，即提供服务的人员为中小企业依照《中华人民共和国劳动合同法》订立劳动合同的从业人员。</w:t>
      </w:r>
    </w:p>
    <w:p w14:paraId="4A8174BB">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在货物采购项目中，供应商提供的货物既有中小企业制造货物，也有大型企业制造货物的，不享受中小企业扶持政策。</w:t>
      </w:r>
    </w:p>
    <w:p w14:paraId="63680CE9">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以联合体形式参加政府采购活动，联合体各方均为中小企业的，联合体视同中小企业。其中，联合体各方均为小微企业的，联合体视同小微企业。</w:t>
      </w:r>
    </w:p>
    <w:p w14:paraId="29C444D3">
      <w:pPr>
        <w:numPr>
          <w:ilvl w:val="2"/>
          <w:numId w:val="8"/>
        </w:numPr>
        <w:snapToGrid w:val="0"/>
        <w:spacing w:line="360" w:lineRule="auto"/>
        <w:rPr>
          <w:rFonts w:hint="eastAsia" w:ascii="宋体" w:hAnsi="宋体"/>
          <w:color w:val="auto"/>
          <w:sz w:val="24"/>
        </w:rPr>
      </w:pPr>
      <w:r>
        <w:rPr>
          <w:rFonts w:hint="eastAsia" w:ascii="宋体" w:hAnsi="宋体"/>
          <w:color w:val="auto"/>
          <w:sz w:val="24"/>
        </w:rPr>
        <w:t>在政府采购活动中，监狱企业视同小型、微型企业，享受预留份额、评审中价格扣除等政府采购促进中小企业发展的政府采购政策。监狱企业定义：是指由司法部认定的为罪犯、戒毒人员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99127FE">
      <w:pPr>
        <w:numPr>
          <w:ilvl w:val="2"/>
          <w:numId w:val="8"/>
        </w:numPr>
        <w:snapToGrid w:val="0"/>
        <w:spacing w:line="360" w:lineRule="auto"/>
        <w:rPr>
          <w:rFonts w:hint="eastAsia" w:ascii="宋体" w:hAnsi="宋体"/>
          <w:color w:val="auto"/>
          <w:sz w:val="24"/>
        </w:rPr>
      </w:pPr>
      <w:r>
        <w:rPr>
          <w:rFonts w:hint="eastAsia" w:ascii="宋体" w:hAnsi="宋体"/>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0B83736">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362AB05D">
      <w:pPr>
        <w:pStyle w:val="112"/>
        <w:numPr>
          <w:ilvl w:val="2"/>
          <w:numId w:val="9"/>
        </w:numPr>
        <w:tabs>
          <w:tab w:val="left" w:pos="2035"/>
          <w:tab w:val="left" w:pos="2977"/>
        </w:tabs>
        <w:snapToGrid w:val="0"/>
        <w:spacing w:line="360" w:lineRule="auto"/>
        <w:ind w:firstLineChars="0"/>
        <w:rPr>
          <w:rFonts w:hint="eastAsia" w:ascii="宋体" w:hAnsi="宋体"/>
          <w:vanish/>
          <w:color w:val="auto"/>
          <w:sz w:val="24"/>
          <w:szCs w:val="24"/>
        </w:rPr>
      </w:pPr>
    </w:p>
    <w:p w14:paraId="1EBCBDE6">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安置的残疾人占本单位在职职工人数的比例不低于25%（含25%），并且安置的残疾人人数不少于10 人（含10 人）；</w:t>
      </w:r>
    </w:p>
    <w:p w14:paraId="49CDE4E4">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依法与安置的每位残疾人签订了一年以上（含一年）的劳动合同或服务协议；</w:t>
      </w:r>
    </w:p>
    <w:p w14:paraId="7AD2CB7A">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为安置的每位残疾人按月足额缴纳了基本养老保险、基本医疗保险、失业保险、工伤保险和生育保险等社会保险费；</w:t>
      </w:r>
    </w:p>
    <w:p w14:paraId="03D5008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通过银行等金融机构向安置的每位残疾人，按月支付了不低于单位所在区县适用的经省级人民政府批准的月最低工资标准的工资；</w:t>
      </w:r>
    </w:p>
    <w:p w14:paraId="1D831D88">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提供本单位制造的货物、承担的工程或者服务（以下简称产品），或者提供其他残疾人福利性单位制造的货物（不包括使用非残疾人福利性单位注册商标的货物）；</w:t>
      </w:r>
    </w:p>
    <w:p w14:paraId="4A10AAFF">
      <w:pPr>
        <w:numPr>
          <w:ilvl w:val="3"/>
          <w:numId w:val="9"/>
        </w:numPr>
        <w:tabs>
          <w:tab w:val="left" w:pos="1980"/>
          <w:tab w:val="left" w:pos="2035"/>
          <w:tab w:val="left" w:pos="2885"/>
          <w:tab w:val="left" w:pos="2977"/>
          <w:tab w:val="clear" w:pos="900"/>
        </w:tabs>
        <w:snapToGrid w:val="0"/>
        <w:spacing w:line="360" w:lineRule="auto"/>
        <w:ind w:left="2885"/>
        <w:rPr>
          <w:rFonts w:hint="eastAsia" w:ascii="宋体" w:hAnsi="宋体"/>
          <w:color w:val="auto"/>
          <w:sz w:val="24"/>
        </w:rPr>
      </w:pPr>
      <w:r>
        <w:rPr>
          <w:rFonts w:ascii="宋体" w:hAnsi="宋体"/>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C7CC223">
      <w:pPr>
        <w:numPr>
          <w:ilvl w:val="2"/>
          <w:numId w:val="8"/>
        </w:numPr>
        <w:snapToGrid w:val="0"/>
        <w:spacing w:line="360" w:lineRule="auto"/>
        <w:rPr>
          <w:rFonts w:hint="eastAsia" w:ascii="宋体" w:hAnsi="宋体"/>
          <w:color w:val="auto"/>
          <w:sz w:val="24"/>
        </w:rPr>
      </w:pPr>
      <w:r>
        <w:rPr>
          <w:rFonts w:ascii="宋体" w:hAnsi="宋体"/>
          <w:color w:val="auto"/>
          <w:sz w:val="24"/>
        </w:rPr>
        <w:t>本项目是否专门面向中小企业预留采购份额见第一章《采购邀请》。</w:t>
      </w:r>
    </w:p>
    <w:p w14:paraId="5930C02F">
      <w:pPr>
        <w:numPr>
          <w:ilvl w:val="2"/>
          <w:numId w:val="8"/>
        </w:numPr>
        <w:snapToGrid w:val="0"/>
        <w:spacing w:line="360" w:lineRule="auto"/>
        <w:rPr>
          <w:rFonts w:hint="eastAsia" w:ascii="宋体" w:hAnsi="宋体"/>
          <w:color w:val="auto"/>
          <w:sz w:val="24"/>
        </w:rPr>
      </w:pPr>
      <w:r>
        <w:rPr>
          <w:rFonts w:ascii="宋体" w:hAnsi="宋体"/>
          <w:color w:val="auto"/>
          <w:sz w:val="24"/>
        </w:rPr>
        <w:t>采购标的对应的中小企业划分标准所属行业见《供应商须知资料表》。</w:t>
      </w:r>
    </w:p>
    <w:p w14:paraId="3E49B480">
      <w:pPr>
        <w:numPr>
          <w:ilvl w:val="2"/>
          <w:numId w:val="8"/>
        </w:numPr>
        <w:snapToGrid w:val="0"/>
        <w:spacing w:line="360" w:lineRule="auto"/>
        <w:rPr>
          <w:rFonts w:hint="eastAsia" w:ascii="宋体" w:hAnsi="宋体"/>
          <w:color w:val="auto"/>
          <w:sz w:val="24"/>
        </w:rPr>
      </w:pPr>
      <w:r>
        <w:rPr>
          <w:rFonts w:ascii="宋体" w:hAnsi="宋体"/>
          <w:color w:val="auto"/>
          <w:sz w:val="24"/>
        </w:rPr>
        <w:t>小微企业价格评审优惠的政策调整：见第三章《评审方法和评审标准》。</w:t>
      </w:r>
    </w:p>
    <w:p w14:paraId="2C9E5BC8">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政府采购节能产品、环境标志产品</w:t>
      </w:r>
    </w:p>
    <w:p w14:paraId="5233D3DC">
      <w:pPr>
        <w:numPr>
          <w:ilvl w:val="2"/>
          <w:numId w:val="8"/>
        </w:numPr>
        <w:snapToGrid w:val="0"/>
        <w:spacing w:line="360" w:lineRule="auto"/>
        <w:rPr>
          <w:rFonts w:hint="eastAsia" w:ascii="宋体" w:hAnsi="宋体"/>
          <w:color w:val="auto"/>
          <w:sz w:val="24"/>
        </w:rPr>
      </w:pPr>
      <w:r>
        <w:rPr>
          <w:rFonts w:ascii="宋体" w:hAnsi="宋体"/>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9536E59">
      <w:pPr>
        <w:numPr>
          <w:ilvl w:val="2"/>
          <w:numId w:val="8"/>
        </w:numPr>
        <w:snapToGrid w:val="0"/>
        <w:spacing w:line="360" w:lineRule="auto"/>
        <w:rPr>
          <w:rFonts w:hint="eastAsia" w:ascii="宋体" w:hAnsi="宋体"/>
          <w:color w:val="auto"/>
          <w:sz w:val="24"/>
        </w:rPr>
      </w:pPr>
      <w:r>
        <w:rPr>
          <w:rFonts w:ascii="宋体" w:hAnsi="宋体"/>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0BD147E">
      <w:pPr>
        <w:numPr>
          <w:ilvl w:val="2"/>
          <w:numId w:val="8"/>
        </w:numPr>
        <w:snapToGrid w:val="0"/>
        <w:spacing w:line="360" w:lineRule="auto"/>
        <w:rPr>
          <w:rFonts w:hint="eastAsia" w:ascii="宋体" w:hAnsi="宋体"/>
          <w:color w:val="auto"/>
          <w:sz w:val="24"/>
        </w:rPr>
      </w:pPr>
      <w:r>
        <w:rPr>
          <w:rFonts w:ascii="宋体" w:hAnsi="宋体"/>
          <w:color w:val="auto"/>
          <w:sz w:val="24"/>
        </w:rPr>
        <w:t>如本项目采购产品属于实施政府强制采购品目清单范围的节能产品，则供应商所报产品必须获得国家确定的认证机构出具的、处于有效期之内的节能产品认证证书，</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w:t>
      </w:r>
    </w:p>
    <w:p w14:paraId="70C7D62D">
      <w:pPr>
        <w:numPr>
          <w:ilvl w:val="2"/>
          <w:numId w:val="8"/>
        </w:numPr>
        <w:snapToGrid w:val="0"/>
        <w:spacing w:line="360" w:lineRule="auto"/>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非政府强制采购的节能产品或环境标志产品，依据品目清单和认证证书实施政府优先采购。优先采购的具体规定见第三章《评审方法和评审标准》（如涉及）。</w:t>
      </w:r>
    </w:p>
    <w:p w14:paraId="3D70633A">
      <w:pPr>
        <w:numPr>
          <w:ilvl w:val="1"/>
          <w:numId w:val="8"/>
        </w:numPr>
        <w:snapToGrid w:val="0"/>
        <w:spacing w:line="360" w:lineRule="auto"/>
        <w:rPr>
          <w:rFonts w:hint="eastAsia" w:ascii="宋体" w:hAnsi="宋体"/>
          <w:color w:val="auto"/>
          <w:sz w:val="24"/>
        </w:rPr>
      </w:pPr>
      <w:r>
        <w:rPr>
          <w:rFonts w:ascii="宋体" w:hAnsi="宋体"/>
          <w:color w:val="auto"/>
          <w:sz w:val="24"/>
        </w:rPr>
        <w:t>正版软件</w:t>
      </w:r>
    </w:p>
    <w:p w14:paraId="1B9B7639">
      <w:pPr>
        <w:numPr>
          <w:ilvl w:val="2"/>
          <w:numId w:val="8"/>
        </w:numPr>
        <w:snapToGrid w:val="0"/>
        <w:spacing w:line="360" w:lineRule="auto"/>
        <w:rPr>
          <w:rFonts w:hint="eastAsia" w:ascii="宋体" w:hAnsi="宋体"/>
          <w:color w:val="auto"/>
          <w:sz w:val="24"/>
        </w:rPr>
      </w:pPr>
      <w:r>
        <w:rPr>
          <w:rFonts w:hint="eastAsia" w:ascii="宋体" w:hAnsi="宋体"/>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36132D7E">
      <w:pPr>
        <w:numPr>
          <w:ilvl w:val="1"/>
          <w:numId w:val="8"/>
        </w:numPr>
        <w:tabs>
          <w:tab w:val="left" w:pos="1080"/>
          <w:tab w:val="left" w:pos="2014"/>
        </w:tabs>
        <w:snapToGrid w:val="0"/>
        <w:spacing w:line="360" w:lineRule="auto"/>
        <w:rPr>
          <w:rFonts w:hint="eastAsia" w:ascii="宋体" w:hAnsi="宋体"/>
          <w:color w:val="auto"/>
          <w:sz w:val="24"/>
        </w:rPr>
      </w:pPr>
      <w:r>
        <w:rPr>
          <w:rFonts w:hint="eastAsia" w:ascii="宋体" w:hAnsi="宋体"/>
          <w:color w:val="auto"/>
          <w:sz w:val="24"/>
        </w:rPr>
        <w:t>网络安全专用产品</w:t>
      </w:r>
    </w:p>
    <w:p w14:paraId="18C50AE0">
      <w:pPr>
        <w:numPr>
          <w:ilvl w:val="2"/>
          <w:numId w:val="8"/>
        </w:numPr>
        <w:tabs>
          <w:tab w:val="left" w:pos="2014"/>
        </w:tabs>
        <w:snapToGrid w:val="0"/>
        <w:spacing w:line="360" w:lineRule="auto"/>
        <w:rPr>
          <w:rFonts w:hint="eastAsia" w:ascii="宋体" w:hAnsi="宋体"/>
          <w:color w:val="auto"/>
          <w:sz w:val="24"/>
        </w:rPr>
      </w:pPr>
      <w:r>
        <w:rPr>
          <w:rFonts w:hint="eastAsia" w:ascii="宋体" w:hAnsi="宋体"/>
          <w:color w:val="auto"/>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5A3EED85">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推广使用低挥发性有机化合物（VOCs）</w:t>
      </w:r>
    </w:p>
    <w:p w14:paraId="3B2ADF5C">
      <w:pPr>
        <w:numPr>
          <w:ilvl w:val="2"/>
          <w:numId w:val="8"/>
        </w:numPr>
        <w:snapToGrid w:val="0"/>
        <w:spacing w:line="360" w:lineRule="auto"/>
        <w:rPr>
          <w:rFonts w:hint="eastAsia" w:ascii="宋体" w:hAnsi="宋体"/>
          <w:color w:val="auto"/>
          <w:sz w:val="24"/>
        </w:rPr>
      </w:pPr>
      <w:r>
        <w:rPr>
          <w:rFonts w:ascii="宋体" w:hAnsi="宋体"/>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color w:val="auto"/>
          <w:kern w:val="0"/>
          <w:sz w:val="24"/>
        </w:rPr>
        <w:t>否则</w:t>
      </w:r>
      <w:r>
        <w:rPr>
          <w:rFonts w:ascii="宋体" w:hAnsi="宋体"/>
          <w:b/>
          <w:color w:val="auto"/>
          <w:kern w:val="0"/>
          <w:sz w:val="24"/>
        </w:rPr>
        <w:t>响应无效</w:t>
      </w:r>
      <w:r>
        <w:rPr>
          <w:rFonts w:ascii="宋体" w:hAnsi="宋体"/>
          <w:color w:val="auto"/>
          <w:sz w:val="24"/>
        </w:rPr>
        <w:t>；属于推荐性标准的，优先采购，具体见第三章《评审方法和评审标准》。</w:t>
      </w:r>
    </w:p>
    <w:p w14:paraId="76C7904E">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采购需求标准</w:t>
      </w:r>
    </w:p>
    <w:p w14:paraId="60F7EFE7">
      <w:pPr>
        <w:numPr>
          <w:ilvl w:val="2"/>
          <w:numId w:val="8"/>
        </w:numPr>
        <w:snapToGrid w:val="0"/>
        <w:spacing w:line="360" w:lineRule="auto"/>
        <w:rPr>
          <w:rFonts w:hint="eastAsia" w:ascii="宋体" w:hAnsi="宋体"/>
          <w:color w:val="auto"/>
          <w:sz w:val="24"/>
        </w:rPr>
      </w:pPr>
      <w:r>
        <w:rPr>
          <w:rFonts w:hint="eastAsia" w:ascii="宋体" w:hAnsi="宋体"/>
          <w:color w:val="auto"/>
          <w:sz w:val="24"/>
        </w:rPr>
        <w:t>商品包装、快递包装政府采购需求标准（试行）</w:t>
      </w:r>
    </w:p>
    <w:p w14:paraId="22BB5C98">
      <w:pPr>
        <w:tabs>
          <w:tab w:val="left" w:pos="900"/>
        </w:tabs>
        <w:snapToGrid w:val="0"/>
        <w:spacing w:line="360" w:lineRule="auto"/>
        <w:ind w:left="1950"/>
        <w:rPr>
          <w:rFonts w:hint="eastAsia" w:ascii="宋体" w:hAnsi="宋体"/>
          <w:color w:val="auto"/>
          <w:sz w:val="24"/>
        </w:rPr>
      </w:pPr>
      <w:r>
        <w:rPr>
          <w:rFonts w:hint="eastAsia" w:ascii="宋体" w:hAnsi="宋体"/>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08DBE75F">
      <w:pPr>
        <w:numPr>
          <w:ilvl w:val="2"/>
          <w:numId w:val="8"/>
        </w:numPr>
        <w:snapToGrid w:val="0"/>
        <w:spacing w:line="360" w:lineRule="auto"/>
        <w:rPr>
          <w:rFonts w:hint="eastAsia" w:ascii="宋体" w:hAnsi="宋体"/>
          <w:color w:val="auto"/>
          <w:sz w:val="24"/>
        </w:rPr>
      </w:pPr>
      <w:r>
        <w:rPr>
          <w:rFonts w:hint="eastAsia" w:ascii="宋体" w:hAnsi="宋体"/>
          <w:color w:val="auto"/>
          <w:sz w:val="24"/>
        </w:rPr>
        <w:t>其他政府采购需求标准</w:t>
      </w:r>
    </w:p>
    <w:p w14:paraId="7747EB2B">
      <w:pPr>
        <w:pStyle w:val="112"/>
        <w:tabs>
          <w:tab w:val="left" w:pos="900"/>
          <w:tab w:val="left" w:pos="1980"/>
        </w:tabs>
        <w:snapToGrid w:val="0"/>
        <w:spacing w:line="360" w:lineRule="auto"/>
        <w:ind w:left="1980" w:firstLine="0" w:firstLineChars="0"/>
        <w:rPr>
          <w:rFonts w:hint="eastAsia" w:ascii="宋体" w:hAnsi="宋体"/>
          <w:color w:val="auto"/>
          <w:sz w:val="24"/>
        </w:rPr>
      </w:pPr>
      <w:r>
        <w:rPr>
          <w:rFonts w:hint="eastAsia" w:ascii="宋体" w:hAnsi="宋体"/>
          <w:color w:val="auto"/>
          <w:sz w:val="24"/>
          <w:szCs w:val="24"/>
        </w:rPr>
        <w:t>为贯彻落实《深化政府采购制度改革方案》有关要求，推动政府采购需求标准建设，财政部门会同有关部门制定发布的其他政府采购需求标准，本项目如涉及，则具体要求见第四章《采购需求》。</w:t>
      </w:r>
    </w:p>
    <w:p w14:paraId="1D15D1A6">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响应费用</w:t>
      </w:r>
    </w:p>
    <w:p w14:paraId="69189F0D">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供应商应自行承担所有与准备和参加磋商有关的费用，无论磋商的结果如何，采购人或采购代理机构在任何情况下均无承担这些费用的义务和责任。</w:t>
      </w:r>
      <w:bookmarkStart w:id="169" w:name="_1.8_计量单位"/>
      <w:bookmarkEnd w:id="169"/>
    </w:p>
    <w:p w14:paraId="709A9614">
      <w:pPr>
        <w:pStyle w:val="3"/>
        <w:spacing w:before="0" w:line="360" w:lineRule="auto"/>
        <w:rPr>
          <w:rFonts w:hint="eastAsia" w:ascii="宋体" w:hAnsi="宋体" w:eastAsia="宋体"/>
          <w:color w:val="auto"/>
          <w:sz w:val="28"/>
        </w:rPr>
      </w:pPr>
      <w:r>
        <w:rPr>
          <w:rFonts w:ascii="宋体" w:hAnsi="宋体" w:eastAsia="宋体"/>
          <w:color w:val="auto"/>
          <w:sz w:val="28"/>
        </w:rPr>
        <w:t>二   竞争性磋商文件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757C6DBB">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170" w:name="_Toc127151724"/>
      <w:bookmarkStart w:id="171" w:name="_Toc150480761"/>
      <w:bookmarkStart w:id="172" w:name="_Toc127151523"/>
      <w:bookmarkStart w:id="173" w:name="_Toc151193621"/>
      <w:bookmarkStart w:id="174" w:name="_Toc264969213"/>
      <w:bookmarkStart w:id="175" w:name="_Toc150774728"/>
      <w:bookmarkStart w:id="176" w:name="_Toc195842888"/>
      <w:bookmarkStart w:id="177" w:name="_Toc164351617"/>
      <w:bookmarkStart w:id="178" w:name="_Toc151190150"/>
      <w:bookmarkStart w:id="179" w:name="_Toc151193765"/>
      <w:bookmarkStart w:id="180" w:name="_Toc150509274"/>
      <w:bookmarkStart w:id="181" w:name="_Toc226337219"/>
      <w:bookmarkStart w:id="182" w:name="_Toc226965713"/>
      <w:bookmarkStart w:id="183" w:name="_Toc305158865"/>
      <w:bookmarkStart w:id="184" w:name="_Toc127161437"/>
      <w:bookmarkStart w:id="185" w:name="_Toc150774623"/>
      <w:bookmarkStart w:id="186" w:name="_Toc142311025"/>
      <w:bookmarkStart w:id="187" w:name="_Toc164229364"/>
      <w:bookmarkStart w:id="188" w:name="_Toc164608637"/>
      <w:bookmarkStart w:id="189" w:name="_Toc265228361"/>
      <w:bookmarkStart w:id="190" w:name="_Toc164229218"/>
      <w:bookmarkStart w:id="191" w:name="_Toc151193911"/>
      <w:bookmarkStart w:id="192" w:name="_Toc226965796"/>
      <w:bookmarkStart w:id="193" w:name="_Toc149720816"/>
      <w:bookmarkStart w:id="194" w:name="_Toc151193693"/>
      <w:bookmarkStart w:id="195" w:name="_Toc151193837"/>
      <w:bookmarkStart w:id="196" w:name="_Toc164608792"/>
      <w:bookmarkStart w:id="197" w:name="_Toc520356147"/>
      <w:bookmarkStart w:id="198" w:name="_Toc305158791"/>
      <w:bookmarkStart w:id="199" w:name="_Toc226309767"/>
      <w:r>
        <w:rPr>
          <w:rFonts w:ascii="宋体" w:hAnsi="宋体"/>
          <w:color w:val="auto"/>
          <w:sz w:val="24"/>
        </w:rPr>
        <w:t>竞争性磋商文件构</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rPr>
          <w:rFonts w:ascii="宋体" w:hAnsi="宋体"/>
          <w:color w:val="auto"/>
          <w:sz w:val="24"/>
        </w:rPr>
        <w:t>成</w:t>
      </w:r>
    </w:p>
    <w:p w14:paraId="418A9180">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竞争性磋商文件包括以下部分：</w:t>
      </w:r>
    </w:p>
    <w:p w14:paraId="7BFCAAFF">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采购邀请</w:t>
      </w:r>
    </w:p>
    <w:p w14:paraId="2738EE20">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供应商须知</w:t>
      </w:r>
    </w:p>
    <w:p w14:paraId="4E141445">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评审方法和评审标准</w:t>
      </w:r>
    </w:p>
    <w:p w14:paraId="735A8251">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采购需求</w:t>
      </w:r>
    </w:p>
    <w:p w14:paraId="724642CD">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合同草案条款</w:t>
      </w:r>
    </w:p>
    <w:p w14:paraId="0C7DA98A">
      <w:pPr>
        <w:numPr>
          <w:ilvl w:val="0"/>
          <w:numId w:val="10"/>
        </w:numPr>
        <w:tabs>
          <w:tab w:val="left" w:pos="1980"/>
          <w:tab w:val="left" w:pos="2520"/>
          <w:tab w:val="left" w:pos="4941"/>
          <w:tab w:val="clear" w:pos="5509"/>
        </w:tabs>
        <w:snapToGrid w:val="0"/>
        <w:spacing w:line="360" w:lineRule="auto"/>
        <w:ind w:left="1440" w:firstLine="5"/>
        <w:rPr>
          <w:rFonts w:hint="eastAsia" w:ascii="宋体" w:hAnsi="宋体"/>
          <w:color w:val="auto"/>
          <w:sz w:val="24"/>
        </w:rPr>
      </w:pPr>
      <w:r>
        <w:rPr>
          <w:rFonts w:ascii="宋体" w:hAnsi="宋体"/>
          <w:color w:val="auto"/>
          <w:sz w:val="24"/>
        </w:rPr>
        <w:t>响应文件格式</w:t>
      </w:r>
    </w:p>
    <w:p w14:paraId="4BDDB85F">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color w:val="auto"/>
          <w:sz w:val="24"/>
        </w:rPr>
        <w:t>响应无效</w:t>
      </w:r>
      <w:r>
        <w:rPr>
          <w:rFonts w:ascii="宋体" w:hAnsi="宋体"/>
          <w:color w:val="auto"/>
          <w:sz w:val="24"/>
        </w:rPr>
        <w:t>。</w:t>
      </w:r>
    </w:p>
    <w:p w14:paraId="13F6F8EB">
      <w:pPr>
        <w:numPr>
          <w:ilvl w:val="0"/>
          <w:numId w:val="8"/>
        </w:numPr>
        <w:tabs>
          <w:tab w:val="left" w:pos="1080"/>
          <w:tab w:val="left" w:pos="2014"/>
        </w:tabs>
        <w:snapToGrid w:val="0"/>
        <w:spacing w:line="360" w:lineRule="auto"/>
        <w:ind w:left="357" w:hanging="357"/>
        <w:outlineLvl w:val="1"/>
        <w:rPr>
          <w:rFonts w:hint="eastAsia" w:ascii="宋体" w:hAnsi="宋体"/>
          <w:color w:val="auto"/>
          <w:sz w:val="24"/>
        </w:rPr>
      </w:pPr>
      <w:r>
        <w:rPr>
          <w:rFonts w:ascii="宋体" w:hAnsi="宋体"/>
          <w:color w:val="auto"/>
          <w:sz w:val="24"/>
        </w:rPr>
        <w:t>对竞争性磋商文件的澄清或修改</w:t>
      </w:r>
    </w:p>
    <w:p w14:paraId="04B81223">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采购人或采购代理机构对已发出的竞争性磋商文件进行必要澄清或者修改的，</w:t>
      </w:r>
      <w:r>
        <w:rPr>
          <w:rFonts w:hint="eastAsia" w:ascii="宋体" w:hAnsi="宋体"/>
          <w:color w:val="auto"/>
          <w:sz w:val="24"/>
        </w:rPr>
        <w:t>将</w:t>
      </w:r>
      <w:r>
        <w:rPr>
          <w:rFonts w:ascii="宋体" w:hAnsi="宋体"/>
          <w:color w:val="auto"/>
          <w:sz w:val="24"/>
        </w:rPr>
        <w:t>以书面形式通知所有获取竞争性磋商文件的潜在供应商。</w:t>
      </w:r>
      <w:r>
        <w:rPr>
          <w:rFonts w:hint="eastAsia" w:ascii="宋体" w:hAnsi="宋体"/>
          <w:color w:val="auto"/>
          <w:sz w:val="24"/>
        </w:rPr>
        <w:t>采用公告方式邀请供应商参与的，还将</w:t>
      </w:r>
      <w:r>
        <w:rPr>
          <w:rFonts w:ascii="宋体" w:hAnsi="宋体"/>
          <w:color w:val="auto"/>
          <w:sz w:val="24"/>
        </w:rPr>
        <w:t>在原公告发布媒体上发布更正公告</w:t>
      </w:r>
      <w:r>
        <w:rPr>
          <w:rFonts w:hint="eastAsia" w:ascii="宋体" w:hAnsi="宋体"/>
          <w:color w:val="auto"/>
          <w:sz w:val="24"/>
        </w:rPr>
        <w:t>。</w:t>
      </w:r>
    </w:p>
    <w:p w14:paraId="249C7620">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上述书面通知，按照获取竞争性磋商文件的潜在供应商提供的联系方式发出，因提供的信息有误导致通知延迟或无法通知的，采购人或采购代理机构不承担责任。</w:t>
      </w:r>
    </w:p>
    <w:p w14:paraId="216C5FF3">
      <w:pPr>
        <w:numPr>
          <w:ilvl w:val="1"/>
          <w:numId w:val="8"/>
        </w:numPr>
        <w:tabs>
          <w:tab w:val="left" w:pos="1080"/>
          <w:tab w:val="left" w:pos="1561"/>
          <w:tab w:val="left" w:pos="2014"/>
        </w:tabs>
        <w:snapToGrid w:val="0"/>
        <w:spacing w:line="360" w:lineRule="auto"/>
        <w:ind w:left="1080" w:hanging="720"/>
        <w:rPr>
          <w:rFonts w:hint="eastAsia" w:ascii="宋体" w:hAnsi="宋体"/>
          <w:color w:val="auto"/>
          <w:sz w:val="24"/>
        </w:rPr>
      </w:pPr>
      <w:r>
        <w:rPr>
          <w:rFonts w:ascii="宋体" w:hAnsi="宋体"/>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ascii="宋体" w:hAnsi="宋体"/>
          <w:color w:val="auto"/>
          <w:sz w:val="24"/>
        </w:rPr>
        <w:t>以书面形式通知所有获取磋商文件的供应商</w:t>
      </w:r>
      <w:r>
        <w:rPr>
          <w:rFonts w:ascii="宋体" w:hAnsi="宋体"/>
          <w:color w:val="auto"/>
          <w:sz w:val="24"/>
        </w:rPr>
        <w:t>；不足上述时间的，将顺延提交响应文件的截止时间。</w:t>
      </w:r>
      <w:bookmarkStart w:id="200" w:name="_Toc516367020"/>
      <w:bookmarkStart w:id="201" w:name="_Toc151193624"/>
      <w:bookmarkStart w:id="202" w:name="_Toc151190153"/>
      <w:bookmarkStart w:id="203" w:name="_Toc195842891"/>
      <w:bookmarkStart w:id="204" w:name="_Toc226309770"/>
      <w:bookmarkStart w:id="205" w:name="_Toc150480764"/>
      <w:bookmarkStart w:id="206" w:name="_Toc226965799"/>
      <w:bookmarkStart w:id="207" w:name="_Toc151193768"/>
      <w:bookmarkStart w:id="208" w:name="_Toc265228364"/>
      <w:bookmarkStart w:id="209" w:name="_Toc150509277"/>
      <w:bookmarkStart w:id="210" w:name="_Toc151193840"/>
      <w:bookmarkStart w:id="211" w:name="_Toc520356150"/>
      <w:bookmarkStart w:id="212" w:name="_Toc127151526"/>
      <w:bookmarkStart w:id="213" w:name="_Toc142311028"/>
      <w:bookmarkStart w:id="214" w:name="_Toc151193696"/>
      <w:bookmarkStart w:id="215" w:name="_Toc226337222"/>
      <w:bookmarkStart w:id="216" w:name="_Toc305158868"/>
      <w:bookmarkStart w:id="217" w:name="_Toc226965716"/>
      <w:bookmarkStart w:id="218" w:name="_Toc150774626"/>
      <w:bookmarkStart w:id="219" w:name="_Toc150774731"/>
      <w:bookmarkStart w:id="220" w:name="_Toc305158794"/>
      <w:bookmarkStart w:id="221" w:name="_Toc264969216"/>
      <w:bookmarkStart w:id="222" w:name="_Toc151193914"/>
    </w:p>
    <w:p w14:paraId="55A9BB34">
      <w:pPr>
        <w:pStyle w:val="3"/>
        <w:spacing w:before="0" w:line="360" w:lineRule="auto"/>
        <w:rPr>
          <w:rFonts w:hint="eastAsia" w:ascii="宋体" w:hAnsi="宋体" w:eastAsia="宋体"/>
          <w:color w:val="auto"/>
          <w:sz w:val="28"/>
        </w:rPr>
      </w:pPr>
      <w:r>
        <w:rPr>
          <w:rFonts w:ascii="宋体" w:hAnsi="宋体" w:eastAsia="宋体"/>
          <w:color w:val="auto"/>
          <w:sz w:val="28"/>
        </w:rPr>
        <w:t>三   响应文件</w:t>
      </w:r>
      <w:bookmarkEnd w:id="200"/>
      <w:r>
        <w:rPr>
          <w:rFonts w:ascii="宋体" w:hAnsi="宋体" w:eastAsia="宋体"/>
          <w:color w:val="auto"/>
          <w:sz w:val="28"/>
        </w:rPr>
        <w:t>的编制</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6B7F9021">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23" w:name="_Toc164351621"/>
      <w:bookmarkStart w:id="224" w:name="_Toc150509278"/>
      <w:bookmarkStart w:id="225" w:name="_Toc195842892"/>
      <w:bookmarkStart w:id="226" w:name="_Toc151190154"/>
      <w:bookmarkStart w:id="227" w:name="_Toc150480765"/>
      <w:bookmarkStart w:id="228" w:name="_Toc265228365"/>
      <w:bookmarkStart w:id="229" w:name="_Toc151193697"/>
      <w:bookmarkStart w:id="230" w:name="_Toc305158795"/>
      <w:bookmarkStart w:id="231" w:name="_Toc164608796"/>
      <w:bookmarkStart w:id="232" w:name="_Toc150774627"/>
      <w:bookmarkStart w:id="233" w:name="_Toc516367021"/>
      <w:bookmarkStart w:id="234" w:name="_Toc142311029"/>
      <w:bookmarkStart w:id="235" w:name="_Toc226965717"/>
      <w:bookmarkStart w:id="236" w:name="_Toc150774732"/>
      <w:bookmarkStart w:id="237" w:name="_Toc164608641"/>
      <w:bookmarkStart w:id="238" w:name="_Toc305158869"/>
      <w:bookmarkStart w:id="239" w:name="_Toc264969217"/>
      <w:bookmarkStart w:id="240" w:name="_Toc226337223"/>
      <w:bookmarkStart w:id="241" w:name="_Toc164229222"/>
      <w:bookmarkStart w:id="242" w:name="_Toc127151527"/>
      <w:bookmarkStart w:id="243" w:name="_Toc127151728"/>
      <w:bookmarkStart w:id="244" w:name="_Toc226965800"/>
      <w:bookmarkStart w:id="245" w:name="_Toc520356151"/>
      <w:bookmarkStart w:id="246" w:name="_Toc151193769"/>
      <w:bookmarkStart w:id="247" w:name="_Toc164229368"/>
      <w:bookmarkStart w:id="248" w:name="_Toc151193841"/>
      <w:bookmarkStart w:id="249" w:name="_Toc149720820"/>
      <w:bookmarkStart w:id="250" w:name="_Toc151193915"/>
      <w:bookmarkStart w:id="251" w:name="_Toc127161441"/>
      <w:bookmarkStart w:id="252" w:name="_Toc151193625"/>
      <w:bookmarkStart w:id="253" w:name="_Toc226309771"/>
      <w:r>
        <w:rPr>
          <w:rFonts w:ascii="宋体" w:hAnsi="宋体"/>
          <w:color w:val="auto"/>
          <w:sz w:val="24"/>
        </w:rPr>
        <w:t>响应范围、竞争性磋商文件中计量单位的使用</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Pr>
          <w:rFonts w:ascii="宋体" w:hAnsi="宋体"/>
          <w:color w:val="auto"/>
          <w:sz w:val="24"/>
        </w:rPr>
        <w:t>及磋商语言</w:t>
      </w:r>
    </w:p>
    <w:p w14:paraId="17C944D1">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hint="eastAsia" w:ascii="宋体" w:hAnsi="宋体"/>
          <w:color w:val="auto"/>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1F61BF19">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除竞争性磋商文件有特殊要求外，本项目磋商所使用的计量单位，应采用中华人民共和国法定计量单位。</w:t>
      </w:r>
    </w:p>
    <w:p w14:paraId="03ECEC44">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r>
        <w:rPr>
          <w:rFonts w:hint="eastAsia" w:ascii="宋体" w:hAnsi="宋体"/>
          <w:color w:val="auto"/>
          <w:sz w:val="24"/>
        </w:rPr>
        <w:t xml:space="preserve"> </w:t>
      </w:r>
    </w:p>
    <w:p w14:paraId="33309970">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54" w:name="_Ref467306195"/>
      <w:bookmarkStart w:id="255" w:name="_Toc516367022"/>
      <w:bookmarkStart w:id="256" w:name="_Ref467306676"/>
      <w:bookmarkStart w:id="257" w:name="_Toc150774733"/>
      <w:bookmarkStart w:id="258" w:name="_Toc265228366"/>
      <w:bookmarkStart w:id="259" w:name="_Toc195842893"/>
      <w:bookmarkStart w:id="260" w:name="_Toc127161442"/>
      <w:bookmarkStart w:id="261" w:name="_Toc150480766"/>
      <w:bookmarkStart w:id="262" w:name="_Toc305158870"/>
      <w:bookmarkStart w:id="263" w:name="_Toc151193698"/>
      <w:bookmarkStart w:id="264" w:name="_Toc264969218"/>
      <w:bookmarkStart w:id="265" w:name="_Toc226965718"/>
      <w:bookmarkStart w:id="266" w:name="_Toc151193842"/>
      <w:bookmarkStart w:id="267" w:name="_Toc151190155"/>
      <w:bookmarkStart w:id="268" w:name="_Toc226965801"/>
      <w:bookmarkStart w:id="269" w:name="_Toc305158796"/>
      <w:bookmarkStart w:id="270" w:name="_Toc164351622"/>
      <w:bookmarkStart w:id="271" w:name="_Toc151193626"/>
      <w:bookmarkStart w:id="272" w:name="_Toc226337224"/>
      <w:bookmarkStart w:id="273" w:name="_Toc151193916"/>
      <w:bookmarkStart w:id="274" w:name="_Toc151193770"/>
      <w:bookmarkStart w:id="275" w:name="_Toc164229369"/>
      <w:bookmarkStart w:id="276" w:name="_Toc149720821"/>
      <w:bookmarkStart w:id="277" w:name="_Toc226309772"/>
      <w:bookmarkStart w:id="278" w:name="_Toc520356152"/>
      <w:bookmarkStart w:id="279" w:name="_Toc164608797"/>
      <w:bookmarkStart w:id="280" w:name="_Toc127151729"/>
      <w:bookmarkStart w:id="281" w:name="_Toc164229223"/>
      <w:bookmarkStart w:id="282" w:name="_Toc142311030"/>
      <w:bookmarkStart w:id="283" w:name="_Toc127151528"/>
      <w:bookmarkStart w:id="284" w:name="_Toc164608642"/>
      <w:bookmarkStart w:id="285" w:name="_Toc150774628"/>
      <w:bookmarkStart w:id="286" w:name="_Toc150509279"/>
      <w:r>
        <w:rPr>
          <w:rFonts w:ascii="宋体" w:hAnsi="宋体"/>
          <w:color w:val="auto"/>
          <w:sz w:val="24"/>
        </w:rPr>
        <w:t>响应文件</w:t>
      </w:r>
      <w:bookmarkEnd w:id="254"/>
      <w:bookmarkEnd w:id="255"/>
      <w:bookmarkEnd w:id="256"/>
      <w:r>
        <w:rPr>
          <w:rFonts w:ascii="宋体" w:hAnsi="宋体"/>
          <w:color w:val="auto"/>
          <w:sz w:val="24"/>
        </w:rPr>
        <w:t>构成</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14:paraId="6A7B2205">
      <w:pPr>
        <w:numPr>
          <w:ilvl w:val="1"/>
          <w:numId w:val="8"/>
        </w:numPr>
        <w:tabs>
          <w:tab w:val="left" w:pos="1080"/>
          <w:tab w:val="left" w:pos="2014"/>
        </w:tabs>
        <w:snapToGrid w:val="0"/>
        <w:spacing w:line="360" w:lineRule="auto"/>
        <w:ind w:left="1077" w:hanging="720"/>
        <w:rPr>
          <w:rFonts w:hint="eastAsia" w:ascii="宋体" w:hAnsi="宋体"/>
          <w:color w:val="auto"/>
          <w:sz w:val="24"/>
        </w:rPr>
      </w:pPr>
      <w:bookmarkStart w:id="287" w:name="_Ref467052588"/>
      <w:r>
        <w:rPr>
          <w:rFonts w:ascii="宋体" w:hAnsi="宋体"/>
          <w:color w:val="auto"/>
          <w:sz w:val="24"/>
        </w:rPr>
        <w:t>供应商应当按照竞争性磋商文件的要求编制响应文件，</w:t>
      </w:r>
      <w:r>
        <w:rPr>
          <w:rFonts w:ascii="宋体" w:hAnsi="宋体"/>
          <w:color w:val="auto"/>
          <w:kern w:val="0"/>
          <w:sz w:val="24"/>
        </w:rPr>
        <w:t>并对其提交的响应文件的真实性、合法性承担法律责任</w:t>
      </w:r>
      <w:r>
        <w:rPr>
          <w:rFonts w:ascii="宋体" w:hAnsi="宋体"/>
          <w:color w:val="auto"/>
          <w:sz w:val="24"/>
        </w:rPr>
        <w:t>。响应文件的部分格式要求，见第六章《响应文件格式》。</w:t>
      </w:r>
    </w:p>
    <w:p w14:paraId="10D50CD6">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kern w:val="0"/>
          <w:sz w:val="24"/>
        </w:rPr>
        <w:t>对于竞争性磋商文件中标记了“实质性格式”文件的，</w:t>
      </w:r>
      <w:r>
        <w:rPr>
          <w:rFonts w:ascii="宋体" w:hAnsi="宋体"/>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585A1A40">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第三章《评审方法和评审标准》中涉及的证明文件。</w:t>
      </w:r>
    </w:p>
    <w:p w14:paraId="13ADDF0C">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052820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供应商认为应附的其他材料。</w:t>
      </w:r>
      <w:bookmarkEnd w:id="287"/>
    </w:p>
    <w:p w14:paraId="48527ED6">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288" w:name="_Toc127161444"/>
      <w:bookmarkStart w:id="289" w:name="_Toc164351624"/>
      <w:bookmarkStart w:id="290" w:name="_Toc151193772"/>
      <w:bookmarkStart w:id="291" w:name="_Toc195842895"/>
      <w:bookmarkStart w:id="292" w:name="_Toc164608799"/>
      <w:bookmarkStart w:id="293" w:name="_Toc150774735"/>
      <w:bookmarkStart w:id="294" w:name="_Toc151193628"/>
      <w:bookmarkStart w:id="295" w:name="_Toc164229371"/>
      <w:bookmarkStart w:id="296" w:name="_Toc151193844"/>
      <w:bookmarkStart w:id="297" w:name="_Toc164229225"/>
      <w:bookmarkStart w:id="298" w:name="_Toc151193700"/>
      <w:bookmarkStart w:id="299" w:name="_Toc151190157"/>
      <w:bookmarkStart w:id="300" w:name="_Toc149720823"/>
      <w:bookmarkStart w:id="301" w:name="_Toc520356155"/>
      <w:bookmarkStart w:id="302" w:name="_Toc150509281"/>
      <w:bookmarkStart w:id="303" w:name="_Toc127151731"/>
      <w:bookmarkStart w:id="304" w:name="_Toc127151530"/>
      <w:bookmarkStart w:id="305" w:name="_Toc150480768"/>
      <w:bookmarkStart w:id="306" w:name="_Toc164608644"/>
      <w:bookmarkStart w:id="307" w:name="_Toc151193918"/>
      <w:bookmarkStart w:id="308" w:name="_Toc150774630"/>
      <w:bookmarkStart w:id="309" w:name="_Toc142311032"/>
      <w:r>
        <w:rPr>
          <w:rFonts w:ascii="宋体" w:hAnsi="宋体"/>
          <w:color w:val="auto"/>
          <w:sz w:val="24"/>
        </w:rPr>
        <w:t>报价</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1FD8B81A">
      <w:pPr>
        <w:numPr>
          <w:ilvl w:val="1"/>
          <w:numId w:val="8"/>
        </w:numPr>
        <w:tabs>
          <w:tab w:val="left" w:pos="1080"/>
          <w:tab w:val="left" w:pos="2014"/>
        </w:tabs>
        <w:snapToGrid w:val="0"/>
        <w:spacing w:line="360" w:lineRule="auto"/>
        <w:rPr>
          <w:rFonts w:hint="eastAsia" w:ascii="宋体" w:hAnsi="宋体"/>
          <w:color w:val="auto"/>
          <w:sz w:val="24"/>
        </w:rPr>
      </w:pPr>
      <w:r>
        <w:rPr>
          <w:rFonts w:ascii="宋体" w:hAnsi="宋体"/>
          <w:color w:val="auto"/>
          <w:sz w:val="24"/>
        </w:rPr>
        <w:t>所有响应均以人民币</w:t>
      </w:r>
      <w:r>
        <w:rPr>
          <w:rFonts w:hint="eastAsia" w:ascii="宋体" w:hAnsi="宋体"/>
          <w:color w:val="auto"/>
          <w:sz w:val="24"/>
        </w:rPr>
        <w:t>为计价货币。</w:t>
      </w:r>
    </w:p>
    <w:p w14:paraId="581B878C">
      <w:pPr>
        <w:numPr>
          <w:ilvl w:val="1"/>
          <w:numId w:val="8"/>
        </w:numPr>
        <w:tabs>
          <w:tab w:val="left" w:pos="1080"/>
        </w:tabs>
        <w:snapToGrid w:val="0"/>
        <w:spacing w:line="360" w:lineRule="auto"/>
        <w:rPr>
          <w:rFonts w:hint="eastAsia" w:ascii="宋体" w:hAnsi="宋体"/>
          <w:color w:val="auto"/>
          <w:sz w:val="24"/>
        </w:rPr>
      </w:pPr>
      <w:r>
        <w:rPr>
          <w:rFonts w:ascii="宋体" w:hAnsi="宋体"/>
          <w:color w:val="auto"/>
          <w:sz w:val="24"/>
        </w:rPr>
        <w:t>供应商的报价应包括为完成本项目所发生的一切费用和税费，采购人将不再支付报价以外的任何费用。</w:t>
      </w:r>
      <w:r>
        <w:rPr>
          <w:rFonts w:hint="eastAsia" w:ascii="宋体" w:hAnsi="宋体"/>
          <w:color w:val="auto"/>
          <w:sz w:val="24"/>
        </w:rPr>
        <w:t>供应商的报价应包括但不限于下列内容，《供应商须知资料表》中有特殊规定的，从其规定。</w:t>
      </w:r>
    </w:p>
    <w:p w14:paraId="332BF85A">
      <w:pPr>
        <w:numPr>
          <w:ilvl w:val="2"/>
          <w:numId w:val="8"/>
        </w:numPr>
        <w:snapToGrid w:val="0"/>
        <w:spacing w:line="360" w:lineRule="auto"/>
        <w:rPr>
          <w:rFonts w:hint="eastAsia" w:ascii="宋体" w:hAnsi="宋体"/>
          <w:color w:val="auto"/>
          <w:sz w:val="24"/>
        </w:rPr>
      </w:pPr>
      <w:r>
        <w:rPr>
          <w:rFonts w:hint="eastAsia" w:ascii="宋体" w:hAnsi="宋体"/>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E35D27">
      <w:pPr>
        <w:numPr>
          <w:ilvl w:val="2"/>
          <w:numId w:val="8"/>
        </w:numPr>
        <w:snapToGrid w:val="0"/>
        <w:spacing w:line="360" w:lineRule="auto"/>
        <w:rPr>
          <w:rFonts w:hint="eastAsia" w:ascii="宋体" w:hAnsi="宋体"/>
          <w:color w:val="auto"/>
          <w:sz w:val="24"/>
        </w:rPr>
      </w:pPr>
      <w:r>
        <w:rPr>
          <w:rFonts w:hint="eastAsia" w:ascii="宋体" w:hAnsi="宋体"/>
          <w:color w:val="auto"/>
          <w:sz w:val="24"/>
        </w:rPr>
        <w:t>按照竞争性磋商文件要求完成本项目的全部相关费用。</w:t>
      </w:r>
    </w:p>
    <w:p w14:paraId="05796D73">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采购人不得向供应商索要或者接受其给予的赠品、回扣或者与采购无关的其他商品、服务。</w:t>
      </w:r>
    </w:p>
    <w:p w14:paraId="1E6884CF">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供应商不能提供任何有选择性或可调整的最后报价（</w:t>
      </w:r>
      <w:r>
        <w:rPr>
          <w:rFonts w:ascii="宋体" w:hAnsi="宋体"/>
          <w:color w:val="auto"/>
          <w:kern w:val="0"/>
          <w:sz w:val="24"/>
        </w:rPr>
        <w:t>竞争性磋商文件</w:t>
      </w:r>
      <w:r>
        <w:rPr>
          <w:rFonts w:ascii="宋体" w:hAnsi="宋体"/>
          <w:color w:val="auto"/>
          <w:sz w:val="24"/>
        </w:rPr>
        <w:t>另有规定的除外），否则其</w:t>
      </w:r>
      <w:r>
        <w:rPr>
          <w:rFonts w:ascii="宋体" w:hAnsi="宋体"/>
          <w:b/>
          <w:color w:val="auto"/>
          <w:sz w:val="24"/>
        </w:rPr>
        <w:t>响应无效</w:t>
      </w:r>
      <w:r>
        <w:rPr>
          <w:rFonts w:ascii="宋体" w:hAnsi="宋体"/>
          <w:color w:val="auto"/>
          <w:sz w:val="24"/>
        </w:rPr>
        <w:t>。</w:t>
      </w:r>
    </w:p>
    <w:p w14:paraId="2ABBBD3C">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磋商保证金</w:t>
      </w:r>
    </w:p>
    <w:p w14:paraId="7F577DE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供应商应按《供应商须知资料表》中规定的金额及要求交纳磋商保证金。供应商自愿超额缴纳磋商保证金的，响应文件不做无效处理。</w:t>
      </w:r>
    </w:p>
    <w:p w14:paraId="5A87438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交纳磋商保证金可采用的形式：政府采购法律法规接受的支票、汇票、本票、网上银行支付或者金融机构、担保机构出具的保函等非现金形式。</w:t>
      </w:r>
    </w:p>
    <w:p w14:paraId="1236FFF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磋商保证金到账（保函提交）截止时间同首次响应文件提交截止时间。以支票、汇票、本票、网上银行支付等形式提交磋商保证金的，应在首次响应文件提交截止时间前</w:t>
      </w:r>
      <w:r>
        <w:rPr>
          <w:rFonts w:hint="eastAsia" w:ascii="宋体" w:hAnsi="宋体"/>
          <w:color w:val="auto"/>
          <w:sz w:val="24"/>
        </w:rPr>
        <w:t>到账</w:t>
      </w:r>
      <w:r>
        <w:rPr>
          <w:rFonts w:ascii="宋体" w:hAnsi="宋体"/>
          <w:color w:val="auto"/>
          <w:sz w:val="24"/>
        </w:rPr>
        <w:t>；</w:t>
      </w:r>
      <w:r>
        <w:rPr>
          <w:rFonts w:hint="eastAsia" w:ascii="宋体" w:hAnsi="宋体"/>
          <w:color w:val="auto"/>
          <w:sz w:val="24"/>
        </w:rPr>
        <w:t>以</w:t>
      </w:r>
      <w:r>
        <w:rPr>
          <w:rFonts w:ascii="宋体" w:hAnsi="宋体"/>
          <w:color w:val="auto"/>
          <w:sz w:val="24"/>
        </w:rPr>
        <w:t>金融机构、担保机构出具的保函等形式提交</w:t>
      </w:r>
      <w:r>
        <w:rPr>
          <w:rFonts w:hint="eastAsia" w:ascii="宋体" w:hAnsi="宋体"/>
          <w:color w:val="auto"/>
          <w:sz w:val="24"/>
        </w:rPr>
        <w:t>磋商</w:t>
      </w:r>
      <w:r>
        <w:rPr>
          <w:rFonts w:ascii="宋体" w:hAnsi="宋体"/>
          <w:color w:val="auto"/>
          <w:sz w:val="24"/>
        </w:rPr>
        <w:t>保证金的，应在首次响应文件</w:t>
      </w:r>
      <w:r>
        <w:rPr>
          <w:rFonts w:hint="eastAsia" w:ascii="宋体" w:hAnsi="宋体"/>
          <w:color w:val="auto"/>
          <w:sz w:val="24"/>
        </w:rPr>
        <w:t>提交</w:t>
      </w:r>
      <w:r>
        <w:rPr>
          <w:rFonts w:ascii="宋体" w:hAnsi="宋体"/>
          <w:color w:val="auto"/>
          <w:sz w:val="24"/>
        </w:rPr>
        <w:t>截止时间前将原件提交至采购代理机构；</w:t>
      </w:r>
      <w:r>
        <w:rPr>
          <w:rFonts w:hint="eastAsia" w:ascii="宋体" w:hAnsi="宋体"/>
          <w:color w:val="auto"/>
          <w:sz w:val="24"/>
        </w:rPr>
        <w:t>以电子保函形式提交磋商保证金的，应在首次响应文件提交截止时间前通过北京市政府采购电子交易平台完成电子保函在线办理。未按上述要求缴纳保证金的，其</w:t>
      </w:r>
      <w:r>
        <w:rPr>
          <w:rFonts w:hint="eastAsia" w:ascii="宋体" w:hAnsi="宋体"/>
          <w:b/>
          <w:color w:val="auto"/>
          <w:sz w:val="24"/>
        </w:rPr>
        <w:t>响应无效</w:t>
      </w:r>
      <w:r>
        <w:rPr>
          <w:rFonts w:hint="eastAsia" w:ascii="宋体" w:hAnsi="宋体"/>
          <w:color w:val="auto"/>
          <w:sz w:val="24"/>
        </w:rPr>
        <w:t>。</w:t>
      </w:r>
    </w:p>
    <w:p w14:paraId="63058F3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供应商除需在响应文件中提供“磋商保证金凭证/交款单据电子件”，还需在首次响应文件提交截止时间前，通过电子交易平台上传“磋商保证金凭证/交款单据电子件”。</w:t>
      </w:r>
    </w:p>
    <w:p w14:paraId="6754734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磋商保证金（保函）有效期同响应有效期。</w:t>
      </w:r>
    </w:p>
    <w:p w14:paraId="2DD6F7A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供应商为联合体的，可以由联合体中的一方或者多方共同交纳磋商保证金，其交纳的保证金对联合体各方均具有约束力。</w:t>
      </w:r>
    </w:p>
    <w:p w14:paraId="2AE8B158">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BE83C5C">
      <w:pPr>
        <w:numPr>
          <w:ilvl w:val="2"/>
          <w:numId w:val="8"/>
        </w:numPr>
        <w:snapToGrid w:val="0"/>
        <w:spacing w:line="360" w:lineRule="auto"/>
        <w:rPr>
          <w:rFonts w:hint="eastAsia" w:ascii="宋体" w:hAnsi="宋体"/>
          <w:color w:val="auto"/>
          <w:sz w:val="24"/>
        </w:rPr>
      </w:pPr>
      <w:r>
        <w:rPr>
          <w:rFonts w:ascii="宋体" w:hAnsi="宋体"/>
          <w:snapToGrid w:val="0"/>
          <w:color w:val="auto"/>
          <w:kern w:val="0"/>
          <w:sz w:val="24"/>
        </w:rPr>
        <w:t>已提交响应文件的供应商，在提交最后报价之前，可以根据磋商情况退出磋商。采购人、采购代理机构将退还退出磋商的供应商的磋商保证金</w:t>
      </w:r>
      <w:r>
        <w:rPr>
          <w:rFonts w:hint="eastAsia" w:ascii="宋体" w:hAnsi="宋体"/>
          <w:snapToGrid w:val="0"/>
          <w:color w:val="auto"/>
          <w:kern w:val="0"/>
          <w:sz w:val="24"/>
        </w:rPr>
        <w:t>；</w:t>
      </w:r>
    </w:p>
    <w:p w14:paraId="57606286">
      <w:pPr>
        <w:numPr>
          <w:ilvl w:val="2"/>
          <w:numId w:val="8"/>
        </w:numPr>
        <w:snapToGrid w:val="0"/>
        <w:spacing w:line="360" w:lineRule="auto"/>
        <w:rPr>
          <w:rFonts w:hint="eastAsia" w:ascii="宋体" w:hAnsi="宋体"/>
          <w:color w:val="auto"/>
          <w:sz w:val="24"/>
        </w:rPr>
      </w:pPr>
      <w:r>
        <w:rPr>
          <w:rFonts w:ascii="宋体" w:hAnsi="宋体"/>
          <w:color w:val="auto"/>
          <w:sz w:val="24"/>
        </w:rPr>
        <w:t>成交供应商的磋商保证金，在采购合同签订后5个工作日内退还成交供应商；</w:t>
      </w:r>
    </w:p>
    <w:p w14:paraId="27B08500">
      <w:pPr>
        <w:numPr>
          <w:ilvl w:val="2"/>
          <w:numId w:val="8"/>
        </w:numPr>
        <w:snapToGrid w:val="0"/>
        <w:spacing w:line="360" w:lineRule="auto"/>
        <w:rPr>
          <w:rFonts w:hint="eastAsia" w:ascii="宋体" w:hAnsi="宋体"/>
          <w:color w:val="auto"/>
          <w:sz w:val="24"/>
        </w:rPr>
      </w:pPr>
      <w:r>
        <w:rPr>
          <w:rFonts w:ascii="宋体" w:hAnsi="宋体"/>
          <w:color w:val="auto"/>
          <w:sz w:val="24"/>
        </w:rPr>
        <w:t>未成交供应商的磋商保证金，在成交通知书发出后5个工作日内退还</w:t>
      </w:r>
      <w:r>
        <w:rPr>
          <w:rFonts w:hint="eastAsia" w:ascii="宋体" w:hAnsi="宋体"/>
          <w:color w:val="auto"/>
          <w:sz w:val="24"/>
        </w:rPr>
        <w:t>。</w:t>
      </w:r>
    </w:p>
    <w:p w14:paraId="39EB0E1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有下列情形之一的，采购人或采购代理机构不予退还磋商保证金：</w:t>
      </w:r>
    </w:p>
    <w:p w14:paraId="09877D71">
      <w:pPr>
        <w:numPr>
          <w:ilvl w:val="2"/>
          <w:numId w:val="8"/>
        </w:numPr>
        <w:snapToGrid w:val="0"/>
        <w:spacing w:line="360" w:lineRule="auto"/>
        <w:rPr>
          <w:rFonts w:hint="eastAsia" w:ascii="宋体" w:hAnsi="宋体"/>
          <w:color w:val="auto"/>
          <w:sz w:val="24"/>
        </w:rPr>
      </w:pPr>
      <w:r>
        <w:rPr>
          <w:rFonts w:ascii="宋体" w:hAnsi="宋体"/>
          <w:color w:val="auto"/>
          <w:sz w:val="24"/>
        </w:rPr>
        <w:t>供应商在提交响应文件截止时间后撤回响应文件的；</w:t>
      </w:r>
    </w:p>
    <w:p w14:paraId="2DE414AB">
      <w:pPr>
        <w:numPr>
          <w:ilvl w:val="2"/>
          <w:numId w:val="8"/>
        </w:numPr>
        <w:snapToGrid w:val="0"/>
        <w:spacing w:line="360" w:lineRule="auto"/>
        <w:rPr>
          <w:rFonts w:hint="eastAsia" w:ascii="宋体" w:hAnsi="宋体"/>
          <w:color w:val="auto"/>
          <w:sz w:val="24"/>
        </w:rPr>
      </w:pPr>
      <w:r>
        <w:rPr>
          <w:rFonts w:ascii="宋体" w:hAnsi="宋体"/>
          <w:color w:val="auto"/>
          <w:sz w:val="24"/>
        </w:rPr>
        <w:t>供应商在响应文件中提供虚假材料的；</w:t>
      </w:r>
    </w:p>
    <w:p w14:paraId="21F9BBF0">
      <w:pPr>
        <w:numPr>
          <w:ilvl w:val="2"/>
          <w:numId w:val="8"/>
        </w:numPr>
        <w:snapToGrid w:val="0"/>
        <w:spacing w:line="360" w:lineRule="auto"/>
        <w:rPr>
          <w:rFonts w:hint="eastAsia" w:ascii="宋体" w:hAnsi="宋体"/>
          <w:color w:val="auto"/>
          <w:sz w:val="24"/>
        </w:rPr>
      </w:pPr>
      <w:r>
        <w:rPr>
          <w:rFonts w:ascii="宋体" w:hAnsi="宋体"/>
          <w:color w:val="auto"/>
          <w:sz w:val="24"/>
        </w:rPr>
        <w:t>除因不可抗力或磋商文件认可的情形以外，成交供应商不与采购人签订合同的；</w:t>
      </w:r>
    </w:p>
    <w:p w14:paraId="04ABBB89">
      <w:pPr>
        <w:numPr>
          <w:ilvl w:val="2"/>
          <w:numId w:val="8"/>
        </w:numPr>
        <w:snapToGrid w:val="0"/>
        <w:spacing w:line="360" w:lineRule="auto"/>
        <w:rPr>
          <w:rFonts w:hint="eastAsia" w:ascii="宋体" w:hAnsi="宋体"/>
          <w:color w:val="auto"/>
          <w:sz w:val="24"/>
        </w:rPr>
      </w:pPr>
      <w:r>
        <w:rPr>
          <w:rFonts w:ascii="宋体" w:hAnsi="宋体"/>
          <w:color w:val="auto"/>
          <w:sz w:val="24"/>
        </w:rPr>
        <w:t>供应商与采购人、其他供应商或者采购代理机构恶意串通的；</w:t>
      </w:r>
    </w:p>
    <w:p w14:paraId="4B4625F9">
      <w:pPr>
        <w:numPr>
          <w:ilvl w:val="2"/>
          <w:numId w:val="8"/>
        </w:numPr>
        <w:snapToGrid w:val="0"/>
        <w:spacing w:line="360" w:lineRule="auto"/>
        <w:rPr>
          <w:rFonts w:hint="eastAsia" w:ascii="宋体" w:hAnsi="宋体"/>
          <w:color w:val="auto"/>
          <w:sz w:val="24"/>
        </w:rPr>
      </w:pPr>
      <w:r>
        <w:rPr>
          <w:rFonts w:ascii="宋体" w:hAnsi="宋体"/>
          <w:color w:val="auto"/>
          <w:sz w:val="24"/>
        </w:rPr>
        <w:t>《供应商须知资料表》规定的其他情形。</w:t>
      </w:r>
    </w:p>
    <w:p w14:paraId="5D2BABEE">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响应有效期</w:t>
      </w:r>
    </w:p>
    <w:p w14:paraId="6F6FA79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响应文件应在本竞争性磋商文件《供应商须知资料表》中规定的响应有效期内保持有效，响应有效期少于竞争性磋商文件规定期限的，其</w:t>
      </w:r>
      <w:r>
        <w:rPr>
          <w:rFonts w:ascii="宋体" w:hAnsi="宋体"/>
          <w:b/>
          <w:color w:val="auto"/>
          <w:sz w:val="24"/>
        </w:rPr>
        <w:t>响应无效</w:t>
      </w:r>
      <w:r>
        <w:rPr>
          <w:rFonts w:ascii="宋体" w:hAnsi="宋体"/>
          <w:color w:val="auto"/>
          <w:sz w:val="24"/>
        </w:rPr>
        <w:t>。</w:t>
      </w:r>
    </w:p>
    <w:p w14:paraId="297C6B46">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10" w:name="_Toc164608802"/>
      <w:bookmarkStart w:id="311" w:name="_Toc150774633"/>
      <w:bookmarkStart w:id="312" w:name="_Toc264969223"/>
      <w:bookmarkStart w:id="313" w:name="_Toc164351627"/>
      <w:bookmarkStart w:id="314" w:name="_Toc151193847"/>
      <w:bookmarkStart w:id="315" w:name="_Toc164229374"/>
      <w:bookmarkStart w:id="316" w:name="_Toc164608647"/>
      <w:bookmarkStart w:id="317" w:name="_Toc150509284"/>
      <w:bookmarkStart w:id="318" w:name="_Toc226309777"/>
      <w:bookmarkStart w:id="319" w:name="_Toc151193631"/>
      <w:bookmarkStart w:id="320" w:name="_Toc151193703"/>
      <w:bookmarkStart w:id="321" w:name="_Toc150480771"/>
      <w:bookmarkStart w:id="322" w:name="_Toc149720826"/>
      <w:bookmarkStart w:id="323" w:name="_Toc520356158"/>
      <w:bookmarkStart w:id="324" w:name="_Toc195842898"/>
      <w:bookmarkStart w:id="325" w:name="_Toc127151734"/>
      <w:bookmarkStart w:id="326" w:name="_Toc151190160"/>
      <w:bookmarkStart w:id="327" w:name="_Toc164229228"/>
      <w:bookmarkStart w:id="328" w:name="_Toc265228371"/>
      <w:bookmarkStart w:id="329" w:name="_Toc127161447"/>
      <w:bookmarkStart w:id="330" w:name="_Toc226965723"/>
      <w:bookmarkStart w:id="331" w:name="_Toc151193775"/>
      <w:bookmarkStart w:id="332" w:name="_Toc226965806"/>
      <w:bookmarkStart w:id="333" w:name="_Toc305158875"/>
      <w:bookmarkStart w:id="334" w:name="_Toc142311035"/>
      <w:bookmarkStart w:id="335" w:name="_Toc151193921"/>
      <w:bookmarkStart w:id="336" w:name="_Toc305158801"/>
      <w:bookmarkStart w:id="337" w:name="_Toc127151533"/>
      <w:bookmarkStart w:id="338" w:name="_Toc226337229"/>
      <w:bookmarkStart w:id="339" w:name="_Toc150774738"/>
      <w:r>
        <w:rPr>
          <w:rFonts w:ascii="宋体" w:hAnsi="宋体"/>
          <w:color w:val="auto"/>
          <w:sz w:val="24"/>
        </w:rPr>
        <w:t>响应文件的签署</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宋体" w:hAnsi="宋体"/>
          <w:color w:val="auto"/>
          <w:sz w:val="24"/>
        </w:rPr>
        <w:t>、盖章</w:t>
      </w:r>
    </w:p>
    <w:p w14:paraId="252C312D">
      <w:pPr>
        <w:numPr>
          <w:ilvl w:val="1"/>
          <w:numId w:val="8"/>
        </w:numPr>
        <w:tabs>
          <w:tab w:val="left" w:pos="1080"/>
        </w:tabs>
        <w:snapToGrid w:val="0"/>
        <w:spacing w:line="360" w:lineRule="auto"/>
        <w:rPr>
          <w:rFonts w:hint="eastAsia" w:ascii="宋体" w:hAnsi="宋体"/>
          <w:color w:val="auto"/>
          <w:sz w:val="24"/>
        </w:rPr>
      </w:pPr>
      <w:bookmarkStart w:id="340" w:name="_Toc265228372"/>
      <w:bookmarkStart w:id="341" w:name="_Toc520356159"/>
      <w:bookmarkStart w:id="342" w:name="_Toc150480772"/>
      <w:bookmarkStart w:id="343" w:name="_Toc150509285"/>
      <w:bookmarkStart w:id="344" w:name="_Toc150774634"/>
      <w:bookmarkStart w:id="345" w:name="_Toc151193632"/>
      <w:bookmarkStart w:id="346" w:name="_Toc226965807"/>
      <w:bookmarkStart w:id="347" w:name="_Toc151193922"/>
      <w:bookmarkStart w:id="348" w:name="_Toc151190161"/>
      <w:bookmarkStart w:id="349" w:name="_Toc150774739"/>
      <w:bookmarkStart w:id="350" w:name="_Toc195842899"/>
      <w:bookmarkStart w:id="351" w:name="_Toc305158876"/>
      <w:bookmarkStart w:id="352" w:name="_Toc151193776"/>
      <w:bookmarkStart w:id="353" w:name="_Toc127151534"/>
      <w:bookmarkStart w:id="354" w:name="_Toc226965724"/>
      <w:bookmarkStart w:id="355" w:name="_Toc264969224"/>
      <w:bookmarkStart w:id="356" w:name="_Toc226309778"/>
      <w:bookmarkStart w:id="357" w:name="_Toc226337230"/>
      <w:bookmarkStart w:id="358" w:name="_Toc142311036"/>
      <w:bookmarkStart w:id="359" w:name="_Toc151193848"/>
      <w:bookmarkStart w:id="360" w:name="_Toc151193704"/>
      <w:bookmarkStart w:id="361" w:name="_Toc305158802"/>
      <w:r>
        <w:rPr>
          <w:rFonts w:ascii="宋体" w:hAnsi="宋体"/>
          <w:color w:val="auto"/>
          <w:sz w:val="24"/>
        </w:rPr>
        <w:t>竞争性磋商文件要求签字的内容（如授权委托书等），</w:t>
      </w:r>
      <w:r>
        <w:rPr>
          <w:rFonts w:hint="eastAsia" w:ascii="宋体" w:hAnsi="宋体"/>
          <w:color w:val="auto"/>
          <w:sz w:val="24"/>
        </w:rPr>
        <w:t>可以使用电子签章或使用原件的电子件（电子件指扫描件、照片等形式电子文件）；要求</w:t>
      </w:r>
      <w:r>
        <w:rPr>
          <w:rFonts w:ascii="宋体" w:hAnsi="宋体"/>
          <w:color w:val="auto"/>
          <w:sz w:val="24"/>
        </w:rPr>
        <w:t>第三方出具的盖章件原件（如联合协议、分包意向协议、制造商授权书原件等），响应文件中应使用原件的电子件。</w:t>
      </w:r>
    </w:p>
    <w:p w14:paraId="2B674F8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竞争性磋商文件要求盖章的内容，</w:t>
      </w:r>
      <w:r>
        <w:rPr>
          <w:rFonts w:hint="eastAsia" w:ascii="宋体" w:hAnsi="宋体"/>
          <w:color w:val="auto"/>
          <w:sz w:val="24"/>
        </w:rPr>
        <w:t>一般</w:t>
      </w:r>
      <w:r>
        <w:rPr>
          <w:rFonts w:ascii="宋体" w:hAnsi="宋体"/>
          <w:color w:val="auto"/>
          <w:sz w:val="24"/>
        </w:rPr>
        <w:t>通过响应文件编制工具加盖电子签章。</w:t>
      </w:r>
    </w:p>
    <w:p w14:paraId="3562F97C">
      <w:pPr>
        <w:pStyle w:val="3"/>
        <w:spacing w:before="0" w:line="360" w:lineRule="auto"/>
        <w:rPr>
          <w:rFonts w:hint="eastAsia" w:ascii="宋体" w:hAnsi="宋体" w:eastAsia="宋体"/>
          <w:color w:val="auto"/>
          <w:sz w:val="28"/>
        </w:rPr>
      </w:pPr>
      <w:r>
        <w:rPr>
          <w:rFonts w:ascii="宋体" w:hAnsi="宋体" w:eastAsia="宋体"/>
          <w:color w:val="auto"/>
          <w:sz w:val="28"/>
        </w:rPr>
        <w:t>四   响应文件的提交</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3109E529">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62" w:name="_Toc520356160"/>
      <w:bookmarkStart w:id="363" w:name="_Toc150774740"/>
      <w:bookmarkStart w:id="364" w:name="_Toc151193923"/>
      <w:bookmarkStart w:id="365" w:name="_Toc265228373"/>
      <w:bookmarkStart w:id="366" w:name="_Toc150509286"/>
      <w:bookmarkStart w:id="367" w:name="_Toc164229376"/>
      <w:bookmarkStart w:id="368" w:name="_Toc195842900"/>
      <w:bookmarkStart w:id="369" w:name="_Toc151193777"/>
      <w:bookmarkStart w:id="370" w:name="_Toc305158803"/>
      <w:bookmarkStart w:id="371" w:name="_Toc164608649"/>
      <w:bookmarkStart w:id="372" w:name="_Toc164351629"/>
      <w:bookmarkStart w:id="373" w:name="_Toc151193705"/>
      <w:bookmarkStart w:id="374" w:name="_Toc151193633"/>
      <w:bookmarkStart w:id="375" w:name="_Toc305158877"/>
      <w:bookmarkStart w:id="376" w:name="_Toc127151535"/>
      <w:bookmarkStart w:id="377" w:name="_Toc226309779"/>
      <w:bookmarkStart w:id="378" w:name="_Toc151190162"/>
      <w:bookmarkStart w:id="379" w:name="_Toc226965808"/>
      <w:bookmarkStart w:id="380" w:name="_Toc150774635"/>
      <w:bookmarkStart w:id="381" w:name="_Toc142311037"/>
      <w:bookmarkStart w:id="382" w:name="_Toc164608804"/>
      <w:bookmarkStart w:id="383" w:name="_Toc127161449"/>
      <w:bookmarkStart w:id="384" w:name="_Toc150480773"/>
      <w:bookmarkStart w:id="385" w:name="_Toc149720828"/>
      <w:bookmarkStart w:id="386" w:name="_Toc264969225"/>
      <w:bookmarkStart w:id="387" w:name="_Toc164229230"/>
      <w:bookmarkStart w:id="388" w:name="_Toc127151736"/>
      <w:bookmarkStart w:id="389" w:name="_Toc226337231"/>
      <w:bookmarkStart w:id="390" w:name="_Toc151193849"/>
      <w:bookmarkStart w:id="391" w:name="_Toc226965725"/>
      <w:r>
        <w:rPr>
          <w:rFonts w:ascii="宋体" w:hAnsi="宋体"/>
          <w:color w:val="auto"/>
          <w:sz w:val="24"/>
        </w:rPr>
        <w:t>响应文件的</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r>
        <w:rPr>
          <w:rFonts w:ascii="宋体" w:hAnsi="宋体"/>
          <w:color w:val="auto"/>
          <w:sz w:val="24"/>
        </w:rPr>
        <w:t>提交</w:t>
      </w:r>
    </w:p>
    <w:p w14:paraId="63A92AF0">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本项目使用</w:t>
      </w:r>
      <w:r>
        <w:rPr>
          <w:rFonts w:hint="eastAsia" w:ascii="宋体" w:hAnsi="宋体"/>
          <w:color w:val="auto"/>
          <w:sz w:val="24"/>
        </w:rPr>
        <w:t>北京市政府采购电子交易平台</w:t>
      </w:r>
      <w:r>
        <w:rPr>
          <w:rFonts w:ascii="宋体" w:hAnsi="宋体"/>
          <w:color w:val="auto"/>
          <w:sz w:val="24"/>
        </w:rPr>
        <w:t>。供应商根据竞争性磋商文件及</w:t>
      </w:r>
      <w:r>
        <w:rPr>
          <w:rFonts w:hint="eastAsia" w:ascii="宋体" w:hAnsi="宋体"/>
          <w:color w:val="auto"/>
          <w:sz w:val="24"/>
        </w:rPr>
        <w:t>电子交易平台</w:t>
      </w:r>
      <w:r>
        <w:rPr>
          <w:rFonts w:ascii="宋体" w:hAnsi="宋体"/>
          <w:color w:val="auto"/>
          <w:sz w:val="24"/>
        </w:rPr>
        <w:t>供应商操作手册要求编制、生成并提交电子响应文件。</w:t>
      </w:r>
    </w:p>
    <w:p w14:paraId="6BE1193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采购人及采购代理机构拒绝接受通过电子交易平台以外任何形式提交的首次响应文件，磋商保证金除外</w:t>
      </w:r>
      <w:r>
        <w:rPr>
          <w:rFonts w:ascii="宋体" w:hAnsi="宋体"/>
          <w:color w:val="auto"/>
          <w:sz w:val="24"/>
        </w:rPr>
        <w:t>。</w:t>
      </w:r>
    </w:p>
    <w:p w14:paraId="35925A7B">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392" w:name="_Toc151193778"/>
      <w:bookmarkStart w:id="393" w:name="_Toc164351630"/>
      <w:bookmarkStart w:id="394" w:name="_Toc151193924"/>
      <w:bookmarkStart w:id="395" w:name="_Toc264969226"/>
      <w:bookmarkStart w:id="396" w:name="_Toc226965809"/>
      <w:bookmarkStart w:id="397" w:name="_Toc305158804"/>
      <w:bookmarkStart w:id="398" w:name="_Toc150509287"/>
      <w:bookmarkStart w:id="399" w:name="_Toc164229231"/>
      <w:bookmarkStart w:id="400" w:name="_Toc151193634"/>
      <w:bookmarkStart w:id="401" w:name="_Toc265228374"/>
      <w:bookmarkStart w:id="402" w:name="_Toc164608805"/>
      <w:bookmarkStart w:id="403" w:name="_Toc150774741"/>
      <w:bookmarkStart w:id="404" w:name="_Toc150774636"/>
      <w:bookmarkStart w:id="405" w:name="_Toc195842901"/>
      <w:bookmarkStart w:id="406" w:name="_Toc305158878"/>
      <w:bookmarkStart w:id="407" w:name="_Toc226965726"/>
      <w:bookmarkStart w:id="408" w:name="_Toc127151536"/>
      <w:bookmarkStart w:id="409" w:name="_Toc164608650"/>
      <w:bookmarkStart w:id="410" w:name="_Toc151190163"/>
      <w:bookmarkStart w:id="411" w:name="_Toc226337232"/>
      <w:bookmarkStart w:id="412" w:name="_Toc150480774"/>
      <w:bookmarkStart w:id="413" w:name="_Toc142311038"/>
      <w:bookmarkStart w:id="414" w:name="_Toc127151737"/>
      <w:bookmarkStart w:id="415" w:name="_Toc164229377"/>
      <w:bookmarkStart w:id="416" w:name="_Toc151193706"/>
      <w:bookmarkStart w:id="417" w:name="_Toc151193850"/>
      <w:bookmarkStart w:id="418" w:name="_Toc127161450"/>
      <w:bookmarkStart w:id="419" w:name="_Toc149720829"/>
      <w:bookmarkStart w:id="420" w:name="_Toc226309780"/>
      <w:bookmarkStart w:id="421" w:name="_Toc520356161"/>
      <w:r>
        <w:rPr>
          <w:rFonts w:ascii="宋体" w:hAnsi="宋体"/>
          <w:color w:val="auto"/>
          <w:sz w:val="24"/>
        </w:rPr>
        <w:t>响应文件截止</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r>
        <w:rPr>
          <w:rFonts w:ascii="宋体" w:hAnsi="宋体"/>
          <w:color w:val="auto"/>
          <w:sz w:val="24"/>
        </w:rPr>
        <w:t>时间</w:t>
      </w:r>
    </w:p>
    <w:p w14:paraId="4AA5FD5F">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供应商应在竞争性磋商文件要求响应文件提交截止时间前，将电子响应文件提交至</w:t>
      </w:r>
      <w:r>
        <w:rPr>
          <w:rFonts w:hint="eastAsia" w:ascii="宋体" w:hAnsi="宋体"/>
          <w:color w:val="auto"/>
          <w:sz w:val="24"/>
        </w:rPr>
        <w:t>电子交易平台</w:t>
      </w:r>
      <w:r>
        <w:rPr>
          <w:rFonts w:ascii="宋体" w:hAnsi="宋体"/>
          <w:color w:val="auto"/>
          <w:sz w:val="24"/>
        </w:rPr>
        <w:t>。</w:t>
      </w:r>
    </w:p>
    <w:p w14:paraId="5CF5F370">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422" w:name="_Toc305158879"/>
      <w:bookmarkStart w:id="423" w:name="_Toc226309781"/>
      <w:bookmarkStart w:id="424" w:name="_Toc265228375"/>
      <w:bookmarkStart w:id="425" w:name="_Toc305158805"/>
      <w:bookmarkStart w:id="426" w:name="_Toc142311039"/>
      <w:bookmarkStart w:id="427" w:name="_Toc150774742"/>
      <w:bookmarkStart w:id="428" w:name="_Toc149720830"/>
      <w:bookmarkStart w:id="429" w:name="_Toc150774637"/>
      <w:bookmarkStart w:id="430" w:name="_Toc150509288"/>
      <w:bookmarkStart w:id="431" w:name="_Toc127151738"/>
      <w:bookmarkStart w:id="432" w:name="_Toc164351631"/>
      <w:bookmarkStart w:id="433" w:name="_Toc151193635"/>
      <w:bookmarkStart w:id="434" w:name="_Toc264969227"/>
      <w:bookmarkStart w:id="435" w:name="_Toc164229232"/>
      <w:bookmarkStart w:id="436" w:name="_Toc151190164"/>
      <w:bookmarkStart w:id="437" w:name="_Toc226965727"/>
      <w:bookmarkStart w:id="438" w:name="_Toc151193707"/>
      <w:bookmarkStart w:id="439" w:name="_Toc127161451"/>
      <w:bookmarkStart w:id="440" w:name="_Toc226337233"/>
      <w:bookmarkStart w:id="441" w:name="_Toc127151537"/>
      <w:bookmarkStart w:id="442" w:name="_Toc164608651"/>
      <w:bookmarkStart w:id="443" w:name="_Toc164608806"/>
      <w:bookmarkStart w:id="444" w:name="_Toc151193779"/>
      <w:bookmarkStart w:id="445" w:name="_Toc151193925"/>
      <w:bookmarkStart w:id="446" w:name="_Toc150480775"/>
      <w:bookmarkStart w:id="447" w:name="_Toc195842902"/>
      <w:bookmarkStart w:id="448" w:name="_Toc151193851"/>
      <w:bookmarkStart w:id="449" w:name="_Toc226965810"/>
      <w:bookmarkStart w:id="450" w:name="_Toc520356162"/>
      <w:bookmarkStart w:id="451" w:name="_Toc164229378"/>
      <w:r>
        <w:rPr>
          <w:rFonts w:ascii="宋体" w:hAnsi="宋体"/>
          <w:color w:val="auto"/>
          <w:sz w:val="24"/>
        </w:rPr>
        <w:t>响应文件的修改与撤回</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6288E5E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提交响应文件截止时间前，供应商可以通过</w:t>
      </w:r>
      <w:r>
        <w:rPr>
          <w:rFonts w:hint="eastAsia" w:ascii="宋体" w:hAnsi="宋体"/>
          <w:color w:val="auto"/>
          <w:sz w:val="24"/>
        </w:rPr>
        <w:t>北京市政府采购电子交易平台</w:t>
      </w:r>
      <w:r>
        <w:rPr>
          <w:rFonts w:ascii="宋体" w:hAnsi="宋体"/>
          <w:color w:val="auto"/>
          <w:sz w:val="24"/>
        </w:rPr>
        <w:t>对所提交的响应文件进行补充、修改或者撤回。</w:t>
      </w:r>
      <w:r>
        <w:rPr>
          <w:rFonts w:hint="eastAsia" w:ascii="宋体" w:hAnsi="宋体"/>
          <w:color w:val="auto"/>
          <w:sz w:val="24"/>
        </w:rPr>
        <w:t>磋商保证金的补充、修改或者撤回无需通过电子交易平台，但应就其补充、修改或者撤回通知采购人或采购代理机构。</w:t>
      </w:r>
    </w:p>
    <w:p w14:paraId="38E9B7EC">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供应商对响应文件的补充、修改的内容应当按照竞争性磋商文件要求签署、盖章，作为响应文件的组成部分。</w:t>
      </w:r>
      <w:r>
        <w:rPr>
          <w:rFonts w:ascii="宋体" w:hAnsi="宋体"/>
          <w:color w:val="auto"/>
          <w:kern w:val="0"/>
          <w:sz w:val="24"/>
        </w:rPr>
        <w:t>补充、修改的内容与响应文件不一致的，以补充、修改的内容为准。</w:t>
      </w:r>
    </w:p>
    <w:p w14:paraId="7941B81D">
      <w:pPr>
        <w:pStyle w:val="3"/>
        <w:spacing w:before="0" w:line="360" w:lineRule="auto"/>
        <w:rPr>
          <w:rFonts w:hint="eastAsia" w:ascii="宋体" w:hAnsi="宋体" w:eastAsia="宋体"/>
          <w:color w:val="auto"/>
          <w:sz w:val="28"/>
        </w:rPr>
      </w:pPr>
      <w:bookmarkStart w:id="452" w:name="_Toc151190165"/>
      <w:bookmarkStart w:id="453" w:name="_Toc151193852"/>
      <w:bookmarkStart w:id="454" w:name="_Toc151193780"/>
      <w:bookmarkStart w:id="455" w:name="_Toc151193636"/>
      <w:bookmarkStart w:id="456" w:name="_Toc150509289"/>
      <w:bookmarkStart w:id="457" w:name="_Toc151193708"/>
      <w:bookmarkStart w:id="458" w:name="_Toc265228376"/>
      <w:bookmarkStart w:id="459" w:name="_Toc226337234"/>
      <w:bookmarkStart w:id="460" w:name="_Toc226965811"/>
      <w:bookmarkStart w:id="461" w:name="_Toc264969228"/>
      <w:bookmarkStart w:id="462" w:name="_Toc195842903"/>
      <w:bookmarkStart w:id="463" w:name="_Toc305158880"/>
      <w:bookmarkStart w:id="464" w:name="_Toc150480776"/>
      <w:bookmarkStart w:id="465" w:name="_Toc226309782"/>
      <w:bookmarkStart w:id="466" w:name="_Toc520356163"/>
      <w:bookmarkStart w:id="467" w:name="_Toc127151538"/>
      <w:bookmarkStart w:id="468" w:name="_Toc150774743"/>
      <w:bookmarkStart w:id="469" w:name="_Toc150774638"/>
      <w:bookmarkStart w:id="470" w:name="_Toc142311040"/>
      <w:bookmarkStart w:id="471" w:name="_Toc151193926"/>
      <w:bookmarkStart w:id="472" w:name="_Toc305158806"/>
      <w:bookmarkStart w:id="473" w:name="_Toc226965728"/>
      <w:r>
        <w:rPr>
          <w:rFonts w:ascii="宋体" w:hAnsi="宋体" w:eastAsia="宋体"/>
          <w:color w:val="auto"/>
          <w:sz w:val="28"/>
        </w:rPr>
        <w:t xml:space="preserve">五   </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ascii="宋体" w:hAnsi="宋体" w:eastAsia="宋体"/>
          <w:color w:val="auto"/>
          <w:sz w:val="28"/>
        </w:rPr>
        <w:t>评审</w:t>
      </w:r>
    </w:p>
    <w:p w14:paraId="69413980">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响应文件的</w:t>
      </w:r>
      <w:r>
        <w:rPr>
          <w:rFonts w:hint="eastAsia" w:ascii="宋体" w:hAnsi="宋体"/>
          <w:color w:val="auto"/>
          <w:sz w:val="24"/>
        </w:rPr>
        <w:t>解密与</w:t>
      </w:r>
      <w:r>
        <w:rPr>
          <w:rFonts w:ascii="宋体" w:hAnsi="宋体"/>
          <w:color w:val="auto"/>
          <w:sz w:val="24"/>
        </w:rPr>
        <w:t>开启</w:t>
      </w:r>
    </w:p>
    <w:p w14:paraId="0647E53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采购人或采购代理机构将按竞争性磋商文件的规定，在响应文件提交截止时间的同一时间和竞争性磋商文件预先确定的地点开启响应文件。</w:t>
      </w:r>
    </w:p>
    <w:p w14:paraId="0F30BF7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本</w:t>
      </w:r>
      <w:r>
        <w:rPr>
          <w:rFonts w:hint="eastAsia" w:ascii="宋体" w:hAnsi="宋体"/>
          <w:color w:val="auto"/>
          <w:sz w:val="24"/>
        </w:rPr>
        <w:t>项目解密使用北京市政府采购电子交易平台。供应商应在《供应商须知资料表》规定的时间内对响应文件进行解密，因非系统原因导致的解密失败，视为无效响应。</w:t>
      </w:r>
    </w:p>
    <w:p w14:paraId="5C2E7F0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ECB922B">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供应商不足</w:t>
      </w:r>
      <w:r>
        <w:rPr>
          <w:rFonts w:hint="eastAsia" w:ascii="宋体" w:hAnsi="宋体"/>
          <w:color w:val="auto"/>
          <w:sz w:val="24"/>
        </w:rPr>
        <w:t>3</w:t>
      </w:r>
      <w:r>
        <w:rPr>
          <w:rFonts w:ascii="宋体" w:hAnsi="宋体"/>
          <w:color w:val="auto"/>
          <w:sz w:val="24"/>
        </w:rPr>
        <w:t>家的，不予解密。</w:t>
      </w:r>
    </w:p>
    <w:p w14:paraId="62B37407">
      <w:pPr>
        <w:numPr>
          <w:ilvl w:val="1"/>
          <w:numId w:val="8"/>
        </w:numPr>
        <w:tabs>
          <w:tab w:val="left" w:pos="1080"/>
          <w:tab w:val="left" w:pos="2014"/>
        </w:tabs>
        <w:snapToGrid w:val="0"/>
        <w:spacing w:line="360" w:lineRule="auto"/>
        <w:ind w:left="1077" w:hanging="720"/>
        <w:rPr>
          <w:rFonts w:hint="eastAsia" w:ascii="宋体" w:hAnsi="宋体"/>
          <w:color w:val="auto"/>
          <w:sz w:val="24"/>
        </w:rPr>
      </w:pPr>
      <w:bookmarkStart w:id="474" w:name="_Toc520356165"/>
      <w:r>
        <w:rPr>
          <w:rFonts w:ascii="宋体" w:hAnsi="宋体"/>
          <w:color w:val="auto"/>
          <w:sz w:val="24"/>
        </w:rPr>
        <w:t>本项目不公开报价。</w:t>
      </w:r>
    </w:p>
    <w:bookmarkEnd w:id="474"/>
    <w:p w14:paraId="19772CDA">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磋商小组</w:t>
      </w:r>
    </w:p>
    <w:p w14:paraId="0C0067C9">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磋商小组根据政府采购有关规定和本次采购项目的特点进行组建，</w:t>
      </w:r>
      <w:r>
        <w:rPr>
          <w:rFonts w:hint="eastAsia" w:ascii="宋体" w:hAnsi="宋体"/>
          <w:color w:val="auto"/>
          <w:sz w:val="24"/>
        </w:rPr>
        <w:t>并负责具体评审与磋商事务</w:t>
      </w:r>
      <w:r>
        <w:rPr>
          <w:rFonts w:ascii="宋体" w:hAnsi="宋体"/>
          <w:color w:val="auto"/>
          <w:sz w:val="24"/>
        </w:rPr>
        <w:t>，独立履行职责。</w:t>
      </w:r>
      <w:bookmarkStart w:id="475" w:name="_Toc520356166"/>
    </w:p>
    <w:p w14:paraId="069A538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75"/>
      <w:bookmarkStart w:id="476" w:name="_Toc520356169"/>
    </w:p>
    <w:p w14:paraId="69831CC9">
      <w:pPr>
        <w:numPr>
          <w:ilvl w:val="0"/>
          <w:numId w:val="8"/>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65F43471">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见第三章《评审方法和评审标准》。</w:t>
      </w:r>
    </w:p>
    <w:p w14:paraId="648CC2B1">
      <w:pPr>
        <w:pStyle w:val="3"/>
        <w:spacing w:before="0" w:line="360" w:lineRule="auto"/>
        <w:rPr>
          <w:rFonts w:hint="eastAsia" w:ascii="宋体" w:hAnsi="宋体" w:eastAsia="宋体"/>
          <w:color w:val="auto"/>
          <w:sz w:val="28"/>
        </w:rPr>
      </w:pPr>
      <w:bookmarkStart w:id="477" w:name="_Toc226309789"/>
      <w:bookmarkStart w:id="478" w:name="_Toc264969235"/>
      <w:bookmarkStart w:id="479" w:name="_Toc226965735"/>
      <w:bookmarkStart w:id="480" w:name="_Toc142311047"/>
      <w:bookmarkStart w:id="481" w:name="_Toc305158887"/>
      <w:bookmarkStart w:id="482" w:name="_Toc265228383"/>
      <w:bookmarkStart w:id="483" w:name="_Toc127151545"/>
      <w:bookmarkStart w:id="484" w:name="_Toc151193859"/>
      <w:bookmarkStart w:id="485" w:name="_Toc226337241"/>
      <w:bookmarkStart w:id="486" w:name="_Toc150480783"/>
      <w:bookmarkStart w:id="487" w:name="_Toc226965818"/>
      <w:bookmarkStart w:id="488" w:name="_Toc151190172"/>
      <w:bookmarkStart w:id="489" w:name="_Toc151193933"/>
      <w:bookmarkStart w:id="490" w:name="_Toc151193715"/>
      <w:bookmarkStart w:id="491" w:name="_Toc305158813"/>
      <w:bookmarkStart w:id="492" w:name="_Toc151193643"/>
      <w:bookmarkStart w:id="493" w:name="_Toc150509296"/>
      <w:bookmarkStart w:id="494" w:name="_Toc195842910"/>
      <w:bookmarkStart w:id="495" w:name="_Toc151193787"/>
      <w:bookmarkStart w:id="496" w:name="_Toc150774645"/>
      <w:bookmarkStart w:id="497" w:name="_Toc150774750"/>
      <w:r>
        <w:rPr>
          <w:rFonts w:ascii="宋体" w:hAnsi="宋体" w:eastAsia="宋体"/>
          <w:color w:val="auto"/>
          <w:sz w:val="28"/>
        </w:rPr>
        <w:t xml:space="preserve">六   </w:t>
      </w:r>
      <w:bookmarkEnd w:id="476"/>
      <w:r>
        <w:rPr>
          <w:rFonts w:ascii="宋体" w:hAnsi="宋体" w:eastAsia="宋体"/>
          <w:color w:val="auto"/>
          <w:sz w:val="28"/>
        </w:rPr>
        <w:t>确定</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r>
        <w:rPr>
          <w:rFonts w:ascii="宋体" w:hAnsi="宋体" w:eastAsia="宋体"/>
          <w:color w:val="auto"/>
          <w:sz w:val="28"/>
        </w:rPr>
        <w:t>成交</w:t>
      </w:r>
    </w:p>
    <w:p w14:paraId="0715F2DF">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498" w:name="_Toc226309791"/>
      <w:bookmarkStart w:id="499" w:name="_Toc127161461"/>
      <w:bookmarkStart w:id="500" w:name="_Toc226337243"/>
      <w:bookmarkStart w:id="501" w:name="_Toc265228385"/>
      <w:bookmarkStart w:id="502" w:name="_Toc150774752"/>
      <w:bookmarkStart w:id="503" w:name="_Toc151193717"/>
      <w:bookmarkStart w:id="504" w:name="_Toc127151547"/>
      <w:bookmarkStart w:id="505" w:name="_Toc305158889"/>
      <w:bookmarkStart w:id="506" w:name="_Toc149720840"/>
      <w:bookmarkStart w:id="507" w:name="_Toc150480785"/>
      <w:bookmarkStart w:id="508" w:name="_Toc164229388"/>
      <w:bookmarkStart w:id="509" w:name="_Toc151193789"/>
      <w:bookmarkStart w:id="510" w:name="_Toc164229242"/>
      <w:bookmarkStart w:id="511" w:name="_Toc164351641"/>
      <w:bookmarkStart w:id="512" w:name="_Toc151193645"/>
      <w:bookmarkStart w:id="513" w:name="_Toc164608661"/>
      <w:bookmarkStart w:id="514" w:name="_Toc164608816"/>
      <w:bookmarkStart w:id="515" w:name="_Toc195842912"/>
      <w:bookmarkStart w:id="516" w:name="_Toc151193861"/>
      <w:bookmarkStart w:id="517" w:name="_Toc226965737"/>
      <w:bookmarkStart w:id="518" w:name="_Toc127151748"/>
      <w:bookmarkStart w:id="519" w:name="_Toc142311049"/>
      <w:bookmarkStart w:id="520" w:name="_Toc151193935"/>
      <w:bookmarkStart w:id="521" w:name="_Toc264969237"/>
      <w:bookmarkStart w:id="522" w:name="_Toc150509298"/>
      <w:bookmarkStart w:id="523" w:name="_Toc226965820"/>
      <w:bookmarkStart w:id="524" w:name="_Toc305158815"/>
      <w:bookmarkStart w:id="525" w:name="_Toc151190174"/>
      <w:bookmarkStart w:id="526" w:name="_Toc150774647"/>
      <w:r>
        <w:rPr>
          <w:rFonts w:ascii="宋体" w:hAnsi="宋体"/>
          <w:color w:val="auto"/>
          <w:sz w:val="24"/>
        </w:rPr>
        <w:t>确定成交供应商</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7012FE1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采购人将在收到评审报告后，从评审报告提出的成交候选供应商中，按照排序由高到低的原则确定成交供应商</w:t>
      </w:r>
      <w:r>
        <w:rPr>
          <w:rFonts w:hint="eastAsia" w:ascii="宋体" w:hAnsi="宋体"/>
          <w:color w:val="auto"/>
          <w:sz w:val="24"/>
        </w:rPr>
        <w:t>。</w:t>
      </w:r>
      <w:r>
        <w:rPr>
          <w:rFonts w:ascii="宋体" w:hAnsi="宋体"/>
          <w:color w:val="auto"/>
          <w:sz w:val="24"/>
        </w:rPr>
        <w:t>采购人是否授权</w:t>
      </w:r>
      <w:r>
        <w:rPr>
          <w:rFonts w:hint="eastAsia" w:ascii="宋体" w:hAnsi="宋体"/>
          <w:color w:val="auto"/>
          <w:sz w:val="24"/>
        </w:rPr>
        <w:t>磋商</w:t>
      </w:r>
      <w:r>
        <w:rPr>
          <w:rFonts w:ascii="宋体" w:hAnsi="宋体"/>
          <w:color w:val="auto"/>
          <w:sz w:val="24"/>
        </w:rPr>
        <w:t>小组直接确定成交供应商，见《供应商须知资料表》。成交候选人并列的，按照《供应商须知资料表》要求确定成交供应商。</w:t>
      </w:r>
    </w:p>
    <w:p w14:paraId="23A9E70F">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527" w:name="_Toc305158817"/>
      <w:bookmarkStart w:id="528" w:name="_Toc305158891"/>
      <w:bookmarkStart w:id="529" w:name="_Toc265228387"/>
      <w:bookmarkStart w:id="530" w:name="_Toc151193647"/>
      <w:bookmarkStart w:id="531" w:name="_Toc151193937"/>
      <w:bookmarkStart w:id="532" w:name="_Toc151193791"/>
      <w:bookmarkStart w:id="533" w:name="_Toc226965739"/>
      <w:bookmarkStart w:id="534" w:name="_Toc226965822"/>
      <w:bookmarkStart w:id="535" w:name="_Toc127151549"/>
      <w:bookmarkStart w:id="536" w:name="_Toc150480787"/>
      <w:bookmarkStart w:id="537" w:name="_Toc151193863"/>
      <w:bookmarkStart w:id="538" w:name="_Toc127161463"/>
      <w:bookmarkStart w:id="539" w:name="_Toc149720842"/>
      <w:bookmarkStart w:id="540" w:name="_Toc151193719"/>
      <w:bookmarkStart w:id="541" w:name="_Toc142311051"/>
      <w:bookmarkStart w:id="542" w:name="_Toc164608818"/>
      <w:bookmarkStart w:id="543" w:name="_Toc164229390"/>
      <w:bookmarkStart w:id="544" w:name="_Toc195842914"/>
      <w:bookmarkStart w:id="545" w:name="_Toc226309793"/>
      <w:bookmarkStart w:id="546" w:name="_Toc151190176"/>
      <w:bookmarkStart w:id="547" w:name="_Toc150774754"/>
      <w:bookmarkStart w:id="548" w:name="_Toc164229244"/>
      <w:bookmarkStart w:id="549" w:name="_Toc264969239"/>
      <w:bookmarkStart w:id="550" w:name="_Toc150509300"/>
      <w:bookmarkStart w:id="551" w:name="_Toc127151750"/>
      <w:bookmarkStart w:id="552" w:name="_Toc150774649"/>
      <w:bookmarkStart w:id="553" w:name="_Toc226337245"/>
      <w:bookmarkStart w:id="554" w:name="_Toc164351643"/>
      <w:bookmarkStart w:id="555" w:name="_Toc164608663"/>
      <w:bookmarkStart w:id="556" w:name="_Toc520356176"/>
      <w:bookmarkStart w:id="557" w:name="_Ref467307090"/>
      <w:bookmarkStart w:id="558" w:name="_Ref467306425"/>
      <w:r>
        <w:rPr>
          <w:rFonts w:ascii="宋体" w:hAnsi="宋体"/>
          <w:color w:val="auto"/>
          <w:sz w:val="24"/>
        </w:rPr>
        <w:t>成交公告与成交通知书</w:t>
      </w:r>
      <w:bookmarkEnd w:id="527"/>
      <w:bookmarkEnd w:id="528"/>
    </w:p>
    <w:p w14:paraId="4812014A">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采购人或采购代理机构将</w:t>
      </w:r>
      <w:r>
        <w:rPr>
          <w:rFonts w:ascii="宋体" w:hAnsi="宋体"/>
          <w:color w:val="auto"/>
          <w:kern w:val="0"/>
          <w:sz w:val="24"/>
        </w:rPr>
        <w:t>在成交供应商确定后2个工作日内，在</w:t>
      </w:r>
      <w:r>
        <w:rPr>
          <w:rFonts w:hint="eastAsia" w:ascii="宋体" w:hAnsi="宋体"/>
          <w:color w:val="auto"/>
          <w:sz w:val="24"/>
        </w:rPr>
        <w:t>北京市政府采购网</w:t>
      </w:r>
      <w:r>
        <w:rPr>
          <w:rFonts w:ascii="宋体" w:hAnsi="宋体"/>
          <w:color w:val="auto"/>
          <w:kern w:val="0"/>
          <w:sz w:val="24"/>
        </w:rPr>
        <w:t>公告成交结果，同时向成交供应商发出成交通知书，</w:t>
      </w:r>
      <w:r>
        <w:rPr>
          <w:rFonts w:ascii="宋体" w:hAnsi="宋体"/>
          <w:color w:val="auto"/>
          <w:sz w:val="24"/>
        </w:rPr>
        <w:t>成交公告期限为1个工作日。</w:t>
      </w:r>
    </w:p>
    <w:p w14:paraId="75C861BA">
      <w:pPr>
        <w:numPr>
          <w:ilvl w:val="1"/>
          <w:numId w:val="8"/>
        </w:numPr>
        <w:tabs>
          <w:tab w:val="left" w:pos="1080"/>
          <w:tab w:val="left" w:pos="2014"/>
        </w:tabs>
        <w:snapToGrid w:val="0"/>
        <w:spacing w:line="360" w:lineRule="auto"/>
        <w:ind w:left="1080" w:hanging="720"/>
        <w:rPr>
          <w:rFonts w:hint="eastAsia" w:ascii="宋体" w:hAnsi="宋体"/>
          <w:color w:val="auto"/>
          <w:sz w:val="24"/>
        </w:rPr>
      </w:pPr>
      <w:r>
        <w:rPr>
          <w:rFonts w:ascii="宋体" w:hAnsi="宋体"/>
          <w:color w:val="auto"/>
          <w:sz w:val="24"/>
        </w:rPr>
        <w:t>成交通知书对采购人和成交供应商均具有法律效力。成交通知书发出后，采购人改变成交结果的，或者成交供应商放弃成交项目的，应当依法承担法律责任</w:t>
      </w:r>
      <w:r>
        <w:rPr>
          <w:rFonts w:hint="eastAsia" w:ascii="宋体" w:hAnsi="宋体"/>
          <w:color w:val="auto"/>
          <w:sz w:val="24"/>
        </w:rPr>
        <w:t>。</w:t>
      </w:r>
    </w:p>
    <w:p w14:paraId="235A015A">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终止</w:t>
      </w:r>
    </w:p>
    <w:p w14:paraId="4EF2990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出现下列情形之一的，采购人或采购代理机构将终止竞争性磋商采购活动，发布项目终止公告并说明原因，重新开展采购活动：</w:t>
      </w:r>
    </w:p>
    <w:p w14:paraId="4BE4CE39">
      <w:pPr>
        <w:numPr>
          <w:ilvl w:val="2"/>
          <w:numId w:val="8"/>
        </w:numPr>
        <w:snapToGrid w:val="0"/>
        <w:spacing w:line="360" w:lineRule="auto"/>
        <w:rPr>
          <w:rFonts w:hint="eastAsia" w:ascii="宋体" w:hAnsi="宋体"/>
          <w:color w:val="auto"/>
          <w:sz w:val="24"/>
        </w:rPr>
      </w:pPr>
      <w:r>
        <w:rPr>
          <w:rFonts w:ascii="宋体" w:hAnsi="宋体"/>
          <w:color w:val="auto"/>
          <w:sz w:val="24"/>
        </w:rPr>
        <w:t>因情况变化，不再符合规定的竞争性磋商采购方式适用情形的；</w:t>
      </w:r>
    </w:p>
    <w:p w14:paraId="23C83B26">
      <w:pPr>
        <w:numPr>
          <w:ilvl w:val="2"/>
          <w:numId w:val="8"/>
        </w:numPr>
        <w:snapToGrid w:val="0"/>
        <w:spacing w:line="360" w:lineRule="auto"/>
        <w:rPr>
          <w:rFonts w:hint="eastAsia" w:ascii="宋体" w:hAnsi="宋体"/>
          <w:color w:val="auto"/>
          <w:sz w:val="24"/>
        </w:rPr>
      </w:pPr>
      <w:r>
        <w:rPr>
          <w:rFonts w:ascii="宋体" w:hAnsi="宋体"/>
          <w:color w:val="auto"/>
          <w:sz w:val="24"/>
        </w:rPr>
        <w:t>出现影响采购公正的违法、违规行为的；</w:t>
      </w:r>
    </w:p>
    <w:p w14:paraId="5391DD7F">
      <w:pPr>
        <w:numPr>
          <w:ilvl w:val="2"/>
          <w:numId w:val="8"/>
        </w:numPr>
        <w:snapToGrid w:val="0"/>
        <w:spacing w:line="360" w:lineRule="auto"/>
        <w:rPr>
          <w:rFonts w:hint="eastAsia" w:ascii="宋体" w:hAnsi="宋体"/>
          <w:color w:val="auto"/>
          <w:sz w:val="24"/>
        </w:rPr>
      </w:pPr>
      <w:r>
        <w:rPr>
          <w:rFonts w:ascii="宋体" w:hAnsi="宋体"/>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14:paraId="1DEB2FEC">
      <w:pPr>
        <w:numPr>
          <w:ilvl w:val="0"/>
          <w:numId w:val="8"/>
        </w:numPr>
        <w:tabs>
          <w:tab w:val="left" w:pos="360"/>
        </w:tabs>
        <w:snapToGrid w:val="0"/>
        <w:spacing w:line="360" w:lineRule="auto"/>
        <w:ind w:left="357" w:hanging="357"/>
        <w:outlineLvl w:val="1"/>
        <w:rPr>
          <w:rFonts w:hint="eastAsia" w:ascii="宋体" w:hAnsi="宋体"/>
          <w:color w:val="auto"/>
          <w:sz w:val="24"/>
        </w:rPr>
      </w:pPr>
      <w:bookmarkStart w:id="559" w:name="_Toc305158818"/>
      <w:bookmarkStart w:id="560" w:name="_Toc226965823"/>
      <w:bookmarkStart w:id="561" w:name="_Toc127151550"/>
      <w:bookmarkStart w:id="562" w:name="_Toc520356175"/>
      <w:bookmarkStart w:id="563" w:name="_Toc151193792"/>
      <w:bookmarkStart w:id="564" w:name="_Ref467306377"/>
      <w:bookmarkStart w:id="565" w:name="_Toc150774755"/>
      <w:bookmarkStart w:id="566" w:name="_Toc164608819"/>
      <w:bookmarkStart w:id="567" w:name="_Toc151190177"/>
      <w:bookmarkStart w:id="568" w:name="_Toc305158892"/>
      <w:bookmarkStart w:id="569" w:name="_Toc149720843"/>
      <w:bookmarkStart w:id="570" w:name="_Toc226965740"/>
      <w:bookmarkStart w:id="571" w:name="_Toc127161464"/>
      <w:bookmarkStart w:id="572" w:name="_Toc151193864"/>
      <w:bookmarkStart w:id="573" w:name="_Toc226337246"/>
      <w:bookmarkStart w:id="574" w:name="_Toc151193720"/>
      <w:bookmarkStart w:id="575" w:name="_Toc142311052"/>
      <w:bookmarkStart w:id="576" w:name="_Toc164229245"/>
      <w:bookmarkStart w:id="577" w:name="_Toc226309794"/>
      <w:bookmarkStart w:id="578" w:name="_Toc150480788"/>
      <w:bookmarkStart w:id="579" w:name="_Toc150774650"/>
      <w:bookmarkStart w:id="580" w:name="_Ref467307204"/>
      <w:bookmarkStart w:id="581" w:name="_Toc164229391"/>
      <w:bookmarkStart w:id="582" w:name="_Toc164608664"/>
      <w:bookmarkStart w:id="583" w:name="_Toc127151751"/>
      <w:bookmarkStart w:id="584" w:name="_Toc265228388"/>
      <w:bookmarkStart w:id="585" w:name="_Ref467306978"/>
      <w:bookmarkStart w:id="586" w:name="_Toc151193648"/>
      <w:bookmarkStart w:id="587" w:name="_Ref467307062"/>
      <w:bookmarkStart w:id="588" w:name="_Toc150509301"/>
      <w:bookmarkStart w:id="589" w:name="_Toc264969240"/>
      <w:bookmarkStart w:id="590" w:name="_Toc164351644"/>
      <w:bookmarkStart w:id="591" w:name="_Toc195842915"/>
      <w:bookmarkStart w:id="592" w:name="_Toc151193938"/>
      <w:r>
        <w:rPr>
          <w:rFonts w:ascii="宋体" w:hAnsi="宋体"/>
          <w:color w:val="auto"/>
          <w:sz w:val="24"/>
        </w:rPr>
        <w:t>签订合同</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629A41F4">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采购人与成交供应商将在成交通知书发出之日起30日内，按照磋商文件确定的合同文本以及采购标的、规格型号、采购金额、采购数量、技术和服务要求等事项签订政府采购合同。</w:t>
      </w:r>
    </w:p>
    <w:p w14:paraId="52E129F2">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3130FDE">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联合体成交的，联合体各方应当共同与采购人签订合同，就采购合同约定的事项向采购人承担连带责任。</w:t>
      </w:r>
    </w:p>
    <w:p w14:paraId="2D548128">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政府采购合同不能转包。</w:t>
      </w:r>
    </w:p>
    <w:p w14:paraId="1DEB9647">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采购人允许采用分包方式履行合同的，成交供应商可以依法采取分包方式履行合同。本项目</w:t>
      </w:r>
      <w:r>
        <w:rPr>
          <w:rFonts w:hint="eastAsia" w:ascii="宋体" w:hAnsi="宋体"/>
          <w:color w:val="auto"/>
          <w:sz w:val="24"/>
        </w:rPr>
        <w:t>是</w:t>
      </w:r>
      <w:r>
        <w:rPr>
          <w:rFonts w:ascii="宋体" w:hAnsi="宋体"/>
          <w:color w:val="auto"/>
          <w:sz w:val="24"/>
        </w:rPr>
        <w:t>否允许分包，见《供应商须知资料表》。政府采购合同分包履行的，应当在响应文件中载明分包承担主体，分包承担主体应当具备相应资质条件且不得再次分包，</w:t>
      </w:r>
      <w:r>
        <w:rPr>
          <w:rFonts w:ascii="宋体" w:hAnsi="宋体"/>
          <w:b/>
          <w:color w:val="auto"/>
          <w:sz w:val="24"/>
        </w:rPr>
        <w:t>否则响应无效</w:t>
      </w:r>
      <w:r>
        <w:rPr>
          <w:rFonts w:ascii="宋体" w:hAnsi="宋体"/>
          <w:color w:val="auto"/>
          <w:sz w:val="24"/>
        </w:rPr>
        <w:t>。成交供应商就采购项目和分包项目向采购人负责，分包供应商就分包项目承担责任。</w:t>
      </w:r>
    </w:p>
    <w:p w14:paraId="71F0E4DA">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hint="eastAsia" w:ascii="宋体" w:hAnsi="宋体"/>
          <w:color w:val="auto"/>
          <w:sz w:val="24"/>
        </w:rPr>
        <w:t>“政采贷”融资指引：详见《供应商须知资料表》。</w:t>
      </w:r>
    </w:p>
    <w:bookmarkEnd w:id="556"/>
    <w:bookmarkEnd w:id="557"/>
    <w:bookmarkEnd w:id="558"/>
    <w:p w14:paraId="41886ED7">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询问与质疑</w:t>
      </w:r>
    </w:p>
    <w:p w14:paraId="2A10FA76">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询问</w:t>
      </w:r>
    </w:p>
    <w:p w14:paraId="686537DD">
      <w:pPr>
        <w:numPr>
          <w:ilvl w:val="2"/>
          <w:numId w:val="8"/>
        </w:numPr>
        <w:snapToGrid w:val="0"/>
        <w:spacing w:line="360" w:lineRule="auto"/>
        <w:rPr>
          <w:rFonts w:hint="eastAsia" w:ascii="宋体" w:hAnsi="宋体"/>
          <w:color w:val="auto"/>
          <w:sz w:val="24"/>
        </w:rPr>
      </w:pPr>
      <w:r>
        <w:rPr>
          <w:rFonts w:hint="eastAsia" w:ascii="宋体" w:hAnsi="宋体"/>
          <w:color w:val="auto"/>
          <w:sz w:val="24"/>
        </w:rPr>
        <w:t>供应商对政府采购活动事项有疑问的，可依法向采购人或采购代理机构提出询问，提出形式见《供应商须知资料表》。</w:t>
      </w:r>
    </w:p>
    <w:p w14:paraId="0E1CFF91">
      <w:pPr>
        <w:numPr>
          <w:ilvl w:val="2"/>
          <w:numId w:val="8"/>
        </w:numPr>
        <w:snapToGrid w:val="0"/>
        <w:spacing w:line="360" w:lineRule="auto"/>
        <w:rPr>
          <w:rFonts w:hint="eastAsia" w:ascii="宋体" w:hAnsi="宋体"/>
          <w:color w:val="auto"/>
          <w:sz w:val="24"/>
        </w:rPr>
      </w:pPr>
      <w:r>
        <w:rPr>
          <w:rFonts w:ascii="宋体" w:hAnsi="宋体"/>
          <w:color w:val="auto"/>
          <w:sz w:val="24"/>
        </w:rPr>
        <w:t>采购人或采购代理机构对供应商依法提出的询问，在3个工作日内作出答复，但答复的内容不得涉及商业秘密。</w:t>
      </w:r>
    </w:p>
    <w:p w14:paraId="09850ED5">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质疑</w:t>
      </w:r>
    </w:p>
    <w:p w14:paraId="5096BAD9">
      <w:pPr>
        <w:numPr>
          <w:ilvl w:val="2"/>
          <w:numId w:val="8"/>
        </w:numPr>
        <w:tabs>
          <w:tab w:val="left" w:pos="1985"/>
          <w:tab w:val="clear" w:pos="1980"/>
        </w:tabs>
        <w:snapToGrid w:val="0"/>
        <w:spacing w:line="360" w:lineRule="auto"/>
        <w:rPr>
          <w:rFonts w:hint="eastAsia" w:ascii="宋体" w:hAnsi="宋体"/>
          <w:color w:val="auto"/>
          <w:sz w:val="24"/>
        </w:rPr>
      </w:pPr>
      <w:r>
        <w:rPr>
          <w:rFonts w:ascii="宋体" w:hAnsi="宋体"/>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418AFCE2">
      <w:pPr>
        <w:numPr>
          <w:ilvl w:val="2"/>
          <w:numId w:val="8"/>
        </w:numPr>
        <w:snapToGrid w:val="0"/>
        <w:spacing w:line="360" w:lineRule="auto"/>
        <w:rPr>
          <w:rFonts w:hint="eastAsia" w:ascii="宋体" w:hAnsi="宋体"/>
          <w:color w:val="auto"/>
          <w:sz w:val="24"/>
        </w:rPr>
      </w:pPr>
      <w:r>
        <w:rPr>
          <w:rFonts w:ascii="宋体" w:hAnsi="宋体"/>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0C145314">
      <w:pPr>
        <w:numPr>
          <w:ilvl w:val="2"/>
          <w:numId w:val="8"/>
        </w:numPr>
        <w:snapToGrid w:val="0"/>
        <w:spacing w:line="360" w:lineRule="auto"/>
        <w:rPr>
          <w:rFonts w:hint="eastAsia" w:ascii="宋体" w:hAnsi="宋体"/>
          <w:color w:val="auto"/>
          <w:sz w:val="24"/>
        </w:rPr>
      </w:pPr>
      <w:r>
        <w:rPr>
          <w:rFonts w:hint="eastAsia" w:ascii="宋体" w:hAnsi="宋体"/>
          <w:color w:val="auto"/>
          <w:sz w:val="24"/>
        </w:rPr>
        <w:t>供应商委托代理人进行质疑的，应当随质疑函同时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2C3EC1A">
      <w:pPr>
        <w:numPr>
          <w:ilvl w:val="2"/>
          <w:numId w:val="8"/>
        </w:numPr>
        <w:snapToGrid w:val="0"/>
        <w:spacing w:line="360" w:lineRule="auto"/>
        <w:rPr>
          <w:rFonts w:hint="eastAsia" w:ascii="宋体" w:hAnsi="宋体"/>
          <w:color w:val="auto"/>
          <w:sz w:val="24"/>
        </w:rPr>
      </w:pPr>
      <w:r>
        <w:rPr>
          <w:rFonts w:ascii="宋体" w:hAnsi="宋体"/>
          <w:color w:val="auto"/>
          <w:sz w:val="24"/>
        </w:rPr>
        <w:t>供应商应在法定质疑期内一次性提出针对同一采购程序环节的质疑，法定质疑期内针对同一采购程序环节再次提出的质疑，采购人、采购代理机构有权不予答复。</w:t>
      </w:r>
    </w:p>
    <w:p w14:paraId="31456003">
      <w:pPr>
        <w:numPr>
          <w:ilvl w:val="1"/>
          <w:numId w:val="8"/>
        </w:numPr>
        <w:tabs>
          <w:tab w:val="left" w:pos="1080"/>
          <w:tab w:val="left" w:pos="2014"/>
        </w:tabs>
        <w:snapToGrid w:val="0"/>
        <w:spacing w:line="360" w:lineRule="auto"/>
        <w:ind w:left="1077" w:hanging="720"/>
        <w:rPr>
          <w:rFonts w:hint="eastAsia" w:ascii="宋体" w:hAnsi="宋体"/>
          <w:color w:val="auto"/>
          <w:sz w:val="24"/>
        </w:rPr>
      </w:pPr>
      <w:r>
        <w:rPr>
          <w:rFonts w:ascii="宋体" w:hAnsi="宋体"/>
          <w:color w:val="auto"/>
          <w:sz w:val="24"/>
        </w:rPr>
        <w:t>接收询问和质疑的联系部门、联系电话和通讯地址见《供应商须知资料表》</w:t>
      </w:r>
      <w:r>
        <w:rPr>
          <w:rFonts w:hint="eastAsia" w:ascii="宋体" w:hAnsi="宋体"/>
          <w:color w:val="auto"/>
          <w:sz w:val="24"/>
        </w:rPr>
        <w:t>。</w:t>
      </w:r>
    </w:p>
    <w:p w14:paraId="4D812045">
      <w:pPr>
        <w:numPr>
          <w:ilvl w:val="0"/>
          <w:numId w:val="8"/>
        </w:numPr>
        <w:tabs>
          <w:tab w:val="left" w:pos="360"/>
        </w:tabs>
        <w:snapToGrid w:val="0"/>
        <w:spacing w:line="360" w:lineRule="auto"/>
        <w:ind w:left="357" w:hanging="357"/>
        <w:outlineLvl w:val="1"/>
        <w:rPr>
          <w:rFonts w:hint="eastAsia" w:ascii="宋体" w:hAnsi="宋体"/>
          <w:color w:val="auto"/>
          <w:sz w:val="24"/>
        </w:rPr>
      </w:pPr>
      <w:r>
        <w:rPr>
          <w:rFonts w:ascii="宋体" w:hAnsi="宋体"/>
          <w:color w:val="auto"/>
          <w:sz w:val="24"/>
        </w:rPr>
        <w:t>代理费</w:t>
      </w:r>
    </w:p>
    <w:p w14:paraId="6DBFC4FD">
      <w:pPr>
        <w:numPr>
          <w:ilvl w:val="1"/>
          <w:numId w:val="8"/>
        </w:numPr>
        <w:tabs>
          <w:tab w:val="left" w:pos="1080"/>
          <w:tab w:val="left" w:pos="2014"/>
        </w:tabs>
        <w:snapToGrid w:val="0"/>
        <w:spacing w:line="360" w:lineRule="auto"/>
        <w:ind w:left="1077" w:hanging="720"/>
        <w:rPr>
          <w:rFonts w:hint="eastAsia" w:ascii="宋体" w:hAnsi="宋体"/>
          <w:b/>
          <w:color w:val="auto"/>
          <w:sz w:val="28"/>
          <w:szCs w:val="28"/>
        </w:rPr>
      </w:pPr>
      <w:r>
        <w:rPr>
          <w:rFonts w:ascii="宋体" w:hAnsi="宋体"/>
          <w:color w:val="auto"/>
          <w:sz w:val="24"/>
        </w:rPr>
        <w:t>收费对象、收费标准及缴纳时间见《供应商须知资料表》。由成交供应商支付的，成交供应商须一次性向采购代理机构缴纳代理费，报价应包含代理费用。</w:t>
      </w:r>
    </w:p>
    <w:p w14:paraId="58F69FD6">
      <w:pPr>
        <w:spacing w:line="360" w:lineRule="auto"/>
        <w:jc w:val="center"/>
        <w:outlineLvl w:val="0"/>
        <w:rPr>
          <w:rFonts w:hint="eastAsia" w:ascii="宋体" w:hAnsi="宋体"/>
          <w:b/>
          <w:color w:val="auto"/>
          <w:sz w:val="36"/>
          <w:szCs w:val="36"/>
        </w:rPr>
      </w:pPr>
      <w:bookmarkStart w:id="593" w:name="_Toc142311056"/>
      <w:bookmarkStart w:id="594" w:name="_Toc264969244"/>
      <w:bookmarkStart w:id="595" w:name="_Toc353825544"/>
      <w:bookmarkStart w:id="596" w:name="_Toc305158896"/>
      <w:bookmarkStart w:id="597" w:name="_Toc150774759"/>
      <w:bookmarkStart w:id="598" w:name="_Toc353873664"/>
      <w:bookmarkStart w:id="599" w:name="_Toc265228392"/>
      <w:bookmarkStart w:id="600" w:name="_Toc226337250"/>
      <w:bookmarkStart w:id="601" w:name="_Toc305158822"/>
      <w:bookmarkStart w:id="602" w:name="_Toc150480792"/>
      <w:bookmarkStart w:id="603" w:name="_Toc226965827"/>
      <w:bookmarkStart w:id="604" w:name="_Toc127151554"/>
      <w:bookmarkStart w:id="605" w:name="_Toc353873934"/>
      <w:r>
        <w:rPr>
          <w:rFonts w:ascii="宋体" w:hAnsi="宋体"/>
          <w:color w:val="auto"/>
          <w:sz w:val="24"/>
        </w:rPr>
        <w:br w:type="page"/>
      </w:r>
      <w:bookmarkStart w:id="606" w:name="_Toc217651276"/>
      <w:r>
        <w:rPr>
          <w:rFonts w:ascii="宋体" w:hAnsi="宋体"/>
          <w:b/>
          <w:color w:val="auto"/>
          <w:sz w:val="36"/>
          <w:szCs w:val="36"/>
        </w:rPr>
        <w:t xml:space="preserve">第三章   </w:t>
      </w:r>
      <w:bookmarkEnd w:id="593"/>
      <w:bookmarkEnd w:id="594"/>
      <w:bookmarkEnd w:id="595"/>
      <w:bookmarkEnd w:id="596"/>
      <w:bookmarkEnd w:id="597"/>
      <w:bookmarkEnd w:id="598"/>
      <w:bookmarkEnd w:id="599"/>
      <w:bookmarkEnd w:id="600"/>
      <w:bookmarkEnd w:id="601"/>
      <w:bookmarkEnd w:id="602"/>
      <w:bookmarkEnd w:id="603"/>
      <w:bookmarkEnd w:id="604"/>
      <w:bookmarkEnd w:id="605"/>
      <w:r>
        <w:rPr>
          <w:rFonts w:ascii="宋体" w:hAnsi="宋体"/>
          <w:b/>
          <w:color w:val="auto"/>
          <w:sz w:val="36"/>
          <w:szCs w:val="36"/>
        </w:rPr>
        <w:t>评审方法和评审标准</w:t>
      </w:r>
      <w:bookmarkEnd w:id="606"/>
      <w:bookmarkStart w:id="607" w:name="_Toc487900382"/>
    </w:p>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607"/>
    <w:p w14:paraId="085EBA33">
      <w:pPr>
        <w:pStyle w:val="3"/>
        <w:spacing w:before="0" w:line="360" w:lineRule="auto"/>
        <w:rPr>
          <w:rFonts w:hint="eastAsia" w:ascii="宋体" w:hAnsi="宋体" w:eastAsia="宋体"/>
          <w:color w:val="auto"/>
          <w:sz w:val="24"/>
          <w:szCs w:val="24"/>
        </w:rPr>
      </w:pPr>
      <w:bookmarkStart w:id="608" w:name="_Toc150480793"/>
      <w:bookmarkStart w:id="609" w:name="_Toc305158897"/>
      <w:bookmarkStart w:id="610" w:name="_Toc226965828"/>
      <w:bookmarkStart w:id="611" w:name="_Toc142311057"/>
      <w:bookmarkStart w:id="612" w:name="_Toc264969245"/>
      <w:bookmarkStart w:id="613" w:name="_Toc226337251"/>
      <w:bookmarkStart w:id="614" w:name="_Toc265228393"/>
      <w:bookmarkStart w:id="615" w:name="_Toc150774760"/>
      <w:bookmarkStart w:id="616" w:name="_Toc353873935"/>
      <w:bookmarkStart w:id="617" w:name="_Toc195842920"/>
      <w:bookmarkStart w:id="618" w:name="_Toc127151555"/>
      <w:bookmarkStart w:id="619" w:name="_Toc353825545"/>
      <w:bookmarkStart w:id="620" w:name="_Toc353873665"/>
      <w:bookmarkStart w:id="621" w:name="_Toc305158823"/>
      <w:r>
        <w:rPr>
          <w:rFonts w:ascii="宋体" w:hAnsi="宋体" w:eastAsia="宋体"/>
          <w:color w:val="auto"/>
          <w:sz w:val="24"/>
          <w:szCs w:val="24"/>
        </w:rPr>
        <w:t>一、资格审查程序</w:t>
      </w:r>
    </w:p>
    <w:p w14:paraId="3519E7C2">
      <w:pPr>
        <w:tabs>
          <w:tab w:val="left" w:pos="1080"/>
        </w:tabs>
        <w:snapToGrid w:val="0"/>
        <w:jc w:val="left"/>
        <w:rPr>
          <w:rFonts w:hint="eastAsia" w:ascii="宋体" w:hAnsi="宋体"/>
          <w:b/>
          <w:color w:val="auto"/>
          <w:sz w:val="24"/>
        </w:rPr>
      </w:pPr>
      <w:r>
        <w:rPr>
          <w:rFonts w:ascii="宋体" w:hAnsi="宋体"/>
          <w:b/>
          <w:color w:val="auto"/>
          <w:sz w:val="24"/>
        </w:rPr>
        <w:tab/>
      </w:r>
    </w:p>
    <w:p w14:paraId="3DDCBDEA">
      <w:pPr>
        <w:numPr>
          <w:ilvl w:val="0"/>
          <w:numId w:val="11"/>
        </w:numPr>
        <w:tabs>
          <w:tab w:val="left" w:pos="360"/>
        </w:tabs>
        <w:snapToGrid w:val="0"/>
        <w:spacing w:line="360" w:lineRule="auto"/>
        <w:outlineLvl w:val="1"/>
        <w:rPr>
          <w:rFonts w:hint="eastAsia" w:ascii="宋体" w:hAnsi="宋体"/>
          <w:color w:val="auto"/>
          <w:sz w:val="24"/>
        </w:rPr>
      </w:pPr>
      <w:bookmarkStart w:id="622" w:name="_Toc195842906"/>
      <w:bookmarkStart w:id="623" w:name="_Toc305158883"/>
      <w:bookmarkStart w:id="624" w:name="_Toc127151541"/>
      <w:bookmarkStart w:id="625" w:name="_Toc150774746"/>
      <w:bookmarkStart w:id="626" w:name="_Toc149720834"/>
      <w:bookmarkStart w:id="627" w:name="_Toc127151742"/>
      <w:bookmarkStart w:id="628" w:name="_Toc226337237"/>
      <w:bookmarkStart w:id="629" w:name="_Toc164229236"/>
      <w:bookmarkStart w:id="630" w:name="_Toc305158809"/>
      <w:bookmarkStart w:id="631" w:name="_Toc151193639"/>
      <w:bookmarkStart w:id="632" w:name="_Toc150480779"/>
      <w:bookmarkStart w:id="633" w:name="_Toc226965731"/>
      <w:bookmarkStart w:id="634" w:name="_Toc127161455"/>
      <w:bookmarkStart w:id="635" w:name="_Toc164229382"/>
      <w:bookmarkStart w:id="636" w:name="_Toc226965814"/>
      <w:bookmarkStart w:id="637" w:name="_Toc151193929"/>
      <w:bookmarkStart w:id="638" w:name="_Toc265228379"/>
      <w:bookmarkStart w:id="639" w:name="_Toc164351635"/>
      <w:bookmarkStart w:id="640" w:name="_Toc151193711"/>
      <w:bookmarkStart w:id="641" w:name="_Toc226309785"/>
      <w:bookmarkStart w:id="642" w:name="_Toc151193855"/>
      <w:bookmarkStart w:id="643" w:name="_Toc142311043"/>
      <w:bookmarkStart w:id="644" w:name="_Toc164608655"/>
      <w:bookmarkStart w:id="645" w:name="_Toc150509292"/>
      <w:bookmarkStart w:id="646" w:name="_Toc151193783"/>
      <w:bookmarkStart w:id="647" w:name="_Toc151190168"/>
      <w:bookmarkStart w:id="648" w:name="_Toc150774641"/>
      <w:bookmarkStart w:id="649" w:name="_Toc164608810"/>
      <w:bookmarkStart w:id="650" w:name="_Toc264969231"/>
      <w:bookmarkStart w:id="651" w:name="_Toc353825551"/>
      <w:bookmarkStart w:id="652" w:name="_Toc353873941"/>
      <w:r>
        <w:rPr>
          <w:rFonts w:ascii="宋体" w:hAnsi="宋体"/>
          <w:color w:val="auto"/>
          <w:sz w:val="24"/>
        </w:rPr>
        <w:t>响应文件的</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Pr>
          <w:rFonts w:ascii="宋体" w:hAnsi="宋体"/>
          <w:color w:val="auto"/>
          <w:sz w:val="24"/>
        </w:rPr>
        <w:t>资格性检查和符合性审查</w:t>
      </w:r>
    </w:p>
    <w:p w14:paraId="586E9BF0">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ascii="宋体" w:hAnsi="宋体"/>
          <w:b/>
          <w:color w:val="auto"/>
          <w:sz w:val="24"/>
        </w:rPr>
        <w:t>无效响应</w:t>
      </w:r>
      <w:r>
        <w:rPr>
          <w:rFonts w:ascii="宋体" w:hAnsi="宋体"/>
          <w:color w:val="auto"/>
          <w:sz w:val="24"/>
        </w:rPr>
        <w:t>处理，磋商小组应当告知提交响应文件的供应商。</w:t>
      </w:r>
    </w:p>
    <w:p w14:paraId="26612F8A">
      <w:pPr>
        <w:numPr>
          <w:ilvl w:val="1"/>
          <w:numId w:val="11"/>
        </w:numPr>
        <w:tabs>
          <w:tab w:val="left" w:pos="1080"/>
        </w:tabs>
        <w:snapToGrid w:val="0"/>
        <w:spacing w:line="360" w:lineRule="auto"/>
        <w:ind w:left="1077" w:hanging="720"/>
        <w:jc w:val="left"/>
        <w:rPr>
          <w:rFonts w:hint="eastAsia" w:ascii="宋体" w:hAnsi="宋体"/>
          <w:color w:val="auto"/>
          <w:sz w:val="24"/>
        </w:rPr>
        <w:sectPr>
          <w:headerReference r:id="rId11" w:type="first"/>
          <w:footerReference r:id="rId13" w:type="first"/>
          <w:headerReference r:id="rId10" w:type="even"/>
          <w:footerReference r:id="rId12" w:type="even"/>
          <w:pgSz w:w="11906" w:h="16838"/>
          <w:pgMar w:top="1440" w:right="1800" w:bottom="1440" w:left="1800" w:header="851" w:footer="992" w:gutter="0"/>
          <w:cols w:space="425" w:num="1"/>
          <w:docGrid w:linePitch="312" w:charSpace="0"/>
        </w:sectPr>
      </w:pPr>
      <w:r>
        <w:rPr>
          <w:rFonts w:ascii="宋体" w:hAnsi="宋体"/>
          <w:color w:val="auto"/>
          <w:sz w:val="24"/>
        </w:rPr>
        <w:t>《资格审查要求》中对格式有要求的，除竞争性磋商文件另有规定外，均为“实质性格式”文件。</w:t>
      </w:r>
    </w:p>
    <w:p w14:paraId="79698371">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《资格审查要求》见下表：</w:t>
      </w:r>
    </w:p>
    <w:p w14:paraId="5FE47CBC">
      <w:pPr>
        <w:tabs>
          <w:tab w:val="left" w:pos="900"/>
          <w:tab w:val="left" w:pos="1080"/>
        </w:tabs>
        <w:snapToGrid w:val="0"/>
        <w:spacing w:line="360" w:lineRule="auto"/>
        <w:ind w:left="1077" w:firstLine="2650" w:firstLineChars="1100"/>
        <w:rPr>
          <w:rFonts w:hint="eastAsia" w:ascii="宋体" w:hAnsi="宋体"/>
          <w:b/>
          <w:color w:val="auto"/>
          <w:sz w:val="24"/>
        </w:rPr>
      </w:pPr>
      <w:r>
        <w:rPr>
          <w:rFonts w:ascii="宋体" w:hAnsi="宋体"/>
          <w:b/>
          <w:color w:val="auto"/>
          <w:sz w:val="24"/>
        </w:rPr>
        <w:t>资格审查要求</w:t>
      </w:r>
    </w:p>
    <w:tbl>
      <w:tblPr>
        <w:tblStyle w:val="53"/>
        <w:tblW w:w="5292" w:type="pct"/>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418"/>
        <w:gridCol w:w="5285"/>
        <w:gridCol w:w="1467"/>
      </w:tblGrid>
      <w:tr w14:paraId="4CF6C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72" w:type="pct"/>
            <w:vAlign w:val="center"/>
          </w:tcPr>
          <w:p w14:paraId="5B922DB5">
            <w:pPr>
              <w:tabs>
                <w:tab w:val="left" w:pos="1080"/>
              </w:tabs>
              <w:snapToGrid w:val="0"/>
              <w:spacing w:line="280" w:lineRule="exact"/>
              <w:jc w:val="center"/>
              <w:rPr>
                <w:rFonts w:hint="eastAsia" w:ascii="宋体" w:hAnsi="宋体"/>
                <w:b/>
                <w:color w:val="auto"/>
                <w:sz w:val="24"/>
              </w:rPr>
            </w:pPr>
            <w:bookmarkStart w:id="653" w:name="_Hlt487972895"/>
            <w:bookmarkEnd w:id="653"/>
            <w:r>
              <w:rPr>
                <w:rFonts w:ascii="宋体" w:hAnsi="宋体"/>
                <w:b/>
                <w:color w:val="auto"/>
                <w:sz w:val="24"/>
              </w:rPr>
              <w:t>序号</w:t>
            </w:r>
          </w:p>
        </w:tc>
        <w:tc>
          <w:tcPr>
            <w:tcW w:w="786" w:type="pct"/>
            <w:vAlign w:val="center"/>
          </w:tcPr>
          <w:p w14:paraId="11F06ACC">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检查因素</w:t>
            </w:r>
          </w:p>
        </w:tc>
        <w:tc>
          <w:tcPr>
            <w:tcW w:w="2929" w:type="pct"/>
            <w:vAlign w:val="center"/>
          </w:tcPr>
          <w:p w14:paraId="4F3DD91E">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检查内容</w:t>
            </w:r>
          </w:p>
        </w:tc>
        <w:tc>
          <w:tcPr>
            <w:tcW w:w="813" w:type="pct"/>
            <w:vAlign w:val="center"/>
          </w:tcPr>
          <w:p w14:paraId="12BF38E8">
            <w:pPr>
              <w:tabs>
                <w:tab w:val="left" w:pos="1080"/>
              </w:tabs>
              <w:snapToGrid w:val="0"/>
              <w:spacing w:line="280" w:lineRule="exact"/>
              <w:jc w:val="center"/>
              <w:rPr>
                <w:rFonts w:hint="eastAsia" w:ascii="宋体" w:hAnsi="宋体"/>
                <w:b/>
                <w:color w:val="auto"/>
                <w:sz w:val="24"/>
              </w:rPr>
            </w:pPr>
            <w:r>
              <w:rPr>
                <w:rFonts w:ascii="宋体" w:hAnsi="宋体"/>
                <w:b/>
                <w:color w:val="auto"/>
                <w:sz w:val="24"/>
              </w:rPr>
              <w:t>格式要求</w:t>
            </w:r>
          </w:p>
        </w:tc>
      </w:tr>
      <w:tr w14:paraId="57ECE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9" w:hRule="atLeast"/>
        </w:trPr>
        <w:tc>
          <w:tcPr>
            <w:tcW w:w="472" w:type="pct"/>
            <w:vAlign w:val="center"/>
          </w:tcPr>
          <w:p w14:paraId="32B2A0FA">
            <w:pPr>
              <w:tabs>
                <w:tab w:val="left" w:pos="1080"/>
              </w:tabs>
              <w:snapToGrid w:val="0"/>
              <w:spacing w:line="280" w:lineRule="exact"/>
              <w:jc w:val="center"/>
              <w:rPr>
                <w:rFonts w:hint="eastAsia" w:ascii="宋体" w:hAnsi="宋体"/>
                <w:color w:val="auto"/>
                <w:sz w:val="24"/>
              </w:rPr>
            </w:pPr>
            <w:r>
              <w:rPr>
                <w:rFonts w:ascii="宋体" w:hAnsi="宋体"/>
                <w:color w:val="auto"/>
                <w:sz w:val="24"/>
              </w:rPr>
              <w:t>1</w:t>
            </w:r>
          </w:p>
        </w:tc>
        <w:tc>
          <w:tcPr>
            <w:tcW w:w="786" w:type="pct"/>
            <w:vAlign w:val="center"/>
          </w:tcPr>
          <w:p w14:paraId="09D67682">
            <w:pPr>
              <w:tabs>
                <w:tab w:val="left" w:pos="1080"/>
              </w:tabs>
              <w:snapToGrid w:val="0"/>
              <w:spacing w:line="280" w:lineRule="exact"/>
              <w:jc w:val="left"/>
              <w:rPr>
                <w:rFonts w:hint="eastAsia" w:ascii="宋体" w:hAnsi="宋体"/>
                <w:color w:val="auto"/>
                <w:sz w:val="24"/>
              </w:rPr>
            </w:pPr>
            <w:r>
              <w:rPr>
                <w:rFonts w:ascii="宋体" w:hAnsi="宋体"/>
                <w:color w:val="auto"/>
                <w:sz w:val="24"/>
              </w:rPr>
              <w:t>满足《中华人民共和国政府采购法》第二十二条规定</w:t>
            </w:r>
          </w:p>
        </w:tc>
        <w:tc>
          <w:tcPr>
            <w:tcW w:w="2929" w:type="pct"/>
            <w:vAlign w:val="center"/>
          </w:tcPr>
          <w:p w14:paraId="038D0AFC">
            <w:pPr>
              <w:tabs>
                <w:tab w:val="left" w:pos="1080"/>
              </w:tabs>
              <w:snapToGrid w:val="0"/>
              <w:spacing w:line="280" w:lineRule="exact"/>
              <w:jc w:val="left"/>
              <w:rPr>
                <w:rFonts w:hint="eastAsia" w:ascii="宋体" w:hAnsi="宋体"/>
                <w:color w:val="auto"/>
                <w:sz w:val="24"/>
              </w:rPr>
            </w:pPr>
            <w:r>
              <w:rPr>
                <w:rFonts w:ascii="宋体" w:hAnsi="宋体"/>
                <w:color w:val="auto"/>
                <w:sz w:val="24"/>
              </w:rPr>
              <w:t>具体规定见第一章《采购邀请》</w:t>
            </w:r>
          </w:p>
        </w:tc>
        <w:tc>
          <w:tcPr>
            <w:tcW w:w="813" w:type="pct"/>
            <w:vAlign w:val="center"/>
          </w:tcPr>
          <w:p w14:paraId="54EB0A09">
            <w:pPr>
              <w:tabs>
                <w:tab w:val="left" w:pos="1080"/>
              </w:tabs>
              <w:snapToGrid w:val="0"/>
              <w:spacing w:line="280" w:lineRule="exact"/>
              <w:jc w:val="left"/>
              <w:rPr>
                <w:rFonts w:hint="eastAsia" w:ascii="宋体" w:hAnsi="宋体"/>
                <w:color w:val="auto"/>
                <w:sz w:val="24"/>
              </w:rPr>
            </w:pPr>
          </w:p>
        </w:tc>
      </w:tr>
      <w:tr w14:paraId="3EE7B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35" w:hRule="atLeast"/>
        </w:trPr>
        <w:tc>
          <w:tcPr>
            <w:tcW w:w="472" w:type="pct"/>
            <w:vAlign w:val="center"/>
          </w:tcPr>
          <w:p w14:paraId="365BE674">
            <w:pPr>
              <w:tabs>
                <w:tab w:val="left" w:pos="1080"/>
              </w:tabs>
              <w:snapToGrid w:val="0"/>
              <w:spacing w:line="280" w:lineRule="exact"/>
              <w:jc w:val="center"/>
              <w:rPr>
                <w:rFonts w:hint="eastAsia" w:ascii="宋体" w:hAnsi="宋体"/>
                <w:color w:val="auto"/>
                <w:sz w:val="24"/>
              </w:rPr>
            </w:pPr>
            <w:r>
              <w:rPr>
                <w:rFonts w:ascii="宋体" w:hAnsi="宋体"/>
                <w:color w:val="auto"/>
                <w:sz w:val="24"/>
              </w:rPr>
              <w:t>1-1</w:t>
            </w:r>
          </w:p>
        </w:tc>
        <w:tc>
          <w:tcPr>
            <w:tcW w:w="786" w:type="pct"/>
            <w:vAlign w:val="center"/>
          </w:tcPr>
          <w:p w14:paraId="7EA4C029">
            <w:pPr>
              <w:tabs>
                <w:tab w:val="left" w:pos="1080"/>
              </w:tabs>
              <w:snapToGrid w:val="0"/>
              <w:spacing w:line="280" w:lineRule="exact"/>
              <w:jc w:val="left"/>
              <w:rPr>
                <w:rFonts w:hint="eastAsia" w:ascii="宋体" w:hAnsi="宋体"/>
                <w:color w:val="auto"/>
                <w:sz w:val="24"/>
              </w:rPr>
            </w:pPr>
            <w:r>
              <w:rPr>
                <w:rFonts w:ascii="宋体" w:hAnsi="宋体"/>
                <w:color w:val="auto"/>
                <w:sz w:val="24"/>
              </w:rPr>
              <w:t>营业执照等证明文件</w:t>
            </w:r>
          </w:p>
        </w:tc>
        <w:tc>
          <w:tcPr>
            <w:tcW w:w="2929" w:type="pct"/>
            <w:vAlign w:val="center"/>
          </w:tcPr>
          <w:p w14:paraId="116CE4CD">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供应商为企业（包括合伙企业）的，应提供有效的“营业执照”；</w:t>
            </w:r>
          </w:p>
          <w:p w14:paraId="19924259">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供应商为事业单位的，应提供有效的“事业单位法人证书”；</w:t>
            </w:r>
          </w:p>
          <w:p w14:paraId="1B081AD0">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供应商是非企业机构的，应提供有效的“执业许可证”、“登记证书”等证明文件；</w:t>
            </w:r>
          </w:p>
          <w:p w14:paraId="20F9662C">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供应商是个体工商户的，应提供有效的“个体工商户营业执照”；</w:t>
            </w:r>
          </w:p>
          <w:p w14:paraId="1AD159D6">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供应商是自然人的，应提供有效的自然人身份证明。</w:t>
            </w:r>
          </w:p>
          <w:p w14:paraId="6C7034E4">
            <w:pPr>
              <w:tabs>
                <w:tab w:val="left" w:pos="1080"/>
              </w:tabs>
              <w:snapToGrid w:val="0"/>
              <w:spacing w:line="280" w:lineRule="exact"/>
              <w:jc w:val="left"/>
              <w:rPr>
                <w:rFonts w:hint="eastAsia" w:ascii="宋体" w:hAnsi="宋体"/>
                <w:color w:val="auto"/>
                <w:sz w:val="24"/>
              </w:rPr>
            </w:pPr>
            <w:r>
              <w:rPr>
                <w:rFonts w:ascii="宋体" w:hAnsi="宋体"/>
                <w:color w:val="auto"/>
                <w:sz w:val="24"/>
              </w:rPr>
              <w:t>分支机构参加响应的，应提供该分支机构或其所属法人</w:t>
            </w:r>
            <w:r>
              <w:rPr>
                <w:rFonts w:hint="eastAsia" w:ascii="宋体" w:hAnsi="宋体"/>
                <w:color w:val="auto"/>
                <w:sz w:val="24"/>
              </w:rPr>
              <w:t>/</w:t>
            </w:r>
            <w:r>
              <w:rPr>
                <w:rFonts w:ascii="宋体" w:hAnsi="宋体"/>
                <w:color w:val="auto"/>
                <w:sz w:val="24"/>
              </w:rPr>
              <w:t>其他组织的相应证明文件；同时还应提供其所属法人/其他组织出具的授权其参与本项目的授权书（格式自拟，须加盖其所属法人/其他组织的公章）；对于</w:t>
            </w:r>
            <w:r>
              <w:rPr>
                <w:rFonts w:ascii="宋体" w:hAnsi="宋体"/>
                <w:iCs/>
                <w:color w:val="auto"/>
                <w:sz w:val="24"/>
              </w:rPr>
              <w:t>银行、保险、石油石化、电力、电信等行业的分支机构，可以提供上述</w:t>
            </w:r>
            <w:r>
              <w:rPr>
                <w:rFonts w:ascii="宋体" w:hAnsi="宋体"/>
                <w:color w:val="auto"/>
                <w:sz w:val="24"/>
              </w:rPr>
              <w:t>授权，也可以提供其所属法人/其他组织的有关文件或制度等能够证明授权其独立开展业务的证明材料。</w:t>
            </w:r>
          </w:p>
        </w:tc>
        <w:tc>
          <w:tcPr>
            <w:tcW w:w="813" w:type="pct"/>
            <w:vAlign w:val="center"/>
          </w:tcPr>
          <w:p w14:paraId="27A9F9FA">
            <w:pPr>
              <w:tabs>
                <w:tab w:val="left" w:pos="1080"/>
              </w:tabs>
              <w:snapToGrid w:val="0"/>
              <w:spacing w:line="280" w:lineRule="exact"/>
              <w:jc w:val="left"/>
              <w:rPr>
                <w:rFonts w:hint="eastAsia" w:ascii="宋体" w:hAnsi="宋体"/>
                <w:color w:val="auto"/>
                <w:sz w:val="24"/>
              </w:rPr>
            </w:pPr>
            <w:r>
              <w:rPr>
                <w:rFonts w:ascii="宋体" w:hAnsi="宋体"/>
                <w:color w:val="auto"/>
                <w:sz w:val="24"/>
              </w:rPr>
              <w:t>提供证明文件的电子件或电子证照</w:t>
            </w:r>
          </w:p>
        </w:tc>
      </w:tr>
      <w:tr w14:paraId="5DD29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5B26C69E">
            <w:pPr>
              <w:tabs>
                <w:tab w:val="left" w:pos="1080"/>
              </w:tabs>
              <w:snapToGrid w:val="0"/>
              <w:spacing w:line="280" w:lineRule="exact"/>
              <w:jc w:val="center"/>
              <w:rPr>
                <w:rFonts w:hint="eastAsia" w:ascii="宋体" w:hAnsi="宋体"/>
                <w:color w:val="auto"/>
                <w:sz w:val="24"/>
              </w:rPr>
            </w:pPr>
            <w:r>
              <w:rPr>
                <w:rFonts w:ascii="宋体" w:hAnsi="宋体"/>
                <w:color w:val="auto"/>
                <w:sz w:val="24"/>
              </w:rPr>
              <w:t>1-2</w:t>
            </w:r>
          </w:p>
        </w:tc>
        <w:tc>
          <w:tcPr>
            <w:tcW w:w="786" w:type="pct"/>
            <w:vAlign w:val="center"/>
          </w:tcPr>
          <w:p w14:paraId="799E918F">
            <w:pPr>
              <w:tabs>
                <w:tab w:val="left" w:pos="1080"/>
              </w:tabs>
              <w:snapToGrid w:val="0"/>
              <w:spacing w:line="280" w:lineRule="exact"/>
              <w:jc w:val="left"/>
              <w:rPr>
                <w:rFonts w:hint="eastAsia" w:ascii="宋体" w:hAnsi="宋体"/>
                <w:color w:val="auto"/>
                <w:sz w:val="24"/>
              </w:rPr>
            </w:pPr>
            <w:r>
              <w:rPr>
                <w:rFonts w:ascii="宋体" w:hAnsi="宋体"/>
                <w:color w:val="auto"/>
                <w:sz w:val="24"/>
              </w:rPr>
              <w:t>供应商资格声明书</w:t>
            </w:r>
          </w:p>
        </w:tc>
        <w:tc>
          <w:tcPr>
            <w:tcW w:w="2929" w:type="pct"/>
            <w:vAlign w:val="center"/>
          </w:tcPr>
          <w:p w14:paraId="534305F2">
            <w:pPr>
              <w:tabs>
                <w:tab w:val="left" w:pos="1080"/>
              </w:tabs>
              <w:snapToGrid w:val="0"/>
              <w:spacing w:line="280" w:lineRule="exact"/>
              <w:jc w:val="left"/>
              <w:rPr>
                <w:rFonts w:hint="eastAsia" w:ascii="宋体" w:hAnsi="宋体"/>
                <w:color w:val="auto"/>
                <w:sz w:val="24"/>
              </w:rPr>
            </w:pPr>
            <w:r>
              <w:rPr>
                <w:rFonts w:ascii="宋体" w:hAnsi="宋体"/>
                <w:color w:val="auto"/>
                <w:sz w:val="24"/>
              </w:rPr>
              <w:t>提供了符合竞争性磋商文件要求的《供应商资格声明书》。</w:t>
            </w:r>
          </w:p>
        </w:tc>
        <w:tc>
          <w:tcPr>
            <w:tcW w:w="813" w:type="pct"/>
            <w:vAlign w:val="center"/>
          </w:tcPr>
          <w:p w14:paraId="4D47FD70">
            <w:pPr>
              <w:tabs>
                <w:tab w:val="left" w:pos="1080"/>
              </w:tabs>
              <w:snapToGrid w:val="0"/>
              <w:spacing w:line="280" w:lineRule="exact"/>
              <w:jc w:val="left"/>
              <w:rPr>
                <w:rFonts w:hint="eastAsia" w:ascii="宋体" w:hAnsi="宋体"/>
                <w:color w:val="auto"/>
                <w:sz w:val="24"/>
              </w:rPr>
            </w:pPr>
            <w:r>
              <w:rPr>
                <w:rFonts w:ascii="宋体" w:hAnsi="宋体"/>
                <w:color w:val="auto"/>
                <w:sz w:val="24"/>
              </w:rPr>
              <w:t>格式见《响应文件格式》</w:t>
            </w:r>
          </w:p>
        </w:tc>
      </w:tr>
      <w:tr w14:paraId="4E9A7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39" w:hRule="atLeast"/>
        </w:trPr>
        <w:tc>
          <w:tcPr>
            <w:tcW w:w="472" w:type="pct"/>
            <w:vAlign w:val="center"/>
          </w:tcPr>
          <w:p w14:paraId="737B91FA">
            <w:pPr>
              <w:tabs>
                <w:tab w:val="left" w:pos="1080"/>
              </w:tabs>
              <w:snapToGrid w:val="0"/>
              <w:spacing w:line="280" w:lineRule="exact"/>
              <w:jc w:val="center"/>
              <w:rPr>
                <w:rFonts w:hint="eastAsia" w:ascii="宋体" w:hAnsi="宋体"/>
                <w:color w:val="auto"/>
                <w:sz w:val="24"/>
              </w:rPr>
            </w:pPr>
            <w:r>
              <w:rPr>
                <w:rFonts w:ascii="宋体" w:hAnsi="宋体"/>
                <w:color w:val="auto"/>
                <w:sz w:val="24"/>
              </w:rPr>
              <w:t>1-3</w:t>
            </w:r>
          </w:p>
        </w:tc>
        <w:tc>
          <w:tcPr>
            <w:tcW w:w="786" w:type="pct"/>
            <w:vAlign w:val="center"/>
          </w:tcPr>
          <w:p w14:paraId="669C151C">
            <w:pPr>
              <w:tabs>
                <w:tab w:val="left" w:pos="1080"/>
              </w:tabs>
              <w:snapToGrid w:val="0"/>
              <w:spacing w:line="280" w:lineRule="exact"/>
              <w:rPr>
                <w:rFonts w:hint="eastAsia" w:ascii="宋体" w:hAnsi="宋体"/>
                <w:color w:val="auto"/>
                <w:sz w:val="24"/>
              </w:rPr>
            </w:pPr>
            <w:r>
              <w:rPr>
                <w:rFonts w:ascii="宋体" w:hAnsi="宋体"/>
                <w:color w:val="auto"/>
                <w:sz w:val="24"/>
              </w:rPr>
              <w:t>供应商信用记录</w:t>
            </w:r>
          </w:p>
        </w:tc>
        <w:tc>
          <w:tcPr>
            <w:tcW w:w="2929" w:type="pct"/>
            <w:vAlign w:val="center"/>
          </w:tcPr>
          <w:p w14:paraId="0CE2C597">
            <w:pPr>
              <w:tabs>
                <w:tab w:val="left" w:pos="1080"/>
              </w:tabs>
              <w:snapToGrid w:val="0"/>
              <w:spacing w:line="280" w:lineRule="exact"/>
              <w:rPr>
                <w:rFonts w:hint="eastAsia" w:ascii="宋体" w:hAnsi="宋体"/>
                <w:color w:val="auto"/>
                <w:sz w:val="24"/>
              </w:rPr>
            </w:pPr>
            <w:r>
              <w:rPr>
                <w:rFonts w:ascii="宋体" w:hAnsi="宋体"/>
                <w:color w:val="auto"/>
                <w:sz w:val="24"/>
              </w:rPr>
              <w:t>查询渠道：信用中国网站和中国政府采购网（www.creditchina.gov.cn、www.ccgp.gov.cn）；</w:t>
            </w:r>
          </w:p>
          <w:p w14:paraId="72C2F357">
            <w:pPr>
              <w:tabs>
                <w:tab w:val="left" w:pos="900"/>
                <w:tab w:val="left" w:pos="1980"/>
              </w:tabs>
              <w:snapToGrid w:val="0"/>
              <w:spacing w:line="280" w:lineRule="exact"/>
              <w:rPr>
                <w:rFonts w:hint="eastAsia" w:ascii="宋体" w:hAnsi="宋体"/>
                <w:color w:val="auto"/>
                <w:sz w:val="24"/>
              </w:rPr>
            </w:pPr>
            <w:r>
              <w:rPr>
                <w:rFonts w:ascii="宋体" w:hAnsi="宋体"/>
                <w:color w:val="auto"/>
                <w:sz w:val="24"/>
              </w:rPr>
              <w:t>截止时点：</w:t>
            </w:r>
            <w:r>
              <w:rPr>
                <w:rFonts w:ascii="宋体" w:hAnsi="宋体"/>
                <w:color w:val="auto"/>
                <w:kern w:val="0"/>
                <w:sz w:val="24"/>
              </w:rPr>
              <w:t>首次响应文件提交截止时间以后</w:t>
            </w:r>
            <w:r>
              <w:rPr>
                <w:rFonts w:ascii="宋体" w:hAnsi="宋体"/>
                <w:color w:val="auto"/>
                <w:sz w:val="24"/>
              </w:rPr>
              <w:t>、资格审查阶段采购人或采购代理机构的实际查询时间；</w:t>
            </w:r>
          </w:p>
          <w:p w14:paraId="3BFE475E">
            <w:pPr>
              <w:tabs>
                <w:tab w:val="left" w:pos="900"/>
                <w:tab w:val="left" w:pos="1980"/>
              </w:tabs>
              <w:snapToGrid w:val="0"/>
              <w:spacing w:line="280" w:lineRule="exact"/>
              <w:rPr>
                <w:rFonts w:hint="eastAsia" w:ascii="宋体" w:hAnsi="宋体"/>
                <w:color w:val="auto"/>
                <w:sz w:val="24"/>
              </w:rPr>
            </w:pPr>
            <w:r>
              <w:rPr>
                <w:rFonts w:ascii="宋体" w:hAnsi="宋体"/>
                <w:color w:val="auto"/>
                <w:sz w:val="24"/>
              </w:rPr>
              <w:t>信用信息查询记录和证据留存具体方式：查询结果网页打印页作为查询记录和证据，与其他竞争性磋商文件一并保存；</w:t>
            </w:r>
          </w:p>
          <w:p w14:paraId="2504B73E">
            <w:pPr>
              <w:tabs>
                <w:tab w:val="left" w:pos="1080"/>
              </w:tabs>
              <w:snapToGrid w:val="0"/>
              <w:spacing w:line="280" w:lineRule="exact"/>
              <w:rPr>
                <w:rFonts w:hint="eastAsia" w:ascii="宋体" w:hAnsi="宋体"/>
                <w:color w:val="auto"/>
                <w:sz w:val="24"/>
              </w:rPr>
            </w:pPr>
            <w:r>
              <w:rPr>
                <w:rFonts w:ascii="宋体" w:hAnsi="宋体"/>
                <w:color w:val="auto"/>
                <w:sz w:val="24"/>
              </w:rPr>
              <w:t>信用信息的使用原则：经认定的被列入失信被执行人、</w:t>
            </w:r>
            <w:r>
              <w:rPr>
                <w:rFonts w:hint="eastAsia" w:ascii="宋体" w:hAnsi="宋体"/>
                <w:color w:val="auto"/>
                <w:sz w:val="24"/>
              </w:rPr>
              <w:t>重大税收违法失信主体</w:t>
            </w:r>
            <w:r>
              <w:rPr>
                <w:rFonts w:ascii="宋体" w:hAnsi="宋体"/>
                <w:color w:val="auto"/>
                <w:sz w:val="24"/>
              </w:rPr>
              <w:t>、政府采购严重违法失信行为记录名单的供应商，其</w:t>
            </w:r>
            <w:r>
              <w:rPr>
                <w:rFonts w:ascii="宋体" w:hAnsi="宋体"/>
                <w:b/>
                <w:color w:val="auto"/>
                <w:sz w:val="24"/>
              </w:rPr>
              <w:t>响应无效</w:t>
            </w:r>
            <w:r>
              <w:rPr>
                <w:rFonts w:ascii="宋体" w:hAnsi="宋体"/>
                <w:color w:val="auto"/>
                <w:sz w:val="24"/>
              </w:rPr>
              <w:t>。联合体形式磋商的，联合体成员存在不良信用记录，视同联合体存在不良信用记录。</w:t>
            </w:r>
          </w:p>
        </w:tc>
        <w:tc>
          <w:tcPr>
            <w:tcW w:w="813" w:type="pct"/>
            <w:vAlign w:val="center"/>
          </w:tcPr>
          <w:p w14:paraId="40F6940C">
            <w:pPr>
              <w:tabs>
                <w:tab w:val="left" w:pos="1080"/>
              </w:tabs>
              <w:snapToGrid w:val="0"/>
              <w:spacing w:line="280" w:lineRule="exact"/>
              <w:rPr>
                <w:rFonts w:hint="eastAsia" w:ascii="宋体" w:hAnsi="宋体"/>
                <w:color w:val="auto"/>
                <w:sz w:val="24"/>
              </w:rPr>
            </w:pPr>
            <w:r>
              <w:rPr>
                <w:rFonts w:ascii="宋体" w:hAnsi="宋体"/>
                <w:color w:val="auto"/>
                <w:sz w:val="24"/>
              </w:rPr>
              <w:t>无须供应商提供，由采购人或采购代理机构查询。</w:t>
            </w:r>
          </w:p>
        </w:tc>
      </w:tr>
      <w:tr w14:paraId="3377D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4" w:hRule="atLeast"/>
        </w:trPr>
        <w:tc>
          <w:tcPr>
            <w:tcW w:w="472" w:type="pct"/>
            <w:vAlign w:val="center"/>
          </w:tcPr>
          <w:p w14:paraId="16F9E068">
            <w:pPr>
              <w:tabs>
                <w:tab w:val="left" w:pos="1080"/>
              </w:tabs>
              <w:snapToGrid w:val="0"/>
              <w:spacing w:line="280" w:lineRule="exact"/>
              <w:jc w:val="center"/>
              <w:rPr>
                <w:rFonts w:hint="eastAsia" w:ascii="宋体" w:hAnsi="宋体"/>
                <w:color w:val="auto"/>
                <w:sz w:val="24"/>
              </w:rPr>
            </w:pPr>
            <w:r>
              <w:rPr>
                <w:rFonts w:ascii="宋体" w:hAnsi="宋体"/>
                <w:color w:val="auto"/>
                <w:sz w:val="24"/>
              </w:rPr>
              <w:t>1-4</w:t>
            </w:r>
          </w:p>
        </w:tc>
        <w:tc>
          <w:tcPr>
            <w:tcW w:w="786" w:type="pct"/>
            <w:vAlign w:val="center"/>
          </w:tcPr>
          <w:p w14:paraId="0B22B1CD">
            <w:pPr>
              <w:tabs>
                <w:tab w:val="left" w:pos="1080"/>
              </w:tabs>
              <w:snapToGrid w:val="0"/>
              <w:spacing w:line="280" w:lineRule="exact"/>
              <w:rPr>
                <w:rFonts w:hint="eastAsia" w:ascii="宋体" w:hAnsi="宋体"/>
                <w:color w:val="auto"/>
                <w:sz w:val="24"/>
              </w:rPr>
            </w:pPr>
            <w:r>
              <w:rPr>
                <w:rFonts w:ascii="宋体" w:hAnsi="宋体"/>
                <w:color w:val="auto"/>
                <w:sz w:val="24"/>
              </w:rPr>
              <w:t>法律、行政法规规定的其他条件</w:t>
            </w:r>
          </w:p>
        </w:tc>
        <w:tc>
          <w:tcPr>
            <w:tcW w:w="2929" w:type="pct"/>
            <w:vAlign w:val="center"/>
          </w:tcPr>
          <w:p w14:paraId="4D0BCBE8">
            <w:pPr>
              <w:tabs>
                <w:tab w:val="left" w:pos="1080"/>
              </w:tabs>
              <w:snapToGrid w:val="0"/>
              <w:spacing w:line="280" w:lineRule="exact"/>
              <w:rPr>
                <w:rFonts w:hint="eastAsia" w:ascii="宋体" w:hAnsi="宋体"/>
                <w:color w:val="auto"/>
                <w:sz w:val="24"/>
              </w:rPr>
            </w:pPr>
            <w:r>
              <w:rPr>
                <w:rFonts w:ascii="宋体" w:hAnsi="宋体"/>
                <w:color w:val="auto"/>
                <w:sz w:val="24"/>
              </w:rPr>
              <w:t>法律、行政法规规定的其他条件</w:t>
            </w:r>
          </w:p>
        </w:tc>
        <w:tc>
          <w:tcPr>
            <w:tcW w:w="813" w:type="pct"/>
            <w:vAlign w:val="center"/>
          </w:tcPr>
          <w:p w14:paraId="589A533B">
            <w:pPr>
              <w:tabs>
                <w:tab w:val="left" w:pos="1080"/>
              </w:tabs>
              <w:snapToGrid w:val="0"/>
              <w:spacing w:line="280" w:lineRule="exact"/>
              <w:jc w:val="center"/>
              <w:rPr>
                <w:rFonts w:hint="eastAsia" w:ascii="宋体" w:hAnsi="宋体"/>
                <w:color w:val="auto"/>
                <w:sz w:val="24"/>
              </w:rPr>
            </w:pPr>
            <w:r>
              <w:rPr>
                <w:rFonts w:ascii="宋体" w:hAnsi="宋体"/>
                <w:color w:val="auto"/>
                <w:sz w:val="24"/>
              </w:rPr>
              <w:t>/</w:t>
            </w:r>
          </w:p>
        </w:tc>
      </w:tr>
      <w:tr w14:paraId="5CF73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6" w:hRule="atLeast"/>
        </w:trPr>
        <w:tc>
          <w:tcPr>
            <w:tcW w:w="472" w:type="pct"/>
            <w:vAlign w:val="center"/>
          </w:tcPr>
          <w:p w14:paraId="1699F3A6">
            <w:pPr>
              <w:tabs>
                <w:tab w:val="left" w:pos="1080"/>
              </w:tabs>
              <w:snapToGrid w:val="0"/>
              <w:spacing w:line="280" w:lineRule="exact"/>
              <w:jc w:val="center"/>
              <w:rPr>
                <w:rFonts w:hint="eastAsia" w:ascii="宋体" w:hAnsi="宋体"/>
                <w:color w:val="auto"/>
                <w:sz w:val="24"/>
              </w:rPr>
            </w:pPr>
            <w:r>
              <w:rPr>
                <w:rFonts w:ascii="宋体" w:hAnsi="宋体"/>
                <w:color w:val="auto"/>
                <w:sz w:val="24"/>
              </w:rPr>
              <w:t>2</w:t>
            </w:r>
          </w:p>
        </w:tc>
        <w:tc>
          <w:tcPr>
            <w:tcW w:w="786" w:type="pct"/>
            <w:vAlign w:val="center"/>
          </w:tcPr>
          <w:p w14:paraId="2B24EA71">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落实政府采购政策需满足的资格要求</w:t>
            </w:r>
          </w:p>
        </w:tc>
        <w:tc>
          <w:tcPr>
            <w:tcW w:w="2929" w:type="pct"/>
            <w:vAlign w:val="center"/>
          </w:tcPr>
          <w:p w14:paraId="4242C14D">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具体要求见第一章《采购邀请》</w:t>
            </w:r>
          </w:p>
        </w:tc>
        <w:tc>
          <w:tcPr>
            <w:tcW w:w="813" w:type="pct"/>
            <w:vAlign w:val="center"/>
          </w:tcPr>
          <w:p w14:paraId="15FE6F0E">
            <w:pPr>
              <w:tabs>
                <w:tab w:val="left" w:pos="1080"/>
              </w:tabs>
              <w:snapToGrid w:val="0"/>
              <w:spacing w:line="280" w:lineRule="exact"/>
              <w:jc w:val="left"/>
              <w:rPr>
                <w:rFonts w:hint="eastAsia" w:ascii="宋体" w:hAnsi="宋体"/>
                <w:color w:val="auto"/>
                <w:sz w:val="24"/>
              </w:rPr>
            </w:pPr>
          </w:p>
        </w:tc>
      </w:tr>
      <w:tr w14:paraId="54367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1" w:hRule="atLeast"/>
        </w:trPr>
        <w:tc>
          <w:tcPr>
            <w:tcW w:w="472" w:type="pct"/>
            <w:vAlign w:val="center"/>
          </w:tcPr>
          <w:p w14:paraId="13C1381A">
            <w:pPr>
              <w:tabs>
                <w:tab w:val="left" w:pos="1080"/>
              </w:tabs>
              <w:snapToGrid w:val="0"/>
              <w:spacing w:line="280" w:lineRule="exact"/>
              <w:jc w:val="center"/>
              <w:rPr>
                <w:rFonts w:hint="eastAsia" w:ascii="宋体" w:hAnsi="宋体"/>
                <w:color w:val="auto"/>
                <w:sz w:val="24"/>
              </w:rPr>
            </w:pPr>
            <w:r>
              <w:rPr>
                <w:rFonts w:ascii="宋体" w:hAnsi="宋体"/>
                <w:color w:val="auto"/>
                <w:sz w:val="24"/>
              </w:rPr>
              <w:t>2-1</w:t>
            </w:r>
          </w:p>
        </w:tc>
        <w:tc>
          <w:tcPr>
            <w:tcW w:w="786" w:type="pct"/>
            <w:vAlign w:val="center"/>
          </w:tcPr>
          <w:p w14:paraId="7691FF9B">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中小企业政策</w:t>
            </w:r>
          </w:p>
        </w:tc>
        <w:tc>
          <w:tcPr>
            <w:tcW w:w="2929" w:type="pct"/>
            <w:vAlign w:val="center"/>
          </w:tcPr>
          <w:p w14:paraId="5A07C60F">
            <w:pPr>
              <w:tabs>
                <w:tab w:val="left" w:pos="1080"/>
              </w:tabs>
              <w:snapToGrid w:val="0"/>
              <w:spacing w:line="280" w:lineRule="exact"/>
              <w:jc w:val="left"/>
              <w:rPr>
                <w:rFonts w:hint="eastAsia" w:ascii="宋体" w:hAnsi="宋体"/>
                <w:color w:val="auto"/>
                <w:sz w:val="24"/>
              </w:rPr>
            </w:pPr>
            <w:bookmarkStart w:id="654" w:name="OLE_LINK19"/>
            <w:r>
              <w:rPr>
                <w:rFonts w:hint="eastAsia" w:ascii="宋体" w:hAnsi="宋体"/>
                <w:color w:val="auto"/>
                <w:sz w:val="24"/>
              </w:rPr>
              <w:t>具体要求见第一章《采购邀请》</w:t>
            </w:r>
            <w:bookmarkEnd w:id="654"/>
          </w:p>
        </w:tc>
        <w:tc>
          <w:tcPr>
            <w:tcW w:w="813" w:type="pct"/>
            <w:vAlign w:val="center"/>
          </w:tcPr>
          <w:p w14:paraId="774604E3">
            <w:pPr>
              <w:tabs>
                <w:tab w:val="left" w:pos="1080"/>
              </w:tabs>
              <w:snapToGrid w:val="0"/>
              <w:spacing w:line="280" w:lineRule="exact"/>
              <w:jc w:val="left"/>
              <w:rPr>
                <w:rFonts w:hint="eastAsia" w:ascii="宋体" w:hAnsi="宋体"/>
                <w:color w:val="auto"/>
                <w:sz w:val="24"/>
              </w:rPr>
            </w:pPr>
          </w:p>
        </w:tc>
      </w:tr>
      <w:tr w14:paraId="73CE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47" w:hRule="atLeast"/>
        </w:trPr>
        <w:tc>
          <w:tcPr>
            <w:tcW w:w="472" w:type="pct"/>
            <w:vAlign w:val="center"/>
          </w:tcPr>
          <w:p w14:paraId="489AABA0">
            <w:pPr>
              <w:tabs>
                <w:tab w:val="left" w:pos="1080"/>
              </w:tabs>
              <w:snapToGrid w:val="0"/>
              <w:jc w:val="center"/>
              <w:rPr>
                <w:color w:val="auto"/>
                <w:sz w:val="24"/>
              </w:rPr>
            </w:pPr>
            <w:r>
              <w:rPr>
                <w:color w:val="auto"/>
                <w:sz w:val="24"/>
              </w:rPr>
              <w:t>2-1-1</w:t>
            </w:r>
          </w:p>
        </w:tc>
        <w:tc>
          <w:tcPr>
            <w:tcW w:w="786" w:type="pct"/>
            <w:vAlign w:val="center"/>
          </w:tcPr>
          <w:p w14:paraId="70B6E94C">
            <w:pPr>
              <w:tabs>
                <w:tab w:val="left" w:pos="1080"/>
              </w:tabs>
              <w:snapToGrid w:val="0"/>
              <w:rPr>
                <w:color w:val="auto"/>
                <w:sz w:val="24"/>
              </w:rPr>
            </w:pPr>
            <w:r>
              <w:rPr>
                <w:color w:val="auto"/>
                <w:sz w:val="24"/>
              </w:rPr>
              <w:t>中小企业证明文件</w:t>
            </w:r>
          </w:p>
        </w:tc>
        <w:tc>
          <w:tcPr>
            <w:tcW w:w="2929" w:type="pct"/>
            <w:vAlign w:val="center"/>
          </w:tcPr>
          <w:p w14:paraId="23B46824">
            <w:pPr>
              <w:tabs>
                <w:tab w:val="left" w:pos="1080"/>
              </w:tabs>
              <w:snapToGrid w:val="0"/>
              <w:jc w:val="left"/>
              <w:rPr>
                <w:color w:val="auto"/>
                <w:sz w:val="24"/>
              </w:rPr>
            </w:pPr>
            <w:r>
              <w:rPr>
                <w:rFonts w:hint="eastAsia" w:ascii="宋体" w:hAnsi="宋体"/>
                <w:color w:val="auto"/>
                <w:sz w:val="24"/>
              </w:rPr>
              <w:t>本项目专门面向</w:t>
            </w:r>
            <w:r>
              <w:rPr>
                <w:rFonts w:hint="eastAsia" w:ascii="宋体" w:hAnsi="宋体"/>
                <w:color w:val="auto"/>
                <w:sz w:val="24"/>
                <w:lang w:val="en-US" w:eastAsia="zh-CN"/>
              </w:rPr>
              <w:t>中小</w:t>
            </w:r>
            <w:r>
              <w:rPr>
                <w:rFonts w:hint="eastAsia" w:ascii="宋体" w:hAnsi="宋体"/>
                <w:color w:val="auto"/>
                <w:sz w:val="24"/>
              </w:rPr>
              <w:t>企业采购，供应商应提供《中小企业声明函》或《残疾人福利性单位声明函》或由省级以上监狱管理局、戒毒管理局（含新疆生产建设兵团）出具的属于监狱企业的证明文件。</w:t>
            </w:r>
          </w:p>
        </w:tc>
        <w:tc>
          <w:tcPr>
            <w:tcW w:w="813" w:type="pct"/>
            <w:vAlign w:val="center"/>
          </w:tcPr>
          <w:p w14:paraId="5B0BEEA4">
            <w:pPr>
              <w:tabs>
                <w:tab w:val="left" w:pos="1080"/>
              </w:tabs>
              <w:snapToGrid w:val="0"/>
              <w:rPr>
                <w:color w:val="auto"/>
                <w:sz w:val="24"/>
              </w:rPr>
            </w:pPr>
            <w:r>
              <w:rPr>
                <w:color w:val="auto"/>
                <w:sz w:val="24"/>
              </w:rPr>
              <w:t>格式见《</w:t>
            </w:r>
            <w:r>
              <w:rPr>
                <w:rFonts w:hint="eastAsia"/>
                <w:color w:val="auto"/>
                <w:sz w:val="24"/>
              </w:rPr>
              <w:t>响应</w:t>
            </w:r>
            <w:r>
              <w:rPr>
                <w:color w:val="auto"/>
                <w:sz w:val="24"/>
              </w:rPr>
              <w:t>文件格式》</w:t>
            </w:r>
          </w:p>
        </w:tc>
      </w:tr>
      <w:tr w14:paraId="6EBEC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0" w:hRule="atLeast"/>
        </w:trPr>
        <w:tc>
          <w:tcPr>
            <w:tcW w:w="472" w:type="pct"/>
            <w:vAlign w:val="center"/>
          </w:tcPr>
          <w:p w14:paraId="629875CF">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3</w:t>
            </w:r>
          </w:p>
        </w:tc>
        <w:tc>
          <w:tcPr>
            <w:tcW w:w="786" w:type="pct"/>
            <w:vAlign w:val="center"/>
          </w:tcPr>
          <w:p w14:paraId="0DEC7492">
            <w:pPr>
              <w:tabs>
                <w:tab w:val="left" w:pos="1080"/>
              </w:tabs>
              <w:snapToGrid w:val="0"/>
              <w:spacing w:line="280" w:lineRule="exact"/>
              <w:jc w:val="left"/>
              <w:rPr>
                <w:rFonts w:hint="eastAsia" w:ascii="宋体" w:hAnsi="宋体"/>
                <w:color w:val="auto"/>
                <w:sz w:val="24"/>
              </w:rPr>
            </w:pPr>
            <w:r>
              <w:rPr>
                <w:rFonts w:ascii="宋体" w:hAnsi="宋体"/>
                <w:color w:val="auto"/>
                <w:sz w:val="24"/>
              </w:rPr>
              <w:t>本项目的特定资格要求</w:t>
            </w:r>
          </w:p>
        </w:tc>
        <w:tc>
          <w:tcPr>
            <w:tcW w:w="2929" w:type="pct"/>
            <w:vAlign w:val="center"/>
          </w:tcPr>
          <w:p w14:paraId="4340CDDF">
            <w:pPr>
              <w:tabs>
                <w:tab w:val="left" w:pos="1080"/>
              </w:tabs>
              <w:snapToGrid w:val="0"/>
              <w:spacing w:line="280" w:lineRule="exact"/>
              <w:jc w:val="left"/>
              <w:rPr>
                <w:rFonts w:hint="eastAsia" w:ascii="宋体" w:hAnsi="宋体"/>
                <w:color w:val="auto"/>
                <w:sz w:val="24"/>
              </w:rPr>
            </w:pPr>
            <w:r>
              <w:rPr>
                <w:rFonts w:hint="eastAsia" w:ascii="宋体" w:hAnsi="宋体"/>
                <w:color w:val="auto"/>
                <w:sz w:val="24"/>
              </w:rPr>
              <w:t>具体要求</w:t>
            </w:r>
            <w:r>
              <w:rPr>
                <w:rFonts w:ascii="宋体" w:hAnsi="宋体"/>
                <w:color w:val="auto"/>
                <w:sz w:val="24"/>
              </w:rPr>
              <w:t>见第一章《采购邀请》</w:t>
            </w:r>
          </w:p>
        </w:tc>
        <w:tc>
          <w:tcPr>
            <w:tcW w:w="813" w:type="pct"/>
            <w:vAlign w:val="center"/>
          </w:tcPr>
          <w:p w14:paraId="2826ACC5">
            <w:pPr>
              <w:tabs>
                <w:tab w:val="left" w:pos="1080"/>
              </w:tabs>
              <w:snapToGrid w:val="0"/>
              <w:spacing w:line="280" w:lineRule="exact"/>
              <w:jc w:val="left"/>
              <w:rPr>
                <w:rFonts w:hint="eastAsia" w:ascii="宋体" w:hAnsi="宋体"/>
                <w:color w:val="auto"/>
                <w:sz w:val="24"/>
              </w:rPr>
            </w:pPr>
          </w:p>
        </w:tc>
      </w:tr>
      <w:tr w14:paraId="0B817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8" w:hRule="atLeast"/>
        </w:trPr>
        <w:tc>
          <w:tcPr>
            <w:tcW w:w="472" w:type="pct"/>
            <w:vAlign w:val="center"/>
          </w:tcPr>
          <w:p w14:paraId="27593FF8">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3</w:t>
            </w:r>
            <w:r>
              <w:rPr>
                <w:rFonts w:ascii="宋体" w:hAnsi="宋体"/>
                <w:color w:val="auto"/>
                <w:sz w:val="24"/>
              </w:rPr>
              <w:t>-</w:t>
            </w:r>
            <w:r>
              <w:rPr>
                <w:rFonts w:hint="eastAsia" w:ascii="宋体" w:hAnsi="宋体"/>
                <w:color w:val="auto"/>
                <w:sz w:val="24"/>
              </w:rPr>
              <w:t>1</w:t>
            </w:r>
          </w:p>
        </w:tc>
        <w:tc>
          <w:tcPr>
            <w:tcW w:w="786" w:type="pct"/>
            <w:vAlign w:val="center"/>
          </w:tcPr>
          <w:p w14:paraId="25F7D2B4">
            <w:pPr>
              <w:tabs>
                <w:tab w:val="left" w:pos="1080"/>
              </w:tabs>
              <w:snapToGrid w:val="0"/>
              <w:spacing w:line="280" w:lineRule="exact"/>
              <w:rPr>
                <w:rFonts w:hint="eastAsia" w:ascii="宋体" w:hAnsi="宋体"/>
                <w:color w:val="auto"/>
                <w:sz w:val="24"/>
              </w:rPr>
            </w:pPr>
            <w:r>
              <w:rPr>
                <w:rFonts w:ascii="宋体" w:hAnsi="宋体"/>
                <w:color w:val="auto"/>
                <w:sz w:val="24"/>
              </w:rPr>
              <w:t>其他特定资格要求</w:t>
            </w:r>
          </w:p>
        </w:tc>
        <w:tc>
          <w:tcPr>
            <w:tcW w:w="2929" w:type="pct"/>
            <w:vAlign w:val="center"/>
          </w:tcPr>
          <w:p w14:paraId="1B7DDAF7">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（1）供应商须具备建设行政主管部门颁发的有效的建筑工程施工总承包三级（含以上级）资质；</w:t>
            </w:r>
          </w:p>
          <w:p w14:paraId="60B50419">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（2）供应商须具备建设行政主管部门颁发的有效的《安全生产许可证》，且未被北京市住房城乡建设主管部门暂扣；</w:t>
            </w:r>
          </w:p>
          <w:p w14:paraId="4C01291E">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（3）供应商不存在被北京市住房城乡建设主管部门标注资质（本项目所涉及资质）异常且未完成整改情形；</w:t>
            </w:r>
          </w:p>
          <w:p w14:paraId="2A61742D">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s="Times New Roman"/>
                <w:color w:val="auto"/>
                <w:kern w:val="2"/>
              </w:rPr>
            </w:pPr>
            <w:r>
              <w:rPr>
                <w:rFonts w:hint="eastAsia" w:cs="Times New Roman"/>
                <w:color w:val="auto"/>
                <w:kern w:val="2"/>
              </w:rPr>
              <w:t>（4）供应商未被北京市住房城乡建设主管部门警示为施工安全风险企业；</w:t>
            </w:r>
          </w:p>
          <w:p w14:paraId="5B0BB387">
            <w:pPr>
              <w:pStyle w:val="269"/>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textAlignment w:val="auto"/>
              <w:rPr>
                <w:rFonts w:hint="eastAsia"/>
                <w:color w:val="auto"/>
              </w:rPr>
            </w:pPr>
            <w:r>
              <w:rPr>
                <w:rFonts w:hint="eastAsia" w:cs="Times New Roman"/>
                <w:color w:val="auto"/>
                <w:kern w:val="2"/>
              </w:rPr>
              <w:t>（5）供应商拟派项目经理须具备建筑工程专业二级注册建造师执业资格，具备有效的安全生产考核合格证书（B本），且在确定成交人时不得担任其他在施建设工程项目的项目经理。</w:t>
            </w:r>
          </w:p>
        </w:tc>
        <w:tc>
          <w:tcPr>
            <w:tcW w:w="813" w:type="pct"/>
            <w:vAlign w:val="center"/>
          </w:tcPr>
          <w:p w14:paraId="6AF31BE1">
            <w:pPr>
              <w:tabs>
                <w:tab w:val="left" w:pos="1080"/>
              </w:tabs>
              <w:snapToGrid w:val="0"/>
              <w:spacing w:line="280" w:lineRule="exact"/>
              <w:rPr>
                <w:rFonts w:hint="eastAsia" w:ascii="宋体" w:hAnsi="宋体"/>
                <w:color w:val="auto"/>
                <w:sz w:val="24"/>
              </w:rPr>
            </w:pPr>
            <w:r>
              <w:rPr>
                <w:rFonts w:hint="eastAsia" w:ascii="宋体" w:hAnsi="宋体"/>
                <w:color w:val="auto"/>
                <w:sz w:val="24"/>
              </w:rPr>
              <w:t>格式见《响应文件格式》</w:t>
            </w:r>
          </w:p>
        </w:tc>
      </w:tr>
      <w:tr w14:paraId="49568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7" w:hRule="atLeast"/>
        </w:trPr>
        <w:tc>
          <w:tcPr>
            <w:tcW w:w="472" w:type="pct"/>
            <w:vAlign w:val="center"/>
          </w:tcPr>
          <w:p w14:paraId="01E94B79">
            <w:pPr>
              <w:tabs>
                <w:tab w:val="left" w:pos="1080"/>
              </w:tabs>
              <w:snapToGrid w:val="0"/>
              <w:spacing w:line="280" w:lineRule="exact"/>
              <w:jc w:val="center"/>
              <w:rPr>
                <w:rFonts w:hint="eastAsia" w:ascii="宋体" w:hAnsi="宋体"/>
                <w:color w:val="auto"/>
                <w:sz w:val="24"/>
              </w:rPr>
            </w:pPr>
            <w:r>
              <w:rPr>
                <w:rFonts w:hint="eastAsia" w:ascii="宋体" w:hAnsi="宋体"/>
                <w:color w:val="auto"/>
                <w:sz w:val="24"/>
              </w:rPr>
              <w:t>4</w:t>
            </w:r>
          </w:p>
        </w:tc>
        <w:tc>
          <w:tcPr>
            <w:tcW w:w="786" w:type="pct"/>
            <w:vAlign w:val="center"/>
          </w:tcPr>
          <w:p w14:paraId="6E0116C1">
            <w:pPr>
              <w:tabs>
                <w:tab w:val="left" w:pos="1080"/>
              </w:tabs>
              <w:snapToGrid w:val="0"/>
              <w:spacing w:line="280" w:lineRule="exact"/>
              <w:rPr>
                <w:rFonts w:hint="eastAsia" w:ascii="宋体" w:hAnsi="宋体"/>
                <w:color w:val="auto"/>
                <w:sz w:val="24"/>
              </w:rPr>
            </w:pPr>
            <w:r>
              <w:rPr>
                <w:rFonts w:hint="eastAsia" w:ascii="宋体" w:hAnsi="宋体"/>
                <w:color w:val="auto"/>
                <w:sz w:val="24"/>
              </w:rPr>
              <w:t>获取磋商文件</w:t>
            </w:r>
          </w:p>
        </w:tc>
        <w:tc>
          <w:tcPr>
            <w:tcW w:w="2929" w:type="pct"/>
            <w:vAlign w:val="center"/>
          </w:tcPr>
          <w:p w14:paraId="3AD2D3FD">
            <w:pPr>
              <w:tabs>
                <w:tab w:val="left" w:pos="900"/>
                <w:tab w:val="left" w:pos="1134"/>
                <w:tab w:val="left" w:pos="1589"/>
                <w:tab w:val="left" w:pos="5521"/>
              </w:tabs>
              <w:snapToGrid w:val="0"/>
              <w:spacing w:line="280" w:lineRule="exact"/>
              <w:rPr>
                <w:rFonts w:hint="eastAsia" w:ascii="宋体" w:hAnsi="宋体"/>
                <w:color w:val="auto"/>
                <w:sz w:val="24"/>
              </w:rPr>
            </w:pPr>
            <w:r>
              <w:rPr>
                <w:rFonts w:hint="eastAsia" w:ascii="宋体" w:hAnsi="宋体"/>
                <w:color w:val="auto"/>
                <w:sz w:val="24"/>
              </w:rPr>
              <w:t>在规定期限内通过北京市政府采购电子交易平台获取所参与项目的磋商文件。</w:t>
            </w:r>
          </w:p>
        </w:tc>
        <w:tc>
          <w:tcPr>
            <w:tcW w:w="813" w:type="pct"/>
            <w:vAlign w:val="center"/>
          </w:tcPr>
          <w:p w14:paraId="451B74A4">
            <w:pPr>
              <w:tabs>
                <w:tab w:val="left" w:pos="1080"/>
              </w:tabs>
              <w:snapToGrid w:val="0"/>
              <w:spacing w:line="280" w:lineRule="exact"/>
              <w:rPr>
                <w:rFonts w:hint="eastAsia" w:ascii="宋体" w:hAnsi="宋体"/>
                <w:color w:val="auto"/>
                <w:sz w:val="24"/>
              </w:rPr>
            </w:pPr>
          </w:p>
        </w:tc>
      </w:tr>
    </w:tbl>
    <w:p w14:paraId="17B9B732">
      <w:pPr>
        <w:widowControl/>
        <w:jc w:val="left"/>
        <w:rPr>
          <w:rFonts w:hint="eastAsia" w:ascii="宋体" w:hAnsi="宋体"/>
          <w:color w:val="auto"/>
          <w:sz w:val="24"/>
        </w:rPr>
      </w:pPr>
      <w:r>
        <w:rPr>
          <w:rFonts w:ascii="宋体" w:hAnsi="宋体"/>
          <w:color w:val="auto"/>
          <w:sz w:val="24"/>
        </w:rPr>
        <w:br w:type="page"/>
      </w:r>
    </w:p>
    <w:p w14:paraId="4AB5AC1D">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《符合性审查要求》见下表：</w:t>
      </w:r>
    </w:p>
    <w:p w14:paraId="3698C228">
      <w:pPr>
        <w:widowControl/>
        <w:spacing w:line="360" w:lineRule="auto"/>
        <w:jc w:val="center"/>
        <w:rPr>
          <w:rFonts w:hint="eastAsia" w:ascii="宋体" w:hAnsi="宋体"/>
          <w:b/>
          <w:color w:val="auto"/>
          <w:kern w:val="0"/>
          <w:sz w:val="24"/>
        </w:rPr>
      </w:pPr>
      <w:r>
        <w:rPr>
          <w:rFonts w:ascii="宋体" w:hAnsi="宋体"/>
          <w:b/>
          <w:color w:val="auto"/>
          <w:kern w:val="0"/>
          <w:sz w:val="24"/>
        </w:rPr>
        <w:t>符合性审查要求</w:t>
      </w:r>
    </w:p>
    <w:tbl>
      <w:tblPr>
        <w:tblStyle w:val="53"/>
        <w:tblW w:w="51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900"/>
        <w:gridCol w:w="4206"/>
        <w:gridCol w:w="1829"/>
      </w:tblGrid>
      <w:tr w14:paraId="1778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1D5D4868">
            <w:pPr>
              <w:widowControl/>
              <w:jc w:val="center"/>
              <w:rPr>
                <w:rFonts w:hint="eastAsia" w:ascii="宋体" w:hAnsi="宋体"/>
                <w:b/>
                <w:color w:val="auto"/>
                <w:kern w:val="0"/>
                <w:sz w:val="24"/>
              </w:rPr>
            </w:pPr>
            <w:r>
              <w:rPr>
                <w:rFonts w:ascii="宋体" w:hAnsi="宋体"/>
                <w:b/>
                <w:color w:val="auto"/>
                <w:kern w:val="0"/>
                <w:sz w:val="24"/>
              </w:rPr>
              <w:t>序号</w:t>
            </w:r>
          </w:p>
        </w:tc>
        <w:tc>
          <w:tcPr>
            <w:tcW w:w="1092" w:type="pct"/>
            <w:shd w:val="clear" w:color="000000" w:fill="FFFFFF"/>
            <w:vAlign w:val="center"/>
          </w:tcPr>
          <w:p w14:paraId="1EAF8963">
            <w:pPr>
              <w:widowControl/>
              <w:jc w:val="center"/>
              <w:rPr>
                <w:rFonts w:hint="eastAsia" w:ascii="宋体" w:hAnsi="宋体"/>
                <w:b/>
                <w:color w:val="auto"/>
                <w:kern w:val="0"/>
                <w:sz w:val="24"/>
              </w:rPr>
            </w:pPr>
            <w:r>
              <w:rPr>
                <w:rFonts w:ascii="宋体" w:hAnsi="宋体"/>
                <w:b/>
                <w:color w:val="auto"/>
                <w:sz w:val="24"/>
              </w:rPr>
              <w:t>检查</w:t>
            </w:r>
            <w:r>
              <w:rPr>
                <w:rFonts w:ascii="宋体" w:hAnsi="宋体"/>
                <w:b/>
                <w:color w:val="auto"/>
                <w:kern w:val="0"/>
                <w:sz w:val="24"/>
              </w:rPr>
              <w:t>因素</w:t>
            </w:r>
          </w:p>
        </w:tc>
        <w:tc>
          <w:tcPr>
            <w:tcW w:w="2417" w:type="pct"/>
            <w:shd w:val="clear" w:color="000000" w:fill="FFFFFF"/>
            <w:vAlign w:val="center"/>
          </w:tcPr>
          <w:p w14:paraId="4F365901">
            <w:pPr>
              <w:widowControl/>
              <w:jc w:val="center"/>
              <w:rPr>
                <w:rFonts w:hint="eastAsia" w:ascii="宋体" w:hAnsi="宋体"/>
                <w:b/>
                <w:color w:val="auto"/>
                <w:kern w:val="0"/>
                <w:sz w:val="24"/>
              </w:rPr>
            </w:pPr>
            <w:r>
              <w:rPr>
                <w:rFonts w:ascii="宋体" w:hAnsi="宋体"/>
                <w:b/>
                <w:color w:val="auto"/>
                <w:sz w:val="24"/>
              </w:rPr>
              <w:t>检查</w:t>
            </w:r>
            <w:r>
              <w:rPr>
                <w:rFonts w:ascii="宋体" w:hAnsi="宋体"/>
                <w:b/>
                <w:color w:val="auto"/>
                <w:kern w:val="0"/>
                <w:sz w:val="24"/>
              </w:rPr>
              <w:t>内容</w:t>
            </w:r>
          </w:p>
        </w:tc>
        <w:tc>
          <w:tcPr>
            <w:tcW w:w="1051" w:type="pct"/>
            <w:shd w:val="clear" w:color="000000" w:fill="FFFFFF"/>
            <w:vAlign w:val="center"/>
          </w:tcPr>
          <w:p w14:paraId="7301647C">
            <w:pPr>
              <w:widowControl/>
              <w:jc w:val="center"/>
              <w:rPr>
                <w:rFonts w:hint="eastAsia" w:ascii="宋体" w:hAnsi="宋体"/>
                <w:b/>
                <w:color w:val="auto"/>
                <w:kern w:val="0"/>
                <w:sz w:val="24"/>
              </w:rPr>
            </w:pPr>
            <w:r>
              <w:rPr>
                <w:rFonts w:ascii="宋体" w:hAnsi="宋体"/>
                <w:b/>
                <w:color w:val="auto"/>
                <w:kern w:val="0"/>
                <w:sz w:val="24"/>
              </w:rPr>
              <w:t>是否允许澄清、说明或者更正</w:t>
            </w:r>
          </w:p>
        </w:tc>
      </w:tr>
      <w:tr w14:paraId="51FD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13B0388D">
            <w:pPr>
              <w:widowControl/>
              <w:jc w:val="center"/>
              <w:rPr>
                <w:rFonts w:hint="eastAsia" w:ascii="宋体" w:hAnsi="宋体"/>
                <w:color w:val="auto"/>
                <w:kern w:val="0"/>
                <w:sz w:val="24"/>
              </w:rPr>
            </w:pPr>
            <w:r>
              <w:rPr>
                <w:rFonts w:hint="eastAsia" w:ascii="宋体" w:hAnsi="宋体"/>
                <w:color w:val="auto"/>
                <w:sz w:val="24"/>
              </w:rPr>
              <w:t>1</w:t>
            </w:r>
          </w:p>
        </w:tc>
        <w:tc>
          <w:tcPr>
            <w:tcW w:w="1092" w:type="pct"/>
            <w:shd w:val="clear" w:color="000000" w:fill="FFFFFF"/>
            <w:vAlign w:val="center"/>
          </w:tcPr>
          <w:p w14:paraId="6A762EB8">
            <w:pPr>
              <w:widowControl/>
              <w:jc w:val="center"/>
              <w:rPr>
                <w:rFonts w:hint="eastAsia" w:ascii="宋体" w:hAnsi="宋体"/>
                <w:color w:val="auto"/>
                <w:kern w:val="0"/>
                <w:sz w:val="24"/>
              </w:rPr>
            </w:pPr>
            <w:r>
              <w:rPr>
                <w:rFonts w:hint="eastAsia" w:ascii="宋体" w:hAnsi="宋体"/>
                <w:color w:val="auto"/>
                <w:sz w:val="24"/>
              </w:rPr>
              <w:t>响应文件签署、盖章</w:t>
            </w:r>
          </w:p>
        </w:tc>
        <w:tc>
          <w:tcPr>
            <w:tcW w:w="2417" w:type="pct"/>
            <w:shd w:val="clear" w:color="000000" w:fill="FFFFFF"/>
            <w:vAlign w:val="center"/>
          </w:tcPr>
          <w:p w14:paraId="52EB3D35">
            <w:pPr>
              <w:widowControl/>
              <w:jc w:val="left"/>
              <w:rPr>
                <w:rFonts w:hint="eastAsia" w:ascii="宋体" w:hAnsi="宋体"/>
                <w:color w:val="auto"/>
                <w:kern w:val="0"/>
                <w:sz w:val="24"/>
              </w:rPr>
            </w:pPr>
            <w:r>
              <w:rPr>
                <w:rFonts w:hint="eastAsia" w:ascii="宋体" w:hAnsi="宋体"/>
                <w:color w:val="auto"/>
                <w:sz w:val="24"/>
              </w:rPr>
              <w:t>按照磋商文件规定格式填写、签署、盖章，未出现内容不全或关键字迹模糊、无法辨认的。</w:t>
            </w:r>
          </w:p>
        </w:tc>
        <w:tc>
          <w:tcPr>
            <w:tcW w:w="1051" w:type="pct"/>
            <w:shd w:val="clear" w:color="000000" w:fill="FFFFFF"/>
            <w:vAlign w:val="center"/>
          </w:tcPr>
          <w:p w14:paraId="2597F777">
            <w:pPr>
              <w:widowControl/>
              <w:jc w:val="center"/>
              <w:rPr>
                <w:rFonts w:hint="eastAsia" w:ascii="宋体" w:hAnsi="宋体"/>
                <w:bCs/>
                <w:color w:val="auto"/>
                <w:sz w:val="24"/>
              </w:rPr>
            </w:pPr>
            <w:r>
              <w:rPr>
                <w:rFonts w:hint="eastAsia" w:ascii="宋体" w:hAnsi="宋体" w:cs="宋体"/>
                <w:color w:val="auto"/>
                <w:sz w:val="24"/>
              </w:rPr>
              <w:t>允许澄清、说明或者更正</w:t>
            </w:r>
          </w:p>
        </w:tc>
      </w:tr>
      <w:tr w14:paraId="62D4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01A188CD">
            <w:pPr>
              <w:widowControl/>
              <w:jc w:val="center"/>
              <w:rPr>
                <w:rFonts w:hint="eastAsia" w:ascii="宋体" w:hAnsi="宋体"/>
                <w:color w:val="auto"/>
                <w:kern w:val="0"/>
                <w:sz w:val="24"/>
              </w:rPr>
            </w:pPr>
            <w:r>
              <w:rPr>
                <w:rFonts w:hint="eastAsia" w:ascii="宋体" w:hAnsi="宋体"/>
                <w:color w:val="auto"/>
                <w:sz w:val="24"/>
              </w:rPr>
              <w:t>2</w:t>
            </w:r>
          </w:p>
        </w:tc>
        <w:tc>
          <w:tcPr>
            <w:tcW w:w="1092" w:type="pct"/>
            <w:shd w:val="clear" w:color="000000" w:fill="FFFFFF"/>
            <w:vAlign w:val="center"/>
          </w:tcPr>
          <w:p w14:paraId="2D09D932">
            <w:pPr>
              <w:widowControl/>
              <w:jc w:val="center"/>
              <w:rPr>
                <w:rFonts w:hint="eastAsia" w:ascii="宋体" w:hAnsi="宋体"/>
                <w:color w:val="auto"/>
                <w:kern w:val="0"/>
                <w:sz w:val="24"/>
              </w:rPr>
            </w:pPr>
            <w:r>
              <w:rPr>
                <w:rFonts w:hint="eastAsia" w:ascii="宋体" w:hAnsi="宋体"/>
                <w:color w:val="auto"/>
                <w:sz w:val="24"/>
              </w:rPr>
              <w:t>响应内容</w:t>
            </w:r>
          </w:p>
        </w:tc>
        <w:tc>
          <w:tcPr>
            <w:tcW w:w="2417" w:type="pct"/>
            <w:shd w:val="clear" w:color="000000" w:fill="FFFFFF"/>
            <w:vAlign w:val="center"/>
          </w:tcPr>
          <w:p w14:paraId="6DDE19E5">
            <w:pPr>
              <w:widowControl/>
              <w:jc w:val="left"/>
              <w:rPr>
                <w:rFonts w:hint="eastAsia" w:ascii="宋体" w:hAnsi="宋体"/>
                <w:color w:val="auto"/>
                <w:kern w:val="0"/>
                <w:sz w:val="24"/>
              </w:rPr>
            </w:pPr>
            <w:r>
              <w:rPr>
                <w:rFonts w:hint="eastAsia" w:ascii="宋体" w:hAnsi="宋体"/>
                <w:color w:val="auto"/>
                <w:sz w:val="24"/>
              </w:rPr>
              <w:t>范围、内容等满足磋商文件要求。</w:t>
            </w:r>
          </w:p>
        </w:tc>
        <w:tc>
          <w:tcPr>
            <w:tcW w:w="1051" w:type="pct"/>
            <w:shd w:val="clear" w:color="000000" w:fill="FFFFFF"/>
            <w:vAlign w:val="center"/>
          </w:tcPr>
          <w:p w14:paraId="7C945D83">
            <w:pPr>
              <w:widowControl/>
              <w:jc w:val="center"/>
              <w:rPr>
                <w:rFonts w:hint="eastAsia" w:ascii="宋体" w:hAnsi="宋体"/>
                <w:color w:val="auto"/>
                <w:sz w:val="24"/>
              </w:rPr>
            </w:pPr>
            <w:r>
              <w:rPr>
                <w:rFonts w:hint="eastAsia" w:ascii="宋体" w:hAnsi="宋体" w:cs="宋体"/>
                <w:color w:val="auto"/>
                <w:sz w:val="24"/>
              </w:rPr>
              <w:t>不允许澄清、说明或者更正</w:t>
            </w:r>
          </w:p>
        </w:tc>
      </w:tr>
      <w:tr w14:paraId="3F799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439" w:type="pct"/>
            <w:vMerge w:val="restart"/>
            <w:shd w:val="clear" w:color="000000" w:fill="FFFFFF"/>
            <w:vAlign w:val="center"/>
          </w:tcPr>
          <w:p w14:paraId="08B8CF04">
            <w:pPr>
              <w:widowControl/>
              <w:jc w:val="center"/>
              <w:rPr>
                <w:rFonts w:hint="eastAsia" w:ascii="宋体" w:hAnsi="宋体"/>
                <w:color w:val="auto"/>
                <w:kern w:val="0"/>
                <w:sz w:val="24"/>
              </w:rPr>
            </w:pPr>
            <w:r>
              <w:rPr>
                <w:rFonts w:hint="eastAsia" w:ascii="宋体" w:hAnsi="宋体"/>
                <w:color w:val="auto"/>
                <w:sz w:val="24"/>
              </w:rPr>
              <w:t>3</w:t>
            </w:r>
          </w:p>
        </w:tc>
        <w:tc>
          <w:tcPr>
            <w:tcW w:w="1092" w:type="pct"/>
            <w:vMerge w:val="restart"/>
            <w:shd w:val="clear" w:color="000000" w:fill="FFFFFF"/>
            <w:vAlign w:val="center"/>
          </w:tcPr>
          <w:p w14:paraId="34EA8241">
            <w:pPr>
              <w:widowControl/>
              <w:jc w:val="center"/>
              <w:rPr>
                <w:rFonts w:hint="eastAsia" w:ascii="宋体" w:hAnsi="宋体"/>
                <w:color w:val="auto"/>
                <w:kern w:val="0"/>
                <w:sz w:val="24"/>
              </w:rPr>
            </w:pPr>
            <w:r>
              <w:rPr>
                <w:rFonts w:hint="eastAsia" w:ascii="宋体" w:hAnsi="宋体"/>
                <w:color w:val="auto"/>
                <w:sz w:val="24"/>
              </w:rPr>
              <w:t>响应报价</w:t>
            </w:r>
          </w:p>
        </w:tc>
        <w:tc>
          <w:tcPr>
            <w:tcW w:w="2417" w:type="pct"/>
            <w:shd w:val="clear" w:color="000000" w:fill="FFFFFF"/>
            <w:vAlign w:val="center"/>
          </w:tcPr>
          <w:p w14:paraId="2393BB20">
            <w:pPr>
              <w:jc w:val="left"/>
              <w:rPr>
                <w:rFonts w:hint="eastAsia" w:ascii="宋体" w:hAnsi="宋体"/>
                <w:color w:val="auto"/>
                <w:sz w:val="24"/>
              </w:rPr>
            </w:pPr>
            <w:r>
              <w:rPr>
                <w:rFonts w:hint="eastAsia" w:ascii="宋体" w:hAnsi="宋体"/>
                <w:color w:val="auto"/>
                <w:sz w:val="24"/>
              </w:rPr>
              <w:t>未提交可选择或可调整的响应方案和报价。</w:t>
            </w:r>
          </w:p>
          <w:p w14:paraId="757E8759">
            <w:pPr>
              <w:jc w:val="left"/>
              <w:rPr>
                <w:rFonts w:hint="eastAsia" w:ascii="宋体" w:hAnsi="宋体"/>
                <w:color w:val="auto"/>
                <w:sz w:val="24"/>
              </w:rPr>
            </w:pPr>
            <w:r>
              <w:rPr>
                <w:rFonts w:hint="eastAsia" w:ascii="宋体" w:hAnsi="宋体"/>
                <w:color w:val="auto"/>
                <w:sz w:val="24"/>
              </w:rPr>
              <w:t>报价不高于最高限价和采购预算。</w:t>
            </w:r>
          </w:p>
        </w:tc>
        <w:tc>
          <w:tcPr>
            <w:tcW w:w="1051" w:type="pct"/>
            <w:shd w:val="clear" w:color="000000" w:fill="FFFFFF"/>
            <w:vAlign w:val="center"/>
          </w:tcPr>
          <w:p w14:paraId="121B618A">
            <w:pPr>
              <w:widowControl/>
              <w:jc w:val="center"/>
              <w:rPr>
                <w:rFonts w:hint="eastAsia" w:ascii="宋体" w:hAnsi="宋体"/>
                <w:color w:val="auto"/>
                <w:sz w:val="24"/>
              </w:rPr>
            </w:pPr>
            <w:r>
              <w:rPr>
                <w:rFonts w:hint="eastAsia" w:ascii="宋体" w:hAnsi="宋体" w:cs="宋体"/>
                <w:color w:val="auto"/>
                <w:sz w:val="24"/>
              </w:rPr>
              <w:t>不允许澄清、说明或者更正</w:t>
            </w:r>
          </w:p>
        </w:tc>
      </w:tr>
      <w:tr w14:paraId="5052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439" w:type="pct"/>
            <w:vMerge w:val="continue"/>
            <w:shd w:val="clear" w:color="000000" w:fill="FFFFFF"/>
            <w:vAlign w:val="center"/>
          </w:tcPr>
          <w:p w14:paraId="36902650">
            <w:pPr>
              <w:widowControl/>
              <w:jc w:val="center"/>
              <w:rPr>
                <w:rFonts w:hint="eastAsia" w:ascii="宋体" w:hAnsi="宋体"/>
                <w:color w:val="auto"/>
                <w:sz w:val="24"/>
              </w:rPr>
            </w:pPr>
          </w:p>
        </w:tc>
        <w:tc>
          <w:tcPr>
            <w:tcW w:w="1092" w:type="pct"/>
            <w:vMerge w:val="continue"/>
            <w:shd w:val="clear" w:color="000000" w:fill="FFFFFF"/>
            <w:vAlign w:val="center"/>
          </w:tcPr>
          <w:p w14:paraId="531A952A">
            <w:pPr>
              <w:widowControl/>
              <w:jc w:val="center"/>
              <w:rPr>
                <w:rFonts w:hint="eastAsia" w:ascii="宋体" w:hAnsi="宋体"/>
                <w:color w:val="auto"/>
                <w:sz w:val="24"/>
              </w:rPr>
            </w:pPr>
          </w:p>
        </w:tc>
        <w:tc>
          <w:tcPr>
            <w:tcW w:w="2417" w:type="pct"/>
            <w:shd w:val="clear" w:color="000000" w:fill="FFFFFF"/>
            <w:vAlign w:val="center"/>
          </w:tcPr>
          <w:p w14:paraId="3DD95EC0">
            <w:pPr>
              <w:widowControl/>
              <w:jc w:val="left"/>
              <w:rPr>
                <w:rFonts w:hint="eastAsia" w:ascii="宋体" w:hAnsi="宋体"/>
                <w:color w:val="auto"/>
                <w:sz w:val="24"/>
              </w:rPr>
            </w:pPr>
            <w:r>
              <w:rPr>
                <w:rFonts w:hint="eastAsia" w:ascii="宋体" w:hAnsi="宋体"/>
                <w:color w:val="auto"/>
                <w:sz w:val="24"/>
              </w:rPr>
              <w:t>未出现报价畸低，可能影响服务质量或不能诚信履约的。</w:t>
            </w:r>
          </w:p>
        </w:tc>
        <w:tc>
          <w:tcPr>
            <w:tcW w:w="1051" w:type="pct"/>
            <w:shd w:val="clear" w:color="000000" w:fill="FFFFFF"/>
            <w:vAlign w:val="center"/>
          </w:tcPr>
          <w:p w14:paraId="5714B434">
            <w:pPr>
              <w:widowControl/>
              <w:jc w:val="center"/>
              <w:rPr>
                <w:rFonts w:hint="eastAsia" w:ascii="宋体" w:hAnsi="宋体"/>
                <w:color w:val="auto"/>
                <w:sz w:val="24"/>
              </w:rPr>
            </w:pPr>
            <w:r>
              <w:rPr>
                <w:rFonts w:hint="eastAsia" w:ascii="宋体" w:hAnsi="宋体" w:cs="宋体"/>
                <w:color w:val="auto"/>
                <w:sz w:val="24"/>
              </w:rPr>
              <w:t>允许澄清、说明，不允许更正</w:t>
            </w:r>
          </w:p>
        </w:tc>
      </w:tr>
      <w:tr w14:paraId="7E09E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79DD34CC">
            <w:pPr>
              <w:widowControl/>
              <w:jc w:val="center"/>
              <w:rPr>
                <w:rFonts w:hint="eastAsia" w:ascii="宋体" w:hAnsi="宋体"/>
                <w:color w:val="auto"/>
                <w:kern w:val="0"/>
                <w:sz w:val="24"/>
              </w:rPr>
            </w:pPr>
            <w:r>
              <w:rPr>
                <w:rFonts w:hint="eastAsia" w:ascii="宋体" w:hAnsi="宋体"/>
                <w:color w:val="auto"/>
                <w:kern w:val="0"/>
                <w:sz w:val="24"/>
              </w:rPr>
              <w:t>4</w:t>
            </w:r>
          </w:p>
        </w:tc>
        <w:tc>
          <w:tcPr>
            <w:tcW w:w="1092" w:type="pct"/>
            <w:shd w:val="clear" w:color="000000" w:fill="FFFFFF"/>
            <w:vAlign w:val="center"/>
          </w:tcPr>
          <w:p w14:paraId="363F6082">
            <w:pPr>
              <w:widowControl/>
              <w:jc w:val="center"/>
              <w:rPr>
                <w:rFonts w:hint="eastAsia" w:ascii="宋体" w:hAnsi="宋体"/>
                <w:color w:val="auto"/>
                <w:kern w:val="0"/>
                <w:sz w:val="24"/>
              </w:rPr>
            </w:pPr>
            <w:r>
              <w:rPr>
                <w:rFonts w:hint="eastAsia" w:ascii="宋体" w:hAnsi="宋体"/>
                <w:color w:val="auto"/>
                <w:sz w:val="24"/>
              </w:rPr>
              <w:t>实质性响应</w:t>
            </w:r>
          </w:p>
        </w:tc>
        <w:tc>
          <w:tcPr>
            <w:tcW w:w="2417" w:type="pct"/>
            <w:shd w:val="clear" w:color="000000" w:fill="FFFFFF"/>
            <w:vAlign w:val="center"/>
          </w:tcPr>
          <w:p w14:paraId="3866325E">
            <w:pPr>
              <w:widowControl/>
              <w:jc w:val="left"/>
              <w:rPr>
                <w:rFonts w:hint="eastAsia" w:ascii="宋体" w:hAnsi="宋体"/>
                <w:color w:val="auto"/>
                <w:kern w:val="0"/>
                <w:sz w:val="24"/>
              </w:rPr>
            </w:pPr>
            <w:r>
              <w:rPr>
                <w:rFonts w:hint="eastAsia" w:ascii="宋体" w:hAnsi="宋体"/>
                <w:color w:val="auto"/>
                <w:sz w:val="24"/>
              </w:rPr>
              <w:t>响应文件的内容满足磋商文件要求，无重大偏离或保留，实质性条款完全响应或优于磋商文件要求。</w:t>
            </w:r>
          </w:p>
        </w:tc>
        <w:tc>
          <w:tcPr>
            <w:tcW w:w="1051" w:type="pct"/>
            <w:shd w:val="clear" w:color="000000" w:fill="FFFFFF"/>
            <w:vAlign w:val="center"/>
          </w:tcPr>
          <w:p w14:paraId="43A72381">
            <w:pPr>
              <w:jc w:val="center"/>
              <w:rPr>
                <w:rFonts w:hint="eastAsia" w:ascii="宋体" w:hAnsi="宋体"/>
                <w:color w:val="auto"/>
                <w:sz w:val="24"/>
              </w:rPr>
            </w:pPr>
            <w:r>
              <w:rPr>
                <w:rFonts w:hint="eastAsia" w:ascii="宋体" w:hAnsi="宋体" w:cs="宋体"/>
                <w:color w:val="auto"/>
                <w:sz w:val="24"/>
              </w:rPr>
              <w:t>不允许澄清、说明或者更正</w:t>
            </w:r>
          </w:p>
        </w:tc>
      </w:tr>
      <w:tr w14:paraId="2DC4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39" w:type="pct"/>
            <w:shd w:val="clear" w:color="000000" w:fill="FFFFFF"/>
            <w:vAlign w:val="center"/>
          </w:tcPr>
          <w:p w14:paraId="37F12B65">
            <w:pPr>
              <w:widowControl/>
              <w:jc w:val="center"/>
              <w:rPr>
                <w:rFonts w:hint="eastAsia" w:ascii="宋体" w:hAnsi="宋体"/>
                <w:color w:val="auto"/>
                <w:sz w:val="24"/>
              </w:rPr>
            </w:pPr>
            <w:r>
              <w:rPr>
                <w:rFonts w:hint="eastAsia" w:ascii="宋体" w:hAnsi="宋体"/>
                <w:color w:val="auto"/>
                <w:sz w:val="24"/>
              </w:rPr>
              <w:t>5</w:t>
            </w:r>
          </w:p>
        </w:tc>
        <w:tc>
          <w:tcPr>
            <w:tcW w:w="1092" w:type="pct"/>
            <w:shd w:val="clear" w:color="000000" w:fill="FFFFFF"/>
            <w:vAlign w:val="center"/>
          </w:tcPr>
          <w:p w14:paraId="3A1A94DD">
            <w:pPr>
              <w:widowControl/>
              <w:jc w:val="center"/>
              <w:rPr>
                <w:rFonts w:hint="eastAsia" w:ascii="宋体" w:hAnsi="宋体"/>
                <w:color w:val="auto"/>
                <w:kern w:val="0"/>
                <w:sz w:val="24"/>
              </w:rPr>
            </w:pPr>
            <w:r>
              <w:rPr>
                <w:rFonts w:hint="eastAsia" w:ascii="宋体" w:hAnsi="宋体"/>
                <w:color w:val="auto"/>
                <w:sz w:val="24"/>
              </w:rPr>
              <w:t>磋商文件规定的其他无效条款</w:t>
            </w:r>
          </w:p>
        </w:tc>
        <w:tc>
          <w:tcPr>
            <w:tcW w:w="2417" w:type="pct"/>
            <w:shd w:val="clear" w:color="000000" w:fill="FFFFFF"/>
            <w:vAlign w:val="center"/>
          </w:tcPr>
          <w:p w14:paraId="28CDAD97">
            <w:pPr>
              <w:widowControl/>
              <w:jc w:val="left"/>
              <w:rPr>
                <w:rFonts w:hint="eastAsia" w:ascii="宋体" w:hAnsi="宋体"/>
                <w:color w:val="auto"/>
                <w:kern w:val="0"/>
                <w:sz w:val="24"/>
              </w:rPr>
            </w:pPr>
            <w:r>
              <w:rPr>
                <w:rFonts w:hint="eastAsia" w:ascii="宋体" w:hAnsi="宋体"/>
                <w:color w:val="auto"/>
                <w:sz w:val="24"/>
              </w:rPr>
              <w:t>不存在磋商文件规定的其他无效条款。</w:t>
            </w:r>
          </w:p>
        </w:tc>
        <w:tc>
          <w:tcPr>
            <w:tcW w:w="1051" w:type="pct"/>
            <w:shd w:val="clear" w:color="000000" w:fill="FFFFFF"/>
            <w:vAlign w:val="center"/>
          </w:tcPr>
          <w:p w14:paraId="75894262">
            <w:pPr>
              <w:widowControl/>
              <w:jc w:val="center"/>
              <w:rPr>
                <w:rFonts w:hint="eastAsia" w:ascii="宋体" w:hAnsi="宋体"/>
                <w:color w:val="auto"/>
                <w:sz w:val="24"/>
              </w:rPr>
            </w:pPr>
            <w:r>
              <w:rPr>
                <w:rFonts w:hint="eastAsia" w:ascii="宋体" w:hAnsi="宋体" w:cs="宋体"/>
                <w:color w:val="auto"/>
                <w:sz w:val="24"/>
              </w:rPr>
              <w:t>不允许澄清、说明或者更正</w:t>
            </w:r>
          </w:p>
        </w:tc>
      </w:tr>
    </w:tbl>
    <w:p w14:paraId="6BB620F6">
      <w:pPr>
        <w:tabs>
          <w:tab w:val="left" w:pos="900"/>
          <w:tab w:val="left" w:pos="1080"/>
          <w:tab w:val="left" w:pos="1589"/>
        </w:tabs>
        <w:snapToGrid w:val="0"/>
        <w:spacing w:line="360" w:lineRule="auto"/>
        <w:rPr>
          <w:rFonts w:hint="eastAsia" w:ascii="宋体" w:hAnsi="宋体"/>
          <w:color w:val="auto"/>
          <w:sz w:val="24"/>
        </w:rPr>
      </w:pPr>
    </w:p>
    <w:p w14:paraId="451B6F1C">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磋商、响应文件有关事项的澄清、说明或者更正和最后报价</w:t>
      </w:r>
    </w:p>
    <w:p w14:paraId="488254D2">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磋商小组所有成员应当集中与单一供应商分别进行磋商，并给予所有参加磋商的供应商平等的磋商机会。</w:t>
      </w:r>
    </w:p>
    <w:p w14:paraId="4AFCD95A">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12B1C19">
      <w:pPr>
        <w:numPr>
          <w:ilvl w:val="1"/>
          <w:numId w:val="11"/>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对磋商文件作出的实质性变动是磋商文件的有效组成部分，磋商小组应当及时以书面形式同时通知所有参加磋商的供应商。</w:t>
      </w:r>
    </w:p>
    <w:p w14:paraId="4DE1D315">
      <w:pPr>
        <w:numPr>
          <w:ilvl w:val="1"/>
          <w:numId w:val="11"/>
        </w:numPr>
        <w:tabs>
          <w:tab w:val="left" w:pos="1080"/>
          <w:tab w:val="left" w:pos="1872"/>
        </w:tabs>
        <w:snapToGrid w:val="0"/>
        <w:spacing w:line="360" w:lineRule="auto"/>
        <w:ind w:left="1077" w:hanging="720"/>
        <w:rPr>
          <w:rFonts w:hint="eastAsia" w:ascii="宋体" w:hAnsi="宋体"/>
          <w:color w:val="auto"/>
          <w:kern w:val="0"/>
          <w:sz w:val="24"/>
        </w:rPr>
      </w:pPr>
      <w:r>
        <w:rPr>
          <w:rFonts w:ascii="宋体" w:hAnsi="宋体"/>
          <w:color w:val="auto"/>
          <w:kern w:val="0"/>
          <w:sz w:val="24"/>
        </w:rPr>
        <w:t>供应商应当按照磋商文件的变动情况和磋商小组的要求重新提交响应文件，并由其法定代表人</w:t>
      </w:r>
      <w:r>
        <w:rPr>
          <w:rFonts w:hint="eastAsia" w:ascii="宋体" w:hAnsi="宋体"/>
          <w:color w:val="auto"/>
          <w:kern w:val="0"/>
          <w:sz w:val="24"/>
        </w:rPr>
        <w:t>（若供应商为事业单位或其他组织或分支机构，可为单位负责人）</w:t>
      </w:r>
      <w:r>
        <w:rPr>
          <w:rFonts w:ascii="宋体" w:hAnsi="宋体"/>
          <w:color w:val="auto"/>
          <w:kern w:val="0"/>
          <w:sz w:val="24"/>
        </w:rPr>
        <w:t>或授权代表签字或者加盖公章。由授权代表签字的，应当附授权委托书。供应商为自然人的，应当由本人签字并附身份证明。</w:t>
      </w:r>
    </w:p>
    <w:p w14:paraId="6B6BAAF6">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响应文件的澄清、说明或者更正</w:t>
      </w:r>
      <w:r>
        <w:rPr>
          <w:rFonts w:hint="eastAsia" w:ascii="宋体" w:hAnsi="宋体"/>
          <w:color w:val="auto"/>
          <w:sz w:val="24"/>
        </w:rPr>
        <w:t>：</w:t>
      </w:r>
    </w:p>
    <w:p w14:paraId="1C8A9382">
      <w:pPr>
        <w:numPr>
          <w:ilvl w:val="2"/>
          <w:numId w:val="11"/>
        </w:numPr>
        <w:snapToGrid w:val="0"/>
        <w:spacing w:line="360" w:lineRule="auto"/>
        <w:rPr>
          <w:rFonts w:hint="eastAsia" w:ascii="宋体" w:hAnsi="宋体"/>
          <w:color w:val="auto"/>
          <w:sz w:val="24"/>
        </w:rPr>
      </w:pPr>
      <w:r>
        <w:rPr>
          <w:rFonts w:ascii="宋体" w:hAnsi="宋体"/>
          <w:color w:val="auto"/>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B49AAB0">
      <w:pPr>
        <w:numPr>
          <w:ilvl w:val="2"/>
          <w:numId w:val="11"/>
        </w:numPr>
        <w:snapToGrid w:val="0"/>
        <w:spacing w:line="360" w:lineRule="auto"/>
        <w:rPr>
          <w:rFonts w:hint="eastAsia" w:ascii="宋体" w:hAnsi="宋体"/>
          <w:color w:val="auto"/>
          <w:sz w:val="24"/>
        </w:rPr>
      </w:pPr>
      <w:r>
        <w:rPr>
          <w:rFonts w:ascii="宋体" w:hAnsi="宋体"/>
          <w:color w:val="auto"/>
          <w:sz w:val="24"/>
        </w:rPr>
        <w:t>磋商小组对响应文件进行审查，如发现供应商提交的响应文件存在不满足《符合性审查要求》的内容，如属于表中“不允许”澄清、说明或者更正的内容，则供应商响应文件按</w:t>
      </w:r>
      <w:r>
        <w:rPr>
          <w:rFonts w:ascii="宋体" w:hAnsi="宋体"/>
          <w:b/>
          <w:color w:val="auto"/>
          <w:sz w:val="24"/>
        </w:rPr>
        <w:t>无效处理</w:t>
      </w:r>
      <w:r>
        <w:rPr>
          <w:rFonts w:ascii="宋体" w:hAnsi="宋体"/>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color w:val="auto"/>
          <w:sz w:val="24"/>
        </w:rPr>
        <w:t>无效处理</w:t>
      </w:r>
      <w:r>
        <w:rPr>
          <w:rFonts w:ascii="宋体" w:hAnsi="宋体"/>
          <w:color w:val="auto"/>
          <w:sz w:val="24"/>
        </w:rPr>
        <w:t>。</w:t>
      </w:r>
    </w:p>
    <w:p w14:paraId="5306C41B">
      <w:pPr>
        <w:numPr>
          <w:ilvl w:val="2"/>
          <w:numId w:val="11"/>
        </w:numPr>
        <w:snapToGrid w:val="0"/>
        <w:spacing w:line="360" w:lineRule="auto"/>
        <w:rPr>
          <w:rFonts w:hint="eastAsia"/>
          <w:color w:val="auto"/>
        </w:rPr>
      </w:pPr>
      <w:r>
        <w:rPr>
          <w:rFonts w:ascii="宋体" w:hAnsi="宋体"/>
          <w:color w:val="auto"/>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宋体" w:hAnsi="宋体"/>
          <w:color w:val="auto"/>
          <w:sz w:val="24"/>
        </w:rPr>
        <w:t>（若供应商为事业单位或其他组织或分支机构，可为单位负责人）</w:t>
      </w:r>
      <w:r>
        <w:rPr>
          <w:rFonts w:ascii="宋体" w:hAnsi="宋体"/>
          <w:color w:val="auto"/>
          <w:sz w:val="24"/>
        </w:rPr>
        <w:t>或其授权代表签字或者加盖公章。由授权代表签字的，应当附授权委托书。供应商为自然人的，应当由本人签字并附身份证明。澄清文件将作为响应文件内容的一部分。</w:t>
      </w:r>
    </w:p>
    <w:p w14:paraId="217C82F8">
      <w:pPr>
        <w:numPr>
          <w:ilvl w:val="1"/>
          <w:numId w:val="11"/>
        </w:numPr>
        <w:tabs>
          <w:tab w:val="left" w:pos="1080"/>
        </w:tabs>
        <w:snapToGrid w:val="0"/>
        <w:spacing w:line="360" w:lineRule="auto"/>
        <w:ind w:left="1077" w:hanging="720"/>
        <w:rPr>
          <w:color w:val="auto"/>
          <w:sz w:val="24"/>
        </w:rPr>
      </w:pPr>
      <w:r>
        <w:rPr>
          <w:rFonts w:ascii="宋体" w:hAnsi="宋体"/>
          <w:color w:val="auto"/>
          <w:sz w:val="24"/>
        </w:rPr>
        <w:t>磋商小组</w:t>
      </w:r>
      <w:r>
        <w:rPr>
          <w:color w:val="auto"/>
          <w:sz w:val="24"/>
        </w:rPr>
        <w:t>认为</w:t>
      </w:r>
      <w:r>
        <w:rPr>
          <w:rFonts w:hint="eastAsia"/>
          <w:color w:val="auto"/>
          <w:sz w:val="24"/>
          <w:lang w:val="en-US" w:eastAsia="zh-CN"/>
        </w:rPr>
        <w:t>供应商</w:t>
      </w:r>
      <w:r>
        <w:rPr>
          <w:color w:val="auto"/>
          <w:sz w:val="24"/>
        </w:rPr>
        <w:t>的</w:t>
      </w:r>
      <w:r>
        <w:rPr>
          <w:rFonts w:hint="eastAsia"/>
          <w:color w:val="auto"/>
          <w:sz w:val="24"/>
          <w:lang w:val="en-US" w:eastAsia="zh-CN"/>
        </w:rPr>
        <w:t>最后</w:t>
      </w:r>
      <w:r>
        <w:rPr>
          <w:color w:val="auto"/>
          <w:sz w:val="24"/>
        </w:rPr>
        <w:t>报价明显低于其他通过符合性审查</w:t>
      </w:r>
      <w:r>
        <w:rPr>
          <w:rFonts w:hint="eastAsia"/>
          <w:color w:val="auto"/>
          <w:sz w:val="24"/>
          <w:lang w:val="en-US" w:eastAsia="zh-CN"/>
        </w:rPr>
        <w:t>供应商</w:t>
      </w:r>
      <w:r>
        <w:rPr>
          <w:color w:val="auto"/>
          <w:sz w:val="24"/>
        </w:rPr>
        <w:t>的</w:t>
      </w:r>
      <w:r>
        <w:rPr>
          <w:rFonts w:hint="eastAsia"/>
          <w:color w:val="auto"/>
          <w:sz w:val="24"/>
          <w:lang w:val="en-US" w:eastAsia="zh-CN"/>
        </w:rPr>
        <w:t>最后</w:t>
      </w:r>
      <w:r>
        <w:rPr>
          <w:color w:val="auto"/>
          <w:sz w:val="24"/>
        </w:rPr>
        <w:t>报价，有可能影响产品质量或者不能诚信履约的，有权要求该</w:t>
      </w:r>
      <w:r>
        <w:rPr>
          <w:rFonts w:hint="eastAsia"/>
          <w:color w:val="auto"/>
          <w:sz w:val="24"/>
          <w:lang w:val="en-US" w:eastAsia="zh-CN"/>
        </w:rPr>
        <w:t>供应商</w:t>
      </w:r>
      <w:r>
        <w:rPr>
          <w:color w:val="auto"/>
          <w:sz w:val="24"/>
        </w:rPr>
        <w:t>在</w:t>
      </w:r>
      <w:r>
        <w:rPr>
          <w:rFonts w:hint="eastAsia"/>
          <w:color w:val="auto"/>
          <w:sz w:val="24"/>
          <w:lang w:val="en-US" w:eastAsia="zh-CN"/>
        </w:rPr>
        <w:t>评审</w:t>
      </w:r>
      <w:r>
        <w:rPr>
          <w:color w:val="auto"/>
          <w:sz w:val="24"/>
        </w:rPr>
        <w:t>现场合理的时间内提供书面说明，必要时提交相关证明材料；若</w:t>
      </w:r>
      <w:r>
        <w:rPr>
          <w:rFonts w:hint="eastAsia"/>
          <w:color w:val="auto"/>
          <w:sz w:val="24"/>
          <w:lang w:eastAsia="zh-CN"/>
        </w:rPr>
        <w:t>供应商</w:t>
      </w:r>
      <w:r>
        <w:rPr>
          <w:color w:val="auto"/>
          <w:sz w:val="24"/>
        </w:rPr>
        <w:t>不能证明其</w:t>
      </w:r>
      <w:r>
        <w:rPr>
          <w:rFonts w:hint="eastAsia"/>
          <w:color w:val="auto"/>
          <w:sz w:val="24"/>
          <w:lang w:val="en-US" w:eastAsia="zh-CN"/>
        </w:rPr>
        <w:t>最后</w:t>
      </w:r>
      <w:r>
        <w:rPr>
          <w:color w:val="auto"/>
          <w:sz w:val="24"/>
        </w:rPr>
        <w:t>报价</w:t>
      </w:r>
      <w:r>
        <w:rPr>
          <w:rFonts w:hint="eastAsia"/>
          <w:color w:val="auto"/>
          <w:sz w:val="24"/>
          <w:lang w:eastAsia="zh-CN"/>
        </w:rPr>
        <w:t>的</w:t>
      </w:r>
      <w:r>
        <w:rPr>
          <w:color w:val="auto"/>
          <w:sz w:val="24"/>
        </w:rPr>
        <w:t>合理性，</w:t>
      </w:r>
      <w:r>
        <w:rPr>
          <w:rFonts w:ascii="宋体" w:hAnsi="宋体"/>
          <w:color w:val="auto"/>
          <w:sz w:val="24"/>
        </w:rPr>
        <w:t>磋商小组</w:t>
      </w:r>
      <w:r>
        <w:rPr>
          <w:color w:val="auto"/>
          <w:sz w:val="24"/>
        </w:rPr>
        <w:t>会将其作为</w:t>
      </w:r>
      <w:r>
        <w:rPr>
          <w:b/>
          <w:color w:val="auto"/>
          <w:sz w:val="24"/>
        </w:rPr>
        <w:t>无效</w:t>
      </w:r>
      <w:r>
        <w:rPr>
          <w:rFonts w:hint="eastAsia"/>
          <w:b/>
          <w:color w:val="auto"/>
          <w:sz w:val="24"/>
          <w:lang w:eastAsia="zh-CN"/>
        </w:rPr>
        <w:t>响应</w:t>
      </w:r>
      <w:r>
        <w:rPr>
          <w:b/>
          <w:color w:val="auto"/>
          <w:sz w:val="24"/>
        </w:rPr>
        <w:t>处理</w:t>
      </w:r>
      <w:r>
        <w:rPr>
          <w:color w:val="auto"/>
          <w:sz w:val="24"/>
        </w:rPr>
        <w:t>。</w:t>
      </w:r>
    </w:p>
    <w:p w14:paraId="79F772B1">
      <w:pPr>
        <w:tabs>
          <w:tab w:val="left" w:pos="900"/>
          <w:tab w:val="left" w:pos="1080"/>
          <w:tab w:val="left" w:pos="1589"/>
        </w:tabs>
        <w:snapToGrid w:val="0"/>
        <w:spacing w:line="360" w:lineRule="auto"/>
        <w:ind w:left="1665" w:leftChars="513" w:hanging="588" w:hangingChars="245"/>
        <w:rPr>
          <w:color w:val="auto"/>
          <w:sz w:val="24"/>
        </w:rPr>
      </w:pPr>
      <w:r>
        <w:rPr>
          <w:rFonts w:hint="eastAsia"/>
          <w:color w:val="auto"/>
          <w:sz w:val="24"/>
        </w:rPr>
        <w:t>2.</w:t>
      </w:r>
      <w:r>
        <w:rPr>
          <w:rFonts w:hint="default"/>
          <w:color w:val="auto"/>
          <w:sz w:val="24"/>
          <w:lang w:val="en-US" w:eastAsia="zh-CN"/>
        </w:rPr>
        <w:t>6</w:t>
      </w:r>
      <w:r>
        <w:rPr>
          <w:rFonts w:hint="eastAsia"/>
          <w:color w:val="auto"/>
          <w:sz w:val="24"/>
        </w:rPr>
        <w:t>.1出现下列情形之一的，</w:t>
      </w:r>
      <w:r>
        <w:rPr>
          <w:rFonts w:ascii="宋体" w:hAnsi="宋体"/>
          <w:color w:val="auto"/>
          <w:sz w:val="24"/>
        </w:rPr>
        <w:t>磋商小组</w:t>
      </w:r>
      <w:r>
        <w:rPr>
          <w:rFonts w:hint="eastAsia"/>
          <w:color w:val="auto"/>
          <w:sz w:val="24"/>
        </w:rPr>
        <w:t>应当启动异常低价审查程序：（一）</w:t>
      </w:r>
      <w:r>
        <w:rPr>
          <w:rFonts w:hint="eastAsia"/>
          <w:color w:val="auto"/>
          <w:sz w:val="24"/>
          <w:lang w:val="en-US" w:eastAsia="zh-CN"/>
        </w:rPr>
        <w:t>最后</w:t>
      </w:r>
      <w:r>
        <w:rPr>
          <w:rFonts w:hint="eastAsia"/>
          <w:color w:val="auto"/>
          <w:sz w:val="24"/>
          <w:lang w:eastAsia="zh-CN"/>
        </w:rPr>
        <w:t>报价</w:t>
      </w:r>
      <w:r>
        <w:rPr>
          <w:rFonts w:hint="eastAsia"/>
          <w:color w:val="auto"/>
          <w:sz w:val="24"/>
        </w:rPr>
        <w:t>低于全部通过符合性审查</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平均值50%的，即</w:t>
      </w:r>
      <w:r>
        <w:rPr>
          <w:rFonts w:hint="eastAsia"/>
          <w:color w:val="auto"/>
          <w:sz w:val="24"/>
          <w:lang w:val="en-US" w:eastAsia="zh-CN"/>
        </w:rPr>
        <w:t>最后</w:t>
      </w:r>
      <w:r>
        <w:rPr>
          <w:rFonts w:hint="eastAsia"/>
          <w:color w:val="auto"/>
          <w:sz w:val="24"/>
          <w:lang w:eastAsia="zh-CN"/>
        </w:rPr>
        <w:t>报价</w:t>
      </w:r>
      <w:r>
        <w:rPr>
          <w:rFonts w:hint="eastAsia"/>
          <w:color w:val="auto"/>
          <w:sz w:val="24"/>
        </w:rPr>
        <w:t>＜全部通过符合性审查</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平均值×50%；（二）</w:t>
      </w:r>
      <w:r>
        <w:rPr>
          <w:rFonts w:hint="eastAsia"/>
          <w:color w:val="auto"/>
          <w:sz w:val="24"/>
          <w:lang w:val="en-US" w:eastAsia="zh-CN"/>
        </w:rPr>
        <w:t>最后</w:t>
      </w:r>
      <w:r>
        <w:rPr>
          <w:rFonts w:hint="eastAsia"/>
          <w:color w:val="auto"/>
          <w:sz w:val="24"/>
          <w:lang w:eastAsia="zh-CN"/>
        </w:rPr>
        <w:t>报价</w:t>
      </w:r>
      <w:r>
        <w:rPr>
          <w:rFonts w:hint="eastAsia"/>
          <w:color w:val="auto"/>
          <w:sz w:val="24"/>
        </w:rPr>
        <w:t>低于通过符合性审查且报价次低</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50%的，即</w:t>
      </w:r>
      <w:r>
        <w:rPr>
          <w:rFonts w:hint="eastAsia"/>
          <w:color w:val="auto"/>
          <w:sz w:val="24"/>
          <w:lang w:eastAsia="zh-CN"/>
        </w:rPr>
        <w:t>最后报价</w:t>
      </w:r>
      <w:r>
        <w:rPr>
          <w:rFonts w:hint="eastAsia"/>
          <w:color w:val="auto"/>
          <w:sz w:val="24"/>
        </w:rPr>
        <w:t>＜通过符合性审查且报价次低</w:t>
      </w:r>
      <w:r>
        <w:rPr>
          <w:rFonts w:hint="eastAsia"/>
          <w:color w:val="auto"/>
          <w:sz w:val="24"/>
          <w:lang w:eastAsia="zh-CN"/>
        </w:rPr>
        <w:t>供应商</w:t>
      </w:r>
      <w:r>
        <w:rPr>
          <w:rFonts w:hint="eastAsia"/>
          <w:color w:val="auto"/>
          <w:sz w:val="24"/>
          <w:lang w:val="en-US" w:eastAsia="zh-CN"/>
        </w:rPr>
        <w:t>最后</w:t>
      </w:r>
      <w:r>
        <w:rPr>
          <w:rFonts w:hint="eastAsia"/>
          <w:color w:val="auto"/>
          <w:sz w:val="24"/>
          <w:lang w:eastAsia="zh-CN"/>
        </w:rPr>
        <w:t>报价</w:t>
      </w:r>
      <w:r>
        <w:rPr>
          <w:rFonts w:hint="eastAsia"/>
          <w:color w:val="auto"/>
          <w:sz w:val="24"/>
        </w:rPr>
        <w:t>×50%；（三）</w:t>
      </w:r>
      <w:r>
        <w:rPr>
          <w:rFonts w:hint="eastAsia"/>
          <w:color w:val="auto"/>
          <w:sz w:val="24"/>
          <w:lang w:val="en-US" w:eastAsia="zh-CN"/>
        </w:rPr>
        <w:t>最后</w:t>
      </w:r>
      <w:r>
        <w:rPr>
          <w:rFonts w:hint="eastAsia"/>
          <w:color w:val="auto"/>
          <w:sz w:val="24"/>
          <w:lang w:eastAsia="zh-CN"/>
        </w:rPr>
        <w:t>报价</w:t>
      </w:r>
      <w:r>
        <w:rPr>
          <w:rFonts w:hint="eastAsia"/>
          <w:color w:val="auto"/>
          <w:sz w:val="24"/>
        </w:rPr>
        <w:t>低于采购项目最高限价45%的，即</w:t>
      </w:r>
      <w:r>
        <w:rPr>
          <w:rFonts w:hint="eastAsia"/>
          <w:color w:val="auto"/>
          <w:sz w:val="24"/>
          <w:lang w:val="en-US" w:eastAsia="zh-CN"/>
        </w:rPr>
        <w:t>最后</w:t>
      </w:r>
      <w:r>
        <w:rPr>
          <w:rFonts w:hint="eastAsia"/>
          <w:color w:val="auto"/>
          <w:sz w:val="24"/>
          <w:lang w:eastAsia="zh-CN"/>
        </w:rPr>
        <w:t>报价</w:t>
      </w:r>
      <w:r>
        <w:rPr>
          <w:rFonts w:hint="eastAsia"/>
          <w:color w:val="auto"/>
          <w:sz w:val="24"/>
        </w:rPr>
        <w:t>＜采购项目最高限价×45%；（四）其他</w:t>
      </w:r>
      <w:r>
        <w:rPr>
          <w:rFonts w:ascii="宋体" w:hAnsi="宋体"/>
          <w:color w:val="auto"/>
          <w:sz w:val="24"/>
        </w:rPr>
        <w:t>磋商小组</w:t>
      </w:r>
      <w:r>
        <w:rPr>
          <w:rFonts w:hint="eastAsia"/>
          <w:color w:val="auto"/>
          <w:sz w:val="24"/>
        </w:rPr>
        <w:t>认为</w:t>
      </w:r>
      <w:r>
        <w:rPr>
          <w:rFonts w:hint="eastAsia"/>
          <w:color w:val="auto"/>
          <w:sz w:val="24"/>
          <w:lang w:eastAsia="zh-CN"/>
        </w:rPr>
        <w:t>供应商</w:t>
      </w:r>
      <w:r>
        <w:rPr>
          <w:rFonts w:hint="eastAsia"/>
          <w:color w:val="auto"/>
          <w:sz w:val="24"/>
          <w:lang w:val="en-US" w:eastAsia="zh-CN"/>
        </w:rPr>
        <w:t>最后</w:t>
      </w:r>
      <w:r>
        <w:rPr>
          <w:rFonts w:hint="eastAsia"/>
          <w:color w:val="auto"/>
          <w:sz w:val="24"/>
        </w:rPr>
        <w:t>报价过低，有可能影响产品质量或者不能诚信履约的情形。</w:t>
      </w:r>
    </w:p>
    <w:p w14:paraId="0543D8FE">
      <w:pPr>
        <w:tabs>
          <w:tab w:val="left" w:pos="900"/>
          <w:tab w:val="left" w:pos="1080"/>
          <w:tab w:val="left" w:pos="1589"/>
        </w:tabs>
        <w:snapToGrid w:val="0"/>
        <w:spacing w:line="360" w:lineRule="auto"/>
        <w:ind w:left="1665" w:leftChars="513" w:hanging="588" w:hangingChars="245"/>
        <w:rPr>
          <w:color w:val="auto"/>
          <w:sz w:val="24"/>
        </w:rPr>
      </w:pPr>
      <w:r>
        <w:rPr>
          <w:rFonts w:hint="eastAsia"/>
          <w:color w:val="auto"/>
          <w:sz w:val="24"/>
        </w:rPr>
        <w:t>2.</w:t>
      </w:r>
      <w:r>
        <w:rPr>
          <w:rFonts w:hint="default"/>
          <w:color w:val="auto"/>
          <w:sz w:val="24"/>
          <w:lang w:val="en-US" w:eastAsia="zh-CN"/>
        </w:rPr>
        <w:t>6</w:t>
      </w:r>
      <w:r>
        <w:rPr>
          <w:rFonts w:hint="eastAsia"/>
          <w:color w:val="auto"/>
          <w:sz w:val="24"/>
        </w:rPr>
        <w:t>.2磋商小组启动异常低价响应审查后，应当要求相关</w:t>
      </w:r>
      <w:r>
        <w:rPr>
          <w:rFonts w:hint="eastAsia"/>
          <w:color w:val="auto"/>
          <w:sz w:val="24"/>
          <w:lang w:eastAsia="zh-CN"/>
        </w:rPr>
        <w:t>供应商</w:t>
      </w:r>
      <w:r>
        <w:rPr>
          <w:rFonts w:hint="eastAsia"/>
          <w:color w:val="auto"/>
          <w:sz w:val="24"/>
        </w:rPr>
        <w:t>在评审现场合理的时间内提供书面说明及必要的证明材料，对</w:t>
      </w:r>
      <w:r>
        <w:rPr>
          <w:rFonts w:hint="eastAsia"/>
          <w:color w:val="auto"/>
          <w:sz w:val="24"/>
          <w:lang w:val="en-US" w:eastAsia="zh-CN"/>
        </w:rPr>
        <w:t>其最后</w:t>
      </w:r>
      <w:r>
        <w:rPr>
          <w:rFonts w:hint="eastAsia"/>
          <w:color w:val="auto"/>
          <w:sz w:val="24"/>
        </w:rPr>
        <w:t>价格作出解释。书面说明、证明材料主要是项目具体成本测算等与报价合理性相关的说明、材料。</w:t>
      </w:r>
    </w:p>
    <w:p w14:paraId="4D1795F0">
      <w:pPr>
        <w:numPr>
          <w:ilvl w:val="-1"/>
          <w:numId w:val="0"/>
        </w:numPr>
        <w:tabs>
          <w:tab w:val="left" w:pos="900"/>
          <w:tab w:val="left" w:pos="1080"/>
          <w:tab w:val="left" w:pos="1589"/>
        </w:tabs>
        <w:snapToGrid w:val="0"/>
        <w:spacing w:line="360" w:lineRule="auto"/>
        <w:ind w:left="1665" w:leftChars="513" w:hanging="588" w:hangingChars="245"/>
        <w:rPr>
          <w:rFonts w:hint="eastAsia"/>
          <w:color w:val="auto"/>
        </w:rPr>
      </w:pPr>
      <w:r>
        <w:rPr>
          <w:rFonts w:hint="eastAsia"/>
          <w:color w:val="auto"/>
          <w:sz w:val="24"/>
        </w:rPr>
        <w:t>2.</w:t>
      </w:r>
      <w:r>
        <w:rPr>
          <w:rFonts w:hint="default"/>
          <w:color w:val="auto"/>
          <w:sz w:val="24"/>
          <w:lang w:val="en-US" w:eastAsia="zh-CN"/>
        </w:rPr>
        <w:t>6</w:t>
      </w:r>
      <w:r>
        <w:rPr>
          <w:rFonts w:hint="eastAsia"/>
          <w:color w:val="auto"/>
          <w:sz w:val="24"/>
        </w:rPr>
        <w:t>.3磋商小组依据专业经验，参考同类项目中标（成交）价格、类似产品市场价格水平、行业人工费用标准、国家有关部门指导行业协会发布的行业平均成本等情况，对报价合理性进行判断。如果</w:t>
      </w:r>
      <w:r>
        <w:rPr>
          <w:rFonts w:hint="eastAsia"/>
          <w:color w:val="auto"/>
          <w:sz w:val="24"/>
          <w:lang w:eastAsia="zh-CN"/>
        </w:rPr>
        <w:t>供应商</w:t>
      </w:r>
      <w:r>
        <w:rPr>
          <w:rFonts w:hint="eastAsia"/>
          <w:color w:val="auto"/>
          <w:sz w:val="24"/>
        </w:rPr>
        <w:t>不</w:t>
      </w:r>
      <w:r>
        <w:rPr>
          <w:rFonts w:hint="eastAsia"/>
          <w:color w:val="auto"/>
          <w:sz w:val="24"/>
          <w:lang w:val="en-US" w:eastAsia="zh-CN"/>
        </w:rPr>
        <w:t>能</w:t>
      </w:r>
      <w:r>
        <w:rPr>
          <w:rFonts w:hint="eastAsia"/>
          <w:color w:val="auto"/>
          <w:sz w:val="24"/>
        </w:rPr>
        <w:t>提供书面说明、证明材料，或者提供的书面说明、证明材料不能证明其</w:t>
      </w:r>
      <w:r>
        <w:rPr>
          <w:rFonts w:hint="eastAsia"/>
          <w:color w:val="auto"/>
          <w:sz w:val="24"/>
          <w:lang w:val="en-US" w:eastAsia="zh-CN"/>
        </w:rPr>
        <w:t>最后</w:t>
      </w:r>
      <w:r>
        <w:rPr>
          <w:rFonts w:hint="eastAsia"/>
          <w:color w:val="auto"/>
          <w:sz w:val="24"/>
        </w:rPr>
        <w:t>报价合理性的，应当将其作为无效响应处理。审查相关情况应当在评审报告中记录。</w:t>
      </w:r>
    </w:p>
    <w:p w14:paraId="5870CC96">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磋商结束后，磋商小组将要求所有实质性响应的供应商在规定时间内提交最后报价。最后报价时间为磋商小组指定的时间，具体时间根据磋商进度另行通知。</w:t>
      </w:r>
    </w:p>
    <w:p w14:paraId="7A6580E3">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color w:val="auto"/>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230E81F9">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最后报价是供应商响应文件的有效组成部分。</w:t>
      </w:r>
    </w:p>
    <w:p w14:paraId="3C6DD6F1">
      <w:pPr>
        <w:numPr>
          <w:ilvl w:val="1"/>
          <w:numId w:val="11"/>
        </w:numPr>
        <w:tabs>
          <w:tab w:val="left" w:pos="1080"/>
          <w:tab w:val="left" w:pos="1872"/>
        </w:tabs>
        <w:snapToGrid w:val="0"/>
        <w:spacing w:line="360" w:lineRule="auto"/>
        <w:ind w:left="1077" w:hanging="720"/>
        <w:rPr>
          <w:rFonts w:hint="eastAsia"/>
          <w:color w:val="auto"/>
        </w:rPr>
      </w:pPr>
      <w:r>
        <w:rPr>
          <w:rFonts w:ascii="宋体" w:hAnsi="宋体"/>
          <w:color w:val="auto"/>
          <w:sz w:val="24"/>
        </w:rPr>
        <w:t>已提交响应文件的供应商，在提交最后报价之前，可以根据磋商情况退出磋商。</w:t>
      </w:r>
    </w:p>
    <w:p w14:paraId="64DDF1F1">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最后报价的算术修正及政策调整</w:t>
      </w:r>
    </w:p>
    <w:p w14:paraId="31978DAF">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最后报价须包含竞争性磋商文件全部内容，如</w:t>
      </w:r>
      <w:r>
        <w:rPr>
          <w:rFonts w:hint="eastAsia" w:ascii="宋体" w:hAnsi="宋体"/>
          <w:color w:val="auto"/>
          <w:sz w:val="24"/>
        </w:rPr>
        <w:t>最后</w:t>
      </w:r>
      <w:r>
        <w:rPr>
          <w:rFonts w:ascii="宋体" w:hAnsi="宋体"/>
          <w:color w:val="auto"/>
          <w:sz w:val="24"/>
        </w:rPr>
        <w:t>分项报价表有缺漏视为已含在其他各项报价中，将不对最后报价进行调整。磋商小组有权要求供应商在评审现场合理的时间内对此进行书面确认，供应商不确认的，视为将一个采购包中的内容拆开响应，其</w:t>
      </w:r>
      <w:r>
        <w:rPr>
          <w:rFonts w:ascii="宋体" w:hAnsi="宋体"/>
          <w:b/>
          <w:color w:val="auto"/>
          <w:sz w:val="24"/>
        </w:rPr>
        <w:t>响应无效</w:t>
      </w:r>
      <w:r>
        <w:rPr>
          <w:rFonts w:ascii="宋体" w:hAnsi="宋体"/>
          <w:color w:val="auto"/>
          <w:sz w:val="24"/>
        </w:rPr>
        <w:t>。</w:t>
      </w:r>
    </w:p>
    <w:p w14:paraId="1E2331F7">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最后报价出现前后不一致的，按照下列规定修正：</w:t>
      </w:r>
    </w:p>
    <w:p w14:paraId="47409DD5">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竞争性磋商文件对于报价修正是否另有规定：</w:t>
      </w:r>
    </w:p>
    <w:p w14:paraId="14F3CAB3">
      <w:pPr>
        <w:tabs>
          <w:tab w:val="left" w:pos="1080"/>
          <w:tab w:val="left" w:pos="1589"/>
          <w:tab w:val="left" w:pos="2035"/>
          <w:tab w:val="left" w:pos="2114"/>
        </w:tabs>
        <w:snapToGrid w:val="0"/>
        <w:spacing w:line="360" w:lineRule="auto"/>
        <w:ind w:left="2035"/>
        <w:rPr>
          <w:rFonts w:hint="eastAsia" w:ascii="宋体" w:hAnsi="宋体"/>
          <w:color w:val="auto"/>
          <w:sz w:val="24"/>
          <w:u w:val="single"/>
        </w:rPr>
      </w:pPr>
      <w:r>
        <w:rPr>
          <w:rFonts w:ascii="宋体" w:hAnsi="宋体"/>
          <w:color w:val="auto"/>
          <w:sz w:val="24"/>
        </w:rPr>
        <w:t>□有，具体规定为：</w:t>
      </w:r>
      <w:r>
        <w:rPr>
          <w:rFonts w:ascii="宋体" w:hAnsi="宋体"/>
          <w:color w:val="auto"/>
          <w:sz w:val="24"/>
          <w:u w:val="single"/>
        </w:rPr>
        <w:t xml:space="preserve">     /     </w:t>
      </w:r>
      <w:r>
        <w:rPr>
          <w:rFonts w:ascii="宋体" w:hAnsi="宋体"/>
          <w:color w:val="auto"/>
          <w:sz w:val="24"/>
        </w:rPr>
        <w:t xml:space="preserve"> </w:t>
      </w:r>
    </w:p>
    <w:p w14:paraId="67B3F218">
      <w:pPr>
        <w:tabs>
          <w:tab w:val="left" w:pos="1080"/>
          <w:tab w:val="left" w:pos="1589"/>
          <w:tab w:val="left" w:pos="2035"/>
          <w:tab w:val="left" w:pos="2114"/>
        </w:tabs>
        <w:snapToGrid w:val="0"/>
        <w:spacing w:line="360" w:lineRule="auto"/>
        <w:ind w:left="2035"/>
        <w:rPr>
          <w:rFonts w:hint="eastAsia" w:ascii="宋体" w:hAnsi="宋体"/>
          <w:color w:val="auto"/>
          <w:sz w:val="24"/>
        </w:rPr>
      </w:pPr>
      <w:r>
        <w:rPr>
          <w:rFonts w:hint="eastAsia" w:ascii="宋体" w:hAnsi="宋体"/>
          <w:color w:val="auto"/>
          <w:sz w:val="24"/>
        </w:rPr>
        <w:t>■</w:t>
      </w:r>
      <w:r>
        <w:rPr>
          <w:rFonts w:ascii="宋体" w:hAnsi="宋体"/>
          <w:color w:val="auto"/>
          <w:sz w:val="24"/>
        </w:rPr>
        <w:t>无，按下述3.2.2-3.2.</w:t>
      </w:r>
      <w:r>
        <w:rPr>
          <w:rFonts w:hint="eastAsia" w:ascii="宋体" w:hAnsi="宋体"/>
          <w:color w:val="auto"/>
          <w:sz w:val="24"/>
        </w:rPr>
        <w:t>6</w:t>
      </w:r>
      <w:r>
        <w:rPr>
          <w:rFonts w:ascii="宋体" w:hAnsi="宋体"/>
          <w:color w:val="auto"/>
          <w:sz w:val="24"/>
        </w:rPr>
        <w:t>项规定修正。</w:t>
      </w:r>
    </w:p>
    <w:p w14:paraId="7D5B5DFA">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大写金额和小写金额不一致的，以大写金额为准；</w:t>
      </w:r>
    </w:p>
    <w:p w14:paraId="3531492A">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单价金额小数点或者百分比有明显错位的，</w:t>
      </w:r>
      <w:r>
        <w:rPr>
          <w:rFonts w:hint="eastAsia" w:ascii="宋体" w:hAnsi="宋体"/>
          <w:color w:val="auto"/>
          <w:sz w:val="24"/>
        </w:rPr>
        <w:t>以总价为准，</w:t>
      </w:r>
      <w:r>
        <w:rPr>
          <w:rFonts w:ascii="宋体" w:hAnsi="宋体"/>
          <w:color w:val="auto"/>
          <w:sz w:val="24"/>
        </w:rPr>
        <w:t>并修改单价；</w:t>
      </w:r>
    </w:p>
    <w:p w14:paraId="3ED0A826">
      <w:pPr>
        <w:numPr>
          <w:ilvl w:val="2"/>
          <w:numId w:val="11"/>
        </w:numPr>
        <w:tabs>
          <w:tab w:val="left" w:pos="2035"/>
          <w:tab w:val="left" w:pos="2114"/>
          <w:tab w:val="left" w:pos="2977"/>
        </w:tabs>
        <w:snapToGrid w:val="0"/>
        <w:spacing w:line="360" w:lineRule="auto"/>
        <w:ind w:left="2035"/>
        <w:rPr>
          <w:rFonts w:hint="eastAsia" w:ascii="宋体" w:hAnsi="宋体"/>
          <w:color w:val="auto"/>
          <w:sz w:val="24"/>
        </w:rPr>
      </w:pPr>
      <w:r>
        <w:rPr>
          <w:rFonts w:ascii="宋体" w:hAnsi="宋体"/>
          <w:color w:val="auto"/>
          <w:sz w:val="24"/>
        </w:rPr>
        <w:t>总价金额与按单价汇总金额不一致的，以单价金额计算结果为准。</w:t>
      </w:r>
    </w:p>
    <w:p w14:paraId="65CF961D">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同时出现两种以上不一致的，按照前款规定的顺序修正。</w:t>
      </w:r>
    </w:p>
    <w:p w14:paraId="67BECE58">
      <w:pPr>
        <w:numPr>
          <w:ilvl w:val="2"/>
          <w:numId w:val="11"/>
        </w:numPr>
        <w:tabs>
          <w:tab w:val="left" w:pos="1080"/>
          <w:tab w:val="left" w:pos="1589"/>
          <w:tab w:val="left" w:pos="2035"/>
          <w:tab w:val="left" w:pos="2114"/>
        </w:tabs>
        <w:snapToGrid w:val="0"/>
        <w:spacing w:line="360" w:lineRule="auto"/>
        <w:ind w:left="2035"/>
        <w:rPr>
          <w:rFonts w:hint="eastAsia" w:ascii="宋体" w:hAnsi="宋体"/>
          <w:color w:val="auto"/>
          <w:sz w:val="24"/>
        </w:rPr>
      </w:pPr>
      <w:r>
        <w:rPr>
          <w:rFonts w:ascii="宋体" w:hAnsi="宋体"/>
          <w:color w:val="auto"/>
          <w:sz w:val="24"/>
        </w:rPr>
        <w:t>修正后的报价经供应商书面确认后产生约束力，供应商不确认的，其</w:t>
      </w:r>
      <w:r>
        <w:rPr>
          <w:rFonts w:ascii="宋体" w:hAnsi="宋体"/>
          <w:b/>
          <w:color w:val="auto"/>
          <w:sz w:val="24"/>
        </w:rPr>
        <w:t>响应无效</w:t>
      </w:r>
      <w:r>
        <w:rPr>
          <w:rFonts w:ascii="宋体" w:hAnsi="宋体"/>
          <w:color w:val="auto"/>
          <w:sz w:val="24"/>
        </w:rPr>
        <w:t>。</w:t>
      </w:r>
    </w:p>
    <w:p w14:paraId="1DFEF0D2">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落实政府采购政策的价格调整：只有符合第二章《供应商须知》4.2条规定情形的，可以享受中小企业扶持政策，用扣除后的价格参加评审；否则，评审时价格不予扣除。</w:t>
      </w:r>
    </w:p>
    <w:p w14:paraId="58695C83">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对于未预留份额专门面向中小企业采购的采购项目，以及预留份额项目中的非预留部分采购包，对小微企业报价给予</w:t>
      </w:r>
      <w:r>
        <w:rPr>
          <w:rFonts w:ascii="宋体" w:hAnsi="宋体"/>
          <w:color w:val="auto"/>
          <w:sz w:val="24"/>
          <w:u w:val="single"/>
        </w:rPr>
        <w:t xml:space="preserve"> </w:t>
      </w:r>
      <w:r>
        <w:rPr>
          <w:rFonts w:hint="eastAsia" w:ascii="宋体" w:hAnsi="宋体"/>
          <w:color w:val="auto"/>
          <w:sz w:val="24"/>
          <w:u w:val="single"/>
        </w:rPr>
        <w:t>/</w:t>
      </w:r>
      <w:r>
        <w:rPr>
          <w:rFonts w:ascii="宋体" w:hAnsi="宋体"/>
          <w:color w:val="auto"/>
          <w:sz w:val="24"/>
          <w:u w:val="single"/>
        </w:rPr>
        <w:t xml:space="preserve"> </w:t>
      </w:r>
      <w:r>
        <w:rPr>
          <w:rFonts w:ascii="宋体" w:hAnsi="宋体"/>
          <w:color w:val="auto"/>
          <w:sz w:val="24"/>
        </w:rPr>
        <w:t>%的扣除，用扣除后的价格参加评审。</w:t>
      </w:r>
    </w:p>
    <w:p w14:paraId="5D0EFE95">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宋体" w:hAnsi="宋体"/>
          <w:color w:val="auto"/>
          <w:sz w:val="24"/>
          <w:u w:val="single"/>
        </w:rPr>
        <w:t xml:space="preserve">  /  </w:t>
      </w:r>
      <w:r>
        <w:rPr>
          <w:rFonts w:ascii="宋体" w:hAnsi="宋体"/>
          <w:color w:val="auto"/>
          <w:sz w:val="24"/>
        </w:rPr>
        <w:t>%的扣除，用扣除后的价格参加评审。</w:t>
      </w:r>
    </w:p>
    <w:p w14:paraId="234970AC">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组成联合体或者接受分包的小微企业与联合体内其他企业、分包企业之间存在直接控股、管理关系的，不享受价格扣除优惠政策。</w:t>
      </w:r>
    </w:p>
    <w:p w14:paraId="53744874">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价格扣除比例对小型企业和微型企业同等对待，不作区分。</w:t>
      </w:r>
    </w:p>
    <w:p w14:paraId="2F0C7F68">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中小企业参加政府采购活动，应当按照竞争性磋商文件给定的格式出具《中小企业声明函》，否则不得享受相关中小企业扶持政策。</w:t>
      </w:r>
    </w:p>
    <w:p w14:paraId="0D807687">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监狱企业提供了由省级以上监狱管理局、戒毒管理局（含新疆生产建设兵团）出具的属于监狱企业的证明文件的，视同小微企业。</w:t>
      </w:r>
    </w:p>
    <w:p w14:paraId="144FBFEF">
      <w:pPr>
        <w:numPr>
          <w:ilvl w:val="2"/>
          <w:numId w:val="11"/>
        </w:numPr>
        <w:tabs>
          <w:tab w:val="left" w:pos="1080"/>
          <w:tab w:val="left" w:pos="1589"/>
          <w:tab w:val="left" w:pos="2035"/>
        </w:tabs>
        <w:snapToGrid w:val="0"/>
        <w:spacing w:line="360" w:lineRule="auto"/>
        <w:ind w:left="2035"/>
        <w:rPr>
          <w:rFonts w:hint="eastAsia" w:ascii="宋体" w:hAnsi="宋体"/>
          <w:color w:val="auto"/>
          <w:sz w:val="24"/>
        </w:rPr>
      </w:pPr>
      <w:r>
        <w:rPr>
          <w:rFonts w:ascii="宋体" w:hAnsi="宋体"/>
          <w:color w:val="auto"/>
          <w:sz w:val="24"/>
        </w:rPr>
        <w:t>残疾人福利性单位按竞争性磋商文件要求提供了《残疾人福利性单位声明函》的，视同小微企业。</w:t>
      </w:r>
    </w:p>
    <w:p w14:paraId="5282F1B7">
      <w:pPr>
        <w:numPr>
          <w:ilvl w:val="2"/>
          <w:numId w:val="11"/>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若供应商同时属于小型或微型企业、监狱企业、残疾人福利性单位中的两种及以上，将不重复享受小微企业价格扣减的优惠政策。</w:t>
      </w:r>
    </w:p>
    <w:p w14:paraId="047FD4AC">
      <w:pPr>
        <w:numPr>
          <w:ilvl w:val="2"/>
          <w:numId w:val="11"/>
        </w:numPr>
        <w:tabs>
          <w:tab w:val="left" w:pos="1080"/>
          <w:tab w:val="left" w:pos="1589"/>
          <w:tab w:val="left" w:pos="2014"/>
        </w:tabs>
        <w:snapToGrid w:val="0"/>
        <w:spacing w:line="360" w:lineRule="auto"/>
        <w:ind w:left="2035"/>
        <w:rPr>
          <w:rFonts w:hint="eastAsia" w:ascii="宋体" w:hAnsi="宋体"/>
          <w:color w:val="auto"/>
          <w:sz w:val="24"/>
        </w:rPr>
      </w:pPr>
      <w:r>
        <w:rPr>
          <w:rFonts w:ascii="宋体" w:hAnsi="宋体"/>
          <w:color w:val="auto"/>
          <w:sz w:val="24"/>
        </w:rPr>
        <w:t>其他为落实政府采购政策实施的优先采购：</w:t>
      </w:r>
      <w:r>
        <w:rPr>
          <w:rFonts w:ascii="宋体" w:hAnsi="宋体"/>
          <w:color w:val="auto"/>
          <w:sz w:val="24"/>
          <w:u w:val="single"/>
        </w:rPr>
        <w:t xml:space="preserve">   /   </w:t>
      </w:r>
      <w:r>
        <w:rPr>
          <w:rFonts w:ascii="宋体" w:hAnsi="宋体"/>
          <w:color w:val="auto"/>
          <w:sz w:val="24"/>
        </w:rPr>
        <w:t>。</w:t>
      </w:r>
    </w:p>
    <w:p w14:paraId="370E8022">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磋商环节及提交最后报价后如出现以下情况的，供应商的</w:t>
      </w:r>
      <w:r>
        <w:rPr>
          <w:rFonts w:ascii="宋体" w:hAnsi="宋体"/>
          <w:b/>
          <w:color w:val="auto"/>
          <w:sz w:val="24"/>
        </w:rPr>
        <w:t>响应文件无效</w:t>
      </w:r>
      <w:r>
        <w:rPr>
          <w:rFonts w:ascii="宋体" w:hAnsi="宋体"/>
          <w:color w:val="auto"/>
          <w:sz w:val="24"/>
        </w:rPr>
        <w:t>：</w:t>
      </w:r>
    </w:p>
    <w:p w14:paraId="4256744A">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供应商对实质性变动不予确认的；</w:t>
      </w:r>
    </w:p>
    <w:p w14:paraId="09B80FDB">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不满足磋商文件</w:t>
      </w:r>
      <w:r>
        <w:rPr>
          <w:rFonts w:ascii="宋体" w:hAnsi="宋体" w:cs="Segoe UI Symbol"/>
          <w:color w:val="auto"/>
          <w:sz w:val="24"/>
        </w:rPr>
        <w:t>★</w:t>
      </w:r>
      <w:r>
        <w:rPr>
          <w:rFonts w:ascii="宋体" w:hAnsi="宋体"/>
          <w:color w:val="auto"/>
          <w:sz w:val="24"/>
        </w:rPr>
        <w:t>号条款或磋商文件技术指标超出磋商文件</w:t>
      </w:r>
      <w:r>
        <w:rPr>
          <w:rFonts w:hint="eastAsia" w:ascii="宋体" w:hAnsi="宋体"/>
          <w:color w:val="auto"/>
          <w:sz w:val="24"/>
        </w:rPr>
        <w:t>《</w:t>
      </w:r>
      <w:r>
        <w:rPr>
          <w:rFonts w:ascii="宋体" w:hAnsi="宋体"/>
          <w:color w:val="auto"/>
          <w:sz w:val="24"/>
        </w:rPr>
        <w:t>采购需求</w:t>
      </w:r>
      <w:r>
        <w:rPr>
          <w:rFonts w:hint="eastAsia" w:ascii="宋体" w:hAnsi="宋体"/>
          <w:color w:val="auto"/>
          <w:sz w:val="24"/>
        </w:rPr>
        <w:t>》</w:t>
      </w:r>
      <w:r>
        <w:rPr>
          <w:rFonts w:ascii="宋体" w:hAnsi="宋体"/>
          <w:color w:val="auto"/>
          <w:sz w:val="24"/>
        </w:rPr>
        <w:t>中主要技术参数允许偏差的最大范围的（如有）；</w:t>
      </w:r>
    </w:p>
    <w:p w14:paraId="7544F748">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未按照磋商小组规定的时间、逾期提交最后报价的；</w:t>
      </w:r>
    </w:p>
    <w:p w14:paraId="71CF843B">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如供应商的最后报价超过竞争性磋商文件中规定的项目/采购包预算金额或者项目/采购包最高限价的；</w:t>
      </w:r>
    </w:p>
    <w:p w14:paraId="4110CE09">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响应文件中出现可选择性或可调整的报价的（竞争性磋商文件另有规定的除外）；</w:t>
      </w:r>
    </w:p>
    <w:p w14:paraId="3CBCF9D3">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最后报价出现前后不一致，供应商对修正后的报价不予确认的；</w:t>
      </w:r>
    </w:p>
    <w:p w14:paraId="38C8E33A">
      <w:pPr>
        <w:numPr>
          <w:ilvl w:val="1"/>
          <w:numId w:val="11"/>
        </w:numPr>
        <w:tabs>
          <w:tab w:val="left" w:pos="1080"/>
        </w:tabs>
        <w:snapToGrid w:val="0"/>
        <w:spacing w:line="360" w:lineRule="auto"/>
        <w:ind w:left="1077" w:hanging="720"/>
        <w:rPr>
          <w:rFonts w:hint="eastAsia" w:ascii="宋体" w:hAnsi="宋体"/>
          <w:color w:val="auto"/>
          <w:sz w:val="24"/>
        </w:rPr>
      </w:pPr>
      <w:r>
        <w:rPr>
          <w:rFonts w:ascii="宋体" w:hAnsi="宋体"/>
          <w:color w:val="auto"/>
          <w:sz w:val="24"/>
        </w:rPr>
        <w:t>其他：</w:t>
      </w:r>
      <w:r>
        <w:rPr>
          <w:rFonts w:hint="eastAsia" w:ascii="宋体" w:hAnsi="宋体"/>
          <w:color w:val="auto"/>
          <w:sz w:val="24"/>
          <w:u w:val="single"/>
        </w:rPr>
        <w:t xml:space="preserve">  /  </w:t>
      </w:r>
      <w:r>
        <w:rPr>
          <w:rFonts w:ascii="宋体" w:hAnsi="宋体"/>
          <w:color w:val="auto"/>
          <w:sz w:val="24"/>
        </w:rPr>
        <w:t>。</w:t>
      </w:r>
    </w:p>
    <w:bookmarkEnd w:id="651"/>
    <w:bookmarkEnd w:id="652"/>
    <w:p w14:paraId="0DC1FE2B">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评审方法和评审标准</w:t>
      </w:r>
    </w:p>
    <w:p w14:paraId="66405FC8">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EA76348">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竞争性磋商文件中没有规定的评审标准不得作为评审依据。</w:t>
      </w:r>
    </w:p>
    <w:p w14:paraId="0698A304">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非政府强制采购的节能产品或环境标志产品，依据品目清单和认证证书实施政府优先采购。优先采购的具体规定（如涉及）</w:t>
      </w:r>
      <w:r>
        <w:rPr>
          <w:color w:val="auto"/>
          <w:sz w:val="24"/>
          <w:u w:val="single"/>
        </w:rPr>
        <w:t xml:space="preserve">  /  </w:t>
      </w:r>
      <w:r>
        <w:rPr>
          <w:rFonts w:hint="eastAsia" w:ascii="宋体" w:hAnsi="宋体"/>
          <w:color w:val="auto"/>
          <w:sz w:val="24"/>
          <w:lang w:eastAsia="zh-CN"/>
        </w:rPr>
        <w:t>。</w:t>
      </w:r>
    </w:p>
    <w:p w14:paraId="28B28C79">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确定</w:t>
      </w:r>
      <w:bookmarkStart w:id="655" w:name="_Toc226309790"/>
      <w:bookmarkStart w:id="656" w:name="_Ref467307010"/>
      <w:bookmarkStart w:id="657" w:name="_Toc195842911"/>
      <w:bookmarkStart w:id="658" w:name="_Toc150774646"/>
      <w:bookmarkStart w:id="659" w:name="_Toc305158814"/>
      <w:bookmarkStart w:id="660" w:name="_Toc127161460"/>
      <w:bookmarkStart w:id="661" w:name="_Toc164351640"/>
      <w:bookmarkStart w:id="662" w:name="_Toc226337242"/>
      <w:bookmarkStart w:id="663" w:name="_Toc520356170"/>
      <w:bookmarkStart w:id="664" w:name="_Toc164229387"/>
      <w:bookmarkStart w:id="665" w:name="_Toc164608815"/>
      <w:bookmarkStart w:id="666" w:name="_Toc151193934"/>
      <w:bookmarkStart w:id="667" w:name="_Toc150480784"/>
      <w:bookmarkStart w:id="668" w:name="_Toc305158888"/>
      <w:bookmarkStart w:id="669" w:name="_Toc265228384"/>
      <w:bookmarkStart w:id="670" w:name="_Toc151193644"/>
      <w:bookmarkStart w:id="671" w:name="_Toc151193860"/>
      <w:bookmarkStart w:id="672" w:name="_Toc127151546"/>
      <w:bookmarkStart w:id="673" w:name="_Toc226965736"/>
      <w:bookmarkStart w:id="674" w:name="_Toc127151747"/>
      <w:bookmarkStart w:id="675" w:name="_Toc164608660"/>
      <w:bookmarkStart w:id="676" w:name="_Toc150509297"/>
      <w:bookmarkStart w:id="677" w:name="_Toc151193716"/>
      <w:bookmarkStart w:id="678" w:name="_Toc264969236"/>
      <w:bookmarkStart w:id="679" w:name="_Toc149720839"/>
      <w:bookmarkStart w:id="680" w:name="_Toc151190173"/>
      <w:bookmarkStart w:id="681" w:name="_Toc164229241"/>
      <w:bookmarkStart w:id="682" w:name="_Toc142311048"/>
      <w:bookmarkStart w:id="683" w:name="_Toc226965819"/>
      <w:bookmarkStart w:id="684" w:name="_Toc151193788"/>
      <w:bookmarkStart w:id="685" w:name="_Toc150774751"/>
      <w:r>
        <w:rPr>
          <w:rFonts w:ascii="宋体" w:hAnsi="宋体"/>
          <w:color w:val="auto"/>
          <w:sz w:val="24"/>
        </w:rPr>
        <w:t>成交候选人名单</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64C3C463">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5520047">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kern w:val="0"/>
          <w:sz w:val="24"/>
          <w:szCs w:val="20"/>
        </w:rPr>
        <w:t>磋商小组根据上述供应商排序，依次推荐排序前</w:t>
      </w:r>
      <w:r>
        <w:rPr>
          <w:rFonts w:ascii="宋体" w:hAnsi="宋体"/>
          <w:color w:val="auto"/>
          <w:sz w:val="24"/>
          <w:u w:val="single"/>
        </w:rPr>
        <w:t xml:space="preserve">   3   </w:t>
      </w:r>
      <w:r>
        <w:rPr>
          <w:rFonts w:ascii="宋体" w:hAnsi="宋体"/>
          <w:color w:val="auto"/>
          <w:sz w:val="24"/>
        </w:rPr>
        <w:t>名</w:t>
      </w:r>
      <w:r>
        <w:rPr>
          <w:rFonts w:ascii="宋体" w:hAnsi="宋体"/>
          <w:color w:val="auto"/>
          <w:kern w:val="0"/>
          <w:sz w:val="24"/>
          <w:szCs w:val="20"/>
        </w:rPr>
        <w:t>的供应商为</w:t>
      </w:r>
      <w:r>
        <w:rPr>
          <w:rFonts w:ascii="宋体" w:hAnsi="宋体"/>
          <w:snapToGrid w:val="0"/>
          <w:color w:val="auto"/>
          <w:kern w:val="0"/>
          <w:sz w:val="24"/>
          <w:szCs w:val="21"/>
        </w:rPr>
        <w:t>成交候选供应商</w:t>
      </w:r>
      <w:r>
        <w:rPr>
          <w:rFonts w:ascii="宋体" w:hAnsi="宋体"/>
          <w:color w:val="auto"/>
          <w:kern w:val="0"/>
          <w:sz w:val="24"/>
          <w:szCs w:val="20"/>
        </w:rPr>
        <w:t>（若在磋商文件允许的情形下提交最后报价的供应商为二家，则依次推荐二名供应商为成交候选供应商），并编写评审报告。</w:t>
      </w:r>
    </w:p>
    <w:p w14:paraId="75E1765C">
      <w:pPr>
        <w:numPr>
          <w:ilvl w:val="1"/>
          <w:numId w:val="11"/>
        </w:numPr>
        <w:tabs>
          <w:tab w:val="left" w:pos="1080"/>
          <w:tab w:val="left" w:pos="1872"/>
        </w:tabs>
        <w:snapToGrid w:val="0"/>
        <w:spacing w:line="360" w:lineRule="auto"/>
        <w:ind w:left="1077" w:hanging="720"/>
        <w:rPr>
          <w:rFonts w:hint="eastAsia" w:ascii="宋体" w:hAnsi="宋体"/>
          <w:color w:val="auto"/>
          <w:sz w:val="24"/>
        </w:rPr>
      </w:pPr>
      <w:r>
        <w:rPr>
          <w:rFonts w:ascii="宋体" w:hAnsi="宋体"/>
          <w:color w:val="auto"/>
          <w:sz w:val="24"/>
        </w:rPr>
        <w:t>磋商小组要对评分汇总情况进行复核，特别是对排名第一的、报价最低的、响应文件被认定为无效的情形进行重点复核。</w:t>
      </w:r>
    </w:p>
    <w:p w14:paraId="6586AE11">
      <w:pPr>
        <w:numPr>
          <w:ilvl w:val="0"/>
          <w:numId w:val="11"/>
        </w:numPr>
        <w:tabs>
          <w:tab w:val="left" w:pos="360"/>
        </w:tabs>
        <w:snapToGrid w:val="0"/>
        <w:spacing w:line="360" w:lineRule="auto"/>
        <w:outlineLvl w:val="1"/>
        <w:rPr>
          <w:rFonts w:hint="eastAsia" w:ascii="宋体" w:hAnsi="宋体"/>
          <w:color w:val="auto"/>
          <w:sz w:val="24"/>
        </w:rPr>
      </w:pPr>
      <w:r>
        <w:rPr>
          <w:rFonts w:ascii="宋体" w:hAnsi="宋体"/>
          <w:color w:val="auto"/>
          <w:sz w:val="24"/>
        </w:rPr>
        <w:t>报告违法行为</w:t>
      </w:r>
    </w:p>
    <w:p w14:paraId="7AD0ABBF">
      <w:pPr>
        <w:numPr>
          <w:ilvl w:val="1"/>
          <w:numId w:val="11"/>
        </w:numPr>
        <w:tabs>
          <w:tab w:val="left" w:pos="1080"/>
          <w:tab w:val="left" w:pos="1872"/>
        </w:tabs>
        <w:snapToGrid w:val="0"/>
        <w:spacing w:line="360" w:lineRule="auto"/>
        <w:ind w:left="1077" w:hanging="720"/>
        <w:rPr>
          <w:rFonts w:hint="eastAsia" w:ascii="宋体" w:hAnsi="宋体"/>
          <w:b/>
          <w:color w:val="auto"/>
          <w:sz w:val="24"/>
        </w:rPr>
      </w:pPr>
      <w:r>
        <w:rPr>
          <w:rFonts w:ascii="宋体" w:hAnsi="宋体"/>
          <w:color w:val="auto"/>
          <w:sz w:val="24"/>
        </w:rPr>
        <w:t>磋商小组在评审过程中发现供应商有行贿、提供虚假材料或者串通等违法行为时，</w:t>
      </w:r>
      <w:r>
        <w:rPr>
          <w:rFonts w:hint="eastAsia" w:ascii="宋体" w:hAnsi="宋体"/>
          <w:color w:val="auto"/>
          <w:sz w:val="24"/>
        </w:rPr>
        <w:t>应当及时向财政部门报告</w:t>
      </w:r>
      <w:r>
        <w:rPr>
          <w:rFonts w:ascii="宋体" w:hAnsi="宋体"/>
          <w:color w:val="auto"/>
          <w:sz w:val="24"/>
        </w:rPr>
        <w:t>。</w:t>
      </w:r>
      <w:r>
        <w:rPr>
          <w:rFonts w:ascii="宋体" w:hAnsi="宋体"/>
          <w:b/>
          <w:color w:val="auto"/>
          <w:sz w:val="24"/>
        </w:rPr>
        <w:br w:type="page"/>
      </w:r>
    </w:p>
    <w:p w14:paraId="3259BBF8">
      <w:pPr>
        <w:pStyle w:val="3"/>
        <w:numPr>
          <w:ilvl w:val="0"/>
          <w:numId w:val="12"/>
        </w:numPr>
        <w:spacing w:before="0" w:line="360" w:lineRule="auto"/>
        <w:rPr>
          <w:rFonts w:hint="eastAsia" w:ascii="宋体" w:hAnsi="宋体" w:eastAsia="宋体"/>
          <w:color w:val="auto"/>
          <w:sz w:val="24"/>
          <w:szCs w:val="24"/>
        </w:rPr>
      </w:pPr>
      <w:r>
        <w:rPr>
          <w:rFonts w:hint="eastAsia" w:ascii="宋体" w:hAnsi="宋体" w:eastAsia="宋体"/>
          <w:color w:val="auto"/>
          <w:sz w:val="24"/>
          <w:szCs w:val="24"/>
        </w:rPr>
        <w:t xml:space="preserve"> </w:t>
      </w:r>
      <w:r>
        <w:rPr>
          <w:rFonts w:ascii="宋体" w:hAnsi="宋体" w:eastAsia="宋体"/>
          <w:color w:val="auto"/>
          <w:sz w:val="24"/>
          <w:szCs w:val="24"/>
        </w:rPr>
        <w:t>评</w:t>
      </w:r>
      <w:r>
        <w:rPr>
          <w:rFonts w:hint="eastAsia" w:ascii="宋体" w:hAnsi="宋体" w:eastAsia="宋体"/>
          <w:color w:val="auto"/>
          <w:sz w:val="24"/>
          <w:szCs w:val="24"/>
        </w:rPr>
        <w:t>审</w:t>
      </w:r>
      <w:r>
        <w:rPr>
          <w:rFonts w:ascii="宋体" w:hAnsi="宋体" w:eastAsia="宋体"/>
          <w:color w:val="auto"/>
          <w:sz w:val="24"/>
          <w:szCs w:val="24"/>
        </w:rPr>
        <w:t>标准</w:t>
      </w:r>
    </w:p>
    <w:p w14:paraId="378CDD0E">
      <w:pPr>
        <w:rPr>
          <w:rFonts w:hint="eastAsia" w:ascii="宋体" w:hAnsi="宋体"/>
          <w:color w:val="auto"/>
          <w:sz w:val="24"/>
        </w:rPr>
      </w:pPr>
    </w:p>
    <w:tbl>
      <w:tblPr>
        <w:tblStyle w:val="53"/>
        <w:tblW w:w="92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475"/>
        <w:gridCol w:w="518"/>
        <w:gridCol w:w="1421"/>
        <w:gridCol w:w="5783"/>
        <w:gridCol w:w="1066"/>
      </w:tblGrid>
      <w:tr w14:paraId="6478C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jc w:val="center"/>
        </w:trPr>
        <w:tc>
          <w:tcPr>
            <w:tcW w:w="475" w:type="dxa"/>
            <w:vAlign w:val="center"/>
          </w:tcPr>
          <w:p w14:paraId="32093243">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序号</w:t>
            </w:r>
          </w:p>
        </w:tc>
        <w:tc>
          <w:tcPr>
            <w:tcW w:w="1939" w:type="dxa"/>
            <w:gridSpan w:val="2"/>
            <w:vAlign w:val="center"/>
          </w:tcPr>
          <w:p w14:paraId="25D9F574">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评审条款</w:t>
            </w:r>
          </w:p>
        </w:tc>
        <w:tc>
          <w:tcPr>
            <w:tcW w:w="5783" w:type="dxa"/>
            <w:vAlign w:val="center"/>
          </w:tcPr>
          <w:p w14:paraId="35AA3710">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评审细则说明</w:t>
            </w:r>
          </w:p>
        </w:tc>
        <w:tc>
          <w:tcPr>
            <w:tcW w:w="1066" w:type="dxa"/>
            <w:vAlign w:val="center"/>
          </w:tcPr>
          <w:p w14:paraId="5E0F2512">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分值</w:t>
            </w:r>
          </w:p>
          <w:p w14:paraId="060E0F97">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(分)</w:t>
            </w:r>
          </w:p>
        </w:tc>
      </w:tr>
      <w:tr w14:paraId="6ECE8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81" w:hRule="atLeast"/>
          <w:jc w:val="center"/>
        </w:trPr>
        <w:tc>
          <w:tcPr>
            <w:tcW w:w="475" w:type="dxa"/>
            <w:vAlign w:val="center"/>
          </w:tcPr>
          <w:p w14:paraId="08169E78">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w:t>
            </w:r>
          </w:p>
        </w:tc>
        <w:tc>
          <w:tcPr>
            <w:tcW w:w="1939" w:type="dxa"/>
            <w:gridSpan w:val="2"/>
            <w:vAlign w:val="center"/>
          </w:tcPr>
          <w:p w14:paraId="66CA17C4">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价格</w:t>
            </w:r>
          </w:p>
        </w:tc>
        <w:tc>
          <w:tcPr>
            <w:tcW w:w="5783" w:type="dxa"/>
            <w:vAlign w:val="center"/>
          </w:tcPr>
          <w:p w14:paraId="71FEA08D">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cs="宋体"/>
                <w:color w:val="auto"/>
                <w:szCs w:val="21"/>
              </w:rPr>
            </w:pPr>
            <w:r>
              <w:rPr>
                <w:rFonts w:hint="eastAsia" w:ascii="宋体" w:hAnsi="宋体" w:cs="宋体"/>
                <w:color w:val="auto"/>
                <w:szCs w:val="21"/>
              </w:rPr>
              <w:t>满足磋商文件要求的最后评审价最低的供应商的评审价为磋商基准价，其价格分为满分。其他供应商的价格分统一按照下列公式计算：</w:t>
            </w:r>
          </w:p>
          <w:p w14:paraId="50624612">
            <w:pPr>
              <w:keepNext w:val="0"/>
              <w:keepLines w:val="0"/>
              <w:pageBreakBefore w:val="0"/>
              <w:widowControl w:val="0"/>
              <w:kinsoku/>
              <w:wordWrap/>
              <w:overflowPunct/>
              <w:topLinePunct w:val="0"/>
              <w:autoSpaceDE/>
              <w:autoSpaceDN/>
              <w:bidi w:val="0"/>
              <w:snapToGrid/>
              <w:spacing w:line="240" w:lineRule="auto"/>
              <w:ind w:firstLine="28"/>
              <w:jc w:val="both"/>
              <w:textAlignment w:val="auto"/>
              <w:rPr>
                <w:rFonts w:hint="eastAsia" w:ascii="宋体" w:hAnsi="宋体" w:cs="宋体"/>
                <w:color w:val="auto"/>
                <w:szCs w:val="21"/>
              </w:rPr>
            </w:pPr>
            <w:r>
              <w:rPr>
                <w:rFonts w:hint="eastAsia" w:ascii="宋体" w:hAnsi="宋体" w:cs="宋体"/>
                <w:color w:val="auto"/>
                <w:szCs w:val="21"/>
              </w:rPr>
              <w:t>磋商报价得分=（磋商基准价/最后评审价）×分值，</w:t>
            </w:r>
          </w:p>
          <w:p w14:paraId="6526FC53">
            <w:pPr>
              <w:keepNext w:val="0"/>
              <w:keepLines w:val="0"/>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szCs w:val="21"/>
              </w:rPr>
              <w:t>注1：此处最后评审价指经过报价修正，及因落实政府采购政策进行价格调整后的评审价，详见第三章《评审方法和评审标准》3.2、3.3。</w:t>
            </w:r>
          </w:p>
        </w:tc>
        <w:tc>
          <w:tcPr>
            <w:tcW w:w="1066" w:type="dxa"/>
            <w:vAlign w:val="center"/>
          </w:tcPr>
          <w:p w14:paraId="23AAE98D">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30</w:t>
            </w:r>
          </w:p>
        </w:tc>
      </w:tr>
      <w:tr w14:paraId="04618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475" w:type="dxa"/>
            <w:vAlign w:val="center"/>
          </w:tcPr>
          <w:p w14:paraId="033F0CC5">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2</w:t>
            </w:r>
          </w:p>
        </w:tc>
        <w:tc>
          <w:tcPr>
            <w:tcW w:w="518" w:type="dxa"/>
            <w:tcBorders>
              <w:right w:val="single" w:color="auto" w:sz="4" w:space="0"/>
            </w:tcBorders>
            <w:vAlign w:val="center"/>
          </w:tcPr>
          <w:p w14:paraId="24D99EA3">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商务</w:t>
            </w:r>
          </w:p>
        </w:tc>
        <w:tc>
          <w:tcPr>
            <w:tcW w:w="1421" w:type="dxa"/>
            <w:tcBorders>
              <w:left w:val="single" w:color="auto" w:sz="4" w:space="0"/>
            </w:tcBorders>
            <w:vAlign w:val="center"/>
          </w:tcPr>
          <w:p w14:paraId="4BA7881E">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项目业绩</w:t>
            </w:r>
          </w:p>
        </w:tc>
        <w:tc>
          <w:tcPr>
            <w:tcW w:w="5783" w:type="dxa"/>
            <w:vAlign w:val="center"/>
          </w:tcPr>
          <w:p w14:paraId="751DBA84">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kern w:val="44"/>
                <w:szCs w:val="21"/>
              </w:rPr>
              <w:t>自2023年1月至今（以签订日期为准）供应商已成功实施的类似</w:t>
            </w:r>
            <w:bookmarkStart w:id="686" w:name="OLE_LINK42"/>
            <w:r>
              <w:rPr>
                <w:rFonts w:hint="eastAsia" w:ascii="宋体" w:hAnsi="宋体" w:cs="宋体"/>
                <w:color w:val="auto"/>
                <w:kern w:val="44"/>
                <w:szCs w:val="21"/>
                <w:lang w:val="en-US" w:eastAsia="zh-CN"/>
              </w:rPr>
              <w:t>拆除</w:t>
            </w:r>
            <w:r>
              <w:rPr>
                <w:rFonts w:hint="eastAsia" w:ascii="宋体" w:hAnsi="宋体" w:cs="宋体"/>
                <w:color w:val="auto"/>
                <w:kern w:val="44"/>
                <w:szCs w:val="21"/>
              </w:rPr>
              <w:t>工程</w:t>
            </w:r>
            <w:bookmarkEnd w:id="686"/>
            <w:r>
              <w:rPr>
                <w:rFonts w:hint="eastAsia" w:ascii="宋体" w:hAnsi="宋体" w:cs="宋体"/>
                <w:color w:val="auto"/>
                <w:kern w:val="44"/>
                <w:szCs w:val="21"/>
              </w:rPr>
              <w:t>施工业绩，每提供一个业绩得6分，最高得12分；</w:t>
            </w:r>
          </w:p>
          <w:p w14:paraId="10894F12">
            <w:pPr>
              <w:pStyle w:val="19"/>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cs="宋体"/>
                <w:color w:val="auto"/>
                <w:kern w:val="44"/>
                <w:szCs w:val="21"/>
              </w:rPr>
              <w:t>注：需提供中标（成交）通知书或合同协议书、工程接收证书（或竣工验收备案登记表或单位工程质量竣工（完工）验收记录）</w:t>
            </w:r>
            <w:r>
              <w:rPr>
                <w:rFonts w:hint="eastAsia" w:ascii="宋体" w:hAnsi="宋体" w:cs="宋体"/>
                <w:color w:val="auto"/>
                <w:szCs w:val="21"/>
              </w:rPr>
              <w:t>扫描件，加盖公章</w:t>
            </w:r>
            <w:r>
              <w:rPr>
                <w:rFonts w:hint="eastAsia" w:ascii="宋体" w:hAnsi="宋体" w:cs="宋体"/>
                <w:color w:val="auto"/>
                <w:kern w:val="44"/>
                <w:szCs w:val="21"/>
              </w:rPr>
              <w:t>。未提供或未按照要求提供</w:t>
            </w:r>
            <w:r>
              <w:rPr>
                <w:rFonts w:hint="eastAsia" w:ascii="宋体" w:hAnsi="宋体" w:cs="宋体"/>
                <w:color w:val="auto"/>
                <w:szCs w:val="21"/>
              </w:rPr>
              <w:t>不得分。</w:t>
            </w:r>
          </w:p>
        </w:tc>
        <w:tc>
          <w:tcPr>
            <w:tcW w:w="1066" w:type="dxa"/>
            <w:vAlign w:val="center"/>
          </w:tcPr>
          <w:p w14:paraId="7EAB156A">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12</w:t>
            </w:r>
          </w:p>
        </w:tc>
      </w:tr>
      <w:tr w14:paraId="40CB86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36" w:hRule="atLeast"/>
          <w:jc w:val="center"/>
        </w:trPr>
        <w:tc>
          <w:tcPr>
            <w:tcW w:w="475" w:type="dxa"/>
            <w:vMerge w:val="restart"/>
            <w:tcBorders>
              <w:top w:val="single" w:color="auto" w:sz="4" w:space="0"/>
            </w:tcBorders>
            <w:vAlign w:val="center"/>
          </w:tcPr>
          <w:p w14:paraId="7409EB16">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3</w:t>
            </w:r>
          </w:p>
        </w:tc>
        <w:tc>
          <w:tcPr>
            <w:tcW w:w="518" w:type="dxa"/>
            <w:vMerge w:val="restart"/>
            <w:tcBorders>
              <w:top w:val="single" w:color="auto" w:sz="4" w:space="0"/>
              <w:right w:val="single" w:color="auto" w:sz="4" w:space="0"/>
            </w:tcBorders>
            <w:vAlign w:val="center"/>
          </w:tcPr>
          <w:p w14:paraId="3B8CA307">
            <w:pPr>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技术</w:t>
            </w:r>
          </w:p>
        </w:tc>
        <w:tc>
          <w:tcPr>
            <w:tcW w:w="1421" w:type="dxa"/>
            <w:tcBorders>
              <w:top w:val="single" w:color="auto" w:sz="4" w:space="0"/>
              <w:left w:val="single" w:color="auto" w:sz="4" w:space="0"/>
            </w:tcBorders>
            <w:vAlign w:val="center"/>
          </w:tcPr>
          <w:p w14:paraId="1D571D16">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专项拆除方案</w:t>
            </w:r>
          </w:p>
        </w:tc>
        <w:tc>
          <w:tcPr>
            <w:tcW w:w="5783" w:type="dxa"/>
            <w:tcBorders>
              <w:top w:val="single" w:color="auto" w:sz="4" w:space="0"/>
            </w:tcBorders>
            <w:vAlign w:val="center"/>
          </w:tcPr>
          <w:p w14:paraId="28D0D6A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方案完全贴合本项目多点位拆除特点，包含各点位现场勘查、安全评估、清场协调、主体拆除、破碎等全流程内容，针对性极强、可操作性极高，得8分；</w:t>
            </w:r>
          </w:p>
          <w:p w14:paraId="35EA16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方案内容基本完整，覆盖核心拆除环节，贴合项目基本特点，但针对性和可操作性一般，得4分；</w:t>
            </w:r>
          </w:p>
          <w:p w14:paraId="4B19960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方案简陋、缺失核心环节（现场勘查/主体拆除等），无法指导施工，得0分。</w:t>
            </w:r>
          </w:p>
        </w:tc>
        <w:tc>
          <w:tcPr>
            <w:tcW w:w="1066" w:type="dxa"/>
            <w:tcBorders>
              <w:top w:val="single" w:color="auto" w:sz="4" w:space="0"/>
            </w:tcBorders>
            <w:vAlign w:val="center"/>
          </w:tcPr>
          <w:p w14:paraId="3999151B">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8</w:t>
            </w:r>
          </w:p>
        </w:tc>
      </w:tr>
      <w:tr w14:paraId="0DECD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1" w:hRule="atLeast"/>
          <w:jc w:val="center"/>
        </w:trPr>
        <w:tc>
          <w:tcPr>
            <w:tcW w:w="475" w:type="dxa"/>
            <w:vMerge w:val="continue"/>
            <w:vAlign w:val="center"/>
          </w:tcPr>
          <w:p w14:paraId="5AE820C0">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163D57DE">
            <w:pPr>
              <w:adjustRightInd w:val="0"/>
              <w:spacing w:line="280" w:lineRule="exact"/>
              <w:jc w:val="center"/>
              <w:rPr>
                <w:rFonts w:hint="eastAsia" w:ascii="宋体" w:hAnsi="宋体" w:cs="宋体"/>
                <w:color w:val="auto"/>
                <w:kern w:val="44"/>
                <w:szCs w:val="21"/>
              </w:rPr>
            </w:pPr>
          </w:p>
        </w:tc>
        <w:tc>
          <w:tcPr>
            <w:tcW w:w="1421" w:type="dxa"/>
            <w:tcBorders>
              <w:top w:val="single" w:color="auto" w:sz="4" w:space="0"/>
              <w:left w:val="single" w:color="auto" w:sz="4" w:space="0"/>
            </w:tcBorders>
            <w:vAlign w:val="center"/>
          </w:tcPr>
          <w:p w14:paraId="4A60ABA0">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安全防护方案及保障措施</w:t>
            </w:r>
          </w:p>
        </w:tc>
        <w:tc>
          <w:tcPr>
            <w:tcW w:w="5783" w:type="dxa"/>
            <w:tcBorders>
              <w:top w:val="single" w:color="auto" w:sz="4" w:space="0"/>
            </w:tcBorders>
            <w:vAlign w:val="center"/>
          </w:tcPr>
          <w:p w14:paraId="0BD4B429">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同时全覆盖居民侧（安全隔离、人员防护、疏散预案）和敏感区域侧（各点位周边施工限制、设施防护）防护，措施全面细致、标准明确，可直接落地执行，得11分；</w:t>
            </w:r>
          </w:p>
          <w:p w14:paraId="2727855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防护措施基本到位，核心防护内容齐全，但某一侧（居民侧/敏感区域侧）存在非核心疏漏，无重大安全隐患，得6分；</w:t>
            </w:r>
          </w:p>
          <w:p w14:paraId="20BF0240">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防护措施不完善、无针对性，核心防护环节缺失，存在明显安全隐患，得0分。</w:t>
            </w:r>
          </w:p>
        </w:tc>
        <w:tc>
          <w:tcPr>
            <w:tcW w:w="1066" w:type="dxa"/>
            <w:tcBorders>
              <w:top w:val="single" w:color="auto" w:sz="4" w:space="0"/>
            </w:tcBorders>
            <w:vAlign w:val="center"/>
          </w:tcPr>
          <w:p w14:paraId="3F2F200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11</w:t>
            </w:r>
          </w:p>
        </w:tc>
      </w:tr>
      <w:tr w14:paraId="2C97B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56" w:hRule="atLeast"/>
          <w:jc w:val="center"/>
        </w:trPr>
        <w:tc>
          <w:tcPr>
            <w:tcW w:w="475" w:type="dxa"/>
            <w:vMerge w:val="continue"/>
            <w:vAlign w:val="center"/>
          </w:tcPr>
          <w:p w14:paraId="524900E3">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55B3D370">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EC35AC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作业专项方案及保障措施</w:t>
            </w:r>
          </w:p>
        </w:tc>
        <w:tc>
          <w:tcPr>
            <w:tcW w:w="5783" w:type="dxa"/>
            <w:vAlign w:val="center"/>
          </w:tcPr>
          <w:p w14:paraId="18DD1EF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专项方案贴合本项目多点位、多场景拆除特点，涵盖各点位拆除流程、人员设备适配、现场安全管控、应急处置等核心内容，措施全面且可操作性强，得5分；</w:t>
            </w:r>
          </w:p>
          <w:p w14:paraId="3EEADD4B">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方案基本完整，覆盖主要作业环节，能满足基础施工需求，但针对性和细节完善度不足，得2分；</w:t>
            </w:r>
          </w:p>
          <w:p w14:paraId="05BB8FA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无专项方案或内容缺失严重，核心作业环节未提及，完全无法指导现场作业，得0分。</w:t>
            </w:r>
          </w:p>
        </w:tc>
        <w:tc>
          <w:tcPr>
            <w:tcW w:w="1066" w:type="dxa"/>
            <w:vAlign w:val="center"/>
          </w:tcPr>
          <w:p w14:paraId="7481A4AE">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61FF4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56" w:hRule="atLeast"/>
          <w:jc w:val="center"/>
        </w:trPr>
        <w:tc>
          <w:tcPr>
            <w:tcW w:w="475" w:type="dxa"/>
            <w:vMerge w:val="continue"/>
            <w:vAlign w:val="center"/>
          </w:tcPr>
          <w:p w14:paraId="5248F075">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533D9244">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7C212BC4">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居民环保干扰管理及保障措施</w:t>
            </w:r>
          </w:p>
        </w:tc>
        <w:tc>
          <w:tcPr>
            <w:tcW w:w="5783" w:type="dxa"/>
            <w:vAlign w:val="center"/>
          </w:tcPr>
          <w:p w14:paraId="6C1B746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有完善的居民沟通机制、投诉应对流程，能主动预判并有效降低多点位施工对周边居民的干扰，得5分；</w:t>
            </w:r>
          </w:p>
          <w:p w14:paraId="21C2E9D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有基本的居民沟通渠道及投诉应对措施，能被动处理常见干扰问题，得2分；</w:t>
            </w:r>
          </w:p>
          <w:p w14:paraId="524ACD9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无居民沟通及投诉应对措施，施工干扰问题无管控，得0分。</w:t>
            </w:r>
          </w:p>
        </w:tc>
        <w:tc>
          <w:tcPr>
            <w:tcW w:w="1066" w:type="dxa"/>
            <w:vAlign w:val="center"/>
          </w:tcPr>
          <w:p w14:paraId="2B7927F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4C685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1" w:hRule="atLeast"/>
          <w:jc w:val="center"/>
        </w:trPr>
        <w:tc>
          <w:tcPr>
            <w:tcW w:w="475" w:type="dxa"/>
            <w:vMerge w:val="continue"/>
            <w:vAlign w:val="center"/>
          </w:tcPr>
          <w:p w14:paraId="1A026719">
            <w:pPr>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939DBC2">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BB08BB9">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扬尘与噪音管理及保障措施</w:t>
            </w:r>
          </w:p>
        </w:tc>
        <w:tc>
          <w:tcPr>
            <w:tcW w:w="5783" w:type="dxa"/>
            <w:vAlign w:val="center"/>
          </w:tcPr>
          <w:p w14:paraId="5D6B3627">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扬尘治理（喷淋、密闭运输等）和噪音管控（时段限定、设备降噪等）措施具体，完全符合医院、居民区、市场等各敏感点位环保规范要求，得5分；</w:t>
            </w:r>
          </w:p>
          <w:p w14:paraId="3EFB752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扬尘与噪音管控措施基本合规，覆盖核心管控环节，但措施不够细化，无针对性适配各敏感点位，得2分；</w:t>
            </w:r>
          </w:p>
          <w:p w14:paraId="5D4FB54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扬尘与噪音管控措施不符合环保规范，未落实核心管控要求，得0分。</w:t>
            </w:r>
          </w:p>
        </w:tc>
        <w:tc>
          <w:tcPr>
            <w:tcW w:w="1066" w:type="dxa"/>
            <w:vAlign w:val="center"/>
          </w:tcPr>
          <w:p w14:paraId="06036C8F">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1AF6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46" w:hRule="atLeast"/>
          <w:jc w:val="center"/>
        </w:trPr>
        <w:tc>
          <w:tcPr>
            <w:tcW w:w="475" w:type="dxa"/>
            <w:vMerge w:val="continue"/>
            <w:vAlign w:val="center"/>
          </w:tcPr>
          <w:p w14:paraId="593702E4">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2E76D034">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1F1E1988">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进度与成本管理及保障措施</w:t>
            </w:r>
          </w:p>
        </w:tc>
        <w:tc>
          <w:tcPr>
            <w:tcW w:w="5783" w:type="dxa"/>
            <w:vAlign w:val="center"/>
          </w:tcPr>
          <w:p w14:paraId="4BE1665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进度计划科学合理，贴合多点位同步/有序施工工期要求，兼顾居民休息、各点位正常运营等关键时段，成本管控措施完善、测算精准，得5分；</w:t>
            </w:r>
          </w:p>
          <w:p w14:paraId="7DC3983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进度计划基本可行，能覆盖主要施工节点，成本管控措施基本具备，但未充分兼顾特殊时段需求，得2分；</w:t>
            </w:r>
          </w:p>
          <w:p w14:paraId="5D8CDA26">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进度计划不合理，未匹配多点位施工特点，无成本管控措施，得0分。</w:t>
            </w:r>
          </w:p>
        </w:tc>
        <w:tc>
          <w:tcPr>
            <w:tcW w:w="1066" w:type="dxa"/>
            <w:vAlign w:val="center"/>
          </w:tcPr>
          <w:p w14:paraId="2358A671">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52608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86" w:hRule="atLeast"/>
          <w:jc w:val="center"/>
        </w:trPr>
        <w:tc>
          <w:tcPr>
            <w:tcW w:w="475" w:type="dxa"/>
            <w:vMerge w:val="continue"/>
            <w:vAlign w:val="center"/>
          </w:tcPr>
          <w:p w14:paraId="688704F1">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1ED578E1">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7E8B15B8">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建筑垃圾与废弃物处置</w:t>
            </w:r>
          </w:p>
        </w:tc>
        <w:tc>
          <w:tcPr>
            <w:tcW w:w="5783" w:type="dxa"/>
            <w:vAlign w:val="center"/>
          </w:tcPr>
          <w:p w14:paraId="72A2422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具备完整合法的运输资质和处置场所证明，清运路线合理（避开居民密集区、医院周边、市场路段等敏感区域），分类处置规范到位，得3分；</w:t>
            </w:r>
          </w:p>
          <w:p w14:paraId="5ACF8738">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基本符合建筑垃圾处置要求，但证明材料不全或清运路线未完全避开敏感区域，分类处置不够规范，得1分；</w:t>
            </w:r>
          </w:p>
          <w:p w14:paraId="460BE9A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无合法运输资质及处置场所证明，清运路线不合理，未按要求分类处置，得0分。</w:t>
            </w:r>
          </w:p>
        </w:tc>
        <w:tc>
          <w:tcPr>
            <w:tcW w:w="1066" w:type="dxa"/>
            <w:vAlign w:val="center"/>
          </w:tcPr>
          <w:p w14:paraId="3152D921">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3</w:t>
            </w:r>
          </w:p>
        </w:tc>
      </w:tr>
      <w:tr w14:paraId="0994E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83" w:hRule="atLeast"/>
          <w:jc w:val="center"/>
        </w:trPr>
        <w:tc>
          <w:tcPr>
            <w:tcW w:w="475" w:type="dxa"/>
            <w:vMerge w:val="continue"/>
            <w:vAlign w:val="center"/>
          </w:tcPr>
          <w:p w14:paraId="6AD0DD6A">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9CB2B68">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324D376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紧急情况的处理措施、预案以及抵抗风险的措施</w:t>
            </w:r>
          </w:p>
        </w:tc>
        <w:tc>
          <w:tcPr>
            <w:tcW w:w="5783" w:type="dxa"/>
            <w:vAlign w:val="center"/>
          </w:tcPr>
          <w:p w14:paraId="300557B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应急预案涵盖安全、环保、敏感区域干扰、施工应急等各类紧急情况，流程清晰、责任明确、可操作性强，风险抵抗措施全面，得6分；</w:t>
            </w:r>
          </w:p>
          <w:p w14:paraId="62E705CD">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应急预案基本完整，覆盖核心紧急情况，流程和责任较明确，但针对性和细节待完善，风险抵抗措施基本具备，得3分；</w:t>
            </w:r>
          </w:p>
          <w:p w14:paraId="1CBFFE3A">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无完善应急预案，仅提及少量紧急情况，流程模糊、无明确责任分工，风险抵抗措施缺失，得0分。</w:t>
            </w:r>
          </w:p>
        </w:tc>
        <w:tc>
          <w:tcPr>
            <w:tcW w:w="1066" w:type="dxa"/>
            <w:vAlign w:val="center"/>
          </w:tcPr>
          <w:p w14:paraId="09EDF9CD">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6</w:t>
            </w:r>
          </w:p>
        </w:tc>
      </w:tr>
      <w:tr w14:paraId="30DD0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29" w:hRule="atLeast"/>
          <w:jc w:val="center"/>
        </w:trPr>
        <w:tc>
          <w:tcPr>
            <w:tcW w:w="475" w:type="dxa"/>
            <w:vMerge w:val="continue"/>
            <w:vAlign w:val="center"/>
          </w:tcPr>
          <w:p w14:paraId="69FD2C7E">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643BF905">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61EA9E2D">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拟派本项目人员配备方案</w:t>
            </w:r>
          </w:p>
        </w:tc>
        <w:tc>
          <w:tcPr>
            <w:tcW w:w="5783" w:type="dxa"/>
            <w:vAlign w:val="center"/>
          </w:tcPr>
          <w:p w14:paraId="05500A7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人员配置齐全，岗位职责清晰，核心团队具备多点位历史遗留地上物拆除项目从业经验，团队稳定性强，得5分；</w:t>
            </w:r>
          </w:p>
          <w:p w14:paraId="71F4A41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人员配置基本满足施工需求，岗位职责明确，但团队相关项目从业经验一般，得2分；</w:t>
            </w:r>
          </w:p>
          <w:p w14:paraId="1CF632A3">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人员配置不足，岗位职责不清晰，团队无多点位拆除项目从业经验，得0分。</w:t>
            </w:r>
          </w:p>
        </w:tc>
        <w:tc>
          <w:tcPr>
            <w:tcW w:w="1066" w:type="dxa"/>
            <w:vAlign w:val="center"/>
          </w:tcPr>
          <w:p w14:paraId="23DC9C9B">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347B8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475" w:type="dxa"/>
            <w:vMerge w:val="continue"/>
            <w:vAlign w:val="center"/>
          </w:tcPr>
          <w:p w14:paraId="64A44103">
            <w:pPr>
              <w:widowControl/>
              <w:adjustRightInd w:val="0"/>
              <w:spacing w:line="280" w:lineRule="exact"/>
              <w:jc w:val="center"/>
              <w:rPr>
                <w:rFonts w:hint="eastAsia" w:ascii="宋体" w:hAnsi="宋体" w:cs="宋体"/>
                <w:color w:val="auto"/>
                <w:kern w:val="44"/>
                <w:szCs w:val="21"/>
              </w:rPr>
            </w:pPr>
          </w:p>
        </w:tc>
        <w:tc>
          <w:tcPr>
            <w:tcW w:w="518" w:type="dxa"/>
            <w:vMerge w:val="continue"/>
            <w:tcBorders>
              <w:right w:val="single" w:color="auto" w:sz="4" w:space="0"/>
            </w:tcBorders>
            <w:vAlign w:val="center"/>
          </w:tcPr>
          <w:p w14:paraId="309462F0">
            <w:pPr>
              <w:adjustRightInd w:val="0"/>
              <w:spacing w:line="280" w:lineRule="exact"/>
              <w:jc w:val="center"/>
              <w:rPr>
                <w:rFonts w:hint="eastAsia" w:ascii="宋体" w:hAnsi="宋体" w:cs="宋体"/>
                <w:color w:val="auto"/>
                <w:kern w:val="44"/>
                <w:szCs w:val="21"/>
              </w:rPr>
            </w:pPr>
          </w:p>
        </w:tc>
        <w:tc>
          <w:tcPr>
            <w:tcW w:w="1421" w:type="dxa"/>
            <w:tcBorders>
              <w:left w:val="single" w:color="auto" w:sz="4" w:space="0"/>
            </w:tcBorders>
            <w:vAlign w:val="center"/>
          </w:tcPr>
          <w:p w14:paraId="47A45A64">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机械设备及工具配置方案</w:t>
            </w:r>
          </w:p>
        </w:tc>
        <w:tc>
          <w:tcPr>
            <w:tcW w:w="5783" w:type="dxa"/>
            <w:vAlign w:val="center"/>
          </w:tcPr>
          <w:p w14:paraId="52B07AB2">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机械设备配置充足，包含适配多点位拆除作业的破碎、清运等专用设备，型号精准适配各点位施工需求，有完善的设备维护和保障措施，得5分；</w:t>
            </w:r>
          </w:p>
          <w:p w14:paraId="757C4365">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eastAsia="宋体" w:cs="宋体"/>
                <w:color w:val="auto"/>
                <w:kern w:val="44"/>
                <w:sz w:val="21"/>
                <w:szCs w:val="21"/>
              </w:rPr>
            </w:pPr>
            <w:r>
              <w:rPr>
                <w:rFonts w:hint="eastAsia" w:ascii="宋体" w:hAnsi="宋体" w:eastAsia="宋体" w:cs="宋体"/>
                <w:color w:val="auto"/>
                <w:kern w:val="44"/>
                <w:sz w:val="21"/>
                <w:szCs w:val="21"/>
              </w:rPr>
              <w:t>设备配置基本满足施工需求，有基础的设备维护和保障措施，但专用设备适配性一般，得2分；</w:t>
            </w:r>
          </w:p>
          <w:p w14:paraId="3F0260CF">
            <w:pPr>
              <w:keepNext w:val="0"/>
              <w:keepLines w:val="0"/>
              <w:pageBreakBefore w:val="0"/>
              <w:widowControl w:val="0"/>
              <w:kinsoku/>
              <w:wordWrap/>
              <w:overflowPunct/>
              <w:topLinePunct w:val="0"/>
              <w:autoSpaceDE/>
              <w:autoSpaceDN/>
              <w:bidi w:val="0"/>
              <w:snapToGrid/>
              <w:spacing w:line="240" w:lineRule="auto"/>
              <w:jc w:val="both"/>
              <w:textAlignment w:val="auto"/>
              <w:rPr>
                <w:rFonts w:hint="eastAsia" w:ascii="宋体" w:hAnsi="宋体" w:cs="宋体"/>
                <w:color w:val="auto"/>
                <w:kern w:val="44"/>
                <w:szCs w:val="21"/>
              </w:rPr>
            </w:pPr>
            <w:r>
              <w:rPr>
                <w:rFonts w:hint="eastAsia" w:ascii="宋体" w:hAnsi="宋体" w:eastAsia="宋体" w:cs="宋体"/>
                <w:color w:val="auto"/>
                <w:kern w:val="44"/>
                <w:sz w:val="21"/>
                <w:szCs w:val="21"/>
              </w:rPr>
              <w:t>设备配置不足，无适配多点位作业的专用设备，无设备维护和保障措施，得0分。</w:t>
            </w:r>
          </w:p>
        </w:tc>
        <w:tc>
          <w:tcPr>
            <w:tcW w:w="1066" w:type="dxa"/>
            <w:vAlign w:val="center"/>
          </w:tcPr>
          <w:p w14:paraId="2C402942">
            <w:pPr>
              <w:spacing w:before="120" w:after="120" w:line="288" w:lineRule="auto"/>
              <w:ind w:left="0" w:leftChars="0"/>
              <w:jc w:val="center"/>
              <w:rPr>
                <w:rFonts w:hint="eastAsia" w:ascii="宋体" w:hAnsi="宋体" w:cs="宋体"/>
                <w:color w:val="auto"/>
                <w:kern w:val="44"/>
                <w:szCs w:val="21"/>
              </w:rPr>
            </w:pPr>
            <w:r>
              <w:rPr>
                <w:rFonts w:hint="eastAsia" w:ascii="宋体" w:hAnsi="宋体" w:eastAsia="宋体" w:cs="宋体"/>
                <w:color w:val="auto"/>
                <w:kern w:val="44"/>
                <w:sz w:val="21"/>
                <w:szCs w:val="21"/>
              </w:rPr>
              <w:t>5</w:t>
            </w:r>
          </w:p>
        </w:tc>
      </w:tr>
      <w:tr w14:paraId="1DE46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exact"/>
          <w:jc w:val="center"/>
        </w:trPr>
        <w:tc>
          <w:tcPr>
            <w:tcW w:w="8197" w:type="dxa"/>
            <w:gridSpan w:val="4"/>
            <w:vAlign w:val="center"/>
          </w:tcPr>
          <w:p w14:paraId="025C290E">
            <w:pPr>
              <w:adjustRightInd w:val="0"/>
              <w:spacing w:line="280" w:lineRule="exact"/>
              <w:jc w:val="center"/>
              <w:rPr>
                <w:rFonts w:hint="eastAsia" w:ascii="宋体" w:hAnsi="宋体" w:cs="宋体"/>
                <w:color w:val="auto"/>
                <w:kern w:val="44"/>
                <w:szCs w:val="21"/>
              </w:rPr>
            </w:pPr>
            <w:bookmarkStart w:id="687" w:name="_Hlk217497727"/>
            <w:r>
              <w:rPr>
                <w:rFonts w:hint="eastAsia" w:ascii="宋体" w:hAnsi="宋体" w:cs="宋体"/>
                <w:color w:val="auto"/>
                <w:kern w:val="44"/>
                <w:szCs w:val="21"/>
              </w:rPr>
              <w:t>总计</w:t>
            </w:r>
          </w:p>
        </w:tc>
        <w:tc>
          <w:tcPr>
            <w:tcW w:w="1066" w:type="dxa"/>
            <w:vAlign w:val="center"/>
          </w:tcPr>
          <w:p w14:paraId="249FB4B6">
            <w:pPr>
              <w:widowControl/>
              <w:adjustRightInd w:val="0"/>
              <w:spacing w:line="280" w:lineRule="exact"/>
              <w:jc w:val="center"/>
              <w:rPr>
                <w:rFonts w:hint="eastAsia" w:ascii="宋体" w:hAnsi="宋体" w:cs="宋体"/>
                <w:color w:val="auto"/>
                <w:kern w:val="44"/>
                <w:szCs w:val="21"/>
              </w:rPr>
            </w:pPr>
            <w:r>
              <w:rPr>
                <w:rFonts w:hint="eastAsia" w:ascii="宋体" w:hAnsi="宋体" w:cs="宋体"/>
                <w:color w:val="auto"/>
                <w:kern w:val="44"/>
                <w:szCs w:val="21"/>
              </w:rPr>
              <w:t>100</w:t>
            </w:r>
          </w:p>
        </w:tc>
      </w:tr>
      <w:bookmarkEnd w:id="687"/>
    </w:tbl>
    <w:p w14:paraId="0DEB0233">
      <w:pPr>
        <w:rPr>
          <w:rFonts w:hint="eastAsia" w:ascii="宋体" w:hAnsi="宋体"/>
          <w:color w:val="auto"/>
          <w:sz w:val="24"/>
        </w:rPr>
      </w:pPr>
    </w:p>
    <w:p w14:paraId="77ABD439">
      <w:pPr>
        <w:widowControl/>
        <w:tabs>
          <w:tab w:val="left" w:pos="3617"/>
        </w:tabs>
        <w:adjustRightInd w:val="0"/>
        <w:spacing w:line="360" w:lineRule="auto"/>
        <w:jc w:val="center"/>
        <w:outlineLvl w:val="0"/>
        <w:rPr>
          <w:rFonts w:hint="eastAsia" w:ascii="宋体" w:hAnsi="宋体"/>
          <w:b/>
          <w:color w:val="auto"/>
          <w:sz w:val="36"/>
          <w:szCs w:val="36"/>
        </w:rPr>
      </w:pPr>
      <w:r>
        <w:rPr>
          <w:rFonts w:hint="eastAsia" w:ascii="宋体" w:hAnsi="宋体"/>
          <w:color w:val="auto"/>
          <w:kern w:val="44"/>
          <w:sz w:val="20"/>
          <w:szCs w:val="21"/>
        </w:rPr>
        <w:br w:type="page"/>
      </w:r>
      <w:bookmarkStart w:id="688" w:name="_Toc217651277"/>
      <w:r>
        <w:rPr>
          <w:rFonts w:ascii="宋体" w:hAnsi="宋体"/>
          <w:b/>
          <w:color w:val="auto"/>
          <w:sz w:val="36"/>
          <w:szCs w:val="36"/>
        </w:rPr>
        <w:t>第四章   采购需求</w:t>
      </w:r>
      <w:bookmarkEnd w:id="688"/>
    </w:p>
    <w:p w14:paraId="15F98732">
      <w:pPr>
        <w:tabs>
          <w:tab w:val="left" w:pos="567"/>
        </w:tabs>
        <w:spacing w:before="240" w:line="360" w:lineRule="auto"/>
        <w:outlineLvl w:val="1"/>
        <w:rPr>
          <w:rFonts w:hint="eastAsia" w:ascii="宋体" w:hAnsi="宋体"/>
          <w:color w:val="auto"/>
          <w:sz w:val="24"/>
        </w:rPr>
      </w:pPr>
      <w:bookmarkStart w:id="689" w:name="OLE_LINK21"/>
      <w:bookmarkStart w:id="690" w:name="_Hlk170978421"/>
      <w:r>
        <w:rPr>
          <w:rFonts w:hint="eastAsia" w:ascii="宋体" w:hAnsi="宋体"/>
          <w:color w:val="auto"/>
          <w:sz w:val="24"/>
        </w:rPr>
        <w:t>一、采购标的</w:t>
      </w:r>
    </w:p>
    <w:tbl>
      <w:tblPr>
        <w:tblStyle w:val="53"/>
        <w:tblW w:w="10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65"/>
        <w:gridCol w:w="1723"/>
        <w:gridCol w:w="1723"/>
        <w:gridCol w:w="796"/>
        <w:gridCol w:w="3478"/>
      </w:tblGrid>
      <w:tr w14:paraId="12FA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79" w:type="dxa"/>
            <w:vAlign w:val="center"/>
          </w:tcPr>
          <w:p w14:paraId="00645B1F">
            <w:pPr>
              <w:jc w:val="center"/>
              <w:rPr>
                <w:rFonts w:hint="eastAsia" w:ascii="宋体" w:hAnsi="宋体" w:cs="宋体"/>
                <w:bCs/>
                <w:color w:val="auto"/>
                <w:sz w:val="20"/>
                <w:szCs w:val="20"/>
              </w:rPr>
            </w:pPr>
            <w:r>
              <w:rPr>
                <w:rFonts w:hint="eastAsia" w:ascii="宋体" w:hAnsi="宋体" w:cs="宋体"/>
                <w:bCs/>
                <w:color w:val="auto"/>
                <w:sz w:val="20"/>
                <w:szCs w:val="20"/>
              </w:rPr>
              <w:t>包号</w:t>
            </w:r>
          </w:p>
        </w:tc>
        <w:tc>
          <w:tcPr>
            <w:tcW w:w="1465" w:type="dxa"/>
            <w:vAlign w:val="center"/>
          </w:tcPr>
          <w:p w14:paraId="3292FA35">
            <w:pPr>
              <w:jc w:val="center"/>
              <w:rPr>
                <w:rFonts w:hint="eastAsia" w:ascii="宋体" w:hAnsi="宋体" w:cs="宋体"/>
                <w:bCs/>
                <w:color w:val="auto"/>
                <w:sz w:val="20"/>
                <w:szCs w:val="20"/>
              </w:rPr>
            </w:pPr>
            <w:r>
              <w:rPr>
                <w:rFonts w:hint="eastAsia" w:ascii="宋体" w:hAnsi="宋体" w:cs="宋体"/>
                <w:bCs/>
                <w:color w:val="auto"/>
                <w:sz w:val="20"/>
                <w:szCs w:val="20"/>
              </w:rPr>
              <w:t>标包名称</w:t>
            </w:r>
          </w:p>
        </w:tc>
        <w:tc>
          <w:tcPr>
            <w:tcW w:w="1723" w:type="dxa"/>
            <w:vAlign w:val="center"/>
          </w:tcPr>
          <w:p w14:paraId="06BD51DC">
            <w:pPr>
              <w:jc w:val="center"/>
              <w:rPr>
                <w:rFonts w:hint="eastAsia" w:ascii="宋体" w:hAnsi="宋体" w:cs="宋体"/>
                <w:bCs/>
                <w:color w:val="auto"/>
                <w:sz w:val="20"/>
                <w:szCs w:val="20"/>
              </w:rPr>
            </w:pPr>
            <w:r>
              <w:rPr>
                <w:rFonts w:hint="eastAsia" w:ascii="宋体" w:hAnsi="宋体" w:cs="宋体"/>
                <w:bCs/>
                <w:color w:val="auto"/>
                <w:sz w:val="20"/>
                <w:szCs w:val="20"/>
              </w:rPr>
              <w:t>标的名称</w:t>
            </w:r>
          </w:p>
        </w:tc>
        <w:tc>
          <w:tcPr>
            <w:tcW w:w="1723" w:type="dxa"/>
            <w:vAlign w:val="center"/>
          </w:tcPr>
          <w:p w14:paraId="26D25376">
            <w:pPr>
              <w:jc w:val="center"/>
              <w:rPr>
                <w:rFonts w:hint="eastAsia" w:ascii="宋体" w:hAnsi="宋体" w:cs="宋体"/>
                <w:bCs/>
                <w:color w:val="auto"/>
                <w:sz w:val="20"/>
                <w:szCs w:val="20"/>
              </w:rPr>
            </w:pPr>
            <w:r>
              <w:rPr>
                <w:rFonts w:hint="eastAsia" w:ascii="宋体" w:hAnsi="宋体" w:cs="宋体"/>
                <w:bCs/>
                <w:color w:val="auto"/>
                <w:sz w:val="20"/>
                <w:szCs w:val="20"/>
              </w:rPr>
              <w:t>采购包预算金额</w:t>
            </w:r>
          </w:p>
          <w:p w14:paraId="1CC49207">
            <w:pPr>
              <w:jc w:val="center"/>
              <w:rPr>
                <w:rFonts w:hint="eastAsia" w:ascii="宋体" w:hAnsi="宋体" w:cs="宋体"/>
                <w:bCs/>
                <w:color w:val="auto"/>
                <w:sz w:val="20"/>
                <w:szCs w:val="20"/>
              </w:rPr>
            </w:pPr>
            <w:r>
              <w:rPr>
                <w:rFonts w:hint="eastAsia" w:ascii="宋体" w:hAnsi="宋体" w:cs="宋体"/>
                <w:bCs/>
                <w:color w:val="auto"/>
                <w:sz w:val="20"/>
                <w:szCs w:val="20"/>
              </w:rPr>
              <w:t>（万元）</w:t>
            </w:r>
          </w:p>
        </w:tc>
        <w:tc>
          <w:tcPr>
            <w:tcW w:w="796" w:type="dxa"/>
            <w:vAlign w:val="center"/>
          </w:tcPr>
          <w:p w14:paraId="4B84DB76">
            <w:pPr>
              <w:jc w:val="center"/>
              <w:rPr>
                <w:rFonts w:hint="eastAsia" w:ascii="宋体" w:hAnsi="宋体" w:cs="宋体"/>
                <w:bCs/>
                <w:color w:val="auto"/>
                <w:sz w:val="20"/>
                <w:szCs w:val="20"/>
              </w:rPr>
            </w:pPr>
            <w:r>
              <w:rPr>
                <w:rFonts w:hint="eastAsia" w:ascii="宋体" w:hAnsi="宋体" w:cs="宋体"/>
                <w:bCs/>
                <w:color w:val="auto"/>
                <w:sz w:val="20"/>
                <w:szCs w:val="20"/>
              </w:rPr>
              <w:t>数量</w:t>
            </w:r>
          </w:p>
        </w:tc>
        <w:tc>
          <w:tcPr>
            <w:tcW w:w="3478" w:type="dxa"/>
            <w:vAlign w:val="center"/>
          </w:tcPr>
          <w:p w14:paraId="1E7B4E1F">
            <w:pPr>
              <w:jc w:val="center"/>
              <w:rPr>
                <w:rFonts w:hint="eastAsia" w:ascii="宋体" w:hAnsi="宋体" w:cs="宋体"/>
                <w:color w:val="auto"/>
                <w:sz w:val="20"/>
                <w:szCs w:val="20"/>
              </w:rPr>
            </w:pPr>
            <w:r>
              <w:rPr>
                <w:rFonts w:hint="eastAsia" w:ascii="宋体" w:hAnsi="宋体" w:cs="宋体"/>
                <w:color w:val="auto"/>
                <w:sz w:val="20"/>
                <w:szCs w:val="20"/>
              </w:rPr>
              <w:t>简要技术需求或服务要求</w:t>
            </w:r>
          </w:p>
        </w:tc>
      </w:tr>
      <w:tr w14:paraId="63D8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79" w:type="dxa"/>
            <w:vAlign w:val="center"/>
          </w:tcPr>
          <w:p w14:paraId="65D62319">
            <w:pPr>
              <w:jc w:val="center"/>
              <w:rPr>
                <w:rFonts w:hint="eastAsia" w:ascii="宋体" w:hAnsi="宋体"/>
                <w:color w:val="auto"/>
                <w:kern w:val="0"/>
                <w:sz w:val="20"/>
                <w:szCs w:val="20"/>
              </w:rPr>
            </w:pPr>
            <w:r>
              <w:rPr>
                <w:rFonts w:hint="eastAsia" w:ascii="宋体" w:hAnsi="宋体"/>
                <w:color w:val="auto"/>
                <w:kern w:val="0"/>
                <w:sz w:val="20"/>
                <w:szCs w:val="20"/>
              </w:rPr>
              <w:t>01</w:t>
            </w:r>
          </w:p>
        </w:tc>
        <w:tc>
          <w:tcPr>
            <w:tcW w:w="1465" w:type="dxa"/>
            <w:vAlign w:val="center"/>
          </w:tcPr>
          <w:p w14:paraId="5F9140BB">
            <w:pPr>
              <w:rPr>
                <w:rFonts w:hint="eastAsia" w:ascii="宋体" w:hAnsi="宋体"/>
                <w:color w:val="auto"/>
                <w:kern w:val="0"/>
                <w:sz w:val="20"/>
                <w:szCs w:val="20"/>
              </w:rPr>
            </w:pPr>
            <w:r>
              <w:rPr>
                <w:rFonts w:hint="eastAsia" w:ascii="宋体" w:hAnsi="宋体"/>
                <w:color w:val="auto"/>
                <w:kern w:val="0"/>
                <w:sz w:val="20"/>
                <w:szCs w:val="20"/>
                <w:lang w:eastAsia="zh-CN"/>
              </w:rPr>
              <w:t>2026年拆违任务</w:t>
            </w:r>
            <w:r>
              <w:rPr>
                <w:rFonts w:hint="eastAsia" w:ascii="宋体" w:hAnsi="宋体"/>
                <w:color w:val="auto"/>
                <w:kern w:val="0"/>
                <w:sz w:val="20"/>
                <w:szCs w:val="20"/>
              </w:rPr>
              <w:t>（一标段）</w:t>
            </w:r>
          </w:p>
        </w:tc>
        <w:tc>
          <w:tcPr>
            <w:tcW w:w="1723" w:type="dxa"/>
            <w:vAlign w:val="center"/>
          </w:tcPr>
          <w:p w14:paraId="69BE0DDF">
            <w:pPr>
              <w:widowControl/>
              <w:jc w:val="left"/>
              <w:rPr>
                <w:rFonts w:hint="eastAsia" w:ascii="宋体" w:hAnsi="宋体"/>
                <w:color w:val="auto"/>
                <w:kern w:val="0"/>
                <w:sz w:val="20"/>
                <w:szCs w:val="20"/>
              </w:rPr>
            </w:pPr>
            <w:r>
              <w:rPr>
                <w:rFonts w:hint="eastAsia" w:ascii="宋体" w:hAnsi="宋体"/>
                <w:color w:val="auto"/>
                <w:kern w:val="0"/>
                <w:sz w:val="20"/>
                <w:szCs w:val="20"/>
                <w:lang w:bidi="ar"/>
              </w:rPr>
              <w:t>建筑物拆除活动</w:t>
            </w:r>
          </w:p>
        </w:tc>
        <w:tc>
          <w:tcPr>
            <w:tcW w:w="1723" w:type="dxa"/>
            <w:vAlign w:val="center"/>
          </w:tcPr>
          <w:p w14:paraId="2D8B78CF">
            <w:pPr>
              <w:jc w:val="center"/>
              <w:rPr>
                <w:rFonts w:hint="default" w:ascii="宋体" w:hAnsi="宋体" w:eastAsia="宋体"/>
                <w:color w:val="auto"/>
                <w:kern w:val="0"/>
                <w:sz w:val="20"/>
                <w:szCs w:val="20"/>
                <w:lang w:val="en-US" w:eastAsia="zh-CN"/>
              </w:rPr>
            </w:pPr>
            <w:r>
              <w:rPr>
                <w:rFonts w:hint="eastAsia" w:ascii="宋体" w:hAnsi="宋体"/>
                <w:color w:val="auto"/>
                <w:kern w:val="0"/>
                <w:sz w:val="20"/>
                <w:szCs w:val="20"/>
                <w:lang w:val="en-US" w:eastAsia="zh-CN"/>
              </w:rPr>
              <w:t>229.517035</w:t>
            </w:r>
          </w:p>
        </w:tc>
        <w:tc>
          <w:tcPr>
            <w:tcW w:w="796" w:type="dxa"/>
            <w:vAlign w:val="center"/>
          </w:tcPr>
          <w:p w14:paraId="50A73DCB">
            <w:pPr>
              <w:jc w:val="center"/>
              <w:rPr>
                <w:rFonts w:hint="eastAsia" w:ascii="宋体" w:hAnsi="宋体"/>
                <w:color w:val="auto"/>
                <w:kern w:val="0"/>
                <w:sz w:val="20"/>
                <w:szCs w:val="20"/>
              </w:rPr>
            </w:pPr>
            <w:r>
              <w:rPr>
                <w:rFonts w:hint="eastAsia" w:ascii="宋体" w:hAnsi="宋体"/>
                <w:color w:val="auto"/>
                <w:kern w:val="0"/>
                <w:sz w:val="20"/>
                <w:szCs w:val="20"/>
              </w:rPr>
              <w:t>1项</w:t>
            </w:r>
          </w:p>
        </w:tc>
        <w:tc>
          <w:tcPr>
            <w:tcW w:w="3478" w:type="dxa"/>
            <w:vAlign w:val="center"/>
          </w:tcPr>
          <w:p w14:paraId="1BFB03B6">
            <w:pPr>
              <w:rPr>
                <w:rFonts w:hint="eastAsia" w:ascii="宋体" w:hAnsi="宋体"/>
                <w:color w:val="auto"/>
                <w:kern w:val="0"/>
                <w:sz w:val="20"/>
                <w:szCs w:val="20"/>
              </w:rPr>
            </w:pPr>
            <w:r>
              <w:rPr>
                <w:rFonts w:hint="eastAsia" w:ascii="宋体" w:hAnsi="宋体"/>
                <w:color w:val="auto"/>
                <w:kern w:val="0"/>
                <w:sz w:val="20"/>
                <w:szCs w:val="20"/>
              </w:rPr>
              <w:t>（1）施工范围：对位于通州区内果园三角地、焦王庄污水处理厂、范庄污水处理厂、</w:t>
            </w:r>
            <w:r>
              <w:rPr>
                <w:rFonts w:hint="eastAsia" w:ascii="宋体" w:hAnsi="宋体"/>
                <w:color w:val="auto"/>
                <w:kern w:val="0"/>
                <w:sz w:val="20"/>
                <w:szCs w:val="20"/>
                <w:lang w:val="en-US" w:eastAsia="zh-CN"/>
              </w:rPr>
              <w:t>北京</w:t>
            </w:r>
            <w:r>
              <w:rPr>
                <w:rFonts w:hint="eastAsia" w:ascii="宋体" w:hAnsi="宋体"/>
                <w:color w:val="auto"/>
                <w:kern w:val="0"/>
                <w:sz w:val="20"/>
                <w:szCs w:val="20"/>
              </w:rPr>
              <w:t>胸科医院</w:t>
            </w:r>
            <w:r>
              <w:rPr>
                <w:rFonts w:hint="eastAsia" w:ascii="宋体" w:hAnsi="宋体"/>
                <w:color w:val="auto"/>
                <w:kern w:val="0"/>
                <w:sz w:val="20"/>
                <w:szCs w:val="20"/>
                <w:lang w:eastAsia="zh-CN"/>
              </w:rPr>
              <w:t>、</w:t>
            </w:r>
            <w:r>
              <w:rPr>
                <w:rFonts w:hint="eastAsia" w:ascii="宋体" w:hAnsi="宋体"/>
                <w:color w:val="auto"/>
                <w:kern w:val="0"/>
                <w:sz w:val="20"/>
                <w:szCs w:val="20"/>
              </w:rPr>
              <w:t>上营花鸟市场东北角、</w:t>
            </w:r>
            <w:r>
              <w:rPr>
                <w:rFonts w:hint="eastAsia" w:ascii="宋体" w:hAnsi="宋体"/>
                <w:color w:val="auto"/>
                <w:kern w:val="0"/>
                <w:sz w:val="20"/>
                <w:szCs w:val="20"/>
                <w:lang w:val="en-US" w:eastAsia="zh-CN"/>
              </w:rPr>
              <w:t>华山幼儿园</w:t>
            </w:r>
            <w:r>
              <w:rPr>
                <w:rFonts w:hint="eastAsia" w:ascii="宋体" w:hAnsi="宋体"/>
                <w:color w:val="auto"/>
                <w:kern w:val="0"/>
                <w:sz w:val="20"/>
                <w:szCs w:val="20"/>
              </w:rPr>
              <w:t>等历史遗留点位实施拆除及场地清理等相关工作；</w:t>
            </w:r>
          </w:p>
          <w:p w14:paraId="463387DF">
            <w:pPr>
              <w:rPr>
                <w:rFonts w:hint="eastAsia" w:ascii="宋体" w:hAnsi="宋体"/>
                <w:color w:val="auto"/>
                <w:kern w:val="0"/>
                <w:sz w:val="20"/>
                <w:szCs w:val="20"/>
              </w:rPr>
            </w:pPr>
            <w:r>
              <w:rPr>
                <w:rFonts w:hint="eastAsia" w:ascii="宋体" w:hAnsi="宋体"/>
                <w:color w:val="auto"/>
                <w:kern w:val="0"/>
                <w:sz w:val="20"/>
                <w:szCs w:val="20"/>
              </w:rPr>
              <w:t>（2）</w:t>
            </w:r>
            <w:r>
              <w:rPr>
                <w:rFonts w:hint="eastAsia" w:ascii="宋体" w:hAnsi="宋体"/>
                <w:color w:val="auto"/>
                <w:kern w:val="0"/>
                <w:sz w:val="20"/>
                <w:szCs w:val="20"/>
                <w:lang w:eastAsia="zh-CN"/>
              </w:rPr>
              <w:t>规模</w:t>
            </w:r>
            <w:r>
              <w:rPr>
                <w:rFonts w:hint="eastAsia" w:ascii="宋体" w:hAnsi="宋体"/>
                <w:color w:val="auto"/>
                <w:kern w:val="0"/>
                <w:sz w:val="20"/>
                <w:szCs w:val="20"/>
              </w:rPr>
              <w:t>：拆除面积约</w:t>
            </w:r>
            <w:r>
              <w:rPr>
                <w:rFonts w:hint="eastAsia" w:ascii="宋体" w:hAnsi="宋体"/>
                <w:color w:val="auto"/>
                <w:kern w:val="0"/>
                <w:sz w:val="20"/>
                <w:szCs w:val="20"/>
                <w:lang w:val="en-US" w:eastAsia="zh-CN"/>
              </w:rPr>
              <w:t>10336.34</w:t>
            </w:r>
            <w:r>
              <w:rPr>
                <w:rFonts w:hint="eastAsia" w:ascii="宋体" w:hAnsi="宋体"/>
                <w:color w:val="auto"/>
                <w:kern w:val="0"/>
                <w:sz w:val="20"/>
                <w:szCs w:val="20"/>
              </w:rPr>
              <w:t>平方米</w:t>
            </w:r>
            <w:r>
              <w:rPr>
                <w:rFonts w:hint="eastAsia" w:ascii="宋体" w:hAnsi="宋体"/>
                <w:color w:val="auto"/>
                <w:kern w:val="0"/>
                <w:sz w:val="20"/>
                <w:szCs w:val="20"/>
                <w:lang w:eastAsia="zh-CN"/>
              </w:rPr>
              <w:t>（</w:t>
            </w:r>
            <w:r>
              <w:rPr>
                <w:rFonts w:hint="eastAsia" w:ascii="宋体" w:hAnsi="宋体"/>
                <w:color w:val="auto"/>
                <w:kern w:val="0"/>
                <w:sz w:val="20"/>
                <w:szCs w:val="20"/>
                <w:lang w:val="en-US" w:eastAsia="zh-CN"/>
              </w:rPr>
              <w:t>具体拆除面积以实际为准</w:t>
            </w:r>
            <w:r>
              <w:rPr>
                <w:rFonts w:hint="eastAsia" w:ascii="宋体" w:hAnsi="宋体"/>
                <w:color w:val="auto"/>
                <w:kern w:val="0"/>
                <w:sz w:val="20"/>
                <w:szCs w:val="20"/>
                <w:lang w:eastAsia="zh-CN"/>
              </w:rPr>
              <w:t>）</w:t>
            </w:r>
            <w:r>
              <w:rPr>
                <w:rFonts w:hint="eastAsia" w:ascii="宋体" w:hAnsi="宋体"/>
                <w:color w:val="auto"/>
                <w:kern w:val="0"/>
                <w:sz w:val="20"/>
                <w:szCs w:val="20"/>
              </w:rPr>
              <w:t>；</w:t>
            </w:r>
          </w:p>
          <w:p w14:paraId="723914C5">
            <w:pPr>
              <w:jc w:val="left"/>
              <w:rPr>
                <w:rFonts w:hint="eastAsia" w:ascii="宋体" w:hAnsi="宋体"/>
                <w:color w:val="auto"/>
                <w:kern w:val="0"/>
                <w:sz w:val="20"/>
                <w:szCs w:val="20"/>
              </w:rPr>
            </w:pPr>
            <w:r>
              <w:rPr>
                <w:rFonts w:hint="eastAsia" w:ascii="宋体" w:hAnsi="宋体"/>
                <w:color w:val="auto"/>
                <w:kern w:val="0"/>
                <w:sz w:val="20"/>
                <w:szCs w:val="20"/>
              </w:rPr>
              <w:t>（3）拆除地点：北京市通州区；</w:t>
            </w:r>
          </w:p>
          <w:p w14:paraId="03CB8245">
            <w:pPr>
              <w:jc w:val="left"/>
              <w:rPr>
                <w:rFonts w:hint="eastAsia" w:ascii="宋体" w:hAnsi="宋体"/>
                <w:color w:val="auto"/>
                <w:kern w:val="0"/>
                <w:sz w:val="20"/>
                <w:szCs w:val="20"/>
              </w:rPr>
            </w:pPr>
            <w:r>
              <w:rPr>
                <w:rFonts w:hint="eastAsia" w:ascii="宋体" w:hAnsi="宋体"/>
                <w:color w:val="auto"/>
                <w:kern w:val="0"/>
                <w:sz w:val="20"/>
                <w:szCs w:val="20"/>
              </w:rPr>
              <w:t>（4）工程质量标准：合格；</w:t>
            </w:r>
          </w:p>
          <w:p w14:paraId="6A10A78D">
            <w:pPr>
              <w:jc w:val="left"/>
              <w:rPr>
                <w:rFonts w:hint="eastAsia" w:ascii="宋体" w:hAnsi="宋体"/>
                <w:color w:val="auto"/>
                <w:kern w:val="0"/>
                <w:sz w:val="20"/>
                <w:szCs w:val="20"/>
              </w:rPr>
            </w:pPr>
            <w:r>
              <w:rPr>
                <w:rFonts w:hint="eastAsia" w:ascii="宋体" w:hAnsi="宋体"/>
                <w:color w:val="auto"/>
                <w:kern w:val="0"/>
                <w:sz w:val="20"/>
                <w:szCs w:val="20"/>
              </w:rPr>
              <w:t>（5）安全生产标准化管理目标等级：达标；</w:t>
            </w:r>
          </w:p>
          <w:p w14:paraId="7E268F87">
            <w:pPr>
              <w:jc w:val="left"/>
              <w:rPr>
                <w:rFonts w:hint="eastAsia" w:ascii="宋体" w:hAnsi="宋体"/>
                <w:color w:val="auto"/>
                <w:kern w:val="0"/>
                <w:sz w:val="20"/>
                <w:szCs w:val="20"/>
              </w:rPr>
            </w:pPr>
            <w:r>
              <w:rPr>
                <w:rFonts w:hint="eastAsia" w:ascii="宋体" w:hAnsi="宋体"/>
                <w:color w:val="auto"/>
                <w:kern w:val="0"/>
                <w:sz w:val="20"/>
                <w:szCs w:val="20"/>
              </w:rPr>
              <w:t>具体内容详见“第四章采购需求”。</w:t>
            </w:r>
          </w:p>
        </w:tc>
      </w:tr>
    </w:tbl>
    <w:p w14:paraId="1806650B">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二、商务要求</w:t>
      </w:r>
    </w:p>
    <w:p w14:paraId="6C96C5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color w:val="auto"/>
          <w:sz w:val="24"/>
        </w:rPr>
      </w:pPr>
      <w:r>
        <w:rPr>
          <w:rFonts w:hint="eastAsia" w:ascii="宋体" w:hAnsi="宋体"/>
          <w:color w:val="auto"/>
          <w:sz w:val="24"/>
          <w:lang w:val="en-US" w:eastAsia="zh-CN"/>
        </w:rPr>
        <w:t>1.</w:t>
      </w:r>
      <w:r>
        <w:rPr>
          <w:rFonts w:ascii="宋体" w:hAnsi="宋体"/>
          <w:color w:val="auto"/>
          <w:sz w:val="24"/>
        </w:rPr>
        <w:t>合同履行期限（工期）</w:t>
      </w:r>
      <w:r>
        <w:rPr>
          <w:rFonts w:hint="eastAsia" w:ascii="宋体" w:hAnsi="宋体"/>
          <w:color w:val="auto"/>
          <w:sz w:val="24"/>
        </w:rPr>
        <w:t>：</w:t>
      </w:r>
    </w:p>
    <w:p w14:paraId="7437FCBE">
      <w:pPr>
        <w:spacing w:line="360" w:lineRule="auto"/>
        <w:ind w:firstLine="480" w:firstLineChars="200"/>
        <w:rPr>
          <w:rFonts w:hint="eastAsia" w:ascii="宋体" w:hAnsi="宋体"/>
          <w:color w:val="auto"/>
          <w:sz w:val="24"/>
        </w:rPr>
      </w:pPr>
      <w:r>
        <w:rPr>
          <w:rFonts w:hint="eastAsia" w:ascii="宋体" w:hAnsi="宋体"/>
          <w:color w:val="auto"/>
          <w:sz w:val="24"/>
        </w:rPr>
        <w:t>01包：</w:t>
      </w:r>
      <w:r>
        <w:rPr>
          <w:rFonts w:hint="eastAsia" w:ascii="宋体" w:hAnsi="宋体"/>
          <w:color w:val="auto"/>
          <w:sz w:val="24"/>
          <w:lang w:val="en-US" w:eastAsia="zh-CN"/>
        </w:rPr>
        <w:t>117</w:t>
      </w:r>
      <w:r>
        <w:rPr>
          <w:rFonts w:hint="eastAsia" w:ascii="宋体" w:hAnsi="宋体"/>
          <w:color w:val="auto"/>
          <w:sz w:val="24"/>
        </w:rPr>
        <w:t>日历天（具体开工日期以合同签订为准）。</w:t>
      </w:r>
    </w:p>
    <w:p w14:paraId="0DCD93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color w:val="auto"/>
          <w:sz w:val="24"/>
          <w:highlight w:val="none"/>
          <w:lang w:val="en-US" w:eastAsia="zh-CN"/>
        </w:rPr>
      </w:pPr>
      <w:r>
        <w:rPr>
          <w:rFonts w:hint="eastAsia" w:ascii="宋体" w:hAnsi="宋体"/>
          <w:color w:val="auto"/>
          <w:sz w:val="24"/>
          <w:highlight w:val="none"/>
          <w:lang w:val="en-US" w:eastAsia="zh-CN"/>
        </w:rPr>
        <w:t>计划开工日期：2026年3月6日</w:t>
      </w:r>
    </w:p>
    <w:p w14:paraId="1A238A6D">
      <w:pPr>
        <w:spacing w:line="360" w:lineRule="auto"/>
        <w:ind w:firstLine="480" w:firstLineChars="200"/>
        <w:outlineLvl w:val="9"/>
        <w:rPr>
          <w:rFonts w:hint="eastAsia" w:ascii="宋体" w:hAnsi="宋体"/>
          <w:color w:val="auto"/>
          <w:sz w:val="24"/>
          <w:highlight w:val="none"/>
        </w:rPr>
      </w:pPr>
      <w:r>
        <w:rPr>
          <w:rFonts w:hint="eastAsia" w:ascii="宋体" w:hAnsi="宋体"/>
          <w:color w:val="auto"/>
          <w:sz w:val="24"/>
          <w:highlight w:val="none"/>
          <w:lang w:val="en-US" w:eastAsia="zh-CN"/>
        </w:rPr>
        <w:t>计划竣工日期：2026年6月30日</w:t>
      </w:r>
    </w:p>
    <w:p w14:paraId="69F52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2"/>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2.</w:t>
      </w:r>
      <w:r>
        <w:rPr>
          <w:rFonts w:ascii="宋体" w:hAnsi="宋体"/>
          <w:color w:val="auto"/>
          <w:sz w:val="24"/>
          <w:highlight w:val="none"/>
        </w:rPr>
        <w:t>合同价款方式</w:t>
      </w:r>
      <w:r>
        <w:rPr>
          <w:rFonts w:hint="eastAsia" w:ascii="宋体" w:hAnsi="宋体"/>
          <w:color w:val="auto"/>
          <w:sz w:val="24"/>
          <w:highlight w:val="none"/>
          <w:lang w:eastAsia="zh-CN"/>
        </w:rPr>
        <w:t>：</w:t>
      </w:r>
      <w:r>
        <w:rPr>
          <w:rFonts w:ascii="宋体" w:hAnsi="宋体"/>
          <w:color w:val="auto"/>
          <w:sz w:val="24"/>
          <w:highlight w:val="none"/>
        </w:rPr>
        <w:t>固定单价</w:t>
      </w:r>
      <w:r>
        <w:rPr>
          <w:rFonts w:hint="eastAsia" w:ascii="宋体" w:hAnsi="宋体"/>
          <w:color w:val="auto"/>
          <w:sz w:val="24"/>
          <w:highlight w:val="none"/>
          <w:lang w:eastAsia="zh-CN"/>
        </w:rPr>
        <w:t>。</w:t>
      </w:r>
    </w:p>
    <w:p w14:paraId="11F74144">
      <w:pPr>
        <w:keepNext w:val="0"/>
        <w:keepLines w:val="0"/>
        <w:pageBreakBefore w:val="0"/>
        <w:widowControl w:val="0"/>
        <w:numPr>
          <w:ilvl w:val="255"/>
          <w:numId w:val="0"/>
        </w:numPr>
        <w:kinsoku/>
        <w:wordWrap/>
        <w:overflowPunct/>
        <w:topLinePunct w:val="0"/>
        <w:autoSpaceDE/>
        <w:autoSpaceDN/>
        <w:bidi w:val="0"/>
        <w:adjustRightInd/>
        <w:snapToGrid/>
        <w:spacing w:line="360" w:lineRule="auto"/>
        <w:ind w:firstLine="480" w:firstLineChars="200"/>
        <w:jc w:val="both"/>
        <w:textAlignment w:val="auto"/>
        <w:outlineLvl w:val="2"/>
        <w:rPr>
          <w:rFonts w:hint="eastAsia" w:ascii="宋体" w:hAnsi="宋体"/>
          <w:color w:val="auto"/>
          <w:sz w:val="24"/>
        </w:rPr>
      </w:pPr>
      <w:r>
        <w:rPr>
          <w:rFonts w:hint="eastAsia" w:ascii="宋体" w:hAnsi="宋体"/>
          <w:color w:val="auto"/>
          <w:sz w:val="24"/>
          <w:lang w:val="en-US" w:eastAsia="zh-CN"/>
        </w:rPr>
        <w:t>3.</w:t>
      </w:r>
      <w:r>
        <w:rPr>
          <w:rFonts w:ascii="宋体" w:hAnsi="宋体"/>
          <w:color w:val="auto"/>
          <w:sz w:val="24"/>
        </w:rPr>
        <w:t>付款条件：</w:t>
      </w:r>
    </w:p>
    <w:p w14:paraId="47A84324">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3.1</w:t>
      </w:r>
      <w:r>
        <w:rPr>
          <w:rFonts w:hint="default" w:ascii="宋体" w:hAnsi="宋体" w:eastAsia="宋体" w:cs="Times New Roman"/>
          <w:color w:val="auto"/>
          <w:sz w:val="24"/>
          <w:szCs w:val="24"/>
        </w:rPr>
        <w:t>预付款：合同签订后10个工作日内，经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确认后，</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支付合同总价的20%作为预付款。</w:t>
      </w:r>
    </w:p>
    <w:p w14:paraId="190F8756">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3.2</w:t>
      </w:r>
      <w:r>
        <w:rPr>
          <w:rFonts w:hint="default" w:ascii="宋体" w:hAnsi="宋体" w:eastAsia="宋体" w:cs="Times New Roman"/>
          <w:color w:val="auto"/>
          <w:sz w:val="24"/>
          <w:szCs w:val="24"/>
        </w:rPr>
        <w:t>进度款：</w:t>
      </w:r>
      <w:r>
        <w:rPr>
          <w:rFonts w:hint="eastAsia" w:ascii="宋体" w:hAnsi="宋体" w:cs="Times New Roman"/>
          <w:color w:val="auto"/>
          <w:sz w:val="24"/>
          <w:szCs w:val="24"/>
          <w:lang w:val="en-US" w:eastAsia="zh-CN"/>
        </w:rPr>
        <w:t>供应商</w:t>
      </w:r>
      <w:r>
        <w:rPr>
          <w:rFonts w:hint="default" w:ascii="宋体" w:hAnsi="宋体" w:eastAsia="宋体" w:cs="Times New Roman"/>
          <w:color w:val="auto"/>
          <w:sz w:val="24"/>
          <w:szCs w:val="24"/>
        </w:rPr>
        <w:t>完成拆除施工总量的80%后，向</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提交进度报告及相关证明材料（包括但不限于工程量完成清单、监理人审核意见等），经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审核确认后10个工作日内，</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支付至合同总价的60%（含已支付的预付款）。</w:t>
      </w:r>
    </w:p>
    <w:p w14:paraId="68614AEE">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rPr>
      </w:pPr>
      <w:r>
        <w:rPr>
          <w:rFonts w:hint="eastAsia" w:ascii="宋体" w:hAnsi="宋体" w:cs="Times New Roman"/>
          <w:color w:val="auto"/>
          <w:sz w:val="24"/>
          <w:szCs w:val="24"/>
          <w:lang w:val="en-US" w:eastAsia="zh-CN"/>
        </w:rPr>
        <w:t>3.3</w:t>
      </w:r>
      <w:r>
        <w:rPr>
          <w:rFonts w:hint="default" w:ascii="宋体" w:hAnsi="宋体" w:eastAsia="宋体" w:cs="Times New Roman"/>
          <w:color w:val="auto"/>
          <w:sz w:val="24"/>
          <w:szCs w:val="24"/>
        </w:rPr>
        <w:t>尾款：项目竣工验收合格后10个工作日内，</w:t>
      </w:r>
      <w:r>
        <w:rPr>
          <w:rFonts w:hint="eastAsia" w:ascii="宋体" w:hAnsi="宋体" w:cs="Times New Roman"/>
          <w:color w:val="auto"/>
          <w:sz w:val="24"/>
          <w:szCs w:val="24"/>
          <w:lang w:val="en-US" w:eastAsia="zh-CN"/>
        </w:rPr>
        <w:t>供应商</w:t>
      </w:r>
      <w:r>
        <w:rPr>
          <w:rFonts w:hint="default" w:ascii="宋体" w:hAnsi="宋体" w:eastAsia="宋体" w:cs="Times New Roman"/>
          <w:color w:val="auto"/>
          <w:sz w:val="24"/>
          <w:szCs w:val="24"/>
        </w:rPr>
        <w:t>提交完整的竣工资料及结算申请，经</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审核确认后，</w:t>
      </w:r>
      <w:r>
        <w:rPr>
          <w:rFonts w:hint="eastAsia" w:ascii="宋体" w:hAnsi="宋体" w:cs="Times New Roman"/>
          <w:color w:val="auto"/>
          <w:sz w:val="24"/>
          <w:szCs w:val="24"/>
          <w:lang w:val="en-US" w:eastAsia="zh-CN"/>
        </w:rPr>
        <w:t>采购人</w:t>
      </w:r>
      <w:r>
        <w:rPr>
          <w:rFonts w:hint="default" w:ascii="宋体" w:hAnsi="宋体" w:eastAsia="宋体" w:cs="Times New Roman"/>
          <w:color w:val="auto"/>
          <w:sz w:val="24"/>
          <w:szCs w:val="24"/>
        </w:rPr>
        <w:t>支付至合同总价的</w:t>
      </w:r>
      <w:r>
        <w:rPr>
          <w:rFonts w:hint="eastAsia" w:ascii="宋体" w:hAnsi="宋体" w:cs="Times New Roman"/>
          <w:color w:val="auto"/>
          <w:sz w:val="24"/>
          <w:szCs w:val="24"/>
          <w:lang w:val="en-US" w:eastAsia="zh-CN"/>
        </w:rPr>
        <w:t>97</w:t>
      </w:r>
      <w:r>
        <w:rPr>
          <w:rFonts w:hint="default" w:ascii="宋体" w:hAnsi="宋体" w:eastAsia="宋体" w:cs="Times New Roman"/>
          <w:color w:val="auto"/>
          <w:sz w:val="24"/>
          <w:szCs w:val="24"/>
        </w:rPr>
        <w:t>%。</w:t>
      </w:r>
    </w:p>
    <w:p w14:paraId="4F490E3F">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left="0" w:firstLine="480" w:firstLineChars="200"/>
        <w:jc w:val="both"/>
        <w:textAlignment w:val="auto"/>
        <w:outlineLvl w:val="3"/>
        <w:rPr>
          <w:rFonts w:hint="default" w:ascii="宋体" w:hAnsi="宋体" w:eastAsia="宋体" w:cs="Times New Roman"/>
          <w:color w:val="auto"/>
          <w:sz w:val="24"/>
          <w:szCs w:val="24"/>
          <w:lang w:val="en-US" w:eastAsia="zh-CN"/>
        </w:rPr>
      </w:pPr>
      <w:r>
        <w:rPr>
          <w:rFonts w:hint="eastAsia" w:ascii="宋体" w:hAnsi="宋体" w:cs="Times New Roman"/>
          <w:color w:val="auto"/>
          <w:sz w:val="24"/>
          <w:szCs w:val="24"/>
          <w:lang w:val="en-US" w:eastAsia="zh-CN"/>
        </w:rPr>
        <w:t>3.4质保金：剩余3％作为工程质保金。本工程质量保修期为2年，待质量保修期结束后20个工作日内，采购人一次性付清工程费用。</w:t>
      </w:r>
    </w:p>
    <w:p w14:paraId="18F79594">
      <w:pPr>
        <w:numPr>
          <w:ilvl w:val="255"/>
          <w:numId w:val="0"/>
        </w:numPr>
        <w:shd w:val="clear" w:color="auto" w:fill="auto"/>
        <w:snapToGrid/>
        <w:spacing w:line="360" w:lineRule="auto"/>
        <w:ind w:firstLine="480" w:firstLineChars="200"/>
        <w:jc w:val="both"/>
        <w:outlineLvl w:val="3"/>
        <w:rPr>
          <w:rFonts w:hint="eastAsia" w:ascii="宋体" w:hAnsi="宋体"/>
          <w:color w:val="auto"/>
          <w:szCs w:val="28"/>
        </w:rPr>
      </w:pPr>
      <w:r>
        <w:rPr>
          <w:rFonts w:hint="eastAsia" w:ascii="宋体" w:hAnsi="宋体" w:cs="Times New Roman"/>
          <w:color w:val="auto"/>
          <w:sz w:val="24"/>
          <w:szCs w:val="24"/>
          <w:lang w:val="en-US" w:eastAsia="zh-CN"/>
        </w:rPr>
        <w:t>3.5采购人</w:t>
      </w:r>
      <w:r>
        <w:rPr>
          <w:rFonts w:hint="default" w:ascii="宋体" w:hAnsi="宋体" w:eastAsia="宋体" w:cs="Times New Roman"/>
          <w:b w:val="0"/>
          <w:color w:val="auto"/>
          <w:kern w:val="2"/>
          <w:sz w:val="24"/>
          <w:szCs w:val="24"/>
          <w:u w:val="none"/>
        </w:rPr>
        <w:t>每次付款前，</w:t>
      </w:r>
      <w:r>
        <w:rPr>
          <w:rFonts w:hint="eastAsia" w:ascii="宋体" w:hAnsi="宋体" w:cs="Times New Roman"/>
          <w:b w:val="0"/>
          <w:color w:val="auto"/>
          <w:kern w:val="2"/>
          <w:sz w:val="24"/>
          <w:szCs w:val="24"/>
          <w:u w:val="none"/>
          <w:lang w:val="en-US" w:eastAsia="zh-CN"/>
        </w:rPr>
        <w:t>供应商</w:t>
      </w:r>
      <w:r>
        <w:rPr>
          <w:rFonts w:hint="default" w:ascii="宋体" w:hAnsi="宋体" w:eastAsia="宋体" w:cs="Times New Roman"/>
          <w:b w:val="0"/>
          <w:color w:val="auto"/>
          <w:kern w:val="2"/>
          <w:sz w:val="24"/>
          <w:szCs w:val="24"/>
          <w:u w:val="none"/>
        </w:rPr>
        <w:t>应开具等额合法发票，并经</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内部审批通过后，再按照</w:t>
      </w:r>
      <w:r>
        <w:rPr>
          <w:rFonts w:hint="eastAsia" w:ascii="宋体" w:hAnsi="宋体" w:cs="Times New Roman"/>
          <w:b w:val="0"/>
          <w:color w:val="auto"/>
          <w:kern w:val="2"/>
          <w:sz w:val="24"/>
          <w:szCs w:val="24"/>
          <w:u w:val="none"/>
          <w:lang w:val="en-US" w:eastAsia="zh-CN"/>
        </w:rPr>
        <w:t>合同</w:t>
      </w:r>
      <w:r>
        <w:rPr>
          <w:rFonts w:hint="default" w:ascii="宋体" w:hAnsi="宋体" w:eastAsia="宋体" w:cs="Times New Roman"/>
          <w:b w:val="0"/>
          <w:color w:val="auto"/>
          <w:kern w:val="2"/>
          <w:sz w:val="24"/>
          <w:szCs w:val="24"/>
          <w:u w:val="none"/>
        </w:rPr>
        <w:t>约定支付，否则，</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有权拒绝付款且无需承担任何责任。若因上级财政资金拨付延迟或</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内部财政审批进度延迟导致</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不能按照本合同约定日期拨付预付款、工程进度款以及竣工结算款的，不构成</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的违约，</w:t>
      </w:r>
      <w:r>
        <w:rPr>
          <w:rFonts w:hint="eastAsia" w:ascii="宋体" w:hAnsi="宋体" w:cs="Times New Roman"/>
          <w:b w:val="0"/>
          <w:color w:val="auto"/>
          <w:kern w:val="2"/>
          <w:sz w:val="24"/>
          <w:szCs w:val="24"/>
          <w:u w:val="none"/>
          <w:lang w:val="en-US" w:eastAsia="zh-CN"/>
        </w:rPr>
        <w:t>供应商</w:t>
      </w:r>
      <w:r>
        <w:rPr>
          <w:rFonts w:hint="default" w:ascii="宋体" w:hAnsi="宋体" w:eastAsia="宋体" w:cs="Times New Roman"/>
          <w:b w:val="0"/>
          <w:color w:val="auto"/>
          <w:kern w:val="2"/>
          <w:sz w:val="24"/>
          <w:szCs w:val="24"/>
          <w:u w:val="none"/>
        </w:rPr>
        <w:t>不得因此追究</w:t>
      </w:r>
      <w:r>
        <w:rPr>
          <w:rFonts w:hint="default" w:ascii="宋体" w:hAnsi="宋体" w:eastAsia="宋体" w:cs="Times New Roman"/>
          <w:b w:val="0"/>
          <w:color w:val="auto"/>
          <w:kern w:val="2"/>
          <w:sz w:val="24"/>
          <w:szCs w:val="24"/>
          <w:u w:val="none"/>
          <w:lang w:eastAsia="zh-CN"/>
        </w:rPr>
        <w:t>采购</w:t>
      </w:r>
      <w:r>
        <w:rPr>
          <w:rFonts w:hint="default" w:ascii="宋体" w:hAnsi="宋体" w:eastAsia="宋体" w:cs="Times New Roman"/>
          <w:b w:val="0"/>
          <w:color w:val="auto"/>
          <w:kern w:val="2"/>
          <w:sz w:val="24"/>
          <w:szCs w:val="24"/>
          <w:u w:val="none"/>
        </w:rPr>
        <w:t>人任何违约责任。待上级财政资金拨付到位且</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内部财政审批进度履行完毕后，</w:t>
      </w:r>
      <w:r>
        <w:rPr>
          <w:rFonts w:hint="eastAsia" w:ascii="宋体" w:hAnsi="宋体" w:cs="Times New Roman"/>
          <w:color w:val="auto"/>
          <w:sz w:val="24"/>
          <w:szCs w:val="24"/>
          <w:lang w:val="en-US" w:eastAsia="zh-CN"/>
        </w:rPr>
        <w:t>采购人</w:t>
      </w:r>
      <w:r>
        <w:rPr>
          <w:rFonts w:hint="default" w:ascii="宋体" w:hAnsi="宋体" w:eastAsia="宋体" w:cs="Times New Roman"/>
          <w:b w:val="0"/>
          <w:color w:val="auto"/>
          <w:kern w:val="2"/>
          <w:sz w:val="24"/>
          <w:szCs w:val="24"/>
          <w:u w:val="none"/>
        </w:rPr>
        <w:t>再按照合同约定支付即可。双方均有配合评审的义务，最终合同金额以</w:t>
      </w:r>
      <w:r>
        <w:rPr>
          <w:rFonts w:hint="eastAsia" w:ascii="宋体" w:hAnsi="宋体" w:cs="Times New Roman"/>
          <w:b w:val="0"/>
          <w:color w:val="auto"/>
          <w:kern w:val="2"/>
          <w:sz w:val="24"/>
          <w:szCs w:val="24"/>
          <w:u w:val="none"/>
          <w:lang w:val="en-US" w:eastAsia="zh-CN"/>
        </w:rPr>
        <w:t>财政</w:t>
      </w:r>
      <w:r>
        <w:rPr>
          <w:rFonts w:hint="default" w:ascii="宋体" w:hAnsi="宋体" w:eastAsia="宋体" w:cs="Times New Roman"/>
          <w:b w:val="0"/>
          <w:color w:val="auto"/>
          <w:kern w:val="2"/>
          <w:sz w:val="24"/>
          <w:szCs w:val="24"/>
          <w:u w:val="none"/>
        </w:rPr>
        <w:t>评审审定金额为准。</w:t>
      </w:r>
    </w:p>
    <w:p w14:paraId="4E35A425">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三、技术要求</w:t>
      </w:r>
    </w:p>
    <w:p w14:paraId="3BAC9C2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1" w:name="_Toc39072869"/>
      <w:r>
        <w:rPr>
          <w:rFonts w:hint="eastAsia" w:ascii="宋体" w:hAnsi="宋体" w:cs="Times New Roman"/>
          <w:color w:val="auto"/>
          <w:sz w:val="24"/>
          <w:lang w:val="en-US" w:eastAsia="zh-CN"/>
        </w:rPr>
        <w:t>1.</w:t>
      </w:r>
      <w:r>
        <w:rPr>
          <w:rFonts w:ascii="宋体" w:hAnsi="宋体" w:eastAsia="宋体" w:cs="Times New Roman"/>
          <w:color w:val="auto"/>
          <w:sz w:val="24"/>
        </w:rPr>
        <w:t>供应商需完全贴合本项目多点位拆除特点，全面落实各点位现场勘查、安全评估、清场协调、主体拆除、破碎等全流程工作内容。工作开展需具备极强的针对性和可操作性，精准适配各点位现场实际情况，确保拆除工作有序推进，无流程遗漏。</w:t>
      </w:r>
    </w:p>
    <w:p w14:paraId="42D705F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eastAsia="宋体" w:cs="Times New Roman"/>
          <w:color w:val="auto"/>
          <w:sz w:val="24"/>
        </w:rPr>
      </w:pPr>
      <w:r>
        <w:rPr>
          <w:rFonts w:hint="eastAsia" w:ascii="宋体" w:hAnsi="宋体" w:cs="Times New Roman"/>
          <w:color w:val="auto"/>
          <w:sz w:val="24"/>
          <w:lang w:val="en-US" w:eastAsia="zh-CN"/>
        </w:rPr>
        <w:t>2.</w:t>
      </w:r>
      <w:r>
        <w:rPr>
          <w:rFonts w:ascii="宋体" w:hAnsi="宋体" w:eastAsia="宋体" w:cs="Times New Roman"/>
          <w:color w:val="auto"/>
          <w:sz w:val="24"/>
        </w:rPr>
        <w:t>供应商需结合本项目多点位、多场景拆除特点，规范落实各点位拆除作业流程，合理适配人员与设备配置，强化现场安全管控，建立完善的应急处置机制。作业开展需覆盖所有核心环节，满足现场施工实际需求，具备较强的可操作性和细节完善度。</w:t>
      </w:r>
    </w:p>
    <w:p w14:paraId="641AF590">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2.1</w:t>
      </w:r>
      <w:r>
        <w:rPr>
          <w:rFonts w:hint="eastAsia" w:ascii="宋体" w:hAnsi="宋体"/>
          <w:color w:val="auto"/>
          <w:sz w:val="24"/>
        </w:rPr>
        <w:t>拆除工作前，供应商应做好文明拆除及消防准备工作。应保证拆除现场内、外清洁卫生，交通道路畅通。供应商应保证在用市政、公用设施完好、畅通。</w:t>
      </w:r>
    </w:p>
    <w:p w14:paraId="0068583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2.2</w:t>
      </w:r>
      <w:r>
        <w:rPr>
          <w:rFonts w:hint="eastAsia" w:ascii="宋体" w:hAnsi="宋体"/>
          <w:color w:val="auto"/>
          <w:sz w:val="24"/>
        </w:rPr>
        <w:t>在拆除现场周边应当设置硬质密闭围挡。拆除前，供应商应对周边房屋进行观测记录，做好安全防护措施，避免因拆除时产生的震动，对周边房屋造成影响。若供应商违反操作规程，导致损坏民居房屋的赔偿责任由供应商承担</w:t>
      </w:r>
      <w:r>
        <w:rPr>
          <w:rFonts w:hint="eastAsia" w:ascii="宋体" w:hAnsi="宋体" w:cs="Times New Roman"/>
          <w:color w:val="auto"/>
          <w:sz w:val="24"/>
          <w:lang w:val="en-US" w:eastAsia="zh-CN"/>
        </w:rPr>
        <w:t>。</w:t>
      </w:r>
    </w:p>
    <w:p w14:paraId="54D9049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color w:val="auto"/>
          <w:highlight w:val="none"/>
        </w:rPr>
      </w:pPr>
      <w:r>
        <w:rPr>
          <w:rFonts w:hint="eastAsia" w:ascii="宋体" w:hAnsi="宋体" w:cs="Times New Roman"/>
          <w:color w:val="auto"/>
          <w:sz w:val="24"/>
          <w:lang w:val="en-US" w:eastAsia="zh-CN"/>
        </w:rPr>
        <w:t>★2.3供应商须接到采购人临时拆除/清运通知</w:t>
      </w:r>
      <w:r>
        <w:rPr>
          <w:rFonts w:hint="eastAsia" w:ascii="宋体" w:hAnsi="宋体" w:cs="Times New Roman"/>
          <w:color w:val="auto"/>
          <w:sz w:val="24"/>
          <w:highlight w:val="none"/>
          <w:lang w:val="en-US" w:eastAsia="zh-CN"/>
        </w:rPr>
        <w:t>后按照采购人具体要求完成相关工作。</w:t>
      </w:r>
    </w:p>
    <w:p w14:paraId="46D5B83A">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3.</w:t>
      </w:r>
      <w:r>
        <w:rPr>
          <w:rFonts w:ascii="宋体" w:hAnsi="宋体" w:eastAsia="宋体" w:cs="Times New Roman"/>
          <w:color w:val="auto"/>
          <w:sz w:val="24"/>
        </w:rPr>
        <w:t>供应商需建立全面的安全防护保障体系，同时覆盖居民侧和敏感区域侧防护工作：</w:t>
      </w:r>
    </w:p>
    <w:p w14:paraId="7380FE82">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3"/>
        <w:rPr>
          <w:rFonts w:ascii="宋体" w:hAnsi="宋体"/>
          <w:color w:val="auto"/>
          <w:sz w:val="24"/>
        </w:rPr>
      </w:pPr>
      <w:r>
        <w:rPr>
          <w:rFonts w:hint="eastAsia" w:ascii="宋体" w:hAnsi="宋体" w:cs="Times New Roman"/>
          <w:color w:val="auto"/>
          <w:sz w:val="24"/>
          <w:lang w:val="en-US" w:eastAsia="zh-CN"/>
        </w:rPr>
        <w:t>3.1</w:t>
      </w:r>
      <w:r>
        <w:rPr>
          <w:rFonts w:ascii="宋体" w:hAnsi="宋体" w:eastAsia="宋体" w:cs="Times New Roman"/>
          <w:color w:val="auto"/>
          <w:sz w:val="24"/>
        </w:rPr>
        <w:t>居民侧：严格落实安全隔离措施、人员防护保障、应急疏散安排，全面防范拆除作业对周边居民的安全风险；</w:t>
      </w:r>
    </w:p>
    <w:p w14:paraId="4E2F71EE">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3"/>
        <w:rPr>
          <w:rFonts w:ascii="宋体" w:hAnsi="宋体"/>
          <w:color w:val="auto"/>
          <w:sz w:val="24"/>
        </w:rPr>
      </w:pPr>
      <w:r>
        <w:rPr>
          <w:rFonts w:hint="eastAsia" w:ascii="宋体" w:hAnsi="宋体" w:cs="Times New Roman"/>
          <w:color w:val="auto"/>
          <w:sz w:val="24"/>
          <w:lang w:val="en-US" w:eastAsia="zh-CN"/>
        </w:rPr>
        <w:t>3.2</w:t>
      </w:r>
      <w:r>
        <w:rPr>
          <w:rFonts w:ascii="宋体" w:hAnsi="宋体" w:eastAsia="宋体" w:cs="Times New Roman"/>
          <w:color w:val="auto"/>
          <w:sz w:val="24"/>
        </w:rPr>
        <w:t>敏感区域侧：针对各点位周边环境特点，明确施工限制标准，完善周边设施防护措施，杜绝安全事故发生。</w:t>
      </w:r>
    </w:p>
    <w:p w14:paraId="25092716">
      <w:pPr>
        <w:spacing w:line="360" w:lineRule="auto"/>
        <w:ind w:firstLine="480" w:firstLineChars="200"/>
        <w:jc w:val="left"/>
        <w:outlineLvl w:val="3"/>
        <w:rPr>
          <w:rFonts w:hint="eastAsia" w:eastAsia="宋体"/>
          <w:color w:val="auto"/>
          <w:lang w:val="en-US" w:eastAsia="zh-CN"/>
        </w:rPr>
      </w:pPr>
      <w:r>
        <w:rPr>
          <w:rFonts w:hint="eastAsia" w:ascii="宋体" w:hAnsi="宋体" w:cs="Times New Roman"/>
          <w:color w:val="auto"/>
          <w:sz w:val="24"/>
          <w:lang w:val="en-US" w:eastAsia="zh-CN"/>
        </w:rPr>
        <w:t>3.3</w:t>
      </w:r>
      <w:r>
        <w:rPr>
          <w:rFonts w:ascii="宋体" w:hAnsi="宋体" w:eastAsia="宋体" w:cs="Times New Roman"/>
          <w:color w:val="auto"/>
          <w:sz w:val="24"/>
        </w:rPr>
        <w:t>防护措施需全面细致、标准明确，可直接落地执行，无重大安全隐患。</w:t>
      </w:r>
    </w:p>
    <w:p w14:paraId="56D2B24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2" w:name="heading_3"/>
      <w:r>
        <w:rPr>
          <w:rFonts w:hint="eastAsia" w:ascii="宋体" w:hAnsi="宋体" w:cs="Times New Roman"/>
          <w:b w:val="0"/>
          <w:color w:val="auto"/>
          <w:sz w:val="24"/>
          <w:lang w:val="en-US" w:eastAsia="zh-CN"/>
        </w:rPr>
        <w:t>4</w:t>
      </w:r>
      <w:r>
        <w:rPr>
          <w:rFonts w:ascii="宋体" w:hAnsi="宋体" w:eastAsia="宋体" w:cs="Times New Roman"/>
          <w:b w:val="0"/>
          <w:color w:val="auto"/>
          <w:sz w:val="24"/>
        </w:rPr>
        <w:t>居民环保干扰管控要求</w:t>
      </w:r>
      <w:bookmarkEnd w:id="692"/>
    </w:p>
    <w:p w14:paraId="3A32EE0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3" w:name="heading_4"/>
      <w:r>
        <w:rPr>
          <w:rFonts w:hint="eastAsia" w:ascii="宋体" w:hAnsi="宋体" w:cs="Times New Roman"/>
          <w:b w:val="0"/>
          <w:color w:val="auto"/>
          <w:sz w:val="24"/>
          <w:lang w:val="en-US" w:eastAsia="zh-CN"/>
        </w:rPr>
        <w:t>4.1</w:t>
      </w:r>
      <w:r>
        <w:rPr>
          <w:rFonts w:ascii="宋体" w:hAnsi="宋体" w:eastAsia="宋体" w:cs="Times New Roman"/>
          <w:b w:val="0"/>
          <w:color w:val="auto"/>
          <w:sz w:val="24"/>
        </w:rPr>
        <w:t>居民沟通与投诉应对</w:t>
      </w:r>
      <w:bookmarkEnd w:id="693"/>
    </w:p>
    <w:p w14:paraId="2D9BE90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供应商需建立完善的居民沟通机制，主动开展沟通工作，提前预判多点位施工对周边居民的各类干扰；同时制定规范的投诉应对流程，快速、有效处理居民反馈问题，切实降低施工干扰影响。</w:t>
      </w:r>
    </w:p>
    <w:p w14:paraId="6276BF4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4" w:name="heading_5"/>
      <w:r>
        <w:rPr>
          <w:rFonts w:hint="eastAsia" w:ascii="宋体" w:hAnsi="宋体" w:cs="Times New Roman"/>
          <w:b w:val="0"/>
          <w:color w:val="auto"/>
          <w:sz w:val="24"/>
          <w:lang w:val="en-US" w:eastAsia="zh-CN"/>
        </w:rPr>
        <w:t>4.2</w:t>
      </w:r>
      <w:r>
        <w:rPr>
          <w:rFonts w:ascii="宋体" w:hAnsi="宋体" w:eastAsia="宋体" w:cs="Times New Roman"/>
          <w:b w:val="0"/>
          <w:color w:val="auto"/>
          <w:sz w:val="24"/>
        </w:rPr>
        <w:t>扬尘与噪音管控</w:t>
      </w:r>
      <w:bookmarkEnd w:id="694"/>
    </w:p>
    <w:p w14:paraId="4959CA4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供应商需严格落实扬尘治理和噪音管控措施，完全符合医院、居民区、市场等各敏感点位环保规范要求：</w:t>
      </w:r>
    </w:p>
    <w:p w14:paraId="4DAB4FCD">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4"/>
        <w:rPr>
          <w:rFonts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1</w:t>
      </w:r>
      <w:r>
        <w:rPr>
          <w:rFonts w:hint="eastAsia" w:ascii="宋体" w:hAnsi="宋体" w:cs="Times New Roman"/>
          <w:color w:val="auto"/>
          <w:sz w:val="24"/>
          <w:lang w:eastAsia="zh-CN"/>
        </w:rPr>
        <w:t>）</w:t>
      </w:r>
      <w:r>
        <w:rPr>
          <w:rFonts w:ascii="宋体" w:hAnsi="宋体" w:eastAsia="宋体" w:cs="Times New Roman"/>
          <w:color w:val="auto"/>
          <w:sz w:val="24"/>
        </w:rPr>
        <w:t>扬尘治理：落实喷淋降尘、物料密闭运输等措施，全程管控扬尘污染；</w:t>
      </w:r>
    </w:p>
    <w:p w14:paraId="0EB08725">
      <w:pPr>
        <w:keepNext w:val="0"/>
        <w:keepLines w:val="0"/>
        <w:pageBreakBefore w:val="0"/>
        <w:numPr>
          <w:ilvl w:val="-1"/>
          <w:numId w:val="0"/>
        </w:numPr>
        <w:kinsoku/>
        <w:wordWrap/>
        <w:overflowPunct/>
        <w:topLinePunct w:val="0"/>
        <w:autoSpaceDE/>
        <w:autoSpaceDN/>
        <w:bidi w:val="0"/>
        <w:adjustRightInd/>
        <w:spacing w:beforeAutospacing="0" w:afterAutospacing="0" w:line="360" w:lineRule="auto"/>
        <w:ind w:left="0" w:leftChars="0" w:firstLine="480" w:firstLineChars="200"/>
        <w:jc w:val="left"/>
        <w:textAlignment w:val="auto"/>
        <w:outlineLvl w:val="4"/>
        <w:rPr>
          <w:rFonts w:ascii="宋体" w:hAnsi="宋体"/>
          <w:color w:val="auto"/>
          <w:sz w:val="24"/>
        </w:rPr>
      </w:pPr>
      <w:r>
        <w:rPr>
          <w:rFonts w:hint="eastAsia" w:ascii="宋体" w:hAnsi="宋体" w:cs="Times New Roman"/>
          <w:color w:val="auto"/>
          <w:sz w:val="24"/>
          <w:lang w:eastAsia="zh-CN"/>
        </w:rPr>
        <w:t>（</w:t>
      </w:r>
      <w:r>
        <w:rPr>
          <w:rFonts w:hint="eastAsia" w:ascii="宋体" w:hAnsi="宋体" w:cs="Times New Roman"/>
          <w:color w:val="auto"/>
          <w:sz w:val="24"/>
          <w:lang w:val="en-US" w:eastAsia="zh-CN"/>
        </w:rPr>
        <w:t>2</w:t>
      </w:r>
      <w:r>
        <w:rPr>
          <w:rFonts w:hint="eastAsia" w:ascii="宋体" w:hAnsi="宋体" w:cs="Times New Roman"/>
          <w:color w:val="auto"/>
          <w:sz w:val="24"/>
          <w:lang w:eastAsia="zh-CN"/>
        </w:rPr>
        <w:t>）</w:t>
      </w:r>
      <w:r>
        <w:rPr>
          <w:rFonts w:ascii="宋体" w:hAnsi="宋体" w:eastAsia="宋体" w:cs="Times New Roman"/>
          <w:color w:val="auto"/>
          <w:sz w:val="24"/>
        </w:rPr>
        <w:t>噪音管控：明确作业时段限定标准，配备设备降噪设施，严控施工噪音对周边环境的影响。</w:t>
      </w:r>
    </w:p>
    <w:p w14:paraId="13BF649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bookmarkStart w:id="695" w:name="heading_6"/>
      <w:r>
        <w:rPr>
          <w:rFonts w:hint="eastAsia" w:ascii="宋体" w:hAnsi="宋体" w:cs="Times New Roman"/>
          <w:b w:val="0"/>
          <w:color w:val="auto"/>
          <w:sz w:val="24"/>
          <w:lang w:val="en-US" w:eastAsia="zh-CN"/>
        </w:rPr>
        <w:t>5.</w:t>
      </w:r>
      <w:r>
        <w:rPr>
          <w:rFonts w:ascii="宋体" w:hAnsi="宋体" w:eastAsia="宋体" w:cs="Times New Roman"/>
          <w:b w:val="0"/>
          <w:color w:val="auto"/>
          <w:sz w:val="24"/>
        </w:rPr>
        <w:t>进度与成本管控要求</w:t>
      </w:r>
      <w:bookmarkEnd w:id="695"/>
    </w:p>
    <w:p w14:paraId="7AA9322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6" w:name="heading_7"/>
      <w:r>
        <w:rPr>
          <w:rFonts w:hint="eastAsia" w:ascii="宋体" w:hAnsi="宋体" w:cs="Times New Roman"/>
          <w:b w:val="0"/>
          <w:color w:val="auto"/>
          <w:sz w:val="24"/>
          <w:lang w:val="en-US" w:eastAsia="zh-CN"/>
        </w:rPr>
        <w:t>5.1</w:t>
      </w:r>
      <w:r>
        <w:rPr>
          <w:rFonts w:ascii="宋体" w:hAnsi="宋体" w:eastAsia="宋体" w:cs="Times New Roman"/>
          <w:b w:val="0"/>
          <w:color w:val="auto"/>
          <w:sz w:val="24"/>
        </w:rPr>
        <w:t>进度管控</w:t>
      </w:r>
      <w:bookmarkEnd w:id="696"/>
    </w:p>
    <w:p w14:paraId="0D699A4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供应商需制定科学合理的进度计划，贴合多点位同步或有序施工的工期要求，充分兼顾居民休息时段、各点位正常运营等特殊时段，确保项目按时完成。</w:t>
      </w:r>
    </w:p>
    <w:p w14:paraId="195D981B">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color w:val="auto"/>
          <w:sz w:val="24"/>
        </w:rPr>
      </w:pPr>
      <w:bookmarkStart w:id="697" w:name="heading_8"/>
      <w:r>
        <w:rPr>
          <w:rFonts w:hint="eastAsia" w:ascii="宋体" w:hAnsi="宋体" w:cs="Times New Roman"/>
          <w:b w:val="0"/>
          <w:color w:val="auto"/>
          <w:sz w:val="24"/>
          <w:lang w:val="en-US" w:eastAsia="zh-CN"/>
        </w:rPr>
        <w:t>5.2</w:t>
      </w:r>
      <w:r>
        <w:rPr>
          <w:rFonts w:ascii="宋体" w:hAnsi="宋体" w:eastAsia="宋体" w:cs="Times New Roman"/>
          <w:b w:val="0"/>
          <w:color w:val="auto"/>
          <w:sz w:val="24"/>
        </w:rPr>
        <w:t>成本管控</w:t>
      </w:r>
      <w:bookmarkEnd w:id="697"/>
    </w:p>
    <w:p w14:paraId="51A6B2A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rPr>
          <w:rFonts w:ascii="宋体" w:hAnsi="宋体"/>
          <w:color w:val="auto"/>
          <w:sz w:val="24"/>
        </w:rPr>
      </w:pPr>
      <w:r>
        <w:rPr>
          <w:rFonts w:ascii="宋体" w:hAnsi="宋体" w:eastAsia="宋体" w:cs="Times New Roman"/>
          <w:color w:val="auto"/>
          <w:sz w:val="24"/>
        </w:rPr>
        <w:t>供应商需建立完善的成本管控体系，对项目成本进行精准测算，落实各项成本管控措施，确保项目资金使用合规、高效，无浪费情况。</w:t>
      </w:r>
    </w:p>
    <w:p w14:paraId="5B6991A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default" w:ascii="宋体" w:hAnsi="宋体" w:cs="Times New Roman"/>
          <w:color w:val="auto"/>
          <w:sz w:val="24"/>
          <w:lang w:val="en-US" w:eastAsia="zh-CN"/>
        </w:rPr>
      </w:pPr>
      <w:r>
        <w:rPr>
          <w:rFonts w:hint="eastAsia" w:ascii="宋体" w:hAnsi="宋体" w:cs="Times New Roman"/>
          <w:color w:val="auto"/>
          <w:sz w:val="24"/>
          <w:lang w:val="en-US" w:eastAsia="zh-CN"/>
        </w:rPr>
        <w:t>6.清运要求</w:t>
      </w:r>
    </w:p>
    <w:p w14:paraId="1483E392">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eastAsia="宋体" w:cs="Times New Roman"/>
          <w:color w:val="auto"/>
          <w:sz w:val="24"/>
        </w:rPr>
      </w:pPr>
      <w:r>
        <w:rPr>
          <w:rFonts w:hint="eastAsia" w:ascii="宋体" w:hAnsi="宋体" w:cs="Times New Roman"/>
          <w:color w:val="auto"/>
          <w:sz w:val="24"/>
          <w:lang w:val="en-US" w:eastAsia="zh-CN"/>
        </w:rPr>
        <w:t>★6.1</w:t>
      </w:r>
      <w:r>
        <w:rPr>
          <w:rFonts w:ascii="宋体" w:hAnsi="宋体" w:eastAsia="宋体" w:cs="Times New Roman"/>
          <w:color w:val="auto"/>
          <w:sz w:val="24"/>
        </w:rPr>
        <w:t>供应商需具备合法合规的建筑垃圾运输资质和处置场所证明，</w:t>
      </w:r>
      <w:r>
        <w:rPr>
          <w:rFonts w:hint="eastAsia" w:ascii="宋体" w:hAnsi="宋体" w:eastAsia="宋体" w:cs="Times New Roman"/>
          <w:color w:val="auto"/>
          <w:sz w:val="24"/>
        </w:rPr>
        <w:t>符合行政主管部门要求</w:t>
      </w:r>
      <w:r>
        <w:rPr>
          <w:rFonts w:hint="eastAsia" w:ascii="宋体" w:hAnsi="宋体" w:cs="Times New Roman"/>
          <w:color w:val="auto"/>
          <w:sz w:val="24"/>
          <w:lang w:eastAsia="zh-CN"/>
        </w:rPr>
        <w:t>，</w:t>
      </w:r>
      <w:r>
        <w:rPr>
          <w:rFonts w:ascii="宋体" w:hAnsi="宋体" w:eastAsia="宋体" w:cs="Times New Roman"/>
          <w:color w:val="auto"/>
          <w:sz w:val="24"/>
        </w:rPr>
        <w:t>合理规划清运路线，严格避开居民密集区、医院周边、市场路段等敏感区域；对建筑垃圾及废弃物实行分类处置，处置流程规范到位，符合环保及相关监管要求。</w:t>
      </w:r>
    </w:p>
    <w:p w14:paraId="1B27055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★6.2供应商拟投入使用的运输车辆需符合环保部门、交通运输部门及区城管委要求。</w:t>
      </w:r>
    </w:p>
    <w:p w14:paraId="31FB532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olor w:val="auto"/>
          <w:sz w:val="24"/>
          <w:lang w:val="en-US"/>
        </w:rPr>
      </w:pPr>
      <w:r>
        <w:rPr>
          <w:rFonts w:hint="eastAsia" w:ascii="宋体" w:hAnsi="宋体" w:cs="Times New Roman"/>
          <w:color w:val="auto"/>
          <w:sz w:val="24"/>
          <w:lang w:val="en-US" w:eastAsia="zh-CN"/>
        </w:rPr>
        <w:t>6.3垃圾清运过程中，因违反法律、法规和规定造成有关部门的罚款由供应商自行承担。</w:t>
      </w:r>
    </w:p>
    <w:p w14:paraId="41B964F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b w:val="0"/>
          <w:color w:val="auto"/>
          <w:sz w:val="24"/>
          <w:lang w:val="en-US" w:eastAsia="zh-CN"/>
        </w:rPr>
        <w:t>7.</w:t>
      </w:r>
      <w:r>
        <w:rPr>
          <w:rFonts w:ascii="宋体" w:hAnsi="宋体" w:eastAsia="宋体" w:cs="Times New Roman"/>
          <w:color w:val="auto"/>
          <w:sz w:val="24"/>
        </w:rPr>
        <w:t>供应商需建立完善的紧急情况处理机制和风险抵抗体系，应急预案需涵盖安全事故、环保污染、敏感区域干扰、施工突发情况等各类紧急场景，明确处理流程、责任分工，具备较强的可操作性；同时落实全面的风险抵抗措施，有效防范和应对项目实施过程中的各类风险。</w:t>
      </w:r>
    </w:p>
    <w:p w14:paraId="56645A76">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default" w:ascii="宋体" w:hAnsi="宋体" w:cs="Times New Roman"/>
          <w:color w:val="auto"/>
          <w:sz w:val="24"/>
          <w:lang w:val="en-US" w:eastAsia="zh-CN"/>
        </w:rPr>
      </w:pPr>
      <w:r>
        <w:rPr>
          <w:rFonts w:hint="eastAsia" w:ascii="宋体" w:hAnsi="宋体" w:cs="Times New Roman"/>
          <w:color w:val="auto"/>
          <w:sz w:val="24"/>
          <w:lang w:val="en-US" w:eastAsia="zh-CN"/>
        </w:rPr>
        <w:t>8.人员要求</w:t>
      </w:r>
    </w:p>
    <w:p w14:paraId="500BE0DC">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ascii="宋体" w:hAnsi="宋体" w:eastAsia="宋体" w:cs="Times New Roman"/>
          <w:color w:val="auto"/>
          <w:sz w:val="24"/>
        </w:rPr>
      </w:pPr>
      <w:r>
        <w:rPr>
          <w:rFonts w:hint="eastAsia" w:ascii="宋体" w:hAnsi="宋体" w:cs="Times New Roman"/>
          <w:color w:val="auto"/>
          <w:sz w:val="24"/>
          <w:lang w:val="en-US" w:eastAsia="zh-CN"/>
        </w:rPr>
        <w:t>8.1</w:t>
      </w:r>
      <w:r>
        <w:rPr>
          <w:rFonts w:ascii="宋体" w:hAnsi="宋体" w:eastAsia="宋体" w:cs="Times New Roman"/>
          <w:color w:val="auto"/>
          <w:sz w:val="24"/>
        </w:rPr>
        <w:t>供应商拟派本项目的人员配置需齐全，岗位职责划分清晰明确；核心工作团队需具备多点位历史遗留地上物拆除项目的从业经验，团队稳定性强，能够保障项目顺利实施。</w:t>
      </w:r>
    </w:p>
    <w:p w14:paraId="5E568987">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8.2采购人有权要求供应商更换其认为不能胜任工作或玩忽职守的人员，供应商应在一周内将上述人员撤离现场并补报胜任的人员到岗。</w:t>
      </w:r>
    </w:p>
    <w:p w14:paraId="1D426895">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Times New Roman"/>
          <w:color w:val="auto"/>
          <w:sz w:val="24"/>
          <w:lang w:val="en-US" w:eastAsia="zh-CN"/>
        </w:rPr>
      </w:pPr>
      <w:r>
        <w:rPr>
          <w:rFonts w:hint="eastAsia" w:ascii="宋体" w:hAnsi="宋体" w:cs="Times New Roman"/>
          <w:color w:val="auto"/>
          <w:sz w:val="24"/>
          <w:lang w:val="en-US" w:eastAsia="zh-CN"/>
        </w:rPr>
        <w:t>★8.3项目经理须与响应文件承诺的人员一致，并在确定的开工日期前到任。项目经理不得同时兼任其他项目的项目经理。未经采购人书面许可不得更换，如确需更换，应事先征得采购人同意。如遇特殊紧急情况，项目经理应按照采购人指定的时间内到达现场，按照采购人指定的时间完成特殊紧急情况的相关内容。</w:t>
      </w:r>
    </w:p>
    <w:p w14:paraId="2605410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9.</w:t>
      </w:r>
      <w:r>
        <w:rPr>
          <w:rFonts w:ascii="宋体" w:hAnsi="宋体" w:eastAsia="宋体" w:cs="Times New Roman"/>
          <w:color w:val="auto"/>
          <w:sz w:val="24"/>
        </w:rPr>
        <w:t>供应商需配备充足的机械设备及工具，包含适配多点位拆除作业的破碎、清运等专用设备，设备型号需精准适配各点位施工需求；同时建立完善的设备维护和保障机制，定期开展设备检修保养，确保设备正常运行，无故障停工情况。</w:t>
      </w:r>
    </w:p>
    <w:p w14:paraId="62E5CBDE">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hint="eastAsia" w:ascii="宋体" w:hAnsi="宋体" w:cs="Times New Roman"/>
          <w:color w:val="auto"/>
          <w:sz w:val="24"/>
          <w:lang w:val="en-US" w:eastAsia="zh-CN"/>
        </w:rPr>
      </w:pPr>
      <w:r>
        <w:rPr>
          <w:rFonts w:hint="eastAsia" w:ascii="宋体" w:hAnsi="宋体" w:cs="Times New Roman"/>
          <w:color w:val="auto"/>
          <w:sz w:val="24"/>
          <w:lang w:val="en-US" w:eastAsia="zh-CN"/>
        </w:rPr>
        <w:t>10.其他要求</w:t>
      </w:r>
    </w:p>
    <w:p w14:paraId="254B87F1">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Times New Roman"/>
          <w:color w:val="auto"/>
          <w:sz w:val="24"/>
          <w:lang w:val="en-US" w:eastAsia="zh-CN"/>
        </w:rPr>
      </w:pPr>
      <w:r>
        <w:rPr>
          <w:rFonts w:hint="eastAsia" w:ascii="宋体" w:hAnsi="宋体" w:cs="Times New Roman"/>
          <w:color w:val="auto"/>
          <w:sz w:val="24"/>
          <w:lang w:val="en-US" w:eastAsia="zh-CN"/>
        </w:rPr>
        <w:t>10.1由于拆违工作的特殊性，采购人将依据实际情况，随时调整服务时间。供应商应以采购人指定的服务时间为准。</w:t>
      </w:r>
    </w:p>
    <w:p w14:paraId="1EAFB5ED">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Times New Roman"/>
          <w:color w:val="auto"/>
          <w:sz w:val="24"/>
          <w:lang w:val="en-US" w:eastAsia="zh-CN"/>
        </w:rPr>
      </w:pPr>
      <w:r>
        <w:rPr>
          <w:rFonts w:hint="eastAsia" w:ascii="宋体" w:hAnsi="宋体" w:cs="Times New Roman"/>
          <w:color w:val="auto"/>
          <w:sz w:val="24"/>
          <w:lang w:val="en-US" w:eastAsia="zh-CN"/>
        </w:rPr>
        <w:t>10.2供应商派驻工地人员由其自行管理，工地工人的防护装备、交通运输及食宿由供应商自行解决。由供应商负责办理工地工人的暂住证等相关手续并承担相应费用。</w:t>
      </w:r>
    </w:p>
    <w:p w14:paraId="0C5F9013">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eastAsia" w:ascii="宋体" w:hAnsi="宋体" w:cs="宋体"/>
          <w:color w:val="auto"/>
          <w:sz w:val="24"/>
        </w:rPr>
      </w:pPr>
      <w:r>
        <w:rPr>
          <w:rFonts w:hint="eastAsia" w:ascii="宋体" w:hAnsi="宋体" w:cs="Times New Roman"/>
          <w:color w:val="auto"/>
          <w:sz w:val="24"/>
          <w:lang w:val="en-US" w:eastAsia="zh-CN"/>
        </w:rPr>
        <w:t>★10.3</w:t>
      </w:r>
      <w:r>
        <w:rPr>
          <w:rFonts w:hint="eastAsia" w:ascii="宋体" w:hAnsi="宋体" w:cs="宋体"/>
          <w:color w:val="auto"/>
          <w:sz w:val="24"/>
        </w:rPr>
        <w:t>供应商应负责阻止与拆除现场无关的任何未经授权的人员进入现场。</w:t>
      </w:r>
    </w:p>
    <w:p w14:paraId="6D7AE80F">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10.4</w:t>
      </w:r>
      <w:r>
        <w:rPr>
          <w:rFonts w:hint="default" w:ascii="宋体" w:hAnsi="宋体" w:cs="宋体"/>
          <w:color w:val="auto"/>
          <w:sz w:val="24"/>
          <w:lang w:val="en-US" w:eastAsia="zh-CN"/>
        </w:rPr>
        <w:t>实施过程中供应商有责任保护地上或地下管线的完整性，在拆除范围内地上或地下管线受损而产生的损害赔偿、行政处罚等费用均由供应商自行承担。</w:t>
      </w:r>
    </w:p>
    <w:p w14:paraId="57A5C318">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10.5</w:t>
      </w:r>
      <w:r>
        <w:rPr>
          <w:rFonts w:hint="default" w:ascii="宋体" w:hAnsi="宋体" w:cs="宋体"/>
          <w:color w:val="auto"/>
          <w:sz w:val="24"/>
          <w:lang w:val="en-US" w:eastAsia="zh-CN"/>
        </w:rPr>
        <w:t>供应商在拆除实施过程中造成国家公共设施的损坏、集体和个人财产的损失，由供应商负责赔偿。</w:t>
      </w:r>
    </w:p>
    <w:p w14:paraId="5E131159">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3"/>
        <w:rPr>
          <w:rFonts w:hint="default" w:ascii="宋体" w:hAnsi="宋体" w:cs="宋体"/>
          <w:color w:val="auto"/>
          <w:sz w:val="24"/>
          <w:lang w:val="en-US" w:eastAsia="zh-CN"/>
        </w:rPr>
      </w:pPr>
      <w:r>
        <w:rPr>
          <w:rFonts w:hint="eastAsia" w:ascii="宋体" w:hAnsi="宋体" w:cs="宋体"/>
          <w:color w:val="auto"/>
          <w:sz w:val="24"/>
          <w:lang w:val="en-US" w:eastAsia="zh-CN"/>
        </w:rPr>
        <w:t>10.6</w:t>
      </w:r>
      <w:r>
        <w:rPr>
          <w:rFonts w:hint="default" w:ascii="宋体" w:hAnsi="宋体" w:cs="宋体"/>
          <w:color w:val="auto"/>
          <w:sz w:val="24"/>
          <w:lang w:val="en-US" w:eastAsia="zh-CN"/>
        </w:rPr>
        <w:t>供应商在拆除中应当对现场文物及对考古、地质研究有价值的物品妥善保护，在发现12小时内向采购人和当地文物保护部门汇报，不得虚报或随意拆除，造成损失的由供应商自行承担。</w:t>
      </w:r>
    </w:p>
    <w:p w14:paraId="773269A4">
      <w:pPr>
        <w:keepNext w:val="0"/>
        <w:keepLines w:val="0"/>
        <w:pageBreakBefore w:val="0"/>
        <w:kinsoku/>
        <w:wordWrap/>
        <w:overflowPunct/>
        <w:topLinePunct w:val="0"/>
        <w:autoSpaceDE/>
        <w:autoSpaceDN/>
        <w:bidi w:val="0"/>
        <w:adjustRightInd/>
        <w:spacing w:beforeAutospacing="0" w:afterAutospacing="0" w:line="360" w:lineRule="auto"/>
        <w:ind w:left="0" w:firstLine="480" w:firstLineChars="200"/>
        <w:jc w:val="left"/>
        <w:textAlignment w:val="auto"/>
        <w:outlineLvl w:val="2"/>
        <w:rPr>
          <w:rFonts w:ascii="宋体" w:hAnsi="宋体"/>
          <w:color w:val="auto"/>
          <w:sz w:val="24"/>
        </w:rPr>
      </w:pPr>
      <w:r>
        <w:rPr>
          <w:rFonts w:hint="eastAsia" w:ascii="宋体" w:hAnsi="宋体" w:cs="Times New Roman"/>
          <w:color w:val="auto"/>
          <w:sz w:val="24"/>
          <w:lang w:val="en-US" w:eastAsia="zh-CN"/>
        </w:rPr>
        <w:t>11.</w:t>
      </w:r>
      <w:r>
        <w:rPr>
          <w:rFonts w:ascii="宋体" w:hAnsi="宋体" w:eastAsia="宋体" w:cs="Times New Roman"/>
          <w:color w:val="auto"/>
          <w:sz w:val="24"/>
        </w:rPr>
        <w:t>供应商需全面满足上述各项采购需求，项目实施过程中需严格按照相关要求执行，接受采购方及相关监管部门的监督检查，确保项目安全、合规、高质量完成。</w:t>
      </w:r>
    </w:p>
    <w:p w14:paraId="0C81813D">
      <w:pPr>
        <w:keepNext w:val="0"/>
        <w:keepLines w:val="0"/>
        <w:pageBreakBefore w:val="0"/>
        <w:tabs>
          <w:tab w:val="left" w:pos="567"/>
        </w:tabs>
        <w:kinsoku/>
        <w:wordWrap/>
        <w:overflowPunct/>
        <w:topLinePunct w:val="0"/>
        <w:autoSpaceDE/>
        <w:autoSpaceDN/>
        <w:bidi w:val="0"/>
        <w:adjustRightInd/>
        <w:spacing w:beforeAutospacing="0" w:afterAutospacing="0" w:line="360" w:lineRule="auto"/>
        <w:textAlignment w:val="auto"/>
        <w:outlineLvl w:val="1"/>
        <w:rPr>
          <w:rFonts w:hint="eastAsia" w:ascii="宋体" w:hAnsi="宋体"/>
          <w:color w:val="auto"/>
          <w:sz w:val="24"/>
        </w:rPr>
      </w:pPr>
      <w:r>
        <w:rPr>
          <w:rFonts w:hint="eastAsia" w:ascii="宋体" w:hAnsi="宋体"/>
          <w:color w:val="auto"/>
          <w:sz w:val="24"/>
        </w:rPr>
        <w:t>四、报价和结算要求</w:t>
      </w:r>
    </w:p>
    <w:p w14:paraId="36A51201">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olor w:val="auto"/>
          <w:sz w:val="24"/>
          <w:szCs w:val="24"/>
          <w:lang w:val="en-US" w:eastAsia="zh-CN"/>
        </w:rPr>
        <w:t>供应商应综合考虑市场和政策等风险自主报价。响应报价不得超过（不含等于）最高限价，否则其</w:t>
      </w:r>
      <w:r>
        <w:rPr>
          <w:rFonts w:hint="eastAsia" w:ascii="宋体" w:hAnsi="宋体"/>
          <w:b/>
          <w:bCs/>
          <w:color w:val="auto"/>
          <w:sz w:val="24"/>
          <w:szCs w:val="24"/>
          <w:lang w:val="en-US" w:eastAsia="zh-CN"/>
        </w:rPr>
        <w:t>响应无效</w:t>
      </w:r>
      <w:r>
        <w:rPr>
          <w:rFonts w:hint="eastAsia" w:ascii="宋体" w:hAnsi="宋体" w:cs="宋体"/>
          <w:color w:val="auto"/>
          <w:sz w:val="24"/>
        </w:rPr>
        <w:t>。</w:t>
      </w:r>
    </w:p>
    <w:p w14:paraId="0B5D74C6">
      <w:pPr>
        <w:pStyle w:val="47"/>
        <w:keepNext w:val="0"/>
        <w:keepLines w:val="0"/>
        <w:pageBreakBefore w:val="0"/>
        <w:kinsoku/>
        <w:wordWrap/>
        <w:overflowPunct/>
        <w:topLinePunct w:val="0"/>
        <w:autoSpaceDE/>
        <w:autoSpaceDN/>
        <w:bidi w:val="0"/>
        <w:adjustRightInd/>
        <w:snapToGrid w:val="0"/>
        <w:spacing w:before="0" w:beforeAutospacing="0" w:after="0" w:afterAutospacing="0" w:line="360" w:lineRule="auto"/>
        <w:ind w:firstLine="480" w:firstLineChars="200"/>
        <w:textAlignment w:val="auto"/>
        <w:outlineLvl w:val="2"/>
        <w:rPr>
          <w:rFonts w:hint="eastAsia" w:ascii="宋体" w:hAnsi="宋体"/>
          <w:color w:val="auto"/>
          <w:sz w:val="24"/>
        </w:rPr>
      </w:pPr>
      <w:r>
        <w:rPr>
          <w:rFonts w:hint="eastAsia"/>
          <w:color w:val="auto"/>
        </w:rPr>
        <w:t>2.供应商的响应报价包括但不限于人工费、材料费、机械费、渣土清运</w:t>
      </w:r>
      <w:r>
        <w:rPr>
          <w:rFonts w:hint="eastAsia" w:ascii="宋体" w:hAnsi="宋体"/>
          <w:color w:val="auto"/>
          <w:sz w:val="24"/>
          <w:lang w:val="en-US" w:eastAsia="zh-CN"/>
        </w:rPr>
        <w:t>及消纳</w:t>
      </w:r>
      <w:r>
        <w:rPr>
          <w:rFonts w:hint="eastAsia"/>
          <w:color w:val="auto"/>
        </w:rPr>
        <w:t>费、安全及环保措施费、场地破除费、管理费、利润、税金以及需要向政府部门缴纳的相关费用等</w:t>
      </w:r>
      <w:r>
        <w:rPr>
          <w:rFonts w:hint="eastAsia"/>
          <w:color w:val="auto"/>
          <w:lang w:val="en-US" w:eastAsia="zh-CN"/>
        </w:rPr>
        <w:t>为完成</w:t>
      </w:r>
      <w:r>
        <w:rPr>
          <w:rFonts w:hint="eastAsia"/>
          <w:color w:val="auto"/>
        </w:rPr>
        <w:t>本项目</w:t>
      </w:r>
      <w:r>
        <w:rPr>
          <w:rFonts w:hint="eastAsia"/>
          <w:color w:val="auto"/>
          <w:lang w:val="en-US" w:eastAsia="zh-CN"/>
        </w:rPr>
        <w:t>所涉及的一切</w:t>
      </w:r>
      <w:r>
        <w:rPr>
          <w:rFonts w:hint="eastAsia"/>
          <w:color w:val="auto"/>
        </w:rPr>
        <w:t>费用。</w:t>
      </w:r>
    </w:p>
    <w:p w14:paraId="044A682E">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hint="eastAsia" w:ascii="宋体" w:hAnsi="宋体" w:eastAsia="宋体"/>
          <w:color w:val="auto"/>
          <w:sz w:val="24"/>
        </w:rPr>
      </w:pPr>
      <w:r>
        <w:rPr>
          <w:rFonts w:hint="eastAsia" w:ascii="宋体" w:hAnsi="宋体"/>
          <w:color w:val="auto"/>
          <w:sz w:val="24"/>
          <w:lang w:val="en-US" w:eastAsia="zh-CN"/>
        </w:rPr>
        <w:t>3</w:t>
      </w:r>
      <w:r>
        <w:rPr>
          <w:rFonts w:hint="eastAsia" w:ascii="宋体" w:hAnsi="宋体"/>
          <w:color w:val="auto"/>
          <w:sz w:val="24"/>
        </w:rPr>
        <w:t>.如供应商自行压缩工期，涉及的赶工措施费视为已包含在响应报价中，结</w:t>
      </w:r>
      <w:r>
        <w:rPr>
          <w:rFonts w:hint="eastAsia" w:ascii="宋体" w:hAnsi="宋体" w:eastAsia="宋体"/>
          <w:color w:val="auto"/>
          <w:sz w:val="24"/>
        </w:rPr>
        <w:t>算时不予调整。</w:t>
      </w:r>
    </w:p>
    <w:p w14:paraId="358B50C1">
      <w:pPr>
        <w:keepNext w:val="0"/>
        <w:keepLines w:val="0"/>
        <w:pageBreakBefore w:val="0"/>
        <w:kinsoku/>
        <w:wordWrap/>
        <w:overflowPunct/>
        <w:topLinePunct w:val="0"/>
        <w:autoSpaceDE/>
        <w:autoSpaceDN/>
        <w:bidi w:val="0"/>
        <w:adjustRightInd/>
        <w:spacing w:beforeAutospacing="0" w:afterAutospacing="0" w:line="360" w:lineRule="auto"/>
        <w:ind w:firstLine="480" w:firstLineChars="200"/>
        <w:textAlignment w:val="auto"/>
        <w:outlineLvl w:val="2"/>
        <w:rPr>
          <w:rFonts w:hint="eastAsia" w:ascii="宋体" w:hAnsi="宋体" w:eastAsia="宋体"/>
          <w:color w:val="auto"/>
          <w:sz w:val="24"/>
        </w:rPr>
      </w:pPr>
      <w:r>
        <w:rPr>
          <w:rFonts w:hint="eastAsia" w:ascii="宋体" w:hAnsi="宋体" w:eastAsia="宋体"/>
          <w:color w:val="auto"/>
          <w:sz w:val="24"/>
          <w:lang w:val="en-US" w:eastAsia="zh-CN"/>
        </w:rPr>
        <w:t>4</w:t>
      </w:r>
      <w:r>
        <w:rPr>
          <w:rFonts w:hint="eastAsia" w:ascii="宋体" w:hAnsi="宋体" w:eastAsia="宋体"/>
          <w:color w:val="auto"/>
          <w:sz w:val="24"/>
        </w:rPr>
        <w:t>.双方配合接受审计，审计结论作为双方工程结算的依据。</w:t>
      </w:r>
    </w:p>
    <w:p w14:paraId="12742FA0">
      <w:pPr>
        <w:keepNext w:val="0"/>
        <w:keepLines w:val="0"/>
        <w:pageBreakBefore w:val="0"/>
        <w:kinsoku/>
        <w:wordWrap/>
        <w:overflowPunct/>
        <w:topLinePunct w:val="0"/>
        <w:autoSpaceDE/>
        <w:autoSpaceDN/>
        <w:bidi w:val="0"/>
        <w:adjustRightInd/>
        <w:spacing w:beforeAutospacing="0" w:afterAutospacing="0" w:line="360" w:lineRule="auto"/>
        <w:ind w:right="0" w:firstLine="480" w:firstLineChars="200"/>
        <w:jc w:val="left"/>
        <w:textAlignment w:val="auto"/>
        <w:outlineLvl w:val="2"/>
        <w:rPr>
          <w:rFonts w:hint="eastAsia" w:ascii="宋体" w:hAnsi="宋体" w:eastAsia="宋体"/>
          <w:color w:val="auto"/>
          <w:sz w:val="24"/>
          <w:lang w:val="en-US" w:eastAsia="zh-CN"/>
        </w:rPr>
      </w:pPr>
      <w:r>
        <w:rPr>
          <w:rFonts w:hint="eastAsia" w:ascii="宋体" w:hAnsi="宋体" w:eastAsia="宋体"/>
          <w:color w:val="auto"/>
          <w:sz w:val="24"/>
          <w:lang w:val="en-US" w:eastAsia="zh-CN"/>
        </w:rPr>
        <w:t>5.</w:t>
      </w:r>
      <w:r>
        <w:rPr>
          <w:rFonts w:hint="eastAsia" w:ascii="宋体" w:hAnsi="宋体"/>
          <w:color w:val="auto"/>
          <w:sz w:val="24"/>
          <w:lang w:val="en-US" w:eastAsia="zh-CN"/>
        </w:rPr>
        <w:t>本包次最高限价260元/平方米</w:t>
      </w:r>
      <w:r>
        <w:rPr>
          <w:rFonts w:hint="eastAsia" w:ascii="宋体" w:hAnsi="宋体" w:eastAsia="宋体"/>
          <w:color w:val="auto"/>
          <w:sz w:val="24"/>
          <w:lang w:val="en-US" w:eastAsia="zh-CN"/>
        </w:rPr>
        <w:t>。</w:t>
      </w:r>
      <w:r>
        <w:rPr>
          <w:rFonts w:hint="eastAsia" w:ascii="宋体" w:hAnsi="宋体"/>
          <w:color w:val="auto"/>
          <w:sz w:val="24"/>
          <w:lang w:val="en-US" w:eastAsia="zh-CN"/>
        </w:rPr>
        <w:t>由于</w:t>
      </w:r>
      <w:r>
        <w:rPr>
          <w:rFonts w:hint="eastAsia" w:ascii="宋体" w:hAnsi="宋体" w:eastAsia="宋体"/>
          <w:color w:val="auto"/>
          <w:sz w:val="24"/>
          <w:lang w:val="en-US" w:eastAsia="zh-CN"/>
        </w:rPr>
        <w:t>拆违</w:t>
      </w:r>
      <w:r>
        <w:rPr>
          <w:rFonts w:hint="eastAsia" w:ascii="宋体" w:hAnsi="宋体"/>
          <w:color w:val="auto"/>
          <w:sz w:val="24"/>
          <w:lang w:val="en-US" w:eastAsia="zh-CN"/>
        </w:rPr>
        <w:t>工作存在不稳定性的特点，工作</w:t>
      </w:r>
      <w:r>
        <w:rPr>
          <w:rFonts w:hint="eastAsia" w:ascii="宋体" w:hAnsi="宋体" w:eastAsia="宋体"/>
          <w:color w:val="auto"/>
          <w:sz w:val="24"/>
          <w:lang w:val="en-US" w:eastAsia="zh-CN"/>
        </w:rPr>
        <w:t>量无法准确估算，为方便评审，拆除按1个计量单位统计，由此计算得到的响应报价仅用于本次价格评审</w:t>
      </w:r>
      <w:r>
        <w:rPr>
          <w:rFonts w:hint="eastAsia" w:ascii="宋体" w:hAnsi="宋体"/>
          <w:color w:val="auto"/>
          <w:sz w:val="24"/>
          <w:lang w:val="en-US" w:eastAsia="zh-CN"/>
        </w:rPr>
        <w:t>，具体拆除范围以采购人实际要求为准</w:t>
      </w:r>
      <w:r>
        <w:rPr>
          <w:rFonts w:hint="eastAsia" w:ascii="宋体" w:hAnsi="宋体" w:eastAsia="宋体"/>
          <w:color w:val="auto"/>
          <w:sz w:val="24"/>
          <w:lang w:val="en-US" w:eastAsia="zh-CN"/>
        </w:rPr>
        <w:t>。</w:t>
      </w:r>
    </w:p>
    <w:p w14:paraId="263060AF">
      <w:pPr>
        <w:keepNext w:val="0"/>
        <w:keepLines w:val="0"/>
        <w:pageBreakBefore w:val="0"/>
        <w:kinsoku/>
        <w:wordWrap/>
        <w:overflowPunct/>
        <w:topLinePunct w:val="0"/>
        <w:autoSpaceDE/>
        <w:autoSpaceDN/>
        <w:bidi w:val="0"/>
        <w:adjustRightInd/>
        <w:spacing w:beforeAutospacing="0" w:afterAutospacing="0" w:line="360" w:lineRule="auto"/>
        <w:ind w:right="0" w:firstLine="480" w:firstLineChars="200"/>
        <w:jc w:val="left"/>
        <w:textAlignment w:val="auto"/>
        <w:outlineLvl w:val="2"/>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6.本项目签订单价合同，合同结算价款=</w:t>
      </w:r>
      <w:r>
        <w:rPr>
          <w:rFonts w:hint="eastAsia" w:ascii="宋体" w:hAnsi="宋体" w:eastAsia="宋体"/>
          <w:color w:val="auto"/>
          <w:sz w:val="24"/>
          <w:szCs w:val="24"/>
        </w:rPr>
        <w:t>实际拆除面积×拆除工程单价</w:t>
      </w:r>
      <w:r>
        <w:rPr>
          <w:rFonts w:hint="eastAsia" w:ascii="宋体" w:hAnsi="宋体"/>
          <w:color w:val="auto"/>
          <w:sz w:val="24"/>
          <w:szCs w:val="24"/>
          <w:lang w:eastAsia="zh-CN"/>
        </w:rPr>
        <w:t>，最终</w:t>
      </w:r>
      <w:r>
        <w:rPr>
          <w:rFonts w:hint="eastAsia" w:ascii="宋体" w:hAnsi="宋体"/>
          <w:color w:val="auto"/>
          <w:sz w:val="24"/>
          <w:szCs w:val="24"/>
          <w:lang w:val="en-US" w:eastAsia="zh-CN"/>
        </w:rPr>
        <w:t>结算</w:t>
      </w:r>
      <w:r>
        <w:rPr>
          <w:rFonts w:hint="eastAsia" w:ascii="宋体" w:hAnsi="宋体"/>
          <w:color w:val="auto"/>
          <w:sz w:val="24"/>
          <w:szCs w:val="24"/>
          <w:lang w:eastAsia="zh-CN"/>
        </w:rPr>
        <w:t>金额以</w:t>
      </w:r>
      <w:r>
        <w:rPr>
          <w:rFonts w:hint="eastAsia" w:ascii="宋体" w:hAnsi="宋体"/>
          <w:color w:val="auto"/>
          <w:sz w:val="24"/>
          <w:szCs w:val="24"/>
          <w:lang w:val="en-US" w:eastAsia="zh-CN"/>
        </w:rPr>
        <w:t>财政</w:t>
      </w:r>
      <w:r>
        <w:rPr>
          <w:rFonts w:hint="eastAsia" w:ascii="宋体" w:hAnsi="宋体"/>
          <w:color w:val="auto"/>
          <w:sz w:val="24"/>
          <w:szCs w:val="24"/>
          <w:lang w:eastAsia="zh-CN"/>
        </w:rPr>
        <w:t>评审审定金额为准</w:t>
      </w:r>
      <w:r>
        <w:rPr>
          <w:rFonts w:hint="eastAsia" w:ascii="宋体" w:hAnsi="宋体" w:eastAsia="宋体"/>
          <w:color w:val="auto"/>
          <w:sz w:val="24"/>
          <w:szCs w:val="24"/>
          <w:lang w:eastAsia="zh-CN"/>
        </w:rPr>
        <w:t>。</w:t>
      </w:r>
    </w:p>
    <w:p w14:paraId="74A0237B">
      <w:pPr>
        <w:tabs>
          <w:tab w:val="left" w:pos="567"/>
        </w:tabs>
        <w:spacing w:before="240" w:line="360" w:lineRule="auto"/>
        <w:outlineLvl w:val="1"/>
        <w:rPr>
          <w:rFonts w:hint="eastAsia" w:ascii="宋体" w:hAnsi="宋体"/>
          <w:color w:val="auto"/>
          <w:sz w:val="24"/>
        </w:rPr>
      </w:pPr>
      <w:r>
        <w:rPr>
          <w:rFonts w:hint="eastAsia" w:ascii="宋体" w:hAnsi="宋体"/>
          <w:color w:val="auto"/>
          <w:sz w:val="24"/>
        </w:rPr>
        <w:t>五、验收标准</w:t>
      </w:r>
    </w:p>
    <w:p w14:paraId="430FB0FA">
      <w:pPr>
        <w:spacing w:before="0" w:line="360" w:lineRule="auto"/>
        <w:ind w:firstLine="480" w:firstLineChars="200"/>
        <w:jc w:val="left"/>
        <w:outlineLvl w:val="2"/>
        <w:rPr>
          <w:rFonts w:hint="eastAsia" w:ascii="宋体" w:hAnsi="宋体"/>
          <w:color w:val="auto"/>
          <w:sz w:val="24"/>
        </w:rPr>
      </w:pPr>
      <w:r>
        <w:rPr>
          <w:rFonts w:hint="eastAsia" w:ascii="宋体" w:hAnsi="宋体"/>
          <w:color w:val="auto"/>
          <w:sz w:val="24"/>
        </w:rPr>
        <w:t>★工程质量标准的要求不低于国家、地方现行施工规范、质量评定标准、验收规范、特殊专业有关规定、采购人要求及技术交底施工。</w:t>
      </w:r>
    </w:p>
    <w:p w14:paraId="3CA5BDC0">
      <w:pPr>
        <w:tabs>
          <w:tab w:val="left" w:pos="567"/>
        </w:tabs>
        <w:spacing w:before="240" w:line="360" w:lineRule="auto"/>
        <w:outlineLvl w:val="1"/>
        <w:rPr>
          <w:rFonts w:hint="eastAsia" w:ascii="宋体" w:hAnsi="宋体"/>
          <w:color w:val="auto"/>
          <w:sz w:val="24"/>
        </w:rPr>
      </w:pPr>
      <w:r>
        <w:rPr>
          <w:rFonts w:hint="eastAsia" w:ascii="宋体" w:hAnsi="宋体"/>
          <w:color w:val="auto"/>
          <w:sz w:val="24"/>
          <w:lang w:val="en-US" w:eastAsia="zh-CN"/>
        </w:rPr>
        <w:t>六、</w:t>
      </w:r>
      <w:r>
        <w:rPr>
          <w:rFonts w:hint="eastAsia" w:ascii="宋体" w:hAnsi="宋体"/>
          <w:color w:val="auto"/>
          <w:sz w:val="24"/>
        </w:rPr>
        <w:t>偏离</w:t>
      </w:r>
    </w:p>
    <w:p w14:paraId="3D6D4D16">
      <w:pPr>
        <w:spacing w:line="360" w:lineRule="auto"/>
        <w:ind w:firstLine="480" w:firstLineChars="200"/>
        <w:outlineLvl w:val="2"/>
        <w:rPr>
          <w:rFonts w:hint="eastAsia" w:ascii="宋体" w:hAnsi="宋体"/>
          <w:color w:val="auto"/>
          <w:sz w:val="24"/>
        </w:rPr>
      </w:pPr>
      <w:r>
        <w:rPr>
          <w:rFonts w:hint="eastAsia" w:ascii="宋体" w:hAnsi="宋体"/>
          <w:color w:val="auto"/>
          <w:sz w:val="24"/>
        </w:rPr>
        <w:t>1.本章加注“★”内容均为实质性内容，供应商在响应文件中应全面响应。</w:t>
      </w:r>
    </w:p>
    <w:p w14:paraId="253312C5">
      <w:pPr>
        <w:spacing w:line="360" w:lineRule="auto"/>
        <w:ind w:firstLine="480" w:firstLineChars="200"/>
        <w:outlineLvl w:val="2"/>
        <w:rPr>
          <w:rFonts w:hint="eastAsia" w:ascii="宋体" w:hAnsi="宋体"/>
          <w:color w:val="auto"/>
          <w:sz w:val="24"/>
        </w:rPr>
      </w:pPr>
      <w:r>
        <w:rPr>
          <w:rFonts w:hint="eastAsia" w:ascii="宋体" w:hAnsi="宋体"/>
          <w:color w:val="auto"/>
          <w:sz w:val="24"/>
        </w:rPr>
        <w:t>2.除实质性内容以外，允许响应文件产生偏离，但应遵守竞争性磋商文件规定的偏离范围和幅度（如有），并应按照“响应文件格式”加以说明。</w:t>
      </w:r>
    </w:p>
    <w:p w14:paraId="3363D7E0">
      <w:pPr>
        <w:tabs>
          <w:tab w:val="left" w:pos="567"/>
        </w:tabs>
        <w:spacing w:before="240" w:line="360" w:lineRule="auto"/>
        <w:outlineLvl w:val="1"/>
        <w:rPr>
          <w:rFonts w:hint="eastAsia" w:ascii="宋体" w:hAnsi="宋体"/>
          <w:color w:val="auto"/>
          <w:sz w:val="24"/>
        </w:rPr>
      </w:pPr>
      <w:r>
        <w:rPr>
          <w:rFonts w:hint="eastAsia" w:ascii="宋体" w:hAnsi="宋体"/>
          <w:color w:val="auto"/>
          <w:sz w:val="24"/>
          <w:lang w:val="en-US" w:eastAsia="zh-CN"/>
        </w:rPr>
        <w:t>七</w:t>
      </w:r>
      <w:r>
        <w:rPr>
          <w:rFonts w:hint="eastAsia" w:ascii="宋体" w:hAnsi="宋体"/>
          <w:color w:val="auto"/>
          <w:sz w:val="24"/>
        </w:rPr>
        <w:t>、其他</w:t>
      </w:r>
    </w:p>
    <w:p w14:paraId="52D3CD1D">
      <w:pPr>
        <w:spacing w:line="360" w:lineRule="auto"/>
        <w:ind w:firstLine="480" w:firstLineChars="200"/>
        <w:outlineLvl w:val="2"/>
        <w:rPr>
          <w:rFonts w:hint="eastAsia" w:ascii="宋体" w:hAnsi="宋体"/>
          <w:color w:val="auto"/>
          <w:sz w:val="24"/>
        </w:rPr>
      </w:pPr>
      <w:r>
        <w:rPr>
          <w:rFonts w:hint="eastAsia" w:ascii="宋体" w:hAnsi="宋体"/>
          <w:color w:val="auto"/>
          <w:sz w:val="24"/>
        </w:rPr>
        <w:t>★1.本工程实际施工应以图纸</w:t>
      </w:r>
      <w:r>
        <w:rPr>
          <w:rFonts w:hint="eastAsia" w:ascii="宋体" w:hAnsi="宋体"/>
          <w:color w:val="auto"/>
          <w:sz w:val="24"/>
          <w:lang w:eastAsia="zh-CN"/>
        </w:rPr>
        <w:t>（</w:t>
      </w:r>
      <w:r>
        <w:rPr>
          <w:rFonts w:hint="eastAsia" w:ascii="宋体" w:hAnsi="宋体"/>
          <w:color w:val="auto"/>
          <w:sz w:val="24"/>
          <w:lang w:val="en-US" w:eastAsia="zh-CN"/>
        </w:rPr>
        <w:t>如采购人提供</w:t>
      </w:r>
      <w:r>
        <w:rPr>
          <w:rFonts w:hint="eastAsia" w:ascii="宋体" w:hAnsi="宋体"/>
          <w:color w:val="auto"/>
          <w:sz w:val="24"/>
          <w:lang w:eastAsia="zh-CN"/>
        </w:rPr>
        <w:t>）</w:t>
      </w:r>
      <w:r>
        <w:rPr>
          <w:rFonts w:hint="eastAsia" w:ascii="宋体" w:hAnsi="宋体"/>
          <w:color w:val="auto"/>
          <w:sz w:val="24"/>
          <w:lang w:val="en-US" w:eastAsia="zh-CN"/>
        </w:rPr>
        <w:t>及采购人实际要求</w:t>
      </w:r>
      <w:r>
        <w:rPr>
          <w:rFonts w:hint="eastAsia" w:ascii="宋体" w:hAnsi="宋体"/>
          <w:color w:val="auto"/>
          <w:sz w:val="24"/>
        </w:rPr>
        <w:t>为准，</w:t>
      </w:r>
      <w:r>
        <w:rPr>
          <w:rFonts w:hint="eastAsia" w:ascii="宋体" w:hAnsi="宋体"/>
          <w:color w:val="auto"/>
          <w:sz w:val="24"/>
          <w:lang w:val="en-US" w:eastAsia="zh-CN"/>
        </w:rPr>
        <w:t>供应商</w:t>
      </w:r>
      <w:r>
        <w:rPr>
          <w:rFonts w:hint="eastAsia" w:ascii="宋体" w:hAnsi="宋体"/>
          <w:color w:val="auto"/>
          <w:sz w:val="24"/>
        </w:rPr>
        <w:t>必须严格按照施工技术标准进行施工。</w:t>
      </w:r>
    </w:p>
    <w:p w14:paraId="2270BB30">
      <w:pPr>
        <w:spacing w:line="360" w:lineRule="auto"/>
        <w:ind w:firstLine="480" w:firstLineChars="200"/>
        <w:outlineLvl w:val="2"/>
        <w:rPr>
          <w:rFonts w:hint="eastAsia" w:ascii="宋体" w:hAnsi="宋体"/>
          <w:color w:val="auto"/>
          <w:sz w:val="24"/>
        </w:rPr>
      </w:pPr>
      <w:r>
        <w:rPr>
          <w:rFonts w:hint="eastAsia" w:ascii="宋体" w:hAnsi="宋体"/>
          <w:color w:val="auto"/>
          <w:sz w:val="24"/>
        </w:rPr>
        <w:t>★2.任何施工变更必须经过双方同意并签署书面文件，方可作为施工依据。</w:t>
      </w:r>
    </w:p>
    <w:p w14:paraId="59C9D842">
      <w:pPr>
        <w:spacing w:line="360" w:lineRule="auto"/>
        <w:ind w:firstLine="480" w:firstLineChars="200"/>
        <w:outlineLvl w:val="2"/>
        <w:rPr>
          <w:rFonts w:hint="eastAsia" w:ascii="宋体" w:hAnsi="宋体"/>
          <w:color w:val="auto"/>
          <w:sz w:val="24"/>
        </w:rPr>
      </w:pPr>
      <w:r>
        <w:rPr>
          <w:rFonts w:hint="eastAsia" w:ascii="宋体" w:hAnsi="宋体"/>
          <w:color w:val="auto"/>
          <w:sz w:val="24"/>
        </w:rPr>
        <w:t>★3.最终解释权归采购人所有。</w:t>
      </w:r>
      <w:bookmarkEnd w:id="689"/>
    </w:p>
    <w:bookmarkEnd w:id="690"/>
    <w:bookmarkEnd w:id="691"/>
    <w:p w14:paraId="2F7A422E">
      <w:pPr>
        <w:widowControl/>
        <w:jc w:val="left"/>
        <w:rPr>
          <w:rFonts w:hint="eastAsia" w:ascii="宋体" w:hAnsi="宋体"/>
          <w:color w:val="auto"/>
          <w:sz w:val="24"/>
        </w:rPr>
      </w:pPr>
      <w:r>
        <w:rPr>
          <w:rFonts w:ascii="宋体" w:hAnsi="宋体"/>
          <w:color w:val="auto"/>
          <w:sz w:val="24"/>
        </w:rPr>
        <w:br w:type="page"/>
      </w:r>
    </w:p>
    <w:p w14:paraId="0049AF43">
      <w:pPr>
        <w:widowControl/>
        <w:jc w:val="left"/>
        <w:rPr>
          <w:rFonts w:hint="eastAsia" w:ascii="宋体" w:hAnsi="宋体"/>
          <w:color w:val="auto"/>
          <w:sz w:val="24"/>
        </w:rPr>
      </w:pPr>
    </w:p>
    <w:p w14:paraId="25D55AEF">
      <w:pPr>
        <w:spacing w:line="360" w:lineRule="auto"/>
        <w:jc w:val="center"/>
        <w:outlineLvl w:val="0"/>
        <w:rPr>
          <w:rFonts w:hint="eastAsia" w:ascii="宋体" w:hAnsi="宋体"/>
          <w:b/>
          <w:color w:val="auto"/>
          <w:sz w:val="36"/>
          <w:szCs w:val="36"/>
        </w:rPr>
      </w:pPr>
      <w:bookmarkStart w:id="698" w:name="_Toc217651278"/>
      <w:r>
        <w:rPr>
          <w:rFonts w:ascii="宋体" w:hAnsi="宋体"/>
          <w:b/>
          <w:color w:val="auto"/>
          <w:sz w:val="36"/>
          <w:szCs w:val="36"/>
        </w:rPr>
        <w:t>第五章   合同草案条款</w:t>
      </w:r>
      <w:bookmarkEnd w:id="698"/>
    </w:p>
    <w:p w14:paraId="050E4225">
      <w:pPr>
        <w:jc w:val="center"/>
        <w:rPr>
          <w:rFonts w:hint="eastAsia" w:ascii="宋体" w:hAnsi="宋体"/>
          <w:b/>
          <w:bCs/>
          <w:color w:val="auto"/>
          <w:sz w:val="24"/>
        </w:rPr>
      </w:pPr>
      <w:bookmarkStart w:id="699" w:name="_Toc21942752"/>
      <w:bookmarkStart w:id="700" w:name="_Toc9507674"/>
      <w:bookmarkStart w:id="701" w:name="_Toc9522176"/>
      <w:bookmarkStart w:id="702" w:name="_Toc10198300"/>
      <w:bookmarkStart w:id="703" w:name="_Toc97112705"/>
      <w:r>
        <w:rPr>
          <w:rFonts w:hint="eastAsia" w:ascii="宋体" w:hAnsi="宋体"/>
          <w:b/>
          <w:bCs/>
          <w:color w:val="auto"/>
          <w:sz w:val="24"/>
        </w:rPr>
        <w:t>（此合同仅供参考。以最终采购人与成交供应商签</w:t>
      </w:r>
      <w:r>
        <w:rPr>
          <w:rFonts w:hint="eastAsia" w:ascii="宋体" w:hAnsi="宋体"/>
          <w:b/>
          <w:bCs/>
          <w:color w:val="auto"/>
          <w:sz w:val="24"/>
          <w:lang w:val="en-US" w:eastAsia="zh-CN"/>
        </w:rPr>
        <w:t>订</w:t>
      </w:r>
      <w:r>
        <w:rPr>
          <w:rFonts w:hint="eastAsia" w:ascii="宋体" w:hAnsi="宋体"/>
          <w:b/>
          <w:bCs/>
          <w:color w:val="auto"/>
          <w:sz w:val="24"/>
        </w:rPr>
        <w:t>的合同草案条款为准进行公示，最终签定合同的主要条款不能与磋商文件有冲突）</w:t>
      </w:r>
      <w:bookmarkEnd w:id="699"/>
      <w:bookmarkEnd w:id="700"/>
      <w:bookmarkEnd w:id="701"/>
      <w:bookmarkEnd w:id="702"/>
      <w:bookmarkEnd w:id="703"/>
    </w:p>
    <w:p w14:paraId="0F0C339A">
      <w:pPr>
        <w:rPr>
          <w:rFonts w:hint="eastAsia" w:ascii="宋体" w:hAnsi="宋体" w:cs="宋体"/>
          <w:b/>
          <w:color w:val="auto"/>
          <w:sz w:val="24"/>
        </w:rPr>
      </w:pPr>
      <w:bookmarkStart w:id="704" w:name="_Toc68258347"/>
    </w:p>
    <w:p w14:paraId="62244A39">
      <w:pPr>
        <w:jc w:val="center"/>
        <w:rPr>
          <w:rFonts w:eastAsia="华文中宋"/>
          <w:b/>
          <w:color w:val="auto"/>
          <w:sz w:val="48"/>
          <w:szCs w:val="48"/>
        </w:rPr>
      </w:pPr>
    </w:p>
    <w:bookmarkEnd w:id="704"/>
    <w:p w14:paraId="19FE7603">
      <w:pPr>
        <w:spacing w:before="480" w:after="480" w:line="360" w:lineRule="auto"/>
        <w:ind w:left="0" w:firstLine="0" w:firstLineChars="0"/>
        <w:jc w:val="center"/>
        <w:rPr>
          <w:rFonts w:hint="eastAsia" w:ascii="宋体" w:hAnsi="宋体" w:eastAsia="宋体" w:cs="宋体"/>
          <w:b/>
          <w:color w:val="auto"/>
          <w:sz w:val="36"/>
          <w:szCs w:val="36"/>
        </w:rPr>
      </w:pPr>
      <w:bookmarkStart w:id="705" w:name="_Toc182579859"/>
      <w:r>
        <w:rPr>
          <w:rFonts w:hint="eastAsia" w:ascii="宋体" w:hAnsi="宋体" w:cs="宋体"/>
          <w:b/>
          <w:color w:val="auto"/>
          <w:sz w:val="36"/>
          <w:szCs w:val="36"/>
          <w:lang w:eastAsia="zh-CN"/>
        </w:rPr>
        <w:t>2026年拆违任务</w:t>
      </w:r>
      <w:r>
        <w:rPr>
          <w:rFonts w:hint="eastAsia" w:ascii="宋体" w:hAnsi="宋体" w:eastAsia="宋体" w:cs="宋体"/>
          <w:b/>
          <w:color w:val="auto"/>
          <w:sz w:val="36"/>
          <w:szCs w:val="36"/>
        </w:rPr>
        <w:t>施工合同</w:t>
      </w:r>
    </w:p>
    <w:p w14:paraId="4D2A5CB5">
      <w:pPr>
        <w:spacing w:before="480" w:after="480" w:line="360" w:lineRule="auto"/>
        <w:ind w:left="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合同编号：________________________</w:t>
      </w:r>
    </w:p>
    <w:p w14:paraId="286B4F40">
      <w:pPr>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2569B0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发包方（以下简称“甲方”）：北京市通州区永顺镇人民政府</w:t>
      </w:r>
    </w:p>
    <w:p w14:paraId="591BCF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法定代表人/负责人：________________________</w:t>
      </w:r>
    </w:p>
    <w:p w14:paraId="1440408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地址：北京市通州区永顺镇</w:t>
      </w:r>
    </w:p>
    <w:p w14:paraId="539AAB7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2976B3A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承包方（以下简称“乙方”）：________________________（施工单位全称）</w:t>
      </w:r>
    </w:p>
    <w:p w14:paraId="327331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法定代表人：________________________</w:t>
      </w:r>
    </w:p>
    <w:p w14:paraId="65A4CF0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地址：________________________</w:t>
      </w:r>
    </w:p>
    <w:p w14:paraId="06577ED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3A17DE7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依据《中华人民共和国民法典》《中华人民共和国建筑法》《建设工程安全生产管理条例》等相关法律法规，甲乙双方本着平等自愿、公平诚信、权责统一的原则，就乙方承接甲方</w:t>
      </w:r>
      <w:r>
        <w:rPr>
          <w:rFonts w:hint="eastAsia" w:ascii="宋体" w:hAnsi="宋体" w:cs="宋体"/>
          <w:color w:val="auto"/>
          <w:sz w:val="24"/>
          <w:szCs w:val="24"/>
          <w:lang w:eastAsia="zh-CN"/>
        </w:rPr>
        <w:t>2026年拆违任务</w:t>
      </w:r>
      <w:r>
        <w:rPr>
          <w:rFonts w:hint="eastAsia" w:ascii="宋体" w:hAnsi="宋体" w:eastAsia="宋体" w:cs="宋体"/>
          <w:color w:val="auto"/>
          <w:sz w:val="24"/>
          <w:szCs w:val="24"/>
        </w:rPr>
        <w:t>施工事宜，经协商一致，订立本合同，以资共同信守。</w:t>
      </w:r>
    </w:p>
    <w:p w14:paraId="7749F17D">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06" w:name="heading_0"/>
      <w:r>
        <w:rPr>
          <w:rFonts w:hint="eastAsia" w:ascii="宋体" w:hAnsi="宋体" w:eastAsia="宋体" w:cs="宋体"/>
          <w:b/>
          <w:color w:val="auto"/>
          <w:sz w:val="24"/>
          <w:szCs w:val="24"/>
        </w:rPr>
        <w:t>一、工程概况</w:t>
      </w:r>
      <w:bookmarkEnd w:id="706"/>
    </w:p>
    <w:p w14:paraId="71B882F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07" w:name="heading_1"/>
      <w:r>
        <w:rPr>
          <w:rFonts w:hint="eastAsia" w:ascii="宋体" w:hAnsi="宋体" w:eastAsia="宋体" w:cs="宋体"/>
          <w:b/>
          <w:color w:val="auto"/>
          <w:sz w:val="24"/>
          <w:szCs w:val="24"/>
        </w:rPr>
        <w:t>1.1 工程名称</w:t>
      </w:r>
      <w:bookmarkEnd w:id="707"/>
    </w:p>
    <w:p w14:paraId="7E3575C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2026年拆违任务</w:t>
      </w:r>
      <w:r>
        <w:rPr>
          <w:rFonts w:hint="eastAsia" w:ascii="宋体" w:hAnsi="宋体" w:eastAsia="宋体" w:cs="宋体"/>
          <w:color w:val="auto"/>
          <w:sz w:val="24"/>
          <w:szCs w:val="24"/>
        </w:rPr>
        <w:t>（______标段：□一标段 □二标段）</w:t>
      </w:r>
    </w:p>
    <w:p w14:paraId="667ECC7F">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08" w:name="heading_2"/>
      <w:r>
        <w:rPr>
          <w:rFonts w:hint="eastAsia" w:ascii="宋体" w:hAnsi="宋体" w:eastAsia="宋体" w:cs="宋体"/>
          <w:b/>
          <w:color w:val="auto"/>
          <w:sz w:val="24"/>
          <w:szCs w:val="24"/>
        </w:rPr>
        <w:t>1.2 施工范围</w:t>
      </w:r>
      <w:bookmarkEnd w:id="708"/>
    </w:p>
    <w:p w14:paraId="2AD0AF5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乙方负责对本标段约定范围内的历史遗留点位及无手续地上物实施拆除及场地清理等相关工作，范围如下：</w:t>
      </w:r>
    </w:p>
    <w:p w14:paraId="62AD730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□一标段：位于通州区内果园三角地、焦王庄污水处理厂、范庄污水处理厂、华山幼儿园、上营花鸟市场东北角、胸科医院等历史遗留点位实施拆除及场地清理等相关工作；</w:t>
      </w:r>
    </w:p>
    <w:p w14:paraId="0CC3D7C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□二标段：位于通州区西马庄马场、园中园垃圾房、馨通家园、市政路桥公司南院</w:t>
      </w:r>
      <w:r>
        <w:rPr>
          <w:rFonts w:hint="eastAsia" w:ascii="宋体" w:hAnsi="宋体" w:cs="宋体"/>
          <w:color w:val="auto"/>
          <w:sz w:val="24"/>
          <w:szCs w:val="24"/>
          <w:lang w:eastAsia="zh-CN"/>
        </w:rPr>
        <w:t>、邓家窑家居市场</w:t>
      </w:r>
      <w:r>
        <w:rPr>
          <w:rFonts w:hint="eastAsia" w:ascii="宋体" w:hAnsi="宋体" w:eastAsia="宋体" w:cs="宋体"/>
          <w:color w:val="auto"/>
          <w:sz w:val="24"/>
          <w:szCs w:val="24"/>
        </w:rPr>
        <w:t>等历史遗留点位实施拆除及场地清理等相关工作；</w:t>
      </w:r>
    </w:p>
    <w:p w14:paraId="3CE7914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具体施工内容以设计甲方书面确认的指令为准。</w:t>
      </w:r>
    </w:p>
    <w:p w14:paraId="16A97CF1">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r>
        <w:rPr>
          <w:rFonts w:hint="eastAsia" w:ascii="宋体" w:hAnsi="宋体" w:eastAsia="宋体" w:cs="宋体"/>
          <w:b/>
          <w:color w:val="auto"/>
          <w:sz w:val="24"/>
          <w:szCs w:val="24"/>
        </w:rPr>
        <w:t>1.3 建设地点</w:t>
      </w:r>
    </w:p>
    <w:p w14:paraId="2381419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北京市通州区（具体以各施工点位实际地址为准）</w:t>
      </w:r>
    </w:p>
    <w:p w14:paraId="13CE0AA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r>
        <w:rPr>
          <w:rFonts w:hint="eastAsia" w:ascii="宋体" w:hAnsi="宋体" w:eastAsia="宋体" w:cs="宋体"/>
          <w:b/>
          <w:color w:val="auto"/>
          <w:sz w:val="24"/>
          <w:szCs w:val="24"/>
        </w:rPr>
        <w:t>1.4 建设规模</w:t>
      </w:r>
    </w:p>
    <w:p w14:paraId="40CA95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本标段拆除面积约__________平方米（最终以实际完成并经甲方及监理人确认的工程量为准）。</w:t>
      </w:r>
    </w:p>
    <w:p w14:paraId="47D02A95">
      <w:pPr>
        <w:spacing w:before="120" w:after="120" w:line="360" w:lineRule="auto"/>
        <w:ind w:left="0" w:firstLine="482" w:firstLineChars="200"/>
        <w:jc w:val="left"/>
        <w:outlineLvl w:val="2"/>
        <w:rPr>
          <w:rFonts w:hint="eastAsia" w:ascii="宋体" w:hAnsi="宋体" w:cs="宋体"/>
          <w:b/>
          <w:color w:val="auto"/>
          <w:sz w:val="24"/>
          <w:szCs w:val="24"/>
        </w:rPr>
      </w:pPr>
      <w:r>
        <w:rPr>
          <w:rFonts w:hint="eastAsia" w:ascii="宋体" w:hAnsi="宋体" w:eastAsia="宋体" w:cs="宋体"/>
          <w:b/>
          <w:color w:val="auto"/>
          <w:sz w:val="24"/>
          <w:szCs w:val="24"/>
        </w:rPr>
        <w:t>1.5 工程质量标准</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合格</w:t>
      </w:r>
    </w:p>
    <w:p w14:paraId="3B1B0A60">
      <w:pPr>
        <w:spacing w:before="120" w:after="120" w:line="360" w:lineRule="auto"/>
        <w:ind w:left="0" w:firstLine="482" w:firstLineChars="200"/>
        <w:jc w:val="left"/>
        <w:outlineLvl w:val="2"/>
        <w:rPr>
          <w:rFonts w:hint="eastAsia" w:ascii="宋体" w:hAnsi="宋体" w:cs="宋体"/>
          <w:b/>
          <w:color w:val="auto"/>
          <w:sz w:val="24"/>
          <w:szCs w:val="24"/>
        </w:rPr>
      </w:pPr>
      <w:r>
        <w:rPr>
          <w:rFonts w:hint="eastAsia" w:ascii="宋体" w:hAnsi="宋体" w:eastAsia="宋体" w:cs="宋体"/>
          <w:b/>
          <w:color w:val="auto"/>
          <w:sz w:val="24"/>
          <w:szCs w:val="24"/>
        </w:rPr>
        <w:t>1.6 安全生产标准化管理目标等级</w:t>
      </w:r>
      <w:r>
        <w:rPr>
          <w:rFonts w:hint="eastAsia" w:ascii="宋体" w:hAnsi="宋体" w:cs="宋体"/>
          <w:b/>
          <w:color w:val="auto"/>
          <w:sz w:val="24"/>
          <w:szCs w:val="24"/>
          <w:lang w:eastAsia="zh-CN"/>
        </w:rPr>
        <w:t>：</w:t>
      </w:r>
      <w:r>
        <w:rPr>
          <w:rFonts w:hint="eastAsia" w:ascii="宋体" w:hAnsi="宋体" w:eastAsia="宋体" w:cs="宋体"/>
          <w:b/>
          <w:color w:val="auto"/>
          <w:sz w:val="24"/>
          <w:szCs w:val="24"/>
        </w:rPr>
        <w:t>达标</w:t>
      </w:r>
    </w:p>
    <w:p w14:paraId="5869A9B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二、签约合同价</w:t>
      </w:r>
    </w:p>
    <w:p w14:paraId="5CCE56A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2.1 本合同采用固定单价形式计价，签约合同价如下：</w:t>
      </w:r>
    </w:p>
    <w:p w14:paraId="3063F1F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拆除工程单价：人民币_______元/平方米（大写：_____元整/平方米）。</w:t>
      </w:r>
    </w:p>
    <w:p w14:paraId="478A5F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2.2 本合同总价按乙方实际完成并经甲方及监理人审核确认的工程量计算，计算公式为：合同总价=实际拆除面积×拆除工程单价。</w:t>
      </w:r>
    </w:p>
    <w:p w14:paraId="55A13F2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2.3 最终合同金额以财政评审审定金额为准，双方均有配合评审的义务。</w:t>
      </w:r>
    </w:p>
    <w:p w14:paraId="546C966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三、合同履行期限（工期）</w:t>
      </w:r>
    </w:p>
    <w:p w14:paraId="698E01C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3.1 本工程总工期为______日历天，自_____年_____月_____日（开工日期）起至_____年_____月_____日（竣工日期）止。</w:t>
      </w:r>
    </w:p>
    <w:p w14:paraId="4DAD2FD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3.2 开工日期以甲方书面通知为准，因甲方原因或不可抗力导致工期延误的，工期相应顺延，乙方不承担违约责任；因乙方原因导致工期延误的，按本合同第十条约定承担违约责任。</w:t>
      </w:r>
    </w:p>
    <w:p w14:paraId="6C2E0072">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09" w:name="heading_9"/>
      <w:r>
        <w:rPr>
          <w:rFonts w:hint="eastAsia" w:ascii="宋体" w:hAnsi="宋体" w:eastAsia="宋体" w:cs="宋体"/>
          <w:b/>
          <w:color w:val="auto"/>
          <w:sz w:val="24"/>
          <w:szCs w:val="24"/>
        </w:rPr>
        <w:t>四、付款条件及方式</w:t>
      </w:r>
      <w:bookmarkEnd w:id="709"/>
    </w:p>
    <w:p w14:paraId="3D50816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4.1 预付款：合同签订后10个工作日内，经甲方确认后，甲方支付合同总价的20%作为预付款。</w:t>
      </w:r>
    </w:p>
    <w:p w14:paraId="36B1627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4.2 进度款：乙方完成拆除施工总量的80%后，向甲方提交进度报告及相关证明材料（包括但不限于工程量完成清单、监理人审核意见等），经甲方审核确认后10个工作日内，甲方支付至合同总价的60%（含已支付的预付款）。</w:t>
      </w:r>
    </w:p>
    <w:p w14:paraId="7043DE5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4.3 尾款：项目竣工验收合格后10个工作日内，乙方提交完整的竣工资料及结算申请，经甲方审核确认后，甲方支付至合同总价的</w:t>
      </w:r>
      <w:r>
        <w:rPr>
          <w:rFonts w:hint="eastAsia" w:ascii="宋体" w:hAnsi="宋体" w:cs="宋体"/>
          <w:color w:val="auto"/>
          <w:sz w:val="24"/>
          <w:szCs w:val="24"/>
          <w:lang w:val="en-US" w:eastAsia="zh-CN"/>
        </w:rPr>
        <w:t>97</w:t>
      </w:r>
      <w:r>
        <w:rPr>
          <w:rFonts w:hint="eastAsia" w:ascii="宋体" w:hAnsi="宋体" w:eastAsia="宋体" w:cs="宋体"/>
          <w:color w:val="auto"/>
          <w:sz w:val="24"/>
          <w:szCs w:val="24"/>
        </w:rPr>
        <w:t>%。</w:t>
      </w:r>
    </w:p>
    <w:p w14:paraId="159EB6E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4.4质保金：</w:t>
      </w:r>
      <w:r>
        <w:rPr>
          <w:rFonts w:hint="eastAsia" w:ascii="宋体" w:hAnsi="宋体" w:cs="Times New Roman"/>
          <w:color w:val="auto"/>
          <w:sz w:val="24"/>
          <w:szCs w:val="24"/>
          <w:lang w:val="en-US" w:eastAsia="zh-CN"/>
        </w:rPr>
        <w:t>剩余3％作为工程质保金。本工程质量保修期为2年，待质量保修期结束后20个工作日内，甲方一次性付清工程费用。</w:t>
      </w:r>
    </w:p>
    <w:p w14:paraId="1634A92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 </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每次付款前，</w:t>
      </w:r>
      <w:r>
        <w:rPr>
          <w:rFonts w:hint="default" w:ascii="宋体" w:hAnsi="宋体" w:eastAsia="宋体" w:cs="宋体"/>
          <w:b w:val="0"/>
          <w:color w:val="auto"/>
          <w:kern w:val="2"/>
          <w:sz w:val="24"/>
          <w:szCs w:val="24"/>
          <w:u w:val="none"/>
          <w:lang w:eastAsia="zh-CN"/>
        </w:rPr>
        <w:t>乙方</w:t>
      </w:r>
      <w:r>
        <w:rPr>
          <w:rFonts w:hint="eastAsia" w:ascii="宋体" w:hAnsi="宋体" w:eastAsia="宋体" w:cs="宋体"/>
          <w:b w:val="0"/>
          <w:color w:val="auto"/>
          <w:kern w:val="2"/>
          <w:sz w:val="24"/>
          <w:szCs w:val="24"/>
          <w:u w:val="none"/>
        </w:rPr>
        <w:t>应开具等额合法发票，并经</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内部审批通过后，再按照本条约定支付，否则，</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有权拒绝付款且无需承担任何责任。若因上级财政资金拨付延迟或</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内部财政审批进度延迟导致</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不能按照本合同约定日期拨付预付款、工程进度款以及竣工结算款的，不构成</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的违约，</w:t>
      </w:r>
      <w:r>
        <w:rPr>
          <w:rFonts w:hint="default" w:ascii="宋体" w:hAnsi="宋体" w:eastAsia="宋体" w:cs="宋体"/>
          <w:b w:val="0"/>
          <w:color w:val="auto"/>
          <w:kern w:val="2"/>
          <w:sz w:val="24"/>
          <w:szCs w:val="24"/>
          <w:u w:val="none"/>
          <w:lang w:eastAsia="zh-CN"/>
        </w:rPr>
        <w:t>乙方</w:t>
      </w:r>
      <w:r>
        <w:rPr>
          <w:rFonts w:hint="eastAsia" w:ascii="宋体" w:hAnsi="宋体" w:eastAsia="宋体" w:cs="宋体"/>
          <w:b w:val="0"/>
          <w:color w:val="auto"/>
          <w:kern w:val="2"/>
          <w:sz w:val="24"/>
          <w:szCs w:val="24"/>
          <w:u w:val="none"/>
        </w:rPr>
        <w:t>不得因此追究</w:t>
      </w:r>
      <w:r>
        <w:rPr>
          <w:rFonts w:hint="default" w:ascii="宋体" w:hAnsi="宋体" w:eastAsia="宋体" w:cs="宋体"/>
          <w:b w:val="0"/>
          <w:color w:val="auto"/>
          <w:kern w:val="2"/>
          <w:sz w:val="24"/>
          <w:szCs w:val="24"/>
          <w:u w:val="none"/>
          <w:lang w:eastAsia="zh-CN"/>
        </w:rPr>
        <w:t>采购</w:t>
      </w:r>
      <w:r>
        <w:rPr>
          <w:rFonts w:hint="eastAsia" w:ascii="宋体" w:hAnsi="宋体" w:eastAsia="宋体" w:cs="宋体"/>
          <w:b w:val="0"/>
          <w:color w:val="auto"/>
          <w:kern w:val="2"/>
          <w:sz w:val="24"/>
          <w:szCs w:val="24"/>
          <w:u w:val="none"/>
        </w:rPr>
        <w:t>人任何违约责任。待上级财政资金拨付到位且</w:t>
      </w:r>
      <w:r>
        <w:rPr>
          <w:rFonts w:hint="default" w:ascii="宋体" w:hAnsi="宋体" w:eastAsia="宋体" w:cs="宋体"/>
          <w:b w:val="0"/>
          <w:color w:val="auto"/>
          <w:kern w:val="2"/>
          <w:sz w:val="24"/>
          <w:szCs w:val="24"/>
          <w:u w:val="none"/>
          <w:lang w:eastAsia="zh-CN"/>
        </w:rPr>
        <w:t>甲方</w:t>
      </w:r>
      <w:r>
        <w:rPr>
          <w:rFonts w:hint="eastAsia" w:ascii="宋体" w:hAnsi="宋体" w:eastAsia="宋体" w:cs="宋体"/>
          <w:b w:val="0"/>
          <w:color w:val="auto"/>
          <w:kern w:val="2"/>
          <w:sz w:val="24"/>
          <w:szCs w:val="24"/>
          <w:u w:val="none"/>
        </w:rPr>
        <w:t>内部财政审批进度履行完毕后，</w:t>
      </w:r>
      <w:r>
        <w:rPr>
          <w:rFonts w:hint="default" w:ascii="宋体" w:hAnsi="宋体" w:eastAsia="宋体" w:cs="宋体"/>
          <w:b w:val="0"/>
          <w:color w:val="auto"/>
          <w:kern w:val="2"/>
          <w:sz w:val="24"/>
          <w:szCs w:val="24"/>
          <w:u w:val="none"/>
          <w:lang w:val="en-US" w:eastAsia="zh-CN"/>
        </w:rPr>
        <w:t>甲方</w:t>
      </w:r>
      <w:r>
        <w:rPr>
          <w:rFonts w:hint="eastAsia" w:ascii="宋体" w:hAnsi="宋体" w:eastAsia="宋体" w:cs="宋体"/>
          <w:b w:val="0"/>
          <w:color w:val="auto"/>
          <w:kern w:val="2"/>
          <w:sz w:val="24"/>
          <w:szCs w:val="24"/>
          <w:u w:val="none"/>
        </w:rPr>
        <w:t>再按照本合同约定支付即可。双方均有配合评审的义务，最终合同金额以</w:t>
      </w:r>
      <w:r>
        <w:rPr>
          <w:rFonts w:hint="eastAsia" w:ascii="宋体" w:hAnsi="宋体" w:cs="宋体"/>
          <w:b w:val="0"/>
          <w:color w:val="auto"/>
          <w:kern w:val="2"/>
          <w:sz w:val="24"/>
          <w:szCs w:val="24"/>
          <w:u w:val="none"/>
          <w:lang w:val="en-US" w:eastAsia="zh-CN"/>
        </w:rPr>
        <w:t>财政</w:t>
      </w:r>
      <w:r>
        <w:rPr>
          <w:rFonts w:hint="eastAsia" w:ascii="宋体" w:hAnsi="宋体" w:eastAsia="宋体" w:cs="宋体"/>
          <w:b w:val="0"/>
          <w:color w:val="auto"/>
          <w:kern w:val="2"/>
          <w:sz w:val="24"/>
          <w:szCs w:val="24"/>
          <w:u w:val="none"/>
        </w:rPr>
        <w:t>评审审定金额为准。</w:t>
      </w:r>
    </w:p>
    <w:p w14:paraId="03505C0A">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r>
        <w:rPr>
          <w:rFonts w:hint="eastAsia" w:ascii="宋体" w:hAnsi="宋体" w:eastAsia="宋体" w:cs="宋体"/>
          <w:b/>
          <w:color w:val="auto"/>
          <w:sz w:val="24"/>
          <w:szCs w:val="24"/>
        </w:rPr>
        <w:t>五、双方权利义务</w:t>
      </w:r>
    </w:p>
    <w:p w14:paraId="40C70C3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10" w:name="heading_11"/>
      <w:r>
        <w:rPr>
          <w:rFonts w:hint="eastAsia" w:ascii="宋体" w:hAnsi="宋体" w:eastAsia="宋体" w:cs="宋体"/>
          <w:b/>
          <w:color w:val="auto"/>
          <w:sz w:val="24"/>
          <w:szCs w:val="24"/>
        </w:rPr>
        <w:t>5.1 甲方权利义务</w:t>
      </w:r>
      <w:bookmarkEnd w:id="710"/>
    </w:p>
    <w:p w14:paraId="603B76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（1）负责向乙方提供施工所需的相关技术资料，并对乙方进行技术交底；</w:t>
      </w:r>
    </w:p>
    <w:p w14:paraId="7182107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（2）负责审核乙方提交的施工组织设计、专项施工方案、进度计划、工程量报表、结算申请等文件，并在约定期限内予以回复；</w:t>
      </w:r>
    </w:p>
    <w:p w14:paraId="2675A1A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（3）负责协调施工场地周边关系及现场相关事宜，为乙方施工创造必要条件；</w:t>
      </w:r>
    </w:p>
    <w:p w14:paraId="3E67E1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（4）有权对乙方的施工质量、安全生产、文明施工、进度情况进行监督检查，对发现的问题有权要求乙方限期整改；</w:t>
      </w:r>
    </w:p>
    <w:p w14:paraId="2371F0D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（5）按本合同约定及时支付工程款项；</w:t>
      </w:r>
    </w:p>
    <w:p w14:paraId="37F6DB9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（6）负责组织工程竣工验收工作；</w:t>
      </w:r>
    </w:p>
    <w:p w14:paraId="198D7C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（7）履行本合同约定的其他义务。</w:t>
      </w:r>
    </w:p>
    <w:p w14:paraId="1601546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2"/>
        <w:rPr>
          <w:rFonts w:hint="eastAsia" w:ascii="宋体" w:hAnsi="宋体" w:cs="宋体"/>
          <w:color w:val="auto"/>
          <w:sz w:val="24"/>
          <w:szCs w:val="24"/>
        </w:rPr>
      </w:pPr>
      <w:bookmarkStart w:id="711" w:name="heading_12"/>
      <w:r>
        <w:rPr>
          <w:rFonts w:hint="eastAsia" w:ascii="宋体" w:hAnsi="宋体" w:eastAsia="宋体" w:cs="宋体"/>
          <w:b/>
          <w:color w:val="auto"/>
          <w:sz w:val="24"/>
          <w:szCs w:val="24"/>
        </w:rPr>
        <w:t>5.2 乙方权利义务</w:t>
      </w:r>
      <w:bookmarkEnd w:id="711"/>
    </w:p>
    <w:p w14:paraId="7E8EA8A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（1）严格按照国家、行业及地方现行规范、标准、规程及甲方指令组织施工，确保工程质量达到合格标准；</w:t>
      </w:r>
    </w:p>
    <w:p w14:paraId="19DEF31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2）建立健全安全生产责任制度和安全生产教育培训制度，设立专门的安全生产管理机构，配备足够的专职安全生产管理人员，严格落实安全生产标准化措施，确保施工安全，承担因自身安全措施不到位导致的安全事故责任及相关损失；</w:t>
      </w:r>
    </w:p>
    <w:p w14:paraId="089B03C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（3）编制施工组织设计、专项施工方案（包括但不限于拆除工程专项方案、安全防护方案、环保措施方案等），报送监理人及甲方审批后严格执行；</w:t>
      </w:r>
    </w:p>
    <w:p w14:paraId="15EDC4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（4）负责施工场地的文明施工、环境保护工作，采取有效措施控制扬尘、噪声、污水排放等，避免对周边环境及居民造成影响，承担因环保违规导致的责任及相关损失；</w:t>
      </w:r>
    </w:p>
    <w:p w14:paraId="6703016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（5）负责施工所需的人员、设备、材料的组织与调配，确保人员具备相应资质（特种作业人员须持有效特种作业操作资格证书上岗），设备性能良好，材料符合相关标准；</w:t>
      </w:r>
    </w:p>
    <w:p w14:paraId="7308813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（6）制定项目进度计划，采用进度计划网络图或横道图形式体现，明确关键节点及控制措施，定期向甲方及监理人报送进度报告，确保工程按期完工；</w:t>
      </w:r>
    </w:p>
    <w:p w14:paraId="1718A4B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（7）负责对施工场地及其周边现有的地上、地下设施和建筑物提供必要的临时保护设施，避免施工造成损坏，承担因保护不当导致的责任及相关损失；</w:t>
      </w:r>
    </w:p>
    <w:p w14:paraId="369008D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（8）负责施工现场的治安保卫工作，配备足够的保安人员及设备，防止材料失窃、人员违规出入等情况发生；</w:t>
      </w:r>
    </w:p>
    <w:p w14:paraId="5C2724F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（9）工程完工后，及时整理完整的竣工资料（包括但不限于</w:t>
      </w:r>
      <w:r>
        <w:rPr>
          <w:rFonts w:hint="eastAsia" w:ascii="宋体" w:hAnsi="宋体" w:cs="宋体"/>
          <w:color w:val="auto"/>
          <w:sz w:val="24"/>
          <w:szCs w:val="24"/>
          <w:lang w:val="en-US" w:eastAsia="zh-CN"/>
        </w:rPr>
        <w:t>完工</w:t>
      </w:r>
      <w:r>
        <w:rPr>
          <w:rFonts w:hint="eastAsia" w:ascii="宋体" w:hAnsi="宋体" w:eastAsia="宋体" w:cs="宋体"/>
          <w:color w:val="auto"/>
          <w:sz w:val="24"/>
          <w:szCs w:val="24"/>
        </w:rPr>
        <w:t>工程量清单、验收记录、试验报告等），提交甲方及监理人审核；</w:t>
      </w:r>
    </w:p>
    <w:p w14:paraId="698E6DA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（10）及时、足额向所雇佣人员支付劳动报酬，制定工人工资支付保障措施，避免拖欠工资引发群体事件，承担因拖欠工资导致的责任及相关损失；</w:t>
      </w:r>
    </w:p>
    <w:p w14:paraId="4975E9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（11）接受甲方及监理人的监督检查，对提出的问题及时整改；</w:t>
      </w:r>
    </w:p>
    <w:p w14:paraId="4302D20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（12）完全遵守《中华人民共和国妇女权益保障法》中关于“劳动和社会保障权益”的有关要求。</w:t>
      </w:r>
    </w:p>
    <w:p w14:paraId="3A13CBC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13</w:t>
      </w:r>
      <w:r>
        <w:rPr>
          <w:rFonts w:hint="eastAsia" w:ascii="宋体" w:hAnsi="宋体" w:cs="宋体"/>
          <w:color w:val="auto"/>
          <w:sz w:val="24"/>
          <w:szCs w:val="24"/>
          <w:lang w:eastAsia="zh-CN"/>
        </w:rPr>
        <w:t>）</w:t>
      </w:r>
      <w:r>
        <w:rPr>
          <w:rFonts w:hint="eastAsia" w:ascii="宋体" w:hAnsi="宋体" w:eastAsia="宋体" w:cs="宋体"/>
          <w:color w:val="auto"/>
          <w:sz w:val="24"/>
          <w:szCs w:val="24"/>
        </w:rPr>
        <w:t>履行本合同约定的其他义务。</w:t>
      </w:r>
    </w:p>
    <w:p w14:paraId="5B7F091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2" w:name="heading_13"/>
      <w:r>
        <w:rPr>
          <w:rFonts w:hint="eastAsia" w:ascii="宋体" w:hAnsi="宋体" w:eastAsia="宋体" w:cs="宋体"/>
          <w:b/>
          <w:color w:val="auto"/>
          <w:sz w:val="24"/>
          <w:szCs w:val="24"/>
        </w:rPr>
        <w:t>六、安全文明施工与环境保护</w:t>
      </w:r>
      <w:bookmarkEnd w:id="712"/>
    </w:p>
    <w:p w14:paraId="10DA88D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6.1 乙方应严格遵守《中华人民共和国安全生产法》《中华人民共和国消防法》《建设工程安全生产管理条例》等国家及地方相关法律法规、规范标准，以及采购需求中关于安全生产标准化、临时消防、临时供电、劳动保护、文明施工、环境保护等方面的全部要求，落实各项安全环保措施，承担因违反上述要求导致的一切责任及损失。</w:t>
      </w:r>
    </w:p>
    <w:p w14:paraId="6AB7D1A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6.2 乙方应成立应急救援小组，配备必要的应急救援器材和设备，制定生产安全事故、消防、防汛、极端天气等应急救援预案，定期组织演练，并将预案报送监理人及甲方备案。</w:t>
      </w:r>
    </w:p>
    <w:p w14:paraId="599F35C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6.3 乙方应采取有效措施控制施工扬尘、噪声污染，建筑垃圾须采用封闭式运输车辆运输，按规定运至指定垃圾消纳场处置，严禁道路遗撒、乱倒乱卸等行为。</w:t>
      </w:r>
    </w:p>
    <w:p w14:paraId="1F5C984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6.4 乙方应确保使用的非道路移动机械符合本市排放标准并完成信息编码登记，使用符合标准的燃料，做好挥发性有机物治理工作，不得使用政府明令禁止的有害材料。</w:t>
      </w:r>
    </w:p>
    <w:p w14:paraId="7CF6920B">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3" w:name="heading_14"/>
      <w:r>
        <w:rPr>
          <w:rFonts w:hint="eastAsia" w:ascii="宋体" w:hAnsi="宋体" w:eastAsia="宋体" w:cs="宋体"/>
          <w:b/>
          <w:color w:val="auto"/>
          <w:sz w:val="24"/>
          <w:szCs w:val="24"/>
        </w:rPr>
        <w:t>七、工程验收</w:t>
      </w:r>
      <w:bookmarkEnd w:id="713"/>
    </w:p>
    <w:p w14:paraId="3625E98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7.1 工程验收依据：国家、行业及地方现行施工规范、质量评定标准、验收规范、采购需求、</w:t>
      </w:r>
      <w:r>
        <w:rPr>
          <w:rFonts w:hint="eastAsia" w:ascii="宋体" w:hAnsi="宋体" w:cs="宋体"/>
          <w:color w:val="auto"/>
          <w:sz w:val="24"/>
          <w:szCs w:val="24"/>
          <w:lang w:eastAsia="zh-CN"/>
        </w:rPr>
        <w:t>报价一览表</w:t>
      </w:r>
      <w:r>
        <w:rPr>
          <w:rFonts w:hint="eastAsia" w:ascii="宋体" w:hAnsi="宋体" w:eastAsia="宋体" w:cs="宋体"/>
          <w:color w:val="auto"/>
          <w:sz w:val="24"/>
          <w:szCs w:val="24"/>
        </w:rPr>
        <w:t>、本合同约定及甲方书面指令等。</w:t>
      </w:r>
    </w:p>
    <w:p w14:paraId="6505447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7.2 乙方完成全部施工内容后，应向甲方提交竣工验收申请报告及完整的竣工资料，甲方收到申请后应及时组织监理人、乙方等相关单位进行竣工验收。</w:t>
      </w:r>
    </w:p>
    <w:p w14:paraId="745CD0E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7.3 竣工验收合格的，双方签署竣工验收报告，工程正式交付甲方；验收不合格的，乙方应根据验收意见限期整改，整改费用由乙方承担，整改后仍不合格的，甲方有权解除合同，乙方承担相应违约责任。</w:t>
      </w:r>
    </w:p>
    <w:p w14:paraId="61D7351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4" w:name="heading_15"/>
      <w:r>
        <w:rPr>
          <w:rFonts w:hint="eastAsia" w:ascii="宋体" w:hAnsi="宋体" w:eastAsia="宋体" w:cs="宋体"/>
          <w:b/>
          <w:color w:val="auto"/>
          <w:sz w:val="24"/>
          <w:szCs w:val="24"/>
        </w:rPr>
        <w:t>八、质量保修</w:t>
      </w:r>
      <w:bookmarkEnd w:id="714"/>
    </w:p>
    <w:p w14:paraId="41DF27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8.1 本工程质量保修期为</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年，自工程竣工验收合格并交付甲方之日起计算。</w:t>
      </w:r>
    </w:p>
    <w:p w14:paraId="1C8A4ED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8.2 保修期内，</w:t>
      </w:r>
      <w:r>
        <w:rPr>
          <w:rFonts w:hint="eastAsia" w:ascii="宋体" w:hAnsi="宋体" w:eastAsia="宋体" w:cs="宋体"/>
          <w:color w:val="auto"/>
          <w:sz w:val="24"/>
          <w:szCs w:val="24"/>
          <w:highlight w:val="none"/>
          <w:lang w:eastAsia="zh-CN"/>
        </w:rPr>
        <w:t>因乙方施工出现的其他遗留质量问题</w:t>
      </w:r>
      <w:r>
        <w:rPr>
          <w:rFonts w:hint="eastAsia" w:ascii="宋体" w:hAnsi="宋体" w:eastAsia="宋体" w:cs="宋体"/>
          <w:color w:val="auto"/>
          <w:sz w:val="24"/>
          <w:szCs w:val="24"/>
        </w:rPr>
        <w:t>，乙方应在接到甲方通知后</w:t>
      </w:r>
      <w:r>
        <w:rPr>
          <w:rFonts w:hint="eastAsia" w:ascii="宋体" w:hAnsi="宋体" w:cs="宋体"/>
          <w:color w:val="auto"/>
          <w:sz w:val="24"/>
          <w:szCs w:val="24"/>
          <w:lang w:eastAsia="zh-CN"/>
        </w:rPr>
        <w:t>4</w:t>
      </w:r>
      <w:r>
        <w:rPr>
          <w:rFonts w:hint="eastAsia" w:ascii="宋体" w:hAnsi="宋体" w:eastAsia="宋体" w:cs="宋体"/>
          <w:color w:val="auto"/>
          <w:sz w:val="24"/>
          <w:szCs w:val="24"/>
        </w:rPr>
        <w:t>小时内派员到场维修，维修费用由乙方承担；乙方未按期派员维修或维修后仍存在质量问题的，甲方有权委托第三方维修，费用由乙方承担。</w:t>
      </w:r>
    </w:p>
    <w:p w14:paraId="7DFD074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5" w:name="heading_16"/>
      <w:r>
        <w:rPr>
          <w:rFonts w:hint="eastAsia" w:ascii="宋体" w:hAnsi="宋体" w:eastAsia="宋体" w:cs="宋体"/>
          <w:b/>
          <w:color w:val="auto"/>
          <w:sz w:val="24"/>
          <w:szCs w:val="24"/>
        </w:rPr>
        <w:t>九、违约责任</w:t>
      </w:r>
      <w:bookmarkEnd w:id="715"/>
    </w:p>
    <w:p w14:paraId="325D224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9.1 甲方未按本合同约定支付工程款项（因财政资金延迟或内部审批延迟除外）的，每逾期一日，应向乙方支付应付未付款项__________‰的违约金，但违约金总额不超过合同总价的__________%。</w:t>
      </w:r>
    </w:p>
    <w:p w14:paraId="7B11B01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9.2 乙方逾期完工的，每逾期一日，应向甲方支付合同总价__________‰的违约金；逾期超过__________日的，甲方有权解除合同，乙方应向甲方支付合同总价__________%的违约金，并赔偿甲方因此造成的损失。</w:t>
      </w:r>
    </w:p>
    <w:p w14:paraId="7B7F8F4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9.3 乙方施工工程质量不合格的，应无偿返修、重做，直至达到合格标准，同时承担由此导致的工期延误责任；若返修、重做后仍不合格的，甲方有权解除合同，乙方应向甲方支付合同总价__________%的违约金，并赔偿甲方因此造成的损失。</w:t>
      </w:r>
    </w:p>
    <w:p w14:paraId="0CDFE0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9.4 乙方违反本合同关于安全生产、文明施工、环境保护等约定的，甲方有权要求乙方限期整改，整改费用由乙方承担；若乙方逾期未整改或整改不合格的，甲方有权暂停付款，直至乙方整改合格，同时乙方应向甲方支付合同总价__________%的违约金；造成第三方损失的，乙方应承担全部赔偿责任。</w:t>
      </w:r>
    </w:p>
    <w:p w14:paraId="06AA4B3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9.5 乙方拖欠工人工资的，甲方有权暂停付款，直至乙方结清工人工资，同时乙方应向甲方支付合同总价__________%的违约金；造成群体事件或不良影响的，甲方有权解除合同，乙方承担相应责任及损失。</w:t>
      </w:r>
    </w:p>
    <w:p w14:paraId="1E092F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9.6 任何一方擅自解除本合同的，应向对方支付合同总价__________%的违约金，并赔偿对方因此造成的损失。</w:t>
      </w:r>
    </w:p>
    <w:p w14:paraId="102913D6">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6" w:name="heading_17"/>
      <w:r>
        <w:rPr>
          <w:rFonts w:hint="eastAsia" w:ascii="宋体" w:hAnsi="宋体" w:eastAsia="宋体" w:cs="宋体"/>
          <w:b/>
          <w:color w:val="auto"/>
          <w:sz w:val="24"/>
          <w:szCs w:val="24"/>
        </w:rPr>
        <w:t>十、争议解决</w:t>
      </w:r>
      <w:bookmarkEnd w:id="716"/>
    </w:p>
    <w:p w14:paraId="21F57E7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本合同履行过程中发生的争议，由双方当事人协商解决；协商不成的，可依法向</w:t>
      </w:r>
      <w:r>
        <w:rPr>
          <w:rFonts w:hint="eastAsia" w:ascii="宋体" w:hAnsi="宋体" w:cs="宋体"/>
          <w:color w:val="auto"/>
          <w:sz w:val="24"/>
          <w:szCs w:val="24"/>
          <w:lang w:eastAsia="zh-CN"/>
        </w:rPr>
        <w:t>北京市</w:t>
      </w:r>
      <w:r>
        <w:rPr>
          <w:rFonts w:hint="eastAsia" w:ascii="宋体" w:hAnsi="宋体" w:cs="宋体"/>
          <w:color w:val="auto"/>
          <w:sz w:val="24"/>
          <w:szCs w:val="24"/>
          <w:lang w:val="en-US" w:eastAsia="zh-CN"/>
        </w:rPr>
        <w:t>通州区</w:t>
      </w:r>
      <w:r>
        <w:rPr>
          <w:rFonts w:hint="eastAsia" w:ascii="宋体" w:hAnsi="宋体" w:eastAsia="宋体" w:cs="宋体"/>
          <w:color w:val="auto"/>
          <w:sz w:val="24"/>
          <w:szCs w:val="24"/>
        </w:rPr>
        <w:t>人民法院提起诉讼。</w:t>
      </w:r>
    </w:p>
    <w:p w14:paraId="21B8C218">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jc w:val="left"/>
        <w:textAlignment w:val="auto"/>
        <w:outlineLvl w:val="1"/>
        <w:rPr>
          <w:rFonts w:hint="eastAsia" w:ascii="宋体" w:hAnsi="宋体" w:cs="宋体"/>
          <w:color w:val="auto"/>
          <w:sz w:val="24"/>
          <w:szCs w:val="24"/>
        </w:rPr>
      </w:pPr>
      <w:bookmarkStart w:id="717" w:name="heading_18"/>
      <w:r>
        <w:rPr>
          <w:rFonts w:hint="eastAsia" w:ascii="宋体" w:hAnsi="宋体" w:eastAsia="宋体" w:cs="宋体"/>
          <w:b/>
          <w:color w:val="auto"/>
          <w:sz w:val="24"/>
          <w:szCs w:val="24"/>
        </w:rPr>
        <w:t>十一、其他</w:t>
      </w:r>
      <w:bookmarkEnd w:id="717"/>
    </w:p>
    <w:p w14:paraId="41A42D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11.1 本合同未尽事宜，由双方协商一致后签订补充协议，补充协议与本合同具有同等法律效力。</w:t>
      </w:r>
    </w:p>
    <w:p w14:paraId="07C9D62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11.2 本合同所有附件（包括但不限于</w:t>
      </w:r>
      <w:r>
        <w:rPr>
          <w:rFonts w:hint="eastAsia" w:ascii="宋体" w:hAnsi="宋体" w:cs="宋体"/>
          <w:color w:val="auto"/>
          <w:sz w:val="24"/>
          <w:szCs w:val="24"/>
          <w:lang w:eastAsia="zh-CN"/>
        </w:rPr>
        <w:t>报价一览表</w:t>
      </w:r>
      <w:r>
        <w:rPr>
          <w:rFonts w:hint="eastAsia" w:ascii="宋体" w:hAnsi="宋体" w:eastAsia="宋体" w:cs="宋体"/>
          <w:color w:val="auto"/>
          <w:sz w:val="24"/>
          <w:szCs w:val="24"/>
        </w:rPr>
        <w:t>、采购需求、乙方提交的专项施工方案等）均为本合同不可分割的组成部分，与本合同具有同等法律效力。</w:t>
      </w:r>
    </w:p>
    <w:p w14:paraId="37A85D5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11.3 本合同一式__________份，甲方执__________份，乙方执__________份，监理人执__________份（如有），具有同等法律效力。</w:t>
      </w:r>
    </w:p>
    <w:p w14:paraId="31724A3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sz w:val="24"/>
          <w:szCs w:val="24"/>
        </w:rPr>
        <w:t>11.4 本合同自双方签字盖章之日起生效。</w:t>
      </w:r>
    </w:p>
    <w:p w14:paraId="3424B383">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（以下无正文）</w:t>
      </w:r>
    </w:p>
    <w:p w14:paraId="1DA23C9B">
      <w:pPr>
        <w:spacing w:before="0" w:after="0" w:line="240" w:lineRule="auto"/>
        <w:ind w:left="0"/>
        <w:jc w:val="left"/>
        <w:outlineLvl w:val="9"/>
        <w:rPr>
          <w:rFonts w:hint="eastAsia" w:ascii="宋体" w:hAnsi="宋体" w:eastAsia="宋体" w:cs="宋体"/>
          <w:b/>
          <w:color w:val="auto"/>
          <w:sz w:val="21"/>
          <w:szCs w:val="21"/>
        </w:rPr>
      </w:pPr>
      <w:bookmarkStart w:id="718" w:name="heading_19"/>
      <w:r>
        <w:rPr>
          <w:rFonts w:hint="eastAsia" w:ascii="宋体" w:hAnsi="宋体" w:eastAsia="宋体" w:cs="宋体"/>
          <w:b/>
          <w:color w:val="auto"/>
          <w:sz w:val="21"/>
          <w:szCs w:val="21"/>
        </w:rPr>
        <w:br w:type="page"/>
      </w:r>
    </w:p>
    <w:p w14:paraId="12FCD452">
      <w:pPr>
        <w:spacing w:before="320" w:after="120" w:line="360" w:lineRule="auto"/>
        <w:ind w:left="0" w:firstLine="482" w:firstLineChars="200"/>
        <w:jc w:val="left"/>
        <w:outlineLvl w:val="1"/>
        <w:rPr>
          <w:rFonts w:hint="eastAsia" w:ascii="宋体" w:hAnsi="宋体" w:cs="宋体"/>
          <w:color w:val="auto"/>
          <w:sz w:val="24"/>
          <w:szCs w:val="24"/>
        </w:rPr>
      </w:pPr>
      <w:r>
        <w:rPr>
          <w:rFonts w:hint="eastAsia" w:ascii="宋体" w:hAnsi="宋体" w:eastAsia="宋体" w:cs="宋体"/>
          <w:b/>
          <w:color w:val="auto"/>
          <w:sz w:val="24"/>
          <w:szCs w:val="24"/>
        </w:rPr>
        <w:t>十二、签署页</w:t>
      </w:r>
      <w:bookmarkEnd w:id="718"/>
    </w:p>
    <w:p w14:paraId="707E709E">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发包方（甲方）：</w:t>
      </w:r>
      <w:r>
        <w:rPr>
          <w:rFonts w:hint="eastAsia" w:ascii="宋体" w:hAnsi="宋体" w:eastAsia="宋体" w:cs="宋体"/>
          <w:color w:val="auto"/>
          <w:sz w:val="24"/>
          <w:szCs w:val="24"/>
          <w:u w:val="single"/>
        </w:rPr>
        <w:t>北京市通州区永顺镇人民政府</w:t>
      </w:r>
      <w:r>
        <w:rPr>
          <w:rFonts w:hint="eastAsia" w:ascii="宋体" w:hAnsi="宋体" w:eastAsia="宋体" w:cs="宋体"/>
          <w:color w:val="auto"/>
          <w:sz w:val="24"/>
          <w:szCs w:val="24"/>
        </w:rPr>
        <w:t>（盖章）</w:t>
      </w:r>
    </w:p>
    <w:p w14:paraId="116196EB">
      <w:pPr>
        <w:spacing w:before="120" w:after="120" w:line="360" w:lineRule="auto"/>
        <w:ind w:left="0" w:firstLine="480" w:firstLineChars="200"/>
        <w:jc w:val="left"/>
        <w:rPr>
          <w:rFonts w:hint="eastAsia" w:ascii="宋体" w:hAnsi="宋体" w:eastAsia="宋体" w:cs="宋体"/>
          <w:color w:val="auto"/>
          <w:sz w:val="24"/>
          <w:szCs w:val="24"/>
        </w:rPr>
      </w:pPr>
    </w:p>
    <w:p w14:paraId="4E48ECB4">
      <w:pPr>
        <w:spacing w:before="120" w:after="120" w:line="360" w:lineRule="auto"/>
        <w:ind w:lef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法定代表人/负责人（签字）：________________________</w:t>
      </w:r>
    </w:p>
    <w:p w14:paraId="6881B6BE">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日期：__________年__________月__________日</w:t>
      </w:r>
    </w:p>
    <w:p w14:paraId="634C7FD7">
      <w:pPr>
        <w:spacing w:before="120" w:after="120" w:line="360" w:lineRule="auto"/>
        <w:ind w:left="0" w:firstLine="480" w:firstLineChars="200"/>
        <w:jc w:val="left"/>
        <w:rPr>
          <w:rFonts w:hint="eastAsia" w:ascii="宋体" w:hAnsi="宋体" w:eastAsia="宋体" w:cs="宋体"/>
          <w:color w:val="auto"/>
          <w:sz w:val="24"/>
          <w:szCs w:val="24"/>
        </w:rPr>
      </w:pPr>
    </w:p>
    <w:p w14:paraId="2A6E4AB2">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承包方（乙方）：________________________（盖章）</w:t>
      </w:r>
    </w:p>
    <w:p w14:paraId="0AE1F1EC">
      <w:pPr>
        <w:spacing w:before="120" w:after="120" w:line="360" w:lineRule="auto"/>
        <w:ind w:left="0" w:firstLine="480" w:firstLineChars="200"/>
        <w:jc w:val="left"/>
        <w:rPr>
          <w:rFonts w:hint="eastAsia" w:ascii="宋体" w:hAnsi="宋体" w:eastAsia="宋体" w:cs="宋体"/>
          <w:color w:val="auto"/>
          <w:sz w:val="24"/>
          <w:szCs w:val="24"/>
        </w:rPr>
      </w:pPr>
    </w:p>
    <w:p w14:paraId="51EB9799">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法定代表人（签字）：________________________</w:t>
      </w:r>
    </w:p>
    <w:p w14:paraId="72C33CBF">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地址：________________________</w:t>
      </w:r>
    </w:p>
    <w:p w14:paraId="29F6E4A9">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联系电话：________________________</w:t>
      </w:r>
    </w:p>
    <w:p w14:paraId="51B1BC1D">
      <w:pPr>
        <w:spacing w:before="120" w:after="120" w:line="360" w:lineRule="auto"/>
        <w:ind w:left="0" w:firstLine="480" w:firstLineChars="200"/>
        <w:jc w:val="left"/>
        <w:rPr>
          <w:rFonts w:hint="eastAsia" w:ascii="宋体" w:hAnsi="宋体" w:cs="宋体"/>
          <w:color w:val="auto"/>
          <w:sz w:val="24"/>
          <w:szCs w:val="24"/>
        </w:rPr>
      </w:pPr>
      <w:r>
        <w:rPr>
          <w:rFonts w:hint="eastAsia" w:ascii="宋体" w:hAnsi="宋体" w:eastAsia="宋体" w:cs="宋体"/>
          <w:color w:val="auto"/>
          <w:sz w:val="24"/>
          <w:szCs w:val="24"/>
        </w:rPr>
        <w:t>日期：__________年__________月__________日</w:t>
      </w:r>
    </w:p>
    <w:p w14:paraId="2DAA075C">
      <w:pPr>
        <w:rPr>
          <w:rFonts w:hint="eastAsia" w:ascii="宋体" w:hAnsi="宋体" w:cs="宋体"/>
          <w:b/>
          <w:color w:val="auto"/>
          <w:szCs w:val="21"/>
        </w:rPr>
      </w:pPr>
      <w:r>
        <w:rPr>
          <w:rFonts w:hint="eastAsia" w:ascii="宋体" w:hAnsi="宋体" w:cs="宋体"/>
          <w:b/>
          <w:color w:val="auto"/>
          <w:szCs w:val="21"/>
        </w:rPr>
        <w:br w:type="page"/>
      </w:r>
    </w:p>
    <w:p w14:paraId="10A60DF6">
      <w:pPr>
        <w:spacing w:line="360" w:lineRule="exact"/>
        <w:rPr>
          <w:rFonts w:eastAsia="华文中宋"/>
          <w:b/>
          <w:color w:val="auto"/>
          <w:sz w:val="60"/>
          <w:szCs w:val="48"/>
        </w:rPr>
      </w:pPr>
    </w:p>
    <w:p w14:paraId="2E2F4E1D">
      <w:pPr>
        <w:widowControl/>
        <w:jc w:val="left"/>
        <w:rPr>
          <w:rFonts w:eastAsia="华文中宋"/>
          <w:b/>
          <w:color w:val="auto"/>
          <w:sz w:val="60"/>
          <w:szCs w:val="48"/>
        </w:rPr>
      </w:pPr>
    </w:p>
    <w:bookmarkEnd w:id="705"/>
    <w:p w14:paraId="3AC98866">
      <w:pPr>
        <w:spacing w:line="360" w:lineRule="auto"/>
        <w:jc w:val="center"/>
        <w:outlineLvl w:val="0"/>
        <w:rPr>
          <w:rFonts w:hint="eastAsia" w:ascii="宋体" w:hAnsi="宋体"/>
          <w:b/>
          <w:color w:val="auto"/>
          <w:sz w:val="36"/>
          <w:szCs w:val="36"/>
        </w:rPr>
      </w:pPr>
      <w:bookmarkStart w:id="719" w:name="_Toc217651283"/>
      <w:r>
        <w:rPr>
          <w:rFonts w:ascii="宋体" w:hAnsi="宋体"/>
          <w:b/>
          <w:color w:val="auto"/>
          <w:sz w:val="36"/>
          <w:szCs w:val="36"/>
        </w:rPr>
        <w:t>第</w:t>
      </w:r>
      <w:r>
        <w:rPr>
          <w:rFonts w:hint="eastAsia" w:ascii="宋体" w:hAnsi="宋体"/>
          <w:b/>
          <w:color w:val="auto"/>
          <w:sz w:val="36"/>
          <w:szCs w:val="36"/>
        </w:rPr>
        <w:t>六</w:t>
      </w:r>
      <w:r>
        <w:rPr>
          <w:rFonts w:ascii="宋体" w:hAnsi="宋体"/>
          <w:b/>
          <w:color w:val="auto"/>
          <w:sz w:val="36"/>
          <w:szCs w:val="36"/>
        </w:rPr>
        <w:t>章   响应文件格式</w:t>
      </w:r>
      <w:bookmarkEnd w:id="719"/>
    </w:p>
    <w:p w14:paraId="608293F5">
      <w:pPr>
        <w:tabs>
          <w:tab w:val="left" w:pos="900"/>
          <w:tab w:val="left" w:pos="1980"/>
        </w:tabs>
        <w:snapToGrid w:val="0"/>
        <w:spacing w:line="360" w:lineRule="auto"/>
        <w:ind w:left="142"/>
        <w:rPr>
          <w:rFonts w:hint="eastAsia" w:ascii="宋体" w:hAnsi="宋体"/>
          <w:b/>
          <w:color w:val="auto"/>
          <w:kern w:val="0"/>
          <w:sz w:val="24"/>
        </w:rPr>
      </w:pPr>
      <w:r>
        <w:rPr>
          <w:rFonts w:hint="eastAsia" w:ascii="宋体" w:hAnsi="宋体"/>
          <w:b/>
          <w:color w:val="auto"/>
          <w:kern w:val="0"/>
          <w:sz w:val="24"/>
        </w:rPr>
        <w:t>供应商编制文件须知</w:t>
      </w:r>
    </w:p>
    <w:p w14:paraId="0C731538">
      <w:pPr>
        <w:tabs>
          <w:tab w:val="left" w:pos="900"/>
          <w:tab w:val="left" w:pos="1980"/>
        </w:tabs>
        <w:snapToGrid w:val="0"/>
        <w:spacing w:line="360" w:lineRule="auto"/>
        <w:ind w:left="142"/>
        <w:rPr>
          <w:rFonts w:hint="eastAsia" w:ascii="宋体" w:hAnsi="宋体"/>
          <w:color w:val="auto"/>
          <w:sz w:val="24"/>
        </w:rPr>
      </w:pPr>
      <w:r>
        <w:rPr>
          <w:rFonts w:ascii="宋体" w:hAnsi="宋体"/>
          <w:color w:val="auto"/>
          <w:sz w:val="24"/>
        </w:rPr>
        <w:t>1.供应商按照本部分的顺序编制响应文件，编制中涉及格式资料的，应按照本部分提供的内容和格式（所有表格的格式可扩展）填写提交。</w:t>
      </w:r>
    </w:p>
    <w:p w14:paraId="3601B872">
      <w:pPr>
        <w:tabs>
          <w:tab w:val="left" w:pos="900"/>
          <w:tab w:val="left" w:pos="1980"/>
        </w:tabs>
        <w:snapToGrid w:val="0"/>
        <w:spacing w:line="360" w:lineRule="auto"/>
        <w:ind w:left="142"/>
        <w:rPr>
          <w:rFonts w:hint="eastAsia" w:ascii="宋体" w:hAnsi="宋体"/>
          <w:color w:val="auto"/>
          <w:kern w:val="0"/>
          <w:sz w:val="24"/>
        </w:rPr>
      </w:pPr>
      <w:r>
        <w:rPr>
          <w:rFonts w:ascii="宋体" w:hAnsi="宋体"/>
          <w:color w:val="auto"/>
          <w:sz w:val="24"/>
        </w:rPr>
        <w:t>2.</w:t>
      </w:r>
      <w:r>
        <w:rPr>
          <w:rFonts w:ascii="宋体" w:hAnsi="宋体"/>
          <w:color w:val="auto"/>
          <w:kern w:val="0"/>
          <w:sz w:val="24"/>
        </w:rPr>
        <w:t>对于竞争性磋商文件中标记了“实质性格式”文件的，供应商</w:t>
      </w:r>
      <w:r>
        <w:rPr>
          <w:rFonts w:ascii="宋体" w:hAnsi="宋体"/>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color w:val="auto"/>
          <w:kern w:val="0"/>
          <w:sz w:val="24"/>
        </w:rPr>
        <w:t>否则响应无效</w:t>
      </w:r>
      <w:r>
        <w:rPr>
          <w:rFonts w:ascii="宋体" w:hAnsi="宋体"/>
          <w:color w:val="auto"/>
          <w:kern w:val="0"/>
          <w:sz w:val="24"/>
        </w:rPr>
        <w:t>。未标记“实质性格式”的文件和竞争性磋商文件未提供格式的内容，可由供应商自行编写。</w:t>
      </w:r>
    </w:p>
    <w:p w14:paraId="7B0DC29B">
      <w:pPr>
        <w:tabs>
          <w:tab w:val="left" w:pos="900"/>
          <w:tab w:val="left" w:pos="1980"/>
        </w:tabs>
        <w:snapToGrid w:val="0"/>
        <w:spacing w:line="360" w:lineRule="auto"/>
        <w:ind w:left="142"/>
        <w:rPr>
          <w:rFonts w:hint="eastAsia" w:ascii="宋体" w:hAnsi="宋体"/>
          <w:b/>
          <w:color w:val="auto"/>
          <w:spacing w:val="20"/>
          <w:sz w:val="24"/>
        </w:rPr>
      </w:pPr>
      <w:r>
        <w:rPr>
          <w:rFonts w:ascii="宋体" w:hAnsi="宋体"/>
          <w:color w:val="auto"/>
          <w:sz w:val="24"/>
        </w:rPr>
        <w:t>3.全部声明和问题的回答及所附材料必须是真实的、准确的和完整的。</w:t>
      </w:r>
      <w:r>
        <w:rPr>
          <w:rFonts w:ascii="宋体" w:hAnsi="宋体"/>
          <w:b/>
          <w:color w:val="auto"/>
          <w:spacing w:val="20"/>
          <w:sz w:val="24"/>
        </w:rPr>
        <w:br w:type="page"/>
      </w:r>
    </w:p>
    <w:p w14:paraId="59EFA24D">
      <w:pPr>
        <w:rPr>
          <w:rFonts w:hint="eastAsia" w:ascii="宋体" w:hAnsi="宋体"/>
          <w:b/>
          <w:color w:val="auto"/>
          <w:sz w:val="24"/>
        </w:rPr>
      </w:pPr>
      <w:r>
        <w:rPr>
          <w:rFonts w:ascii="宋体" w:hAnsi="宋体"/>
          <w:b/>
          <w:color w:val="auto"/>
          <w:spacing w:val="20"/>
          <w:sz w:val="24"/>
        </w:rPr>
        <w:t>响应文件</w:t>
      </w:r>
      <w:r>
        <w:rPr>
          <w:rFonts w:ascii="宋体" w:hAnsi="宋体"/>
          <w:b/>
          <w:color w:val="auto"/>
          <w:sz w:val="24"/>
        </w:rPr>
        <w:t>封面（非实质性格式）</w:t>
      </w:r>
    </w:p>
    <w:p w14:paraId="593256B0">
      <w:pPr>
        <w:jc w:val="center"/>
        <w:rPr>
          <w:rFonts w:hint="eastAsia" w:ascii="宋体" w:hAnsi="宋体"/>
          <w:color w:val="auto"/>
          <w:szCs w:val="21"/>
        </w:rPr>
      </w:pPr>
    </w:p>
    <w:p w14:paraId="7B347B4B">
      <w:pPr>
        <w:jc w:val="center"/>
        <w:rPr>
          <w:rFonts w:hint="eastAsia" w:ascii="宋体" w:hAnsi="宋体"/>
          <w:b/>
          <w:color w:val="auto"/>
          <w:spacing w:val="60"/>
          <w:sz w:val="84"/>
          <w:szCs w:val="84"/>
        </w:rPr>
      </w:pPr>
      <w:r>
        <w:rPr>
          <w:rFonts w:ascii="宋体" w:hAnsi="宋体"/>
          <w:b/>
          <w:color w:val="auto"/>
          <w:spacing w:val="60"/>
          <w:sz w:val="84"/>
          <w:szCs w:val="84"/>
        </w:rPr>
        <w:t>响 应 文 件</w:t>
      </w:r>
    </w:p>
    <w:p w14:paraId="276AF8E3">
      <w:pPr>
        <w:jc w:val="center"/>
        <w:rPr>
          <w:rFonts w:hint="eastAsia" w:ascii="宋体" w:hAnsi="宋体"/>
          <w:b/>
          <w:color w:val="auto"/>
          <w:spacing w:val="60"/>
          <w:sz w:val="52"/>
          <w:szCs w:val="52"/>
        </w:rPr>
      </w:pPr>
    </w:p>
    <w:p w14:paraId="4DDAF40E">
      <w:pPr>
        <w:ind w:firstLine="542" w:firstLineChars="150"/>
        <w:rPr>
          <w:rFonts w:hint="eastAsia" w:ascii="宋体" w:hAnsi="宋体"/>
          <w:b/>
          <w:color w:val="auto"/>
          <w:spacing w:val="20"/>
          <w:sz w:val="32"/>
          <w:szCs w:val="32"/>
        </w:rPr>
      </w:pPr>
    </w:p>
    <w:p w14:paraId="63D1A3E3">
      <w:pPr>
        <w:ind w:firstLine="542" w:firstLineChars="150"/>
        <w:rPr>
          <w:rFonts w:hint="eastAsia" w:ascii="宋体" w:hAnsi="宋体"/>
          <w:b/>
          <w:color w:val="auto"/>
          <w:spacing w:val="20"/>
          <w:sz w:val="32"/>
          <w:szCs w:val="32"/>
        </w:rPr>
      </w:pPr>
    </w:p>
    <w:p w14:paraId="7C891D65">
      <w:pPr>
        <w:ind w:firstLine="542" w:firstLineChars="150"/>
        <w:rPr>
          <w:rFonts w:hint="eastAsia" w:ascii="宋体" w:hAnsi="宋体"/>
          <w:b/>
          <w:color w:val="auto"/>
          <w:spacing w:val="20"/>
          <w:sz w:val="32"/>
          <w:szCs w:val="32"/>
        </w:rPr>
      </w:pPr>
      <w:r>
        <w:rPr>
          <w:rFonts w:ascii="宋体" w:hAnsi="宋体"/>
          <w:b/>
          <w:color w:val="auto"/>
          <w:spacing w:val="20"/>
          <w:sz w:val="32"/>
          <w:szCs w:val="32"/>
        </w:rPr>
        <w:t>项目名称：</w:t>
      </w:r>
    </w:p>
    <w:p w14:paraId="3339950B">
      <w:pPr>
        <w:ind w:firstLine="542" w:firstLineChars="150"/>
        <w:rPr>
          <w:rFonts w:ascii="宋体" w:hAnsi="宋体"/>
          <w:b/>
          <w:color w:val="auto"/>
          <w:spacing w:val="20"/>
          <w:sz w:val="32"/>
          <w:szCs w:val="32"/>
        </w:rPr>
      </w:pPr>
      <w:r>
        <w:rPr>
          <w:rFonts w:ascii="宋体" w:hAnsi="宋体"/>
          <w:b/>
          <w:color w:val="auto"/>
          <w:spacing w:val="20"/>
          <w:sz w:val="32"/>
          <w:szCs w:val="32"/>
        </w:rPr>
        <w:t>项目编号</w:t>
      </w:r>
      <w:r>
        <w:rPr>
          <w:rFonts w:hint="eastAsia" w:ascii="宋体" w:hAnsi="宋体"/>
          <w:b/>
          <w:color w:val="auto"/>
          <w:spacing w:val="20"/>
          <w:sz w:val="32"/>
          <w:szCs w:val="32"/>
        </w:rPr>
        <w:t>/包号</w:t>
      </w:r>
      <w:r>
        <w:rPr>
          <w:rFonts w:ascii="宋体" w:hAnsi="宋体"/>
          <w:b/>
          <w:color w:val="auto"/>
          <w:spacing w:val="20"/>
          <w:sz w:val="32"/>
          <w:szCs w:val="32"/>
        </w:rPr>
        <w:t>：</w:t>
      </w:r>
    </w:p>
    <w:p w14:paraId="3EC1DD6F">
      <w:pPr>
        <w:ind w:firstLine="542" w:firstLineChars="150"/>
        <w:rPr>
          <w:rFonts w:hint="default" w:ascii="宋体" w:hAnsi="宋体" w:eastAsia="宋体"/>
          <w:b/>
          <w:color w:val="auto"/>
          <w:spacing w:val="20"/>
          <w:sz w:val="32"/>
          <w:szCs w:val="32"/>
          <w:lang w:val="en-US" w:eastAsia="zh-CN"/>
        </w:rPr>
      </w:pPr>
      <w:r>
        <w:rPr>
          <w:rFonts w:hint="eastAsia" w:ascii="宋体" w:hAnsi="宋体"/>
          <w:b/>
          <w:color w:val="auto"/>
          <w:spacing w:val="20"/>
          <w:sz w:val="32"/>
          <w:szCs w:val="32"/>
          <w:lang w:val="en-US" w:eastAsia="zh-CN"/>
        </w:rPr>
        <w:t>标包名称：</w:t>
      </w:r>
    </w:p>
    <w:p w14:paraId="43178975">
      <w:pPr>
        <w:ind w:firstLine="542" w:firstLineChars="150"/>
        <w:rPr>
          <w:rFonts w:hint="eastAsia" w:ascii="宋体" w:hAnsi="宋体"/>
          <w:b/>
          <w:color w:val="auto"/>
          <w:spacing w:val="20"/>
          <w:sz w:val="32"/>
          <w:szCs w:val="32"/>
        </w:rPr>
      </w:pPr>
    </w:p>
    <w:p w14:paraId="79012BC3">
      <w:pPr>
        <w:ind w:firstLine="542" w:firstLineChars="150"/>
        <w:rPr>
          <w:rFonts w:hint="eastAsia" w:ascii="宋体" w:hAnsi="宋体"/>
          <w:b/>
          <w:color w:val="auto"/>
          <w:spacing w:val="20"/>
          <w:sz w:val="32"/>
          <w:szCs w:val="32"/>
        </w:rPr>
      </w:pPr>
    </w:p>
    <w:p w14:paraId="3CF8C503">
      <w:pPr>
        <w:jc w:val="center"/>
        <w:rPr>
          <w:rFonts w:hint="eastAsia" w:ascii="宋体" w:hAnsi="宋体"/>
          <w:b/>
          <w:color w:val="auto"/>
          <w:sz w:val="32"/>
          <w:szCs w:val="32"/>
        </w:rPr>
      </w:pPr>
    </w:p>
    <w:p w14:paraId="2EAAD098">
      <w:pPr>
        <w:jc w:val="center"/>
        <w:rPr>
          <w:rFonts w:hint="eastAsia" w:ascii="宋体" w:hAnsi="宋体"/>
          <w:b/>
          <w:color w:val="auto"/>
          <w:sz w:val="32"/>
          <w:szCs w:val="32"/>
        </w:rPr>
      </w:pPr>
    </w:p>
    <w:p w14:paraId="6A111C27">
      <w:pPr>
        <w:jc w:val="center"/>
        <w:rPr>
          <w:rFonts w:hint="eastAsia" w:ascii="宋体" w:hAnsi="宋体"/>
          <w:b/>
          <w:color w:val="auto"/>
          <w:sz w:val="32"/>
          <w:szCs w:val="32"/>
        </w:rPr>
      </w:pPr>
    </w:p>
    <w:p w14:paraId="2D71E234">
      <w:pPr>
        <w:jc w:val="center"/>
        <w:rPr>
          <w:rFonts w:hint="eastAsia" w:ascii="宋体" w:hAnsi="宋体"/>
          <w:b/>
          <w:color w:val="auto"/>
          <w:spacing w:val="20"/>
          <w:sz w:val="32"/>
          <w:szCs w:val="32"/>
        </w:rPr>
      </w:pPr>
    </w:p>
    <w:p w14:paraId="04FFBD29">
      <w:pPr>
        <w:jc w:val="center"/>
        <w:rPr>
          <w:rFonts w:hint="eastAsia" w:ascii="宋体" w:hAnsi="宋体"/>
          <w:b/>
          <w:color w:val="auto"/>
          <w:spacing w:val="20"/>
          <w:sz w:val="32"/>
          <w:szCs w:val="32"/>
        </w:rPr>
      </w:pPr>
    </w:p>
    <w:p w14:paraId="62088052">
      <w:pPr>
        <w:jc w:val="center"/>
        <w:rPr>
          <w:rFonts w:hint="eastAsia" w:ascii="宋体" w:hAnsi="宋体"/>
          <w:b/>
          <w:color w:val="auto"/>
          <w:spacing w:val="20"/>
          <w:sz w:val="32"/>
          <w:szCs w:val="32"/>
        </w:rPr>
      </w:pPr>
    </w:p>
    <w:p w14:paraId="7B2FACFE">
      <w:pPr>
        <w:spacing w:line="360" w:lineRule="auto"/>
        <w:ind w:firstLine="1445" w:firstLineChars="400"/>
        <w:jc w:val="left"/>
        <w:rPr>
          <w:rFonts w:hint="eastAsia" w:ascii="宋体" w:hAnsi="宋体"/>
          <w:b/>
          <w:color w:val="auto"/>
          <w:spacing w:val="20"/>
          <w:sz w:val="32"/>
          <w:szCs w:val="32"/>
        </w:rPr>
      </w:pPr>
      <w:r>
        <w:rPr>
          <w:rFonts w:ascii="宋体" w:hAnsi="宋体"/>
          <w:b/>
          <w:color w:val="auto"/>
          <w:spacing w:val="20"/>
          <w:sz w:val="32"/>
          <w:szCs w:val="32"/>
        </w:rPr>
        <w:t>供应商名称：</w:t>
      </w:r>
    </w:p>
    <w:p w14:paraId="6F0C78FE">
      <w:pPr>
        <w:jc w:val="center"/>
        <w:rPr>
          <w:rFonts w:hint="eastAsia" w:ascii="宋体" w:hAnsi="宋体"/>
          <w:b/>
          <w:color w:val="auto"/>
          <w:sz w:val="32"/>
          <w:szCs w:val="32"/>
        </w:rPr>
      </w:pPr>
    </w:p>
    <w:p w14:paraId="4C8A97B1">
      <w:pPr>
        <w:rPr>
          <w:rFonts w:hint="eastAsia" w:ascii="宋体" w:hAnsi="宋体"/>
          <w:b/>
          <w:color w:val="auto"/>
        </w:rPr>
      </w:pPr>
      <w:r>
        <w:rPr>
          <w:rFonts w:ascii="宋体" w:hAnsi="宋体"/>
          <w:b/>
          <w:color w:val="auto"/>
          <w:spacing w:val="20"/>
          <w:sz w:val="32"/>
          <w:szCs w:val="32"/>
        </w:rPr>
        <w:br w:type="page"/>
      </w:r>
    </w:p>
    <w:p w14:paraId="7BEA3F08">
      <w:pPr>
        <w:tabs>
          <w:tab w:val="left" w:pos="360"/>
        </w:tabs>
        <w:snapToGrid w:val="0"/>
        <w:spacing w:line="360" w:lineRule="auto"/>
        <w:outlineLvl w:val="1"/>
        <w:rPr>
          <w:rFonts w:hint="eastAsia" w:ascii="宋体" w:hAnsi="宋体"/>
          <w:color w:val="auto"/>
          <w:sz w:val="24"/>
        </w:rPr>
      </w:pPr>
      <w:r>
        <w:rPr>
          <w:rFonts w:ascii="宋体" w:hAnsi="宋体"/>
          <w:color w:val="auto"/>
          <w:sz w:val="24"/>
        </w:rPr>
        <w:t>1 满足《中华人民共和国政府采购法》第二十二条规定</w:t>
      </w:r>
    </w:p>
    <w:p w14:paraId="64811F06">
      <w:pPr>
        <w:spacing w:line="360" w:lineRule="auto"/>
        <w:outlineLvl w:val="2"/>
        <w:rPr>
          <w:rFonts w:hint="eastAsia" w:ascii="宋体" w:hAnsi="宋体"/>
          <w:color w:val="auto"/>
          <w:sz w:val="24"/>
        </w:rPr>
      </w:pPr>
      <w:r>
        <w:rPr>
          <w:rFonts w:ascii="宋体" w:hAnsi="宋体"/>
          <w:color w:val="auto"/>
          <w:sz w:val="24"/>
        </w:rPr>
        <w:t>1-1 营业执照等证明文件</w:t>
      </w:r>
    </w:p>
    <w:p w14:paraId="4890129B">
      <w:pPr>
        <w:tabs>
          <w:tab w:val="left" w:pos="1080"/>
        </w:tabs>
        <w:snapToGrid w:val="0"/>
        <w:rPr>
          <w:rFonts w:hint="eastAsia" w:ascii="宋体" w:hAnsi="宋体"/>
          <w:color w:val="auto"/>
          <w:sz w:val="24"/>
        </w:rPr>
      </w:pPr>
    </w:p>
    <w:p w14:paraId="5A268D96">
      <w:pPr>
        <w:widowControl/>
        <w:jc w:val="left"/>
        <w:rPr>
          <w:rFonts w:hint="eastAsia" w:ascii="宋体" w:hAnsi="宋体"/>
          <w:color w:val="auto"/>
          <w:sz w:val="24"/>
          <w:szCs w:val="20"/>
        </w:rPr>
      </w:pPr>
      <w:r>
        <w:rPr>
          <w:rFonts w:ascii="宋体" w:hAnsi="宋体"/>
          <w:color w:val="auto"/>
          <w:sz w:val="24"/>
        </w:rPr>
        <w:br w:type="page"/>
      </w:r>
    </w:p>
    <w:p w14:paraId="1412A610">
      <w:pPr>
        <w:pStyle w:val="4"/>
        <w:rPr>
          <w:rFonts w:hint="eastAsia" w:hAnsi="宋体"/>
          <w:b w:val="0"/>
          <w:bCs/>
          <w:color w:val="auto"/>
          <w:szCs w:val="24"/>
          <w:u w:val="none"/>
        </w:rPr>
      </w:pPr>
      <w:r>
        <w:rPr>
          <w:rFonts w:hAnsi="宋体"/>
          <w:b w:val="0"/>
          <w:color w:val="auto"/>
          <w:szCs w:val="24"/>
          <w:u w:val="none"/>
        </w:rPr>
        <w:t>1-2 供应商资格声明书</w:t>
      </w:r>
    </w:p>
    <w:p w14:paraId="2A795CE0">
      <w:pPr>
        <w:jc w:val="center"/>
        <w:rPr>
          <w:rFonts w:hint="eastAsia" w:ascii="宋体" w:hAnsi="宋体"/>
          <w:b/>
          <w:color w:val="auto"/>
          <w:sz w:val="36"/>
          <w:szCs w:val="36"/>
        </w:rPr>
      </w:pPr>
      <w:r>
        <w:rPr>
          <w:rFonts w:ascii="宋体" w:hAnsi="宋体"/>
          <w:b/>
          <w:color w:val="auto"/>
          <w:sz w:val="36"/>
          <w:szCs w:val="36"/>
        </w:rPr>
        <w:t>供应商资格声明书</w:t>
      </w:r>
    </w:p>
    <w:p w14:paraId="0CECC589">
      <w:pPr>
        <w:tabs>
          <w:tab w:val="left" w:pos="5580"/>
        </w:tabs>
        <w:spacing w:line="360" w:lineRule="auto"/>
        <w:rPr>
          <w:rFonts w:hint="eastAsia" w:ascii="宋体" w:hAnsi="宋体"/>
          <w:color w:val="auto"/>
          <w:sz w:val="24"/>
        </w:rPr>
      </w:pPr>
      <w:r>
        <w:rPr>
          <w:rFonts w:ascii="宋体" w:hAnsi="宋体"/>
          <w:color w:val="auto"/>
          <w:sz w:val="24"/>
        </w:rPr>
        <w:t>致：</w:t>
      </w:r>
      <w:r>
        <w:rPr>
          <w:rFonts w:ascii="宋体" w:hAnsi="宋体"/>
          <w:color w:val="auto"/>
          <w:sz w:val="24"/>
          <w:u w:val="single"/>
        </w:rPr>
        <w:t>采购人或采购代理机构</w:t>
      </w:r>
    </w:p>
    <w:p w14:paraId="7262C92C">
      <w:pPr>
        <w:spacing w:line="360" w:lineRule="auto"/>
        <w:ind w:firstLine="480" w:firstLineChars="200"/>
        <w:rPr>
          <w:rFonts w:hint="eastAsia" w:ascii="宋体" w:hAnsi="宋体"/>
          <w:color w:val="auto"/>
          <w:sz w:val="24"/>
        </w:rPr>
      </w:pPr>
      <w:r>
        <w:rPr>
          <w:rFonts w:ascii="宋体" w:hAnsi="宋体"/>
          <w:color w:val="auto"/>
          <w:sz w:val="24"/>
        </w:rPr>
        <w:t>在参与本次项目磋商中，我单位承诺：</w:t>
      </w:r>
    </w:p>
    <w:p w14:paraId="52CC83DC">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具有良好的商业信誉和健全的财务会计制度；</w:t>
      </w:r>
    </w:p>
    <w:p w14:paraId="0AEB77E6">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具有履行合同所必需的设备和专业技术能力；</w:t>
      </w:r>
    </w:p>
    <w:p w14:paraId="06637864">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有依法缴纳税收和社会保障资金的良好记录；</w:t>
      </w:r>
    </w:p>
    <w:p w14:paraId="310E52E5">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8EE85F">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我单位不属于政府采购法律、行政法规规定的公益一类事业单位、或使用事业编制且由财政拨款保障的群团组织（仅适用于政府购买服务项目）；</w:t>
      </w:r>
    </w:p>
    <w:p w14:paraId="3E753B6F">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我单位不存在为采购项目提供整体设计、规范编制或者项目管理、监理、检测等服务后，再参加该采购项目的其他采购活动的情形（单一来源采购项目除外）；</w:t>
      </w:r>
    </w:p>
    <w:p w14:paraId="3275F0A2">
      <w:pPr>
        <w:numPr>
          <w:ilvl w:val="0"/>
          <w:numId w:val="13"/>
        </w:numPr>
        <w:spacing w:line="360" w:lineRule="auto"/>
        <w:ind w:left="1134"/>
        <w:rPr>
          <w:rFonts w:hint="eastAsia" w:ascii="宋体" w:hAnsi="宋体"/>
          <w:color w:val="auto"/>
          <w:sz w:val="24"/>
          <w:szCs w:val="22"/>
        </w:rPr>
      </w:pPr>
      <w:r>
        <w:rPr>
          <w:rFonts w:ascii="宋体" w:hAnsi="宋体"/>
          <w:color w:val="auto"/>
          <w:sz w:val="24"/>
          <w:szCs w:val="22"/>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25A5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19D527C">
            <w:pPr>
              <w:jc w:val="center"/>
              <w:rPr>
                <w:rFonts w:hint="eastAsia" w:ascii="宋体" w:hAnsi="宋体"/>
                <w:color w:val="auto"/>
                <w:sz w:val="24"/>
              </w:rPr>
            </w:pPr>
            <w:r>
              <w:rPr>
                <w:rFonts w:ascii="宋体" w:hAnsi="宋体"/>
                <w:color w:val="auto"/>
                <w:sz w:val="24"/>
              </w:rPr>
              <w:t>序号</w:t>
            </w:r>
          </w:p>
        </w:tc>
        <w:tc>
          <w:tcPr>
            <w:tcW w:w="4574" w:type="dxa"/>
            <w:vAlign w:val="center"/>
          </w:tcPr>
          <w:p w14:paraId="3B7264DF">
            <w:pPr>
              <w:jc w:val="center"/>
              <w:rPr>
                <w:rFonts w:hint="eastAsia" w:ascii="宋体" w:hAnsi="宋体"/>
                <w:color w:val="auto"/>
                <w:sz w:val="24"/>
              </w:rPr>
            </w:pPr>
            <w:r>
              <w:rPr>
                <w:rFonts w:ascii="宋体" w:hAnsi="宋体"/>
                <w:color w:val="auto"/>
                <w:sz w:val="24"/>
              </w:rPr>
              <w:t>单位名称</w:t>
            </w:r>
          </w:p>
        </w:tc>
        <w:tc>
          <w:tcPr>
            <w:tcW w:w="2976" w:type="dxa"/>
            <w:vAlign w:val="center"/>
          </w:tcPr>
          <w:p w14:paraId="2E948260">
            <w:pPr>
              <w:jc w:val="center"/>
              <w:rPr>
                <w:rFonts w:hint="eastAsia" w:ascii="宋体" w:hAnsi="宋体"/>
                <w:color w:val="auto"/>
                <w:sz w:val="24"/>
              </w:rPr>
            </w:pPr>
            <w:r>
              <w:rPr>
                <w:rFonts w:ascii="宋体" w:hAnsi="宋体"/>
                <w:color w:val="auto"/>
                <w:sz w:val="24"/>
              </w:rPr>
              <w:t>相互关系</w:t>
            </w:r>
          </w:p>
        </w:tc>
      </w:tr>
      <w:tr w14:paraId="03832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F7B6AD7">
            <w:pPr>
              <w:jc w:val="center"/>
              <w:rPr>
                <w:rFonts w:hint="eastAsia" w:ascii="宋体" w:hAnsi="宋体"/>
                <w:color w:val="auto"/>
                <w:sz w:val="24"/>
              </w:rPr>
            </w:pPr>
            <w:r>
              <w:rPr>
                <w:rFonts w:ascii="宋体" w:hAnsi="宋体"/>
                <w:color w:val="auto"/>
                <w:sz w:val="24"/>
              </w:rPr>
              <w:t>1</w:t>
            </w:r>
          </w:p>
        </w:tc>
        <w:tc>
          <w:tcPr>
            <w:tcW w:w="4574" w:type="dxa"/>
            <w:vAlign w:val="center"/>
          </w:tcPr>
          <w:p w14:paraId="2CBE8B08">
            <w:pPr>
              <w:jc w:val="center"/>
              <w:rPr>
                <w:rFonts w:hint="eastAsia" w:ascii="宋体" w:hAnsi="宋体"/>
                <w:color w:val="auto"/>
                <w:sz w:val="24"/>
              </w:rPr>
            </w:pPr>
          </w:p>
        </w:tc>
        <w:tc>
          <w:tcPr>
            <w:tcW w:w="2976" w:type="dxa"/>
            <w:vAlign w:val="center"/>
          </w:tcPr>
          <w:p w14:paraId="24E86BFA">
            <w:pPr>
              <w:jc w:val="center"/>
              <w:rPr>
                <w:rFonts w:hint="eastAsia" w:ascii="宋体" w:hAnsi="宋体"/>
                <w:color w:val="auto"/>
                <w:sz w:val="24"/>
              </w:rPr>
            </w:pPr>
          </w:p>
        </w:tc>
      </w:tr>
      <w:tr w14:paraId="60B8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977E732">
            <w:pPr>
              <w:jc w:val="center"/>
              <w:rPr>
                <w:rFonts w:hint="eastAsia" w:ascii="宋体" w:hAnsi="宋体"/>
                <w:color w:val="auto"/>
                <w:sz w:val="24"/>
              </w:rPr>
            </w:pPr>
            <w:r>
              <w:rPr>
                <w:rFonts w:ascii="宋体" w:hAnsi="宋体"/>
                <w:color w:val="auto"/>
                <w:sz w:val="24"/>
              </w:rPr>
              <w:t>2</w:t>
            </w:r>
          </w:p>
        </w:tc>
        <w:tc>
          <w:tcPr>
            <w:tcW w:w="4574" w:type="dxa"/>
            <w:vAlign w:val="center"/>
          </w:tcPr>
          <w:p w14:paraId="67ED585B">
            <w:pPr>
              <w:jc w:val="center"/>
              <w:rPr>
                <w:rFonts w:hint="eastAsia" w:ascii="宋体" w:hAnsi="宋体"/>
                <w:color w:val="auto"/>
                <w:sz w:val="24"/>
              </w:rPr>
            </w:pPr>
          </w:p>
        </w:tc>
        <w:tc>
          <w:tcPr>
            <w:tcW w:w="2976" w:type="dxa"/>
            <w:vAlign w:val="center"/>
          </w:tcPr>
          <w:p w14:paraId="17638A2E">
            <w:pPr>
              <w:jc w:val="center"/>
              <w:rPr>
                <w:rFonts w:hint="eastAsia" w:ascii="宋体" w:hAnsi="宋体"/>
                <w:color w:val="auto"/>
                <w:sz w:val="24"/>
              </w:rPr>
            </w:pPr>
          </w:p>
        </w:tc>
      </w:tr>
      <w:tr w14:paraId="3A0E4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BF09C69">
            <w:pPr>
              <w:jc w:val="center"/>
              <w:rPr>
                <w:rFonts w:hint="eastAsia" w:ascii="宋体" w:hAnsi="宋体"/>
                <w:color w:val="auto"/>
                <w:sz w:val="24"/>
              </w:rPr>
            </w:pPr>
            <w:r>
              <w:rPr>
                <w:rFonts w:ascii="宋体" w:hAnsi="宋体"/>
                <w:color w:val="auto"/>
                <w:sz w:val="24"/>
              </w:rPr>
              <w:t>…</w:t>
            </w:r>
          </w:p>
        </w:tc>
        <w:tc>
          <w:tcPr>
            <w:tcW w:w="4574" w:type="dxa"/>
            <w:vAlign w:val="center"/>
          </w:tcPr>
          <w:p w14:paraId="48AD2DAE">
            <w:pPr>
              <w:jc w:val="center"/>
              <w:rPr>
                <w:rFonts w:hint="eastAsia" w:ascii="宋体" w:hAnsi="宋体"/>
                <w:color w:val="auto"/>
                <w:sz w:val="24"/>
              </w:rPr>
            </w:pPr>
          </w:p>
        </w:tc>
        <w:tc>
          <w:tcPr>
            <w:tcW w:w="2976" w:type="dxa"/>
            <w:vAlign w:val="center"/>
          </w:tcPr>
          <w:p w14:paraId="36BE3544">
            <w:pPr>
              <w:jc w:val="center"/>
              <w:rPr>
                <w:rFonts w:hint="eastAsia" w:ascii="宋体" w:hAnsi="宋体"/>
                <w:color w:val="auto"/>
                <w:sz w:val="24"/>
              </w:rPr>
            </w:pPr>
          </w:p>
        </w:tc>
      </w:tr>
    </w:tbl>
    <w:p w14:paraId="52077E92">
      <w:pPr>
        <w:rPr>
          <w:rFonts w:hint="eastAsia" w:ascii="宋体" w:hAnsi="宋体"/>
          <w:color w:val="auto"/>
        </w:rPr>
      </w:pPr>
    </w:p>
    <w:p w14:paraId="048F9470">
      <w:pPr>
        <w:ind w:firstLine="480" w:firstLineChars="200"/>
        <w:rPr>
          <w:rFonts w:hint="eastAsia" w:ascii="宋体" w:hAnsi="宋体"/>
          <w:color w:val="auto"/>
          <w:sz w:val="24"/>
          <w:szCs w:val="22"/>
        </w:rPr>
      </w:pPr>
      <w:r>
        <w:rPr>
          <w:rFonts w:ascii="宋体" w:hAnsi="宋体"/>
          <w:color w:val="auto"/>
          <w:sz w:val="24"/>
        </w:rPr>
        <w:t>上述声明真实有效，否则我方负全部责任。</w:t>
      </w:r>
    </w:p>
    <w:p w14:paraId="133E47A9">
      <w:pPr>
        <w:spacing w:line="360" w:lineRule="auto"/>
        <w:rPr>
          <w:rFonts w:hint="eastAsia" w:ascii="宋体" w:hAnsi="宋体"/>
          <w:color w:val="auto"/>
          <w:sz w:val="24"/>
        </w:rPr>
      </w:pPr>
    </w:p>
    <w:p w14:paraId="574FCFFF">
      <w:pPr>
        <w:autoSpaceDE w:val="0"/>
        <w:autoSpaceDN w:val="0"/>
        <w:adjustRightInd w:val="0"/>
        <w:snapToGrid w:val="0"/>
        <w:spacing w:before="25" w:after="25" w:line="360" w:lineRule="auto"/>
        <w:ind w:right="360"/>
        <w:jc w:val="right"/>
        <w:rPr>
          <w:rFonts w:hint="eastAsia" w:ascii="宋体" w:hAnsi="宋体"/>
          <w:color w:val="auto"/>
          <w:sz w:val="24"/>
          <w:lang w:val="zh-CN"/>
        </w:rPr>
      </w:pPr>
      <w:r>
        <w:rPr>
          <w:rFonts w:ascii="宋体" w:hAnsi="宋体"/>
          <w:color w:val="auto"/>
          <w:sz w:val="24"/>
        </w:rPr>
        <w:t>供应商名称（加盖公章）</w:t>
      </w:r>
      <w:r>
        <w:rPr>
          <w:rFonts w:ascii="宋体" w:hAnsi="宋体"/>
          <w:color w:val="auto"/>
          <w:sz w:val="24"/>
          <w:lang w:val="zh-CN"/>
        </w:rPr>
        <w:t>：</w:t>
      </w:r>
      <w:r>
        <w:rPr>
          <w:rFonts w:ascii="宋体" w:hAnsi="宋体"/>
          <w:color w:val="auto"/>
          <w:sz w:val="24"/>
        </w:rPr>
        <w:t>______</w:t>
      </w:r>
    </w:p>
    <w:p w14:paraId="2BEB4CEB">
      <w:pPr>
        <w:spacing w:line="360" w:lineRule="auto"/>
        <w:ind w:right="360" w:firstLine="480"/>
        <w:jc w:val="right"/>
        <w:rPr>
          <w:rFonts w:hint="eastAsia" w:ascii="宋体" w:hAnsi="宋体"/>
          <w:color w:val="auto"/>
          <w:sz w:val="24"/>
        </w:rPr>
      </w:pPr>
      <w:r>
        <w:rPr>
          <w:rFonts w:ascii="宋体" w:hAnsi="宋体"/>
          <w:color w:val="auto"/>
          <w:sz w:val="24"/>
          <w:szCs w:val="20"/>
        </w:rPr>
        <w:t xml:space="preserve">日期：____年____月____日   </w:t>
      </w:r>
    </w:p>
    <w:p w14:paraId="7CF2A0B2">
      <w:pPr>
        <w:spacing w:line="360" w:lineRule="auto"/>
        <w:rPr>
          <w:rFonts w:hint="eastAsia" w:ascii="宋体" w:hAnsi="宋体"/>
          <w:color w:val="auto"/>
          <w:sz w:val="24"/>
        </w:rPr>
      </w:pPr>
      <w:r>
        <w:rPr>
          <w:rFonts w:ascii="宋体" w:hAnsi="宋体"/>
          <w:color w:val="auto"/>
          <w:sz w:val="24"/>
        </w:rPr>
        <w:t>说明：供应商承诺不实的，依据《政府采购法》第七十七条“提供虚假材料谋取中标、成交的”有关规定予以处理。</w:t>
      </w:r>
    </w:p>
    <w:p w14:paraId="030BB7E4">
      <w:pPr>
        <w:tabs>
          <w:tab w:val="left" w:pos="5580"/>
        </w:tabs>
        <w:spacing w:line="360" w:lineRule="auto"/>
        <w:rPr>
          <w:rFonts w:hint="eastAsia" w:ascii="宋体" w:hAnsi="宋体"/>
          <w:color w:val="auto"/>
          <w:sz w:val="24"/>
        </w:rPr>
        <w:sectPr>
          <w:headerReference r:id="rId14" w:type="default"/>
          <w:footerReference r:id="rId15" w:type="default"/>
          <w:footerReference r:id="rId16" w:type="even"/>
          <w:type w:val="nextColumn"/>
          <w:pgSz w:w="11907" w:h="16840"/>
          <w:pgMar w:top="1440" w:right="1800" w:bottom="1440" w:left="1800" w:header="851" w:footer="851" w:gutter="0"/>
          <w:cols w:space="720" w:num="1"/>
          <w:docGrid w:linePitch="462" w:charSpace="0"/>
        </w:sectPr>
      </w:pPr>
    </w:p>
    <w:p w14:paraId="739A569B">
      <w:pPr>
        <w:tabs>
          <w:tab w:val="left" w:pos="360"/>
        </w:tabs>
        <w:snapToGrid w:val="0"/>
        <w:spacing w:line="360" w:lineRule="auto"/>
        <w:outlineLvl w:val="1"/>
        <w:rPr>
          <w:color w:val="auto"/>
          <w:sz w:val="24"/>
          <w:szCs w:val="20"/>
        </w:rPr>
      </w:pPr>
      <w:bookmarkStart w:id="720" w:name="_Ref467988698"/>
      <w:bookmarkStart w:id="721" w:name="_Toc480942349"/>
      <w:bookmarkStart w:id="722" w:name="_Toc150774761"/>
      <w:bookmarkStart w:id="723" w:name="_Toc127151556"/>
      <w:bookmarkStart w:id="724" w:name="_Toc226965746"/>
      <w:bookmarkStart w:id="725" w:name="_Toc142311058"/>
      <w:bookmarkStart w:id="726" w:name="_Toc195842921"/>
      <w:bookmarkStart w:id="727" w:name="_Toc520356217"/>
      <w:bookmarkStart w:id="728" w:name="_Toc226337252"/>
      <w:bookmarkStart w:id="729" w:name="_Toc226309800"/>
      <w:bookmarkStart w:id="730" w:name="_Toc150480794"/>
      <w:bookmarkStart w:id="731" w:name="_Toc226965829"/>
      <w:r>
        <w:rPr>
          <w:rFonts w:hint="eastAsia"/>
          <w:color w:val="auto"/>
          <w:sz w:val="24"/>
          <w:szCs w:val="20"/>
        </w:rPr>
        <w:t>2</w:t>
      </w:r>
      <w:r>
        <w:rPr>
          <w:color w:val="auto"/>
          <w:sz w:val="24"/>
          <w:szCs w:val="20"/>
        </w:rPr>
        <w:t>落实政府采购政策需满足的资格要求</w:t>
      </w:r>
    </w:p>
    <w:p w14:paraId="02F95BAB">
      <w:pPr>
        <w:spacing w:line="360" w:lineRule="auto"/>
        <w:outlineLvl w:val="2"/>
        <w:rPr>
          <w:color w:val="auto"/>
          <w:sz w:val="24"/>
          <w:szCs w:val="20"/>
        </w:rPr>
      </w:pPr>
      <w:r>
        <w:rPr>
          <w:color w:val="auto"/>
          <w:sz w:val="24"/>
          <w:szCs w:val="20"/>
        </w:rPr>
        <w:t>2-1 中小企业证明文件</w:t>
      </w:r>
    </w:p>
    <w:p w14:paraId="333E7422">
      <w:pPr>
        <w:tabs>
          <w:tab w:val="left" w:pos="5580"/>
        </w:tabs>
        <w:spacing w:line="360" w:lineRule="auto"/>
        <w:rPr>
          <w:color w:val="auto"/>
          <w:sz w:val="24"/>
        </w:rPr>
      </w:pPr>
      <w:r>
        <w:rPr>
          <w:color w:val="auto"/>
          <w:sz w:val="24"/>
        </w:rPr>
        <w:t>说明：</w:t>
      </w:r>
    </w:p>
    <w:p w14:paraId="7DF9FAFE">
      <w:pPr>
        <w:tabs>
          <w:tab w:val="left" w:pos="5580"/>
        </w:tabs>
        <w:spacing w:line="360" w:lineRule="auto"/>
        <w:rPr>
          <w:color w:val="auto"/>
          <w:sz w:val="24"/>
        </w:rPr>
      </w:pPr>
      <w:r>
        <w:rPr>
          <w:color w:val="auto"/>
          <w:sz w:val="24"/>
        </w:rPr>
        <w:t>（</w:t>
      </w:r>
      <w:r>
        <w:rPr>
          <w:rFonts w:hint="eastAsia"/>
          <w:color w:val="auto"/>
          <w:sz w:val="24"/>
        </w:rPr>
        <w:t>1</w:t>
      </w:r>
      <w:r>
        <w:rPr>
          <w:color w:val="auto"/>
          <w:sz w:val="24"/>
        </w:rPr>
        <w:t>）本项目专门面向中小企业采购，响应文件中须提供《中小企业声明函》或《残疾人福利性单位声明函》，或提供由省级以上监狱管理局、戒毒管理局（含新疆生产建设兵团）出具的属于监狱企业的证明文件。</w:t>
      </w:r>
    </w:p>
    <w:p w14:paraId="7A1ECD6B">
      <w:pPr>
        <w:tabs>
          <w:tab w:val="left" w:pos="5580"/>
        </w:tabs>
        <w:spacing w:line="360" w:lineRule="auto"/>
        <w:rPr>
          <w:color w:val="auto"/>
          <w:sz w:val="24"/>
        </w:rPr>
      </w:pPr>
      <w:r>
        <w:rPr>
          <w:rFonts w:hint="eastAsia"/>
          <w:color w:val="auto"/>
          <w:sz w:val="24"/>
        </w:rPr>
        <w:t>（2）供应商应充分、准确地了解所提供工程的承建企业信息。</w:t>
      </w:r>
    </w:p>
    <w:p w14:paraId="0ABB787C">
      <w:pPr>
        <w:tabs>
          <w:tab w:val="left" w:pos="5580"/>
        </w:tabs>
        <w:spacing w:line="360" w:lineRule="auto"/>
        <w:rPr>
          <w:color w:val="auto"/>
          <w:sz w:val="24"/>
        </w:rPr>
      </w:pPr>
      <w:r>
        <w:rPr>
          <w:color w:val="auto"/>
          <w:sz w:val="24"/>
        </w:rPr>
        <w:t>（</w:t>
      </w:r>
      <w:r>
        <w:rPr>
          <w:rFonts w:hint="eastAsia"/>
          <w:color w:val="auto"/>
          <w:sz w:val="24"/>
        </w:rPr>
        <w:t>3</w:t>
      </w:r>
      <w:r>
        <w:rPr>
          <w:color w:val="auto"/>
          <w:sz w:val="24"/>
        </w:rPr>
        <w:t>）温馨提示：为方便广大中小企业识别企业规模类型，工业和信息化部组织开发了中小企业规模类型自测小程序，在国务院客户端和工业和信息化部网站上均有链接，</w:t>
      </w:r>
      <w:r>
        <w:rPr>
          <w:rFonts w:hint="eastAsia"/>
          <w:color w:val="auto"/>
          <w:sz w:val="24"/>
        </w:rPr>
        <w:t>供应商</w:t>
      </w:r>
      <w:r>
        <w:rPr>
          <w:color w:val="auto"/>
          <w:sz w:val="24"/>
        </w:rPr>
        <w:t>填写所属的行业和指标数据可自动生成企业规模类型测试结果。本项目中小企业划分标准所属行业详见第二章《</w:t>
      </w:r>
      <w:r>
        <w:rPr>
          <w:rFonts w:hint="eastAsia"/>
          <w:color w:val="auto"/>
          <w:sz w:val="24"/>
        </w:rPr>
        <w:t>供应商</w:t>
      </w:r>
      <w:r>
        <w:rPr>
          <w:color w:val="auto"/>
          <w:sz w:val="24"/>
        </w:rPr>
        <w:t>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5509F534">
      <w:pPr>
        <w:tabs>
          <w:tab w:val="left" w:pos="5580"/>
        </w:tabs>
        <w:spacing w:line="360" w:lineRule="auto"/>
        <w:rPr>
          <w:color w:val="auto"/>
          <w:sz w:val="24"/>
        </w:rPr>
        <w:sectPr>
          <w:headerReference r:id="rId18" w:type="first"/>
          <w:footerReference r:id="rId20" w:type="first"/>
          <w:headerReference r:id="rId17" w:type="even"/>
          <w:footerReference r:id="rId19" w:type="even"/>
          <w:pgSz w:w="11907" w:h="16840"/>
          <w:pgMar w:top="1440" w:right="1800" w:bottom="1440" w:left="1800" w:header="851" w:footer="851" w:gutter="0"/>
          <w:cols w:space="720" w:num="1"/>
          <w:docGrid w:linePitch="462" w:charSpace="0"/>
        </w:sectPr>
      </w:pPr>
    </w:p>
    <w:p w14:paraId="7A10A2A8">
      <w:pPr>
        <w:pStyle w:val="5"/>
        <w:rPr>
          <w:rFonts w:hint="eastAsia" w:ascii="宋体" w:hAnsi="宋体" w:eastAsia="宋体"/>
          <w:b w:val="0"/>
          <w:bCs/>
          <w:color w:val="auto"/>
        </w:rPr>
      </w:pPr>
      <w:r>
        <w:rPr>
          <w:rFonts w:ascii="Times New Roman" w:hAnsi="Times New Roman" w:eastAsia="宋体"/>
          <w:b w:val="0"/>
          <w:color w:val="auto"/>
          <w:kern w:val="2"/>
          <w:sz w:val="24"/>
        </w:rPr>
        <w:t xml:space="preserve">2-1-1 </w:t>
      </w:r>
      <w:r>
        <w:rPr>
          <w:rFonts w:ascii="宋体" w:hAnsi="宋体" w:eastAsia="宋体"/>
          <w:b w:val="0"/>
          <w:bCs/>
          <w:color w:val="auto"/>
        </w:rPr>
        <w:t>中小企业声明函及残疾人福利性单位声明函格式</w:t>
      </w:r>
    </w:p>
    <w:p w14:paraId="6B3CEDE8">
      <w:pPr>
        <w:spacing w:before="240" w:beforeLines="100" w:after="240" w:afterLines="100" w:line="360" w:lineRule="auto"/>
        <w:jc w:val="center"/>
        <w:rPr>
          <w:b/>
          <w:bCs/>
          <w:color w:val="auto"/>
          <w:sz w:val="36"/>
          <w:szCs w:val="36"/>
        </w:rPr>
      </w:pPr>
      <w:r>
        <w:rPr>
          <w:b/>
          <w:bCs/>
          <w:color w:val="auto"/>
          <w:sz w:val="36"/>
          <w:szCs w:val="36"/>
        </w:rPr>
        <w:t>中小企业声明函（工程、服务）格式</w:t>
      </w:r>
    </w:p>
    <w:p w14:paraId="1B7FC642">
      <w:pPr>
        <w:spacing w:line="360" w:lineRule="auto"/>
        <w:ind w:firstLine="504"/>
        <w:rPr>
          <w:color w:val="auto"/>
          <w:spacing w:val="6"/>
          <w:sz w:val="24"/>
        </w:rPr>
      </w:pPr>
      <w:r>
        <w:rPr>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FE597E3">
      <w:pPr>
        <w:spacing w:line="360" w:lineRule="auto"/>
        <w:ind w:firstLine="504"/>
        <w:rPr>
          <w:color w:val="auto"/>
          <w:spacing w:val="6"/>
          <w:sz w:val="24"/>
        </w:rPr>
      </w:pPr>
      <w:r>
        <w:rPr>
          <w:color w:val="auto"/>
          <w:spacing w:val="6"/>
          <w:sz w:val="24"/>
        </w:rPr>
        <w:t>1.</w:t>
      </w:r>
      <w:r>
        <w:rPr>
          <w:rFonts w:hint="eastAsia"/>
          <w:color w:val="auto"/>
          <w:spacing w:val="6"/>
          <w:sz w:val="24"/>
          <w:u w:val="single"/>
        </w:rPr>
        <w:t>建筑物拆除活动</w:t>
      </w:r>
      <w:r>
        <w:rPr>
          <w:color w:val="auto"/>
          <w:spacing w:val="6"/>
          <w:sz w:val="24"/>
          <w:u w:val="single"/>
        </w:rPr>
        <w:t>（标的名称）</w:t>
      </w:r>
      <w:r>
        <w:rPr>
          <w:color w:val="auto"/>
          <w:spacing w:val="6"/>
          <w:sz w:val="24"/>
        </w:rPr>
        <w:t>，属于</w:t>
      </w:r>
      <w:r>
        <w:rPr>
          <w:rFonts w:hint="eastAsia"/>
          <w:color w:val="auto"/>
          <w:spacing w:val="6"/>
          <w:sz w:val="24"/>
          <w:u w:val="single"/>
        </w:rPr>
        <w:t>建筑业</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w:t>
      </w:r>
      <w:r>
        <w:rPr>
          <w:color w:val="auto"/>
          <w:spacing w:val="6"/>
          <w:sz w:val="24"/>
          <w:vertAlign w:val="superscript"/>
        </w:rPr>
        <w:t>1</w:t>
      </w:r>
      <w:r>
        <w:rPr>
          <w:color w:val="auto"/>
          <w:spacing w:val="6"/>
          <w:sz w:val="24"/>
        </w:rPr>
        <w:t>，属于</w:t>
      </w:r>
      <w:r>
        <w:rPr>
          <w:color w:val="auto"/>
          <w:spacing w:val="6"/>
          <w:sz w:val="24"/>
          <w:u w:val="single"/>
        </w:rPr>
        <w:t>（中型企业、小型企业、微型企业）</w:t>
      </w:r>
      <w:r>
        <w:rPr>
          <w:color w:val="auto"/>
          <w:spacing w:val="6"/>
          <w:sz w:val="24"/>
        </w:rPr>
        <w:t>；</w:t>
      </w:r>
    </w:p>
    <w:p w14:paraId="7600A4FF">
      <w:pPr>
        <w:spacing w:line="360" w:lineRule="auto"/>
        <w:ind w:firstLine="504"/>
        <w:rPr>
          <w:color w:val="auto"/>
          <w:spacing w:val="6"/>
          <w:sz w:val="24"/>
        </w:rPr>
      </w:pPr>
      <w:r>
        <w:rPr>
          <w:color w:val="auto"/>
          <w:spacing w:val="6"/>
          <w:sz w:val="24"/>
        </w:rPr>
        <w:t>2.</w:t>
      </w:r>
      <w:r>
        <w:rPr>
          <w:color w:val="auto"/>
          <w:spacing w:val="6"/>
          <w:sz w:val="24"/>
          <w:u w:val="single"/>
        </w:rPr>
        <w:t>（标的名称）</w:t>
      </w:r>
      <w:r>
        <w:rPr>
          <w:color w:val="auto"/>
          <w:spacing w:val="6"/>
          <w:sz w:val="24"/>
        </w:rPr>
        <w:t>，属于</w:t>
      </w:r>
      <w:r>
        <w:rPr>
          <w:color w:val="auto"/>
          <w:spacing w:val="6"/>
          <w:sz w:val="24"/>
          <w:u w:val="single"/>
        </w:rPr>
        <w:t>（采购文件中明确的所属行业）</w:t>
      </w:r>
      <w:r>
        <w:rPr>
          <w:color w:val="auto"/>
          <w:spacing w:val="6"/>
          <w:sz w:val="24"/>
        </w:rPr>
        <w:t>行业；承建（承接）企业为</w:t>
      </w:r>
      <w:r>
        <w:rPr>
          <w:color w:val="auto"/>
          <w:spacing w:val="6"/>
          <w:sz w:val="24"/>
          <w:u w:val="single"/>
        </w:rPr>
        <w:t>（企业名称）</w:t>
      </w:r>
      <w:r>
        <w:rPr>
          <w:color w:val="auto"/>
          <w:spacing w:val="6"/>
          <w:sz w:val="24"/>
        </w:rPr>
        <w:t>，从业人员______人，营业收入为______万元，资产总额为______万元，属于</w:t>
      </w:r>
      <w:r>
        <w:rPr>
          <w:color w:val="auto"/>
          <w:spacing w:val="6"/>
          <w:sz w:val="24"/>
          <w:u w:val="single"/>
        </w:rPr>
        <w:t>（中型企业、小型企业、微型企业）</w:t>
      </w:r>
      <w:r>
        <w:rPr>
          <w:color w:val="auto"/>
          <w:spacing w:val="6"/>
          <w:sz w:val="24"/>
        </w:rPr>
        <w:t>；</w:t>
      </w:r>
    </w:p>
    <w:p w14:paraId="11C6BA0F">
      <w:pPr>
        <w:spacing w:line="360" w:lineRule="auto"/>
        <w:ind w:firstLine="504"/>
        <w:rPr>
          <w:color w:val="auto"/>
          <w:spacing w:val="6"/>
          <w:sz w:val="24"/>
        </w:rPr>
      </w:pPr>
    </w:p>
    <w:p w14:paraId="0FDC88D3">
      <w:pPr>
        <w:spacing w:line="360" w:lineRule="auto"/>
        <w:ind w:firstLine="504"/>
        <w:rPr>
          <w:color w:val="auto"/>
          <w:spacing w:val="6"/>
          <w:sz w:val="24"/>
        </w:rPr>
      </w:pPr>
      <w:r>
        <w:rPr>
          <w:color w:val="auto"/>
          <w:spacing w:val="6"/>
          <w:sz w:val="24"/>
        </w:rPr>
        <w:t>……</w:t>
      </w:r>
    </w:p>
    <w:p w14:paraId="1A79C30C">
      <w:pPr>
        <w:spacing w:line="360" w:lineRule="auto"/>
        <w:ind w:firstLine="504"/>
        <w:rPr>
          <w:color w:val="auto"/>
          <w:spacing w:val="6"/>
          <w:sz w:val="24"/>
        </w:rPr>
      </w:pPr>
      <w:r>
        <w:rPr>
          <w:color w:val="auto"/>
          <w:spacing w:val="6"/>
          <w:sz w:val="24"/>
        </w:rPr>
        <w:t>以上企业，不属于大企业的分支机构，不存在控股股东为大企业的情形，也不存在与大企业的负责人为同一人的情形。</w:t>
      </w:r>
    </w:p>
    <w:p w14:paraId="4C3C6645">
      <w:pPr>
        <w:spacing w:line="360" w:lineRule="auto"/>
        <w:ind w:firstLine="504"/>
        <w:rPr>
          <w:color w:val="auto"/>
          <w:spacing w:val="6"/>
          <w:sz w:val="24"/>
        </w:rPr>
      </w:pPr>
      <w:r>
        <w:rPr>
          <w:color w:val="auto"/>
          <w:spacing w:val="6"/>
          <w:sz w:val="24"/>
        </w:rPr>
        <w:t>本企业对上述声明内容的真实性负责。如有虚假，将依法承担相应责任。</w:t>
      </w:r>
    </w:p>
    <w:p w14:paraId="442C46C6">
      <w:pPr>
        <w:spacing w:line="360" w:lineRule="auto"/>
        <w:ind w:right="360" w:firstLine="480"/>
        <w:jc w:val="right"/>
        <w:rPr>
          <w:color w:val="auto"/>
          <w:sz w:val="24"/>
        </w:rPr>
      </w:pPr>
    </w:p>
    <w:p w14:paraId="71A3EE5F">
      <w:pPr>
        <w:spacing w:line="360" w:lineRule="auto"/>
        <w:ind w:right="360" w:firstLine="480"/>
        <w:jc w:val="right"/>
        <w:rPr>
          <w:color w:val="auto"/>
          <w:sz w:val="24"/>
        </w:rPr>
      </w:pPr>
      <w:r>
        <w:rPr>
          <w:color w:val="auto"/>
          <w:sz w:val="24"/>
        </w:rPr>
        <w:t>企业名称（盖章）：________</w:t>
      </w:r>
    </w:p>
    <w:p w14:paraId="38FCA78D">
      <w:pPr>
        <w:spacing w:line="360" w:lineRule="auto"/>
        <w:ind w:right="360" w:firstLine="480"/>
        <w:jc w:val="right"/>
        <w:rPr>
          <w:color w:val="auto"/>
          <w:sz w:val="24"/>
        </w:rPr>
      </w:pPr>
      <w:r>
        <w:rPr>
          <w:color w:val="auto"/>
          <w:sz w:val="24"/>
        </w:rPr>
        <w:t>日 期：________</w:t>
      </w:r>
    </w:p>
    <w:p w14:paraId="4FB49B92">
      <w:pPr>
        <w:adjustRightInd w:val="0"/>
        <w:snapToGrid w:val="0"/>
        <w:jc w:val="left"/>
        <w:rPr>
          <w:color w:val="auto"/>
          <w:sz w:val="24"/>
          <w:szCs w:val="21"/>
        </w:rPr>
      </w:pPr>
    </w:p>
    <w:p w14:paraId="5EC11797">
      <w:pPr>
        <w:adjustRightInd w:val="0"/>
        <w:snapToGrid w:val="0"/>
        <w:jc w:val="left"/>
        <w:rPr>
          <w:color w:val="auto"/>
          <w:sz w:val="24"/>
          <w:szCs w:val="21"/>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23"/>
      </w:tblGrid>
      <w:tr w14:paraId="57E51D8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0B2D6BF">
            <w:pPr>
              <w:adjustRightInd w:val="0"/>
              <w:snapToGrid w:val="0"/>
              <w:jc w:val="left"/>
              <w:rPr>
                <w:color w:val="auto"/>
                <w:szCs w:val="21"/>
              </w:rPr>
            </w:pPr>
            <w:r>
              <w:rPr>
                <w:color w:val="auto"/>
                <w:szCs w:val="21"/>
                <w:vertAlign w:val="superscript"/>
              </w:rPr>
              <w:t>1</w:t>
            </w:r>
            <w:r>
              <w:rPr>
                <w:color w:val="auto"/>
                <w:szCs w:val="21"/>
              </w:rPr>
              <w:t>从业人员、营业收入、资产总额填报上一年度数据，无上一年度数据的新成立企业可不填报。</w:t>
            </w:r>
          </w:p>
        </w:tc>
      </w:tr>
    </w:tbl>
    <w:p w14:paraId="0BAA8A1B">
      <w:pPr>
        <w:adjustRightInd w:val="0"/>
        <w:snapToGrid w:val="0"/>
        <w:jc w:val="left"/>
        <w:rPr>
          <w:color w:val="auto"/>
          <w:szCs w:val="21"/>
          <w:vertAlign w:val="superscript"/>
        </w:rPr>
      </w:pPr>
    </w:p>
    <w:p w14:paraId="2880DAEB">
      <w:pPr>
        <w:spacing w:line="360" w:lineRule="auto"/>
        <w:ind w:right="360" w:firstLine="480"/>
        <w:jc w:val="right"/>
        <w:rPr>
          <w:color w:val="auto"/>
          <w:sz w:val="24"/>
        </w:rPr>
      </w:pPr>
    </w:p>
    <w:p w14:paraId="725B2A2E">
      <w:pPr>
        <w:spacing w:line="360" w:lineRule="auto"/>
        <w:ind w:right="360" w:firstLine="480"/>
        <w:jc w:val="right"/>
        <w:rPr>
          <w:color w:val="auto"/>
          <w:sz w:val="24"/>
        </w:rPr>
      </w:pPr>
    </w:p>
    <w:p w14:paraId="2E6E2B7C">
      <w:pPr>
        <w:spacing w:line="360" w:lineRule="auto"/>
        <w:rPr>
          <w:color w:val="auto"/>
          <w:sz w:val="24"/>
          <w:szCs w:val="20"/>
        </w:rPr>
      </w:pPr>
      <w:r>
        <w:rPr>
          <w:color w:val="auto"/>
          <w:sz w:val="24"/>
          <w:szCs w:val="20"/>
        </w:rPr>
        <w:br w:type="page"/>
      </w:r>
    </w:p>
    <w:p w14:paraId="538708CA">
      <w:pPr>
        <w:spacing w:before="240" w:beforeLines="100" w:after="240" w:afterLines="100" w:line="360" w:lineRule="auto"/>
        <w:jc w:val="center"/>
        <w:rPr>
          <w:b/>
          <w:color w:val="auto"/>
          <w:sz w:val="36"/>
          <w:szCs w:val="36"/>
        </w:rPr>
      </w:pPr>
      <w:r>
        <w:rPr>
          <w:b/>
          <w:bCs/>
          <w:color w:val="auto"/>
          <w:sz w:val="36"/>
          <w:szCs w:val="36"/>
        </w:rPr>
        <w:t>残疾人福利性单位声明函格式</w:t>
      </w:r>
      <w:r>
        <w:rPr>
          <w:b/>
          <w:color w:val="auto"/>
          <w:sz w:val="36"/>
          <w:szCs w:val="36"/>
        </w:rPr>
        <w:t xml:space="preserve">       </w:t>
      </w:r>
    </w:p>
    <w:p w14:paraId="7E6917ED">
      <w:pPr>
        <w:spacing w:line="588" w:lineRule="exact"/>
        <w:ind w:firstLine="504"/>
        <w:rPr>
          <w:color w:val="auto"/>
          <w:spacing w:val="6"/>
          <w:sz w:val="24"/>
        </w:rPr>
      </w:pPr>
      <w:r>
        <w:rPr>
          <w:color w:val="auto"/>
          <w:spacing w:val="6"/>
          <w:sz w:val="24"/>
        </w:rPr>
        <w:t>本单位郑重声明，根据《财政部 民政部 中国残疾人联合会关于促进残疾人就业政府采购政策的通知》（财库</w:t>
      </w:r>
      <w:r>
        <w:rPr>
          <w:color w:val="auto"/>
          <w:sz w:val="24"/>
        </w:rPr>
        <w:t>〔2017〕 141</w:t>
      </w:r>
      <w:r>
        <w:rPr>
          <w:color w:val="auto"/>
          <w:spacing w:val="6"/>
          <w:sz w:val="24"/>
        </w:rPr>
        <w:t>号）的规定，本单位</w:t>
      </w:r>
      <w:r>
        <w:rPr>
          <w:b/>
          <w:color w:val="auto"/>
          <w:sz w:val="24"/>
        </w:rPr>
        <w:t>（请进行选择）</w:t>
      </w:r>
      <w:r>
        <w:rPr>
          <w:color w:val="auto"/>
          <w:spacing w:val="6"/>
          <w:sz w:val="24"/>
        </w:rPr>
        <w:t>：</w:t>
      </w:r>
    </w:p>
    <w:p w14:paraId="20C7EA8B">
      <w:pPr>
        <w:spacing w:line="588" w:lineRule="exact"/>
        <w:ind w:firstLine="482"/>
        <w:rPr>
          <w:b/>
          <w:color w:val="auto"/>
          <w:spacing w:val="6"/>
          <w:sz w:val="24"/>
        </w:rPr>
      </w:pPr>
      <w:r>
        <w:rPr>
          <w:b/>
          <w:color w:val="auto"/>
          <w:sz w:val="24"/>
        </w:rPr>
        <w:t>□</w:t>
      </w:r>
      <w:r>
        <w:rPr>
          <w:b/>
          <w:color w:val="auto"/>
          <w:spacing w:val="6"/>
          <w:sz w:val="24"/>
        </w:rPr>
        <w:t>不属于符合条件的残疾人福利性单位。</w:t>
      </w:r>
    </w:p>
    <w:p w14:paraId="307D8B52">
      <w:pPr>
        <w:spacing w:line="588" w:lineRule="exact"/>
        <w:ind w:firstLine="482"/>
        <w:rPr>
          <w:color w:val="auto"/>
          <w:spacing w:val="6"/>
          <w:sz w:val="24"/>
        </w:rPr>
      </w:pPr>
      <w:r>
        <w:rPr>
          <w:b/>
          <w:color w:val="auto"/>
          <w:sz w:val="24"/>
        </w:rPr>
        <w:t>□</w:t>
      </w:r>
      <w:r>
        <w:rPr>
          <w:b/>
          <w:color w:val="auto"/>
          <w:spacing w:val="6"/>
          <w:sz w:val="24"/>
        </w:rPr>
        <w:t>属于符合条件的残疾人福利性单位，</w:t>
      </w:r>
      <w:r>
        <w:rPr>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B56A4CD">
      <w:pPr>
        <w:spacing w:line="588" w:lineRule="exact"/>
        <w:ind w:firstLine="506" w:firstLineChars="200"/>
        <w:rPr>
          <w:color w:val="auto"/>
          <w:spacing w:val="6"/>
          <w:sz w:val="24"/>
        </w:rPr>
      </w:pPr>
      <w:r>
        <w:rPr>
          <w:b/>
          <w:color w:val="auto"/>
          <w:spacing w:val="6"/>
          <w:sz w:val="24"/>
        </w:rPr>
        <w:t>本单位对上述声明的真实性负责。如有虚假，将依法承担相应责任。</w:t>
      </w:r>
    </w:p>
    <w:p w14:paraId="25FD2869">
      <w:pPr>
        <w:spacing w:line="588" w:lineRule="exact"/>
        <w:ind w:firstLine="504" w:firstLineChars="200"/>
        <w:rPr>
          <w:color w:val="auto"/>
          <w:spacing w:val="6"/>
          <w:sz w:val="24"/>
        </w:rPr>
      </w:pPr>
    </w:p>
    <w:p w14:paraId="7C04191C">
      <w:pPr>
        <w:spacing w:line="588" w:lineRule="exact"/>
        <w:ind w:firstLine="504" w:firstLineChars="200"/>
        <w:rPr>
          <w:color w:val="auto"/>
          <w:spacing w:val="6"/>
          <w:sz w:val="24"/>
        </w:rPr>
      </w:pPr>
    </w:p>
    <w:p w14:paraId="444446A0">
      <w:pPr>
        <w:tabs>
          <w:tab w:val="left" w:pos="4860"/>
        </w:tabs>
        <w:spacing w:line="588" w:lineRule="exact"/>
        <w:ind w:right="1560" w:firstLine="504" w:firstLineChars="200"/>
        <w:jc w:val="center"/>
        <w:rPr>
          <w:color w:val="auto"/>
          <w:spacing w:val="6"/>
          <w:sz w:val="24"/>
        </w:rPr>
      </w:pPr>
      <w:r>
        <w:rPr>
          <w:color w:val="auto"/>
          <w:spacing w:val="6"/>
          <w:sz w:val="24"/>
        </w:rPr>
        <w:t xml:space="preserve">               单位名称（盖章）：</w:t>
      </w:r>
    </w:p>
    <w:p w14:paraId="0A5640EB">
      <w:pPr>
        <w:tabs>
          <w:tab w:val="left" w:pos="4860"/>
        </w:tabs>
        <w:spacing w:line="588" w:lineRule="exact"/>
        <w:ind w:right="1560" w:firstLine="504" w:firstLineChars="200"/>
        <w:jc w:val="center"/>
        <w:rPr>
          <w:color w:val="auto"/>
          <w:spacing w:val="6"/>
          <w:sz w:val="24"/>
        </w:rPr>
      </w:pPr>
      <w:r>
        <w:rPr>
          <w:color w:val="auto"/>
          <w:spacing w:val="6"/>
          <w:sz w:val="24"/>
        </w:rPr>
        <w:t xml:space="preserve">       日  期：</w:t>
      </w:r>
    </w:p>
    <w:p w14:paraId="2A053437">
      <w:pPr>
        <w:widowControl/>
        <w:jc w:val="left"/>
        <w:rPr>
          <w:color w:val="auto"/>
          <w:sz w:val="24"/>
          <w:szCs w:val="20"/>
        </w:rPr>
        <w:sectPr>
          <w:pgSz w:w="11907" w:h="16840"/>
          <w:pgMar w:top="1440" w:right="1800" w:bottom="1440" w:left="1800" w:header="851" w:footer="851" w:gutter="0"/>
          <w:cols w:space="720" w:num="1"/>
          <w:docGrid w:linePitch="462" w:charSpace="0"/>
        </w:sectPr>
      </w:pPr>
      <w:r>
        <w:rPr>
          <w:color w:val="auto"/>
          <w:sz w:val="24"/>
          <w:szCs w:val="20"/>
        </w:rPr>
        <w:br w:type="page"/>
      </w:r>
    </w:p>
    <w:p w14:paraId="24B0E857">
      <w:pPr>
        <w:tabs>
          <w:tab w:val="left" w:pos="360"/>
        </w:tabs>
        <w:snapToGrid w:val="0"/>
        <w:spacing w:line="360" w:lineRule="auto"/>
        <w:outlineLvl w:val="1"/>
        <w:rPr>
          <w:color w:val="auto"/>
          <w:sz w:val="24"/>
        </w:rPr>
      </w:pPr>
      <w:bookmarkStart w:id="732" w:name="_Hlk153870312"/>
      <w:r>
        <w:rPr>
          <w:color w:val="auto"/>
          <w:sz w:val="24"/>
          <w:szCs w:val="20"/>
        </w:rPr>
        <w:t>3</w:t>
      </w:r>
      <w:r>
        <w:rPr>
          <w:color w:val="auto"/>
          <w:sz w:val="24"/>
        </w:rPr>
        <w:t xml:space="preserve"> 本项目的特定资格要求</w:t>
      </w:r>
    </w:p>
    <w:p w14:paraId="31CE1A96">
      <w:pPr>
        <w:pStyle w:val="269"/>
        <w:spacing w:before="0" w:beforeAutospacing="0" w:after="0" w:afterAutospacing="0" w:line="360" w:lineRule="auto"/>
        <w:rPr>
          <w:rFonts w:ascii="Times New Roman" w:hAnsi="Times New Roman" w:cs="Times New Roman"/>
          <w:color w:val="auto"/>
          <w:kern w:val="2"/>
        </w:rPr>
      </w:pPr>
      <w:r>
        <w:rPr>
          <w:rFonts w:ascii="Times New Roman" w:hAnsi="Times New Roman" w:cs="Times New Roman"/>
          <w:color w:val="auto"/>
          <w:kern w:val="2"/>
        </w:rPr>
        <w:t>3-1其他特定资格要求</w:t>
      </w:r>
    </w:p>
    <w:bookmarkEnd w:id="732"/>
    <w:p w14:paraId="13B12873">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（1）供应商须具备建设行政主管部门颁发的有效的建筑工程施工总承包三级（含以上级）资质；</w:t>
      </w:r>
    </w:p>
    <w:p w14:paraId="511060A1">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（2）供应商须具备建设行政主管部门颁发的有效的《安全生产许可证》，且未被北京市住房城乡建设主管部门暂扣；</w:t>
      </w:r>
    </w:p>
    <w:p w14:paraId="2FFF216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（3）供应商不存在被北京市住房城乡建设主管部门标注资质（本项目所涉及资质）异常且未完成整改情形；</w:t>
      </w:r>
    </w:p>
    <w:p w14:paraId="46B23E3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（4）供应商未被北京市住房城乡建设主管部门警示为施工安全风险企业；</w:t>
      </w:r>
    </w:p>
    <w:p w14:paraId="6D94838F">
      <w:pPr>
        <w:pStyle w:val="269"/>
        <w:spacing w:before="0" w:beforeAutospacing="0" w:after="0" w:afterAutospacing="0" w:line="360" w:lineRule="auto"/>
        <w:ind w:firstLine="480" w:firstLineChars="200"/>
        <w:rPr>
          <w:rFonts w:hint="eastAsia" w:cs="Times New Roman"/>
          <w:color w:val="auto"/>
          <w:kern w:val="2"/>
        </w:rPr>
      </w:pPr>
      <w:r>
        <w:rPr>
          <w:rFonts w:hint="eastAsia" w:cs="Times New Roman"/>
          <w:color w:val="auto"/>
          <w:kern w:val="2"/>
        </w:rPr>
        <w:t>（5）供应商拟派项目经理须具备建筑工程专业二级注册建造师执业资格，具备有效的安全生产考核合格证书（B本），且在确定成交人时不得担任其他在施建设工程项目的项目经理。</w:t>
      </w:r>
    </w:p>
    <w:p w14:paraId="493F03A0">
      <w:pPr>
        <w:spacing w:line="360" w:lineRule="auto"/>
        <w:ind w:firstLine="480" w:firstLineChars="200"/>
        <w:rPr>
          <w:color w:val="auto"/>
          <w:sz w:val="24"/>
          <w:szCs w:val="20"/>
        </w:rPr>
      </w:pPr>
      <w:r>
        <w:rPr>
          <w:color w:val="auto"/>
          <w:sz w:val="24"/>
          <w:szCs w:val="20"/>
        </w:rPr>
        <w:t>【备注】</w:t>
      </w:r>
    </w:p>
    <w:p w14:paraId="117AF010">
      <w:pPr>
        <w:spacing w:line="360" w:lineRule="auto"/>
        <w:ind w:firstLine="480" w:firstLineChars="200"/>
        <w:rPr>
          <w:color w:val="auto"/>
          <w:sz w:val="24"/>
          <w:szCs w:val="20"/>
        </w:rPr>
      </w:pPr>
      <w:r>
        <w:rPr>
          <w:color w:val="auto"/>
          <w:sz w:val="24"/>
          <w:szCs w:val="20"/>
        </w:rPr>
        <w:t>1）提供（1）、（2）项中企业资质证书、安全生产许可证的扫描件并加盖公章；</w:t>
      </w:r>
    </w:p>
    <w:p w14:paraId="34584E9C">
      <w:pPr>
        <w:spacing w:line="360" w:lineRule="auto"/>
        <w:ind w:firstLine="480" w:firstLineChars="200"/>
        <w:rPr>
          <w:color w:val="auto"/>
          <w:sz w:val="24"/>
          <w:szCs w:val="20"/>
        </w:rPr>
      </w:pPr>
      <w:r>
        <w:rPr>
          <w:color w:val="auto"/>
          <w:sz w:val="24"/>
          <w:szCs w:val="20"/>
        </w:rPr>
        <w:t>2）供应商是否被北京市住房城乡建设主管部门暂扣《安全生产许可证》、标注资质异常</w:t>
      </w:r>
      <w:r>
        <w:rPr>
          <w:rFonts w:hint="eastAsia"/>
          <w:color w:val="auto"/>
          <w:sz w:val="24"/>
          <w:szCs w:val="20"/>
          <w:lang w:eastAsia="zh-CN"/>
        </w:rPr>
        <w:t>（</w:t>
      </w:r>
      <w:r>
        <w:rPr>
          <w:rFonts w:hint="eastAsia"/>
          <w:color w:val="auto"/>
          <w:sz w:val="24"/>
          <w:szCs w:val="20"/>
          <w:lang w:val="en-US" w:eastAsia="zh-CN"/>
        </w:rPr>
        <w:t>本项目所涉及资质</w:t>
      </w:r>
      <w:r>
        <w:rPr>
          <w:rFonts w:hint="eastAsia"/>
          <w:color w:val="auto"/>
          <w:sz w:val="24"/>
          <w:szCs w:val="20"/>
          <w:lang w:eastAsia="zh-CN"/>
        </w:rPr>
        <w:t>）</w:t>
      </w:r>
      <w:r>
        <w:rPr>
          <w:color w:val="auto"/>
          <w:sz w:val="24"/>
          <w:szCs w:val="20"/>
        </w:rPr>
        <w:t>情况无需供应商提供，由采购人或采购代理机构在供应商首次响应文件提交截止时间以后</w:t>
      </w:r>
      <w:r>
        <w:rPr>
          <w:rFonts w:hint="eastAsia"/>
          <w:color w:val="auto"/>
          <w:sz w:val="24"/>
          <w:szCs w:val="20"/>
          <w:lang w:eastAsia="zh-CN"/>
        </w:rPr>
        <w:t>，</w:t>
      </w:r>
      <w:r>
        <w:rPr>
          <w:color w:val="auto"/>
          <w:sz w:val="24"/>
          <w:szCs w:val="20"/>
        </w:rPr>
        <w:t>资格审查阶段查询。</w:t>
      </w:r>
    </w:p>
    <w:p w14:paraId="3ACC8460">
      <w:pPr>
        <w:spacing w:line="360" w:lineRule="auto"/>
        <w:ind w:firstLine="480" w:firstLineChars="200"/>
        <w:rPr>
          <w:color w:val="auto"/>
          <w:sz w:val="24"/>
          <w:szCs w:val="20"/>
        </w:rPr>
      </w:pPr>
      <w:r>
        <w:rPr>
          <w:color w:val="auto"/>
          <w:sz w:val="24"/>
          <w:szCs w:val="20"/>
        </w:rPr>
        <w:t>3）提供（4）项未被警示为施工安全风险企业的承诺书原件（承诺书格式自拟），并加盖公章。</w:t>
      </w:r>
    </w:p>
    <w:p w14:paraId="52FF1836">
      <w:pPr>
        <w:spacing w:line="360" w:lineRule="auto"/>
        <w:ind w:firstLine="480" w:firstLineChars="200"/>
        <w:rPr>
          <w:rFonts w:hint="eastAsia" w:ascii="宋体" w:hAnsi="宋体"/>
          <w:color w:val="auto"/>
          <w:sz w:val="24"/>
          <w:szCs w:val="20"/>
        </w:rPr>
        <w:sectPr>
          <w:headerReference r:id="rId22" w:type="first"/>
          <w:footerReference r:id="rId24" w:type="first"/>
          <w:headerReference r:id="rId21" w:type="even"/>
          <w:footerReference r:id="rId23" w:type="even"/>
          <w:pgSz w:w="11907" w:h="16840"/>
          <w:pgMar w:top="1440" w:right="1800" w:bottom="1440" w:left="1800" w:header="851" w:footer="851" w:gutter="0"/>
          <w:cols w:space="720" w:num="1"/>
          <w:docGrid w:linePitch="462" w:charSpace="0"/>
        </w:sectPr>
      </w:pPr>
      <w:r>
        <w:rPr>
          <w:color w:val="auto"/>
          <w:sz w:val="24"/>
          <w:szCs w:val="20"/>
        </w:rPr>
        <w:t>4）提供（5）项中项目经理的注册建造师执业资格</w:t>
      </w:r>
      <w:r>
        <w:rPr>
          <w:rFonts w:hint="default"/>
          <w:color w:val="auto"/>
          <w:sz w:val="24"/>
          <w:szCs w:val="20"/>
          <w:lang w:val="en-US" w:eastAsia="zh-CN"/>
        </w:rPr>
        <w:t>及注册</w:t>
      </w:r>
      <w:r>
        <w:rPr>
          <w:color w:val="auto"/>
          <w:sz w:val="24"/>
          <w:szCs w:val="20"/>
        </w:rPr>
        <w:t>证明文件扫描件、有效的安全生产考核合格证书（B本）扫描件并加盖单位公章；项目经理不在施承诺书原件（承诺书格式自拟），并加盖</w:t>
      </w:r>
      <w:r>
        <w:rPr>
          <w:rFonts w:hint="eastAsia" w:ascii="宋体" w:hAnsi="宋体"/>
          <w:color w:val="auto"/>
          <w:sz w:val="24"/>
          <w:szCs w:val="20"/>
        </w:rPr>
        <w:t>公章。</w:t>
      </w:r>
    </w:p>
    <w:bookmarkEnd w:id="720"/>
    <w:bookmarkEnd w:id="721"/>
    <w:p w14:paraId="1F50B872">
      <w:pPr>
        <w:tabs>
          <w:tab w:val="left" w:pos="360"/>
        </w:tabs>
        <w:snapToGrid w:val="0"/>
        <w:spacing w:line="360" w:lineRule="auto"/>
        <w:outlineLvl w:val="1"/>
        <w:rPr>
          <w:color w:val="auto"/>
          <w:sz w:val="24"/>
        </w:rPr>
      </w:pPr>
      <w:r>
        <w:rPr>
          <w:color w:val="auto"/>
          <w:sz w:val="24"/>
        </w:rPr>
        <w:t>4 响应书</w:t>
      </w:r>
      <w:bookmarkEnd w:id="722"/>
      <w:bookmarkEnd w:id="723"/>
      <w:bookmarkEnd w:id="724"/>
      <w:bookmarkEnd w:id="725"/>
      <w:bookmarkEnd w:id="726"/>
      <w:bookmarkEnd w:id="727"/>
      <w:bookmarkEnd w:id="728"/>
      <w:bookmarkEnd w:id="729"/>
      <w:bookmarkEnd w:id="730"/>
      <w:bookmarkEnd w:id="731"/>
      <w:r>
        <w:rPr>
          <w:color w:val="auto"/>
          <w:sz w:val="24"/>
        </w:rPr>
        <w:t>（实质性格式）</w:t>
      </w:r>
    </w:p>
    <w:p w14:paraId="76C0A54F">
      <w:pPr>
        <w:tabs>
          <w:tab w:val="left" w:pos="5580"/>
        </w:tabs>
        <w:spacing w:line="360" w:lineRule="auto"/>
        <w:rPr>
          <w:color w:val="auto"/>
          <w:sz w:val="24"/>
        </w:rPr>
      </w:pPr>
    </w:p>
    <w:p w14:paraId="5792B4DE">
      <w:pPr>
        <w:spacing w:line="360" w:lineRule="auto"/>
        <w:jc w:val="center"/>
        <w:rPr>
          <w:b/>
          <w:color w:val="auto"/>
          <w:sz w:val="36"/>
          <w:szCs w:val="36"/>
        </w:rPr>
      </w:pPr>
      <w:r>
        <w:rPr>
          <w:b/>
          <w:color w:val="auto"/>
          <w:sz w:val="36"/>
          <w:szCs w:val="36"/>
        </w:rPr>
        <w:t>响应书</w:t>
      </w:r>
    </w:p>
    <w:p w14:paraId="32319B84">
      <w:pPr>
        <w:tabs>
          <w:tab w:val="left" w:pos="5580"/>
        </w:tabs>
        <w:spacing w:line="360" w:lineRule="auto"/>
        <w:rPr>
          <w:color w:val="auto"/>
          <w:sz w:val="24"/>
        </w:rPr>
      </w:pPr>
      <w:r>
        <w:rPr>
          <w:color w:val="auto"/>
          <w:sz w:val="24"/>
        </w:rPr>
        <w:t>致：</w:t>
      </w:r>
      <w:r>
        <w:rPr>
          <w:color w:val="auto"/>
          <w:sz w:val="24"/>
          <w:u w:val="single"/>
        </w:rPr>
        <w:t>（采购人或采购代理机构）</w:t>
      </w:r>
    </w:p>
    <w:p w14:paraId="3427DBE3">
      <w:pPr>
        <w:tabs>
          <w:tab w:val="left" w:pos="5580"/>
        </w:tabs>
        <w:spacing w:line="360" w:lineRule="auto"/>
        <w:rPr>
          <w:color w:val="auto"/>
          <w:sz w:val="24"/>
          <w:szCs w:val="20"/>
        </w:rPr>
      </w:pPr>
    </w:p>
    <w:p w14:paraId="782B717F">
      <w:pPr>
        <w:tabs>
          <w:tab w:val="left" w:pos="5580"/>
        </w:tabs>
        <w:spacing w:line="360" w:lineRule="auto"/>
        <w:ind w:firstLine="408"/>
        <w:rPr>
          <w:color w:val="auto"/>
          <w:sz w:val="24"/>
          <w:szCs w:val="20"/>
        </w:rPr>
      </w:pPr>
      <w:r>
        <w:rPr>
          <w:color w:val="auto"/>
          <w:sz w:val="24"/>
          <w:szCs w:val="20"/>
        </w:rPr>
        <w:t>我方参加你方就</w:t>
      </w:r>
      <w:r>
        <w:rPr>
          <w:color w:val="auto"/>
          <w:sz w:val="24"/>
        </w:rPr>
        <w:t>______</w:t>
      </w:r>
      <w:r>
        <w:rPr>
          <w:color w:val="auto"/>
          <w:sz w:val="24"/>
          <w:szCs w:val="20"/>
        </w:rPr>
        <w:t>（项目名称，项目编号</w:t>
      </w:r>
      <w:r>
        <w:rPr>
          <w:rFonts w:hint="eastAsia"/>
          <w:color w:val="auto"/>
          <w:sz w:val="24"/>
        </w:rPr>
        <w:t>/包号</w:t>
      </w:r>
      <w:r>
        <w:rPr>
          <w:color w:val="auto"/>
          <w:sz w:val="24"/>
          <w:szCs w:val="20"/>
        </w:rPr>
        <w:t>）组织的采购活动，并对此项目进行磋商。</w:t>
      </w:r>
    </w:p>
    <w:p w14:paraId="35AE13C4">
      <w:pPr>
        <w:tabs>
          <w:tab w:val="left" w:pos="5580"/>
        </w:tabs>
        <w:spacing w:line="360" w:lineRule="auto"/>
        <w:ind w:firstLine="408"/>
        <w:rPr>
          <w:color w:val="auto"/>
          <w:sz w:val="24"/>
          <w:szCs w:val="20"/>
        </w:rPr>
      </w:pPr>
      <w:r>
        <w:rPr>
          <w:color w:val="auto"/>
          <w:sz w:val="24"/>
          <w:szCs w:val="20"/>
        </w:rPr>
        <w:t>1. 我方</w:t>
      </w:r>
      <w:r>
        <w:rPr>
          <w:color w:val="auto"/>
          <w:sz w:val="24"/>
        </w:rPr>
        <w:t>已详细审查全部竞争性磋商文件</w:t>
      </w:r>
      <w:r>
        <w:rPr>
          <w:color w:val="auto"/>
          <w:sz w:val="24"/>
          <w:szCs w:val="20"/>
        </w:rPr>
        <w:t>，自愿参与磋商并承诺如下：</w:t>
      </w:r>
    </w:p>
    <w:p w14:paraId="72391F24">
      <w:pPr>
        <w:tabs>
          <w:tab w:val="left" w:pos="720"/>
          <w:tab w:val="left" w:pos="900"/>
        </w:tabs>
        <w:spacing w:line="360" w:lineRule="auto"/>
        <w:ind w:left="360" w:firstLine="72" w:firstLineChars="30"/>
        <w:rPr>
          <w:color w:val="auto"/>
          <w:sz w:val="24"/>
          <w:szCs w:val="20"/>
        </w:rPr>
      </w:pPr>
      <w:r>
        <w:rPr>
          <w:color w:val="auto"/>
          <w:sz w:val="24"/>
          <w:szCs w:val="20"/>
        </w:rPr>
        <w:t>（1）本响应有效期为自响应文件提交截止之日起</w:t>
      </w:r>
      <w:r>
        <w:rPr>
          <w:color w:val="auto"/>
          <w:sz w:val="24"/>
        </w:rPr>
        <w:t>______</w:t>
      </w:r>
      <w:r>
        <w:rPr>
          <w:color w:val="auto"/>
          <w:sz w:val="24"/>
          <w:szCs w:val="20"/>
        </w:rPr>
        <w:t>个日历日。</w:t>
      </w:r>
    </w:p>
    <w:p w14:paraId="146C9939">
      <w:pPr>
        <w:tabs>
          <w:tab w:val="left" w:pos="720"/>
          <w:tab w:val="left" w:pos="900"/>
        </w:tabs>
        <w:spacing w:line="360" w:lineRule="auto"/>
        <w:ind w:left="360" w:firstLine="72" w:firstLineChars="30"/>
        <w:rPr>
          <w:color w:val="auto"/>
          <w:sz w:val="24"/>
          <w:szCs w:val="20"/>
        </w:rPr>
      </w:pPr>
      <w:r>
        <w:rPr>
          <w:color w:val="auto"/>
          <w:sz w:val="24"/>
          <w:szCs w:val="20"/>
        </w:rPr>
        <w:t>（2）除合同条款及采购需求偏离表列出的偏离外，我方响应竞争性磋商文件的全部要求。</w:t>
      </w:r>
    </w:p>
    <w:p w14:paraId="253EDDF9">
      <w:pPr>
        <w:tabs>
          <w:tab w:val="left" w:pos="5580"/>
        </w:tabs>
        <w:spacing w:line="360" w:lineRule="auto"/>
        <w:ind w:firstLine="420" w:firstLineChars="175"/>
        <w:rPr>
          <w:color w:val="auto"/>
          <w:sz w:val="24"/>
          <w:szCs w:val="20"/>
        </w:rPr>
      </w:pPr>
      <w:r>
        <w:rPr>
          <w:color w:val="auto"/>
          <w:sz w:val="24"/>
          <w:szCs w:val="20"/>
        </w:rPr>
        <w:t>（3）我方已提供的全部文件资料是真实、准确的，并对此承担一切法律后果。</w:t>
      </w:r>
    </w:p>
    <w:p w14:paraId="77D6711F">
      <w:pPr>
        <w:tabs>
          <w:tab w:val="left" w:pos="5580"/>
        </w:tabs>
        <w:spacing w:line="360" w:lineRule="auto"/>
        <w:ind w:firstLine="420" w:firstLineChars="175"/>
        <w:rPr>
          <w:color w:val="auto"/>
          <w:sz w:val="24"/>
        </w:rPr>
      </w:pPr>
      <w:r>
        <w:rPr>
          <w:color w:val="auto"/>
          <w:sz w:val="24"/>
          <w:szCs w:val="20"/>
        </w:rPr>
        <w:t>（4）如我方成交，我方将在法律规定的期限内与你方签订合同，按照竞争性磋商文件要求提交履约保证金，并在合同约定的期限内完成合同规定的全部义务。</w:t>
      </w:r>
    </w:p>
    <w:p w14:paraId="78BEA007">
      <w:pPr>
        <w:spacing w:line="360" w:lineRule="auto"/>
        <w:ind w:left="420"/>
        <w:rPr>
          <w:color w:val="auto"/>
          <w:sz w:val="24"/>
        </w:rPr>
      </w:pPr>
      <w:r>
        <w:rPr>
          <w:color w:val="auto"/>
          <w:sz w:val="24"/>
        </w:rPr>
        <w:t>2. 其他补充条款（如有）：______。</w:t>
      </w:r>
    </w:p>
    <w:p w14:paraId="440E30CB">
      <w:pPr>
        <w:spacing w:line="360" w:lineRule="auto"/>
        <w:ind w:firstLine="480" w:firstLineChars="200"/>
        <w:rPr>
          <w:color w:val="auto"/>
          <w:sz w:val="24"/>
        </w:rPr>
      </w:pPr>
      <w:r>
        <w:rPr>
          <w:color w:val="auto"/>
          <w:sz w:val="24"/>
        </w:rPr>
        <w:t>与本磋商有关的一切正式往来信函请寄：</w:t>
      </w:r>
    </w:p>
    <w:p w14:paraId="6F72A626">
      <w:pPr>
        <w:tabs>
          <w:tab w:val="left" w:pos="5580"/>
        </w:tabs>
        <w:spacing w:line="360" w:lineRule="auto"/>
        <w:ind w:left="420"/>
        <w:rPr>
          <w:color w:val="auto"/>
          <w:sz w:val="24"/>
          <w:szCs w:val="20"/>
        </w:rPr>
      </w:pPr>
    </w:p>
    <w:p w14:paraId="1C5CE7CF">
      <w:pPr>
        <w:tabs>
          <w:tab w:val="left" w:pos="5580"/>
        </w:tabs>
        <w:spacing w:line="360" w:lineRule="auto"/>
        <w:ind w:left="420"/>
        <w:rPr>
          <w:color w:val="auto"/>
          <w:sz w:val="24"/>
          <w:szCs w:val="20"/>
        </w:rPr>
      </w:pPr>
      <w:r>
        <w:rPr>
          <w:color w:val="auto"/>
          <w:sz w:val="24"/>
          <w:szCs w:val="20"/>
        </w:rPr>
        <w:t>地址</w:t>
      </w:r>
      <w:r>
        <w:rPr>
          <w:bCs/>
          <w:color w:val="auto"/>
          <w:sz w:val="24"/>
        </w:rPr>
        <w:t>_________________________</w:t>
      </w:r>
      <w:r>
        <w:rPr>
          <w:color w:val="auto"/>
          <w:sz w:val="24"/>
          <w:szCs w:val="20"/>
        </w:rPr>
        <w:t xml:space="preserve">   传   真</w:t>
      </w:r>
      <w:r>
        <w:rPr>
          <w:bCs/>
          <w:color w:val="auto"/>
          <w:sz w:val="24"/>
        </w:rPr>
        <w:t>_________________________</w:t>
      </w:r>
    </w:p>
    <w:p w14:paraId="3335A82C">
      <w:pPr>
        <w:tabs>
          <w:tab w:val="left" w:pos="5580"/>
        </w:tabs>
        <w:spacing w:line="360" w:lineRule="auto"/>
        <w:ind w:left="420"/>
        <w:rPr>
          <w:color w:val="auto"/>
          <w:sz w:val="24"/>
          <w:szCs w:val="20"/>
        </w:rPr>
      </w:pPr>
      <w:r>
        <w:rPr>
          <w:color w:val="auto"/>
          <w:sz w:val="24"/>
          <w:szCs w:val="20"/>
        </w:rPr>
        <w:t>电话</w:t>
      </w:r>
      <w:r>
        <w:rPr>
          <w:bCs/>
          <w:color w:val="auto"/>
          <w:sz w:val="24"/>
        </w:rPr>
        <w:t>_________________________</w:t>
      </w:r>
      <w:r>
        <w:rPr>
          <w:color w:val="auto"/>
          <w:sz w:val="24"/>
          <w:szCs w:val="20"/>
        </w:rPr>
        <w:t xml:space="preserve">   电子函件</w:t>
      </w:r>
      <w:r>
        <w:rPr>
          <w:bCs/>
          <w:color w:val="auto"/>
          <w:sz w:val="24"/>
        </w:rPr>
        <w:t>_________________________</w:t>
      </w:r>
    </w:p>
    <w:p w14:paraId="2C816DC3">
      <w:pPr>
        <w:tabs>
          <w:tab w:val="left" w:pos="5580"/>
        </w:tabs>
        <w:spacing w:line="360" w:lineRule="auto"/>
        <w:ind w:left="420"/>
        <w:rPr>
          <w:color w:val="auto"/>
          <w:sz w:val="24"/>
          <w:szCs w:val="20"/>
        </w:rPr>
      </w:pPr>
    </w:p>
    <w:p w14:paraId="7C5C9A24">
      <w:pPr>
        <w:tabs>
          <w:tab w:val="left" w:pos="5580"/>
        </w:tabs>
        <w:spacing w:line="360" w:lineRule="auto"/>
        <w:ind w:left="420"/>
        <w:rPr>
          <w:color w:val="auto"/>
          <w:sz w:val="24"/>
          <w:szCs w:val="20"/>
        </w:rPr>
      </w:pPr>
    </w:p>
    <w:p w14:paraId="07926226">
      <w:pPr>
        <w:tabs>
          <w:tab w:val="left" w:pos="5580"/>
        </w:tabs>
        <w:spacing w:line="360" w:lineRule="auto"/>
        <w:ind w:left="420"/>
        <w:rPr>
          <w:color w:val="auto"/>
          <w:sz w:val="24"/>
          <w:szCs w:val="20"/>
        </w:rPr>
      </w:pPr>
    </w:p>
    <w:p w14:paraId="15CC0414">
      <w:pPr>
        <w:autoSpaceDE w:val="0"/>
        <w:autoSpaceDN w:val="0"/>
        <w:adjustRightInd w:val="0"/>
        <w:snapToGrid w:val="0"/>
        <w:spacing w:before="25" w:after="25" w:line="360" w:lineRule="auto"/>
        <w:ind w:right="360" w:firstLine="360" w:firstLineChars="150"/>
        <w:rPr>
          <w:color w:val="auto"/>
          <w:sz w:val="24"/>
          <w:lang w:val="zh-CN"/>
        </w:rPr>
      </w:pPr>
      <w:r>
        <w:rPr>
          <w:color w:val="auto"/>
          <w:sz w:val="24"/>
        </w:rPr>
        <w:t>供应商名称（加盖公章）</w:t>
      </w:r>
      <w:r>
        <w:rPr>
          <w:color w:val="auto"/>
          <w:sz w:val="24"/>
          <w:lang w:val="zh-CN"/>
        </w:rPr>
        <w:t>：</w:t>
      </w:r>
      <w:r>
        <w:rPr>
          <w:color w:val="auto"/>
          <w:sz w:val="24"/>
        </w:rPr>
        <w:t>______</w:t>
      </w:r>
    </w:p>
    <w:p w14:paraId="4EC5368D">
      <w:pPr>
        <w:tabs>
          <w:tab w:val="left" w:pos="5580"/>
        </w:tabs>
        <w:spacing w:line="360" w:lineRule="auto"/>
        <w:ind w:firstLine="360" w:firstLineChars="150"/>
        <w:rPr>
          <w:color w:val="auto"/>
          <w:sz w:val="24"/>
          <w:szCs w:val="20"/>
        </w:rPr>
      </w:pPr>
      <w:r>
        <w:rPr>
          <w:color w:val="auto"/>
          <w:sz w:val="24"/>
          <w:szCs w:val="20"/>
        </w:rPr>
        <w:t xml:space="preserve">日期：____年____月____日  </w:t>
      </w:r>
    </w:p>
    <w:p w14:paraId="7ECA9D67">
      <w:pPr>
        <w:tabs>
          <w:tab w:val="left" w:pos="5580"/>
        </w:tabs>
        <w:spacing w:line="360" w:lineRule="auto"/>
        <w:ind w:left="420"/>
        <w:jc w:val="left"/>
        <w:rPr>
          <w:color w:val="auto"/>
          <w:sz w:val="24"/>
          <w:szCs w:val="20"/>
        </w:rPr>
      </w:pPr>
    </w:p>
    <w:p w14:paraId="3E0584FC">
      <w:pPr>
        <w:widowControl/>
        <w:jc w:val="left"/>
        <w:rPr>
          <w:b/>
          <w:color w:val="auto"/>
          <w:sz w:val="24"/>
          <w:szCs w:val="20"/>
        </w:rPr>
      </w:pPr>
      <w:r>
        <w:rPr>
          <w:b/>
          <w:color w:val="auto"/>
          <w:sz w:val="24"/>
          <w:szCs w:val="20"/>
        </w:rPr>
        <w:br w:type="page"/>
      </w:r>
    </w:p>
    <w:p w14:paraId="74CB8818">
      <w:pPr>
        <w:tabs>
          <w:tab w:val="left" w:pos="360"/>
        </w:tabs>
        <w:snapToGrid w:val="0"/>
        <w:spacing w:line="360" w:lineRule="auto"/>
        <w:outlineLvl w:val="1"/>
        <w:rPr>
          <w:color w:val="auto"/>
          <w:sz w:val="24"/>
        </w:rPr>
      </w:pPr>
      <w:bookmarkStart w:id="733" w:name="_Hlt520356243"/>
      <w:bookmarkEnd w:id="733"/>
      <w:bookmarkStart w:id="734" w:name="_Hlt520355938"/>
      <w:bookmarkEnd w:id="734"/>
      <w:bookmarkStart w:id="735" w:name="_Toc142311059"/>
      <w:bookmarkStart w:id="736" w:name="_Toc150774762"/>
      <w:bookmarkStart w:id="737" w:name="_Toc226337253"/>
      <w:bookmarkStart w:id="738" w:name="_Toc226309801"/>
      <w:bookmarkStart w:id="739" w:name="_Toc480942350"/>
      <w:bookmarkStart w:id="740" w:name="_Toc226965830"/>
      <w:bookmarkStart w:id="741" w:name="_Toc226965747"/>
      <w:bookmarkStart w:id="742" w:name="_Toc264969247"/>
      <w:bookmarkStart w:id="743" w:name="_Toc305158825"/>
      <w:bookmarkStart w:id="744" w:name="_Toc265228395"/>
      <w:bookmarkStart w:id="745" w:name="_Toc150480795"/>
      <w:bookmarkStart w:id="746" w:name="_Toc305158899"/>
      <w:bookmarkStart w:id="747" w:name="_Toc195842922"/>
      <w:bookmarkStart w:id="748" w:name="_Toc520356218"/>
      <w:bookmarkStart w:id="749" w:name="_Ref467988705"/>
      <w:bookmarkStart w:id="750" w:name="_Toc127151557"/>
      <w:r>
        <w:rPr>
          <w:color w:val="auto"/>
          <w:sz w:val="24"/>
        </w:rPr>
        <w:t>5 授权委托书（实质性格式）</w:t>
      </w:r>
    </w:p>
    <w:p w14:paraId="3F30E4AC">
      <w:pPr>
        <w:autoSpaceDE w:val="0"/>
        <w:autoSpaceDN w:val="0"/>
        <w:adjustRightInd w:val="0"/>
        <w:spacing w:line="360" w:lineRule="auto"/>
        <w:jc w:val="center"/>
        <w:rPr>
          <w:b/>
          <w:color w:val="auto"/>
          <w:sz w:val="36"/>
          <w:szCs w:val="36"/>
        </w:rPr>
      </w:pPr>
      <w:r>
        <w:rPr>
          <w:b/>
          <w:color w:val="auto"/>
          <w:sz w:val="36"/>
          <w:szCs w:val="36"/>
        </w:rPr>
        <w:t>授权委托书</w:t>
      </w:r>
    </w:p>
    <w:p w14:paraId="51C18050">
      <w:pPr>
        <w:spacing w:line="360" w:lineRule="auto"/>
        <w:ind w:firstLine="420"/>
        <w:rPr>
          <w:color w:val="auto"/>
          <w:sz w:val="24"/>
          <w:szCs w:val="20"/>
        </w:rPr>
      </w:pPr>
      <w:r>
        <w:rPr>
          <w:color w:val="auto"/>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07645123">
      <w:pPr>
        <w:spacing w:line="360" w:lineRule="auto"/>
        <w:ind w:firstLine="420"/>
        <w:rPr>
          <w:color w:val="auto"/>
          <w:sz w:val="24"/>
          <w:szCs w:val="20"/>
        </w:rPr>
      </w:pPr>
      <w:r>
        <w:rPr>
          <w:color w:val="auto"/>
          <w:sz w:val="24"/>
          <w:szCs w:val="20"/>
        </w:rPr>
        <w:t>委托期限：自本授权委托书签署之日起至响应有效期届满之日止。</w:t>
      </w:r>
    </w:p>
    <w:p w14:paraId="2E89578D">
      <w:pPr>
        <w:spacing w:line="360" w:lineRule="auto"/>
        <w:ind w:firstLine="420"/>
        <w:rPr>
          <w:color w:val="auto"/>
          <w:sz w:val="24"/>
          <w:szCs w:val="20"/>
        </w:rPr>
      </w:pPr>
      <w:r>
        <w:rPr>
          <w:color w:val="auto"/>
          <w:sz w:val="24"/>
          <w:szCs w:val="20"/>
        </w:rPr>
        <w:t>代理人无转委托权。</w:t>
      </w:r>
      <w:r>
        <w:rPr>
          <w:color w:val="auto"/>
          <w:sz w:val="24"/>
          <w:szCs w:val="20"/>
        </w:rPr>
        <w:cr/>
      </w:r>
    </w:p>
    <w:p w14:paraId="65F079A9">
      <w:pPr>
        <w:spacing w:line="360" w:lineRule="auto"/>
        <w:rPr>
          <w:color w:val="auto"/>
          <w:sz w:val="24"/>
          <w:lang w:val="zh-CN"/>
        </w:rPr>
      </w:pPr>
      <w:r>
        <w:rPr>
          <w:color w:val="auto"/>
          <w:sz w:val="24"/>
        </w:rPr>
        <w:t>供应商名称（加盖公章）</w:t>
      </w:r>
      <w:r>
        <w:rPr>
          <w:color w:val="auto"/>
          <w:sz w:val="24"/>
          <w:lang w:val="zh-CN"/>
        </w:rPr>
        <w:t>：</w:t>
      </w:r>
      <w:r>
        <w:rPr>
          <w:color w:val="auto"/>
          <w:sz w:val="24"/>
          <w:szCs w:val="20"/>
        </w:rPr>
        <w:t>______________</w:t>
      </w:r>
    </w:p>
    <w:p w14:paraId="5578467F">
      <w:pPr>
        <w:spacing w:line="360" w:lineRule="auto"/>
        <w:rPr>
          <w:color w:val="auto"/>
          <w:sz w:val="24"/>
          <w:szCs w:val="20"/>
        </w:rPr>
      </w:pPr>
      <w:r>
        <w:rPr>
          <w:color w:val="auto"/>
          <w:sz w:val="24"/>
          <w:szCs w:val="20"/>
        </w:rPr>
        <w:t>法定代表人（单位负责人）（签字或签章）：______________</w:t>
      </w:r>
    </w:p>
    <w:p w14:paraId="02356AE1">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szCs w:val="20"/>
        </w:rPr>
        <w:t>______________</w:t>
      </w:r>
      <w:r>
        <w:rPr>
          <w:color w:val="auto"/>
          <w:sz w:val="24"/>
          <w:lang w:val="zh-CN"/>
        </w:rPr>
        <w:t xml:space="preserve">        </w:t>
      </w:r>
    </w:p>
    <w:p w14:paraId="5651ED10">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w:t>
      </w:r>
      <w:r>
        <w:rPr>
          <w:color w:val="auto"/>
          <w:sz w:val="24"/>
        </w:rPr>
        <w:t>年</w:t>
      </w:r>
      <w:r>
        <w:rPr>
          <w:color w:val="auto"/>
          <w:sz w:val="24"/>
          <w:szCs w:val="20"/>
        </w:rPr>
        <w:t>____</w:t>
      </w:r>
      <w:r>
        <w:rPr>
          <w:color w:val="auto"/>
          <w:sz w:val="24"/>
        </w:rPr>
        <w:t>月</w:t>
      </w:r>
      <w:r>
        <w:rPr>
          <w:color w:val="auto"/>
          <w:sz w:val="24"/>
          <w:szCs w:val="20"/>
        </w:rPr>
        <w:t>____</w:t>
      </w:r>
      <w:r>
        <w:rPr>
          <w:color w:val="auto"/>
          <w:sz w:val="24"/>
        </w:rPr>
        <w:t>日</w:t>
      </w:r>
    </w:p>
    <w:p w14:paraId="200068EA">
      <w:pPr>
        <w:tabs>
          <w:tab w:val="left" w:pos="5580"/>
        </w:tabs>
        <w:spacing w:line="360" w:lineRule="auto"/>
        <w:ind w:firstLine="480" w:firstLineChars="200"/>
        <w:rPr>
          <w:color w:val="auto"/>
          <w:sz w:val="24"/>
          <w:szCs w:val="20"/>
        </w:rPr>
      </w:pPr>
    </w:p>
    <w:p w14:paraId="4AC5AB47">
      <w:pPr>
        <w:tabs>
          <w:tab w:val="left" w:pos="5580"/>
        </w:tabs>
        <w:spacing w:line="360" w:lineRule="auto"/>
        <w:rPr>
          <w:color w:val="auto"/>
          <w:sz w:val="24"/>
          <w:szCs w:val="20"/>
        </w:rPr>
      </w:pPr>
      <w:r>
        <w:rPr>
          <w:color w:val="auto"/>
          <w:sz w:val="24"/>
          <w:szCs w:val="20"/>
        </w:rPr>
        <w:t>附：法定代表人及委托代理人身份证明文件电子件：</w:t>
      </w:r>
    </w:p>
    <w:tbl>
      <w:tblPr>
        <w:tblStyle w:val="54"/>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96"/>
      </w:tblGrid>
      <w:tr w14:paraId="2B376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6" w:hRule="atLeast"/>
          <w:jc w:val="center"/>
        </w:trPr>
        <w:tc>
          <w:tcPr>
            <w:tcW w:w="8296" w:type="dxa"/>
          </w:tcPr>
          <w:p w14:paraId="1C48AD91">
            <w:pPr>
              <w:tabs>
                <w:tab w:val="left" w:pos="5580"/>
              </w:tabs>
              <w:spacing w:line="360" w:lineRule="auto"/>
              <w:rPr>
                <w:color w:val="auto"/>
                <w:sz w:val="24"/>
                <w:szCs w:val="20"/>
              </w:rPr>
            </w:pPr>
          </w:p>
        </w:tc>
      </w:tr>
    </w:tbl>
    <w:p w14:paraId="07829D5D">
      <w:pPr>
        <w:tabs>
          <w:tab w:val="left" w:pos="5580"/>
        </w:tabs>
        <w:spacing w:line="360" w:lineRule="auto"/>
        <w:jc w:val="left"/>
        <w:rPr>
          <w:color w:val="auto"/>
          <w:sz w:val="24"/>
          <w:szCs w:val="20"/>
        </w:rPr>
      </w:pPr>
      <w:r>
        <w:rPr>
          <w:color w:val="auto"/>
          <w:sz w:val="24"/>
          <w:szCs w:val="20"/>
        </w:rPr>
        <w:t>说明：</w:t>
      </w:r>
    </w:p>
    <w:p w14:paraId="38DBA897">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DDF7E59">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FEFFD6">
      <w:pPr>
        <w:tabs>
          <w:tab w:val="left" w:pos="5580"/>
        </w:tabs>
        <w:spacing w:line="360" w:lineRule="auto"/>
        <w:jc w:val="left"/>
        <w:rPr>
          <w:color w:val="auto"/>
          <w:sz w:val="24"/>
          <w:szCs w:val="20"/>
        </w:rPr>
      </w:pPr>
      <w:r>
        <w:rPr>
          <w:color w:val="auto"/>
          <w:sz w:val="24"/>
          <w:szCs w:val="20"/>
        </w:rPr>
        <w:t>3.供应商为自然人的情形，可不提供本《授权委托书》。</w:t>
      </w:r>
    </w:p>
    <w:p w14:paraId="0EA996FA">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4.供应商应随本《授权委托书》同时提供法定代表人（单位负责人）及委托代理人的有效的身份证或护照等身份证明文件电子件。提供身份证的，应同时提供身份证</w:t>
      </w:r>
      <w:r>
        <w:rPr>
          <w:b/>
          <w:color w:val="auto"/>
          <w:sz w:val="24"/>
          <w:szCs w:val="20"/>
        </w:rPr>
        <w:t>双面</w:t>
      </w:r>
      <w:r>
        <w:rPr>
          <w:color w:val="auto"/>
          <w:sz w:val="24"/>
          <w:szCs w:val="20"/>
        </w:rPr>
        <w:t>电子件。</w:t>
      </w:r>
      <w:r>
        <w:rPr>
          <w:color w:val="auto"/>
          <w:sz w:val="30"/>
          <w:szCs w:val="30"/>
        </w:rPr>
        <w:br w:type="page"/>
      </w:r>
    </w:p>
    <w:p w14:paraId="1B11AD52">
      <w:pPr>
        <w:autoSpaceDE w:val="0"/>
        <w:autoSpaceDN w:val="0"/>
        <w:adjustRightInd w:val="0"/>
        <w:spacing w:line="360" w:lineRule="auto"/>
        <w:jc w:val="center"/>
        <w:rPr>
          <w:b/>
          <w:color w:val="auto"/>
          <w:sz w:val="36"/>
          <w:szCs w:val="36"/>
        </w:rPr>
      </w:pPr>
      <w:r>
        <w:rPr>
          <w:b/>
          <w:color w:val="auto"/>
          <w:sz w:val="36"/>
          <w:szCs w:val="36"/>
        </w:rPr>
        <w:t>法定代表人（单位负责人）身份证明</w:t>
      </w:r>
    </w:p>
    <w:p w14:paraId="1032D49F">
      <w:pPr>
        <w:kinsoku w:val="0"/>
        <w:overflowPunct w:val="0"/>
        <w:spacing w:line="200" w:lineRule="exact"/>
        <w:rPr>
          <w:color w:val="auto"/>
          <w:sz w:val="20"/>
          <w:szCs w:val="20"/>
        </w:rPr>
      </w:pPr>
    </w:p>
    <w:p w14:paraId="09138339">
      <w:pPr>
        <w:tabs>
          <w:tab w:val="left" w:pos="5580"/>
        </w:tabs>
        <w:spacing w:line="360" w:lineRule="auto"/>
        <w:rPr>
          <w:color w:val="auto"/>
          <w:sz w:val="24"/>
        </w:rPr>
      </w:pPr>
      <w:r>
        <w:rPr>
          <w:color w:val="auto"/>
          <w:sz w:val="24"/>
        </w:rPr>
        <w:t>致：</w:t>
      </w:r>
      <w:r>
        <w:rPr>
          <w:color w:val="auto"/>
          <w:sz w:val="24"/>
          <w:szCs w:val="20"/>
        </w:rPr>
        <w:t>____</w:t>
      </w:r>
      <w:r>
        <w:rPr>
          <w:color w:val="auto"/>
          <w:sz w:val="24"/>
        </w:rPr>
        <w:t>（采购人或采购代理机构）</w:t>
      </w:r>
    </w:p>
    <w:p w14:paraId="4C9DE2AB">
      <w:pPr>
        <w:pStyle w:val="21"/>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00DA677">
      <w:pPr>
        <w:pStyle w:val="21"/>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w:t>
      </w:r>
      <w:r>
        <w:rPr>
          <w:rFonts w:ascii="Times New Roman" w:hAnsi="Times New Roman"/>
          <w:color w:val="auto"/>
          <w:szCs w:val="20"/>
        </w:rPr>
        <w:t>____</w:t>
      </w:r>
      <w:r>
        <w:rPr>
          <w:rFonts w:ascii="Times New Roman" w:hAnsi="Times New Roman"/>
          <w:color w:val="auto"/>
        </w:rPr>
        <w:t>性别：</w:t>
      </w:r>
      <w:r>
        <w:rPr>
          <w:rFonts w:ascii="Times New Roman" w:hAnsi="Times New Roman"/>
          <w:color w:val="auto"/>
          <w:szCs w:val="20"/>
        </w:rPr>
        <w:t>____</w:t>
      </w:r>
      <w:r>
        <w:rPr>
          <w:rFonts w:ascii="Times New Roman" w:hAnsi="Times New Roman"/>
          <w:color w:val="auto"/>
        </w:rPr>
        <w:t>年龄：</w:t>
      </w:r>
      <w:r>
        <w:rPr>
          <w:rFonts w:ascii="Times New Roman" w:hAnsi="Times New Roman"/>
          <w:color w:val="auto"/>
          <w:szCs w:val="20"/>
        </w:rPr>
        <w:t>____</w:t>
      </w:r>
      <w:r>
        <w:rPr>
          <w:rFonts w:ascii="Times New Roman" w:hAnsi="Times New Roman"/>
          <w:color w:val="auto"/>
        </w:rPr>
        <w:t>职务：</w:t>
      </w:r>
      <w:r>
        <w:rPr>
          <w:rFonts w:ascii="Times New Roman" w:hAnsi="Times New Roman"/>
          <w:color w:val="auto"/>
          <w:szCs w:val="20"/>
        </w:rPr>
        <w:t>____</w:t>
      </w:r>
    </w:p>
    <w:p w14:paraId="06B81619">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5F348204">
      <w:pPr>
        <w:pStyle w:val="21"/>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szCs w:val="20"/>
        </w:rPr>
        <w:t>__________</w:t>
      </w:r>
      <w:r>
        <w:rPr>
          <w:rFonts w:ascii="Times New Roman" w:hAnsi="Times New Roman"/>
          <w:color w:val="auto"/>
        </w:rPr>
        <w:t>（供应商名称）的法定代表人（单位负责人）。</w:t>
      </w:r>
    </w:p>
    <w:p w14:paraId="7C6CB17C">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70E1E0AC">
      <w:pPr>
        <w:pStyle w:val="21"/>
        <w:tabs>
          <w:tab w:val="left" w:pos="2412"/>
          <w:tab w:val="left" w:pos="3883"/>
          <w:tab w:val="left" w:pos="5352"/>
          <w:tab w:val="left" w:pos="6821"/>
        </w:tabs>
        <w:kinsoku w:val="0"/>
        <w:overflowPunct w:val="0"/>
        <w:spacing w:line="335" w:lineRule="exact"/>
        <w:rPr>
          <w:rFonts w:ascii="Times New Roman" w:hAnsi="Times New Roman"/>
          <w:color w:val="auto"/>
        </w:rPr>
      </w:pPr>
    </w:p>
    <w:p w14:paraId="247525CA">
      <w:pPr>
        <w:pStyle w:val="21"/>
        <w:kinsoku w:val="0"/>
        <w:overflowPunct w:val="0"/>
        <w:spacing w:line="583" w:lineRule="auto"/>
        <w:ind w:right="-46"/>
        <w:rPr>
          <w:rFonts w:ascii="Times New Roman" w:hAnsi="Times New Roman"/>
          <w:color w:val="auto"/>
          <w:szCs w:val="20"/>
        </w:rPr>
      </w:pPr>
      <w:r>
        <w:rPr>
          <w:rFonts w:ascii="Times New Roman" w:hAnsi="Times New Roman"/>
          <w:color w:val="auto"/>
          <w:szCs w:val="20"/>
        </w:rPr>
        <w:t>附：法定代表人（单位负责人）身份证或护照等身份证明文件电子件：</w:t>
      </w:r>
    </w:p>
    <w:tbl>
      <w:tblPr>
        <w:tblStyle w:val="5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1565C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3D37813D">
            <w:pPr>
              <w:pStyle w:val="21"/>
              <w:kinsoku w:val="0"/>
              <w:overflowPunct w:val="0"/>
              <w:spacing w:line="583" w:lineRule="auto"/>
              <w:ind w:right="-46"/>
              <w:rPr>
                <w:rFonts w:ascii="Times New Roman" w:hAnsi="Times New Roman"/>
                <w:color w:val="auto"/>
                <w:szCs w:val="20"/>
              </w:rPr>
            </w:pPr>
          </w:p>
        </w:tc>
      </w:tr>
    </w:tbl>
    <w:p w14:paraId="7C73247E">
      <w:pPr>
        <w:pStyle w:val="21"/>
        <w:kinsoku w:val="0"/>
        <w:overflowPunct w:val="0"/>
        <w:spacing w:line="583" w:lineRule="auto"/>
        <w:ind w:right="4305"/>
        <w:rPr>
          <w:rFonts w:ascii="Times New Roman" w:hAnsi="Times New Roman"/>
          <w:color w:val="auto"/>
          <w:spacing w:val="-3"/>
        </w:rPr>
      </w:pPr>
    </w:p>
    <w:p w14:paraId="684BEC28">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w:t>
      </w:r>
      <w:r>
        <w:rPr>
          <w:color w:val="auto"/>
          <w:sz w:val="24"/>
        </w:rPr>
        <w:t>______</w:t>
      </w:r>
    </w:p>
    <w:p w14:paraId="43AFBA6F">
      <w:pPr>
        <w:autoSpaceDE w:val="0"/>
        <w:autoSpaceDN w:val="0"/>
        <w:adjustRightInd w:val="0"/>
        <w:snapToGrid w:val="0"/>
        <w:spacing w:line="360" w:lineRule="auto"/>
        <w:rPr>
          <w:color w:val="auto"/>
          <w:sz w:val="24"/>
          <w:lang w:val="zh-CN"/>
        </w:rPr>
      </w:pPr>
      <w:r>
        <w:rPr>
          <w:color w:val="auto"/>
          <w:spacing w:val="-3"/>
          <w:sz w:val="24"/>
        </w:rPr>
        <w:t>法定代表人（</w:t>
      </w:r>
      <w:r>
        <w:rPr>
          <w:color w:val="auto"/>
          <w:sz w:val="24"/>
        </w:rPr>
        <w:t>单位负责人</w:t>
      </w:r>
      <w:r>
        <w:rPr>
          <w:color w:val="auto"/>
          <w:spacing w:val="-3"/>
          <w:sz w:val="24"/>
        </w:rPr>
        <w:t>）（签字</w:t>
      </w:r>
      <w:r>
        <w:rPr>
          <w:color w:val="auto"/>
          <w:sz w:val="24"/>
          <w:szCs w:val="20"/>
        </w:rPr>
        <w:t>或签章</w:t>
      </w:r>
      <w:r>
        <w:rPr>
          <w:color w:val="auto"/>
          <w:spacing w:val="-3"/>
          <w:sz w:val="24"/>
        </w:rPr>
        <w:t>）：</w:t>
      </w:r>
      <w:r>
        <w:rPr>
          <w:color w:val="auto"/>
          <w:sz w:val="24"/>
        </w:rPr>
        <w:t>______</w:t>
      </w:r>
    </w:p>
    <w:p w14:paraId="4790107C">
      <w:pPr>
        <w:autoSpaceDE w:val="0"/>
        <w:autoSpaceDN w:val="0"/>
        <w:adjustRightInd w:val="0"/>
        <w:snapToGrid w:val="0"/>
        <w:spacing w:line="360" w:lineRule="auto"/>
        <w:rPr>
          <w:color w:val="auto"/>
          <w:sz w:val="24"/>
          <w:lang w:val="zh-CN"/>
        </w:rPr>
      </w:pPr>
      <w:r>
        <w:rPr>
          <w:color w:val="auto"/>
          <w:sz w:val="24"/>
        </w:rPr>
        <w:t>日期：</w:t>
      </w:r>
      <w:r>
        <w:rPr>
          <w:color w:val="auto"/>
          <w:sz w:val="24"/>
          <w:szCs w:val="20"/>
        </w:rPr>
        <w:t>____年____月____日</w:t>
      </w:r>
    </w:p>
    <w:p w14:paraId="7CD54EEB">
      <w:pPr>
        <w:widowControl/>
        <w:jc w:val="left"/>
        <w:rPr>
          <w:i/>
          <w:color w:val="auto"/>
          <w:sz w:val="24"/>
          <w:szCs w:val="20"/>
          <w:u w:val="single"/>
        </w:rPr>
      </w:pPr>
    </w:p>
    <w:p w14:paraId="1E418077">
      <w:pPr>
        <w:widowControl/>
        <w:jc w:val="left"/>
        <w:rPr>
          <w:color w:val="auto"/>
          <w:sz w:val="24"/>
          <w:szCs w:val="20"/>
        </w:rPr>
      </w:pPr>
      <w:r>
        <w:rPr>
          <w:color w:val="auto"/>
          <w:sz w:val="24"/>
          <w:szCs w:val="20"/>
        </w:rPr>
        <w:br w:type="page"/>
      </w:r>
    </w:p>
    <w:p w14:paraId="51EA08B5">
      <w:pPr>
        <w:tabs>
          <w:tab w:val="left" w:pos="360"/>
        </w:tabs>
        <w:snapToGrid w:val="0"/>
        <w:spacing w:line="360" w:lineRule="auto"/>
        <w:outlineLvl w:val="1"/>
        <w:rPr>
          <w:color w:val="auto"/>
          <w:sz w:val="24"/>
        </w:rPr>
      </w:pPr>
      <w:r>
        <w:rPr>
          <w:color w:val="auto"/>
          <w:sz w:val="24"/>
        </w:rPr>
        <w:t>6 报价一览表</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r>
        <w:rPr>
          <w:color w:val="auto"/>
          <w:sz w:val="24"/>
        </w:rPr>
        <w:t>（实质性格式）</w:t>
      </w:r>
    </w:p>
    <w:p w14:paraId="1A5CD9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bookmarkStart w:id="751" w:name="_Toc226309802"/>
      <w:bookmarkStart w:id="752" w:name="_Toc264969248"/>
      <w:bookmarkStart w:id="753" w:name="_Toc226965748"/>
      <w:bookmarkStart w:id="754" w:name="_Toc305158826"/>
      <w:bookmarkStart w:id="755" w:name="_Toc164608827"/>
      <w:bookmarkStart w:id="756" w:name="_Toc195842923"/>
      <w:bookmarkStart w:id="757" w:name="_Toc226337254"/>
      <w:bookmarkStart w:id="758" w:name="_Toc164608672"/>
      <w:bookmarkStart w:id="759" w:name="_Toc226965831"/>
      <w:bookmarkStart w:id="760" w:name="_Toc265228396"/>
      <w:bookmarkStart w:id="761" w:name="_Toc305158900"/>
      <w:r>
        <w:rPr>
          <w:b/>
          <w:color w:val="auto"/>
          <w:sz w:val="36"/>
          <w:szCs w:val="36"/>
        </w:rPr>
        <w:t>报价一览表</w:t>
      </w:r>
      <w:bookmarkEnd w:id="751"/>
      <w:bookmarkEnd w:id="752"/>
      <w:bookmarkEnd w:id="753"/>
      <w:bookmarkEnd w:id="754"/>
      <w:bookmarkEnd w:id="755"/>
      <w:bookmarkEnd w:id="756"/>
      <w:bookmarkEnd w:id="757"/>
      <w:bookmarkEnd w:id="758"/>
      <w:bookmarkEnd w:id="759"/>
      <w:bookmarkEnd w:id="760"/>
      <w:bookmarkEnd w:id="761"/>
    </w:p>
    <w:p w14:paraId="770E03FC">
      <w:pPr>
        <w:tabs>
          <w:tab w:val="left" w:pos="1800"/>
          <w:tab w:val="left" w:pos="5580"/>
        </w:tabs>
        <w:spacing w:line="360" w:lineRule="auto"/>
        <w:jc w:val="left"/>
        <w:rPr>
          <w:color w:val="auto"/>
          <w:sz w:val="24"/>
        </w:rPr>
      </w:pPr>
    </w:p>
    <w:p w14:paraId="6FBBCF22">
      <w:pPr>
        <w:tabs>
          <w:tab w:val="left" w:pos="1800"/>
          <w:tab w:val="left" w:pos="5580"/>
        </w:tabs>
        <w:spacing w:line="360" w:lineRule="auto"/>
        <w:ind w:firstLine="240" w:firstLineChars="100"/>
        <w:jc w:val="left"/>
        <w:rPr>
          <w:color w:val="auto"/>
          <w:sz w:val="24"/>
        </w:rPr>
      </w:pPr>
      <w:r>
        <w:rPr>
          <w:color w:val="auto"/>
          <w:sz w:val="24"/>
        </w:rPr>
        <w:t>项目编号</w:t>
      </w:r>
      <w:r>
        <w:rPr>
          <w:rFonts w:hint="eastAsia"/>
          <w:color w:val="auto"/>
          <w:sz w:val="24"/>
        </w:rPr>
        <w:t>/包号</w:t>
      </w:r>
      <w:r>
        <w:rPr>
          <w:color w:val="auto"/>
          <w:sz w:val="24"/>
        </w:rPr>
        <w:t>：______________   项目名称：______________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5"/>
        <w:gridCol w:w="2032"/>
        <w:gridCol w:w="1418"/>
        <w:gridCol w:w="1694"/>
        <w:gridCol w:w="820"/>
        <w:gridCol w:w="1167"/>
        <w:gridCol w:w="961"/>
      </w:tblGrid>
      <w:tr w14:paraId="42B05B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8" w:hRule="atLeast"/>
          <w:jc w:val="center"/>
        </w:trPr>
        <w:tc>
          <w:tcPr>
            <w:tcW w:w="1395" w:type="dxa"/>
            <w:vAlign w:val="center"/>
          </w:tcPr>
          <w:p w14:paraId="4A71EB82">
            <w:pPr>
              <w:tabs>
                <w:tab w:val="left" w:pos="5580"/>
              </w:tabs>
              <w:ind w:right="-199"/>
              <w:jc w:val="center"/>
              <w:rPr>
                <w:rFonts w:ascii="宋体" w:hAnsi="宋体"/>
                <w:bCs/>
                <w:color w:val="auto"/>
                <w:sz w:val="22"/>
                <w:szCs w:val="22"/>
              </w:rPr>
            </w:pPr>
            <w:r>
              <w:rPr>
                <w:rFonts w:ascii="宋体" w:hAnsi="宋体"/>
                <w:bCs/>
                <w:color w:val="auto"/>
                <w:sz w:val="22"/>
                <w:szCs w:val="22"/>
              </w:rPr>
              <w:t>供应商</w:t>
            </w:r>
          </w:p>
          <w:p w14:paraId="40B4C785">
            <w:pPr>
              <w:tabs>
                <w:tab w:val="left" w:pos="5580"/>
              </w:tabs>
              <w:ind w:right="-199"/>
              <w:jc w:val="center"/>
              <w:rPr>
                <w:rFonts w:ascii="宋体" w:hAnsi="宋体"/>
                <w:bCs/>
                <w:color w:val="auto"/>
                <w:sz w:val="22"/>
                <w:szCs w:val="22"/>
              </w:rPr>
            </w:pPr>
            <w:r>
              <w:rPr>
                <w:rFonts w:ascii="宋体" w:hAnsi="宋体"/>
                <w:bCs/>
                <w:color w:val="auto"/>
                <w:sz w:val="22"/>
                <w:szCs w:val="22"/>
              </w:rPr>
              <w:t>名称</w:t>
            </w:r>
          </w:p>
        </w:tc>
        <w:tc>
          <w:tcPr>
            <w:tcW w:w="2032" w:type="dxa"/>
            <w:vAlign w:val="center"/>
          </w:tcPr>
          <w:p w14:paraId="72570810">
            <w:pPr>
              <w:jc w:val="center"/>
              <w:rPr>
                <w:rFonts w:ascii="宋体" w:hAnsi="宋体"/>
                <w:bCs/>
                <w:color w:val="auto"/>
                <w:sz w:val="22"/>
                <w:szCs w:val="22"/>
              </w:rPr>
            </w:pPr>
            <w:r>
              <w:rPr>
                <w:rFonts w:ascii="宋体" w:hAnsi="宋体"/>
                <w:bCs/>
                <w:color w:val="auto"/>
                <w:sz w:val="22"/>
                <w:szCs w:val="22"/>
              </w:rPr>
              <w:t>响应报价</w:t>
            </w:r>
          </w:p>
          <w:p w14:paraId="73C4D142">
            <w:pPr>
              <w:tabs>
                <w:tab w:val="left" w:pos="5580"/>
              </w:tabs>
              <w:jc w:val="center"/>
              <w:rPr>
                <w:rFonts w:ascii="宋体" w:hAnsi="宋体"/>
                <w:bCs/>
                <w:color w:val="auto"/>
                <w:sz w:val="22"/>
                <w:szCs w:val="22"/>
              </w:rPr>
            </w:pPr>
            <w:r>
              <w:rPr>
                <w:rFonts w:hint="eastAsia" w:ascii="宋体" w:hAnsi="宋体"/>
                <w:bCs/>
                <w:color w:val="auto"/>
                <w:sz w:val="22"/>
                <w:szCs w:val="22"/>
              </w:rPr>
              <w:t>（单位：元）</w:t>
            </w:r>
          </w:p>
        </w:tc>
        <w:tc>
          <w:tcPr>
            <w:tcW w:w="1418" w:type="dxa"/>
            <w:vAlign w:val="center"/>
          </w:tcPr>
          <w:p w14:paraId="09539650">
            <w:pPr>
              <w:jc w:val="center"/>
              <w:rPr>
                <w:rFonts w:hint="eastAsia" w:ascii="宋体" w:hAnsi="宋体"/>
                <w:bCs/>
                <w:color w:val="auto"/>
                <w:sz w:val="22"/>
                <w:szCs w:val="22"/>
              </w:rPr>
            </w:pPr>
            <w:r>
              <w:rPr>
                <w:rFonts w:ascii="宋体" w:hAnsi="宋体"/>
                <w:bCs/>
                <w:color w:val="auto"/>
                <w:sz w:val="22"/>
                <w:szCs w:val="22"/>
              </w:rPr>
              <w:t>合同履行期限</w:t>
            </w:r>
            <w:r>
              <w:rPr>
                <w:rFonts w:hint="eastAsia" w:ascii="宋体" w:hAnsi="宋体"/>
                <w:bCs/>
                <w:color w:val="auto"/>
                <w:sz w:val="22"/>
                <w:szCs w:val="22"/>
              </w:rPr>
              <w:t>（工期）</w:t>
            </w:r>
          </w:p>
          <w:p w14:paraId="6AD99D0C">
            <w:pPr>
              <w:jc w:val="center"/>
              <w:rPr>
                <w:rFonts w:ascii="宋体" w:hAnsi="宋体"/>
                <w:bCs/>
                <w:color w:val="auto"/>
                <w:sz w:val="22"/>
                <w:szCs w:val="22"/>
              </w:rPr>
            </w:pPr>
            <w:r>
              <w:rPr>
                <w:rFonts w:hint="eastAsia" w:ascii="宋体" w:hAnsi="宋体"/>
                <w:bCs/>
                <w:color w:val="auto"/>
                <w:sz w:val="22"/>
                <w:szCs w:val="22"/>
              </w:rPr>
              <w:t>（日历天）</w:t>
            </w:r>
          </w:p>
        </w:tc>
        <w:tc>
          <w:tcPr>
            <w:tcW w:w="1694" w:type="dxa"/>
            <w:vAlign w:val="center"/>
          </w:tcPr>
          <w:p w14:paraId="3779E79D">
            <w:pPr>
              <w:jc w:val="center"/>
              <w:rPr>
                <w:rFonts w:ascii="宋体" w:hAnsi="宋体"/>
                <w:bCs/>
                <w:color w:val="auto"/>
                <w:sz w:val="22"/>
                <w:szCs w:val="22"/>
              </w:rPr>
            </w:pPr>
            <w:r>
              <w:rPr>
                <w:rFonts w:hint="eastAsia" w:ascii="宋体" w:hAnsi="宋体"/>
                <w:bCs/>
                <w:color w:val="auto"/>
                <w:sz w:val="22"/>
                <w:szCs w:val="22"/>
                <w:lang w:val="en-US" w:eastAsia="zh-CN"/>
              </w:rPr>
              <w:t>拆除</w:t>
            </w:r>
            <w:r>
              <w:rPr>
                <w:rFonts w:ascii="宋体" w:hAnsi="宋体"/>
                <w:bCs/>
                <w:color w:val="auto"/>
                <w:sz w:val="22"/>
                <w:szCs w:val="22"/>
              </w:rPr>
              <w:t>地点</w:t>
            </w:r>
          </w:p>
        </w:tc>
        <w:tc>
          <w:tcPr>
            <w:tcW w:w="820" w:type="dxa"/>
            <w:vAlign w:val="center"/>
          </w:tcPr>
          <w:p w14:paraId="189E70C2">
            <w:pPr>
              <w:jc w:val="center"/>
              <w:rPr>
                <w:rFonts w:hint="eastAsia" w:ascii="宋体" w:hAnsi="宋体"/>
                <w:bCs/>
                <w:color w:val="auto"/>
                <w:sz w:val="22"/>
                <w:szCs w:val="22"/>
                <w:lang w:val="en-US" w:eastAsia="zh-CN"/>
              </w:rPr>
            </w:pPr>
            <w:r>
              <w:rPr>
                <w:rFonts w:hint="eastAsia" w:ascii="宋体" w:hAnsi="宋体"/>
                <w:bCs/>
                <w:color w:val="auto"/>
                <w:sz w:val="22"/>
                <w:szCs w:val="22"/>
                <w:lang w:val="en-US" w:eastAsia="zh-CN"/>
              </w:rPr>
              <w:t>质量</w:t>
            </w:r>
          </w:p>
          <w:p w14:paraId="76586851">
            <w:pPr>
              <w:jc w:val="center"/>
              <w:rPr>
                <w:rFonts w:hint="default" w:ascii="宋体" w:hAnsi="宋体" w:eastAsia="宋体"/>
                <w:bCs/>
                <w:color w:val="auto"/>
                <w:sz w:val="22"/>
                <w:szCs w:val="22"/>
                <w:lang w:val="en-US" w:eastAsia="zh-CN"/>
              </w:rPr>
            </w:pPr>
            <w:r>
              <w:rPr>
                <w:rFonts w:hint="eastAsia" w:ascii="宋体" w:hAnsi="宋体"/>
                <w:bCs/>
                <w:color w:val="auto"/>
                <w:sz w:val="22"/>
                <w:szCs w:val="22"/>
                <w:lang w:val="en-US" w:eastAsia="zh-CN"/>
              </w:rPr>
              <w:t>标准</w:t>
            </w:r>
          </w:p>
        </w:tc>
        <w:tc>
          <w:tcPr>
            <w:tcW w:w="1167" w:type="dxa"/>
            <w:vAlign w:val="center"/>
          </w:tcPr>
          <w:p w14:paraId="2EA1C13E">
            <w:pPr>
              <w:jc w:val="center"/>
              <w:rPr>
                <w:rFonts w:ascii="宋体" w:hAnsi="宋体"/>
                <w:bCs/>
                <w:color w:val="auto"/>
                <w:sz w:val="22"/>
                <w:szCs w:val="22"/>
              </w:rPr>
            </w:pPr>
            <w:r>
              <w:rPr>
                <w:rFonts w:hint="eastAsia" w:ascii="宋体" w:hAnsi="宋体"/>
                <w:bCs/>
                <w:color w:val="auto"/>
                <w:sz w:val="22"/>
                <w:szCs w:val="22"/>
              </w:rPr>
              <w:t>安全生产标准化管理目标等级</w:t>
            </w:r>
          </w:p>
        </w:tc>
        <w:tc>
          <w:tcPr>
            <w:tcW w:w="961" w:type="dxa"/>
            <w:vAlign w:val="center"/>
          </w:tcPr>
          <w:p w14:paraId="5AB73D1D">
            <w:pPr>
              <w:tabs>
                <w:tab w:val="left" w:pos="5580"/>
              </w:tabs>
              <w:jc w:val="center"/>
              <w:rPr>
                <w:rFonts w:hint="eastAsia" w:ascii="宋体" w:hAnsi="宋体"/>
                <w:bCs/>
                <w:color w:val="auto"/>
                <w:sz w:val="22"/>
                <w:szCs w:val="22"/>
              </w:rPr>
            </w:pPr>
            <w:r>
              <w:rPr>
                <w:rFonts w:hint="eastAsia" w:ascii="宋体" w:hAnsi="宋体"/>
                <w:bCs/>
                <w:color w:val="auto"/>
                <w:sz w:val="22"/>
                <w:szCs w:val="22"/>
                <w:lang w:val="en-US" w:eastAsia="zh-CN"/>
              </w:rPr>
              <w:t>备注</w:t>
            </w:r>
          </w:p>
        </w:tc>
      </w:tr>
      <w:tr w14:paraId="5DC2D1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395" w:type="dxa"/>
            <w:vAlign w:val="center"/>
          </w:tcPr>
          <w:p w14:paraId="63F5C7C7">
            <w:pPr>
              <w:tabs>
                <w:tab w:val="left" w:pos="5580"/>
              </w:tabs>
              <w:spacing w:line="360" w:lineRule="auto"/>
              <w:ind w:left="-697"/>
              <w:jc w:val="center"/>
              <w:rPr>
                <w:rFonts w:ascii="宋体" w:hAnsi="宋体"/>
                <w:color w:val="auto"/>
                <w:szCs w:val="21"/>
              </w:rPr>
            </w:pPr>
          </w:p>
        </w:tc>
        <w:tc>
          <w:tcPr>
            <w:tcW w:w="2032" w:type="dxa"/>
          </w:tcPr>
          <w:p w14:paraId="3A51AA41">
            <w:pPr>
              <w:tabs>
                <w:tab w:val="left" w:pos="5580"/>
              </w:tabs>
              <w:spacing w:line="360" w:lineRule="auto"/>
              <w:jc w:val="center"/>
              <w:rPr>
                <w:rFonts w:ascii="宋体" w:hAnsi="宋体"/>
                <w:color w:val="auto"/>
                <w:szCs w:val="21"/>
              </w:rPr>
            </w:pPr>
          </w:p>
        </w:tc>
        <w:tc>
          <w:tcPr>
            <w:tcW w:w="1418" w:type="dxa"/>
            <w:vAlign w:val="center"/>
          </w:tcPr>
          <w:p w14:paraId="69FD4FEF">
            <w:pPr>
              <w:tabs>
                <w:tab w:val="left" w:pos="5580"/>
              </w:tabs>
              <w:spacing w:line="360" w:lineRule="auto"/>
              <w:jc w:val="center"/>
              <w:rPr>
                <w:rFonts w:ascii="宋体" w:hAnsi="宋体"/>
                <w:color w:val="auto"/>
                <w:szCs w:val="21"/>
              </w:rPr>
            </w:pPr>
          </w:p>
        </w:tc>
        <w:tc>
          <w:tcPr>
            <w:tcW w:w="1694" w:type="dxa"/>
          </w:tcPr>
          <w:p w14:paraId="35F0793D">
            <w:pPr>
              <w:tabs>
                <w:tab w:val="left" w:pos="5580"/>
              </w:tabs>
              <w:spacing w:line="360" w:lineRule="auto"/>
              <w:jc w:val="center"/>
              <w:rPr>
                <w:rFonts w:ascii="宋体" w:hAnsi="宋体"/>
                <w:color w:val="auto"/>
                <w:szCs w:val="21"/>
              </w:rPr>
            </w:pPr>
          </w:p>
        </w:tc>
        <w:tc>
          <w:tcPr>
            <w:tcW w:w="820" w:type="dxa"/>
          </w:tcPr>
          <w:p w14:paraId="599496C9">
            <w:pPr>
              <w:tabs>
                <w:tab w:val="left" w:pos="5580"/>
              </w:tabs>
              <w:spacing w:line="360" w:lineRule="auto"/>
              <w:jc w:val="center"/>
              <w:rPr>
                <w:rFonts w:ascii="宋体" w:hAnsi="宋体"/>
                <w:color w:val="auto"/>
                <w:szCs w:val="21"/>
              </w:rPr>
            </w:pPr>
          </w:p>
        </w:tc>
        <w:tc>
          <w:tcPr>
            <w:tcW w:w="1167" w:type="dxa"/>
          </w:tcPr>
          <w:p w14:paraId="51E0E59E">
            <w:pPr>
              <w:tabs>
                <w:tab w:val="left" w:pos="5580"/>
              </w:tabs>
              <w:spacing w:line="360" w:lineRule="auto"/>
              <w:jc w:val="center"/>
              <w:rPr>
                <w:rFonts w:ascii="宋体" w:hAnsi="宋体"/>
                <w:color w:val="auto"/>
                <w:szCs w:val="21"/>
              </w:rPr>
            </w:pPr>
          </w:p>
        </w:tc>
        <w:tc>
          <w:tcPr>
            <w:tcW w:w="961" w:type="dxa"/>
          </w:tcPr>
          <w:p w14:paraId="7E58445C">
            <w:pPr>
              <w:tabs>
                <w:tab w:val="left" w:pos="5580"/>
              </w:tabs>
              <w:spacing w:line="360" w:lineRule="auto"/>
              <w:jc w:val="center"/>
              <w:rPr>
                <w:rFonts w:ascii="宋体" w:hAnsi="宋体"/>
                <w:color w:val="auto"/>
                <w:szCs w:val="21"/>
              </w:rPr>
            </w:pPr>
          </w:p>
        </w:tc>
      </w:tr>
    </w:tbl>
    <w:p w14:paraId="4A6E96B0">
      <w:pPr>
        <w:tabs>
          <w:tab w:val="left" w:pos="1800"/>
          <w:tab w:val="left" w:pos="5580"/>
        </w:tabs>
        <w:spacing w:line="360" w:lineRule="auto"/>
        <w:ind w:firstLine="240" w:firstLineChars="100"/>
        <w:jc w:val="left"/>
        <w:rPr>
          <w:color w:val="auto"/>
          <w:sz w:val="24"/>
        </w:rPr>
      </w:pPr>
    </w:p>
    <w:p w14:paraId="06F57AE9">
      <w:pPr>
        <w:tabs>
          <w:tab w:val="left" w:pos="1800"/>
          <w:tab w:val="left" w:pos="5580"/>
        </w:tabs>
        <w:spacing w:before="240"/>
        <w:jc w:val="left"/>
        <w:rPr>
          <w:color w:val="auto"/>
          <w:sz w:val="24"/>
        </w:rPr>
      </w:pPr>
      <w:r>
        <w:rPr>
          <w:color w:val="auto"/>
          <w:sz w:val="24"/>
        </w:rPr>
        <w:t>注：</w:t>
      </w:r>
      <w:r>
        <w:rPr>
          <w:rFonts w:hint="eastAsia"/>
          <w:color w:val="auto"/>
          <w:sz w:val="24"/>
        </w:rPr>
        <w:t>1</w:t>
      </w:r>
      <w:r>
        <w:rPr>
          <w:color w:val="auto"/>
          <w:sz w:val="24"/>
        </w:rPr>
        <w:t>.</w:t>
      </w:r>
      <w:r>
        <w:rPr>
          <w:rFonts w:hint="eastAsia"/>
          <w:color w:val="auto"/>
          <w:sz w:val="24"/>
          <w:lang w:val="en-US" w:eastAsia="zh-CN"/>
        </w:rPr>
        <w:t>响应</w:t>
      </w:r>
      <w:r>
        <w:rPr>
          <w:rFonts w:hint="eastAsia"/>
          <w:color w:val="auto"/>
          <w:sz w:val="24"/>
        </w:rPr>
        <w:t>报价为含税价。</w:t>
      </w:r>
    </w:p>
    <w:p w14:paraId="12790088">
      <w:pPr>
        <w:tabs>
          <w:tab w:val="left" w:pos="1800"/>
          <w:tab w:val="left" w:pos="5580"/>
        </w:tabs>
        <w:spacing w:before="240"/>
        <w:ind w:firstLine="480" w:firstLineChars="200"/>
        <w:jc w:val="left"/>
        <w:rPr>
          <w:color w:val="auto"/>
          <w:sz w:val="24"/>
        </w:rPr>
      </w:pPr>
      <w:r>
        <w:rPr>
          <w:rFonts w:hint="eastAsia"/>
          <w:color w:val="auto"/>
          <w:sz w:val="24"/>
        </w:rPr>
        <w:t>2</w:t>
      </w:r>
      <w:r>
        <w:rPr>
          <w:color w:val="auto"/>
          <w:sz w:val="24"/>
        </w:rPr>
        <w:t>.此表中的</w:t>
      </w:r>
      <w:r>
        <w:rPr>
          <w:rFonts w:hint="eastAsia"/>
          <w:color w:val="auto"/>
          <w:sz w:val="24"/>
          <w:lang w:val="en-US" w:eastAsia="zh-CN"/>
        </w:rPr>
        <w:t>响应</w:t>
      </w:r>
      <w:r>
        <w:rPr>
          <w:color w:val="auto"/>
          <w:sz w:val="24"/>
        </w:rPr>
        <w:t>报价应和《分项报价表》中的总价相一致。</w:t>
      </w:r>
    </w:p>
    <w:p w14:paraId="04E64F4D">
      <w:pPr>
        <w:autoSpaceDE w:val="0"/>
        <w:autoSpaceDN w:val="0"/>
        <w:adjustRightInd w:val="0"/>
        <w:snapToGrid w:val="0"/>
        <w:spacing w:before="25" w:after="25" w:line="360" w:lineRule="auto"/>
        <w:rPr>
          <w:color w:val="auto"/>
          <w:sz w:val="24"/>
          <w:lang w:val="zh-CN"/>
        </w:rPr>
      </w:pPr>
    </w:p>
    <w:p w14:paraId="758D62B9">
      <w:pPr>
        <w:autoSpaceDE w:val="0"/>
        <w:autoSpaceDN w:val="0"/>
        <w:adjustRightInd w:val="0"/>
        <w:snapToGrid w:val="0"/>
        <w:spacing w:before="25" w:after="25" w:line="360" w:lineRule="auto"/>
        <w:rPr>
          <w:color w:val="auto"/>
          <w:sz w:val="24"/>
          <w:lang w:val="zh-CN"/>
        </w:rPr>
      </w:pPr>
    </w:p>
    <w:p w14:paraId="793DC46F">
      <w:pPr>
        <w:autoSpaceDE w:val="0"/>
        <w:autoSpaceDN w:val="0"/>
        <w:adjustRightInd w:val="0"/>
        <w:snapToGrid w:val="0"/>
        <w:spacing w:before="25" w:after="25" w:line="360" w:lineRule="auto"/>
        <w:rPr>
          <w:color w:val="auto"/>
          <w:sz w:val="24"/>
          <w:lang w:val="zh-CN"/>
        </w:rPr>
      </w:pPr>
    </w:p>
    <w:p w14:paraId="7CD1747F">
      <w:pPr>
        <w:autoSpaceDE w:val="0"/>
        <w:autoSpaceDN w:val="0"/>
        <w:adjustRightInd w:val="0"/>
        <w:snapToGrid w:val="0"/>
        <w:spacing w:before="25" w:after="25" w:line="360" w:lineRule="auto"/>
        <w:rPr>
          <w:color w:val="auto"/>
          <w:sz w:val="24"/>
          <w:lang w:val="zh-CN"/>
        </w:rPr>
      </w:pPr>
    </w:p>
    <w:p w14:paraId="127CEA3C">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7ECCBE74">
      <w:pPr>
        <w:autoSpaceDE w:val="0"/>
        <w:autoSpaceDN w:val="0"/>
        <w:adjustRightInd w:val="0"/>
        <w:snapToGrid w:val="0"/>
        <w:spacing w:line="360" w:lineRule="auto"/>
        <w:rPr>
          <w:color w:val="auto"/>
          <w:sz w:val="24"/>
          <w:szCs w:val="20"/>
        </w:rPr>
      </w:pPr>
      <w:r>
        <w:rPr>
          <w:color w:val="auto"/>
          <w:sz w:val="24"/>
        </w:rPr>
        <w:t>日期：</w:t>
      </w:r>
      <w:r>
        <w:rPr>
          <w:color w:val="auto"/>
          <w:sz w:val="24"/>
          <w:szCs w:val="20"/>
        </w:rPr>
        <w:t>____年____月____日</w:t>
      </w:r>
    </w:p>
    <w:p w14:paraId="5D32A82F">
      <w:pPr>
        <w:rPr>
          <w:color w:val="auto"/>
          <w:sz w:val="24"/>
          <w:szCs w:val="20"/>
        </w:rPr>
      </w:pPr>
      <w:r>
        <w:rPr>
          <w:color w:val="auto"/>
          <w:sz w:val="24"/>
          <w:szCs w:val="20"/>
        </w:rPr>
        <w:br w:type="page"/>
      </w:r>
    </w:p>
    <w:p w14:paraId="062CC92A">
      <w:pPr>
        <w:tabs>
          <w:tab w:val="left" w:pos="360"/>
        </w:tabs>
        <w:snapToGrid w:val="0"/>
        <w:spacing w:line="360" w:lineRule="auto"/>
        <w:outlineLvl w:val="1"/>
        <w:rPr>
          <w:color w:val="auto"/>
          <w:sz w:val="24"/>
        </w:rPr>
      </w:pPr>
      <w:bookmarkStart w:id="762" w:name="_Toc195842927"/>
      <w:bookmarkStart w:id="763" w:name="_Toc142311062"/>
      <w:bookmarkStart w:id="764" w:name="_Toc265228400"/>
      <w:bookmarkStart w:id="765" w:name="_Toc305158904"/>
      <w:bookmarkStart w:id="766" w:name="_Toc226309806"/>
      <w:bookmarkStart w:id="767" w:name="_Toc150480798"/>
      <w:bookmarkStart w:id="768" w:name="_Toc305158830"/>
      <w:bookmarkStart w:id="769" w:name="_Toc226337258"/>
      <w:bookmarkStart w:id="770" w:name="_Toc150774765"/>
      <w:bookmarkStart w:id="771" w:name="_Toc127151562"/>
      <w:bookmarkStart w:id="772" w:name="_Toc264969252"/>
      <w:bookmarkStart w:id="773" w:name="_Toc226965752"/>
      <w:bookmarkStart w:id="774" w:name="_Toc226965835"/>
      <w:bookmarkStart w:id="775" w:name="_Toc195842926"/>
      <w:bookmarkStart w:id="776" w:name="_Toc305158829"/>
      <w:bookmarkStart w:id="777" w:name="_Toc265228399"/>
      <w:bookmarkStart w:id="778" w:name="_Toc226965751"/>
      <w:bookmarkStart w:id="779" w:name="_Toc150480797"/>
      <w:bookmarkStart w:id="780" w:name="_Toc226337257"/>
      <w:bookmarkStart w:id="781" w:name="_Toc226965834"/>
      <w:bookmarkStart w:id="782" w:name="_Toc142311061"/>
      <w:bookmarkStart w:id="783" w:name="_Toc305158903"/>
      <w:bookmarkStart w:id="784" w:name="_Toc127151561"/>
      <w:bookmarkStart w:id="785" w:name="_Toc150774764"/>
      <w:bookmarkStart w:id="786" w:name="_Toc226309805"/>
      <w:bookmarkStart w:id="787" w:name="_Toc264969251"/>
      <w:r>
        <w:rPr>
          <w:rFonts w:hint="eastAsia"/>
          <w:color w:val="auto"/>
          <w:sz w:val="24"/>
          <w:lang w:val="en-US" w:eastAsia="zh-CN"/>
        </w:rPr>
        <w:t xml:space="preserve">7 </w:t>
      </w:r>
      <w:r>
        <w:rPr>
          <w:rFonts w:hint="eastAsia"/>
          <w:color w:val="auto"/>
          <w:sz w:val="24"/>
        </w:rPr>
        <w:t>分项</w:t>
      </w:r>
      <w:r>
        <w:rPr>
          <w:color w:val="auto"/>
          <w:sz w:val="24"/>
        </w:rPr>
        <w:t>报价表（实质性格式）</w:t>
      </w:r>
    </w:p>
    <w:p w14:paraId="7F524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r>
        <w:rPr>
          <w:b/>
          <w:color w:val="auto"/>
          <w:sz w:val="36"/>
          <w:szCs w:val="36"/>
        </w:rPr>
        <w:t>分项报价表</w:t>
      </w:r>
    </w:p>
    <w:p w14:paraId="459FFB68">
      <w:pPr>
        <w:spacing w:line="260" w:lineRule="exact"/>
        <w:jc w:val="center"/>
        <w:rPr>
          <w:color w:val="auto"/>
          <w:sz w:val="36"/>
          <w:szCs w:val="36"/>
        </w:rPr>
      </w:pPr>
    </w:p>
    <w:p w14:paraId="47C12706">
      <w:pPr>
        <w:tabs>
          <w:tab w:val="left" w:pos="1800"/>
          <w:tab w:val="left" w:pos="5580"/>
        </w:tabs>
        <w:rPr>
          <w:color w:val="auto"/>
          <w:sz w:val="24"/>
        </w:rPr>
      </w:pPr>
      <w:r>
        <w:rPr>
          <w:color w:val="auto"/>
          <w:sz w:val="24"/>
        </w:rPr>
        <w:t>项目编号</w:t>
      </w:r>
      <w:r>
        <w:rPr>
          <w:rFonts w:hint="eastAsia"/>
          <w:color w:val="auto"/>
          <w:sz w:val="24"/>
        </w:rPr>
        <w:t>/包号</w:t>
      </w:r>
      <w:r>
        <w:rPr>
          <w:color w:val="auto"/>
          <w:sz w:val="24"/>
        </w:rPr>
        <w:t>：___________ 项目名称：__________</w:t>
      </w:r>
      <w:r>
        <w:rPr>
          <w:rFonts w:hint="eastAsia"/>
          <w:color w:val="auto"/>
          <w:sz w:val="24"/>
          <w:lang w:val="en-US" w:eastAsia="zh-CN"/>
        </w:rPr>
        <w:t xml:space="preserve"> </w:t>
      </w:r>
      <w:r>
        <w:rPr>
          <w:color w:val="auto"/>
          <w:sz w:val="24"/>
        </w:rPr>
        <w:t>报价单位：人民币元</w:t>
      </w:r>
    </w:p>
    <w:tbl>
      <w:tblPr>
        <w:tblStyle w:val="53"/>
        <w:tblW w:w="5082"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08"/>
        <w:gridCol w:w="2308"/>
        <w:gridCol w:w="1227"/>
        <w:gridCol w:w="1381"/>
        <w:gridCol w:w="1322"/>
      </w:tblGrid>
      <w:tr w14:paraId="275B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vAlign w:val="center"/>
          </w:tcPr>
          <w:p w14:paraId="6CBC4AB4">
            <w:pPr>
              <w:adjustRightInd w:val="0"/>
              <w:snapToGrid w:val="0"/>
              <w:jc w:val="center"/>
              <w:rPr>
                <w:b/>
                <w:color w:val="auto"/>
                <w:sz w:val="24"/>
              </w:rPr>
            </w:pPr>
            <w:r>
              <w:rPr>
                <w:b/>
                <w:color w:val="auto"/>
                <w:sz w:val="24"/>
              </w:rPr>
              <w:t>序号</w:t>
            </w:r>
          </w:p>
        </w:tc>
        <w:tc>
          <w:tcPr>
            <w:tcW w:w="1043" w:type="pct"/>
            <w:vAlign w:val="center"/>
          </w:tcPr>
          <w:p w14:paraId="096C123B">
            <w:pPr>
              <w:adjustRightInd w:val="0"/>
              <w:snapToGrid w:val="0"/>
              <w:jc w:val="center"/>
              <w:rPr>
                <w:b/>
                <w:color w:val="auto"/>
                <w:sz w:val="24"/>
              </w:rPr>
            </w:pPr>
            <w:r>
              <w:rPr>
                <w:b/>
                <w:color w:val="auto"/>
                <w:sz w:val="24"/>
              </w:rPr>
              <w:t>分项名称</w:t>
            </w:r>
          </w:p>
        </w:tc>
        <w:tc>
          <w:tcPr>
            <w:tcW w:w="1332" w:type="pct"/>
            <w:vAlign w:val="center"/>
          </w:tcPr>
          <w:p w14:paraId="7167FADA">
            <w:pPr>
              <w:adjustRightInd w:val="0"/>
              <w:snapToGrid w:val="0"/>
              <w:jc w:val="center"/>
              <w:rPr>
                <w:rFonts w:hint="eastAsia"/>
                <w:b/>
                <w:bCs w:val="0"/>
                <w:color w:val="auto"/>
                <w:sz w:val="24"/>
              </w:rPr>
            </w:pPr>
            <w:r>
              <w:rPr>
                <w:rFonts w:hint="eastAsia"/>
                <w:b/>
                <w:bCs w:val="0"/>
                <w:color w:val="auto"/>
                <w:sz w:val="24"/>
                <w:lang w:val="en-US" w:eastAsia="zh-CN"/>
              </w:rPr>
              <w:t>分项</w:t>
            </w:r>
            <w:r>
              <w:rPr>
                <w:rFonts w:hint="eastAsia"/>
                <w:b/>
                <w:bCs w:val="0"/>
                <w:color w:val="auto"/>
                <w:sz w:val="24"/>
              </w:rPr>
              <w:t>报价</w:t>
            </w:r>
          </w:p>
          <w:p w14:paraId="21D68338">
            <w:pPr>
              <w:adjustRightInd w:val="0"/>
              <w:snapToGrid w:val="0"/>
              <w:jc w:val="center"/>
              <w:rPr>
                <w:b/>
                <w:color w:val="auto"/>
                <w:sz w:val="24"/>
              </w:rPr>
            </w:pPr>
            <w:r>
              <w:rPr>
                <w:rFonts w:hint="eastAsia"/>
                <w:b/>
                <w:bCs w:val="0"/>
                <w:color w:val="auto"/>
                <w:sz w:val="24"/>
              </w:rPr>
              <w:t>（</w:t>
            </w:r>
            <w:r>
              <w:rPr>
                <w:rFonts w:hint="eastAsia" w:ascii="宋体" w:hAnsi="宋体"/>
                <w:b/>
                <w:bCs w:val="0"/>
                <w:color w:val="auto"/>
                <w:sz w:val="24"/>
              </w:rPr>
              <w:t>元/平方米</w:t>
            </w:r>
            <w:r>
              <w:rPr>
                <w:rFonts w:hint="eastAsia"/>
                <w:b/>
                <w:bCs w:val="0"/>
                <w:color w:val="auto"/>
                <w:sz w:val="24"/>
              </w:rPr>
              <w:t>）</w:t>
            </w:r>
          </w:p>
        </w:tc>
        <w:tc>
          <w:tcPr>
            <w:tcW w:w="708" w:type="pct"/>
            <w:vAlign w:val="center"/>
          </w:tcPr>
          <w:p w14:paraId="2E96E464">
            <w:pPr>
              <w:adjustRightInd w:val="0"/>
              <w:snapToGrid w:val="0"/>
              <w:jc w:val="center"/>
              <w:rPr>
                <w:rFonts w:hint="eastAsia" w:eastAsia="宋体"/>
                <w:b/>
                <w:color w:val="auto"/>
                <w:sz w:val="24"/>
                <w:lang w:eastAsia="zh-CN"/>
              </w:rPr>
            </w:pPr>
            <w:r>
              <w:rPr>
                <w:rFonts w:hint="eastAsia"/>
                <w:b/>
                <w:color w:val="auto"/>
                <w:sz w:val="24"/>
              </w:rPr>
              <w:t>暂估</w:t>
            </w:r>
            <w:r>
              <w:rPr>
                <w:b/>
                <w:color w:val="auto"/>
                <w:sz w:val="24"/>
              </w:rPr>
              <w:t>数量</w:t>
            </w:r>
          </w:p>
        </w:tc>
        <w:tc>
          <w:tcPr>
            <w:tcW w:w="797" w:type="pct"/>
            <w:vAlign w:val="center"/>
          </w:tcPr>
          <w:p w14:paraId="28258DE3">
            <w:pPr>
              <w:adjustRightInd w:val="0"/>
              <w:snapToGrid w:val="0"/>
              <w:jc w:val="center"/>
              <w:rPr>
                <w:rFonts w:hint="eastAsia" w:eastAsia="宋体"/>
                <w:b/>
                <w:color w:val="auto"/>
                <w:sz w:val="24"/>
                <w:lang w:eastAsia="zh-CN"/>
              </w:rPr>
            </w:pPr>
            <w:r>
              <w:rPr>
                <w:rFonts w:hint="eastAsia"/>
                <w:b/>
                <w:color w:val="auto"/>
                <w:sz w:val="24"/>
              </w:rPr>
              <w:t>合</w:t>
            </w:r>
            <w:r>
              <w:rPr>
                <w:rFonts w:hint="eastAsia"/>
                <w:b/>
                <w:color w:val="auto"/>
                <w:sz w:val="24"/>
                <w:lang w:val="en-US" w:eastAsia="zh-CN"/>
              </w:rPr>
              <w:t>价</w:t>
            </w:r>
            <w:r>
              <w:rPr>
                <w:rFonts w:hint="eastAsia"/>
                <w:b/>
                <w:color w:val="auto"/>
                <w:sz w:val="24"/>
                <w:lang w:eastAsia="zh-CN"/>
              </w:rPr>
              <w:t>（</w:t>
            </w:r>
            <w:r>
              <w:rPr>
                <w:rFonts w:hint="eastAsia"/>
                <w:b/>
                <w:color w:val="auto"/>
                <w:sz w:val="24"/>
                <w:lang w:val="en-US" w:eastAsia="zh-CN"/>
              </w:rPr>
              <w:t>元</w:t>
            </w:r>
            <w:r>
              <w:rPr>
                <w:rFonts w:hint="eastAsia"/>
                <w:b/>
                <w:color w:val="auto"/>
                <w:sz w:val="24"/>
                <w:lang w:eastAsia="zh-CN"/>
              </w:rPr>
              <w:t>）</w:t>
            </w:r>
          </w:p>
        </w:tc>
        <w:tc>
          <w:tcPr>
            <w:tcW w:w="763" w:type="pct"/>
            <w:vAlign w:val="center"/>
          </w:tcPr>
          <w:p w14:paraId="0462B82E">
            <w:pPr>
              <w:adjustRightInd w:val="0"/>
              <w:snapToGrid w:val="0"/>
              <w:jc w:val="center"/>
              <w:rPr>
                <w:b/>
                <w:color w:val="auto"/>
                <w:sz w:val="24"/>
              </w:rPr>
            </w:pPr>
            <w:r>
              <w:rPr>
                <w:b/>
                <w:color w:val="auto"/>
                <w:sz w:val="24"/>
              </w:rPr>
              <w:t>备注/说明</w:t>
            </w:r>
          </w:p>
        </w:tc>
      </w:tr>
      <w:tr w14:paraId="6F1B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356" w:type="pct"/>
            <w:shd w:val="clear" w:color="auto" w:fill="auto"/>
            <w:vAlign w:val="center"/>
          </w:tcPr>
          <w:p w14:paraId="7C8014FB">
            <w:pPr>
              <w:adjustRightInd w:val="0"/>
              <w:snapToGrid w:val="0"/>
              <w:jc w:val="center"/>
              <w:rPr>
                <w:rFonts w:hint="default" w:ascii="宋体" w:hAnsi="宋体" w:eastAsia="宋体" w:cs="Times New Roman"/>
                <w:color w:val="auto"/>
                <w:kern w:val="0"/>
                <w:sz w:val="24"/>
                <w:szCs w:val="24"/>
                <w:lang w:val="en-US" w:eastAsia="zh-CN" w:bidi="ar-SA"/>
              </w:rPr>
            </w:pPr>
            <w:r>
              <w:rPr>
                <w:rFonts w:hint="eastAsia" w:ascii="宋体" w:hAnsi="宋体" w:cs="Times New Roman"/>
                <w:color w:val="auto"/>
                <w:kern w:val="0"/>
                <w:sz w:val="24"/>
                <w:szCs w:val="24"/>
                <w:lang w:val="en-US" w:eastAsia="zh-CN" w:bidi="ar-SA"/>
              </w:rPr>
              <w:t>1</w:t>
            </w:r>
          </w:p>
        </w:tc>
        <w:tc>
          <w:tcPr>
            <w:tcW w:w="1043" w:type="pct"/>
            <w:vAlign w:val="center"/>
          </w:tcPr>
          <w:p w14:paraId="17A3A588">
            <w:pPr>
              <w:adjustRightInd w:val="0"/>
              <w:snapToGrid w:val="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拆除</w:t>
            </w:r>
          </w:p>
        </w:tc>
        <w:tc>
          <w:tcPr>
            <w:tcW w:w="1332" w:type="pct"/>
            <w:vAlign w:val="center"/>
          </w:tcPr>
          <w:p w14:paraId="62220BC5">
            <w:pPr>
              <w:adjustRightInd w:val="0"/>
              <w:snapToGrid w:val="0"/>
              <w:jc w:val="center"/>
              <w:rPr>
                <w:color w:val="auto"/>
                <w:sz w:val="24"/>
              </w:rPr>
            </w:pPr>
          </w:p>
        </w:tc>
        <w:tc>
          <w:tcPr>
            <w:tcW w:w="708" w:type="pct"/>
            <w:vAlign w:val="center"/>
          </w:tcPr>
          <w:p w14:paraId="04404663">
            <w:pPr>
              <w:adjustRightInd w:val="0"/>
              <w:snapToGrid w:val="0"/>
              <w:jc w:val="center"/>
              <w:rPr>
                <w:rFonts w:hint="default" w:eastAsia="宋体"/>
                <w:color w:val="auto"/>
                <w:sz w:val="24"/>
                <w:lang w:val="en-US" w:eastAsia="zh-CN"/>
              </w:rPr>
            </w:pPr>
            <w:r>
              <w:rPr>
                <w:rFonts w:hint="eastAsia"/>
                <w:color w:val="auto"/>
                <w:sz w:val="24"/>
                <w:lang w:val="en-US" w:eastAsia="zh-CN"/>
              </w:rPr>
              <w:t>1</w:t>
            </w:r>
          </w:p>
        </w:tc>
        <w:tc>
          <w:tcPr>
            <w:tcW w:w="797" w:type="pct"/>
            <w:vAlign w:val="center"/>
          </w:tcPr>
          <w:p w14:paraId="2D5F937C">
            <w:pPr>
              <w:adjustRightInd w:val="0"/>
              <w:snapToGrid w:val="0"/>
              <w:jc w:val="left"/>
              <w:rPr>
                <w:color w:val="auto"/>
                <w:sz w:val="24"/>
              </w:rPr>
            </w:pPr>
          </w:p>
        </w:tc>
        <w:tc>
          <w:tcPr>
            <w:tcW w:w="763" w:type="pct"/>
            <w:vAlign w:val="center"/>
          </w:tcPr>
          <w:p w14:paraId="18D30AE6">
            <w:pPr>
              <w:adjustRightInd w:val="0"/>
              <w:snapToGrid w:val="0"/>
              <w:jc w:val="left"/>
              <w:rPr>
                <w:color w:val="auto"/>
                <w:sz w:val="24"/>
              </w:rPr>
            </w:pPr>
          </w:p>
        </w:tc>
      </w:tr>
      <w:tr w14:paraId="6179A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39" w:type="pct"/>
            <w:gridSpan w:val="4"/>
            <w:vAlign w:val="center"/>
          </w:tcPr>
          <w:p w14:paraId="5978B067">
            <w:pPr>
              <w:adjustRightInd w:val="0"/>
              <w:snapToGrid w:val="0"/>
              <w:jc w:val="center"/>
              <w:rPr>
                <w:color w:val="auto"/>
                <w:sz w:val="24"/>
              </w:rPr>
            </w:pPr>
            <w:r>
              <w:rPr>
                <w:b/>
                <w:color w:val="auto"/>
                <w:sz w:val="24"/>
              </w:rPr>
              <w:t>总价（元）</w:t>
            </w:r>
          </w:p>
        </w:tc>
        <w:tc>
          <w:tcPr>
            <w:tcW w:w="797" w:type="pct"/>
            <w:vAlign w:val="center"/>
          </w:tcPr>
          <w:p w14:paraId="51E3AD89">
            <w:pPr>
              <w:adjustRightInd w:val="0"/>
              <w:snapToGrid w:val="0"/>
              <w:jc w:val="left"/>
              <w:rPr>
                <w:color w:val="auto"/>
                <w:sz w:val="24"/>
              </w:rPr>
            </w:pPr>
          </w:p>
        </w:tc>
        <w:tc>
          <w:tcPr>
            <w:tcW w:w="763" w:type="pct"/>
            <w:vAlign w:val="center"/>
          </w:tcPr>
          <w:p w14:paraId="39D9D274">
            <w:pPr>
              <w:adjustRightInd w:val="0"/>
              <w:snapToGrid w:val="0"/>
              <w:jc w:val="left"/>
              <w:rPr>
                <w:color w:val="auto"/>
                <w:sz w:val="24"/>
              </w:rPr>
            </w:pPr>
          </w:p>
        </w:tc>
      </w:tr>
    </w:tbl>
    <w:p w14:paraId="580376DD">
      <w:pPr>
        <w:tabs>
          <w:tab w:val="left" w:pos="1800"/>
          <w:tab w:val="left" w:pos="5580"/>
        </w:tabs>
        <w:jc w:val="left"/>
        <w:rPr>
          <w:color w:val="auto"/>
          <w:sz w:val="24"/>
        </w:rPr>
      </w:pPr>
    </w:p>
    <w:p w14:paraId="0A92EE6C">
      <w:pPr>
        <w:tabs>
          <w:tab w:val="left" w:pos="1800"/>
          <w:tab w:val="left" w:pos="5580"/>
        </w:tabs>
        <w:spacing w:before="240" w:line="360" w:lineRule="auto"/>
        <w:jc w:val="left"/>
        <w:rPr>
          <w:rFonts w:ascii="宋体" w:hAnsi="宋体"/>
          <w:color w:val="auto"/>
          <w:sz w:val="24"/>
        </w:rPr>
      </w:pPr>
      <w:r>
        <w:rPr>
          <w:color w:val="auto"/>
          <w:sz w:val="24"/>
        </w:rPr>
        <w:t>注：</w:t>
      </w:r>
      <w:r>
        <w:rPr>
          <w:rFonts w:hint="eastAsia" w:ascii="宋体" w:hAnsi="宋体"/>
          <w:color w:val="auto"/>
          <w:sz w:val="24"/>
        </w:rPr>
        <w:t>1.如果不提供分项报价将视为没有实质性响应竞争性磋商文件。</w:t>
      </w:r>
    </w:p>
    <w:p w14:paraId="41D152CA">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2.上述各项的详细规格（如有），可另页描述。</w:t>
      </w:r>
    </w:p>
    <w:p w14:paraId="1661FA02">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3.</w:t>
      </w:r>
      <w:r>
        <w:rPr>
          <w:rFonts w:hint="eastAsia" w:ascii="宋体" w:hAnsi="宋体"/>
          <w:color w:val="auto"/>
          <w:sz w:val="24"/>
          <w:lang w:val="en-US" w:eastAsia="zh-CN"/>
        </w:rPr>
        <w:t>上述报价</w:t>
      </w:r>
      <w:r>
        <w:rPr>
          <w:rFonts w:hint="eastAsia" w:ascii="宋体" w:hAnsi="宋体"/>
          <w:color w:val="auto"/>
          <w:sz w:val="24"/>
        </w:rPr>
        <w:t>包括但不限于人工费、材料费、机械费、渣土清运及消纳费、安全及环保措施费、场地破除费、管理费、利润、税金以及需要向政府部门缴纳的相关费用等为完成本项目所涉及的一切费用。</w:t>
      </w:r>
    </w:p>
    <w:p w14:paraId="37077DDE">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4.《分项报价表》的</w:t>
      </w:r>
      <w:r>
        <w:rPr>
          <w:rFonts w:hint="eastAsia" w:ascii="宋体" w:hAnsi="宋体"/>
          <w:color w:val="auto"/>
          <w:sz w:val="24"/>
          <w:lang w:val="en-US" w:eastAsia="zh-CN"/>
        </w:rPr>
        <w:t>总价</w:t>
      </w:r>
      <w:r>
        <w:rPr>
          <w:rFonts w:hint="eastAsia" w:ascii="宋体" w:hAnsi="宋体"/>
          <w:color w:val="auto"/>
          <w:sz w:val="24"/>
        </w:rPr>
        <w:t>应与《报价一览表》中的</w:t>
      </w:r>
      <w:r>
        <w:rPr>
          <w:rFonts w:hint="eastAsia" w:ascii="宋体" w:hAnsi="宋体"/>
          <w:color w:val="auto"/>
          <w:sz w:val="24"/>
          <w:lang w:val="en-US" w:eastAsia="zh-CN"/>
        </w:rPr>
        <w:t>响应</w:t>
      </w:r>
      <w:r>
        <w:rPr>
          <w:rFonts w:hint="eastAsia" w:ascii="宋体" w:hAnsi="宋体"/>
          <w:color w:val="auto"/>
          <w:sz w:val="24"/>
        </w:rPr>
        <w:t>报价保持一致。</w:t>
      </w:r>
    </w:p>
    <w:p w14:paraId="367A48FD">
      <w:pPr>
        <w:tabs>
          <w:tab w:val="left" w:pos="1800"/>
          <w:tab w:val="left" w:pos="5580"/>
        </w:tabs>
        <w:ind w:firstLine="480" w:firstLineChars="200"/>
        <w:jc w:val="left"/>
        <w:rPr>
          <w:color w:val="auto"/>
          <w:sz w:val="24"/>
        </w:rPr>
      </w:pPr>
    </w:p>
    <w:p w14:paraId="301DDD21">
      <w:pPr>
        <w:tabs>
          <w:tab w:val="left" w:pos="1800"/>
          <w:tab w:val="left" w:pos="5580"/>
        </w:tabs>
        <w:jc w:val="left"/>
        <w:rPr>
          <w:color w:val="auto"/>
          <w:sz w:val="24"/>
        </w:rPr>
      </w:pPr>
    </w:p>
    <w:p w14:paraId="526D4992">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498E1801">
      <w:pPr>
        <w:autoSpaceDE w:val="0"/>
        <w:autoSpaceDN w:val="0"/>
        <w:adjustRightInd w:val="0"/>
        <w:snapToGrid w:val="0"/>
        <w:spacing w:line="360" w:lineRule="auto"/>
        <w:rPr>
          <w:color w:val="auto"/>
          <w:sz w:val="24"/>
        </w:rPr>
      </w:pPr>
      <w:r>
        <w:rPr>
          <w:color w:val="auto"/>
          <w:sz w:val="24"/>
        </w:rPr>
        <w:t>日期：</w:t>
      </w:r>
      <w:r>
        <w:rPr>
          <w:color w:val="auto"/>
          <w:sz w:val="24"/>
          <w:szCs w:val="20"/>
        </w:rPr>
        <w:t>____年____月____日</w:t>
      </w:r>
      <w:r>
        <w:rPr>
          <w:color w:val="auto"/>
          <w:sz w:val="24"/>
        </w:rPr>
        <w:br w:type="page"/>
      </w:r>
    </w:p>
    <w:p w14:paraId="2F818701">
      <w:pPr>
        <w:tabs>
          <w:tab w:val="left" w:pos="360"/>
        </w:tabs>
        <w:snapToGrid w:val="0"/>
        <w:spacing w:line="360" w:lineRule="auto"/>
        <w:outlineLvl w:val="1"/>
        <w:rPr>
          <w:color w:val="auto"/>
          <w:sz w:val="24"/>
        </w:rPr>
        <w:sectPr>
          <w:pgSz w:w="11907" w:h="16840"/>
          <w:pgMar w:top="1440" w:right="1800" w:bottom="1440" w:left="1800" w:header="851" w:footer="851" w:gutter="0"/>
          <w:cols w:space="720" w:num="1"/>
          <w:docGrid w:linePitch="462" w:charSpace="0"/>
        </w:sectPr>
      </w:pPr>
    </w:p>
    <w:p w14:paraId="66CD0E08">
      <w:pPr>
        <w:tabs>
          <w:tab w:val="left" w:pos="360"/>
        </w:tabs>
        <w:snapToGrid w:val="0"/>
        <w:spacing w:line="360" w:lineRule="auto"/>
        <w:outlineLvl w:val="1"/>
        <w:rPr>
          <w:color w:val="auto"/>
          <w:sz w:val="24"/>
          <w:szCs w:val="20"/>
        </w:rPr>
      </w:pPr>
      <w:r>
        <w:rPr>
          <w:rFonts w:hint="eastAsia"/>
          <w:color w:val="auto"/>
          <w:sz w:val="24"/>
          <w:lang w:val="en-US" w:eastAsia="zh-CN"/>
        </w:rPr>
        <w:t>8</w:t>
      </w:r>
      <w:r>
        <w:rPr>
          <w:color w:val="auto"/>
          <w:sz w:val="24"/>
        </w:rPr>
        <w:t xml:space="preserve"> 合同条款偏离表</w:t>
      </w:r>
      <w:bookmarkEnd w:id="762"/>
      <w:bookmarkEnd w:id="763"/>
      <w:bookmarkEnd w:id="764"/>
      <w:bookmarkEnd w:id="765"/>
      <w:bookmarkEnd w:id="766"/>
      <w:bookmarkEnd w:id="767"/>
      <w:bookmarkEnd w:id="768"/>
      <w:bookmarkEnd w:id="769"/>
      <w:bookmarkEnd w:id="770"/>
      <w:bookmarkEnd w:id="771"/>
      <w:bookmarkEnd w:id="772"/>
      <w:bookmarkEnd w:id="773"/>
      <w:bookmarkEnd w:id="774"/>
      <w:r>
        <w:rPr>
          <w:color w:val="auto"/>
          <w:sz w:val="24"/>
        </w:rPr>
        <w:t>（实质性格式）</w:t>
      </w:r>
    </w:p>
    <w:p w14:paraId="63A0321B">
      <w:pPr>
        <w:spacing w:line="360" w:lineRule="auto"/>
        <w:rPr>
          <w:color w:val="auto"/>
          <w:sz w:val="24"/>
          <w:szCs w:val="20"/>
        </w:rPr>
      </w:pPr>
    </w:p>
    <w:p w14:paraId="13AF108D">
      <w:pPr>
        <w:tabs>
          <w:tab w:val="left" w:pos="2775"/>
          <w:tab w:val="center" w:pos="4153"/>
        </w:tabs>
        <w:autoSpaceDE w:val="0"/>
        <w:autoSpaceDN w:val="0"/>
        <w:adjustRightInd w:val="0"/>
        <w:spacing w:line="360" w:lineRule="auto"/>
        <w:jc w:val="left"/>
        <w:rPr>
          <w:b/>
          <w:color w:val="auto"/>
          <w:sz w:val="36"/>
          <w:szCs w:val="36"/>
        </w:rPr>
      </w:pPr>
      <w:r>
        <w:rPr>
          <w:color w:val="auto"/>
          <w:sz w:val="36"/>
          <w:szCs w:val="36"/>
        </w:rPr>
        <w:tab/>
      </w:r>
      <w:r>
        <w:rPr>
          <w:b/>
          <w:color w:val="auto"/>
          <w:sz w:val="36"/>
          <w:szCs w:val="36"/>
        </w:rPr>
        <w:tab/>
      </w:r>
      <w:r>
        <w:rPr>
          <w:b/>
          <w:color w:val="auto"/>
          <w:sz w:val="36"/>
          <w:szCs w:val="36"/>
        </w:rPr>
        <w:t>合同条款偏离表</w:t>
      </w:r>
    </w:p>
    <w:p w14:paraId="3E1AA36D">
      <w:pPr>
        <w:spacing w:line="360" w:lineRule="auto"/>
        <w:rPr>
          <w:color w:val="auto"/>
          <w:sz w:val="24"/>
          <w:szCs w:val="20"/>
        </w:rPr>
      </w:pPr>
    </w:p>
    <w:p w14:paraId="1EFC5AE6">
      <w:pPr>
        <w:tabs>
          <w:tab w:val="left" w:pos="1800"/>
          <w:tab w:val="left" w:pos="5580"/>
        </w:tabs>
        <w:spacing w:line="360" w:lineRule="auto"/>
        <w:ind w:firstLine="360" w:firstLineChars="150"/>
        <w:jc w:val="left"/>
        <w:rPr>
          <w:color w:val="auto"/>
          <w:sz w:val="24"/>
        </w:rPr>
      </w:pPr>
      <w:r>
        <w:rPr>
          <w:color w:val="auto"/>
          <w:sz w:val="24"/>
        </w:rPr>
        <w:t>项目编号</w:t>
      </w:r>
      <w:r>
        <w:rPr>
          <w:rFonts w:hint="eastAsia"/>
          <w:color w:val="auto"/>
          <w:sz w:val="24"/>
        </w:rPr>
        <w:t>/包号</w:t>
      </w:r>
      <w:r>
        <w:rPr>
          <w:color w:val="auto"/>
          <w:sz w:val="24"/>
        </w:rPr>
        <w:t>：_______________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560"/>
        <w:gridCol w:w="1777"/>
        <w:gridCol w:w="1778"/>
        <w:gridCol w:w="2184"/>
        <w:gridCol w:w="980"/>
      </w:tblGrid>
      <w:tr w14:paraId="48D3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237FC46">
            <w:pPr>
              <w:adjustRightInd w:val="0"/>
              <w:snapToGrid w:val="0"/>
              <w:jc w:val="center"/>
              <w:rPr>
                <w:color w:val="auto"/>
                <w:sz w:val="24"/>
              </w:rPr>
            </w:pPr>
            <w:r>
              <w:rPr>
                <w:color w:val="auto"/>
                <w:sz w:val="24"/>
              </w:rPr>
              <w:t>序号</w:t>
            </w:r>
          </w:p>
        </w:tc>
        <w:tc>
          <w:tcPr>
            <w:tcW w:w="1560" w:type="dxa"/>
            <w:vAlign w:val="center"/>
          </w:tcPr>
          <w:p w14:paraId="48D5F7A6">
            <w:pPr>
              <w:adjustRightInd w:val="0"/>
              <w:snapToGrid w:val="0"/>
              <w:jc w:val="center"/>
              <w:rPr>
                <w:color w:val="auto"/>
                <w:sz w:val="24"/>
              </w:rPr>
            </w:pPr>
            <w:r>
              <w:rPr>
                <w:color w:val="auto"/>
                <w:sz w:val="24"/>
                <w:szCs w:val="21"/>
              </w:rPr>
              <w:t>竞争性磋商文件</w:t>
            </w:r>
            <w:r>
              <w:rPr>
                <w:color w:val="auto"/>
                <w:sz w:val="24"/>
              </w:rPr>
              <w:t>条目号（页码）</w:t>
            </w:r>
          </w:p>
        </w:tc>
        <w:tc>
          <w:tcPr>
            <w:tcW w:w="1777" w:type="dxa"/>
            <w:vAlign w:val="center"/>
          </w:tcPr>
          <w:p w14:paraId="538A7C90">
            <w:pPr>
              <w:adjustRightInd w:val="0"/>
              <w:snapToGrid w:val="0"/>
              <w:jc w:val="center"/>
              <w:rPr>
                <w:color w:val="auto"/>
                <w:sz w:val="24"/>
              </w:rPr>
            </w:pPr>
            <w:r>
              <w:rPr>
                <w:color w:val="auto"/>
                <w:sz w:val="24"/>
                <w:szCs w:val="21"/>
              </w:rPr>
              <w:t>竞争性磋商文件</w:t>
            </w:r>
            <w:r>
              <w:rPr>
                <w:color w:val="auto"/>
                <w:sz w:val="24"/>
              </w:rPr>
              <w:t>要求</w:t>
            </w:r>
          </w:p>
        </w:tc>
        <w:tc>
          <w:tcPr>
            <w:tcW w:w="1778" w:type="dxa"/>
            <w:vAlign w:val="center"/>
          </w:tcPr>
          <w:p w14:paraId="02D97150">
            <w:pPr>
              <w:adjustRightInd w:val="0"/>
              <w:snapToGrid w:val="0"/>
              <w:jc w:val="center"/>
              <w:rPr>
                <w:color w:val="auto"/>
                <w:sz w:val="24"/>
              </w:rPr>
            </w:pPr>
            <w:r>
              <w:rPr>
                <w:color w:val="auto"/>
                <w:sz w:val="24"/>
              </w:rPr>
              <w:t>响应文件内容</w:t>
            </w:r>
          </w:p>
        </w:tc>
        <w:tc>
          <w:tcPr>
            <w:tcW w:w="2184" w:type="dxa"/>
            <w:vAlign w:val="center"/>
          </w:tcPr>
          <w:p w14:paraId="6ADCCB19">
            <w:pPr>
              <w:adjustRightInd w:val="0"/>
              <w:snapToGrid w:val="0"/>
              <w:jc w:val="center"/>
              <w:rPr>
                <w:color w:val="auto"/>
                <w:sz w:val="24"/>
              </w:rPr>
            </w:pPr>
            <w:r>
              <w:rPr>
                <w:color w:val="auto"/>
                <w:sz w:val="24"/>
              </w:rPr>
              <w:t>偏离情况</w:t>
            </w:r>
          </w:p>
        </w:tc>
        <w:tc>
          <w:tcPr>
            <w:tcW w:w="980" w:type="dxa"/>
            <w:vAlign w:val="center"/>
          </w:tcPr>
          <w:p w14:paraId="33687166">
            <w:pPr>
              <w:adjustRightInd w:val="0"/>
              <w:snapToGrid w:val="0"/>
              <w:jc w:val="center"/>
              <w:rPr>
                <w:color w:val="auto"/>
                <w:sz w:val="24"/>
              </w:rPr>
            </w:pPr>
            <w:r>
              <w:rPr>
                <w:color w:val="auto"/>
                <w:sz w:val="24"/>
              </w:rPr>
              <w:t>说明</w:t>
            </w:r>
          </w:p>
        </w:tc>
      </w:tr>
      <w:tr w14:paraId="5EA1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69B5EC4A">
            <w:pPr>
              <w:adjustRightInd w:val="0"/>
              <w:snapToGrid w:val="0"/>
              <w:jc w:val="left"/>
              <w:rPr>
                <w:b/>
                <w:color w:val="auto"/>
                <w:sz w:val="24"/>
              </w:rPr>
            </w:pPr>
            <w:r>
              <w:rPr>
                <w:b/>
                <w:color w:val="auto"/>
                <w:sz w:val="24"/>
              </w:rPr>
              <w:t>对本项目合同条款的偏离情况（</w:t>
            </w:r>
            <w:r>
              <w:rPr>
                <w:bCs/>
                <w:color w:val="auto"/>
                <w:sz w:val="24"/>
              </w:rPr>
              <w:t>应进行选择，未选择</w:t>
            </w:r>
            <w:r>
              <w:rPr>
                <w:b/>
                <w:color w:val="auto"/>
                <w:sz w:val="24"/>
              </w:rPr>
              <w:t>响应无效）：</w:t>
            </w:r>
          </w:p>
          <w:p w14:paraId="0336D496">
            <w:pPr>
              <w:adjustRightInd w:val="0"/>
              <w:snapToGrid w:val="0"/>
              <w:jc w:val="left"/>
              <w:rPr>
                <w:b/>
                <w:color w:val="auto"/>
                <w:sz w:val="24"/>
              </w:rPr>
            </w:pPr>
            <w:r>
              <w:rPr>
                <w:b/>
                <w:color w:val="auto"/>
                <w:sz w:val="24"/>
              </w:rPr>
              <w:t>□无偏离</w:t>
            </w:r>
            <w:r>
              <w:rPr>
                <w:color w:val="auto"/>
                <w:sz w:val="24"/>
              </w:rPr>
              <w:t>（</w:t>
            </w:r>
            <w:r>
              <w:rPr>
                <w:color w:val="auto"/>
                <w:sz w:val="24"/>
                <w:szCs w:val="21"/>
              </w:rPr>
              <w:t>如无偏离，仅选择无偏离即可；</w:t>
            </w:r>
            <w:r>
              <w:rPr>
                <w:bCs/>
                <w:color w:val="auto"/>
                <w:sz w:val="24"/>
              </w:rPr>
              <w:t>无偏离即为</w:t>
            </w:r>
            <w:r>
              <w:rPr>
                <w:color w:val="auto"/>
                <w:sz w:val="24"/>
              </w:rPr>
              <w:t>对合同条款中的所有要求，均视作供应商已对之理解和响应。）</w:t>
            </w:r>
          </w:p>
          <w:p w14:paraId="69864213">
            <w:pPr>
              <w:adjustRightInd w:val="0"/>
              <w:snapToGrid w:val="0"/>
              <w:jc w:val="left"/>
              <w:rPr>
                <w:color w:val="auto"/>
                <w:sz w:val="24"/>
              </w:rPr>
            </w:pPr>
            <w:r>
              <w:rPr>
                <w:b/>
                <w:color w:val="auto"/>
                <w:sz w:val="24"/>
              </w:rPr>
              <w:t>□有偏离</w:t>
            </w:r>
            <w:r>
              <w:rPr>
                <w:color w:val="auto"/>
                <w:sz w:val="24"/>
              </w:rPr>
              <w:t>（</w:t>
            </w:r>
            <w:r>
              <w:rPr>
                <w:color w:val="auto"/>
                <w:sz w:val="24"/>
                <w:szCs w:val="21"/>
              </w:rPr>
              <w:t>如有偏离，</w:t>
            </w:r>
            <w:r>
              <w:rPr>
                <w:color w:val="auto"/>
                <w:sz w:val="24"/>
              </w:rPr>
              <w:t>则应在本表中对负偏离项逐一列明，否则</w:t>
            </w:r>
            <w:r>
              <w:rPr>
                <w:b/>
                <w:bCs/>
                <w:color w:val="auto"/>
                <w:sz w:val="24"/>
              </w:rPr>
              <w:t>响应无效</w:t>
            </w:r>
            <w:r>
              <w:rPr>
                <w:color w:val="auto"/>
                <w:sz w:val="24"/>
              </w:rPr>
              <w:t>；对合同条款中的所有要求，除本表列明的偏离外，均视作供应商已对之理解和响应。）</w:t>
            </w:r>
          </w:p>
        </w:tc>
      </w:tr>
      <w:tr w14:paraId="75F50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0040E618">
            <w:pPr>
              <w:adjustRightInd w:val="0"/>
              <w:snapToGrid w:val="0"/>
              <w:jc w:val="center"/>
              <w:rPr>
                <w:color w:val="auto"/>
                <w:sz w:val="24"/>
              </w:rPr>
            </w:pPr>
          </w:p>
        </w:tc>
        <w:tc>
          <w:tcPr>
            <w:tcW w:w="1560" w:type="dxa"/>
            <w:vAlign w:val="center"/>
          </w:tcPr>
          <w:p w14:paraId="54C7C956">
            <w:pPr>
              <w:adjustRightInd w:val="0"/>
              <w:snapToGrid w:val="0"/>
              <w:jc w:val="center"/>
              <w:rPr>
                <w:color w:val="auto"/>
                <w:sz w:val="24"/>
              </w:rPr>
            </w:pPr>
          </w:p>
        </w:tc>
        <w:tc>
          <w:tcPr>
            <w:tcW w:w="1777" w:type="dxa"/>
            <w:vAlign w:val="center"/>
          </w:tcPr>
          <w:p w14:paraId="0F83BEF0">
            <w:pPr>
              <w:adjustRightInd w:val="0"/>
              <w:snapToGrid w:val="0"/>
              <w:jc w:val="center"/>
              <w:rPr>
                <w:color w:val="auto"/>
                <w:sz w:val="24"/>
              </w:rPr>
            </w:pPr>
          </w:p>
        </w:tc>
        <w:tc>
          <w:tcPr>
            <w:tcW w:w="1778" w:type="dxa"/>
            <w:vAlign w:val="center"/>
          </w:tcPr>
          <w:p w14:paraId="4C40C51E">
            <w:pPr>
              <w:adjustRightInd w:val="0"/>
              <w:snapToGrid w:val="0"/>
              <w:jc w:val="center"/>
              <w:rPr>
                <w:color w:val="auto"/>
                <w:sz w:val="24"/>
              </w:rPr>
            </w:pPr>
          </w:p>
        </w:tc>
        <w:tc>
          <w:tcPr>
            <w:tcW w:w="2184" w:type="dxa"/>
            <w:vAlign w:val="center"/>
          </w:tcPr>
          <w:p w14:paraId="6BD6F81F">
            <w:pPr>
              <w:adjustRightInd w:val="0"/>
              <w:snapToGrid w:val="0"/>
              <w:jc w:val="center"/>
              <w:rPr>
                <w:color w:val="auto"/>
                <w:sz w:val="24"/>
              </w:rPr>
            </w:pPr>
          </w:p>
        </w:tc>
        <w:tc>
          <w:tcPr>
            <w:tcW w:w="980" w:type="dxa"/>
            <w:vAlign w:val="center"/>
          </w:tcPr>
          <w:p w14:paraId="30F9B081">
            <w:pPr>
              <w:adjustRightInd w:val="0"/>
              <w:snapToGrid w:val="0"/>
              <w:jc w:val="center"/>
              <w:rPr>
                <w:color w:val="auto"/>
                <w:sz w:val="24"/>
              </w:rPr>
            </w:pPr>
          </w:p>
        </w:tc>
      </w:tr>
      <w:tr w14:paraId="6A7A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54045AF7">
            <w:pPr>
              <w:adjustRightInd w:val="0"/>
              <w:snapToGrid w:val="0"/>
              <w:jc w:val="center"/>
              <w:rPr>
                <w:color w:val="auto"/>
                <w:sz w:val="24"/>
              </w:rPr>
            </w:pPr>
          </w:p>
        </w:tc>
        <w:tc>
          <w:tcPr>
            <w:tcW w:w="1560" w:type="dxa"/>
            <w:vAlign w:val="center"/>
          </w:tcPr>
          <w:p w14:paraId="462287C7">
            <w:pPr>
              <w:adjustRightInd w:val="0"/>
              <w:snapToGrid w:val="0"/>
              <w:jc w:val="center"/>
              <w:rPr>
                <w:color w:val="auto"/>
                <w:sz w:val="24"/>
              </w:rPr>
            </w:pPr>
          </w:p>
        </w:tc>
        <w:tc>
          <w:tcPr>
            <w:tcW w:w="1777" w:type="dxa"/>
            <w:vAlign w:val="center"/>
          </w:tcPr>
          <w:p w14:paraId="35BFB329">
            <w:pPr>
              <w:adjustRightInd w:val="0"/>
              <w:snapToGrid w:val="0"/>
              <w:jc w:val="center"/>
              <w:rPr>
                <w:color w:val="auto"/>
                <w:sz w:val="24"/>
              </w:rPr>
            </w:pPr>
          </w:p>
        </w:tc>
        <w:tc>
          <w:tcPr>
            <w:tcW w:w="1778" w:type="dxa"/>
            <w:vAlign w:val="center"/>
          </w:tcPr>
          <w:p w14:paraId="16490BE1">
            <w:pPr>
              <w:adjustRightInd w:val="0"/>
              <w:snapToGrid w:val="0"/>
              <w:jc w:val="center"/>
              <w:rPr>
                <w:color w:val="auto"/>
                <w:sz w:val="24"/>
              </w:rPr>
            </w:pPr>
          </w:p>
        </w:tc>
        <w:tc>
          <w:tcPr>
            <w:tcW w:w="2184" w:type="dxa"/>
            <w:vAlign w:val="center"/>
          </w:tcPr>
          <w:p w14:paraId="0B59845E">
            <w:pPr>
              <w:adjustRightInd w:val="0"/>
              <w:snapToGrid w:val="0"/>
              <w:jc w:val="center"/>
              <w:rPr>
                <w:color w:val="auto"/>
                <w:sz w:val="24"/>
              </w:rPr>
            </w:pPr>
          </w:p>
        </w:tc>
        <w:tc>
          <w:tcPr>
            <w:tcW w:w="980" w:type="dxa"/>
            <w:vAlign w:val="center"/>
          </w:tcPr>
          <w:p w14:paraId="0437C486">
            <w:pPr>
              <w:adjustRightInd w:val="0"/>
              <w:snapToGrid w:val="0"/>
              <w:jc w:val="center"/>
              <w:rPr>
                <w:color w:val="auto"/>
                <w:sz w:val="24"/>
              </w:rPr>
            </w:pPr>
          </w:p>
        </w:tc>
      </w:tr>
      <w:tr w14:paraId="2E66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08459D72">
            <w:pPr>
              <w:adjustRightInd w:val="0"/>
              <w:snapToGrid w:val="0"/>
              <w:jc w:val="center"/>
              <w:rPr>
                <w:color w:val="auto"/>
                <w:sz w:val="24"/>
              </w:rPr>
            </w:pPr>
          </w:p>
        </w:tc>
        <w:tc>
          <w:tcPr>
            <w:tcW w:w="1560" w:type="dxa"/>
            <w:vAlign w:val="center"/>
          </w:tcPr>
          <w:p w14:paraId="71B5C260">
            <w:pPr>
              <w:adjustRightInd w:val="0"/>
              <w:snapToGrid w:val="0"/>
              <w:jc w:val="center"/>
              <w:rPr>
                <w:color w:val="auto"/>
                <w:sz w:val="24"/>
              </w:rPr>
            </w:pPr>
          </w:p>
        </w:tc>
        <w:tc>
          <w:tcPr>
            <w:tcW w:w="1777" w:type="dxa"/>
            <w:vAlign w:val="center"/>
          </w:tcPr>
          <w:p w14:paraId="64EEE445">
            <w:pPr>
              <w:adjustRightInd w:val="0"/>
              <w:snapToGrid w:val="0"/>
              <w:jc w:val="center"/>
              <w:rPr>
                <w:color w:val="auto"/>
                <w:sz w:val="24"/>
              </w:rPr>
            </w:pPr>
          </w:p>
        </w:tc>
        <w:tc>
          <w:tcPr>
            <w:tcW w:w="1778" w:type="dxa"/>
            <w:vAlign w:val="center"/>
          </w:tcPr>
          <w:p w14:paraId="3BB80D99">
            <w:pPr>
              <w:adjustRightInd w:val="0"/>
              <w:snapToGrid w:val="0"/>
              <w:jc w:val="center"/>
              <w:rPr>
                <w:color w:val="auto"/>
                <w:sz w:val="24"/>
              </w:rPr>
            </w:pPr>
          </w:p>
        </w:tc>
        <w:tc>
          <w:tcPr>
            <w:tcW w:w="2184" w:type="dxa"/>
            <w:vAlign w:val="center"/>
          </w:tcPr>
          <w:p w14:paraId="1EEE7AF4">
            <w:pPr>
              <w:adjustRightInd w:val="0"/>
              <w:snapToGrid w:val="0"/>
              <w:jc w:val="center"/>
              <w:rPr>
                <w:color w:val="auto"/>
                <w:sz w:val="24"/>
              </w:rPr>
            </w:pPr>
          </w:p>
        </w:tc>
        <w:tc>
          <w:tcPr>
            <w:tcW w:w="980" w:type="dxa"/>
            <w:vAlign w:val="center"/>
          </w:tcPr>
          <w:p w14:paraId="3DEFAA59">
            <w:pPr>
              <w:adjustRightInd w:val="0"/>
              <w:snapToGrid w:val="0"/>
              <w:jc w:val="center"/>
              <w:rPr>
                <w:color w:val="auto"/>
                <w:sz w:val="24"/>
              </w:rPr>
            </w:pPr>
          </w:p>
        </w:tc>
      </w:tr>
      <w:tr w14:paraId="0CC9D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D6B3EE8">
            <w:pPr>
              <w:adjustRightInd w:val="0"/>
              <w:snapToGrid w:val="0"/>
              <w:jc w:val="center"/>
              <w:rPr>
                <w:color w:val="auto"/>
                <w:sz w:val="24"/>
              </w:rPr>
            </w:pPr>
          </w:p>
        </w:tc>
        <w:tc>
          <w:tcPr>
            <w:tcW w:w="1560" w:type="dxa"/>
            <w:vAlign w:val="center"/>
          </w:tcPr>
          <w:p w14:paraId="565930EF">
            <w:pPr>
              <w:adjustRightInd w:val="0"/>
              <w:snapToGrid w:val="0"/>
              <w:jc w:val="center"/>
              <w:rPr>
                <w:color w:val="auto"/>
                <w:sz w:val="24"/>
              </w:rPr>
            </w:pPr>
          </w:p>
        </w:tc>
        <w:tc>
          <w:tcPr>
            <w:tcW w:w="1777" w:type="dxa"/>
            <w:vAlign w:val="center"/>
          </w:tcPr>
          <w:p w14:paraId="36B714D2">
            <w:pPr>
              <w:adjustRightInd w:val="0"/>
              <w:snapToGrid w:val="0"/>
              <w:jc w:val="center"/>
              <w:rPr>
                <w:color w:val="auto"/>
                <w:sz w:val="24"/>
              </w:rPr>
            </w:pPr>
          </w:p>
        </w:tc>
        <w:tc>
          <w:tcPr>
            <w:tcW w:w="1778" w:type="dxa"/>
            <w:vAlign w:val="center"/>
          </w:tcPr>
          <w:p w14:paraId="28A68785">
            <w:pPr>
              <w:adjustRightInd w:val="0"/>
              <w:snapToGrid w:val="0"/>
              <w:jc w:val="center"/>
              <w:rPr>
                <w:color w:val="auto"/>
                <w:sz w:val="24"/>
              </w:rPr>
            </w:pPr>
          </w:p>
        </w:tc>
        <w:tc>
          <w:tcPr>
            <w:tcW w:w="2184" w:type="dxa"/>
            <w:vAlign w:val="center"/>
          </w:tcPr>
          <w:p w14:paraId="17A9BAE2">
            <w:pPr>
              <w:adjustRightInd w:val="0"/>
              <w:snapToGrid w:val="0"/>
              <w:jc w:val="center"/>
              <w:rPr>
                <w:color w:val="auto"/>
                <w:sz w:val="24"/>
              </w:rPr>
            </w:pPr>
          </w:p>
        </w:tc>
        <w:tc>
          <w:tcPr>
            <w:tcW w:w="980" w:type="dxa"/>
            <w:vAlign w:val="center"/>
          </w:tcPr>
          <w:p w14:paraId="6573211A">
            <w:pPr>
              <w:adjustRightInd w:val="0"/>
              <w:snapToGrid w:val="0"/>
              <w:jc w:val="center"/>
              <w:rPr>
                <w:color w:val="auto"/>
                <w:sz w:val="24"/>
              </w:rPr>
            </w:pPr>
          </w:p>
        </w:tc>
      </w:tr>
      <w:tr w14:paraId="07F36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9" w:type="dxa"/>
            <w:vAlign w:val="center"/>
          </w:tcPr>
          <w:p w14:paraId="36D819B0">
            <w:pPr>
              <w:adjustRightInd w:val="0"/>
              <w:snapToGrid w:val="0"/>
              <w:jc w:val="center"/>
              <w:rPr>
                <w:color w:val="auto"/>
                <w:sz w:val="24"/>
              </w:rPr>
            </w:pPr>
          </w:p>
        </w:tc>
        <w:tc>
          <w:tcPr>
            <w:tcW w:w="1560" w:type="dxa"/>
            <w:vAlign w:val="center"/>
          </w:tcPr>
          <w:p w14:paraId="1B5E36CD">
            <w:pPr>
              <w:adjustRightInd w:val="0"/>
              <w:snapToGrid w:val="0"/>
              <w:jc w:val="center"/>
              <w:rPr>
                <w:color w:val="auto"/>
                <w:sz w:val="24"/>
              </w:rPr>
            </w:pPr>
          </w:p>
        </w:tc>
        <w:tc>
          <w:tcPr>
            <w:tcW w:w="1777" w:type="dxa"/>
            <w:vAlign w:val="center"/>
          </w:tcPr>
          <w:p w14:paraId="0869235A">
            <w:pPr>
              <w:adjustRightInd w:val="0"/>
              <w:snapToGrid w:val="0"/>
              <w:jc w:val="center"/>
              <w:rPr>
                <w:color w:val="auto"/>
                <w:sz w:val="24"/>
              </w:rPr>
            </w:pPr>
          </w:p>
        </w:tc>
        <w:tc>
          <w:tcPr>
            <w:tcW w:w="1778" w:type="dxa"/>
            <w:vAlign w:val="center"/>
          </w:tcPr>
          <w:p w14:paraId="447DF51C">
            <w:pPr>
              <w:adjustRightInd w:val="0"/>
              <w:snapToGrid w:val="0"/>
              <w:jc w:val="center"/>
              <w:rPr>
                <w:color w:val="auto"/>
                <w:sz w:val="24"/>
              </w:rPr>
            </w:pPr>
          </w:p>
        </w:tc>
        <w:tc>
          <w:tcPr>
            <w:tcW w:w="2184" w:type="dxa"/>
            <w:vAlign w:val="center"/>
          </w:tcPr>
          <w:p w14:paraId="2F30FC9A">
            <w:pPr>
              <w:adjustRightInd w:val="0"/>
              <w:snapToGrid w:val="0"/>
              <w:jc w:val="center"/>
              <w:rPr>
                <w:color w:val="auto"/>
                <w:sz w:val="24"/>
              </w:rPr>
            </w:pPr>
          </w:p>
        </w:tc>
        <w:tc>
          <w:tcPr>
            <w:tcW w:w="980" w:type="dxa"/>
            <w:vAlign w:val="center"/>
          </w:tcPr>
          <w:p w14:paraId="05577A17">
            <w:pPr>
              <w:adjustRightInd w:val="0"/>
              <w:snapToGrid w:val="0"/>
              <w:jc w:val="center"/>
              <w:rPr>
                <w:color w:val="auto"/>
                <w:sz w:val="24"/>
              </w:rPr>
            </w:pPr>
          </w:p>
        </w:tc>
      </w:tr>
    </w:tbl>
    <w:p w14:paraId="1F7D3841">
      <w:pPr>
        <w:tabs>
          <w:tab w:val="left" w:pos="1800"/>
          <w:tab w:val="left" w:pos="5580"/>
        </w:tabs>
        <w:jc w:val="left"/>
        <w:rPr>
          <w:color w:val="auto"/>
          <w:sz w:val="24"/>
        </w:rPr>
      </w:pPr>
    </w:p>
    <w:p w14:paraId="21E3E557">
      <w:pPr>
        <w:tabs>
          <w:tab w:val="left" w:pos="1800"/>
          <w:tab w:val="left" w:pos="5580"/>
        </w:tabs>
        <w:jc w:val="left"/>
        <w:rPr>
          <w:color w:val="auto"/>
          <w:sz w:val="24"/>
        </w:rPr>
      </w:pPr>
      <w:r>
        <w:rPr>
          <w:color w:val="auto"/>
          <w:sz w:val="24"/>
        </w:rPr>
        <w:t>注： “偏离情况”列应据实填写“正偏离”或“负偏离”。</w:t>
      </w:r>
    </w:p>
    <w:p w14:paraId="3EE1F846">
      <w:pPr>
        <w:spacing w:line="360" w:lineRule="auto"/>
        <w:rPr>
          <w:color w:val="auto"/>
          <w:sz w:val="24"/>
          <w:szCs w:val="20"/>
        </w:rPr>
      </w:pPr>
    </w:p>
    <w:p w14:paraId="7DFE5BB5">
      <w:pPr>
        <w:autoSpaceDE w:val="0"/>
        <w:autoSpaceDN w:val="0"/>
        <w:adjustRightInd w:val="0"/>
        <w:snapToGrid w:val="0"/>
        <w:spacing w:before="25" w:after="25" w:line="360" w:lineRule="auto"/>
        <w:rPr>
          <w:color w:val="auto"/>
          <w:sz w:val="24"/>
          <w:lang w:val="zh-CN"/>
        </w:rPr>
      </w:pPr>
      <w:r>
        <w:rPr>
          <w:color w:val="auto"/>
          <w:sz w:val="24"/>
        </w:rPr>
        <w:t>供应商名称（加盖公章）</w:t>
      </w:r>
      <w:r>
        <w:rPr>
          <w:color w:val="auto"/>
          <w:sz w:val="24"/>
          <w:lang w:val="zh-CN"/>
        </w:rPr>
        <w:t>：</w:t>
      </w:r>
      <w:r>
        <w:rPr>
          <w:color w:val="auto"/>
          <w:sz w:val="24"/>
        </w:rPr>
        <w:t>_______________</w:t>
      </w:r>
    </w:p>
    <w:p w14:paraId="22113D7F">
      <w:pPr>
        <w:autoSpaceDE w:val="0"/>
        <w:autoSpaceDN w:val="0"/>
        <w:adjustRightInd w:val="0"/>
        <w:snapToGrid w:val="0"/>
        <w:spacing w:before="25" w:after="25" w:line="360" w:lineRule="auto"/>
        <w:rPr>
          <w:color w:val="auto"/>
          <w:sz w:val="24"/>
          <w:lang w:val="zh-CN"/>
        </w:rPr>
      </w:pPr>
      <w:r>
        <w:rPr>
          <w:color w:val="auto"/>
          <w:sz w:val="24"/>
          <w:szCs w:val="20"/>
        </w:rPr>
        <w:t xml:space="preserve">日期：____年____月____日    </w:t>
      </w:r>
    </w:p>
    <w:p w14:paraId="0A70E5AA">
      <w:pPr>
        <w:tabs>
          <w:tab w:val="left" w:pos="360"/>
        </w:tabs>
        <w:snapToGrid w:val="0"/>
        <w:spacing w:line="360" w:lineRule="auto"/>
        <w:outlineLvl w:val="1"/>
        <w:rPr>
          <w:color w:val="auto"/>
          <w:sz w:val="24"/>
          <w:szCs w:val="20"/>
        </w:rPr>
      </w:pPr>
      <w:r>
        <w:rPr>
          <w:color w:val="auto"/>
          <w:sz w:val="24"/>
          <w:szCs w:val="20"/>
        </w:rPr>
        <w:br w:type="page"/>
      </w:r>
      <w:r>
        <w:rPr>
          <w:rFonts w:hint="eastAsia"/>
          <w:color w:val="auto"/>
          <w:sz w:val="24"/>
          <w:lang w:val="en-US" w:eastAsia="zh-CN"/>
        </w:rPr>
        <w:t>9</w:t>
      </w:r>
      <w:r>
        <w:rPr>
          <w:color w:val="auto"/>
          <w:sz w:val="24"/>
        </w:rPr>
        <w:t xml:space="preserve"> </w:t>
      </w:r>
      <w:bookmarkEnd w:id="775"/>
      <w:bookmarkEnd w:id="776"/>
      <w:bookmarkEnd w:id="777"/>
      <w:bookmarkEnd w:id="778"/>
      <w:bookmarkEnd w:id="779"/>
      <w:bookmarkEnd w:id="780"/>
      <w:bookmarkEnd w:id="781"/>
      <w:bookmarkEnd w:id="782"/>
      <w:bookmarkEnd w:id="783"/>
      <w:bookmarkEnd w:id="784"/>
      <w:bookmarkEnd w:id="785"/>
      <w:bookmarkEnd w:id="786"/>
      <w:bookmarkEnd w:id="787"/>
      <w:r>
        <w:rPr>
          <w:color w:val="auto"/>
          <w:sz w:val="24"/>
        </w:rPr>
        <w:t>采购需求偏离表（实质性格式）</w:t>
      </w:r>
    </w:p>
    <w:p w14:paraId="28276AE6">
      <w:pPr>
        <w:autoSpaceDE w:val="0"/>
        <w:autoSpaceDN w:val="0"/>
        <w:adjustRightInd w:val="0"/>
        <w:spacing w:line="360" w:lineRule="auto"/>
        <w:jc w:val="center"/>
        <w:rPr>
          <w:b/>
          <w:color w:val="auto"/>
          <w:sz w:val="36"/>
          <w:szCs w:val="36"/>
        </w:rPr>
      </w:pPr>
      <w:r>
        <w:rPr>
          <w:b/>
          <w:color w:val="auto"/>
          <w:sz w:val="36"/>
          <w:szCs w:val="36"/>
        </w:rPr>
        <w:t>采购需求偏离表</w:t>
      </w:r>
    </w:p>
    <w:p w14:paraId="0B3CBF9E">
      <w:pPr>
        <w:tabs>
          <w:tab w:val="left" w:pos="1800"/>
          <w:tab w:val="left" w:pos="5580"/>
        </w:tabs>
        <w:spacing w:line="360" w:lineRule="auto"/>
        <w:ind w:firstLine="360" w:firstLineChars="150"/>
        <w:jc w:val="left"/>
        <w:rPr>
          <w:color w:val="auto"/>
          <w:sz w:val="24"/>
        </w:rPr>
      </w:pPr>
      <w:r>
        <w:rPr>
          <w:color w:val="auto"/>
          <w:sz w:val="24"/>
        </w:rPr>
        <w:t>项目编号</w:t>
      </w:r>
      <w:r>
        <w:rPr>
          <w:rFonts w:hint="eastAsia"/>
          <w:color w:val="auto"/>
          <w:sz w:val="24"/>
        </w:rPr>
        <w:t>/包号</w:t>
      </w:r>
      <w:r>
        <w:rPr>
          <w:color w:val="auto"/>
          <w:sz w:val="24"/>
        </w:rPr>
        <w:t>：_______________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27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48FBD82">
            <w:pPr>
              <w:adjustRightInd w:val="0"/>
              <w:snapToGrid w:val="0"/>
              <w:jc w:val="center"/>
              <w:rPr>
                <w:color w:val="auto"/>
                <w:sz w:val="24"/>
              </w:rPr>
            </w:pPr>
            <w:r>
              <w:rPr>
                <w:color w:val="auto"/>
                <w:sz w:val="24"/>
              </w:rPr>
              <w:t>序号</w:t>
            </w:r>
          </w:p>
        </w:tc>
        <w:tc>
          <w:tcPr>
            <w:tcW w:w="1482" w:type="dxa"/>
            <w:vAlign w:val="center"/>
          </w:tcPr>
          <w:p w14:paraId="0965E50B">
            <w:pPr>
              <w:adjustRightInd w:val="0"/>
              <w:snapToGrid w:val="0"/>
              <w:jc w:val="center"/>
              <w:rPr>
                <w:color w:val="auto"/>
                <w:sz w:val="24"/>
              </w:rPr>
            </w:pPr>
            <w:r>
              <w:rPr>
                <w:color w:val="auto"/>
                <w:sz w:val="24"/>
              </w:rPr>
              <w:t>竞争性磋商文件条目号(页码)</w:t>
            </w:r>
          </w:p>
        </w:tc>
        <w:tc>
          <w:tcPr>
            <w:tcW w:w="2384" w:type="dxa"/>
            <w:vAlign w:val="center"/>
          </w:tcPr>
          <w:p w14:paraId="25108F0B">
            <w:pPr>
              <w:adjustRightInd w:val="0"/>
              <w:snapToGrid w:val="0"/>
              <w:jc w:val="center"/>
              <w:rPr>
                <w:color w:val="auto"/>
                <w:sz w:val="24"/>
              </w:rPr>
            </w:pPr>
            <w:r>
              <w:rPr>
                <w:color w:val="auto"/>
                <w:sz w:val="24"/>
              </w:rPr>
              <w:t>竞争性磋商文件要求</w:t>
            </w:r>
          </w:p>
        </w:tc>
        <w:tc>
          <w:tcPr>
            <w:tcW w:w="2126" w:type="dxa"/>
            <w:vAlign w:val="center"/>
          </w:tcPr>
          <w:p w14:paraId="074C6DBE">
            <w:pPr>
              <w:adjustRightInd w:val="0"/>
              <w:snapToGrid w:val="0"/>
              <w:jc w:val="center"/>
              <w:rPr>
                <w:color w:val="auto"/>
                <w:sz w:val="24"/>
              </w:rPr>
            </w:pPr>
            <w:r>
              <w:rPr>
                <w:color w:val="auto"/>
                <w:sz w:val="24"/>
              </w:rPr>
              <w:t>响应内容</w:t>
            </w:r>
          </w:p>
        </w:tc>
        <w:tc>
          <w:tcPr>
            <w:tcW w:w="1875" w:type="dxa"/>
            <w:vAlign w:val="center"/>
          </w:tcPr>
          <w:p w14:paraId="1A1AD636">
            <w:pPr>
              <w:adjustRightInd w:val="0"/>
              <w:snapToGrid w:val="0"/>
              <w:jc w:val="center"/>
              <w:rPr>
                <w:color w:val="auto"/>
                <w:sz w:val="24"/>
              </w:rPr>
            </w:pPr>
            <w:r>
              <w:rPr>
                <w:color w:val="auto"/>
                <w:sz w:val="24"/>
              </w:rPr>
              <w:t>偏离情况</w:t>
            </w:r>
          </w:p>
        </w:tc>
        <w:tc>
          <w:tcPr>
            <w:tcW w:w="1009" w:type="dxa"/>
            <w:vAlign w:val="center"/>
          </w:tcPr>
          <w:p w14:paraId="12989456">
            <w:pPr>
              <w:adjustRightInd w:val="0"/>
              <w:snapToGrid w:val="0"/>
              <w:jc w:val="center"/>
              <w:rPr>
                <w:color w:val="auto"/>
                <w:sz w:val="24"/>
              </w:rPr>
            </w:pPr>
            <w:r>
              <w:rPr>
                <w:color w:val="auto"/>
                <w:sz w:val="24"/>
              </w:rPr>
              <w:t>说明</w:t>
            </w:r>
          </w:p>
        </w:tc>
      </w:tr>
      <w:tr w14:paraId="1681B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AF8F451">
            <w:pPr>
              <w:adjustRightInd w:val="0"/>
              <w:snapToGrid w:val="0"/>
              <w:jc w:val="center"/>
              <w:rPr>
                <w:color w:val="auto"/>
                <w:sz w:val="24"/>
              </w:rPr>
            </w:pPr>
          </w:p>
        </w:tc>
        <w:tc>
          <w:tcPr>
            <w:tcW w:w="1482" w:type="dxa"/>
            <w:vAlign w:val="center"/>
          </w:tcPr>
          <w:p w14:paraId="6BC1A77C">
            <w:pPr>
              <w:adjustRightInd w:val="0"/>
              <w:snapToGrid w:val="0"/>
              <w:jc w:val="center"/>
              <w:rPr>
                <w:color w:val="auto"/>
                <w:sz w:val="24"/>
              </w:rPr>
            </w:pPr>
          </w:p>
        </w:tc>
        <w:tc>
          <w:tcPr>
            <w:tcW w:w="2384" w:type="dxa"/>
            <w:vAlign w:val="center"/>
          </w:tcPr>
          <w:p w14:paraId="7F432BB7">
            <w:pPr>
              <w:adjustRightInd w:val="0"/>
              <w:snapToGrid w:val="0"/>
              <w:jc w:val="center"/>
              <w:rPr>
                <w:color w:val="auto"/>
                <w:sz w:val="24"/>
              </w:rPr>
            </w:pPr>
          </w:p>
        </w:tc>
        <w:tc>
          <w:tcPr>
            <w:tcW w:w="2126" w:type="dxa"/>
            <w:vAlign w:val="center"/>
          </w:tcPr>
          <w:p w14:paraId="4EF10C6E">
            <w:pPr>
              <w:adjustRightInd w:val="0"/>
              <w:snapToGrid w:val="0"/>
              <w:jc w:val="center"/>
              <w:rPr>
                <w:color w:val="auto"/>
                <w:sz w:val="24"/>
              </w:rPr>
            </w:pPr>
          </w:p>
        </w:tc>
        <w:tc>
          <w:tcPr>
            <w:tcW w:w="1875" w:type="dxa"/>
            <w:vAlign w:val="center"/>
          </w:tcPr>
          <w:p w14:paraId="1076C908">
            <w:pPr>
              <w:adjustRightInd w:val="0"/>
              <w:snapToGrid w:val="0"/>
              <w:jc w:val="center"/>
              <w:rPr>
                <w:color w:val="auto"/>
                <w:sz w:val="24"/>
              </w:rPr>
            </w:pPr>
          </w:p>
        </w:tc>
        <w:tc>
          <w:tcPr>
            <w:tcW w:w="1009" w:type="dxa"/>
            <w:vAlign w:val="center"/>
          </w:tcPr>
          <w:p w14:paraId="380AEF0E">
            <w:pPr>
              <w:adjustRightInd w:val="0"/>
              <w:snapToGrid w:val="0"/>
              <w:jc w:val="center"/>
              <w:rPr>
                <w:color w:val="auto"/>
                <w:sz w:val="24"/>
              </w:rPr>
            </w:pPr>
          </w:p>
        </w:tc>
      </w:tr>
      <w:tr w14:paraId="4063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9C6FB77">
            <w:pPr>
              <w:adjustRightInd w:val="0"/>
              <w:snapToGrid w:val="0"/>
              <w:jc w:val="center"/>
              <w:rPr>
                <w:color w:val="auto"/>
                <w:sz w:val="24"/>
              </w:rPr>
            </w:pPr>
          </w:p>
        </w:tc>
        <w:tc>
          <w:tcPr>
            <w:tcW w:w="1482" w:type="dxa"/>
            <w:vAlign w:val="center"/>
          </w:tcPr>
          <w:p w14:paraId="31A9BE73">
            <w:pPr>
              <w:adjustRightInd w:val="0"/>
              <w:snapToGrid w:val="0"/>
              <w:jc w:val="center"/>
              <w:rPr>
                <w:color w:val="auto"/>
                <w:sz w:val="24"/>
              </w:rPr>
            </w:pPr>
          </w:p>
        </w:tc>
        <w:tc>
          <w:tcPr>
            <w:tcW w:w="2384" w:type="dxa"/>
            <w:vAlign w:val="center"/>
          </w:tcPr>
          <w:p w14:paraId="57FC20C9">
            <w:pPr>
              <w:adjustRightInd w:val="0"/>
              <w:snapToGrid w:val="0"/>
              <w:jc w:val="center"/>
              <w:rPr>
                <w:color w:val="auto"/>
                <w:sz w:val="24"/>
              </w:rPr>
            </w:pPr>
          </w:p>
        </w:tc>
        <w:tc>
          <w:tcPr>
            <w:tcW w:w="2126" w:type="dxa"/>
            <w:vAlign w:val="center"/>
          </w:tcPr>
          <w:p w14:paraId="7E82A525">
            <w:pPr>
              <w:adjustRightInd w:val="0"/>
              <w:snapToGrid w:val="0"/>
              <w:jc w:val="center"/>
              <w:rPr>
                <w:color w:val="auto"/>
                <w:sz w:val="24"/>
              </w:rPr>
            </w:pPr>
          </w:p>
        </w:tc>
        <w:tc>
          <w:tcPr>
            <w:tcW w:w="1875" w:type="dxa"/>
            <w:vAlign w:val="center"/>
          </w:tcPr>
          <w:p w14:paraId="75066C62">
            <w:pPr>
              <w:adjustRightInd w:val="0"/>
              <w:snapToGrid w:val="0"/>
              <w:jc w:val="center"/>
              <w:rPr>
                <w:color w:val="auto"/>
                <w:sz w:val="24"/>
              </w:rPr>
            </w:pPr>
          </w:p>
        </w:tc>
        <w:tc>
          <w:tcPr>
            <w:tcW w:w="1009" w:type="dxa"/>
            <w:vAlign w:val="center"/>
          </w:tcPr>
          <w:p w14:paraId="1278D3D4">
            <w:pPr>
              <w:adjustRightInd w:val="0"/>
              <w:snapToGrid w:val="0"/>
              <w:jc w:val="center"/>
              <w:rPr>
                <w:color w:val="auto"/>
                <w:sz w:val="24"/>
              </w:rPr>
            </w:pPr>
          </w:p>
        </w:tc>
      </w:tr>
      <w:tr w14:paraId="569B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8D4A7A">
            <w:pPr>
              <w:adjustRightInd w:val="0"/>
              <w:snapToGrid w:val="0"/>
              <w:jc w:val="center"/>
              <w:rPr>
                <w:color w:val="auto"/>
                <w:sz w:val="24"/>
              </w:rPr>
            </w:pPr>
          </w:p>
        </w:tc>
        <w:tc>
          <w:tcPr>
            <w:tcW w:w="1482" w:type="dxa"/>
            <w:vAlign w:val="center"/>
          </w:tcPr>
          <w:p w14:paraId="7C6EEFA0">
            <w:pPr>
              <w:adjustRightInd w:val="0"/>
              <w:snapToGrid w:val="0"/>
              <w:jc w:val="center"/>
              <w:rPr>
                <w:color w:val="auto"/>
                <w:sz w:val="24"/>
              </w:rPr>
            </w:pPr>
          </w:p>
        </w:tc>
        <w:tc>
          <w:tcPr>
            <w:tcW w:w="2384" w:type="dxa"/>
            <w:vAlign w:val="center"/>
          </w:tcPr>
          <w:p w14:paraId="46EBCE00">
            <w:pPr>
              <w:adjustRightInd w:val="0"/>
              <w:snapToGrid w:val="0"/>
              <w:jc w:val="center"/>
              <w:rPr>
                <w:color w:val="auto"/>
                <w:sz w:val="24"/>
              </w:rPr>
            </w:pPr>
          </w:p>
        </w:tc>
        <w:tc>
          <w:tcPr>
            <w:tcW w:w="2126" w:type="dxa"/>
            <w:vAlign w:val="center"/>
          </w:tcPr>
          <w:p w14:paraId="5F4AC006">
            <w:pPr>
              <w:adjustRightInd w:val="0"/>
              <w:snapToGrid w:val="0"/>
              <w:jc w:val="center"/>
              <w:rPr>
                <w:color w:val="auto"/>
                <w:sz w:val="24"/>
              </w:rPr>
            </w:pPr>
          </w:p>
        </w:tc>
        <w:tc>
          <w:tcPr>
            <w:tcW w:w="1875" w:type="dxa"/>
            <w:vAlign w:val="center"/>
          </w:tcPr>
          <w:p w14:paraId="51B580D8">
            <w:pPr>
              <w:adjustRightInd w:val="0"/>
              <w:snapToGrid w:val="0"/>
              <w:jc w:val="center"/>
              <w:rPr>
                <w:color w:val="auto"/>
                <w:sz w:val="24"/>
              </w:rPr>
            </w:pPr>
          </w:p>
        </w:tc>
        <w:tc>
          <w:tcPr>
            <w:tcW w:w="1009" w:type="dxa"/>
            <w:vAlign w:val="center"/>
          </w:tcPr>
          <w:p w14:paraId="3B1CB011">
            <w:pPr>
              <w:adjustRightInd w:val="0"/>
              <w:snapToGrid w:val="0"/>
              <w:jc w:val="center"/>
              <w:rPr>
                <w:color w:val="auto"/>
                <w:sz w:val="24"/>
              </w:rPr>
            </w:pPr>
          </w:p>
        </w:tc>
      </w:tr>
      <w:tr w14:paraId="0329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2315EE">
            <w:pPr>
              <w:adjustRightInd w:val="0"/>
              <w:snapToGrid w:val="0"/>
              <w:jc w:val="center"/>
              <w:rPr>
                <w:color w:val="auto"/>
                <w:sz w:val="24"/>
              </w:rPr>
            </w:pPr>
          </w:p>
        </w:tc>
        <w:tc>
          <w:tcPr>
            <w:tcW w:w="1482" w:type="dxa"/>
            <w:vAlign w:val="center"/>
          </w:tcPr>
          <w:p w14:paraId="200D16D7">
            <w:pPr>
              <w:adjustRightInd w:val="0"/>
              <w:snapToGrid w:val="0"/>
              <w:jc w:val="center"/>
              <w:rPr>
                <w:color w:val="auto"/>
                <w:sz w:val="24"/>
              </w:rPr>
            </w:pPr>
          </w:p>
        </w:tc>
        <w:tc>
          <w:tcPr>
            <w:tcW w:w="2384" w:type="dxa"/>
            <w:vAlign w:val="center"/>
          </w:tcPr>
          <w:p w14:paraId="3132059B">
            <w:pPr>
              <w:adjustRightInd w:val="0"/>
              <w:snapToGrid w:val="0"/>
              <w:jc w:val="center"/>
              <w:rPr>
                <w:color w:val="auto"/>
                <w:sz w:val="24"/>
              </w:rPr>
            </w:pPr>
          </w:p>
        </w:tc>
        <w:tc>
          <w:tcPr>
            <w:tcW w:w="2126" w:type="dxa"/>
            <w:vAlign w:val="center"/>
          </w:tcPr>
          <w:p w14:paraId="670DDA6E">
            <w:pPr>
              <w:adjustRightInd w:val="0"/>
              <w:snapToGrid w:val="0"/>
              <w:jc w:val="center"/>
              <w:rPr>
                <w:color w:val="auto"/>
                <w:sz w:val="24"/>
              </w:rPr>
            </w:pPr>
          </w:p>
        </w:tc>
        <w:tc>
          <w:tcPr>
            <w:tcW w:w="1875" w:type="dxa"/>
            <w:vAlign w:val="center"/>
          </w:tcPr>
          <w:p w14:paraId="1981A6F9">
            <w:pPr>
              <w:adjustRightInd w:val="0"/>
              <w:snapToGrid w:val="0"/>
              <w:jc w:val="center"/>
              <w:rPr>
                <w:color w:val="auto"/>
                <w:sz w:val="24"/>
              </w:rPr>
            </w:pPr>
          </w:p>
        </w:tc>
        <w:tc>
          <w:tcPr>
            <w:tcW w:w="1009" w:type="dxa"/>
            <w:vAlign w:val="center"/>
          </w:tcPr>
          <w:p w14:paraId="1DEF5F59">
            <w:pPr>
              <w:adjustRightInd w:val="0"/>
              <w:snapToGrid w:val="0"/>
              <w:jc w:val="center"/>
              <w:rPr>
                <w:color w:val="auto"/>
                <w:sz w:val="24"/>
              </w:rPr>
            </w:pPr>
          </w:p>
        </w:tc>
      </w:tr>
      <w:tr w14:paraId="1AE9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DC65EF4">
            <w:pPr>
              <w:adjustRightInd w:val="0"/>
              <w:snapToGrid w:val="0"/>
              <w:jc w:val="center"/>
              <w:rPr>
                <w:color w:val="auto"/>
                <w:sz w:val="24"/>
              </w:rPr>
            </w:pPr>
          </w:p>
        </w:tc>
        <w:tc>
          <w:tcPr>
            <w:tcW w:w="1482" w:type="dxa"/>
            <w:vAlign w:val="center"/>
          </w:tcPr>
          <w:p w14:paraId="6E35A190">
            <w:pPr>
              <w:adjustRightInd w:val="0"/>
              <w:snapToGrid w:val="0"/>
              <w:jc w:val="center"/>
              <w:rPr>
                <w:color w:val="auto"/>
                <w:sz w:val="24"/>
              </w:rPr>
            </w:pPr>
          </w:p>
        </w:tc>
        <w:tc>
          <w:tcPr>
            <w:tcW w:w="2384" w:type="dxa"/>
            <w:vAlign w:val="center"/>
          </w:tcPr>
          <w:p w14:paraId="1A8409E0">
            <w:pPr>
              <w:adjustRightInd w:val="0"/>
              <w:snapToGrid w:val="0"/>
              <w:jc w:val="center"/>
              <w:rPr>
                <w:color w:val="auto"/>
                <w:sz w:val="24"/>
              </w:rPr>
            </w:pPr>
          </w:p>
        </w:tc>
        <w:tc>
          <w:tcPr>
            <w:tcW w:w="2126" w:type="dxa"/>
            <w:vAlign w:val="center"/>
          </w:tcPr>
          <w:p w14:paraId="567B93E4">
            <w:pPr>
              <w:adjustRightInd w:val="0"/>
              <w:snapToGrid w:val="0"/>
              <w:jc w:val="center"/>
              <w:rPr>
                <w:color w:val="auto"/>
                <w:sz w:val="24"/>
              </w:rPr>
            </w:pPr>
          </w:p>
        </w:tc>
        <w:tc>
          <w:tcPr>
            <w:tcW w:w="1875" w:type="dxa"/>
            <w:vAlign w:val="center"/>
          </w:tcPr>
          <w:p w14:paraId="5DE57089">
            <w:pPr>
              <w:adjustRightInd w:val="0"/>
              <w:snapToGrid w:val="0"/>
              <w:jc w:val="center"/>
              <w:rPr>
                <w:color w:val="auto"/>
                <w:sz w:val="24"/>
              </w:rPr>
            </w:pPr>
          </w:p>
        </w:tc>
        <w:tc>
          <w:tcPr>
            <w:tcW w:w="1009" w:type="dxa"/>
            <w:vAlign w:val="center"/>
          </w:tcPr>
          <w:p w14:paraId="461B2863">
            <w:pPr>
              <w:adjustRightInd w:val="0"/>
              <w:snapToGrid w:val="0"/>
              <w:jc w:val="center"/>
              <w:rPr>
                <w:color w:val="auto"/>
                <w:sz w:val="24"/>
              </w:rPr>
            </w:pPr>
          </w:p>
        </w:tc>
      </w:tr>
      <w:tr w14:paraId="2AFBD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0174B20">
            <w:pPr>
              <w:adjustRightInd w:val="0"/>
              <w:snapToGrid w:val="0"/>
              <w:jc w:val="center"/>
              <w:rPr>
                <w:color w:val="auto"/>
                <w:sz w:val="24"/>
              </w:rPr>
            </w:pPr>
          </w:p>
        </w:tc>
        <w:tc>
          <w:tcPr>
            <w:tcW w:w="1482" w:type="dxa"/>
            <w:vAlign w:val="center"/>
          </w:tcPr>
          <w:p w14:paraId="18A9B14A">
            <w:pPr>
              <w:adjustRightInd w:val="0"/>
              <w:snapToGrid w:val="0"/>
              <w:jc w:val="center"/>
              <w:rPr>
                <w:color w:val="auto"/>
                <w:sz w:val="24"/>
              </w:rPr>
            </w:pPr>
          </w:p>
        </w:tc>
        <w:tc>
          <w:tcPr>
            <w:tcW w:w="2384" w:type="dxa"/>
            <w:vAlign w:val="center"/>
          </w:tcPr>
          <w:p w14:paraId="4103333C">
            <w:pPr>
              <w:adjustRightInd w:val="0"/>
              <w:snapToGrid w:val="0"/>
              <w:jc w:val="center"/>
              <w:rPr>
                <w:color w:val="auto"/>
                <w:sz w:val="24"/>
              </w:rPr>
            </w:pPr>
          </w:p>
        </w:tc>
        <w:tc>
          <w:tcPr>
            <w:tcW w:w="2126" w:type="dxa"/>
            <w:vAlign w:val="center"/>
          </w:tcPr>
          <w:p w14:paraId="32D153A4">
            <w:pPr>
              <w:adjustRightInd w:val="0"/>
              <w:snapToGrid w:val="0"/>
              <w:jc w:val="center"/>
              <w:rPr>
                <w:color w:val="auto"/>
                <w:sz w:val="24"/>
              </w:rPr>
            </w:pPr>
          </w:p>
        </w:tc>
        <w:tc>
          <w:tcPr>
            <w:tcW w:w="1875" w:type="dxa"/>
            <w:vAlign w:val="center"/>
          </w:tcPr>
          <w:p w14:paraId="23828FD9">
            <w:pPr>
              <w:adjustRightInd w:val="0"/>
              <w:snapToGrid w:val="0"/>
              <w:jc w:val="center"/>
              <w:rPr>
                <w:color w:val="auto"/>
                <w:sz w:val="24"/>
              </w:rPr>
            </w:pPr>
          </w:p>
        </w:tc>
        <w:tc>
          <w:tcPr>
            <w:tcW w:w="1009" w:type="dxa"/>
            <w:vAlign w:val="center"/>
          </w:tcPr>
          <w:p w14:paraId="62D5466E">
            <w:pPr>
              <w:adjustRightInd w:val="0"/>
              <w:snapToGrid w:val="0"/>
              <w:jc w:val="center"/>
              <w:rPr>
                <w:color w:val="auto"/>
                <w:sz w:val="24"/>
              </w:rPr>
            </w:pPr>
          </w:p>
        </w:tc>
      </w:tr>
    </w:tbl>
    <w:p w14:paraId="1AAF9D53">
      <w:pPr>
        <w:tabs>
          <w:tab w:val="left" w:pos="1800"/>
          <w:tab w:val="left" w:pos="5580"/>
        </w:tabs>
        <w:spacing w:line="360" w:lineRule="auto"/>
        <w:ind w:firstLine="360" w:firstLineChars="150"/>
        <w:jc w:val="left"/>
        <w:rPr>
          <w:color w:val="auto"/>
          <w:sz w:val="24"/>
          <w:u w:val="single"/>
        </w:rPr>
      </w:pPr>
    </w:p>
    <w:p w14:paraId="5E33358B">
      <w:pPr>
        <w:tabs>
          <w:tab w:val="left" w:pos="1800"/>
          <w:tab w:val="left" w:pos="5580"/>
        </w:tabs>
        <w:jc w:val="left"/>
        <w:rPr>
          <w:color w:val="auto"/>
          <w:sz w:val="24"/>
        </w:rPr>
      </w:pPr>
      <w:r>
        <w:rPr>
          <w:color w:val="auto"/>
          <w:sz w:val="24"/>
        </w:rPr>
        <w:t>注：</w:t>
      </w:r>
    </w:p>
    <w:p w14:paraId="6D99FEC5">
      <w:pPr>
        <w:tabs>
          <w:tab w:val="left" w:pos="1800"/>
          <w:tab w:val="left" w:pos="5580"/>
        </w:tabs>
        <w:jc w:val="left"/>
        <w:rPr>
          <w:rFonts w:hint="eastAsia" w:ascii="宋体" w:hAnsi="宋体" w:cs="宋体"/>
          <w:color w:val="auto"/>
          <w:sz w:val="24"/>
        </w:rPr>
      </w:pPr>
      <w:r>
        <w:rPr>
          <w:color w:val="auto"/>
          <w:sz w:val="24"/>
        </w:rPr>
        <w:t>1</w:t>
      </w:r>
      <w:r>
        <w:rPr>
          <w:rFonts w:hint="eastAsia" w:ascii="宋体" w:hAnsi="宋体" w:cs="宋体"/>
          <w:color w:val="auto"/>
          <w:sz w:val="24"/>
        </w:rPr>
        <w:t>.对竞争性磋商文件中的所有商务、技术要求，除本表所列明的所有偏离外，均视作供应商已对之理解和响应。此表中若无任何文字说明，内容为空白的，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rPr>
        <w:t>响应无效</w:t>
      </w:r>
      <w:r>
        <w:rPr>
          <w:rFonts w:hint="eastAsia" w:ascii="宋体" w:hAnsi="宋体" w:cs="宋体"/>
          <w:color w:val="auto"/>
          <w:sz w:val="24"/>
        </w:rPr>
        <w:t>。</w:t>
      </w:r>
    </w:p>
    <w:p w14:paraId="47CFAD46">
      <w:pPr>
        <w:tabs>
          <w:tab w:val="left" w:pos="1800"/>
          <w:tab w:val="left" w:pos="5580"/>
        </w:tabs>
        <w:jc w:val="left"/>
        <w:rPr>
          <w:color w:val="auto"/>
          <w:sz w:val="24"/>
        </w:rPr>
      </w:pPr>
      <w:r>
        <w:rPr>
          <w:color w:val="auto"/>
          <w:sz w:val="24"/>
        </w:rPr>
        <w:t>2</w:t>
      </w:r>
      <w:r>
        <w:rPr>
          <w:rFonts w:hint="eastAsia" w:ascii="宋体" w:hAnsi="宋体" w:cs="宋体"/>
          <w:color w:val="auto"/>
          <w:sz w:val="24"/>
        </w:rPr>
        <w:t>.“偏离情况”列应据实填写“无偏离”、“正偏离”或“负偏离”。</w:t>
      </w:r>
    </w:p>
    <w:p w14:paraId="05372AE1">
      <w:pPr>
        <w:tabs>
          <w:tab w:val="left" w:pos="1800"/>
          <w:tab w:val="left" w:pos="5580"/>
        </w:tabs>
        <w:jc w:val="left"/>
        <w:rPr>
          <w:color w:val="auto"/>
          <w:sz w:val="24"/>
        </w:rPr>
      </w:pPr>
    </w:p>
    <w:p w14:paraId="3074A20D">
      <w:pPr>
        <w:rPr>
          <w:color w:val="auto"/>
          <w:sz w:val="24"/>
          <w:szCs w:val="20"/>
        </w:rPr>
      </w:pPr>
    </w:p>
    <w:p w14:paraId="05799BED">
      <w:pPr>
        <w:autoSpaceDE w:val="0"/>
        <w:autoSpaceDN w:val="0"/>
        <w:adjustRightInd w:val="0"/>
        <w:snapToGrid w:val="0"/>
        <w:spacing w:before="25" w:after="25" w:line="360" w:lineRule="auto"/>
        <w:ind w:right="360"/>
        <w:jc w:val="left"/>
        <w:rPr>
          <w:color w:val="auto"/>
          <w:sz w:val="24"/>
          <w:lang w:val="zh-CN"/>
        </w:rPr>
      </w:pPr>
      <w:r>
        <w:rPr>
          <w:color w:val="auto"/>
          <w:sz w:val="24"/>
        </w:rPr>
        <w:t>供应商名称（加盖公章）</w:t>
      </w:r>
      <w:r>
        <w:rPr>
          <w:color w:val="auto"/>
          <w:sz w:val="24"/>
          <w:lang w:val="zh-CN"/>
        </w:rPr>
        <w:t>：</w:t>
      </w:r>
      <w:r>
        <w:rPr>
          <w:color w:val="auto"/>
          <w:sz w:val="24"/>
        </w:rPr>
        <w:t>______</w:t>
      </w:r>
    </w:p>
    <w:p w14:paraId="255F865A">
      <w:pPr>
        <w:autoSpaceDE w:val="0"/>
        <w:autoSpaceDN w:val="0"/>
        <w:adjustRightInd w:val="0"/>
        <w:snapToGrid w:val="0"/>
        <w:spacing w:before="25" w:after="25" w:line="360" w:lineRule="auto"/>
        <w:ind w:right="360"/>
        <w:jc w:val="left"/>
        <w:rPr>
          <w:color w:val="auto"/>
          <w:sz w:val="24"/>
          <w:szCs w:val="20"/>
        </w:rPr>
      </w:pPr>
      <w:r>
        <w:rPr>
          <w:color w:val="auto"/>
          <w:sz w:val="24"/>
          <w:szCs w:val="20"/>
        </w:rPr>
        <w:t xml:space="preserve">日期：____年____月____日 </w:t>
      </w:r>
    </w:p>
    <w:p w14:paraId="5CB1E776">
      <w:pPr>
        <w:tabs>
          <w:tab w:val="left" w:pos="360"/>
        </w:tabs>
        <w:snapToGrid w:val="0"/>
        <w:spacing w:line="360" w:lineRule="auto"/>
        <w:outlineLvl w:val="1"/>
        <w:rPr>
          <w:color w:val="auto"/>
          <w:sz w:val="24"/>
        </w:rPr>
      </w:pPr>
      <w:r>
        <w:rPr>
          <w:color w:val="auto"/>
          <w:sz w:val="24"/>
          <w:szCs w:val="20"/>
        </w:rPr>
        <w:br w:type="page"/>
      </w:r>
      <w:bookmarkStart w:id="788" w:name="_Toc39072990"/>
      <w:r>
        <w:rPr>
          <w:rFonts w:hint="eastAsia" w:eastAsiaTheme="minorEastAsia"/>
          <w:color w:val="auto"/>
          <w:sz w:val="24"/>
          <w:lang w:val="en-US" w:eastAsia="zh-CN"/>
        </w:rPr>
        <w:t>10</w:t>
      </w:r>
      <w:r>
        <w:rPr>
          <w:rFonts w:eastAsiaTheme="minorEastAsia"/>
          <w:color w:val="auto"/>
          <w:sz w:val="24"/>
        </w:rPr>
        <w:t xml:space="preserve"> </w:t>
      </w:r>
      <w:r>
        <w:rPr>
          <w:color w:val="auto"/>
          <w:sz w:val="24"/>
        </w:rPr>
        <w:t>近年完成的类似项目情况表</w:t>
      </w:r>
      <w:bookmarkEnd w:id="788"/>
      <w:r>
        <w:rPr>
          <w:color w:val="auto"/>
          <w:sz w:val="24"/>
        </w:rPr>
        <w:t>(如有)</w:t>
      </w:r>
    </w:p>
    <w:p w14:paraId="30097F9F">
      <w:pPr>
        <w:autoSpaceDE w:val="0"/>
        <w:autoSpaceDN w:val="0"/>
        <w:adjustRightInd w:val="0"/>
        <w:spacing w:line="360" w:lineRule="auto"/>
        <w:jc w:val="center"/>
        <w:rPr>
          <w:b/>
          <w:color w:val="auto"/>
          <w:sz w:val="36"/>
          <w:szCs w:val="36"/>
        </w:rPr>
      </w:pPr>
      <w:r>
        <w:rPr>
          <w:b/>
          <w:color w:val="auto"/>
          <w:sz w:val="36"/>
          <w:szCs w:val="36"/>
        </w:rPr>
        <w:t>近年完成的类似项目情况表</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2038"/>
        <w:gridCol w:w="1472"/>
        <w:gridCol w:w="2748"/>
      </w:tblGrid>
      <w:tr w14:paraId="0F56B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771C3DC">
            <w:pPr>
              <w:topLinePunct/>
              <w:jc w:val="center"/>
              <w:rPr>
                <w:color w:val="auto"/>
                <w:sz w:val="24"/>
              </w:rPr>
            </w:pPr>
            <w:r>
              <w:rPr>
                <w:color w:val="auto"/>
                <w:sz w:val="24"/>
              </w:rPr>
              <w:t>项目名称</w:t>
            </w:r>
          </w:p>
        </w:tc>
        <w:tc>
          <w:tcPr>
            <w:tcW w:w="6258" w:type="dxa"/>
            <w:gridSpan w:val="3"/>
            <w:vAlign w:val="center"/>
          </w:tcPr>
          <w:p w14:paraId="6273CB9A">
            <w:pPr>
              <w:topLinePunct/>
              <w:rPr>
                <w:color w:val="auto"/>
                <w:sz w:val="24"/>
              </w:rPr>
            </w:pPr>
          </w:p>
        </w:tc>
      </w:tr>
      <w:tr w14:paraId="55AEB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0C9F5C24">
            <w:pPr>
              <w:topLinePunct/>
              <w:jc w:val="center"/>
              <w:rPr>
                <w:color w:val="auto"/>
                <w:sz w:val="24"/>
              </w:rPr>
            </w:pPr>
            <w:r>
              <w:rPr>
                <w:color w:val="auto"/>
                <w:sz w:val="24"/>
              </w:rPr>
              <w:t>项目所在地</w:t>
            </w:r>
          </w:p>
        </w:tc>
        <w:tc>
          <w:tcPr>
            <w:tcW w:w="6258" w:type="dxa"/>
            <w:gridSpan w:val="3"/>
            <w:vAlign w:val="center"/>
          </w:tcPr>
          <w:p w14:paraId="589E8DB2">
            <w:pPr>
              <w:topLinePunct/>
              <w:rPr>
                <w:color w:val="auto"/>
                <w:sz w:val="24"/>
              </w:rPr>
            </w:pPr>
          </w:p>
        </w:tc>
      </w:tr>
      <w:tr w14:paraId="127A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70" w:type="dxa"/>
            <w:vAlign w:val="center"/>
          </w:tcPr>
          <w:p w14:paraId="2BA7ED07">
            <w:pPr>
              <w:topLinePunct/>
              <w:jc w:val="center"/>
              <w:rPr>
                <w:color w:val="auto"/>
                <w:sz w:val="24"/>
              </w:rPr>
            </w:pPr>
            <w:r>
              <w:rPr>
                <w:color w:val="auto"/>
                <w:sz w:val="24"/>
              </w:rPr>
              <w:t>发包人名称</w:t>
            </w:r>
          </w:p>
        </w:tc>
        <w:tc>
          <w:tcPr>
            <w:tcW w:w="6258" w:type="dxa"/>
            <w:gridSpan w:val="3"/>
            <w:vAlign w:val="center"/>
          </w:tcPr>
          <w:p w14:paraId="643CFB1C">
            <w:pPr>
              <w:topLinePunct/>
              <w:rPr>
                <w:color w:val="auto"/>
                <w:sz w:val="24"/>
              </w:rPr>
            </w:pPr>
          </w:p>
        </w:tc>
      </w:tr>
      <w:tr w14:paraId="5451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78B4D70C">
            <w:pPr>
              <w:topLinePunct/>
              <w:jc w:val="center"/>
              <w:rPr>
                <w:color w:val="auto"/>
                <w:sz w:val="24"/>
              </w:rPr>
            </w:pPr>
            <w:r>
              <w:rPr>
                <w:color w:val="auto"/>
                <w:sz w:val="24"/>
              </w:rPr>
              <w:t>发包人地址</w:t>
            </w:r>
          </w:p>
        </w:tc>
        <w:tc>
          <w:tcPr>
            <w:tcW w:w="6258" w:type="dxa"/>
            <w:gridSpan w:val="3"/>
            <w:vAlign w:val="center"/>
          </w:tcPr>
          <w:p w14:paraId="4CAAECF5">
            <w:pPr>
              <w:topLinePunct/>
              <w:rPr>
                <w:color w:val="auto"/>
                <w:sz w:val="24"/>
              </w:rPr>
            </w:pPr>
          </w:p>
        </w:tc>
      </w:tr>
      <w:tr w14:paraId="78B4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4D3A54EF">
            <w:pPr>
              <w:topLinePunct/>
              <w:jc w:val="center"/>
              <w:rPr>
                <w:color w:val="auto"/>
                <w:sz w:val="24"/>
              </w:rPr>
            </w:pPr>
            <w:r>
              <w:rPr>
                <w:color w:val="auto"/>
                <w:sz w:val="24"/>
              </w:rPr>
              <w:t>发包人联系人</w:t>
            </w:r>
          </w:p>
        </w:tc>
        <w:tc>
          <w:tcPr>
            <w:tcW w:w="2038" w:type="dxa"/>
            <w:vAlign w:val="center"/>
          </w:tcPr>
          <w:p w14:paraId="51D939E7">
            <w:pPr>
              <w:topLinePunct/>
              <w:rPr>
                <w:color w:val="auto"/>
                <w:sz w:val="24"/>
              </w:rPr>
            </w:pPr>
          </w:p>
        </w:tc>
        <w:tc>
          <w:tcPr>
            <w:tcW w:w="1472" w:type="dxa"/>
            <w:vAlign w:val="center"/>
          </w:tcPr>
          <w:p w14:paraId="158F2E09">
            <w:pPr>
              <w:topLinePunct/>
              <w:ind w:firstLine="120" w:firstLineChars="50"/>
              <w:jc w:val="center"/>
              <w:rPr>
                <w:color w:val="auto"/>
                <w:sz w:val="24"/>
              </w:rPr>
            </w:pPr>
            <w:r>
              <w:rPr>
                <w:color w:val="auto"/>
                <w:sz w:val="24"/>
              </w:rPr>
              <w:t>联系电话</w:t>
            </w:r>
          </w:p>
        </w:tc>
        <w:tc>
          <w:tcPr>
            <w:tcW w:w="2748" w:type="dxa"/>
            <w:vAlign w:val="center"/>
          </w:tcPr>
          <w:p w14:paraId="30E5BDF3">
            <w:pPr>
              <w:topLinePunct/>
              <w:rPr>
                <w:color w:val="auto"/>
                <w:sz w:val="24"/>
              </w:rPr>
            </w:pPr>
          </w:p>
        </w:tc>
      </w:tr>
      <w:tr w14:paraId="7470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50E7FED6">
            <w:pPr>
              <w:topLinePunct/>
              <w:jc w:val="center"/>
              <w:rPr>
                <w:color w:val="auto"/>
                <w:sz w:val="24"/>
              </w:rPr>
            </w:pPr>
            <w:r>
              <w:rPr>
                <w:color w:val="auto"/>
                <w:sz w:val="24"/>
              </w:rPr>
              <w:t>合同价格</w:t>
            </w:r>
          </w:p>
        </w:tc>
        <w:tc>
          <w:tcPr>
            <w:tcW w:w="6258" w:type="dxa"/>
            <w:gridSpan w:val="3"/>
            <w:vAlign w:val="center"/>
          </w:tcPr>
          <w:p w14:paraId="6F28346D">
            <w:pPr>
              <w:pStyle w:val="212"/>
              <w:topLinePunct/>
              <w:rPr>
                <w:color w:val="auto"/>
                <w:sz w:val="24"/>
              </w:rPr>
            </w:pPr>
          </w:p>
        </w:tc>
      </w:tr>
      <w:tr w14:paraId="7D1A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70" w:type="dxa"/>
            <w:vAlign w:val="center"/>
          </w:tcPr>
          <w:p w14:paraId="0E9D33B6">
            <w:pPr>
              <w:topLinePunct/>
              <w:jc w:val="center"/>
              <w:rPr>
                <w:color w:val="auto"/>
                <w:sz w:val="24"/>
              </w:rPr>
            </w:pPr>
            <w:r>
              <w:rPr>
                <w:color w:val="auto"/>
                <w:sz w:val="24"/>
              </w:rPr>
              <w:t>开工日期</w:t>
            </w:r>
          </w:p>
        </w:tc>
        <w:tc>
          <w:tcPr>
            <w:tcW w:w="6258" w:type="dxa"/>
            <w:gridSpan w:val="3"/>
            <w:vAlign w:val="center"/>
          </w:tcPr>
          <w:p w14:paraId="3FD5834A">
            <w:pPr>
              <w:topLinePunct/>
              <w:rPr>
                <w:color w:val="auto"/>
                <w:sz w:val="24"/>
              </w:rPr>
            </w:pPr>
          </w:p>
        </w:tc>
      </w:tr>
      <w:tr w14:paraId="3200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70" w:type="dxa"/>
            <w:vAlign w:val="center"/>
          </w:tcPr>
          <w:p w14:paraId="7FB5A047">
            <w:pPr>
              <w:topLinePunct/>
              <w:jc w:val="center"/>
              <w:rPr>
                <w:color w:val="auto"/>
                <w:sz w:val="24"/>
              </w:rPr>
            </w:pPr>
            <w:r>
              <w:rPr>
                <w:color w:val="auto"/>
                <w:sz w:val="24"/>
              </w:rPr>
              <w:t>竣工日期</w:t>
            </w:r>
          </w:p>
        </w:tc>
        <w:tc>
          <w:tcPr>
            <w:tcW w:w="6258" w:type="dxa"/>
            <w:gridSpan w:val="3"/>
            <w:vAlign w:val="center"/>
          </w:tcPr>
          <w:p w14:paraId="75D2C5F1">
            <w:pPr>
              <w:topLinePunct/>
              <w:rPr>
                <w:color w:val="auto"/>
                <w:sz w:val="24"/>
              </w:rPr>
            </w:pPr>
          </w:p>
        </w:tc>
      </w:tr>
      <w:tr w14:paraId="238A8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270" w:type="dxa"/>
            <w:vAlign w:val="center"/>
          </w:tcPr>
          <w:p w14:paraId="5C6E5431">
            <w:pPr>
              <w:topLinePunct/>
              <w:jc w:val="center"/>
              <w:rPr>
                <w:color w:val="auto"/>
                <w:sz w:val="24"/>
              </w:rPr>
            </w:pPr>
            <w:r>
              <w:rPr>
                <w:color w:val="auto"/>
                <w:sz w:val="24"/>
              </w:rPr>
              <w:t>承担的工作</w:t>
            </w:r>
          </w:p>
        </w:tc>
        <w:tc>
          <w:tcPr>
            <w:tcW w:w="6258" w:type="dxa"/>
            <w:gridSpan w:val="3"/>
            <w:vAlign w:val="center"/>
          </w:tcPr>
          <w:p w14:paraId="0FA0B69E">
            <w:pPr>
              <w:topLinePunct/>
              <w:rPr>
                <w:color w:val="auto"/>
                <w:sz w:val="24"/>
              </w:rPr>
            </w:pPr>
          </w:p>
        </w:tc>
      </w:tr>
      <w:tr w14:paraId="4848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140C9F39">
            <w:pPr>
              <w:topLinePunct/>
              <w:jc w:val="center"/>
              <w:rPr>
                <w:color w:val="auto"/>
                <w:sz w:val="24"/>
              </w:rPr>
            </w:pPr>
            <w:r>
              <w:rPr>
                <w:color w:val="auto"/>
                <w:sz w:val="24"/>
              </w:rPr>
              <w:t>工程质量</w:t>
            </w:r>
          </w:p>
        </w:tc>
        <w:tc>
          <w:tcPr>
            <w:tcW w:w="6258" w:type="dxa"/>
            <w:gridSpan w:val="3"/>
            <w:vAlign w:val="center"/>
          </w:tcPr>
          <w:p w14:paraId="4344FA70">
            <w:pPr>
              <w:topLinePunct/>
              <w:rPr>
                <w:color w:val="auto"/>
                <w:sz w:val="24"/>
              </w:rPr>
            </w:pPr>
          </w:p>
        </w:tc>
      </w:tr>
      <w:tr w14:paraId="1AA5C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131F39E">
            <w:pPr>
              <w:topLinePunct/>
              <w:jc w:val="center"/>
              <w:rPr>
                <w:color w:val="auto"/>
                <w:sz w:val="24"/>
              </w:rPr>
            </w:pPr>
            <w:r>
              <w:rPr>
                <w:color w:val="auto"/>
                <w:sz w:val="24"/>
              </w:rPr>
              <w:t>项目经理</w:t>
            </w:r>
          </w:p>
        </w:tc>
        <w:tc>
          <w:tcPr>
            <w:tcW w:w="2038" w:type="dxa"/>
            <w:vAlign w:val="center"/>
          </w:tcPr>
          <w:p w14:paraId="145BC746">
            <w:pPr>
              <w:topLinePunct/>
              <w:rPr>
                <w:color w:val="auto"/>
                <w:sz w:val="24"/>
              </w:rPr>
            </w:pPr>
          </w:p>
        </w:tc>
        <w:tc>
          <w:tcPr>
            <w:tcW w:w="1472" w:type="dxa"/>
            <w:vAlign w:val="center"/>
          </w:tcPr>
          <w:p w14:paraId="1FF877DD">
            <w:pPr>
              <w:topLinePunct/>
              <w:jc w:val="center"/>
              <w:rPr>
                <w:color w:val="auto"/>
                <w:sz w:val="24"/>
              </w:rPr>
            </w:pPr>
            <w:r>
              <w:rPr>
                <w:color w:val="auto"/>
                <w:sz w:val="24"/>
              </w:rPr>
              <w:t>身份证号</w:t>
            </w:r>
          </w:p>
        </w:tc>
        <w:tc>
          <w:tcPr>
            <w:tcW w:w="2748" w:type="dxa"/>
            <w:vAlign w:val="center"/>
          </w:tcPr>
          <w:p w14:paraId="1A1B0BF0">
            <w:pPr>
              <w:topLinePunct/>
              <w:rPr>
                <w:color w:val="auto"/>
                <w:sz w:val="24"/>
              </w:rPr>
            </w:pPr>
          </w:p>
        </w:tc>
      </w:tr>
      <w:tr w14:paraId="6E40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64F3FC2E">
            <w:pPr>
              <w:topLinePunct/>
              <w:jc w:val="center"/>
              <w:rPr>
                <w:color w:val="auto"/>
                <w:sz w:val="24"/>
              </w:rPr>
            </w:pPr>
            <w:r>
              <w:rPr>
                <w:color w:val="auto"/>
                <w:sz w:val="24"/>
              </w:rPr>
              <w:t>技术负责人</w:t>
            </w:r>
          </w:p>
        </w:tc>
        <w:tc>
          <w:tcPr>
            <w:tcW w:w="2038" w:type="dxa"/>
            <w:vAlign w:val="center"/>
          </w:tcPr>
          <w:p w14:paraId="7F1E612D">
            <w:pPr>
              <w:topLinePunct/>
              <w:rPr>
                <w:color w:val="auto"/>
                <w:sz w:val="24"/>
              </w:rPr>
            </w:pPr>
          </w:p>
        </w:tc>
        <w:tc>
          <w:tcPr>
            <w:tcW w:w="1472" w:type="dxa"/>
            <w:vAlign w:val="center"/>
          </w:tcPr>
          <w:p w14:paraId="4B82EDD6">
            <w:pPr>
              <w:topLinePunct/>
              <w:jc w:val="center"/>
              <w:rPr>
                <w:color w:val="auto"/>
                <w:sz w:val="24"/>
              </w:rPr>
            </w:pPr>
            <w:r>
              <w:rPr>
                <w:color w:val="auto"/>
                <w:sz w:val="24"/>
              </w:rPr>
              <w:t>身份证号</w:t>
            </w:r>
          </w:p>
        </w:tc>
        <w:tc>
          <w:tcPr>
            <w:tcW w:w="2748" w:type="dxa"/>
            <w:vAlign w:val="center"/>
          </w:tcPr>
          <w:p w14:paraId="78EB198F">
            <w:pPr>
              <w:topLinePunct/>
              <w:rPr>
                <w:color w:val="auto"/>
                <w:sz w:val="24"/>
              </w:rPr>
            </w:pPr>
          </w:p>
        </w:tc>
      </w:tr>
      <w:tr w14:paraId="3B28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9EBF866">
            <w:pPr>
              <w:topLinePunct/>
              <w:jc w:val="center"/>
              <w:rPr>
                <w:color w:val="auto"/>
                <w:sz w:val="24"/>
              </w:rPr>
            </w:pPr>
            <w:r>
              <w:rPr>
                <w:color w:val="auto"/>
                <w:sz w:val="24"/>
              </w:rPr>
              <w:t>总监理工程师</w:t>
            </w:r>
          </w:p>
        </w:tc>
        <w:tc>
          <w:tcPr>
            <w:tcW w:w="2038" w:type="dxa"/>
            <w:vAlign w:val="center"/>
          </w:tcPr>
          <w:p w14:paraId="2CA5331A">
            <w:pPr>
              <w:topLinePunct/>
              <w:rPr>
                <w:color w:val="auto"/>
                <w:sz w:val="24"/>
              </w:rPr>
            </w:pPr>
          </w:p>
        </w:tc>
        <w:tc>
          <w:tcPr>
            <w:tcW w:w="1472" w:type="dxa"/>
            <w:vAlign w:val="center"/>
          </w:tcPr>
          <w:p w14:paraId="58A64250">
            <w:pPr>
              <w:topLinePunct/>
              <w:jc w:val="center"/>
              <w:rPr>
                <w:color w:val="auto"/>
                <w:sz w:val="24"/>
              </w:rPr>
            </w:pPr>
            <w:r>
              <w:rPr>
                <w:color w:val="auto"/>
                <w:sz w:val="24"/>
              </w:rPr>
              <w:t>联系电话</w:t>
            </w:r>
          </w:p>
        </w:tc>
        <w:tc>
          <w:tcPr>
            <w:tcW w:w="2748" w:type="dxa"/>
            <w:vAlign w:val="center"/>
          </w:tcPr>
          <w:p w14:paraId="7D4AD70B">
            <w:pPr>
              <w:topLinePunct/>
              <w:rPr>
                <w:color w:val="auto"/>
                <w:sz w:val="24"/>
              </w:rPr>
            </w:pPr>
          </w:p>
        </w:tc>
      </w:tr>
      <w:tr w14:paraId="21CC6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23B40848">
            <w:pPr>
              <w:topLinePunct/>
              <w:jc w:val="center"/>
              <w:rPr>
                <w:color w:val="auto"/>
                <w:sz w:val="24"/>
              </w:rPr>
            </w:pPr>
            <w:r>
              <w:rPr>
                <w:color w:val="auto"/>
                <w:sz w:val="24"/>
              </w:rPr>
              <w:t>项目描述</w:t>
            </w:r>
          </w:p>
        </w:tc>
        <w:tc>
          <w:tcPr>
            <w:tcW w:w="6258" w:type="dxa"/>
            <w:gridSpan w:val="3"/>
            <w:vAlign w:val="center"/>
          </w:tcPr>
          <w:p w14:paraId="4CAE78BD">
            <w:pPr>
              <w:topLinePunct/>
              <w:rPr>
                <w:color w:val="auto"/>
                <w:sz w:val="24"/>
              </w:rPr>
            </w:pPr>
          </w:p>
          <w:p w14:paraId="5C5AC88B">
            <w:pPr>
              <w:topLinePunct/>
              <w:rPr>
                <w:color w:val="auto"/>
                <w:sz w:val="24"/>
              </w:rPr>
            </w:pPr>
          </w:p>
        </w:tc>
      </w:tr>
      <w:tr w14:paraId="416B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0" w:type="dxa"/>
            <w:vAlign w:val="center"/>
          </w:tcPr>
          <w:p w14:paraId="3A85AB78">
            <w:pPr>
              <w:topLinePunct/>
              <w:jc w:val="center"/>
              <w:rPr>
                <w:color w:val="auto"/>
                <w:sz w:val="24"/>
              </w:rPr>
            </w:pPr>
            <w:r>
              <w:rPr>
                <w:color w:val="auto"/>
                <w:sz w:val="24"/>
              </w:rPr>
              <w:t>备注</w:t>
            </w:r>
          </w:p>
        </w:tc>
        <w:tc>
          <w:tcPr>
            <w:tcW w:w="6258" w:type="dxa"/>
            <w:gridSpan w:val="3"/>
            <w:vAlign w:val="center"/>
          </w:tcPr>
          <w:p w14:paraId="350FFD0D">
            <w:pPr>
              <w:topLinePunct/>
              <w:rPr>
                <w:color w:val="auto"/>
                <w:sz w:val="24"/>
              </w:rPr>
            </w:pPr>
          </w:p>
        </w:tc>
      </w:tr>
    </w:tbl>
    <w:p w14:paraId="5A43FC73">
      <w:pPr>
        <w:spacing w:line="440" w:lineRule="atLeast"/>
        <w:ind w:right="357"/>
        <w:rPr>
          <w:color w:val="auto"/>
          <w:sz w:val="24"/>
        </w:rPr>
      </w:pPr>
      <w:r>
        <w:rPr>
          <w:color w:val="auto"/>
          <w:sz w:val="24"/>
        </w:rPr>
        <w:t>备注：</w:t>
      </w:r>
    </w:p>
    <w:p w14:paraId="7D38C115">
      <w:pPr>
        <w:spacing w:line="440" w:lineRule="atLeast"/>
        <w:ind w:right="357"/>
        <w:rPr>
          <w:color w:val="auto"/>
          <w:sz w:val="24"/>
        </w:rPr>
      </w:pPr>
      <w:r>
        <w:rPr>
          <w:color w:val="auto"/>
          <w:sz w:val="24"/>
        </w:rPr>
        <w:t>1．</w:t>
      </w:r>
      <w:r>
        <w:rPr>
          <w:rFonts w:hint="eastAsia"/>
          <w:color w:val="auto"/>
          <w:sz w:val="24"/>
        </w:rPr>
        <w:t>自202</w:t>
      </w:r>
      <w:r>
        <w:rPr>
          <w:rFonts w:hint="eastAsia"/>
          <w:color w:val="auto"/>
          <w:sz w:val="24"/>
          <w:lang w:val="en-US" w:eastAsia="zh-CN"/>
        </w:rPr>
        <w:t>3</w:t>
      </w:r>
      <w:bookmarkStart w:id="800" w:name="_GoBack"/>
      <w:bookmarkEnd w:id="800"/>
      <w:r>
        <w:rPr>
          <w:rFonts w:hint="eastAsia"/>
          <w:color w:val="auto"/>
          <w:sz w:val="24"/>
        </w:rPr>
        <w:t>年1月至今（以签订日期为准）供应商已成功实施的类似</w:t>
      </w:r>
      <w:r>
        <w:rPr>
          <w:rFonts w:hint="eastAsia"/>
          <w:color w:val="auto"/>
          <w:sz w:val="24"/>
          <w:lang w:val="en-US" w:eastAsia="zh-CN"/>
        </w:rPr>
        <w:t>拆除</w:t>
      </w:r>
      <w:r>
        <w:rPr>
          <w:rFonts w:hint="eastAsia"/>
          <w:color w:val="auto"/>
          <w:sz w:val="24"/>
        </w:rPr>
        <w:t>工程施工业绩，需提供中标（成交）通知书或合同协议书、工程接收证书（或竣工验收备案登记表或单位工程质量竣工验收记录）扫描件，加盖公章。</w:t>
      </w:r>
    </w:p>
    <w:p w14:paraId="055445C2">
      <w:pPr>
        <w:spacing w:line="440" w:lineRule="atLeast"/>
        <w:ind w:right="357"/>
        <w:rPr>
          <w:color w:val="auto"/>
          <w:sz w:val="24"/>
        </w:rPr>
      </w:pPr>
      <w:r>
        <w:rPr>
          <w:color w:val="auto"/>
          <w:sz w:val="24"/>
        </w:rPr>
        <w:t>2．类似项目情况表作为本表的附表填写。</w:t>
      </w:r>
    </w:p>
    <w:p w14:paraId="0D04D229">
      <w:pPr>
        <w:spacing w:line="440" w:lineRule="atLeast"/>
        <w:ind w:right="357"/>
        <w:rPr>
          <w:color w:val="auto"/>
          <w:sz w:val="24"/>
        </w:rPr>
      </w:pPr>
      <w:r>
        <w:rPr>
          <w:color w:val="auto"/>
          <w:sz w:val="24"/>
        </w:rPr>
        <w:t>3．合同身份是指独立承包人、分包人。</w:t>
      </w:r>
    </w:p>
    <w:p w14:paraId="0CFF2898">
      <w:pPr>
        <w:rPr>
          <w:color w:val="auto"/>
          <w:sz w:val="24"/>
        </w:rPr>
        <w:sectPr>
          <w:headerReference r:id="rId25" w:type="default"/>
          <w:footerReference r:id="rId26" w:type="default"/>
          <w:pgSz w:w="11907" w:h="16840"/>
          <w:pgMar w:top="1440" w:right="1800" w:bottom="1440" w:left="1800" w:header="851" w:footer="992" w:gutter="0"/>
          <w:cols w:space="720" w:num="1"/>
          <w:docGrid w:linePitch="312" w:charSpace="0"/>
        </w:sectPr>
      </w:pPr>
    </w:p>
    <w:p w14:paraId="33C4FD73">
      <w:pPr>
        <w:tabs>
          <w:tab w:val="left" w:pos="360"/>
        </w:tabs>
        <w:snapToGrid w:val="0"/>
        <w:spacing w:line="360" w:lineRule="auto"/>
        <w:outlineLvl w:val="1"/>
        <w:rPr>
          <w:color w:val="auto"/>
          <w:sz w:val="24"/>
        </w:rPr>
      </w:pPr>
      <w:bookmarkStart w:id="789" w:name="_Toc152045804"/>
      <w:bookmarkStart w:id="790" w:name="_Toc144974872"/>
      <w:bookmarkStart w:id="791" w:name="_Toc152042593"/>
      <w:bookmarkStart w:id="792" w:name="_Toc493609554"/>
      <w:bookmarkStart w:id="793" w:name="_Toc30747"/>
      <w:bookmarkStart w:id="794" w:name="_Toc39072991"/>
      <w:bookmarkStart w:id="795" w:name="_Toc179632824"/>
      <w:bookmarkStart w:id="796" w:name="_Toc342296589"/>
      <w:bookmarkStart w:id="797" w:name="_Toc241459832"/>
      <w:r>
        <w:rPr>
          <w:rFonts w:eastAsiaTheme="minorEastAsia"/>
          <w:color w:val="auto"/>
          <w:sz w:val="24"/>
        </w:rPr>
        <w:t>1</w:t>
      </w:r>
      <w:r>
        <w:rPr>
          <w:rFonts w:hint="eastAsia" w:eastAsiaTheme="minorEastAsia"/>
          <w:color w:val="auto"/>
          <w:sz w:val="24"/>
          <w:lang w:val="en-US" w:eastAsia="zh-CN"/>
        </w:rPr>
        <w:t>1</w:t>
      </w:r>
      <w:r>
        <w:rPr>
          <w:rFonts w:eastAsiaTheme="minorEastAsia"/>
          <w:color w:val="auto"/>
          <w:sz w:val="24"/>
        </w:rPr>
        <w:t xml:space="preserve"> </w:t>
      </w:r>
      <w:r>
        <w:rPr>
          <w:color w:val="auto"/>
          <w:sz w:val="24"/>
        </w:rPr>
        <w:t>项目管理机构组成表</w:t>
      </w:r>
      <w:bookmarkEnd w:id="789"/>
      <w:bookmarkEnd w:id="790"/>
      <w:bookmarkEnd w:id="791"/>
      <w:bookmarkEnd w:id="792"/>
      <w:bookmarkEnd w:id="793"/>
      <w:bookmarkEnd w:id="794"/>
      <w:bookmarkEnd w:id="795"/>
      <w:bookmarkEnd w:id="796"/>
      <w:bookmarkEnd w:id="797"/>
    </w:p>
    <w:p w14:paraId="273C0164">
      <w:pPr>
        <w:autoSpaceDE w:val="0"/>
        <w:autoSpaceDN w:val="0"/>
        <w:adjustRightInd w:val="0"/>
        <w:spacing w:line="360" w:lineRule="auto"/>
        <w:jc w:val="center"/>
        <w:rPr>
          <w:b/>
          <w:color w:val="auto"/>
          <w:sz w:val="36"/>
          <w:szCs w:val="36"/>
        </w:rPr>
      </w:pPr>
      <w:r>
        <w:rPr>
          <w:b/>
          <w:color w:val="auto"/>
          <w:sz w:val="36"/>
          <w:szCs w:val="36"/>
        </w:rPr>
        <w:t>项目管理机构组成表</w:t>
      </w:r>
    </w:p>
    <w:tbl>
      <w:tblPr>
        <w:tblStyle w:val="53"/>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76"/>
        <w:gridCol w:w="850"/>
        <w:gridCol w:w="851"/>
        <w:gridCol w:w="850"/>
        <w:gridCol w:w="993"/>
        <w:gridCol w:w="850"/>
        <w:gridCol w:w="1304"/>
        <w:gridCol w:w="1730"/>
      </w:tblGrid>
      <w:tr w14:paraId="2C3F5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440E2049">
            <w:pPr>
              <w:jc w:val="center"/>
              <w:rPr>
                <w:color w:val="auto"/>
                <w:sz w:val="24"/>
              </w:rPr>
            </w:pPr>
            <w:r>
              <w:rPr>
                <w:color w:val="auto"/>
                <w:sz w:val="24"/>
              </w:rPr>
              <w:t>序号</w:t>
            </w:r>
          </w:p>
        </w:tc>
        <w:tc>
          <w:tcPr>
            <w:tcW w:w="1276" w:type="dxa"/>
            <w:vAlign w:val="center"/>
          </w:tcPr>
          <w:p w14:paraId="6CF96AE1">
            <w:pPr>
              <w:ind w:firstLine="240"/>
              <w:rPr>
                <w:color w:val="auto"/>
                <w:sz w:val="24"/>
              </w:rPr>
            </w:pPr>
            <w:r>
              <w:rPr>
                <w:color w:val="auto"/>
                <w:sz w:val="24"/>
              </w:rPr>
              <w:t>姓名</w:t>
            </w:r>
          </w:p>
        </w:tc>
        <w:tc>
          <w:tcPr>
            <w:tcW w:w="850" w:type="dxa"/>
            <w:vAlign w:val="center"/>
          </w:tcPr>
          <w:p w14:paraId="37863C30">
            <w:pPr>
              <w:jc w:val="center"/>
              <w:rPr>
                <w:color w:val="auto"/>
                <w:sz w:val="24"/>
              </w:rPr>
            </w:pPr>
            <w:r>
              <w:rPr>
                <w:color w:val="auto"/>
                <w:sz w:val="24"/>
              </w:rPr>
              <w:t>年龄</w:t>
            </w:r>
          </w:p>
        </w:tc>
        <w:tc>
          <w:tcPr>
            <w:tcW w:w="851" w:type="dxa"/>
            <w:vAlign w:val="center"/>
          </w:tcPr>
          <w:p w14:paraId="33BFE06B">
            <w:pPr>
              <w:jc w:val="center"/>
              <w:rPr>
                <w:color w:val="auto"/>
                <w:sz w:val="24"/>
              </w:rPr>
            </w:pPr>
            <w:r>
              <w:rPr>
                <w:color w:val="auto"/>
                <w:sz w:val="24"/>
              </w:rPr>
              <w:t>性别</w:t>
            </w:r>
          </w:p>
        </w:tc>
        <w:tc>
          <w:tcPr>
            <w:tcW w:w="850" w:type="dxa"/>
            <w:vAlign w:val="center"/>
          </w:tcPr>
          <w:p w14:paraId="631140AF">
            <w:pPr>
              <w:jc w:val="center"/>
              <w:rPr>
                <w:color w:val="auto"/>
                <w:sz w:val="24"/>
              </w:rPr>
            </w:pPr>
            <w:r>
              <w:rPr>
                <w:color w:val="auto"/>
                <w:sz w:val="24"/>
              </w:rPr>
              <w:t>学历</w:t>
            </w:r>
          </w:p>
        </w:tc>
        <w:tc>
          <w:tcPr>
            <w:tcW w:w="993" w:type="dxa"/>
            <w:vAlign w:val="center"/>
          </w:tcPr>
          <w:p w14:paraId="27EB7548">
            <w:pPr>
              <w:jc w:val="center"/>
              <w:rPr>
                <w:color w:val="auto"/>
                <w:sz w:val="24"/>
              </w:rPr>
            </w:pPr>
            <w:r>
              <w:rPr>
                <w:color w:val="auto"/>
                <w:sz w:val="24"/>
              </w:rPr>
              <w:t>资格证书编号</w:t>
            </w:r>
          </w:p>
        </w:tc>
        <w:tc>
          <w:tcPr>
            <w:tcW w:w="850" w:type="dxa"/>
            <w:vAlign w:val="center"/>
          </w:tcPr>
          <w:p w14:paraId="0EFF20BA">
            <w:pPr>
              <w:jc w:val="center"/>
              <w:rPr>
                <w:color w:val="auto"/>
                <w:sz w:val="24"/>
              </w:rPr>
            </w:pPr>
            <w:r>
              <w:rPr>
                <w:color w:val="auto"/>
                <w:sz w:val="24"/>
              </w:rPr>
              <w:t>职称</w:t>
            </w:r>
          </w:p>
        </w:tc>
        <w:tc>
          <w:tcPr>
            <w:tcW w:w="1304" w:type="dxa"/>
            <w:vAlign w:val="center"/>
          </w:tcPr>
          <w:p w14:paraId="6C9743AE">
            <w:pPr>
              <w:jc w:val="center"/>
              <w:rPr>
                <w:color w:val="auto"/>
                <w:sz w:val="24"/>
              </w:rPr>
            </w:pPr>
            <w:r>
              <w:rPr>
                <w:color w:val="auto"/>
                <w:sz w:val="24"/>
              </w:rPr>
              <w:t>在本项目拟任职务</w:t>
            </w:r>
          </w:p>
        </w:tc>
        <w:tc>
          <w:tcPr>
            <w:tcW w:w="1730" w:type="dxa"/>
            <w:vAlign w:val="center"/>
          </w:tcPr>
          <w:p w14:paraId="020C4853">
            <w:pPr>
              <w:jc w:val="center"/>
              <w:rPr>
                <w:color w:val="auto"/>
                <w:sz w:val="24"/>
              </w:rPr>
            </w:pPr>
            <w:r>
              <w:rPr>
                <w:color w:val="auto"/>
                <w:sz w:val="24"/>
              </w:rPr>
              <w:t>负责事宜</w:t>
            </w:r>
          </w:p>
        </w:tc>
      </w:tr>
      <w:tr w14:paraId="64A0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141427DB">
            <w:pPr>
              <w:jc w:val="center"/>
              <w:rPr>
                <w:color w:val="auto"/>
                <w:sz w:val="24"/>
              </w:rPr>
            </w:pPr>
          </w:p>
        </w:tc>
        <w:tc>
          <w:tcPr>
            <w:tcW w:w="1276" w:type="dxa"/>
            <w:vAlign w:val="center"/>
          </w:tcPr>
          <w:p w14:paraId="6449AA6A">
            <w:pPr>
              <w:jc w:val="center"/>
              <w:rPr>
                <w:color w:val="auto"/>
                <w:sz w:val="24"/>
              </w:rPr>
            </w:pPr>
          </w:p>
        </w:tc>
        <w:tc>
          <w:tcPr>
            <w:tcW w:w="850" w:type="dxa"/>
            <w:vAlign w:val="center"/>
          </w:tcPr>
          <w:p w14:paraId="791B84A3">
            <w:pPr>
              <w:jc w:val="center"/>
              <w:rPr>
                <w:color w:val="auto"/>
                <w:sz w:val="24"/>
              </w:rPr>
            </w:pPr>
          </w:p>
        </w:tc>
        <w:tc>
          <w:tcPr>
            <w:tcW w:w="851" w:type="dxa"/>
            <w:vAlign w:val="center"/>
          </w:tcPr>
          <w:p w14:paraId="2FBC6324">
            <w:pPr>
              <w:jc w:val="center"/>
              <w:rPr>
                <w:color w:val="auto"/>
                <w:sz w:val="24"/>
              </w:rPr>
            </w:pPr>
          </w:p>
        </w:tc>
        <w:tc>
          <w:tcPr>
            <w:tcW w:w="850" w:type="dxa"/>
            <w:vAlign w:val="center"/>
          </w:tcPr>
          <w:p w14:paraId="693434B7">
            <w:pPr>
              <w:jc w:val="center"/>
              <w:rPr>
                <w:color w:val="auto"/>
                <w:sz w:val="24"/>
              </w:rPr>
            </w:pPr>
          </w:p>
        </w:tc>
        <w:tc>
          <w:tcPr>
            <w:tcW w:w="993" w:type="dxa"/>
            <w:vAlign w:val="center"/>
          </w:tcPr>
          <w:p w14:paraId="12D74C1D">
            <w:pPr>
              <w:jc w:val="center"/>
              <w:rPr>
                <w:color w:val="auto"/>
                <w:sz w:val="24"/>
              </w:rPr>
            </w:pPr>
          </w:p>
        </w:tc>
        <w:tc>
          <w:tcPr>
            <w:tcW w:w="850" w:type="dxa"/>
            <w:vAlign w:val="center"/>
          </w:tcPr>
          <w:p w14:paraId="688FC322">
            <w:pPr>
              <w:jc w:val="center"/>
              <w:rPr>
                <w:color w:val="auto"/>
                <w:sz w:val="24"/>
              </w:rPr>
            </w:pPr>
          </w:p>
        </w:tc>
        <w:tc>
          <w:tcPr>
            <w:tcW w:w="1304" w:type="dxa"/>
            <w:vAlign w:val="center"/>
          </w:tcPr>
          <w:p w14:paraId="6E3DDDF1">
            <w:pPr>
              <w:jc w:val="center"/>
              <w:rPr>
                <w:color w:val="auto"/>
                <w:sz w:val="24"/>
              </w:rPr>
            </w:pPr>
          </w:p>
        </w:tc>
        <w:tc>
          <w:tcPr>
            <w:tcW w:w="1730" w:type="dxa"/>
            <w:vAlign w:val="center"/>
          </w:tcPr>
          <w:p w14:paraId="56786AA6">
            <w:pPr>
              <w:jc w:val="center"/>
              <w:rPr>
                <w:color w:val="auto"/>
                <w:sz w:val="24"/>
              </w:rPr>
            </w:pPr>
          </w:p>
        </w:tc>
      </w:tr>
      <w:tr w14:paraId="0AA13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73891997">
            <w:pPr>
              <w:jc w:val="center"/>
              <w:rPr>
                <w:color w:val="auto"/>
                <w:sz w:val="24"/>
              </w:rPr>
            </w:pPr>
          </w:p>
        </w:tc>
        <w:tc>
          <w:tcPr>
            <w:tcW w:w="1276" w:type="dxa"/>
            <w:vAlign w:val="center"/>
          </w:tcPr>
          <w:p w14:paraId="6DA7B9CD">
            <w:pPr>
              <w:jc w:val="center"/>
              <w:rPr>
                <w:color w:val="auto"/>
                <w:sz w:val="24"/>
              </w:rPr>
            </w:pPr>
          </w:p>
        </w:tc>
        <w:tc>
          <w:tcPr>
            <w:tcW w:w="850" w:type="dxa"/>
            <w:vAlign w:val="center"/>
          </w:tcPr>
          <w:p w14:paraId="568FE8BB">
            <w:pPr>
              <w:jc w:val="center"/>
              <w:rPr>
                <w:color w:val="auto"/>
                <w:sz w:val="24"/>
              </w:rPr>
            </w:pPr>
          </w:p>
        </w:tc>
        <w:tc>
          <w:tcPr>
            <w:tcW w:w="851" w:type="dxa"/>
            <w:vAlign w:val="center"/>
          </w:tcPr>
          <w:p w14:paraId="69E02021">
            <w:pPr>
              <w:jc w:val="center"/>
              <w:rPr>
                <w:color w:val="auto"/>
                <w:sz w:val="24"/>
              </w:rPr>
            </w:pPr>
          </w:p>
        </w:tc>
        <w:tc>
          <w:tcPr>
            <w:tcW w:w="850" w:type="dxa"/>
            <w:vAlign w:val="center"/>
          </w:tcPr>
          <w:p w14:paraId="563D75CB">
            <w:pPr>
              <w:jc w:val="center"/>
              <w:rPr>
                <w:color w:val="auto"/>
                <w:sz w:val="24"/>
              </w:rPr>
            </w:pPr>
          </w:p>
        </w:tc>
        <w:tc>
          <w:tcPr>
            <w:tcW w:w="993" w:type="dxa"/>
            <w:vAlign w:val="center"/>
          </w:tcPr>
          <w:p w14:paraId="0EDCC47E">
            <w:pPr>
              <w:jc w:val="center"/>
              <w:rPr>
                <w:color w:val="auto"/>
                <w:sz w:val="24"/>
              </w:rPr>
            </w:pPr>
          </w:p>
        </w:tc>
        <w:tc>
          <w:tcPr>
            <w:tcW w:w="850" w:type="dxa"/>
            <w:vAlign w:val="center"/>
          </w:tcPr>
          <w:p w14:paraId="466ABDC9">
            <w:pPr>
              <w:jc w:val="center"/>
              <w:rPr>
                <w:color w:val="auto"/>
                <w:sz w:val="24"/>
              </w:rPr>
            </w:pPr>
          </w:p>
        </w:tc>
        <w:tc>
          <w:tcPr>
            <w:tcW w:w="1304" w:type="dxa"/>
            <w:vAlign w:val="center"/>
          </w:tcPr>
          <w:p w14:paraId="07FFA1B6">
            <w:pPr>
              <w:jc w:val="center"/>
              <w:rPr>
                <w:color w:val="auto"/>
                <w:sz w:val="24"/>
              </w:rPr>
            </w:pPr>
          </w:p>
        </w:tc>
        <w:tc>
          <w:tcPr>
            <w:tcW w:w="1730" w:type="dxa"/>
            <w:vAlign w:val="center"/>
          </w:tcPr>
          <w:p w14:paraId="74EB86D9">
            <w:pPr>
              <w:jc w:val="center"/>
              <w:rPr>
                <w:color w:val="auto"/>
                <w:sz w:val="24"/>
              </w:rPr>
            </w:pPr>
          </w:p>
        </w:tc>
      </w:tr>
      <w:tr w14:paraId="0FDB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65AA490">
            <w:pPr>
              <w:jc w:val="center"/>
              <w:rPr>
                <w:color w:val="auto"/>
                <w:sz w:val="24"/>
              </w:rPr>
            </w:pPr>
          </w:p>
        </w:tc>
        <w:tc>
          <w:tcPr>
            <w:tcW w:w="1276" w:type="dxa"/>
            <w:vAlign w:val="center"/>
          </w:tcPr>
          <w:p w14:paraId="3E682871">
            <w:pPr>
              <w:jc w:val="center"/>
              <w:rPr>
                <w:color w:val="auto"/>
                <w:sz w:val="24"/>
              </w:rPr>
            </w:pPr>
          </w:p>
        </w:tc>
        <w:tc>
          <w:tcPr>
            <w:tcW w:w="850" w:type="dxa"/>
            <w:vAlign w:val="center"/>
          </w:tcPr>
          <w:p w14:paraId="3CE441C1">
            <w:pPr>
              <w:jc w:val="center"/>
              <w:rPr>
                <w:color w:val="auto"/>
                <w:sz w:val="24"/>
              </w:rPr>
            </w:pPr>
          </w:p>
        </w:tc>
        <w:tc>
          <w:tcPr>
            <w:tcW w:w="851" w:type="dxa"/>
            <w:vAlign w:val="center"/>
          </w:tcPr>
          <w:p w14:paraId="1BBB66A0">
            <w:pPr>
              <w:jc w:val="center"/>
              <w:rPr>
                <w:color w:val="auto"/>
                <w:sz w:val="24"/>
              </w:rPr>
            </w:pPr>
          </w:p>
        </w:tc>
        <w:tc>
          <w:tcPr>
            <w:tcW w:w="850" w:type="dxa"/>
            <w:vAlign w:val="center"/>
          </w:tcPr>
          <w:p w14:paraId="7F5CD5F9">
            <w:pPr>
              <w:jc w:val="center"/>
              <w:rPr>
                <w:color w:val="auto"/>
                <w:sz w:val="24"/>
              </w:rPr>
            </w:pPr>
          </w:p>
        </w:tc>
        <w:tc>
          <w:tcPr>
            <w:tcW w:w="993" w:type="dxa"/>
            <w:vAlign w:val="center"/>
          </w:tcPr>
          <w:p w14:paraId="2789A719">
            <w:pPr>
              <w:jc w:val="center"/>
              <w:rPr>
                <w:color w:val="auto"/>
                <w:sz w:val="24"/>
              </w:rPr>
            </w:pPr>
          </w:p>
        </w:tc>
        <w:tc>
          <w:tcPr>
            <w:tcW w:w="850" w:type="dxa"/>
            <w:vAlign w:val="center"/>
          </w:tcPr>
          <w:p w14:paraId="66DC2473">
            <w:pPr>
              <w:jc w:val="center"/>
              <w:rPr>
                <w:color w:val="auto"/>
                <w:sz w:val="24"/>
              </w:rPr>
            </w:pPr>
          </w:p>
        </w:tc>
        <w:tc>
          <w:tcPr>
            <w:tcW w:w="1304" w:type="dxa"/>
            <w:vAlign w:val="center"/>
          </w:tcPr>
          <w:p w14:paraId="266F3CBA">
            <w:pPr>
              <w:jc w:val="center"/>
              <w:rPr>
                <w:color w:val="auto"/>
                <w:sz w:val="24"/>
              </w:rPr>
            </w:pPr>
          </w:p>
        </w:tc>
        <w:tc>
          <w:tcPr>
            <w:tcW w:w="1730" w:type="dxa"/>
            <w:vAlign w:val="center"/>
          </w:tcPr>
          <w:p w14:paraId="14796318">
            <w:pPr>
              <w:jc w:val="center"/>
              <w:rPr>
                <w:color w:val="auto"/>
                <w:sz w:val="24"/>
              </w:rPr>
            </w:pPr>
          </w:p>
        </w:tc>
      </w:tr>
      <w:tr w14:paraId="6C56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6D1A5F64">
            <w:pPr>
              <w:jc w:val="center"/>
              <w:rPr>
                <w:color w:val="auto"/>
                <w:sz w:val="24"/>
              </w:rPr>
            </w:pPr>
          </w:p>
        </w:tc>
        <w:tc>
          <w:tcPr>
            <w:tcW w:w="1276" w:type="dxa"/>
            <w:vAlign w:val="center"/>
          </w:tcPr>
          <w:p w14:paraId="27CA61C9">
            <w:pPr>
              <w:jc w:val="center"/>
              <w:rPr>
                <w:color w:val="auto"/>
                <w:sz w:val="24"/>
              </w:rPr>
            </w:pPr>
          </w:p>
        </w:tc>
        <w:tc>
          <w:tcPr>
            <w:tcW w:w="850" w:type="dxa"/>
            <w:vAlign w:val="center"/>
          </w:tcPr>
          <w:p w14:paraId="1A162993">
            <w:pPr>
              <w:jc w:val="center"/>
              <w:rPr>
                <w:color w:val="auto"/>
                <w:sz w:val="24"/>
              </w:rPr>
            </w:pPr>
          </w:p>
        </w:tc>
        <w:tc>
          <w:tcPr>
            <w:tcW w:w="851" w:type="dxa"/>
            <w:vAlign w:val="center"/>
          </w:tcPr>
          <w:p w14:paraId="5F459FCD">
            <w:pPr>
              <w:jc w:val="center"/>
              <w:rPr>
                <w:color w:val="auto"/>
                <w:sz w:val="24"/>
              </w:rPr>
            </w:pPr>
          </w:p>
        </w:tc>
        <w:tc>
          <w:tcPr>
            <w:tcW w:w="850" w:type="dxa"/>
            <w:vAlign w:val="center"/>
          </w:tcPr>
          <w:p w14:paraId="0D106C8B">
            <w:pPr>
              <w:jc w:val="center"/>
              <w:rPr>
                <w:color w:val="auto"/>
                <w:sz w:val="24"/>
              </w:rPr>
            </w:pPr>
          </w:p>
        </w:tc>
        <w:tc>
          <w:tcPr>
            <w:tcW w:w="993" w:type="dxa"/>
            <w:vAlign w:val="center"/>
          </w:tcPr>
          <w:p w14:paraId="4A20C7A5">
            <w:pPr>
              <w:jc w:val="center"/>
              <w:rPr>
                <w:color w:val="auto"/>
                <w:sz w:val="24"/>
              </w:rPr>
            </w:pPr>
          </w:p>
        </w:tc>
        <w:tc>
          <w:tcPr>
            <w:tcW w:w="850" w:type="dxa"/>
            <w:vAlign w:val="center"/>
          </w:tcPr>
          <w:p w14:paraId="6697D2CA">
            <w:pPr>
              <w:jc w:val="center"/>
              <w:rPr>
                <w:color w:val="auto"/>
                <w:sz w:val="24"/>
              </w:rPr>
            </w:pPr>
          </w:p>
        </w:tc>
        <w:tc>
          <w:tcPr>
            <w:tcW w:w="1304" w:type="dxa"/>
            <w:vAlign w:val="center"/>
          </w:tcPr>
          <w:p w14:paraId="697E8505">
            <w:pPr>
              <w:jc w:val="center"/>
              <w:rPr>
                <w:color w:val="auto"/>
                <w:sz w:val="24"/>
              </w:rPr>
            </w:pPr>
          </w:p>
        </w:tc>
        <w:tc>
          <w:tcPr>
            <w:tcW w:w="1730" w:type="dxa"/>
            <w:vAlign w:val="center"/>
          </w:tcPr>
          <w:p w14:paraId="35C1F166">
            <w:pPr>
              <w:jc w:val="center"/>
              <w:rPr>
                <w:color w:val="auto"/>
                <w:sz w:val="24"/>
              </w:rPr>
            </w:pPr>
          </w:p>
        </w:tc>
      </w:tr>
      <w:tr w14:paraId="6153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69" w:type="dxa"/>
            <w:vAlign w:val="center"/>
          </w:tcPr>
          <w:p w14:paraId="556D0CF0">
            <w:pPr>
              <w:jc w:val="center"/>
              <w:rPr>
                <w:color w:val="auto"/>
                <w:sz w:val="24"/>
              </w:rPr>
            </w:pPr>
          </w:p>
        </w:tc>
        <w:tc>
          <w:tcPr>
            <w:tcW w:w="1276" w:type="dxa"/>
            <w:vAlign w:val="center"/>
          </w:tcPr>
          <w:p w14:paraId="53964334">
            <w:pPr>
              <w:jc w:val="center"/>
              <w:rPr>
                <w:color w:val="auto"/>
                <w:sz w:val="24"/>
              </w:rPr>
            </w:pPr>
          </w:p>
        </w:tc>
        <w:tc>
          <w:tcPr>
            <w:tcW w:w="850" w:type="dxa"/>
            <w:vAlign w:val="center"/>
          </w:tcPr>
          <w:p w14:paraId="469D10EF">
            <w:pPr>
              <w:jc w:val="center"/>
              <w:rPr>
                <w:color w:val="auto"/>
                <w:sz w:val="24"/>
              </w:rPr>
            </w:pPr>
          </w:p>
        </w:tc>
        <w:tc>
          <w:tcPr>
            <w:tcW w:w="851" w:type="dxa"/>
            <w:vAlign w:val="center"/>
          </w:tcPr>
          <w:p w14:paraId="129F8202">
            <w:pPr>
              <w:jc w:val="center"/>
              <w:rPr>
                <w:color w:val="auto"/>
                <w:sz w:val="24"/>
              </w:rPr>
            </w:pPr>
          </w:p>
        </w:tc>
        <w:tc>
          <w:tcPr>
            <w:tcW w:w="850" w:type="dxa"/>
            <w:vAlign w:val="center"/>
          </w:tcPr>
          <w:p w14:paraId="0C4B50C2">
            <w:pPr>
              <w:jc w:val="center"/>
              <w:rPr>
                <w:color w:val="auto"/>
                <w:sz w:val="24"/>
              </w:rPr>
            </w:pPr>
          </w:p>
        </w:tc>
        <w:tc>
          <w:tcPr>
            <w:tcW w:w="993" w:type="dxa"/>
            <w:vAlign w:val="center"/>
          </w:tcPr>
          <w:p w14:paraId="4065E7A3">
            <w:pPr>
              <w:jc w:val="center"/>
              <w:rPr>
                <w:color w:val="auto"/>
                <w:sz w:val="24"/>
              </w:rPr>
            </w:pPr>
          </w:p>
        </w:tc>
        <w:tc>
          <w:tcPr>
            <w:tcW w:w="850" w:type="dxa"/>
            <w:vAlign w:val="center"/>
          </w:tcPr>
          <w:p w14:paraId="207424CB">
            <w:pPr>
              <w:jc w:val="center"/>
              <w:rPr>
                <w:color w:val="auto"/>
                <w:sz w:val="24"/>
              </w:rPr>
            </w:pPr>
          </w:p>
        </w:tc>
        <w:tc>
          <w:tcPr>
            <w:tcW w:w="1304" w:type="dxa"/>
            <w:vAlign w:val="center"/>
          </w:tcPr>
          <w:p w14:paraId="22B44BA7">
            <w:pPr>
              <w:jc w:val="center"/>
              <w:rPr>
                <w:color w:val="auto"/>
                <w:sz w:val="24"/>
              </w:rPr>
            </w:pPr>
          </w:p>
        </w:tc>
        <w:tc>
          <w:tcPr>
            <w:tcW w:w="1730" w:type="dxa"/>
            <w:vAlign w:val="center"/>
          </w:tcPr>
          <w:p w14:paraId="79C6F937">
            <w:pPr>
              <w:jc w:val="center"/>
              <w:rPr>
                <w:color w:val="auto"/>
                <w:sz w:val="24"/>
              </w:rPr>
            </w:pPr>
          </w:p>
        </w:tc>
      </w:tr>
      <w:tr w14:paraId="689BA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769" w:type="dxa"/>
            <w:vAlign w:val="center"/>
          </w:tcPr>
          <w:p w14:paraId="62DFE5E3">
            <w:pPr>
              <w:jc w:val="center"/>
              <w:rPr>
                <w:color w:val="auto"/>
                <w:sz w:val="24"/>
              </w:rPr>
            </w:pPr>
          </w:p>
        </w:tc>
        <w:tc>
          <w:tcPr>
            <w:tcW w:w="1276" w:type="dxa"/>
            <w:vAlign w:val="center"/>
          </w:tcPr>
          <w:p w14:paraId="42833165">
            <w:pPr>
              <w:jc w:val="center"/>
              <w:rPr>
                <w:color w:val="auto"/>
                <w:sz w:val="24"/>
              </w:rPr>
            </w:pPr>
          </w:p>
        </w:tc>
        <w:tc>
          <w:tcPr>
            <w:tcW w:w="850" w:type="dxa"/>
            <w:vAlign w:val="center"/>
          </w:tcPr>
          <w:p w14:paraId="3E0ADA2A">
            <w:pPr>
              <w:jc w:val="center"/>
              <w:rPr>
                <w:color w:val="auto"/>
                <w:sz w:val="24"/>
              </w:rPr>
            </w:pPr>
          </w:p>
        </w:tc>
        <w:tc>
          <w:tcPr>
            <w:tcW w:w="851" w:type="dxa"/>
            <w:vAlign w:val="center"/>
          </w:tcPr>
          <w:p w14:paraId="41605B5E">
            <w:pPr>
              <w:jc w:val="center"/>
              <w:rPr>
                <w:color w:val="auto"/>
                <w:sz w:val="24"/>
              </w:rPr>
            </w:pPr>
          </w:p>
        </w:tc>
        <w:tc>
          <w:tcPr>
            <w:tcW w:w="850" w:type="dxa"/>
            <w:vAlign w:val="center"/>
          </w:tcPr>
          <w:p w14:paraId="289E0462">
            <w:pPr>
              <w:jc w:val="center"/>
              <w:rPr>
                <w:color w:val="auto"/>
                <w:sz w:val="24"/>
              </w:rPr>
            </w:pPr>
          </w:p>
        </w:tc>
        <w:tc>
          <w:tcPr>
            <w:tcW w:w="993" w:type="dxa"/>
            <w:vAlign w:val="center"/>
          </w:tcPr>
          <w:p w14:paraId="511AF845">
            <w:pPr>
              <w:jc w:val="center"/>
              <w:rPr>
                <w:color w:val="auto"/>
                <w:sz w:val="24"/>
              </w:rPr>
            </w:pPr>
          </w:p>
        </w:tc>
        <w:tc>
          <w:tcPr>
            <w:tcW w:w="850" w:type="dxa"/>
            <w:vAlign w:val="center"/>
          </w:tcPr>
          <w:p w14:paraId="12B352A6">
            <w:pPr>
              <w:jc w:val="center"/>
              <w:rPr>
                <w:color w:val="auto"/>
                <w:sz w:val="24"/>
              </w:rPr>
            </w:pPr>
          </w:p>
        </w:tc>
        <w:tc>
          <w:tcPr>
            <w:tcW w:w="1304" w:type="dxa"/>
            <w:vAlign w:val="center"/>
          </w:tcPr>
          <w:p w14:paraId="04766D25">
            <w:pPr>
              <w:jc w:val="center"/>
              <w:rPr>
                <w:color w:val="auto"/>
                <w:sz w:val="24"/>
              </w:rPr>
            </w:pPr>
          </w:p>
        </w:tc>
        <w:tc>
          <w:tcPr>
            <w:tcW w:w="1730" w:type="dxa"/>
            <w:vAlign w:val="center"/>
          </w:tcPr>
          <w:p w14:paraId="4E45D8D1">
            <w:pPr>
              <w:jc w:val="center"/>
              <w:rPr>
                <w:color w:val="auto"/>
                <w:sz w:val="24"/>
              </w:rPr>
            </w:pPr>
          </w:p>
        </w:tc>
      </w:tr>
      <w:tr w14:paraId="32DD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769" w:type="dxa"/>
            <w:vAlign w:val="center"/>
          </w:tcPr>
          <w:p w14:paraId="35B58A13">
            <w:pPr>
              <w:jc w:val="center"/>
              <w:rPr>
                <w:color w:val="auto"/>
                <w:sz w:val="24"/>
              </w:rPr>
            </w:pPr>
          </w:p>
        </w:tc>
        <w:tc>
          <w:tcPr>
            <w:tcW w:w="1276" w:type="dxa"/>
            <w:vAlign w:val="center"/>
          </w:tcPr>
          <w:p w14:paraId="107ECDA0">
            <w:pPr>
              <w:jc w:val="center"/>
              <w:rPr>
                <w:color w:val="auto"/>
                <w:sz w:val="24"/>
              </w:rPr>
            </w:pPr>
          </w:p>
        </w:tc>
        <w:tc>
          <w:tcPr>
            <w:tcW w:w="850" w:type="dxa"/>
            <w:vAlign w:val="center"/>
          </w:tcPr>
          <w:p w14:paraId="6BA33AFB">
            <w:pPr>
              <w:jc w:val="center"/>
              <w:rPr>
                <w:color w:val="auto"/>
                <w:sz w:val="24"/>
              </w:rPr>
            </w:pPr>
          </w:p>
        </w:tc>
        <w:tc>
          <w:tcPr>
            <w:tcW w:w="851" w:type="dxa"/>
            <w:vAlign w:val="center"/>
          </w:tcPr>
          <w:p w14:paraId="701A9070">
            <w:pPr>
              <w:jc w:val="center"/>
              <w:rPr>
                <w:color w:val="auto"/>
                <w:sz w:val="24"/>
              </w:rPr>
            </w:pPr>
          </w:p>
        </w:tc>
        <w:tc>
          <w:tcPr>
            <w:tcW w:w="850" w:type="dxa"/>
            <w:vAlign w:val="center"/>
          </w:tcPr>
          <w:p w14:paraId="46241033">
            <w:pPr>
              <w:jc w:val="center"/>
              <w:rPr>
                <w:color w:val="auto"/>
                <w:sz w:val="24"/>
              </w:rPr>
            </w:pPr>
          </w:p>
        </w:tc>
        <w:tc>
          <w:tcPr>
            <w:tcW w:w="993" w:type="dxa"/>
            <w:vAlign w:val="center"/>
          </w:tcPr>
          <w:p w14:paraId="708E4393">
            <w:pPr>
              <w:jc w:val="center"/>
              <w:rPr>
                <w:color w:val="auto"/>
                <w:sz w:val="24"/>
              </w:rPr>
            </w:pPr>
          </w:p>
        </w:tc>
        <w:tc>
          <w:tcPr>
            <w:tcW w:w="850" w:type="dxa"/>
            <w:vAlign w:val="center"/>
          </w:tcPr>
          <w:p w14:paraId="1CC35072">
            <w:pPr>
              <w:jc w:val="center"/>
              <w:rPr>
                <w:color w:val="auto"/>
                <w:sz w:val="24"/>
              </w:rPr>
            </w:pPr>
          </w:p>
        </w:tc>
        <w:tc>
          <w:tcPr>
            <w:tcW w:w="1304" w:type="dxa"/>
            <w:vAlign w:val="center"/>
          </w:tcPr>
          <w:p w14:paraId="0BF1EA94">
            <w:pPr>
              <w:jc w:val="center"/>
              <w:rPr>
                <w:color w:val="auto"/>
                <w:sz w:val="24"/>
              </w:rPr>
            </w:pPr>
          </w:p>
        </w:tc>
        <w:tc>
          <w:tcPr>
            <w:tcW w:w="1730" w:type="dxa"/>
            <w:vAlign w:val="center"/>
          </w:tcPr>
          <w:p w14:paraId="5AC0D5FA">
            <w:pPr>
              <w:jc w:val="center"/>
              <w:rPr>
                <w:color w:val="auto"/>
                <w:sz w:val="24"/>
              </w:rPr>
            </w:pPr>
          </w:p>
        </w:tc>
      </w:tr>
    </w:tbl>
    <w:p w14:paraId="019E87E9">
      <w:pPr>
        <w:spacing w:before="240" w:line="360" w:lineRule="auto"/>
        <w:rPr>
          <w:color w:val="auto"/>
          <w:szCs w:val="21"/>
        </w:rPr>
        <w:sectPr>
          <w:headerReference r:id="rId28" w:type="first"/>
          <w:footerReference r:id="rId30" w:type="first"/>
          <w:headerReference r:id="rId27" w:type="even"/>
          <w:footerReference r:id="rId29" w:type="even"/>
          <w:type w:val="nextColumn"/>
          <w:pgSz w:w="11907" w:h="16840"/>
          <w:pgMar w:top="1440" w:right="1800" w:bottom="1440" w:left="1800" w:header="851" w:footer="851" w:gutter="0"/>
          <w:cols w:space="720" w:num="1"/>
          <w:docGrid w:linePitch="462" w:charSpace="0"/>
        </w:sectPr>
      </w:pPr>
      <w:r>
        <w:rPr>
          <w:color w:val="auto"/>
          <w:szCs w:val="21"/>
        </w:rPr>
        <w:t>备注：项目经理可附建造师执业资格证书、注册证书、安全生产考核合格证书（B本）、身份证、职称证（如有）、学历证（如有）扫描件，管理过的工程业绩（如有）须附中标（成交）通知书或合同协议书、竣工验收备案登记表或单位工程质量竣工验收记录扫描件。</w:t>
      </w:r>
    </w:p>
    <w:p w14:paraId="39D0A7EC">
      <w:pPr>
        <w:tabs>
          <w:tab w:val="left" w:pos="360"/>
        </w:tabs>
        <w:snapToGrid w:val="0"/>
        <w:spacing w:line="360" w:lineRule="auto"/>
        <w:outlineLvl w:val="1"/>
        <w:rPr>
          <w:color w:val="auto"/>
          <w:sz w:val="24"/>
        </w:rPr>
      </w:pPr>
      <w:r>
        <w:rPr>
          <w:rFonts w:eastAsiaTheme="minorEastAsia"/>
          <w:color w:val="auto"/>
          <w:sz w:val="24"/>
        </w:rPr>
        <w:t>1</w:t>
      </w:r>
      <w:r>
        <w:rPr>
          <w:rFonts w:hint="eastAsia" w:eastAsiaTheme="minorEastAsia"/>
          <w:color w:val="auto"/>
          <w:sz w:val="24"/>
          <w:lang w:val="en-US" w:eastAsia="zh-CN"/>
        </w:rPr>
        <w:t>2</w:t>
      </w:r>
      <w:r>
        <w:rPr>
          <w:rFonts w:eastAsiaTheme="minorEastAsia"/>
          <w:color w:val="auto"/>
          <w:sz w:val="24"/>
        </w:rPr>
        <w:t xml:space="preserve"> </w:t>
      </w:r>
      <w:r>
        <w:rPr>
          <w:color w:val="auto"/>
          <w:sz w:val="24"/>
        </w:rPr>
        <w:t>技术</w:t>
      </w:r>
    </w:p>
    <w:p w14:paraId="14C6DE02">
      <w:pPr>
        <w:spacing w:line="360" w:lineRule="auto"/>
        <w:ind w:firstLine="480" w:firstLineChars="200"/>
        <w:rPr>
          <w:color w:val="auto"/>
          <w:sz w:val="24"/>
        </w:rPr>
      </w:pPr>
      <w:r>
        <w:rPr>
          <w:color w:val="auto"/>
          <w:sz w:val="24"/>
        </w:rPr>
        <w:t>供应商根据采购人需求、评审因素和采购项目特点，结合自身优势，有针对性地提供项目实施方案，包括但不限于以下内容：</w:t>
      </w:r>
    </w:p>
    <w:p w14:paraId="437A383D">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专项拆除方案</w:t>
      </w:r>
    </w:p>
    <w:p w14:paraId="1845BB8C">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安全防护方案及保障措施</w:t>
      </w:r>
    </w:p>
    <w:p w14:paraId="4B29D409">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作业专项方案及保障措施</w:t>
      </w:r>
    </w:p>
    <w:p w14:paraId="0D94A175">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居民环保干扰管理及保障措施</w:t>
      </w:r>
    </w:p>
    <w:p w14:paraId="11A494C5">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扬尘与噪音管理及保障措施</w:t>
      </w:r>
    </w:p>
    <w:p w14:paraId="4B44573E">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进度与成本管理及保障措施</w:t>
      </w:r>
    </w:p>
    <w:p w14:paraId="3BA49BBD">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建筑垃圾与废弃物处置</w:t>
      </w:r>
    </w:p>
    <w:p w14:paraId="0B74821E">
      <w:pPr>
        <w:pStyle w:val="112"/>
        <w:numPr>
          <w:ilvl w:val="0"/>
          <w:numId w:val="14"/>
        </w:numPr>
        <w:spacing w:line="360" w:lineRule="auto"/>
        <w:ind w:left="368" w:hanging="420" w:hangingChars="175"/>
        <w:rPr>
          <w:rFonts w:hint="eastAsia" w:ascii="宋体" w:hAnsi="宋体" w:cs="宋体"/>
          <w:color w:val="auto"/>
          <w:sz w:val="24"/>
          <w:szCs w:val="24"/>
        </w:rPr>
      </w:pPr>
      <w:r>
        <w:rPr>
          <w:rFonts w:hint="eastAsia" w:ascii="宋体" w:hAnsi="宋体" w:cs="宋体"/>
          <w:color w:val="auto"/>
          <w:kern w:val="44"/>
          <w:sz w:val="24"/>
          <w:szCs w:val="24"/>
        </w:rPr>
        <w:t>紧急情况的处理措施、预案以及抵抗风险的措施</w:t>
      </w:r>
    </w:p>
    <w:p w14:paraId="2CE55D77">
      <w:pPr>
        <w:pStyle w:val="112"/>
        <w:numPr>
          <w:ilvl w:val="0"/>
          <w:numId w:val="14"/>
        </w:numPr>
        <w:spacing w:line="360" w:lineRule="auto"/>
        <w:ind w:left="368" w:hanging="420" w:hangingChars="175"/>
        <w:rPr>
          <w:rFonts w:hint="eastAsia" w:ascii="宋体" w:hAnsi="宋体" w:cs="宋体"/>
          <w:color w:val="auto"/>
          <w:kern w:val="44"/>
          <w:sz w:val="24"/>
          <w:szCs w:val="24"/>
        </w:rPr>
      </w:pPr>
      <w:r>
        <w:rPr>
          <w:rFonts w:hint="eastAsia" w:ascii="宋体" w:hAnsi="宋体" w:cs="宋体"/>
          <w:color w:val="auto"/>
          <w:kern w:val="44"/>
          <w:sz w:val="24"/>
          <w:szCs w:val="24"/>
        </w:rPr>
        <w:t>拟派本项目人员配备方案</w:t>
      </w:r>
    </w:p>
    <w:p w14:paraId="5378DC98">
      <w:pPr>
        <w:pStyle w:val="112"/>
        <w:numPr>
          <w:ilvl w:val="0"/>
          <w:numId w:val="14"/>
        </w:numPr>
        <w:spacing w:line="360" w:lineRule="auto"/>
        <w:ind w:left="368" w:hanging="420" w:hangingChars="175"/>
        <w:rPr>
          <w:rFonts w:hint="default" w:ascii="Times New Roman" w:hAnsi="Times New Roman"/>
          <w:color w:val="auto"/>
          <w:sz w:val="24"/>
          <w:szCs w:val="24"/>
        </w:rPr>
      </w:pPr>
      <w:r>
        <w:rPr>
          <w:rFonts w:hint="eastAsia" w:ascii="宋体" w:hAnsi="宋体" w:cs="宋体"/>
          <w:color w:val="auto"/>
          <w:kern w:val="44"/>
          <w:sz w:val="24"/>
          <w:szCs w:val="24"/>
        </w:rPr>
        <w:t>机械设备及工具配置方案</w:t>
      </w:r>
    </w:p>
    <w:p w14:paraId="4E17FC0D">
      <w:pPr>
        <w:pStyle w:val="112"/>
        <w:numPr>
          <w:ilvl w:val="0"/>
          <w:numId w:val="14"/>
        </w:numPr>
        <w:spacing w:line="360" w:lineRule="auto"/>
        <w:ind w:left="368" w:hanging="420" w:hangingChars="175"/>
        <w:rPr>
          <w:rFonts w:hint="default" w:ascii="Times New Roman" w:hAnsi="Times New Roman"/>
          <w:color w:val="auto"/>
          <w:sz w:val="24"/>
          <w:szCs w:val="24"/>
        </w:rPr>
      </w:pPr>
      <w:r>
        <w:rPr>
          <w:rFonts w:hint="eastAsia" w:ascii="宋体" w:hAnsi="宋体" w:cs="宋体"/>
          <w:color w:val="auto"/>
          <w:kern w:val="44"/>
          <w:sz w:val="24"/>
          <w:szCs w:val="24"/>
          <w:lang w:eastAsia="zh-CN"/>
        </w:rPr>
        <w:t>……</w:t>
      </w:r>
    </w:p>
    <w:p w14:paraId="5EB3A170">
      <w:pPr>
        <w:rPr>
          <w:rFonts w:eastAsiaTheme="minorEastAsia"/>
          <w:color w:val="auto"/>
          <w:sz w:val="24"/>
        </w:rPr>
      </w:pPr>
      <w:r>
        <w:rPr>
          <w:rFonts w:eastAsiaTheme="minorEastAsia"/>
          <w:color w:val="auto"/>
          <w:sz w:val="24"/>
        </w:rPr>
        <w:br w:type="page"/>
      </w:r>
    </w:p>
    <w:p w14:paraId="0105A686">
      <w:pPr>
        <w:tabs>
          <w:tab w:val="left" w:pos="360"/>
        </w:tabs>
        <w:snapToGrid w:val="0"/>
        <w:spacing w:line="360" w:lineRule="auto"/>
        <w:outlineLvl w:val="1"/>
        <w:rPr>
          <w:color w:val="auto"/>
          <w:sz w:val="24"/>
          <w:szCs w:val="20"/>
        </w:rPr>
      </w:pPr>
      <w:r>
        <w:rPr>
          <w:color w:val="auto"/>
          <w:sz w:val="24"/>
        </w:rPr>
        <w:t>1</w:t>
      </w:r>
      <w:r>
        <w:rPr>
          <w:rFonts w:hint="eastAsia"/>
          <w:color w:val="auto"/>
          <w:sz w:val="24"/>
          <w:lang w:val="en-US" w:eastAsia="zh-CN"/>
        </w:rPr>
        <w:t>2</w:t>
      </w:r>
      <w:r>
        <w:rPr>
          <w:color w:val="auto"/>
          <w:sz w:val="24"/>
        </w:rPr>
        <w:t xml:space="preserve"> 竞争性磋商文件要求提供或供应商认为应附的其他材料</w:t>
      </w:r>
    </w:p>
    <w:p w14:paraId="50D20898">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bookmarkStart w:id="798" w:name="_Hlk109566285"/>
      <w:r>
        <w:rPr>
          <w:rFonts w:ascii="Times New Roman" w:hAnsi="Times New Roman" w:cs="Times New Roman"/>
          <w:b w:val="0"/>
          <w:color w:val="auto"/>
          <w:sz w:val="24"/>
          <w:szCs w:val="24"/>
        </w:rPr>
        <w:t>（1）供应商信息采集表</w:t>
      </w:r>
    </w:p>
    <w:tbl>
      <w:tblPr>
        <w:tblStyle w:val="5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1"/>
        <w:gridCol w:w="2841"/>
        <w:gridCol w:w="2841"/>
      </w:tblGrid>
      <w:tr w14:paraId="741F8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vAlign w:val="center"/>
          </w:tcPr>
          <w:p w14:paraId="24A0859D">
            <w:pPr>
              <w:autoSpaceDE w:val="0"/>
              <w:autoSpaceDN w:val="0"/>
              <w:spacing w:line="267" w:lineRule="exact"/>
              <w:jc w:val="center"/>
              <w:rPr>
                <w:color w:val="auto"/>
                <w:szCs w:val="22"/>
              </w:rPr>
            </w:pPr>
            <w:r>
              <w:rPr>
                <w:color w:val="auto"/>
                <w:szCs w:val="22"/>
              </w:rPr>
              <w:t>供应商名称</w:t>
            </w:r>
          </w:p>
        </w:tc>
        <w:tc>
          <w:tcPr>
            <w:tcW w:w="2841" w:type="dxa"/>
            <w:vAlign w:val="center"/>
          </w:tcPr>
          <w:p w14:paraId="3D32A789">
            <w:pPr>
              <w:pStyle w:val="268"/>
              <w:keepNext w:val="0"/>
              <w:keepLines w:val="0"/>
              <w:tabs>
                <w:tab w:val="left" w:pos="420"/>
                <w:tab w:val="left" w:pos="660"/>
              </w:tabs>
              <w:snapToGrid w:val="0"/>
              <w:spacing w:before="0"/>
              <w:jc w:val="center"/>
              <w:outlineLvl w:val="9"/>
              <w:rPr>
                <w:rFonts w:ascii="Times New Roman" w:hAnsi="Times New Roman" w:cs="Times New Roman"/>
                <w:b w:val="0"/>
                <w:color w:val="auto"/>
                <w:sz w:val="24"/>
                <w:szCs w:val="24"/>
              </w:rPr>
            </w:pPr>
            <w:r>
              <w:rPr>
                <w:rFonts w:ascii="Times New Roman" w:hAnsi="Times New Roman" w:cs="Times New Roman"/>
                <w:b w:val="0"/>
                <w:color w:val="auto"/>
                <w:szCs w:val="22"/>
              </w:rPr>
              <w:t>供应商所属性别</w:t>
            </w:r>
          </w:p>
        </w:tc>
        <w:tc>
          <w:tcPr>
            <w:tcW w:w="2841" w:type="dxa"/>
            <w:vAlign w:val="center"/>
          </w:tcPr>
          <w:p w14:paraId="5B5201E4">
            <w:pPr>
              <w:autoSpaceDE w:val="0"/>
              <w:autoSpaceDN w:val="0"/>
              <w:spacing w:line="267" w:lineRule="exact"/>
              <w:jc w:val="center"/>
              <w:rPr>
                <w:color w:val="auto"/>
                <w:szCs w:val="22"/>
              </w:rPr>
            </w:pPr>
            <w:r>
              <w:rPr>
                <w:color w:val="auto"/>
                <w:szCs w:val="22"/>
              </w:rPr>
              <w:t>外商投资类型</w:t>
            </w:r>
          </w:p>
        </w:tc>
      </w:tr>
      <w:tr w14:paraId="430C8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779E78F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15948DC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7F10D01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75C04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5268B7D6">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166180E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359A2669">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35D4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6CA99BAE">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41C64BEF">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6F5BF50D">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r w14:paraId="73E87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1" w:type="dxa"/>
          </w:tcPr>
          <w:p w14:paraId="422664E2">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55F8FA7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c>
          <w:tcPr>
            <w:tcW w:w="2841" w:type="dxa"/>
          </w:tcPr>
          <w:p w14:paraId="4BAE2C5B">
            <w:pPr>
              <w:pStyle w:val="268"/>
              <w:keepNext w:val="0"/>
              <w:keepLines w:val="0"/>
              <w:tabs>
                <w:tab w:val="left" w:pos="420"/>
                <w:tab w:val="left" w:pos="660"/>
              </w:tabs>
              <w:snapToGrid w:val="0"/>
              <w:spacing w:before="0" w:line="360" w:lineRule="auto"/>
              <w:outlineLvl w:val="9"/>
              <w:rPr>
                <w:rFonts w:ascii="Times New Roman" w:hAnsi="Times New Roman" w:cs="Times New Roman"/>
                <w:b w:val="0"/>
                <w:color w:val="auto"/>
                <w:sz w:val="24"/>
                <w:szCs w:val="24"/>
              </w:rPr>
            </w:pPr>
          </w:p>
        </w:tc>
      </w:tr>
    </w:tbl>
    <w:p w14:paraId="388CC010">
      <w:pPr>
        <w:spacing w:before="240" w:line="360" w:lineRule="auto"/>
        <w:ind w:firstLine="480" w:firstLineChars="200"/>
        <w:rPr>
          <w:color w:val="auto"/>
          <w:sz w:val="24"/>
        </w:rPr>
      </w:pPr>
      <w:r>
        <w:rPr>
          <w:color w:val="auto"/>
          <w:sz w:val="24"/>
        </w:rPr>
        <w:t>注：</w:t>
      </w:r>
    </w:p>
    <w:p w14:paraId="0AB1008E">
      <w:pPr>
        <w:spacing w:line="360" w:lineRule="auto"/>
        <w:ind w:firstLine="480" w:firstLineChars="200"/>
        <w:rPr>
          <w:rFonts w:hint="eastAsia" w:ascii="宋体" w:hAnsi="宋体" w:cs="宋体"/>
          <w:color w:val="auto"/>
          <w:sz w:val="24"/>
        </w:rPr>
      </w:pPr>
      <w:r>
        <w:rPr>
          <w:color w:val="auto"/>
          <w:sz w:val="24"/>
        </w:rPr>
        <w:t>1</w:t>
      </w:r>
      <w:r>
        <w:rPr>
          <w:rFonts w:hint="eastAsia" w:ascii="宋体" w:hAnsi="宋体" w:cs="宋体"/>
          <w:color w:val="auto"/>
          <w:sz w:val="24"/>
        </w:rPr>
        <w:t>.供应商所属性别请填写“男”或“女”，指拥有供应商51%以上绝对所有权的性别；绝对所有权拥有者可以是一个人，也可以是多人合计计算。</w:t>
      </w:r>
    </w:p>
    <w:p w14:paraId="436EF9CA">
      <w:pPr>
        <w:spacing w:line="360" w:lineRule="auto"/>
        <w:ind w:firstLine="480" w:firstLineChars="200"/>
        <w:rPr>
          <w:color w:val="auto"/>
          <w:sz w:val="24"/>
        </w:rPr>
      </w:pPr>
      <w:r>
        <w:rPr>
          <w:color w:val="auto"/>
          <w:sz w:val="24"/>
        </w:rPr>
        <w:t>2</w:t>
      </w:r>
      <w:r>
        <w:rPr>
          <w:rFonts w:hint="eastAsia" w:ascii="宋体" w:hAnsi="宋体" w:cs="宋体"/>
          <w:color w:val="auto"/>
          <w:sz w:val="24"/>
        </w:rPr>
        <w:t>.外商投资类型请填写“外商单独投资”、“外商部分投资”或“内资”。</w:t>
      </w:r>
    </w:p>
    <w:p w14:paraId="137188B0">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0595744D">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519B4F77">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4E44697D">
      <w:pPr>
        <w:pStyle w:val="268"/>
        <w:keepNext w:val="0"/>
        <w:keepLines w:val="0"/>
        <w:tabs>
          <w:tab w:val="left" w:pos="420"/>
          <w:tab w:val="left" w:pos="660"/>
        </w:tabs>
        <w:snapToGrid w:val="0"/>
        <w:spacing w:before="0" w:line="360" w:lineRule="auto"/>
        <w:ind w:firstLine="480" w:firstLineChars="200"/>
        <w:outlineLvl w:val="9"/>
        <w:rPr>
          <w:rFonts w:ascii="Times New Roman" w:hAnsi="Times New Roman" w:cs="Times New Roman"/>
          <w:b w:val="0"/>
          <w:color w:val="auto"/>
          <w:sz w:val="24"/>
          <w:szCs w:val="24"/>
        </w:rPr>
      </w:pPr>
    </w:p>
    <w:p w14:paraId="6C693D6F">
      <w:pPr>
        <w:widowControl/>
        <w:ind w:firstLine="3840" w:firstLineChars="1600"/>
        <w:jc w:val="left"/>
        <w:rPr>
          <w:rFonts w:cs="微软雅黑"/>
          <w:color w:val="auto"/>
          <w:sz w:val="24"/>
        </w:rPr>
      </w:pPr>
      <w:r>
        <w:rPr>
          <w:rFonts w:cs="微软雅黑"/>
          <w:color w:val="auto"/>
          <w:sz w:val="24"/>
        </w:rPr>
        <w:t xml:space="preserve">  </w:t>
      </w:r>
    </w:p>
    <w:p w14:paraId="1C66C5FC">
      <w:pPr>
        <w:widowControl/>
        <w:jc w:val="left"/>
        <w:rPr>
          <w:color w:val="auto"/>
          <w:sz w:val="24"/>
        </w:rPr>
      </w:pPr>
    </w:p>
    <w:p w14:paraId="2DC6155C">
      <w:pPr>
        <w:widowControl/>
        <w:jc w:val="left"/>
        <w:rPr>
          <w:color w:val="auto"/>
          <w:sz w:val="24"/>
        </w:rPr>
      </w:pPr>
    </w:p>
    <w:p w14:paraId="189DDDD5">
      <w:pPr>
        <w:widowControl/>
        <w:ind w:firstLine="3840" w:firstLineChars="1600"/>
        <w:jc w:val="left"/>
        <w:rPr>
          <w:rFonts w:cs="微软雅黑"/>
          <w:color w:val="auto"/>
          <w:sz w:val="24"/>
        </w:rPr>
      </w:pPr>
      <w:r>
        <w:rPr>
          <w:rFonts w:cs="微软雅黑"/>
          <w:color w:val="auto"/>
          <w:sz w:val="24"/>
        </w:rPr>
        <w:t xml:space="preserve"> </w:t>
      </w:r>
    </w:p>
    <w:p w14:paraId="7B53E4B4">
      <w:pPr>
        <w:widowControl/>
        <w:jc w:val="left"/>
        <w:rPr>
          <w:color w:val="auto"/>
          <w:sz w:val="24"/>
        </w:rPr>
      </w:pPr>
    </w:p>
    <w:p w14:paraId="5C79D3A9">
      <w:pPr>
        <w:widowControl/>
        <w:jc w:val="left"/>
        <w:rPr>
          <w:color w:val="auto"/>
          <w:sz w:val="24"/>
        </w:rPr>
      </w:pPr>
    </w:p>
    <w:p w14:paraId="48B9E76A">
      <w:pPr>
        <w:widowControl/>
        <w:jc w:val="left"/>
        <w:rPr>
          <w:b/>
          <w:color w:val="auto"/>
          <w:sz w:val="36"/>
          <w:szCs w:val="36"/>
        </w:rPr>
      </w:pPr>
      <w:r>
        <w:rPr>
          <w:color w:val="auto"/>
          <w:sz w:val="24"/>
        </w:rPr>
        <w:t>（</w:t>
      </w:r>
      <w:r>
        <w:rPr>
          <w:rFonts w:hint="eastAsia"/>
          <w:color w:val="auto"/>
          <w:sz w:val="24"/>
        </w:rPr>
        <w:t>2</w:t>
      </w:r>
      <w:r>
        <w:rPr>
          <w:color w:val="auto"/>
          <w:sz w:val="24"/>
        </w:rPr>
        <w:t>）其他供应商认为应当提供或补充的其他文件。</w:t>
      </w:r>
    </w:p>
    <w:bookmarkEnd w:id="798"/>
    <w:p w14:paraId="41ACE81F">
      <w:pPr>
        <w:widowControl/>
        <w:jc w:val="left"/>
        <w:rPr>
          <w:b/>
          <w:color w:val="auto"/>
          <w:sz w:val="36"/>
          <w:szCs w:val="36"/>
        </w:rPr>
      </w:pPr>
    </w:p>
    <w:p w14:paraId="373CEB45">
      <w:pPr>
        <w:rPr>
          <w:color w:val="auto"/>
          <w:sz w:val="24"/>
        </w:rPr>
      </w:pPr>
      <w:r>
        <w:rPr>
          <w:color w:val="auto"/>
          <w:sz w:val="24"/>
        </w:rPr>
        <w:br w:type="page"/>
      </w:r>
    </w:p>
    <w:p w14:paraId="123A4C54">
      <w:pPr>
        <w:tabs>
          <w:tab w:val="left" w:pos="360"/>
        </w:tabs>
        <w:snapToGrid w:val="0"/>
        <w:spacing w:line="360" w:lineRule="auto"/>
        <w:outlineLvl w:val="1"/>
        <w:rPr>
          <w:color w:val="auto"/>
          <w:sz w:val="24"/>
        </w:rPr>
      </w:pPr>
      <w:r>
        <w:rPr>
          <w:color w:val="auto"/>
          <w:sz w:val="24"/>
        </w:rPr>
        <w:t>1</w:t>
      </w:r>
      <w:r>
        <w:rPr>
          <w:rFonts w:hint="eastAsia"/>
          <w:color w:val="auto"/>
          <w:sz w:val="24"/>
          <w:lang w:val="en-US" w:eastAsia="zh-CN"/>
        </w:rPr>
        <w:t>4</w:t>
      </w:r>
      <w:r>
        <w:rPr>
          <w:color w:val="auto"/>
          <w:sz w:val="24"/>
        </w:rPr>
        <w:t xml:space="preserve"> 最后报价一览表（实质性格式，磋商后提交）</w:t>
      </w:r>
    </w:p>
    <w:p w14:paraId="618EEC49">
      <w:pPr>
        <w:widowControl/>
        <w:jc w:val="left"/>
        <w:rPr>
          <w:color w:val="auto"/>
          <w:kern w:val="0"/>
          <w:sz w:val="24"/>
          <w:szCs w:val="20"/>
        </w:rPr>
      </w:pPr>
    </w:p>
    <w:p w14:paraId="430B8815">
      <w:pPr>
        <w:keepNext w:val="0"/>
        <w:keepLines w:val="0"/>
        <w:pageBreakBefore w:val="0"/>
        <w:widowControl w:val="0"/>
        <w:kinsoku/>
        <w:wordWrap/>
        <w:overflowPunct/>
        <w:topLinePunct w:val="0"/>
        <w:autoSpaceDE/>
        <w:autoSpaceDN/>
        <w:bidi w:val="0"/>
        <w:adjustRightInd/>
        <w:snapToGrid/>
        <w:spacing w:line="240" w:lineRule="auto"/>
        <w:ind w:firstLine="720"/>
        <w:jc w:val="center"/>
        <w:textAlignment w:val="auto"/>
        <w:rPr>
          <w:rFonts w:hint="eastAsia" w:ascii="宋体" w:hAnsi="宋体" w:cs="宋体"/>
          <w:b/>
          <w:color w:val="auto"/>
          <w:sz w:val="36"/>
          <w:szCs w:val="36"/>
        </w:rPr>
      </w:pPr>
      <w:bookmarkStart w:id="799" w:name="_Hlk137145809"/>
      <w:r>
        <w:rPr>
          <w:rFonts w:hint="eastAsia" w:ascii="宋体" w:hAnsi="宋体" w:cs="宋体"/>
          <w:b/>
          <w:color w:val="auto"/>
          <w:sz w:val="36"/>
          <w:szCs w:val="36"/>
        </w:rPr>
        <w:t>最后报价一览表</w:t>
      </w:r>
    </w:p>
    <w:p w14:paraId="2C70661F">
      <w:pPr>
        <w:tabs>
          <w:tab w:val="left" w:pos="1800"/>
          <w:tab w:val="left" w:pos="5580"/>
        </w:tabs>
        <w:spacing w:line="360" w:lineRule="auto"/>
        <w:jc w:val="left"/>
        <w:rPr>
          <w:rFonts w:eastAsiaTheme="minorEastAsia"/>
          <w:color w:val="auto"/>
          <w:sz w:val="24"/>
        </w:rPr>
      </w:pPr>
    </w:p>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799"/>
    <w:p w14:paraId="1E40646E">
      <w:pPr>
        <w:tabs>
          <w:tab w:val="left" w:pos="1800"/>
          <w:tab w:val="left" w:pos="5580"/>
        </w:tabs>
        <w:spacing w:line="360" w:lineRule="auto"/>
        <w:ind w:firstLine="240" w:firstLineChars="100"/>
        <w:jc w:val="left"/>
        <w:rPr>
          <w:color w:val="auto"/>
          <w:sz w:val="24"/>
        </w:rPr>
      </w:pPr>
      <w:r>
        <w:rPr>
          <w:color w:val="auto"/>
          <w:sz w:val="24"/>
        </w:rPr>
        <w:t>项目编号</w:t>
      </w:r>
      <w:r>
        <w:rPr>
          <w:rFonts w:hint="eastAsia"/>
          <w:color w:val="auto"/>
          <w:sz w:val="24"/>
        </w:rPr>
        <w:t>/包号</w:t>
      </w:r>
      <w:r>
        <w:rPr>
          <w:color w:val="auto"/>
          <w:sz w:val="24"/>
        </w:rPr>
        <w:t>：______________   项目名称：______________</w:t>
      </w:r>
    </w:p>
    <w:tbl>
      <w:tblPr>
        <w:tblStyle w:val="53"/>
        <w:tblW w:w="948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395"/>
        <w:gridCol w:w="2032"/>
        <w:gridCol w:w="1418"/>
        <w:gridCol w:w="1681"/>
        <w:gridCol w:w="833"/>
        <w:gridCol w:w="1167"/>
        <w:gridCol w:w="961"/>
      </w:tblGrid>
      <w:tr w14:paraId="7DD3F6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18" w:hRule="atLeast"/>
          <w:jc w:val="center"/>
        </w:trPr>
        <w:tc>
          <w:tcPr>
            <w:tcW w:w="1395" w:type="dxa"/>
            <w:vAlign w:val="center"/>
          </w:tcPr>
          <w:p w14:paraId="2577DF8E">
            <w:pPr>
              <w:tabs>
                <w:tab w:val="left" w:pos="5580"/>
              </w:tabs>
              <w:ind w:right="-199"/>
              <w:jc w:val="center"/>
              <w:rPr>
                <w:rFonts w:ascii="宋体" w:hAnsi="宋体"/>
                <w:bCs/>
                <w:color w:val="auto"/>
                <w:sz w:val="22"/>
                <w:szCs w:val="22"/>
              </w:rPr>
            </w:pPr>
            <w:r>
              <w:rPr>
                <w:rFonts w:ascii="宋体" w:hAnsi="宋体"/>
                <w:bCs/>
                <w:color w:val="auto"/>
                <w:sz w:val="22"/>
                <w:szCs w:val="22"/>
              </w:rPr>
              <w:t>供应商</w:t>
            </w:r>
          </w:p>
          <w:p w14:paraId="27D97DBF">
            <w:pPr>
              <w:tabs>
                <w:tab w:val="left" w:pos="5580"/>
              </w:tabs>
              <w:ind w:right="-199"/>
              <w:jc w:val="center"/>
              <w:rPr>
                <w:rFonts w:ascii="宋体" w:hAnsi="宋体"/>
                <w:bCs/>
                <w:color w:val="auto"/>
                <w:sz w:val="22"/>
                <w:szCs w:val="22"/>
              </w:rPr>
            </w:pPr>
            <w:r>
              <w:rPr>
                <w:rFonts w:ascii="宋体" w:hAnsi="宋体"/>
                <w:bCs/>
                <w:color w:val="auto"/>
                <w:sz w:val="22"/>
                <w:szCs w:val="22"/>
              </w:rPr>
              <w:t>名称</w:t>
            </w:r>
          </w:p>
        </w:tc>
        <w:tc>
          <w:tcPr>
            <w:tcW w:w="2032" w:type="dxa"/>
            <w:vAlign w:val="center"/>
          </w:tcPr>
          <w:p w14:paraId="450A67F9">
            <w:pPr>
              <w:jc w:val="center"/>
              <w:rPr>
                <w:rFonts w:ascii="宋体" w:hAnsi="宋体"/>
                <w:bCs/>
                <w:color w:val="auto"/>
                <w:sz w:val="22"/>
                <w:szCs w:val="22"/>
              </w:rPr>
            </w:pPr>
            <w:r>
              <w:rPr>
                <w:rFonts w:ascii="宋体" w:hAnsi="宋体"/>
                <w:bCs/>
                <w:color w:val="auto"/>
                <w:sz w:val="22"/>
                <w:szCs w:val="22"/>
              </w:rPr>
              <w:t>响应报价</w:t>
            </w:r>
          </w:p>
          <w:p w14:paraId="36D37AF2">
            <w:pPr>
              <w:tabs>
                <w:tab w:val="left" w:pos="5580"/>
              </w:tabs>
              <w:jc w:val="center"/>
              <w:rPr>
                <w:rFonts w:ascii="宋体" w:hAnsi="宋体"/>
                <w:bCs/>
                <w:color w:val="auto"/>
                <w:sz w:val="22"/>
                <w:szCs w:val="22"/>
              </w:rPr>
            </w:pPr>
            <w:r>
              <w:rPr>
                <w:rFonts w:hint="eastAsia" w:ascii="宋体" w:hAnsi="宋体"/>
                <w:bCs/>
                <w:color w:val="auto"/>
                <w:sz w:val="22"/>
                <w:szCs w:val="22"/>
              </w:rPr>
              <w:t>（单位：元）</w:t>
            </w:r>
          </w:p>
        </w:tc>
        <w:tc>
          <w:tcPr>
            <w:tcW w:w="1418" w:type="dxa"/>
            <w:vAlign w:val="center"/>
          </w:tcPr>
          <w:p w14:paraId="6DC2EF1B">
            <w:pPr>
              <w:jc w:val="center"/>
              <w:rPr>
                <w:rFonts w:hint="eastAsia" w:ascii="宋体" w:hAnsi="宋体"/>
                <w:bCs/>
                <w:color w:val="auto"/>
                <w:sz w:val="22"/>
                <w:szCs w:val="22"/>
              </w:rPr>
            </w:pPr>
            <w:r>
              <w:rPr>
                <w:rFonts w:ascii="宋体" w:hAnsi="宋体"/>
                <w:bCs/>
                <w:color w:val="auto"/>
                <w:sz w:val="22"/>
                <w:szCs w:val="22"/>
              </w:rPr>
              <w:t>合同履行期限</w:t>
            </w:r>
            <w:r>
              <w:rPr>
                <w:rFonts w:hint="eastAsia" w:ascii="宋体" w:hAnsi="宋体"/>
                <w:bCs/>
                <w:color w:val="auto"/>
                <w:sz w:val="22"/>
                <w:szCs w:val="22"/>
              </w:rPr>
              <w:t>（工期）</w:t>
            </w:r>
          </w:p>
          <w:p w14:paraId="00CD7E91">
            <w:pPr>
              <w:jc w:val="center"/>
              <w:rPr>
                <w:rFonts w:ascii="宋体" w:hAnsi="宋体"/>
                <w:bCs/>
                <w:color w:val="auto"/>
                <w:sz w:val="22"/>
                <w:szCs w:val="22"/>
              </w:rPr>
            </w:pPr>
            <w:r>
              <w:rPr>
                <w:rFonts w:hint="eastAsia" w:ascii="宋体" w:hAnsi="宋体"/>
                <w:bCs/>
                <w:color w:val="auto"/>
                <w:sz w:val="22"/>
                <w:szCs w:val="22"/>
              </w:rPr>
              <w:t>（日历天）</w:t>
            </w:r>
          </w:p>
        </w:tc>
        <w:tc>
          <w:tcPr>
            <w:tcW w:w="1681" w:type="dxa"/>
            <w:vAlign w:val="center"/>
          </w:tcPr>
          <w:p w14:paraId="6F223312">
            <w:pPr>
              <w:jc w:val="center"/>
              <w:rPr>
                <w:rFonts w:ascii="宋体" w:hAnsi="宋体"/>
                <w:bCs/>
                <w:color w:val="auto"/>
                <w:sz w:val="22"/>
                <w:szCs w:val="22"/>
              </w:rPr>
            </w:pPr>
            <w:r>
              <w:rPr>
                <w:rFonts w:hint="eastAsia" w:ascii="宋体" w:hAnsi="宋体"/>
                <w:bCs/>
                <w:color w:val="auto"/>
                <w:sz w:val="22"/>
                <w:szCs w:val="22"/>
                <w:lang w:val="en-US" w:eastAsia="zh-CN"/>
              </w:rPr>
              <w:t>拆除</w:t>
            </w:r>
            <w:r>
              <w:rPr>
                <w:rFonts w:ascii="宋体" w:hAnsi="宋体"/>
                <w:bCs/>
                <w:color w:val="auto"/>
                <w:sz w:val="22"/>
                <w:szCs w:val="22"/>
              </w:rPr>
              <w:t>地点</w:t>
            </w:r>
          </w:p>
        </w:tc>
        <w:tc>
          <w:tcPr>
            <w:tcW w:w="833" w:type="dxa"/>
            <w:vAlign w:val="center"/>
          </w:tcPr>
          <w:p w14:paraId="5D1C6321">
            <w:pPr>
              <w:jc w:val="center"/>
              <w:rPr>
                <w:rFonts w:hint="eastAsia" w:ascii="宋体" w:hAnsi="宋体"/>
                <w:bCs/>
                <w:color w:val="auto"/>
                <w:sz w:val="22"/>
                <w:szCs w:val="22"/>
                <w:lang w:val="en-US" w:eastAsia="zh-CN"/>
              </w:rPr>
            </w:pPr>
            <w:r>
              <w:rPr>
                <w:rFonts w:hint="eastAsia" w:ascii="宋体" w:hAnsi="宋体"/>
                <w:bCs/>
                <w:color w:val="auto"/>
                <w:sz w:val="22"/>
                <w:szCs w:val="22"/>
                <w:lang w:val="en-US" w:eastAsia="zh-CN"/>
              </w:rPr>
              <w:t>质量</w:t>
            </w:r>
          </w:p>
          <w:p w14:paraId="603E69BC">
            <w:pPr>
              <w:jc w:val="center"/>
              <w:rPr>
                <w:rFonts w:hint="default" w:ascii="宋体" w:hAnsi="宋体" w:eastAsia="宋体"/>
                <w:bCs/>
                <w:color w:val="auto"/>
                <w:sz w:val="22"/>
                <w:szCs w:val="22"/>
                <w:lang w:val="en-US" w:eastAsia="zh-CN"/>
              </w:rPr>
            </w:pPr>
            <w:r>
              <w:rPr>
                <w:rFonts w:hint="eastAsia" w:ascii="宋体" w:hAnsi="宋体"/>
                <w:bCs/>
                <w:color w:val="auto"/>
                <w:sz w:val="22"/>
                <w:szCs w:val="22"/>
                <w:lang w:val="en-US" w:eastAsia="zh-CN"/>
              </w:rPr>
              <w:t>标准</w:t>
            </w:r>
          </w:p>
        </w:tc>
        <w:tc>
          <w:tcPr>
            <w:tcW w:w="1167" w:type="dxa"/>
            <w:vAlign w:val="center"/>
          </w:tcPr>
          <w:p w14:paraId="207281B3">
            <w:pPr>
              <w:jc w:val="center"/>
              <w:rPr>
                <w:rFonts w:ascii="宋体" w:hAnsi="宋体"/>
                <w:bCs/>
                <w:color w:val="auto"/>
                <w:sz w:val="22"/>
                <w:szCs w:val="22"/>
              </w:rPr>
            </w:pPr>
            <w:r>
              <w:rPr>
                <w:rFonts w:hint="eastAsia" w:ascii="宋体" w:hAnsi="宋体"/>
                <w:bCs/>
                <w:color w:val="auto"/>
                <w:sz w:val="22"/>
                <w:szCs w:val="22"/>
              </w:rPr>
              <w:t>安全生产标准化管理目标等级</w:t>
            </w:r>
          </w:p>
        </w:tc>
        <w:tc>
          <w:tcPr>
            <w:tcW w:w="961" w:type="dxa"/>
            <w:vAlign w:val="center"/>
          </w:tcPr>
          <w:p w14:paraId="5C412433">
            <w:pPr>
              <w:tabs>
                <w:tab w:val="left" w:pos="5580"/>
              </w:tabs>
              <w:jc w:val="center"/>
              <w:rPr>
                <w:rFonts w:hint="eastAsia" w:ascii="宋体" w:hAnsi="宋体"/>
                <w:bCs/>
                <w:color w:val="auto"/>
                <w:sz w:val="22"/>
                <w:szCs w:val="22"/>
              </w:rPr>
            </w:pPr>
            <w:r>
              <w:rPr>
                <w:rFonts w:hint="eastAsia" w:ascii="宋体" w:hAnsi="宋体"/>
                <w:bCs/>
                <w:color w:val="auto"/>
                <w:sz w:val="22"/>
                <w:szCs w:val="22"/>
                <w:lang w:val="en-US" w:eastAsia="zh-CN"/>
              </w:rPr>
              <w:t>备注</w:t>
            </w:r>
          </w:p>
        </w:tc>
      </w:tr>
      <w:tr w14:paraId="7AAD2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cantSplit/>
          <w:trHeight w:val="1313" w:hRule="atLeast"/>
          <w:jc w:val="center"/>
        </w:trPr>
        <w:tc>
          <w:tcPr>
            <w:tcW w:w="1395" w:type="dxa"/>
            <w:vAlign w:val="center"/>
          </w:tcPr>
          <w:p w14:paraId="32C20798">
            <w:pPr>
              <w:tabs>
                <w:tab w:val="left" w:pos="5580"/>
              </w:tabs>
              <w:spacing w:line="360" w:lineRule="auto"/>
              <w:ind w:left="-697"/>
              <w:jc w:val="center"/>
              <w:rPr>
                <w:rFonts w:ascii="宋体" w:hAnsi="宋体"/>
                <w:color w:val="auto"/>
                <w:szCs w:val="21"/>
              </w:rPr>
            </w:pPr>
          </w:p>
        </w:tc>
        <w:tc>
          <w:tcPr>
            <w:tcW w:w="2032" w:type="dxa"/>
          </w:tcPr>
          <w:p w14:paraId="67FE1467">
            <w:pPr>
              <w:tabs>
                <w:tab w:val="left" w:pos="5580"/>
              </w:tabs>
              <w:spacing w:line="360" w:lineRule="auto"/>
              <w:jc w:val="center"/>
              <w:rPr>
                <w:rFonts w:ascii="宋体" w:hAnsi="宋体"/>
                <w:color w:val="auto"/>
                <w:szCs w:val="21"/>
              </w:rPr>
            </w:pPr>
          </w:p>
        </w:tc>
        <w:tc>
          <w:tcPr>
            <w:tcW w:w="1418" w:type="dxa"/>
            <w:vAlign w:val="center"/>
          </w:tcPr>
          <w:p w14:paraId="63ADA131">
            <w:pPr>
              <w:tabs>
                <w:tab w:val="left" w:pos="5580"/>
              </w:tabs>
              <w:spacing w:line="360" w:lineRule="auto"/>
              <w:jc w:val="center"/>
              <w:rPr>
                <w:rFonts w:ascii="宋体" w:hAnsi="宋体"/>
                <w:color w:val="auto"/>
                <w:szCs w:val="21"/>
              </w:rPr>
            </w:pPr>
          </w:p>
        </w:tc>
        <w:tc>
          <w:tcPr>
            <w:tcW w:w="1681" w:type="dxa"/>
          </w:tcPr>
          <w:p w14:paraId="4256C7EE">
            <w:pPr>
              <w:tabs>
                <w:tab w:val="left" w:pos="5580"/>
              </w:tabs>
              <w:spacing w:line="360" w:lineRule="auto"/>
              <w:jc w:val="center"/>
              <w:rPr>
                <w:rFonts w:ascii="宋体" w:hAnsi="宋体"/>
                <w:color w:val="auto"/>
                <w:szCs w:val="21"/>
              </w:rPr>
            </w:pPr>
          </w:p>
        </w:tc>
        <w:tc>
          <w:tcPr>
            <w:tcW w:w="833" w:type="dxa"/>
          </w:tcPr>
          <w:p w14:paraId="008CEE8E">
            <w:pPr>
              <w:tabs>
                <w:tab w:val="left" w:pos="5580"/>
              </w:tabs>
              <w:spacing w:line="360" w:lineRule="auto"/>
              <w:jc w:val="center"/>
              <w:rPr>
                <w:rFonts w:ascii="宋体" w:hAnsi="宋体"/>
                <w:color w:val="auto"/>
                <w:szCs w:val="21"/>
              </w:rPr>
            </w:pPr>
          </w:p>
        </w:tc>
        <w:tc>
          <w:tcPr>
            <w:tcW w:w="1167" w:type="dxa"/>
          </w:tcPr>
          <w:p w14:paraId="208A26F0">
            <w:pPr>
              <w:tabs>
                <w:tab w:val="left" w:pos="5580"/>
              </w:tabs>
              <w:spacing w:line="360" w:lineRule="auto"/>
              <w:jc w:val="center"/>
              <w:rPr>
                <w:rFonts w:ascii="宋体" w:hAnsi="宋体"/>
                <w:color w:val="auto"/>
                <w:szCs w:val="21"/>
              </w:rPr>
            </w:pPr>
          </w:p>
        </w:tc>
        <w:tc>
          <w:tcPr>
            <w:tcW w:w="961" w:type="dxa"/>
          </w:tcPr>
          <w:p w14:paraId="0237CB51">
            <w:pPr>
              <w:tabs>
                <w:tab w:val="left" w:pos="5580"/>
              </w:tabs>
              <w:spacing w:line="360" w:lineRule="auto"/>
              <w:jc w:val="center"/>
              <w:rPr>
                <w:rFonts w:ascii="宋体" w:hAnsi="宋体"/>
                <w:color w:val="auto"/>
                <w:szCs w:val="21"/>
              </w:rPr>
            </w:pPr>
          </w:p>
        </w:tc>
      </w:tr>
    </w:tbl>
    <w:p w14:paraId="1495032E">
      <w:pPr>
        <w:tabs>
          <w:tab w:val="left" w:pos="1800"/>
          <w:tab w:val="left" w:pos="5580"/>
        </w:tabs>
        <w:spacing w:line="360" w:lineRule="auto"/>
        <w:ind w:firstLine="240" w:firstLineChars="100"/>
        <w:jc w:val="left"/>
        <w:rPr>
          <w:color w:val="auto"/>
          <w:sz w:val="24"/>
        </w:rPr>
      </w:pPr>
    </w:p>
    <w:p w14:paraId="15601956">
      <w:pPr>
        <w:tabs>
          <w:tab w:val="left" w:pos="1800"/>
          <w:tab w:val="left" w:pos="5580"/>
        </w:tabs>
        <w:spacing w:before="240"/>
        <w:jc w:val="left"/>
        <w:rPr>
          <w:color w:val="auto"/>
          <w:sz w:val="24"/>
        </w:rPr>
      </w:pPr>
      <w:r>
        <w:rPr>
          <w:color w:val="auto"/>
          <w:sz w:val="24"/>
        </w:rPr>
        <w:t>注：</w:t>
      </w:r>
      <w:r>
        <w:rPr>
          <w:rFonts w:hint="eastAsia"/>
          <w:color w:val="auto"/>
          <w:sz w:val="24"/>
        </w:rPr>
        <w:t>1</w:t>
      </w:r>
      <w:r>
        <w:rPr>
          <w:color w:val="auto"/>
          <w:sz w:val="24"/>
        </w:rPr>
        <w:t>.</w:t>
      </w:r>
      <w:r>
        <w:rPr>
          <w:rFonts w:hint="eastAsia"/>
          <w:color w:val="auto"/>
          <w:sz w:val="24"/>
          <w:lang w:val="en-US" w:eastAsia="zh-CN"/>
        </w:rPr>
        <w:t>响应</w:t>
      </w:r>
      <w:r>
        <w:rPr>
          <w:rFonts w:hint="eastAsia"/>
          <w:color w:val="auto"/>
          <w:sz w:val="24"/>
        </w:rPr>
        <w:t>报价为含税价。</w:t>
      </w:r>
    </w:p>
    <w:p w14:paraId="34A15FDF">
      <w:pPr>
        <w:tabs>
          <w:tab w:val="left" w:pos="1800"/>
          <w:tab w:val="left" w:pos="5580"/>
        </w:tabs>
        <w:spacing w:before="240"/>
        <w:ind w:firstLine="480" w:firstLineChars="200"/>
        <w:jc w:val="left"/>
        <w:rPr>
          <w:color w:val="auto"/>
          <w:sz w:val="24"/>
        </w:rPr>
      </w:pPr>
      <w:r>
        <w:rPr>
          <w:rFonts w:hint="eastAsia"/>
          <w:color w:val="auto"/>
          <w:sz w:val="24"/>
        </w:rPr>
        <w:t>2</w:t>
      </w:r>
      <w:r>
        <w:rPr>
          <w:color w:val="auto"/>
          <w:sz w:val="24"/>
        </w:rPr>
        <w:t>.此表中的</w:t>
      </w:r>
      <w:r>
        <w:rPr>
          <w:rFonts w:hint="eastAsia"/>
          <w:color w:val="auto"/>
          <w:sz w:val="24"/>
          <w:lang w:val="en-US" w:eastAsia="zh-CN"/>
        </w:rPr>
        <w:t>响应</w:t>
      </w:r>
      <w:r>
        <w:rPr>
          <w:color w:val="auto"/>
          <w:sz w:val="24"/>
        </w:rPr>
        <w:t>报价应和《</w:t>
      </w:r>
      <w:r>
        <w:rPr>
          <w:rFonts w:hint="eastAsia"/>
          <w:color w:val="auto"/>
          <w:sz w:val="24"/>
        </w:rPr>
        <w:t>最后分项报价表</w:t>
      </w:r>
      <w:r>
        <w:rPr>
          <w:color w:val="auto"/>
          <w:sz w:val="24"/>
        </w:rPr>
        <w:t>》中的总价相一致。</w:t>
      </w:r>
    </w:p>
    <w:p w14:paraId="7BBD1642">
      <w:pPr>
        <w:tabs>
          <w:tab w:val="left" w:pos="1800"/>
          <w:tab w:val="left" w:pos="5580"/>
        </w:tabs>
        <w:spacing w:before="240"/>
        <w:ind w:firstLine="480" w:firstLineChars="200"/>
        <w:jc w:val="left"/>
        <w:rPr>
          <w:color w:val="auto"/>
          <w:sz w:val="24"/>
        </w:rPr>
      </w:pPr>
      <w:r>
        <w:rPr>
          <w:rFonts w:hint="eastAsia"/>
          <w:color w:val="auto"/>
          <w:sz w:val="24"/>
          <w:lang w:val="en-US" w:eastAsia="zh-CN"/>
        </w:rPr>
        <w:t>3.</w:t>
      </w:r>
      <w:r>
        <w:rPr>
          <w:rFonts w:hint="eastAsia" w:ascii="宋体" w:hAnsi="宋体"/>
          <w:color w:val="auto"/>
          <w:sz w:val="24"/>
        </w:rPr>
        <w:t>此表无需在响应文件中提交，磋商后供应商按磋商小组要求提交。</w:t>
      </w:r>
    </w:p>
    <w:p w14:paraId="60CF5286">
      <w:pPr>
        <w:autoSpaceDE w:val="0"/>
        <w:autoSpaceDN w:val="0"/>
        <w:adjustRightInd w:val="0"/>
        <w:snapToGrid w:val="0"/>
        <w:spacing w:before="25" w:after="25" w:line="360" w:lineRule="auto"/>
        <w:rPr>
          <w:color w:val="auto"/>
          <w:sz w:val="24"/>
          <w:lang w:val="zh-CN"/>
        </w:rPr>
      </w:pPr>
    </w:p>
    <w:p w14:paraId="10929F1E">
      <w:pPr>
        <w:autoSpaceDE w:val="0"/>
        <w:autoSpaceDN w:val="0"/>
        <w:adjustRightInd w:val="0"/>
        <w:snapToGrid w:val="0"/>
        <w:spacing w:before="25" w:after="25" w:line="360" w:lineRule="auto"/>
        <w:rPr>
          <w:color w:val="auto"/>
          <w:sz w:val="24"/>
          <w:lang w:val="zh-CN"/>
        </w:rPr>
      </w:pPr>
    </w:p>
    <w:p w14:paraId="54C72DBD">
      <w:pPr>
        <w:autoSpaceDE w:val="0"/>
        <w:autoSpaceDN w:val="0"/>
        <w:adjustRightInd w:val="0"/>
        <w:snapToGrid w:val="0"/>
        <w:spacing w:before="25" w:after="25" w:line="360" w:lineRule="auto"/>
        <w:rPr>
          <w:color w:val="auto"/>
          <w:sz w:val="24"/>
          <w:lang w:val="zh-CN"/>
        </w:rPr>
      </w:pPr>
    </w:p>
    <w:p w14:paraId="58745460">
      <w:pPr>
        <w:autoSpaceDE w:val="0"/>
        <w:autoSpaceDN w:val="0"/>
        <w:adjustRightInd w:val="0"/>
        <w:snapToGrid w:val="0"/>
        <w:spacing w:before="25" w:after="25" w:line="360" w:lineRule="auto"/>
        <w:rPr>
          <w:color w:val="auto"/>
          <w:sz w:val="24"/>
          <w:lang w:val="zh-CN"/>
        </w:rPr>
      </w:pPr>
    </w:p>
    <w:p w14:paraId="4C89A32A">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38589006">
      <w:pPr>
        <w:autoSpaceDE w:val="0"/>
        <w:autoSpaceDN w:val="0"/>
        <w:adjustRightInd w:val="0"/>
        <w:snapToGrid w:val="0"/>
        <w:spacing w:line="360" w:lineRule="auto"/>
        <w:rPr>
          <w:color w:val="auto"/>
          <w:sz w:val="24"/>
          <w:szCs w:val="20"/>
        </w:rPr>
      </w:pPr>
      <w:r>
        <w:rPr>
          <w:color w:val="auto"/>
          <w:sz w:val="24"/>
        </w:rPr>
        <w:t>日期：</w:t>
      </w:r>
      <w:r>
        <w:rPr>
          <w:color w:val="auto"/>
          <w:sz w:val="24"/>
          <w:szCs w:val="20"/>
        </w:rPr>
        <w:t>____年____月____日</w:t>
      </w:r>
    </w:p>
    <w:p w14:paraId="481A3D73">
      <w:pPr>
        <w:widowControl/>
        <w:jc w:val="left"/>
        <w:rPr>
          <w:color w:val="auto"/>
          <w:sz w:val="24"/>
          <w:szCs w:val="20"/>
        </w:rPr>
      </w:pPr>
    </w:p>
    <w:p w14:paraId="738C386F">
      <w:pPr>
        <w:widowControl/>
        <w:jc w:val="left"/>
        <w:rPr>
          <w:color w:val="auto"/>
          <w:sz w:val="24"/>
          <w:szCs w:val="20"/>
        </w:rPr>
      </w:pPr>
      <w:r>
        <w:rPr>
          <w:color w:val="auto"/>
          <w:sz w:val="24"/>
          <w:szCs w:val="20"/>
        </w:rPr>
        <w:br w:type="page"/>
      </w:r>
    </w:p>
    <w:p w14:paraId="2B207C50">
      <w:pPr>
        <w:tabs>
          <w:tab w:val="left" w:pos="360"/>
        </w:tabs>
        <w:snapToGrid w:val="0"/>
        <w:spacing w:line="360" w:lineRule="auto"/>
        <w:outlineLvl w:val="1"/>
        <w:rPr>
          <w:color w:val="auto"/>
          <w:sz w:val="24"/>
        </w:rPr>
      </w:pPr>
      <w:r>
        <w:rPr>
          <w:rFonts w:hint="eastAsia"/>
          <w:color w:val="auto"/>
          <w:sz w:val="24"/>
        </w:rPr>
        <w:t>1</w:t>
      </w:r>
      <w:r>
        <w:rPr>
          <w:rFonts w:hint="eastAsia"/>
          <w:color w:val="auto"/>
          <w:sz w:val="24"/>
          <w:lang w:val="en-US" w:eastAsia="zh-CN"/>
        </w:rPr>
        <w:t>5</w:t>
      </w:r>
      <w:r>
        <w:rPr>
          <w:rFonts w:hint="eastAsia"/>
          <w:color w:val="auto"/>
          <w:sz w:val="24"/>
        </w:rPr>
        <w:t>最后分项</w:t>
      </w:r>
      <w:r>
        <w:rPr>
          <w:color w:val="auto"/>
          <w:sz w:val="24"/>
        </w:rPr>
        <w:t>报价表（实质性格式）</w:t>
      </w:r>
    </w:p>
    <w:p w14:paraId="1FF6E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color w:val="auto"/>
          <w:sz w:val="36"/>
          <w:szCs w:val="36"/>
        </w:rPr>
      </w:pPr>
      <w:r>
        <w:rPr>
          <w:rFonts w:hint="eastAsia"/>
          <w:b/>
          <w:color w:val="auto"/>
          <w:sz w:val="36"/>
          <w:szCs w:val="36"/>
        </w:rPr>
        <w:t>最后</w:t>
      </w:r>
      <w:r>
        <w:rPr>
          <w:b/>
          <w:color w:val="auto"/>
          <w:sz w:val="36"/>
          <w:szCs w:val="36"/>
        </w:rPr>
        <w:t>分项报价表</w:t>
      </w:r>
    </w:p>
    <w:p w14:paraId="627C8448">
      <w:pPr>
        <w:spacing w:line="260" w:lineRule="exact"/>
        <w:jc w:val="center"/>
        <w:rPr>
          <w:color w:val="auto"/>
          <w:sz w:val="36"/>
          <w:szCs w:val="36"/>
        </w:rPr>
      </w:pPr>
    </w:p>
    <w:p w14:paraId="4D430BC1">
      <w:pPr>
        <w:tabs>
          <w:tab w:val="left" w:pos="1800"/>
          <w:tab w:val="left" w:pos="5580"/>
        </w:tabs>
        <w:rPr>
          <w:color w:val="auto"/>
          <w:sz w:val="24"/>
        </w:rPr>
      </w:pPr>
      <w:r>
        <w:rPr>
          <w:color w:val="auto"/>
          <w:sz w:val="24"/>
        </w:rPr>
        <w:t>项目编号</w:t>
      </w:r>
      <w:r>
        <w:rPr>
          <w:rFonts w:hint="eastAsia"/>
          <w:color w:val="auto"/>
          <w:sz w:val="24"/>
          <w:lang w:val="en-US" w:eastAsia="zh-CN"/>
        </w:rPr>
        <w:t>/包号</w:t>
      </w:r>
      <w:r>
        <w:rPr>
          <w:color w:val="auto"/>
          <w:sz w:val="24"/>
        </w:rPr>
        <w:t>：___________ 项目名称：__________</w:t>
      </w:r>
      <w:r>
        <w:rPr>
          <w:rFonts w:hint="eastAsia"/>
          <w:color w:val="auto"/>
          <w:sz w:val="24"/>
          <w:lang w:val="en-US" w:eastAsia="zh-CN"/>
        </w:rPr>
        <w:t xml:space="preserve"> </w:t>
      </w:r>
      <w:r>
        <w:rPr>
          <w:color w:val="auto"/>
          <w:sz w:val="24"/>
        </w:rPr>
        <w:t>报价单位：人民币元</w:t>
      </w:r>
    </w:p>
    <w:tbl>
      <w:tblPr>
        <w:tblStyle w:val="53"/>
        <w:tblW w:w="5082" w:type="pc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7"/>
        <w:gridCol w:w="1808"/>
        <w:gridCol w:w="2308"/>
        <w:gridCol w:w="1227"/>
        <w:gridCol w:w="1381"/>
        <w:gridCol w:w="1322"/>
      </w:tblGrid>
      <w:tr w14:paraId="4664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6" w:type="pct"/>
            <w:vAlign w:val="center"/>
          </w:tcPr>
          <w:p w14:paraId="6DAA0AB9">
            <w:pPr>
              <w:adjustRightInd w:val="0"/>
              <w:snapToGrid w:val="0"/>
              <w:jc w:val="center"/>
              <w:rPr>
                <w:b/>
                <w:color w:val="auto"/>
                <w:sz w:val="24"/>
              </w:rPr>
            </w:pPr>
            <w:r>
              <w:rPr>
                <w:b/>
                <w:color w:val="auto"/>
                <w:sz w:val="24"/>
              </w:rPr>
              <w:t>序号</w:t>
            </w:r>
          </w:p>
        </w:tc>
        <w:tc>
          <w:tcPr>
            <w:tcW w:w="1043" w:type="pct"/>
            <w:vAlign w:val="center"/>
          </w:tcPr>
          <w:p w14:paraId="65D29CDA">
            <w:pPr>
              <w:adjustRightInd w:val="0"/>
              <w:snapToGrid w:val="0"/>
              <w:jc w:val="center"/>
              <w:rPr>
                <w:b/>
                <w:color w:val="auto"/>
                <w:sz w:val="24"/>
              </w:rPr>
            </w:pPr>
            <w:r>
              <w:rPr>
                <w:b/>
                <w:color w:val="auto"/>
                <w:sz w:val="24"/>
              </w:rPr>
              <w:t>分项名称</w:t>
            </w:r>
          </w:p>
        </w:tc>
        <w:tc>
          <w:tcPr>
            <w:tcW w:w="1332" w:type="pct"/>
            <w:vAlign w:val="center"/>
          </w:tcPr>
          <w:p w14:paraId="54168A6B">
            <w:pPr>
              <w:adjustRightInd w:val="0"/>
              <w:snapToGrid w:val="0"/>
              <w:jc w:val="center"/>
              <w:rPr>
                <w:rFonts w:hint="eastAsia"/>
                <w:b/>
                <w:bCs w:val="0"/>
                <w:color w:val="auto"/>
                <w:sz w:val="24"/>
              </w:rPr>
            </w:pPr>
            <w:r>
              <w:rPr>
                <w:rFonts w:hint="eastAsia"/>
                <w:b/>
                <w:bCs w:val="0"/>
                <w:color w:val="auto"/>
                <w:sz w:val="24"/>
                <w:lang w:val="en-US" w:eastAsia="zh-CN"/>
              </w:rPr>
              <w:t>分项</w:t>
            </w:r>
            <w:r>
              <w:rPr>
                <w:rFonts w:hint="eastAsia"/>
                <w:b/>
                <w:bCs w:val="0"/>
                <w:color w:val="auto"/>
                <w:sz w:val="24"/>
              </w:rPr>
              <w:t>报价</w:t>
            </w:r>
          </w:p>
          <w:p w14:paraId="14A45342">
            <w:pPr>
              <w:adjustRightInd w:val="0"/>
              <w:snapToGrid w:val="0"/>
              <w:jc w:val="center"/>
              <w:rPr>
                <w:b/>
                <w:color w:val="auto"/>
                <w:sz w:val="24"/>
              </w:rPr>
            </w:pPr>
            <w:r>
              <w:rPr>
                <w:rFonts w:hint="eastAsia"/>
                <w:b/>
                <w:bCs w:val="0"/>
                <w:color w:val="auto"/>
                <w:sz w:val="24"/>
              </w:rPr>
              <w:t>（</w:t>
            </w:r>
            <w:r>
              <w:rPr>
                <w:rFonts w:hint="eastAsia" w:ascii="宋体" w:hAnsi="宋体"/>
                <w:b/>
                <w:bCs w:val="0"/>
                <w:color w:val="auto"/>
                <w:sz w:val="24"/>
              </w:rPr>
              <w:t>元/平方米</w:t>
            </w:r>
            <w:r>
              <w:rPr>
                <w:rFonts w:hint="eastAsia"/>
                <w:b/>
                <w:bCs w:val="0"/>
                <w:color w:val="auto"/>
                <w:sz w:val="24"/>
              </w:rPr>
              <w:t>）</w:t>
            </w:r>
          </w:p>
        </w:tc>
        <w:tc>
          <w:tcPr>
            <w:tcW w:w="708" w:type="pct"/>
            <w:vAlign w:val="center"/>
          </w:tcPr>
          <w:p w14:paraId="407485EF">
            <w:pPr>
              <w:adjustRightInd w:val="0"/>
              <w:snapToGrid w:val="0"/>
              <w:jc w:val="center"/>
              <w:rPr>
                <w:rFonts w:hint="eastAsia" w:eastAsia="宋体"/>
                <w:b/>
                <w:color w:val="auto"/>
                <w:sz w:val="24"/>
                <w:lang w:eastAsia="zh-CN"/>
              </w:rPr>
            </w:pPr>
            <w:r>
              <w:rPr>
                <w:rFonts w:hint="eastAsia"/>
                <w:b/>
                <w:color w:val="auto"/>
                <w:sz w:val="24"/>
              </w:rPr>
              <w:t>暂估</w:t>
            </w:r>
            <w:r>
              <w:rPr>
                <w:b/>
                <w:color w:val="auto"/>
                <w:sz w:val="24"/>
              </w:rPr>
              <w:t>数量</w:t>
            </w:r>
          </w:p>
        </w:tc>
        <w:tc>
          <w:tcPr>
            <w:tcW w:w="797" w:type="pct"/>
            <w:vAlign w:val="center"/>
          </w:tcPr>
          <w:p w14:paraId="11F554BF">
            <w:pPr>
              <w:adjustRightInd w:val="0"/>
              <w:snapToGrid w:val="0"/>
              <w:jc w:val="center"/>
              <w:rPr>
                <w:rFonts w:hint="eastAsia" w:eastAsia="宋体"/>
                <w:b/>
                <w:color w:val="auto"/>
                <w:sz w:val="24"/>
                <w:lang w:eastAsia="zh-CN"/>
              </w:rPr>
            </w:pPr>
            <w:r>
              <w:rPr>
                <w:rFonts w:hint="eastAsia"/>
                <w:b/>
                <w:color w:val="auto"/>
                <w:sz w:val="24"/>
              </w:rPr>
              <w:t>合</w:t>
            </w:r>
            <w:r>
              <w:rPr>
                <w:rFonts w:hint="eastAsia"/>
                <w:b/>
                <w:color w:val="auto"/>
                <w:sz w:val="24"/>
                <w:lang w:val="en-US" w:eastAsia="zh-CN"/>
              </w:rPr>
              <w:t>价</w:t>
            </w:r>
            <w:r>
              <w:rPr>
                <w:rFonts w:hint="eastAsia"/>
                <w:b/>
                <w:color w:val="auto"/>
                <w:sz w:val="24"/>
                <w:lang w:eastAsia="zh-CN"/>
              </w:rPr>
              <w:t>（</w:t>
            </w:r>
            <w:r>
              <w:rPr>
                <w:rFonts w:hint="eastAsia"/>
                <w:b/>
                <w:color w:val="auto"/>
                <w:sz w:val="24"/>
                <w:lang w:val="en-US" w:eastAsia="zh-CN"/>
              </w:rPr>
              <w:t>元</w:t>
            </w:r>
            <w:r>
              <w:rPr>
                <w:rFonts w:hint="eastAsia"/>
                <w:b/>
                <w:color w:val="auto"/>
                <w:sz w:val="24"/>
                <w:lang w:eastAsia="zh-CN"/>
              </w:rPr>
              <w:t>）</w:t>
            </w:r>
          </w:p>
        </w:tc>
        <w:tc>
          <w:tcPr>
            <w:tcW w:w="763" w:type="pct"/>
            <w:vAlign w:val="center"/>
          </w:tcPr>
          <w:p w14:paraId="3D87E50C">
            <w:pPr>
              <w:adjustRightInd w:val="0"/>
              <w:snapToGrid w:val="0"/>
              <w:jc w:val="center"/>
              <w:rPr>
                <w:b/>
                <w:color w:val="auto"/>
                <w:sz w:val="24"/>
              </w:rPr>
            </w:pPr>
            <w:r>
              <w:rPr>
                <w:b/>
                <w:color w:val="auto"/>
                <w:sz w:val="24"/>
              </w:rPr>
              <w:t>备注/说明</w:t>
            </w:r>
          </w:p>
        </w:tc>
      </w:tr>
      <w:tr w14:paraId="15C3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356" w:type="pct"/>
            <w:shd w:val="clear" w:color="auto" w:fill="auto"/>
            <w:vAlign w:val="center"/>
          </w:tcPr>
          <w:p w14:paraId="4D7341DD">
            <w:pPr>
              <w:adjustRightInd w:val="0"/>
              <w:snapToGrid w:val="0"/>
              <w:jc w:val="center"/>
              <w:rPr>
                <w:rFonts w:hint="default" w:ascii="宋体" w:hAnsi="宋体" w:eastAsia="宋体" w:cs="Times New Roman"/>
                <w:color w:val="auto"/>
                <w:kern w:val="0"/>
                <w:sz w:val="24"/>
                <w:szCs w:val="24"/>
                <w:lang w:val="en-US" w:eastAsia="zh-CN" w:bidi="ar-SA"/>
              </w:rPr>
            </w:pPr>
            <w:r>
              <w:rPr>
                <w:rFonts w:hint="eastAsia" w:ascii="宋体" w:hAnsi="宋体" w:cs="Times New Roman"/>
                <w:color w:val="auto"/>
                <w:kern w:val="0"/>
                <w:sz w:val="24"/>
                <w:szCs w:val="24"/>
                <w:lang w:val="en-US" w:eastAsia="zh-CN" w:bidi="ar-SA"/>
              </w:rPr>
              <w:t>1</w:t>
            </w:r>
          </w:p>
        </w:tc>
        <w:tc>
          <w:tcPr>
            <w:tcW w:w="1043" w:type="pct"/>
            <w:vAlign w:val="center"/>
          </w:tcPr>
          <w:p w14:paraId="1556E057">
            <w:pPr>
              <w:adjustRightInd w:val="0"/>
              <w:snapToGrid w:val="0"/>
              <w:jc w:val="center"/>
              <w:rPr>
                <w:rFonts w:hint="default" w:ascii="宋体" w:hAnsi="宋体"/>
                <w:color w:val="auto"/>
                <w:kern w:val="0"/>
                <w:sz w:val="24"/>
                <w:szCs w:val="24"/>
                <w:lang w:val="en-US" w:eastAsia="zh-CN"/>
              </w:rPr>
            </w:pPr>
            <w:r>
              <w:rPr>
                <w:rFonts w:hint="eastAsia" w:ascii="宋体" w:hAnsi="宋体"/>
                <w:color w:val="auto"/>
                <w:kern w:val="0"/>
                <w:sz w:val="24"/>
                <w:szCs w:val="24"/>
                <w:lang w:val="en-US" w:eastAsia="zh-CN"/>
              </w:rPr>
              <w:t>拆除</w:t>
            </w:r>
          </w:p>
        </w:tc>
        <w:tc>
          <w:tcPr>
            <w:tcW w:w="1332" w:type="pct"/>
            <w:vAlign w:val="center"/>
          </w:tcPr>
          <w:p w14:paraId="0FDB0AD1">
            <w:pPr>
              <w:adjustRightInd w:val="0"/>
              <w:snapToGrid w:val="0"/>
              <w:jc w:val="center"/>
              <w:rPr>
                <w:color w:val="auto"/>
                <w:sz w:val="24"/>
              </w:rPr>
            </w:pPr>
          </w:p>
        </w:tc>
        <w:tc>
          <w:tcPr>
            <w:tcW w:w="708" w:type="pct"/>
            <w:vAlign w:val="center"/>
          </w:tcPr>
          <w:p w14:paraId="665E9523">
            <w:pPr>
              <w:adjustRightInd w:val="0"/>
              <w:snapToGrid w:val="0"/>
              <w:jc w:val="center"/>
              <w:rPr>
                <w:rFonts w:hint="default" w:eastAsia="宋体"/>
                <w:color w:val="auto"/>
                <w:sz w:val="24"/>
                <w:lang w:val="en-US" w:eastAsia="zh-CN"/>
              </w:rPr>
            </w:pPr>
            <w:r>
              <w:rPr>
                <w:rFonts w:hint="eastAsia"/>
                <w:color w:val="auto"/>
                <w:sz w:val="24"/>
                <w:lang w:val="en-US" w:eastAsia="zh-CN"/>
              </w:rPr>
              <w:t>1</w:t>
            </w:r>
          </w:p>
        </w:tc>
        <w:tc>
          <w:tcPr>
            <w:tcW w:w="797" w:type="pct"/>
            <w:vAlign w:val="center"/>
          </w:tcPr>
          <w:p w14:paraId="395A051B">
            <w:pPr>
              <w:adjustRightInd w:val="0"/>
              <w:snapToGrid w:val="0"/>
              <w:jc w:val="left"/>
              <w:rPr>
                <w:color w:val="auto"/>
                <w:sz w:val="24"/>
              </w:rPr>
            </w:pPr>
          </w:p>
        </w:tc>
        <w:tc>
          <w:tcPr>
            <w:tcW w:w="763" w:type="pct"/>
            <w:vAlign w:val="center"/>
          </w:tcPr>
          <w:p w14:paraId="70681E2F">
            <w:pPr>
              <w:adjustRightInd w:val="0"/>
              <w:snapToGrid w:val="0"/>
              <w:jc w:val="left"/>
              <w:rPr>
                <w:color w:val="auto"/>
                <w:sz w:val="24"/>
              </w:rPr>
            </w:pPr>
          </w:p>
        </w:tc>
      </w:tr>
      <w:tr w14:paraId="2CAF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3439" w:type="pct"/>
            <w:gridSpan w:val="4"/>
            <w:vAlign w:val="center"/>
          </w:tcPr>
          <w:p w14:paraId="0A5C0257">
            <w:pPr>
              <w:adjustRightInd w:val="0"/>
              <w:snapToGrid w:val="0"/>
              <w:jc w:val="center"/>
              <w:rPr>
                <w:color w:val="auto"/>
                <w:sz w:val="24"/>
              </w:rPr>
            </w:pPr>
            <w:r>
              <w:rPr>
                <w:b/>
                <w:color w:val="auto"/>
                <w:sz w:val="24"/>
              </w:rPr>
              <w:t>总价（元）</w:t>
            </w:r>
          </w:p>
        </w:tc>
        <w:tc>
          <w:tcPr>
            <w:tcW w:w="797" w:type="pct"/>
            <w:vAlign w:val="center"/>
          </w:tcPr>
          <w:p w14:paraId="07ACA388">
            <w:pPr>
              <w:adjustRightInd w:val="0"/>
              <w:snapToGrid w:val="0"/>
              <w:jc w:val="left"/>
              <w:rPr>
                <w:color w:val="auto"/>
                <w:sz w:val="24"/>
              </w:rPr>
            </w:pPr>
          </w:p>
        </w:tc>
        <w:tc>
          <w:tcPr>
            <w:tcW w:w="763" w:type="pct"/>
            <w:vAlign w:val="center"/>
          </w:tcPr>
          <w:p w14:paraId="4A6A4B9E">
            <w:pPr>
              <w:adjustRightInd w:val="0"/>
              <w:snapToGrid w:val="0"/>
              <w:jc w:val="left"/>
              <w:rPr>
                <w:color w:val="auto"/>
                <w:sz w:val="24"/>
              </w:rPr>
            </w:pPr>
          </w:p>
        </w:tc>
      </w:tr>
    </w:tbl>
    <w:p w14:paraId="732A316D">
      <w:pPr>
        <w:tabs>
          <w:tab w:val="left" w:pos="1800"/>
          <w:tab w:val="left" w:pos="5580"/>
        </w:tabs>
        <w:jc w:val="left"/>
        <w:rPr>
          <w:color w:val="auto"/>
          <w:sz w:val="24"/>
        </w:rPr>
      </w:pPr>
    </w:p>
    <w:p w14:paraId="33CCB14D">
      <w:pPr>
        <w:tabs>
          <w:tab w:val="left" w:pos="1800"/>
          <w:tab w:val="left" w:pos="5580"/>
        </w:tabs>
        <w:spacing w:before="240" w:line="360" w:lineRule="auto"/>
        <w:jc w:val="left"/>
        <w:rPr>
          <w:rFonts w:ascii="宋体" w:hAnsi="宋体"/>
          <w:color w:val="auto"/>
          <w:sz w:val="24"/>
        </w:rPr>
      </w:pPr>
      <w:r>
        <w:rPr>
          <w:color w:val="auto"/>
          <w:sz w:val="24"/>
        </w:rPr>
        <w:t>注：</w:t>
      </w:r>
      <w:r>
        <w:rPr>
          <w:rFonts w:hint="eastAsia" w:ascii="宋体" w:hAnsi="宋体"/>
          <w:color w:val="auto"/>
          <w:sz w:val="24"/>
        </w:rPr>
        <w:t>1.如果不提供分项报价将视为没有实质性响应竞争性磋商文件。</w:t>
      </w:r>
    </w:p>
    <w:p w14:paraId="055BB29E">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2.上述各项的详细规格（如有），可另页描述。</w:t>
      </w:r>
    </w:p>
    <w:p w14:paraId="26433B11">
      <w:pPr>
        <w:tabs>
          <w:tab w:val="left" w:pos="1800"/>
          <w:tab w:val="left" w:pos="5580"/>
        </w:tabs>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3.</w:t>
      </w:r>
      <w:r>
        <w:rPr>
          <w:rFonts w:hint="eastAsia"/>
          <w:color w:val="auto"/>
          <w:sz w:val="24"/>
        </w:rPr>
        <w:t>上述报价包括但不限于人工费、材料费、机械费、渣土清运及消纳费、安全及环保措施费、场地破除费、管理费、利润、税金以及需要向政府部门缴纳的相关费用等为完成本项目所涉及的一切费用</w:t>
      </w:r>
      <w:r>
        <w:rPr>
          <w:rFonts w:hint="eastAsia"/>
          <w:color w:val="auto"/>
          <w:sz w:val="24"/>
          <w:lang w:eastAsia="zh-CN"/>
        </w:rPr>
        <w:t>。</w:t>
      </w:r>
    </w:p>
    <w:p w14:paraId="371AC8C9">
      <w:pPr>
        <w:tabs>
          <w:tab w:val="left" w:pos="1800"/>
          <w:tab w:val="left" w:pos="5580"/>
        </w:tabs>
        <w:spacing w:line="360" w:lineRule="auto"/>
        <w:ind w:firstLine="480" w:firstLineChars="200"/>
        <w:jc w:val="left"/>
        <w:rPr>
          <w:rFonts w:hint="eastAsia" w:ascii="宋体" w:hAnsi="宋体"/>
          <w:color w:val="auto"/>
          <w:sz w:val="24"/>
        </w:rPr>
      </w:pPr>
      <w:r>
        <w:rPr>
          <w:rFonts w:hint="eastAsia" w:ascii="宋体" w:hAnsi="宋体"/>
          <w:color w:val="auto"/>
          <w:sz w:val="24"/>
        </w:rPr>
        <w:t>4.《最后分项报价表》的</w:t>
      </w:r>
      <w:r>
        <w:rPr>
          <w:rFonts w:hint="eastAsia" w:ascii="宋体" w:hAnsi="宋体"/>
          <w:color w:val="auto"/>
          <w:sz w:val="24"/>
          <w:lang w:val="en-US" w:eastAsia="zh-CN"/>
        </w:rPr>
        <w:t>总价</w:t>
      </w:r>
      <w:r>
        <w:rPr>
          <w:rFonts w:hint="eastAsia" w:ascii="宋体" w:hAnsi="宋体"/>
          <w:color w:val="auto"/>
          <w:sz w:val="24"/>
        </w:rPr>
        <w:t>应与《最后报价一览表》中的</w:t>
      </w:r>
      <w:r>
        <w:rPr>
          <w:rFonts w:hint="eastAsia" w:ascii="宋体" w:hAnsi="宋体"/>
          <w:color w:val="auto"/>
          <w:sz w:val="24"/>
          <w:lang w:val="en-US" w:eastAsia="zh-CN"/>
        </w:rPr>
        <w:t>响应</w:t>
      </w:r>
      <w:r>
        <w:rPr>
          <w:rFonts w:hint="eastAsia" w:ascii="宋体" w:hAnsi="宋体"/>
          <w:color w:val="auto"/>
          <w:sz w:val="24"/>
        </w:rPr>
        <w:t>报价保持一致。</w:t>
      </w:r>
    </w:p>
    <w:p w14:paraId="6B304A55">
      <w:pPr>
        <w:tabs>
          <w:tab w:val="left" w:pos="1800"/>
          <w:tab w:val="left" w:pos="5580"/>
        </w:tabs>
        <w:spacing w:line="360" w:lineRule="auto"/>
        <w:ind w:firstLine="480" w:firstLineChars="200"/>
        <w:jc w:val="left"/>
        <w:rPr>
          <w:rFonts w:ascii="宋体" w:hAnsi="宋体"/>
          <w:color w:val="auto"/>
          <w:sz w:val="24"/>
        </w:rPr>
      </w:pPr>
      <w:r>
        <w:rPr>
          <w:rFonts w:hint="eastAsia" w:ascii="宋体" w:hAnsi="宋体"/>
          <w:color w:val="auto"/>
          <w:sz w:val="24"/>
        </w:rPr>
        <w:t>5.此表无需在响应文件中提交，磋商后供应商按磋商小组要求提交。</w:t>
      </w:r>
    </w:p>
    <w:p w14:paraId="3FFD7E4D">
      <w:pPr>
        <w:tabs>
          <w:tab w:val="left" w:pos="1800"/>
          <w:tab w:val="left" w:pos="5580"/>
        </w:tabs>
        <w:ind w:firstLine="480" w:firstLineChars="200"/>
        <w:jc w:val="left"/>
        <w:rPr>
          <w:color w:val="auto"/>
          <w:sz w:val="24"/>
        </w:rPr>
      </w:pPr>
    </w:p>
    <w:p w14:paraId="275EB860">
      <w:pPr>
        <w:tabs>
          <w:tab w:val="left" w:pos="1800"/>
          <w:tab w:val="left" w:pos="5580"/>
        </w:tabs>
        <w:ind w:firstLine="480" w:firstLineChars="200"/>
        <w:jc w:val="left"/>
        <w:rPr>
          <w:color w:val="auto"/>
          <w:sz w:val="24"/>
        </w:rPr>
      </w:pPr>
    </w:p>
    <w:p w14:paraId="4109A827">
      <w:pPr>
        <w:tabs>
          <w:tab w:val="left" w:pos="1800"/>
          <w:tab w:val="left" w:pos="5580"/>
        </w:tabs>
        <w:ind w:firstLine="480" w:firstLineChars="200"/>
        <w:jc w:val="left"/>
        <w:rPr>
          <w:color w:val="auto"/>
          <w:sz w:val="24"/>
        </w:rPr>
      </w:pPr>
    </w:p>
    <w:p w14:paraId="423BB5F8">
      <w:pPr>
        <w:autoSpaceDE w:val="0"/>
        <w:autoSpaceDN w:val="0"/>
        <w:adjustRightInd w:val="0"/>
        <w:snapToGrid w:val="0"/>
        <w:spacing w:before="25" w:after="25" w:line="360" w:lineRule="auto"/>
        <w:rPr>
          <w:color w:val="auto"/>
          <w:sz w:val="24"/>
        </w:rPr>
      </w:pPr>
      <w:r>
        <w:rPr>
          <w:color w:val="auto"/>
          <w:sz w:val="24"/>
        </w:rPr>
        <w:t>供应商名称（加盖公章）</w:t>
      </w:r>
      <w:r>
        <w:rPr>
          <w:color w:val="auto"/>
          <w:sz w:val="24"/>
          <w:lang w:val="zh-CN"/>
        </w:rPr>
        <w:t>：</w:t>
      </w:r>
      <w:r>
        <w:rPr>
          <w:color w:val="auto"/>
          <w:sz w:val="24"/>
        </w:rPr>
        <w:t>___________</w:t>
      </w:r>
      <w:r>
        <w:rPr>
          <w:rFonts w:hint="eastAsia"/>
          <w:color w:val="auto"/>
          <w:sz w:val="24"/>
        </w:rPr>
        <w:t xml:space="preserve"> </w:t>
      </w:r>
    </w:p>
    <w:p w14:paraId="4A8E4B84">
      <w:pPr>
        <w:widowControl/>
        <w:autoSpaceDE w:val="0"/>
        <w:autoSpaceDN w:val="0"/>
        <w:adjustRightInd w:val="0"/>
        <w:snapToGrid w:val="0"/>
        <w:spacing w:line="360" w:lineRule="auto"/>
        <w:ind w:right="0"/>
        <w:jc w:val="left"/>
        <w:rPr>
          <w:rFonts w:hint="eastAsia" w:ascii="宋体" w:hAnsi="宋体"/>
          <w:color w:val="auto"/>
          <w:sz w:val="22"/>
          <w:szCs w:val="20"/>
        </w:rPr>
      </w:pPr>
      <w:r>
        <w:rPr>
          <w:color w:val="auto"/>
          <w:sz w:val="24"/>
        </w:rPr>
        <w:t>日期：</w:t>
      </w:r>
      <w:r>
        <w:rPr>
          <w:color w:val="auto"/>
          <w:sz w:val="24"/>
          <w:szCs w:val="20"/>
        </w:rPr>
        <w:t>____年____月____日</w:t>
      </w:r>
    </w:p>
    <w:sectPr>
      <w:headerReference r:id="rId32" w:type="first"/>
      <w:footerReference r:id="rId34" w:type="first"/>
      <w:headerReference r:id="rId31" w:type="even"/>
      <w:footerReference r:id="rId33" w:type="even"/>
      <w:type w:val="nextColumn"/>
      <w:pgSz w:w="11907" w:h="16840"/>
      <w:pgMar w:top="1440" w:right="1800" w:bottom="993" w:left="1800"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1" w:fontKey="{1EF6F228-EFDD-43DC-8F52-F51117B4FF07}"/>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226FB749-2B1A-4300-9CC1-A86F7332556F}"/>
  </w:font>
  <w:font w:name="ˎ̥">
    <w:altName w:val="Times New Roman"/>
    <w:panose1 w:val="00000000000000000000"/>
    <w:charset w:val="00"/>
    <w:family w:val="moder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arail">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全真簡粗明">
    <w:altName w:val="微软雅黑"/>
    <w:panose1 w:val="00000000000000000000"/>
    <w:charset w:val="00"/>
    <w:family w:val="swiss"/>
    <w:pitch w:val="default"/>
    <w:sig w:usb0="00000000" w:usb1="00000000" w:usb2="00000010" w:usb3="00000000" w:csb0="00140000" w:csb1="00000000"/>
  </w:font>
  <w:font w:name="微软雅黑">
    <w:panose1 w:val="020B0503020204020204"/>
    <w:charset w:val="86"/>
    <w:family w:val="swiss"/>
    <w:pitch w:val="default"/>
    <w:sig w:usb0="80000287" w:usb1="2ACF3C50" w:usb2="00000016" w:usb3="00000000" w:csb0="0004001F" w:csb1="00000000"/>
    <w:embedRegular r:id="rId3" w:fontKey="{EFA03652-0283-48E8-9EB9-9421508CCA3E}"/>
  </w:font>
  <w:font w:name="华文楷体">
    <w:panose1 w:val="02010600040101010101"/>
    <w:charset w:val="86"/>
    <w:family w:val="auto"/>
    <w:pitch w:val="default"/>
    <w:sig w:usb0="00000287" w:usb1="080F0000" w:usb2="00000000" w:usb3="00000000" w:csb0="0004009F" w:csb1="DFD70000"/>
  </w:font>
  <w:font w:name="Arial Narrow">
    <w:panose1 w:val="020B0606020202030204"/>
    <w:charset w:val="00"/>
    <w:family w:val="swiss"/>
    <w:pitch w:val="default"/>
    <w:sig w:usb0="00000287" w:usb1="00000800" w:usb2="00000000" w:usb3="00000000" w:csb0="2000009F" w:csb1="DFD70000"/>
  </w:font>
  <w:font w:name="方正书宋简体">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ESI黑体-GB2312">
    <w:altName w:val="黑体"/>
    <w:panose1 w:val="00000000000000000000"/>
    <w:charset w:val="86"/>
    <w:family w:val="auto"/>
    <w:pitch w:val="default"/>
    <w:sig w:usb0="00000000" w:usb1="00000000" w:usb2="00000012" w:usb3="00000000" w:csb0="0004000F" w:csb1="00000000"/>
    <w:embedRegular r:id="rId4" w:fontKey="{E669BD6C-0DA7-49FB-BD6D-B24C1ADAA86E}"/>
  </w:font>
  <w:font w:name="Segoe UI Symbol">
    <w:panose1 w:val="020B0502040204020203"/>
    <w:charset w:val="00"/>
    <w:family w:val="swiss"/>
    <w:pitch w:val="default"/>
    <w:sig w:usb0="800001E3" w:usb1="1200FFEF" w:usb2="00040000" w:usb3="04000000" w:csb0="00000001" w:csb1="40000000"/>
    <w:embedRegular r:id="rId5" w:fontKey="{634F71F8-172B-4E51-B371-AF891A6C9A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9BE0">
    <w:pPr>
      <w:pStyle w:val="33"/>
      <w:jc w:val="center"/>
      <w:rPr>
        <w:rFonts w:ascii="Times New Roman"/>
      </w:rPr>
    </w:pPr>
    <w:r>
      <w:rPr>
        <w:rFonts w:hint="eastAsia" w:ascii="Times New Roman"/>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E2076">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3A103EE3">
    <w:pPr>
      <w:pStyle w:val="33"/>
      <w:ind w:right="360"/>
    </w:pPr>
  </w:p>
  <w:p w14:paraId="1C495326"/>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9ECF4">
    <w:pPr>
      <w:pStyle w:val="3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4F8C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5B699A93">
    <w:pPr>
      <w:pStyle w:val="33"/>
      <w:ind w:right="360"/>
    </w:pPr>
  </w:p>
  <w:p w14:paraId="7D5BEBE4"/>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4E89B">
    <w:pPr>
      <w:pStyle w:val="3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4BF49">
    <w:r>
      <mc:AlternateContent>
        <mc:Choice Requires="wps">
          <w:drawing>
            <wp:anchor distT="0" distB="0" distL="114300" distR="114300" simplePos="0" relativeHeight="251662336" behindDoc="0" locked="0" layoutInCell="1" allowOverlap="1">
              <wp:simplePos x="0" y="0"/>
              <wp:positionH relativeFrom="margin">
                <wp:posOffset>2581275</wp:posOffset>
              </wp:positionH>
              <wp:positionV relativeFrom="paragraph">
                <wp:posOffset>90805</wp:posOffset>
              </wp:positionV>
              <wp:extent cx="24765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476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28E8A">
                          <w:pPr>
                            <w:pStyle w:val="33"/>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3.25pt;margin-top:7.15pt;height:144pt;width:19.5pt;mso-position-horizontal-relative:margin;z-index:251662336;mso-width-relative:page;mso-height-relative:page;" filled="f" stroked="f" coordsize="21600,21600" o:gfxdata="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aEyJDYAAAACgEAAA8AAAAAAAAAAQAgAAAAIgAAAGRycy9kb3ducmV2Lnht&#10;bFBLAQIUABQAAAAIAIdO4kD+4aR9MgIAAFgEAAAOAAAAAAAAAAEAIAAAACcBAABkcnMvZTJvRG9j&#10;LnhtbFBLBQYAAAAABgAGAFkBAADLBQAAAAA=&#10;">
              <v:fill on="f" focussize="0,0"/>
              <v:stroke on="f" weight="0.5pt"/>
              <v:imagedata o:title=""/>
              <o:lock v:ext="edit" aspectratio="f"/>
              <v:textbox inset="0mm,0mm,0mm,0mm" style="mso-fit-shape-to-text:t;">
                <w:txbxContent>
                  <w:p w14:paraId="18E28E8A">
                    <w:pPr>
                      <w:pStyle w:val="33"/>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207E">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255613C">
    <w:pPr>
      <w:pStyle w:val="33"/>
      <w:ind w:right="360"/>
    </w:pPr>
  </w:p>
  <w:p w14:paraId="207FFE03"/>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5A7C5">
    <w:pPr>
      <w:pStyle w:val="3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82BD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09F7AF2E">
    <w:pPr>
      <w:pStyle w:val="33"/>
      <w:ind w:right="360"/>
    </w:pPr>
  </w:p>
  <w:p w14:paraId="7E082EC8"/>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51660">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4373">
    <w:pPr>
      <w:pStyle w:val="33"/>
      <w:framePr w:wrap="around" w:vAnchor="text" w:hAnchor="margin" w:xAlign="center" w:y="1"/>
      <w:rPr>
        <w:rStyle w:val="58"/>
      </w:rPr>
    </w:pPr>
    <w:r>
      <w:fldChar w:fldCharType="begin"/>
    </w:r>
    <w:r>
      <w:rPr>
        <w:rStyle w:val="58"/>
      </w:rPr>
      <w:instrText xml:space="preserve">PAGE  </w:instrText>
    </w:r>
    <w:r>
      <w:fldChar w:fldCharType="separate"/>
    </w:r>
    <w:r>
      <w:rPr>
        <w:rStyle w:val="58"/>
      </w:rPr>
      <w:t>6</w:t>
    </w:r>
    <w:r>
      <w:fldChar w:fldCharType="end"/>
    </w:r>
  </w:p>
  <w:p w14:paraId="0BDA874B">
    <w:pPr>
      <w:pStyle w:val="3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7D92">
    <w:pPr>
      <w:pStyle w:val="3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BA0BE">
    <w:pPr>
      <w:pStyle w:val="33"/>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187F0">
                          <w:pPr>
                            <w:pStyle w:val="3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5E187F0">
                    <w:pPr>
                      <w:pStyle w:val="33"/>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644E">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28E3D7">
                          <w:pPr>
                            <w:pStyle w:val="3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3728E3D7">
                    <w:pPr>
                      <w:pStyle w:val="3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4F7D">
    <w:pPr>
      <w:pStyle w:val="33"/>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38</w:t>
    </w:r>
    <w:r>
      <w:rPr>
        <w:rStyle w:val="58"/>
      </w:rPr>
      <w:fldChar w:fldCharType="end"/>
    </w:r>
  </w:p>
  <w:p w14:paraId="3C0A7236">
    <w:pPr>
      <w:pStyle w:val="3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4399A">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00B2A">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74320" cy="1828800"/>
              <wp:effectExtent l="0" t="0" r="11430" b="0"/>
              <wp:wrapNone/>
              <wp:docPr id="14" name="文本框 14"/>
              <wp:cNvGraphicFramePr/>
              <a:graphic xmlns:a="http://schemas.openxmlformats.org/drawingml/2006/main">
                <a:graphicData uri="http://schemas.microsoft.com/office/word/2010/wordprocessingShape">
                  <wps:wsp>
                    <wps:cNvSpPr txBox="1"/>
                    <wps:spPr>
                      <a:xfrm>
                        <a:off x="0" y="0"/>
                        <a:ext cx="2743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D0AF2">
                          <w:pPr>
                            <w:pStyle w:val="33"/>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1.6pt;mso-position-horizontal:center;mso-position-horizontal-relative:margin;z-index:251661312;mso-width-relative:page;mso-height-relative:page;" filled="f" stroked="f" coordsize="21600,21600" o:gfxdata="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91otQAAAAEAQAADwAAAAAAAAABACAAAAAiAAAAZHJzL2Rvd25yZXYueG1sUEsB&#10;AhQAFAAAAAgAh07iQG7OhaAyAgAAWAQAAA4AAAAAAAAAAQAgAAAAIwEAAGRycy9lMm9Eb2MueG1s&#10;UEsFBgAAAAAGAAYAWQEAAMcFAAAAAA==&#10;">
              <v:fill on="f" focussize="0,0"/>
              <v:stroke on="f" weight="0.5pt"/>
              <v:imagedata o:title=""/>
              <o:lock v:ext="edit" aspectratio="f"/>
              <v:textbox inset="0mm,0mm,0mm,0mm" style="mso-fit-shape-to-text:t;">
                <w:txbxContent>
                  <w:p w14:paraId="33ED0AF2">
                    <w:pPr>
                      <w:pStyle w:val="33"/>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88DAA">
    <w:pPr>
      <w:pStyle w:val="3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7180" cy="131445"/>
              <wp:effectExtent l="0" t="0" r="7620" b="4445"/>
              <wp:wrapNone/>
              <wp:docPr id="1932424208" name="文本框 1932424208"/>
              <wp:cNvGraphicFramePr/>
              <a:graphic xmlns:a="http://schemas.openxmlformats.org/drawingml/2006/main">
                <a:graphicData uri="http://schemas.microsoft.com/office/word/2010/wordprocessingShape">
                  <wps:wsp>
                    <wps:cNvSpPr txBox="1">
                      <a:spLocks noChangeArrowheads="1"/>
                    </wps:cNvSpPr>
                    <wps:spPr bwMode="auto">
                      <a:xfrm>
                        <a:off x="0" y="0"/>
                        <a:ext cx="297180" cy="131445"/>
                      </a:xfrm>
                      <a:prstGeom prst="rect">
                        <a:avLst/>
                      </a:prstGeom>
                      <a:noFill/>
                      <a:ln>
                        <a:noFill/>
                      </a:ln>
                      <a:effectLst/>
                    </wps:spPr>
                    <wps:txbx>
                      <w:txbxContent>
                        <w:p w14:paraId="027A9908">
                          <w:pPr>
                            <w:pStyle w:val="33"/>
                          </w:pPr>
                          <w:r>
                            <w:fldChar w:fldCharType="begin"/>
                          </w:r>
                          <w:r>
                            <w:instrText xml:space="preserve"> PAGE  \* MERGEFORMAT </w:instrText>
                          </w:r>
                          <w:r>
                            <w:fldChar w:fldCharType="separate"/>
                          </w:r>
                          <w:r>
                            <w:t>90</w:t>
                          </w:r>
                          <w:r>
                            <w:fldChar w:fldCharType="end"/>
                          </w:r>
                        </w:p>
                      </w:txbxContent>
                    </wps:txbx>
                    <wps:bodyPr rot="0" vert="horz" wrap="square" lIns="0" tIns="0" rIns="0" bIns="0" anchor="t" anchorCtr="0" upright="1">
                      <a:spAutoFit/>
                    </wps:bodyPr>
                  </wps:wsp>
                </a:graphicData>
              </a:graphic>
            </wp:anchor>
          </w:drawing>
        </mc:Choice>
        <mc:Fallback>
          <w:pict>
            <v:shape id="_x0000_s1026" o:spid="_x0000_s1026" o:spt="202" type="#_x0000_t202" style="position:absolute;left:0pt;margin-top:0pt;height:10.35pt;width:23.4pt;mso-position-horizontal:outside;mso-position-horizontal-relative:margin;z-index:251660288;mso-width-relative:page;mso-height-relative:page;" filled="f" stroked="f" coordsize="21600,21600" o:gfxdata="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wsnyV0QAAAAMBAAAPAAAAAAAA&#10;AAEAIAAAACIAAABkcnMvZG93bnJldi54bWxQSwECFAAUAAAACACHTuJAPiKgrhkCAAAkBAAADgAA&#10;AAAAAAABACAAAAAgAQAAZHJzL2Uyb0RvYy54bWxQSwUGAAAAAAYABgBZAQAAqwUAAAAA&#10;">
              <v:fill on="f" focussize="0,0"/>
              <v:stroke on="f"/>
              <v:imagedata o:title=""/>
              <o:lock v:ext="edit" aspectratio="f"/>
              <v:textbox inset="0mm,0mm,0mm,0mm" style="mso-fit-shape-to-text:t;">
                <w:txbxContent>
                  <w:p w14:paraId="027A9908">
                    <w:pPr>
                      <w:pStyle w:val="33"/>
                    </w:pPr>
                    <w:r>
                      <w:fldChar w:fldCharType="begin"/>
                    </w:r>
                    <w:r>
                      <w:instrText xml:space="preserve"> PAGE  \* MERGEFORMAT </w:instrText>
                    </w:r>
                    <w:r>
                      <w:fldChar w:fldCharType="separate"/>
                    </w:r>
                    <w:r>
                      <w:t>90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2E7E">
    <w:pPr>
      <w:pStyle w:val="35"/>
      <w:pBdr>
        <w:bottom w:val="none" w:color="auto" w:sz="0" w:space="1"/>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ED37C">
    <w:pPr>
      <w:pStyle w:val="35"/>
      <w:pBdr>
        <w:bottom w:val="none" w:color="auto" w:sz="0" w:space="0"/>
      </w:pBdr>
    </w:pPr>
  </w:p>
  <w:p w14:paraId="45342219"/>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1A32B">
    <w:pPr>
      <w:pStyle w:val="35"/>
    </w:pPr>
  </w:p>
  <w:p w14:paraId="4B0D85E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43E0">
    <w:pPr>
      <w:pStyle w:val="35"/>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13CD">
    <w:pPr>
      <w:pStyle w:val="35"/>
    </w:pPr>
  </w:p>
  <w:p w14:paraId="3D74696D"/>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4C077">
    <w:pPr>
      <w:pStyle w:val="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5D42">
    <w:pPr>
      <w:pStyle w:val="35"/>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9D16F">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909C3">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09B1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2F9A7">
    <w:pPr>
      <w:pStyle w:val="35"/>
    </w:pPr>
  </w:p>
  <w:p w14:paraId="55A037A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72B27">
    <w:pPr>
      <w:pStyle w:val="3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BA62">
    <w:pPr>
      <w:pStyle w:val="35"/>
    </w:pPr>
  </w:p>
  <w:p w14:paraId="55301A9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244A9">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454B0"/>
    <w:multiLevelType w:val="singleLevel"/>
    <w:tmpl w:val="9D2454B0"/>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
    <w:nsid w:val="F9E32AFB"/>
    <w:multiLevelType w:val="singleLevel"/>
    <w:tmpl w:val="F9E32AFB"/>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5509"/>
        </w:tabs>
        <w:ind w:left="5509" w:hanging="1140"/>
      </w:pPr>
      <w:rPr>
        <w:rFonts w:hint="eastAsia"/>
      </w:rPr>
    </w:lvl>
    <w:lvl w:ilvl="1" w:tentative="0">
      <w:start w:val="1"/>
      <w:numFmt w:val="lowerLetter"/>
      <w:lvlText w:val="%2)"/>
      <w:lvlJc w:val="left"/>
      <w:pPr>
        <w:tabs>
          <w:tab w:val="left" w:pos="5209"/>
        </w:tabs>
        <w:ind w:left="5209" w:hanging="420"/>
      </w:pPr>
    </w:lvl>
    <w:lvl w:ilvl="2" w:tentative="0">
      <w:start w:val="1"/>
      <w:numFmt w:val="lowerRoman"/>
      <w:lvlText w:val="%3."/>
      <w:lvlJc w:val="right"/>
      <w:pPr>
        <w:tabs>
          <w:tab w:val="left" w:pos="5629"/>
        </w:tabs>
        <w:ind w:left="5629" w:hanging="420"/>
      </w:pPr>
    </w:lvl>
    <w:lvl w:ilvl="3" w:tentative="0">
      <w:start w:val="1"/>
      <w:numFmt w:val="decimal"/>
      <w:lvlText w:val="%4."/>
      <w:lvlJc w:val="left"/>
      <w:pPr>
        <w:tabs>
          <w:tab w:val="left" w:pos="6049"/>
        </w:tabs>
        <w:ind w:left="6049" w:hanging="420"/>
      </w:pPr>
    </w:lvl>
    <w:lvl w:ilvl="4" w:tentative="0">
      <w:start w:val="1"/>
      <w:numFmt w:val="lowerLetter"/>
      <w:lvlText w:val="%5)"/>
      <w:lvlJc w:val="left"/>
      <w:pPr>
        <w:tabs>
          <w:tab w:val="left" w:pos="6469"/>
        </w:tabs>
        <w:ind w:left="6469" w:hanging="420"/>
      </w:pPr>
    </w:lvl>
    <w:lvl w:ilvl="5" w:tentative="0">
      <w:start w:val="1"/>
      <w:numFmt w:val="lowerRoman"/>
      <w:lvlText w:val="%6."/>
      <w:lvlJc w:val="right"/>
      <w:pPr>
        <w:tabs>
          <w:tab w:val="left" w:pos="6889"/>
        </w:tabs>
        <w:ind w:left="6889" w:hanging="420"/>
      </w:pPr>
    </w:lvl>
    <w:lvl w:ilvl="6" w:tentative="0">
      <w:start w:val="1"/>
      <w:numFmt w:val="decimal"/>
      <w:lvlText w:val="%7."/>
      <w:lvlJc w:val="left"/>
      <w:pPr>
        <w:tabs>
          <w:tab w:val="left" w:pos="7309"/>
        </w:tabs>
        <w:ind w:left="7309" w:hanging="420"/>
      </w:pPr>
    </w:lvl>
    <w:lvl w:ilvl="7" w:tentative="0">
      <w:start w:val="1"/>
      <w:numFmt w:val="lowerLetter"/>
      <w:lvlText w:val="%8)"/>
      <w:lvlJc w:val="left"/>
      <w:pPr>
        <w:tabs>
          <w:tab w:val="left" w:pos="7729"/>
        </w:tabs>
        <w:ind w:left="7729" w:hanging="420"/>
      </w:pPr>
    </w:lvl>
    <w:lvl w:ilvl="8" w:tentative="0">
      <w:start w:val="1"/>
      <w:numFmt w:val="lowerRoman"/>
      <w:lvlText w:val="%9."/>
      <w:lvlJc w:val="right"/>
      <w:pPr>
        <w:tabs>
          <w:tab w:val="left" w:pos="8149"/>
        </w:tabs>
        <w:ind w:left="8149" w:hanging="420"/>
      </w:pPr>
    </w:lvl>
  </w:abstractNum>
  <w:abstractNum w:abstractNumId="3">
    <w:nsid w:val="00000014"/>
    <w:multiLevelType w:val="multilevel"/>
    <w:tmpl w:val="00000014"/>
    <w:lvl w:ilvl="0" w:tentative="0">
      <w:start w:val="1"/>
      <w:numFmt w:val="decimal"/>
      <w:pStyle w:val="413"/>
      <w:lvlText w:val="%1."/>
      <w:lvlJc w:val="left"/>
      <w:pPr>
        <w:tabs>
          <w:tab w:val="left" w:pos="709"/>
        </w:tabs>
        <w:ind w:left="709" w:hanging="709"/>
      </w:pPr>
      <w:rPr>
        <w:rFonts w:hint="eastAsia"/>
      </w:rPr>
    </w:lvl>
    <w:lvl w:ilvl="1" w:tentative="0">
      <w:start w:val="1"/>
      <w:numFmt w:val="decimal"/>
      <w:lvlText w:val="%1.%2"/>
      <w:lvlJc w:val="left"/>
      <w:pPr>
        <w:tabs>
          <w:tab w:val="left" w:pos="1135"/>
        </w:tabs>
        <w:ind w:left="1135"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0000029"/>
    <w:multiLevelType w:val="multilevel"/>
    <w:tmpl w:val="00000029"/>
    <w:lvl w:ilvl="0" w:tentative="0">
      <w:start w:val="1"/>
      <w:numFmt w:val="decimal"/>
      <w:lvlText w:val="%1"/>
      <w:lvlJc w:val="left"/>
      <w:pPr>
        <w:tabs>
          <w:tab w:val="left" w:pos="900"/>
        </w:tabs>
        <w:ind w:left="900" w:hanging="900"/>
      </w:pPr>
      <w:rPr>
        <w:rFonts w:hint="default" w:ascii="Times New Roman" w:hAnsi="Times New Roman" w:cs="Times New Roman"/>
      </w:rPr>
    </w:lvl>
    <w:lvl w:ilvl="1" w:tentative="0">
      <w:start w:val="1"/>
      <w:numFmt w:val="decimal"/>
      <w:lvlText w:val="%1.%2"/>
      <w:lvlJc w:val="left"/>
      <w:pPr>
        <w:tabs>
          <w:tab w:val="left" w:pos="1589"/>
        </w:tabs>
        <w:ind w:left="1468" w:hanging="900"/>
      </w:pPr>
      <w:rPr>
        <w:rFonts w:hint="default" w:ascii="Times New Roman" w:hAnsi="Times New Roman" w:cs="Times New Roman"/>
        <w:b w:val="0"/>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color w:val="000000" w:themeColor="text1"/>
        <w14:textFill>
          <w14:solidFill>
            <w14:schemeClr w14:val="tx1"/>
          </w14:solidFill>
        </w14:textFill>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0FD46054"/>
    <w:multiLevelType w:val="multilevel"/>
    <w:tmpl w:val="0FD46054"/>
    <w:lvl w:ilvl="0" w:tentative="0">
      <w:start w:val="1"/>
      <w:numFmt w:val="decimal"/>
      <w:pStyle w:val="226"/>
      <w:lvlText w:val="%1."/>
      <w:lvlJc w:val="left"/>
      <w:pPr>
        <w:tabs>
          <w:tab w:val="left" w:pos="420"/>
        </w:tabs>
        <w:ind w:left="420" w:hanging="420"/>
      </w:pPr>
      <w:rPr>
        <w:b w:val="0"/>
      </w:rPr>
    </w:lvl>
    <w:lvl w:ilvl="1" w:tentative="0">
      <w:start w:val="1"/>
      <w:numFmt w:val="lowerLetter"/>
      <w:pStyle w:val="227"/>
      <w:lvlText w:val="%2)"/>
      <w:lvlJc w:val="left"/>
      <w:pPr>
        <w:tabs>
          <w:tab w:val="left" w:pos="840"/>
        </w:tabs>
        <w:ind w:left="840" w:hanging="420"/>
      </w:pPr>
    </w:lvl>
    <w:lvl w:ilvl="2" w:tentative="0">
      <w:start w:val="1"/>
      <w:numFmt w:val="lowerRoman"/>
      <w:pStyle w:val="228"/>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default" w:ascii="Times New Roman" w:hAnsi="Times New Roman" w:cs="Times New Roman"/>
        <w:sz w:val="24"/>
        <w:szCs w:val="24"/>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4B9D1C70"/>
    <w:multiLevelType w:val="multilevel"/>
    <w:tmpl w:val="4B9D1C70"/>
    <w:lvl w:ilvl="0" w:tentative="0">
      <w:start w:val="1"/>
      <w:numFmt w:val="decimal"/>
      <w:pStyle w:val="171"/>
      <w:lvlText w:val="%1"/>
      <w:lvlJc w:val="left"/>
      <w:pPr>
        <w:ind w:left="425" w:hanging="425"/>
      </w:pPr>
      <w:rPr>
        <w:rFonts w:hint="eastAsia"/>
      </w:rPr>
    </w:lvl>
    <w:lvl w:ilvl="1" w:tentative="0">
      <w:start w:val="1"/>
      <w:numFmt w:val="decimal"/>
      <w:lvlText w:val="%1.%2"/>
      <w:lvlJc w:val="left"/>
      <w:pPr>
        <w:ind w:left="2977"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4E9B6272"/>
    <w:multiLevelType w:val="multilevel"/>
    <w:tmpl w:val="4E9B6272"/>
    <w:lvl w:ilvl="0" w:tentative="0">
      <w:start w:val="1"/>
      <w:numFmt w:val="decimalEnclosedCircle"/>
      <w:pStyle w:val="125"/>
      <w:lvlText w:val="%1"/>
      <w:lvlJc w:val="left"/>
      <w:pPr>
        <w:ind w:left="120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02E10F8"/>
    <w:multiLevelType w:val="multilevel"/>
    <w:tmpl w:val="602E10F8"/>
    <w:lvl w:ilvl="0" w:tentative="0">
      <w:start w:val="1"/>
      <w:numFmt w:val="decimal"/>
      <w:pStyle w:val="201"/>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2">
    <w:nsid w:val="6EF32AF5"/>
    <w:multiLevelType w:val="multilevel"/>
    <w:tmpl w:val="6EF32AF5"/>
    <w:lvl w:ilvl="0" w:tentative="0">
      <w:start w:val="1"/>
      <w:numFmt w:val="chineseCountingThousand"/>
      <w:lvlText w:val="%1、"/>
      <w:lvlJc w:val="left"/>
      <w:pPr>
        <w:ind w:left="561" w:hanging="420"/>
      </w:pPr>
    </w:lvl>
    <w:lvl w:ilvl="1" w:tentative="0">
      <w:start w:val="1"/>
      <w:numFmt w:val="lowerLetter"/>
      <w:pStyle w:val="158"/>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3">
    <w:nsid w:val="75936CFC"/>
    <w:multiLevelType w:val="multilevel"/>
    <w:tmpl w:val="75936CFC"/>
    <w:lvl w:ilvl="0" w:tentative="0">
      <w:start w:val="1"/>
      <w:numFmt w:val="decimal"/>
      <w:pStyle w:val="120"/>
      <w:lvlText w:val="（%1）"/>
      <w:lvlJc w:val="left"/>
      <w:pPr>
        <w:tabs>
          <w:tab w:val="left" w:pos="1140"/>
        </w:tabs>
        <w:ind w:left="1140" w:hanging="720"/>
      </w:pPr>
      <w:rPr>
        <w:rFonts w:hint="eastAsia"/>
      </w:rPr>
    </w:lvl>
    <w:lvl w:ilvl="1" w:tentative="0">
      <w:start w:val="1"/>
      <w:numFmt w:val="lowerLetter"/>
      <w:pStyle w:val="119"/>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pStyle w:val="156"/>
      <w:lvlText w:val="%4."/>
      <w:lvlJc w:val="left"/>
      <w:pPr>
        <w:tabs>
          <w:tab w:val="left" w:pos="2100"/>
        </w:tabs>
        <w:ind w:left="2100" w:hanging="420"/>
      </w:pPr>
    </w:lvl>
    <w:lvl w:ilvl="4" w:tentative="0">
      <w:start w:val="1"/>
      <w:numFmt w:val="lowerLetter"/>
      <w:pStyle w:val="155"/>
      <w:lvlText w:val="%5)"/>
      <w:lvlJc w:val="left"/>
      <w:pPr>
        <w:tabs>
          <w:tab w:val="left" w:pos="2520"/>
        </w:tabs>
        <w:ind w:left="2520" w:hanging="420"/>
      </w:pPr>
    </w:lvl>
    <w:lvl w:ilvl="5" w:tentative="0">
      <w:start w:val="1"/>
      <w:numFmt w:val="lowerRoman"/>
      <w:pStyle w:val="164"/>
      <w:lvlText w:val="%6."/>
      <w:lvlJc w:val="right"/>
      <w:pPr>
        <w:tabs>
          <w:tab w:val="left" w:pos="2940"/>
        </w:tabs>
        <w:ind w:left="2940" w:hanging="420"/>
      </w:pPr>
    </w:lvl>
    <w:lvl w:ilvl="6" w:tentative="0">
      <w:start w:val="1"/>
      <w:numFmt w:val="decimal"/>
      <w:pStyle w:val="177"/>
      <w:lvlText w:val="%7."/>
      <w:lvlJc w:val="left"/>
      <w:pPr>
        <w:tabs>
          <w:tab w:val="left" w:pos="3360"/>
        </w:tabs>
        <w:ind w:left="3360" w:hanging="420"/>
      </w:pPr>
    </w:lvl>
    <w:lvl w:ilvl="7" w:tentative="0">
      <w:start w:val="1"/>
      <w:numFmt w:val="lowerLetter"/>
      <w:pStyle w:val="140"/>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3"/>
  </w:num>
  <w:num w:numId="2">
    <w:abstractNumId w:val="10"/>
  </w:num>
  <w:num w:numId="3">
    <w:abstractNumId w:val="12"/>
  </w:num>
  <w:num w:numId="4">
    <w:abstractNumId w:val="9"/>
  </w:num>
  <w:num w:numId="5">
    <w:abstractNumId w:val="11"/>
  </w:num>
  <w:num w:numId="6">
    <w:abstractNumId w:val="5"/>
  </w:num>
  <w:num w:numId="7">
    <w:abstractNumId w:val="3"/>
  </w:num>
  <w:num w:numId="8">
    <w:abstractNumId w:val="4"/>
  </w:num>
  <w:num w:numId="9">
    <w:abstractNumId w:val="7"/>
  </w:num>
  <w:num w:numId="10">
    <w:abstractNumId w:val="2"/>
  </w:num>
  <w:num w:numId="11">
    <w:abstractNumId w:val="6"/>
  </w:num>
  <w:num w:numId="12">
    <w:abstractNumId w:val="1"/>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ZjFmZWIzNDg2MmIzZjExOTIzMmViNTBmYTMwYTk0ZWYifQ=="/>
    <w:docVar w:name="VTCASE" w:val="4"/>
    <w:docVar w:name="VTCommandPending" w:val="NONE"/>
  </w:docVars>
  <w:rsids>
    <w:rsidRoot w:val="00172A27"/>
    <w:rsid w:val="00000277"/>
    <w:rsid w:val="000002C4"/>
    <w:rsid w:val="00000368"/>
    <w:rsid w:val="00000432"/>
    <w:rsid w:val="00000448"/>
    <w:rsid w:val="00000905"/>
    <w:rsid w:val="00000BC6"/>
    <w:rsid w:val="00000CCE"/>
    <w:rsid w:val="00000DF5"/>
    <w:rsid w:val="00000F3F"/>
    <w:rsid w:val="000010CF"/>
    <w:rsid w:val="00001590"/>
    <w:rsid w:val="00001711"/>
    <w:rsid w:val="00001895"/>
    <w:rsid w:val="00001948"/>
    <w:rsid w:val="00001F9C"/>
    <w:rsid w:val="000020BD"/>
    <w:rsid w:val="0000218D"/>
    <w:rsid w:val="00002358"/>
    <w:rsid w:val="0000240B"/>
    <w:rsid w:val="000026F7"/>
    <w:rsid w:val="0000279B"/>
    <w:rsid w:val="000027EB"/>
    <w:rsid w:val="00002944"/>
    <w:rsid w:val="00002A8C"/>
    <w:rsid w:val="00002D16"/>
    <w:rsid w:val="00002EA1"/>
    <w:rsid w:val="00002F13"/>
    <w:rsid w:val="00002F3D"/>
    <w:rsid w:val="00002FE1"/>
    <w:rsid w:val="000031CE"/>
    <w:rsid w:val="00003279"/>
    <w:rsid w:val="000033F4"/>
    <w:rsid w:val="00003477"/>
    <w:rsid w:val="00003711"/>
    <w:rsid w:val="00003804"/>
    <w:rsid w:val="000039FD"/>
    <w:rsid w:val="00003A41"/>
    <w:rsid w:val="00003C7D"/>
    <w:rsid w:val="00003D01"/>
    <w:rsid w:val="00003D6A"/>
    <w:rsid w:val="00003E5F"/>
    <w:rsid w:val="00003EA2"/>
    <w:rsid w:val="00004254"/>
    <w:rsid w:val="0000429B"/>
    <w:rsid w:val="000044A2"/>
    <w:rsid w:val="000046C6"/>
    <w:rsid w:val="00004717"/>
    <w:rsid w:val="0000474F"/>
    <w:rsid w:val="00004A22"/>
    <w:rsid w:val="00004C44"/>
    <w:rsid w:val="00004D13"/>
    <w:rsid w:val="00004E70"/>
    <w:rsid w:val="0000508D"/>
    <w:rsid w:val="000050FD"/>
    <w:rsid w:val="000051DC"/>
    <w:rsid w:val="00005232"/>
    <w:rsid w:val="000053B4"/>
    <w:rsid w:val="00005407"/>
    <w:rsid w:val="00005905"/>
    <w:rsid w:val="00005A31"/>
    <w:rsid w:val="00005AF1"/>
    <w:rsid w:val="00005DF0"/>
    <w:rsid w:val="00005EC8"/>
    <w:rsid w:val="000060A7"/>
    <w:rsid w:val="000064B2"/>
    <w:rsid w:val="00006668"/>
    <w:rsid w:val="00006923"/>
    <w:rsid w:val="00006BD5"/>
    <w:rsid w:val="00006CD1"/>
    <w:rsid w:val="00006CD3"/>
    <w:rsid w:val="000073B1"/>
    <w:rsid w:val="000073E8"/>
    <w:rsid w:val="0000781A"/>
    <w:rsid w:val="000078F6"/>
    <w:rsid w:val="00007A5A"/>
    <w:rsid w:val="00007DA4"/>
    <w:rsid w:val="00007F7A"/>
    <w:rsid w:val="00010010"/>
    <w:rsid w:val="000100A2"/>
    <w:rsid w:val="000100B6"/>
    <w:rsid w:val="000104BA"/>
    <w:rsid w:val="000106FC"/>
    <w:rsid w:val="00010763"/>
    <w:rsid w:val="00010962"/>
    <w:rsid w:val="00010B40"/>
    <w:rsid w:val="00010DB9"/>
    <w:rsid w:val="00010E8F"/>
    <w:rsid w:val="0001121F"/>
    <w:rsid w:val="0001127B"/>
    <w:rsid w:val="000112A5"/>
    <w:rsid w:val="00011565"/>
    <w:rsid w:val="00011793"/>
    <w:rsid w:val="000118AD"/>
    <w:rsid w:val="00011A59"/>
    <w:rsid w:val="00011AFF"/>
    <w:rsid w:val="00011BD5"/>
    <w:rsid w:val="00011DA9"/>
    <w:rsid w:val="00011EBB"/>
    <w:rsid w:val="00012276"/>
    <w:rsid w:val="0001235C"/>
    <w:rsid w:val="00012486"/>
    <w:rsid w:val="000124BE"/>
    <w:rsid w:val="000125B2"/>
    <w:rsid w:val="000125FF"/>
    <w:rsid w:val="0001283B"/>
    <w:rsid w:val="00012A66"/>
    <w:rsid w:val="00012BE6"/>
    <w:rsid w:val="00012C45"/>
    <w:rsid w:val="00012EBE"/>
    <w:rsid w:val="00012F4A"/>
    <w:rsid w:val="00013121"/>
    <w:rsid w:val="000131D3"/>
    <w:rsid w:val="000136DC"/>
    <w:rsid w:val="00013965"/>
    <w:rsid w:val="00013DAB"/>
    <w:rsid w:val="00013EC7"/>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8B3"/>
    <w:rsid w:val="00015C1D"/>
    <w:rsid w:val="00015D20"/>
    <w:rsid w:val="00015D38"/>
    <w:rsid w:val="0001606B"/>
    <w:rsid w:val="000160FB"/>
    <w:rsid w:val="000163AA"/>
    <w:rsid w:val="00016644"/>
    <w:rsid w:val="000168D9"/>
    <w:rsid w:val="000169A7"/>
    <w:rsid w:val="00016E72"/>
    <w:rsid w:val="000173B8"/>
    <w:rsid w:val="0001745D"/>
    <w:rsid w:val="00017521"/>
    <w:rsid w:val="0001764D"/>
    <w:rsid w:val="00017674"/>
    <w:rsid w:val="000178C0"/>
    <w:rsid w:val="000178F8"/>
    <w:rsid w:val="00017A16"/>
    <w:rsid w:val="00017A27"/>
    <w:rsid w:val="00017A3B"/>
    <w:rsid w:val="00017A46"/>
    <w:rsid w:val="00017B17"/>
    <w:rsid w:val="00017B36"/>
    <w:rsid w:val="00017C29"/>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BB0"/>
    <w:rsid w:val="00021C9E"/>
    <w:rsid w:val="00021F1F"/>
    <w:rsid w:val="00021F66"/>
    <w:rsid w:val="0002210E"/>
    <w:rsid w:val="0002216A"/>
    <w:rsid w:val="0002217C"/>
    <w:rsid w:val="0002226B"/>
    <w:rsid w:val="000222D0"/>
    <w:rsid w:val="00022354"/>
    <w:rsid w:val="000223C3"/>
    <w:rsid w:val="00022526"/>
    <w:rsid w:val="00022562"/>
    <w:rsid w:val="00022657"/>
    <w:rsid w:val="000227DC"/>
    <w:rsid w:val="000227F5"/>
    <w:rsid w:val="0002283D"/>
    <w:rsid w:val="00022BE1"/>
    <w:rsid w:val="00022C7A"/>
    <w:rsid w:val="00022D53"/>
    <w:rsid w:val="00022F7D"/>
    <w:rsid w:val="0002328F"/>
    <w:rsid w:val="00023458"/>
    <w:rsid w:val="000234AD"/>
    <w:rsid w:val="00023CAF"/>
    <w:rsid w:val="00023D59"/>
    <w:rsid w:val="000241D9"/>
    <w:rsid w:val="00024207"/>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BE"/>
    <w:rsid w:val="00025BF3"/>
    <w:rsid w:val="00025DA9"/>
    <w:rsid w:val="00026353"/>
    <w:rsid w:val="000265E5"/>
    <w:rsid w:val="00026693"/>
    <w:rsid w:val="000267C8"/>
    <w:rsid w:val="00026845"/>
    <w:rsid w:val="00026AAC"/>
    <w:rsid w:val="00026D3D"/>
    <w:rsid w:val="00026F4A"/>
    <w:rsid w:val="000272EC"/>
    <w:rsid w:val="00027416"/>
    <w:rsid w:val="00027478"/>
    <w:rsid w:val="000274ED"/>
    <w:rsid w:val="0002751F"/>
    <w:rsid w:val="00027819"/>
    <w:rsid w:val="000279DE"/>
    <w:rsid w:val="0003010B"/>
    <w:rsid w:val="000301C2"/>
    <w:rsid w:val="000304D3"/>
    <w:rsid w:val="000304E9"/>
    <w:rsid w:val="00030640"/>
    <w:rsid w:val="0003072E"/>
    <w:rsid w:val="000307A8"/>
    <w:rsid w:val="00030887"/>
    <w:rsid w:val="00030993"/>
    <w:rsid w:val="00030D53"/>
    <w:rsid w:val="00030D81"/>
    <w:rsid w:val="00030EDC"/>
    <w:rsid w:val="00031069"/>
    <w:rsid w:val="000313A2"/>
    <w:rsid w:val="000313C2"/>
    <w:rsid w:val="00031442"/>
    <w:rsid w:val="0003161A"/>
    <w:rsid w:val="00031704"/>
    <w:rsid w:val="00031756"/>
    <w:rsid w:val="000318E8"/>
    <w:rsid w:val="00031A81"/>
    <w:rsid w:val="00031B2F"/>
    <w:rsid w:val="00031B98"/>
    <w:rsid w:val="00031BCE"/>
    <w:rsid w:val="00031BED"/>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EA"/>
    <w:rsid w:val="000343F4"/>
    <w:rsid w:val="0003447F"/>
    <w:rsid w:val="00034786"/>
    <w:rsid w:val="00034820"/>
    <w:rsid w:val="0003491D"/>
    <w:rsid w:val="00034BBD"/>
    <w:rsid w:val="00034F4A"/>
    <w:rsid w:val="000352D3"/>
    <w:rsid w:val="0003536A"/>
    <w:rsid w:val="000354BF"/>
    <w:rsid w:val="000357FF"/>
    <w:rsid w:val="00035967"/>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6F1"/>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80"/>
    <w:rsid w:val="00042F53"/>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D4"/>
    <w:rsid w:val="00045514"/>
    <w:rsid w:val="00045678"/>
    <w:rsid w:val="0004567A"/>
    <w:rsid w:val="000456B3"/>
    <w:rsid w:val="00045730"/>
    <w:rsid w:val="00045840"/>
    <w:rsid w:val="0004588D"/>
    <w:rsid w:val="0004597F"/>
    <w:rsid w:val="00045A76"/>
    <w:rsid w:val="00045BF7"/>
    <w:rsid w:val="00045C98"/>
    <w:rsid w:val="00046001"/>
    <w:rsid w:val="000460A7"/>
    <w:rsid w:val="0004611A"/>
    <w:rsid w:val="000461DC"/>
    <w:rsid w:val="00046309"/>
    <w:rsid w:val="0004639F"/>
    <w:rsid w:val="00046737"/>
    <w:rsid w:val="0004680B"/>
    <w:rsid w:val="00046872"/>
    <w:rsid w:val="00046939"/>
    <w:rsid w:val="00046963"/>
    <w:rsid w:val="00046C34"/>
    <w:rsid w:val="00046C5C"/>
    <w:rsid w:val="000470D5"/>
    <w:rsid w:val="00047207"/>
    <w:rsid w:val="00047479"/>
    <w:rsid w:val="000476F9"/>
    <w:rsid w:val="00047889"/>
    <w:rsid w:val="00047AB3"/>
    <w:rsid w:val="00047ADA"/>
    <w:rsid w:val="00047B25"/>
    <w:rsid w:val="00047BBA"/>
    <w:rsid w:val="00047E61"/>
    <w:rsid w:val="000500A2"/>
    <w:rsid w:val="000502FD"/>
    <w:rsid w:val="00050351"/>
    <w:rsid w:val="00050606"/>
    <w:rsid w:val="00050747"/>
    <w:rsid w:val="00050899"/>
    <w:rsid w:val="000508C4"/>
    <w:rsid w:val="00050A3F"/>
    <w:rsid w:val="00050AEA"/>
    <w:rsid w:val="00050C78"/>
    <w:rsid w:val="00051241"/>
    <w:rsid w:val="000514DF"/>
    <w:rsid w:val="0005161F"/>
    <w:rsid w:val="00051756"/>
    <w:rsid w:val="000517DD"/>
    <w:rsid w:val="0005182E"/>
    <w:rsid w:val="0005191F"/>
    <w:rsid w:val="0005192B"/>
    <w:rsid w:val="00051C52"/>
    <w:rsid w:val="000520C1"/>
    <w:rsid w:val="0005259F"/>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1C"/>
    <w:rsid w:val="00055298"/>
    <w:rsid w:val="000553C0"/>
    <w:rsid w:val="00055594"/>
    <w:rsid w:val="000555BE"/>
    <w:rsid w:val="00055637"/>
    <w:rsid w:val="0005569F"/>
    <w:rsid w:val="00055B09"/>
    <w:rsid w:val="00055B14"/>
    <w:rsid w:val="00055DD7"/>
    <w:rsid w:val="00055F08"/>
    <w:rsid w:val="00055F19"/>
    <w:rsid w:val="00056003"/>
    <w:rsid w:val="000560E2"/>
    <w:rsid w:val="0005626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8D7"/>
    <w:rsid w:val="00060C6B"/>
    <w:rsid w:val="00060D4C"/>
    <w:rsid w:val="00060D82"/>
    <w:rsid w:val="00060E85"/>
    <w:rsid w:val="00060E9E"/>
    <w:rsid w:val="00060FB3"/>
    <w:rsid w:val="00061003"/>
    <w:rsid w:val="0006108C"/>
    <w:rsid w:val="0006142A"/>
    <w:rsid w:val="00061819"/>
    <w:rsid w:val="00061DD1"/>
    <w:rsid w:val="00061EF5"/>
    <w:rsid w:val="00061F68"/>
    <w:rsid w:val="000620CE"/>
    <w:rsid w:val="0006234D"/>
    <w:rsid w:val="00062420"/>
    <w:rsid w:val="00062474"/>
    <w:rsid w:val="0006280B"/>
    <w:rsid w:val="00062854"/>
    <w:rsid w:val="00062985"/>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191"/>
    <w:rsid w:val="00066242"/>
    <w:rsid w:val="000665A0"/>
    <w:rsid w:val="000666C4"/>
    <w:rsid w:val="000668C9"/>
    <w:rsid w:val="000668D7"/>
    <w:rsid w:val="00066C16"/>
    <w:rsid w:val="00066E01"/>
    <w:rsid w:val="0006751D"/>
    <w:rsid w:val="00067529"/>
    <w:rsid w:val="00067802"/>
    <w:rsid w:val="000678FD"/>
    <w:rsid w:val="000679C4"/>
    <w:rsid w:val="00067A34"/>
    <w:rsid w:val="00067BD2"/>
    <w:rsid w:val="00067D43"/>
    <w:rsid w:val="00067E9C"/>
    <w:rsid w:val="00070102"/>
    <w:rsid w:val="000701A2"/>
    <w:rsid w:val="000704FE"/>
    <w:rsid w:val="0007050C"/>
    <w:rsid w:val="00070524"/>
    <w:rsid w:val="00070526"/>
    <w:rsid w:val="0007060C"/>
    <w:rsid w:val="00070779"/>
    <w:rsid w:val="0007090B"/>
    <w:rsid w:val="00070998"/>
    <w:rsid w:val="00070BB9"/>
    <w:rsid w:val="00070D0F"/>
    <w:rsid w:val="0007103D"/>
    <w:rsid w:val="00071223"/>
    <w:rsid w:val="00071356"/>
    <w:rsid w:val="00071780"/>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163"/>
    <w:rsid w:val="0007344E"/>
    <w:rsid w:val="00073590"/>
    <w:rsid w:val="0007376E"/>
    <w:rsid w:val="0007378B"/>
    <w:rsid w:val="00073C70"/>
    <w:rsid w:val="00074113"/>
    <w:rsid w:val="00074147"/>
    <w:rsid w:val="00074252"/>
    <w:rsid w:val="0007464A"/>
    <w:rsid w:val="00074670"/>
    <w:rsid w:val="00074780"/>
    <w:rsid w:val="00074786"/>
    <w:rsid w:val="0007478E"/>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DEA"/>
    <w:rsid w:val="00077FE5"/>
    <w:rsid w:val="000801CC"/>
    <w:rsid w:val="00080289"/>
    <w:rsid w:val="000802AA"/>
    <w:rsid w:val="00080443"/>
    <w:rsid w:val="000805BC"/>
    <w:rsid w:val="00080608"/>
    <w:rsid w:val="00080982"/>
    <w:rsid w:val="000809DF"/>
    <w:rsid w:val="00080C51"/>
    <w:rsid w:val="00081030"/>
    <w:rsid w:val="00081713"/>
    <w:rsid w:val="000817A1"/>
    <w:rsid w:val="00081948"/>
    <w:rsid w:val="00082322"/>
    <w:rsid w:val="0008234E"/>
    <w:rsid w:val="00082377"/>
    <w:rsid w:val="00082742"/>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02"/>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E7"/>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CC1"/>
    <w:rsid w:val="00095D63"/>
    <w:rsid w:val="00096012"/>
    <w:rsid w:val="00096244"/>
    <w:rsid w:val="00096251"/>
    <w:rsid w:val="0009672F"/>
    <w:rsid w:val="000967BF"/>
    <w:rsid w:val="000967EC"/>
    <w:rsid w:val="00096822"/>
    <w:rsid w:val="00096835"/>
    <w:rsid w:val="00096BFF"/>
    <w:rsid w:val="00096C99"/>
    <w:rsid w:val="00096CA2"/>
    <w:rsid w:val="00096CBB"/>
    <w:rsid w:val="00096CE7"/>
    <w:rsid w:val="00096F57"/>
    <w:rsid w:val="00096FB0"/>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4FE"/>
    <w:rsid w:val="000A38B4"/>
    <w:rsid w:val="000A3D00"/>
    <w:rsid w:val="000A3FFB"/>
    <w:rsid w:val="000A414A"/>
    <w:rsid w:val="000A41F4"/>
    <w:rsid w:val="000A4578"/>
    <w:rsid w:val="000A4A3B"/>
    <w:rsid w:val="000A4DA3"/>
    <w:rsid w:val="000A4F98"/>
    <w:rsid w:val="000A51D6"/>
    <w:rsid w:val="000A539A"/>
    <w:rsid w:val="000A54ED"/>
    <w:rsid w:val="000A5506"/>
    <w:rsid w:val="000A5577"/>
    <w:rsid w:val="000A5754"/>
    <w:rsid w:val="000A5860"/>
    <w:rsid w:val="000A5902"/>
    <w:rsid w:val="000A5B9D"/>
    <w:rsid w:val="000A5D65"/>
    <w:rsid w:val="000A5E91"/>
    <w:rsid w:val="000A5EAC"/>
    <w:rsid w:val="000A60F3"/>
    <w:rsid w:val="000A6A43"/>
    <w:rsid w:val="000A6D69"/>
    <w:rsid w:val="000A6F27"/>
    <w:rsid w:val="000A6F72"/>
    <w:rsid w:val="000A6F99"/>
    <w:rsid w:val="000A6FE6"/>
    <w:rsid w:val="000A721F"/>
    <w:rsid w:val="000A72B1"/>
    <w:rsid w:val="000A7580"/>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22"/>
    <w:rsid w:val="000B1513"/>
    <w:rsid w:val="000B15B4"/>
    <w:rsid w:val="000B1772"/>
    <w:rsid w:val="000B1A73"/>
    <w:rsid w:val="000B1B49"/>
    <w:rsid w:val="000B1CAA"/>
    <w:rsid w:val="000B1D85"/>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1A1"/>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02"/>
    <w:rsid w:val="000C6043"/>
    <w:rsid w:val="000C6211"/>
    <w:rsid w:val="000C6255"/>
    <w:rsid w:val="000C627A"/>
    <w:rsid w:val="000C64CF"/>
    <w:rsid w:val="000C655D"/>
    <w:rsid w:val="000C692E"/>
    <w:rsid w:val="000C69D5"/>
    <w:rsid w:val="000C6D78"/>
    <w:rsid w:val="000C6EBF"/>
    <w:rsid w:val="000C6F06"/>
    <w:rsid w:val="000C70D6"/>
    <w:rsid w:val="000C7581"/>
    <w:rsid w:val="000C76DD"/>
    <w:rsid w:val="000C79C6"/>
    <w:rsid w:val="000C7E46"/>
    <w:rsid w:val="000C7E93"/>
    <w:rsid w:val="000C7EAD"/>
    <w:rsid w:val="000D02EB"/>
    <w:rsid w:val="000D0723"/>
    <w:rsid w:val="000D07F4"/>
    <w:rsid w:val="000D0953"/>
    <w:rsid w:val="000D0D09"/>
    <w:rsid w:val="000D0E8B"/>
    <w:rsid w:val="000D0F36"/>
    <w:rsid w:val="000D0F46"/>
    <w:rsid w:val="000D10B3"/>
    <w:rsid w:val="000D11FA"/>
    <w:rsid w:val="000D1393"/>
    <w:rsid w:val="000D144A"/>
    <w:rsid w:val="000D16DF"/>
    <w:rsid w:val="000D19A2"/>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DB8"/>
    <w:rsid w:val="000D2EA7"/>
    <w:rsid w:val="000D2EFE"/>
    <w:rsid w:val="000D309B"/>
    <w:rsid w:val="000D30F6"/>
    <w:rsid w:val="000D3225"/>
    <w:rsid w:val="000D32EA"/>
    <w:rsid w:val="000D3324"/>
    <w:rsid w:val="000D3332"/>
    <w:rsid w:val="000D335B"/>
    <w:rsid w:val="000D3397"/>
    <w:rsid w:val="000D33BE"/>
    <w:rsid w:val="000D360E"/>
    <w:rsid w:val="000D38C3"/>
    <w:rsid w:val="000D398B"/>
    <w:rsid w:val="000D3C54"/>
    <w:rsid w:val="000D3E70"/>
    <w:rsid w:val="000D3EA8"/>
    <w:rsid w:val="000D3F97"/>
    <w:rsid w:val="000D3FA5"/>
    <w:rsid w:val="000D3FE7"/>
    <w:rsid w:val="000D4081"/>
    <w:rsid w:val="000D42FB"/>
    <w:rsid w:val="000D45CE"/>
    <w:rsid w:val="000D47A9"/>
    <w:rsid w:val="000D4887"/>
    <w:rsid w:val="000D4985"/>
    <w:rsid w:val="000D4BAD"/>
    <w:rsid w:val="000D4CDB"/>
    <w:rsid w:val="000D4EA5"/>
    <w:rsid w:val="000D4F97"/>
    <w:rsid w:val="000D51C0"/>
    <w:rsid w:val="000D524E"/>
    <w:rsid w:val="000D54BA"/>
    <w:rsid w:val="000D5B64"/>
    <w:rsid w:val="000D5C3A"/>
    <w:rsid w:val="000D6209"/>
    <w:rsid w:val="000D643C"/>
    <w:rsid w:val="000D6471"/>
    <w:rsid w:val="000D64DD"/>
    <w:rsid w:val="000D6AEB"/>
    <w:rsid w:val="000D6C0B"/>
    <w:rsid w:val="000D6C2E"/>
    <w:rsid w:val="000D6CEA"/>
    <w:rsid w:val="000D70AB"/>
    <w:rsid w:val="000D7405"/>
    <w:rsid w:val="000D7460"/>
    <w:rsid w:val="000D7971"/>
    <w:rsid w:val="000D79DB"/>
    <w:rsid w:val="000D7D7F"/>
    <w:rsid w:val="000D7D9A"/>
    <w:rsid w:val="000D7E52"/>
    <w:rsid w:val="000D7EEC"/>
    <w:rsid w:val="000E00B1"/>
    <w:rsid w:val="000E0249"/>
    <w:rsid w:val="000E06D0"/>
    <w:rsid w:val="000E0865"/>
    <w:rsid w:val="000E0994"/>
    <w:rsid w:val="000E09FF"/>
    <w:rsid w:val="000E0AF6"/>
    <w:rsid w:val="000E103A"/>
    <w:rsid w:val="000E10BC"/>
    <w:rsid w:val="000E11BF"/>
    <w:rsid w:val="000E1232"/>
    <w:rsid w:val="000E1253"/>
    <w:rsid w:val="000E12D6"/>
    <w:rsid w:val="000E148C"/>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3F44"/>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A2"/>
    <w:rsid w:val="000E57D3"/>
    <w:rsid w:val="000E60DC"/>
    <w:rsid w:val="000E62CE"/>
    <w:rsid w:val="000E62D4"/>
    <w:rsid w:val="000E62F5"/>
    <w:rsid w:val="000E6382"/>
    <w:rsid w:val="000E6393"/>
    <w:rsid w:val="000E678B"/>
    <w:rsid w:val="000E6A44"/>
    <w:rsid w:val="000E6EA3"/>
    <w:rsid w:val="000E7231"/>
    <w:rsid w:val="000E7316"/>
    <w:rsid w:val="000E742B"/>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9E2"/>
    <w:rsid w:val="000F0B3B"/>
    <w:rsid w:val="000F0C34"/>
    <w:rsid w:val="000F0C76"/>
    <w:rsid w:val="000F0D7A"/>
    <w:rsid w:val="000F0E42"/>
    <w:rsid w:val="000F17AF"/>
    <w:rsid w:val="000F181A"/>
    <w:rsid w:val="000F2136"/>
    <w:rsid w:val="000F229F"/>
    <w:rsid w:val="000F2348"/>
    <w:rsid w:val="000F2381"/>
    <w:rsid w:val="000F240D"/>
    <w:rsid w:val="000F2592"/>
    <w:rsid w:val="000F2682"/>
    <w:rsid w:val="000F3405"/>
    <w:rsid w:val="000F37A3"/>
    <w:rsid w:val="000F3843"/>
    <w:rsid w:val="000F385E"/>
    <w:rsid w:val="000F3C91"/>
    <w:rsid w:val="000F3D72"/>
    <w:rsid w:val="000F42A6"/>
    <w:rsid w:val="000F4378"/>
    <w:rsid w:val="000F43EF"/>
    <w:rsid w:val="000F44ED"/>
    <w:rsid w:val="000F470E"/>
    <w:rsid w:val="000F4813"/>
    <w:rsid w:val="000F4D48"/>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B41"/>
    <w:rsid w:val="000F7C70"/>
    <w:rsid w:val="000F7E2B"/>
    <w:rsid w:val="001003BB"/>
    <w:rsid w:val="00100421"/>
    <w:rsid w:val="0010063E"/>
    <w:rsid w:val="001006D6"/>
    <w:rsid w:val="001006F0"/>
    <w:rsid w:val="001006F5"/>
    <w:rsid w:val="001008FB"/>
    <w:rsid w:val="00100A6E"/>
    <w:rsid w:val="00100CF1"/>
    <w:rsid w:val="00100D3D"/>
    <w:rsid w:val="00100EF3"/>
    <w:rsid w:val="00100F25"/>
    <w:rsid w:val="00100FA0"/>
    <w:rsid w:val="001011B1"/>
    <w:rsid w:val="00101254"/>
    <w:rsid w:val="0010166A"/>
    <w:rsid w:val="00101C2D"/>
    <w:rsid w:val="00101CD7"/>
    <w:rsid w:val="00101E70"/>
    <w:rsid w:val="0010209B"/>
    <w:rsid w:val="00102313"/>
    <w:rsid w:val="0010234F"/>
    <w:rsid w:val="00102653"/>
    <w:rsid w:val="00102677"/>
    <w:rsid w:val="0010270C"/>
    <w:rsid w:val="00102833"/>
    <w:rsid w:val="00102BA9"/>
    <w:rsid w:val="00102F8E"/>
    <w:rsid w:val="001033C4"/>
    <w:rsid w:val="0010366C"/>
    <w:rsid w:val="001036EB"/>
    <w:rsid w:val="00103727"/>
    <w:rsid w:val="0010372B"/>
    <w:rsid w:val="00103916"/>
    <w:rsid w:val="00103A23"/>
    <w:rsid w:val="00103AFD"/>
    <w:rsid w:val="00103C7C"/>
    <w:rsid w:val="00103CBB"/>
    <w:rsid w:val="00103EA8"/>
    <w:rsid w:val="00103FCB"/>
    <w:rsid w:val="00104062"/>
    <w:rsid w:val="001041DF"/>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570"/>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6F"/>
    <w:rsid w:val="0011199A"/>
    <w:rsid w:val="00111AB0"/>
    <w:rsid w:val="00111B72"/>
    <w:rsid w:val="00111BB5"/>
    <w:rsid w:val="00111C2B"/>
    <w:rsid w:val="00111D5C"/>
    <w:rsid w:val="00111DD5"/>
    <w:rsid w:val="0011204B"/>
    <w:rsid w:val="00112212"/>
    <w:rsid w:val="001122C1"/>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3C8"/>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17E73"/>
    <w:rsid w:val="00120019"/>
    <w:rsid w:val="00120613"/>
    <w:rsid w:val="001206A9"/>
    <w:rsid w:val="00120708"/>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CE6"/>
    <w:rsid w:val="00122DB8"/>
    <w:rsid w:val="00122E2E"/>
    <w:rsid w:val="00122EC6"/>
    <w:rsid w:val="00122EF1"/>
    <w:rsid w:val="00122F50"/>
    <w:rsid w:val="0012309F"/>
    <w:rsid w:val="0012335C"/>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29A"/>
    <w:rsid w:val="001242DE"/>
    <w:rsid w:val="00124732"/>
    <w:rsid w:val="001248A3"/>
    <w:rsid w:val="001248FD"/>
    <w:rsid w:val="00124C8B"/>
    <w:rsid w:val="00124D00"/>
    <w:rsid w:val="00124E36"/>
    <w:rsid w:val="00124EAB"/>
    <w:rsid w:val="001251E2"/>
    <w:rsid w:val="00125286"/>
    <w:rsid w:val="00125301"/>
    <w:rsid w:val="0012535E"/>
    <w:rsid w:val="00125402"/>
    <w:rsid w:val="0012550F"/>
    <w:rsid w:val="001255F6"/>
    <w:rsid w:val="00125659"/>
    <w:rsid w:val="00125686"/>
    <w:rsid w:val="00125783"/>
    <w:rsid w:val="001257EB"/>
    <w:rsid w:val="0012582F"/>
    <w:rsid w:val="00125B2E"/>
    <w:rsid w:val="0012614B"/>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87"/>
    <w:rsid w:val="001310F1"/>
    <w:rsid w:val="00131197"/>
    <w:rsid w:val="001314B9"/>
    <w:rsid w:val="001316FA"/>
    <w:rsid w:val="0013186F"/>
    <w:rsid w:val="001319A0"/>
    <w:rsid w:val="00131D11"/>
    <w:rsid w:val="00132024"/>
    <w:rsid w:val="00132696"/>
    <w:rsid w:val="001328EB"/>
    <w:rsid w:val="00132E43"/>
    <w:rsid w:val="00132F01"/>
    <w:rsid w:val="00132FB6"/>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1CB"/>
    <w:rsid w:val="001352D6"/>
    <w:rsid w:val="0013559C"/>
    <w:rsid w:val="0013565E"/>
    <w:rsid w:val="00135760"/>
    <w:rsid w:val="001359D7"/>
    <w:rsid w:val="00135DD4"/>
    <w:rsid w:val="00135E44"/>
    <w:rsid w:val="0013606C"/>
    <w:rsid w:val="001361CD"/>
    <w:rsid w:val="001361D6"/>
    <w:rsid w:val="0013624E"/>
    <w:rsid w:val="001363BC"/>
    <w:rsid w:val="0013654A"/>
    <w:rsid w:val="00136681"/>
    <w:rsid w:val="001371D4"/>
    <w:rsid w:val="001371DC"/>
    <w:rsid w:val="001378D1"/>
    <w:rsid w:val="001379B7"/>
    <w:rsid w:val="00137A98"/>
    <w:rsid w:val="00137B09"/>
    <w:rsid w:val="00137DD9"/>
    <w:rsid w:val="00137F03"/>
    <w:rsid w:val="001400A0"/>
    <w:rsid w:val="001404E9"/>
    <w:rsid w:val="00140656"/>
    <w:rsid w:val="00140C98"/>
    <w:rsid w:val="00140CC4"/>
    <w:rsid w:val="00140E02"/>
    <w:rsid w:val="00141657"/>
    <w:rsid w:val="001416C8"/>
    <w:rsid w:val="00141897"/>
    <w:rsid w:val="00141C91"/>
    <w:rsid w:val="00141DF4"/>
    <w:rsid w:val="00141FEF"/>
    <w:rsid w:val="00142005"/>
    <w:rsid w:val="001421FC"/>
    <w:rsid w:val="00142323"/>
    <w:rsid w:val="001423BC"/>
    <w:rsid w:val="0014257F"/>
    <w:rsid w:val="001426BC"/>
    <w:rsid w:val="00142714"/>
    <w:rsid w:val="00142776"/>
    <w:rsid w:val="00142811"/>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6B"/>
    <w:rsid w:val="001453CC"/>
    <w:rsid w:val="00145496"/>
    <w:rsid w:val="001454C9"/>
    <w:rsid w:val="001455F5"/>
    <w:rsid w:val="001456A7"/>
    <w:rsid w:val="00145BFC"/>
    <w:rsid w:val="00145C46"/>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97"/>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7C8"/>
    <w:rsid w:val="001518CA"/>
    <w:rsid w:val="001519E7"/>
    <w:rsid w:val="00151CDC"/>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877"/>
    <w:rsid w:val="00154E2A"/>
    <w:rsid w:val="00154E60"/>
    <w:rsid w:val="00155202"/>
    <w:rsid w:val="00155296"/>
    <w:rsid w:val="0015538F"/>
    <w:rsid w:val="00155434"/>
    <w:rsid w:val="00155982"/>
    <w:rsid w:val="00155F45"/>
    <w:rsid w:val="001564FC"/>
    <w:rsid w:val="00156D28"/>
    <w:rsid w:val="00156D64"/>
    <w:rsid w:val="00156EF9"/>
    <w:rsid w:val="001570D9"/>
    <w:rsid w:val="001571B6"/>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C61"/>
    <w:rsid w:val="00163DD7"/>
    <w:rsid w:val="00163DF8"/>
    <w:rsid w:val="0016414D"/>
    <w:rsid w:val="00164669"/>
    <w:rsid w:val="00164761"/>
    <w:rsid w:val="0016487B"/>
    <w:rsid w:val="001648FB"/>
    <w:rsid w:val="00164974"/>
    <w:rsid w:val="00164AB5"/>
    <w:rsid w:val="00164B73"/>
    <w:rsid w:val="00164F9C"/>
    <w:rsid w:val="001650B0"/>
    <w:rsid w:val="001655BB"/>
    <w:rsid w:val="0016576A"/>
    <w:rsid w:val="001657CC"/>
    <w:rsid w:val="00165B61"/>
    <w:rsid w:val="00165BC2"/>
    <w:rsid w:val="00165F07"/>
    <w:rsid w:val="001664DB"/>
    <w:rsid w:val="0016655E"/>
    <w:rsid w:val="00166A93"/>
    <w:rsid w:val="00166C93"/>
    <w:rsid w:val="00166E60"/>
    <w:rsid w:val="00166EBE"/>
    <w:rsid w:val="00166F3F"/>
    <w:rsid w:val="001670EA"/>
    <w:rsid w:val="001674A5"/>
    <w:rsid w:val="001675E9"/>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C9F"/>
    <w:rsid w:val="00171E69"/>
    <w:rsid w:val="0017203E"/>
    <w:rsid w:val="001721B3"/>
    <w:rsid w:val="001722BA"/>
    <w:rsid w:val="0017234F"/>
    <w:rsid w:val="0017273A"/>
    <w:rsid w:val="00172877"/>
    <w:rsid w:val="001728DE"/>
    <w:rsid w:val="00172A27"/>
    <w:rsid w:val="00173062"/>
    <w:rsid w:val="00173087"/>
    <w:rsid w:val="001730AA"/>
    <w:rsid w:val="001733BD"/>
    <w:rsid w:val="0017344E"/>
    <w:rsid w:val="0017345B"/>
    <w:rsid w:val="0017345C"/>
    <w:rsid w:val="001734C6"/>
    <w:rsid w:val="001734F4"/>
    <w:rsid w:val="00173B73"/>
    <w:rsid w:val="00173CAD"/>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C74"/>
    <w:rsid w:val="00176DE2"/>
    <w:rsid w:val="00176E48"/>
    <w:rsid w:val="001770BF"/>
    <w:rsid w:val="001770D4"/>
    <w:rsid w:val="0017712C"/>
    <w:rsid w:val="00177148"/>
    <w:rsid w:val="001771CA"/>
    <w:rsid w:val="00177269"/>
    <w:rsid w:val="0017727A"/>
    <w:rsid w:val="001772BB"/>
    <w:rsid w:val="00177385"/>
    <w:rsid w:val="001776C7"/>
    <w:rsid w:val="00177707"/>
    <w:rsid w:val="00177873"/>
    <w:rsid w:val="00177994"/>
    <w:rsid w:val="00177B3D"/>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168"/>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07E"/>
    <w:rsid w:val="00184111"/>
    <w:rsid w:val="00184171"/>
    <w:rsid w:val="00184298"/>
    <w:rsid w:val="001846ED"/>
    <w:rsid w:val="001848D0"/>
    <w:rsid w:val="001849ED"/>
    <w:rsid w:val="00184B0F"/>
    <w:rsid w:val="00184BC3"/>
    <w:rsid w:val="00184DC3"/>
    <w:rsid w:val="00184F04"/>
    <w:rsid w:val="00184FA0"/>
    <w:rsid w:val="0018502C"/>
    <w:rsid w:val="00185367"/>
    <w:rsid w:val="0018542F"/>
    <w:rsid w:val="0018557B"/>
    <w:rsid w:val="00185A00"/>
    <w:rsid w:val="00185BBA"/>
    <w:rsid w:val="0018614B"/>
    <w:rsid w:val="00186223"/>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901"/>
    <w:rsid w:val="00187BD3"/>
    <w:rsid w:val="00187D09"/>
    <w:rsid w:val="00187D47"/>
    <w:rsid w:val="00190143"/>
    <w:rsid w:val="0019015C"/>
    <w:rsid w:val="00190335"/>
    <w:rsid w:val="00190396"/>
    <w:rsid w:val="001906EF"/>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7D9"/>
    <w:rsid w:val="00193A98"/>
    <w:rsid w:val="00193BEE"/>
    <w:rsid w:val="00193C95"/>
    <w:rsid w:val="00193D98"/>
    <w:rsid w:val="00193E32"/>
    <w:rsid w:val="00194050"/>
    <w:rsid w:val="00194200"/>
    <w:rsid w:val="00194427"/>
    <w:rsid w:val="001944C6"/>
    <w:rsid w:val="001948CB"/>
    <w:rsid w:val="00194C53"/>
    <w:rsid w:val="00194D42"/>
    <w:rsid w:val="00194D65"/>
    <w:rsid w:val="00194EF0"/>
    <w:rsid w:val="001950C6"/>
    <w:rsid w:val="0019525E"/>
    <w:rsid w:val="00195427"/>
    <w:rsid w:val="001954DF"/>
    <w:rsid w:val="00195515"/>
    <w:rsid w:val="0019580B"/>
    <w:rsid w:val="001958C9"/>
    <w:rsid w:val="00195A71"/>
    <w:rsid w:val="00195B1E"/>
    <w:rsid w:val="00195D3C"/>
    <w:rsid w:val="001961CE"/>
    <w:rsid w:val="00196296"/>
    <w:rsid w:val="001968A5"/>
    <w:rsid w:val="00196AA1"/>
    <w:rsid w:val="00196C49"/>
    <w:rsid w:val="00196D7F"/>
    <w:rsid w:val="00196E36"/>
    <w:rsid w:val="001971A4"/>
    <w:rsid w:val="0019751C"/>
    <w:rsid w:val="00197AD9"/>
    <w:rsid w:val="00197D19"/>
    <w:rsid w:val="00197DB5"/>
    <w:rsid w:val="00197F02"/>
    <w:rsid w:val="00197F40"/>
    <w:rsid w:val="001A0083"/>
    <w:rsid w:val="001A0090"/>
    <w:rsid w:val="001A022D"/>
    <w:rsid w:val="001A024F"/>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5BC"/>
    <w:rsid w:val="001A460D"/>
    <w:rsid w:val="001A4877"/>
    <w:rsid w:val="001A4A0B"/>
    <w:rsid w:val="001A4EBF"/>
    <w:rsid w:val="001A52A6"/>
    <w:rsid w:val="001A5496"/>
    <w:rsid w:val="001A5595"/>
    <w:rsid w:val="001A55F7"/>
    <w:rsid w:val="001A570C"/>
    <w:rsid w:val="001A57B9"/>
    <w:rsid w:val="001A5C30"/>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35C"/>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63B"/>
    <w:rsid w:val="001B2750"/>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BBD"/>
    <w:rsid w:val="001B3E0D"/>
    <w:rsid w:val="001B3EF9"/>
    <w:rsid w:val="001B40F1"/>
    <w:rsid w:val="001B42DC"/>
    <w:rsid w:val="001B43B1"/>
    <w:rsid w:val="001B4499"/>
    <w:rsid w:val="001B47A1"/>
    <w:rsid w:val="001B47AF"/>
    <w:rsid w:val="001B49F0"/>
    <w:rsid w:val="001B504D"/>
    <w:rsid w:val="001B5307"/>
    <w:rsid w:val="001B53EE"/>
    <w:rsid w:val="001B56F4"/>
    <w:rsid w:val="001B5918"/>
    <w:rsid w:val="001B5BA3"/>
    <w:rsid w:val="001B5CD4"/>
    <w:rsid w:val="001B64C1"/>
    <w:rsid w:val="001B66D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2C7"/>
    <w:rsid w:val="001C0850"/>
    <w:rsid w:val="001C0AB3"/>
    <w:rsid w:val="001C1461"/>
    <w:rsid w:val="001C15CC"/>
    <w:rsid w:val="001C167B"/>
    <w:rsid w:val="001C172A"/>
    <w:rsid w:val="001C1A12"/>
    <w:rsid w:val="001C1AE9"/>
    <w:rsid w:val="001C1B8B"/>
    <w:rsid w:val="001C1E53"/>
    <w:rsid w:val="001C2123"/>
    <w:rsid w:val="001C2145"/>
    <w:rsid w:val="001C255E"/>
    <w:rsid w:val="001C2695"/>
    <w:rsid w:val="001C2724"/>
    <w:rsid w:val="001C29BE"/>
    <w:rsid w:val="001C2DCD"/>
    <w:rsid w:val="001C2E41"/>
    <w:rsid w:val="001C2ED2"/>
    <w:rsid w:val="001C2F65"/>
    <w:rsid w:val="001C326E"/>
    <w:rsid w:val="001C33D5"/>
    <w:rsid w:val="001C34AE"/>
    <w:rsid w:val="001C34EC"/>
    <w:rsid w:val="001C3701"/>
    <w:rsid w:val="001C38DF"/>
    <w:rsid w:val="001C3982"/>
    <w:rsid w:val="001C399E"/>
    <w:rsid w:val="001C3EBD"/>
    <w:rsid w:val="001C41EB"/>
    <w:rsid w:val="001C4429"/>
    <w:rsid w:val="001C47A0"/>
    <w:rsid w:val="001C47E6"/>
    <w:rsid w:val="001C4EBB"/>
    <w:rsid w:val="001C4F2E"/>
    <w:rsid w:val="001C4F89"/>
    <w:rsid w:val="001C50AB"/>
    <w:rsid w:val="001C516C"/>
    <w:rsid w:val="001C52A2"/>
    <w:rsid w:val="001C52D4"/>
    <w:rsid w:val="001C536A"/>
    <w:rsid w:val="001C5478"/>
    <w:rsid w:val="001C54F9"/>
    <w:rsid w:val="001C56EF"/>
    <w:rsid w:val="001C57B0"/>
    <w:rsid w:val="001C5849"/>
    <w:rsid w:val="001C58F9"/>
    <w:rsid w:val="001C5BED"/>
    <w:rsid w:val="001C5D25"/>
    <w:rsid w:val="001C6251"/>
    <w:rsid w:val="001C6412"/>
    <w:rsid w:val="001C660A"/>
    <w:rsid w:val="001C6732"/>
    <w:rsid w:val="001C6AAB"/>
    <w:rsid w:val="001C6AE0"/>
    <w:rsid w:val="001C6B50"/>
    <w:rsid w:val="001C6C55"/>
    <w:rsid w:val="001C6C94"/>
    <w:rsid w:val="001C70EB"/>
    <w:rsid w:val="001C7330"/>
    <w:rsid w:val="001C7368"/>
    <w:rsid w:val="001C778F"/>
    <w:rsid w:val="001C7909"/>
    <w:rsid w:val="001C7A23"/>
    <w:rsid w:val="001C7A82"/>
    <w:rsid w:val="001C7AE7"/>
    <w:rsid w:val="001C7C91"/>
    <w:rsid w:val="001C7E5E"/>
    <w:rsid w:val="001C7F13"/>
    <w:rsid w:val="001D0189"/>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1F0"/>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2D5"/>
    <w:rsid w:val="001D6399"/>
    <w:rsid w:val="001D6637"/>
    <w:rsid w:val="001D666C"/>
    <w:rsid w:val="001D66FE"/>
    <w:rsid w:val="001D6988"/>
    <w:rsid w:val="001D7003"/>
    <w:rsid w:val="001D709A"/>
    <w:rsid w:val="001D73D2"/>
    <w:rsid w:val="001D7969"/>
    <w:rsid w:val="001D7B11"/>
    <w:rsid w:val="001D7B71"/>
    <w:rsid w:val="001D7C04"/>
    <w:rsid w:val="001D7D1B"/>
    <w:rsid w:val="001D7EBE"/>
    <w:rsid w:val="001E0074"/>
    <w:rsid w:val="001E01D0"/>
    <w:rsid w:val="001E02A4"/>
    <w:rsid w:val="001E0327"/>
    <w:rsid w:val="001E0334"/>
    <w:rsid w:val="001E0621"/>
    <w:rsid w:val="001E0666"/>
    <w:rsid w:val="001E080E"/>
    <w:rsid w:val="001E09DD"/>
    <w:rsid w:val="001E0B3E"/>
    <w:rsid w:val="001E0B9A"/>
    <w:rsid w:val="001E0C52"/>
    <w:rsid w:val="001E0C8D"/>
    <w:rsid w:val="001E0D6F"/>
    <w:rsid w:val="001E0FFD"/>
    <w:rsid w:val="001E1087"/>
    <w:rsid w:val="001E10CD"/>
    <w:rsid w:val="001E141A"/>
    <w:rsid w:val="001E145C"/>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3FA"/>
    <w:rsid w:val="001E34AA"/>
    <w:rsid w:val="001E34EF"/>
    <w:rsid w:val="001E3638"/>
    <w:rsid w:val="001E3764"/>
    <w:rsid w:val="001E381D"/>
    <w:rsid w:val="001E3875"/>
    <w:rsid w:val="001E3AE0"/>
    <w:rsid w:val="001E3B66"/>
    <w:rsid w:val="001E3C02"/>
    <w:rsid w:val="001E3C26"/>
    <w:rsid w:val="001E3D80"/>
    <w:rsid w:val="001E3DFC"/>
    <w:rsid w:val="001E4118"/>
    <w:rsid w:val="001E437E"/>
    <w:rsid w:val="001E447D"/>
    <w:rsid w:val="001E492C"/>
    <w:rsid w:val="001E4CBB"/>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6A1"/>
    <w:rsid w:val="001E7815"/>
    <w:rsid w:val="001E78E7"/>
    <w:rsid w:val="001E7962"/>
    <w:rsid w:val="001E7ABB"/>
    <w:rsid w:val="001E7ACA"/>
    <w:rsid w:val="001E7CB2"/>
    <w:rsid w:val="001E7CBF"/>
    <w:rsid w:val="001E7CFD"/>
    <w:rsid w:val="001F00CF"/>
    <w:rsid w:val="001F0106"/>
    <w:rsid w:val="001F02AC"/>
    <w:rsid w:val="001F044D"/>
    <w:rsid w:val="001F0615"/>
    <w:rsid w:val="001F07D6"/>
    <w:rsid w:val="001F07F7"/>
    <w:rsid w:val="001F08D7"/>
    <w:rsid w:val="001F0958"/>
    <w:rsid w:val="001F0C50"/>
    <w:rsid w:val="001F126A"/>
    <w:rsid w:val="001F1352"/>
    <w:rsid w:val="001F137C"/>
    <w:rsid w:val="001F17AB"/>
    <w:rsid w:val="001F1B18"/>
    <w:rsid w:val="001F1D26"/>
    <w:rsid w:val="001F1E70"/>
    <w:rsid w:val="001F2135"/>
    <w:rsid w:val="001F2402"/>
    <w:rsid w:val="001F28AA"/>
    <w:rsid w:val="001F2AB7"/>
    <w:rsid w:val="001F2D08"/>
    <w:rsid w:val="001F3246"/>
    <w:rsid w:val="001F33FB"/>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FC5"/>
    <w:rsid w:val="001F5191"/>
    <w:rsid w:val="001F5251"/>
    <w:rsid w:val="001F528F"/>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2E"/>
    <w:rsid w:val="001F78C7"/>
    <w:rsid w:val="001F7959"/>
    <w:rsid w:val="001F7A9B"/>
    <w:rsid w:val="001F7D75"/>
    <w:rsid w:val="001F7E2B"/>
    <w:rsid w:val="00200443"/>
    <w:rsid w:val="0020047F"/>
    <w:rsid w:val="0020059F"/>
    <w:rsid w:val="002005BB"/>
    <w:rsid w:val="00200896"/>
    <w:rsid w:val="002008C8"/>
    <w:rsid w:val="00200E9B"/>
    <w:rsid w:val="00200FFD"/>
    <w:rsid w:val="00201195"/>
    <w:rsid w:val="00201220"/>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7B"/>
    <w:rsid w:val="00204574"/>
    <w:rsid w:val="00204728"/>
    <w:rsid w:val="00204761"/>
    <w:rsid w:val="002047C4"/>
    <w:rsid w:val="00204865"/>
    <w:rsid w:val="00204D0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40"/>
    <w:rsid w:val="00207F97"/>
    <w:rsid w:val="002105B2"/>
    <w:rsid w:val="002105C3"/>
    <w:rsid w:val="0021063C"/>
    <w:rsid w:val="0021085B"/>
    <w:rsid w:val="00210A3A"/>
    <w:rsid w:val="00210C07"/>
    <w:rsid w:val="00210D7D"/>
    <w:rsid w:val="00210E93"/>
    <w:rsid w:val="00211392"/>
    <w:rsid w:val="002119AF"/>
    <w:rsid w:val="00211BE3"/>
    <w:rsid w:val="00211CF4"/>
    <w:rsid w:val="00211DA3"/>
    <w:rsid w:val="00211E81"/>
    <w:rsid w:val="00212379"/>
    <w:rsid w:val="002124C1"/>
    <w:rsid w:val="002125D6"/>
    <w:rsid w:val="00212B72"/>
    <w:rsid w:val="00212BA8"/>
    <w:rsid w:val="00212CA0"/>
    <w:rsid w:val="00212F0F"/>
    <w:rsid w:val="00213028"/>
    <w:rsid w:val="002130DE"/>
    <w:rsid w:val="002131C5"/>
    <w:rsid w:val="002138AB"/>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24"/>
    <w:rsid w:val="0021616D"/>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57"/>
    <w:rsid w:val="002202F6"/>
    <w:rsid w:val="002202FE"/>
    <w:rsid w:val="00220349"/>
    <w:rsid w:val="002203F9"/>
    <w:rsid w:val="00220562"/>
    <w:rsid w:val="0022057E"/>
    <w:rsid w:val="0022063E"/>
    <w:rsid w:val="00220796"/>
    <w:rsid w:val="002207A1"/>
    <w:rsid w:val="00220AAC"/>
    <w:rsid w:val="00220AC1"/>
    <w:rsid w:val="00220BEE"/>
    <w:rsid w:val="00220C2E"/>
    <w:rsid w:val="00220C35"/>
    <w:rsid w:val="00220D25"/>
    <w:rsid w:val="00220DF1"/>
    <w:rsid w:val="00220FA6"/>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3DB"/>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66"/>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52"/>
    <w:rsid w:val="00230CB0"/>
    <w:rsid w:val="00230CFB"/>
    <w:rsid w:val="00230E30"/>
    <w:rsid w:val="00230EA6"/>
    <w:rsid w:val="0023108B"/>
    <w:rsid w:val="0023109B"/>
    <w:rsid w:val="002313D6"/>
    <w:rsid w:val="0023145D"/>
    <w:rsid w:val="00231658"/>
    <w:rsid w:val="002316B7"/>
    <w:rsid w:val="0023181F"/>
    <w:rsid w:val="00231E6F"/>
    <w:rsid w:val="00231EA9"/>
    <w:rsid w:val="00231F45"/>
    <w:rsid w:val="00231F9E"/>
    <w:rsid w:val="00231FFD"/>
    <w:rsid w:val="00232100"/>
    <w:rsid w:val="0023249D"/>
    <w:rsid w:val="002324FB"/>
    <w:rsid w:val="0023250D"/>
    <w:rsid w:val="00232569"/>
    <w:rsid w:val="00232793"/>
    <w:rsid w:val="002327DD"/>
    <w:rsid w:val="0023295E"/>
    <w:rsid w:val="00232AC0"/>
    <w:rsid w:val="00232EAF"/>
    <w:rsid w:val="00232F5D"/>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4D73"/>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E3"/>
    <w:rsid w:val="002371F0"/>
    <w:rsid w:val="00237712"/>
    <w:rsid w:val="00237B33"/>
    <w:rsid w:val="00237C8B"/>
    <w:rsid w:val="00237DF5"/>
    <w:rsid w:val="00237E9C"/>
    <w:rsid w:val="00237FAD"/>
    <w:rsid w:val="00240071"/>
    <w:rsid w:val="00240189"/>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06B"/>
    <w:rsid w:val="00243085"/>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E19"/>
    <w:rsid w:val="0025118E"/>
    <w:rsid w:val="0025129E"/>
    <w:rsid w:val="00251429"/>
    <w:rsid w:val="002515FE"/>
    <w:rsid w:val="0025169F"/>
    <w:rsid w:val="00251844"/>
    <w:rsid w:val="002518B2"/>
    <w:rsid w:val="00251A07"/>
    <w:rsid w:val="00251B30"/>
    <w:rsid w:val="00251D5A"/>
    <w:rsid w:val="00251FDC"/>
    <w:rsid w:val="002522D3"/>
    <w:rsid w:val="0025234D"/>
    <w:rsid w:val="00252427"/>
    <w:rsid w:val="002525F2"/>
    <w:rsid w:val="002525FE"/>
    <w:rsid w:val="00252664"/>
    <w:rsid w:val="002527A2"/>
    <w:rsid w:val="002527B3"/>
    <w:rsid w:val="0025298E"/>
    <w:rsid w:val="00252DF4"/>
    <w:rsid w:val="00252E4C"/>
    <w:rsid w:val="00252F1B"/>
    <w:rsid w:val="00252F1D"/>
    <w:rsid w:val="00252F21"/>
    <w:rsid w:val="002531AA"/>
    <w:rsid w:val="0025371C"/>
    <w:rsid w:val="0025374F"/>
    <w:rsid w:val="00253AA7"/>
    <w:rsid w:val="00253CA5"/>
    <w:rsid w:val="00253F9B"/>
    <w:rsid w:val="002540B5"/>
    <w:rsid w:val="002543A7"/>
    <w:rsid w:val="00254481"/>
    <w:rsid w:val="00254854"/>
    <w:rsid w:val="00254AEF"/>
    <w:rsid w:val="00254DFD"/>
    <w:rsid w:val="00254E22"/>
    <w:rsid w:val="00254EFD"/>
    <w:rsid w:val="0025510B"/>
    <w:rsid w:val="002553A1"/>
    <w:rsid w:val="00255507"/>
    <w:rsid w:val="002557F8"/>
    <w:rsid w:val="002558CE"/>
    <w:rsid w:val="00255909"/>
    <w:rsid w:val="00255A1F"/>
    <w:rsid w:val="00255AFF"/>
    <w:rsid w:val="00255C30"/>
    <w:rsid w:val="00255DB7"/>
    <w:rsid w:val="00256234"/>
    <w:rsid w:val="00256587"/>
    <w:rsid w:val="002565FB"/>
    <w:rsid w:val="0025662A"/>
    <w:rsid w:val="00256B21"/>
    <w:rsid w:val="00256DC3"/>
    <w:rsid w:val="00256FCA"/>
    <w:rsid w:val="002570CA"/>
    <w:rsid w:val="002570DD"/>
    <w:rsid w:val="0025735E"/>
    <w:rsid w:val="002574CA"/>
    <w:rsid w:val="00257615"/>
    <w:rsid w:val="0025784D"/>
    <w:rsid w:val="0025796D"/>
    <w:rsid w:val="00257BBD"/>
    <w:rsid w:val="00257EAF"/>
    <w:rsid w:val="00257EC6"/>
    <w:rsid w:val="00257ED6"/>
    <w:rsid w:val="002601B4"/>
    <w:rsid w:val="00260201"/>
    <w:rsid w:val="0026037B"/>
    <w:rsid w:val="002604FD"/>
    <w:rsid w:val="002605E4"/>
    <w:rsid w:val="002606CB"/>
    <w:rsid w:val="0026072B"/>
    <w:rsid w:val="00260C7F"/>
    <w:rsid w:val="00260CD6"/>
    <w:rsid w:val="0026110D"/>
    <w:rsid w:val="002615F1"/>
    <w:rsid w:val="00261A56"/>
    <w:rsid w:val="00261B80"/>
    <w:rsid w:val="00261DE7"/>
    <w:rsid w:val="00261E8A"/>
    <w:rsid w:val="0026227A"/>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5C0"/>
    <w:rsid w:val="00264704"/>
    <w:rsid w:val="00264782"/>
    <w:rsid w:val="00264900"/>
    <w:rsid w:val="00264B24"/>
    <w:rsid w:val="00264B40"/>
    <w:rsid w:val="00264B60"/>
    <w:rsid w:val="00264CFA"/>
    <w:rsid w:val="002650FD"/>
    <w:rsid w:val="002654F2"/>
    <w:rsid w:val="00265791"/>
    <w:rsid w:val="00265EFB"/>
    <w:rsid w:val="00266784"/>
    <w:rsid w:val="002667BA"/>
    <w:rsid w:val="002668D0"/>
    <w:rsid w:val="00266A1C"/>
    <w:rsid w:val="00266BF6"/>
    <w:rsid w:val="00266F3A"/>
    <w:rsid w:val="0026712C"/>
    <w:rsid w:val="00267217"/>
    <w:rsid w:val="002673A7"/>
    <w:rsid w:val="00267471"/>
    <w:rsid w:val="002674BB"/>
    <w:rsid w:val="002675BA"/>
    <w:rsid w:val="00267698"/>
    <w:rsid w:val="0026796B"/>
    <w:rsid w:val="002679F6"/>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DDA"/>
    <w:rsid w:val="00271E9A"/>
    <w:rsid w:val="002720D3"/>
    <w:rsid w:val="0027225F"/>
    <w:rsid w:val="002723BA"/>
    <w:rsid w:val="00272537"/>
    <w:rsid w:val="002725F5"/>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4"/>
    <w:rsid w:val="00274969"/>
    <w:rsid w:val="00274991"/>
    <w:rsid w:val="00274A08"/>
    <w:rsid w:val="00274B8B"/>
    <w:rsid w:val="00274C67"/>
    <w:rsid w:val="00274FAE"/>
    <w:rsid w:val="002751EC"/>
    <w:rsid w:val="00275316"/>
    <w:rsid w:val="002753AF"/>
    <w:rsid w:val="002755A1"/>
    <w:rsid w:val="0027565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090"/>
    <w:rsid w:val="0027711C"/>
    <w:rsid w:val="00277147"/>
    <w:rsid w:val="002771C6"/>
    <w:rsid w:val="002772BA"/>
    <w:rsid w:val="00277401"/>
    <w:rsid w:val="0027742A"/>
    <w:rsid w:val="002775CA"/>
    <w:rsid w:val="002776D8"/>
    <w:rsid w:val="002777C0"/>
    <w:rsid w:val="002777D6"/>
    <w:rsid w:val="00277856"/>
    <w:rsid w:val="00277AC2"/>
    <w:rsid w:val="00277B23"/>
    <w:rsid w:val="00277E50"/>
    <w:rsid w:val="00277F3D"/>
    <w:rsid w:val="0028005D"/>
    <w:rsid w:val="00280076"/>
    <w:rsid w:val="00280155"/>
    <w:rsid w:val="00280246"/>
    <w:rsid w:val="002802BA"/>
    <w:rsid w:val="002806AC"/>
    <w:rsid w:val="002806B3"/>
    <w:rsid w:val="00280D62"/>
    <w:rsid w:val="00280FD6"/>
    <w:rsid w:val="00281044"/>
    <w:rsid w:val="00281148"/>
    <w:rsid w:val="002811BD"/>
    <w:rsid w:val="00281230"/>
    <w:rsid w:val="0028136F"/>
    <w:rsid w:val="0028140B"/>
    <w:rsid w:val="00281614"/>
    <w:rsid w:val="002816F6"/>
    <w:rsid w:val="0028171C"/>
    <w:rsid w:val="00281732"/>
    <w:rsid w:val="00281744"/>
    <w:rsid w:val="00281760"/>
    <w:rsid w:val="002817EC"/>
    <w:rsid w:val="002817EF"/>
    <w:rsid w:val="002817F1"/>
    <w:rsid w:val="00281898"/>
    <w:rsid w:val="00281C9E"/>
    <w:rsid w:val="00281CA3"/>
    <w:rsid w:val="00281D67"/>
    <w:rsid w:val="00281D8B"/>
    <w:rsid w:val="00281E86"/>
    <w:rsid w:val="00282240"/>
    <w:rsid w:val="00282298"/>
    <w:rsid w:val="00282390"/>
    <w:rsid w:val="002826C3"/>
    <w:rsid w:val="002828C2"/>
    <w:rsid w:val="00282F4A"/>
    <w:rsid w:val="00283031"/>
    <w:rsid w:val="002832A6"/>
    <w:rsid w:val="002834E4"/>
    <w:rsid w:val="002837B1"/>
    <w:rsid w:val="00283AA1"/>
    <w:rsid w:val="00283B69"/>
    <w:rsid w:val="00283C48"/>
    <w:rsid w:val="00283D5E"/>
    <w:rsid w:val="00283D8A"/>
    <w:rsid w:val="00283E2E"/>
    <w:rsid w:val="00283ED2"/>
    <w:rsid w:val="00283FC0"/>
    <w:rsid w:val="0028404B"/>
    <w:rsid w:val="002841E6"/>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83"/>
    <w:rsid w:val="002875F8"/>
    <w:rsid w:val="002876CA"/>
    <w:rsid w:val="00287906"/>
    <w:rsid w:val="00287930"/>
    <w:rsid w:val="00287A7F"/>
    <w:rsid w:val="00287A91"/>
    <w:rsid w:val="00290084"/>
    <w:rsid w:val="00290153"/>
    <w:rsid w:val="00290221"/>
    <w:rsid w:val="002902F2"/>
    <w:rsid w:val="0029034C"/>
    <w:rsid w:val="002904C0"/>
    <w:rsid w:val="00290503"/>
    <w:rsid w:val="0029076A"/>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09"/>
    <w:rsid w:val="00293F96"/>
    <w:rsid w:val="0029467E"/>
    <w:rsid w:val="00294B02"/>
    <w:rsid w:val="00294EEB"/>
    <w:rsid w:val="002950FC"/>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BD"/>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AEA"/>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24"/>
    <w:rsid w:val="002B1EAA"/>
    <w:rsid w:val="002B1EF8"/>
    <w:rsid w:val="002B207D"/>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5D45"/>
    <w:rsid w:val="002B5FBE"/>
    <w:rsid w:val="002B6164"/>
    <w:rsid w:val="002B6176"/>
    <w:rsid w:val="002B646E"/>
    <w:rsid w:val="002B6520"/>
    <w:rsid w:val="002B67FB"/>
    <w:rsid w:val="002B6876"/>
    <w:rsid w:val="002B6A46"/>
    <w:rsid w:val="002B6AE5"/>
    <w:rsid w:val="002B6B4B"/>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A1"/>
    <w:rsid w:val="002C0BC7"/>
    <w:rsid w:val="002C0C93"/>
    <w:rsid w:val="002C0D61"/>
    <w:rsid w:val="002C0DAA"/>
    <w:rsid w:val="002C0EB8"/>
    <w:rsid w:val="002C0EF3"/>
    <w:rsid w:val="002C1208"/>
    <w:rsid w:val="002C12E0"/>
    <w:rsid w:val="002C1363"/>
    <w:rsid w:val="002C1515"/>
    <w:rsid w:val="002C191E"/>
    <w:rsid w:val="002C2222"/>
    <w:rsid w:val="002C234D"/>
    <w:rsid w:val="002C26A1"/>
    <w:rsid w:val="002C28A2"/>
    <w:rsid w:val="002C29BA"/>
    <w:rsid w:val="002C2AC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A21"/>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56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6D"/>
    <w:rsid w:val="002D08C7"/>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BAD"/>
    <w:rsid w:val="002D2C1E"/>
    <w:rsid w:val="002D2D9F"/>
    <w:rsid w:val="002D2ECA"/>
    <w:rsid w:val="002D2EDC"/>
    <w:rsid w:val="002D32D9"/>
    <w:rsid w:val="002D32DB"/>
    <w:rsid w:val="002D3492"/>
    <w:rsid w:val="002D34C5"/>
    <w:rsid w:val="002D35AE"/>
    <w:rsid w:val="002D35E1"/>
    <w:rsid w:val="002D3617"/>
    <w:rsid w:val="002D36E6"/>
    <w:rsid w:val="002D38EE"/>
    <w:rsid w:val="002D39E6"/>
    <w:rsid w:val="002D3A4F"/>
    <w:rsid w:val="002D3C77"/>
    <w:rsid w:val="002D3D85"/>
    <w:rsid w:val="002D3D98"/>
    <w:rsid w:val="002D3E1F"/>
    <w:rsid w:val="002D3EC4"/>
    <w:rsid w:val="002D4101"/>
    <w:rsid w:val="002D42B7"/>
    <w:rsid w:val="002D4461"/>
    <w:rsid w:val="002D451D"/>
    <w:rsid w:val="002D480F"/>
    <w:rsid w:val="002D4A67"/>
    <w:rsid w:val="002D4A89"/>
    <w:rsid w:val="002D4EA0"/>
    <w:rsid w:val="002D556A"/>
    <w:rsid w:val="002D5656"/>
    <w:rsid w:val="002D573B"/>
    <w:rsid w:val="002D5B33"/>
    <w:rsid w:val="002D5B5C"/>
    <w:rsid w:val="002D5E24"/>
    <w:rsid w:val="002D60FC"/>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D7E1C"/>
    <w:rsid w:val="002E0044"/>
    <w:rsid w:val="002E00FB"/>
    <w:rsid w:val="002E0993"/>
    <w:rsid w:val="002E0A10"/>
    <w:rsid w:val="002E0B22"/>
    <w:rsid w:val="002E0C91"/>
    <w:rsid w:val="002E0D1D"/>
    <w:rsid w:val="002E0F87"/>
    <w:rsid w:val="002E0FE5"/>
    <w:rsid w:val="002E13CE"/>
    <w:rsid w:val="002E1429"/>
    <w:rsid w:val="002E1645"/>
    <w:rsid w:val="002E1797"/>
    <w:rsid w:val="002E18EA"/>
    <w:rsid w:val="002E1A4D"/>
    <w:rsid w:val="002E1AC7"/>
    <w:rsid w:val="002E1AE6"/>
    <w:rsid w:val="002E1AE9"/>
    <w:rsid w:val="002E1BAB"/>
    <w:rsid w:val="002E1BEB"/>
    <w:rsid w:val="002E1F4A"/>
    <w:rsid w:val="002E229A"/>
    <w:rsid w:val="002E2303"/>
    <w:rsid w:val="002E23F4"/>
    <w:rsid w:val="002E2659"/>
    <w:rsid w:val="002E2666"/>
    <w:rsid w:val="002E297F"/>
    <w:rsid w:val="002E2B06"/>
    <w:rsid w:val="002E2CE9"/>
    <w:rsid w:val="002E397A"/>
    <w:rsid w:val="002E3C7B"/>
    <w:rsid w:val="002E3DDA"/>
    <w:rsid w:val="002E3E4D"/>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0A9"/>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A8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713"/>
    <w:rsid w:val="002F4845"/>
    <w:rsid w:val="002F4A13"/>
    <w:rsid w:val="002F4E0A"/>
    <w:rsid w:val="002F526A"/>
    <w:rsid w:val="002F53B9"/>
    <w:rsid w:val="002F5704"/>
    <w:rsid w:val="002F571E"/>
    <w:rsid w:val="002F5C02"/>
    <w:rsid w:val="002F5CD4"/>
    <w:rsid w:val="002F5E41"/>
    <w:rsid w:val="002F5E52"/>
    <w:rsid w:val="002F5F34"/>
    <w:rsid w:val="002F5FDE"/>
    <w:rsid w:val="002F5FFC"/>
    <w:rsid w:val="002F608B"/>
    <w:rsid w:val="002F621F"/>
    <w:rsid w:val="002F633C"/>
    <w:rsid w:val="002F6369"/>
    <w:rsid w:val="002F656C"/>
    <w:rsid w:val="002F6691"/>
    <w:rsid w:val="002F6802"/>
    <w:rsid w:val="002F68F5"/>
    <w:rsid w:val="002F6D58"/>
    <w:rsid w:val="002F6DB0"/>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A2"/>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40"/>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1E2"/>
    <w:rsid w:val="003052AB"/>
    <w:rsid w:val="003055EB"/>
    <w:rsid w:val="00305692"/>
    <w:rsid w:val="003056CF"/>
    <w:rsid w:val="00305D0E"/>
    <w:rsid w:val="00305E67"/>
    <w:rsid w:val="00305FDE"/>
    <w:rsid w:val="0030622C"/>
    <w:rsid w:val="003062C6"/>
    <w:rsid w:val="0030638F"/>
    <w:rsid w:val="003064E8"/>
    <w:rsid w:val="0030654D"/>
    <w:rsid w:val="00306557"/>
    <w:rsid w:val="003065DE"/>
    <w:rsid w:val="003066CE"/>
    <w:rsid w:val="00306709"/>
    <w:rsid w:val="00306D9F"/>
    <w:rsid w:val="00306DA5"/>
    <w:rsid w:val="00306E6D"/>
    <w:rsid w:val="00306FC9"/>
    <w:rsid w:val="003070A7"/>
    <w:rsid w:val="0030730A"/>
    <w:rsid w:val="0030730E"/>
    <w:rsid w:val="00307851"/>
    <w:rsid w:val="00307877"/>
    <w:rsid w:val="0030792F"/>
    <w:rsid w:val="003079D0"/>
    <w:rsid w:val="00307A94"/>
    <w:rsid w:val="00307C74"/>
    <w:rsid w:val="00307F89"/>
    <w:rsid w:val="0031003F"/>
    <w:rsid w:val="00310638"/>
    <w:rsid w:val="00310741"/>
    <w:rsid w:val="003107D5"/>
    <w:rsid w:val="003113D7"/>
    <w:rsid w:val="003114A8"/>
    <w:rsid w:val="003115F6"/>
    <w:rsid w:val="0031161C"/>
    <w:rsid w:val="0031186E"/>
    <w:rsid w:val="00311A19"/>
    <w:rsid w:val="00311B0A"/>
    <w:rsid w:val="00311CFC"/>
    <w:rsid w:val="00311DC1"/>
    <w:rsid w:val="00311E6B"/>
    <w:rsid w:val="003122CD"/>
    <w:rsid w:val="003124F7"/>
    <w:rsid w:val="003126D4"/>
    <w:rsid w:val="00312730"/>
    <w:rsid w:val="003127FE"/>
    <w:rsid w:val="00312A61"/>
    <w:rsid w:val="00312D00"/>
    <w:rsid w:val="00312D2C"/>
    <w:rsid w:val="00312DBE"/>
    <w:rsid w:val="00312DCA"/>
    <w:rsid w:val="00312FCD"/>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05"/>
    <w:rsid w:val="00314D15"/>
    <w:rsid w:val="00314D31"/>
    <w:rsid w:val="00315055"/>
    <w:rsid w:val="0031524C"/>
    <w:rsid w:val="003152F2"/>
    <w:rsid w:val="0031572F"/>
    <w:rsid w:val="00315760"/>
    <w:rsid w:val="003158A5"/>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10"/>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4A"/>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59"/>
    <w:rsid w:val="003242C9"/>
    <w:rsid w:val="003242D0"/>
    <w:rsid w:val="003242EB"/>
    <w:rsid w:val="0032463B"/>
    <w:rsid w:val="00324682"/>
    <w:rsid w:val="003249B8"/>
    <w:rsid w:val="00324CE3"/>
    <w:rsid w:val="00325398"/>
    <w:rsid w:val="003253CD"/>
    <w:rsid w:val="00325455"/>
    <w:rsid w:val="00325751"/>
    <w:rsid w:val="00325A09"/>
    <w:rsid w:val="00325E88"/>
    <w:rsid w:val="00325FA6"/>
    <w:rsid w:val="0032601E"/>
    <w:rsid w:val="00326139"/>
    <w:rsid w:val="003264D5"/>
    <w:rsid w:val="003265E7"/>
    <w:rsid w:val="003265F3"/>
    <w:rsid w:val="0032665D"/>
    <w:rsid w:val="0032669D"/>
    <w:rsid w:val="00326A80"/>
    <w:rsid w:val="00326B2E"/>
    <w:rsid w:val="00326FF0"/>
    <w:rsid w:val="00327291"/>
    <w:rsid w:val="00327445"/>
    <w:rsid w:val="003275CB"/>
    <w:rsid w:val="003278B6"/>
    <w:rsid w:val="00327A72"/>
    <w:rsid w:val="00327C96"/>
    <w:rsid w:val="00327F45"/>
    <w:rsid w:val="00327FE1"/>
    <w:rsid w:val="0033004E"/>
    <w:rsid w:val="0033016A"/>
    <w:rsid w:val="003301B9"/>
    <w:rsid w:val="003301C3"/>
    <w:rsid w:val="00330B18"/>
    <w:rsid w:val="00330D71"/>
    <w:rsid w:val="003315DC"/>
    <w:rsid w:val="00331758"/>
    <w:rsid w:val="00331916"/>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2CA6"/>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AB"/>
    <w:rsid w:val="00334FC3"/>
    <w:rsid w:val="0033524C"/>
    <w:rsid w:val="003354C8"/>
    <w:rsid w:val="00335800"/>
    <w:rsid w:val="00335849"/>
    <w:rsid w:val="003358B3"/>
    <w:rsid w:val="003359B9"/>
    <w:rsid w:val="00335C2F"/>
    <w:rsid w:val="00335C95"/>
    <w:rsid w:val="00335E3C"/>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3C5"/>
    <w:rsid w:val="0034060B"/>
    <w:rsid w:val="0034065D"/>
    <w:rsid w:val="00340718"/>
    <w:rsid w:val="00340888"/>
    <w:rsid w:val="00340B47"/>
    <w:rsid w:val="00340BDC"/>
    <w:rsid w:val="00340F1F"/>
    <w:rsid w:val="00341185"/>
    <w:rsid w:val="00341740"/>
    <w:rsid w:val="0034179B"/>
    <w:rsid w:val="00341A17"/>
    <w:rsid w:val="00341A8B"/>
    <w:rsid w:val="00341CFB"/>
    <w:rsid w:val="00341E81"/>
    <w:rsid w:val="00342094"/>
    <w:rsid w:val="003421D1"/>
    <w:rsid w:val="0034225D"/>
    <w:rsid w:val="003425FB"/>
    <w:rsid w:val="003426DD"/>
    <w:rsid w:val="00342785"/>
    <w:rsid w:val="003428E8"/>
    <w:rsid w:val="00342B67"/>
    <w:rsid w:val="00342C1D"/>
    <w:rsid w:val="00343098"/>
    <w:rsid w:val="00343555"/>
    <w:rsid w:val="00343567"/>
    <w:rsid w:val="003435AD"/>
    <w:rsid w:val="0034379F"/>
    <w:rsid w:val="0034386E"/>
    <w:rsid w:val="00343CB8"/>
    <w:rsid w:val="00343CCD"/>
    <w:rsid w:val="00343F1C"/>
    <w:rsid w:val="00344001"/>
    <w:rsid w:val="0034434F"/>
    <w:rsid w:val="00344415"/>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61"/>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02D"/>
    <w:rsid w:val="003561DF"/>
    <w:rsid w:val="00356233"/>
    <w:rsid w:val="0035651B"/>
    <w:rsid w:val="00356734"/>
    <w:rsid w:val="00356C97"/>
    <w:rsid w:val="00356CB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AFB"/>
    <w:rsid w:val="00361B86"/>
    <w:rsid w:val="00361D07"/>
    <w:rsid w:val="00361E23"/>
    <w:rsid w:val="00361E8C"/>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43"/>
    <w:rsid w:val="00363886"/>
    <w:rsid w:val="003648EB"/>
    <w:rsid w:val="00364CF8"/>
    <w:rsid w:val="00364D55"/>
    <w:rsid w:val="00364DBC"/>
    <w:rsid w:val="00364E75"/>
    <w:rsid w:val="00364EE4"/>
    <w:rsid w:val="00365073"/>
    <w:rsid w:val="003650DB"/>
    <w:rsid w:val="003650E4"/>
    <w:rsid w:val="00365318"/>
    <w:rsid w:val="003655F7"/>
    <w:rsid w:val="0036565E"/>
    <w:rsid w:val="00365666"/>
    <w:rsid w:val="0036579A"/>
    <w:rsid w:val="003657E7"/>
    <w:rsid w:val="00365B55"/>
    <w:rsid w:val="00365B63"/>
    <w:rsid w:val="00365C15"/>
    <w:rsid w:val="00365ED9"/>
    <w:rsid w:val="00366029"/>
    <w:rsid w:val="0036658D"/>
    <w:rsid w:val="00366A6D"/>
    <w:rsid w:val="00366B27"/>
    <w:rsid w:val="00366CB0"/>
    <w:rsid w:val="00366DE1"/>
    <w:rsid w:val="00366E81"/>
    <w:rsid w:val="003671D8"/>
    <w:rsid w:val="00367792"/>
    <w:rsid w:val="0036786B"/>
    <w:rsid w:val="00367A78"/>
    <w:rsid w:val="00367E4E"/>
    <w:rsid w:val="00367FC6"/>
    <w:rsid w:val="00370001"/>
    <w:rsid w:val="00370045"/>
    <w:rsid w:val="003705E0"/>
    <w:rsid w:val="00370988"/>
    <w:rsid w:val="00370998"/>
    <w:rsid w:val="00370A0F"/>
    <w:rsid w:val="00370AE9"/>
    <w:rsid w:val="00370B54"/>
    <w:rsid w:val="00370BE7"/>
    <w:rsid w:val="00370C4B"/>
    <w:rsid w:val="00370C72"/>
    <w:rsid w:val="00370C76"/>
    <w:rsid w:val="00370D9A"/>
    <w:rsid w:val="00371116"/>
    <w:rsid w:val="00371152"/>
    <w:rsid w:val="003713A7"/>
    <w:rsid w:val="00371426"/>
    <w:rsid w:val="00371680"/>
    <w:rsid w:val="00371863"/>
    <w:rsid w:val="003718C3"/>
    <w:rsid w:val="00371B5B"/>
    <w:rsid w:val="00371BB8"/>
    <w:rsid w:val="00371D92"/>
    <w:rsid w:val="00371DE5"/>
    <w:rsid w:val="00371E3E"/>
    <w:rsid w:val="00371EF8"/>
    <w:rsid w:val="003720D2"/>
    <w:rsid w:val="00372165"/>
    <w:rsid w:val="003723CB"/>
    <w:rsid w:val="0037249A"/>
    <w:rsid w:val="003725BC"/>
    <w:rsid w:val="003729BC"/>
    <w:rsid w:val="00372A01"/>
    <w:rsid w:val="0037317F"/>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83"/>
    <w:rsid w:val="0037499B"/>
    <w:rsid w:val="003749F9"/>
    <w:rsid w:val="00374B83"/>
    <w:rsid w:val="00374C20"/>
    <w:rsid w:val="00374E21"/>
    <w:rsid w:val="00374FB2"/>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EE"/>
    <w:rsid w:val="003769B4"/>
    <w:rsid w:val="00376A4B"/>
    <w:rsid w:val="00376B06"/>
    <w:rsid w:val="00376BFD"/>
    <w:rsid w:val="00376C7C"/>
    <w:rsid w:val="00376DAC"/>
    <w:rsid w:val="00376DE3"/>
    <w:rsid w:val="00376E80"/>
    <w:rsid w:val="00376FB2"/>
    <w:rsid w:val="00377703"/>
    <w:rsid w:val="00377AA4"/>
    <w:rsid w:val="00377AC7"/>
    <w:rsid w:val="00377C0B"/>
    <w:rsid w:val="00377DE5"/>
    <w:rsid w:val="00377E36"/>
    <w:rsid w:val="00377F4C"/>
    <w:rsid w:val="00377F7E"/>
    <w:rsid w:val="00380483"/>
    <w:rsid w:val="00380501"/>
    <w:rsid w:val="0038054E"/>
    <w:rsid w:val="00380689"/>
    <w:rsid w:val="00380837"/>
    <w:rsid w:val="00380873"/>
    <w:rsid w:val="003808E4"/>
    <w:rsid w:val="00380906"/>
    <w:rsid w:val="00380CB6"/>
    <w:rsid w:val="00380D14"/>
    <w:rsid w:val="00380D52"/>
    <w:rsid w:val="00380DC8"/>
    <w:rsid w:val="0038130C"/>
    <w:rsid w:val="003818E3"/>
    <w:rsid w:val="00381AF0"/>
    <w:rsid w:val="00381F0C"/>
    <w:rsid w:val="00381F69"/>
    <w:rsid w:val="00382135"/>
    <w:rsid w:val="003822BF"/>
    <w:rsid w:val="003823AA"/>
    <w:rsid w:val="0038240E"/>
    <w:rsid w:val="00382746"/>
    <w:rsid w:val="003827DA"/>
    <w:rsid w:val="0038296E"/>
    <w:rsid w:val="003829B4"/>
    <w:rsid w:val="00382B44"/>
    <w:rsid w:val="00382C3E"/>
    <w:rsid w:val="00382C85"/>
    <w:rsid w:val="00382E18"/>
    <w:rsid w:val="00382F72"/>
    <w:rsid w:val="00382FFA"/>
    <w:rsid w:val="003834F9"/>
    <w:rsid w:val="0038369C"/>
    <w:rsid w:val="00383D1B"/>
    <w:rsid w:val="00383D65"/>
    <w:rsid w:val="00383D69"/>
    <w:rsid w:val="00383E08"/>
    <w:rsid w:val="00384368"/>
    <w:rsid w:val="003844D1"/>
    <w:rsid w:val="00384595"/>
    <w:rsid w:val="00384652"/>
    <w:rsid w:val="00384959"/>
    <w:rsid w:val="00384B20"/>
    <w:rsid w:val="00384BD4"/>
    <w:rsid w:val="00384F33"/>
    <w:rsid w:val="0038520A"/>
    <w:rsid w:val="00385227"/>
    <w:rsid w:val="00385392"/>
    <w:rsid w:val="0038560D"/>
    <w:rsid w:val="00385718"/>
    <w:rsid w:val="00385720"/>
    <w:rsid w:val="00385BE1"/>
    <w:rsid w:val="00385C05"/>
    <w:rsid w:val="00385DB2"/>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ED"/>
    <w:rsid w:val="00387CD7"/>
    <w:rsid w:val="00390019"/>
    <w:rsid w:val="0039043F"/>
    <w:rsid w:val="003908E7"/>
    <w:rsid w:val="00390A07"/>
    <w:rsid w:val="00390AB5"/>
    <w:rsid w:val="00390C2B"/>
    <w:rsid w:val="00390E48"/>
    <w:rsid w:val="00390FD1"/>
    <w:rsid w:val="00391086"/>
    <w:rsid w:val="0039118A"/>
    <w:rsid w:val="0039132D"/>
    <w:rsid w:val="00391638"/>
    <w:rsid w:val="00391699"/>
    <w:rsid w:val="003917E3"/>
    <w:rsid w:val="00391851"/>
    <w:rsid w:val="003919FF"/>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1CF"/>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75F"/>
    <w:rsid w:val="00396ADA"/>
    <w:rsid w:val="00396B79"/>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B6"/>
    <w:rsid w:val="003A0FFF"/>
    <w:rsid w:val="003A10D5"/>
    <w:rsid w:val="003A1113"/>
    <w:rsid w:val="003A1194"/>
    <w:rsid w:val="003A1452"/>
    <w:rsid w:val="003A150B"/>
    <w:rsid w:val="003A17CF"/>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2DC2"/>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7D4"/>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A7FC5"/>
    <w:rsid w:val="003B00AE"/>
    <w:rsid w:val="003B0306"/>
    <w:rsid w:val="003B0365"/>
    <w:rsid w:val="003B07AC"/>
    <w:rsid w:val="003B08E8"/>
    <w:rsid w:val="003B09EC"/>
    <w:rsid w:val="003B0B19"/>
    <w:rsid w:val="003B0CA6"/>
    <w:rsid w:val="003B0D83"/>
    <w:rsid w:val="003B0D96"/>
    <w:rsid w:val="003B0D9A"/>
    <w:rsid w:val="003B0E65"/>
    <w:rsid w:val="003B0EF6"/>
    <w:rsid w:val="003B0FFF"/>
    <w:rsid w:val="003B121F"/>
    <w:rsid w:val="003B122B"/>
    <w:rsid w:val="003B126E"/>
    <w:rsid w:val="003B1A0F"/>
    <w:rsid w:val="003B1AC0"/>
    <w:rsid w:val="003B1B69"/>
    <w:rsid w:val="003B1D6F"/>
    <w:rsid w:val="003B1FE6"/>
    <w:rsid w:val="003B2035"/>
    <w:rsid w:val="003B2168"/>
    <w:rsid w:val="003B21DA"/>
    <w:rsid w:val="003B223B"/>
    <w:rsid w:val="003B2502"/>
    <w:rsid w:val="003B2664"/>
    <w:rsid w:val="003B27CC"/>
    <w:rsid w:val="003B2ACD"/>
    <w:rsid w:val="003B2B15"/>
    <w:rsid w:val="003B2CF2"/>
    <w:rsid w:val="003B2F05"/>
    <w:rsid w:val="003B2F16"/>
    <w:rsid w:val="003B2F25"/>
    <w:rsid w:val="003B3002"/>
    <w:rsid w:val="003B30AB"/>
    <w:rsid w:val="003B389E"/>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63"/>
    <w:rsid w:val="003C0915"/>
    <w:rsid w:val="003C0D7F"/>
    <w:rsid w:val="003C0E4E"/>
    <w:rsid w:val="003C12A0"/>
    <w:rsid w:val="003C1550"/>
    <w:rsid w:val="003C159E"/>
    <w:rsid w:val="003C169B"/>
    <w:rsid w:val="003C19B8"/>
    <w:rsid w:val="003C19E0"/>
    <w:rsid w:val="003C1CAF"/>
    <w:rsid w:val="003C2121"/>
    <w:rsid w:val="003C23D6"/>
    <w:rsid w:val="003C23E4"/>
    <w:rsid w:val="003C2415"/>
    <w:rsid w:val="003C248A"/>
    <w:rsid w:val="003C25D3"/>
    <w:rsid w:val="003C264D"/>
    <w:rsid w:val="003C2A7B"/>
    <w:rsid w:val="003C2B3C"/>
    <w:rsid w:val="003C2B68"/>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EED"/>
    <w:rsid w:val="003C5FC9"/>
    <w:rsid w:val="003C6594"/>
    <w:rsid w:val="003C66FA"/>
    <w:rsid w:val="003C67CC"/>
    <w:rsid w:val="003C6A20"/>
    <w:rsid w:val="003C6C32"/>
    <w:rsid w:val="003C7242"/>
    <w:rsid w:val="003C7310"/>
    <w:rsid w:val="003C754C"/>
    <w:rsid w:val="003C7759"/>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10"/>
    <w:rsid w:val="003D3861"/>
    <w:rsid w:val="003D38C7"/>
    <w:rsid w:val="003D3981"/>
    <w:rsid w:val="003D3CD3"/>
    <w:rsid w:val="003D3CF9"/>
    <w:rsid w:val="003D40F5"/>
    <w:rsid w:val="003D414E"/>
    <w:rsid w:val="003D423A"/>
    <w:rsid w:val="003D42C0"/>
    <w:rsid w:val="003D43D3"/>
    <w:rsid w:val="003D4462"/>
    <w:rsid w:val="003D462B"/>
    <w:rsid w:val="003D488D"/>
    <w:rsid w:val="003D4906"/>
    <w:rsid w:val="003D4A70"/>
    <w:rsid w:val="003D4A82"/>
    <w:rsid w:val="003D4B0B"/>
    <w:rsid w:val="003D4BAB"/>
    <w:rsid w:val="003D4BC2"/>
    <w:rsid w:val="003D4E5F"/>
    <w:rsid w:val="003D51E5"/>
    <w:rsid w:val="003D52F9"/>
    <w:rsid w:val="003D575F"/>
    <w:rsid w:val="003D5875"/>
    <w:rsid w:val="003D58D6"/>
    <w:rsid w:val="003D59FB"/>
    <w:rsid w:val="003D5AE6"/>
    <w:rsid w:val="003D5B7D"/>
    <w:rsid w:val="003D5DEC"/>
    <w:rsid w:val="003D5FE3"/>
    <w:rsid w:val="003D63C0"/>
    <w:rsid w:val="003D6498"/>
    <w:rsid w:val="003D6899"/>
    <w:rsid w:val="003D6B8C"/>
    <w:rsid w:val="003D6C7D"/>
    <w:rsid w:val="003D71A1"/>
    <w:rsid w:val="003D7368"/>
    <w:rsid w:val="003D7589"/>
    <w:rsid w:val="003D75FB"/>
    <w:rsid w:val="003D775F"/>
    <w:rsid w:val="003D7A34"/>
    <w:rsid w:val="003D7A93"/>
    <w:rsid w:val="003D7AB7"/>
    <w:rsid w:val="003D7AF8"/>
    <w:rsid w:val="003D7B7E"/>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1FB8"/>
    <w:rsid w:val="003E21A8"/>
    <w:rsid w:val="003E22EF"/>
    <w:rsid w:val="003E2554"/>
    <w:rsid w:val="003E26FC"/>
    <w:rsid w:val="003E281C"/>
    <w:rsid w:val="003E292E"/>
    <w:rsid w:val="003E2A2E"/>
    <w:rsid w:val="003E2B3B"/>
    <w:rsid w:val="003E2B91"/>
    <w:rsid w:val="003E2D06"/>
    <w:rsid w:val="003E2D61"/>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189"/>
    <w:rsid w:val="003E4725"/>
    <w:rsid w:val="003E4766"/>
    <w:rsid w:val="003E4837"/>
    <w:rsid w:val="003E4893"/>
    <w:rsid w:val="003E49A0"/>
    <w:rsid w:val="003E4AE1"/>
    <w:rsid w:val="003E4BE9"/>
    <w:rsid w:val="003E50C8"/>
    <w:rsid w:val="003E5283"/>
    <w:rsid w:val="003E54F6"/>
    <w:rsid w:val="003E5628"/>
    <w:rsid w:val="003E56E1"/>
    <w:rsid w:val="003E5A69"/>
    <w:rsid w:val="003E5C42"/>
    <w:rsid w:val="003E5E13"/>
    <w:rsid w:val="003E5E2A"/>
    <w:rsid w:val="003E5ECE"/>
    <w:rsid w:val="003E60A3"/>
    <w:rsid w:val="003E63C1"/>
    <w:rsid w:val="003E6569"/>
    <w:rsid w:val="003E6589"/>
    <w:rsid w:val="003E6BE1"/>
    <w:rsid w:val="003E703A"/>
    <w:rsid w:val="003E7118"/>
    <w:rsid w:val="003E723A"/>
    <w:rsid w:val="003E738E"/>
    <w:rsid w:val="003E744C"/>
    <w:rsid w:val="003E754D"/>
    <w:rsid w:val="003E778B"/>
    <w:rsid w:val="003E77E1"/>
    <w:rsid w:val="003E792A"/>
    <w:rsid w:val="003E7BD4"/>
    <w:rsid w:val="003E7DFC"/>
    <w:rsid w:val="003F0228"/>
    <w:rsid w:val="003F022F"/>
    <w:rsid w:val="003F0461"/>
    <w:rsid w:val="003F0781"/>
    <w:rsid w:val="003F07E2"/>
    <w:rsid w:val="003F09B6"/>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746"/>
    <w:rsid w:val="003F380E"/>
    <w:rsid w:val="003F382E"/>
    <w:rsid w:val="003F3847"/>
    <w:rsid w:val="003F3888"/>
    <w:rsid w:val="003F3DC8"/>
    <w:rsid w:val="003F3DD4"/>
    <w:rsid w:val="003F3F77"/>
    <w:rsid w:val="003F42BF"/>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70E"/>
    <w:rsid w:val="003F78D1"/>
    <w:rsid w:val="003F7AB6"/>
    <w:rsid w:val="003F7C83"/>
    <w:rsid w:val="003F7D52"/>
    <w:rsid w:val="003F7EAC"/>
    <w:rsid w:val="003F7F50"/>
    <w:rsid w:val="00400054"/>
    <w:rsid w:val="0040014D"/>
    <w:rsid w:val="0040015A"/>
    <w:rsid w:val="004001A6"/>
    <w:rsid w:val="0040035C"/>
    <w:rsid w:val="004003FA"/>
    <w:rsid w:val="0040040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16"/>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0B7"/>
    <w:rsid w:val="004051B4"/>
    <w:rsid w:val="00405368"/>
    <w:rsid w:val="0040567F"/>
    <w:rsid w:val="004056C1"/>
    <w:rsid w:val="00405789"/>
    <w:rsid w:val="00405940"/>
    <w:rsid w:val="00405BB1"/>
    <w:rsid w:val="00405C17"/>
    <w:rsid w:val="00405C81"/>
    <w:rsid w:val="00405CFC"/>
    <w:rsid w:val="004062CE"/>
    <w:rsid w:val="004065BE"/>
    <w:rsid w:val="004065EF"/>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0EF5"/>
    <w:rsid w:val="00410F08"/>
    <w:rsid w:val="004111AB"/>
    <w:rsid w:val="004112C2"/>
    <w:rsid w:val="0041152A"/>
    <w:rsid w:val="004117C1"/>
    <w:rsid w:val="004117CB"/>
    <w:rsid w:val="00411897"/>
    <w:rsid w:val="004118CE"/>
    <w:rsid w:val="004119DC"/>
    <w:rsid w:val="004119FE"/>
    <w:rsid w:val="00411C38"/>
    <w:rsid w:val="00411E61"/>
    <w:rsid w:val="00411EE0"/>
    <w:rsid w:val="00411F0E"/>
    <w:rsid w:val="00412018"/>
    <w:rsid w:val="0041230E"/>
    <w:rsid w:val="00412548"/>
    <w:rsid w:val="00412715"/>
    <w:rsid w:val="00412768"/>
    <w:rsid w:val="0041294E"/>
    <w:rsid w:val="00412A6B"/>
    <w:rsid w:val="00412CAE"/>
    <w:rsid w:val="0041333F"/>
    <w:rsid w:val="00413352"/>
    <w:rsid w:val="0041350D"/>
    <w:rsid w:val="00413546"/>
    <w:rsid w:val="00413562"/>
    <w:rsid w:val="004137C5"/>
    <w:rsid w:val="00413AD8"/>
    <w:rsid w:val="00413CEA"/>
    <w:rsid w:val="00413FF3"/>
    <w:rsid w:val="0041402C"/>
    <w:rsid w:val="00414146"/>
    <w:rsid w:val="00414511"/>
    <w:rsid w:val="00414A6F"/>
    <w:rsid w:val="00414AEE"/>
    <w:rsid w:val="00414B79"/>
    <w:rsid w:val="00414C26"/>
    <w:rsid w:val="00414C30"/>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E00"/>
    <w:rsid w:val="0041700F"/>
    <w:rsid w:val="0041721A"/>
    <w:rsid w:val="00417323"/>
    <w:rsid w:val="0041744C"/>
    <w:rsid w:val="0041748D"/>
    <w:rsid w:val="004178B4"/>
    <w:rsid w:val="00417969"/>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A63"/>
    <w:rsid w:val="00422B3B"/>
    <w:rsid w:val="0042301A"/>
    <w:rsid w:val="00423101"/>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3B3"/>
    <w:rsid w:val="004244C4"/>
    <w:rsid w:val="00424855"/>
    <w:rsid w:val="00424975"/>
    <w:rsid w:val="00424A5B"/>
    <w:rsid w:val="00424BC4"/>
    <w:rsid w:val="00424D09"/>
    <w:rsid w:val="00424DB7"/>
    <w:rsid w:val="00424E92"/>
    <w:rsid w:val="004250B7"/>
    <w:rsid w:val="0042512C"/>
    <w:rsid w:val="00425318"/>
    <w:rsid w:val="004253EC"/>
    <w:rsid w:val="00425693"/>
    <w:rsid w:val="004257F4"/>
    <w:rsid w:val="00425A07"/>
    <w:rsid w:val="00425A93"/>
    <w:rsid w:val="00425AF3"/>
    <w:rsid w:val="00425C32"/>
    <w:rsid w:val="00425D2D"/>
    <w:rsid w:val="00425E34"/>
    <w:rsid w:val="0042603B"/>
    <w:rsid w:val="0042619A"/>
    <w:rsid w:val="00426255"/>
    <w:rsid w:val="004262D9"/>
    <w:rsid w:val="004263FE"/>
    <w:rsid w:val="004265FD"/>
    <w:rsid w:val="004266D1"/>
    <w:rsid w:val="00426707"/>
    <w:rsid w:val="0042670D"/>
    <w:rsid w:val="00426B3D"/>
    <w:rsid w:val="00426B64"/>
    <w:rsid w:val="00426D3F"/>
    <w:rsid w:val="00426F2B"/>
    <w:rsid w:val="00426F88"/>
    <w:rsid w:val="004270A2"/>
    <w:rsid w:val="004272F1"/>
    <w:rsid w:val="00427334"/>
    <w:rsid w:val="00427411"/>
    <w:rsid w:val="004279F1"/>
    <w:rsid w:val="00427ADF"/>
    <w:rsid w:val="00427BC9"/>
    <w:rsid w:val="00427C7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6B"/>
    <w:rsid w:val="00432EBF"/>
    <w:rsid w:val="00432F69"/>
    <w:rsid w:val="00433018"/>
    <w:rsid w:val="004332BB"/>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7E1"/>
    <w:rsid w:val="00435F99"/>
    <w:rsid w:val="00436013"/>
    <w:rsid w:val="004364B0"/>
    <w:rsid w:val="004365B7"/>
    <w:rsid w:val="0043666B"/>
    <w:rsid w:val="0043689B"/>
    <w:rsid w:val="004369BA"/>
    <w:rsid w:val="00436B53"/>
    <w:rsid w:val="00436BFB"/>
    <w:rsid w:val="00437070"/>
    <w:rsid w:val="004370F8"/>
    <w:rsid w:val="0043754F"/>
    <w:rsid w:val="004376DC"/>
    <w:rsid w:val="0043770F"/>
    <w:rsid w:val="0043793E"/>
    <w:rsid w:val="00437A34"/>
    <w:rsid w:val="00437AB3"/>
    <w:rsid w:val="00437ABC"/>
    <w:rsid w:val="00437CDD"/>
    <w:rsid w:val="00437D0E"/>
    <w:rsid w:val="00437E2E"/>
    <w:rsid w:val="00440015"/>
    <w:rsid w:val="0044069E"/>
    <w:rsid w:val="004406C1"/>
    <w:rsid w:val="004408D1"/>
    <w:rsid w:val="00440DD7"/>
    <w:rsid w:val="00440DED"/>
    <w:rsid w:val="00440EC0"/>
    <w:rsid w:val="00440F5D"/>
    <w:rsid w:val="00441030"/>
    <w:rsid w:val="00441405"/>
    <w:rsid w:val="00441490"/>
    <w:rsid w:val="00441AAC"/>
    <w:rsid w:val="00441B3D"/>
    <w:rsid w:val="00441BFB"/>
    <w:rsid w:val="00441F06"/>
    <w:rsid w:val="00442164"/>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A61"/>
    <w:rsid w:val="00443B3F"/>
    <w:rsid w:val="00443B9B"/>
    <w:rsid w:val="00443BD1"/>
    <w:rsid w:val="004442F1"/>
    <w:rsid w:val="0044440B"/>
    <w:rsid w:val="00444522"/>
    <w:rsid w:val="0044472F"/>
    <w:rsid w:val="00444783"/>
    <w:rsid w:val="00444C59"/>
    <w:rsid w:val="00444ED1"/>
    <w:rsid w:val="00444F4D"/>
    <w:rsid w:val="00444FC6"/>
    <w:rsid w:val="0044506C"/>
    <w:rsid w:val="00445422"/>
    <w:rsid w:val="0044563B"/>
    <w:rsid w:val="004457C8"/>
    <w:rsid w:val="004457EE"/>
    <w:rsid w:val="00445937"/>
    <w:rsid w:val="00445971"/>
    <w:rsid w:val="00445ABE"/>
    <w:rsid w:val="00445BC2"/>
    <w:rsid w:val="00445C65"/>
    <w:rsid w:val="00445C71"/>
    <w:rsid w:val="00445F8D"/>
    <w:rsid w:val="00446100"/>
    <w:rsid w:val="004461DB"/>
    <w:rsid w:val="00446268"/>
    <w:rsid w:val="00446335"/>
    <w:rsid w:val="00446497"/>
    <w:rsid w:val="004464F5"/>
    <w:rsid w:val="004464FA"/>
    <w:rsid w:val="004466E4"/>
    <w:rsid w:val="00446A37"/>
    <w:rsid w:val="00446AB1"/>
    <w:rsid w:val="00446B58"/>
    <w:rsid w:val="00446C4E"/>
    <w:rsid w:val="00446C69"/>
    <w:rsid w:val="00446E59"/>
    <w:rsid w:val="00446EF8"/>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598"/>
    <w:rsid w:val="00451A83"/>
    <w:rsid w:val="00451C22"/>
    <w:rsid w:val="00451DAF"/>
    <w:rsid w:val="004521F6"/>
    <w:rsid w:val="00452281"/>
    <w:rsid w:val="00452299"/>
    <w:rsid w:val="00452363"/>
    <w:rsid w:val="004524A6"/>
    <w:rsid w:val="0045298E"/>
    <w:rsid w:val="00452A61"/>
    <w:rsid w:val="00452A6C"/>
    <w:rsid w:val="00452A98"/>
    <w:rsid w:val="00452BB8"/>
    <w:rsid w:val="00452CDE"/>
    <w:rsid w:val="00452D66"/>
    <w:rsid w:val="00452D68"/>
    <w:rsid w:val="00452F19"/>
    <w:rsid w:val="00453050"/>
    <w:rsid w:val="00453126"/>
    <w:rsid w:val="004531F7"/>
    <w:rsid w:val="00453259"/>
    <w:rsid w:val="00453811"/>
    <w:rsid w:val="00453B3B"/>
    <w:rsid w:val="00453E11"/>
    <w:rsid w:val="00453E33"/>
    <w:rsid w:val="00453F3E"/>
    <w:rsid w:val="00454330"/>
    <w:rsid w:val="00454349"/>
    <w:rsid w:val="0045438B"/>
    <w:rsid w:val="0045446D"/>
    <w:rsid w:val="004545E4"/>
    <w:rsid w:val="004546D5"/>
    <w:rsid w:val="004546EB"/>
    <w:rsid w:val="0045475C"/>
    <w:rsid w:val="004548F0"/>
    <w:rsid w:val="00454CFE"/>
    <w:rsid w:val="00454DA3"/>
    <w:rsid w:val="00455273"/>
    <w:rsid w:val="004553A0"/>
    <w:rsid w:val="004553BC"/>
    <w:rsid w:val="00455458"/>
    <w:rsid w:val="0045560B"/>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243"/>
    <w:rsid w:val="00457393"/>
    <w:rsid w:val="0045745E"/>
    <w:rsid w:val="00457560"/>
    <w:rsid w:val="0045782B"/>
    <w:rsid w:val="0045799F"/>
    <w:rsid w:val="00457BD8"/>
    <w:rsid w:val="00457D39"/>
    <w:rsid w:val="00457F6E"/>
    <w:rsid w:val="00457F79"/>
    <w:rsid w:val="00460089"/>
    <w:rsid w:val="00460158"/>
    <w:rsid w:val="00460601"/>
    <w:rsid w:val="00460657"/>
    <w:rsid w:val="00460C5C"/>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AE"/>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B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2FAB"/>
    <w:rsid w:val="004730D6"/>
    <w:rsid w:val="0047351A"/>
    <w:rsid w:val="004736AF"/>
    <w:rsid w:val="00473B52"/>
    <w:rsid w:val="00473BCA"/>
    <w:rsid w:val="00473DDD"/>
    <w:rsid w:val="00473E75"/>
    <w:rsid w:val="00473F03"/>
    <w:rsid w:val="00473F20"/>
    <w:rsid w:val="00473F99"/>
    <w:rsid w:val="00474059"/>
    <w:rsid w:val="00474153"/>
    <w:rsid w:val="004741B0"/>
    <w:rsid w:val="004741C4"/>
    <w:rsid w:val="004741ED"/>
    <w:rsid w:val="00474489"/>
    <w:rsid w:val="00474494"/>
    <w:rsid w:val="004747C0"/>
    <w:rsid w:val="00474901"/>
    <w:rsid w:val="004749B1"/>
    <w:rsid w:val="00474D4D"/>
    <w:rsid w:val="00474DB4"/>
    <w:rsid w:val="00474F7A"/>
    <w:rsid w:val="00475106"/>
    <w:rsid w:val="004755A4"/>
    <w:rsid w:val="004755B2"/>
    <w:rsid w:val="00475607"/>
    <w:rsid w:val="0047562F"/>
    <w:rsid w:val="004759D6"/>
    <w:rsid w:val="00475B73"/>
    <w:rsid w:val="00475DDF"/>
    <w:rsid w:val="00475EB7"/>
    <w:rsid w:val="00475EF9"/>
    <w:rsid w:val="00475FB1"/>
    <w:rsid w:val="004760A4"/>
    <w:rsid w:val="004760DD"/>
    <w:rsid w:val="00476129"/>
    <w:rsid w:val="0047647F"/>
    <w:rsid w:val="00476816"/>
    <w:rsid w:val="00476822"/>
    <w:rsid w:val="004768A1"/>
    <w:rsid w:val="004769D3"/>
    <w:rsid w:val="004769D5"/>
    <w:rsid w:val="00477714"/>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B24"/>
    <w:rsid w:val="00481D59"/>
    <w:rsid w:val="00481EF9"/>
    <w:rsid w:val="00481FDC"/>
    <w:rsid w:val="00482100"/>
    <w:rsid w:val="00482239"/>
    <w:rsid w:val="004822D8"/>
    <w:rsid w:val="00482903"/>
    <w:rsid w:val="00482B33"/>
    <w:rsid w:val="00482D90"/>
    <w:rsid w:val="00482FEF"/>
    <w:rsid w:val="0048309D"/>
    <w:rsid w:val="004830DF"/>
    <w:rsid w:val="00483435"/>
    <w:rsid w:val="004835BB"/>
    <w:rsid w:val="00483716"/>
    <w:rsid w:val="004838AA"/>
    <w:rsid w:val="004838E5"/>
    <w:rsid w:val="00483929"/>
    <w:rsid w:val="00483A12"/>
    <w:rsid w:val="00483B1D"/>
    <w:rsid w:val="00483B99"/>
    <w:rsid w:val="00483CE8"/>
    <w:rsid w:val="00483CED"/>
    <w:rsid w:val="00483EA7"/>
    <w:rsid w:val="00484475"/>
    <w:rsid w:val="004844DB"/>
    <w:rsid w:val="00484762"/>
    <w:rsid w:val="0048479B"/>
    <w:rsid w:val="00484B12"/>
    <w:rsid w:val="00484B2D"/>
    <w:rsid w:val="00484B3E"/>
    <w:rsid w:val="00484D0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B73"/>
    <w:rsid w:val="00490CE2"/>
    <w:rsid w:val="00490EAF"/>
    <w:rsid w:val="00490F7C"/>
    <w:rsid w:val="004910E9"/>
    <w:rsid w:val="00491173"/>
    <w:rsid w:val="004912A2"/>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8EF"/>
    <w:rsid w:val="00492C42"/>
    <w:rsid w:val="00492C47"/>
    <w:rsid w:val="00492C7F"/>
    <w:rsid w:val="00492CBA"/>
    <w:rsid w:val="00492E55"/>
    <w:rsid w:val="004931DB"/>
    <w:rsid w:val="00493278"/>
    <w:rsid w:val="0049334B"/>
    <w:rsid w:val="004933AD"/>
    <w:rsid w:val="004936C0"/>
    <w:rsid w:val="0049379C"/>
    <w:rsid w:val="00493956"/>
    <w:rsid w:val="00493D30"/>
    <w:rsid w:val="00493F7B"/>
    <w:rsid w:val="004940F6"/>
    <w:rsid w:val="004941FC"/>
    <w:rsid w:val="00494240"/>
    <w:rsid w:val="004942E4"/>
    <w:rsid w:val="00494333"/>
    <w:rsid w:val="00494904"/>
    <w:rsid w:val="004949B4"/>
    <w:rsid w:val="00494AD2"/>
    <w:rsid w:val="00494C2E"/>
    <w:rsid w:val="00494EF5"/>
    <w:rsid w:val="00495188"/>
    <w:rsid w:val="0049534C"/>
    <w:rsid w:val="00495397"/>
    <w:rsid w:val="0049547B"/>
    <w:rsid w:val="004958F4"/>
    <w:rsid w:val="0049590E"/>
    <w:rsid w:val="00495930"/>
    <w:rsid w:val="00495A40"/>
    <w:rsid w:val="00495A52"/>
    <w:rsid w:val="00495B6C"/>
    <w:rsid w:val="00495DC4"/>
    <w:rsid w:val="00495FA6"/>
    <w:rsid w:val="0049656B"/>
    <w:rsid w:val="0049674B"/>
    <w:rsid w:val="00496981"/>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6F"/>
    <w:rsid w:val="004A1636"/>
    <w:rsid w:val="004A1AB4"/>
    <w:rsid w:val="004A1C93"/>
    <w:rsid w:val="004A1F90"/>
    <w:rsid w:val="004A24C2"/>
    <w:rsid w:val="004A2583"/>
    <w:rsid w:val="004A273A"/>
    <w:rsid w:val="004A27FC"/>
    <w:rsid w:val="004A2810"/>
    <w:rsid w:val="004A2945"/>
    <w:rsid w:val="004A2C49"/>
    <w:rsid w:val="004A30A1"/>
    <w:rsid w:val="004A30E8"/>
    <w:rsid w:val="004A321B"/>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B2C"/>
    <w:rsid w:val="004B1D68"/>
    <w:rsid w:val="004B1FD7"/>
    <w:rsid w:val="004B2764"/>
    <w:rsid w:val="004B2C16"/>
    <w:rsid w:val="004B2C7A"/>
    <w:rsid w:val="004B2EF7"/>
    <w:rsid w:val="004B2FC6"/>
    <w:rsid w:val="004B350E"/>
    <w:rsid w:val="004B3630"/>
    <w:rsid w:val="004B3872"/>
    <w:rsid w:val="004B38B9"/>
    <w:rsid w:val="004B39DB"/>
    <w:rsid w:val="004B3B99"/>
    <w:rsid w:val="004B3D57"/>
    <w:rsid w:val="004B4245"/>
    <w:rsid w:val="004B42B4"/>
    <w:rsid w:val="004B460C"/>
    <w:rsid w:val="004B4884"/>
    <w:rsid w:val="004B48BB"/>
    <w:rsid w:val="004B49DE"/>
    <w:rsid w:val="004B4B4C"/>
    <w:rsid w:val="004B4BCE"/>
    <w:rsid w:val="004B4CB5"/>
    <w:rsid w:val="004B4D8B"/>
    <w:rsid w:val="004B4EC4"/>
    <w:rsid w:val="004B5240"/>
    <w:rsid w:val="004B5274"/>
    <w:rsid w:val="004B5524"/>
    <w:rsid w:val="004B5553"/>
    <w:rsid w:val="004B5658"/>
    <w:rsid w:val="004B5761"/>
    <w:rsid w:val="004B5776"/>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FB"/>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B4C"/>
    <w:rsid w:val="004C2F53"/>
    <w:rsid w:val="004C2F6C"/>
    <w:rsid w:val="004C306D"/>
    <w:rsid w:val="004C3202"/>
    <w:rsid w:val="004C325D"/>
    <w:rsid w:val="004C3317"/>
    <w:rsid w:val="004C36AD"/>
    <w:rsid w:val="004C36B4"/>
    <w:rsid w:val="004C38ED"/>
    <w:rsid w:val="004C3976"/>
    <w:rsid w:val="004C39EC"/>
    <w:rsid w:val="004C3AC3"/>
    <w:rsid w:val="004C3D67"/>
    <w:rsid w:val="004C3D8B"/>
    <w:rsid w:val="004C3DB9"/>
    <w:rsid w:val="004C3DCE"/>
    <w:rsid w:val="004C3F4B"/>
    <w:rsid w:val="004C4082"/>
    <w:rsid w:val="004C40CF"/>
    <w:rsid w:val="004C43B8"/>
    <w:rsid w:val="004C43C3"/>
    <w:rsid w:val="004C470C"/>
    <w:rsid w:val="004C4864"/>
    <w:rsid w:val="004C486E"/>
    <w:rsid w:val="004C4A2C"/>
    <w:rsid w:val="004C4A30"/>
    <w:rsid w:val="004C4AE7"/>
    <w:rsid w:val="004C4BCC"/>
    <w:rsid w:val="004C4D68"/>
    <w:rsid w:val="004C4D88"/>
    <w:rsid w:val="004C508A"/>
    <w:rsid w:val="004C50AA"/>
    <w:rsid w:val="004C51EB"/>
    <w:rsid w:val="004C52F4"/>
    <w:rsid w:val="004C53B3"/>
    <w:rsid w:val="004C5438"/>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73F"/>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83A"/>
    <w:rsid w:val="004D49B1"/>
    <w:rsid w:val="004D4C89"/>
    <w:rsid w:val="004D4F45"/>
    <w:rsid w:val="004D5082"/>
    <w:rsid w:val="004D526C"/>
    <w:rsid w:val="004D52F3"/>
    <w:rsid w:val="004D543A"/>
    <w:rsid w:val="004D543C"/>
    <w:rsid w:val="004D5590"/>
    <w:rsid w:val="004D55D0"/>
    <w:rsid w:val="004D5633"/>
    <w:rsid w:val="004D57ED"/>
    <w:rsid w:val="004D598D"/>
    <w:rsid w:val="004D5BC2"/>
    <w:rsid w:val="004D5BE8"/>
    <w:rsid w:val="004D5E46"/>
    <w:rsid w:val="004D6210"/>
    <w:rsid w:val="004D64B2"/>
    <w:rsid w:val="004D66C9"/>
    <w:rsid w:val="004D66D9"/>
    <w:rsid w:val="004D6765"/>
    <w:rsid w:val="004D6B60"/>
    <w:rsid w:val="004D6FC1"/>
    <w:rsid w:val="004D712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B43"/>
    <w:rsid w:val="004E0D8B"/>
    <w:rsid w:val="004E1045"/>
    <w:rsid w:val="004E10CE"/>
    <w:rsid w:val="004E1201"/>
    <w:rsid w:val="004E16E4"/>
    <w:rsid w:val="004E19C3"/>
    <w:rsid w:val="004E1CA9"/>
    <w:rsid w:val="004E1D7B"/>
    <w:rsid w:val="004E1FF2"/>
    <w:rsid w:val="004E239B"/>
    <w:rsid w:val="004E2740"/>
    <w:rsid w:val="004E2772"/>
    <w:rsid w:val="004E27E3"/>
    <w:rsid w:val="004E2808"/>
    <w:rsid w:val="004E2DF0"/>
    <w:rsid w:val="004E2E27"/>
    <w:rsid w:val="004E2EAE"/>
    <w:rsid w:val="004E31D9"/>
    <w:rsid w:val="004E3204"/>
    <w:rsid w:val="004E33EE"/>
    <w:rsid w:val="004E35AA"/>
    <w:rsid w:val="004E37D4"/>
    <w:rsid w:val="004E382C"/>
    <w:rsid w:val="004E39D3"/>
    <w:rsid w:val="004E3CDE"/>
    <w:rsid w:val="004E3DA8"/>
    <w:rsid w:val="004E3FC3"/>
    <w:rsid w:val="004E3FF2"/>
    <w:rsid w:val="004E42A6"/>
    <w:rsid w:val="004E44D0"/>
    <w:rsid w:val="004E4729"/>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0A"/>
    <w:rsid w:val="004E75E3"/>
    <w:rsid w:val="004E7627"/>
    <w:rsid w:val="004E7761"/>
    <w:rsid w:val="004E79C6"/>
    <w:rsid w:val="004E79D9"/>
    <w:rsid w:val="004E7A13"/>
    <w:rsid w:val="004E7ADD"/>
    <w:rsid w:val="004E7D16"/>
    <w:rsid w:val="004E7D65"/>
    <w:rsid w:val="004E7E0B"/>
    <w:rsid w:val="004E7EB0"/>
    <w:rsid w:val="004F0319"/>
    <w:rsid w:val="004F0731"/>
    <w:rsid w:val="004F0747"/>
    <w:rsid w:val="004F0ACD"/>
    <w:rsid w:val="004F0CEF"/>
    <w:rsid w:val="004F0DC1"/>
    <w:rsid w:val="004F0E5A"/>
    <w:rsid w:val="004F0F71"/>
    <w:rsid w:val="004F0FD2"/>
    <w:rsid w:val="004F104B"/>
    <w:rsid w:val="004F1073"/>
    <w:rsid w:val="004F128F"/>
    <w:rsid w:val="004F1420"/>
    <w:rsid w:val="004F15DE"/>
    <w:rsid w:val="004F1697"/>
    <w:rsid w:val="004F1A6A"/>
    <w:rsid w:val="004F1DDB"/>
    <w:rsid w:val="004F1F4D"/>
    <w:rsid w:val="004F2217"/>
    <w:rsid w:val="004F22E1"/>
    <w:rsid w:val="004F2607"/>
    <w:rsid w:val="004F281D"/>
    <w:rsid w:val="004F292C"/>
    <w:rsid w:val="004F2A6D"/>
    <w:rsid w:val="004F2BAB"/>
    <w:rsid w:val="004F2BDE"/>
    <w:rsid w:val="004F2C23"/>
    <w:rsid w:val="004F2D9A"/>
    <w:rsid w:val="004F2FE5"/>
    <w:rsid w:val="004F31F3"/>
    <w:rsid w:val="004F3230"/>
    <w:rsid w:val="004F3261"/>
    <w:rsid w:val="004F3352"/>
    <w:rsid w:val="004F3644"/>
    <w:rsid w:val="004F374E"/>
    <w:rsid w:val="004F3783"/>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779"/>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2A"/>
    <w:rsid w:val="00505A38"/>
    <w:rsid w:val="00505A79"/>
    <w:rsid w:val="00505AA5"/>
    <w:rsid w:val="00505B78"/>
    <w:rsid w:val="00505D60"/>
    <w:rsid w:val="00506015"/>
    <w:rsid w:val="00506167"/>
    <w:rsid w:val="005061B4"/>
    <w:rsid w:val="005063C6"/>
    <w:rsid w:val="005064D8"/>
    <w:rsid w:val="005065FC"/>
    <w:rsid w:val="00506763"/>
    <w:rsid w:val="00506780"/>
    <w:rsid w:val="0050693D"/>
    <w:rsid w:val="00506AB1"/>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9A3"/>
    <w:rsid w:val="00510C64"/>
    <w:rsid w:val="005110C6"/>
    <w:rsid w:val="00511373"/>
    <w:rsid w:val="0051150C"/>
    <w:rsid w:val="0051152D"/>
    <w:rsid w:val="00511773"/>
    <w:rsid w:val="00511991"/>
    <w:rsid w:val="00511B2D"/>
    <w:rsid w:val="00511BAD"/>
    <w:rsid w:val="00511C30"/>
    <w:rsid w:val="00511F0E"/>
    <w:rsid w:val="005120CB"/>
    <w:rsid w:val="005122EC"/>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9"/>
    <w:rsid w:val="005135BD"/>
    <w:rsid w:val="005135E3"/>
    <w:rsid w:val="005135E5"/>
    <w:rsid w:val="005139BE"/>
    <w:rsid w:val="00513B7A"/>
    <w:rsid w:val="00513CC8"/>
    <w:rsid w:val="00514436"/>
    <w:rsid w:val="005145E2"/>
    <w:rsid w:val="0051484B"/>
    <w:rsid w:val="00514A01"/>
    <w:rsid w:val="00514A8A"/>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30"/>
    <w:rsid w:val="00521851"/>
    <w:rsid w:val="0052192E"/>
    <w:rsid w:val="0052203D"/>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2"/>
    <w:rsid w:val="0052698C"/>
    <w:rsid w:val="00526B6B"/>
    <w:rsid w:val="00526C8F"/>
    <w:rsid w:val="00526D04"/>
    <w:rsid w:val="005270DF"/>
    <w:rsid w:val="00527393"/>
    <w:rsid w:val="005275CB"/>
    <w:rsid w:val="005276BF"/>
    <w:rsid w:val="00527726"/>
    <w:rsid w:val="00527739"/>
    <w:rsid w:val="00527825"/>
    <w:rsid w:val="00527B13"/>
    <w:rsid w:val="00527DF6"/>
    <w:rsid w:val="00530095"/>
    <w:rsid w:val="00530183"/>
    <w:rsid w:val="00530578"/>
    <w:rsid w:val="00530842"/>
    <w:rsid w:val="0053094C"/>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0CF"/>
    <w:rsid w:val="00533568"/>
    <w:rsid w:val="005335C9"/>
    <w:rsid w:val="005338EA"/>
    <w:rsid w:val="00533912"/>
    <w:rsid w:val="00533A47"/>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33E"/>
    <w:rsid w:val="005353EC"/>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A03"/>
    <w:rsid w:val="00536DA3"/>
    <w:rsid w:val="00536F86"/>
    <w:rsid w:val="005375E9"/>
    <w:rsid w:val="005378E0"/>
    <w:rsid w:val="00537AD7"/>
    <w:rsid w:val="00537E6D"/>
    <w:rsid w:val="00537EEA"/>
    <w:rsid w:val="00537FDC"/>
    <w:rsid w:val="00540049"/>
    <w:rsid w:val="00540256"/>
    <w:rsid w:val="0054028E"/>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729"/>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CF4"/>
    <w:rsid w:val="00543DE6"/>
    <w:rsid w:val="00543DF4"/>
    <w:rsid w:val="00543F80"/>
    <w:rsid w:val="0054402D"/>
    <w:rsid w:val="00544325"/>
    <w:rsid w:val="005446DB"/>
    <w:rsid w:val="0054492F"/>
    <w:rsid w:val="00544BD5"/>
    <w:rsid w:val="00544C4D"/>
    <w:rsid w:val="00544CA2"/>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04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580"/>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355"/>
    <w:rsid w:val="00554519"/>
    <w:rsid w:val="00554554"/>
    <w:rsid w:val="005545D3"/>
    <w:rsid w:val="00554643"/>
    <w:rsid w:val="005546F8"/>
    <w:rsid w:val="00554735"/>
    <w:rsid w:val="005548AC"/>
    <w:rsid w:val="00554FE7"/>
    <w:rsid w:val="0055508D"/>
    <w:rsid w:val="005550F2"/>
    <w:rsid w:val="00555341"/>
    <w:rsid w:val="0055579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9C"/>
    <w:rsid w:val="00556DB7"/>
    <w:rsid w:val="00556E9E"/>
    <w:rsid w:val="005571A1"/>
    <w:rsid w:val="00557648"/>
    <w:rsid w:val="005577C4"/>
    <w:rsid w:val="0055791F"/>
    <w:rsid w:val="00557D30"/>
    <w:rsid w:val="00560344"/>
    <w:rsid w:val="005603D9"/>
    <w:rsid w:val="00560420"/>
    <w:rsid w:val="0056044E"/>
    <w:rsid w:val="0056055F"/>
    <w:rsid w:val="005607CA"/>
    <w:rsid w:val="005608DB"/>
    <w:rsid w:val="00561001"/>
    <w:rsid w:val="00561038"/>
    <w:rsid w:val="00561075"/>
    <w:rsid w:val="005611A8"/>
    <w:rsid w:val="0056126D"/>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DA"/>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BD1"/>
    <w:rsid w:val="00564D95"/>
    <w:rsid w:val="0056501B"/>
    <w:rsid w:val="0056505B"/>
    <w:rsid w:val="005650B5"/>
    <w:rsid w:val="00565288"/>
    <w:rsid w:val="00565359"/>
    <w:rsid w:val="00565577"/>
    <w:rsid w:val="0056585F"/>
    <w:rsid w:val="005658E6"/>
    <w:rsid w:val="00565904"/>
    <w:rsid w:val="00565AB3"/>
    <w:rsid w:val="00566005"/>
    <w:rsid w:val="0056601C"/>
    <w:rsid w:val="00566244"/>
    <w:rsid w:val="00566418"/>
    <w:rsid w:val="005664C2"/>
    <w:rsid w:val="005664DD"/>
    <w:rsid w:val="00566532"/>
    <w:rsid w:val="0056663D"/>
    <w:rsid w:val="005668B5"/>
    <w:rsid w:val="00566ADD"/>
    <w:rsid w:val="00566D9F"/>
    <w:rsid w:val="00566EFD"/>
    <w:rsid w:val="00566FBD"/>
    <w:rsid w:val="00567211"/>
    <w:rsid w:val="005672DB"/>
    <w:rsid w:val="00567674"/>
    <w:rsid w:val="00567826"/>
    <w:rsid w:val="00567C2A"/>
    <w:rsid w:val="00567C4F"/>
    <w:rsid w:val="00567DAA"/>
    <w:rsid w:val="00567EDB"/>
    <w:rsid w:val="00567F2D"/>
    <w:rsid w:val="00570154"/>
    <w:rsid w:val="00570707"/>
    <w:rsid w:val="00570896"/>
    <w:rsid w:val="005708B3"/>
    <w:rsid w:val="00570FA3"/>
    <w:rsid w:val="00571152"/>
    <w:rsid w:val="005715E8"/>
    <w:rsid w:val="005717D2"/>
    <w:rsid w:val="00571987"/>
    <w:rsid w:val="00571C53"/>
    <w:rsid w:val="00571C5B"/>
    <w:rsid w:val="00571FD3"/>
    <w:rsid w:val="00572088"/>
    <w:rsid w:val="0057212C"/>
    <w:rsid w:val="005727DF"/>
    <w:rsid w:val="00572859"/>
    <w:rsid w:val="005728DA"/>
    <w:rsid w:val="00572941"/>
    <w:rsid w:val="00572B74"/>
    <w:rsid w:val="00572CB1"/>
    <w:rsid w:val="00572DEE"/>
    <w:rsid w:val="0057335A"/>
    <w:rsid w:val="005734AB"/>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AB"/>
    <w:rsid w:val="00575315"/>
    <w:rsid w:val="00575378"/>
    <w:rsid w:val="00575506"/>
    <w:rsid w:val="00575AEB"/>
    <w:rsid w:val="00575B05"/>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669"/>
    <w:rsid w:val="0057777F"/>
    <w:rsid w:val="005779CF"/>
    <w:rsid w:val="00577B59"/>
    <w:rsid w:val="00577BB2"/>
    <w:rsid w:val="00577BEE"/>
    <w:rsid w:val="00577DD8"/>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B61"/>
    <w:rsid w:val="00581D8F"/>
    <w:rsid w:val="00581E63"/>
    <w:rsid w:val="00581F59"/>
    <w:rsid w:val="0058203C"/>
    <w:rsid w:val="00582196"/>
    <w:rsid w:val="00582577"/>
    <w:rsid w:val="005825F2"/>
    <w:rsid w:val="005826D5"/>
    <w:rsid w:val="005828E1"/>
    <w:rsid w:val="00582989"/>
    <w:rsid w:val="00582A72"/>
    <w:rsid w:val="00582D1C"/>
    <w:rsid w:val="00582F90"/>
    <w:rsid w:val="00582FF1"/>
    <w:rsid w:val="00583074"/>
    <w:rsid w:val="0058342B"/>
    <w:rsid w:val="0058361D"/>
    <w:rsid w:val="005839EF"/>
    <w:rsid w:val="005839F0"/>
    <w:rsid w:val="00583E24"/>
    <w:rsid w:val="00584267"/>
    <w:rsid w:val="00584368"/>
    <w:rsid w:val="005845B8"/>
    <w:rsid w:val="005845EF"/>
    <w:rsid w:val="00584865"/>
    <w:rsid w:val="00584A55"/>
    <w:rsid w:val="00584D9D"/>
    <w:rsid w:val="00584EAC"/>
    <w:rsid w:val="005853C7"/>
    <w:rsid w:val="00585427"/>
    <w:rsid w:val="0058555E"/>
    <w:rsid w:val="0058561C"/>
    <w:rsid w:val="005856FA"/>
    <w:rsid w:val="00585846"/>
    <w:rsid w:val="00585CE1"/>
    <w:rsid w:val="00585D4C"/>
    <w:rsid w:val="00585D87"/>
    <w:rsid w:val="00585DE7"/>
    <w:rsid w:val="00585ECD"/>
    <w:rsid w:val="005863A7"/>
    <w:rsid w:val="005864DF"/>
    <w:rsid w:val="00586571"/>
    <w:rsid w:val="005865DE"/>
    <w:rsid w:val="005865EA"/>
    <w:rsid w:val="00586614"/>
    <w:rsid w:val="005866D5"/>
    <w:rsid w:val="00586C29"/>
    <w:rsid w:val="00586D23"/>
    <w:rsid w:val="00586D58"/>
    <w:rsid w:val="00586D72"/>
    <w:rsid w:val="00586F1B"/>
    <w:rsid w:val="0058716D"/>
    <w:rsid w:val="0058773E"/>
    <w:rsid w:val="0058788A"/>
    <w:rsid w:val="00587A4C"/>
    <w:rsid w:val="00587A6C"/>
    <w:rsid w:val="005900BF"/>
    <w:rsid w:val="005902D0"/>
    <w:rsid w:val="00590502"/>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3FF"/>
    <w:rsid w:val="00594506"/>
    <w:rsid w:val="00594523"/>
    <w:rsid w:val="005947B9"/>
    <w:rsid w:val="00594B0A"/>
    <w:rsid w:val="00594DAE"/>
    <w:rsid w:val="00594EA3"/>
    <w:rsid w:val="00594F05"/>
    <w:rsid w:val="00595335"/>
    <w:rsid w:val="00595416"/>
    <w:rsid w:val="00595436"/>
    <w:rsid w:val="0059548B"/>
    <w:rsid w:val="005955B7"/>
    <w:rsid w:val="00595632"/>
    <w:rsid w:val="00595682"/>
    <w:rsid w:val="00595729"/>
    <w:rsid w:val="00595AAA"/>
    <w:rsid w:val="00595C20"/>
    <w:rsid w:val="00596072"/>
    <w:rsid w:val="005962A8"/>
    <w:rsid w:val="0059658D"/>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5C6"/>
    <w:rsid w:val="00597637"/>
    <w:rsid w:val="005977E7"/>
    <w:rsid w:val="00597817"/>
    <w:rsid w:val="00597B38"/>
    <w:rsid w:val="00597BFE"/>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49"/>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3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69"/>
    <w:rsid w:val="005A6AD0"/>
    <w:rsid w:val="005A6D88"/>
    <w:rsid w:val="005A6DC0"/>
    <w:rsid w:val="005A6EC5"/>
    <w:rsid w:val="005A6FAD"/>
    <w:rsid w:val="005A7050"/>
    <w:rsid w:val="005A7369"/>
    <w:rsid w:val="005A7536"/>
    <w:rsid w:val="005A75E9"/>
    <w:rsid w:val="005A7D06"/>
    <w:rsid w:val="005A7D7A"/>
    <w:rsid w:val="005A7E7E"/>
    <w:rsid w:val="005A7F16"/>
    <w:rsid w:val="005B0002"/>
    <w:rsid w:val="005B007D"/>
    <w:rsid w:val="005B00E7"/>
    <w:rsid w:val="005B02E6"/>
    <w:rsid w:val="005B03D8"/>
    <w:rsid w:val="005B0464"/>
    <w:rsid w:val="005B0730"/>
    <w:rsid w:val="005B0789"/>
    <w:rsid w:val="005B0DC3"/>
    <w:rsid w:val="005B0EA7"/>
    <w:rsid w:val="005B11F1"/>
    <w:rsid w:val="005B16B2"/>
    <w:rsid w:val="005B180E"/>
    <w:rsid w:val="005B1BBF"/>
    <w:rsid w:val="005B1D63"/>
    <w:rsid w:val="005B1ECB"/>
    <w:rsid w:val="005B20D5"/>
    <w:rsid w:val="005B225B"/>
    <w:rsid w:val="005B2331"/>
    <w:rsid w:val="005B27DB"/>
    <w:rsid w:val="005B2F67"/>
    <w:rsid w:val="005B2FB3"/>
    <w:rsid w:val="005B3152"/>
    <w:rsid w:val="005B342E"/>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E9"/>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AF2"/>
    <w:rsid w:val="005C0C8D"/>
    <w:rsid w:val="005C0D6F"/>
    <w:rsid w:val="005C0E2C"/>
    <w:rsid w:val="005C0F0C"/>
    <w:rsid w:val="005C10E6"/>
    <w:rsid w:val="005C11B0"/>
    <w:rsid w:val="005C1207"/>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38"/>
    <w:rsid w:val="005C3973"/>
    <w:rsid w:val="005C3BDD"/>
    <w:rsid w:val="005C3F31"/>
    <w:rsid w:val="005C4021"/>
    <w:rsid w:val="005C404B"/>
    <w:rsid w:val="005C409D"/>
    <w:rsid w:val="005C4125"/>
    <w:rsid w:val="005C4719"/>
    <w:rsid w:val="005C4A16"/>
    <w:rsid w:val="005C4A32"/>
    <w:rsid w:val="005C4BC1"/>
    <w:rsid w:val="005C4D3D"/>
    <w:rsid w:val="005C4F4B"/>
    <w:rsid w:val="005C508E"/>
    <w:rsid w:val="005C54D3"/>
    <w:rsid w:val="005C5540"/>
    <w:rsid w:val="005C5719"/>
    <w:rsid w:val="005C58BB"/>
    <w:rsid w:val="005C5911"/>
    <w:rsid w:val="005C5944"/>
    <w:rsid w:val="005C5A89"/>
    <w:rsid w:val="005C5B2A"/>
    <w:rsid w:val="005C5E5C"/>
    <w:rsid w:val="005C63CC"/>
    <w:rsid w:val="005C64CC"/>
    <w:rsid w:val="005C65F6"/>
    <w:rsid w:val="005C668A"/>
    <w:rsid w:val="005C68F2"/>
    <w:rsid w:val="005C6B27"/>
    <w:rsid w:val="005C6B7E"/>
    <w:rsid w:val="005C6BF1"/>
    <w:rsid w:val="005C710E"/>
    <w:rsid w:val="005C737F"/>
    <w:rsid w:val="005C7384"/>
    <w:rsid w:val="005C73EA"/>
    <w:rsid w:val="005C740B"/>
    <w:rsid w:val="005C7456"/>
    <w:rsid w:val="005C76C6"/>
    <w:rsid w:val="005C7811"/>
    <w:rsid w:val="005C7C45"/>
    <w:rsid w:val="005C7F60"/>
    <w:rsid w:val="005D0079"/>
    <w:rsid w:val="005D02EF"/>
    <w:rsid w:val="005D032D"/>
    <w:rsid w:val="005D0456"/>
    <w:rsid w:val="005D04B0"/>
    <w:rsid w:val="005D0859"/>
    <w:rsid w:val="005D088A"/>
    <w:rsid w:val="005D0980"/>
    <w:rsid w:val="005D10FC"/>
    <w:rsid w:val="005D13D0"/>
    <w:rsid w:val="005D15F9"/>
    <w:rsid w:val="005D1785"/>
    <w:rsid w:val="005D1BD8"/>
    <w:rsid w:val="005D1CE6"/>
    <w:rsid w:val="005D2006"/>
    <w:rsid w:val="005D2030"/>
    <w:rsid w:val="005D23E7"/>
    <w:rsid w:val="005D24D1"/>
    <w:rsid w:val="005D266D"/>
    <w:rsid w:val="005D2975"/>
    <w:rsid w:val="005D2AB7"/>
    <w:rsid w:val="005D2B16"/>
    <w:rsid w:val="005D2CCA"/>
    <w:rsid w:val="005D2DE0"/>
    <w:rsid w:val="005D2FFC"/>
    <w:rsid w:val="005D3091"/>
    <w:rsid w:val="005D3143"/>
    <w:rsid w:val="005D336D"/>
    <w:rsid w:val="005D33A1"/>
    <w:rsid w:val="005D340F"/>
    <w:rsid w:val="005D35FD"/>
    <w:rsid w:val="005D362F"/>
    <w:rsid w:val="005D36A2"/>
    <w:rsid w:val="005D3772"/>
    <w:rsid w:val="005D3842"/>
    <w:rsid w:val="005D396D"/>
    <w:rsid w:val="005D3A16"/>
    <w:rsid w:val="005D3BC1"/>
    <w:rsid w:val="005D3CD2"/>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09E"/>
    <w:rsid w:val="005D621E"/>
    <w:rsid w:val="005D6354"/>
    <w:rsid w:val="005D6638"/>
    <w:rsid w:val="005D6848"/>
    <w:rsid w:val="005D68CE"/>
    <w:rsid w:val="005D6B1F"/>
    <w:rsid w:val="005D6B9A"/>
    <w:rsid w:val="005D6BF0"/>
    <w:rsid w:val="005D6C7D"/>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79"/>
    <w:rsid w:val="005E019B"/>
    <w:rsid w:val="005E0B26"/>
    <w:rsid w:val="005E0E51"/>
    <w:rsid w:val="005E0F35"/>
    <w:rsid w:val="005E1590"/>
    <w:rsid w:val="005E1749"/>
    <w:rsid w:val="005E1848"/>
    <w:rsid w:val="005E1921"/>
    <w:rsid w:val="005E1950"/>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32E"/>
    <w:rsid w:val="005E5605"/>
    <w:rsid w:val="005E5AC7"/>
    <w:rsid w:val="005E5B6D"/>
    <w:rsid w:val="005E5D33"/>
    <w:rsid w:val="005E6164"/>
    <w:rsid w:val="005E6402"/>
    <w:rsid w:val="005E6430"/>
    <w:rsid w:val="005E6457"/>
    <w:rsid w:val="005E64C2"/>
    <w:rsid w:val="005E65A4"/>
    <w:rsid w:val="005E6960"/>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01C"/>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2F3"/>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BAB"/>
    <w:rsid w:val="005F6C2C"/>
    <w:rsid w:val="005F6E40"/>
    <w:rsid w:val="005F6EFA"/>
    <w:rsid w:val="005F6FA9"/>
    <w:rsid w:val="005F7011"/>
    <w:rsid w:val="005F70F0"/>
    <w:rsid w:val="005F71A9"/>
    <w:rsid w:val="005F72F4"/>
    <w:rsid w:val="005F741B"/>
    <w:rsid w:val="005F74FA"/>
    <w:rsid w:val="005F754A"/>
    <w:rsid w:val="005F7602"/>
    <w:rsid w:val="005F7682"/>
    <w:rsid w:val="005F7CBF"/>
    <w:rsid w:val="005F7E87"/>
    <w:rsid w:val="005F7E9E"/>
    <w:rsid w:val="005F7ED5"/>
    <w:rsid w:val="00600076"/>
    <w:rsid w:val="0060009C"/>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CE8"/>
    <w:rsid w:val="00601D67"/>
    <w:rsid w:val="00602023"/>
    <w:rsid w:val="00602032"/>
    <w:rsid w:val="00602117"/>
    <w:rsid w:val="006022CD"/>
    <w:rsid w:val="00602768"/>
    <w:rsid w:val="006027FE"/>
    <w:rsid w:val="00602B23"/>
    <w:rsid w:val="00602B37"/>
    <w:rsid w:val="00602C9A"/>
    <w:rsid w:val="00602E2A"/>
    <w:rsid w:val="00602EDC"/>
    <w:rsid w:val="00602F1C"/>
    <w:rsid w:val="0060305E"/>
    <w:rsid w:val="00603072"/>
    <w:rsid w:val="00603113"/>
    <w:rsid w:val="006032B0"/>
    <w:rsid w:val="006034D6"/>
    <w:rsid w:val="0060376B"/>
    <w:rsid w:val="00603963"/>
    <w:rsid w:val="00603A39"/>
    <w:rsid w:val="00604125"/>
    <w:rsid w:val="006043FC"/>
    <w:rsid w:val="006046C4"/>
    <w:rsid w:val="00604734"/>
    <w:rsid w:val="00604770"/>
    <w:rsid w:val="00604AD6"/>
    <w:rsid w:val="00604D09"/>
    <w:rsid w:val="00604EDD"/>
    <w:rsid w:val="00604FBF"/>
    <w:rsid w:val="0060537C"/>
    <w:rsid w:val="00605466"/>
    <w:rsid w:val="0060559C"/>
    <w:rsid w:val="006055A9"/>
    <w:rsid w:val="00605641"/>
    <w:rsid w:val="00605732"/>
    <w:rsid w:val="006057D9"/>
    <w:rsid w:val="006057E4"/>
    <w:rsid w:val="00605830"/>
    <w:rsid w:val="00605BC7"/>
    <w:rsid w:val="00605DB1"/>
    <w:rsid w:val="00605ECA"/>
    <w:rsid w:val="0060616F"/>
    <w:rsid w:val="00606237"/>
    <w:rsid w:val="00606291"/>
    <w:rsid w:val="006062CD"/>
    <w:rsid w:val="00606365"/>
    <w:rsid w:val="006064E1"/>
    <w:rsid w:val="006068A4"/>
    <w:rsid w:val="006069C7"/>
    <w:rsid w:val="00606A66"/>
    <w:rsid w:val="00606B46"/>
    <w:rsid w:val="00606E3F"/>
    <w:rsid w:val="00606E9C"/>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1DB"/>
    <w:rsid w:val="006114E4"/>
    <w:rsid w:val="00611605"/>
    <w:rsid w:val="00611A40"/>
    <w:rsid w:val="00611E54"/>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8EB"/>
    <w:rsid w:val="006159F7"/>
    <w:rsid w:val="00615B17"/>
    <w:rsid w:val="00615E7C"/>
    <w:rsid w:val="00615FA2"/>
    <w:rsid w:val="00616057"/>
    <w:rsid w:val="00616067"/>
    <w:rsid w:val="0061636D"/>
    <w:rsid w:val="00616373"/>
    <w:rsid w:val="006168DF"/>
    <w:rsid w:val="0061698F"/>
    <w:rsid w:val="00616A4C"/>
    <w:rsid w:val="00616B70"/>
    <w:rsid w:val="00616EE9"/>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0FEE"/>
    <w:rsid w:val="0062105C"/>
    <w:rsid w:val="00621521"/>
    <w:rsid w:val="00621625"/>
    <w:rsid w:val="00621680"/>
    <w:rsid w:val="0062174B"/>
    <w:rsid w:val="006217B5"/>
    <w:rsid w:val="00621899"/>
    <w:rsid w:val="00621B0B"/>
    <w:rsid w:val="00621E23"/>
    <w:rsid w:val="00621F7F"/>
    <w:rsid w:val="0062200A"/>
    <w:rsid w:val="00622120"/>
    <w:rsid w:val="00622343"/>
    <w:rsid w:val="00622564"/>
    <w:rsid w:val="0062264A"/>
    <w:rsid w:val="006229EB"/>
    <w:rsid w:val="00622B52"/>
    <w:rsid w:val="00622BC5"/>
    <w:rsid w:val="00622F60"/>
    <w:rsid w:val="00623114"/>
    <w:rsid w:val="00623180"/>
    <w:rsid w:val="0062330E"/>
    <w:rsid w:val="00623327"/>
    <w:rsid w:val="0062335C"/>
    <w:rsid w:val="006234BB"/>
    <w:rsid w:val="0062358E"/>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547"/>
    <w:rsid w:val="00626622"/>
    <w:rsid w:val="00626664"/>
    <w:rsid w:val="006266A2"/>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A7A"/>
    <w:rsid w:val="00630B19"/>
    <w:rsid w:val="00630BC2"/>
    <w:rsid w:val="00630BFE"/>
    <w:rsid w:val="00630C59"/>
    <w:rsid w:val="00630D89"/>
    <w:rsid w:val="00630E1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281"/>
    <w:rsid w:val="0063330C"/>
    <w:rsid w:val="006333DF"/>
    <w:rsid w:val="006334E6"/>
    <w:rsid w:val="00633542"/>
    <w:rsid w:val="0063373C"/>
    <w:rsid w:val="00633BAA"/>
    <w:rsid w:val="00633C1F"/>
    <w:rsid w:val="00633D22"/>
    <w:rsid w:val="00634723"/>
    <w:rsid w:val="00634764"/>
    <w:rsid w:val="006347EB"/>
    <w:rsid w:val="00634AFC"/>
    <w:rsid w:val="00634B07"/>
    <w:rsid w:val="00634DB9"/>
    <w:rsid w:val="006350D7"/>
    <w:rsid w:val="00635428"/>
    <w:rsid w:val="00635674"/>
    <w:rsid w:val="00635835"/>
    <w:rsid w:val="00635D96"/>
    <w:rsid w:val="00635F69"/>
    <w:rsid w:val="00636142"/>
    <w:rsid w:val="006362B2"/>
    <w:rsid w:val="00636440"/>
    <w:rsid w:val="00636663"/>
    <w:rsid w:val="0063675D"/>
    <w:rsid w:val="00636942"/>
    <w:rsid w:val="006369C7"/>
    <w:rsid w:val="00636A13"/>
    <w:rsid w:val="00636A1E"/>
    <w:rsid w:val="00636AB1"/>
    <w:rsid w:val="00636BC1"/>
    <w:rsid w:val="00636BE3"/>
    <w:rsid w:val="00636C82"/>
    <w:rsid w:val="00637207"/>
    <w:rsid w:val="00637386"/>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488"/>
    <w:rsid w:val="00642617"/>
    <w:rsid w:val="00642770"/>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51"/>
    <w:rsid w:val="00643C71"/>
    <w:rsid w:val="00643D5E"/>
    <w:rsid w:val="00643DFB"/>
    <w:rsid w:val="00643EB1"/>
    <w:rsid w:val="006441F5"/>
    <w:rsid w:val="00644393"/>
    <w:rsid w:val="0064443C"/>
    <w:rsid w:val="006444C4"/>
    <w:rsid w:val="0064478B"/>
    <w:rsid w:val="006448CC"/>
    <w:rsid w:val="00644959"/>
    <w:rsid w:val="00644CBB"/>
    <w:rsid w:val="00644D6E"/>
    <w:rsid w:val="00644EBD"/>
    <w:rsid w:val="00645218"/>
    <w:rsid w:val="0064573F"/>
    <w:rsid w:val="00645AE4"/>
    <w:rsid w:val="006461D1"/>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6BD"/>
    <w:rsid w:val="00647B94"/>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08F"/>
    <w:rsid w:val="00652258"/>
    <w:rsid w:val="006523E8"/>
    <w:rsid w:val="006525C5"/>
    <w:rsid w:val="006527C8"/>
    <w:rsid w:val="006528E9"/>
    <w:rsid w:val="00652A81"/>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5FE"/>
    <w:rsid w:val="006548E9"/>
    <w:rsid w:val="00654916"/>
    <w:rsid w:val="00654BFE"/>
    <w:rsid w:val="00654F6E"/>
    <w:rsid w:val="00655003"/>
    <w:rsid w:val="00655022"/>
    <w:rsid w:val="0065510A"/>
    <w:rsid w:val="00655198"/>
    <w:rsid w:val="0065569D"/>
    <w:rsid w:val="006556CF"/>
    <w:rsid w:val="0065577D"/>
    <w:rsid w:val="006557DC"/>
    <w:rsid w:val="006559E7"/>
    <w:rsid w:val="00655CC6"/>
    <w:rsid w:val="00655CF6"/>
    <w:rsid w:val="00655F67"/>
    <w:rsid w:val="00656011"/>
    <w:rsid w:val="006563B4"/>
    <w:rsid w:val="006567CE"/>
    <w:rsid w:val="00656ACD"/>
    <w:rsid w:val="006574DF"/>
    <w:rsid w:val="006575D0"/>
    <w:rsid w:val="006579FD"/>
    <w:rsid w:val="00657D0D"/>
    <w:rsid w:val="00657E2A"/>
    <w:rsid w:val="00657EF2"/>
    <w:rsid w:val="00657FFC"/>
    <w:rsid w:val="006605A7"/>
    <w:rsid w:val="006606C9"/>
    <w:rsid w:val="00660807"/>
    <w:rsid w:val="0066093C"/>
    <w:rsid w:val="00660947"/>
    <w:rsid w:val="00660A11"/>
    <w:rsid w:val="00660A2B"/>
    <w:rsid w:val="00660B0B"/>
    <w:rsid w:val="00660C01"/>
    <w:rsid w:val="00660C30"/>
    <w:rsid w:val="00660C46"/>
    <w:rsid w:val="00660DCB"/>
    <w:rsid w:val="00660E35"/>
    <w:rsid w:val="00660EF8"/>
    <w:rsid w:val="00661191"/>
    <w:rsid w:val="00661197"/>
    <w:rsid w:val="0066119E"/>
    <w:rsid w:val="006612D1"/>
    <w:rsid w:val="0066138A"/>
    <w:rsid w:val="00661452"/>
    <w:rsid w:val="0066157A"/>
    <w:rsid w:val="0066162F"/>
    <w:rsid w:val="006618D4"/>
    <w:rsid w:val="006619A4"/>
    <w:rsid w:val="0066214F"/>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B86"/>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4E5"/>
    <w:rsid w:val="00671824"/>
    <w:rsid w:val="00671A0D"/>
    <w:rsid w:val="00671AEA"/>
    <w:rsid w:val="00671B24"/>
    <w:rsid w:val="00671C19"/>
    <w:rsid w:val="006722AE"/>
    <w:rsid w:val="006723AC"/>
    <w:rsid w:val="006724BA"/>
    <w:rsid w:val="00672639"/>
    <w:rsid w:val="0067267B"/>
    <w:rsid w:val="0067288A"/>
    <w:rsid w:val="00672913"/>
    <w:rsid w:val="00672CA4"/>
    <w:rsid w:val="00672D2B"/>
    <w:rsid w:val="00672D84"/>
    <w:rsid w:val="00672E7D"/>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38A"/>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EB"/>
    <w:rsid w:val="006819FC"/>
    <w:rsid w:val="00681C86"/>
    <w:rsid w:val="00681E57"/>
    <w:rsid w:val="0068228A"/>
    <w:rsid w:val="0068237F"/>
    <w:rsid w:val="0068240B"/>
    <w:rsid w:val="00682C75"/>
    <w:rsid w:val="00683044"/>
    <w:rsid w:val="00683238"/>
    <w:rsid w:val="0068325D"/>
    <w:rsid w:val="00683471"/>
    <w:rsid w:val="006834EA"/>
    <w:rsid w:val="006834FA"/>
    <w:rsid w:val="006835A5"/>
    <w:rsid w:val="0068374C"/>
    <w:rsid w:val="006839F5"/>
    <w:rsid w:val="00683C9D"/>
    <w:rsid w:val="0068441F"/>
    <w:rsid w:val="0068454A"/>
    <w:rsid w:val="00684ACD"/>
    <w:rsid w:val="00684B8F"/>
    <w:rsid w:val="00684D7E"/>
    <w:rsid w:val="0068514E"/>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06E"/>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778"/>
    <w:rsid w:val="006929B9"/>
    <w:rsid w:val="006929F5"/>
    <w:rsid w:val="00692B5F"/>
    <w:rsid w:val="00692FB1"/>
    <w:rsid w:val="00693341"/>
    <w:rsid w:val="00693424"/>
    <w:rsid w:val="006934BC"/>
    <w:rsid w:val="0069386D"/>
    <w:rsid w:val="006939B2"/>
    <w:rsid w:val="00693C4A"/>
    <w:rsid w:val="00693D53"/>
    <w:rsid w:val="00693DFA"/>
    <w:rsid w:val="0069402D"/>
    <w:rsid w:val="00694047"/>
    <w:rsid w:val="00694568"/>
    <w:rsid w:val="00694572"/>
    <w:rsid w:val="00694B17"/>
    <w:rsid w:val="00694D58"/>
    <w:rsid w:val="00694D81"/>
    <w:rsid w:val="00694E13"/>
    <w:rsid w:val="00694F94"/>
    <w:rsid w:val="0069513D"/>
    <w:rsid w:val="006953D2"/>
    <w:rsid w:val="006954D7"/>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B8"/>
    <w:rsid w:val="006977F0"/>
    <w:rsid w:val="006979DB"/>
    <w:rsid w:val="00697E29"/>
    <w:rsid w:val="00697F7C"/>
    <w:rsid w:val="006A007C"/>
    <w:rsid w:val="006A01B6"/>
    <w:rsid w:val="006A0343"/>
    <w:rsid w:val="006A0563"/>
    <w:rsid w:val="006A05C5"/>
    <w:rsid w:val="006A05E1"/>
    <w:rsid w:val="006A06F9"/>
    <w:rsid w:val="006A0713"/>
    <w:rsid w:val="006A0896"/>
    <w:rsid w:val="006A09C9"/>
    <w:rsid w:val="006A0BFF"/>
    <w:rsid w:val="006A0D1A"/>
    <w:rsid w:val="006A0F69"/>
    <w:rsid w:val="006A121A"/>
    <w:rsid w:val="006A15AB"/>
    <w:rsid w:val="006A16CF"/>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1E7"/>
    <w:rsid w:val="006A42B7"/>
    <w:rsid w:val="006A440E"/>
    <w:rsid w:val="006A4510"/>
    <w:rsid w:val="006A4732"/>
    <w:rsid w:val="006A474E"/>
    <w:rsid w:val="006A492C"/>
    <w:rsid w:val="006A4ECD"/>
    <w:rsid w:val="006A50D4"/>
    <w:rsid w:val="006A50FD"/>
    <w:rsid w:val="006A560E"/>
    <w:rsid w:val="006A56AF"/>
    <w:rsid w:val="006A572F"/>
    <w:rsid w:val="006A59DB"/>
    <w:rsid w:val="006A5E79"/>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46D"/>
    <w:rsid w:val="006B0473"/>
    <w:rsid w:val="006B0474"/>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2DF"/>
    <w:rsid w:val="006B23E0"/>
    <w:rsid w:val="006B24F7"/>
    <w:rsid w:val="006B260E"/>
    <w:rsid w:val="006B261E"/>
    <w:rsid w:val="006B29B7"/>
    <w:rsid w:val="006B29C5"/>
    <w:rsid w:val="006B29D5"/>
    <w:rsid w:val="006B2DC8"/>
    <w:rsid w:val="006B3054"/>
    <w:rsid w:val="006B36B9"/>
    <w:rsid w:val="006B37B0"/>
    <w:rsid w:val="006B3809"/>
    <w:rsid w:val="006B398D"/>
    <w:rsid w:val="006B3B6C"/>
    <w:rsid w:val="006B3D55"/>
    <w:rsid w:val="006B3F75"/>
    <w:rsid w:val="006B4499"/>
    <w:rsid w:val="006B45BB"/>
    <w:rsid w:val="006B48A6"/>
    <w:rsid w:val="006B49A8"/>
    <w:rsid w:val="006B49DF"/>
    <w:rsid w:val="006B4CAE"/>
    <w:rsid w:val="006B4E36"/>
    <w:rsid w:val="006B4FD1"/>
    <w:rsid w:val="006B53C2"/>
    <w:rsid w:val="006B53C9"/>
    <w:rsid w:val="006B5575"/>
    <w:rsid w:val="006B5619"/>
    <w:rsid w:val="006B5624"/>
    <w:rsid w:val="006B58D8"/>
    <w:rsid w:val="006B5A24"/>
    <w:rsid w:val="006B5A86"/>
    <w:rsid w:val="006B6020"/>
    <w:rsid w:val="006B6064"/>
    <w:rsid w:val="006B6074"/>
    <w:rsid w:val="006B61BE"/>
    <w:rsid w:val="006B624F"/>
    <w:rsid w:val="006B627F"/>
    <w:rsid w:val="006B63E5"/>
    <w:rsid w:val="006B666A"/>
    <w:rsid w:val="006B6902"/>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1A"/>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CF3"/>
    <w:rsid w:val="006C2D2F"/>
    <w:rsid w:val="006C32F8"/>
    <w:rsid w:val="006C335A"/>
    <w:rsid w:val="006C363F"/>
    <w:rsid w:val="006C3912"/>
    <w:rsid w:val="006C3ACC"/>
    <w:rsid w:val="006C3D37"/>
    <w:rsid w:val="006C3ED5"/>
    <w:rsid w:val="006C42C2"/>
    <w:rsid w:val="006C43D5"/>
    <w:rsid w:val="006C44AB"/>
    <w:rsid w:val="006C44F0"/>
    <w:rsid w:val="006C453E"/>
    <w:rsid w:val="006C4765"/>
    <w:rsid w:val="006C4872"/>
    <w:rsid w:val="006C4980"/>
    <w:rsid w:val="006C4BAE"/>
    <w:rsid w:val="006C4C23"/>
    <w:rsid w:val="006C4E50"/>
    <w:rsid w:val="006C4E9A"/>
    <w:rsid w:val="006C512C"/>
    <w:rsid w:val="006C52A4"/>
    <w:rsid w:val="006C55E2"/>
    <w:rsid w:val="006C5614"/>
    <w:rsid w:val="006C57DE"/>
    <w:rsid w:val="006C58ED"/>
    <w:rsid w:val="006C5E1A"/>
    <w:rsid w:val="006C5F02"/>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7D1"/>
    <w:rsid w:val="006C79CE"/>
    <w:rsid w:val="006C7DF9"/>
    <w:rsid w:val="006D0352"/>
    <w:rsid w:val="006D0914"/>
    <w:rsid w:val="006D0A56"/>
    <w:rsid w:val="006D0C43"/>
    <w:rsid w:val="006D0E75"/>
    <w:rsid w:val="006D0F2A"/>
    <w:rsid w:val="006D0F2C"/>
    <w:rsid w:val="006D0FE9"/>
    <w:rsid w:val="006D1130"/>
    <w:rsid w:val="006D15BE"/>
    <w:rsid w:val="006D1725"/>
    <w:rsid w:val="006D191A"/>
    <w:rsid w:val="006D1935"/>
    <w:rsid w:val="006D19C7"/>
    <w:rsid w:val="006D19FF"/>
    <w:rsid w:val="006D1A74"/>
    <w:rsid w:val="006D1D65"/>
    <w:rsid w:val="006D1E43"/>
    <w:rsid w:val="006D20DB"/>
    <w:rsid w:val="006D21DA"/>
    <w:rsid w:val="006D2615"/>
    <w:rsid w:val="006D2631"/>
    <w:rsid w:val="006D29B4"/>
    <w:rsid w:val="006D2A8E"/>
    <w:rsid w:val="006D2B4E"/>
    <w:rsid w:val="006D2C8A"/>
    <w:rsid w:val="006D2EF2"/>
    <w:rsid w:val="006D3042"/>
    <w:rsid w:val="006D30DF"/>
    <w:rsid w:val="006D342A"/>
    <w:rsid w:val="006D34DF"/>
    <w:rsid w:val="006D3817"/>
    <w:rsid w:val="006D38A7"/>
    <w:rsid w:val="006D3A97"/>
    <w:rsid w:val="006D3B23"/>
    <w:rsid w:val="006D3BF5"/>
    <w:rsid w:val="006D3CA6"/>
    <w:rsid w:val="006D42C5"/>
    <w:rsid w:val="006D455A"/>
    <w:rsid w:val="006D4588"/>
    <w:rsid w:val="006D45C8"/>
    <w:rsid w:val="006D476E"/>
    <w:rsid w:val="006D48B3"/>
    <w:rsid w:val="006D4A83"/>
    <w:rsid w:val="006D4D79"/>
    <w:rsid w:val="006D4DD2"/>
    <w:rsid w:val="006D4E72"/>
    <w:rsid w:val="006D4E86"/>
    <w:rsid w:val="006D5150"/>
    <w:rsid w:val="006D5889"/>
    <w:rsid w:val="006D5DE2"/>
    <w:rsid w:val="006D5EB1"/>
    <w:rsid w:val="006D6063"/>
    <w:rsid w:val="006D60F1"/>
    <w:rsid w:val="006D6246"/>
    <w:rsid w:val="006D6267"/>
    <w:rsid w:val="006D62A6"/>
    <w:rsid w:val="006D6390"/>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2"/>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0F9B"/>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14"/>
    <w:rsid w:val="006E61D3"/>
    <w:rsid w:val="006E61F1"/>
    <w:rsid w:val="006E650E"/>
    <w:rsid w:val="006E6590"/>
    <w:rsid w:val="006E65D7"/>
    <w:rsid w:val="006E6602"/>
    <w:rsid w:val="006E665D"/>
    <w:rsid w:val="006E6661"/>
    <w:rsid w:val="006E6877"/>
    <w:rsid w:val="006E697D"/>
    <w:rsid w:val="006E6AA9"/>
    <w:rsid w:val="006E6C24"/>
    <w:rsid w:val="006E6C36"/>
    <w:rsid w:val="006E7119"/>
    <w:rsid w:val="006E71CA"/>
    <w:rsid w:val="006E73A5"/>
    <w:rsid w:val="006E7684"/>
    <w:rsid w:val="006E7802"/>
    <w:rsid w:val="006E78AF"/>
    <w:rsid w:val="006E7C40"/>
    <w:rsid w:val="006F003B"/>
    <w:rsid w:val="006F00E8"/>
    <w:rsid w:val="006F0106"/>
    <w:rsid w:val="006F0193"/>
    <w:rsid w:val="006F01EE"/>
    <w:rsid w:val="006F0427"/>
    <w:rsid w:val="006F075E"/>
    <w:rsid w:val="006F087C"/>
    <w:rsid w:val="006F0A87"/>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1E01"/>
    <w:rsid w:val="006F220D"/>
    <w:rsid w:val="006F276D"/>
    <w:rsid w:val="006F2962"/>
    <w:rsid w:val="006F296E"/>
    <w:rsid w:val="006F2A88"/>
    <w:rsid w:val="006F2DB7"/>
    <w:rsid w:val="006F2EB4"/>
    <w:rsid w:val="006F301E"/>
    <w:rsid w:val="006F339C"/>
    <w:rsid w:val="006F3761"/>
    <w:rsid w:val="006F3826"/>
    <w:rsid w:val="006F38DB"/>
    <w:rsid w:val="006F3AAE"/>
    <w:rsid w:val="006F3CB4"/>
    <w:rsid w:val="006F3FE5"/>
    <w:rsid w:val="006F417F"/>
    <w:rsid w:val="006F431D"/>
    <w:rsid w:val="006F436F"/>
    <w:rsid w:val="006F449A"/>
    <w:rsid w:val="006F4568"/>
    <w:rsid w:val="006F4576"/>
    <w:rsid w:val="006F464B"/>
    <w:rsid w:val="006F4A1B"/>
    <w:rsid w:val="006F4BBD"/>
    <w:rsid w:val="006F4D37"/>
    <w:rsid w:val="006F5283"/>
    <w:rsid w:val="006F53B5"/>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BA"/>
    <w:rsid w:val="006F6CD0"/>
    <w:rsid w:val="006F6EFC"/>
    <w:rsid w:val="006F6F75"/>
    <w:rsid w:val="006F71FE"/>
    <w:rsid w:val="006F725F"/>
    <w:rsid w:val="006F7365"/>
    <w:rsid w:val="006F7423"/>
    <w:rsid w:val="006F7586"/>
    <w:rsid w:val="006F772D"/>
    <w:rsid w:val="006F78B8"/>
    <w:rsid w:val="006F7B25"/>
    <w:rsid w:val="006F7F88"/>
    <w:rsid w:val="0070019A"/>
    <w:rsid w:val="007001F0"/>
    <w:rsid w:val="00700261"/>
    <w:rsid w:val="00700390"/>
    <w:rsid w:val="007003B6"/>
    <w:rsid w:val="00700474"/>
    <w:rsid w:val="00700477"/>
    <w:rsid w:val="007004F7"/>
    <w:rsid w:val="00700514"/>
    <w:rsid w:val="00700567"/>
    <w:rsid w:val="00700788"/>
    <w:rsid w:val="007007DB"/>
    <w:rsid w:val="0070094E"/>
    <w:rsid w:val="00700B3A"/>
    <w:rsid w:val="00700C0B"/>
    <w:rsid w:val="00700E2A"/>
    <w:rsid w:val="00700F49"/>
    <w:rsid w:val="00700F53"/>
    <w:rsid w:val="00701108"/>
    <w:rsid w:val="007012FE"/>
    <w:rsid w:val="007013AD"/>
    <w:rsid w:val="00701675"/>
    <w:rsid w:val="0070179D"/>
    <w:rsid w:val="00701852"/>
    <w:rsid w:val="00702107"/>
    <w:rsid w:val="007025C2"/>
    <w:rsid w:val="007025F4"/>
    <w:rsid w:val="007026DA"/>
    <w:rsid w:val="007026F3"/>
    <w:rsid w:val="007028AC"/>
    <w:rsid w:val="00702926"/>
    <w:rsid w:val="00702B46"/>
    <w:rsid w:val="00702EC6"/>
    <w:rsid w:val="0070331E"/>
    <w:rsid w:val="007037AA"/>
    <w:rsid w:val="00703821"/>
    <w:rsid w:val="007038D3"/>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631"/>
    <w:rsid w:val="00705962"/>
    <w:rsid w:val="007059BB"/>
    <w:rsid w:val="00705A2C"/>
    <w:rsid w:val="00705AC9"/>
    <w:rsid w:val="00705B8F"/>
    <w:rsid w:val="00705C10"/>
    <w:rsid w:val="00705C3F"/>
    <w:rsid w:val="00705C65"/>
    <w:rsid w:val="00705E8D"/>
    <w:rsid w:val="00705F1B"/>
    <w:rsid w:val="0070605C"/>
    <w:rsid w:val="007061B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956"/>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D25"/>
    <w:rsid w:val="00712ECA"/>
    <w:rsid w:val="00712EDE"/>
    <w:rsid w:val="0071356C"/>
    <w:rsid w:val="00713704"/>
    <w:rsid w:val="007137A2"/>
    <w:rsid w:val="00713962"/>
    <w:rsid w:val="0071398F"/>
    <w:rsid w:val="00713D24"/>
    <w:rsid w:val="00713DC1"/>
    <w:rsid w:val="00713DEE"/>
    <w:rsid w:val="007141CD"/>
    <w:rsid w:val="0071423F"/>
    <w:rsid w:val="007142B6"/>
    <w:rsid w:val="007144EB"/>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B79"/>
    <w:rsid w:val="00717C56"/>
    <w:rsid w:val="00717FD4"/>
    <w:rsid w:val="00720033"/>
    <w:rsid w:val="0072003A"/>
    <w:rsid w:val="0072008E"/>
    <w:rsid w:val="007200B6"/>
    <w:rsid w:val="007203CC"/>
    <w:rsid w:val="0072048E"/>
    <w:rsid w:val="0072076D"/>
    <w:rsid w:val="007207C8"/>
    <w:rsid w:val="007207E9"/>
    <w:rsid w:val="00720AB1"/>
    <w:rsid w:val="00720C4C"/>
    <w:rsid w:val="00720E64"/>
    <w:rsid w:val="00720E87"/>
    <w:rsid w:val="00720EED"/>
    <w:rsid w:val="00720F2B"/>
    <w:rsid w:val="0072110E"/>
    <w:rsid w:val="0072118B"/>
    <w:rsid w:val="007212AB"/>
    <w:rsid w:val="007212F3"/>
    <w:rsid w:val="00721431"/>
    <w:rsid w:val="0072161D"/>
    <w:rsid w:val="00721725"/>
    <w:rsid w:val="0072174B"/>
    <w:rsid w:val="00721779"/>
    <w:rsid w:val="00721C43"/>
    <w:rsid w:val="00721C65"/>
    <w:rsid w:val="00721C80"/>
    <w:rsid w:val="0072231C"/>
    <w:rsid w:val="0072236A"/>
    <w:rsid w:val="00722838"/>
    <w:rsid w:val="00722864"/>
    <w:rsid w:val="00722BB4"/>
    <w:rsid w:val="00722BBD"/>
    <w:rsid w:val="00722F27"/>
    <w:rsid w:val="00723202"/>
    <w:rsid w:val="0072320A"/>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38"/>
    <w:rsid w:val="00724EFD"/>
    <w:rsid w:val="007252FC"/>
    <w:rsid w:val="007253BD"/>
    <w:rsid w:val="00725452"/>
    <w:rsid w:val="00725531"/>
    <w:rsid w:val="00725A67"/>
    <w:rsid w:val="00725AC0"/>
    <w:rsid w:val="00725B37"/>
    <w:rsid w:val="00725B57"/>
    <w:rsid w:val="00725D05"/>
    <w:rsid w:val="00725FA5"/>
    <w:rsid w:val="0072605A"/>
    <w:rsid w:val="00726137"/>
    <w:rsid w:val="00726173"/>
    <w:rsid w:val="007261B7"/>
    <w:rsid w:val="00726646"/>
    <w:rsid w:val="00726A09"/>
    <w:rsid w:val="00726ACE"/>
    <w:rsid w:val="00726B6E"/>
    <w:rsid w:val="00726F74"/>
    <w:rsid w:val="00727520"/>
    <w:rsid w:val="00727552"/>
    <w:rsid w:val="00727685"/>
    <w:rsid w:val="007278B1"/>
    <w:rsid w:val="007279B8"/>
    <w:rsid w:val="007279FC"/>
    <w:rsid w:val="00727AE6"/>
    <w:rsid w:val="00727BEE"/>
    <w:rsid w:val="00727DD8"/>
    <w:rsid w:val="0073000A"/>
    <w:rsid w:val="007300F6"/>
    <w:rsid w:val="0073016A"/>
    <w:rsid w:val="007301A7"/>
    <w:rsid w:val="007302D2"/>
    <w:rsid w:val="007307C9"/>
    <w:rsid w:val="00730A14"/>
    <w:rsid w:val="00730BB1"/>
    <w:rsid w:val="00730D35"/>
    <w:rsid w:val="00730DFE"/>
    <w:rsid w:val="00730F0E"/>
    <w:rsid w:val="00730FCE"/>
    <w:rsid w:val="007312F7"/>
    <w:rsid w:val="007313C9"/>
    <w:rsid w:val="0073141F"/>
    <w:rsid w:val="00731485"/>
    <w:rsid w:val="007315B1"/>
    <w:rsid w:val="00731615"/>
    <w:rsid w:val="007316A1"/>
    <w:rsid w:val="00731A45"/>
    <w:rsid w:val="00731A7C"/>
    <w:rsid w:val="00731C3C"/>
    <w:rsid w:val="00731D06"/>
    <w:rsid w:val="00731D9B"/>
    <w:rsid w:val="00731EF3"/>
    <w:rsid w:val="00732414"/>
    <w:rsid w:val="0073246A"/>
    <w:rsid w:val="0073259C"/>
    <w:rsid w:val="007325A8"/>
    <w:rsid w:val="007327A2"/>
    <w:rsid w:val="007328A0"/>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5"/>
    <w:rsid w:val="00740A2B"/>
    <w:rsid w:val="00740A8B"/>
    <w:rsid w:val="00740D80"/>
    <w:rsid w:val="00740F1F"/>
    <w:rsid w:val="00740F28"/>
    <w:rsid w:val="00741013"/>
    <w:rsid w:val="007412D5"/>
    <w:rsid w:val="0074143C"/>
    <w:rsid w:val="0074151E"/>
    <w:rsid w:val="007418CD"/>
    <w:rsid w:val="007419EE"/>
    <w:rsid w:val="00741A5E"/>
    <w:rsid w:val="00741CCC"/>
    <w:rsid w:val="00742141"/>
    <w:rsid w:val="0074221D"/>
    <w:rsid w:val="0074224C"/>
    <w:rsid w:val="00742252"/>
    <w:rsid w:val="00742284"/>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4E5B"/>
    <w:rsid w:val="00745083"/>
    <w:rsid w:val="007451F9"/>
    <w:rsid w:val="007454EA"/>
    <w:rsid w:val="00745A46"/>
    <w:rsid w:val="00745AA2"/>
    <w:rsid w:val="00745BE5"/>
    <w:rsid w:val="00745D3B"/>
    <w:rsid w:val="00745DE8"/>
    <w:rsid w:val="00746050"/>
    <w:rsid w:val="0074616B"/>
    <w:rsid w:val="007461B4"/>
    <w:rsid w:val="007462B2"/>
    <w:rsid w:val="007462DA"/>
    <w:rsid w:val="007463BF"/>
    <w:rsid w:val="007465E4"/>
    <w:rsid w:val="007466BB"/>
    <w:rsid w:val="00746830"/>
    <w:rsid w:val="0074692D"/>
    <w:rsid w:val="00746985"/>
    <w:rsid w:val="00746BBE"/>
    <w:rsid w:val="00746C3A"/>
    <w:rsid w:val="00746CFB"/>
    <w:rsid w:val="00746FCE"/>
    <w:rsid w:val="00747030"/>
    <w:rsid w:val="007473E7"/>
    <w:rsid w:val="00747411"/>
    <w:rsid w:val="007479EB"/>
    <w:rsid w:val="00747CF9"/>
    <w:rsid w:val="00747F2A"/>
    <w:rsid w:val="007500D3"/>
    <w:rsid w:val="00750376"/>
    <w:rsid w:val="00750408"/>
    <w:rsid w:val="00750915"/>
    <w:rsid w:val="00750B21"/>
    <w:rsid w:val="00750B42"/>
    <w:rsid w:val="00750DB3"/>
    <w:rsid w:val="00750E44"/>
    <w:rsid w:val="00750EC3"/>
    <w:rsid w:val="00751199"/>
    <w:rsid w:val="00751311"/>
    <w:rsid w:val="007515BE"/>
    <w:rsid w:val="0075161A"/>
    <w:rsid w:val="00751695"/>
    <w:rsid w:val="00751BB8"/>
    <w:rsid w:val="00751BEF"/>
    <w:rsid w:val="00751F9F"/>
    <w:rsid w:val="00752031"/>
    <w:rsid w:val="007521BC"/>
    <w:rsid w:val="007522FD"/>
    <w:rsid w:val="0075237B"/>
    <w:rsid w:val="00752532"/>
    <w:rsid w:val="007526D0"/>
    <w:rsid w:val="00752757"/>
    <w:rsid w:val="00752C38"/>
    <w:rsid w:val="00752E6D"/>
    <w:rsid w:val="00752EC9"/>
    <w:rsid w:val="00752FEA"/>
    <w:rsid w:val="007530B3"/>
    <w:rsid w:val="007532EF"/>
    <w:rsid w:val="00753453"/>
    <w:rsid w:val="00753646"/>
    <w:rsid w:val="00753976"/>
    <w:rsid w:val="007539A9"/>
    <w:rsid w:val="00753A77"/>
    <w:rsid w:val="00753AC1"/>
    <w:rsid w:val="00753B72"/>
    <w:rsid w:val="00753BBC"/>
    <w:rsid w:val="00753DC3"/>
    <w:rsid w:val="00753ECD"/>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4F"/>
    <w:rsid w:val="00760258"/>
    <w:rsid w:val="007602C9"/>
    <w:rsid w:val="00760644"/>
    <w:rsid w:val="00760816"/>
    <w:rsid w:val="00760C0D"/>
    <w:rsid w:val="00760E97"/>
    <w:rsid w:val="00760FB1"/>
    <w:rsid w:val="0076128B"/>
    <w:rsid w:val="007612CA"/>
    <w:rsid w:val="00761924"/>
    <w:rsid w:val="00761A15"/>
    <w:rsid w:val="00761A4D"/>
    <w:rsid w:val="00761ADD"/>
    <w:rsid w:val="00761DFA"/>
    <w:rsid w:val="00761E2D"/>
    <w:rsid w:val="00761EA7"/>
    <w:rsid w:val="00762346"/>
    <w:rsid w:val="0076237D"/>
    <w:rsid w:val="007623CF"/>
    <w:rsid w:val="0076249C"/>
    <w:rsid w:val="00762547"/>
    <w:rsid w:val="007628B8"/>
    <w:rsid w:val="00762B1E"/>
    <w:rsid w:val="00762B2A"/>
    <w:rsid w:val="00762D3A"/>
    <w:rsid w:val="00762D8E"/>
    <w:rsid w:val="00762DDF"/>
    <w:rsid w:val="00762F49"/>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17C"/>
    <w:rsid w:val="00767563"/>
    <w:rsid w:val="007677FF"/>
    <w:rsid w:val="00767818"/>
    <w:rsid w:val="00767B17"/>
    <w:rsid w:val="00767C00"/>
    <w:rsid w:val="00767C58"/>
    <w:rsid w:val="00767CC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90"/>
    <w:rsid w:val="00773B3F"/>
    <w:rsid w:val="00773C34"/>
    <w:rsid w:val="00773E05"/>
    <w:rsid w:val="00773F38"/>
    <w:rsid w:val="007742C6"/>
    <w:rsid w:val="0077433D"/>
    <w:rsid w:val="0077449C"/>
    <w:rsid w:val="007744B2"/>
    <w:rsid w:val="0077455A"/>
    <w:rsid w:val="0077459A"/>
    <w:rsid w:val="007745FD"/>
    <w:rsid w:val="007748DD"/>
    <w:rsid w:val="007749EF"/>
    <w:rsid w:val="00774F3D"/>
    <w:rsid w:val="00775263"/>
    <w:rsid w:val="0077554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0FC4"/>
    <w:rsid w:val="0078100C"/>
    <w:rsid w:val="0078104D"/>
    <w:rsid w:val="00781160"/>
    <w:rsid w:val="0078131D"/>
    <w:rsid w:val="007813C8"/>
    <w:rsid w:val="00781582"/>
    <w:rsid w:val="00781860"/>
    <w:rsid w:val="00781942"/>
    <w:rsid w:val="00781AEB"/>
    <w:rsid w:val="00781CF8"/>
    <w:rsid w:val="00781DDE"/>
    <w:rsid w:val="00782139"/>
    <w:rsid w:val="007824B9"/>
    <w:rsid w:val="007825CD"/>
    <w:rsid w:val="0078268E"/>
    <w:rsid w:val="007827F5"/>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10"/>
    <w:rsid w:val="00784E3B"/>
    <w:rsid w:val="00784F26"/>
    <w:rsid w:val="00784F60"/>
    <w:rsid w:val="0078509D"/>
    <w:rsid w:val="00785759"/>
    <w:rsid w:val="00785928"/>
    <w:rsid w:val="00785B54"/>
    <w:rsid w:val="007860AA"/>
    <w:rsid w:val="0078616D"/>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D16"/>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0CF"/>
    <w:rsid w:val="0079278D"/>
    <w:rsid w:val="007927F3"/>
    <w:rsid w:val="00792DF9"/>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C74"/>
    <w:rsid w:val="00795EE5"/>
    <w:rsid w:val="00795F87"/>
    <w:rsid w:val="007961C9"/>
    <w:rsid w:val="00796337"/>
    <w:rsid w:val="00796383"/>
    <w:rsid w:val="007964B2"/>
    <w:rsid w:val="007964DB"/>
    <w:rsid w:val="00796729"/>
    <w:rsid w:val="007967B9"/>
    <w:rsid w:val="007967D0"/>
    <w:rsid w:val="00796818"/>
    <w:rsid w:val="00796858"/>
    <w:rsid w:val="00796AB3"/>
    <w:rsid w:val="00796ADE"/>
    <w:rsid w:val="00796B09"/>
    <w:rsid w:val="00796BEB"/>
    <w:rsid w:val="00796E3D"/>
    <w:rsid w:val="00797121"/>
    <w:rsid w:val="0079766C"/>
    <w:rsid w:val="007976C5"/>
    <w:rsid w:val="00797773"/>
    <w:rsid w:val="00797A33"/>
    <w:rsid w:val="00797C4B"/>
    <w:rsid w:val="00797DF7"/>
    <w:rsid w:val="007A0004"/>
    <w:rsid w:val="007A019B"/>
    <w:rsid w:val="007A0367"/>
    <w:rsid w:val="007A04BC"/>
    <w:rsid w:val="007A0599"/>
    <w:rsid w:val="007A07B0"/>
    <w:rsid w:val="007A082D"/>
    <w:rsid w:val="007A08DE"/>
    <w:rsid w:val="007A0C4D"/>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ADA"/>
    <w:rsid w:val="007A2C36"/>
    <w:rsid w:val="007A2C72"/>
    <w:rsid w:val="007A2D17"/>
    <w:rsid w:val="007A2DA8"/>
    <w:rsid w:val="007A2ECA"/>
    <w:rsid w:val="007A3003"/>
    <w:rsid w:val="007A31D2"/>
    <w:rsid w:val="007A35DA"/>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97D"/>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0D"/>
    <w:rsid w:val="007B1284"/>
    <w:rsid w:val="007B14CF"/>
    <w:rsid w:val="007B1B00"/>
    <w:rsid w:val="007B1EEE"/>
    <w:rsid w:val="007B1F40"/>
    <w:rsid w:val="007B20E8"/>
    <w:rsid w:val="007B2795"/>
    <w:rsid w:val="007B28C6"/>
    <w:rsid w:val="007B29A5"/>
    <w:rsid w:val="007B2C29"/>
    <w:rsid w:val="007B2C41"/>
    <w:rsid w:val="007B2CD9"/>
    <w:rsid w:val="007B2D32"/>
    <w:rsid w:val="007B2E4F"/>
    <w:rsid w:val="007B2E5A"/>
    <w:rsid w:val="007B2FE5"/>
    <w:rsid w:val="007B300D"/>
    <w:rsid w:val="007B3324"/>
    <w:rsid w:val="007B3391"/>
    <w:rsid w:val="007B3654"/>
    <w:rsid w:val="007B36A2"/>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ABC"/>
    <w:rsid w:val="007B5DBD"/>
    <w:rsid w:val="007B623F"/>
    <w:rsid w:val="007B6302"/>
    <w:rsid w:val="007B6428"/>
    <w:rsid w:val="007B6601"/>
    <w:rsid w:val="007B6623"/>
    <w:rsid w:val="007B6739"/>
    <w:rsid w:val="007B6853"/>
    <w:rsid w:val="007B6874"/>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C7E"/>
    <w:rsid w:val="007C0D6C"/>
    <w:rsid w:val="007C0DC3"/>
    <w:rsid w:val="007C1117"/>
    <w:rsid w:val="007C1443"/>
    <w:rsid w:val="007C156D"/>
    <w:rsid w:val="007C1981"/>
    <w:rsid w:val="007C1ADC"/>
    <w:rsid w:val="007C1D85"/>
    <w:rsid w:val="007C1EBE"/>
    <w:rsid w:val="007C1FEA"/>
    <w:rsid w:val="007C212C"/>
    <w:rsid w:val="007C235B"/>
    <w:rsid w:val="007C25CE"/>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CED"/>
    <w:rsid w:val="007C5D1D"/>
    <w:rsid w:val="007C5DE1"/>
    <w:rsid w:val="007C5F5F"/>
    <w:rsid w:val="007C5F9F"/>
    <w:rsid w:val="007C6407"/>
    <w:rsid w:val="007C6835"/>
    <w:rsid w:val="007C688F"/>
    <w:rsid w:val="007C68D6"/>
    <w:rsid w:val="007C6E24"/>
    <w:rsid w:val="007C71AA"/>
    <w:rsid w:val="007C7359"/>
    <w:rsid w:val="007C7402"/>
    <w:rsid w:val="007C7907"/>
    <w:rsid w:val="007C796E"/>
    <w:rsid w:val="007C7B60"/>
    <w:rsid w:val="007C7CD2"/>
    <w:rsid w:val="007C7CE3"/>
    <w:rsid w:val="007C7D88"/>
    <w:rsid w:val="007C7E38"/>
    <w:rsid w:val="007C7E6D"/>
    <w:rsid w:val="007C7E94"/>
    <w:rsid w:val="007C7FCD"/>
    <w:rsid w:val="007D02F6"/>
    <w:rsid w:val="007D061C"/>
    <w:rsid w:val="007D06D8"/>
    <w:rsid w:val="007D083A"/>
    <w:rsid w:val="007D08BF"/>
    <w:rsid w:val="007D0955"/>
    <w:rsid w:val="007D0D37"/>
    <w:rsid w:val="007D0EAF"/>
    <w:rsid w:val="007D0F65"/>
    <w:rsid w:val="007D0F9D"/>
    <w:rsid w:val="007D1532"/>
    <w:rsid w:val="007D18E0"/>
    <w:rsid w:val="007D1947"/>
    <w:rsid w:val="007D1A2C"/>
    <w:rsid w:val="007D1E0D"/>
    <w:rsid w:val="007D1ECB"/>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2FE"/>
    <w:rsid w:val="007D4527"/>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1EE"/>
    <w:rsid w:val="007D67D4"/>
    <w:rsid w:val="007D67D5"/>
    <w:rsid w:val="007D6A25"/>
    <w:rsid w:val="007D6ADF"/>
    <w:rsid w:val="007D6EB6"/>
    <w:rsid w:val="007D7001"/>
    <w:rsid w:val="007D736D"/>
    <w:rsid w:val="007D7649"/>
    <w:rsid w:val="007D76B6"/>
    <w:rsid w:val="007D7717"/>
    <w:rsid w:val="007D7A89"/>
    <w:rsid w:val="007D7B16"/>
    <w:rsid w:val="007D7C51"/>
    <w:rsid w:val="007D7D39"/>
    <w:rsid w:val="007D7DC9"/>
    <w:rsid w:val="007D7EFC"/>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512"/>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89C"/>
    <w:rsid w:val="007E4AAA"/>
    <w:rsid w:val="007E4F14"/>
    <w:rsid w:val="007E5284"/>
    <w:rsid w:val="007E52B4"/>
    <w:rsid w:val="007E53A0"/>
    <w:rsid w:val="007E5E24"/>
    <w:rsid w:val="007E5F1A"/>
    <w:rsid w:val="007E60DE"/>
    <w:rsid w:val="007E6261"/>
    <w:rsid w:val="007E63F7"/>
    <w:rsid w:val="007E6521"/>
    <w:rsid w:val="007E69B0"/>
    <w:rsid w:val="007E6A2A"/>
    <w:rsid w:val="007E6D4F"/>
    <w:rsid w:val="007E6DCC"/>
    <w:rsid w:val="007E6DD5"/>
    <w:rsid w:val="007E6F84"/>
    <w:rsid w:val="007E72DD"/>
    <w:rsid w:val="007E747A"/>
    <w:rsid w:val="007E750A"/>
    <w:rsid w:val="007E761A"/>
    <w:rsid w:val="007E7AD7"/>
    <w:rsid w:val="007E7B4B"/>
    <w:rsid w:val="007E7DF4"/>
    <w:rsid w:val="007E7ED3"/>
    <w:rsid w:val="007E7EE2"/>
    <w:rsid w:val="007E7F95"/>
    <w:rsid w:val="007F02BA"/>
    <w:rsid w:val="007F0358"/>
    <w:rsid w:val="007F06ED"/>
    <w:rsid w:val="007F075E"/>
    <w:rsid w:val="007F07AE"/>
    <w:rsid w:val="007F08B3"/>
    <w:rsid w:val="007F09FA"/>
    <w:rsid w:val="007F0C35"/>
    <w:rsid w:val="007F0C6A"/>
    <w:rsid w:val="007F0D85"/>
    <w:rsid w:val="007F0FD6"/>
    <w:rsid w:val="007F109E"/>
    <w:rsid w:val="007F1320"/>
    <w:rsid w:val="007F16CB"/>
    <w:rsid w:val="007F1709"/>
    <w:rsid w:val="007F1864"/>
    <w:rsid w:val="007F199C"/>
    <w:rsid w:val="007F1AF1"/>
    <w:rsid w:val="007F1B3D"/>
    <w:rsid w:val="007F1B44"/>
    <w:rsid w:val="007F1BB4"/>
    <w:rsid w:val="007F212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3B"/>
    <w:rsid w:val="007F4A41"/>
    <w:rsid w:val="007F4AC6"/>
    <w:rsid w:val="007F4B3B"/>
    <w:rsid w:val="007F4B4A"/>
    <w:rsid w:val="007F4B5E"/>
    <w:rsid w:val="007F4E0E"/>
    <w:rsid w:val="007F4E9D"/>
    <w:rsid w:val="007F5150"/>
    <w:rsid w:val="007F5174"/>
    <w:rsid w:val="007F51F7"/>
    <w:rsid w:val="007F5834"/>
    <w:rsid w:val="007F5C0C"/>
    <w:rsid w:val="007F5D71"/>
    <w:rsid w:val="007F5FAB"/>
    <w:rsid w:val="007F615C"/>
    <w:rsid w:val="007F653B"/>
    <w:rsid w:val="007F67A8"/>
    <w:rsid w:val="007F6A69"/>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6C3"/>
    <w:rsid w:val="00801A51"/>
    <w:rsid w:val="0080222C"/>
    <w:rsid w:val="00802339"/>
    <w:rsid w:val="008023E5"/>
    <w:rsid w:val="008026A4"/>
    <w:rsid w:val="00802830"/>
    <w:rsid w:val="008029A1"/>
    <w:rsid w:val="00802B8B"/>
    <w:rsid w:val="0080325D"/>
    <w:rsid w:val="0080334E"/>
    <w:rsid w:val="008038CC"/>
    <w:rsid w:val="008039CC"/>
    <w:rsid w:val="00803B2B"/>
    <w:rsid w:val="00803CC7"/>
    <w:rsid w:val="00803D9B"/>
    <w:rsid w:val="00803E1E"/>
    <w:rsid w:val="00803E48"/>
    <w:rsid w:val="00804306"/>
    <w:rsid w:val="0080435F"/>
    <w:rsid w:val="008044AF"/>
    <w:rsid w:val="008044C1"/>
    <w:rsid w:val="008044FA"/>
    <w:rsid w:val="008045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35B"/>
    <w:rsid w:val="0080668A"/>
    <w:rsid w:val="00806957"/>
    <w:rsid w:val="008069EC"/>
    <w:rsid w:val="00806C4A"/>
    <w:rsid w:val="00806C78"/>
    <w:rsid w:val="00806DDE"/>
    <w:rsid w:val="00806F4D"/>
    <w:rsid w:val="00806FBD"/>
    <w:rsid w:val="00807183"/>
    <w:rsid w:val="0080721C"/>
    <w:rsid w:val="008073FA"/>
    <w:rsid w:val="00807499"/>
    <w:rsid w:val="008074C5"/>
    <w:rsid w:val="00807525"/>
    <w:rsid w:val="00807544"/>
    <w:rsid w:val="008075F7"/>
    <w:rsid w:val="008077D5"/>
    <w:rsid w:val="00807869"/>
    <w:rsid w:val="008078BF"/>
    <w:rsid w:val="00807A30"/>
    <w:rsid w:val="00807AD1"/>
    <w:rsid w:val="00807C9A"/>
    <w:rsid w:val="00807CCE"/>
    <w:rsid w:val="00807CF5"/>
    <w:rsid w:val="00807DD3"/>
    <w:rsid w:val="00807DFC"/>
    <w:rsid w:val="0081011F"/>
    <w:rsid w:val="00810315"/>
    <w:rsid w:val="008104D7"/>
    <w:rsid w:val="008105FC"/>
    <w:rsid w:val="0081080D"/>
    <w:rsid w:val="00810866"/>
    <w:rsid w:val="008108B4"/>
    <w:rsid w:val="00810B04"/>
    <w:rsid w:val="00810D22"/>
    <w:rsid w:val="00810DA6"/>
    <w:rsid w:val="00810E17"/>
    <w:rsid w:val="00810E1B"/>
    <w:rsid w:val="00810EC1"/>
    <w:rsid w:val="00810F98"/>
    <w:rsid w:val="00811002"/>
    <w:rsid w:val="00811055"/>
    <w:rsid w:val="008110A2"/>
    <w:rsid w:val="00811290"/>
    <w:rsid w:val="008114DE"/>
    <w:rsid w:val="008117DB"/>
    <w:rsid w:val="00811871"/>
    <w:rsid w:val="00811896"/>
    <w:rsid w:val="00811A93"/>
    <w:rsid w:val="00811B29"/>
    <w:rsid w:val="00811B91"/>
    <w:rsid w:val="00812051"/>
    <w:rsid w:val="0081214D"/>
    <w:rsid w:val="008122E3"/>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8E"/>
    <w:rsid w:val="008154CD"/>
    <w:rsid w:val="008154D9"/>
    <w:rsid w:val="008154E9"/>
    <w:rsid w:val="008155CA"/>
    <w:rsid w:val="0081562A"/>
    <w:rsid w:val="008159E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1D"/>
    <w:rsid w:val="0081733D"/>
    <w:rsid w:val="0081734E"/>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9DE"/>
    <w:rsid w:val="00821B21"/>
    <w:rsid w:val="00821BF7"/>
    <w:rsid w:val="00821C3B"/>
    <w:rsid w:val="00821CA9"/>
    <w:rsid w:val="00821CFD"/>
    <w:rsid w:val="00822412"/>
    <w:rsid w:val="008226A5"/>
    <w:rsid w:val="00822A9E"/>
    <w:rsid w:val="00822C21"/>
    <w:rsid w:val="00822C7F"/>
    <w:rsid w:val="00822E76"/>
    <w:rsid w:val="008231A8"/>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9F9"/>
    <w:rsid w:val="00824C43"/>
    <w:rsid w:val="00824CC9"/>
    <w:rsid w:val="00825186"/>
    <w:rsid w:val="0082521D"/>
    <w:rsid w:val="00825508"/>
    <w:rsid w:val="0082553A"/>
    <w:rsid w:val="008255BB"/>
    <w:rsid w:val="008256BC"/>
    <w:rsid w:val="00825DF2"/>
    <w:rsid w:val="00825E12"/>
    <w:rsid w:val="00825EBE"/>
    <w:rsid w:val="0082602B"/>
    <w:rsid w:val="00826092"/>
    <w:rsid w:val="008260AB"/>
    <w:rsid w:val="00826194"/>
    <w:rsid w:val="008263C1"/>
    <w:rsid w:val="008263E1"/>
    <w:rsid w:val="00826907"/>
    <w:rsid w:val="00826C10"/>
    <w:rsid w:val="00826CB3"/>
    <w:rsid w:val="00826EB9"/>
    <w:rsid w:val="0082700E"/>
    <w:rsid w:val="008270A9"/>
    <w:rsid w:val="00827320"/>
    <w:rsid w:val="00827366"/>
    <w:rsid w:val="008273DE"/>
    <w:rsid w:val="008274CC"/>
    <w:rsid w:val="008275DD"/>
    <w:rsid w:val="008279E9"/>
    <w:rsid w:val="00827F5D"/>
    <w:rsid w:val="008300DC"/>
    <w:rsid w:val="008302F4"/>
    <w:rsid w:val="00830300"/>
    <w:rsid w:val="00830623"/>
    <w:rsid w:val="0083080E"/>
    <w:rsid w:val="0083090B"/>
    <w:rsid w:val="00830A8F"/>
    <w:rsid w:val="00830C2B"/>
    <w:rsid w:val="00830DF5"/>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FA"/>
    <w:rsid w:val="00835ECD"/>
    <w:rsid w:val="00835F94"/>
    <w:rsid w:val="008364A1"/>
    <w:rsid w:val="00836851"/>
    <w:rsid w:val="00836A60"/>
    <w:rsid w:val="00836A61"/>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1B7"/>
    <w:rsid w:val="0084047A"/>
    <w:rsid w:val="0084089A"/>
    <w:rsid w:val="0084092D"/>
    <w:rsid w:val="00840D72"/>
    <w:rsid w:val="00840E81"/>
    <w:rsid w:val="00840FB1"/>
    <w:rsid w:val="008410E4"/>
    <w:rsid w:val="008411A0"/>
    <w:rsid w:val="0084158E"/>
    <w:rsid w:val="008417C2"/>
    <w:rsid w:val="00841801"/>
    <w:rsid w:val="00841827"/>
    <w:rsid w:val="00841877"/>
    <w:rsid w:val="008418D2"/>
    <w:rsid w:val="00841959"/>
    <w:rsid w:val="00841A42"/>
    <w:rsid w:val="00841AF3"/>
    <w:rsid w:val="00841B0F"/>
    <w:rsid w:val="00841B5F"/>
    <w:rsid w:val="00841B7A"/>
    <w:rsid w:val="00841DC3"/>
    <w:rsid w:val="00841F2E"/>
    <w:rsid w:val="00842042"/>
    <w:rsid w:val="0084226B"/>
    <w:rsid w:val="00842291"/>
    <w:rsid w:val="008424D2"/>
    <w:rsid w:val="0084260F"/>
    <w:rsid w:val="00842611"/>
    <w:rsid w:val="00842861"/>
    <w:rsid w:val="00842988"/>
    <w:rsid w:val="00842EB4"/>
    <w:rsid w:val="00843072"/>
    <w:rsid w:val="00843248"/>
    <w:rsid w:val="008433FD"/>
    <w:rsid w:val="008434E0"/>
    <w:rsid w:val="00843564"/>
    <w:rsid w:val="008436DB"/>
    <w:rsid w:val="00843B22"/>
    <w:rsid w:val="00843C08"/>
    <w:rsid w:val="00843C1B"/>
    <w:rsid w:val="00843EED"/>
    <w:rsid w:val="00843FB9"/>
    <w:rsid w:val="0084415C"/>
    <w:rsid w:val="00844428"/>
    <w:rsid w:val="0084476C"/>
    <w:rsid w:val="00844A39"/>
    <w:rsid w:val="0084509D"/>
    <w:rsid w:val="00845240"/>
    <w:rsid w:val="0084534E"/>
    <w:rsid w:val="00845604"/>
    <w:rsid w:val="00845C18"/>
    <w:rsid w:val="00845D51"/>
    <w:rsid w:val="00845D5A"/>
    <w:rsid w:val="008462D7"/>
    <w:rsid w:val="008463D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1F2C"/>
    <w:rsid w:val="008527C5"/>
    <w:rsid w:val="00852842"/>
    <w:rsid w:val="0085291D"/>
    <w:rsid w:val="00852A85"/>
    <w:rsid w:val="00852E6D"/>
    <w:rsid w:val="00852EA6"/>
    <w:rsid w:val="00852F47"/>
    <w:rsid w:val="00852F5D"/>
    <w:rsid w:val="0085329A"/>
    <w:rsid w:val="00853515"/>
    <w:rsid w:val="008536A0"/>
    <w:rsid w:val="00853858"/>
    <w:rsid w:val="0085385B"/>
    <w:rsid w:val="008539BA"/>
    <w:rsid w:val="00853A25"/>
    <w:rsid w:val="00853A4A"/>
    <w:rsid w:val="00853C8C"/>
    <w:rsid w:val="00853D1D"/>
    <w:rsid w:val="00853D2C"/>
    <w:rsid w:val="00853DCF"/>
    <w:rsid w:val="00853F87"/>
    <w:rsid w:val="00853F94"/>
    <w:rsid w:val="008540C6"/>
    <w:rsid w:val="008540ED"/>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15"/>
    <w:rsid w:val="00855B2B"/>
    <w:rsid w:val="00855C17"/>
    <w:rsid w:val="00855E10"/>
    <w:rsid w:val="00856039"/>
    <w:rsid w:val="00856261"/>
    <w:rsid w:val="008563F8"/>
    <w:rsid w:val="00856445"/>
    <w:rsid w:val="008564A8"/>
    <w:rsid w:val="00856753"/>
    <w:rsid w:val="008568E5"/>
    <w:rsid w:val="00856A89"/>
    <w:rsid w:val="0085742E"/>
    <w:rsid w:val="00857749"/>
    <w:rsid w:val="00857882"/>
    <w:rsid w:val="00857889"/>
    <w:rsid w:val="0085793E"/>
    <w:rsid w:val="00857AF5"/>
    <w:rsid w:val="00857F5A"/>
    <w:rsid w:val="008600D4"/>
    <w:rsid w:val="00860211"/>
    <w:rsid w:val="00860418"/>
    <w:rsid w:val="008604D4"/>
    <w:rsid w:val="00860614"/>
    <w:rsid w:val="0086081D"/>
    <w:rsid w:val="008609E1"/>
    <w:rsid w:val="00860AE9"/>
    <w:rsid w:val="00860BD7"/>
    <w:rsid w:val="00860CF0"/>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BBD"/>
    <w:rsid w:val="00862C8A"/>
    <w:rsid w:val="00862CB3"/>
    <w:rsid w:val="00862F19"/>
    <w:rsid w:val="008633A2"/>
    <w:rsid w:val="008634F7"/>
    <w:rsid w:val="00863626"/>
    <w:rsid w:val="008638CC"/>
    <w:rsid w:val="00863BBD"/>
    <w:rsid w:val="00863C9D"/>
    <w:rsid w:val="008645B9"/>
    <w:rsid w:val="00864762"/>
    <w:rsid w:val="008647B1"/>
    <w:rsid w:val="0086493E"/>
    <w:rsid w:val="00864C3E"/>
    <w:rsid w:val="00864D1E"/>
    <w:rsid w:val="00864D9A"/>
    <w:rsid w:val="00864E70"/>
    <w:rsid w:val="0086509F"/>
    <w:rsid w:val="00865414"/>
    <w:rsid w:val="0086543F"/>
    <w:rsid w:val="008656C3"/>
    <w:rsid w:val="00865AB2"/>
    <w:rsid w:val="00865B0D"/>
    <w:rsid w:val="00865DF5"/>
    <w:rsid w:val="00865F05"/>
    <w:rsid w:val="00865F0C"/>
    <w:rsid w:val="00866154"/>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27"/>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2CF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5F7"/>
    <w:rsid w:val="00885633"/>
    <w:rsid w:val="00885811"/>
    <w:rsid w:val="00885D46"/>
    <w:rsid w:val="00885D73"/>
    <w:rsid w:val="00885EB7"/>
    <w:rsid w:val="00885F02"/>
    <w:rsid w:val="008861C6"/>
    <w:rsid w:val="0088631A"/>
    <w:rsid w:val="008864F4"/>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583"/>
    <w:rsid w:val="00891B95"/>
    <w:rsid w:val="00891CB4"/>
    <w:rsid w:val="00891CBC"/>
    <w:rsid w:val="008923EF"/>
    <w:rsid w:val="008924F1"/>
    <w:rsid w:val="00892554"/>
    <w:rsid w:val="008927ED"/>
    <w:rsid w:val="0089297A"/>
    <w:rsid w:val="00892A3A"/>
    <w:rsid w:val="00892A8C"/>
    <w:rsid w:val="00892DD0"/>
    <w:rsid w:val="00892DDB"/>
    <w:rsid w:val="00892F17"/>
    <w:rsid w:val="00893391"/>
    <w:rsid w:val="008933EB"/>
    <w:rsid w:val="00893435"/>
    <w:rsid w:val="00893470"/>
    <w:rsid w:val="008938DF"/>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4BE"/>
    <w:rsid w:val="008955B1"/>
    <w:rsid w:val="00895B7D"/>
    <w:rsid w:val="00895B87"/>
    <w:rsid w:val="00895BD8"/>
    <w:rsid w:val="00896127"/>
    <w:rsid w:val="00896206"/>
    <w:rsid w:val="008968C2"/>
    <w:rsid w:val="00896964"/>
    <w:rsid w:val="00896BFE"/>
    <w:rsid w:val="00896C9E"/>
    <w:rsid w:val="00896D12"/>
    <w:rsid w:val="008972B0"/>
    <w:rsid w:val="0089742E"/>
    <w:rsid w:val="0089762D"/>
    <w:rsid w:val="008978F0"/>
    <w:rsid w:val="008979A2"/>
    <w:rsid w:val="00897CD7"/>
    <w:rsid w:val="008A0463"/>
    <w:rsid w:val="008A04C8"/>
    <w:rsid w:val="008A069D"/>
    <w:rsid w:val="008A0767"/>
    <w:rsid w:val="008A0B3C"/>
    <w:rsid w:val="008A0F40"/>
    <w:rsid w:val="008A198E"/>
    <w:rsid w:val="008A1BAB"/>
    <w:rsid w:val="008A1C80"/>
    <w:rsid w:val="008A1CC1"/>
    <w:rsid w:val="008A1E23"/>
    <w:rsid w:val="008A237E"/>
    <w:rsid w:val="008A2407"/>
    <w:rsid w:val="008A242B"/>
    <w:rsid w:val="008A25CA"/>
    <w:rsid w:val="008A25FF"/>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1B"/>
    <w:rsid w:val="008A4796"/>
    <w:rsid w:val="008A4A77"/>
    <w:rsid w:val="008A4B7E"/>
    <w:rsid w:val="008A4D9A"/>
    <w:rsid w:val="008A4EB4"/>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906"/>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A8"/>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89D"/>
    <w:rsid w:val="008B3CD3"/>
    <w:rsid w:val="008B3EB4"/>
    <w:rsid w:val="008B3EE8"/>
    <w:rsid w:val="008B400F"/>
    <w:rsid w:val="008B4139"/>
    <w:rsid w:val="008B41F0"/>
    <w:rsid w:val="008B42B2"/>
    <w:rsid w:val="008B439A"/>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3B5"/>
    <w:rsid w:val="008C0435"/>
    <w:rsid w:val="008C052B"/>
    <w:rsid w:val="008C058F"/>
    <w:rsid w:val="008C08C8"/>
    <w:rsid w:val="008C08EE"/>
    <w:rsid w:val="008C0967"/>
    <w:rsid w:val="008C0A33"/>
    <w:rsid w:val="008C0B66"/>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8ED"/>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783"/>
    <w:rsid w:val="008C7B20"/>
    <w:rsid w:val="008C7C1A"/>
    <w:rsid w:val="008C7D23"/>
    <w:rsid w:val="008D00D3"/>
    <w:rsid w:val="008D026A"/>
    <w:rsid w:val="008D07E6"/>
    <w:rsid w:val="008D0C28"/>
    <w:rsid w:val="008D0C7A"/>
    <w:rsid w:val="008D0DEB"/>
    <w:rsid w:val="008D0F99"/>
    <w:rsid w:val="008D1172"/>
    <w:rsid w:val="008D11C8"/>
    <w:rsid w:val="008D11DF"/>
    <w:rsid w:val="008D1358"/>
    <w:rsid w:val="008D19C5"/>
    <w:rsid w:val="008D19F7"/>
    <w:rsid w:val="008D1AA5"/>
    <w:rsid w:val="008D1B24"/>
    <w:rsid w:val="008D1B57"/>
    <w:rsid w:val="008D1B8D"/>
    <w:rsid w:val="008D1BF7"/>
    <w:rsid w:val="008D1C7B"/>
    <w:rsid w:val="008D1DAE"/>
    <w:rsid w:val="008D1F24"/>
    <w:rsid w:val="008D208D"/>
    <w:rsid w:val="008D216F"/>
    <w:rsid w:val="008D242A"/>
    <w:rsid w:val="008D24ED"/>
    <w:rsid w:val="008D2845"/>
    <w:rsid w:val="008D2A8B"/>
    <w:rsid w:val="008D2CC8"/>
    <w:rsid w:val="008D2E4C"/>
    <w:rsid w:val="008D2F10"/>
    <w:rsid w:val="008D33F2"/>
    <w:rsid w:val="008D3421"/>
    <w:rsid w:val="008D365B"/>
    <w:rsid w:val="008D373D"/>
    <w:rsid w:val="008D3761"/>
    <w:rsid w:val="008D37EB"/>
    <w:rsid w:val="008D3907"/>
    <w:rsid w:val="008D3E2A"/>
    <w:rsid w:val="008D3E9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242"/>
    <w:rsid w:val="008D6760"/>
    <w:rsid w:val="008D68F4"/>
    <w:rsid w:val="008D694B"/>
    <w:rsid w:val="008D6A14"/>
    <w:rsid w:val="008D6D26"/>
    <w:rsid w:val="008D6F8B"/>
    <w:rsid w:val="008D6FAF"/>
    <w:rsid w:val="008D70BC"/>
    <w:rsid w:val="008D74A7"/>
    <w:rsid w:val="008D74A9"/>
    <w:rsid w:val="008D74B5"/>
    <w:rsid w:val="008D7582"/>
    <w:rsid w:val="008D7609"/>
    <w:rsid w:val="008D765C"/>
    <w:rsid w:val="008D7A32"/>
    <w:rsid w:val="008D7B67"/>
    <w:rsid w:val="008D7BAB"/>
    <w:rsid w:val="008D7C14"/>
    <w:rsid w:val="008D7D28"/>
    <w:rsid w:val="008D7E86"/>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33"/>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00"/>
    <w:rsid w:val="008E4D85"/>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A8F"/>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1EE8"/>
    <w:rsid w:val="008F2218"/>
    <w:rsid w:val="008F22A6"/>
    <w:rsid w:val="008F2342"/>
    <w:rsid w:val="008F23EF"/>
    <w:rsid w:val="008F245D"/>
    <w:rsid w:val="008F24D9"/>
    <w:rsid w:val="008F25AF"/>
    <w:rsid w:val="008F2700"/>
    <w:rsid w:val="008F271E"/>
    <w:rsid w:val="008F2982"/>
    <w:rsid w:val="008F298A"/>
    <w:rsid w:val="008F2A75"/>
    <w:rsid w:val="008F2DCE"/>
    <w:rsid w:val="008F2F30"/>
    <w:rsid w:val="008F334F"/>
    <w:rsid w:val="008F3A24"/>
    <w:rsid w:val="008F3CB2"/>
    <w:rsid w:val="008F3DCB"/>
    <w:rsid w:val="008F40F9"/>
    <w:rsid w:val="008F420A"/>
    <w:rsid w:val="008F4334"/>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97"/>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34"/>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CC0"/>
    <w:rsid w:val="00911DB0"/>
    <w:rsid w:val="00911E9A"/>
    <w:rsid w:val="00911F43"/>
    <w:rsid w:val="009121A7"/>
    <w:rsid w:val="00912218"/>
    <w:rsid w:val="009125E8"/>
    <w:rsid w:val="0091271A"/>
    <w:rsid w:val="0091285C"/>
    <w:rsid w:val="00912C4A"/>
    <w:rsid w:val="00912E79"/>
    <w:rsid w:val="00913077"/>
    <w:rsid w:val="00913340"/>
    <w:rsid w:val="0091334E"/>
    <w:rsid w:val="0091366F"/>
    <w:rsid w:val="009137E6"/>
    <w:rsid w:val="009138AF"/>
    <w:rsid w:val="00913AB1"/>
    <w:rsid w:val="00913F2E"/>
    <w:rsid w:val="00913FB0"/>
    <w:rsid w:val="00914315"/>
    <w:rsid w:val="00914434"/>
    <w:rsid w:val="00914541"/>
    <w:rsid w:val="009148C0"/>
    <w:rsid w:val="00914ADC"/>
    <w:rsid w:val="00914B9E"/>
    <w:rsid w:val="00914C92"/>
    <w:rsid w:val="00914CBD"/>
    <w:rsid w:val="00914CD6"/>
    <w:rsid w:val="00914E6A"/>
    <w:rsid w:val="0091511B"/>
    <w:rsid w:val="009152B4"/>
    <w:rsid w:val="00915818"/>
    <w:rsid w:val="00915A84"/>
    <w:rsid w:val="00915CA8"/>
    <w:rsid w:val="0091609D"/>
    <w:rsid w:val="009160C5"/>
    <w:rsid w:val="0091610E"/>
    <w:rsid w:val="0091658E"/>
    <w:rsid w:val="0091665C"/>
    <w:rsid w:val="0091667B"/>
    <w:rsid w:val="00916843"/>
    <w:rsid w:val="009168CA"/>
    <w:rsid w:val="00916F01"/>
    <w:rsid w:val="00916FDE"/>
    <w:rsid w:val="009170BD"/>
    <w:rsid w:val="009170C8"/>
    <w:rsid w:val="009170E8"/>
    <w:rsid w:val="00917156"/>
    <w:rsid w:val="0091717B"/>
    <w:rsid w:val="00917314"/>
    <w:rsid w:val="009173D9"/>
    <w:rsid w:val="00917463"/>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C46"/>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B2"/>
    <w:rsid w:val="009228FA"/>
    <w:rsid w:val="00922A06"/>
    <w:rsid w:val="00922A94"/>
    <w:rsid w:val="00922AA6"/>
    <w:rsid w:val="00922BE5"/>
    <w:rsid w:val="00922C9F"/>
    <w:rsid w:val="00923034"/>
    <w:rsid w:val="009231DA"/>
    <w:rsid w:val="00923234"/>
    <w:rsid w:val="00923763"/>
    <w:rsid w:val="00923842"/>
    <w:rsid w:val="009238E8"/>
    <w:rsid w:val="009239EC"/>
    <w:rsid w:val="00923C11"/>
    <w:rsid w:val="00923CC7"/>
    <w:rsid w:val="00923CEE"/>
    <w:rsid w:val="00923DA7"/>
    <w:rsid w:val="009245BA"/>
    <w:rsid w:val="009245BB"/>
    <w:rsid w:val="00924790"/>
    <w:rsid w:val="00924837"/>
    <w:rsid w:val="00924A63"/>
    <w:rsid w:val="00924C62"/>
    <w:rsid w:val="00924CB4"/>
    <w:rsid w:val="00924CE3"/>
    <w:rsid w:val="00924CE5"/>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A8B"/>
    <w:rsid w:val="00927C90"/>
    <w:rsid w:val="00927D1E"/>
    <w:rsid w:val="009302D1"/>
    <w:rsid w:val="009306F9"/>
    <w:rsid w:val="009309B4"/>
    <w:rsid w:val="00930A9B"/>
    <w:rsid w:val="00930B8B"/>
    <w:rsid w:val="00930C4E"/>
    <w:rsid w:val="00930CDA"/>
    <w:rsid w:val="00930D43"/>
    <w:rsid w:val="00930EA4"/>
    <w:rsid w:val="00930FF5"/>
    <w:rsid w:val="009311EF"/>
    <w:rsid w:val="0093136E"/>
    <w:rsid w:val="00931419"/>
    <w:rsid w:val="0093179A"/>
    <w:rsid w:val="0093196E"/>
    <w:rsid w:val="0093198C"/>
    <w:rsid w:val="0093253B"/>
    <w:rsid w:val="0093265C"/>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BC"/>
    <w:rsid w:val="009354F5"/>
    <w:rsid w:val="009356B9"/>
    <w:rsid w:val="009356C9"/>
    <w:rsid w:val="00935768"/>
    <w:rsid w:val="00935863"/>
    <w:rsid w:val="00935D6F"/>
    <w:rsid w:val="00936111"/>
    <w:rsid w:val="0093626D"/>
    <w:rsid w:val="00936680"/>
    <w:rsid w:val="009366AD"/>
    <w:rsid w:val="009368BB"/>
    <w:rsid w:val="00936C6B"/>
    <w:rsid w:val="00936D9E"/>
    <w:rsid w:val="00936F91"/>
    <w:rsid w:val="00937052"/>
    <w:rsid w:val="009373B9"/>
    <w:rsid w:val="0093746C"/>
    <w:rsid w:val="00937644"/>
    <w:rsid w:val="00937B39"/>
    <w:rsid w:val="009400EF"/>
    <w:rsid w:val="009401D0"/>
    <w:rsid w:val="00940263"/>
    <w:rsid w:val="009403C7"/>
    <w:rsid w:val="00940474"/>
    <w:rsid w:val="009404F9"/>
    <w:rsid w:val="00940666"/>
    <w:rsid w:val="009408EC"/>
    <w:rsid w:val="00940AEC"/>
    <w:rsid w:val="00940B98"/>
    <w:rsid w:val="00940BB6"/>
    <w:rsid w:val="00940BF4"/>
    <w:rsid w:val="00940C98"/>
    <w:rsid w:val="00940D3C"/>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286"/>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6E9"/>
    <w:rsid w:val="00950706"/>
    <w:rsid w:val="009508D2"/>
    <w:rsid w:val="00950A6C"/>
    <w:rsid w:val="00950AAC"/>
    <w:rsid w:val="00950AB4"/>
    <w:rsid w:val="00951531"/>
    <w:rsid w:val="00951758"/>
    <w:rsid w:val="009517B8"/>
    <w:rsid w:val="009519F3"/>
    <w:rsid w:val="00951A27"/>
    <w:rsid w:val="00951D82"/>
    <w:rsid w:val="00951DE6"/>
    <w:rsid w:val="00951FE3"/>
    <w:rsid w:val="00952277"/>
    <w:rsid w:val="0095251F"/>
    <w:rsid w:val="009525DB"/>
    <w:rsid w:val="00952604"/>
    <w:rsid w:val="00952779"/>
    <w:rsid w:val="00952801"/>
    <w:rsid w:val="00952846"/>
    <w:rsid w:val="00952860"/>
    <w:rsid w:val="0095293C"/>
    <w:rsid w:val="00952AF8"/>
    <w:rsid w:val="00952BCC"/>
    <w:rsid w:val="00952DF4"/>
    <w:rsid w:val="00952F68"/>
    <w:rsid w:val="00952FB1"/>
    <w:rsid w:val="00952FDE"/>
    <w:rsid w:val="00952FF7"/>
    <w:rsid w:val="009533F0"/>
    <w:rsid w:val="0095370F"/>
    <w:rsid w:val="00953740"/>
    <w:rsid w:val="009538E8"/>
    <w:rsid w:val="00953904"/>
    <w:rsid w:val="00953A28"/>
    <w:rsid w:val="00953B34"/>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B"/>
    <w:rsid w:val="0095634D"/>
    <w:rsid w:val="00956636"/>
    <w:rsid w:val="0095674C"/>
    <w:rsid w:val="00956C12"/>
    <w:rsid w:val="00956DAB"/>
    <w:rsid w:val="009576B3"/>
    <w:rsid w:val="00957747"/>
    <w:rsid w:val="009577BA"/>
    <w:rsid w:val="009578F0"/>
    <w:rsid w:val="00957AE1"/>
    <w:rsid w:val="00957C00"/>
    <w:rsid w:val="00957C4E"/>
    <w:rsid w:val="00957CB5"/>
    <w:rsid w:val="00957FBA"/>
    <w:rsid w:val="009606E9"/>
    <w:rsid w:val="0096076A"/>
    <w:rsid w:val="00960981"/>
    <w:rsid w:val="009609D0"/>
    <w:rsid w:val="00960A2A"/>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76"/>
    <w:rsid w:val="00961E94"/>
    <w:rsid w:val="0096204D"/>
    <w:rsid w:val="009620AB"/>
    <w:rsid w:val="009623CA"/>
    <w:rsid w:val="009628ED"/>
    <w:rsid w:val="0096292A"/>
    <w:rsid w:val="00962995"/>
    <w:rsid w:val="0096299A"/>
    <w:rsid w:val="00962B1A"/>
    <w:rsid w:val="00962B51"/>
    <w:rsid w:val="00962CD6"/>
    <w:rsid w:val="009632EE"/>
    <w:rsid w:val="009634DD"/>
    <w:rsid w:val="00963547"/>
    <w:rsid w:val="009636E9"/>
    <w:rsid w:val="00963705"/>
    <w:rsid w:val="00963710"/>
    <w:rsid w:val="009637A9"/>
    <w:rsid w:val="00963872"/>
    <w:rsid w:val="00963C5A"/>
    <w:rsid w:val="00963F36"/>
    <w:rsid w:val="00964197"/>
    <w:rsid w:val="00964293"/>
    <w:rsid w:val="0096481A"/>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95F"/>
    <w:rsid w:val="00970ACC"/>
    <w:rsid w:val="00970C01"/>
    <w:rsid w:val="00970E59"/>
    <w:rsid w:val="00970E70"/>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74"/>
    <w:rsid w:val="009733BA"/>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874"/>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B92"/>
    <w:rsid w:val="00980EC9"/>
    <w:rsid w:val="00981009"/>
    <w:rsid w:val="00981129"/>
    <w:rsid w:val="0098138D"/>
    <w:rsid w:val="0098165B"/>
    <w:rsid w:val="00981D34"/>
    <w:rsid w:val="00981DCC"/>
    <w:rsid w:val="009820D0"/>
    <w:rsid w:val="00982171"/>
    <w:rsid w:val="009821E1"/>
    <w:rsid w:val="0098229E"/>
    <w:rsid w:val="00982649"/>
    <w:rsid w:val="009827D6"/>
    <w:rsid w:val="009828C1"/>
    <w:rsid w:val="00982AB7"/>
    <w:rsid w:val="00982C2F"/>
    <w:rsid w:val="00982DF1"/>
    <w:rsid w:val="00982E88"/>
    <w:rsid w:val="00982EDC"/>
    <w:rsid w:val="009836AB"/>
    <w:rsid w:val="009836C3"/>
    <w:rsid w:val="009836F3"/>
    <w:rsid w:val="009839ED"/>
    <w:rsid w:val="00983DF4"/>
    <w:rsid w:val="009840B2"/>
    <w:rsid w:val="009841EB"/>
    <w:rsid w:val="009843D2"/>
    <w:rsid w:val="0098446D"/>
    <w:rsid w:val="009846CB"/>
    <w:rsid w:val="00984798"/>
    <w:rsid w:val="00984B72"/>
    <w:rsid w:val="00984D78"/>
    <w:rsid w:val="00984DB4"/>
    <w:rsid w:val="00984E85"/>
    <w:rsid w:val="0098566D"/>
    <w:rsid w:val="00985747"/>
    <w:rsid w:val="00985935"/>
    <w:rsid w:val="009859F8"/>
    <w:rsid w:val="00985CDA"/>
    <w:rsid w:val="00986336"/>
    <w:rsid w:val="009864E8"/>
    <w:rsid w:val="009865FF"/>
    <w:rsid w:val="00986759"/>
    <w:rsid w:val="009869B0"/>
    <w:rsid w:val="00986A20"/>
    <w:rsid w:val="00986AF5"/>
    <w:rsid w:val="00986B15"/>
    <w:rsid w:val="00986B23"/>
    <w:rsid w:val="00986CFA"/>
    <w:rsid w:val="00986EA5"/>
    <w:rsid w:val="00986F75"/>
    <w:rsid w:val="00987256"/>
    <w:rsid w:val="0098736A"/>
    <w:rsid w:val="00987603"/>
    <w:rsid w:val="009878FE"/>
    <w:rsid w:val="00987A5E"/>
    <w:rsid w:val="00987A7F"/>
    <w:rsid w:val="00987A95"/>
    <w:rsid w:val="00987CBD"/>
    <w:rsid w:val="00987D10"/>
    <w:rsid w:val="00987F74"/>
    <w:rsid w:val="0099036B"/>
    <w:rsid w:val="0099047C"/>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3D3"/>
    <w:rsid w:val="00993493"/>
    <w:rsid w:val="0099356F"/>
    <w:rsid w:val="00993723"/>
    <w:rsid w:val="00993740"/>
    <w:rsid w:val="0099377A"/>
    <w:rsid w:val="009937E3"/>
    <w:rsid w:val="009938EE"/>
    <w:rsid w:val="00993A1C"/>
    <w:rsid w:val="00993A92"/>
    <w:rsid w:val="00993BEA"/>
    <w:rsid w:val="00993EA0"/>
    <w:rsid w:val="00993F05"/>
    <w:rsid w:val="00994014"/>
    <w:rsid w:val="009940E7"/>
    <w:rsid w:val="00994237"/>
    <w:rsid w:val="00994326"/>
    <w:rsid w:val="0099451B"/>
    <w:rsid w:val="0099488C"/>
    <w:rsid w:val="009948CE"/>
    <w:rsid w:val="009948E7"/>
    <w:rsid w:val="00994A61"/>
    <w:rsid w:val="00994DB3"/>
    <w:rsid w:val="00994DD0"/>
    <w:rsid w:val="00994E02"/>
    <w:rsid w:val="00994FD4"/>
    <w:rsid w:val="009950C1"/>
    <w:rsid w:val="00995298"/>
    <w:rsid w:val="00995304"/>
    <w:rsid w:val="009955C8"/>
    <w:rsid w:val="00995606"/>
    <w:rsid w:val="0099565E"/>
    <w:rsid w:val="009956B6"/>
    <w:rsid w:val="0099573D"/>
    <w:rsid w:val="009958F2"/>
    <w:rsid w:val="0099592B"/>
    <w:rsid w:val="00995CA2"/>
    <w:rsid w:val="00995D76"/>
    <w:rsid w:val="00995DA0"/>
    <w:rsid w:val="00995E4A"/>
    <w:rsid w:val="00995F58"/>
    <w:rsid w:val="00995FFF"/>
    <w:rsid w:val="0099605A"/>
    <w:rsid w:val="009962BB"/>
    <w:rsid w:val="009963B2"/>
    <w:rsid w:val="0099643D"/>
    <w:rsid w:val="0099688E"/>
    <w:rsid w:val="009969CA"/>
    <w:rsid w:val="0099708C"/>
    <w:rsid w:val="0099709E"/>
    <w:rsid w:val="00997308"/>
    <w:rsid w:val="0099735C"/>
    <w:rsid w:val="00997395"/>
    <w:rsid w:val="00997495"/>
    <w:rsid w:val="0099762E"/>
    <w:rsid w:val="0099780B"/>
    <w:rsid w:val="0099785E"/>
    <w:rsid w:val="00997AC8"/>
    <w:rsid w:val="00997E5D"/>
    <w:rsid w:val="009A021D"/>
    <w:rsid w:val="009A04C9"/>
    <w:rsid w:val="009A0512"/>
    <w:rsid w:val="009A0D3B"/>
    <w:rsid w:val="009A0F97"/>
    <w:rsid w:val="009A120B"/>
    <w:rsid w:val="009A133D"/>
    <w:rsid w:val="009A139E"/>
    <w:rsid w:val="009A148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C8D"/>
    <w:rsid w:val="009A5D2A"/>
    <w:rsid w:val="009A5E2B"/>
    <w:rsid w:val="009A62D2"/>
    <w:rsid w:val="009A6737"/>
    <w:rsid w:val="009A6B12"/>
    <w:rsid w:val="009A6E3E"/>
    <w:rsid w:val="009A715B"/>
    <w:rsid w:val="009A720E"/>
    <w:rsid w:val="009A72D1"/>
    <w:rsid w:val="009A73D5"/>
    <w:rsid w:val="009A7630"/>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1F4C"/>
    <w:rsid w:val="009B2084"/>
    <w:rsid w:val="009B21D9"/>
    <w:rsid w:val="009B233A"/>
    <w:rsid w:val="009B24F6"/>
    <w:rsid w:val="009B264A"/>
    <w:rsid w:val="009B2773"/>
    <w:rsid w:val="009B27D5"/>
    <w:rsid w:val="009B2981"/>
    <w:rsid w:val="009B2A33"/>
    <w:rsid w:val="009B2B63"/>
    <w:rsid w:val="009B2F2F"/>
    <w:rsid w:val="009B33F8"/>
    <w:rsid w:val="009B3411"/>
    <w:rsid w:val="009B36C6"/>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4B8"/>
    <w:rsid w:val="009B64BE"/>
    <w:rsid w:val="009B67A2"/>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DFE"/>
    <w:rsid w:val="009C1FBB"/>
    <w:rsid w:val="009C1FCE"/>
    <w:rsid w:val="009C2579"/>
    <w:rsid w:val="009C25D7"/>
    <w:rsid w:val="009C2819"/>
    <w:rsid w:val="009C2AD3"/>
    <w:rsid w:val="009C2E42"/>
    <w:rsid w:val="009C3097"/>
    <w:rsid w:val="009C32A3"/>
    <w:rsid w:val="009C3482"/>
    <w:rsid w:val="009C3486"/>
    <w:rsid w:val="009C3875"/>
    <w:rsid w:val="009C3CF4"/>
    <w:rsid w:val="009C3CFE"/>
    <w:rsid w:val="009C3EA4"/>
    <w:rsid w:val="009C406A"/>
    <w:rsid w:val="009C418A"/>
    <w:rsid w:val="009C42EE"/>
    <w:rsid w:val="009C44CD"/>
    <w:rsid w:val="009C45C5"/>
    <w:rsid w:val="009C45EF"/>
    <w:rsid w:val="009C49DA"/>
    <w:rsid w:val="009C4B2A"/>
    <w:rsid w:val="009C4C3A"/>
    <w:rsid w:val="009C4CA4"/>
    <w:rsid w:val="009C504B"/>
    <w:rsid w:val="009C51B7"/>
    <w:rsid w:val="009C51EC"/>
    <w:rsid w:val="009C5292"/>
    <w:rsid w:val="009C53B5"/>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2E"/>
    <w:rsid w:val="009C6CAF"/>
    <w:rsid w:val="009C6CBB"/>
    <w:rsid w:val="009C6EF6"/>
    <w:rsid w:val="009C6F46"/>
    <w:rsid w:val="009C71EE"/>
    <w:rsid w:val="009C72A1"/>
    <w:rsid w:val="009C72D8"/>
    <w:rsid w:val="009C72E6"/>
    <w:rsid w:val="009C7423"/>
    <w:rsid w:val="009C75A3"/>
    <w:rsid w:val="009C78A0"/>
    <w:rsid w:val="009C7C37"/>
    <w:rsid w:val="009D0003"/>
    <w:rsid w:val="009D0248"/>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3B6"/>
    <w:rsid w:val="009D27AC"/>
    <w:rsid w:val="009D2A80"/>
    <w:rsid w:val="009D2B5A"/>
    <w:rsid w:val="009D2B8F"/>
    <w:rsid w:val="009D2C18"/>
    <w:rsid w:val="009D2C19"/>
    <w:rsid w:val="009D2C8A"/>
    <w:rsid w:val="009D316B"/>
    <w:rsid w:val="009D3350"/>
    <w:rsid w:val="009D3412"/>
    <w:rsid w:val="009D3A8D"/>
    <w:rsid w:val="009D3B84"/>
    <w:rsid w:val="009D3C33"/>
    <w:rsid w:val="009D3CE6"/>
    <w:rsid w:val="009D3F41"/>
    <w:rsid w:val="009D403B"/>
    <w:rsid w:val="009D4344"/>
    <w:rsid w:val="009D459C"/>
    <w:rsid w:val="009D470F"/>
    <w:rsid w:val="009D4A13"/>
    <w:rsid w:val="009D4BC6"/>
    <w:rsid w:val="009D4CB8"/>
    <w:rsid w:val="009D4DB0"/>
    <w:rsid w:val="009D4F62"/>
    <w:rsid w:val="009D5015"/>
    <w:rsid w:val="009D513C"/>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293"/>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C41"/>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496"/>
    <w:rsid w:val="009E2533"/>
    <w:rsid w:val="009E25AA"/>
    <w:rsid w:val="009E267A"/>
    <w:rsid w:val="009E2709"/>
    <w:rsid w:val="009E271E"/>
    <w:rsid w:val="009E28FB"/>
    <w:rsid w:val="009E302B"/>
    <w:rsid w:val="009E3533"/>
    <w:rsid w:val="009E398D"/>
    <w:rsid w:val="009E39AA"/>
    <w:rsid w:val="009E4A6A"/>
    <w:rsid w:val="009E4EF7"/>
    <w:rsid w:val="009E505E"/>
    <w:rsid w:val="009E51F0"/>
    <w:rsid w:val="009E53B0"/>
    <w:rsid w:val="009E5427"/>
    <w:rsid w:val="009E5506"/>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D0C"/>
    <w:rsid w:val="009F1E22"/>
    <w:rsid w:val="009F2076"/>
    <w:rsid w:val="009F2295"/>
    <w:rsid w:val="009F2467"/>
    <w:rsid w:val="009F297A"/>
    <w:rsid w:val="009F2B85"/>
    <w:rsid w:val="009F302A"/>
    <w:rsid w:val="009F3032"/>
    <w:rsid w:val="009F31A7"/>
    <w:rsid w:val="009F33DC"/>
    <w:rsid w:val="009F3821"/>
    <w:rsid w:val="009F3920"/>
    <w:rsid w:val="009F3948"/>
    <w:rsid w:val="009F3A1F"/>
    <w:rsid w:val="009F3DB3"/>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76F"/>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4C6"/>
    <w:rsid w:val="009F761D"/>
    <w:rsid w:val="009F7866"/>
    <w:rsid w:val="009F7902"/>
    <w:rsid w:val="00A00029"/>
    <w:rsid w:val="00A000E8"/>
    <w:rsid w:val="00A00524"/>
    <w:rsid w:val="00A00581"/>
    <w:rsid w:val="00A007BC"/>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BF6"/>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A0"/>
    <w:rsid w:val="00A102D1"/>
    <w:rsid w:val="00A1031F"/>
    <w:rsid w:val="00A10528"/>
    <w:rsid w:val="00A108F7"/>
    <w:rsid w:val="00A10914"/>
    <w:rsid w:val="00A10A9E"/>
    <w:rsid w:val="00A10CD3"/>
    <w:rsid w:val="00A10D24"/>
    <w:rsid w:val="00A10F73"/>
    <w:rsid w:val="00A1137A"/>
    <w:rsid w:val="00A113F3"/>
    <w:rsid w:val="00A115BF"/>
    <w:rsid w:val="00A11657"/>
    <w:rsid w:val="00A11863"/>
    <w:rsid w:val="00A118FA"/>
    <w:rsid w:val="00A1197B"/>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864"/>
    <w:rsid w:val="00A13894"/>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0D2"/>
    <w:rsid w:val="00A15341"/>
    <w:rsid w:val="00A155F1"/>
    <w:rsid w:val="00A15748"/>
    <w:rsid w:val="00A15789"/>
    <w:rsid w:val="00A158D0"/>
    <w:rsid w:val="00A15A0C"/>
    <w:rsid w:val="00A15BD6"/>
    <w:rsid w:val="00A15D2E"/>
    <w:rsid w:val="00A15D94"/>
    <w:rsid w:val="00A15E30"/>
    <w:rsid w:val="00A15F56"/>
    <w:rsid w:val="00A15FD3"/>
    <w:rsid w:val="00A16725"/>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7F7"/>
    <w:rsid w:val="00A2080F"/>
    <w:rsid w:val="00A20A0B"/>
    <w:rsid w:val="00A20A0C"/>
    <w:rsid w:val="00A20A26"/>
    <w:rsid w:val="00A20AC2"/>
    <w:rsid w:val="00A21031"/>
    <w:rsid w:val="00A212E5"/>
    <w:rsid w:val="00A21376"/>
    <w:rsid w:val="00A2150A"/>
    <w:rsid w:val="00A217F9"/>
    <w:rsid w:val="00A2180C"/>
    <w:rsid w:val="00A21940"/>
    <w:rsid w:val="00A219A3"/>
    <w:rsid w:val="00A21B27"/>
    <w:rsid w:val="00A21CAE"/>
    <w:rsid w:val="00A21E42"/>
    <w:rsid w:val="00A21E7F"/>
    <w:rsid w:val="00A21F45"/>
    <w:rsid w:val="00A2236B"/>
    <w:rsid w:val="00A22866"/>
    <w:rsid w:val="00A22DDE"/>
    <w:rsid w:val="00A23076"/>
    <w:rsid w:val="00A23117"/>
    <w:rsid w:val="00A238DC"/>
    <w:rsid w:val="00A239B8"/>
    <w:rsid w:val="00A23CA3"/>
    <w:rsid w:val="00A23D26"/>
    <w:rsid w:val="00A23E58"/>
    <w:rsid w:val="00A23E66"/>
    <w:rsid w:val="00A2429F"/>
    <w:rsid w:val="00A2433D"/>
    <w:rsid w:val="00A2433E"/>
    <w:rsid w:val="00A24445"/>
    <w:rsid w:val="00A24549"/>
    <w:rsid w:val="00A2467C"/>
    <w:rsid w:val="00A246C6"/>
    <w:rsid w:val="00A24820"/>
    <w:rsid w:val="00A2491F"/>
    <w:rsid w:val="00A24AA4"/>
    <w:rsid w:val="00A24C10"/>
    <w:rsid w:val="00A24C6C"/>
    <w:rsid w:val="00A24E28"/>
    <w:rsid w:val="00A24F0F"/>
    <w:rsid w:val="00A24F20"/>
    <w:rsid w:val="00A24FE5"/>
    <w:rsid w:val="00A25135"/>
    <w:rsid w:val="00A25204"/>
    <w:rsid w:val="00A25242"/>
    <w:rsid w:val="00A252ED"/>
    <w:rsid w:val="00A256F5"/>
    <w:rsid w:val="00A2590B"/>
    <w:rsid w:val="00A25C40"/>
    <w:rsid w:val="00A25DAE"/>
    <w:rsid w:val="00A25F76"/>
    <w:rsid w:val="00A25FE5"/>
    <w:rsid w:val="00A2612C"/>
    <w:rsid w:val="00A2625E"/>
    <w:rsid w:val="00A2628B"/>
    <w:rsid w:val="00A2656A"/>
    <w:rsid w:val="00A26617"/>
    <w:rsid w:val="00A266AD"/>
    <w:rsid w:val="00A26739"/>
    <w:rsid w:val="00A267BC"/>
    <w:rsid w:val="00A268AF"/>
    <w:rsid w:val="00A269EB"/>
    <w:rsid w:val="00A26A06"/>
    <w:rsid w:val="00A26B67"/>
    <w:rsid w:val="00A26C30"/>
    <w:rsid w:val="00A26D05"/>
    <w:rsid w:val="00A270AB"/>
    <w:rsid w:val="00A2723B"/>
    <w:rsid w:val="00A273B8"/>
    <w:rsid w:val="00A278A8"/>
    <w:rsid w:val="00A27C55"/>
    <w:rsid w:val="00A27D07"/>
    <w:rsid w:val="00A27E3F"/>
    <w:rsid w:val="00A27EE4"/>
    <w:rsid w:val="00A300BA"/>
    <w:rsid w:val="00A30141"/>
    <w:rsid w:val="00A30238"/>
    <w:rsid w:val="00A30292"/>
    <w:rsid w:val="00A302D6"/>
    <w:rsid w:val="00A30493"/>
    <w:rsid w:val="00A305DD"/>
    <w:rsid w:val="00A30B0B"/>
    <w:rsid w:val="00A30C53"/>
    <w:rsid w:val="00A30C76"/>
    <w:rsid w:val="00A30CDF"/>
    <w:rsid w:val="00A30DB6"/>
    <w:rsid w:val="00A31059"/>
    <w:rsid w:val="00A31572"/>
    <w:rsid w:val="00A316E5"/>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71"/>
    <w:rsid w:val="00A373C2"/>
    <w:rsid w:val="00A3758E"/>
    <w:rsid w:val="00A375F3"/>
    <w:rsid w:val="00A37608"/>
    <w:rsid w:val="00A37636"/>
    <w:rsid w:val="00A37707"/>
    <w:rsid w:val="00A37A89"/>
    <w:rsid w:val="00A37C61"/>
    <w:rsid w:val="00A37E45"/>
    <w:rsid w:val="00A40110"/>
    <w:rsid w:val="00A40405"/>
    <w:rsid w:val="00A40430"/>
    <w:rsid w:val="00A404E3"/>
    <w:rsid w:val="00A40558"/>
    <w:rsid w:val="00A40914"/>
    <w:rsid w:val="00A40AB2"/>
    <w:rsid w:val="00A40AED"/>
    <w:rsid w:val="00A40B5C"/>
    <w:rsid w:val="00A40BE8"/>
    <w:rsid w:val="00A40C65"/>
    <w:rsid w:val="00A40DFC"/>
    <w:rsid w:val="00A41273"/>
    <w:rsid w:val="00A415E6"/>
    <w:rsid w:val="00A41676"/>
    <w:rsid w:val="00A4189F"/>
    <w:rsid w:val="00A41AB4"/>
    <w:rsid w:val="00A41D04"/>
    <w:rsid w:val="00A41D6D"/>
    <w:rsid w:val="00A41EFA"/>
    <w:rsid w:val="00A4208F"/>
    <w:rsid w:val="00A4243C"/>
    <w:rsid w:val="00A42485"/>
    <w:rsid w:val="00A42623"/>
    <w:rsid w:val="00A429E7"/>
    <w:rsid w:val="00A42A55"/>
    <w:rsid w:val="00A42DC6"/>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4E8"/>
    <w:rsid w:val="00A4459E"/>
    <w:rsid w:val="00A44732"/>
    <w:rsid w:val="00A44789"/>
    <w:rsid w:val="00A44897"/>
    <w:rsid w:val="00A449CD"/>
    <w:rsid w:val="00A44A0E"/>
    <w:rsid w:val="00A44B68"/>
    <w:rsid w:val="00A44D3B"/>
    <w:rsid w:val="00A452EA"/>
    <w:rsid w:val="00A4538D"/>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903"/>
    <w:rsid w:val="00A50B6E"/>
    <w:rsid w:val="00A50BEE"/>
    <w:rsid w:val="00A50C46"/>
    <w:rsid w:val="00A50D15"/>
    <w:rsid w:val="00A50F5C"/>
    <w:rsid w:val="00A50FC2"/>
    <w:rsid w:val="00A510E3"/>
    <w:rsid w:val="00A514E9"/>
    <w:rsid w:val="00A5162C"/>
    <w:rsid w:val="00A51CC0"/>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05"/>
    <w:rsid w:val="00A5356F"/>
    <w:rsid w:val="00A53B53"/>
    <w:rsid w:val="00A53D3C"/>
    <w:rsid w:val="00A53FA7"/>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84"/>
    <w:rsid w:val="00A604CB"/>
    <w:rsid w:val="00A60626"/>
    <w:rsid w:val="00A606DD"/>
    <w:rsid w:val="00A60707"/>
    <w:rsid w:val="00A608BC"/>
    <w:rsid w:val="00A608F4"/>
    <w:rsid w:val="00A60920"/>
    <w:rsid w:val="00A60AB1"/>
    <w:rsid w:val="00A60ACC"/>
    <w:rsid w:val="00A60D21"/>
    <w:rsid w:val="00A60FAF"/>
    <w:rsid w:val="00A610FF"/>
    <w:rsid w:val="00A6134C"/>
    <w:rsid w:val="00A615E1"/>
    <w:rsid w:val="00A61ACE"/>
    <w:rsid w:val="00A61D2A"/>
    <w:rsid w:val="00A61E85"/>
    <w:rsid w:val="00A6211A"/>
    <w:rsid w:val="00A621A1"/>
    <w:rsid w:val="00A6223A"/>
    <w:rsid w:val="00A623EF"/>
    <w:rsid w:val="00A62684"/>
    <w:rsid w:val="00A62695"/>
    <w:rsid w:val="00A627CD"/>
    <w:rsid w:val="00A6281D"/>
    <w:rsid w:val="00A628D9"/>
    <w:rsid w:val="00A62AB9"/>
    <w:rsid w:val="00A62ACB"/>
    <w:rsid w:val="00A632E5"/>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2DE"/>
    <w:rsid w:val="00A66596"/>
    <w:rsid w:val="00A666C2"/>
    <w:rsid w:val="00A666FC"/>
    <w:rsid w:val="00A667C4"/>
    <w:rsid w:val="00A66B88"/>
    <w:rsid w:val="00A66CB2"/>
    <w:rsid w:val="00A66DDD"/>
    <w:rsid w:val="00A66F83"/>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462"/>
    <w:rsid w:val="00A71903"/>
    <w:rsid w:val="00A7199F"/>
    <w:rsid w:val="00A71A1F"/>
    <w:rsid w:val="00A71C5E"/>
    <w:rsid w:val="00A71D29"/>
    <w:rsid w:val="00A71E77"/>
    <w:rsid w:val="00A71ECA"/>
    <w:rsid w:val="00A71F32"/>
    <w:rsid w:val="00A71FD7"/>
    <w:rsid w:val="00A72194"/>
    <w:rsid w:val="00A72306"/>
    <w:rsid w:val="00A725AA"/>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2F6"/>
    <w:rsid w:val="00A755A4"/>
    <w:rsid w:val="00A7563F"/>
    <w:rsid w:val="00A757BF"/>
    <w:rsid w:val="00A7580D"/>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CD"/>
    <w:rsid w:val="00A775FD"/>
    <w:rsid w:val="00A77784"/>
    <w:rsid w:val="00A77807"/>
    <w:rsid w:val="00A77993"/>
    <w:rsid w:val="00A77B8E"/>
    <w:rsid w:val="00A80272"/>
    <w:rsid w:val="00A804D4"/>
    <w:rsid w:val="00A805DE"/>
    <w:rsid w:val="00A80976"/>
    <w:rsid w:val="00A809FD"/>
    <w:rsid w:val="00A80D5E"/>
    <w:rsid w:val="00A80D6F"/>
    <w:rsid w:val="00A80EEF"/>
    <w:rsid w:val="00A81355"/>
    <w:rsid w:val="00A8147F"/>
    <w:rsid w:val="00A81590"/>
    <w:rsid w:val="00A81693"/>
    <w:rsid w:val="00A81825"/>
    <w:rsid w:val="00A819B1"/>
    <w:rsid w:val="00A81C5F"/>
    <w:rsid w:val="00A81CA7"/>
    <w:rsid w:val="00A81D0F"/>
    <w:rsid w:val="00A81D97"/>
    <w:rsid w:val="00A821D9"/>
    <w:rsid w:val="00A822DB"/>
    <w:rsid w:val="00A8268D"/>
    <w:rsid w:val="00A8269C"/>
    <w:rsid w:val="00A826D4"/>
    <w:rsid w:val="00A82719"/>
    <w:rsid w:val="00A8272A"/>
    <w:rsid w:val="00A8277E"/>
    <w:rsid w:val="00A827BD"/>
    <w:rsid w:val="00A82A0F"/>
    <w:rsid w:val="00A82AB3"/>
    <w:rsid w:val="00A82B11"/>
    <w:rsid w:val="00A82B43"/>
    <w:rsid w:val="00A82B66"/>
    <w:rsid w:val="00A82C21"/>
    <w:rsid w:val="00A82E19"/>
    <w:rsid w:val="00A82F1D"/>
    <w:rsid w:val="00A8303C"/>
    <w:rsid w:val="00A83502"/>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42"/>
    <w:rsid w:val="00A85A79"/>
    <w:rsid w:val="00A85B24"/>
    <w:rsid w:val="00A85D22"/>
    <w:rsid w:val="00A85DB8"/>
    <w:rsid w:val="00A85DDA"/>
    <w:rsid w:val="00A85E33"/>
    <w:rsid w:val="00A860B6"/>
    <w:rsid w:val="00A86101"/>
    <w:rsid w:val="00A8616B"/>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A9"/>
    <w:rsid w:val="00A90DEA"/>
    <w:rsid w:val="00A90E34"/>
    <w:rsid w:val="00A90E6B"/>
    <w:rsid w:val="00A90E85"/>
    <w:rsid w:val="00A90FA1"/>
    <w:rsid w:val="00A90FA4"/>
    <w:rsid w:val="00A91174"/>
    <w:rsid w:val="00A9165D"/>
    <w:rsid w:val="00A9174A"/>
    <w:rsid w:val="00A91A1C"/>
    <w:rsid w:val="00A91A6F"/>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686"/>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79E"/>
    <w:rsid w:val="00AA089A"/>
    <w:rsid w:val="00AA09A4"/>
    <w:rsid w:val="00AA0A27"/>
    <w:rsid w:val="00AA0AA9"/>
    <w:rsid w:val="00AA1106"/>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A4"/>
    <w:rsid w:val="00AB01F4"/>
    <w:rsid w:val="00AB02E6"/>
    <w:rsid w:val="00AB05B1"/>
    <w:rsid w:val="00AB0645"/>
    <w:rsid w:val="00AB080A"/>
    <w:rsid w:val="00AB0869"/>
    <w:rsid w:val="00AB0953"/>
    <w:rsid w:val="00AB0990"/>
    <w:rsid w:val="00AB0A9D"/>
    <w:rsid w:val="00AB0B8A"/>
    <w:rsid w:val="00AB0B8D"/>
    <w:rsid w:val="00AB1678"/>
    <w:rsid w:val="00AB16D4"/>
    <w:rsid w:val="00AB17A8"/>
    <w:rsid w:val="00AB1967"/>
    <w:rsid w:val="00AB1FCB"/>
    <w:rsid w:val="00AB2098"/>
    <w:rsid w:val="00AB26B5"/>
    <w:rsid w:val="00AB2E6E"/>
    <w:rsid w:val="00AB2EC7"/>
    <w:rsid w:val="00AB2FA7"/>
    <w:rsid w:val="00AB303F"/>
    <w:rsid w:val="00AB3097"/>
    <w:rsid w:val="00AB3197"/>
    <w:rsid w:val="00AB31EB"/>
    <w:rsid w:val="00AB32D3"/>
    <w:rsid w:val="00AB338F"/>
    <w:rsid w:val="00AB348C"/>
    <w:rsid w:val="00AB34BD"/>
    <w:rsid w:val="00AB3566"/>
    <w:rsid w:val="00AB36B0"/>
    <w:rsid w:val="00AB38F7"/>
    <w:rsid w:val="00AB3957"/>
    <w:rsid w:val="00AB3A06"/>
    <w:rsid w:val="00AB3AAE"/>
    <w:rsid w:val="00AB3B39"/>
    <w:rsid w:val="00AB3B93"/>
    <w:rsid w:val="00AB3D53"/>
    <w:rsid w:val="00AB3E6E"/>
    <w:rsid w:val="00AB4283"/>
    <w:rsid w:val="00AB462E"/>
    <w:rsid w:val="00AB4A81"/>
    <w:rsid w:val="00AB4B02"/>
    <w:rsid w:val="00AB4BA3"/>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E5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D6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4F42"/>
    <w:rsid w:val="00AC511C"/>
    <w:rsid w:val="00AC5357"/>
    <w:rsid w:val="00AC566A"/>
    <w:rsid w:val="00AC5DDE"/>
    <w:rsid w:val="00AC5F08"/>
    <w:rsid w:val="00AC614A"/>
    <w:rsid w:val="00AC62E4"/>
    <w:rsid w:val="00AC62F8"/>
    <w:rsid w:val="00AC649D"/>
    <w:rsid w:val="00AC64A3"/>
    <w:rsid w:val="00AC652D"/>
    <w:rsid w:val="00AC6845"/>
    <w:rsid w:val="00AC6A5A"/>
    <w:rsid w:val="00AC6A9B"/>
    <w:rsid w:val="00AC6CA4"/>
    <w:rsid w:val="00AC6F2E"/>
    <w:rsid w:val="00AC6F50"/>
    <w:rsid w:val="00AC7115"/>
    <w:rsid w:val="00AC7282"/>
    <w:rsid w:val="00AC736F"/>
    <w:rsid w:val="00AC756F"/>
    <w:rsid w:val="00AC7694"/>
    <w:rsid w:val="00AC7D08"/>
    <w:rsid w:val="00AC7DAA"/>
    <w:rsid w:val="00AD0099"/>
    <w:rsid w:val="00AD0135"/>
    <w:rsid w:val="00AD06E3"/>
    <w:rsid w:val="00AD0AF2"/>
    <w:rsid w:val="00AD0D6E"/>
    <w:rsid w:val="00AD0F8B"/>
    <w:rsid w:val="00AD1124"/>
    <w:rsid w:val="00AD1174"/>
    <w:rsid w:val="00AD133D"/>
    <w:rsid w:val="00AD176A"/>
    <w:rsid w:val="00AD1808"/>
    <w:rsid w:val="00AD19BD"/>
    <w:rsid w:val="00AD1AFF"/>
    <w:rsid w:val="00AD209C"/>
    <w:rsid w:val="00AD235D"/>
    <w:rsid w:val="00AD238E"/>
    <w:rsid w:val="00AD2668"/>
    <w:rsid w:val="00AD26C2"/>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90B"/>
    <w:rsid w:val="00AD7A28"/>
    <w:rsid w:val="00AD7B41"/>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2DF6"/>
    <w:rsid w:val="00AE2E60"/>
    <w:rsid w:val="00AE3058"/>
    <w:rsid w:val="00AE3310"/>
    <w:rsid w:val="00AE354F"/>
    <w:rsid w:val="00AE37A1"/>
    <w:rsid w:val="00AE3956"/>
    <w:rsid w:val="00AE3A4F"/>
    <w:rsid w:val="00AE3D5E"/>
    <w:rsid w:val="00AE3D85"/>
    <w:rsid w:val="00AE41EF"/>
    <w:rsid w:val="00AE4703"/>
    <w:rsid w:val="00AE48CD"/>
    <w:rsid w:val="00AE4BF3"/>
    <w:rsid w:val="00AE4F3A"/>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833"/>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D11"/>
    <w:rsid w:val="00AE7EB8"/>
    <w:rsid w:val="00AF00FB"/>
    <w:rsid w:val="00AF0122"/>
    <w:rsid w:val="00AF0225"/>
    <w:rsid w:val="00AF039B"/>
    <w:rsid w:val="00AF0476"/>
    <w:rsid w:val="00AF0497"/>
    <w:rsid w:val="00AF0508"/>
    <w:rsid w:val="00AF0573"/>
    <w:rsid w:val="00AF0606"/>
    <w:rsid w:val="00AF0607"/>
    <w:rsid w:val="00AF067A"/>
    <w:rsid w:val="00AF0924"/>
    <w:rsid w:val="00AF0B8F"/>
    <w:rsid w:val="00AF0C0E"/>
    <w:rsid w:val="00AF0F53"/>
    <w:rsid w:val="00AF14AA"/>
    <w:rsid w:val="00AF15AF"/>
    <w:rsid w:val="00AF1672"/>
    <w:rsid w:val="00AF1CF7"/>
    <w:rsid w:val="00AF1EB2"/>
    <w:rsid w:val="00AF2164"/>
    <w:rsid w:val="00AF2325"/>
    <w:rsid w:val="00AF23C9"/>
    <w:rsid w:val="00AF2572"/>
    <w:rsid w:val="00AF276D"/>
    <w:rsid w:val="00AF27F4"/>
    <w:rsid w:val="00AF284F"/>
    <w:rsid w:val="00AF299B"/>
    <w:rsid w:val="00AF2F95"/>
    <w:rsid w:val="00AF303A"/>
    <w:rsid w:val="00AF32EB"/>
    <w:rsid w:val="00AF333E"/>
    <w:rsid w:val="00AF37FA"/>
    <w:rsid w:val="00AF38BE"/>
    <w:rsid w:val="00AF3928"/>
    <w:rsid w:val="00AF3B06"/>
    <w:rsid w:val="00AF3C4D"/>
    <w:rsid w:val="00AF3D18"/>
    <w:rsid w:val="00AF40A0"/>
    <w:rsid w:val="00AF44F8"/>
    <w:rsid w:val="00AF4514"/>
    <w:rsid w:val="00AF46B4"/>
    <w:rsid w:val="00AF46C4"/>
    <w:rsid w:val="00AF46C7"/>
    <w:rsid w:val="00AF4717"/>
    <w:rsid w:val="00AF4956"/>
    <w:rsid w:val="00AF4BD4"/>
    <w:rsid w:val="00AF53A4"/>
    <w:rsid w:val="00AF5798"/>
    <w:rsid w:val="00AF5959"/>
    <w:rsid w:val="00AF5C7C"/>
    <w:rsid w:val="00AF5CC9"/>
    <w:rsid w:val="00AF5D6D"/>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65A"/>
    <w:rsid w:val="00B02BFB"/>
    <w:rsid w:val="00B030F8"/>
    <w:rsid w:val="00B03106"/>
    <w:rsid w:val="00B03253"/>
    <w:rsid w:val="00B0332F"/>
    <w:rsid w:val="00B03895"/>
    <w:rsid w:val="00B03904"/>
    <w:rsid w:val="00B0393E"/>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21"/>
    <w:rsid w:val="00B054CD"/>
    <w:rsid w:val="00B0562B"/>
    <w:rsid w:val="00B05783"/>
    <w:rsid w:val="00B0580C"/>
    <w:rsid w:val="00B058D1"/>
    <w:rsid w:val="00B059E5"/>
    <w:rsid w:val="00B05CA0"/>
    <w:rsid w:val="00B05CE8"/>
    <w:rsid w:val="00B05D56"/>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1FD7"/>
    <w:rsid w:val="00B1246F"/>
    <w:rsid w:val="00B1250E"/>
    <w:rsid w:val="00B12729"/>
    <w:rsid w:val="00B12B30"/>
    <w:rsid w:val="00B12DED"/>
    <w:rsid w:val="00B131F1"/>
    <w:rsid w:val="00B13222"/>
    <w:rsid w:val="00B1367D"/>
    <w:rsid w:val="00B1379E"/>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1"/>
    <w:rsid w:val="00B15B78"/>
    <w:rsid w:val="00B15D1D"/>
    <w:rsid w:val="00B162EC"/>
    <w:rsid w:val="00B164F7"/>
    <w:rsid w:val="00B1659A"/>
    <w:rsid w:val="00B16620"/>
    <w:rsid w:val="00B167B4"/>
    <w:rsid w:val="00B16888"/>
    <w:rsid w:val="00B169BE"/>
    <w:rsid w:val="00B16B21"/>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EFE"/>
    <w:rsid w:val="00B203E8"/>
    <w:rsid w:val="00B203F9"/>
    <w:rsid w:val="00B2087F"/>
    <w:rsid w:val="00B20B60"/>
    <w:rsid w:val="00B20D55"/>
    <w:rsid w:val="00B20F1F"/>
    <w:rsid w:val="00B21170"/>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C84"/>
    <w:rsid w:val="00B23D98"/>
    <w:rsid w:val="00B23DCC"/>
    <w:rsid w:val="00B23F89"/>
    <w:rsid w:val="00B2413F"/>
    <w:rsid w:val="00B241EE"/>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09"/>
    <w:rsid w:val="00B26ECE"/>
    <w:rsid w:val="00B27011"/>
    <w:rsid w:val="00B27180"/>
    <w:rsid w:val="00B27219"/>
    <w:rsid w:val="00B27349"/>
    <w:rsid w:val="00B274E2"/>
    <w:rsid w:val="00B27586"/>
    <w:rsid w:val="00B2775D"/>
    <w:rsid w:val="00B279A8"/>
    <w:rsid w:val="00B27AD2"/>
    <w:rsid w:val="00B27BB5"/>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D6D"/>
    <w:rsid w:val="00B31FDF"/>
    <w:rsid w:val="00B3227B"/>
    <w:rsid w:val="00B322F9"/>
    <w:rsid w:val="00B3235B"/>
    <w:rsid w:val="00B3261B"/>
    <w:rsid w:val="00B32629"/>
    <w:rsid w:val="00B3269A"/>
    <w:rsid w:val="00B3279D"/>
    <w:rsid w:val="00B32AA8"/>
    <w:rsid w:val="00B32BB0"/>
    <w:rsid w:val="00B33185"/>
    <w:rsid w:val="00B33196"/>
    <w:rsid w:val="00B331B4"/>
    <w:rsid w:val="00B33226"/>
    <w:rsid w:val="00B3334F"/>
    <w:rsid w:val="00B333C6"/>
    <w:rsid w:val="00B34035"/>
    <w:rsid w:val="00B340D9"/>
    <w:rsid w:val="00B341E3"/>
    <w:rsid w:val="00B3449D"/>
    <w:rsid w:val="00B34511"/>
    <w:rsid w:val="00B34768"/>
    <w:rsid w:val="00B34929"/>
    <w:rsid w:val="00B34B78"/>
    <w:rsid w:val="00B34BD6"/>
    <w:rsid w:val="00B34D6A"/>
    <w:rsid w:val="00B34F23"/>
    <w:rsid w:val="00B34F3A"/>
    <w:rsid w:val="00B35083"/>
    <w:rsid w:val="00B35337"/>
    <w:rsid w:val="00B35589"/>
    <w:rsid w:val="00B35799"/>
    <w:rsid w:val="00B357D5"/>
    <w:rsid w:val="00B357EA"/>
    <w:rsid w:val="00B35A02"/>
    <w:rsid w:val="00B35C09"/>
    <w:rsid w:val="00B35FBF"/>
    <w:rsid w:val="00B36331"/>
    <w:rsid w:val="00B36604"/>
    <w:rsid w:val="00B36817"/>
    <w:rsid w:val="00B36A04"/>
    <w:rsid w:val="00B36D32"/>
    <w:rsid w:val="00B3722B"/>
    <w:rsid w:val="00B372CF"/>
    <w:rsid w:val="00B3733A"/>
    <w:rsid w:val="00B373A4"/>
    <w:rsid w:val="00B373B1"/>
    <w:rsid w:val="00B3763C"/>
    <w:rsid w:val="00B37640"/>
    <w:rsid w:val="00B37769"/>
    <w:rsid w:val="00B378BB"/>
    <w:rsid w:val="00B37A70"/>
    <w:rsid w:val="00B37C5E"/>
    <w:rsid w:val="00B4009E"/>
    <w:rsid w:val="00B4013A"/>
    <w:rsid w:val="00B4031E"/>
    <w:rsid w:val="00B403E5"/>
    <w:rsid w:val="00B4060B"/>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477"/>
    <w:rsid w:val="00B42562"/>
    <w:rsid w:val="00B4264F"/>
    <w:rsid w:val="00B42975"/>
    <w:rsid w:val="00B42ADD"/>
    <w:rsid w:val="00B430FF"/>
    <w:rsid w:val="00B4319D"/>
    <w:rsid w:val="00B44310"/>
    <w:rsid w:val="00B443C7"/>
    <w:rsid w:val="00B44697"/>
    <w:rsid w:val="00B446B0"/>
    <w:rsid w:val="00B446CA"/>
    <w:rsid w:val="00B447CE"/>
    <w:rsid w:val="00B447D6"/>
    <w:rsid w:val="00B4488D"/>
    <w:rsid w:val="00B449E8"/>
    <w:rsid w:val="00B44A29"/>
    <w:rsid w:val="00B44A4E"/>
    <w:rsid w:val="00B44AAD"/>
    <w:rsid w:val="00B44BCD"/>
    <w:rsid w:val="00B44D2A"/>
    <w:rsid w:val="00B44F0C"/>
    <w:rsid w:val="00B45037"/>
    <w:rsid w:val="00B4536F"/>
    <w:rsid w:val="00B453FF"/>
    <w:rsid w:val="00B456C2"/>
    <w:rsid w:val="00B45BB7"/>
    <w:rsid w:val="00B45EFB"/>
    <w:rsid w:val="00B45F88"/>
    <w:rsid w:val="00B4604D"/>
    <w:rsid w:val="00B46080"/>
    <w:rsid w:val="00B461B6"/>
    <w:rsid w:val="00B463FF"/>
    <w:rsid w:val="00B464EF"/>
    <w:rsid w:val="00B4662E"/>
    <w:rsid w:val="00B466E4"/>
    <w:rsid w:val="00B4682D"/>
    <w:rsid w:val="00B46989"/>
    <w:rsid w:val="00B46CAE"/>
    <w:rsid w:val="00B46EF0"/>
    <w:rsid w:val="00B47049"/>
    <w:rsid w:val="00B471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038"/>
    <w:rsid w:val="00B541B5"/>
    <w:rsid w:val="00B542EB"/>
    <w:rsid w:val="00B54566"/>
    <w:rsid w:val="00B546C4"/>
    <w:rsid w:val="00B547E1"/>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2C4"/>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0D"/>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C8E"/>
    <w:rsid w:val="00B64D0E"/>
    <w:rsid w:val="00B654E9"/>
    <w:rsid w:val="00B65616"/>
    <w:rsid w:val="00B656C5"/>
    <w:rsid w:val="00B656FE"/>
    <w:rsid w:val="00B65A84"/>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0EE0"/>
    <w:rsid w:val="00B71188"/>
    <w:rsid w:val="00B71267"/>
    <w:rsid w:val="00B7136E"/>
    <w:rsid w:val="00B714AC"/>
    <w:rsid w:val="00B7153E"/>
    <w:rsid w:val="00B71628"/>
    <w:rsid w:val="00B716A9"/>
    <w:rsid w:val="00B71770"/>
    <w:rsid w:val="00B71881"/>
    <w:rsid w:val="00B71BFD"/>
    <w:rsid w:val="00B71E52"/>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76"/>
    <w:rsid w:val="00B73D9B"/>
    <w:rsid w:val="00B740DB"/>
    <w:rsid w:val="00B742AD"/>
    <w:rsid w:val="00B74331"/>
    <w:rsid w:val="00B7438F"/>
    <w:rsid w:val="00B74529"/>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9D9"/>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C5F"/>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1D"/>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270"/>
    <w:rsid w:val="00B863F0"/>
    <w:rsid w:val="00B864C4"/>
    <w:rsid w:val="00B8659E"/>
    <w:rsid w:val="00B865D1"/>
    <w:rsid w:val="00B866B2"/>
    <w:rsid w:val="00B866CA"/>
    <w:rsid w:val="00B86739"/>
    <w:rsid w:val="00B86920"/>
    <w:rsid w:val="00B869D6"/>
    <w:rsid w:val="00B86AA1"/>
    <w:rsid w:val="00B86C24"/>
    <w:rsid w:val="00B86EC0"/>
    <w:rsid w:val="00B86F6F"/>
    <w:rsid w:val="00B87270"/>
    <w:rsid w:val="00B87385"/>
    <w:rsid w:val="00B877E4"/>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32"/>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9B"/>
    <w:rsid w:val="00B953FA"/>
    <w:rsid w:val="00B95AB0"/>
    <w:rsid w:val="00B95C70"/>
    <w:rsid w:val="00B95D79"/>
    <w:rsid w:val="00B95DBF"/>
    <w:rsid w:val="00B95E24"/>
    <w:rsid w:val="00B96224"/>
    <w:rsid w:val="00B9626C"/>
    <w:rsid w:val="00B962F3"/>
    <w:rsid w:val="00B96418"/>
    <w:rsid w:val="00B9649D"/>
    <w:rsid w:val="00B96C70"/>
    <w:rsid w:val="00B96CD8"/>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09"/>
    <w:rsid w:val="00BA04CC"/>
    <w:rsid w:val="00BA0564"/>
    <w:rsid w:val="00BA070E"/>
    <w:rsid w:val="00BA083E"/>
    <w:rsid w:val="00BA0849"/>
    <w:rsid w:val="00BA08F2"/>
    <w:rsid w:val="00BA0A5E"/>
    <w:rsid w:val="00BA0BB1"/>
    <w:rsid w:val="00BA0D70"/>
    <w:rsid w:val="00BA0E24"/>
    <w:rsid w:val="00BA1112"/>
    <w:rsid w:val="00BA1297"/>
    <w:rsid w:val="00BA12C3"/>
    <w:rsid w:val="00BA1432"/>
    <w:rsid w:val="00BA15B9"/>
    <w:rsid w:val="00BA1857"/>
    <w:rsid w:val="00BA1913"/>
    <w:rsid w:val="00BA198C"/>
    <w:rsid w:val="00BA1AD6"/>
    <w:rsid w:val="00BA1C33"/>
    <w:rsid w:val="00BA1DA0"/>
    <w:rsid w:val="00BA1DF1"/>
    <w:rsid w:val="00BA1F19"/>
    <w:rsid w:val="00BA1FBE"/>
    <w:rsid w:val="00BA20CC"/>
    <w:rsid w:val="00BA23F6"/>
    <w:rsid w:val="00BA242D"/>
    <w:rsid w:val="00BA246A"/>
    <w:rsid w:val="00BA27FC"/>
    <w:rsid w:val="00BA28A0"/>
    <w:rsid w:val="00BA2CE6"/>
    <w:rsid w:val="00BA3271"/>
    <w:rsid w:val="00BA36BF"/>
    <w:rsid w:val="00BA3A40"/>
    <w:rsid w:val="00BA3D9A"/>
    <w:rsid w:val="00BA3FED"/>
    <w:rsid w:val="00BA401F"/>
    <w:rsid w:val="00BA424C"/>
    <w:rsid w:val="00BA43C9"/>
    <w:rsid w:val="00BA48DE"/>
    <w:rsid w:val="00BA4931"/>
    <w:rsid w:val="00BA4950"/>
    <w:rsid w:val="00BA4A43"/>
    <w:rsid w:val="00BA4AC6"/>
    <w:rsid w:val="00BA4CD6"/>
    <w:rsid w:val="00BA4CFB"/>
    <w:rsid w:val="00BA4D1B"/>
    <w:rsid w:val="00BA56A7"/>
    <w:rsid w:val="00BA5729"/>
    <w:rsid w:val="00BA578E"/>
    <w:rsid w:val="00BA5AFB"/>
    <w:rsid w:val="00BA5CD2"/>
    <w:rsid w:val="00BA5CF4"/>
    <w:rsid w:val="00BA5DA3"/>
    <w:rsid w:val="00BA5E0C"/>
    <w:rsid w:val="00BA5EA4"/>
    <w:rsid w:val="00BA5F47"/>
    <w:rsid w:val="00BA615C"/>
    <w:rsid w:val="00BA62AC"/>
    <w:rsid w:val="00BA639F"/>
    <w:rsid w:val="00BA650B"/>
    <w:rsid w:val="00BA6B0A"/>
    <w:rsid w:val="00BA6C0C"/>
    <w:rsid w:val="00BA6C68"/>
    <w:rsid w:val="00BA7008"/>
    <w:rsid w:val="00BA7068"/>
    <w:rsid w:val="00BA71B4"/>
    <w:rsid w:val="00BA7218"/>
    <w:rsid w:val="00BA72BD"/>
    <w:rsid w:val="00BA73E5"/>
    <w:rsid w:val="00BA73F4"/>
    <w:rsid w:val="00BA74E2"/>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1BF4"/>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6DB"/>
    <w:rsid w:val="00BB7DAA"/>
    <w:rsid w:val="00BB7EEF"/>
    <w:rsid w:val="00BB7F93"/>
    <w:rsid w:val="00BC0005"/>
    <w:rsid w:val="00BC001B"/>
    <w:rsid w:val="00BC003D"/>
    <w:rsid w:val="00BC02EA"/>
    <w:rsid w:val="00BC0561"/>
    <w:rsid w:val="00BC0766"/>
    <w:rsid w:val="00BC082A"/>
    <w:rsid w:val="00BC0B24"/>
    <w:rsid w:val="00BC0D5C"/>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47"/>
    <w:rsid w:val="00BC208F"/>
    <w:rsid w:val="00BC216C"/>
    <w:rsid w:val="00BC2977"/>
    <w:rsid w:val="00BC2A15"/>
    <w:rsid w:val="00BC2A64"/>
    <w:rsid w:val="00BC2BD8"/>
    <w:rsid w:val="00BC2BF1"/>
    <w:rsid w:val="00BC2C0F"/>
    <w:rsid w:val="00BC3245"/>
    <w:rsid w:val="00BC35F0"/>
    <w:rsid w:val="00BC367B"/>
    <w:rsid w:val="00BC383C"/>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9A2"/>
    <w:rsid w:val="00BC6C1B"/>
    <w:rsid w:val="00BC703D"/>
    <w:rsid w:val="00BC721C"/>
    <w:rsid w:val="00BC7362"/>
    <w:rsid w:val="00BC75DF"/>
    <w:rsid w:val="00BC7825"/>
    <w:rsid w:val="00BC7915"/>
    <w:rsid w:val="00BC79A7"/>
    <w:rsid w:val="00BC7A40"/>
    <w:rsid w:val="00BC7AE1"/>
    <w:rsid w:val="00BC7C46"/>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B23"/>
    <w:rsid w:val="00BD2C5F"/>
    <w:rsid w:val="00BD2D35"/>
    <w:rsid w:val="00BD2E77"/>
    <w:rsid w:val="00BD309C"/>
    <w:rsid w:val="00BD30CC"/>
    <w:rsid w:val="00BD32B6"/>
    <w:rsid w:val="00BD340A"/>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1E"/>
    <w:rsid w:val="00BD6552"/>
    <w:rsid w:val="00BD65DA"/>
    <w:rsid w:val="00BD66D6"/>
    <w:rsid w:val="00BD68EA"/>
    <w:rsid w:val="00BD6BDA"/>
    <w:rsid w:val="00BD6CD9"/>
    <w:rsid w:val="00BD6D6D"/>
    <w:rsid w:val="00BD6ED6"/>
    <w:rsid w:val="00BD7023"/>
    <w:rsid w:val="00BD720C"/>
    <w:rsid w:val="00BD7317"/>
    <w:rsid w:val="00BD732A"/>
    <w:rsid w:val="00BD7F8E"/>
    <w:rsid w:val="00BE02B3"/>
    <w:rsid w:val="00BE04D0"/>
    <w:rsid w:val="00BE050B"/>
    <w:rsid w:val="00BE0590"/>
    <w:rsid w:val="00BE080D"/>
    <w:rsid w:val="00BE0AB8"/>
    <w:rsid w:val="00BE0E8B"/>
    <w:rsid w:val="00BE0FB8"/>
    <w:rsid w:val="00BE1377"/>
    <w:rsid w:val="00BE13D8"/>
    <w:rsid w:val="00BE14A0"/>
    <w:rsid w:val="00BE16F2"/>
    <w:rsid w:val="00BE1866"/>
    <w:rsid w:val="00BE19F0"/>
    <w:rsid w:val="00BE1CBA"/>
    <w:rsid w:val="00BE1D5A"/>
    <w:rsid w:val="00BE1E31"/>
    <w:rsid w:val="00BE1EAA"/>
    <w:rsid w:val="00BE1F26"/>
    <w:rsid w:val="00BE21BC"/>
    <w:rsid w:val="00BE21BD"/>
    <w:rsid w:val="00BE2249"/>
    <w:rsid w:val="00BE23D5"/>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1A3"/>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AC7"/>
    <w:rsid w:val="00BF0DAE"/>
    <w:rsid w:val="00BF0F34"/>
    <w:rsid w:val="00BF0FA8"/>
    <w:rsid w:val="00BF10B7"/>
    <w:rsid w:val="00BF114E"/>
    <w:rsid w:val="00BF1401"/>
    <w:rsid w:val="00BF1480"/>
    <w:rsid w:val="00BF1651"/>
    <w:rsid w:val="00BF1A35"/>
    <w:rsid w:val="00BF1BD7"/>
    <w:rsid w:val="00BF1CA3"/>
    <w:rsid w:val="00BF1CAC"/>
    <w:rsid w:val="00BF1D73"/>
    <w:rsid w:val="00BF1EF8"/>
    <w:rsid w:val="00BF20C2"/>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B"/>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6F1B"/>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0AE"/>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942"/>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DE5"/>
    <w:rsid w:val="00C05E55"/>
    <w:rsid w:val="00C0606C"/>
    <w:rsid w:val="00C063D9"/>
    <w:rsid w:val="00C06408"/>
    <w:rsid w:val="00C06416"/>
    <w:rsid w:val="00C064A7"/>
    <w:rsid w:val="00C06508"/>
    <w:rsid w:val="00C066D3"/>
    <w:rsid w:val="00C06CC9"/>
    <w:rsid w:val="00C06CFA"/>
    <w:rsid w:val="00C06F4D"/>
    <w:rsid w:val="00C0719D"/>
    <w:rsid w:val="00C07481"/>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BE"/>
    <w:rsid w:val="00C138F3"/>
    <w:rsid w:val="00C13C45"/>
    <w:rsid w:val="00C13CAC"/>
    <w:rsid w:val="00C13DD6"/>
    <w:rsid w:val="00C13F6C"/>
    <w:rsid w:val="00C13F9E"/>
    <w:rsid w:val="00C1413C"/>
    <w:rsid w:val="00C143A3"/>
    <w:rsid w:val="00C14479"/>
    <w:rsid w:val="00C144BD"/>
    <w:rsid w:val="00C145AF"/>
    <w:rsid w:val="00C14A4D"/>
    <w:rsid w:val="00C14AE3"/>
    <w:rsid w:val="00C14B86"/>
    <w:rsid w:val="00C14E0D"/>
    <w:rsid w:val="00C14FE6"/>
    <w:rsid w:val="00C14FF4"/>
    <w:rsid w:val="00C150F4"/>
    <w:rsid w:val="00C152F2"/>
    <w:rsid w:val="00C15354"/>
    <w:rsid w:val="00C153EC"/>
    <w:rsid w:val="00C1563D"/>
    <w:rsid w:val="00C15775"/>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1D7"/>
    <w:rsid w:val="00C203E8"/>
    <w:rsid w:val="00C206A9"/>
    <w:rsid w:val="00C20794"/>
    <w:rsid w:val="00C2081E"/>
    <w:rsid w:val="00C20C68"/>
    <w:rsid w:val="00C20CE6"/>
    <w:rsid w:val="00C20D4D"/>
    <w:rsid w:val="00C2107D"/>
    <w:rsid w:val="00C2123D"/>
    <w:rsid w:val="00C2156B"/>
    <w:rsid w:val="00C21875"/>
    <w:rsid w:val="00C21AE1"/>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5F26"/>
    <w:rsid w:val="00C26018"/>
    <w:rsid w:val="00C267F3"/>
    <w:rsid w:val="00C2684E"/>
    <w:rsid w:val="00C26B1C"/>
    <w:rsid w:val="00C26B48"/>
    <w:rsid w:val="00C26BBA"/>
    <w:rsid w:val="00C26BE9"/>
    <w:rsid w:val="00C26D6D"/>
    <w:rsid w:val="00C26E34"/>
    <w:rsid w:val="00C26FE7"/>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01"/>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6F0"/>
    <w:rsid w:val="00C33C65"/>
    <w:rsid w:val="00C33CAC"/>
    <w:rsid w:val="00C33D2E"/>
    <w:rsid w:val="00C33D57"/>
    <w:rsid w:val="00C34157"/>
    <w:rsid w:val="00C34406"/>
    <w:rsid w:val="00C34540"/>
    <w:rsid w:val="00C3457D"/>
    <w:rsid w:val="00C3459C"/>
    <w:rsid w:val="00C34721"/>
    <w:rsid w:val="00C3494C"/>
    <w:rsid w:val="00C34AA6"/>
    <w:rsid w:val="00C34ADF"/>
    <w:rsid w:val="00C34B1A"/>
    <w:rsid w:val="00C34B49"/>
    <w:rsid w:val="00C34BC4"/>
    <w:rsid w:val="00C3517E"/>
    <w:rsid w:val="00C35312"/>
    <w:rsid w:val="00C35335"/>
    <w:rsid w:val="00C35562"/>
    <w:rsid w:val="00C3571B"/>
    <w:rsid w:val="00C35744"/>
    <w:rsid w:val="00C35A5F"/>
    <w:rsid w:val="00C35AA4"/>
    <w:rsid w:val="00C35B2C"/>
    <w:rsid w:val="00C35D8E"/>
    <w:rsid w:val="00C35E70"/>
    <w:rsid w:val="00C360CA"/>
    <w:rsid w:val="00C36143"/>
    <w:rsid w:val="00C361B3"/>
    <w:rsid w:val="00C361FF"/>
    <w:rsid w:val="00C3626B"/>
    <w:rsid w:val="00C36550"/>
    <w:rsid w:val="00C367C7"/>
    <w:rsid w:val="00C367EC"/>
    <w:rsid w:val="00C3691E"/>
    <w:rsid w:val="00C36963"/>
    <w:rsid w:val="00C369A6"/>
    <w:rsid w:val="00C369AA"/>
    <w:rsid w:val="00C36A9A"/>
    <w:rsid w:val="00C36AD2"/>
    <w:rsid w:val="00C36B32"/>
    <w:rsid w:val="00C36CA4"/>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DB4"/>
    <w:rsid w:val="00C40E4D"/>
    <w:rsid w:val="00C40E78"/>
    <w:rsid w:val="00C412CD"/>
    <w:rsid w:val="00C41407"/>
    <w:rsid w:val="00C41557"/>
    <w:rsid w:val="00C41A77"/>
    <w:rsid w:val="00C41F9B"/>
    <w:rsid w:val="00C4276E"/>
    <w:rsid w:val="00C429B4"/>
    <w:rsid w:val="00C42A62"/>
    <w:rsid w:val="00C42B80"/>
    <w:rsid w:val="00C42DE1"/>
    <w:rsid w:val="00C4304A"/>
    <w:rsid w:val="00C430C6"/>
    <w:rsid w:val="00C43ADE"/>
    <w:rsid w:val="00C445BE"/>
    <w:rsid w:val="00C44609"/>
    <w:rsid w:val="00C44C50"/>
    <w:rsid w:val="00C44C6E"/>
    <w:rsid w:val="00C45349"/>
    <w:rsid w:val="00C45685"/>
    <w:rsid w:val="00C45910"/>
    <w:rsid w:val="00C45914"/>
    <w:rsid w:val="00C459BA"/>
    <w:rsid w:val="00C45A3D"/>
    <w:rsid w:val="00C45A88"/>
    <w:rsid w:val="00C45C64"/>
    <w:rsid w:val="00C45C88"/>
    <w:rsid w:val="00C45F13"/>
    <w:rsid w:val="00C45FDB"/>
    <w:rsid w:val="00C46284"/>
    <w:rsid w:val="00C462A6"/>
    <w:rsid w:val="00C4632B"/>
    <w:rsid w:val="00C464FC"/>
    <w:rsid w:val="00C4658C"/>
    <w:rsid w:val="00C468B8"/>
    <w:rsid w:val="00C46D4F"/>
    <w:rsid w:val="00C470B9"/>
    <w:rsid w:val="00C47118"/>
    <w:rsid w:val="00C473FF"/>
    <w:rsid w:val="00C47432"/>
    <w:rsid w:val="00C4764A"/>
    <w:rsid w:val="00C47885"/>
    <w:rsid w:val="00C47A6F"/>
    <w:rsid w:val="00C47D7C"/>
    <w:rsid w:val="00C47F39"/>
    <w:rsid w:val="00C50321"/>
    <w:rsid w:val="00C50948"/>
    <w:rsid w:val="00C510DD"/>
    <w:rsid w:val="00C511E3"/>
    <w:rsid w:val="00C517F3"/>
    <w:rsid w:val="00C51A2A"/>
    <w:rsid w:val="00C51E31"/>
    <w:rsid w:val="00C51E7E"/>
    <w:rsid w:val="00C5219E"/>
    <w:rsid w:val="00C52399"/>
    <w:rsid w:val="00C5258C"/>
    <w:rsid w:val="00C525DD"/>
    <w:rsid w:val="00C52734"/>
    <w:rsid w:val="00C5277F"/>
    <w:rsid w:val="00C527B1"/>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009"/>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C4"/>
    <w:rsid w:val="00C57BE1"/>
    <w:rsid w:val="00C57F1F"/>
    <w:rsid w:val="00C60013"/>
    <w:rsid w:val="00C60015"/>
    <w:rsid w:val="00C60042"/>
    <w:rsid w:val="00C60720"/>
    <w:rsid w:val="00C6091C"/>
    <w:rsid w:val="00C60E2E"/>
    <w:rsid w:val="00C610D2"/>
    <w:rsid w:val="00C61270"/>
    <w:rsid w:val="00C6144E"/>
    <w:rsid w:val="00C618C7"/>
    <w:rsid w:val="00C61CC5"/>
    <w:rsid w:val="00C61CEA"/>
    <w:rsid w:val="00C61F29"/>
    <w:rsid w:val="00C61FD1"/>
    <w:rsid w:val="00C62006"/>
    <w:rsid w:val="00C62015"/>
    <w:rsid w:val="00C62710"/>
    <w:rsid w:val="00C6283E"/>
    <w:rsid w:val="00C62C6C"/>
    <w:rsid w:val="00C632C6"/>
    <w:rsid w:val="00C63336"/>
    <w:rsid w:val="00C63370"/>
    <w:rsid w:val="00C6360E"/>
    <w:rsid w:val="00C636BA"/>
    <w:rsid w:val="00C638E0"/>
    <w:rsid w:val="00C63D71"/>
    <w:rsid w:val="00C63DEE"/>
    <w:rsid w:val="00C63EE7"/>
    <w:rsid w:val="00C63F9C"/>
    <w:rsid w:val="00C64232"/>
    <w:rsid w:val="00C6452E"/>
    <w:rsid w:val="00C645FE"/>
    <w:rsid w:val="00C64994"/>
    <w:rsid w:val="00C64E9E"/>
    <w:rsid w:val="00C64FAE"/>
    <w:rsid w:val="00C64FC8"/>
    <w:rsid w:val="00C65012"/>
    <w:rsid w:val="00C653A3"/>
    <w:rsid w:val="00C6549F"/>
    <w:rsid w:val="00C65635"/>
    <w:rsid w:val="00C6572B"/>
    <w:rsid w:val="00C65838"/>
    <w:rsid w:val="00C65A2C"/>
    <w:rsid w:val="00C65BFD"/>
    <w:rsid w:val="00C65E23"/>
    <w:rsid w:val="00C65EA3"/>
    <w:rsid w:val="00C65FCA"/>
    <w:rsid w:val="00C6609F"/>
    <w:rsid w:val="00C6633B"/>
    <w:rsid w:val="00C66392"/>
    <w:rsid w:val="00C667C4"/>
    <w:rsid w:val="00C6681D"/>
    <w:rsid w:val="00C66B29"/>
    <w:rsid w:val="00C6703C"/>
    <w:rsid w:val="00C67120"/>
    <w:rsid w:val="00C6742F"/>
    <w:rsid w:val="00C675F6"/>
    <w:rsid w:val="00C676EE"/>
    <w:rsid w:val="00C67874"/>
    <w:rsid w:val="00C678F6"/>
    <w:rsid w:val="00C67E1C"/>
    <w:rsid w:val="00C67E40"/>
    <w:rsid w:val="00C67F10"/>
    <w:rsid w:val="00C70100"/>
    <w:rsid w:val="00C702E2"/>
    <w:rsid w:val="00C704A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62"/>
    <w:rsid w:val="00C73DCD"/>
    <w:rsid w:val="00C73EA6"/>
    <w:rsid w:val="00C7426B"/>
    <w:rsid w:val="00C745C6"/>
    <w:rsid w:val="00C74CEA"/>
    <w:rsid w:val="00C74CEC"/>
    <w:rsid w:val="00C74EBE"/>
    <w:rsid w:val="00C75199"/>
    <w:rsid w:val="00C751DF"/>
    <w:rsid w:val="00C753CF"/>
    <w:rsid w:val="00C75657"/>
    <w:rsid w:val="00C75782"/>
    <w:rsid w:val="00C759F3"/>
    <w:rsid w:val="00C75A9D"/>
    <w:rsid w:val="00C75AA9"/>
    <w:rsid w:val="00C75CE8"/>
    <w:rsid w:val="00C7614A"/>
    <w:rsid w:val="00C761D5"/>
    <w:rsid w:val="00C76317"/>
    <w:rsid w:val="00C764D9"/>
    <w:rsid w:val="00C76585"/>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8"/>
    <w:rsid w:val="00C80A18"/>
    <w:rsid w:val="00C80A98"/>
    <w:rsid w:val="00C80DE5"/>
    <w:rsid w:val="00C8116B"/>
    <w:rsid w:val="00C813CD"/>
    <w:rsid w:val="00C81487"/>
    <w:rsid w:val="00C81CC0"/>
    <w:rsid w:val="00C81E70"/>
    <w:rsid w:val="00C8207F"/>
    <w:rsid w:val="00C8221E"/>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9D3"/>
    <w:rsid w:val="00C84AE4"/>
    <w:rsid w:val="00C84D53"/>
    <w:rsid w:val="00C84E01"/>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3D"/>
    <w:rsid w:val="00C8675E"/>
    <w:rsid w:val="00C86873"/>
    <w:rsid w:val="00C86BAA"/>
    <w:rsid w:val="00C86BFF"/>
    <w:rsid w:val="00C87057"/>
    <w:rsid w:val="00C87269"/>
    <w:rsid w:val="00C8731E"/>
    <w:rsid w:val="00C87522"/>
    <w:rsid w:val="00C87603"/>
    <w:rsid w:val="00C8768C"/>
    <w:rsid w:val="00C8771A"/>
    <w:rsid w:val="00C87783"/>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55"/>
    <w:rsid w:val="00C923BD"/>
    <w:rsid w:val="00C92928"/>
    <w:rsid w:val="00C929FE"/>
    <w:rsid w:val="00C92AB4"/>
    <w:rsid w:val="00C92B19"/>
    <w:rsid w:val="00C92E1B"/>
    <w:rsid w:val="00C93049"/>
    <w:rsid w:val="00C93472"/>
    <w:rsid w:val="00C934C9"/>
    <w:rsid w:val="00C934E0"/>
    <w:rsid w:val="00C93744"/>
    <w:rsid w:val="00C9399F"/>
    <w:rsid w:val="00C939B2"/>
    <w:rsid w:val="00C93E06"/>
    <w:rsid w:val="00C93F31"/>
    <w:rsid w:val="00C943BE"/>
    <w:rsid w:val="00C944AD"/>
    <w:rsid w:val="00C946A2"/>
    <w:rsid w:val="00C947DE"/>
    <w:rsid w:val="00C948A8"/>
    <w:rsid w:val="00C94C5C"/>
    <w:rsid w:val="00C94C94"/>
    <w:rsid w:val="00C94D4D"/>
    <w:rsid w:val="00C94EC8"/>
    <w:rsid w:val="00C94F2B"/>
    <w:rsid w:val="00C95115"/>
    <w:rsid w:val="00C9563E"/>
    <w:rsid w:val="00C95736"/>
    <w:rsid w:val="00C9588B"/>
    <w:rsid w:val="00C95A4F"/>
    <w:rsid w:val="00C95CAF"/>
    <w:rsid w:val="00C95DEE"/>
    <w:rsid w:val="00C95FD6"/>
    <w:rsid w:val="00C960C8"/>
    <w:rsid w:val="00C962B9"/>
    <w:rsid w:val="00C96474"/>
    <w:rsid w:val="00C9651E"/>
    <w:rsid w:val="00C9653C"/>
    <w:rsid w:val="00C965F0"/>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542"/>
    <w:rsid w:val="00CA161C"/>
    <w:rsid w:val="00CA16B4"/>
    <w:rsid w:val="00CA17E9"/>
    <w:rsid w:val="00CA1851"/>
    <w:rsid w:val="00CA189C"/>
    <w:rsid w:val="00CA18FF"/>
    <w:rsid w:val="00CA1C56"/>
    <w:rsid w:val="00CA1FE9"/>
    <w:rsid w:val="00CA22DA"/>
    <w:rsid w:val="00CA25CC"/>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5D5"/>
    <w:rsid w:val="00CA49D0"/>
    <w:rsid w:val="00CA4B1F"/>
    <w:rsid w:val="00CA4BFB"/>
    <w:rsid w:val="00CA4E3D"/>
    <w:rsid w:val="00CA4E51"/>
    <w:rsid w:val="00CA514E"/>
    <w:rsid w:val="00CA51B8"/>
    <w:rsid w:val="00CA53A8"/>
    <w:rsid w:val="00CA5654"/>
    <w:rsid w:val="00CA5663"/>
    <w:rsid w:val="00CA5698"/>
    <w:rsid w:val="00CA5789"/>
    <w:rsid w:val="00CA5A06"/>
    <w:rsid w:val="00CA5B29"/>
    <w:rsid w:val="00CA5C3F"/>
    <w:rsid w:val="00CA5CC9"/>
    <w:rsid w:val="00CA5CCF"/>
    <w:rsid w:val="00CA5DFD"/>
    <w:rsid w:val="00CA62A4"/>
    <w:rsid w:val="00CA62FD"/>
    <w:rsid w:val="00CA6740"/>
    <w:rsid w:val="00CA677F"/>
    <w:rsid w:val="00CA692E"/>
    <w:rsid w:val="00CA6C1F"/>
    <w:rsid w:val="00CA6E0A"/>
    <w:rsid w:val="00CA6EC9"/>
    <w:rsid w:val="00CA7115"/>
    <w:rsid w:val="00CA71A5"/>
    <w:rsid w:val="00CA7288"/>
    <w:rsid w:val="00CA72B1"/>
    <w:rsid w:val="00CA7420"/>
    <w:rsid w:val="00CA749E"/>
    <w:rsid w:val="00CA788C"/>
    <w:rsid w:val="00CA7A46"/>
    <w:rsid w:val="00CA7B4B"/>
    <w:rsid w:val="00CA7CDC"/>
    <w:rsid w:val="00CA7D9B"/>
    <w:rsid w:val="00CA7E93"/>
    <w:rsid w:val="00CA7F93"/>
    <w:rsid w:val="00CB0135"/>
    <w:rsid w:val="00CB0198"/>
    <w:rsid w:val="00CB02C7"/>
    <w:rsid w:val="00CB04A5"/>
    <w:rsid w:val="00CB07F8"/>
    <w:rsid w:val="00CB089C"/>
    <w:rsid w:val="00CB097B"/>
    <w:rsid w:val="00CB09E4"/>
    <w:rsid w:val="00CB0A99"/>
    <w:rsid w:val="00CB0C7B"/>
    <w:rsid w:val="00CB0C84"/>
    <w:rsid w:val="00CB111C"/>
    <w:rsid w:val="00CB1291"/>
    <w:rsid w:val="00CB15FD"/>
    <w:rsid w:val="00CB174A"/>
    <w:rsid w:val="00CB18B5"/>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C6"/>
    <w:rsid w:val="00CB43D6"/>
    <w:rsid w:val="00CB4435"/>
    <w:rsid w:val="00CB4473"/>
    <w:rsid w:val="00CB45A5"/>
    <w:rsid w:val="00CB45FC"/>
    <w:rsid w:val="00CB4653"/>
    <w:rsid w:val="00CB470B"/>
    <w:rsid w:val="00CB4741"/>
    <w:rsid w:val="00CB47FD"/>
    <w:rsid w:val="00CB4897"/>
    <w:rsid w:val="00CB48B8"/>
    <w:rsid w:val="00CB4939"/>
    <w:rsid w:val="00CB4F23"/>
    <w:rsid w:val="00CB5364"/>
    <w:rsid w:val="00CB548D"/>
    <w:rsid w:val="00CB551A"/>
    <w:rsid w:val="00CB565E"/>
    <w:rsid w:val="00CB5661"/>
    <w:rsid w:val="00CB5689"/>
    <w:rsid w:val="00CB5A2F"/>
    <w:rsid w:val="00CB5AFE"/>
    <w:rsid w:val="00CB5B23"/>
    <w:rsid w:val="00CB5CA0"/>
    <w:rsid w:val="00CB5E12"/>
    <w:rsid w:val="00CB6036"/>
    <w:rsid w:val="00CB6416"/>
    <w:rsid w:val="00CB65C6"/>
    <w:rsid w:val="00CB669C"/>
    <w:rsid w:val="00CB6778"/>
    <w:rsid w:val="00CB69AA"/>
    <w:rsid w:val="00CB6A34"/>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065"/>
    <w:rsid w:val="00CC11C7"/>
    <w:rsid w:val="00CC11D8"/>
    <w:rsid w:val="00CC1212"/>
    <w:rsid w:val="00CC1293"/>
    <w:rsid w:val="00CC14E2"/>
    <w:rsid w:val="00CC15FC"/>
    <w:rsid w:val="00CC171B"/>
    <w:rsid w:val="00CC176E"/>
    <w:rsid w:val="00CC18DD"/>
    <w:rsid w:val="00CC1DBF"/>
    <w:rsid w:val="00CC1DCC"/>
    <w:rsid w:val="00CC1E69"/>
    <w:rsid w:val="00CC1EC6"/>
    <w:rsid w:val="00CC1EF8"/>
    <w:rsid w:val="00CC212F"/>
    <w:rsid w:val="00CC21F4"/>
    <w:rsid w:val="00CC2382"/>
    <w:rsid w:val="00CC250B"/>
    <w:rsid w:val="00CC259B"/>
    <w:rsid w:val="00CC2701"/>
    <w:rsid w:val="00CC293A"/>
    <w:rsid w:val="00CC2A27"/>
    <w:rsid w:val="00CC2B28"/>
    <w:rsid w:val="00CC2DC0"/>
    <w:rsid w:val="00CC2E12"/>
    <w:rsid w:val="00CC2E8A"/>
    <w:rsid w:val="00CC3229"/>
    <w:rsid w:val="00CC3237"/>
    <w:rsid w:val="00CC32E7"/>
    <w:rsid w:val="00CC35A9"/>
    <w:rsid w:val="00CC36DC"/>
    <w:rsid w:val="00CC3B57"/>
    <w:rsid w:val="00CC3CA8"/>
    <w:rsid w:val="00CC3CF5"/>
    <w:rsid w:val="00CC4179"/>
    <w:rsid w:val="00CC429D"/>
    <w:rsid w:val="00CC43EA"/>
    <w:rsid w:val="00CC4426"/>
    <w:rsid w:val="00CC48EF"/>
    <w:rsid w:val="00CC4D07"/>
    <w:rsid w:val="00CC4EBB"/>
    <w:rsid w:val="00CC4F40"/>
    <w:rsid w:val="00CC5215"/>
    <w:rsid w:val="00CC52AC"/>
    <w:rsid w:val="00CC53FF"/>
    <w:rsid w:val="00CC540C"/>
    <w:rsid w:val="00CC55C6"/>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C2B"/>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46"/>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661"/>
    <w:rsid w:val="00CD69E7"/>
    <w:rsid w:val="00CD6A76"/>
    <w:rsid w:val="00CD6D39"/>
    <w:rsid w:val="00CD6EAC"/>
    <w:rsid w:val="00CD6F01"/>
    <w:rsid w:val="00CD73DB"/>
    <w:rsid w:val="00CD7575"/>
    <w:rsid w:val="00CD767C"/>
    <w:rsid w:val="00CD7F16"/>
    <w:rsid w:val="00CE0296"/>
    <w:rsid w:val="00CE0318"/>
    <w:rsid w:val="00CE03FE"/>
    <w:rsid w:val="00CE099E"/>
    <w:rsid w:val="00CE0A97"/>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013"/>
    <w:rsid w:val="00CE3089"/>
    <w:rsid w:val="00CE339D"/>
    <w:rsid w:val="00CE347A"/>
    <w:rsid w:val="00CE34D3"/>
    <w:rsid w:val="00CE352F"/>
    <w:rsid w:val="00CE36DC"/>
    <w:rsid w:val="00CE36FE"/>
    <w:rsid w:val="00CE37A0"/>
    <w:rsid w:val="00CE38FD"/>
    <w:rsid w:val="00CE3B71"/>
    <w:rsid w:val="00CE3BA8"/>
    <w:rsid w:val="00CE40C0"/>
    <w:rsid w:val="00CE4281"/>
    <w:rsid w:val="00CE4747"/>
    <w:rsid w:val="00CE4793"/>
    <w:rsid w:val="00CE4A80"/>
    <w:rsid w:val="00CE4B35"/>
    <w:rsid w:val="00CE4D23"/>
    <w:rsid w:val="00CE4E1C"/>
    <w:rsid w:val="00CE4FB1"/>
    <w:rsid w:val="00CE4FDC"/>
    <w:rsid w:val="00CE5425"/>
    <w:rsid w:val="00CE5438"/>
    <w:rsid w:val="00CE5502"/>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7E9"/>
    <w:rsid w:val="00CE7853"/>
    <w:rsid w:val="00CE7A7D"/>
    <w:rsid w:val="00CE7B20"/>
    <w:rsid w:val="00CF020F"/>
    <w:rsid w:val="00CF0422"/>
    <w:rsid w:val="00CF088D"/>
    <w:rsid w:val="00CF0C9C"/>
    <w:rsid w:val="00CF0DF1"/>
    <w:rsid w:val="00CF0F49"/>
    <w:rsid w:val="00CF130A"/>
    <w:rsid w:val="00CF13AF"/>
    <w:rsid w:val="00CF1441"/>
    <w:rsid w:val="00CF16A3"/>
    <w:rsid w:val="00CF1B11"/>
    <w:rsid w:val="00CF1BDA"/>
    <w:rsid w:val="00CF1C34"/>
    <w:rsid w:val="00CF1D86"/>
    <w:rsid w:val="00CF2564"/>
    <w:rsid w:val="00CF2AE6"/>
    <w:rsid w:val="00CF2C1B"/>
    <w:rsid w:val="00CF304C"/>
    <w:rsid w:val="00CF393C"/>
    <w:rsid w:val="00CF3C43"/>
    <w:rsid w:val="00CF3C57"/>
    <w:rsid w:val="00CF3CD9"/>
    <w:rsid w:val="00CF404F"/>
    <w:rsid w:val="00CF414C"/>
    <w:rsid w:val="00CF4219"/>
    <w:rsid w:val="00CF44C8"/>
    <w:rsid w:val="00CF4656"/>
    <w:rsid w:val="00CF4FA6"/>
    <w:rsid w:val="00CF4FBE"/>
    <w:rsid w:val="00CF5018"/>
    <w:rsid w:val="00CF5257"/>
    <w:rsid w:val="00CF52CF"/>
    <w:rsid w:val="00CF53CD"/>
    <w:rsid w:val="00CF5502"/>
    <w:rsid w:val="00CF55E0"/>
    <w:rsid w:val="00CF56F9"/>
    <w:rsid w:val="00CF5739"/>
    <w:rsid w:val="00CF5772"/>
    <w:rsid w:val="00CF59FB"/>
    <w:rsid w:val="00CF5DBF"/>
    <w:rsid w:val="00CF5EEA"/>
    <w:rsid w:val="00CF6081"/>
    <w:rsid w:val="00CF60CE"/>
    <w:rsid w:val="00CF61C1"/>
    <w:rsid w:val="00CF62E7"/>
    <w:rsid w:val="00CF635E"/>
    <w:rsid w:val="00CF63C0"/>
    <w:rsid w:val="00CF6449"/>
    <w:rsid w:val="00CF660A"/>
    <w:rsid w:val="00CF669A"/>
    <w:rsid w:val="00CF66A1"/>
    <w:rsid w:val="00CF7036"/>
    <w:rsid w:val="00CF7137"/>
    <w:rsid w:val="00CF74E3"/>
    <w:rsid w:val="00CF76C2"/>
    <w:rsid w:val="00CF7AFF"/>
    <w:rsid w:val="00CF7CDC"/>
    <w:rsid w:val="00CF7D53"/>
    <w:rsid w:val="00CF7E65"/>
    <w:rsid w:val="00D0041B"/>
    <w:rsid w:val="00D00C21"/>
    <w:rsid w:val="00D00FD7"/>
    <w:rsid w:val="00D0107C"/>
    <w:rsid w:val="00D0109D"/>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74"/>
    <w:rsid w:val="00D037CD"/>
    <w:rsid w:val="00D03C34"/>
    <w:rsid w:val="00D03E4B"/>
    <w:rsid w:val="00D03F84"/>
    <w:rsid w:val="00D0427B"/>
    <w:rsid w:val="00D044A7"/>
    <w:rsid w:val="00D04958"/>
    <w:rsid w:val="00D04C5A"/>
    <w:rsid w:val="00D04D28"/>
    <w:rsid w:val="00D04E55"/>
    <w:rsid w:val="00D04EA9"/>
    <w:rsid w:val="00D050C6"/>
    <w:rsid w:val="00D050DA"/>
    <w:rsid w:val="00D054F5"/>
    <w:rsid w:val="00D05C42"/>
    <w:rsid w:val="00D05C71"/>
    <w:rsid w:val="00D05CC7"/>
    <w:rsid w:val="00D05FFF"/>
    <w:rsid w:val="00D06236"/>
    <w:rsid w:val="00D063FC"/>
    <w:rsid w:val="00D0652C"/>
    <w:rsid w:val="00D06785"/>
    <w:rsid w:val="00D067B2"/>
    <w:rsid w:val="00D0688E"/>
    <w:rsid w:val="00D06A3B"/>
    <w:rsid w:val="00D06C03"/>
    <w:rsid w:val="00D06ED5"/>
    <w:rsid w:val="00D06EED"/>
    <w:rsid w:val="00D0734A"/>
    <w:rsid w:val="00D0734B"/>
    <w:rsid w:val="00D073A2"/>
    <w:rsid w:val="00D0763B"/>
    <w:rsid w:val="00D07EB3"/>
    <w:rsid w:val="00D1008B"/>
    <w:rsid w:val="00D10096"/>
    <w:rsid w:val="00D100B1"/>
    <w:rsid w:val="00D1050F"/>
    <w:rsid w:val="00D10632"/>
    <w:rsid w:val="00D106A0"/>
    <w:rsid w:val="00D10784"/>
    <w:rsid w:val="00D10D36"/>
    <w:rsid w:val="00D10D3B"/>
    <w:rsid w:val="00D10DD2"/>
    <w:rsid w:val="00D10EEB"/>
    <w:rsid w:val="00D10FBC"/>
    <w:rsid w:val="00D111D2"/>
    <w:rsid w:val="00D11473"/>
    <w:rsid w:val="00D118D6"/>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26"/>
    <w:rsid w:val="00D12999"/>
    <w:rsid w:val="00D12C55"/>
    <w:rsid w:val="00D12D74"/>
    <w:rsid w:val="00D12F06"/>
    <w:rsid w:val="00D12F2B"/>
    <w:rsid w:val="00D12FB8"/>
    <w:rsid w:val="00D12FFF"/>
    <w:rsid w:val="00D1331E"/>
    <w:rsid w:val="00D1340B"/>
    <w:rsid w:val="00D1349E"/>
    <w:rsid w:val="00D134A3"/>
    <w:rsid w:val="00D13852"/>
    <w:rsid w:val="00D13863"/>
    <w:rsid w:val="00D13BD5"/>
    <w:rsid w:val="00D13C7C"/>
    <w:rsid w:val="00D13D5B"/>
    <w:rsid w:val="00D13FC6"/>
    <w:rsid w:val="00D1425E"/>
    <w:rsid w:val="00D14453"/>
    <w:rsid w:val="00D14564"/>
    <w:rsid w:val="00D14879"/>
    <w:rsid w:val="00D14B41"/>
    <w:rsid w:val="00D14B54"/>
    <w:rsid w:val="00D14CF3"/>
    <w:rsid w:val="00D14E1E"/>
    <w:rsid w:val="00D14E2E"/>
    <w:rsid w:val="00D14EAD"/>
    <w:rsid w:val="00D14FAA"/>
    <w:rsid w:val="00D1520A"/>
    <w:rsid w:val="00D1542D"/>
    <w:rsid w:val="00D15649"/>
    <w:rsid w:val="00D1577A"/>
    <w:rsid w:val="00D159B6"/>
    <w:rsid w:val="00D15E36"/>
    <w:rsid w:val="00D15FC0"/>
    <w:rsid w:val="00D1615C"/>
    <w:rsid w:val="00D1617C"/>
    <w:rsid w:val="00D16892"/>
    <w:rsid w:val="00D16980"/>
    <w:rsid w:val="00D16A8A"/>
    <w:rsid w:val="00D16B4C"/>
    <w:rsid w:val="00D16D96"/>
    <w:rsid w:val="00D16DEF"/>
    <w:rsid w:val="00D16E9B"/>
    <w:rsid w:val="00D16F3C"/>
    <w:rsid w:val="00D170A4"/>
    <w:rsid w:val="00D17481"/>
    <w:rsid w:val="00D1765E"/>
    <w:rsid w:val="00D17F1B"/>
    <w:rsid w:val="00D200DF"/>
    <w:rsid w:val="00D201F4"/>
    <w:rsid w:val="00D2024B"/>
    <w:rsid w:val="00D205E9"/>
    <w:rsid w:val="00D207EF"/>
    <w:rsid w:val="00D2088D"/>
    <w:rsid w:val="00D20B6B"/>
    <w:rsid w:val="00D20BBA"/>
    <w:rsid w:val="00D20DEF"/>
    <w:rsid w:val="00D20F98"/>
    <w:rsid w:val="00D2119C"/>
    <w:rsid w:val="00D21543"/>
    <w:rsid w:val="00D21602"/>
    <w:rsid w:val="00D2162E"/>
    <w:rsid w:val="00D2196D"/>
    <w:rsid w:val="00D219EA"/>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22D"/>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35B"/>
    <w:rsid w:val="00D3057A"/>
    <w:rsid w:val="00D305D6"/>
    <w:rsid w:val="00D306CB"/>
    <w:rsid w:val="00D307D3"/>
    <w:rsid w:val="00D307EB"/>
    <w:rsid w:val="00D30A1A"/>
    <w:rsid w:val="00D30AD4"/>
    <w:rsid w:val="00D30BCC"/>
    <w:rsid w:val="00D30DCD"/>
    <w:rsid w:val="00D3130C"/>
    <w:rsid w:val="00D3136C"/>
    <w:rsid w:val="00D3153D"/>
    <w:rsid w:val="00D316E5"/>
    <w:rsid w:val="00D31A9A"/>
    <w:rsid w:val="00D31B26"/>
    <w:rsid w:val="00D31BE0"/>
    <w:rsid w:val="00D32202"/>
    <w:rsid w:val="00D323F7"/>
    <w:rsid w:val="00D325F8"/>
    <w:rsid w:val="00D32609"/>
    <w:rsid w:val="00D326E7"/>
    <w:rsid w:val="00D328D7"/>
    <w:rsid w:val="00D3316C"/>
    <w:rsid w:val="00D332B5"/>
    <w:rsid w:val="00D33523"/>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18A"/>
    <w:rsid w:val="00D3648B"/>
    <w:rsid w:val="00D36624"/>
    <w:rsid w:val="00D36D4E"/>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408"/>
    <w:rsid w:val="00D4168F"/>
    <w:rsid w:val="00D41691"/>
    <w:rsid w:val="00D418E0"/>
    <w:rsid w:val="00D4194B"/>
    <w:rsid w:val="00D419E2"/>
    <w:rsid w:val="00D419F8"/>
    <w:rsid w:val="00D41B77"/>
    <w:rsid w:val="00D41DC9"/>
    <w:rsid w:val="00D4205D"/>
    <w:rsid w:val="00D420B7"/>
    <w:rsid w:val="00D42163"/>
    <w:rsid w:val="00D4252D"/>
    <w:rsid w:val="00D42685"/>
    <w:rsid w:val="00D42902"/>
    <w:rsid w:val="00D4299C"/>
    <w:rsid w:val="00D42A22"/>
    <w:rsid w:val="00D42AE4"/>
    <w:rsid w:val="00D42B1F"/>
    <w:rsid w:val="00D42FC8"/>
    <w:rsid w:val="00D43152"/>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4F73"/>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9F4"/>
    <w:rsid w:val="00D46AF0"/>
    <w:rsid w:val="00D46C04"/>
    <w:rsid w:val="00D46C89"/>
    <w:rsid w:val="00D46F5B"/>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42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888"/>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6FCA"/>
    <w:rsid w:val="00D571C2"/>
    <w:rsid w:val="00D5731B"/>
    <w:rsid w:val="00D5731F"/>
    <w:rsid w:val="00D577B2"/>
    <w:rsid w:val="00D57867"/>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4F"/>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2C"/>
    <w:rsid w:val="00D648B8"/>
    <w:rsid w:val="00D6530A"/>
    <w:rsid w:val="00D653FD"/>
    <w:rsid w:val="00D654C2"/>
    <w:rsid w:val="00D65504"/>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607"/>
    <w:rsid w:val="00D66EE3"/>
    <w:rsid w:val="00D67254"/>
    <w:rsid w:val="00D67324"/>
    <w:rsid w:val="00D673EA"/>
    <w:rsid w:val="00D67509"/>
    <w:rsid w:val="00D6785E"/>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30"/>
    <w:rsid w:val="00D71C4C"/>
    <w:rsid w:val="00D71D10"/>
    <w:rsid w:val="00D71F28"/>
    <w:rsid w:val="00D72047"/>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48"/>
    <w:rsid w:val="00D7389C"/>
    <w:rsid w:val="00D73912"/>
    <w:rsid w:val="00D73A25"/>
    <w:rsid w:val="00D73CAC"/>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6D2"/>
    <w:rsid w:val="00D75ABA"/>
    <w:rsid w:val="00D75C4A"/>
    <w:rsid w:val="00D75CFB"/>
    <w:rsid w:val="00D75D63"/>
    <w:rsid w:val="00D75E1A"/>
    <w:rsid w:val="00D75F48"/>
    <w:rsid w:val="00D75F99"/>
    <w:rsid w:val="00D75FF0"/>
    <w:rsid w:val="00D76103"/>
    <w:rsid w:val="00D762C0"/>
    <w:rsid w:val="00D7635C"/>
    <w:rsid w:val="00D764E3"/>
    <w:rsid w:val="00D764F2"/>
    <w:rsid w:val="00D76689"/>
    <w:rsid w:val="00D766F0"/>
    <w:rsid w:val="00D76702"/>
    <w:rsid w:val="00D7687B"/>
    <w:rsid w:val="00D769FC"/>
    <w:rsid w:val="00D76A03"/>
    <w:rsid w:val="00D76A0A"/>
    <w:rsid w:val="00D76B19"/>
    <w:rsid w:val="00D76B1B"/>
    <w:rsid w:val="00D77194"/>
    <w:rsid w:val="00D771AA"/>
    <w:rsid w:val="00D7724A"/>
    <w:rsid w:val="00D7764C"/>
    <w:rsid w:val="00D776DA"/>
    <w:rsid w:val="00D77781"/>
    <w:rsid w:val="00D777CF"/>
    <w:rsid w:val="00D77AE4"/>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08E"/>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89A"/>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7A"/>
    <w:rsid w:val="00D916CC"/>
    <w:rsid w:val="00D916ED"/>
    <w:rsid w:val="00D91761"/>
    <w:rsid w:val="00D91768"/>
    <w:rsid w:val="00D917C6"/>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3C40"/>
    <w:rsid w:val="00D94234"/>
    <w:rsid w:val="00D944D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DCD"/>
    <w:rsid w:val="00D95E0F"/>
    <w:rsid w:val="00D96183"/>
    <w:rsid w:val="00D961EC"/>
    <w:rsid w:val="00D96346"/>
    <w:rsid w:val="00D96872"/>
    <w:rsid w:val="00D968CE"/>
    <w:rsid w:val="00D96A13"/>
    <w:rsid w:val="00D96B03"/>
    <w:rsid w:val="00D96BCE"/>
    <w:rsid w:val="00D96C8D"/>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0AE"/>
    <w:rsid w:val="00DA018D"/>
    <w:rsid w:val="00DA0259"/>
    <w:rsid w:val="00DA03CC"/>
    <w:rsid w:val="00DA0D1C"/>
    <w:rsid w:val="00DA0E54"/>
    <w:rsid w:val="00DA10E1"/>
    <w:rsid w:val="00DA12B1"/>
    <w:rsid w:val="00DA1766"/>
    <w:rsid w:val="00DA19D4"/>
    <w:rsid w:val="00DA1A57"/>
    <w:rsid w:val="00DA1DB2"/>
    <w:rsid w:val="00DA1F46"/>
    <w:rsid w:val="00DA1FE5"/>
    <w:rsid w:val="00DA2695"/>
    <w:rsid w:val="00DA2835"/>
    <w:rsid w:val="00DA2B9E"/>
    <w:rsid w:val="00DA2D8E"/>
    <w:rsid w:val="00DA2E17"/>
    <w:rsid w:val="00DA2E2C"/>
    <w:rsid w:val="00DA304D"/>
    <w:rsid w:val="00DA3065"/>
    <w:rsid w:val="00DA3095"/>
    <w:rsid w:val="00DA34D6"/>
    <w:rsid w:val="00DA3879"/>
    <w:rsid w:val="00DA38D5"/>
    <w:rsid w:val="00DA3FD4"/>
    <w:rsid w:val="00DA4506"/>
    <w:rsid w:val="00DA4620"/>
    <w:rsid w:val="00DA4784"/>
    <w:rsid w:val="00DA49A0"/>
    <w:rsid w:val="00DA4A37"/>
    <w:rsid w:val="00DA4B10"/>
    <w:rsid w:val="00DA4D04"/>
    <w:rsid w:val="00DA4E8A"/>
    <w:rsid w:val="00DA517E"/>
    <w:rsid w:val="00DA52B8"/>
    <w:rsid w:val="00DA53BC"/>
    <w:rsid w:val="00DA53CC"/>
    <w:rsid w:val="00DA5593"/>
    <w:rsid w:val="00DA55FB"/>
    <w:rsid w:val="00DA5796"/>
    <w:rsid w:val="00DA58FB"/>
    <w:rsid w:val="00DA59BE"/>
    <w:rsid w:val="00DA5A6E"/>
    <w:rsid w:val="00DA5D0E"/>
    <w:rsid w:val="00DA5D33"/>
    <w:rsid w:val="00DA5E8D"/>
    <w:rsid w:val="00DA6059"/>
    <w:rsid w:val="00DA609E"/>
    <w:rsid w:val="00DA651E"/>
    <w:rsid w:val="00DA670F"/>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2D"/>
    <w:rsid w:val="00DB1F48"/>
    <w:rsid w:val="00DB21EB"/>
    <w:rsid w:val="00DB2247"/>
    <w:rsid w:val="00DB243C"/>
    <w:rsid w:val="00DB25EC"/>
    <w:rsid w:val="00DB2686"/>
    <w:rsid w:val="00DB2ACF"/>
    <w:rsid w:val="00DB341E"/>
    <w:rsid w:val="00DB34E0"/>
    <w:rsid w:val="00DB3623"/>
    <w:rsid w:val="00DB367D"/>
    <w:rsid w:val="00DB399C"/>
    <w:rsid w:val="00DB3C3F"/>
    <w:rsid w:val="00DB41C2"/>
    <w:rsid w:val="00DB4261"/>
    <w:rsid w:val="00DB442F"/>
    <w:rsid w:val="00DB472B"/>
    <w:rsid w:val="00DB47E8"/>
    <w:rsid w:val="00DB492D"/>
    <w:rsid w:val="00DB49DB"/>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D71"/>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93"/>
    <w:rsid w:val="00DC3261"/>
    <w:rsid w:val="00DC3406"/>
    <w:rsid w:val="00DC3536"/>
    <w:rsid w:val="00DC38A7"/>
    <w:rsid w:val="00DC3AE7"/>
    <w:rsid w:val="00DC400F"/>
    <w:rsid w:val="00DC4088"/>
    <w:rsid w:val="00DC4174"/>
    <w:rsid w:val="00DC4572"/>
    <w:rsid w:val="00DC49D5"/>
    <w:rsid w:val="00DC4AFB"/>
    <w:rsid w:val="00DC4B12"/>
    <w:rsid w:val="00DC4BE5"/>
    <w:rsid w:val="00DC4CA1"/>
    <w:rsid w:val="00DC4F15"/>
    <w:rsid w:val="00DC4F38"/>
    <w:rsid w:val="00DC4F9B"/>
    <w:rsid w:val="00DC500E"/>
    <w:rsid w:val="00DC53E8"/>
    <w:rsid w:val="00DC54CE"/>
    <w:rsid w:val="00DC55DD"/>
    <w:rsid w:val="00DC5651"/>
    <w:rsid w:val="00DC5BF7"/>
    <w:rsid w:val="00DC5C3B"/>
    <w:rsid w:val="00DC5D7B"/>
    <w:rsid w:val="00DC5ED1"/>
    <w:rsid w:val="00DC6038"/>
    <w:rsid w:val="00DC618E"/>
    <w:rsid w:val="00DC665F"/>
    <w:rsid w:val="00DC681A"/>
    <w:rsid w:val="00DC6B04"/>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0EAF"/>
    <w:rsid w:val="00DD0F33"/>
    <w:rsid w:val="00DD1009"/>
    <w:rsid w:val="00DD1146"/>
    <w:rsid w:val="00DD1378"/>
    <w:rsid w:val="00DD140A"/>
    <w:rsid w:val="00DD148E"/>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A0F"/>
    <w:rsid w:val="00DD2B15"/>
    <w:rsid w:val="00DD2B95"/>
    <w:rsid w:val="00DD2DA0"/>
    <w:rsid w:val="00DD2E2C"/>
    <w:rsid w:val="00DD2E3D"/>
    <w:rsid w:val="00DD2F9A"/>
    <w:rsid w:val="00DD3134"/>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6A"/>
    <w:rsid w:val="00DD5D7A"/>
    <w:rsid w:val="00DD5D9E"/>
    <w:rsid w:val="00DD6558"/>
    <w:rsid w:val="00DD6731"/>
    <w:rsid w:val="00DD6A2A"/>
    <w:rsid w:val="00DD6B9D"/>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75"/>
    <w:rsid w:val="00DE23FF"/>
    <w:rsid w:val="00DE249D"/>
    <w:rsid w:val="00DE25ED"/>
    <w:rsid w:val="00DE2804"/>
    <w:rsid w:val="00DE2AC1"/>
    <w:rsid w:val="00DE2C76"/>
    <w:rsid w:val="00DE2CEF"/>
    <w:rsid w:val="00DE2D73"/>
    <w:rsid w:val="00DE2F65"/>
    <w:rsid w:val="00DE31EA"/>
    <w:rsid w:val="00DE3265"/>
    <w:rsid w:val="00DE35D3"/>
    <w:rsid w:val="00DE36D4"/>
    <w:rsid w:val="00DE38E4"/>
    <w:rsid w:val="00DE3A0B"/>
    <w:rsid w:val="00DE3A3A"/>
    <w:rsid w:val="00DE3F06"/>
    <w:rsid w:val="00DE418E"/>
    <w:rsid w:val="00DE4552"/>
    <w:rsid w:val="00DE4720"/>
    <w:rsid w:val="00DE48A4"/>
    <w:rsid w:val="00DE4B9F"/>
    <w:rsid w:val="00DE4C0C"/>
    <w:rsid w:val="00DE4EA3"/>
    <w:rsid w:val="00DE502D"/>
    <w:rsid w:val="00DE5388"/>
    <w:rsid w:val="00DE5518"/>
    <w:rsid w:val="00DE55FC"/>
    <w:rsid w:val="00DE57C4"/>
    <w:rsid w:val="00DE5B92"/>
    <w:rsid w:val="00DE6392"/>
    <w:rsid w:val="00DE6674"/>
    <w:rsid w:val="00DE6796"/>
    <w:rsid w:val="00DE6844"/>
    <w:rsid w:val="00DE6D82"/>
    <w:rsid w:val="00DE6D9D"/>
    <w:rsid w:val="00DE6E69"/>
    <w:rsid w:val="00DE6EEA"/>
    <w:rsid w:val="00DE6EEB"/>
    <w:rsid w:val="00DE6EED"/>
    <w:rsid w:val="00DE6EF2"/>
    <w:rsid w:val="00DE735B"/>
    <w:rsid w:val="00DE7847"/>
    <w:rsid w:val="00DE784C"/>
    <w:rsid w:val="00DE7880"/>
    <w:rsid w:val="00DE7A26"/>
    <w:rsid w:val="00DE7A51"/>
    <w:rsid w:val="00DE7D39"/>
    <w:rsid w:val="00DF05C8"/>
    <w:rsid w:val="00DF0768"/>
    <w:rsid w:val="00DF0C29"/>
    <w:rsid w:val="00DF0C96"/>
    <w:rsid w:val="00DF0FD9"/>
    <w:rsid w:val="00DF119B"/>
    <w:rsid w:val="00DF15B0"/>
    <w:rsid w:val="00DF1795"/>
    <w:rsid w:val="00DF1A59"/>
    <w:rsid w:val="00DF1AED"/>
    <w:rsid w:val="00DF1CEE"/>
    <w:rsid w:val="00DF1EBE"/>
    <w:rsid w:val="00DF1ED7"/>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2E9"/>
    <w:rsid w:val="00DF430A"/>
    <w:rsid w:val="00DF45C8"/>
    <w:rsid w:val="00DF4B52"/>
    <w:rsid w:val="00DF4C6D"/>
    <w:rsid w:val="00DF4CC2"/>
    <w:rsid w:val="00DF4E1B"/>
    <w:rsid w:val="00DF5018"/>
    <w:rsid w:val="00DF52B2"/>
    <w:rsid w:val="00DF53CC"/>
    <w:rsid w:val="00DF53D0"/>
    <w:rsid w:val="00DF5519"/>
    <w:rsid w:val="00DF554B"/>
    <w:rsid w:val="00DF58A8"/>
    <w:rsid w:val="00DF5B46"/>
    <w:rsid w:val="00DF5BD7"/>
    <w:rsid w:val="00DF5D1B"/>
    <w:rsid w:val="00DF6289"/>
    <w:rsid w:val="00DF64CA"/>
    <w:rsid w:val="00DF659E"/>
    <w:rsid w:val="00DF691B"/>
    <w:rsid w:val="00DF6C9D"/>
    <w:rsid w:val="00DF6E5D"/>
    <w:rsid w:val="00DF70EF"/>
    <w:rsid w:val="00DF7250"/>
    <w:rsid w:val="00DF72CD"/>
    <w:rsid w:val="00DF743C"/>
    <w:rsid w:val="00DF7459"/>
    <w:rsid w:val="00DF7655"/>
    <w:rsid w:val="00DF781F"/>
    <w:rsid w:val="00DF798D"/>
    <w:rsid w:val="00DF7ACD"/>
    <w:rsid w:val="00DF7D3A"/>
    <w:rsid w:val="00DF7D88"/>
    <w:rsid w:val="00E000F4"/>
    <w:rsid w:val="00E001E5"/>
    <w:rsid w:val="00E0084F"/>
    <w:rsid w:val="00E00A8A"/>
    <w:rsid w:val="00E00ACA"/>
    <w:rsid w:val="00E00C44"/>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72"/>
    <w:rsid w:val="00E027C8"/>
    <w:rsid w:val="00E02BBA"/>
    <w:rsid w:val="00E02CFC"/>
    <w:rsid w:val="00E02F7C"/>
    <w:rsid w:val="00E02FDB"/>
    <w:rsid w:val="00E03026"/>
    <w:rsid w:val="00E03260"/>
    <w:rsid w:val="00E0341D"/>
    <w:rsid w:val="00E035FD"/>
    <w:rsid w:val="00E038B9"/>
    <w:rsid w:val="00E03977"/>
    <w:rsid w:val="00E03C75"/>
    <w:rsid w:val="00E03F34"/>
    <w:rsid w:val="00E045C3"/>
    <w:rsid w:val="00E048FF"/>
    <w:rsid w:val="00E04AB7"/>
    <w:rsid w:val="00E05064"/>
    <w:rsid w:val="00E050EF"/>
    <w:rsid w:val="00E05400"/>
    <w:rsid w:val="00E0556C"/>
    <w:rsid w:val="00E0559B"/>
    <w:rsid w:val="00E05789"/>
    <w:rsid w:val="00E058FB"/>
    <w:rsid w:val="00E059DD"/>
    <w:rsid w:val="00E05A4D"/>
    <w:rsid w:val="00E05AC4"/>
    <w:rsid w:val="00E05E9E"/>
    <w:rsid w:val="00E06073"/>
    <w:rsid w:val="00E06096"/>
    <w:rsid w:val="00E060E3"/>
    <w:rsid w:val="00E06402"/>
    <w:rsid w:val="00E064D9"/>
    <w:rsid w:val="00E06708"/>
    <w:rsid w:val="00E06971"/>
    <w:rsid w:val="00E06B00"/>
    <w:rsid w:val="00E06F85"/>
    <w:rsid w:val="00E07354"/>
    <w:rsid w:val="00E074FB"/>
    <w:rsid w:val="00E076FC"/>
    <w:rsid w:val="00E07897"/>
    <w:rsid w:val="00E07ACC"/>
    <w:rsid w:val="00E07B1B"/>
    <w:rsid w:val="00E07C91"/>
    <w:rsid w:val="00E07D0C"/>
    <w:rsid w:val="00E1056D"/>
    <w:rsid w:val="00E106E8"/>
    <w:rsid w:val="00E10788"/>
    <w:rsid w:val="00E109C4"/>
    <w:rsid w:val="00E10C6A"/>
    <w:rsid w:val="00E10D28"/>
    <w:rsid w:val="00E10F98"/>
    <w:rsid w:val="00E110A4"/>
    <w:rsid w:val="00E11213"/>
    <w:rsid w:val="00E115D7"/>
    <w:rsid w:val="00E11835"/>
    <w:rsid w:val="00E11877"/>
    <w:rsid w:val="00E1194D"/>
    <w:rsid w:val="00E11A77"/>
    <w:rsid w:val="00E11D5A"/>
    <w:rsid w:val="00E11D68"/>
    <w:rsid w:val="00E120C9"/>
    <w:rsid w:val="00E122E3"/>
    <w:rsid w:val="00E1238F"/>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311"/>
    <w:rsid w:val="00E14756"/>
    <w:rsid w:val="00E14C91"/>
    <w:rsid w:val="00E14C98"/>
    <w:rsid w:val="00E14F41"/>
    <w:rsid w:val="00E1562D"/>
    <w:rsid w:val="00E1598D"/>
    <w:rsid w:val="00E159AC"/>
    <w:rsid w:val="00E16030"/>
    <w:rsid w:val="00E16175"/>
    <w:rsid w:val="00E163CF"/>
    <w:rsid w:val="00E16862"/>
    <w:rsid w:val="00E16868"/>
    <w:rsid w:val="00E16869"/>
    <w:rsid w:val="00E16B51"/>
    <w:rsid w:val="00E16D8A"/>
    <w:rsid w:val="00E16E34"/>
    <w:rsid w:val="00E16EEE"/>
    <w:rsid w:val="00E16F52"/>
    <w:rsid w:val="00E173C1"/>
    <w:rsid w:val="00E174E6"/>
    <w:rsid w:val="00E17990"/>
    <w:rsid w:val="00E17C3D"/>
    <w:rsid w:val="00E17C9B"/>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9A8"/>
    <w:rsid w:val="00E23B7A"/>
    <w:rsid w:val="00E23ED8"/>
    <w:rsid w:val="00E2408E"/>
    <w:rsid w:val="00E2427C"/>
    <w:rsid w:val="00E24295"/>
    <w:rsid w:val="00E242D5"/>
    <w:rsid w:val="00E242EA"/>
    <w:rsid w:val="00E24406"/>
    <w:rsid w:val="00E24443"/>
    <w:rsid w:val="00E24649"/>
    <w:rsid w:val="00E24836"/>
    <w:rsid w:val="00E24BDE"/>
    <w:rsid w:val="00E24D87"/>
    <w:rsid w:val="00E24E19"/>
    <w:rsid w:val="00E25005"/>
    <w:rsid w:val="00E252D9"/>
    <w:rsid w:val="00E255CD"/>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E09"/>
    <w:rsid w:val="00E270D0"/>
    <w:rsid w:val="00E2718A"/>
    <w:rsid w:val="00E271A7"/>
    <w:rsid w:val="00E27289"/>
    <w:rsid w:val="00E27383"/>
    <w:rsid w:val="00E27426"/>
    <w:rsid w:val="00E276B7"/>
    <w:rsid w:val="00E277D4"/>
    <w:rsid w:val="00E27B37"/>
    <w:rsid w:val="00E27BE4"/>
    <w:rsid w:val="00E27D57"/>
    <w:rsid w:val="00E27DF1"/>
    <w:rsid w:val="00E27F45"/>
    <w:rsid w:val="00E27FD1"/>
    <w:rsid w:val="00E3018C"/>
    <w:rsid w:val="00E3071A"/>
    <w:rsid w:val="00E307DD"/>
    <w:rsid w:val="00E30807"/>
    <w:rsid w:val="00E3084D"/>
    <w:rsid w:val="00E30867"/>
    <w:rsid w:val="00E30890"/>
    <w:rsid w:val="00E309DB"/>
    <w:rsid w:val="00E30A35"/>
    <w:rsid w:val="00E30B56"/>
    <w:rsid w:val="00E30CCD"/>
    <w:rsid w:val="00E30D14"/>
    <w:rsid w:val="00E30F5C"/>
    <w:rsid w:val="00E312F5"/>
    <w:rsid w:val="00E31310"/>
    <w:rsid w:val="00E31342"/>
    <w:rsid w:val="00E315F7"/>
    <w:rsid w:val="00E31665"/>
    <w:rsid w:val="00E318BE"/>
    <w:rsid w:val="00E318F4"/>
    <w:rsid w:val="00E318F9"/>
    <w:rsid w:val="00E3198C"/>
    <w:rsid w:val="00E31995"/>
    <w:rsid w:val="00E319AE"/>
    <w:rsid w:val="00E31DAA"/>
    <w:rsid w:val="00E326A7"/>
    <w:rsid w:val="00E3275F"/>
    <w:rsid w:val="00E3279C"/>
    <w:rsid w:val="00E327F0"/>
    <w:rsid w:val="00E32970"/>
    <w:rsid w:val="00E32B0C"/>
    <w:rsid w:val="00E32BBD"/>
    <w:rsid w:val="00E32C82"/>
    <w:rsid w:val="00E32CB2"/>
    <w:rsid w:val="00E32EC7"/>
    <w:rsid w:val="00E3305C"/>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92"/>
    <w:rsid w:val="00E363D7"/>
    <w:rsid w:val="00E36682"/>
    <w:rsid w:val="00E36870"/>
    <w:rsid w:val="00E36894"/>
    <w:rsid w:val="00E37049"/>
    <w:rsid w:val="00E3708D"/>
    <w:rsid w:val="00E372B6"/>
    <w:rsid w:val="00E3754A"/>
    <w:rsid w:val="00E3754C"/>
    <w:rsid w:val="00E37B1A"/>
    <w:rsid w:val="00E37B6D"/>
    <w:rsid w:val="00E37D0A"/>
    <w:rsid w:val="00E37FD7"/>
    <w:rsid w:val="00E4006C"/>
    <w:rsid w:val="00E400DC"/>
    <w:rsid w:val="00E4011E"/>
    <w:rsid w:val="00E4020A"/>
    <w:rsid w:val="00E40299"/>
    <w:rsid w:val="00E405E9"/>
    <w:rsid w:val="00E40774"/>
    <w:rsid w:val="00E40B32"/>
    <w:rsid w:val="00E40BEC"/>
    <w:rsid w:val="00E4118D"/>
    <w:rsid w:val="00E41208"/>
    <w:rsid w:val="00E4139D"/>
    <w:rsid w:val="00E4140B"/>
    <w:rsid w:val="00E4147A"/>
    <w:rsid w:val="00E41485"/>
    <w:rsid w:val="00E414F4"/>
    <w:rsid w:val="00E41658"/>
    <w:rsid w:val="00E418DF"/>
    <w:rsid w:val="00E41B4A"/>
    <w:rsid w:val="00E41BF4"/>
    <w:rsid w:val="00E4222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4C0"/>
    <w:rsid w:val="00E44540"/>
    <w:rsid w:val="00E44696"/>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8A"/>
    <w:rsid w:val="00E458D8"/>
    <w:rsid w:val="00E45C9E"/>
    <w:rsid w:val="00E46075"/>
    <w:rsid w:val="00E4608C"/>
    <w:rsid w:val="00E46393"/>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93"/>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515"/>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109"/>
    <w:rsid w:val="00E54308"/>
    <w:rsid w:val="00E54498"/>
    <w:rsid w:val="00E5456F"/>
    <w:rsid w:val="00E5468D"/>
    <w:rsid w:val="00E546B4"/>
    <w:rsid w:val="00E54756"/>
    <w:rsid w:val="00E54A9B"/>
    <w:rsid w:val="00E54CB1"/>
    <w:rsid w:val="00E54E0A"/>
    <w:rsid w:val="00E5503D"/>
    <w:rsid w:val="00E55056"/>
    <w:rsid w:val="00E55079"/>
    <w:rsid w:val="00E553CA"/>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61"/>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AF"/>
    <w:rsid w:val="00E65E3D"/>
    <w:rsid w:val="00E65E62"/>
    <w:rsid w:val="00E65EF6"/>
    <w:rsid w:val="00E65EFA"/>
    <w:rsid w:val="00E65EFE"/>
    <w:rsid w:val="00E65FFE"/>
    <w:rsid w:val="00E66064"/>
    <w:rsid w:val="00E66293"/>
    <w:rsid w:val="00E66479"/>
    <w:rsid w:val="00E667BE"/>
    <w:rsid w:val="00E667E3"/>
    <w:rsid w:val="00E669C1"/>
    <w:rsid w:val="00E66E5F"/>
    <w:rsid w:val="00E670A6"/>
    <w:rsid w:val="00E673CC"/>
    <w:rsid w:val="00E673DD"/>
    <w:rsid w:val="00E674AE"/>
    <w:rsid w:val="00E67716"/>
    <w:rsid w:val="00E67893"/>
    <w:rsid w:val="00E67AD0"/>
    <w:rsid w:val="00E67C1F"/>
    <w:rsid w:val="00E67CF6"/>
    <w:rsid w:val="00E67D1E"/>
    <w:rsid w:val="00E67E12"/>
    <w:rsid w:val="00E70276"/>
    <w:rsid w:val="00E703A4"/>
    <w:rsid w:val="00E705CB"/>
    <w:rsid w:val="00E705F0"/>
    <w:rsid w:val="00E70C77"/>
    <w:rsid w:val="00E70CB0"/>
    <w:rsid w:val="00E70DFF"/>
    <w:rsid w:val="00E70E63"/>
    <w:rsid w:val="00E70EE5"/>
    <w:rsid w:val="00E70F0A"/>
    <w:rsid w:val="00E70F7B"/>
    <w:rsid w:val="00E71350"/>
    <w:rsid w:val="00E713B0"/>
    <w:rsid w:val="00E71561"/>
    <w:rsid w:val="00E716A0"/>
    <w:rsid w:val="00E7171C"/>
    <w:rsid w:val="00E7185C"/>
    <w:rsid w:val="00E71873"/>
    <w:rsid w:val="00E71A42"/>
    <w:rsid w:val="00E71B5E"/>
    <w:rsid w:val="00E71E58"/>
    <w:rsid w:val="00E71F09"/>
    <w:rsid w:val="00E72209"/>
    <w:rsid w:val="00E728FE"/>
    <w:rsid w:val="00E72F88"/>
    <w:rsid w:val="00E72FAF"/>
    <w:rsid w:val="00E7302C"/>
    <w:rsid w:val="00E7321E"/>
    <w:rsid w:val="00E7330F"/>
    <w:rsid w:val="00E7334E"/>
    <w:rsid w:val="00E73637"/>
    <w:rsid w:val="00E7366C"/>
    <w:rsid w:val="00E738C6"/>
    <w:rsid w:val="00E739D4"/>
    <w:rsid w:val="00E73A47"/>
    <w:rsid w:val="00E73BA1"/>
    <w:rsid w:val="00E73C20"/>
    <w:rsid w:val="00E73EC9"/>
    <w:rsid w:val="00E740BE"/>
    <w:rsid w:val="00E741AD"/>
    <w:rsid w:val="00E7426C"/>
    <w:rsid w:val="00E74287"/>
    <w:rsid w:val="00E742C9"/>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285"/>
    <w:rsid w:val="00E7667C"/>
    <w:rsid w:val="00E768CF"/>
    <w:rsid w:val="00E769E0"/>
    <w:rsid w:val="00E76A29"/>
    <w:rsid w:val="00E77228"/>
    <w:rsid w:val="00E77248"/>
    <w:rsid w:val="00E77435"/>
    <w:rsid w:val="00E774EA"/>
    <w:rsid w:val="00E77521"/>
    <w:rsid w:val="00E77601"/>
    <w:rsid w:val="00E776BC"/>
    <w:rsid w:val="00E777D8"/>
    <w:rsid w:val="00E77821"/>
    <w:rsid w:val="00E77A94"/>
    <w:rsid w:val="00E77AF5"/>
    <w:rsid w:val="00E77AF8"/>
    <w:rsid w:val="00E77D78"/>
    <w:rsid w:val="00E77EB8"/>
    <w:rsid w:val="00E803F4"/>
    <w:rsid w:val="00E80409"/>
    <w:rsid w:val="00E80536"/>
    <w:rsid w:val="00E805F0"/>
    <w:rsid w:val="00E80C1B"/>
    <w:rsid w:val="00E80D88"/>
    <w:rsid w:val="00E80EA1"/>
    <w:rsid w:val="00E80F72"/>
    <w:rsid w:val="00E81056"/>
    <w:rsid w:val="00E810B2"/>
    <w:rsid w:val="00E8118B"/>
    <w:rsid w:val="00E81272"/>
    <w:rsid w:val="00E814FD"/>
    <w:rsid w:val="00E81542"/>
    <w:rsid w:val="00E81877"/>
    <w:rsid w:val="00E81D81"/>
    <w:rsid w:val="00E81DD5"/>
    <w:rsid w:val="00E81EAC"/>
    <w:rsid w:val="00E8219A"/>
    <w:rsid w:val="00E821B9"/>
    <w:rsid w:val="00E8232B"/>
    <w:rsid w:val="00E823BD"/>
    <w:rsid w:val="00E82453"/>
    <w:rsid w:val="00E8246D"/>
    <w:rsid w:val="00E82870"/>
    <w:rsid w:val="00E828A3"/>
    <w:rsid w:val="00E82CEB"/>
    <w:rsid w:val="00E82D51"/>
    <w:rsid w:val="00E82DDF"/>
    <w:rsid w:val="00E83116"/>
    <w:rsid w:val="00E832B5"/>
    <w:rsid w:val="00E833C3"/>
    <w:rsid w:val="00E83482"/>
    <w:rsid w:val="00E835BD"/>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07C"/>
    <w:rsid w:val="00E86246"/>
    <w:rsid w:val="00E86506"/>
    <w:rsid w:val="00E865C4"/>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E9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433"/>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BCF"/>
    <w:rsid w:val="00EA0CC9"/>
    <w:rsid w:val="00EA0E29"/>
    <w:rsid w:val="00EA0E9D"/>
    <w:rsid w:val="00EA10A1"/>
    <w:rsid w:val="00EA14F4"/>
    <w:rsid w:val="00EA17C0"/>
    <w:rsid w:val="00EA1A59"/>
    <w:rsid w:val="00EA1BA3"/>
    <w:rsid w:val="00EA1CF1"/>
    <w:rsid w:val="00EA1D0F"/>
    <w:rsid w:val="00EA1DA6"/>
    <w:rsid w:val="00EA1DB6"/>
    <w:rsid w:val="00EA1FC5"/>
    <w:rsid w:val="00EA219F"/>
    <w:rsid w:val="00EA22C2"/>
    <w:rsid w:val="00EA23E6"/>
    <w:rsid w:val="00EA25D3"/>
    <w:rsid w:val="00EA2618"/>
    <w:rsid w:val="00EA2665"/>
    <w:rsid w:val="00EA2893"/>
    <w:rsid w:val="00EA289B"/>
    <w:rsid w:val="00EA29D9"/>
    <w:rsid w:val="00EA2A3E"/>
    <w:rsid w:val="00EA2B7F"/>
    <w:rsid w:val="00EA2F8C"/>
    <w:rsid w:val="00EA3110"/>
    <w:rsid w:val="00EA32C4"/>
    <w:rsid w:val="00EA342F"/>
    <w:rsid w:val="00EA3887"/>
    <w:rsid w:val="00EA3D1F"/>
    <w:rsid w:val="00EA40E5"/>
    <w:rsid w:val="00EA45BC"/>
    <w:rsid w:val="00EA4706"/>
    <w:rsid w:val="00EA48BB"/>
    <w:rsid w:val="00EA4C3E"/>
    <w:rsid w:val="00EA4D16"/>
    <w:rsid w:val="00EA4D25"/>
    <w:rsid w:val="00EA4D2D"/>
    <w:rsid w:val="00EA5086"/>
    <w:rsid w:val="00EA520F"/>
    <w:rsid w:val="00EA5376"/>
    <w:rsid w:val="00EA53E7"/>
    <w:rsid w:val="00EA54AB"/>
    <w:rsid w:val="00EA558C"/>
    <w:rsid w:val="00EA55F5"/>
    <w:rsid w:val="00EA57D1"/>
    <w:rsid w:val="00EA590C"/>
    <w:rsid w:val="00EA59CC"/>
    <w:rsid w:val="00EA5A10"/>
    <w:rsid w:val="00EA5A8A"/>
    <w:rsid w:val="00EA5D9E"/>
    <w:rsid w:val="00EA5F56"/>
    <w:rsid w:val="00EA5F76"/>
    <w:rsid w:val="00EA5FC8"/>
    <w:rsid w:val="00EA6422"/>
    <w:rsid w:val="00EA66B2"/>
    <w:rsid w:val="00EA67F5"/>
    <w:rsid w:val="00EA6D06"/>
    <w:rsid w:val="00EA736E"/>
    <w:rsid w:val="00EA7648"/>
    <w:rsid w:val="00EA7934"/>
    <w:rsid w:val="00EA7F07"/>
    <w:rsid w:val="00EA7FC3"/>
    <w:rsid w:val="00EB0190"/>
    <w:rsid w:val="00EB02A1"/>
    <w:rsid w:val="00EB0500"/>
    <w:rsid w:val="00EB07BC"/>
    <w:rsid w:val="00EB0A07"/>
    <w:rsid w:val="00EB0A0A"/>
    <w:rsid w:val="00EB0A77"/>
    <w:rsid w:val="00EB0ABF"/>
    <w:rsid w:val="00EB0B7E"/>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50"/>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7D9"/>
    <w:rsid w:val="00EC0801"/>
    <w:rsid w:val="00EC0CB5"/>
    <w:rsid w:val="00EC1046"/>
    <w:rsid w:val="00EC10C6"/>
    <w:rsid w:val="00EC10E0"/>
    <w:rsid w:val="00EC1172"/>
    <w:rsid w:val="00EC1494"/>
    <w:rsid w:val="00EC1572"/>
    <w:rsid w:val="00EC158A"/>
    <w:rsid w:val="00EC1743"/>
    <w:rsid w:val="00EC17D1"/>
    <w:rsid w:val="00EC1993"/>
    <w:rsid w:val="00EC19AE"/>
    <w:rsid w:val="00EC19FE"/>
    <w:rsid w:val="00EC1C53"/>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071"/>
    <w:rsid w:val="00EC4108"/>
    <w:rsid w:val="00EC4425"/>
    <w:rsid w:val="00EC4463"/>
    <w:rsid w:val="00EC458F"/>
    <w:rsid w:val="00EC48C1"/>
    <w:rsid w:val="00EC4ACF"/>
    <w:rsid w:val="00EC4C8A"/>
    <w:rsid w:val="00EC4D4A"/>
    <w:rsid w:val="00EC4F39"/>
    <w:rsid w:val="00EC4FD7"/>
    <w:rsid w:val="00EC5014"/>
    <w:rsid w:val="00EC501F"/>
    <w:rsid w:val="00EC519A"/>
    <w:rsid w:val="00EC5250"/>
    <w:rsid w:val="00EC53D5"/>
    <w:rsid w:val="00EC552B"/>
    <w:rsid w:val="00EC555F"/>
    <w:rsid w:val="00EC5909"/>
    <w:rsid w:val="00EC5959"/>
    <w:rsid w:val="00EC5C1D"/>
    <w:rsid w:val="00EC6082"/>
    <w:rsid w:val="00EC6156"/>
    <w:rsid w:val="00EC63F4"/>
    <w:rsid w:val="00EC6502"/>
    <w:rsid w:val="00EC655B"/>
    <w:rsid w:val="00EC6697"/>
    <w:rsid w:val="00EC67F3"/>
    <w:rsid w:val="00EC696F"/>
    <w:rsid w:val="00EC6B90"/>
    <w:rsid w:val="00EC6BF8"/>
    <w:rsid w:val="00EC6C3E"/>
    <w:rsid w:val="00EC6DE6"/>
    <w:rsid w:val="00EC6F7B"/>
    <w:rsid w:val="00EC7099"/>
    <w:rsid w:val="00EC7104"/>
    <w:rsid w:val="00EC730A"/>
    <w:rsid w:val="00EC7380"/>
    <w:rsid w:val="00EC76EB"/>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12"/>
    <w:rsid w:val="00ED15F6"/>
    <w:rsid w:val="00ED1687"/>
    <w:rsid w:val="00ED16CF"/>
    <w:rsid w:val="00ED1788"/>
    <w:rsid w:val="00ED187E"/>
    <w:rsid w:val="00ED19A1"/>
    <w:rsid w:val="00ED2146"/>
    <w:rsid w:val="00ED21DF"/>
    <w:rsid w:val="00ED2642"/>
    <w:rsid w:val="00ED2759"/>
    <w:rsid w:val="00ED2DCB"/>
    <w:rsid w:val="00ED3131"/>
    <w:rsid w:val="00ED34D6"/>
    <w:rsid w:val="00ED3555"/>
    <w:rsid w:val="00ED3658"/>
    <w:rsid w:val="00ED36CB"/>
    <w:rsid w:val="00ED386C"/>
    <w:rsid w:val="00ED388D"/>
    <w:rsid w:val="00ED3A9A"/>
    <w:rsid w:val="00ED3F2C"/>
    <w:rsid w:val="00ED444C"/>
    <w:rsid w:val="00ED46BE"/>
    <w:rsid w:val="00ED4813"/>
    <w:rsid w:val="00ED4861"/>
    <w:rsid w:val="00ED48C7"/>
    <w:rsid w:val="00ED4AD4"/>
    <w:rsid w:val="00ED4E49"/>
    <w:rsid w:val="00ED4FC8"/>
    <w:rsid w:val="00ED5054"/>
    <w:rsid w:val="00ED527B"/>
    <w:rsid w:val="00ED531F"/>
    <w:rsid w:val="00ED5489"/>
    <w:rsid w:val="00ED5619"/>
    <w:rsid w:val="00ED58A4"/>
    <w:rsid w:val="00ED5955"/>
    <w:rsid w:val="00ED5C2E"/>
    <w:rsid w:val="00ED6057"/>
    <w:rsid w:val="00ED6102"/>
    <w:rsid w:val="00ED612A"/>
    <w:rsid w:val="00ED626F"/>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798"/>
    <w:rsid w:val="00EE08D8"/>
    <w:rsid w:val="00EE0949"/>
    <w:rsid w:val="00EE09CC"/>
    <w:rsid w:val="00EE0A9A"/>
    <w:rsid w:val="00EE0BFC"/>
    <w:rsid w:val="00EE0C0F"/>
    <w:rsid w:val="00EE0DE3"/>
    <w:rsid w:val="00EE0EE6"/>
    <w:rsid w:val="00EE0F57"/>
    <w:rsid w:val="00EE0FB2"/>
    <w:rsid w:val="00EE124F"/>
    <w:rsid w:val="00EE1498"/>
    <w:rsid w:val="00EE18CA"/>
    <w:rsid w:val="00EE1AB9"/>
    <w:rsid w:val="00EE1D28"/>
    <w:rsid w:val="00EE1D80"/>
    <w:rsid w:val="00EE1E3E"/>
    <w:rsid w:val="00EE2314"/>
    <w:rsid w:val="00EE244C"/>
    <w:rsid w:val="00EE244E"/>
    <w:rsid w:val="00EE25AA"/>
    <w:rsid w:val="00EE25CE"/>
    <w:rsid w:val="00EE26EA"/>
    <w:rsid w:val="00EE2991"/>
    <w:rsid w:val="00EE2A50"/>
    <w:rsid w:val="00EE2D64"/>
    <w:rsid w:val="00EE2DAA"/>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4CE"/>
    <w:rsid w:val="00EE5677"/>
    <w:rsid w:val="00EE5806"/>
    <w:rsid w:val="00EE5B34"/>
    <w:rsid w:val="00EE5BAF"/>
    <w:rsid w:val="00EE5E67"/>
    <w:rsid w:val="00EE6104"/>
    <w:rsid w:val="00EE6500"/>
    <w:rsid w:val="00EE661A"/>
    <w:rsid w:val="00EE6898"/>
    <w:rsid w:val="00EE6984"/>
    <w:rsid w:val="00EE69A4"/>
    <w:rsid w:val="00EE6C8E"/>
    <w:rsid w:val="00EE71D1"/>
    <w:rsid w:val="00EE7277"/>
    <w:rsid w:val="00EE7804"/>
    <w:rsid w:val="00EE78C0"/>
    <w:rsid w:val="00EE7A4F"/>
    <w:rsid w:val="00EE7C07"/>
    <w:rsid w:val="00EE7CCF"/>
    <w:rsid w:val="00EE7D09"/>
    <w:rsid w:val="00EE7D7C"/>
    <w:rsid w:val="00EE7DE0"/>
    <w:rsid w:val="00EE7EE6"/>
    <w:rsid w:val="00EF04DF"/>
    <w:rsid w:val="00EF0539"/>
    <w:rsid w:val="00EF0559"/>
    <w:rsid w:val="00EF086C"/>
    <w:rsid w:val="00EF0B24"/>
    <w:rsid w:val="00EF0DF4"/>
    <w:rsid w:val="00EF0EC5"/>
    <w:rsid w:val="00EF1008"/>
    <w:rsid w:val="00EF1105"/>
    <w:rsid w:val="00EF1176"/>
    <w:rsid w:val="00EF1230"/>
    <w:rsid w:val="00EF12C8"/>
    <w:rsid w:val="00EF134A"/>
    <w:rsid w:val="00EF1626"/>
    <w:rsid w:val="00EF162A"/>
    <w:rsid w:val="00EF16D4"/>
    <w:rsid w:val="00EF192C"/>
    <w:rsid w:val="00EF1B04"/>
    <w:rsid w:val="00EF1B14"/>
    <w:rsid w:val="00EF1C39"/>
    <w:rsid w:val="00EF1C9B"/>
    <w:rsid w:val="00EF2956"/>
    <w:rsid w:val="00EF2D72"/>
    <w:rsid w:val="00EF2EEA"/>
    <w:rsid w:val="00EF2FF5"/>
    <w:rsid w:val="00EF3042"/>
    <w:rsid w:val="00EF325A"/>
    <w:rsid w:val="00EF32EF"/>
    <w:rsid w:val="00EF3821"/>
    <w:rsid w:val="00EF3AFF"/>
    <w:rsid w:val="00EF3C24"/>
    <w:rsid w:val="00EF3F75"/>
    <w:rsid w:val="00EF3FAA"/>
    <w:rsid w:val="00EF409D"/>
    <w:rsid w:val="00EF4185"/>
    <w:rsid w:val="00EF421E"/>
    <w:rsid w:val="00EF4329"/>
    <w:rsid w:val="00EF46B3"/>
    <w:rsid w:val="00EF46CF"/>
    <w:rsid w:val="00EF4717"/>
    <w:rsid w:val="00EF482C"/>
    <w:rsid w:val="00EF4A02"/>
    <w:rsid w:val="00EF4CD2"/>
    <w:rsid w:val="00EF4E7D"/>
    <w:rsid w:val="00EF4ED8"/>
    <w:rsid w:val="00EF4FE3"/>
    <w:rsid w:val="00EF5016"/>
    <w:rsid w:val="00EF51F9"/>
    <w:rsid w:val="00EF5200"/>
    <w:rsid w:val="00EF5211"/>
    <w:rsid w:val="00EF548C"/>
    <w:rsid w:val="00EF565C"/>
    <w:rsid w:val="00EF58B7"/>
    <w:rsid w:val="00EF5AD7"/>
    <w:rsid w:val="00EF5B31"/>
    <w:rsid w:val="00EF5BE3"/>
    <w:rsid w:val="00EF5C38"/>
    <w:rsid w:val="00EF5FAA"/>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BE7"/>
    <w:rsid w:val="00F06C2C"/>
    <w:rsid w:val="00F06DA4"/>
    <w:rsid w:val="00F06FCA"/>
    <w:rsid w:val="00F07D4F"/>
    <w:rsid w:val="00F07DC2"/>
    <w:rsid w:val="00F07F24"/>
    <w:rsid w:val="00F07F33"/>
    <w:rsid w:val="00F10609"/>
    <w:rsid w:val="00F10634"/>
    <w:rsid w:val="00F1090C"/>
    <w:rsid w:val="00F10AE7"/>
    <w:rsid w:val="00F1100F"/>
    <w:rsid w:val="00F11146"/>
    <w:rsid w:val="00F1124B"/>
    <w:rsid w:val="00F112E7"/>
    <w:rsid w:val="00F11433"/>
    <w:rsid w:val="00F11529"/>
    <w:rsid w:val="00F11641"/>
    <w:rsid w:val="00F11664"/>
    <w:rsid w:val="00F1175E"/>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B7D"/>
    <w:rsid w:val="00F13E1C"/>
    <w:rsid w:val="00F14006"/>
    <w:rsid w:val="00F1400E"/>
    <w:rsid w:val="00F140AD"/>
    <w:rsid w:val="00F1429C"/>
    <w:rsid w:val="00F142D6"/>
    <w:rsid w:val="00F148A4"/>
    <w:rsid w:val="00F148B8"/>
    <w:rsid w:val="00F14B2E"/>
    <w:rsid w:val="00F14B4F"/>
    <w:rsid w:val="00F14FEB"/>
    <w:rsid w:val="00F15089"/>
    <w:rsid w:val="00F150C1"/>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5BB"/>
    <w:rsid w:val="00F176A5"/>
    <w:rsid w:val="00F17AB4"/>
    <w:rsid w:val="00F17C60"/>
    <w:rsid w:val="00F17DD5"/>
    <w:rsid w:val="00F17DD9"/>
    <w:rsid w:val="00F17E0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77"/>
    <w:rsid w:val="00F2398D"/>
    <w:rsid w:val="00F23B3F"/>
    <w:rsid w:val="00F23E36"/>
    <w:rsid w:val="00F23EB1"/>
    <w:rsid w:val="00F242C5"/>
    <w:rsid w:val="00F243DE"/>
    <w:rsid w:val="00F245D5"/>
    <w:rsid w:val="00F24667"/>
    <w:rsid w:val="00F2478B"/>
    <w:rsid w:val="00F24859"/>
    <w:rsid w:val="00F249AD"/>
    <w:rsid w:val="00F24A05"/>
    <w:rsid w:val="00F24A64"/>
    <w:rsid w:val="00F24E55"/>
    <w:rsid w:val="00F24EF4"/>
    <w:rsid w:val="00F25063"/>
    <w:rsid w:val="00F250A4"/>
    <w:rsid w:val="00F25172"/>
    <w:rsid w:val="00F251F3"/>
    <w:rsid w:val="00F2536A"/>
    <w:rsid w:val="00F2537F"/>
    <w:rsid w:val="00F25605"/>
    <w:rsid w:val="00F25EF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101"/>
    <w:rsid w:val="00F30378"/>
    <w:rsid w:val="00F305C5"/>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08"/>
    <w:rsid w:val="00F32644"/>
    <w:rsid w:val="00F32981"/>
    <w:rsid w:val="00F32A9F"/>
    <w:rsid w:val="00F32D78"/>
    <w:rsid w:val="00F3322C"/>
    <w:rsid w:val="00F332A7"/>
    <w:rsid w:val="00F33455"/>
    <w:rsid w:val="00F3347C"/>
    <w:rsid w:val="00F334B5"/>
    <w:rsid w:val="00F33659"/>
    <w:rsid w:val="00F33822"/>
    <w:rsid w:val="00F33BDC"/>
    <w:rsid w:val="00F33C9E"/>
    <w:rsid w:val="00F3425B"/>
    <w:rsid w:val="00F3474F"/>
    <w:rsid w:val="00F34916"/>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21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2D"/>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68"/>
    <w:rsid w:val="00F429BA"/>
    <w:rsid w:val="00F42A8E"/>
    <w:rsid w:val="00F42B99"/>
    <w:rsid w:val="00F42B9E"/>
    <w:rsid w:val="00F42D65"/>
    <w:rsid w:val="00F42F41"/>
    <w:rsid w:val="00F42F6E"/>
    <w:rsid w:val="00F42FAF"/>
    <w:rsid w:val="00F430AE"/>
    <w:rsid w:val="00F432F0"/>
    <w:rsid w:val="00F4356D"/>
    <w:rsid w:val="00F43581"/>
    <w:rsid w:val="00F435F9"/>
    <w:rsid w:val="00F43650"/>
    <w:rsid w:val="00F439A4"/>
    <w:rsid w:val="00F43A56"/>
    <w:rsid w:val="00F43B87"/>
    <w:rsid w:val="00F44172"/>
    <w:rsid w:val="00F44214"/>
    <w:rsid w:val="00F44521"/>
    <w:rsid w:val="00F445DC"/>
    <w:rsid w:val="00F445FB"/>
    <w:rsid w:val="00F44818"/>
    <w:rsid w:val="00F44C27"/>
    <w:rsid w:val="00F44CD6"/>
    <w:rsid w:val="00F44D4F"/>
    <w:rsid w:val="00F4528E"/>
    <w:rsid w:val="00F452C3"/>
    <w:rsid w:val="00F452DE"/>
    <w:rsid w:val="00F454A8"/>
    <w:rsid w:val="00F454C0"/>
    <w:rsid w:val="00F460DA"/>
    <w:rsid w:val="00F460E8"/>
    <w:rsid w:val="00F461BD"/>
    <w:rsid w:val="00F461C7"/>
    <w:rsid w:val="00F46492"/>
    <w:rsid w:val="00F465A7"/>
    <w:rsid w:val="00F46651"/>
    <w:rsid w:val="00F466C9"/>
    <w:rsid w:val="00F467C3"/>
    <w:rsid w:val="00F467EF"/>
    <w:rsid w:val="00F46AD7"/>
    <w:rsid w:val="00F46D23"/>
    <w:rsid w:val="00F46E73"/>
    <w:rsid w:val="00F46E8D"/>
    <w:rsid w:val="00F46EE7"/>
    <w:rsid w:val="00F46EF9"/>
    <w:rsid w:val="00F47018"/>
    <w:rsid w:val="00F4732D"/>
    <w:rsid w:val="00F474D3"/>
    <w:rsid w:val="00F47873"/>
    <w:rsid w:val="00F47C76"/>
    <w:rsid w:val="00F47DA7"/>
    <w:rsid w:val="00F47EE0"/>
    <w:rsid w:val="00F47F65"/>
    <w:rsid w:val="00F500DE"/>
    <w:rsid w:val="00F50264"/>
    <w:rsid w:val="00F50293"/>
    <w:rsid w:val="00F50CB4"/>
    <w:rsid w:val="00F50D1E"/>
    <w:rsid w:val="00F5116C"/>
    <w:rsid w:val="00F513CD"/>
    <w:rsid w:val="00F515D2"/>
    <w:rsid w:val="00F51679"/>
    <w:rsid w:val="00F51915"/>
    <w:rsid w:val="00F51B80"/>
    <w:rsid w:val="00F51B96"/>
    <w:rsid w:val="00F524C4"/>
    <w:rsid w:val="00F52537"/>
    <w:rsid w:val="00F5286F"/>
    <w:rsid w:val="00F528A3"/>
    <w:rsid w:val="00F52A68"/>
    <w:rsid w:val="00F52BE5"/>
    <w:rsid w:val="00F52C26"/>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67B"/>
    <w:rsid w:val="00F547FD"/>
    <w:rsid w:val="00F54983"/>
    <w:rsid w:val="00F54D92"/>
    <w:rsid w:val="00F54DA5"/>
    <w:rsid w:val="00F54FD4"/>
    <w:rsid w:val="00F550DB"/>
    <w:rsid w:val="00F550ED"/>
    <w:rsid w:val="00F55639"/>
    <w:rsid w:val="00F557B6"/>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95"/>
    <w:rsid w:val="00F5793F"/>
    <w:rsid w:val="00F57CD5"/>
    <w:rsid w:val="00F57E89"/>
    <w:rsid w:val="00F60209"/>
    <w:rsid w:val="00F60475"/>
    <w:rsid w:val="00F607BC"/>
    <w:rsid w:val="00F60920"/>
    <w:rsid w:val="00F6092D"/>
    <w:rsid w:val="00F60B8A"/>
    <w:rsid w:val="00F60D10"/>
    <w:rsid w:val="00F60D79"/>
    <w:rsid w:val="00F60F8D"/>
    <w:rsid w:val="00F61186"/>
    <w:rsid w:val="00F611F2"/>
    <w:rsid w:val="00F614F4"/>
    <w:rsid w:val="00F6150B"/>
    <w:rsid w:val="00F61533"/>
    <w:rsid w:val="00F615A6"/>
    <w:rsid w:val="00F615EE"/>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8"/>
    <w:rsid w:val="00F635F9"/>
    <w:rsid w:val="00F6369D"/>
    <w:rsid w:val="00F636B8"/>
    <w:rsid w:val="00F646A3"/>
    <w:rsid w:val="00F646A8"/>
    <w:rsid w:val="00F647C1"/>
    <w:rsid w:val="00F6499E"/>
    <w:rsid w:val="00F649F3"/>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7E2"/>
    <w:rsid w:val="00F66E23"/>
    <w:rsid w:val="00F66ED4"/>
    <w:rsid w:val="00F66FB8"/>
    <w:rsid w:val="00F67256"/>
    <w:rsid w:val="00F674DB"/>
    <w:rsid w:val="00F67590"/>
    <w:rsid w:val="00F6772B"/>
    <w:rsid w:val="00F67A31"/>
    <w:rsid w:val="00F67D86"/>
    <w:rsid w:val="00F67E1F"/>
    <w:rsid w:val="00F67EDB"/>
    <w:rsid w:val="00F702BE"/>
    <w:rsid w:val="00F702E8"/>
    <w:rsid w:val="00F7090E"/>
    <w:rsid w:val="00F70D58"/>
    <w:rsid w:val="00F70DEE"/>
    <w:rsid w:val="00F70EF1"/>
    <w:rsid w:val="00F70FAD"/>
    <w:rsid w:val="00F711AF"/>
    <w:rsid w:val="00F711B2"/>
    <w:rsid w:val="00F7120C"/>
    <w:rsid w:val="00F712EE"/>
    <w:rsid w:val="00F71383"/>
    <w:rsid w:val="00F714A8"/>
    <w:rsid w:val="00F716BF"/>
    <w:rsid w:val="00F7170C"/>
    <w:rsid w:val="00F71753"/>
    <w:rsid w:val="00F72054"/>
    <w:rsid w:val="00F72086"/>
    <w:rsid w:val="00F721FA"/>
    <w:rsid w:val="00F7226B"/>
    <w:rsid w:val="00F7257C"/>
    <w:rsid w:val="00F728DC"/>
    <w:rsid w:val="00F72A45"/>
    <w:rsid w:val="00F72B77"/>
    <w:rsid w:val="00F72C7E"/>
    <w:rsid w:val="00F72E31"/>
    <w:rsid w:val="00F73078"/>
    <w:rsid w:val="00F73194"/>
    <w:rsid w:val="00F7324A"/>
    <w:rsid w:val="00F7342F"/>
    <w:rsid w:val="00F7347B"/>
    <w:rsid w:val="00F73720"/>
    <w:rsid w:val="00F737C0"/>
    <w:rsid w:val="00F7384E"/>
    <w:rsid w:val="00F738A5"/>
    <w:rsid w:val="00F73A9B"/>
    <w:rsid w:val="00F73C94"/>
    <w:rsid w:val="00F73FBA"/>
    <w:rsid w:val="00F743D0"/>
    <w:rsid w:val="00F7448A"/>
    <w:rsid w:val="00F7473A"/>
    <w:rsid w:val="00F747BE"/>
    <w:rsid w:val="00F749BA"/>
    <w:rsid w:val="00F74EFA"/>
    <w:rsid w:val="00F74FD2"/>
    <w:rsid w:val="00F754A0"/>
    <w:rsid w:val="00F7577D"/>
    <w:rsid w:val="00F757D2"/>
    <w:rsid w:val="00F759C3"/>
    <w:rsid w:val="00F75C87"/>
    <w:rsid w:val="00F75DBB"/>
    <w:rsid w:val="00F75E80"/>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DB6"/>
    <w:rsid w:val="00F77ED3"/>
    <w:rsid w:val="00F80287"/>
    <w:rsid w:val="00F802E1"/>
    <w:rsid w:val="00F80343"/>
    <w:rsid w:val="00F80500"/>
    <w:rsid w:val="00F80728"/>
    <w:rsid w:val="00F807B3"/>
    <w:rsid w:val="00F80922"/>
    <w:rsid w:val="00F80933"/>
    <w:rsid w:val="00F809FE"/>
    <w:rsid w:val="00F811D4"/>
    <w:rsid w:val="00F811DC"/>
    <w:rsid w:val="00F811DF"/>
    <w:rsid w:val="00F812C1"/>
    <w:rsid w:val="00F814C5"/>
    <w:rsid w:val="00F816C7"/>
    <w:rsid w:val="00F818F5"/>
    <w:rsid w:val="00F819E8"/>
    <w:rsid w:val="00F81A73"/>
    <w:rsid w:val="00F81C01"/>
    <w:rsid w:val="00F81DC4"/>
    <w:rsid w:val="00F81DE1"/>
    <w:rsid w:val="00F81E1A"/>
    <w:rsid w:val="00F82160"/>
    <w:rsid w:val="00F82293"/>
    <w:rsid w:val="00F826F3"/>
    <w:rsid w:val="00F82788"/>
    <w:rsid w:val="00F82807"/>
    <w:rsid w:val="00F82DFD"/>
    <w:rsid w:val="00F82E66"/>
    <w:rsid w:val="00F82EE8"/>
    <w:rsid w:val="00F83620"/>
    <w:rsid w:val="00F837A5"/>
    <w:rsid w:val="00F83D06"/>
    <w:rsid w:val="00F840F6"/>
    <w:rsid w:val="00F841AC"/>
    <w:rsid w:val="00F84229"/>
    <w:rsid w:val="00F843A8"/>
    <w:rsid w:val="00F84562"/>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AFF"/>
    <w:rsid w:val="00F86C85"/>
    <w:rsid w:val="00F87590"/>
    <w:rsid w:val="00F875DF"/>
    <w:rsid w:val="00F875E0"/>
    <w:rsid w:val="00F87722"/>
    <w:rsid w:val="00F877D1"/>
    <w:rsid w:val="00F878B7"/>
    <w:rsid w:val="00F878BA"/>
    <w:rsid w:val="00F87B05"/>
    <w:rsid w:val="00F87ED9"/>
    <w:rsid w:val="00F9026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1EA"/>
    <w:rsid w:val="00F94214"/>
    <w:rsid w:val="00F943B5"/>
    <w:rsid w:val="00F9455B"/>
    <w:rsid w:val="00F94563"/>
    <w:rsid w:val="00F9483F"/>
    <w:rsid w:val="00F94D06"/>
    <w:rsid w:val="00F94D15"/>
    <w:rsid w:val="00F94D54"/>
    <w:rsid w:val="00F94D7B"/>
    <w:rsid w:val="00F94DD9"/>
    <w:rsid w:val="00F94EB8"/>
    <w:rsid w:val="00F95443"/>
    <w:rsid w:val="00F95532"/>
    <w:rsid w:val="00F95639"/>
    <w:rsid w:val="00F95A22"/>
    <w:rsid w:val="00F95C46"/>
    <w:rsid w:val="00F95C77"/>
    <w:rsid w:val="00F95E84"/>
    <w:rsid w:val="00F9644F"/>
    <w:rsid w:val="00F96876"/>
    <w:rsid w:val="00F96A5B"/>
    <w:rsid w:val="00F96B70"/>
    <w:rsid w:val="00F96E12"/>
    <w:rsid w:val="00F96FD4"/>
    <w:rsid w:val="00F9707B"/>
    <w:rsid w:val="00F971C5"/>
    <w:rsid w:val="00F97256"/>
    <w:rsid w:val="00F97765"/>
    <w:rsid w:val="00F9787F"/>
    <w:rsid w:val="00F97953"/>
    <w:rsid w:val="00F97A10"/>
    <w:rsid w:val="00F97AE2"/>
    <w:rsid w:val="00F97C3B"/>
    <w:rsid w:val="00F97F05"/>
    <w:rsid w:val="00FA04E5"/>
    <w:rsid w:val="00FA09A0"/>
    <w:rsid w:val="00FA09FA"/>
    <w:rsid w:val="00FA0CFA"/>
    <w:rsid w:val="00FA0F58"/>
    <w:rsid w:val="00FA10C2"/>
    <w:rsid w:val="00FA127F"/>
    <w:rsid w:val="00FA13FA"/>
    <w:rsid w:val="00FA16E6"/>
    <w:rsid w:val="00FA181C"/>
    <w:rsid w:val="00FA1B4D"/>
    <w:rsid w:val="00FA1BDF"/>
    <w:rsid w:val="00FA1E10"/>
    <w:rsid w:val="00FA1EE6"/>
    <w:rsid w:val="00FA1FB6"/>
    <w:rsid w:val="00FA214F"/>
    <w:rsid w:val="00FA2254"/>
    <w:rsid w:val="00FA2333"/>
    <w:rsid w:val="00FA272F"/>
    <w:rsid w:val="00FA277C"/>
    <w:rsid w:val="00FA2ACE"/>
    <w:rsid w:val="00FA3090"/>
    <w:rsid w:val="00FA30B6"/>
    <w:rsid w:val="00FA3264"/>
    <w:rsid w:val="00FA329E"/>
    <w:rsid w:val="00FA3306"/>
    <w:rsid w:val="00FA386C"/>
    <w:rsid w:val="00FA388F"/>
    <w:rsid w:val="00FA39DD"/>
    <w:rsid w:val="00FA3CB5"/>
    <w:rsid w:val="00FA3CDB"/>
    <w:rsid w:val="00FA400C"/>
    <w:rsid w:val="00FA4239"/>
    <w:rsid w:val="00FA4306"/>
    <w:rsid w:val="00FA43DB"/>
    <w:rsid w:val="00FA445F"/>
    <w:rsid w:val="00FA45D1"/>
    <w:rsid w:val="00FA465A"/>
    <w:rsid w:val="00FA46F9"/>
    <w:rsid w:val="00FA47A3"/>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D83"/>
    <w:rsid w:val="00FA6EF1"/>
    <w:rsid w:val="00FA70C2"/>
    <w:rsid w:val="00FA7247"/>
    <w:rsid w:val="00FA7516"/>
    <w:rsid w:val="00FA7871"/>
    <w:rsid w:val="00FA7AD4"/>
    <w:rsid w:val="00FA7B87"/>
    <w:rsid w:val="00FA7BB8"/>
    <w:rsid w:val="00FA7CB1"/>
    <w:rsid w:val="00FA7DEF"/>
    <w:rsid w:val="00FB03B6"/>
    <w:rsid w:val="00FB063B"/>
    <w:rsid w:val="00FB063E"/>
    <w:rsid w:val="00FB0749"/>
    <w:rsid w:val="00FB0A44"/>
    <w:rsid w:val="00FB0A96"/>
    <w:rsid w:val="00FB0C0F"/>
    <w:rsid w:val="00FB0C75"/>
    <w:rsid w:val="00FB0DD7"/>
    <w:rsid w:val="00FB0EBF"/>
    <w:rsid w:val="00FB103E"/>
    <w:rsid w:val="00FB11AF"/>
    <w:rsid w:val="00FB11E9"/>
    <w:rsid w:val="00FB128D"/>
    <w:rsid w:val="00FB14ED"/>
    <w:rsid w:val="00FB188E"/>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4F7A"/>
    <w:rsid w:val="00FB5189"/>
    <w:rsid w:val="00FB5361"/>
    <w:rsid w:val="00FB53E3"/>
    <w:rsid w:val="00FB5403"/>
    <w:rsid w:val="00FB541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6B"/>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95"/>
    <w:rsid w:val="00FC33FF"/>
    <w:rsid w:val="00FC3488"/>
    <w:rsid w:val="00FC3617"/>
    <w:rsid w:val="00FC3661"/>
    <w:rsid w:val="00FC3A39"/>
    <w:rsid w:val="00FC3AEC"/>
    <w:rsid w:val="00FC3FBC"/>
    <w:rsid w:val="00FC482B"/>
    <w:rsid w:val="00FC4A36"/>
    <w:rsid w:val="00FC4AFD"/>
    <w:rsid w:val="00FC4B3F"/>
    <w:rsid w:val="00FC4BBC"/>
    <w:rsid w:val="00FC4C0C"/>
    <w:rsid w:val="00FC4CE8"/>
    <w:rsid w:val="00FC512C"/>
    <w:rsid w:val="00FC5197"/>
    <w:rsid w:val="00FC5321"/>
    <w:rsid w:val="00FC5585"/>
    <w:rsid w:val="00FC5633"/>
    <w:rsid w:val="00FC5A77"/>
    <w:rsid w:val="00FC5CB2"/>
    <w:rsid w:val="00FC5D16"/>
    <w:rsid w:val="00FC5DA1"/>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51A"/>
    <w:rsid w:val="00FC7844"/>
    <w:rsid w:val="00FC792E"/>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B96"/>
    <w:rsid w:val="00FD1CF7"/>
    <w:rsid w:val="00FD1D2F"/>
    <w:rsid w:val="00FD1EB5"/>
    <w:rsid w:val="00FD22E2"/>
    <w:rsid w:val="00FD236F"/>
    <w:rsid w:val="00FD249D"/>
    <w:rsid w:val="00FD28E0"/>
    <w:rsid w:val="00FD294E"/>
    <w:rsid w:val="00FD2B1F"/>
    <w:rsid w:val="00FD2FA9"/>
    <w:rsid w:val="00FD31AA"/>
    <w:rsid w:val="00FD3958"/>
    <w:rsid w:val="00FD39F1"/>
    <w:rsid w:val="00FD435A"/>
    <w:rsid w:val="00FD45B8"/>
    <w:rsid w:val="00FD4643"/>
    <w:rsid w:val="00FD47B7"/>
    <w:rsid w:val="00FD4B33"/>
    <w:rsid w:val="00FD4E0F"/>
    <w:rsid w:val="00FD4FA0"/>
    <w:rsid w:val="00FD4FDD"/>
    <w:rsid w:val="00FD5006"/>
    <w:rsid w:val="00FD51EA"/>
    <w:rsid w:val="00FD5484"/>
    <w:rsid w:val="00FD5672"/>
    <w:rsid w:val="00FD56D4"/>
    <w:rsid w:val="00FD5704"/>
    <w:rsid w:val="00FD5982"/>
    <w:rsid w:val="00FD59F8"/>
    <w:rsid w:val="00FD5B63"/>
    <w:rsid w:val="00FD5B91"/>
    <w:rsid w:val="00FD5BD3"/>
    <w:rsid w:val="00FD5D9B"/>
    <w:rsid w:val="00FD649F"/>
    <w:rsid w:val="00FD660E"/>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75"/>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07"/>
    <w:rsid w:val="00FE30B6"/>
    <w:rsid w:val="00FE3109"/>
    <w:rsid w:val="00FE3D93"/>
    <w:rsid w:val="00FE3E5C"/>
    <w:rsid w:val="00FE3EA0"/>
    <w:rsid w:val="00FE4039"/>
    <w:rsid w:val="00FE414C"/>
    <w:rsid w:val="00FE4246"/>
    <w:rsid w:val="00FE43B0"/>
    <w:rsid w:val="00FE4415"/>
    <w:rsid w:val="00FE4486"/>
    <w:rsid w:val="00FE4653"/>
    <w:rsid w:val="00FE4832"/>
    <w:rsid w:val="00FE488D"/>
    <w:rsid w:val="00FE495D"/>
    <w:rsid w:val="00FE4A38"/>
    <w:rsid w:val="00FE4B29"/>
    <w:rsid w:val="00FE4BD1"/>
    <w:rsid w:val="00FE4E49"/>
    <w:rsid w:val="00FE4EF7"/>
    <w:rsid w:val="00FE4FFA"/>
    <w:rsid w:val="00FE522F"/>
    <w:rsid w:val="00FE5980"/>
    <w:rsid w:val="00FE5C69"/>
    <w:rsid w:val="00FE5DEF"/>
    <w:rsid w:val="00FE609C"/>
    <w:rsid w:val="00FE6230"/>
    <w:rsid w:val="00FE6468"/>
    <w:rsid w:val="00FE6646"/>
    <w:rsid w:val="00FE669B"/>
    <w:rsid w:val="00FE714D"/>
    <w:rsid w:val="00FE7352"/>
    <w:rsid w:val="00FE7D6A"/>
    <w:rsid w:val="00FF018D"/>
    <w:rsid w:val="00FF01B0"/>
    <w:rsid w:val="00FF029E"/>
    <w:rsid w:val="00FF034B"/>
    <w:rsid w:val="00FF0359"/>
    <w:rsid w:val="00FF039F"/>
    <w:rsid w:val="00FF03B0"/>
    <w:rsid w:val="00FF0403"/>
    <w:rsid w:val="00FF05A6"/>
    <w:rsid w:val="00FF0655"/>
    <w:rsid w:val="00FF0961"/>
    <w:rsid w:val="00FF09E3"/>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AB4F4A"/>
    <w:rsid w:val="01D14F2B"/>
    <w:rsid w:val="021B645C"/>
    <w:rsid w:val="02FE031F"/>
    <w:rsid w:val="030406F3"/>
    <w:rsid w:val="045C62E4"/>
    <w:rsid w:val="04654116"/>
    <w:rsid w:val="04704908"/>
    <w:rsid w:val="049C4C87"/>
    <w:rsid w:val="04FC088E"/>
    <w:rsid w:val="051565F0"/>
    <w:rsid w:val="05303E6A"/>
    <w:rsid w:val="0680729D"/>
    <w:rsid w:val="06A00E13"/>
    <w:rsid w:val="06CC5708"/>
    <w:rsid w:val="072604F4"/>
    <w:rsid w:val="077F1687"/>
    <w:rsid w:val="083E11BD"/>
    <w:rsid w:val="08762640"/>
    <w:rsid w:val="087B5F6E"/>
    <w:rsid w:val="08874FC6"/>
    <w:rsid w:val="08F02CB9"/>
    <w:rsid w:val="090043EC"/>
    <w:rsid w:val="09041432"/>
    <w:rsid w:val="09374162"/>
    <w:rsid w:val="09751BF2"/>
    <w:rsid w:val="097906FF"/>
    <w:rsid w:val="09C026BE"/>
    <w:rsid w:val="09C411E9"/>
    <w:rsid w:val="0A053D41"/>
    <w:rsid w:val="0A1755E4"/>
    <w:rsid w:val="0A2D2DDF"/>
    <w:rsid w:val="0AA73E99"/>
    <w:rsid w:val="0AD1329D"/>
    <w:rsid w:val="0AF142C5"/>
    <w:rsid w:val="0B600839"/>
    <w:rsid w:val="0B660C1A"/>
    <w:rsid w:val="0B9346C4"/>
    <w:rsid w:val="0BE81B6C"/>
    <w:rsid w:val="0C2C0A32"/>
    <w:rsid w:val="0C436DA2"/>
    <w:rsid w:val="0CAE0856"/>
    <w:rsid w:val="0D1B16BD"/>
    <w:rsid w:val="0D4F503A"/>
    <w:rsid w:val="0D6544CA"/>
    <w:rsid w:val="0D6E7E4F"/>
    <w:rsid w:val="0D9B3231"/>
    <w:rsid w:val="0DF869F1"/>
    <w:rsid w:val="0E0907EB"/>
    <w:rsid w:val="0E4A266A"/>
    <w:rsid w:val="0EA10303"/>
    <w:rsid w:val="0EBA1D95"/>
    <w:rsid w:val="0EBB0F03"/>
    <w:rsid w:val="0EE52393"/>
    <w:rsid w:val="0F18193B"/>
    <w:rsid w:val="0F3F73F8"/>
    <w:rsid w:val="0F761A3E"/>
    <w:rsid w:val="0FEF710A"/>
    <w:rsid w:val="100948D4"/>
    <w:rsid w:val="10C2298C"/>
    <w:rsid w:val="10D34B99"/>
    <w:rsid w:val="110411F6"/>
    <w:rsid w:val="112E5814"/>
    <w:rsid w:val="11400B60"/>
    <w:rsid w:val="115D5F79"/>
    <w:rsid w:val="11A622AD"/>
    <w:rsid w:val="12204B8A"/>
    <w:rsid w:val="122D2087"/>
    <w:rsid w:val="123B689C"/>
    <w:rsid w:val="129238F2"/>
    <w:rsid w:val="13771DFE"/>
    <w:rsid w:val="13824654"/>
    <w:rsid w:val="13C76A41"/>
    <w:rsid w:val="13CD772C"/>
    <w:rsid w:val="13E23345"/>
    <w:rsid w:val="13F34899"/>
    <w:rsid w:val="13F85AEA"/>
    <w:rsid w:val="145B17C5"/>
    <w:rsid w:val="14951E1C"/>
    <w:rsid w:val="14B51E14"/>
    <w:rsid w:val="152E4A94"/>
    <w:rsid w:val="15357807"/>
    <w:rsid w:val="156314B3"/>
    <w:rsid w:val="15A041AF"/>
    <w:rsid w:val="15A20FDE"/>
    <w:rsid w:val="15AD5965"/>
    <w:rsid w:val="15DB44F0"/>
    <w:rsid w:val="15FA0D82"/>
    <w:rsid w:val="163663AF"/>
    <w:rsid w:val="164200CB"/>
    <w:rsid w:val="16646CBF"/>
    <w:rsid w:val="170D692B"/>
    <w:rsid w:val="17607AD3"/>
    <w:rsid w:val="17C14553"/>
    <w:rsid w:val="17F93E0B"/>
    <w:rsid w:val="18077F53"/>
    <w:rsid w:val="184A187D"/>
    <w:rsid w:val="187A3B4C"/>
    <w:rsid w:val="1A0062D3"/>
    <w:rsid w:val="1AC26CC3"/>
    <w:rsid w:val="1B9403E7"/>
    <w:rsid w:val="1BD6378F"/>
    <w:rsid w:val="1C455CA5"/>
    <w:rsid w:val="1C646BF6"/>
    <w:rsid w:val="1C672639"/>
    <w:rsid w:val="1CAC2742"/>
    <w:rsid w:val="1CD001DE"/>
    <w:rsid w:val="1D2C69D2"/>
    <w:rsid w:val="1D9D7C95"/>
    <w:rsid w:val="1DAC2A21"/>
    <w:rsid w:val="1DAD1554"/>
    <w:rsid w:val="210F1F2F"/>
    <w:rsid w:val="2296771B"/>
    <w:rsid w:val="229D44C2"/>
    <w:rsid w:val="22A20FA7"/>
    <w:rsid w:val="23660DB2"/>
    <w:rsid w:val="2399417D"/>
    <w:rsid w:val="239E00B4"/>
    <w:rsid w:val="243B4281"/>
    <w:rsid w:val="24496224"/>
    <w:rsid w:val="244B45EE"/>
    <w:rsid w:val="24E36A82"/>
    <w:rsid w:val="25076767"/>
    <w:rsid w:val="251E74A4"/>
    <w:rsid w:val="25494FD2"/>
    <w:rsid w:val="25501C64"/>
    <w:rsid w:val="256E7B04"/>
    <w:rsid w:val="2595760B"/>
    <w:rsid w:val="25B31EEB"/>
    <w:rsid w:val="25C5467E"/>
    <w:rsid w:val="263E318C"/>
    <w:rsid w:val="2695315B"/>
    <w:rsid w:val="26983C48"/>
    <w:rsid w:val="26A23F39"/>
    <w:rsid w:val="27843CE5"/>
    <w:rsid w:val="27AD6EC3"/>
    <w:rsid w:val="27D67FE3"/>
    <w:rsid w:val="27F304AC"/>
    <w:rsid w:val="29300B62"/>
    <w:rsid w:val="2A2E29E8"/>
    <w:rsid w:val="2AB253C7"/>
    <w:rsid w:val="2AB91E17"/>
    <w:rsid w:val="2AE9148E"/>
    <w:rsid w:val="2B41760E"/>
    <w:rsid w:val="2B5605C8"/>
    <w:rsid w:val="2B6A3FD1"/>
    <w:rsid w:val="2BB5531A"/>
    <w:rsid w:val="2BB86A0D"/>
    <w:rsid w:val="2C2422F5"/>
    <w:rsid w:val="2C5745F3"/>
    <w:rsid w:val="2C9616C6"/>
    <w:rsid w:val="2CB96EF6"/>
    <w:rsid w:val="2D642184"/>
    <w:rsid w:val="2DAE691A"/>
    <w:rsid w:val="2DBE000D"/>
    <w:rsid w:val="2E712F51"/>
    <w:rsid w:val="2EC954AD"/>
    <w:rsid w:val="2F1A7D97"/>
    <w:rsid w:val="2F7E7F6E"/>
    <w:rsid w:val="30121BBD"/>
    <w:rsid w:val="30473F4C"/>
    <w:rsid w:val="309D2676"/>
    <w:rsid w:val="318C3417"/>
    <w:rsid w:val="32261603"/>
    <w:rsid w:val="32535DA8"/>
    <w:rsid w:val="327C3DF5"/>
    <w:rsid w:val="32A04679"/>
    <w:rsid w:val="32B6733B"/>
    <w:rsid w:val="32EB653A"/>
    <w:rsid w:val="32EB78DF"/>
    <w:rsid w:val="32ED62FA"/>
    <w:rsid w:val="337D25D5"/>
    <w:rsid w:val="33E660E2"/>
    <w:rsid w:val="34052A0C"/>
    <w:rsid w:val="34586FDF"/>
    <w:rsid w:val="345A71A2"/>
    <w:rsid w:val="3508367E"/>
    <w:rsid w:val="35260E8C"/>
    <w:rsid w:val="356F23D4"/>
    <w:rsid w:val="35877747"/>
    <w:rsid w:val="361E756D"/>
    <w:rsid w:val="36447ED5"/>
    <w:rsid w:val="375E4FFD"/>
    <w:rsid w:val="377A54BF"/>
    <w:rsid w:val="37AA1A6B"/>
    <w:rsid w:val="3845787B"/>
    <w:rsid w:val="38D86941"/>
    <w:rsid w:val="390F6E62"/>
    <w:rsid w:val="39316051"/>
    <w:rsid w:val="394E25D8"/>
    <w:rsid w:val="395835DE"/>
    <w:rsid w:val="39713E9F"/>
    <w:rsid w:val="39A8533F"/>
    <w:rsid w:val="39C2500F"/>
    <w:rsid w:val="39E210F9"/>
    <w:rsid w:val="3A323EF6"/>
    <w:rsid w:val="3A914FF9"/>
    <w:rsid w:val="3B3F5D44"/>
    <w:rsid w:val="3B6024D7"/>
    <w:rsid w:val="3B8E7AE0"/>
    <w:rsid w:val="3BAB0C00"/>
    <w:rsid w:val="3BAE5737"/>
    <w:rsid w:val="3BBA4C60"/>
    <w:rsid w:val="3BCB6780"/>
    <w:rsid w:val="3C432323"/>
    <w:rsid w:val="3C5E4226"/>
    <w:rsid w:val="3C872BFA"/>
    <w:rsid w:val="3CB82C6E"/>
    <w:rsid w:val="3D511FBF"/>
    <w:rsid w:val="3E4F625D"/>
    <w:rsid w:val="3E9E5D88"/>
    <w:rsid w:val="3F051733"/>
    <w:rsid w:val="3F204B9E"/>
    <w:rsid w:val="3F457E81"/>
    <w:rsid w:val="3F966C0E"/>
    <w:rsid w:val="3F9C1DD4"/>
    <w:rsid w:val="3FAA4467"/>
    <w:rsid w:val="3FB45515"/>
    <w:rsid w:val="3FF5F3AE"/>
    <w:rsid w:val="400C6ED0"/>
    <w:rsid w:val="40481A6B"/>
    <w:rsid w:val="40CD028F"/>
    <w:rsid w:val="40CD4796"/>
    <w:rsid w:val="40D519B8"/>
    <w:rsid w:val="41084EDE"/>
    <w:rsid w:val="41642F23"/>
    <w:rsid w:val="41DD28D2"/>
    <w:rsid w:val="42002A64"/>
    <w:rsid w:val="42831D2D"/>
    <w:rsid w:val="42CD0A98"/>
    <w:rsid w:val="43086074"/>
    <w:rsid w:val="431A0C09"/>
    <w:rsid w:val="434B0B76"/>
    <w:rsid w:val="43CC07A5"/>
    <w:rsid w:val="43E66C7E"/>
    <w:rsid w:val="444803F6"/>
    <w:rsid w:val="445D419E"/>
    <w:rsid w:val="44FA3890"/>
    <w:rsid w:val="45343151"/>
    <w:rsid w:val="45486BFC"/>
    <w:rsid w:val="45703A5D"/>
    <w:rsid w:val="457D6BFE"/>
    <w:rsid w:val="45A57BAB"/>
    <w:rsid w:val="463D1574"/>
    <w:rsid w:val="465B64BB"/>
    <w:rsid w:val="46BF4C9C"/>
    <w:rsid w:val="46CE59EE"/>
    <w:rsid w:val="46DE7A24"/>
    <w:rsid w:val="479F7ED9"/>
    <w:rsid w:val="47AD0F98"/>
    <w:rsid w:val="47DC7F39"/>
    <w:rsid w:val="47F71E45"/>
    <w:rsid w:val="47F95F8C"/>
    <w:rsid w:val="480E2158"/>
    <w:rsid w:val="482968D7"/>
    <w:rsid w:val="48B956E0"/>
    <w:rsid w:val="48BD520B"/>
    <w:rsid w:val="48FC5DC9"/>
    <w:rsid w:val="499E6DEB"/>
    <w:rsid w:val="49A50198"/>
    <w:rsid w:val="4A2D6F5D"/>
    <w:rsid w:val="4A4B2A2E"/>
    <w:rsid w:val="4A635600"/>
    <w:rsid w:val="4A7F68A7"/>
    <w:rsid w:val="4A8936D0"/>
    <w:rsid w:val="4A9A5643"/>
    <w:rsid w:val="4B262F78"/>
    <w:rsid w:val="4B65373A"/>
    <w:rsid w:val="4C0343BB"/>
    <w:rsid w:val="4C1F5FB4"/>
    <w:rsid w:val="4D00163A"/>
    <w:rsid w:val="4D003F07"/>
    <w:rsid w:val="4D3A4384"/>
    <w:rsid w:val="4D5B0D08"/>
    <w:rsid w:val="4DA348A5"/>
    <w:rsid w:val="4DCF238A"/>
    <w:rsid w:val="4E213852"/>
    <w:rsid w:val="4E622AC7"/>
    <w:rsid w:val="4EA8070C"/>
    <w:rsid w:val="4EC217CD"/>
    <w:rsid w:val="4EC47A9D"/>
    <w:rsid w:val="4F0F5BE3"/>
    <w:rsid w:val="4F22401A"/>
    <w:rsid w:val="4F3D4C00"/>
    <w:rsid w:val="4F6A0467"/>
    <w:rsid w:val="4FB21777"/>
    <w:rsid w:val="4FD24935"/>
    <w:rsid w:val="4FEE214E"/>
    <w:rsid w:val="505446A7"/>
    <w:rsid w:val="50726A1D"/>
    <w:rsid w:val="50772144"/>
    <w:rsid w:val="50D43095"/>
    <w:rsid w:val="518D5397"/>
    <w:rsid w:val="519A258E"/>
    <w:rsid w:val="51BA678C"/>
    <w:rsid w:val="51C5066C"/>
    <w:rsid w:val="51FF16B0"/>
    <w:rsid w:val="52422029"/>
    <w:rsid w:val="5277467D"/>
    <w:rsid w:val="527F6CB5"/>
    <w:rsid w:val="52860D64"/>
    <w:rsid w:val="52A03BD4"/>
    <w:rsid w:val="539B439B"/>
    <w:rsid w:val="542B4CD6"/>
    <w:rsid w:val="54302D35"/>
    <w:rsid w:val="54492057"/>
    <w:rsid w:val="54B92D8D"/>
    <w:rsid w:val="54BB2AC7"/>
    <w:rsid w:val="55040901"/>
    <w:rsid w:val="55046357"/>
    <w:rsid w:val="551E5284"/>
    <w:rsid w:val="5527238A"/>
    <w:rsid w:val="55582AEC"/>
    <w:rsid w:val="558B3C9A"/>
    <w:rsid w:val="560E09D9"/>
    <w:rsid w:val="562408F9"/>
    <w:rsid w:val="566B62A7"/>
    <w:rsid w:val="56DF05DE"/>
    <w:rsid w:val="57203535"/>
    <w:rsid w:val="572A7F10"/>
    <w:rsid w:val="57EE3633"/>
    <w:rsid w:val="57FC6189"/>
    <w:rsid w:val="58066460"/>
    <w:rsid w:val="582708F3"/>
    <w:rsid w:val="584317B3"/>
    <w:rsid w:val="587C58CC"/>
    <w:rsid w:val="591C15DD"/>
    <w:rsid w:val="592941F7"/>
    <w:rsid w:val="59FD7B5D"/>
    <w:rsid w:val="5A1030D6"/>
    <w:rsid w:val="5A5D684E"/>
    <w:rsid w:val="5B686304"/>
    <w:rsid w:val="5BAE172B"/>
    <w:rsid w:val="5C6B34A4"/>
    <w:rsid w:val="5C6E6AF1"/>
    <w:rsid w:val="5C710901"/>
    <w:rsid w:val="5CB56F31"/>
    <w:rsid w:val="5D3C099D"/>
    <w:rsid w:val="5D842A4E"/>
    <w:rsid w:val="5D9F5B7E"/>
    <w:rsid w:val="5E192E87"/>
    <w:rsid w:val="5E714CB3"/>
    <w:rsid w:val="5EA306D2"/>
    <w:rsid w:val="5EA41A33"/>
    <w:rsid w:val="5EDA5491"/>
    <w:rsid w:val="5EFA0B7F"/>
    <w:rsid w:val="5F073306"/>
    <w:rsid w:val="5F117C07"/>
    <w:rsid w:val="5F5F73B9"/>
    <w:rsid w:val="5F9C3975"/>
    <w:rsid w:val="5FA02BE6"/>
    <w:rsid w:val="602776E2"/>
    <w:rsid w:val="60834225"/>
    <w:rsid w:val="60AD7EAA"/>
    <w:rsid w:val="60F66235"/>
    <w:rsid w:val="6112654C"/>
    <w:rsid w:val="61F602B1"/>
    <w:rsid w:val="6218388B"/>
    <w:rsid w:val="6258356E"/>
    <w:rsid w:val="62871CDB"/>
    <w:rsid w:val="62CB3134"/>
    <w:rsid w:val="630A1CB0"/>
    <w:rsid w:val="6374664C"/>
    <w:rsid w:val="63CA3BC2"/>
    <w:rsid w:val="63D8564E"/>
    <w:rsid w:val="63EB3254"/>
    <w:rsid w:val="643A496A"/>
    <w:rsid w:val="646802C9"/>
    <w:rsid w:val="646D3B32"/>
    <w:rsid w:val="647C5B23"/>
    <w:rsid w:val="651A1A20"/>
    <w:rsid w:val="65306AC8"/>
    <w:rsid w:val="659E659B"/>
    <w:rsid w:val="65CD2ADA"/>
    <w:rsid w:val="65DD3D54"/>
    <w:rsid w:val="672145BA"/>
    <w:rsid w:val="672A5B9D"/>
    <w:rsid w:val="673C591C"/>
    <w:rsid w:val="67D85766"/>
    <w:rsid w:val="67DB7004"/>
    <w:rsid w:val="6838144E"/>
    <w:rsid w:val="68A5225E"/>
    <w:rsid w:val="68AA7398"/>
    <w:rsid w:val="690411A9"/>
    <w:rsid w:val="694560B4"/>
    <w:rsid w:val="69E833F2"/>
    <w:rsid w:val="6A34057B"/>
    <w:rsid w:val="6AB670DD"/>
    <w:rsid w:val="6AD77F57"/>
    <w:rsid w:val="6B0F395A"/>
    <w:rsid w:val="6B1A547D"/>
    <w:rsid w:val="6BD34BC2"/>
    <w:rsid w:val="6BE648F5"/>
    <w:rsid w:val="6BF012D0"/>
    <w:rsid w:val="6C527275"/>
    <w:rsid w:val="6C6B75BB"/>
    <w:rsid w:val="6C7106A2"/>
    <w:rsid w:val="6C7A503E"/>
    <w:rsid w:val="6CFB4DC1"/>
    <w:rsid w:val="6D1D00CD"/>
    <w:rsid w:val="6DD662A4"/>
    <w:rsid w:val="6EB54E9D"/>
    <w:rsid w:val="6ECC33D1"/>
    <w:rsid w:val="6F600023"/>
    <w:rsid w:val="6F844859"/>
    <w:rsid w:val="6F932704"/>
    <w:rsid w:val="701F1F74"/>
    <w:rsid w:val="708373E9"/>
    <w:rsid w:val="71286452"/>
    <w:rsid w:val="713C61CB"/>
    <w:rsid w:val="714C6F6F"/>
    <w:rsid w:val="71524BD0"/>
    <w:rsid w:val="715D2F5F"/>
    <w:rsid w:val="72682045"/>
    <w:rsid w:val="72D11E05"/>
    <w:rsid w:val="742C597A"/>
    <w:rsid w:val="74681C20"/>
    <w:rsid w:val="74B60BB9"/>
    <w:rsid w:val="74BE0A36"/>
    <w:rsid w:val="7503558A"/>
    <w:rsid w:val="750B0F29"/>
    <w:rsid w:val="759157D0"/>
    <w:rsid w:val="76F13F4E"/>
    <w:rsid w:val="76F61530"/>
    <w:rsid w:val="7701289B"/>
    <w:rsid w:val="77C05B28"/>
    <w:rsid w:val="77CB499F"/>
    <w:rsid w:val="77DE2D10"/>
    <w:rsid w:val="781A695E"/>
    <w:rsid w:val="797177C8"/>
    <w:rsid w:val="7A0B3779"/>
    <w:rsid w:val="7A1B0D74"/>
    <w:rsid w:val="7A8145AB"/>
    <w:rsid w:val="7AD60A05"/>
    <w:rsid w:val="7AEA5A84"/>
    <w:rsid w:val="7B0B15EF"/>
    <w:rsid w:val="7B81480D"/>
    <w:rsid w:val="7C1452F4"/>
    <w:rsid w:val="7C224876"/>
    <w:rsid w:val="7C74423A"/>
    <w:rsid w:val="7C83508C"/>
    <w:rsid w:val="7CC7347F"/>
    <w:rsid w:val="7CE24C65"/>
    <w:rsid w:val="7D327E67"/>
    <w:rsid w:val="7D7E0C79"/>
    <w:rsid w:val="7E374B3D"/>
    <w:rsid w:val="7E6B0A7C"/>
    <w:rsid w:val="7F1E327D"/>
    <w:rsid w:val="7F3D43D5"/>
    <w:rsid w:val="7F6E0A32"/>
    <w:rsid w:val="7F9D30C5"/>
    <w:rsid w:val="7F9F200D"/>
    <w:rsid w:val="7FD24219"/>
    <w:rsid w:val="7FE324B2"/>
    <w:rsid w:val="7FFF05B1"/>
    <w:rsid w:val="DF7AD8D6"/>
    <w:rsid w:val="F3EFEC6E"/>
    <w:rsid w:val="FDEF8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nhideWhenUsed="0" w:uiPriority="0" w:semiHidden="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qFormat="1" w:unhideWhenUsed="0" w:uiPriority="99" w:semiHidden="0" w:name="List"/>
    <w:lsdException w:qFormat="1" w:unhideWhenUsed="0" w:uiPriority="0" w:semiHidden="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7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7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4"/>
    <w:qFormat/>
    <w:uiPriority w:val="9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5"/>
    <w:qFormat/>
    <w:uiPriority w:val="99"/>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6"/>
    <w:qFormat/>
    <w:uiPriority w:val="9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7"/>
    <w:qFormat/>
    <w:uiPriority w:val="99"/>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8"/>
    <w:qFormat/>
    <w:uiPriority w:val="9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9"/>
    <w:qFormat/>
    <w:uiPriority w:val="9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style>
  <w:style w:type="paragraph" w:styleId="12">
    <w:name w:val="Note Heading"/>
    <w:basedOn w:val="1"/>
    <w:next w:val="1"/>
    <w:link w:val="559"/>
    <w:qFormat/>
    <w:uiPriority w:val="0"/>
    <w:pPr>
      <w:snapToGrid w:val="0"/>
      <w:spacing w:beforeLines="50" w:line="440" w:lineRule="exact"/>
      <w:ind w:left="108" w:firstLine="90" w:firstLineChars="32"/>
    </w:pPr>
    <w:rPr>
      <w:rFonts w:ascii="幼圆" w:eastAsia="幼圆"/>
      <w:b/>
      <w:sz w:val="32"/>
      <w:szCs w:val="32"/>
    </w:rPr>
  </w:style>
  <w:style w:type="paragraph" w:styleId="13">
    <w:name w:val="Normal Indent"/>
    <w:basedOn w:val="1"/>
    <w:link w:val="72"/>
    <w:qFormat/>
    <w:uiPriority w:val="99"/>
    <w:pPr>
      <w:autoSpaceDE w:val="0"/>
      <w:autoSpaceDN w:val="0"/>
      <w:adjustRightInd w:val="0"/>
      <w:ind w:firstLine="420"/>
      <w:jc w:val="left"/>
    </w:pPr>
    <w:rPr>
      <w:rFonts w:ascii="宋体"/>
      <w:sz w:val="24"/>
    </w:r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index 5"/>
    <w:basedOn w:val="1"/>
    <w:next w:val="1"/>
    <w:qFormat/>
    <w:uiPriority w:val="99"/>
    <w:pPr>
      <w:ind w:left="800" w:leftChars="800"/>
    </w:pPr>
  </w:style>
  <w:style w:type="paragraph" w:styleId="16">
    <w:name w:val="List Bullet"/>
    <w:basedOn w:val="1"/>
    <w:qFormat/>
    <w:uiPriority w:val="0"/>
    <w:pPr>
      <w:widowControl/>
      <w:tabs>
        <w:tab w:val="left" w:pos="360"/>
      </w:tabs>
      <w:ind w:left="360" w:hanging="360"/>
      <w:jc w:val="left"/>
    </w:pPr>
    <w:rPr>
      <w:rFonts w:ascii="Courier New" w:hAnsi="Courier New"/>
      <w:color w:val="0000FF"/>
      <w:kern w:val="0"/>
      <w:sz w:val="24"/>
      <w:szCs w:val="20"/>
      <w:lang w:eastAsia="en-US"/>
    </w:rPr>
  </w:style>
  <w:style w:type="paragraph" w:styleId="17">
    <w:name w:val="Document Map"/>
    <w:basedOn w:val="1"/>
    <w:link w:val="80"/>
    <w:qFormat/>
    <w:uiPriority w:val="99"/>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81"/>
    <w:qFormat/>
    <w:uiPriority w:val="0"/>
    <w:pPr>
      <w:jc w:val="left"/>
    </w:pPr>
  </w:style>
  <w:style w:type="paragraph" w:styleId="20">
    <w:name w:val="Body Text 3"/>
    <w:basedOn w:val="1"/>
    <w:link w:val="82"/>
    <w:qFormat/>
    <w:uiPriority w:val="99"/>
    <w:pPr>
      <w:spacing w:after="120"/>
    </w:pPr>
    <w:rPr>
      <w:sz w:val="16"/>
      <w:szCs w:val="16"/>
    </w:rPr>
  </w:style>
  <w:style w:type="paragraph" w:styleId="21">
    <w:name w:val="Body Text"/>
    <w:basedOn w:val="1"/>
    <w:next w:val="1"/>
    <w:link w:val="83"/>
    <w:qFormat/>
    <w:uiPriority w:val="0"/>
    <w:pPr>
      <w:tabs>
        <w:tab w:val="left" w:pos="567"/>
      </w:tabs>
      <w:spacing w:before="120" w:line="22" w:lineRule="atLeast"/>
    </w:pPr>
    <w:rPr>
      <w:rFonts w:ascii="宋体" w:hAnsi="宋体"/>
      <w:sz w:val="24"/>
    </w:rPr>
  </w:style>
  <w:style w:type="paragraph" w:styleId="22">
    <w:name w:val="Body Text Indent"/>
    <w:basedOn w:val="1"/>
    <w:link w:val="84"/>
    <w:qFormat/>
    <w:uiPriority w:val="0"/>
    <w:pPr>
      <w:spacing w:line="360" w:lineRule="auto"/>
      <w:ind w:firstLine="570"/>
    </w:pPr>
    <w:rPr>
      <w:sz w:val="24"/>
    </w:rPr>
  </w:style>
  <w:style w:type="paragraph" w:styleId="23">
    <w:name w:val="List 2"/>
    <w:basedOn w:val="1"/>
    <w:qFormat/>
    <w:uiPriority w:val="0"/>
    <w:pPr>
      <w:ind w:left="100" w:leftChars="200" w:hanging="200" w:hangingChars="200"/>
    </w:pPr>
  </w:style>
  <w:style w:type="paragraph" w:styleId="24">
    <w:name w:val="Block Text"/>
    <w:basedOn w:val="1"/>
    <w:qFormat/>
    <w:uiPriority w:val="99"/>
    <w:pPr>
      <w:widowControl/>
      <w:ind w:left="480" w:right="-341" w:firstLine="513"/>
    </w:pPr>
    <w:rPr>
      <w:kern w:val="0"/>
      <w:sz w:val="24"/>
      <w:szCs w:val="20"/>
    </w:rPr>
  </w:style>
  <w:style w:type="paragraph" w:styleId="25">
    <w:name w:val="index 4"/>
    <w:basedOn w:val="1"/>
    <w:next w:val="1"/>
    <w:qFormat/>
    <w:uiPriority w:val="0"/>
    <w:pPr>
      <w:ind w:left="600" w:leftChars="600"/>
    </w:pPr>
  </w:style>
  <w:style w:type="paragraph" w:styleId="26">
    <w:name w:val="toc 5"/>
    <w:basedOn w:val="1"/>
    <w:next w:val="1"/>
    <w:qFormat/>
    <w:uiPriority w:val="39"/>
    <w:pPr>
      <w:ind w:left="1680" w:leftChars="800"/>
    </w:pPr>
  </w:style>
  <w:style w:type="paragraph" w:styleId="27">
    <w:name w:val="toc 3"/>
    <w:basedOn w:val="1"/>
    <w:next w:val="1"/>
    <w:qFormat/>
    <w:uiPriority w:val="39"/>
    <w:pPr>
      <w:ind w:left="840" w:leftChars="400"/>
    </w:pPr>
  </w:style>
  <w:style w:type="paragraph" w:styleId="28">
    <w:name w:val="Plain Text"/>
    <w:basedOn w:val="1"/>
    <w:link w:val="85"/>
    <w:qFormat/>
    <w:uiPriority w:val="99"/>
    <w:rPr>
      <w:rFonts w:hint="eastAsia" w:ascii="宋体" w:hAnsi="Courier New"/>
      <w:szCs w:val="20"/>
    </w:rPr>
  </w:style>
  <w:style w:type="paragraph" w:styleId="29">
    <w:name w:val="toc 8"/>
    <w:basedOn w:val="1"/>
    <w:next w:val="1"/>
    <w:qFormat/>
    <w:uiPriority w:val="39"/>
    <w:pPr>
      <w:ind w:left="2940" w:leftChars="1400"/>
    </w:pPr>
  </w:style>
  <w:style w:type="paragraph" w:styleId="30">
    <w:name w:val="Date"/>
    <w:basedOn w:val="1"/>
    <w:next w:val="1"/>
    <w:link w:val="86"/>
    <w:qFormat/>
    <w:uiPriority w:val="99"/>
    <w:pPr>
      <w:ind w:left="100" w:leftChars="2500"/>
    </w:pPr>
    <w:rPr>
      <w:rFonts w:ascii="仿宋_GB2312" w:hAnsi="宋体" w:eastAsia="仿宋_GB2312"/>
      <w:color w:val="000000"/>
      <w:sz w:val="24"/>
    </w:rPr>
  </w:style>
  <w:style w:type="paragraph" w:styleId="31">
    <w:name w:val="Body Text Indent 2"/>
    <w:basedOn w:val="1"/>
    <w:link w:val="87"/>
    <w:qFormat/>
    <w:uiPriority w:val="0"/>
    <w:pPr>
      <w:ind w:firstLine="480" w:firstLineChars="200"/>
    </w:pPr>
    <w:rPr>
      <w:rFonts w:ascii="仿宋_GB2312" w:eastAsia="仿宋_GB2312"/>
      <w:sz w:val="24"/>
    </w:rPr>
  </w:style>
  <w:style w:type="paragraph" w:styleId="32">
    <w:name w:val="Balloon Text"/>
    <w:basedOn w:val="1"/>
    <w:link w:val="88"/>
    <w:qFormat/>
    <w:uiPriority w:val="0"/>
    <w:rPr>
      <w:sz w:val="18"/>
      <w:szCs w:val="18"/>
    </w:rPr>
  </w:style>
  <w:style w:type="paragraph" w:styleId="33">
    <w:name w:val="footer"/>
    <w:basedOn w:val="1"/>
    <w:link w:val="8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4">
    <w:name w:val="envelope return"/>
    <w:basedOn w:val="1"/>
    <w:qFormat/>
    <w:uiPriority w:val="99"/>
    <w:rPr>
      <w:rFonts w:ascii="Arial" w:hAnsi="Arial" w:cs="Arial" w:eastAsiaTheme="minorEastAsia"/>
      <w:kern w:val="1"/>
    </w:rPr>
  </w:style>
  <w:style w:type="paragraph" w:styleId="35">
    <w:name w:val="header"/>
    <w:basedOn w:val="1"/>
    <w:link w:val="90"/>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7">
    <w:name w:val="toc 4"/>
    <w:basedOn w:val="1"/>
    <w:next w:val="1"/>
    <w:qFormat/>
    <w:uiPriority w:val="39"/>
    <w:pPr>
      <w:ind w:left="1260" w:leftChars="600"/>
    </w:pPr>
  </w:style>
  <w:style w:type="paragraph" w:styleId="38">
    <w:name w:val="Subtitle"/>
    <w:basedOn w:val="1"/>
    <w:next w:val="1"/>
    <w:link w:val="362"/>
    <w:qFormat/>
    <w:uiPriority w:val="11"/>
    <w:pPr>
      <w:widowControl/>
      <w:spacing w:after="60"/>
      <w:jc w:val="center"/>
      <w:outlineLvl w:val="1"/>
    </w:pPr>
    <w:rPr>
      <w:rFonts w:ascii="Cambria" w:hAnsi="Cambria"/>
      <w:kern w:val="0"/>
      <w:sz w:val="24"/>
    </w:rPr>
  </w:style>
  <w:style w:type="paragraph" w:styleId="39">
    <w:name w:val="List"/>
    <w:basedOn w:val="1"/>
    <w:qFormat/>
    <w:uiPriority w:val="99"/>
    <w:pPr>
      <w:adjustRightInd w:val="0"/>
      <w:spacing w:line="360" w:lineRule="atLeast"/>
      <w:ind w:left="420" w:hanging="420"/>
      <w:jc w:val="left"/>
    </w:pPr>
    <w:rPr>
      <w:rFonts w:ascii="宋体"/>
      <w:kern w:val="0"/>
      <w:sz w:val="24"/>
      <w:szCs w:val="20"/>
    </w:rPr>
  </w:style>
  <w:style w:type="paragraph" w:styleId="40">
    <w:name w:val="footnote text"/>
    <w:basedOn w:val="1"/>
    <w:next w:val="35"/>
    <w:unhideWhenUsed/>
    <w:qFormat/>
    <w:uiPriority w:val="99"/>
    <w:pPr>
      <w:snapToGrid w:val="0"/>
    </w:pPr>
    <w:rPr>
      <w:sz w:val="18"/>
      <w:szCs w:val="18"/>
    </w:rPr>
  </w:style>
  <w:style w:type="paragraph" w:styleId="41">
    <w:name w:val="toc 6"/>
    <w:basedOn w:val="1"/>
    <w:next w:val="1"/>
    <w:qFormat/>
    <w:uiPriority w:val="39"/>
    <w:pPr>
      <w:ind w:left="2100" w:leftChars="1000"/>
    </w:pPr>
  </w:style>
  <w:style w:type="paragraph" w:styleId="42">
    <w:name w:val="Body Text Indent 3"/>
    <w:basedOn w:val="1"/>
    <w:link w:val="9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3">
    <w:name w:val="toc 2"/>
    <w:basedOn w:val="1"/>
    <w:next w:val="1"/>
    <w:qFormat/>
    <w:uiPriority w:val="39"/>
    <w:pPr>
      <w:tabs>
        <w:tab w:val="right" w:leader="dot" w:pos="8937"/>
      </w:tabs>
      <w:spacing w:line="312" w:lineRule="auto"/>
      <w:ind w:left="420" w:leftChars="200"/>
    </w:pPr>
  </w:style>
  <w:style w:type="paragraph" w:styleId="44">
    <w:name w:val="toc 9"/>
    <w:basedOn w:val="1"/>
    <w:next w:val="1"/>
    <w:qFormat/>
    <w:uiPriority w:val="39"/>
    <w:pPr>
      <w:ind w:left="3360" w:leftChars="1600"/>
    </w:pPr>
  </w:style>
  <w:style w:type="paragraph" w:styleId="45">
    <w:name w:val="Body Text 2"/>
    <w:basedOn w:val="1"/>
    <w:link w:val="307"/>
    <w:qFormat/>
    <w:uiPriority w:val="99"/>
    <w:pPr>
      <w:jc w:val="center"/>
    </w:pPr>
    <w:rPr>
      <w:rFonts w:eastAsia="黑体"/>
      <w:bCs/>
      <w:kern w:val="0"/>
      <w:sz w:val="24"/>
    </w:rPr>
  </w:style>
  <w:style w:type="paragraph" w:styleId="46">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8">
    <w:name w:val="index 1"/>
    <w:basedOn w:val="1"/>
    <w:next w:val="1"/>
    <w:qFormat/>
    <w:uiPriority w:val="99"/>
    <w:rPr>
      <w:szCs w:val="20"/>
    </w:rPr>
  </w:style>
  <w:style w:type="paragraph" w:styleId="49">
    <w:name w:val="Title"/>
    <w:basedOn w:val="1"/>
    <w:link w:val="93"/>
    <w:qFormat/>
    <w:uiPriority w:val="0"/>
    <w:pPr>
      <w:jc w:val="center"/>
      <w:outlineLvl w:val="0"/>
    </w:pPr>
    <w:rPr>
      <w:b/>
      <w:sz w:val="32"/>
      <w:szCs w:val="20"/>
    </w:rPr>
  </w:style>
  <w:style w:type="paragraph" w:styleId="50">
    <w:name w:val="annotation subject"/>
    <w:basedOn w:val="19"/>
    <w:next w:val="19"/>
    <w:link w:val="94"/>
    <w:qFormat/>
    <w:uiPriority w:val="99"/>
    <w:rPr>
      <w:b/>
      <w:bCs/>
    </w:rPr>
  </w:style>
  <w:style w:type="paragraph" w:styleId="51">
    <w:name w:val="Body Text First Indent"/>
    <w:basedOn w:val="21"/>
    <w:link w:val="354"/>
    <w:qFormat/>
    <w:uiPriority w:val="0"/>
    <w:pPr>
      <w:tabs>
        <w:tab w:val="clear" w:pos="567"/>
      </w:tabs>
      <w:spacing w:before="0" w:after="120" w:line="240" w:lineRule="auto"/>
      <w:ind w:firstLine="420" w:firstLineChars="100"/>
    </w:pPr>
    <w:rPr>
      <w:rFonts w:ascii="Times New Roman" w:hAnsi="Times New Roman"/>
      <w:kern w:val="0"/>
      <w:sz w:val="20"/>
      <w:szCs w:val="20"/>
    </w:rPr>
  </w:style>
  <w:style w:type="paragraph" w:styleId="52">
    <w:name w:val="Body Text First Indent 2"/>
    <w:basedOn w:val="22"/>
    <w:link w:val="96"/>
    <w:qFormat/>
    <w:uiPriority w:val="0"/>
    <w:pPr>
      <w:spacing w:after="120" w:line="480" w:lineRule="exact"/>
      <w:ind w:left="420" w:leftChars="200" w:firstLine="420" w:firstLineChars="200"/>
    </w:pPr>
    <w:rPr>
      <w:szCs w:val="20"/>
    </w:rPr>
  </w:style>
  <w:style w:type="table" w:styleId="54">
    <w:name w:val="Table Grid"/>
    <w:basedOn w:val="5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22"/>
    <w:rPr>
      <w:b/>
      <w:bCs/>
    </w:rPr>
  </w:style>
  <w:style w:type="character" w:styleId="58">
    <w:name w:val="page number"/>
    <w:basedOn w:val="56"/>
    <w:qFormat/>
    <w:uiPriority w:val="0"/>
  </w:style>
  <w:style w:type="character" w:styleId="59">
    <w:name w:val="FollowedHyperlink"/>
    <w:qFormat/>
    <w:uiPriority w:val="99"/>
    <w:rPr>
      <w:color w:val="800080"/>
      <w:u w:val="single"/>
    </w:rPr>
  </w:style>
  <w:style w:type="character" w:styleId="60">
    <w:name w:val="Emphasis"/>
    <w:qFormat/>
    <w:uiPriority w:val="0"/>
    <w:rPr>
      <w:color w:val="CC0033"/>
    </w:rPr>
  </w:style>
  <w:style w:type="character" w:styleId="61">
    <w:name w:val="HTML Definition"/>
    <w:qFormat/>
    <w:uiPriority w:val="0"/>
  </w:style>
  <w:style w:type="character" w:styleId="62">
    <w:name w:val="HTML Variable"/>
    <w:qFormat/>
    <w:uiPriority w:val="0"/>
  </w:style>
  <w:style w:type="character" w:styleId="63">
    <w:name w:val="Hyperlink"/>
    <w:qFormat/>
    <w:uiPriority w:val="99"/>
    <w:rPr>
      <w:color w:val="0000FF"/>
      <w:u w:val="single"/>
    </w:rPr>
  </w:style>
  <w:style w:type="character" w:styleId="64">
    <w:name w:val="HTML Code"/>
    <w:qFormat/>
    <w:uiPriority w:val="0"/>
    <w:rPr>
      <w:rFonts w:ascii="Courier New" w:hAnsi="Courier New" w:eastAsia="Courier New" w:cs="Courier New"/>
      <w:sz w:val="20"/>
    </w:rPr>
  </w:style>
  <w:style w:type="character" w:styleId="65">
    <w:name w:val="annotation reference"/>
    <w:qFormat/>
    <w:uiPriority w:val="99"/>
    <w:rPr>
      <w:sz w:val="21"/>
      <w:szCs w:val="21"/>
    </w:rPr>
  </w:style>
  <w:style w:type="character" w:styleId="66">
    <w:name w:val="HTML Cite"/>
    <w:qFormat/>
    <w:uiPriority w:val="0"/>
    <w:rPr>
      <w:i/>
      <w:iCs/>
    </w:rPr>
  </w:style>
  <w:style w:type="character" w:styleId="67">
    <w:name w:val="footnote reference"/>
    <w:qFormat/>
    <w:uiPriority w:val="0"/>
    <w:rPr>
      <w:vertAlign w:val="superscript"/>
    </w:rPr>
  </w:style>
  <w:style w:type="character" w:styleId="68">
    <w:name w:val="HTML Keyboard"/>
    <w:qFormat/>
    <w:uiPriority w:val="0"/>
    <w:rPr>
      <w:rFonts w:ascii="Courier New" w:hAnsi="Courier New" w:eastAsia="Courier New" w:cs="Courier New"/>
      <w:sz w:val="20"/>
    </w:rPr>
  </w:style>
  <w:style w:type="character" w:styleId="69">
    <w:name w:val="HTML Sample"/>
    <w:qFormat/>
    <w:uiPriority w:val="0"/>
    <w:rPr>
      <w:rFonts w:ascii="Courier New" w:hAnsi="Courier New" w:eastAsia="Courier New" w:cs="Courier New"/>
    </w:rPr>
  </w:style>
  <w:style w:type="character" w:customStyle="1" w:styleId="70">
    <w:name w:val="标题 1 字符4"/>
    <w:link w:val="2"/>
    <w:qFormat/>
    <w:uiPriority w:val="99"/>
    <w:rPr>
      <w:rFonts w:ascii="宋体"/>
      <w:b/>
      <w:kern w:val="44"/>
      <w:sz w:val="32"/>
    </w:rPr>
  </w:style>
  <w:style w:type="character" w:customStyle="1" w:styleId="71">
    <w:name w:val="标题 2 字符3"/>
    <w:link w:val="3"/>
    <w:qFormat/>
    <w:uiPriority w:val="9"/>
    <w:rPr>
      <w:rFonts w:ascii="Arial" w:hAnsi="Arial" w:eastAsia="黑体"/>
      <w:b/>
      <w:sz w:val="30"/>
      <w:lang w:val="en-US" w:eastAsia="zh-CN" w:bidi="ar-SA"/>
    </w:rPr>
  </w:style>
  <w:style w:type="character" w:customStyle="1" w:styleId="72">
    <w:name w:val="正文缩进 字符2"/>
    <w:link w:val="13"/>
    <w:qFormat/>
    <w:uiPriority w:val="99"/>
    <w:rPr>
      <w:rFonts w:ascii="宋体" w:eastAsia="宋体"/>
      <w:kern w:val="2"/>
      <w:sz w:val="24"/>
      <w:szCs w:val="24"/>
      <w:lang w:val="en-US" w:eastAsia="zh-CN" w:bidi="ar-SA"/>
    </w:rPr>
  </w:style>
  <w:style w:type="character" w:customStyle="1" w:styleId="73">
    <w:name w:val="标题 3 字符3"/>
    <w:link w:val="4"/>
    <w:qFormat/>
    <w:uiPriority w:val="99"/>
    <w:rPr>
      <w:rFonts w:ascii="宋体" w:eastAsia="宋体"/>
      <w:b/>
      <w:sz w:val="24"/>
      <w:u w:val="single"/>
      <w:lang w:val="en-US" w:eastAsia="zh-CN" w:bidi="ar-SA"/>
    </w:rPr>
  </w:style>
  <w:style w:type="character" w:customStyle="1" w:styleId="74">
    <w:name w:val="标题 4 字符3"/>
    <w:link w:val="5"/>
    <w:qFormat/>
    <w:uiPriority w:val="99"/>
    <w:rPr>
      <w:rFonts w:ascii="Arial" w:hAnsi="Arial" w:eastAsia="黑体"/>
      <w:b/>
      <w:sz w:val="28"/>
    </w:rPr>
  </w:style>
  <w:style w:type="character" w:customStyle="1" w:styleId="75">
    <w:name w:val="标题 5 字符3"/>
    <w:link w:val="6"/>
    <w:qFormat/>
    <w:uiPriority w:val="99"/>
    <w:rPr>
      <w:b/>
      <w:sz w:val="28"/>
    </w:rPr>
  </w:style>
  <w:style w:type="character" w:customStyle="1" w:styleId="76">
    <w:name w:val="标题 6 字符3"/>
    <w:link w:val="7"/>
    <w:qFormat/>
    <w:uiPriority w:val="99"/>
    <w:rPr>
      <w:rFonts w:ascii="Arial" w:hAnsi="Arial" w:eastAsia="黑体"/>
      <w:b/>
      <w:sz w:val="24"/>
    </w:rPr>
  </w:style>
  <w:style w:type="character" w:customStyle="1" w:styleId="77">
    <w:name w:val="标题 7 字符3"/>
    <w:link w:val="8"/>
    <w:qFormat/>
    <w:uiPriority w:val="99"/>
    <w:rPr>
      <w:b/>
      <w:sz w:val="24"/>
    </w:rPr>
  </w:style>
  <w:style w:type="character" w:customStyle="1" w:styleId="78">
    <w:name w:val="标题 8 字符3"/>
    <w:link w:val="9"/>
    <w:qFormat/>
    <w:uiPriority w:val="99"/>
    <w:rPr>
      <w:rFonts w:ascii="Arial" w:hAnsi="Arial" w:eastAsia="黑体"/>
      <w:sz w:val="24"/>
    </w:rPr>
  </w:style>
  <w:style w:type="character" w:customStyle="1" w:styleId="79">
    <w:name w:val="标题 9 字符3"/>
    <w:link w:val="10"/>
    <w:qFormat/>
    <w:uiPriority w:val="99"/>
    <w:rPr>
      <w:rFonts w:ascii="Arial" w:hAnsi="Arial" w:eastAsia="黑体"/>
      <w:sz w:val="21"/>
    </w:rPr>
  </w:style>
  <w:style w:type="character" w:customStyle="1" w:styleId="80">
    <w:name w:val="文档结构图 字符3"/>
    <w:link w:val="17"/>
    <w:qFormat/>
    <w:uiPriority w:val="99"/>
    <w:rPr>
      <w:kern w:val="2"/>
      <w:sz w:val="21"/>
      <w:szCs w:val="24"/>
      <w:shd w:val="clear" w:color="auto" w:fill="000080"/>
    </w:rPr>
  </w:style>
  <w:style w:type="character" w:customStyle="1" w:styleId="81">
    <w:name w:val="批注文字 字符4"/>
    <w:link w:val="19"/>
    <w:qFormat/>
    <w:uiPriority w:val="99"/>
    <w:rPr>
      <w:kern w:val="2"/>
      <w:sz w:val="21"/>
      <w:szCs w:val="24"/>
    </w:rPr>
  </w:style>
  <w:style w:type="character" w:customStyle="1" w:styleId="82">
    <w:name w:val="正文文本 3 字符3"/>
    <w:link w:val="20"/>
    <w:qFormat/>
    <w:uiPriority w:val="99"/>
    <w:rPr>
      <w:kern w:val="2"/>
      <w:sz w:val="16"/>
      <w:szCs w:val="16"/>
    </w:rPr>
  </w:style>
  <w:style w:type="character" w:customStyle="1" w:styleId="83">
    <w:name w:val="正文文本 字符3"/>
    <w:link w:val="21"/>
    <w:qFormat/>
    <w:uiPriority w:val="99"/>
    <w:rPr>
      <w:rFonts w:ascii="宋体" w:hAnsi="宋体"/>
      <w:kern w:val="2"/>
      <w:sz w:val="24"/>
      <w:szCs w:val="24"/>
    </w:rPr>
  </w:style>
  <w:style w:type="character" w:customStyle="1" w:styleId="84">
    <w:name w:val="正文文本缩进 字符3"/>
    <w:link w:val="22"/>
    <w:qFormat/>
    <w:uiPriority w:val="99"/>
    <w:rPr>
      <w:rFonts w:eastAsia="宋体"/>
      <w:kern w:val="2"/>
      <w:sz w:val="24"/>
      <w:szCs w:val="24"/>
      <w:lang w:val="en-US" w:eastAsia="zh-CN" w:bidi="ar-SA"/>
    </w:rPr>
  </w:style>
  <w:style w:type="character" w:customStyle="1" w:styleId="85">
    <w:name w:val="纯文本 字符4"/>
    <w:link w:val="28"/>
    <w:qFormat/>
    <w:uiPriority w:val="99"/>
    <w:rPr>
      <w:rFonts w:hint="eastAsia" w:ascii="宋体" w:hAnsi="Courier New" w:eastAsia="宋体" w:cs="宋体"/>
      <w:kern w:val="2"/>
      <w:sz w:val="21"/>
    </w:rPr>
  </w:style>
  <w:style w:type="character" w:customStyle="1" w:styleId="86">
    <w:name w:val="日期 字符3"/>
    <w:link w:val="30"/>
    <w:qFormat/>
    <w:uiPriority w:val="99"/>
    <w:rPr>
      <w:rFonts w:ascii="仿宋_GB2312" w:hAnsi="宋体" w:eastAsia="仿宋_GB2312"/>
      <w:color w:val="000000"/>
      <w:kern w:val="2"/>
      <w:sz w:val="24"/>
      <w:szCs w:val="24"/>
    </w:rPr>
  </w:style>
  <w:style w:type="character" w:customStyle="1" w:styleId="87">
    <w:name w:val="正文文本缩进 2 字符3"/>
    <w:link w:val="31"/>
    <w:qFormat/>
    <w:uiPriority w:val="99"/>
    <w:rPr>
      <w:rFonts w:ascii="仿宋_GB2312" w:eastAsia="仿宋_GB2312"/>
      <w:kern w:val="2"/>
      <w:sz w:val="24"/>
      <w:szCs w:val="24"/>
    </w:rPr>
  </w:style>
  <w:style w:type="character" w:customStyle="1" w:styleId="88">
    <w:name w:val="批注框文本 字符3"/>
    <w:link w:val="32"/>
    <w:qFormat/>
    <w:uiPriority w:val="0"/>
    <w:rPr>
      <w:kern w:val="2"/>
      <w:sz w:val="18"/>
      <w:szCs w:val="18"/>
    </w:rPr>
  </w:style>
  <w:style w:type="character" w:customStyle="1" w:styleId="89">
    <w:name w:val="页脚 字符4"/>
    <w:link w:val="33"/>
    <w:qFormat/>
    <w:uiPriority w:val="99"/>
    <w:rPr>
      <w:rFonts w:ascii="宋体" w:eastAsia="宋体"/>
      <w:sz w:val="18"/>
      <w:lang w:val="en-US" w:eastAsia="zh-CN" w:bidi="ar-SA"/>
    </w:rPr>
  </w:style>
  <w:style w:type="character" w:customStyle="1" w:styleId="90">
    <w:name w:val="页眉 字符4"/>
    <w:link w:val="35"/>
    <w:qFormat/>
    <w:uiPriority w:val="99"/>
    <w:rPr>
      <w:rFonts w:eastAsia="宋体"/>
      <w:kern w:val="2"/>
      <w:sz w:val="18"/>
      <w:szCs w:val="18"/>
      <w:lang w:val="en-US" w:eastAsia="zh-CN" w:bidi="ar-SA"/>
    </w:rPr>
  </w:style>
  <w:style w:type="character" w:customStyle="1" w:styleId="91">
    <w:name w:val="正文文本缩进 3 字符3"/>
    <w:link w:val="42"/>
    <w:qFormat/>
    <w:uiPriority w:val="99"/>
    <w:rPr>
      <w:rFonts w:ascii="宋体"/>
      <w:sz w:val="24"/>
    </w:rPr>
  </w:style>
  <w:style w:type="character" w:customStyle="1" w:styleId="92">
    <w:name w:val="HTML 预设格式 字符3"/>
    <w:link w:val="46"/>
    <w:qFormat/>
    <w:uiPriority w:val="0"/>
    <w:rPr>
      <w:rFonts w:ascii="宋体" w:hAnsi="宋体" w:cs="宋体"/>
      <w:sz w:val="24"/>
      <w:szCs w:val="24"/>
    </w:rPr>
  </w:style>
  <w:style w:type="character" w:customStyle="1" w:styleId="93">
    <w:name w:val="标题 字符4"/>
    <w:link w:val="49"/>
    <w:qFormat/>
    <w:uiPriority w:val="99"/>
    <w:rPr>
      <w:b/>
      <w:kern w:val="2"/>
      <w:sz w:val="32"/>
    </w:rPr>
  </w:style>
  <w:style w:type="character" w:customStyle="1" w:styleId="94">
    <w:name w:val="批注主题 字符3"/>
    <w:link w:val="50"/>
    <w:qFormat/>
    <w:uiPriority w:val="99"/>
    <w:rPr>
      <w:rFonts w:ascii="Times New Roman" w:hAnsi="Times New Roman" w:eastAsia="宋体" w:cs="Times New Roman"/>
      <w:b/>
      <w:bCs/>
      <w:kern w:val="2"/>
      <w:sz w:val="21"/>
      <w:szCs w:val="24"/>
      <w:lang w:val="en-US" w:eastAsia="zh-CN" w:bidi="ar-SA"/>
    </w:rPr>
  </w:style>
  <w:style w:type="character" w:customStyle="1" w:styleId="95">
    <w:name w:val="批注文字 字符"/>
    <w:qFormat/>
    <w:uiPriority w:val="0"/>
    <w:rPr>
      <w:rFonts w:ascii="Times New Roman" w:hAnsi="Times New Roman" w:eastAsia="宋体" w:cs="Times New Roman"/>
      <w:sz w:val="24"/>
      <w:lang w:val="en-US" w:eastAsia="zh-CN" w:bidi="ar-SA"/>
    </w:rPr>
  </w:style>
  <w:style w:type="character" w:customStyle="1" w:styleId="96">
    <w:name w:val="正文文本首行缩进 2 字符1"/>
    <w:link w:val="52"/>
    <w:qFormat/>
    <w:uiPriority w:val="0"/>
    <w:rPr>
      <w:rFonts w:eastAsia="宋体"/>
      <w:kern w:val="2"/>
      <w:sz w:val="24"/>
      <w:szCs w:val="24"/>
      <w:lang w:val="en-US" w:eastAsia="zh-CN" w:bidi="ar-SA"/>
    </w:rPr>
  </w:style>
  <w:style w:type="character" w:customStyle="1" w:styleId="97">
    <w:name w:val="c21"/>
    <w:qFormat/>
    <w:uiPriority w:val="0"/>
    <w:rPr>
      <w:rFonts w:hint="default" w:ascii="ˎ̥" w:hAnsi="ˎ̥"/>
      <w:color w:val="000000"/>
      <w:sz w:val="20"/>
      <w:szCs w:val="20"/>
      <w:u w:val="none"/>
    </w:rPr>
  </w:style>
  <w:style w:type="character" w:customStyle="1" w:styleId="98">
    <w:name w:val="title4"/>
    <w:qFormat/>
    <w:uiPriority w:val="0"/>
    <w:rPr>
      <w:b/>
      <w:bCs/>
      <w:color w:val="1D87B3"/>
      <w:sz w:val="15"/>
      <w:szCs w:val="15"/>
    </w:rPr>
  </w:style>
  <w:style w:type="character" w:customStyle="1" w:styleId="99">
    <w:name w:val="标题 2 Char Char"/>
    <w:qFormat/>
    <w:uiPriority w:val="0"/>
    <w:rPr>
      <w:rFonts w:ascii="Arial" w:hAnsi="Arial" w:eastAsia="黑体"/>
      <w:b/>
      <w:bCs/>
      <w:kern w:val="2"/>
      <w:sz w:val="32"/>
      <w:szCs w:val="32"/>
      <w:lang w:val="en-US" w:eastAsia="zh-CN" w:bidi="ar-SA"/>
    </w:rPr>
  </w:style>
  <w:style w:type="character" w:customStyle="1" w:styleId="100">
    <w:name w:val="black1"/>
    <w:qFormat/>
    <w:uiPriority w:val="0"/>
    <w:rPr>
      <w:color w:val="000000"/>
    </w:rPr>
  </w:style>
  <w:style w:type="character" w:customStyle="1" w:styleId="101">
    <w:name w:val="street-address"/>
    <w:qFormat/>
    <w:uiPriority w:val="0"/>
  </w:style>
  <w:style w:type="character" w:customStyle="1" w:styleId="102">
    <w:name w:val="locality"/>
    <w:qFormat/>
    <w:uiPriority w:val="0"/>
  </w:style>
  <w:style w:type="character" w:customStyle="1" w:styleId="103">
    <w:name w:val="正文文本缩进 Char1"/>
    <w:link w:val="104"/>
    <w:qFormat/>
    <w:uiPriority w:val="0"/>
    <w:rPr>
      <w:rFonts w:ascii="宋体" w:hAnsi="宋体" w:eastAsia="宋体"/>
      <w:sz w:val="24"/>
      <w:szCs w:val="24"/>
      <w:lang w:bidi="ar-SA"/>
    </w:rPr>
  </w:style>
  <w:style w:type="paragraph" w:customStyle="1" w:styleId="104">
    <w:name w:val="正文文本缩进1"/>
    <w:basedOn w:val="1"/>
    <w:link w:val="103"/>
    <w:qFormat/>
    <w:uiPriority w:val="0"/>
    <w:pPr>
      <w:spacing w:line="480" w:lineRule="exact"/>
      <w:ind w:firstLine="480" w:firstLineChars="200"/>
    </w:pPr>
    <w:rPr>
      <w:rFonts w:ascii="宋体" w:hAnsi="宋体"/>
      <w:kern w:val="0"/>
      <w:sz w:val="24"/>
    </w:rPr>
  </w:style>
  <w:style w:type="character" w:customStyle="1" w:styleId="105">
    <w:name w:val="Char Char11"/>
    <w:qFormat/>
    <w:uiPriority w:val="99"/>
    <w:rPr>
      <w:rFonts w:ascii="宋体" w:eastAsia="宋体"/>
      <w:b/>
      <w:sz w:val="24"/>
      <w:u w:val="single"/>
      <w:lang w:val="en-US" w:eastAsia="zh-CN" w:bidi="ar-SA"/>
    </w:rPr>
  </w:style>
  <w:style w:type="character" w:customStyle="1" w:styleId="106">
    <w:name w:val="txt"/>
    <w:qFormat/>
    <w:uiPriority w:val="0"/>
  </w:style>
  <w:style w:type="character" w:customStyle="1" w:styleId="107">
    <w:name w:val="正文缩进 Char Char"/>
    <w:link w:val="108"/>
    <w:qFormat/>
    <w:uiPriority w:val="0"/>
    <w:rPr>
      <w:rFonts w:ascii="宋体" w:eastAsia="宋体"/>
      <w:snapToGrid w:val="0"/>
      <w:color w:val="000000"/>
      <w:kern w:val="28"/>
      <w:sz w:val="28"/>
      <w:lang w:bidi="ar-SA"/>
    </w:rPr>
  </w:style>
  <w:style w:type="paragraph" w:customStyle="1" w:styleId="108">
    <w:name w:val="正文缩进1"/>
    <w:basedOn w:val="1"/>
    <w:link w:val="10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9">
    <w:name w:val="普通文字1 Char1"/>
    <w:qFormat/>
    <w:uiPriority w:val="0"/>
    <w:rPr>
      <w:rFonts w:ascii="宋体" w:hAnsi="Courier New" w:eastAsia="宋体"/>
      <w:kern w:val="2"/>
      <w:sz w:val="21"/>
      <w:lang w:val="en-US" w:eastAsia="zh-CN" w:bidi="ar-SA"/>
    </w:rPr>
  </w:style>
  <w:style w:type="character" w:customStyle="1" w:styleId="110">
    <w:name w:val="chanpin1"/>
    <w:qFormat/>
    <w:uiPriority w:val="0"/>
    <w:rPr>
      <w:rFonts w:hint="default" w:ascii="ˎ̥" w:hAnsi="ˎ̥"/>
      <w:color w:val="000000"/>
      <w:sz w:val="20"/>
      <w:szCs w:val="20"/>
      <w:u w:val="none"/>
    </w:rPr>
  </w:style>
  <w:style w:type="character" w:customStyle="1" w:styleId="111">
    <w:name w:val="列表段落 字符3"/>
    <w:link w:val="112"/>
    <w:qFormat/>
    <w:uiPriority w:val="0"/>
    <w:rPr>
      <w:rFonts w:ascii="Calibri" w:hAnsi="Calibri" w:eastAsia="宋体"/>
      <w:kern w:val="2"/>
      <w:sz w:val="21"/>
      <w:szCs w:val="22"/>
      <w:lang w:val="en-US" w:eastAsia="zh-CN" w:bidi="ar-SA"/>
    </w:rPr>
  </w:style>
  <w:style w:type="paragraph" w:styleId="112">
    <w:name w:val="List Paragraph"/>
    <w:basedOn w:val="1"/>
    <w:link w:val="111"/>
    <w:qFormat/>
    <w:uiPriority w:val="34"/>
    <w:pPr>
      <w:ind w:firstLine="420" w:firstLineChars="200"/>
    </w:pPr>
    <w:rPr>
      <w:rFonts w:ascii="Calibri" w:hAnsi="Calibri"/>
      <w:szCs w:val="22"/>
    </w:rPr>
  </w:style>
  <w:style w:type="character" w:customStyle="1" w:styleId="113">
    <w:name w:val="标题 3 Char Char"/>
    <w:qFormat/>
    <w:uiPriority w:val="0"/>
    <w:rPr>
      <w:rFonts w:eastAsia="宋体"/>
      <w:b/>
      <w:bCs/>
      <w:kern w:val="2"/>
      <w:sz w:val="32"/>
      <w:szCs w:val="32"/>
      <w:lang w:val="en-US" w:eastAsia="zh-CN" w:bidi="ar-SA"/>
    </w:rPr>
  </w:style>
  <w:style w:type="character" w:customStyle="1" w:styleId="114">
    <w:name w:val="段1 Char"/>
    <w:qFormat/>
    <w:uiPriority w:val="0"/>
    <w:rPr>
      <w:rFonts w:ascii="宋体" w:eastAsia="宋体"/>
      <w:sz w:val="24"/>
      <w:lang w:val="en-US" w:eastAsia="zh-CN" w:bidi="ar-SA"/>
    </w:rPr>
  </w:style>
  <w:style w:type="character" w:customStyle="1" w:styleId="115">
    <w:name w:val="chanpin拷贝"/>
    <w:qFormat/>
    <w:uiPriority w:val="0"/>
  </w:style>
  <w:style w:type="character" w:customStyle="1" w:styleId="116">
    <w:name w:val="纯文本 Char1"/>
    <w:qFormat/>
    <w:uiPriority w:val="0"/>
    <w:rPr>
      <w:rFonts w:ascii="宋体" w:hAnsi="Courier New" w:eastAsia="宋体"/>
      <w:kern w:val="2"/>
      <w:sz w:val="21"/>
      <w:lang w:val="en-US" w:eastAsia="zh-CN" w:bidi="ar-SA"/>
    </w:rPr>
  </w:style>
  <w:style w:type="character" w:customStyle="1" w:styleId="117">
    <w:name w:val="apple-style-span"/>
    <w:qFormat/>
    <w:uiPriority w:val="0"/>
    <w:rPr>
      <w:rFonts w:cs="Times New Roman"/>
    </w:rPr>
  </w:style>
  <w:style w:type="paragraph" w:customStyle="1" w:styleId="118">
    <w:name w:val="二级条标题"/>
    <w:basedOn w:val="119"/>
    <w:next w:val="1"/>
    <w:qFormat/>
    <w:uiPriority w:val="0"/>
    <w:pPr>
      <w:numPr>
        <w:ilvl w:val="0"/>
        <w:numId w:val="0"/>
      </w:numPr>
      <w:tabs>
        <w:tab w:val="left" w:pos="360"/>
        <w:tab w:val="left" w:pos="840"/>
        <w:tab w:val="left" w:pos="1140"/>
      </w:tabs>
      <w:ind w:hanging="840"/>
      <w:outlineLvl w:val="2"/>
    </w:pPr>
    <w:rPr>
      <w:rFonts w:ascii="宋体" w:eastAsia="宋体"/>
      <w:b w:val="0"/>
    </w:rPr>
  </w:style>
  <w:style w:type="paragraph" w:customStyle="1" w:styleId="119">
    <w:name w:val="一级条标题"/>
    <w:basedOn w:val="120"/>
    <w:next w:val="1"/>
    <w:qFormat/>
    <w:uiPriority w:val="0"/>
    <w:pPr>
      <w:numPr>
        <w:ilvl w:val="1"/>
      </w:numPr>
      <w:tabs>
        <w:tab w:val="left" w:pos="360"/>
        <w:tab w:val="left" w:pos="840"/>
        <w:tab w:val="left" w:pos="1140"/>
      </w:tabs>
      <w:ind w:left="0" w:hanging="840"/>
      <w:outlineLvl w:val="1"/>
    </w:pPr>
  </w:style>
  <w:style w:type="paragraph" w:customStyle="1" w:styleId="120">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2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22">
    <w:name w:val="字元 字元"/>
    <w:basedOn w:val="1"/>
    <w:qFormat/>
    <w:uiPriority w:val="0"/>
    <w:rPr>
      <w:rFonts w:ascii="Tahoma" w:hAnsi="Tahoma"/>
      <w:sz w:val="24"/>
      <w:szCs w:val="20"/>
    </w:rPr>
  </w:style>
  <w:style w:type="paragraph" w:customStyle="1" w:styleId="123">
    <w:name w:val="Char3 Char Char Char"/>
    <w:basedOn w:val="1"/>
    <w:qFormat/>
    <w:uiPriority w:val="0"/>
    <w:rPr>
      <w:rFonts w:ascii="Tahoma" w:hAnsi="Tahoma"/>
      <w:sz w:val="24"/>
      <w:szCs w:val="20"/>
    </w:rPr>
  </w:style>
  <w:style w:type="paragraph" w:customStyle="1" w:styleId="12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5">
    <w:name w:val="项目编号2"/>
    <w:basedOn w:val="126"/>
    <w:qFormat/>
    <w:uiPriority w:val="0"/>
    <w:pPr>
      <w:numPr>
        <w:ilvl w:val="0"/>
        <w:numId w:val="2"/>
      </w:numPr>
      <w:tabs>
        <w:tab w:val="left" w:pos="709"/>
      </w:tabs>
    </w:pPr>
  </w:style>
  <w:style w:type="paragraph" w:customStyle="1" w:styleId="126">
    <w:name w:val="项目编号1"/>
    <w:basedOn w:val="1"/>
    <w:qFormat/>
    <w:uiPriority w:val="0"/>
    <w:pPr>
      <w:tabs>
        <w:tab w:val="left" w:pos="709"/>
      </w:tabs>
      <w:spacing w:before="100" w:beforeAutospacing="1" w:after="100" w:afterAutospacing="1" w:line="360" w:lineRule="auto"/>
      <w:ind w:left="709" w:hanging="709"/>
    </w:pPr>
    <w:rPr>
      <w:sz w:val="24"/>
    </w:rPr>
  </w:style>
  <w:style w:type="paragraph" w:customStyle="1" w:styleId="127">
    <w:name w:val="图中文字"/>
    <w:basedOn w:val="1"/>
    <w:qFormat/>
    <w:uiPriority w:val="0"/>
    <w:pPr>
      <w:adjustRightInd w:val="0"/>
      <w:snapToGrid w:val="0"/>
      <w:spacing w:line="0" w:lineRule="atLeast"/>
      <w:jc w:val="center"/>
    </w:pPr>
    <w:rPr>
      <w:sz w:val="24"/>
      <w:szCs w:val="20"/>
    </w:rPr>
  </w:style>
  <w:style w:type="paragraph" w:customStyle="1" w:styleId="12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30">
    <w:name w:val="Char2"/>
    <w:basedOn w:val="1"/>
    <w:qFormat/>
    <w:uiPriority w:val="0"/>
    <w:rPr>
      <w:rFonts w:ascii="Tahoma" w:hAnsi="Tahoma"/>
      <w:sz w:val="24"/>
      <w:szCs w:val="20"/>
    </w:rPr>
  </w:style>
  <w:style w:type="paragraph" w:customStyle="1" w:styleId="13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40">
    <w:name w:val="正文列项_数字"/>
    <w:basedOn w:val="1"/>
    <w:qFormat/>
    <w:uiPriority w:val="0"/>
    <w:pPr>
      <w:numPr>
        <w:ilvl w:val="7"/>
        <w:numId w:val="1"/>
      </w:numPr>
      <w:autoSpaceDE w:val="0"/>
      <w:autoSpaceDN w:val="0"/>
      <w:spacing w:line="460" w:lineRule="exact"/>
      <w:ind w:left="680" w:leftChars="530" w:hanging="150" w:hangingChars="150"/>
      <w:outlineLvl w:val="7"/>
    </w:pPr>
    <w:rPr>
      <w:rFonts w:ascii="宋体"/>
      <w:kern w:val="0"/>
      <w:sz w:val="28"/>
      <w:szCs w:val="20"/>
    </w:rPr>
  </w:style>
  <w:style w:type="paragraph" w:customStyle="1" w:styleId="14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4">
    <w:name w:val="font8"/>
    <w:basedOn w:val="1"/>
    <w:qFormat/>
    <w:uiPriority w:val="0"/>
    <w:pPr>
      <w:widowControl/>
      <w:spacing w:before="100" w:beforeAutospacing="1" w:after="100" w:afterAutospacing="1"/>
      <w:jc w:val="left"/>
    </w:pPr>
    <w:rPr>
      <w:kern w:val="0"/>
      <w:sz w:val="36"/>
      <w:szCs w:val="36"/>
    </w:rPr>
  </w:style>
  <w:style w:type="paragraph" w:customStyle="1" w:styleId="145">
    <w:name w:val="Char"/>
    <w:basedOn w:val="1"/>
    <w:qFormat/>
    <w:uiPriority w:val="0"/>
    <w:pPr>
      <w:tabs>
        <w:tab w:val="left" w:pos="360"/>
      </w:tabs>
    </w:pPr>
    <w:rPr>
      <w:sz w:val="24"/>
    </w:rPr>
  </w:style>
  <w:style w:type="paragraph" w:customStyle="1" w:styleId="14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9">
    <w:name w:val="Char Char1"/>
    <w:basedOn w:val="17"/>
    <w:qFormat/>
    <w:uiPriority w:val="0"/>
    <w:rPr>
      <w:rFonts w:ascii="Tahoma" w:hAnsi="Tahoma"/>
      <w:sz w:val="24"/>
    </w:rPr>
  </w:style>
  <w:style w:type="paragraph" w:customStyle="1" w:styleId="15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3">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4">
    <w:name w:val="Char1 Char Char Char1"/>
    <w:basedOn w:val="1"/>
    <w:qFormat/>
    <w:uiPriority w:val="0"/>
    <w:rPr>
      <w:rFonts w:ascii="Tahoma" w:hAnsi="Tahoma" w:cs="仿宋_GB2312"/>
      <w:sz w:val="24"/>
      <w:szCs w:val="28"/>
    </w:rPr>
  </w:style>
  <w:style w:type="paragraph" w:customStyle="1" w:styleId="155">
    <w:name w:val="四级条标题"/>
    <w:basedOn w:val="156"/>
    <w:next w:val="1"/>
    <w:qFormat/>
    <w:uiPriority w:val="0"/>
    <w:pPr>
      <w:numPr>
        <w:ilvl w:val="4"/>
      </w:numPr>
      <w:tabs>
        <w:tab w:val="left" w:pos="360"/>
        <w:tab w:val="left" w:pos="840"/>
        <w:tab w:val="left" w:pos="1140"/>
        <w:tab w:val="left" w:pos="2100"/>
      </w:tabs>
      <w:ind w:left="0" w:hanging="840"/>
      <w:outlineLvl w:val="4"/>
    </w:pPr>
  </w:style>
  <w:style w:type="paragraph" w:customStyle="1" w:styleId="156">
    <w:name w:val="三级条标题"/>
    <w:basedOn w:val="118"/>
    <w:next w:val="1"/>
    <w:qFormat/>
    <w:uiPriority w:val="0"/>
    <w:pPr>
      <w:numPr>
        <w:ilvl w:val="3"/>
        <w:numId w:val="1"/>
      </w:numPr>
      <w:ind w:left="0" w:hanging="840"/>
      <w:outlineLvl w:val="3"/>
    </w:pPr>
  </w:style>
  <w:style w:type="paragraph" w:customStyle="1" w:styleId="15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8">
    <w:name w:val="样式 标题 2 + 宋体 五号 行距: 单倍行距"/>
    <w:basedOn w:val="3"/>
    <w:qFormat/>
    <w:uiPriority w:val="0"/>
    <w:pPr>
      <w:numPr>
        <w:ilvl w:val="1"/>
        <w:numId w:val="3"/>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59">
    <w:name w:val="List Paragraph1"/>
    <w:basedOn w:val="1"/>
    <w:qFormat/>
    <w:uiPriority w:val="0"/>
    <w:pPr>
      <w:ind w:firstLine="420" w:firstLineChars="200"/>
    </w:pPr>
    <w:rPr>
      <w:rFonts w:ascii="Calibri" w:hAnsi="Calibri"/>
      <w:szCs w:val="22"/>
    </w:rPr>
  </w:style>
  <w:style w:type="paragraph" w:customStyle="1" w:styleId="160">
    <w:name w:val="项目符号1"/>
    <w:basedOn w:val="161"/>
    <w:qFormat/>
    <w:uiPriority w:val="0"/>
    <w:pPr>
      <w:ind w:left="-25" w:firstLine="0"/>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五级条标题"/>
    <w:basedOn w:val="155"/>
    <w:next w:val="1"/>
    <w:qFormat/>
    <w:uiPriority w:val="0"/>
    <w:pPr>
      <w:numPr>
        <w:ilvl w:val="5"/>
      </w:numPr>
      <w:ind w:left="0" w:hanging="840"/>
      <w:outlineLvl w:val="5"/>
    </w:pPr>
  </w:style>
  <w:style w:type="paragraph" w:customStyle="1" w:styleId="16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6">
    <w:name w:val="文档正文"/>
    <w:basedOn w:val="1"/>
    <w:qFormat/>
    <w:uiPriority w:val="0"/>
    <w:pPr>
      <w:snapToGrid w:val="0"/>
      <w:spacing w:before="120" w:after="120" w:line="180" w:lineRule="auto"/>
    </w:pPr>
    <w:rPr>
      <w:rFonts w:ascii="Arial" w:hAnsi="Arial"/>
      <w:szCs w:val="20"/>
    </w:rPr>
  </w:style>
  <w:style w:type="paragraph" w:customStyle="1" w:styleId="1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9">
    <w:name w:val="Char Char Char1 Char"/>
    <w:basedOn w:val="1"/>
    <w:qFormat/>
    <w:uiPriority w:val="0"/>
    <w:rPr>
      <w:rFonts w:ascii="Tahoma" w:hAnsi="Tahoma"/>
      <w:sz w:val="24"/>
      <w:szCs w:val="20"/>
    </w:rPr>
  </w:style>
  <w:style w:type="paragraph" w:customStyle="1" w:styleId="17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1">
    <w:name w:val="1名"/>
    <w:basedOn w:val="1"/>
    <w:qFormat/>
    <w:uiPriority w:val="0"/>
    <w:pPr>
      <w:numPr>
        <w:ilvl w:val="0"/>
        <w:numId w:val="4"/>
      </w:numPr>
      <w:tabs>
        <w:tab w:val="left" w:pos="360"/>
      </w:tabs>
      <w:spacing w:before="120"/>
    </w:pPr>
    <w:rPr>
      <w:rFonts w:ascii="宋体"/>
      <w:sz w:val="28"/>
      <w:szCs w:val="20"/>
    </w:rPr>
  </w:style>
  <w:style w:type="paragraph" w:customStyle="1" w:styleId="17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73">
    <w:name w:val="Char Char Char1 Char1"/>
    <w:basedOn w:val="1"/>
    <w:qFormat/>
    <w:uiPriority w:val="0"/>
    <w:rPr>
      <w:rFonts w:ascii="Tahoma" w:hAnsi="Tahoma"/>
      <w:sz w:val="24"/>
      <w:szCs w:val="20"/>
    </w:rPr>
  </w:style>
  <w:style w:type="paragraph" w:customStyle="1" w:styleId="174">
    <w:name w:val="Char Char Char Char Char Char Char Char Char Char"/>
    <w:basedOn w:val="1"/>
    <w:qFormat/>
    <w:uiPriority w:val="0"/>
  </w:style>
  <w:style w:type="paragraph" w:customStyle="1" w:styleId="17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6">
    <w:name w:val="Char1"/>
    <w:basedOn w:val="1"/>
    <w:qFormat/>
    <w:uiPriority w:val="0"/>
    <w:pPr>
      <w:tabs>
        <w:tab w:val="left" w:pos="360"/>
      </w:tabs>
    </w:pPr>
    <w:rPr>
      <w:sz w:val="24"/>
    </w:rPr>
  </w:style>
  <w:style w:type="paragraph" w:customStyle="1" w:styleId="177">
    <w:name w:val="正文列项_字母"/>
    <w:basedOn w:val="1"/>
    <w:qFormat/>
    <w:uiPriority w:val="0"/>
    <w:pPr>
      <w:numPr>
        <w:ilvl w:val="6"/>
        <w:numId w:val="1"/>
      </w:numPr>
      <w:autoSpaceDE w:val="0"/>
      <w:autoSpaceDN w:val="0"/>
      <w:spacing w:line="460" w:lineRule="exact"/>
      <w:ind w:left="480" w:leftChars="300" w:hanging="180" w:hangingChars="180"/>
      <w:outlineLvl w:val="6"/>
    </w:pPr>
    <w:rPr>
      <w:rFonts w:ascii="宋体"/>
      <w:kern w:val="0"/>
      <w:sz w:val="28"/>
      <w:szCs w:val="20"/>
    </w:rPr>
  </w:style>
  <w:style w:type="paragraph" w:customStyle="1" w:styleId="17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默认段落字体 Para Char Char Char Char"/>
    <w:basedOn w:val="1"/>
    <w:qFormat/>
    <w:uiPriority w:val="0"/>
    <w:rPr>
      <w:rFonts w:ascii="Arial" w:hAnsi="Arial" w:cs="Arial"/>
      <w:szCs w:val="21"/>
    </w:rPr>
  </w:style>
  <w:style w:type="paragraph" w:customStyle="1" w:styleId="18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8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8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4">
    <w:name w:val="Char Char Char"/>
    <w:basedOn w:val="1"/>
    <w:qFormat/>
    <w:uiPriority w:val="0"/>
    <w:rPr>
      <w:rFonts w:ascii="Tahoma" w:hAnsi="Tahoma"/>
      <w:sz w:val="24"/>
      <w:szCs w:val="20"/>
    </w:rPr>
  </w:style>
  <w:style w:type="paragraph" w:customStyle="1" w:styleId="18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1"/>
    <w:basedOn w:val="1"/>
    <w:qFormat/>
    <w:uiPriority w:val="0"/>
    <w:rPr>
      <w:rFonts w:ascii="Tahoma" w:hAnsi="Tahoma"/>
      <w:sz w:val="24"/>
      <w:szCs w:val="20"/>
    </w:rPr>
  </w:style>
  <w:style w:type="paragraph" w:customStyle="1" w:styleId="18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0">
    <w:name w:val="样式2"/>
    <w:basedOn w:val="48"/>
    <w:qFormat/>
    <w:uiPriority w:val="0"/>
    <w:pPr>
      <w:spacing w:line="360" w:lineRule="auto"/>
      <w:jc w:val="center"/>
    </w:pPr>
    <w:rPr>
      <w:sz w:val="24"/>
    </w:rPr>
  </w:style>
  <w:style w:type="paragraph" w:customStyle="1" w:styleId="191">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93">
    <w:name w:val="正文 + 楷体_GB2312"/>
    <w:basedOn w:val="1"/>
    <w:qFormat/>
    <w:uiPriority w:val="0"/>
    <w:pPr>
      <w:widowControl/>
      <w:jc w:val="left"/>
    </w:pPr>
    <w:rPr>
      <w:rFonts w:ascii="楷体_GB2312" w:eastAsia="楷体_GB2312" w:cs="Arial"/>
      <w:kern w:val="0"/>
      <w:sz w:val="24"/>
    </w:rPr>
  </w:style>
  <w:style w:type="paragraph" w:customStyle="1" w:styleId="19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5">
    <w:name w:val="1 Char Char Char Char"/>
    <w:basedOn w:val="1"/>
    <w:qFormat/>
    <w:uiPriority w:val="0"/>
    <w:rPr>
      <w:rFonts w:ascii="Tahoma" w:hAnsi="Tahoma"/>
      <w:sz w:val="24"/>
      <w:szCs w:val="20"/>
    </w:rPr>
  </w:style>
  <w:style w:type="paragraph" w:customStyle="1" w:styleId="19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7">
    <w:name w:val="列出段落1"/>
    <w:basedOn w:val="1"/>
    <w:qFormat/>
    <w:uiPriority w:val="0"/>
    <w:pPr>
      <w:ind w:firstLine="420" w:firstLineChars="200"/>
    </w:pPr>
    <w:rPr>
      <w:rFonts w:ascii="Calibri" w:hAnsi="Calibri"/>
      <w:szCs w:val="22"/>
    </w:rPr>
  </w:style>
  <w:style w:type="paragraph" w:customStyle="1" w:styleId="19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9">
    <w:name w:val="字元 字元1"/>
    <w:basedOn w:val="1"/>
    <w:qFormat/>
    <w:uiPriority w:val="0"/>
    <w:rPr>
      <w:rFonts w:ascii="Tahoma" w:hAnsi="Tahoma"/>
      <w:sz w:val="24"/>
      <w:szCs w:val="20"/>
    </w:rPr>
  </w:style>
  <w:style w:type="paragraph" w:customStyle="1" w:styleId="200">
    <w:name w:val="_Style 160"/>
    <w:qFormat/>
    <w:uiPriority w:val="0"/>
    <w:rPr>
      <w:rFonts w:ascii="Times New Roman" w:hAnsi="Times New Roman" w:eastAsia="宋体" w:cs="Times New Roman"/>
      <w:kern w:val="2"/>
      <w:sz w:val="21"/>
      <w:szCs w:val="24"/>
      <w:lang w:val="en-US" w:eastAsia="zh-CN" w:bidi="ar-SA"/>
    </w:rPr>
  </w:style>
  <w:style w:type="paragraph" w:customStyle="1" w:styleId="201">
    <w:name w:val="项目编号3"/>
    <w:basedOn w:val="161"/>
    <w:qFormat/>
    <w:uiPriority w:val="0"/>
    <w:pPr>
      <w:numPr>
        <w:ilvl w:val="0"/>
        <w:numId w:val="5"/>
      </w:numPr>
    </w:pPr>
  </w:style>
  <w:style w:type="paragraph" w:customStyle="1" w:styleId="202">
    <w:name w:val="Char21"/>
    <w:basedOn w:val="1"/>
    <w:qFormat/>
    <w:uiPriority w:val="0"/>
    <w:rPr>
      <w:rFonts w:ascii="Tahoma" w:hAnsi="Tahoma"/>
      <w:sz w:val="24"/>
      <w:szCs w:val="20"/>
    </w:rPr>
  </w:style>
  <w:style w:type="paragraph" w:customStyle="1" w:styleId="203">
    <w:name w:val="表格文字"/>
    <w:basedOn w:val="22"/>
    <w:qFormat/>
    <w:uiPriority w:val="99"/>
    <w:pPr>
      <w:spacing w:before="20" w:after="20" w:line="240" w:lineRule="auto"/>
      <w:ind w:firstLine="0"/>
    </w:pPr>
    <w:rPr>
      <w:rFonts w:ascii="Century Gothic" w:hAnsi="Century Gothic"/>
      <w:sz w:val="20"/>
      <w:szCs w:val="20"/>
    </w:rPr>
  </w:style>
  <w:style w:type="paragraph" w:customStyle="1" w:styleId="204">
    <w:name w:val="Char Char Char Char Char Char Char Char Char Char1"/>
    <w:basedOn w:val="1"/>
    <w:qFormat/>
    <w:uiPriority w:val="0"/>
    <w:rPr>
      <w:rFonts w:ascii="宋体" w:hAnsi="宋体" w:cs="Courier New"/>
      <w:sz w:val="32"/>
      <w:szCs w:val="32"/>
    </w:rPr>
  </w:style>
  <w:style w:type="paragraph" w:customStyle="1" w:styleId="205">
    <w:name w:val="正文文本样式 加粗"/>
    <w:basedOn w:val="161"/>
    <w:qFormat/>
    <w:uiPriority w:val="0"/>
    <w:rPr>
      <w:b/>
    </w:rPr>
  </w:style>
  <w:style w:type="paragraph" w:customStyle="1" w:styleId="206">
    <w:name w:val="Char2 Char Char Char Char Char Char"/>
    <w:basedOn w:val="1"/>
    <w:qFormat/>
    <w:uiPriority w:val="0"/>
    <w:pPr>
      <w:widowControl/>
      <w:spacing w:line="400" w:lineRule="exact"/>
      <w:jc w:val="center"/>
    </w:pPr>
  </w:style>
  <w:style w:type="paragraph" w:customStyle="1" w:styleId="207">
    <w:name w:val="Char Char4"/>
    <w:basedOn w:val="1"/>
    <w:qFormat/>
    <w:uiPriority w:val="0"/>
    <w:pPr>
      <w:widowControl/>
      <w:spacing w:line="400" w:lineRule="exact"/>
      <w:jc w:val="center"/>
    </w:pPr>
  </w:style>
  <w:style w:type="paragraph" w:customStyle="1" w:styleId="208">
    <w:name w:val="Char3 Char Char Char1"/>
    <w:basedOn w:val="1"/>
    <w:qFormat/>
    <w:uiPriority w:val="0"/>
    <w:rPr>
      <w:rFonts w:ascii="Tahoma" w:hAnsi="Tahoma"/>
      <w:sz w:val="24"/>
      <w:szCs w:val="20"/>
    </w:rPr>
  </w:style>
  <w:style w:type="paragraph" w:styleId="20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11">
    <w:name w:val="中等深浅网格 1 - 强调文字颜色 2 Char"/>
    <w:link w:val="212"/>
    <w:qFormat/>
    <w:uiPriority w:val="0"/>
    <w:rPr>
      <w:kern w:val="2"/>
      <w:sz w:val="21"/>
      <w:szCs w:val="24"/>
      <w:lang w:val="zh-CN" w:eastAsia="zh-CN"/>
    </w:rPr>
  </w:style>
  <w:style w:type="paragraph" w:customStyle="1" w:styleId="212">
    <w:name w:val="1"/>
    <w:next w:val="1"/>
    <w:link w:val="211"/>
    <w:qFormat/>
    <w:uiPriority w:val="0"/>
    <w:rPr>
      <w:rFonts w:ascii="Times New Roman" w:hAnsi="Times New Roman" w:eastAsia="宋体" w:cs="Times New Roman"/>
      <w:kern w:val="2"/>
      <w:sz w:val="21"/>
      <w:szCs w:val="24"/>
      <w:lang w:val="zh-CN" w:eastAsia="zh-CN" w:bidi="ar-SA"/>
    </w:rPr>
  </w:style>
  <w:style w:type="paragraph" w:customStyle="1" w:styleId="213">
    <w:name w:val="图文"/>
    <w:basedOn w:val="1"/>
    <w:qFormat/>
    <w:uiPriority w:val="0"/>
    <w:pPr>
      <w:adjustRightInd w:val="0"/>
      <w:snapToGrid w:val="0"/>
      <w:spacing w:after="50" w:line="360" w:lineRule="auto"/>
    </w:pPr>
    <w:rPr>
      <w:sz w:val="24"/>
    </w:rPr>
  </w:style>
  <w:style w:type="paragraph" w:customStyle="1" w:styleId="21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5">
    <w:name w:val="正文表格"/>
    <w:basedOn w:val="1"/>
    <w:link w:val="216"/>
    <w:qFormat/>
    <w:uiPriority w:val="0"/>
    <w:pPr>
      <w:adjustRightInd w:val="0"/>
      <w:snapToGrid w:val="0"/>
      <w:jc w:val="left"/>
    </w:pPr>
    <w:rPr>
      <w:rFonts w:ascii="宋体" w:hAnsi="宋体"/>
      <w:color w:val="000000"/>
      <w:szCs w:val="21"/>
    </w:rPr>
  </w:style>
  <w:style w:type="character" w:customStyle="1" w:styleId="216">
    <w:name w:val="正文表格 Char"/>
    <w:link w:val="215"/>
    <w:qFormat/>
    <w:uiPriority w:val="0"/>
    <w:rPr>
      <w:rFonts w:ascii="宋体" w:hAnsi="宋体"/>
      <w:color w:val="000000"/>
      <w:kern w:val="2"/>
      <w:sz w:val="21"/>
      <w:szCs w:val="21"/>
    </w:rPr>
  </w:style>
  <w:style w:type="paragraph" w:customStyle="1" w:styleId="217">
    <w:name w:val="正文重点"/>
    <w:basedOn w:val="1"/>
    <w:link w:val="218"/>
    <w:qFormat/>
    <w:uiPriority w:val="0"/>
    <w:pPr>
      <w:adjustRightInd w:val="0"/>
      <w:spacing w:line="360" w:lineRule="auto"/>
      <w:ind w:firstLine="482" w:firstLineChars="200"/>
      <w:jc w:val="left"/>
      <w:textAlignment w:val="baseline"/>
    </w:pPr>
    <w:rPr>
      <w:b/>
      <w:kern w:val="0"/>
      <w:sz w:val="24"/>
      <w:szCs w:val="20"/>
    </w:rPr>
  </w:style>
  <w:style w:type="character" w:customStyle="1" w:styleId="218">
    <w:name w:val="正文重点 Char"/>
    <w:link w:val="217"/>
    <w:qFormat/>
    <w:uiPriority w:val="0"/>
    <w:rPr>
      <w:b/>
      <w:sz w:val="24"/>
    </w:rPr>
  </w:style>
  <w:style w:type="paragraph" w:customStyle="1" w:styleId="219">
    <w:name w:val="标题1-附件"/>
    <w:basedOn w:val="2"/>
    <w:qFormat/>
    <w:uiPriority w:val="0"/>
    <w:pPr>
      <w:jc w:val="left"/>
    </w:pPr>
    <w:rPr>
      <w:sz w:val="24"/>
      <w:szCs w:val="24"/>
    </w:rPr>
  </w:style>
  <w:style w:type="paragraph" w:customStyle="1" w:styleId="220">
    <w:name w:val="正文小标题"/>
    <w:basedOn w:val="1"/>
    <w:next w:val="13"/>
    <w:link w:val="221"/>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21">
    <w:name w:val="正文小标题 Char"/>
    <w:link w:val="220"/>
    <w:qFormat/>
    <w:uiPriority w:val="0"/>
    <w:rPr>
      <w:rFonts w:ascii="宋体" w:hAnsi="宋体"/>
      <w:b/>
      <w:i/>
      <w:color w:val="FF0000"/>
      <w:kern w:val="2"/>
      <w:sz w:val="24"/>
    </w:rPr>
  </w:style>
  <w:style w:type="paragraph" w:customStyle="1" w:styleId="222">
    <w:name w:val="正文大标题"/>
    <w:basedOn w:val="220"/>
    <w:next w:val="13"/>
    <w:link w:val="223"/>
    <w:qFormat/>
    <w:uiPriority w:val="0"/>
    <w:pPr>
      <w:jc w:val="center"/>
    </w:pPr>
    <w:rPr>
      <w:i w:val="0"/>
      <w:color w:val="000000"/>
      <w:sz w:val="28"/>
      <w:szCs w:val="21"/>
    </w:rPr>
  </w:style>
  <w:style w:type="character" w:customStyle="1" w:styleId="223">
    <w:name w:val="正文大标题 Char"/>
    <w:link w:val="222"/>
    <w:qFormat/>
    <w:uiPriority w:val="0"/>
    <w:rPr>
      <w:rFonts w:ascii="宋体" w:hAnsi="宋体"/>
      <w:b/>
      <w:color w:val="000000"/>
      <w:kern w:val="2"/>
      <w:sz w:val="28"/>
      <w:szCs w:val="21"/>
    </w:rPr>
  </w:style>
  <w:style w:type="paragraph" w:customStyle="1" w:styleId="224">
    <w:name w:val="注释"/>
    <w:basedOn w:val="1"/>
    <w:link w:val="225"/>
    <w:qFormat/>
    <w:uiPriority w:val="0"/>
    <w:pPr>
      <w:adjustRightInd w:val="0"/>
      <w:snapToGrid w:val="0"/>
      <w:ind w:left="420" w:hanging="420" w:hangingChars="200"/>
      <w:jc w:val="left"/>
    </w:pPr>
    <w:rPr>
      <w:rFonts w:ascii="宋体" w:hAnsi="宋体"/>
      <w:szCs w:val="21"/>
    </w:rPr>
  </w:style>
  <w:style w:type="character" w:customStyle="1" w:styleId="225">
    <w:name w:val="注释 Char"/>
    <w:link w:val="224"/>
    <w:qFormat/>
    <w:uiPriority w:val="0"/>
    <w:rPr>
      <w:rFonts w:ascii="宋体" w:hAnsi="宋体"/>
      <w:kern w:val="2"/>
      <w:sz w:val="21"/>
      <w:szCs w:val="21"/>
    </w:rPr>
  </w:style>
  <w:style w:type="paragraph" w:customStyle="1" w:styleId="226">
    <w:name w:val="正文须知-1级"/>
    <w:basedOn w:val="1"/>
    <w:next w:val="1"/>
    <w:qFormat/>
    <w:uiPriority w:val="0"/>
    <w:pPr>
      <w:numPr>
        <w:ilvl w:val="0"/>
        <w:numId w:val="6"/>
      </w:numPr>
      <w:adjustRightInd w:val="0"/>
      <w:snapToGrid w:val="0"/>
      <w:spacing w:line="300" w:lineRule="auto"/>
    </w:pPr>
    <w:rPr>
      <w:rFonts w:ascii="宋体" w:hAnsi="Calibri"/>
      <w:sz w:val="24"/>
      <w:szCs w:val="21"/>
    </w:rPr>
  </w:style>
  <w:style w:type="paragraph" w:customStyle="1" w:styleId="227">
    <w:name w:val="正文须知-2级"/>
    <w:basedOn w:val="1"/>
    <w:qFormat/>
    <w:uiPriority w:val="0"/>
    <w:pPr>
      <w:numPr>
        <w:ilvl w:val="1"/>
        <w:numId w:val="6"/>
      </w:numPr>
      <w:adjustRightInd w:val="0"/>
      <w:snapToGrid w:val="0"/>
      <w:spacing w:line="300" w:lineRule="auto"/>
    </w:pPr>
    <w:rPr>
      <w:rFonts w:ascii="宋体" w:hAnsi="Calibri"/>
      <w:sz w:val="24"/>
      <w:szCs w:val="21"/>
    </w:rPr>
  </w:style>
  <w:style w:type="paragraph" w:customStyle="1" w:styleId="228">
    <w:name w:val="正文须知-3级"/>
    <w:basedOn w:val="1"/>
    <w:qFormat/>
    <w:uiPriority w:val="0"/>
    <w:pPr>
      <w:numPr>
        <w:ilvl w:val="2"/>
        <w:numId w:val="6"/>
      </w:numPr>
      <w:adjustRightInd w:val="0"/>
      <w:snapToGrid w:val="0"/>
      <w:spacing w:line="300" w:lineRule="auto"/>
      <w:ind w:hanging="355" w:hangingChars="355"/>
    </w:pPr>
    <w:rPr>
      <w:rFonts w:ascii="宋体" w:hAnsi="Calibri"/>
      <w:sz w:val="24"/>
      <w:szCs w:val="21"/>
    </w:rPr>
  </w:style>
  <w:style w:type="character" w:customStyle="1" w:styleId="229">
    <w:name w:val="纯文本 字符"/>
    <w:qFormat/>
    <w:uiPriority w:val="0"/>
    <w:rPr>
      <w:rFonts w:ascii="宋体" w:hAnsi="Courier New" w:eastAsia="宋体" w:cs="Times New Roman"/>
      <w:kern w:val="2"/>
      <w:sz w:val="21"/>
      <w:szCs w:val="21"/>
      <w:lang w:val="en-US" w:eastAsia="zh-CN" w:bidi="ar-SA"/>
    </w:rPr>
  </w:style>
  <w:style w:type="paragraph" w:customStyle="1" w:styleId="230">
    <w:name w:val="表格1"/>
    <w:basedOn w:val="1"/>
    <w:qFormat/>
    <w:uiPriority w:val="0"/>
    <w:pPr>
      <w:ind w:firstLine="480" w:firstLineChars="200"/>
      <w:jc w:val="center"/>
    </w:pPr>
    <w:rPr>
      <w:sz w:val="24"/>
      <w:szCs w:val="20"/>
    </w:rPr>
  </w:style>
  <w:style w:type="character" w:customStyle="1" w:styleId="231">
    <w:name w:val="纯文本 字符1"/>
    <w:qFormat/>
    <w:uiPriority w:val="0"/>
    <w:rPr>
      <w:rFonts w:ascii="宋体" w:hAnsi="Courier New"/>
    </w:rPr>
  </w:style>
  <w:style w:type="character" w:customStyle="1" w:styleId="232">
    <w:name w:val="bjh-p"/>
    <w:qFormat/>
    <w:uiPriority w:val="0"/>
  </w:style>
  <w:style w:type="paragraph" w:customStyle="1" w:styleId="233">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4">
    <w:name w:val="正文格式 Char"/>
    <w:link w:val="235"/>
    <w:qFormat/>
    <w:locked/>
    <w:uiPriority w:val="0"/>
    <w:rPr>
      <w:rFonts w:ascii="宋体" w:hAnsi="宋体"/>
      <w:sz w:val="24"/>
      <w:szCs w:val="24"/>
      <w:lang w:val="en-GB"/>
    </w:rPr>
  </w:style>
  <w:style w:type="paragraph" w:customStyle="1" w:styleId="235">
    <w:name w:val="正文格式"/>
    <w:basedOn w:val="1"/>
    <w:link w:val="234"/>
    <w:qFormat/>
    <w:uiPriority w:val="0"/>
    <w:pPr>
      <w:spacing w:beforeLines="50" w:line="360" w:lineRule="auto"/>
      <w:ind w:firstLine="480" w:firstLineChars="200"/>
    </w:pPr>
    <w:rPr>
      <w:rFonts w:ascii="宋体" w:hAnsi="宋体"/>
      <w:kern w:val="0"/>
      <w:sz w:val="24"/>
      <w:lang w:val="en-GB"/>
    </w:rPr>
  </w:style>
  <w:style w:type="character" w:customStyle="1" w:styleId="236">
    <w:name w:val="标题 3 Char"/>
    <w:qFormat/>
    <w:uiPriority w:val="99"/>
    <w:rPr>
      <w:rFonts w:ascii="宋体" w:eastAsia="宋体"/>
      <w:b/>
      <w:sz w:val="24"/>
      <w:u w:val="single"/>
      <w:lang w:val="en-US" w:eastAsia="zh-CN" w:bidi="ar-SA"/>
    </w:rPr>
  </w:style>
  <w:style w:type="character" w:customStyle="1" w:styleId="237">
    <w:name w:val="正文缩进 Char"/>
    <w:qFormat/>
    <w:uiPriority w:val="0"/>
    <w:rPr>
      <w:rFonts w:ascii="宋体" w:eastAsia="宋体"/>
      <w:kern w:val="2"/>
      <w:sz w:val="24"/>
      <w:szCs w:val="24"/>
      <w:lang w:val="en-US" w:eastAsia="zh-CN" w:bidi="ar-SA"/>
    </w:rPr>
  </w:style>
  <w:style w:type="character" w:customStyle="1" w:styleId="238">
    <w:name w:val="Char Char111"/>
    <w:qFormat/>
    <w:uiPriority w:val="0"/>
    <w:rPr>
      <w:rFonts w:ascii="宋体" w:eastAsia="宋体"/>
      <w:b/>
      <w:sz w:val="24"/>
      <w:u w:val="single"/>
      <w:lang w:val="en-US" w:eastAsia="zh-CN" w:bidi="ar-SA"/>
    </w:rPr>
  </w:style>
  <w:style w:type="character" w:customStyle="1" w:styleId="239">
    <w:name w:val="正文文本缩进 Char"/>
    <w:qFormat/>
    <w:uiPriority w:val="99"/>
    <w:rPr>
      <w:rFonts w:eastAsia="宋体"/>
      <w:kern w:val="2"/>
      <w:sz w:val="24"/>
      <w:szCs w:val="24"/>
      <w:lang w:val="en-US" w:eastAsia="zh-CN" w:bidi="ar-SA"/>
    </w:rPr>
  </w:style>
  <w:style w:type="character" w:customStyle="1" w:styleId="240">
    <w:name w:val="列出段落 Char"/>
    <w:link w:val="241"/>
    <w:qFormat/>
    <w:uiPriority w:val="0"/>
    <w:rPr>
      <w:rFonts w:ascii="Calibri" w:hAnsi="Calibri"/>
      <w:kern w:val="2"/>
      <w:sz w:val="21"/>
      <w:szCs w:val="22"/>
    </w:rPr>
  </w:style>
  <w:style w:type="paragraph" w:customStyle="1" w:styleId="241">
    <w:name w:val="_Style 345"/>
    <w:basedOn w:val="1"/>
    <w:next w:val="112"/>
    <w:link w:val="240"/>
    <w:qFormat/>
    <w:uiPriority w:val="0"/>
    <w:pPr>
      <w:ind w:firstLine="420" w:firstLineChars="200"/>
    </w:pPr>
    <w:rPr>
      <w:rFonts w:ascii="Calibri" w:hAnsi="Calibri"/>
      <w:szCs w:val="22"/>
    </w:rPr>
  </w:style>
  <w:style w:type="character" w:customStyle="1" w:styleId="242">
    <w:name w:val="页眉 Char"/>
    <w:qFormat/>
    <w:uiPriority w:val="99"/>
    <w:rPr>
      <w:rFonts w:eastAsia="宋体"/>
      <w:kern w:val="2"/>
      <w:sz w:val="18"/>
      <w:szCs w:val="18"/>
      <w:lang w:val="en-US" w:eastAsia="zh-CN" w:bidi="ar-SA"/>
    </w:rPr>
  </w:style>
  <w:style w:type="character" w:customStyle="1" w:styleId="243">
    <w:name w:val="标题 2 Char"/>
    <w:qFormat/>
    <w:uiPriority w:val="99"/>
    <w:rPr>
      <w:rFonts w:ascii="Arial" w:hAnsi="Arial" w:eastAsia="黑体"/>
      <w:b/>
      <w:sz w:val="30"/>
      <w:lang w:val="en-US" w:eastAsia="zh-CN" w:bidi="ar-SA"/>
    </w:rPr>
  </w:style>
  <w:style w:type="paragraph" w:customStyle="1" w:styleId="244">
    <w:name w:val="字元 字元2"/>
    <w:basedOn w:val="1"/>
    <w:qFormat/>
    <w:uiPriority w:val="0"/>
    <w:rPr>
      <w:rFonts w:ascii="Tahoma" w:hAnsi="Tahoma"/>
      <w:sz w:val="24"/>
      <w:szCs w:val="20"/>
    </w:rPr>
  </w:style>
  <w:style w:type="paragraph" w:customStyle="1" w:styleId="245">
    <w:name w:val="Char3 Char Char Char2"/>
    <w:basedOn w:val="1"/>
    <w:qFormat/>
    <w:uiPriority w:val="0"/>
    <w:rPr>
      <w:rFonts w:ascii="Tahoma" w:hAnsi="Tahoma"/>
      <w:sz w:val="24"/>
      <w:szCs w:val="20"/>
    </w:rPr>
  </w:style>
  <w:style w:type="paragraph" w:customStyle="1" w:styleId="24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7">
    <w:name w:val="Char3"/>
    <w:basedOn w:val="1"/>
    <w:qFormat/>
    <w:uiPriority w:val="0"/>
    <w:pPr>
      <w:tabs>
        <w:tab w:val="left" w:pos="360"/>
      </w:tabs>
    </w:pPr>
    <w:rPr>
      <w:sz w:val="24"/>
    </w:rPr>
  </w:style>
  <w:style w:type="paragraph" w:customStyle="1" w:styleId="24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0">
    <w:name w:val="列出段落2"/>
    <w:basedOn w:val="1"/>
    <w:qFormat/>
    <w:uiPriority w:val="0"/>
    <w:pPr>
      <w:ind w:firstLine="420" w:firstLineChars="200"/>
    </w:pPr>
    <w:rPr>
      <w:rFonts w:ascii="Calibri" w:hAnsi="Calibri"/>
      <w:szCs w:val="22"/>
    </w:rPr>
  </w:style>
  <w:style w:type="paragraph" w:customStyle="1" w:styleId="251">
    <w:name w:val="Char Char Char1 Char2"/>
    <w:basedOn w:val="1"/>
    <w:qFormat/>
    <w:uiPriority w:val="0"/>
    <w:rPr>
      <w:rFonts w:ascii="Tahoma" w:hAnsi="Tahoma"/>
      <w:sz w:val="24"/>
      <w:szCs w:val="20"/>
    </w:rPr>
  </w:style>
  <w:style w:type="paragraph" w:customStyle="1" w:styleId="252">
    <w:name w:val="Char Char Char2"/>
    <w:basedOn w:val="1"/>
    <w:qFormat/>
    <w:uiPriority w:val="0"/>
    <w:rPr>
      <w:rFonts w:ascii="Tahoma" w:hAnsi="Tahoma"/>
      <w:sz w:val="24"/>
      <w:szCs w:val="20"/>
    </w:rPr>
  </w:style>
  <w:style w:type="paragraph" w:customStyle="1" w:styleId="25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5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5">
    <w:name w:val="修订1"/>
    <w:qFormat/>
    <w:uiPriority w:val="99"/>
    <w:rPr>
      <w:rFonts w:ascii="Times New Roman" w:hAnsi="Times New Roman" w:eastAsia="宋体" w:cs="Times New Roman"/>
      <w:kern w:val="2"/>
      <w:sz w:val="21"/>
      <w:szCs w:val="24"/>
      <w:lang w:val="en-US" w:eastAsia="zh-CN" w:bidi="ar-SA"/>
    </w:rPr>
  </w:style>
  <w:style w:type="paragraph" w:customStyle="1" w:styleId="256">
    <w:name w:val="Char22"/>
    <w:basedOn w:val="1"/>
    <w:qFormat/>
    <w:uiPriority w:val="0"/>
    <w:rPr>
      <w:rFonts w:ascii="Tahoma" w:hAnsi="Tahoma"/>
      <w:sz w:val="24"/>
      <w:szCs w:val="20"/>
    </w:rPr>
  </w:style>
  <w:style w:type="paragraph" w:customStyle="1" w:styleId="257">
    <w:name w:val="Char Char Char Char Char Char Char Char Char Char2"/>
    <w:basedOn w:val="1"/>
    <w:qFormat/>
    <w:uiPriority w:val="0"/>
    <w:rPr>
      <w:rFonts w:ascii="宋体" w:hAnsi="宋体" w:cs="Courier New"/>
      <w:sz w:val="32"/>
      <w:szCs w:val="32"/>
    </w:rPr>
  </w:style>
  <w:style w:type="paragraph" w:customStyle="1" w:styleId="258">
    <w:name w:val="Char2 Char Char Char Char Char Char1"/>
    <w:basedOn w:val="1"/>
    <w:qFormat/>
    <w:uiPriority w:val="0"/>
    <w:pPr>
      <w:widowControl/>
      <w:spacing w:line="400" w:lineRule="exact"/>
      <w:jc w:val="center"/>
    </w:pPr>
  </w:style>
  <w:style w:type="character" w:customStyle="1" w:styleId="259">
    <w:name w:val="页脚 Char"/>
    <w:qFormat/>
    <w:uiPriority w:val="99"/>
    <w:rPr>
      <w:rFonts w:ascii="宋体" w:eastAsia="宋体"/>
      <w:sz w:val="18"/>
      <w:lang w:val="en-US" w:eastAsia="zh-CN" w:bidi="ar-SA"/>
    </w:rPr>
  </w:style>
  <w:style w:type="paragraph" w:customStyle="1" w:styleId="260">
    <w:name w:val="Char Char41"/>
    <w:basedOn w:val="1"/>
    <w:qFormat/>
    <w:uiPriority w:val="0"/>
    <w:pPr>
      <w:widowControl/>
      <w:spacing w:line="400" w:lineRule="exact"/>
      <w:jc w:val="center"/>
    </w:pPr>
  </w:style>
  <w:style w:type="character" w:customStyle="1" w:styleId="261">
    <w:name w:val="批注文字 Char"/>
    <w:qFormat/>
    <w:uiPriority w:val="99"/>
    <w:rPr>
      <w:kern w:val="2"/>
      <w:sz w:val="21"/>
      <w:szCs w:val="24"/>
    </w:rPr>
  </w:style>
  <w:style w:type="character" w:customStyle="1" w:styleId="262">
    <w:name w:val="标题 Char"/>
    <w:qFormat/>
    <w:uiPriority w:val="99"/>
    <w:rPr>
      <w:b/>
      <w:kern w:val="2"/>
      <w:sz w:val="32"/>
    </w:rPr>
  </w:style>
  <w:style w:type="paragraph" w:customStyle="1" w:styleId="263">
    <w:name w:val="图例"/>
    <w:basedOn w:val="1"/>
    <w:qFormat/>
    <w:uiPriority w:val="0"/>
    <w:pPr>
      <w:spacing w:before="120" w:after="120" w:line="360" w:lineRule="auto"/>
      <w:jc w:val="center"/>
    </w:pPr>
    <w:rPr>
      <w:rFonts w:eastAsia="仿宋_GB2312"/>
      <w:b/>
      <w:sz w:val="24"/>
      <w:szCs w:val="20"/>
    </w:rPr>
  </w:style>
  <w:style w:type="paragraph" w:customStyle="1" w:styleId="26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65">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66">
    <w:name w:val="列表段落 字符1"/>
    <w:qFormat/>
    <w:uiPriority w:val="34"/>
    <w:rPr>
      <w:bCs/>
      <w:kern w:val="2"/>
      <w:sz w:val="21"/>
    </w:rPr>
  </w:style>
  <w:style w:type="paragraph" w:customStyle="1" w:styleId="267">
    <w:name w:val="样式 标题 1 + 四号 居中 段前: 12 磅 段后: 12 磅 行距: 单倍行距"/>
    <w:basedOn w:val="2"/>
    <w:qFormat/>
    <w:uiPriority w:val="0"/>
    <w:pPr>
      <w:autoSpaceDE/>
      <w:autoSpaceDN/>
      <w:spacing w:after="240" w:line="240" w:lineRule="auto"/>
      <w:textAlignment w:val="baseline"/>
    </w:pPr>
    <w:rPr>
      <w:rFonts w:ascii="Calibri" w:hAnsi="Calibri" w:cs="宋体"/>
      <w:bCs/>
      <w:sz w:val="28"/>
    </w:rPr>
  </w:style>
  <w:style w:type="paragraph" w:customStyle="1" w:styleId="268">
    <w:name w:val="样式 样式 样式 样式 标题 2 + 宋体 五号 非加粗 黑色 + 段前: 6 磅 段后: 0 磅 行距: 单倍行距 + 段前:..."/>
    <w:basedOn w:val="1"/>
    <w:qFormat/>
    <w:uiPriority w:val="0"/>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26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0">
    <w:name w:val="cf01"/>
    <w:qFormat/>
    <w:uiPriority w:val="0"/>
    <w:rPr>
      <w:rFonts w:hint="eastAsia" w:ascii="Microsoft YaHei UI" w:hAnsi="Microsoft YaHei UI" w:eastAsia="Microsoft YaHei UI"/>
      <w:sz w:val="18"/>
      <w:szCs w:val="18"/>
    </w:rPr>
  </w:style>
  <w:style w:type="character" w:customStyle="1" w:styleId="271">
    <w:name w:val="cf11"/>
    <w:qFormat/>
    <w:uiPriority w:val="0"/>
    <w:rPr>
      <w:rFonts w:hint="eastAsia" w:ascii="Microsoft YaHei UI" w:hAnsi="Microsoft YaHei UI" w:eastAsia="Microsoft YaHei UI"/>
      <w:sz w:val="18"/>
      <w:szCs w:val="18"/>
    </w:rPr>
  </w:style>
  <w:style w:type="character" w:customStyle="1" w:styleId="272">
    <w:name w:val="cf21"/>
    <w:qFormat/>
    <w:uiPriority w:val="0"/>
    <w:rPr>
      <w:rFonts w:hint="eastAsia" w:ascii="Microsoft YaHei UI" w:hAnsi="Microsoft YaHei UI" w:eastAsia="Microsoft YaHei UI"/>
      <w:sz w:val="18"/>
      <w:szCs w:val="18"/>
      <w:shd w:val="clear" w:color="auto" w:fill="FFFF00"/>
    </w:rPr>
  </w:style>
  <w:style w:type="character" w:customStyle="1" w:styleId="273">
    <w:name w:val="textcontents"/>
    <w:qFormat/>
    <w:uiPriority w:val="0"/>
    <w:rPr>
      <w:rFonts w:cs="Times New Roman"/>
    </w:rPr>
  </w:style>
  <w:style w:type="character" w:customStyle="1" w:styleId="274">
    <w:name w:val="不明显参考1"/>
    <w:qFormat/>
    <w:uiPriority w:val="0"/>
    <w:rPr>
      <w:sz w:val="24"/>
      <w:szCs w:val="24"/>
      <w:u w:val="single"/>
    </w:rPr>
  </w:style>
  <w:style w:type="character" w:customStyle="1" w:styleId="275">
    <w:name w:val="表格内容 Char"/>
    <w:link w:val="276"/>
    <w:qFormat/>
    <w:uiPriority w:val="0"/>
    <w:rPr>
      <w:bCs/>
      <w:kern w:val="2"/>
      <w:sz w:val="21"/>
      <w:szCs w:val="21"/>
    </w:rPr>
  </w:style>
  <w:style w:type="paragraph" w:customStyle="1" w:styleId="276">
    <w:name w:val="表格内容"/>
    <w:basedOn w:val="1"/>
    <w:link w:val="275"/>
    <w:qFormat/>
    <w:uiPriority w:val="0"/>
    <w:pPr>
      <w:spacing w:line="300" w:lineRule="auto"/>
      <w:ind w:firstLine="50" w:firstLineChars="50"/>
      <w:jc w:val="left"/>
    </w:pPr>
    <w:rPr>
      <w:bCs/>
      <w:szCs w:val="21"/>
    </w:rPr>
  </w:style>
  <w:style w:type="character" w:customStyle="1" w:styleId="277">
    <w:name w:val="HTML 预设格式 Char1"/>
    <w:qFormat/>
    <w:uiPriority w:val="99"/>
    <w:rPr>
      <w:rFonts w:ascii="Courier New" w:hAnsi="Courier New" w:cs="Courier New"/>
      <w:kern w:val="2"/>
      <w:sz w:val="32"/>
      <w:szCs w:val="32"/>
    </w:rPr>
  </w:style>
  <w:style w:type="character" w:customStyle="1" w:styleId="278">
    <w:name w:val="明显强调1"/>
    <w:qFormat/>
    <w:uiPriority w:val="0"/>
    <w:rPr>
      <w:b/>
      <w:i/>
      <w:sz w:val="24"/>
      <w:szCs w:val="24"/>
      <w:u w:val="single"/>
    </w:rPr>
  </w:style>
  <w:style w:type="character" w:customStyle="1" w:styleId="279">
    <w:name w:val="补充说明 Char"/>
    <w:link w:val="280"/>
    <w:qFormat/>
    <w:uiPriority w:val="0"/>
    <w:rPr>
      <w:bCs/>
      <w:color w:val="000000"/>
      <w:kern w:val="2"/>
      <w:szCs w:val="18"/>
    </w:rPr>
  </w:style>
  <w:style w:type="paragraph" w:customStyle="1" w:styleId="280">
    <w:name w:val="补充说明"/>
    <w:basedOn w:val="112"/>
    <w:link w:val="279"/>
    <w:qFormat/>
    <w:uiPriority w:val="0"/>
    <w:pPr>
      <w:ind w:left="1080" w:firstLine="0" w:firstLineChars="0"/>
      <w:jc w:val="left"/>
    </w:pPr>
    <w:rPr>
      <w:rFonts w:ascii="Times New Roman" w:hAnsi="Times New Roman"/>
      <w:bCs/>
      <w:color w:val="000000"/>
      <w:sz w:val="20"/>
      <w:szCs w:val="18"/>
      <w:shd w:val="clear" w:color="auto" w:fill="FFFFFF"/>
    </w:rPr>
  </w:style>
  <w:style w:type="character" w:customStyle="1" w:styleId="281">
    <w:name w:val="引用 Char"/>
    <w:qFormat/>
    <w:uiPriority w:val="0"/>
    <w:rPr>
      <w:i/>
      <w:iCs/>
      <w:color w:val="404040"/>
      <w:kern w:val="2"/>
      <w:sz w:val="21"/>
    </w:rPr>
  </w:style>
  <w:style w:type="character" w:customStyle="1" w:styleId="282">
    <w:name w:val="正文文本缩进 2 Char"/>
    <w:qFormat/>
    <w:uiPriority w:val="99"/>
    <w:rPr>
      <w:kern w:val="2"/>
      <w:sz w:val="21"/>
    </w:rPr>
  </w:style>
  <w:style w:type="character" w:customStyle="1" w:styleId="283">
    <w:name w:val="标题 8 Char"/>
    <w:qFormat/>
    <w:uiPriority w:val="99"/>
    <w:rPr>
      <w:rFonts w:ascii="Arial" w:hAnsi="Arial" w:eastAsia="黑体"/>
      <w:sz w:val="24"/>
      <w:szCs w:val="24"/>
    </w:rPr>
  </w:style>
  <w:style w:type="character" w:customStyle="1" w:styleId="284">
    <w:name w:val="文档结构图 Char"/>
    <w:qFormat/>
    <w:uiPriority w:val="99"/>
    <w:rPr>
      <w:szCs w:val="24"/>
      <w:shd w:val="clear" w:color="auto" w:fill="000080"/>
    </w:rPr>
  </w:style>
  <w:style w:type="character" w:customStyle="1" w:styleId="285">
    <w:name w:val="font161"/>
    <w:qFormat/>
    <w:uiPriority w:val="99"/>
    <w:rPr>
      <w:b/>
      <w:bCs/>
      <w:sz w:val="32"/>
      <w:szCs w:val="32"/>
    </w:rPr>
  </w:style>
  <w:style w:type="character" w:customStyle="1" w:styleId="286">
    <w:name w:val="HTML 预设格式 Char"/>
    <w:qFormat/>
    <w:uiPriority w:val="99"/>
    <w:rPr>
      <w:rFonts w:ascii="宋体" w:hAnsi="宋体" w:cs="宋体"/>
      <w:sz w:val="24"/>
      <w:szCs w:val="24"/>
    </w:rPr>
  </w:style>
  <w:style w:type="character" w:customStyle="1" w:styleId="287">
    <w:name w:val="标题4 Char Char"/>
    <w:link w:val="288"/>
    <w:qFormat/>
    <w:uiPriority w:val="0"/>
    <w:rPr>
      <w:rFonts w:ascii="Arial" w:hAnsi="Arial"/>
      <w:b/>
      <w:bCs/>
      <w:sz w:val="24"/>
      <w:szCs w:val="32"/>
    </w:rPr>
  </w:style>
  <w:style w:type="paragraph" w:customStyle="1" w:styleId="288">
    <w:name w:val="标题4"/>
    <w:basedOn w:val="3"/>
    <w:next w:val="25"/>
    <w:link w:val="287"/>
    <w:qFormat/>
    <w:uiPriority w:val="0"/>
    <w:pPr>
      <w:autoSpaceDE/>
      <w:autoSpaceDN/>
      <w:adjustRightInd/>
      <w:spacing w:before="260" w:after="260" w:line="413" w:lineRule="auto"/>
      <w:jc w:val="both"/>
    </w:pPr>
    <w:rPr>
      <w:rFonts w:eastAsia="宋体"/>
      <w:bCs/>
      <w:sz w:val="24"/>
      <w:szCs w:val="32"/>
    </w:rPr>
  </w:style>
  <w:style w:type="character" w:customStyle="1" w:styleId="289">
    <w:name w:val="font41"/>
    <w:qFormat/>
    <w:uiPriority w:val="0"/>
    <w:rPr>
      <w:rFonts w:hint="eastAsia" w:ascii="宋体" w:hAnsi="宋体" w:eastAsia="宋体" w:cs="宋体"/>
      <w:color w:val="000000"/>
      <w:sz w:val="21"/>
      <w:szCs w:val="21"/>
    </w:rPr>
  </w:style>
  <w:style w:type="character" w:customStyle="1" w:styleId="290">
    <w:name w:val="正文文本 Char1"/>
    <w:qFormat/>
    <w:uiPriority w:val="0"/>
    <w:rPr>
      <w:rFonts w:ascii="Times New Roman" w:hAnsi="Times New Roman" w:eastAsia="宋体" w:cs="Times New Roman"/>
      <w:szCs w:val="20"/>
    </w:rPr>
  </w:style>
  <w:style w:type="character" w:customStyle="1" w:styleId="291">
    <w:name w:val="正文首行缩进 Char1"/>
    <w:basedOn w:val="292"/>
    <w:qFormat/>
    <w:uiPriority w:val="99"/>
    <w:rPr>
      <w:kern w:val="2"/>
      <w:sz w:val="21"/>
      <w:szCs w:val="24"/>
    </w:rPr>
  </w:style>
  <w:style w:type="character" w:customStyle="1" w:styleId="292">
    <w:name w:val="正文文本 Char2"/>
    <w:qFormat/>
    <w:uiPriority w:val="99"/>
    <w:rPr>
      <w:kern w:val="2"/>
      <w:sz w:val="21"/>
      <w:szCs w:val="24"/>
    </w:rPr>
  </w:style>
  <w:style w:type="character" w:customStyle="1" w:styleId="293">
    <w:name w:val="标题 6 Char"/>
    <w:qFormat/>
    <w:uiPriority w:val="99"/>
    <w:rPr>
      <w:rFonts w:ascii="Arial" w:hAnsi="Arial" w:eastAsia="黑体"/>
      <w:b/>
      <w:bCs/>
      <w:sz w:val="24"/>
      <w:szCs w:val="24"/>
    </w:rPr>
  </w:style>
  <w:style w:type="character" w:customStyle="1" w:styleId="294">
    <w:name w:val="Heading 2 Char"/>
    <w:qFormat/>
    <w:locked/>
    <w:uiPriority w:val="0"/>
    <w:rPr>
      <w:rFonts w:ascii="宋体" w:hAnsi="宋体" w:eastAsia="宋体" w:cs="Times New Roman"/>
      <w:kern w:val="0"/>
      <w:sz w:val="20"/>
      <w:szCs w:val="20"/>
    </w:rPr>
  </w:style>
  <w:style w:type="character" w:customStyle="1" w:styleId="295">
    <w:name w:val="sort1"/>
    <w:qFormat/>
    <w:uiPriority w:val="0"/>
    <w:rPr>
      <w:rFonts w:ascii="宋体" w:hAnsi="宋体" w:cs="Courier New"/>
      <w:sz w:val="32"/>
      <w:szCs w:val="32"/>
    </w:rPr>
  </w:style>
  <w:style w:type="character" w:customStyle="1" w:styleId="296">
    <w:name w:val="bds_nopic1"/>
    <w:qFormat/>
    <w:uiPriority w:val="0"/>
    <w:rPr>
      <w:rFonts w:ascii="宋体" w:hAnsi="宋体" w:cs="Courier New"/>
      <w:sz w:val="32"/>
      <w:szCs w:val="32"/>
    </w:rPr>
  </w:style>
  <w:style w:type="character" w:customStyle="1" w:styleId="297">
    <w:name w:val="标题 1 Char"/>
    <w:qFormat/>
    <w:uiPriority w:val="99"/>
    <w:rPr>
      <w:b/>
      <w:kern w:val="44"/>
      <w:sz w:val="44"/>
    </w:rPr>
  </w:style>
  <w:style w:type="character" w:customStyle="1" w:styleId="298">
    <w:name w:val="正文文本 Char"/>
    <w:qFormat/>
    <w:uiPriority w:val="99"/>
    <w:rPr>
      <w:rFonts w:eastAsia="宋体"/>
      <w:kern w:val="2"/>
      <w:sz w:val="21"/>
      <w:szCs w:val="24"/>
      <w:lang w:val="en-US" w:eastAsia="zh-CN" w:bidi="ar-SA"/>
    </w:rPr>
  </w:style>
  <w:style w:type="character" w:customStyle="1" w:styleId="299">
    <w:name w:val="正文文本缩进 3 Char"/>
    <w:qFormat/>
    <w:uiPriority w:val="99"/>
    <w:rPr>
      <w:kern w:val="2"/>
      <w:sz w:val="16"/>
      <w:szCs w:val="16"/>
    </w:rPr>
  </w:style>
  <w:style w:type="character" w:customStyle="1" w:styleId="300">
    <w:name w:val="批注文字 Char1"/>
    <w:semiHidden/>
    <w:qFormat/>
    <w:uiPriority w:val="99"/>
    <w:rPr>
      <w:rFonts w:cs="Times New Roman"/>
      <w:kern w:val="0"/>
      <w:sz w:val="24"/>
      <w:szCs w:val="24"/>
    </w:rPr>
  </w:style>
  <w:style w:type="character" w:customStyle="1" w:styleId="301">
    <w:name w:val="正文文本缩进 3 Char1"/>
    <w:qFormat/>
    <w:uiPriority w:val="0"/>
    <w:rPr>
      <w:rFonts w:cs="Times New Roman"/>
      <w:kern w:val="0"/>
      <w:sz w:val="16"/>
      <w:szCs w:val="16"/>
    </w:rPr>
  </w:style>
  <w:style w:type="character" w:customStyle="1" w:styleId="302">
    <w:name w:val="bds_more2"/>
    <w:qFormat/>
    <w:uiPriority w:val="0"/>
    <w:rPr>
      <w:rFonts w:ascii="宋体" w:hAnsi="宋体" w:cs="Courier New"/>
      <w:sz w:val="32"/>
      <w:szCs w:val="32"/>
    </w:rPr>
  </w:style>
  <w:style w:type="character" w:customStyle="1" w:styleId="303">
    <w:name w:val="页眉 Char1"/>
    <w:qFormat/>
    <w:uiPriority w:val="99"/>
    <w:rPr>
      <w:rFonts w:ascii="Times New Roman" w:hAnsi="Times New Roman" w:eastAsia="宋体" w:cs="Times New Roman"/>
      <w:sz w:val="18"/>
      <w:szCs w:val="18"/>
    </w:rPr>
  </w:style>
  <w:style w:type="character" w:customStyle="1" w:styleId="304">
    <w:name w:val="标题 9 Char"/>
    <w:qFormat/>
    <w:uiPriority w:val="99"/>
    <w:rPr>
      <w:rFonts w:ascii="Arial" w:hAnsi="Arial" w:eastAsia="黑体"/>
      <w:sz w:val="21"/>
      <w:szCs w:val="21"/>
    </w:rPr>
  </w:style>
  <w:style w:type="character" w:customStyle="1" w:styleId="305">
    <w:name w:val="批注框文本 Char1"/>
    <w:qFormat/>
    <w:uiPriority w:val="0"/>
    <w:rPr>
      <w:rFonts w:cs="Times New Roman"/>
      <w:kern w:val="0"/>
      <w:sz w:val="18"/>
      <w:szCs w:val="18"/>
    </w:rPr>
  </w:style>
  <w:style w:type="character" w:customStyle="1" w:styleId="306">
    <w:name w:val="正文文本 3 Char"/>
    <w:qFormat/>
    <w:uiPriority w:val="99"/>
    <w:rPr>
      <w:rFonts w:ascii="宋体"/>
      <w:kern w:val="2"/>
      <w:sz w:val="24"/>
    </w:rPr>
  </w:style>
  <w:style w:type="character" w:customStyle="1" w:styleId="307">
    <w:name w:val="正文文本 2 字符4"/>
    <w:link w:val="45"/>
    <w:qFormat/>
    <w:uiPriority w:val="99"/>
    <w:rPr>
      <w:rFonts w:eastAsia="黑体"/>
      <w:bCs/>
      <w:sz w:val="24"/>
      <w:szCs w:val="24"/>
    </w:rPr>
  </w:style>
  <w:style w:type="character" w:customStyle="1" w:styleId="308">
    <w:name w:val="bds_more1"/>
    <w:qFormat/>
    <w:uiPriority w:val="0"/>
    <w:rPr>
      <w:rFonts w:ascii="宋体" w:hAnsi="宋体" w:cs="Courier New"/>
      <w:sz w:val="32"/>
      <w:szCs w:val="32"/>
    </w:rPr>
  </w:style>
  <w:style w:type="character" w:customStyle="1" w:styleId="309">
    <w:name w:val="lemmatitleh12"/>
    <w:qFormat/>
    <w:uiPriority w:val="0"/>
    <w:rPr>
      <w:rFonts w:ascii="宋体" w:hAnsi="宋体" w:cs="Courier New"/>
      <w:sz w:val="32"/>
      <w:szCs w:val="32"/>
    </w:rPr>
  </w:style>
  <w:style w:type="character" w:customStyle="1" w:styleId="310">
    <w:name w:val="副标题 Char"/>
    <w:qFormat/>
    <w:uiPriority w:val="0"/>
    <w:rPr>
      <w:rFonts w:ascii="Calibri Light" w:hAnsi="Calibri Light" w:cs="Times New Roman"/>
      <w:b/>
      <w:bCs/>
      <w:kern w:val="28"/>
      <w:sz w:val="32"/>
      <w:szCs w:val="32"/>
    </w:rPr>
  </w:style>
  <w:style w:type="character" w:customStyle="1" w:styleId="311">
    <w:name w:val="plus"/>
    <w:qFormat/>
    <w:uiPriority w:val="0"/>
    <w:rPr>
      <w:b/>
      <w:vanish/>
      <w:color w:val="1F8DEF"/>
      <w:sz w:val="24"/>
      <w:szCs w:val="24"/>
    </w:rPr>
  </w:style>
  <w:style w:type="character" w:customStyle="1" w:styleId="312">
    <w:name w:val="页脚 Char1"/>
    <w:semiHidden/>
    <w:qFormat/>
    <w:uiPriority w:val="99"/>
    <w:rPr>
      <w:rFonts w:ascii="Times New Roman" w:hAnsi="Times New Roman" w:eastAsia="宋体" w:cs="Times New Roman"/>
      <w:sz w:val="18"/>
      <w:szCs w:val="18"/>
    </w:rPr>
  </w:style>
  <w:style w:type="character" w:customStyle="1" w:styleId="313">
    <w:name w:val="文档结构图 Char1"/>
    <w:qFormat/>
    <w:uiPriority w:val="0"/>
    <w:rPr>
      <w:rFonts w:ascii="Microsoft YaHei UI" w:eastAsia="Microsoft YaHei UI"/>
      <w:kern w:val="2"/>
      <w:sz w:val="18"/>
      <w:szCs w:val="18"/>
    </w:rPr>
  </w:style>
  <w:style w:type="character" w:customStyle="1" w:styleId="314">
    <w:name w:val="批注文字 Char Char"/>
    <w:qFormat/>
    <w:uiPriority w:val="0"/>
    <w:rPr>
      <w:rFonts w:ascii="宋体" w:hAnsi="Times New Roman" w:eastAsia="宋体" w:cs="Times New Roman"/>
      <w:sz w:val="28"/>
      <w:szCs w:val="20"/>
    </w:rPr>
  </w:style>
  <w:style w:type="character" w:customStyle="1" w:styleId="315">
    <w:name w:val="polysemyexp"/>
    <w:qFormat/>
    <w:uiPriority w:val="0"/>
    <w:rPr>
      <w:color w:val="AAAAAA"/>
      <w:sz w:val="18"/>
      <w:szCs w:val="18"/>
    </w:rPr>
  </w:style>
  <w:style w:type="character" w:customStyle="1" w:styleId="316">
    <w:name w:val="标题 5 Char"/>
    <w:qFormat/>
    <w:uiPriority w:val="99"/>
    <w:rPr>
      <w:b/>
    </w:rPr>
  </w:style>
  <w:style w:type="character" w:customStyle="1" w:styleId="317">
    <w:name w:val="明显参考1"/>
    <w:qFormat/>
    <w:uiPriority w:val="0"/>
    <w:rPr>
      <w:b/>
      <w:sz w:val="24"/>
      <w:u w:val="single"/>
    </w:rPr>
  </w:style>
  <w:style w:type="character" w:customStyle="1" w:styleId="318">
    <w:name w:val="正文文本 3 Char1"/>
    <w:qFormat/>
    <w:uiPriority w:val="0"/>
    <w:rPr>
      <w:rFonts w:cs="Times New Roman"/>
      <w:kern w:val="0"/>
      <w:sz w:val="16"/>
      <w:szCs w:val="16"/>
    </w:rPr>
  </w:style>
  <w:style w:type="character" w:customStyle="1" w:styleId="319">
    <w:name w:val="标题 Char1"/>
    <w:qFormat/>
    <w:uiPriority w:val="0"/>
    <w:rPr>
      <w:rFonts w:ascii="Cambria" w:hAnsi="Cambria" w:eastAsia="宋体" w:cs="Times New Roman"/>
      <w:b/>
      <w:bCs/>
      <w:kern w:val="0"/>
      <w:sz w:val="32"/>
      <w:szCs w:val="32"/>
    </w:rPr>
  </w:style>
  <w:style w:type="character" w:customStyle="1" w:styleId="320">
    <w:name w:val="polysemyred"/>
    <w:qFormat/>
    <w:uiPriority w:val="0"/>
    <w:rPr>
      <w:color w:val="FF6666"/>
      <w:sz w:val="18"/>
      <w:szCs w:val="18"/>
    </w:rPr>
  </w:style>
  <w:style w:type="character" w:customStyle="1" w:styleId="321">
    <w:name w:val="书籍标题1"/>
    <w:qFormat/>
    <w:uiPriority w:val="0"/>
    <w:rPr>
      <w:rFonts w:ascii="Cambria" w:hAnsi="Cambria" w:eastAsia="宋体"/>
      <w:b/>
      <w:i/>
      <w:sz w:val="24"/>
      <w:szCs w:val="24"/>
    </w:rPr>
  </w:style>
  <w:style w:type="character" w:customStyle="1" w:styleId="322">
    <w:name w:val="正文文本缩进 2 Char1"/>
    <w:qFormat/>
    <w:uiPriority w:val="0"/>
    <w:rPr>
      <w:rFonts w:cs="Times New Roman"/>
      <w:kern w:val="0"/>
      <w:sz w:val="24"/>
      <w:szCs w:val="24"/>
    </w:rPr>
  </w:style>
  <w:style w:type="character" w:customStyle="1" w:styleId="323">
    <w:name w:val="sidecatalog-index2"/>
    <w:qFormat/>
    <w:uiPriority w:val="0"/>
    <w:rPr>
      <w:rFonts w:ascii="arail" w:hAnsi="arail" w:eastAsia="arail" w:cs="arail"/>
      <w:color w:val="999999"/>
      <w:sz w:val="21"/>
      <w:szCs w:val="21"/>
    </w:rPr>
  </w:style>
  <w:style w:type="character" w:customStyle="1" w:styleId="324">
    <w:name w:val="标题5 Char Char"/>
    <w:link w:val="325"/>
    <w:qFormat/>
    <w:uiPriority w:val="0"/>
    <w:rPr>
      <w:rFonts w:ascii="Arial" w:hAnsi="Arial"/>
      <w:b/>
      <w:bCs/>
      <w:sz w:val="24"/>
      <w:szCs w:val="32"/>
    </w:rPr>
  </w:style>
  <w:style w:type="paragraph" w:customStyle="1" w:styleId="325">
    <w:name w:val="标题5"/>
    <w:basedOn w:val="4"/>
    <w:link w:val="324"/>
    <w:qFormat/>
    <w:uiPriority w:val="0"/>
    <w:pPr>
      <w:autoSpaceDE/>
      <w:autoSpaceDN/>
      <w:adjustRightInd/>
      <w:spacing w:before="260" w:after="260" w:line="413" w:lineRule="auto"/>
      <w:jc w:val="both"/>
    </w:pPr>
    <w:rPr>
      <w:rFonts w:ascii="Arial" w:hAnsi="Arial"/>
      <w:bCs/>
      <w:szCs w:val="32"/>
      <w:u w:val="none"/>
    </w:rPr>
  </w:style>
  <w:style w:type="character" w:customStyle="1" w:styleId="326">
    <w:name w:val="Char4"/>
    <w:qFormat/>
    <w:uiPriority w:val="0"/>
    <w:rPr>
      <w:rFonts w:ascii="宋体" w:hAnsi="Courier New" w:eastAsia="宋体"/>
      <w:kern w:val="2"/>
      <w:sz w:val="21"/>
      <w:lang w:val="en-US" w:eastAsia="zh-CN" w:bidi="ar-SA"/>
    </w:rPr>
  </w:style>
  <w:style w:type="character" w:customStyle="1" w:styleId="327">
    <w:name w:val="desc"/>
    <w:qFormat/>
    <w:uiPriority w:val="0"/>
    <w:rPr>
      <w:color w:val="000000"/>
      <w:sz w:val="18"/>
      <w:szCs w:val="18"/>
    </w:rPr>
  </w:style>
  <w:style w:type="character" w:customStyle="1" w:styleId="328">
    <w:name w:val="日期 Char"/>
    <w:qFormat/>
    <w:uiPriority w:val="99"/>
    <w:rPr>
      <w:kern w:val="2"/>
      <w:sz w:val="28"/>
    </w:rPr>
  </w:style>
  <w:style w:type="character" w:customStyle="1" w:styleId="329">
    <w:name w:val="标题 7 Char"/>
    <w:qFormat/>
    <w:uiPriority w:val="99"/>
    <w:rPr>
      <w:b/>
      <w:bCs/>
      <w:sz w:val="24"/>
      <w:szCs w:val="24"/>
    </w:rPr>
  </w:style>
  <w:style w:type="character" w:customStyle="1" w:styleId="330">
    <w:name w:val="日期 Char1"/>
    <w:qFormat/>
    <w:uiPriority w:val="0"/>
    <w:rPr>
      <w:rFonts w:cs="Times New Roman"/>
      <w:kern w:val="0"/>
      <w:sz w:val="24"/>
      <w:szCs w:val="24"/>
    </w:rPr>
  </w:style>
  <w:style w:type="character" w:customStyle="1" w:styleId="331">
    <w:name w:val="样式 粉红"/>
    <w:qFormat/>
    <w:uiPriority w:val="99"/>
    <w:rPr>
      <w:color w:val="auto"/>
      <w:u w:val="none"/>
    </w:rPr>
  </w:style>
  <w:style w:type="character" w:customStyle="1" w:styleId="332">
    <w:name w:val="正文文本 2 字符"/>
    <w:qFormat/>
    <w:locked/>
    <w:uiPriority w:val="0"/>
    <w:rPr>
      <w:rFonts w:ascii="Times New Roman" w:hAnsi="Times New Roman" w:eastAsia="黑体" w:cs="Times New Roman"/>
      <w:bCs/>
      <w:kern w:val="0"/>
      <w:sz w:val="24"/>
      <w:szCs w:val="24"/>
    </w:rPr>
  </w:style>
  <w:style w:type="character" w:customStyle="1" w:styleId="333">
    <w:name w:val="明显引用 Char"/>
    <w:qFormat/>
    <w:uiPriority w:val="0"/>
    <w:rPr>
      <w:i/>
      <w:iCs/>
      <w:color w:val="5B9BD5"/>
      <w:kern w:val="2"/>
      <w:sz w:val="21"/>
    </w:rPr>
  </w:style>
  <w:style w:type="character" w:customStyle="1" w:styleId="334">
    <w:name w:val="标题 4 Char"/>
    <w:qFormat/>
    <w:uiPriority w:val="99"/>
    <w:rPr>
      <w:rFonts w:ascii="Arial" w:hAnsi="Arial" w:eastAsia="黑体"/>
      <w:b/>
      <w:bCs/>
      <w:sz w:val="28"/>
      <w:szCs w:val="28"/>
    </w:rPr>
  </w:style>
  <w:style w:type="character" w:customStyle="1" w:styleId="335">
    <w:name w:val="纯文本 Char"/>
    <w:qFormat/>
    <w:uiPriority w:val="99"/>
    <w:rPr>
      <w:rFonts w:ascii="宋体" w:hAnsi="Courier New" w:cs="Courier New"/>
      <w:kern w:val="2"/>
      <w:sz w:val="21"/>
      <w:szCs w:val="21"/>
    </w:rPr>
  </w:style>
  <w:style w:type="character" w:customStyle="1" w:styleId="336">
    <w:name w:val="样式 正文缩进 + 首行缩进:  2 字符 Char"/>
    <w:link w:val="337"/>
    <w:qFormat/>
    <w:uiPriority w:val="0"/>
    <w:rPr>
      <w:rFonts w:cs="宋体"/>
      <w:kern w:val="2"/>
      <w:sz w:val="24"/>
    </w:rPr>
  </w:style>
  <w:style w:type="paragraph" w:customStyle="1" w:styleId="337">
    <w:name w:val="样式 正文缩进 + 首行缩进:  2 字符"/>
    <w:basedOn w:val="13"/>
    <w:link w:val="336"/>
    <w:qFormat/>
    <w:uiPriority w:val="0"/>
    <w:pPr>
      <w:autoSpaceDE/>
      <w:autoSpaceDN/>
      <w:adjustRightInd/>
      <w:spacing w:line="360" w:lineRule="auto"/>
      <w:ind w:firstLine="200" w:firstLineChars="200"/>
      <w:jc w:val="both"/>
    </w:pPr>
    <w:rPr>
      <w:rFonts w:ascii="Times New Roman" w:cs="宋体"/>
      <w:szCs w:val="20"/>
    </w:rPr>
  </w:style>
  <w:style w:type="character" w:customStyle="1" w:styleId="338">
    <w:name w:val="_正文段落 Char"/>
    <w:link w:val="339"/>
    <w:qFormat/>
    <w:uiPriority w:val="0"/>
    <w:rPr>
      <w:rFonts w:ascii="宋体" w:hAnsi="宋体"/>
      <w:sz w:val="24"/>
      <w:szCs w:val="24"/>
    </w:rPr>
  </w:style>
  <w:style w:type="paragraph" w:customStyle="1" w:styleId="339">
    <w:name w:val="_正文段落"/>
    <w:basedOn w:val="1"/>
    <w:link w:val="338"/>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340">
    <w:name w:val="sidecatalog-index1"/>
    <w:qFormat/>
    <w:uiPriority w:val="0"/>
    <w:rPr>
      <w:rFonts w:ascii="Arial" w:hAnsi="Arial" w:cs="Arial"/>
      <w:b/>
      <w:color w:val="999999"/>
      <w:sz w:val="21"/>
      <w:szCs w:val="21"/>
    </w:rPr>
  </w:style>
  <w:style w:type="character" w:customStyle="1" w:styleId="341">
    <w:name w:val="批注主题 Char"/>
    <w:qFormat/>
    <w:uiPriority w:val="99"/>
    <w:rPr>
      <w:b/>
      <w:bCs/>
      <w:kern w:val="2"/>
      <w:sz w:val="21"/>
      <w:szCs w:val="24"/>
    </w:rPr>
  </w:style>
  <w:style w:type="character" w:customStyle="1" w:styleId="342">
    <w:name w:val="批注框文本 Char"/>
    <w:qFormat/>
    <w:uiPriority w:val="0"/>
    <w:rPr>
      <w:kern w:val="2"/>
      <w:sz w:val="18"/>
      <w:szCs w:val="18"/>
    </w:rPr>
  </w:style>
  <w:style w:type="character" w:customStyle="1" w:styleId="343">
    <w:name w:val="标题 1 Char Char Char Char"/>
    <w:qFormat/>
    <w:uiPriority w:val="0"/>
    <w:rPr>
      <w:rFonts w:eastAsia="宋体"/>
      <w:b/>
      <w:bCs/>
      <w:kern w:val="44"/>
      <w:sz w:val="44"/>
      <w:szCs w:val="44"/>
      <w:lang w:val="en-US" w:eastAsia="zh-CN" w:bidi="ar-SA"/>
    </w:rPr>
  </w:style>
  <w:style w:type="character" w:customStyle="1" w:styleId="344">
    <w:name w:val="引用 字符3"/>
    <w:link w:val="345"/>
    <w:qFormat/>
    <w:uiPriority w:val="29"/>
    <w:rPr>
      <w:rFonts w:ascii="Calibri" w:hAnsi="Calibri"/>
      <w:i/>
      <w:sz w:val="24"/>
      <w:szCs w:val="24"/>
    </w:rPr>
  </w:style>
  <w:style w:type="paragraph" w:styleId="345">
    <w:name w:val="Quote"/>
    <w:basedOn w:val="1"/>
    <w:next w:val="1"/>
    <w:link w:val="344"/>
    <w:qFormat/>
    <w:uiPriority w:val="29"/>
    <w:pPr>
      <w:widowControl/>
      <w:jc w:val="left"/>
    </w:pPr>
    <w:rPr>
      <w:rFonts w:ascii="Calibri" w:hAnsi="Calibri"/>
      <w:i/>
      <w:kern w:val="0"/>
      <w:sz w:val="24"/>
    </w:rPr>
  </w:style>
  <w:style w:type="character" w:customStyle="1" w:styleId="346">
    <w:name w:val="纯文本 Char2"/>
    <w:qFormat/>
    <w:uiPriority w:val="0"/>
    <w:rPr>
      <w:rFonts w:ascii="宋体" w:hAnsi="Courier New"/>
      <w:kern w:val="2"/>
      <w:sz w:val="21"/>
    </w:rPr>
  </w:style>
  <w:style w:type="character" w:customStyle="1" w:styleId="347">
    <w:name w:val="Char Char2"/>
    <w:qFormat/>
    <w:uiPriority w:val="99"/>
    <w:rPr>
      <w:rFonts w:ascii="宋体" w:hAnsi="Courier New"/>
      <w:kern w:val="2"/>
      <w:sz w:val="21"/>
    </w:rPr>
  </w:style>
  <w:style w:type="character" w:customStyle="1" w:styleId="348">
    <w:name w:val="批注主题 Char1"/>
    <w:qFormat/>
    <w:uiPriority w:val="0"/>
    <w:rPr>
      <w:rFonts w:ascii="Times New Roman" w:hAnsi="Times New Roman" w:eastAsia="宋体" w:cs="Times New Roman"/>
      <w:b/>
      <w:bCs/>
      <w:kern w:val="2"/>
      <w:sz w:val="21"/>
      <w:szCs w:val="20"/>
    </w:rPr>
  </w:style>
  <w:style w:type="character" w:customStyle="1" w:styleId="349">
    <w:name w:val="正文文本 2 Char1"/>
    <w:qFormat/>
    <w:uiPriority w:val="0"/>
    <w:rPr>
      <w:rFonts w:cs="Times New Roman"/>
      <w:kern w:val="0"/>
      <w:sz w:val="24"/>
      <w:szCs w:val="24"/>
    </w:rPr>
  </w:style>
  <w:style w:type="character" w:customStyle="1" w:styleId="350">
    <w:name w:val="op-map-singlepoint-info-right"/>
    <w:basedOn w:val="56"/>
    <w:qFormat/>
    <w:uiPriority w:val="0"/>
  </w:style>
  <w:style w:type="character" w:customStyle="1" w:styleId="351">
    <w:name w:val="bds_more"/>
    <w:qFormat/>
    <w:uiPriority w:val="0"/>
    <w:rPr>
      <w:rFonts w:ascii="宋体" w:hAnsi="宋体" w:cs="Courier New"/>
      <w:sz w:val="32"/>
      <w:szCs w:val="32"/>
    </w:rPr>
  </w:style>
  <w:style w:type="character" w:customStyle="1" w:styleId="352">
    <w:name w:val="列出段落 Char1"/>
    <w:qFormat/>
    <w:uiPriority w:val="34"/>
    <w:rPr>
      <w:kern w:val="2"/>
      <w:sz w:val="21"/>
      <w:szCs w:val="24"/>
    </w:rPr>
  </w:style>
  <w:style w:type="character" w:customStyle="1" w:styleId="353">
    <w:name w:val="morelink-item"/>
    <w:qFormat/>
    <w:uiPriority w:val="0"/>
  </w:style>
  <w:style w:type="character" w:customStyle="1" w:styleId="354">
    <w:name w:val="正文文本首行缩进 字符2"/>
    <w:link w:val="51"/>
    <w:qFormat/>
    <w:uiPriority w:val="0"/>
  </w:style>
  <w:style w:type="character" w:customStyle="1" w:styleId="355">
    <w:name w:val="Char Char21"/>
    <w:qFormat/>
    <w:uiPriority w:val="99"/>
    <w:rPr>
      <w:rFonts w:ascii="Arial" w:hAnsi="Arial" w:eastAsia="黑体"/>
      <w:b/>
      <w:kern w:val="2"/>
      <w:sz w:val="32"/>
      <w:lang w:val="en-US" w:eastAsia="zh-CN"/>
    </w:rPr>
  </w:style>
  <w:style w:type="character" w:customStyle="1" w:styleId="356">
    <w:name w:val="sidecatalog-dot"/>
    <w:qFormat/>
    <w:uiPriority w:val="0"/>
    <w:rPr>
      <w:rFonts w:ascii="宋体" w:hAnsi="宋体" w:cs="Courier New"/>
      <w:sz w:val="32"/>
      <w:szCs w:val="32"/>
    </w:rPr>
  </w:style>
  <w:style w:type="character" w:customStyle="1" w:styleId="357">
    <w:name w:val="Char Char12"/>
    <w:qFormat/>
    <w:uiPriority w:val="99"/>
    <w:rPr>
      <w:rFonts w:eastAsia="宋体"/>
      <w:kern w:val="2"/>
      <w:sz w:val="24"/>
      <w:lang w:val="en-US" w:eastAsia="zh-CN"/>
    </w:rPr>
  </w:style>
  <w:style w:type="character" w:customStyle="1" w:styleId="358">
    <w:name w:val="bds_more3"/>
    <w:qFormat/>
    <w:uiPriority w:val="0"/>
    <w:rPr>
      <w:rFonts w:ascii="宋体" w:hAnsi="宋体" w:cs="Courier New"/>
      <w:sz w:val="32"/>
      <w:szCs w:val="32"/>
    </w:rPr>
  </w:style>
  <w:style w:type="character" w:customStyle="1" w:styleId="359">
    <w:name w:val="明显引用 字符3"/>
    <w:link w:val="360"/>
    <w:qFormat/>
    <w:uiPriority w:val="30"/>
    <w:rPr>
      <w:rFonts w:ascii="Calibri" w:hAnsi="Calibri"/>
      <w:b/>
      <w:i/>
      <w:sz w:val="24"/>
      <w:szCs w:val="22"/>
    </w:rPr>
  </w:style>
  <w:style w:type="paragraph" w:styleId="360">
    <w:name w:val="Intense Quote"/>
    <w:basedOn w:val="1"/>
    <w:next w:val="1"/>
    <w:link w:val="359"/>
    <w:qFormat/>
    <w:uiPriority w:val="30"/>
    <w:pPr>
      <w:widowControl/>
      <w:ind w:left="720" w:right="720"/>
      <w:jc w:val="left"/>
    </w:pPr>
    <w:rPr>
      <w:rFonts w:ascii="Calibri" w:hAnsi="Calibri"/>
      <w:b/>
      <w:i/>
      <w:kern w:val="0"/>
      <w:sz w:val="24"/>
      <w:szCs w:val="22"/>
    </w:rPr>
  </w:style>
  <w:style w:type="character" w:customStyle="1" w:styleId="361">
    <w:name w:val="不明显强调1"/>
    <w:qFormat/>
    <w:uiPriority w:val="0"/>
    <w:rPr>
      <w:i/>
      <w:color w:val="5A5A5A"/>
    </w:rPr>
  </w:style>
  <w:style w:type="character" w:customStyle="1" w:styleId="362">
    <w:name w:val="副标题 字符3"/>
    <w:link w:val="38"/>
    <w:qFormat/>
    <w:uiPriority w:val="11"/>
    <w:rPr>
      <w:rFonts w:ascii="Cambria" w:hAnsi="Cambria"/>
      <w:sz w:val="24"/>
      <w:szCs w:val="24"/>
    </w:rPr>
  </w:style>
  <w:style w:type="character" w:customStyle="1" w:styleId="363">
    <w:name w:val="bds_nopic"/>
    <w:qFormat/>
    <w:uiPriority w:val="0"/>
    <w:rPr>
      <w:rFonts w:ascii="宋体" w:hAnsi="宋体" w:cs="Courier New"/>
      <w:sz w:val="32"/>
      <w:szCs w:val="32"/>
    </w:rPr>
  </w:style>
  <w:style w:type="character" w:customStyle="1" w:styleId="364">
    <w:name w:val="sidecatalog-dot1"/>
    <w:qFormat/>
    <w:uiPriority w:val="0"/>
    <w:rPr>
      <w:rFonts w:ascii="宋体" w:hAnsi="宋体" w:cs="Courier New"/>
      <w:sz w:val="32"/>
      <w:szCs w:val="32"/>
    </w:rPr>
  </w:style>
  <w:style w:type="character" w:customStyle="1" w:styleId="365">
    <w:name w:val="sort"/>
    <w:qFormat/>
    <w:uiPriority w:val="0"/>
    <w:rPr>
      <w:color w:val="FFFFFF"/>
      <w:bdr w:val="single" w:color="auto" w:sz="24" w:space="0"/>
    </w:rPr>
  </w:style>
  <w:style w:type="character" w:customStyle="1" w:styleId="366">
    <w:name w:val="正文文本 2 字符1"/>
    <w:basedOn w:val="56"/>
    <w:qFormat/>
    <w:uiPriority w:val="0"/>
    <w:rPr>
      <w:kern w:val="2"/>
      <w:sz w:val="21"/>
      <w:szCs w:val="24"/>
    </w:rPr>
  </w:style>
  <w:style w:type="character" w:customStyle="1" w:styleId="367">
    <w:name w:val="副标题 字符"/>
    <w:basedOn w:val="56"/>
    <w:qFormat/>
    <w:uiPriority w:val="0"/>
    <w:rPr>
      <w:rFonts w:asciiTheme="minorHAnsi" w:hAnsiTheme="minorHAnsi" w:eastAsiaTheme="minorEastAsia" w:cstheme="minorBidi"/>
      <w:b/>
      <w:bCs/>
      <w:kern w:val="28"/>
      <w:sz w:val="32"/>
      <w:szCs w:val="32"/>
    </w:rPr>
  </w:style>
  <w:style w:type="paragraph" w:customStyle="1" w:styleId="368">
    <w:name w:val="样式 华文细黑 小四 两端对齐 左侧:  0.35 厘米 首行缩进:  1.06 厘米 右侧:  0.35 厘米 行..."/>
    <w:basedOn w:val="1"/>
    <w:qFormat/>
    <w:uiPriority w:val="0"/>
    <w:pPr>
      <w:widowControl/>
      <w:overflowPunct w:val="0"/>
      <w:autoSpaceDE w:val="0"/>
      <w:autoSpaceDN w:val="0"/>
      <w:adjustRightInd w:val="0"/>
      <w:spacing w:line="360" w:lineRule="auto"/>
      <w:ind w:left="200" w:right="200" w:firstLine="601"/>
      <w:textAlignment w:val="baseline"/>
    </w:pPr>
    <w:rPr>
      <w:rFonts w:ascii="华文细黑" w:hAnsi="华文细黑" w:cs="宋体"/>
      <w:kern w:val="0"/>
      <w:sz w:val="28"/>
      <w:szCs w:val="20"/>
    </w:rPr>
  </w:style>
  <w:style w:type="paragraph" w:customStyle="1" w:styleId="369">
    <w:name w:val="Char Char Char Char2"/>
    <w:basedOn w:val="1"/>
    <w:qFormat/>
    <w:uiPriority w:val="99"/>
    <w:pPr>
      <w:widowControl/>
      <w:spacing w:after="160" w:line="240" w:lineRule="exact"/>
      <w:jc w:val="left"/>
    </w:pPr>
    <w:rPr>
      <w:szCs w:val="20"/>
    </w:rPr>
  </w:style>
  <w:style w:type="paragraph" w:customStyle="1" w:styleId="370">
    <w:name w:val="Content"/>
    <w:basedOn w:val="21"/>
    <w:qFormat/>
    <w:uiPriority w:val="0"/>
    <w:pPr>
      <w:tabs>
        <w:tab w:val="clear" w:pos="567"/>
      </w:tabs>
      <w:spacing w:before="0" w:line="360" w:lineRule="auto"/>
      <w:ind w:firstLine="480"/>
    </w:pPr>
    <w:rPr>
      <w:rFonts w:ascii="Times New Roman" w:hAnsi="Times New Roman" w:eastAsia="全真簡粗明"/>
      <w:snapToGrid w:val="0"/>
      <w:kern w:val="0"/>
      <w:szCs w:val="20"/>
      <w:lang w:eastAsia="zh-TW"/>
    </w:rPr>
  </w:style>
  <w:style w:type="paragraph" w:customStyle="1" w:styleId="371">
    <w:name w:val="_Style 8"/>
    <w:basedOn w:val="1"/>
    <w:qFormat/>
    <w:uiPriority w:val="0"/>
    <w:pPr>
      <w:tabs>
        <w:tab w:val="left" w:pos="360"/>
      </w:tabs>
    </w:pPr>
    <w:rPr>
      <w:sz w:val="24"/>
    </w:rPr>
  </w:style>
  <w:style w:type="paragraph" w:customStyle="1" w:styleId="372">
    <w:name w:val="0"/>
    <w:basedOn w:val="1"/>
    <w:qFormat/>
    <w:uiPriority w:val="0"/>
    <w:pPr>
      <w:widowControl/>
      <w:snapToGrid w:val="0"/>
    </w:pPr>
    <w:rPr>
      <w:kern w:val="0"/>
      <w:szCs w:val="21"/>
    </w:rPr>
  </w:style>
  <w:style w:type="paragraph" w:customStyle="1" w:styleId="373">
    <w:name w:val="页眉1"/>
    <w:basedOn w:val="1"/>
    <w:qFormat/>
    <w:uiPriority w:val="0"/>
    <w:pPr>
      <w:pBdr>
        <w:bottom w:val="single" w:color="auto" w:sz="6" w:space="1"/>
      </w:pBdr>
      <w:tabs>
        <w:tab w:val="center" w:pos="4153"/>
        <w:tab w:val="right" w:pos="8306"/>
      </w:tabs>
      <w:snapToGrid w:val="0"/>
      <w:jc w:val="center"/>
    </w:pPr>
    <w:rPr>
      <w:rFonts w:hint="eastAsia"/>
      <w:sz w:val="18"/>
      <w:szCs w:val="20"/>
    </w:rPr>
  </w:style>
  <w:style w:type="paragraph" w:customStyle="1" w:styleId="374">
    <w:name w:val="列出段落 Char Char"/>
    <w:basedOn w:val="1"/>
    <w:qFormat/>
    <w:uiPriority w:val="0"/>
    <w:pPr>
      <w:widowControl/>
      <w:spacing w:before="120" w:after="120" w:line="440" w:lineRule="atLeast"/>
      <w:ind w:firstLine="420" w:firstLineChars="200"/>
    </w:pPr>
    <w:rPr>
      <w:rFonts w:ascii="宋体" w:hAnsi="宋体" w:eastAsia="华文楷体"/>
      <w:sz w:val="24"/>
    </w:rPr>
  </w:style>
  <w:style w:type="paragraph" w:customStyle="1" w:styleId="375">
    <w:name w:val="Char12"/>
    <w:basedOn w:val="1"/>
    <w:qFormat/>
    <w:uiPriority w:val="99"/>
    <w:rPr>
      <w:rFonts w:ascii="Tahoma" w:hAnsi="Tahoma"/>
      <w:sz w:val="24"/>
      <w:szCs w:val="20"/>
    </w:rPr>
  </w:style>
  <w:style w:type="paragraph" w:customStyle="1" w:styleId="376">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377">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378">
    <w:name w:val="TOC 标题1"/>
    <w:basedOn w:val="2"/>
    <w:next w:val="1"/>
    <w:qFormat/>
    <w:uiPriority w:val="99"/>
    <w:pPr>
      <w:keepLines w:val="0"/>
      <w:widowControl/>
      <w:autoSpaceDE/>
      <w:autoSpaceDN/>
      <w:adjustRightInd/>
      <w:spacing w:before="480" w:after="60" w:line="276" w:lineRule="auto"/>
      <w:jc w:val="left"/>
      <w:outlineLvl w:val="9"/>
    </w:pPr>
    <w:rPr>
      <w:rFonts w:ascii="Cambria" w:hAnsi="Cambria"/>
      <w:bCs/>
      <w:color w:val="365F91"/>
      <w:kern w:val="0"/>
      <w:sz w:val="28"/>
      <w:szCs w:val="28"/>
    </w:rPr>
  </w:style>
  <w:style w:type="paragraph" w:customStyle="1" w:styleId="379">
    <w:name w:val="WW-正文文本缩进 3"/>
    <w:basedOn w:val="1"/>
    <w:qFormat/>
    <w:uiPriority w:val="0"/>
    <w:pPr>
      <w:suppressAutoHyphens/>
      <w:ind w:firstLine="570"/>
    </w:pPr>
    <w:rPr>
      <w:rFonts w:ascii="仿宋_GB2312" w:hAnsi="仿宋_GB2312" w:eastAsia="仿宋_GB2312"/>
      <w:b/>
      <w:kern w:val="1"/>
      <w:sz w:val="24"/>
      <w:szCs w:val="20"/>
      <w:lang w:eastAsia="ar-SA"/>
    </w:rPr>
  </w:style>
  <w:style w:type="paragraph" w:customStyle="1" w:styleId="380">
    <w:name w:val="DA-正文"/>
    <w:basedOn w:val="1"/>
    <w:qFormat/>
    <w:uiPriority w:val="0"/>
    <w:pPr>
      <w:spacing w:line="360" w:lineRule="auto"/>
      <w:ind w:firstLine="200" w:firstLineChars="200"/>
      <w:jc w:val="left"/>
    </w:pPr>
    <w:rPr>
      <w:rFonts w:ascii="宋体" w:hAnsi="宋体"/>
      <w:kern w:val="0"/>
      <w:sz w:val="24"/>
      <w:szCs w:val="28"/>
      <w:lang w:bidi="en-US"/>
    </w:rPr>
  </w:style>
  <w:style w:type="paragraph" w:customStyle="1" w:styleId="381">
    <w:name w:val="zw"/>
    <w:basedOn w:val="1"/>
    <w:qFormat/>
    <w:uiPriority w:val="0"/>
    <w:pPr>
      <w:adjustRightInd w:val="0"/>
      <w:spacing w:line="360" w:lineRule="auto"/>
      <w:ind w:firstLine="482"/>
    </w:pPr>
    <w:rPr>
      <w:rFonts w:ascii="Arial Narrow" w:hAnsi="Arial Narrow" w:eastAsia="楷体_GB2312"/>
      <w:kern w:val="0"/>
      <w:sz w:val="24"/>
      <w:szCs w:val="20"/>
    </w:rPr>
  </w:style>
  <w:style w:type="paragraph" w:customStyle="1" w:styleId="382">
    <w:name w:val="Char Char Char Char Char Char Char Char Char Char Char Char"/>
    <w:basedOn w:val="1"/>
    <w:qFormat/>
    <w:uiPriority w:val="0"/>
    <w:rPr>
      <w:rFonts w:ascii="宋体" w:hAnsi="宋体" w:cs="Courier New"/>
      <w:sz w:val="32"/>
      <w:szCs w:val="32"/>
    </w:rPr>
  </w:style>
  <w:style w:type="paragraph" w:customStyle="1" w:styleId="383">
    <w:name w:val="P334"/>
    <w:basedOn w:val="1"/>
    <w:qFormat/>
    <w:uiPriority w:val="0"/>
    <w:pPr>
      <w:keepNext/>
      <w:spacing w:line="439" w:lineRule="exact"/>
      <w:ind w:left="1061" w:hanging="282"/>
    </w:pPr>
    <w:rPr>
      <w:rFonts w:ascii="宋体" w:hAnsi="宋体" w:cs="宋体"/>
      <w:kern w:val="0"/>
      <w:szCs w:val="20"/>
    </w:rPr>
  </w:style>
  <w:style w:type="paragraph" w:customStyle="1" w:styleId="384">
    <w:name w:val="纯文本1"/>
    <w:basedOn w:val="1"/>
    <w:qFormat/>
    <w:uiPriority w:val="0"/>
    <w:pPr>
      <w:adjustRightInd w:val="0"/>
      <w:textAlignment w:val="baseline"/>
    </w:pPr>
    <w:rPr>
      <w:rFonts w:ascii="宋体" w:hAnsi="Courier New" w:eastAsia="楷体_GB2312"/>
      <w:sz w:val="26"/>
      <w:szCs w:val="20"/>
    </w:rPr>
  </w:style>
  <w:style w:type="paragraph" w:customStyle="1" w:styleId="385">
    <w:name w:val="2"/>
    <w:basedOn w:val="1"/>
    <w:next w:val="22"/>
    <w:qFormat/>
    <w:uiPriority w:val="99"/>
    <w:pPr>
      <w:ind w:left="432"/>
    </w:pPr>
    <w:rPr>
      <w:szCs w:val="20"/>
    </w:rPr>
  </w:style>
  <w:style w:type="paragraph" w:customStyle="1" w:styleId="386">
    <w:name w:val="XW正文"/>
    <w:basedOn w:val="22"/>
    <w:qFormat/>
    <w:uiPriority w:val="99"/>
    <w:pPr>
      <w:adjustRightInd w:val="0"/>
      <w:snapToGrid w:val="0"/>
      <w:spacing w:line="300" w:lineRule="auto"/>
      <w:ind w:firstLine="520" w:firstLineChars="200"/>
      <w:jc w:val="left"/>
    </w:pPr>
    <w:rPr>
      <w:kern w:val="0"/>
    </w:rPr>
  </w:style>
  <w:style w:type="paragraph" w:customStyle="1" w:styleId="387">
    <w:name w:val="WW-纯文本"/>
    <w:basedOn w:val="1"/>
    <w:qFormat/>
    <w:uiPriority w:val="0"/>
    <w:pPr>
      <w:suppressAutoHyphens/>
    </w:pPr>
    <w:rPr>
      <w:rFonts w:ascii="宋体" w:hAnsi="宋体"/>
      <w:kern w:val="1"/>
      <w:szCs w:val="20"/>
      <w:lang w:eastAsia="ar-SA"/>
    </w:rPr>
  </w:style>
  <w:style w:type="paragraph" w:customStyle="1" w:styleId="388">
    <w:name w:val="P243"/>
    <w:basedOn w:val="1"/>
    <w:qFormat/>
    <w:uiPriority w:val="0"/>
    <w:pPr>
      <w:keepNext/>
      <w:spacing w:line="439" w:lineRule="exact"/>
    </w:pPr>
    <w:rPr>
      <w:kern w:val="0"/>
      <w:szCs w:val="20"/>
    </w:rPr>
  </w:style>
  <w:style w:type="paragraph" w:customStyle="1" w:styleId="38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90">
    <w:name w:val="金安桥正文"/>
    <w:basedOn w:val="22"/>
    <w:qFormat/>
    <w:uiPriority w:val="99"/>
    <w:pPr>
      <w:adjustRightInd w:val="0"/>
      <w:spacing w:line="300" w:lineRule="auto"/>
      <w:ind w:firstLine="200" w:firstLineChars="200"/>
      <w:jc w:val="left"/>
    </w:pPr>
    <w:rPr>
      <w:kern w:val="0"/>
      <w:szCs w:val="20"/>
    </w:rPr>
  </w:style>
  <w:style w:type="paragraph" w:customStyle="1" w:styleId="391">
    <w:name w:val="正文文字缩进 2"/>
    <w:basedOn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92">
    <w:name w:val="P333"/>
    <w:basedOn w:val="1"/>
    <w:qFormat/>
    <w:uiPriority w:val="0"/>
    <w:pPr>
      <w:keepNext/>
      <w:spacing w:line="439" w:lineRule="exact"/>
      <w:ind w:left="1061" w:hanging="282"/>
    </w:pPr>
    <w:rPr>
      <w:kern w:val="0"/>
      <w:szCs w:val="20"/>
    </w:rPr>
  </w:style>
  <w:style w:type="paragraph" w:customStyle="1" w:styleId="393">
    <w:name w:val="Char11"/>
    <w:basedOn w:val="1"/>
    <w:qFormat/>
    <w:uiPriority w:val="99"/>
    <w:rPr>
      <w:rFonts w:ascii="Tahoma" w:hAnsi="Tahoma"/>
      <w:sz w:val="24"/>
      <w:szCs w:val="20"/>
    </w:rPr>
  </w:style>
  <w:style w:type="paragraph" w:customStyle="1" w:styleId="394">
    <w:name w:val="_Style 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95">
    <w:name w:val="正文文字缩进 3"/>
    <w:basedOn w:val="1"/>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96">
    <w:name w:val="修订2"/>
    <w:qFormat/>
    <w:uiPriority w:val="99"/>
    <w:rPr>
      <w:rFonts w:ascii="Times New Roman" w:hAnsi="Times New Roman" w:eastAsia="宋体" w:cs="Times New Roman"/>
      <w:kern w:val="2"/>
      <w:sz w:val="21"/>
      <w:szCs w:val="24"/>
      <w:lang w:val="en-US" w:eastAsia="zh-CN" w:bidi="ar-SA"/>
    </w:rPr>
  </w:style>
  <w:style w:type="paragraph" w:customStyle="1" w:styleId="397">
    <w:name w:val="P332"/>
    <w:basedOn w:val="1"/>
    <w:qFormat/>
    <w:uiPriority w:val="0"/>
    <w:pPr>
      <w:keepNext/>
      <w:spacing w:line="439" w:lineRule="exact"/>
      <w:ind w:left="1057" w:hanging="420"/>
    </w:pPr>
    <w:rPr>
      <w:kern w:val="0"/>
      <w:szCs w:val="20"/>
    </w:rPr>
  </w:style>
  <w:style w:type="paragraph" w:customStyle="1" w:styleId="398">
    <w:name w:val="样式 标题 1 + 黑体 三号 非加粗 居中 段前: 6 磅 段后: 6 磅 行距: 固定值 20 磅"/>
    <w:basedOn w:val="2"/>
    <w:qFormat/>
    <w:uiPriority w:val="99"/>
    <w:pPr>
      <w:autoSpaceDE/>
      <w:autoSpaceDN/>
      <w:adjustRightInd/>
      <w:spacing w:before="120" w:line="400" w:lineRule="exact"/>
    </w:pPr>
    <w:rPr>
      <w:rFonts w:ascii="黑体" w:hAnsi="黑体" w:eastAsia="黑体" w:cs="宋体"/>
      <w:b w:val="0"/>
    </w:rPr>
  </w:style>
  <w:style w:type="paragraph" w:customStyle="1" w:styleId="39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400">
    <w:name w:val="明显引用 字符"/>
    <w:basedOn w:val="56"/>
    <w:qFormat/>
    <w:uiPriority w:val="99"/>
    <w:rPr>
      <w:i/>
      <w:iCs/>
      <w:color w:val="4472C4" w:themeColor="accent1"/>
      <w:kern w:val="2"/>
      <w:sz w:val="21"/>
      <w:szCs w:val="24"/>
      <w14:textFill>
        <w14:solidFill>
          <w14:schemeClr w14:val="accent1"/>
        </w14:solidFill>
      </w14:textFill>
    </w:rPr>
  </w:style>
  <w:style w:type="paragraph" w:customStyle="1" w:styleId="401">
    <w:name w:val="TOC 标题2"/>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2">
    <w:name w:val="Char Char Char Char"/>
    <w:basedOn w:val="1"/>
    <w:qFormat/>
    <w:uiPriority w:val="0"/>
    <w:pPr>
      <w:widowControl/>
      <w:spacing w:after="160" w:line="240" w:lineRule="exact"/>
      <w:jc w:val="left"/>
    </w:pPr>
    <w:rPr>
      <w:szCs w:val="20"/>
    </w:rPr>
  </w:style>
  <w:style w:type="character" w:customStyle="1" w:styleId="403">
    <w:name w:val="引用 字符"/>
    <w:basedOn w:val="56"/>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paragraph" w:customStyle="1" w:styleId="404">
    <w:name w:val="P331"/>
    <w:basedOn w:val="1"/>
    <w:qFormat/>
    <w:uiPriority w:val="0"/>
    <w:pPr>
      <w:keepNext/>
      <w:spacing w:line="439" w:lineRule="exact"/>
      <w:ind w:left="637"/>
    </w:pPr>
    <w:rPr>
      <w:rFonts w:ascii="宋体" w:hAnsi="宋体" w:cs="Calibri"/>
      <w:kern w:val="0"/>
      <w:szCs w:val="20"/>
    </w:rPr>
  </w:style>
  <w:style w:type="paragraph" w:customStyle="1" w:styleId="405">
    <w:name w:val="列表段落1"/>
    <w:basedOn w:val="1"/>
    <w:qFormat/>
    <w:uiPriority w:val="0"/>
    <w:pPr>
      <w:ind w:firstLine="420" w:firstLineChars="200"/>
    </w:pPr>
    <w:rPr>
      <w:rFonts w:ascii="Calibri" w:hAnsi="Calibri" w:cs="黑体"/>
    </w:rPr>
  </w:style>
  <w:style w:type="paragraph" w:customStyle="1" w:styleId="406">
    <w:name w:val="表格"/>
    <w:basedOn w:val="1"/>
    <w:qFormat/>
    <w:uiPriority w:val="99"/>
    <w:pPr>
      <w:jc w:val="center"/>
      <w:textAlignment w:val="center"/>
    </w:pPr>
    <w:rPr>
      <w:rFonts w:ascii="华文细黑" w:hAnsi="华文细黑"/>
      <w:kern w:val="0"/>
      <w:szCs w:val="20"/>
    </w:rPr>
  </w:style>
  <w:style w:type="paragraph" w:customStyle="1" w:styleId="407">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8">
    <w:name w:val="[No paragraph style]"/>
    <w:qFormat/>
    <w:uiPriority w:val="0"/>
    <w:pPr>
      <w:autoSpaceDE w:val="0"/>
      <w:autoSpaceDN w:val="0"/>
      <w:adjustRightInd w:val="0"/>
      <w:spacing w:line="288" w:lineRule="auto"/>
      <w:textAlignment w:val="center"/>
    </w:pPr>
    <w:rPr>
      <w:rFonts w:ascii="Times New Roman" w:hAnsi="Times New Roman" w:eastAsia="宋体" w:cs="Times New Roman"/>
      <w:color w:val="000000"/>
      <w:sz w:val="24"/>
      <w:szCs w:val="24"/>
      <w:lang w:val="da-DK" w:eastAsia="da-DK" w:bidi="ar-SA"/>
    </w:rPr>
  </w:style>
  <w:style w:type="paragraph" w:customStyle="1" w:styleId="409">
    <w:name w:val="Char Char Char Char1"/>
    <w:basedOn w:val="1"/>
    <w:qFormat/>
    <w:uiPriority w:val="99"/>
    <w:pPr>
      <w:widowControl/>
      <w:spacing w:after="160" w:line="240" w:lineRule="exact"/>
      <w:jc w:val="left"/>
    </w:pPr>
    <w:rPr>
      <w:szCs w:val="20"/>
    </w:rPr>
  </w:style>
  <w:style w:type="paragraph" w:customStyle="1" w:styleId="410">
    <w:name w:val="P335"/>
    <w:basedOn w:val="1"/>
    <w:qFormat/>
    <w:uiPriority w:val="0"/>
    <w:pPr>
      <w:keepNext/>
      <w:spacing w:line="439" w:lineRule="exact"/>
      <w:ind w:left="1061" w:hanging="282"/>
    </w:pPr>
    <w:rPr>
      <w:kern w:val="0"/>
      <w:szCs w:val="20"/>
    </w:rPr>
  </w:style>
  <w:style w:type="paragraph" w:customStyle="1" w:styleId="411">
    <w:name w:val="Char Char Char3"/>
    <w:basedOn w:val="1"/>
    <w:qFormat/>
    <w:uiPriority w:val="0"/>
    <w:rPr>
      <w:rFonts w:ascii="Tahoma" w:hAnsi="Tahoma"/>
      <w:sz w:val="24"/>
      <w:szCs w:val="20"/>
    </w:rPr>
  </w:style>
  <w:style w:type="paragraph" w:customStyle="1" w:styleId="412">
    <w:name w:val="样式 标题 3 + (中文) 黑体 小四 非加粗 段前: 7.8 磅 段后: 0 磅 行距: 固定值 20 磅"/>
    <w:basedOn w:val="4"/>
    <w:link w:val="656"/>
    <w:qFormat/>
    <w:uiPriority w:val="0"/>
    <w:pPr>
      <w:autoSpaceDE/>
      <w:autoSpaceDN/>
      <w:adjustRightInd/>
      <w:spacing w:before="0" w:after="0" w:line="400" w:lineRule="exact"/>
      <w:ind w:firstLine="137" w:firstLineChars="49"/>
      <w:jc w:val="both"/>
    </w:pPr>
    <w:rPr>
      <w:rFonts w:ascii="黑体" w:hAnsi="宋体" w:eastAsia="黑体" w:cs="宋体"/>
      <w:b w:val="0"/>
      <w:kern w:val="2"/>
      <w:u w:val="none"/>
    </w:rPr>
  </w:style>
  <w:style w:type="paragraph" w:customStyle="1" w:styleId="413">
    <w:name w:val="样式1"/>
    <w:basedOn w:val="1"/>
    <w:qFormat/>
    <w:uiPriority w:val="99"/>
    <w:pPr>
      <w:numPr>
        <w:ilvl w:val="0"/>
        <w:numId w:val="7"/>
      </w:numPr>
      <w:adjustRightInd w:val="0"/>
      <w:textAlignment w:val="baseline"/>
    </w:pPr>
    <w:rPr>
      <w:rFonts w:ascii="宋体" w:hAnsi="宋体"/>
      <w:kern w:val="0"/>
      <w:szCs w:val="21"/>
    </w:rPr>
  </w:style>
  <w:style w:type="paragraph" w:customStyle="1" w:styleId="414">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415">
    <w:name w:val="p17"/>
    <w:basedOn w:val="1"/>
    <w:qFormat/>
    <w:uiPriority w:val="99"/>
    <w:pPr>
      <w:widowControl/>
    </w:pPr>
    <w:rPr>
      <w:kern w:val="0"/>
      <w:szCs w:val="21"/>
    </w:rPr>
  </w:style>
  <w:style w:type="paragraph" w:customStyle="1" w:styleId="416">
    <w:name w:val="样式 标题 2 + Times New Roman 四号 非加粗 段前: 5 磅 段后: 0 磅 行距: 固定值 20..."/>
    <w:basedOn w:val="3"/>
    <w:link w:val="655"/>
    <w:qFormat/>
    <w:uiPriority w:val="99"/>
    <w:pPr>
      <w:autoSpaceDE/>
      <w:autoSpaceDN/>
      <w:adjustRightInd/>
      <w:spacing w:before="100" w:line="400" w:lineRule="exact"/>
      <w:jc w:val="both"/>
    </w:pPr>
    <w:rPr>
      <w:rFonts w:ascii="Times New Roman" w:hAnsi="Times New Roman" w:cs="宋体"/>
      <w:b w:val="0"/>
      <w:kern w:val="2"/>
      <w:sz w:val="28"/>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9">
    <w:name w:val="样式 仿宋_GB2312 三号1"/>
    <w:basedOn w:val="1"/>
    <w:qFormat/>
    <w:uiPriority w:val="0"/>
    <w:pPr>
      <w:widowControl/>
      <w:ind w:firstLine="622"/>
      <w:jc w:val="left"/>
    </w:pPr>
    <w:rPr>
      <w:rFonts w:eastAsia="仿宋_GB2312" w:cs="宋体"/>
      <w:kern w:val="0"/>
      <w:sz w:val="32"/>
      <w:szCs w:val="20"/>
    </w:rPr>
  </w:style>
  <w:style w:type="paragraph" w:customStyle="1" w:styleId="42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21">
    <w:name w:val="3"/>
    <w:basedOn w:val="1"/>
    <w:next w:val="20"/>
    <w:qFormat/>
    <w:uiPriority w:val="99"/>
    <w:rPr>
      <w:rFonts w:ascii="宋体"/>
      <w:sz w:val="24"/>
      <w:szCs w:val="20"/>
    </w:rPr>
  </w:style>
  <w:style w:type="character" w:customStyle="1" w:styleId="422">
    <w:name w:val="未处理的提及1"/>
    <w:unhideWhenUsed/>
    <w:qFormat/>
    <w:uiPriority w:val="99"/>
    <w:rPr>
      <w:color w:val="605E5C"/>
      <w:shd w:val="clear" w:color="auto" w:fill="E1DFDD"/>
    </w:rPr>
  </w:style>
  <w:style w:type="character" w:customStyle="1" w:styleId="423">
    <w:name w:val="标题 6 Char1"/>
    <w:qFormat/>
    <w:uiPriority w:val="0"/>
    <w:rPr>
      <w:rFonts w:ascii="Cambria" w:hAnsi="Cambria" w:eastAsia="宋体" w:cs="Times New Roman"/>
      <w:b/>
      <w:bCs/>
      <w:kern w:val="2"/>
      <w:sz w:val="24"/>
      <w:szCs w:val="24"/>
    </w:rPr>
  </w:style>
  <w:style w:type="paragraph" w:customStyle="1" w:styleId="424">
    <w:name w:val="项目符号列表"/>
    <w:qFormat/>
    <w:uiPriority w:val="0"/>
    <w:pPr>
      <w:spacing w:beforeLines="50" w:afterLines="50"/>
      <w:ind w:left="420" w:hanging="420"/>
    </w:pPr>
    <w:rPr>
      <w:rFonts w:ascii="Calibri" w:hAnsi="Calibri" w:eastAsia="宋体" w:cs="Times New Roman"/>
      <w:bCs/>
      <w:kern w:val="2"/>
      <w:sz w:val="21"/>
      <w:szCs w:val="22"/>
      <w:lang w:val="en-US" w:eastAsia="zh-CN" w:bidi="ar-SA"/>
    </w:rPr>
  </w:style>
  <w:style w:type="paragraph" w:customStyle="1" w:styleId="425">
    <w:name w:val="标题3"/>
    <w:basedOn w:val="3"/>
    <w:link w:val="426"/>
    <w:qFormat/>
    <w:uiPriority w:val="0"/>
    <w:pPr>
      <w:widowControl/>
      <w:autoSpaceDE/>
      <w:autoSpaceDN/>
      <w:adjustRightInd/>
      <w:spacing w:before="0" w:beforeLines="150" w:afterLines="100" w:line="240" w:lineRule="auto"/>
      <w:jc w:val="left"/>
    </w:pPr>
    <w:rPr>
      <w:rFonts w:ascii="宋体" w:hAnsi="宋体" w:eastAsia="宋体"/>
      <w:b w:val="0"/>
      <w:szCs w:val="26"/>
      <w:lang w:val="zh-CN" w:eastAsia="ja-JP"/>
    </w:rPr>
  </w:style>
  <w:style w:type="character" w:customStyle="1" w:styleId="426">
    <w:name w:val="标题3 Char"/>
    <w:link w:val="425"/>
    <w:qFormat/>
    <w:uiPriority w:val="0"/>
    <w:rPr>
      <w:rFonts w:ascii="宋体" w:hAnsi="宋体"/>
      <w:sz w:val="30"/>
      <w:szCs w:val="26"/>
      <w:lang w:val="zh-CN" w:eastAsia="ja-JP"/>
    </w:rPr>
  </w:style>
  <w:style w:type="character" w:customStyle="1" w:styleId="427">
    <w:name w:val="正文2 Char Char"/>
    <w:link w:val="428"/>
    <w:qFormat/>
    <w:locked/>
    <w:uiPriority w:val="0"/>
    <w:rPr>
      <w:kern w:val="2"/>
      <w:sz w:val="24"/>
    </w:rPr>
  </w:style>
  <w:style w:type="paragraph" w:customStyle="1" w:styleId="428">
    <w:name w:val="正文2"/>
    <w:basedOn w:val="1"/>
    <w:link w:val="427"/>
    <w:qFormat/>
    <w:uiPriority w:val="0"/>
    <w:pPr>
      <w:spacing w:before="156" w:line="360" w:lineRule="auto"/>
      <w:ind w:firstLine="510" w:firstLineChars="200"/>
    </w:pPr>
    <w:rPr>
      <w:sz w:val="24"/>
      <w:szCs w:val="20"/>
    </w:rPr>
  </w:style>
  <w:style w:type="character" w:customStyle="1" w:styleId="429">
    <w:name w:val="中文正文、 Char Char"/>
    <w:link w:val="430"/>
    <w:qFormat/>
    <w:uiPriority w:val="0"/>
    <w:rPr>
      <w:szCs w:val="21"/>
    </w:rPr>
  </w:style>
  <w:style w:type="paragraph" w:customStyle="1" w:styleId="430">
    <w:name w:val="中文正文、"/>
    <w:basedOn w:val="1"/>
    <w:link w:val="429"/>
    <w:qFormat/>
    <w:uiPriority w:val="0"/>
    <w:pPr>
      <w:spacing w:line="360" w:lineRule="auto"/>
      <w:ind w:firstLine="420" w:firstLineChars="200"/>
      <w:jc w:val="left"/>
    </w:pPr>
    <w:rPr>
      <w:kern w:val="0"/>
      <w:sz w:val="20"/>
      <w:szCs w:val="21"/>
    </w:rPr>
  </w:style>
  <w:style w:type="paragraph" w:customStyle="1" w:styleId="431">
    <w:name w:val="5"/>
    <w:basedOn w:val="1"/>
    <w:qFormat/>
    <w:uiPriority w:val="0"/>
    <w:rPr>
      <w:rFonts w:ascii="Tahoma" w:hAnsi="Tahoma"/>
      <w:sz w:val="24"/>
      <w:szCs w:val="20"/>
    </w:rPr>
  </w:style>
  <w:style w:type="character" w:customStyle="1" w:styleId="432">
    <w:name w:val="f14b1"/>
    <w:qFormat/>
    <w:uiPriority w:val="0"/>
    <w:rPr>
      <w:rFonts w:cs="Times New Roman"/>
      <w:b/>
      <w:bCs/>
      <w:sz w:val="21"/>
      <w:szCs w:val="21"/>
    </w:rPr>
  </w:style>
  <w:style w:type="character" w:customStyle="1" w:styleId="433">
    <w:name w:val="Date Char"/>
    <w:qFormat/>
    <w:locked/>
    <w:uiPriority w:val="0"/>
    <w:rPr>
      <w:rFonts w:eastAsia="宋体"/>
      <w:sz w:val="24"/>
    </w:rPr>
  </w:style>
  <w:style w:type="character" w:customStyle="1" w:styleId="434">
    <w:name w:val="样式3 Char Char"/>
    <w:link w:val="435"/>
    <w:qFormat/>
    <w:locked/>
    <w:uiPriority w:val="0"/>
    <w:rPr>
      <w:rFonts w:ascii="宋体" w:hAnsi="宋体" w:eastAsia="黑体"/>
      <w:sz w:val="36"/>
      <w:szCs w:val="36"/>
    </w:rPr>
  </w:style>
  <w:style w:type="paragraph" w:customStyle="1" w:styleId="435">
    <w:name w:val="样式3"/>
    <w:basedOn w:val="1"/>
    <w:link w:val="434"/>
    <w:qFormat/>
    <w:uiPriority w:val="0"/>
    <w:pPr>
      <w:spacing w:line="940" w:lineRule="exact"/>
      <w:jc w:val="center"/>
    </w:pPr>
    <w:rPr>
      <w:rFonts w:ascii="宋体" w:hAnsi="宋体" w:eastAsia="黑体"/>
      <w:kern w:val="0"/>
      <w:sz w:val="36"/>
      <w:szCs w:val="36"/>
    </w:rPr>
  </w:style>
  <w:style w:type="paragraph" w:customStyle="1" w:styleId="436">
    <w:name w:val="cntrt"/>
    <w:basedOn w:val="1"/>
    <w:qFormat/>
    <w:uiPriority w:val="0"/>
    <w:pPr>
      <w:widowControl/>
      <w:jc w:val="left"/>
    </w:pPr>
    <w:rPr>
      <w:rFonts w:ascii="Arial" w:hAnsi="Arial" w:cs="Arial"/>
      <w:kern w:val="0"/>
      <w:sz w:val="20"/>
      <w:szCs w:val="20"/>
      <w:lang w:val="en-AU"/>
    </w:rPr>
  </w:style>
  <w:style w:type="paragraph" w:customStyle="1" w:styleId="437">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438">
    <w:name w:val="默认段落字体 Para Char"/>
    <w:basedOn w:val="1"/>
    <w:qFormat/>
    <w:uiPriority w:val="0"/>
    <w:rPr>
      <w:szCs w:val="20"/>
    </w:rPr>
  </w:style>
  <w:style w:type="paragraph" w:customStyle="1" w:styleId="439">
    <w:name w:val="。"/>
    <w:basedOn w:val="1"/>
    <w:qFormat/>
    <w:uiPriority w:val="0"/>
    <w:pPr>
      <w:adjustRightInd w:val="0"/>
      <w:spacing w:line="360" w:lineRule="atLeast"/>
      <w:ind w:right="679"/>
      <w:jc w:val="left"/>
      <w:textAlignment w:val="baseline"/>
    </w:pPr>
    <w:rPr>
      <w:rFonts w:ascii="宋体"/>
      <w:sz w:val="24"/>
    </w:rPr>
  </w:style>
  <w:style w:type="paragraph" w:customStyle="1" w:styleId="440">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441">
    <w:name w:val="缩进正文"/>
    <w:link w:val="442"/>
    <w:qFormat/>
    <w:uiPriority w:val="0"/>
    <w:pPr>
      <w:adjustRightInd w:val="0"/>
      <w:snapToGrid w:val="0"/>
      <w:spacing w:beforeLines="70"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442">
    <w:name w:val="缩进正文 Char"/>
    <w:link w:val="441"/>
    <w:qFormat/>
    <w:locked/>
    <w:uiPriority w:val="0"/>
    <w:rPr>
      <w:rFonts w:ascii="宋体" w:hAnsi="宋体"/>
      <w:spacing w:val="30"/>
      <w:sz w:val="24"/>
      <w:szCs w:val="24"/>
      <w:lang w:val="en-GB"/>
    </w:rPr>
  </w:style>
  <w:style w:type="paragraph" w:customStyle="1" w:styleId="443">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444">
    <w:name w:val="Char Char Char Char Char Char2 Char1"/>
    <w:basedOn w:val="1"/>
    <w:qFormat/>
    <w:uiPriority w:val="0"/>
    <w:pPr>
      <w:spacing w:line="360" w:lineRule="auto"/>
      <w:ind w:firstLine="200" w:firstLineChars="200"/>
    </w:pPr>
    <w:rPr>
      <w:rFonts w:ascii="宋体" w:hAnsi="宋体" w:cs="宋体"/>
      <w:sz w:val="24"/>
    </w:rPr>
  </w:style>
  <w:style w:type="character" w:customStyle="1" w:styleId="445">
    <w:name w:val="Char Char6"/>
    <w:qFormat/>
    <w:uiPriority w:val="0"/>
    <w:rPr>
      <w:rFonts w:eastAsia="宋体"/>
      <w:b/>
      <w:bCs/>
      <w:kern w:val="2"/>
      <w:sz w:val="32"/>
      <w:szCs w:val="32"/>
      <w:lang w:val="en-US" w:eastAsia="zh-CN" w:bidi="ar-SA"/>
    </w:rPr>
  </w:style>
  <w:style w:type="character" w:customStyle="1" w:styleId="446">
    <w:name w:val="apple-converted-space"/>
    <w:qFormat/>
    <w:uiPriority w:val="0"/>
  </w:style>
  <w:style w:type="paragraph" w:customStyle="1" w:styleId="447">
    <w:name w:val="4"/>
    <w:basedOn w:val="1"/>
    <w:qFormat/>
    <w:uiPriority w:val="0"/>
    <w:rPr>
      <w:rFonts w:ascii="Tahoma" w:hAnsi="Tahoma"/>
      <w:sz w:val="24"/>
      <w:szCs w:val="20"/>
    </w:rPr>
  </w:style>
  <w:style w:type="paragraph" w:customStyle="1" w:styleId="448">
    <w:name w:val="列出段落3"/>
    <w:basedOn w:val="1"/>
    <w:qFormat/>
    <w:uiPriority w:val="0"/>
    <w:pPr>
      <w:ind w:firstLine="420" w:firstLineChars="200"/>
    </w:pPr>
  </w:style>
  <w:style w:type="character" w:customStyle="1" w:styleId="449">
    <w:name w:val="Heading 3 Char"/>
    <w:qFormat/>
    <w:locked/>
    <w:uiPriority w:val="0"/>
    <w:rPr>
      <w:rFonts w:ascii="Cambria" w:hAnsi="Cambria" w:eastAsia="宋体" w:cs="Times New Roman"/>
      <w:b/>
      <w:bCs/>
      <w:color w:val="4F81BD"/>
      <w:kern w:val="0"/>
      <w:sz w:val="22"/>
      <w:lang w:eastAsia="en-US"/>
    </w:rPr>
  </w:style>
  <w:style w:type="paragraph" w:customStyle="1" w:styleId="450">
    <w:name w:val="列出段落4"/>
    <w:basedOn w:val="1"/>
    <w:qFormat/>
    <w:uiPriority w:val="0"/>
    <w:pPr>
      <w:ind w:firstLine="420" w:firstLineChars="200"/>
    </w:pPr>
  </w:style>
  <w:style w:type="character" w:customStyle="1" w:styleId="451">
    <w:name w:val="Heading 1 Char"/>
    <w:qFormat/>
    <w:locked/>
    <w:uiPriority w:val="0"/>
    <w:rPr>
      <w:rFonts w:ascii="Times New Roman" w:hAnsi="Times New Roman" w:eastAsia="宋体" w:cs="Times New Roman"/>
      <w:b/>
      <w:bCs/>
      <w:kern w:val="44"/>
      <w:sz w:val="44"/>
      <w:szCs w:val="44"/>
    </w:rPr>
  </w:style>
  <w:style w:type="paragraph" w:customStyle="1" w:styleId="452">
    <w:name w:val="样式 标题 2 + (西文) 方正书宋简体 (中文) 方正黑体简体 非加粗 黑色 行距: 固定值 15 磅1"/>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453">
    <w:name w:val="Char Char Char Char Char Char Char Char Char Char Char Char Char"/>
    <w:basedOn w:val="1"/>
    <w:qFormat/>
    <w:uiPriority w:val="0"/>
    <w:rPr>
      <w:rFonts w:ascii="仿宋_GB2312" w:eastAsia="仿宋_GB2312"/>
      <w:b/>
      <w:sz w:val="32"/>
      <w:szCs w:val="32"/>
    </w:rPr>
  </w:style>
  <w:style w:type="paragraph" w:customStyle="1" w:styleId="454">
    <w:name w:val="样式 标题 2 + (西文) 方正书宋简体 (中文) 方正黑体简体 非加粗 黑色 段前: 0 磅 段后: 0 磅 行..."/>
    <w:basedOn w:val="3"/>
    <w:qFormat/>
    <w:uiPriority w:val="0"/>
    <w:pPr>
      <w:autoSpaceDE/>
      <w:autoSpaceDN/>
      <w:adjustRightInd/>
      <w:spacing w:before="0" w:line="300" w:lineRule="exact"/>
      <w:jc w:val="left"/>
    </w:pPr>
    <w:rPr>
      <w:rFonts w:ascii="方正书宋简体" w:hAnsi="宋体" w:eastAsia="方正小标宋简体" w:cs="宋体"/>
      <w:b w:val="0"/>
      <w:color w:val="000000"/>
      <w:kern w:val="2"/>
      <w:sz w:val="21"/>
    </w:rPr>
  </w:style>
  <w:style w:type="character" w:customStyle="1" w:styleId="455">
    <w:name w:val="Footer Char"/>
    <w:qFormat/>
    <w:locked/>
    <w:uiPriority w:val="0"/>
    <w:rPr>
      <w:rFonts w:ascii="宋体" w:cs="Times New Roman"/>
      <w:sz w:val="24"/>
      <w:szCs w:val="24"/>
    </w:rPr>
  </w:style>
  <w:style w:type="character" w:customStyle="1" w:styleId="456">
    <w:name w:val="Header Char"/>
    <w:qFormat/>
    <w:locked/>
    <w:uiPriority w:val="0"/>
    <w:rPr>
      <w:rFonts w:ascii="宋体" w:cs="Times New Roman"/>
      <w:sz w:val="24"/>
      <w:szCs w:val="24"/>
    </w:rPr>
  </w:style>
  <w:style w:type="character" w:customStyle="1" w:styleId="457">
    <w:name w:val="Plain Text Char"/>
    <w:qFormat/>
    <w:locked/>
    <w:uiPriority w:val="0"/>
    <w:rPr>
      <w:rFonts w:ascii="宋体" w:hAnsi="宋体" w:eastAsia="宋体" w:cs="宋体"/>
      <w:kern w:val="0"/>
      <w:sz w:val="24"/>
      <w:szCs w:val="24"/>
    </w:rPr>
  </w:style>
  <w:style w:type="character" w:customStyle="1" w:styleId="458">
    <w:name w:val="表头 Char"/>
    <w:link w:val="459"/>
    <w:qFormat/>
    <w:uiPriority w:val="0"/>
    <w:rPr>
      <w:rFonts w:ascii="黑体" w:eastAsia="黑体"/>
      <w:sz w:val="24"/>
    </w:rPr>
  </w:style>
  <w:style w:type="paragraph" w:customStyle="1" w:styleId="459">
    <w:name w:val="表头"/>
    <w:basedOn w:val="1"/>
    <w:link w:val="458"/>
    <w:qFormat/>
    <w:uiPriority w:val="0"/>
    <w:pPr>
      <w:spacing w:line="360" w:lineRule="auto"/>
      <w:jc w:val="center"/>
    </w:pPr>
    <w:rPr>
      <w:rFonts w:ascii="黑体" w:eastAsia="黑体"/>
      <w:kern w:val="0"/>
      <w:sz w:val="24"/>
      <w:szCs w:val="20"/>
    </w:rPr>
  </w:style>
  <w:style w:type="character" w:customStyle="1" w:styleId="460">
    <w:name w:val="列出段落 字符"/>
    <w:qFormat/>
    <w:uiPriority w:val="0"/>
    <w:rPr>
      <w:rFonts w:ascii="Times New Roman" w:hAnsi="Times New Roman" w:eastAsia="宋体" w:cs="Times New Roman"/>
      <w:bCs/>
      <w:szCs w:val="20"/>
      <w:lang w:val="zh-CN" w:eastAsia="zh-CN"/>
    </w:rPr>
  </w:style>
  <w:style w:type="paragraph" w:customStyle="1" w:styleId="461">
    <w:name w:val="p0"/>
    <w:basedOn w:val="1"/>
    <w:qFormat/>
    <w:uiPriority w:val="0"/>
    <w:pPr>
      <w:widowControl/>
    </w:pPr>
    <w:rPr>
      <w:kern w:val="0"/>
      <w:szCs w:val="21"/>
    </w:rPr>
  </w:style>
  <w:style w:type="paragraph" w:customStyle="1" w:styleId="462">
    <w:name w:val="TOC 标题21"/>
    <w:basedOn w:val="2"/>
    <w:next w:val="1"/>
    <w:unhideWhenUsed/>
    <w:qFormat/>
    <w:uiPriority w:val="0"/>
    <w:pPr>
      <w:autoSpaceDE/>
      <w:autoSpaceDN/>
      <w:adjustRightInd/>
      <w:spacing w:before="340" w:after="330" w:line="578" w:lineRule="auto"/>
      <w:jc w:val="left"/>
      <w:outlineLvl w:val="9"/>
    </w:pPr>
    <w:rPr>
      <w:rFonts w:ascii="Times New Roman"/>
      <w:bCs/>
      <w:sz w:val="44"/>
      <w:szCs w:val="44"/>
    </w:rPr>
  </w:style>
  <w:style w:type="character" w:customStyle="1" w:styleId="463">
    <w:name w:val="15"/>
    <w:qFormat/>
    <w:uiPriority w:val="0"/>
    <w:rPr>
      <w:rFonts w:hint="default" w:ascii="Times New Roman" w:hAnsi="Times New Roman" w:cs="Times New Roman"/>
      <w:color w:val="464445"/>
      <w:u w:val="none"/>
    </w:rPr>
  </w:style>
  <w:style w:type="paragraph" w:customStyle="1" w:styleId="464">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465">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466">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467">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468">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469">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470">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471">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472">
    <w:name w:val="段"/>
    <w:link w:val="473"/>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73">
    <w:name w:val="段 Char"/>
    <w:link w:val="472"/>
    <w:qFormat/>
    <w:uiPriority w:val="0"/>
    <w:rPr>
      <w:rFonts w:ascii="宋体"/>
      <w:sz w:val="21"/>
    </w:rPr>
  </w:style>
  <w:style w:type="character" w:customStyle="1" w:styleId="474">
    <w:name w:val="标题 1 Char1"/>
    <w:qFormat/>
    <w:uiPriority w:val="0"/>
    <w:rPr>
      <w:rFonts w:ascii="Times New Roman" w:hAnsi="Times New Roman" w:eastAsia="宋体" w:cs="Times New Roman"/>
      <w:b/>
      <w:bCs/>
      <w:kern w:val="44"/>
      <w:sz w:val="32"/>
      <w:szCs w:val="44"/>
    </w:rPr>
  </w:style>
  <w:style w:type="character" w:customStyle="1" w:styleId="475">
    <w:name w:val="标题 2 Char1"/>
    <w:qFormat/>
    <w:uiPriority w:val="9"/>
    <w:rPr>
      <w:rFonts w:ascii="等线 Light" w:hAnsi="等线 Light" w:eastAsia="等线 Light" w:cs="Times New Roman"/>
      <w:b/>
      <w:bCs/>
      <w:sz w:val="32"/>
      <w:szCs w:val="32"/>
    </w:rPr>
  </w:style>
  <w:style w:type="character" w:customStyle="1" w:styleId="476">
    <w:name w:val="标题 3 Char1"/>
    <w:qFormat/>
    <w:uiPriority w:val="0"/>
    <w:rPr>
      <w:rFonts w:ascii="Times New Roman" w:hAnsi="Times New Roman" w:eastAsia="宋体" w:cs="Times New Roman"/>
      <w:b/>
      <w:bCs/>
      <w:kern w:val="0"/>
      <w:sz w:val="32"/>
      <w:szCs w:val="32"/>
    </w:rPr>
  </w:style>
  <w:style w:type="character" w:customStyle="1" w:styleId="477">
    <w:name w:val="标题 4 Char1"/>
    <w:qFormat/>
    <w:uiPriority w:val="0"/>
    <w:rPr>
      <w:rFonts w:ascii="Arial" w:hAnsi="Arial" w:eastAsia="黑体" w:cs="Times New Roman"/>
      <w:b/>
      <w:kern w:val="0"/>
      <w:sz w:val="28"/>
      <w:szCs w:val="20"/>
    </w:rPr>
  </w:style>
  <w:style w:type="character" w:customStyle="1" w:styleId="478">
    <w:name w:val="标题 5 Char1"/>
    <w:qFormat/>
    <w:uiPriority w:val="0"/>
    <w:rPr>
      <w:rFonts w:ascii="Times New Roman" w:hAnsi="Times New Roman" w:eastAsia="宋体" w:cs="Times New Roman"/>
      <w:b/>
      <w:kern w:val="0"/>
      <w:sz w:val="28"/>
      <w:szCs w:val="20"/>
    </w:rPr>
  </w:style>
  <w:style w:type="character" w:customStyle="1" w:styleId="479">
    <w:name w:val="标题 7 Char1"/>
    <w:qFormat/>
    <w:uiPriority w:val="0"/>
    <w:rPr>
      <w:rFonts w:ascii="Times New Roman" w:hAnsi="Times New Roman" w:eastAsia="宋体" w:cs="Times New Roman"/>
      <w:b/>
      <w:kern w:val="0"/>
      <w:sz w:val="24"/>
      <w:szCs w:val="20"/>
    </w:rPr>
  </w:style>
  <w:style w:type="character" w:customStyle="1" w:styleId="480">
    <w:name w:val="标题 8 Char1"/>
    <w:qFormat/>
    <w:uiPriority w:val="0"/>
    <w:rPr>
      <w:rFonts w:ascii="Arial" w:hAnsi="Arial" w:eastAsia="黑体" w:cs="Times New Roman"/>
      <w:kern w:val="0"/>
      <w:sz w:val="24"/>
      <w:szCs w:val="20"/>
    </w:rPr>
  </w:style>
  <w:style w:type="character" w:customStyle="1" w:styleId="481">
    <w:name w:val="标题 9 Char1"/>
    <w:qFormat/>
    <w:uiPriority w:val="0"/>
    <w:rPr>
      <w:rFonts w:ascii="Arial" w:hAnsi="Arial" w:eastAsia="黑体" w:cs="Times New Roman"/>
      <w:kern w:val="0"/>
      <w:sz w:val="20"/>
      <w:szCs w:val="20"/>
    </w:rPr>
  </w:style>
  <w:style w:type="paragraph" w:customStyle="1" w:styleId="482">
    <w:name w:val="目录 21"/>
    <w:basedOn w:val="1"/>
    <w:next w:val="1"/>
    <w:qFormat/>
    <w:uiPriority w:val="39"/>
    <w:pPr>
      <w:spacing w:before="240"/>
      <w:jc w:val="left"/>
    </w:pPr>
    <w:rPr>
      <w:rFonts w:ascii="Calibri" w:hAnsi="Calibri"/>
      <w:b/>
      <w:bCs/>
      <w:sz w:val="20"/>
      <w:szCs w:val="20"/>
    </w:rPr>
  </w:style>
  <w:style w:type="paragraph" w:customStyle="1" w:styleId="483">
    <w:name w:val="目录 31"/>
    <w:basedOn w:val="1"/>
    <w:next w:val="1"/>
    <w:qFormat/>
    <w:uiPriority w:val="39"/>
    <w:pPr>
      <w:tabs>
        <w:tab w:val="right" w:leader="dot" w:pos="8302"/>
      </w:tabs>
      <w:jc w:val="left"/>
    </w:pPr>
    <w:rPr>
      <w:rFonts w:ascii="Calibri" w:hAnsi="Calibri"/>
      <w:sz w:val="20"/>
      <w:szCs w:val="20"/>
    </w:rPr>
  </w:style>
  <w:style w:type="paragraph" w:customStyle="1" w:styleId="484">
    <w:name w:val="目录 41"/>
    <w:basedOn w:val="1"/>
    <w:next w:val="1"/>
    <w:qFormat/>
    <w:uiPriority w:val="39"/>
    <w:pPr>
      <w:ind w:left="420"/>
      <w:jc w:val="left"/>
    </w:pPr>
    <w:rPr>
      <w:rFonts w:ascii="Calibri" w:hAnsi="Calibri"/>
      <w:sz w:val="20"/>
      <w:szCs w:val="20"/>
    </w:rPr>
  </w:style>
  <w:style w:type="paragraph" w:customStyle="1" w:styleId="485">
    <w:name w:val="目录 51"/>
    <w:basedOn w:val="1"/>
    <w:next w:val="1"/>
    <w:qFormat/>
    <w:uiPriority w:val="39"/>
    <w:pPr>
      <w:ind w:left="630"/>
      <w:jc w:val="left"/>
    </w:pPr>
    <w:rPr>
      <w:rFonts w:ascii="Calibri" w:hAnsi="Calibri"/>
      <w:sz w:val="20"/>
      <w:szCs w:val="20"/>
    </w:rPr>
  </w:style>
  <w:style w:type="paragraph" w:customStyle="1" w:styleId="486">
    <w:name w:val="目录 61"/>
    <w:basedOn w:val="1"/>
    <w:next w:val="1"/>
    <w:unhideWhenUsed/>
    <w:qFormat/>
    <w:uiPriority w:val="39"/>
    <w:pPr>
      <w:ind w:left="840"/>
      <w:jc w:val="left"/>
    </w:pPr>
    <w:rPr>
      <w:rFonts w:ascii="Calibri" w:hAnsi="Calibri"/>
      <w:sz w:val="20"/>
      <w:szCs w:val="20"/>
    </w:rPr>
  </w:style>
  <w:style w:type="paragraph" w:customStyle="1" w:styleId="487">
    <w:name w:val="目录 71"/>
    <w:basedOn w:val="1"/>
    <w:next w:val="1"/>
    <w:unhideWhenUsed/>
    <w:qFormat/>
    <w:uiPriority w:val="39"/>
    <w:pPr>
      <w:ind w:left="1050"/>
      <w:jc w:val="left"/>
    </w:pPr>
    <w:rPr>
      <w:rFonts w:ascii="Calibri" w:hAnsi="Calibri"/>
      <w:sz w:val="20"/>
      <w:szCs w:val="20"/>
    </w:rPr>
  </w:style>
  <w:style w:type="paragraph" w:customStyle="1" w:styleId="488">
    <w:name w:val="目录 81"/>
    <w:basedOn w:val="1"/>
    <w:next w:val="1"/>
    <w:unhideWhenUsed/>
    <w:qFormat/>
    <w:uiPriority w:val="39"/>
    <w:pPr>
      <w:ind w:left="1260"/>
      <w:jc w:val="left"/>
    </w:pPr>
    <w:rPr>
      <w:rFonts w:ascii="Calibri" w:hAnsi="Calibri"/>
      <w:sz w:val="20"/>
      <w:szCs w:val="20"/>
    </w:rPr>
  </w:style>
  <w:style w:type="paragraph" w:customStyle="1" w:styleId="489">
    <w:name w:val="目录 91"/>
    <w:basedOn w:val="1"/>
    <w:next w:val="1"/>
    <w:unhideWhenUsed/>
    <w:qFormat/>
    <w:uiPriority w:val="39"/>
    <w:pPr>
      <w:ind w:left="1470"/>
      <w:jc w:val="left"/>
    </w:pPr>
    <w:rPr>
      <w:rFonts w:ascii="Calibri" w:hAnsi="Calibri"/>
      <w:sz w:val="20"/>
      <w:szCs w:val="20"/>
    </w:rPr>
  </w:style>
  <w:style w:type="paragraph" w:customStyle="1" w:styleId="490">
    <w:name w:val="内文"/>
    <w:basedOn w:val="1"/>
    <w:qFormat/>
    <w:uiPriority w:val="0"/>
    <w:pPr>
      <w:spacing w:line="400" w:lineRule="exact"/>
      <w:ind w:firstLine="420" w:firstLineChars="200"/>
    </w:pPr>
    <w:rPr>
      <w:color w:val="000000"/>
    </w:rPr>
  </w:style>
  <w:style w:type="character" w:customStyle="1" w:styleId="491">
    <w:name w:val="未处理的提及2"/>
    <w:unhideWhenUsed/>
    <w:qFormat/>
    <w:uiPriority w:val="99"/>
    <w:rPr>
      <w:color w:val="605E5C"/>
      <w:shd w:val="clear" w:color="auto" w:fill="E1DFDD"/>
    </w:rPr>
  </w:style>
  <w:style w:type="paragraph" w:customStyle="1" w:styleId="492">
    <w:name w:val="普通(网站)1"/>
    <w:basedOn w:val="1"/>
    <w:qFormat/>
    <w:uiPriority w:val="0"/>
    <w:pPr>
      <w:spacing w:beforeAutospacing="1" w:afterAutospacing="1"/>
      <w:jc w:val="left"/>
    </w:pPr>
    <w:rPr>
      <w:rFonts w:ascii="Calibri" w:hAnsi="Calibri" w:cs="Calibri"/>
      <w:kern w:val="0"/>
      <w:sz w:val="24"/>
      <w:szCs w:val="21"/>
    </w:rPr>
  </w:style>
  <w:style w:type="character" w:customStyle="1" w:styleId="493">
    <w:name w:val="正文文本首行缩进 字符"/>
    <w:basedOn w:val="83"/>
    <w:qFormat/>
    <w:uiPriority w:val="0"/>
    <w:rPr>
      <w:rFonts w:ascii="宋体" w:hAnsi="宋体"/>
      <w:kern w:val="2"/>
      <w:sz w:val="21"/>
      <w:szCs w:val="24"/>
    </w:rPr>
  </w:style>
  <w:style w:type="paragraph" w:customStyle="1" w:styleId="494">
    <w:name w:val="正文_4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5">
    <w:name w:val="修订31"/>
    <w:qFormat/>
    <w:uiPriority w:val="0"/>
    <w:rPr>
      <w:rFonts w:ascii="Times New Roman" w:hAnsi="Times New Roman" w:eastAsia="宋体" w:cs="Times New Roman"/>
      <w:kern w:val="2"/>
      <w:sz w:val="21"/>
      <w:szCs w:val="24"/>
      <w:lang w:val="en-US" w:eastAsia="zh-CN" w:bidi="ar-SA"/>
    </w:rPr>
  </w:style>
  <w:style w:type="paragraph" w:customStyle="1" w:styleId="496">
    <w:name w:val="_Style 491"/>
    <w:basedOn w:val="1"/>
    <w:next w:val="1"/>
    <w:qFormat/>
    <w:uiPriority w:val="39"/>
    <w:pPr>
      <w:spacing w:before="120" w:after="120"/>
      <w:ind w:left="567" w:right="567"/>
      <w:jc w:val="left"/>
    </w:pPr>
    <w:rPr>
      <w:b/>
      <w:caps/>
      <w:sz w:val="30"/>
      <w:szCs w:val="20"/>
    </w:rPr>
  </w:style>
  <w:style w:type="character" w:customStyle="1" w:styleId="497">
    <w:name w:val="未处理的提及3"/>
    <w:basedOn w:val="56"/>
    <w:unhideWhenUsed/>
    <w:qFormat/>
    <w:uiPriority w:val="99"/>
    <w:rPr>
      <w:color w:val="605E5C"/>
      <w:shd w:val="clear" w:color="auto" w:fill="E1DFDD"/>
    </w:rPr>
  </w:style>
  <w:style w:type="character" w:customStyle="1" w:styleId="498">
    <w:name w:val="页眉 字符1"/>
    <w:basedOn w:val="56"/>
    <w:qFormat/>
    <w:uiPriority w:val="99"/>
    <w:rPr>
      <w:sz w:val="18"/>
      <w:szCs w:val="18"/>
    </w:rPr>
  </w:style>
  <w:style w:type="character" w:customStyle="1" w:styleId="499">
    <w:name w:val="页脚 字符1"/>
    <w:basedOn w:val="56"/>
    <w:qFormat/>
    <w:uiPriority w:val="99"/>
    <w:rPr>
      <w:sz w:val="18"/>
      <w:szCs w:val="18"/>
    </w:rPr>
  </w:style>
  <w:style w:type="character" w:customStyle="1" w:styleId="500">
    <w:name w:val="标题 1 字符1"/>
    <w:basedOn w:val="56"/>
    <w:qFormat/>
    <w:uiPriority w:val="0"/>
    <w:rPr>
      <w:rFonts w:ascii="Times New Roman" w:hAnsi="Times New Roman" w:eastAsia="宋体" w:cs="Times New Roman"/>
      <w:b/>
      <w:bCs/>
      <w:kern w:val="44"/>
      <w:sz w:val="32"/>
      <w:szCs w:val="44"/>
    </w:rPr>
  </w:style>
  <w:style w:type="character" w:customStyle="1" w:styleId="501">
    <w:name w:val="标题 字符1"/>
    <w:basedOn w:val="56"/>
    <w:qFormat/>
    <w:uiPriority w:val="99"/>
    <w:rPr>
      <w:rFonts w:ascii="Times New Roman" w:hAnsi="Times New Roman" w:eastAsia="宋体" w:cs="Times New Roman"/>
      <w:b/>
      <w:kern w:val="0"/>
      <w:sz w:val="44"/>
      <w:szCs w:val="20"/>
    </w:rPr>
  </w:style>
  <w:style w:type="paragraph" w:customStyle="1" w:styleId="502">
    <w:name w:val="样式 样式 小四 行距: 1.5 倍行距 + 首行缩进:  2 字符"/>
    <w:basedOn w:val="1"/>
    <w:link w:val="503"/>
    <w:qFormat/>
    <w:uiPriority w:val="0"/>
    <w:pPr>
      <w:adjustRightInd w:val="0"/>
      <w:snapToGrid w:val="0"/>
      <w:spacing w:line="460" w:lineRule="atLeast"/>
      <w:ind w:firstLine="480" w:firstLineChars="200"/>
      <w:jc w:val="left"/>
    </w:pPr>
    <w:rPr>
      <w:kern w:val="0"/>
      <w:sz w:val="24"/>
      <w:szCs w:val="20"/>
    </w:rPr>
  </w:style>
  <w:style w:type="character" w:customStyle="1" w:styleId="503">
    <w:name w:val="样式 样式 小四 行距: 1.5 倍行距 + 首行缩进:  2 字符 Char"/>
    <w:link w:val="502"/>
    <w:qFormat/>
    <w:uiPriority w:val="0"/>
    <w:rPr>
      <w:sz w:val="24"/>
    </w:rPr>
  </w:style>
  <w:style w:type="character" w:customStyle="1" w:styleId="504">
    <w:name w:val="未处理的提及4"/>
    <w:basedOn w:val="56"/>
    <w:unhideWhenUsed/>
    <w:qFormat/>
    <w:uiPriority w:val="99"/>
    <w:rPr>
      <w:color w:val="605E5C"/>
      <w:shd w:val="clear" w:color="auto" w:fill="E1DFDD"/>
    </w:rPr>
  </w:style>
  <w:style w:type="paragraph" w:customStyle="1" w:styleId="505">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06">
    <w:name w:val="TOC 标题3"/>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07">
    <w:name w:val="Char Char"/>
    <w:qFormat/>
    <w:uiPriority w:val="0"/>
    <w:rPr>
      <w:rFonts w:ascii="Arial" w:hAnsi="Arial" w:eastAsia="黑体"/>
      <w:b/>
      <w:bCs/>
      <w:kern w:val="2"/>
      <w:sz w:val="32"/>
      <w:szCs w:val="32"/>
      <w:lang w:val="en-US" w:eastAsia="zh-CN" w:bidi="ar-SA"/>
    </w:rPr>
  </w:style>
  <w:style w:type="paragraph" w:customStyle="1" w:styleId="508">
    <w:name w:val="修订41"/>
    <w:hidden/>
    <w:qFormat/>
    <w:uiPriority w:val="99"/>
    <w:rPr>
      <w:rFonts w:ascii="Times New Roman" w:hAnsi="Times New Roman" w:eastAsia="宋体" w:cs="Times New Roman"/>
      <w:kern w:val="2"/>
      <w:sz w:val="21"/>
      <w:szCs w:val="24"/>
      <w:lang w:val="en-US" w:eastAsia="zh-CN" w:bidi="ar-SA"/>
    </w:rPr>
  </w:style>
  <w:style w:type="paragraph" w:customStyle="1" w:styleId="509">
    <w:name w:val="TOC 标题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10">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511">
    <w:name w:val="TOC 标题4"/>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512">
    <w:name w:val="注释标题 字符"/>
    <w:basedOn w:val="56"/>
    <w:qFormat/>
    <w:uiPriority w:val="0"/>
    <w:rPr>
      <w:kern w:val="2"/>
      <w:sz w:val="21"/>
      <w:szCs w:val="24"/>
    </w:rPr>
  </w:style>
  <w:style w:type="character" w:customStyle="1" w:styleId="513">
    <w:name w:val="标题 2 字符2"/>
    <w:qFormat/>
    <w:uiPriority w:val="9"/>
    <w:rPr>
      <w:rFonts w:ascii="Arial" w:hAnsi="Arial" w:eastAsia="黑体"/>
      <w:b/>
      <w:sz w:val="30"/>
      <w:lang w:val="en-US" w:eastAsia="zh-CN" w:bidi="ar-SA"/>
    </w:rPr>
  </w:style>
  <w:style w:type="character" w:customStyle="1" w:styleId="514">
    <w:name w:val="标题 3 字符2"/>
    <w:qFormat/>
    <w:uiPriority w:val="99"/>
    <w:rPr>
      <w:rFonts w:ascii="宋体" w:eastAsia="宋体"/>
      <w:b/>
      <w:sz w:val="24"/>
      <w:u w:val="single"/>
      <w:lang w:val="en-US" w:eastAsia="zh-CN" w:bidi="ar-SA"/>
    </w:rPr>
  </w:style>
  <w:style w:type="character" w:customStyle="1" w:styleId="515">
    <w:name w:val="正文缩进 字符1"/>
    <w:qFormat/>
    <w:uiPriority w:val="0"/>
    <w:rPr>
      <w:rFonts w:ascii="宋体" w:eastAsia="宋体"/>
      <w:kern w:val="2"/>
      <w:sz w:val="24"/>
      <w:szCs w:val="24"/>
      <w:lang w:val="en-US" w:eastAsia="zh-CN" w:bidi="ar-SA"/>
    </w:rPr>
  </w:style>
  <w:style w:type="character" w:customStyle="1" w:styleId="516">
    <w:name w:val="正文文本缩进 字符2"/>
    <w:qFormat/>
    <w:uiPriority w:val="0"/>
    <w:rPr>
      <w:rFonts w:eastAsia="宋体"/>
      <w:kern w:val="2"/>
      <w:sz w:val="24"/>
      <w:szCs w:val="24"/>
      <w:lang w:val="en-US" w:eastAsia="zh-CN" w:bidi="ar-SA"/>
    </w:rPr>
  </w:style>
  <w:style w:type="character" w:customStyle="1" w:styleId="517">
    <w:name w:val="列表段落 字符2"/>
    <w:qFormat/>
    <w:uiPriority w:val="34"/>
    <w:rPr>
      <w:rFonts w:ascii="Calibri" w:hAnsi="Calibri" w:eastAsia="宋体"/>
      <w:kern w:val="2"/>
      <w:sz w:val="21"/>
      <w:szCs w:val="22"/>
      <w:lang w:val="en-US" w:eastAsia="zh-CN" w:bidi="ar-SA"/>
    </w:rPr>
  </w:style>
  <w:style w:type="character" w:customStyle="1" w:styleId="518">
    <w:name w:val="页眉 字符3"/>
    <w:qFormat/>
    <w:uiPriority w:val="99"/>
    <w:rPr>
      <w:rFonts w:eastAsia="宋体"/>
      <w:kern w:val="2"/>
      <w:sz w:val="18"/>
      <w:szCs w:val="18"/>
      <w:lang w:val="en-US" w:eastAsia="zh-CN" w:bidi="ar-SA"/>
    </w:rPr>
  </w:style>
  <w:style w:type="character" w:customStyle="1" w:styleId="519">
    <w:name w:val="页脚 字符3"/>
    <w:qFormat/>
    <w:uiPriority w:val="99"/>
    <w:rPr>
      <w:rFonts w:ascii="宋体" w:eastAsia="宋体"/>
      <w:sz w:val="18"/>
      <w:lang w:val="en-US" w:eastAsia="zh-CN" w:bidi="ar-SA"/>
    </w:rPr>
  </w:style>
  <w:style w:type="character" w:customStyle="1" w:styleId="520">
    <w:name w:val="批注文字 字符3"/>
    <w:qFormat/>
    <w:uiPriority w:val="99"/>
    <w:rPr>
      <w:kern w:val="2"/>
      <w:sz w:val="21"/>
      <w:szCs w:val="24"/>
    </w:rPr>
  </w:style>
  <w:style w:type="character" w:customStyle="1" w:styleId="521">
    <w:name w:val="标题 字符3"/>
    <w:qFormat/>
    <w:uiPriority w:val="0"/>
    <w:rPr>
      <w:b/>
      <w:kern w:val="2"/>
      <w:sz w:val="32"/>
    </w:rPr>
  </w:style>
  <w:style w:type="character" w:customStyle="1" w:styleId="522">
    <w:name w:val="纯文本 字符3"/>
    <w:basedOn w:val="56"/>
    <w:qFormat/>
    <w:uiPriority w:val="0"/>
    <w:rPr>
      <w:rFonts w:hint="eastAsia" w:ascii="宋体" w:hAnsi="Courier New" w:eastAsia="宋体" w:cs="宋体"/>
      <w:kern w:val="2"/>
      <w:sz w:val="21"/>
    </w:rPr>
  </w:style>
  <w:style w:type="character" w:customStyle="1" w:styleId="523">
    <w:name w:val="标题 1 字符3"/>
    <w:basedOn w:val="56"/>
    <w:qFormat/>
    <w:uiPriority w:val="9"/>
    <w:rPr>
      <w:rFonts w:ascii="宋体"/>
      <w:b/>
      <w:kern w:val="44"/>
      <w:sz w:val="32"/>
    </w:rPr>
  </w:style>
  <w:style w:type="character" w:customStyle="1" w:styleId="524">
    <w:name w:val="标题 4 字符2"/>
    <w:basedOn w:val="56"/>
    <w:qFormat/>
    <w:uiPriority w:val="9"/>
    <w:rPr>
      <w:rFonts w:ascii="Arial" w:hAnsi="Arial" w:eastAsia="黑体"/>
      <w:b/>
      <w:sz w:val="28"/>
    </w:rPr>
  </w:style>
  <w:style w:type="character" w:customStyle="1" w:styleId="525">
    <w:name w:val="标题 5 字符2"/>
    <w:basedOn w:val="56"/>
    <w:qFormat/>
    <w:uiPriority w:val="9"/>
    <w:rPr>
      <w:b/>
      <w:sz w:val="28"/>
    </w:rPr>
  </w:style>
  <w:style w:type="character" w:customStyle="1" w:styleId="526">
    <w:name w:val="标题 6 字符2"/>
    <w:basedOn w:val="56"/>
    <w:qFormat/>
    <w:uiPriority w:val="9"/>
    <w:rPr>
      <w:rFonts w:ascii="Arial" w:hAnsi="Arial" w:eastAsia="黑体"/>
      <w:b/>
      <w:sz w:val="24"/>
    </w:rPr>
  </w:style>
  <w:style w:type="character" w:customStyle="1" w:styleId="527">
    <w:name w:val="标题 7 字符2"/>
    <w:basedOn w:val="56"/>
    <w:qFormat/>
    <w:uiPriority w:val="9"/>
    <w:rPr>
      <w:b/>
      <w:sz w:val="24"/>
    </w:rPr>
  </w:style>
  <w:style w:type="character" w:customStyle="1" w:styleId="528">
    <w:name w:val="标题 8 字符2"/>
    <w:basedOn w:val="56"/>
    <w:qFormat/>
    <w:uiPriority w:val="9"/>
    <w:rPr>
      <w:rFonts w:ascii="Arial" w:hAnsi="Arial" w:eastAsia="黑体"/>
      <w:sz w:val="24"/>
    </w:rPr>
  </w:style>
  <w:style w:type="character" w:customStyle="1" w:styleId="529">
    <w:name w:val="标题 9 字符2"/>
    <w:basedOn w:val="56"/>
    <w:qFormat/>
    <w:uiPriority w:val="9"/>
    <w:rPr>
      <w:rFonts w:ascii="Arial" w:hAnsi="Arial" w:eastAsia="黑体"/>
      <w:sz w:val="21"/>
    </w:rPr>
  </w:style>
  <w:style w:type="character" w:customStyle="1" w:styleId="530">
    <w:name w:val="文档结构图 字符2"/>
    <w:basedOn w:val="56"/>
    <w:qFormat/>
    <w:uiPriority w:val="99"/>
    <w:rPr>
      <w:kern w:val="2"/>
      <w:sz w:val="21"/>
      <w:szCs w:val="24"/>
      <w:shd w:val="clear" w:color="auto" w:fill="000080"/>
    </w:rPr>
  </w:style>
  <w:style w:type="character" w:customStyle="1" w:styleId="531">
    <w:name w:val="正文文本 3 字符2"/>
    <w:basedOn w:val="56"/>
    <w:qFormat/>
    <w:uiPriority w:val="99"/>
    <w:rPr>
      <w:kern w:val="2"/>
      <w:sz w:val="16"/>
      <w:szCs w:val="16"/>
    </w:rPr>
  </w:style>
  <w:style w:type="character" w:customStyle="1" w:styleId="532">
    <w:name w:val="正文文本 字符2"/>
    <w:basedOn w:val="56"/>
    <w:qFormat/>
    <w:uiPriority w:val="99"/>
    <w:rPr>
      <w:rFonts w:ascii="宋体" w:hAnsi="宋体"/>
      <w:kern w:val="2"/>
      <w:sz w:val="24"/>
      <w:szCs w:val="24"/>
    </w:rPr>
  </w:style>
  <w:style w:type="character" w:customStyle="1" w:styleId="533">
    <w:name w:val="日期 字符2"/>
    <w:basedOn w:val="56"/>
    <w:qFormat/>
    <w:uiPriority w:val="99"/>
    <w:rPr>
      <w:rFonts w:ascii="仿宋_GB2312" w:hAnsi="宋体" w:eastAsia="仿宋_GB2312"/>
      <w:color w:val="000000"/>
      <w:kern w:val="2"/>
      <w:sz w:val="24"/>
      <w:szCs w:val="24"/>
    </w:rPr>
  </w:style>
  <w:style w:type="character" w:customStyle="1" w:styleId="534">
    <w:name w:val="正文文本缩进 2 字符2"/>
    <w:basedOn w:val="56"/>
    <w:qFormat/>
    <w:uiPriority w:val="99"/>
    <w:rPr>
      <w:rFonts w:ascii="仿宋_GB2312" w:eastAsia="仿宋_GB2312"/>
      <w:kern w:val="2"/>
      <w:sz w:val="24"/>
      <w:szCs w:val="24"/>
    </w:rPr>
  </w:style>
  <w:style w:type="character" w:customStyle="1" w:styleId="535">
    <w:name w:val="批注框文本 字符2"/>
    <w:basedOn w:val="56"/>
    <w:qFormat/>
    <w:uiPriority w:val="0"/>
    <w:rPr>
      <w:kern w:val="2"/>
      <w:sz w:val="18"/>
      <w:szCs w:val="18"/>
    </w:rPr>
  </w:style>
  <w:style w:type="character" w:customStyle="1" w:styleId="536">
    <w:name w:val="正文文本缩进 3 字符2"/>
    <w:basedOn w:val="56"/>
    <w:qFormat/>
    <w:uiPriority w:val="99"/>
    <w:rPr>
      <w:rFonts w:ascii="宋体"/>
      <w:sz w:val="24"/>
    </w:rPr>
  </w:style>
  <w:style w:type="character" w:customStyle="1" w:styleId="537">
    <w:name w:val="HTML 预设格式 字符2"/>
    <w:basedOn w:val="56"/>
    <w:qFormat/>
    <w:uiPriority w:val="99"/>
    <w:rPr>
      <w:rFonts w:ascii="宋体" w:hAnsi="宋体" w:cs="宋体"/>
      <w:sz w:val="24"/>
      <w:szCs w:val="24"/>
    </w:rPr>
  </w:style>
  <w:style w:type="character" w:customStyle="1" w:styleId="538">
    <w:name w:val="批注主题 字符2"/>
    <w:basedOn w:val="95"/>
    <w:qFormat/>
    <w:uiPriority w:val="0"/>
    <w:rPr>
      <w:rFonts w:ascii="Times New Roman" w:hAnsi="Times New Roman" w:eastAsia="宋体" w:cs="Times New Roman"/>
      <w:b/>
      <w:bCs/>
      <w:kern w:val="2"/>
      <w:sz w:val="21"/>
      <w:szCs w:val="24"/>
      <w:lang w:val="en-US" w:eastAsia="zh-CN" w:bidi="ar-SA"/>
    </w:rPr>
  </w:style>
  <w:style w:type="character" w:customStyle="1" w:styleId="539">
    <w:name w:val="纯文本 Char3"/>
    <w:qFormat/>
    <w:uiPriority w:val="0"/>
    <w:rPr>
      <w:rFonts w:hint="eastAsia" w:ascii="宋体" w:hAnsi="Courier New" w:eastAsia="宋体" w:cs="宋体"/>
      <w:kern w:val="2"/>
      <w:sz w:val="21"/>
    </w:rPr>
  </w:style>
  <w:style w:type="character" w:customStyle="1" w:styleId="540">
    <w:name w:val="彩色列表 - 着色 1 字符"/>
    <w:link w:val="541"/>
    <w:qFormat/>
    <w:uiPriority w:val="34"/>
    <w:rPr>
      <w:rFonts w:ascii="Calibri" w:hAnsi="Calibri"/>
      <w:kern w:val="2"/>
      <w:sz w:val="21"/>
      <w:szCs w:val="22"/>
    </w:rPr>
  </w:style>
  <w:style w:type="paragraph" w:customStyle="1" w:styleId="541">
    <w:name w:val="彩色列表 - 着色 11"/>
    <w:basedOn w:val="1"/>
    <w:link w:val="540"/>
    <w:qFormat/>
    <w:uiPriority w:val="34"/>
    <w:pPr>
      <w:ind w:firstLine="420" w:firstLineChars="200"/>
    </w:pPr>
    <w:rPr>
      <w:rFonts w:ascii="Calibri" w:hAnsi="Calibri"/>
      <w:szCs w:val="22"/>
    </w:rPr>
  </w:style>
  <w:style w:type="paragraph" w:customStyle="1" w:styleId="542">
    <w:name w:val="网格表 3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43">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544">
    <w:name w:val="正文文本 2 字符3"/>
    <w:basedOn w:val="56"/>
    <w:qFormat/>
    <w:uiPriority w:val="99"/>
    <w:rPr>
      <w:rFonts w:ascii="Calibri" w:hAnsi="Calibri"/>
      <w:sz w:val="24"/>
      <w:szCs w:val="22"/>
    </w:rPr>
  </w:style>
  <w:style w:type="character" w:customStyle="1" w:styleId="545">
    <w:name w:val="引用 字符2"/>
    <w:qFormat/>
    <w:uiPriority w:val="29"/>
    <w:rPr>
      <w:rFonts w:ascii="Calibri" w:hAnsi="Calibri"/>
      <w:i/>
      <w:sz w:val="24"/>
      <w:szCs w:val="24"/>
    </w:rPr>
  </w:style>
  <w:style w:type="character" w:customStyle="1" w:styleId="546">
    <w:name w:val="明显引用 字符2"/>
    <w:qFormat/>
    <w:uiPriority w:val="30"/>
    <w:rPr>
      <w:rFonts w:ascii="Calibri" w:hAnsi="Calibri"/>
      <w:b/>
      <w:i/>
      <w:sz w:val="24"/>
      <w:szCs w:val="22"/>
    </w:rPr>
  </w:style>
  <w:style w:type="character" w:customStyle="1" w:styleId="547">
    <w:name w:val="副标题 字符2"/>
    <w:qFormat/>
    <w:uiPriority w:val="11"/>
    <w:rPr>
      <w:rFonts w:ascii="Cambria" w:hAnsi="Cambria"/>
      <w:sz w:val="24"/>
      <w:szCs w:val="24"/>
    </w:rPr>
  </w:style>
  <w:style w:type="character" w:customStyle="1" w:styleId="548">
    <w:name w:val="正文文本缩进 3 Char2"/>
    <w:basedOn w:val="56"/>
    <w:qFormat/>
    <w:uiPriority w:val="0"/>
    <w:rPr>
      <w:kern w:val="2"/>
      <w:sz w:val="16"/>
      <w:szCs w:val="16"/>
    </w:rPr>
  </w:style>
  <w:style w:type="character" w:customStyle="1" w:styleId="549">
    <w:name w:val="文档结构图 Char2"/>
    <w:basedOn w:val="56"/>
    <w:qFormat/>
    <w:uiPriority w:val="0"/>
    <w:rPr>
      <w:rFonts w:ascii="宋体"/>
      <w:kern w:val="2"/>
      <w:sz w:val="18"/>
      <w:szCs w:val="18"/>
    </w:rPr>
  </w:style>
  <w:style w:type="character" w:customStyle="1" w:styleId="550">
    <w:name w:val="正文首行缩进 Char2"/>
    <w:basedOn w:val="532"/>
    <w:qFormat/>
    <w:uiPriority w:val="0"/>
    <w:rPr>
      <w:rFonts w:ascii="宋体" w:hAnsi="宋体"/>
      <w:kern w:val="2"/>
      <w:sz w:val="21"/>
      <w:szCs w:val="24"/>
    </w:rPr>
  </w:style>
  <w:style w:type="character" w:customStyle="1" w:styleId="551">
    <w:name w:val="副标题 Char2"/>
    <w:basedOn w:val="56"/>
    <w:qFormat/>
    <w:uiPriority w:val="0"/>
    <w:rPr>
      <w:rFonts w:asciiTheme="majorHAnsi" w:hAnsiTheme="majorHAnsi" w:cstheme="majorBidi"/>
      <w:b/>
      <w:bCs/>
      <w:kern w:val="28"/>
      <w:sz w:val="32"/>
      <w:szCs w:val="32"/>
    </w:rPr>
  </w:style>
  <w:style w:type="character" w:customStyle="1" w:styleId="552">
    <w:name w:val="正文文本 3 Char2"/>
    <w:basedOn w:val="56"/>
    <w:qFormat/>
    <w:uiPriority w:val="0"/>
    <w:rPr>
      <w:kern w:val="2"/>
      <w:sz w:val="16"/>
      <w:szCs w:val="16"/>
    </w:rPr>
  </w:style>
  <w:style w:type="paragraph" w:customStyle="1" w:styleId="553">
    <w:name w:val="修订21"/>
    <w:qFormat/>
    <w:uiPriority w:val="0"/>
    <w:rPr>
      <w:rFonts w:ascii="Times New Roman" w:hAnsi="Times New Roman" w:eastAsia="宋体" w:cs="Times New Roman"/>
      <w:kern w:val="2"/>
      <w:sz w:val="21"/>
      <w:szCs w:val="24"/>
      <w:lang w:val="en-US" w:eastAsia="zh-CN" w:bidi="ar-SA"/>
    </w:rPr>
  </w:style>
  <w:style w:type="character" w:customStyle="1" w:styleId="554">
    <w:name w:val="明显引用 Char2"/>
    <w:basedOn w:val="56"/>
    <w:qFormat/>
    <w:uiPriority w:val="99"/>
    <w:rPr>
      <w:b/>
      <w:bCs/>
      <w:i/>
      <w:iCs/>
      <w:color w:val="4472C4" w:themeColor="accent1"/>
      <w:kern w:val="2"/>
      <w:sz w:val="21"/>
      <w:szCs w:val="24"/>
      <w14:textFill>
        <w14:solidFill>
          <w14:schemeClr w14:val="accent1"/>
        </w14:solidFill>
      </w14:textFill>
    </w:rPr>
  </w:style>
  <w:style w:type="character" w:customStyle="1" w:styleId="555">
    <w:name w:val="引用 Char2"/>
    <w:basedOn w:val="56"/>
    <w:qFormat/>
    <w:uiPriority w:val="99"/>
    <w:rPr>
      <w:i/>
      <w:iCs/>
      <w:color w:val="000000" w:themeColor="text1"/>
      <w:kern w:val="2"/>
      <w:sz w:val="21"/>
      <w:szCs w:val="24"/>
      <w14:textFill>
        <w14:solidFill>
          <w14:schemeClr w14:val="tx1"/>
        </w14:solidFill>
      </w14:textFill>
    </w:rPr>
  </w:style>
  <w:style w:type="paragraph" w:customStyle="1" w:styleId="556">
    <w:name w:val="列表段落11"/>
    <w:basedOn w:val="1"/>
    <w:qFormat/>
    <w:uiPriority w:val="34"/>
    <w:pPr>
      <w:ind w:firstLine="420" w:firstLineChars="200"/>
    </w:pPr>
    <w:rPr>
      <w:rFonts w:ascii="Calibri" w:hAnsi="Calibri"/>
      <w:szCs w:val="22"/>
    </w:rPr>
  </w:style>
  <w:style w:type="character" w:customStyle="1" w:styleId="557">
    <w:name w:val="未处理的提及11"/>
    <w:unhideWhenUsed/>
    <w:qFormat/>
    <w:uiPriority w:val="99"/>
    <w:rPr>
      <w:color w:val="605E5C"/>
      <w:shd w:val="clear" w:color="auto" w:fill="E1DFDD"/>
    </w:rPr>
  </w:style>
  <w:style w:type="paragraph" w:customStyle="1" w:styleId="558">
    <w:name w:val="页眉2"/>
    <w:basedOn w:val="1"/>
    <w:qFormat/>
    <w:uiPriority w:val="0"/>
    <w:pPr>
      <w:pBdr>
        <w:bottom w:val="single" w:color="auto" w:sz="6" w:space="1"/>
      </w:pBdr>
      <w:tabs>
        <w:tab w:val="center" w:pos="4153"/>
        <w:tab w:val="right" w:pos="8306"/>
      </w:tabs>
      <w:snapToGrid w:val="0"/>
      <w:jc w:val="center"/>
    </w:pPr>
    <w:rPr>
      <w:rFonts w:hint="eastAsia"/>
      <w:sz w:val="18"/>
      <w:szCs w:val="20"/>
    </w:rPr>
  </w:style>
  <w:style w:type="character" w:customStyle="1" w:styleId="559">
    <w:name w:val="注释标题 字符2"/>
    <w:link w:val="12"/>
    <w:qFormat/>
    <w:uiPriority w:val="0"/>
    <w:rPr>
      <w:rFonts w:ascii="幼圆" w:eastAsia="幼圆"/>
      <w:b/>
      <w:kern w:val="2"/>
      <w:sz w:val="32"/>
      <w:szCs w:val="32"/>
    </w:rPr>
  </w:style>
  <w:style w:type="character" w:customStyle="1" w:styleId="560">
    <w:name w:val="注释标题 Char1"/>
    <w:basedOn w:val="56"/>
    <w:qFormat/>
    <w:uiPriority w:val="0"/>
    <w:rPr>
      <w:kern w:val="2"/>
      <w:sz w:val="21"/>
      <w:szCs w:val="24"/>
    </w:rPr>
  </w:style>
  <w:style w:type="table" w:customStyle="1" w:styleId="561">
    <w:name w:val="网格型1"/>
    <w:basedOn w:val="5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62">
    <w:name w:val="样式 标题 2 + (符号) 宋体 小四 Char"/>
    <w:qFormat/>
    <w:uiPriority w:val="0"/>
    <w:rPr>
      <w:rFonts w:ascii="Arial" w:hAnsi="Arial" w:eastAsia="宋体"/>
      <w:b/>
      <w:bCs/>
      <w:kern w:val="2"/>
      <w:sz w:val="24"/>
      <w:szCs w:val="32"/>
      <w:lang w:val="en-US" w:eastAsia="zh-CN" w:bidi="ar-SA"/>
    </w:rPr>
  </w:style>
  <w:style w:type="character" w:customStyle="1" w:styleId="563">
    <w:name w:val="正文文本 Char3"/>
    <w:qFormat/>
    <w:uiPriority w:val="0"/>
    <w:rPr>
      <w:rFonts w:ascii="宋体" w:hAnsi="宋体"/>
      <w:kern w:val="2"/>
      <w:sz w:val="24"/>
      <w:szCs w:val="24"/>
    </w:rPr>
  </w:style>
  <w:style w:type="character" w:customStyle="1" w:styleId="564">
    <w:name w:val="列出段落 Char2"/>
    <w:qFormat/>
    <w:uiPriority w:val="34"/>
    <w:rPr>
      <w:rFonts w:ascii="Calibri" w:hAnsi="Calibri" w:eastAsia="宋体"/>
      <w:kern w:val="2"/>
      <w:sz w:val="21"/>
      <w:szCs w:val="22"/>
      <w:lang w:val="en-US" w:eastAsia="zh-CN" w:bidi="ar-SA"/>
    </w:rPr>
  </w:style>
  <w:style w:type="character" w:customStyle="1" w:styleId="565">
    <w:name w:val="标题 1 Char2"/>
    <w:qFormat/>
    <w:uiPriority w:val="0"/>
    <w:rPr>
      <w:rFonts w:ascii="宋体"/>
      <w:b/>
      <w:kern w:val="44"/>
      <w:sz w:val="32"/>
    </w:rPr>
  </w:style>
  <w:style w:type="character" w:customStyle="1" w:styleId="566">
    <w:name w:val="标题 2 Char2"/>
    <w:qFormat/>
    <w:uiPriority w:val="9"/>
    <w:rPr>
      <w:rFonts w:ascii="Arial" w:hAnsi="Arial" w:eastAsia="黑体"/>
      <w:b/>
      <w:sz w:val="30"/>
      <w:lang w:val="en-US" w:eastAsia="zh-CN" w:bidi="ar-SA"/>
    </w:rPr>
  </w:style>
  <w:style w:type="character" w:customStyle="1" w:styleId="567">
    <w:name w:val="标题 3 Char2"/>
    <w:qFormat/>
    <w:uiPriority w:val="0"/>
    <w:rPr>
      <w:rFonts w:ascii="宋体" w:eastAsia="宋体"/>
      <w:b/>
      <w:sz w:val="24"/>
      <w:u w:val="single"/>
      <w:lang w:val="en-US" w:eastAsia="zh-CN" w:bidi="ar-SA"/>
    </w:rPr>
  </w:style>
  <w:style w:type="character" w:customStyle="1" w:styleId="568">
    <w:name w:val="标题 4 Char2"/>
    <w:qFormat/>
    <w:uiPriority w:val="0"/>
    <w:rPr>
      <w:rFonts w:ascii="Arial" w:hAnsi="Arial" w:eastAsia="黑体"/>
      <w:b/>
      <w:sz w:val="28"/>
    </w:rPr>
  </w:style>
  <w:style w:type="character" w:customStyle="1" w:styleId="569">
    <w:name w:val="标题 5 Char2"/>
    <w:qFormat/>
    <w:uiPriority w:val="0"/>
    <w:rPr>
      <w:b/>
      <w:sz w:val="28"/>
    </w:rPr>
  </w:style>
  <w:style w:type="character" w:customStyle="1" w:styleId="570">
    <w:name w:val="标题 6 Char2"/>
    <w:qFormat/>
    <w:uiPriority w:val="0"/>
    <w:rPr>
      <w:rFonts w:ascii="Arial" w:hAnsi="Arial" w:eastAsia="黑体"/>
      <w:b/>
      <w:sz w:val="24"/>
    </w:rPr>
  </w:style>
  <w:style w:type="character" w:customStyle="1" w:styleId="571">
    <w:name w:val="标题 7 Char2"/>
    <w:qFormat/>
    <w:uiPriority w:val="0"/>
    <w:rPr>
      <w:b/>
      <w:sz w:val="24"/>
    </w:rPr>
  </w:style>
  <w:style w:type="character" w:customStyle="1" w:styleId="572">
    <w:name w:val="标题 8 Char2"/>
    <w:qFormat/>
    <w:uiPriority w:val="0"/>
    <w:rPr>
      <w:rFonts w:ascii="Arial" w:hAnsi="Arial" w:eastAsia="黑体"/>
      <w:sz w:val="24"/>
    </w:rPr>
  </w:style>
  <w:style w:type="character" w:customStyle="1" w:styleId="573">
    <w:name w:val="标题 9 Char2"/>
    <w:qFormat/>
    <w:uiPriority w:val="0"/>
    <w:rPr>
      <w:rFonts w:ascii="Arial" w:hAnsi="Arial" w:eastAsia="黑体"/>
      <w:sz w:val="21"/>
    </w:rPr>
  </w:style>
  <w:style w:type="character" w:customStyle="1" w:styleId="574">
    <w:name w:val="批注文字 Char2"/>
    <w:qFormat/>
    <w:uiPriority w:val="0"/>
    <w:rPr>
      <w:kern w:val="2"/>
      <w:sz w:val="21"/>
      <w:szCs w:val="24"/>
    </w:rPr>
  </w:style>
  <w:style w:type="character" w:customStyle="1" w:styleId="575">
    <w:name w:val="日期 Char2"/>
    <w:qFormat/>
    <w:uiPriority w:val="0"/>
    <w:rPr>
      <w:rFonts w:ascii="仿宋_GB2312" w:hAnsi="宋体" w:eastAsia="仿宋_GB2312"/>
      <w:color w:val="000000"/>
      <w:kern w:val="2"/>
      <w:sz w:val="24"/>
      <w:szCs w:val="24"/>
    </w:rPr>
  </w:style>
  <w:style w:type="character" w:customStyle="1" w:styleId="576">
    <w:name w:val="正文文本缩进 2 Char2"/>
    <w:qFormat/>
    <w:uiPriority w:val="0"/>
    <w:rPr>
      <w:rFonts w:ascii="仿宋_GB2312" w:eastAsia="仿宋_GB2312"/>
      <w:kern w:val="2"/>
      <w:sz w:val="24"/>
      <w:szCs w:val="24"/>
    </w:rPr>
  </w:style>
  <w:style w:type="character" w:customStyle="1" w:styleId="577">
    <w:name w:val="批注框文本 Char2"/>
    <w:qFormat/>
    <w:uiPriority w:val="0"/>
    <w:rPr>
      <w:kern w:val="2"/>
      <w:sz w:val="18"/>
      <w:szCs w:val="18"/>
    </w:rPr>
  </w:style>
  <w:style w:type="character" w:customStyle="1" w:styleId="578">
    <w:name w:val="页脚 Char2"/>
    <w:qFormat/>
    <w:uiPriority w:val="99"/>
    <w:rPr>
      <w:rFonts w:ascii="宋体" w:eastAsia="宋体"/>
      <w:sz w:val="18"/>
      <w:lang w:val="en-US" w:eastAsia="zh-CN" w:bidi="ar-SA"/>
    </w:rPr>
  </w:style>
  <w:style w:type="character" w:customStyle="1" w:styleId="579">
    <w:name w:val="页眉 Char2"/>
    <w:qFormat/>
    <w:uiPriority w:val="99"/>
    <w:rPr>
      <w:rFonts w:eastAsia="宋体"/>
      <w:kern w:val="2"/>
      <w:sz w:val="18"/>
      <w:szCs w:val="18"/>
      <w:lang w:val="en-US" w:eastAsia="zh-CN" w:bidi="ar-SA"/>
    </w:rPr>
  </w:style>
  <w:style w:type="character" w:customStyle="1" w:styleId="580">
    <w:name w:val="HTML 预设格式 Char2"/>
    <w:qFormat/>
    <w:uiPriority w:val="0"/>
    <w:rPr>
      <w:rFonts w:ascii="宋体" w:hAnsi="宋体" w:cs="宋体"/>
      <w:sz w:val="24"/>
      <w:szCs w:val="24"/>
    </w:rPr>
  </w:style>
  <w:style w:type="character" w:customStyle="1" w:styleId="581">
    <w:name w:val="标题 Char2"/>
    <w:qFormat/>
    <w:uiPriority w:val="0"/>
    <w:rPr>
      <w:b/>
      <w:kern w:val="2"/>
      <w:sz w:val="32"/>
    </w:rPr>
  </w:style>
  <w:style w:type="character" w:customStyle="1" w:styleId="582">
    <w:name w:val="批注主题 Char2"/>
    <w:qFormat/>
    <w:uiPriority w:val="0"/>
    <w:rPr>
      <w:rFonts w:ascii="Times New Roman" w:hAnsi="Times New Roman" w:eastAsia="宋体" w:cs="Times New Roman"/>
      <w:b/>
      <w:bCs/>
      <w:kern w:val="2"/>
      <w:sz w:val="21"/>
      <w:szCs w:val="24"/>
      <w:lang w:val="en-US" w:eastAsia="zh-CN" w:bidi="ar-SA"/>
    </w:rPr>
  </w:style>
  <w:style w:type="character" w:customStyle="1" w:styleId="583">
    <w:name w:val="不明显强调11"/>
    <w:qFormat/>
    <w:uiPriority w:val="0"/>
    <w:rPr>
      <w:i/>
      <w:color w:val="5A5A5A"/>
    </w:rPr>
  </w:style>
  <w:style w:type="character" w:customStyle="1" w:styleId="584">
    <w:name w:val="明显参考11"/>
    <w:qFormat/>
    <w:uiPriority w:val="0"/>
    <w:rPr>
      <w:b/>
      <w:sz w:val="24"/>
      <w:u w:val="single"/>
    </w:rPr>
  </w:style>
  <w:style w:type="character" w:customStyle="1" w:styleId="585">
    <w:name w:val="标题 4 字符1"/>
    <w:qFormat/>
    <w:uiPriority w:val="9"/>
    <w:rPr>
      <w:rFonts w:ascii="Arial" w:hAnsi="Arial" w:eastAsia="黑体"/>
      <w:b/>
      <w:sz w:val="28"/>
    </w:rPr>
  </w:style>
  <w:style w:type="character" w:customStyle="1" w:styleId="586">
    <w:name w:val="批注框文本 字符1"/>
    <w:qFormat/>
    <w:uiPriority w:val="0"/>
    <w:rPr>
      <w:kern w:val="2"/>
      <w:sz w:val="18"/>
      <w:szCs w:val="18"/>
    </w:rPr>
  </w:style>
  <w:style w:type="character" w:customStyle="1" w:styleId="587">
    <w:name w:val="正文文本 3 字符1"/>
    <w:qFormat/>
    <w:uiPriority w:val="99"/>
    <w:rPr>
      <w:kern w:val="2"/>
      <w:sz w:val="16"/>
      <w:szCs w:val="16"/>
    </w:rPr>
  </w:style>
  <w:style w:type="character" w:customStyle="1" w:styleId="588">
    <w:name w:val="列出段落 字符1"/>
    <w:qFormat/>
    <w:uiPriority w:val="34"/>
    <w:rPr>
      <w:rFonts w:ascii="Calibri" w:hAnsi="Calibri" w:eastAsia="宋体"/>
      <w:kern w:val="2"/>
      <w:sz w:val="21"/>
      <w:szCs w:val="22"/>
      <w:lang w:val="en-US" w:eastAsia="zh-CN" w:bidi="ar-SA"/>
    </w:rPr>
  </w:style>
  <w:style w:type="character" w:customStyle="1" w:styleId="589">
    <w:name w:val="正文首行缩进 2 字符"/>
    <w:qFormat/>
    <w:uiPriority w:val="0"/>
    <w:rPr>
      <w:rFonts w:eastAsia="宋体"/>
      <w:kern w:val="2"/>
      <w:sz w:val="24"/>
      <w:szCs w:val="24"/>
      <w:lang w:val="en-US" w:eastAsia="zh-CN" w:bidi="ar-SA"/>
    </w:rPr>
  </w:style>
  <w:style w:type="character" w:customStyle="1" w:styleId="590">
    <w:name w:val="标题 7 字符1"/>
    <w:qFormat/>
    <w:uiPriority w:val="9"/>
    <w:rPr>
      <w:b/>
      <w:sz w:val="24"/>
    </w:rPr>
  </w:style>
  <w:style w:type="character" w:customStyle="1" w:styleId="591">
    <w:name w:val="标题 9 字符1"/>
    <w:qFormat/>
    <w:uiPriority w:val="9"/>
    <w:rPr>
      <w:rFonts w:ascii="Arial" w:hAnsi="Arial" w:eastAsia="黑体"/>
      <w:sz w:val="21"/>
    </w:rPr>
  </w:style>
  <w:style w:type="character" w:customStyle="1" w:styleId="592">
    <w:name w:val="标题 1 字符2"/>
    <w:qFormat/>
    <w:uiPriority w:val="9"/>
    <w:rPr>
      <w:rFonts w:ascii="宋体"/>
      <w:b/>
      <w:kern w:val="44"/>
      <w:sz w:val="32"/>
    </w:rPr>
  </w:style>
  <w:style w:type="character" w:customStyle="1" w:styleId="593">
    <w:name w:val="正文文本缩进 3 字符1"/>
    <w:qFormat/>
    <w:uiPriority w:val="99"/>
    <w:rPr>
      <w:rFonts w:ascii="宋体"/>
      <w:sz w:val="24"/>
    </w:rPr>
  </w:style>
  <w:style w:type="character" w:customStyle="1" w:styleId="594">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595">
    <w:name w:val="正文文本缩进 字符1"/>
    <w:qFormat/>
    <w:uiPriority w:val="0"/>
    <w:rPr>
      <w:rFonts w:eastAsia="宋体"/>
      <w:kern w:val="2"/>
      <w:sz w:val="24"/>
      <w:szCs w:val="24"/>
      <w:lang w:val="en-US" w:eastAsia="zh-CN" w:bidi="ar-SA"/>
    </w:rPr>
  </w:style>
  <w:style w:type="character" w:customStyle="1" w:styleId="596">
    <w:name w:val="日期 字符1"/>
    <w:qFormat/>
    <w:uiPriority w:val="99"/>
    <w:rPr>
      <w:rFonts w:ascii="仿宋_GB2312" w:hAnsi="宋体" w:eastAsia="仿宋_GB2312"/>
      <w:color w:val="000000"/>
      <w:kern w:val="2"/>
      <w:sz w:val="24"/>
      <w:szCs w:val="24"/>
    </w:rPr>
  </w:style>
  <w:style w:type="character" w:customStyle="1" w:styleId="597">
    <w:name w:val="明显强调11"/>
    <w:qFormat/>
    <w:uiPriority w:val="0"/>
    <w:rPr>
      <w:b/>
      <w:i/>
      <w:sz w:val="24"/>
      <w:szCs w:val="24"/>
      <w:u w:val="single"/>
    </w:rPr>
  </w:style>
  <w:style w:type="character" w:customStyle="1" w:styleId="598">
    <w:name w:val="HTML 预设格式 字符1"/>
    <w:qFormat/>
    <w:uiPriority w:val="99"/>
    <w:rPr>
      <w:rFonts w:ascii="宋体" w:hAnsi="宋体" w:cs="宋体"/>
      <w:sz w:val="24"/>
      <w:szCs w:val="24"/>
    </w:rPr>
  </w:style>
  <w:style w:type="character" w:customStyle="1" w:styleId="599">
    <w:name w:val="文档结构图 字符1"/>
    <w:qFormat/>
    <w:uiPriority w:val="99"/>
    <w:rPr>
      <w:kern w:val="2"/>
      <w:sz w:val="21"/>
      <w:szCs w:val="24"/>
      <w:shd w:val="clear" w:color="auto" w:fill="000080"/>
    </w:rPr>
  </w:style>
  <w:style w:type="character" w:customStyle="1" w:styleId="600">
    <w:name w:val="标题 6 字符1"/>
    <w:qFormat/>
    <w:uiPriority w:val="9"/>
    <w:rPr>
      <w:rFonts w:ascii="Arial" w:hAnsi="Arial" w:eastAsia="黑体"/>
      <w:b/>
      <w:sz w:val="24"/>
    </w:rPr>
  </w:style>
  <w:style w:type="character" w:customStyle="1" w:styleId="601">
    <w:name w:val="正文首行缩进 字符"/>
    <w:qFormat/>
    <w:uiPriority w:val="0"/>
  </w:style>
  <w:style w:type="character" w:customStyle="1" w:styleId="602">
    <w:name w:val="正文文本缩进 2 字符1"/>
    <w:qFormat/>
    <w:uiPriority w:val="99"/>
    <w:rPr>
      <w:rFonts w:ascii="仿宋_GB2312" w:eastAsia="仿宋_GB2312"/>
      <w:kern w:val="2"/>
      <w:sz w:val="24"/>
      <w:szCs w:val="24"/>
    </w:rPr>
  </w:style>
  <w:style w:type="character" w:customStyle="1" w:styleId="603">
    <w:name w:val="标题 5 字符1"/>
    <w:qFormat/>
    <w:uiPriority w:val="9"/>
    <w:rPr>
      <w:b/>
      <w:sz w:val="28"/>
    </w:rPr>
  </w:style>
  <w:style w:type="character" w:customStyle="1" w:styleId="604">
    <w:name w:val="批注文字 字符2"/>
    <w:qFormat/>
    <w:uiPriority w:val="99"/>
    <w:rPr>
      <w:kern w:val="2"/>
      <w:sz w:val="21"/>
      <w:szCs w:val="24"/>
    </w:rPr>
  </w:style>
  <w:style w:type="character" w:customStyle="1" w:styleId="605">
    <w:name w:val="标题 3 字符1"/>
    <w:qFormat/>
    <w:uiPriority w:val="0"/>
    <w:rPr>
      <w:rFonts w:ascii="宋体" w:eastAsia="宋体"/>
      <w:b/>
      <w:sz w:val="24"/>
      <w:u w:val="single"/>
      <w:lang w:val="en-US" w:eastAsia="zh-CN" w:bidi="ar-SA"/>
    </w:rPr>
  </w:style>
  <w:style w:type="character" w:customStyle="1" w:styleId="606">
    <w:name w:val="书籍标题11"/>
    <w:qFormat/>
    <w:uiPriority w:val="0"/>
    <w:rPr>
      <w:rFonts w:ascii="Cambria" w:hAnsi="Cambria" w:eastAsia="宋体"/>
      <w:b/>
      <w:i/>
      <w:sz w:val="24"/>
      <w:szCs w:val="24"/>
    </w:rPr>
  </w:style>
  <w:style w:type="character" w:customStyle="1" w:styleId="607">
    <w:name w:val="标题 2 字符1"/>
    <w:qFormat/>
    <w:uiPriority w:val="9"/>
    <w:rPr>
      <w:rFonts w:ascii="Arial" w:hAnsi="Arial" w:eastAsia="黑体"/>
      <w:b/>
      <w:sz w:val="30"/>
      <w:lang w:val="en-US" w:eastAsia="zh-CN" w:bidi="ar-SA"/>
    </w:rPr>
  </w:style>
  <w:style w:type="character" w:customStyle="1" w:styleId="608">
    <w:name w:val="不明显参考11"/>
    <w:qFormat/>
    <w:uiPriority w:val="0"/>
    <w:rPr>
      <w:sz w:val="24"/>
      <w:szCs w:val="24"/>
      <w:u w:val="single"/>
    </w:rPr>
  </w:style>
  <w:style w:type="character" w:customStyle="1" w:styleId="609">
    <w:name w:val="正文文本 字符1"/>
    <w:qFormat/>
    <w:uiPriority w:val="99"/>
    <w:rPr>
      <w:rFonts w:ascii="宋体" w:hAnsi="宋体"/>
      <w:kern w:val="2"/>
      <w:sz w:val="24"/>
      <w:szCs w:val="24"/>
    </w:rPr>
  </w:style>
  <w:style w:type="character" w:customStyle="1" w:styleId="610">
    <w:name w:val="页脚 字符2"/>
    <w:qFormat/>
    <w:uiPriority w:val="99"/>
    <w:rPr>
      <w:rFonts w:ascii="宋体" w:eastAsia="宋体"/>
      <w:sz w:val="18"/>
      <w:lang w:val="en-US" w:eastAsia="zh-CN" w:bidi="ar-SA"/>
    </w:rPr>
  </w:style>
  <w:style w:type="character" w:customStyle="1" w:styleId="611">
    <w:name w:val="页眉 字符2"/>
    <w:qFormat/>
    <w:uiPriority w:val="99"/>
    <w:rPr>
      <w:rFonts w:eastAsia="宋体"/>
      <w:kern w:val="2"/>
      <w:sz w:val="18"/>
      <w:szCs w:val="18"/>
      <w:lang w:val="en-US" w:eastAsia="zh-CN" w:bidi="ar-SA"/>
    </w:rPr>
  </w:style>
  <w:style w:type="character" w:customStyle="1" w:styleId="612">
    <w:name w:val="标题 8 字符1"/>
    <w:qFormat/>
    <w:uiPriority w:val="9"/>
    <w:rPr>
      <w:rFonts w:ascii="Arial" w:hAnsi="Arial" w:eastAsia="黑体"/>
      <w:sz w:val="24"/>
    </w:rPr>
  </w:style>
  <w:style w:type="character" w:customStyle="1" w:styleId="613">
    <w:name w:val="标题 字符2"/>
    <w:qFormat/>
    <w:uiPriority w:val="0"/>
    <w:rPr>
      <w:b/>
      <w:kern w:val="2"/>
      <w:sz w:val="32"/>
    </w:rPr>
  </w:style>
  <w:style w:type="paragraph" w:customStyle="1" w:styleId="614">
    <w:name w:val="_Style 572"/>
    <w:qFormat/>
    <w:uiPriority w:val="0"/>
    <w:rPr>
      <w:rFonts w:ascii="Times New Roman" w:hAnsi="Times New Roman" w:eastAsia="宋体" w:cs="Times New Roman"/>
      <w:kern w:val="2"/>
      <w:sz w:val="21"/>
      <w:szCs w:val="24"/>
      <w:lang w:val="en-US" w:eastAsia="zh-CN" w:bidi="ar-SA"/>
    </w:rPr>
  </w:style>
  <w:style w:type="table" w:customStyle="1" w:styleId="615">
    <w:name w:val="Table Normal1"/>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16">
    <w:name w:val="标题 1 字符"/>
    <w:qFormat/>
    <w:uiPriority w:val="0"/>
    <w:rPr>
      <w:rFonts w:ascii="宋体" w:hAnsi="Times New Roman" w:eastAsia="宋体" w:cs="Times New Roman"/>
      <w:b/>
      <w:kern w:val="44"/>
      <w:sz w:val="32"/>
      <w:szCs w:val="20"/>
    </w:rPr>
  </w:style>
  <w:style w:type="character" w:customStyle="1" w:styleId="617">
    <w:name w:val="标题 2 字符"/>
    <w:qFormat/>
    <w:uiPriority w:val="9"/>
    <w:rPr>
      <w:rFonts w:ascii="Arial" w:hAnsi="Arial" w:eastAsia="黑体" w:cs="Times New Roman"/>
      <w:b/>
      <w:kern w:val="0"/>
      <w:sz w:val="30"/>
      <w:szCs w:val="20"/>
    </w:rPr>
  </w:style>
  <w:style w:type="character" w:customStyle="1" w:styleId="618">
    <w:name w:val="正文缩进 字符"/>
    <w:qFormat/>
    <w:uiPriority w:val="0"/>
    <w:rPr>
      <w:rFonts w:ascii="宋体" w:hAnsi="Times New Roman" w:eastAsia="宋体" w:cs="Times New Roman"/>
      <w:sz w:val="24"/>
      <w:szCs w:val="24"/>
    </w:rPr>
  </w:style>
  <w:style w:type="character" w:customStyle="1" w:styleId="619">
    <w:name w:val="标题 3 字符"/>
    <w:qFormat/>
    <w:uiPriority w:val="0"/>
    <w:rPr>
      <w:rFonts w:ascii="宋体" w:hAnsi="Times New Roman" w:eastAsia="宋体" w:cs="Times New Roman"/>
      <w:b/>
      <w:kern w:val="0"/>
      <w:sz w:val="24"/>
      <w:szCs w:val="20"/>
      <w:u w:val="single"/>
    </w:rPr>
  </w:style>
  <w:style w:type="character" w:customStyle="1" w:styleId="620">
    <w:name w:val="标题 4 字符"/>
    <w:qFormat/>
    <w:uiPriority w:val="0"/>
    <w:rPr>
      <w:rFonts w:ascii="Arial" w:hAnsi="Arial" w:eastAsia="黑体" w:cs="Times New Roman"/>
      <w:b/>
      <w:kern w:val="0"/>
      <w:sz w:val="28"/>
      <w:szCs w:val="20"/>
    </w:rPr>
  </w:style>
  <w:style w:type="character" w:customStyle="1" w:styleId="621">
    <w:name w:val="标题 5 字符"/>
    <w:qFormat/>
    <w:uiPriority w:val="0"/>
    <w:rPr>
      <w:rFonts w:ascii="Times New Roman" w:hAnsi="Times New Roman" w:eastAsia="宋体" w:cs="Times New Roman"/>
      <w:b/>
      <w:kern w:val="0"/>
      <w:sz w:val="28"/>
      <w:szCs w:val="20"/>
    </w:rPr>
  </w:style>
  <w:style w:type="character" w:customStyle="1" w:styleId="622">
    <w:name w:val="标题 6 字符"/>
    <w:qFormat/>
    <w:uiPriority w:val="0"/>
    <w:rPr>
      <w:rFonts w:ascii="Arial" w:hAnsi="Arial" w:eastAsia="黑体" w:cs="Times New Roman"/>
      <w:b/>
      <w:kern w:val="0"/>
      <w:sz w:val="24"/>
      <w:szCs w:val="20"/>
    </w:rPr>
  </w:style>
  <w:style w:type="character" w:customStyle="1" w:styleId="623">
    <w:name w:val="标题 7 字符"/>
    <w:qFormat/>
    <w:uiPriority w:val="0"/>
    <w:rPr>
      <w:rFonts w:ascii="Times New Roman" w:hAnsi="Times New Roman" w:eastAsia="宋体" w:cs="Times New Roman"/>
      <w:b/>
      <w:kern w:val="0"/>
      <w:sz w:val="24"/>
      <w:szCs w:val="20"/>
    </w:rPr>
  </w:style>
  <w:style w:type="character" w:customStyle="1" w:styleId="624">
    <w:name w:val="标题 8 字符"/>
    <w:qFormat/>
    <w:uiPriority w:val="0"/>
    <w:rPr>
      <w:rFonts w:ascii="Arial" w:hAnsi="Arial" w:eastAsia="黑体" w:cs="Times New Roman"/>
      <w:kern w:val="0"/>
      <w:sz w:val="24"/>
      <w:szCs w:val="20"/>
    </w:rPr>
  </w:style>
  <w:style w:type="character" w:customStyle="1" w:styleId="625">
    <w:name w:val="标题 9 字符"/>
    <w:qFormat/>
    <w:uiPriority w:val="0"/>
    <w:rPr>
      <w:rFonts w:ascii="Arial" w:hAnsi="Arial" w:eastAsia="黑体" w:cs="Times New Roman"/>
      <w:kern w:val="0"/>
      <w:szCs w:val="20"/>
    </w:rPr>
  </w:style>
  <w:style w:type="paragraph" w:customStyle="1" w:styleId="626">
    <w:name w:val="_Style 623"/>
    <w:basedOn w:val="1"/>
    <w:next w:val="112"/>
    <w:link w:val="647"/>
    <w:qFormat/>
    <w:uiPriority w:val="0"/>
    <w:pPr>
      <w:ind w:firstLine="420" w:firstLineChars="200"/>
    </w:pPr>
    <w:rPr>
      <w:rFonts w:ascii="Calibri" w:hAnsi="Calibri"/>
      <w:kern w:val="0"/>
      <w:sz w:val="20"/>
      <w:szCs w:val="20"/>
    </w:rPr>
  </w:style>
  <w:style w:type="character" w:customStyle="1" w:styleId="627">
    <w:name w:val="注释标题 字符1"/>
    <w:qFormat/>
    <w:uiPriority w:val="0"/>
    <w:rPr>
      <w:rFonts w:ascii="幼圆" w:hAnsi="Times New Roman" w:eastAsia="幼圆" w:cs="Times New Roman"/>
      <w:b/>
      <w:sz w:val="32"/>
      <w:szCs w:val="32"/>
    </w:rPr>
  </w:style>
  <w:style w:type="character" w:customStyle="1" w:styleId="628">
    <w:name w:val="文档结构图 字符"/>
    <w:qFormat/>
    <w:uiPriority w:val="0"/>
    <w:rPr>
      <w:rFonts w:ascii="Times New Roman" w:hAnsi="Times New Roman" w:eastAsia="宋体" w:cs="Times New Roman"/>
      <w:szCs w:val="24"/>
      <w:shd w:val="clear" w:color="auto" w:fill="000080"/>
    </w:rPr>
  </w:style>
  <w:style w:type="character" w:customStyle="1" w:styleId="629">
    <w:name w:val="批注文字 字符1"/>
    <w:qFormat/>
    <w:uiPriority w:val="99"/>
    <w:rPr>
      <w:rFonts w:ascii="Times New Roman" w:hAnsi="Times New Roman" w:eastAsia="宋体" w:cs="Times New Roman"/>
      <w:szCs w:val="24"/>
    </w:rPr>
  </w:style>
  <w:style w:type="character" w:customStyle="1" w:styleId="630">
    <w:name w:val="正文文本 3 字符"/>
    <w:qFormat/>
    <w:uiPriority w:val="0"/>
    <w:rPr>
      <w:rFonts w:ascii="Times New Roman" w:hAnsi="Times New Roman" w:eastAsia="宋体" w:cs="Times New Roman"/>
      <w:sz w:val="16"/>
      <w:szCs w:val="16"/>
    </w:rPr>
  </w:style>
  <w:style w:type="character" w:customStyle="1" w:styleId="631">
    <w:name w:val="正文文本 字符"/>
    <w:qFormat/>
    <w:uiPriority w:val="0"/>
    <w:rPr>
      <w:rFonts w:ascii="宋体" w:hAnsi="宋体" w:eastAsia="宋体" w:cs="Times New Roman"/>
      <w:sz w:val="24"/>
      <w:szCs w:val="24"/>
    </w:rPr>
  </w:style>
  <w:style w:type="character" w:customStyle="1" w:styleId="632">
    <w:name w:val="正文文本缩进 字符"/>
    <w:qFormat/>
    <w:uiPriority w:val="0"/>
    <w:rPr>
      <w:rFonts w:ascii="Times New Roman" w:hAnsi="Times New Roman" w:eastAsia="宋体" w:cs="Times New Roman"/>
      <w:sz w:val="24"/>
      <w:szCs w:val="24"/>
    </w:rPr>
  </w:style>
  <w:style w:type="character" w:customStyle="1" w:styleId="633">
    <w:name w:val="纯文本 字符2"/>
    <w:qFormat/>
    <w:uiPriority w:val="0"/>
    <w:rPr>
      <w:rFonts w:ascii="宋体" w:hAnsi="Courier New" w:eastAsia="宋体" w:cs="Times New Roman"/>
      <w:szCs w:val="20"/>
    </w:rPr>
  </w:style>
  <w:style w:type="character" w:customStyle="1" w:styleId="634">
    <w:name w:val="日期 字符"/>
    <w:qFormat/>
    <w:uiPriority w:val="0"/>
    <w:rPr>
      <w:rFonts w:ascii="仿宋_GB2312" w:hAnsi="宋体" w:eastAsia="仿宋_GB2312" w:cs="Times New Roman"/>
      <w:color w:val="000000"/>
      <w:sz w:val="24"/>
      <w:szCs w:val="24"/>
    </w:rPr>
  </w:style>
  <w:style w:type="character" w:customStyle="1" w:styleId="635">
    <w:name w:val="正文文本缩进 2 字符"/>
    <w:qFormat/>
    <w:uiPriority w:val="0"/>
    <w:rPr>
      <w:rFonts w:ascii="仿宋_GB2312" w:hAnsi="Times New Roman" w:eastAsia="仿宋_GB2312" w:cs="Times New Roman"/>
      <w:sz w:val="24"/>
      <w:szCs w:val="24"/>
    </w:rPr>
  </w:style>
  <w:style w:type="character" w:customStyle="1" w:styleId="636">
    <w:name w:val="批注框文本 字符"/>
    <w:qFormat/>
    <w:uiPriority w:val="0"/>
    <w:rPr>
      <w:rFonts w:ascii="Times New Roman" w:hAnsi="Times New Roman" w:eastAsia="宋体" w:cs="Times New Roman"/>
      <w:sz w:val="18"/>
      <w:szCs w:val="18"/>
    </w:rPr>
  </w:style>
  <w:style w:type="character" w:customStyle="1" w:styleId="637">
    <w:name w:val="页脚 字符"/>
    <w:qFormat/>
    <w:uiPriority w:val="99"/>
    <w:rPr>
      <w:sz w:val="18"/>
      <w:szCs w:val="18"/>
    </w:rPr>
  </w:style>
  <w:style w:type="character" w:customStyle="1" w:styleId="638">
    <w:name w:val="页眉 字符"/>
    <w:qFormat/>
    <w:uiPriority w:val="0"/>
    <w:rPr>
      <w:sz w:val="18"/>
      <w:szCs w:val="18"/>
    </w:rPr>
  </w:style>
  <w:style w:type="character" w:customStyle="1" w:styleId="639">
    <w:name w:val="副标题 字符1"/>
    <w:qFormat/>
    <w:uiPriority w:val="11"/>
    <w:rPr>
      <w:rFonts w:ascii="Cambria" w:hAnsi="Cambria" w:eastAsia="宋体" w:cs="Times New Roman"/>
      <w:kern w:val="0"/>
      <w:sz w:val="24"/>
      <w:szCs w:val="24"/>
    </w:rPr>
  </w:style>
  <w:style w:type="character" w:customStyle="1" w:styleId="640">
    <w:name w:val="正文文本缩进 3 字符"/>
    <w:qFormat/>
    <w:uiPriority w:val="0"/>
    <w:rPr>
      <w:rFonts w:ascii="宋体" w:hAnsi="Times New Roman" w:eastAsia="宋体" w:cs="Times New Roman"/>
      <w:kern w:val="0"/>
      <w:sz w:val="24"/>
      <w:szCs w:val="20"/>
    </w:rPr>
  </w:style>
  <w:style w:type="character" w:customStyle="1" w:styleId="641">
    <w:name w:val="正文文本 2 字符2"/>
    <w:qFormat/>
    <w:uiPriority w:val="0"/>
    <w:rPr>
      <w:rFonts w:ascii="Times New Roman" w:hAnsi="Times New Roman" w:eastAsia="黑体" w:cs="Times New Roman"/>
      <w:bCs/>
      <w:kern w:val="0"/>
      <w:sz w:val="24"/>
      <w:szCs w:val="24"/>
    </w:rPr>
  </w:style>
  <w:style w:type="character" w:customStyle="1" w:styleId="642">
    <w:name w:val="HTML 预设格式 字符"/>
    <w:qFormat/>
    <w:uiPriority w:val="0"/>
    <w:rPr>
      <w:rFonts w:ascii="宋体" w:hAnsi="宋体" w:eastAsia="宋体" w:cs="宋体"/>
      <w:kern w:val="0"/>
      <w:sz w:val="24"/>
      <w:szCs w:val="24"/>
    </w:rPr>
  </w:style>
  <w:style w:type="character" w:customStyle="1" w:styleId="643">
    <w:name w:val="标题 字符"/>
    <w:qFormat/>
    <w:uiPriority w:val="99"/>
    <w:rPr>
      <w:rFonts w:ascii="Times New Roman" w:hAnsi="Times New Roman" w:eastAsia="宋体" w:cs="Times New Roman"/>
      <w:b/>
      <w:sz w:val="32"/>
      <w:szCs w:val="20"/>
    </w:rPr>
  </w:style>
  <w:style w:type="character" w:customStyle="1" w:styleId="644">
    <w:name w:val="批注主题 字符"/>
    <w:qFormat/>
    <w:uiPriority w:val="0"/>
    <w:rPr>
      <w:rFonts w:ascii="Times New Roman" w:hAnsi="Times New Roman" w:eastAsia="宋体" w:cs="Times New Roman"/>
      <w:b/>
      <w:bCs/>
      <w:szCs w:val="24"/>
    </w:rPr>
  </w:style>
  <w:style w:type="character" w:customStyle="1" w:styleId="645">
    <w:name w:val="正文文本首行缩进 字符1"/>
    <w:qFormat/>
    <w:uiPriority w:val="0"/>
    <w:rPr>
      <w:rFonts w:ascii="Times New Roman" w:hAnsi="Times New Roman" w:eastAsia="宋体" w:cs="Times New Roman"/>
      <w:kern w:val="0"/>
      <w:sz w:val="20"/>
      <w:szCs w:val="20"/>
    </w:rPr>
  </w:style>
  <w:style w:type="character" w:customStyle="1" w:styleId="646">
    <w:name w:val="正文文本首行缩进 2 字符"/>
    <w:qFormat/>
    <w:uiPriority w:val="0"/>
    <w:rPr>
      <w:rFonts w:ascii="Times New Roman" w:hAnsi="Times New Roman" w:eastAsia="宋体" w:cs="Times New Roman"/>
      <w:sz w:val="24"/>
      <w:szCs w:val="20"/>
    </w:rPr>
  </w:style>
  <w:style w:type="character" w:customStyle="1" w:styleId="647">
    <w:name w:val="列表段落 字符"/>
    <w:link w:val="626"/>
    <w:qFormat/>
    <w:uiPriority w:val="0"/>
    <w:rPr>
      <w:rFonts w:ascii="Calibri" w:hAnsi="Calibri"/>
    </w:rPr>
  </w:style>
  <w:style w:type="character" w:customStyle="1" w:styleId="648">
    <w:name w:val="引用 字符1"/>
    <w:qFormat/>
    <w:uiPriority w:val="29"/>
    <w:rPr>
      <w:rFonts w:ascii="Calibri" w:hAnsi="Calibri"/>
      <w:i/>
      <w:sz w:val="24"/>
      <w:szCs w:val="24"/>
    </w:rPr>
  </w:style>
  <w:style w:type="character" w:customStyle="1" w:styleId="649">
    <w:name w:val="明显引用 字符1"/>
    <w:qFormat/>
    <w:uiPriority w:val="30"/>
    <w:rPr>
      <w:rFonts w:ascii="Calibri" w:hAnsi="Calibri"/>
      <w:b/>
      <w:i/>
      <w:sz w:val="24"/>
    </w:rPr>
  </w:style>
  <w:style w:type="paragraph" w:customStyle="1" w:styleId="650">
    <w:name w:val="Revision1"/>
    <w:semiHidden/>
    <w:qFormat/>
    <w:uiPriority w:val="99"/>
    <w:rPr>
      <w:rFonts w:ascii="Times New Roman" w:hAnsi="Times New Roman" w:eastAsia="宋体" w:cs="Times New Roman"/>
      <w:kern w:val="2"/>
      <w:sz w:val="21"/>
      <w:szCs w:val="24"/>
      <w:lang w:val="en-US" w:eastAsia="zh-CN" w:bidi="ar-SA"/>
    </w:rPr>
  </w:style>
  <w:style w:type="paragraph" w:customStyle="1" w:styleId="651">
    <w:name w:val="TOC Heading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652">
    <w:name w:val="未处理的提及5"/>
    <w:unhideWhenUsed/>
    <w:qFormat/>
    <w:uiPriority w:val="99"/>
    <w:rPr>
      <w:color w:val="605E5C"/>
      <w:shd w:val="clear" w:color="auto" w:fill="E1DFDD"/>
    </w:rPr>
  </w:style>
  <w:style w:type="character" w:customStyle="1" w:styleId="653">
    <w:name w:val="Char111 Char"/>
    <w:link w:val="654"/>
    <w:qFormat/>
    <w:uiPriority w:val="99"/>
    <w:rPr>
      <w:rFonts w:ascii="Tahoma" w:hAnsi="Tahoma"/>
      <w:sz w:val="24"/>
    </w:rPr>
  </w:style>
  <w:style w:type="paragraph" w:customStyle="1" w:styleId="654">
    <w:name w:val="Char111"/>
    <w:basedOn w:val="1"/>
    <w:link w:val="653"/>
    <w:qFormat/>
    <w:uiPriority w:val="99"/>
    <w:rPr>
      <w:rFonts w:ascii="Tahoma" w:hAnsi="Tahoma"/>
      <w:kern w:val="0"/>
      <w:sz w:val="24"/>
      <w:szCs w:val="20"/>
    </w:rPr>
  </w:style>
  <w:style w:type="character" w:customStyle="1" w:styleId="655">
    <w:name w:val="样式 标题 2 + Times New Roman 四号 非加粗 段前: 5 磅 段后: 0 磅 行距: 固定值 20... Char"/>
    <w:link w:val="416"/>
    <w:qFormat/>
    <w:uiPriority w:val="99"/>
    <w:rPr>
      <w:rFonts w:eastAsia="黑体" w:cs="宋体"/>
      <w:kern w:val="2"/>
      <w:sz w:val="28"/>
    </w:rPr>
  </w:style>
  <w:style w:type="character" w:customStyle="1" w:styleId="656">
    <w:name w:val="样式 标题 3 + (中文) 黑体 小四 非加粗 段前: 7.8 磅 段后: 0 磅 行距: 固定值 20 磅 Char"/>
    <w:link w:val="412"/>
    <w:qFormat/>
    <w:uiPriority w:val="0"/>
    <w:rPr>
      <w:rFonts w:ascii="黑体" w:hAnsi="宋体" w:eastAsia="黑体" w:cs="宋体"/>
      <w:kern w:val="2"/>
      <w:sz w:val="24"/>
    </w:rPr>
  </w:style>
  <w:style w:type="paragraph" w:customStyle="1" w:styleId="657">
    <w:name w:val="Char Char Char Char11"/>
    <w:basedOn w:val="1"/>
    <w:qFormat/>
    <w:uiPriority w:val="99"/>
    <w:pPr>
      <w:widowControl/>
      <w:spacing w:after="160" w:line="240" w:lineRule="exact"/>
      <w:jc w:val="left"/>
    </w:pPr>
    <w:rPr>
      <w:szCs w:val="20"/>
    </w:rPr>
  </w:style>
  <w:style w:type="paragraph" w:customStyle="1" w:styleId="65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9">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660">
    <w:name w:val="修订61"/>
    <w:unhideWhenUsed/>
    <w:qFormat/>
    <w:uiPriority w:val="99"/>
    <w:rPr>
      <w:rFonts w:ascii="Times New Roman" w:hAnsi="Times New Roman" w:eastAsia="宋体" w:cs="Times New Roman"/>
      <w:kern w:val="2"/>
      <w:sz w:val="21"/>
      <w:szCs w:val="24"/>
      <w:lang w:val="en-US" w:eastAsia="zh-CN" w:bidi="ar-SA"/>
    </w:rPr>
  </w:style>
  <w:style w:type="paragraph" w:customStyle="1" w:styleId="661">
    <w:name w:val="普通 (Web)"/>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662">
    <w:name w:val="Body text|2 + Arial"/>
    <w:basedOn w:val="56"/>
    <w:unhideWhenUsed/>
    <w:qFormat/>
    <w:uiPriority w:val="0"/>
    <w:rPr>
      <w:rFonts w:ascii="Arial" w:hAnsi="Arial" w:eastAsia="Arial" w:cs="Arial"/>
      <w:color w:val="000000"/>
      <w:spacing w:val="0"/>
      <w:w w:val="100"/>
      <w:position w:val="0"/>
      <w:sz w:val="28"/>
      <w:szCs w:val="28"/>
      <w:u w:val="none"/>
      <w:lang w:val="en-US" w:eastAsia="en-US" w:bidi="en-US"/>
    </w:rPr>
  </w:style>
  <w:style w:type="character" w:customStyle="1" w:styleId="663">
    <w:name w:val="gg4f29"/>
    <w:basedOn w:val="56"/>
    <w:qFormat/>
    <w:uiPriority w:val="0"/>
  </w:style>
  <w:style w:type="paragraph" w:customStyle="1" w:styleId="664">
    <w:name w:val="_Style 6"/>
    <w:basedOn w:val="2"/>
    <w:next w:val="1"/>
    <w:qFormat/>
    <w:uiPriority w:val="0"/>
    <w:pPr>
      <w:spacing w:before="120"/>
      <w:ind w:firstLine="600" w:firstLineChars="200"/>
      <w:textAlignment w:val="baseline"/>
      <w:outlineLvl w:val="9"/>
    </w:pPr>
    <w:rPr>
      <w:rFonts w:ascii="华文中宋" w:hAnsi="华文中宋" w:eastAsia="华文中宋"/>
      <w:b w:val="0"/>
      <w:color w:val="000000"/>
      <w:szCs w:val="44"/>
    </w:rPr>
  </w:style>
  <w:style w:type="paragraph" w:customStyle="1" w:styleId="665">
    <w:name w:val="Body text|1"/>
    <w:basedOn w:val="1"/>
    <w:autoRedefine/>
    <w:qFormat/>
    <w:uiPriority w:val="0"/>
    <w:pPr>
      <w:spacing w:line="480" w:lineRule="auto"/>
      <w:ind w:firstLine="380"/>
      <w:jc w:val="left"/>
    </w:pPr>
    <w:rPr>
      <w:rFonts w:ascii="宋体" w:hAnsi="宋体" w:cs="宋体"/>
      <w:kern w:val="0"/>
      <w:sz w:val="20"/>
      <w:szCs w:val="20"/>
      <w:lang w:val="zh-TW" w:eastAsia="zh-TW" w:bidi="zh-TW"/>
    </w:rPr>
  </w:style>
  <w:style w:type="paragraph" w:customStyle="1" w:styleId="666">
    <w:name w:val="修订7"/>
    <w:hidden/>
    <w:unhideWhenUsed/>
    <w:qFormat/>
    <w:uiPriority w:val="99"/>
    <w:rPr>
      <w:rFonts w:ascii="Times New Roman" w:hAnsi="Times New Roman" w:eastAsia="宋体" w:cs="Times New Roman"/>
      <w:kern w:val="2"/>
      <w:sz w:val="21"/>
      <w:szCs w:val="24"/>
      <w:lang w:val="en-US" w:eastAsia="zh-CN" w:bidi="ar-SA"/>
    </w:rPr>
  </w:style>
  <w:style w:type="paragraph" w:customStyle="1" w:styleId="667">
    <w:name w:val="Table Text"/>
    <w:basedOn w:val="1"/>
    <w:semiHidden/>
    <w:qFormat/>
    <w:uiPriority w:val="0"/>
    <w:rPr>
      <w:rFonts w:ascii="Arial" w:hAnsi="Arial" w:eastAsia="Arial" w:cs="Arial"/>
      <w:szCs w:val="21"/>
      <w:lang w:eastAsia="en-US"/>
    </w:rPr>
  </w:style>
  <w:style w:type="paragraph" w:customStyle="1" w:styleId="668">
    <w:name w:val="修订8"/>
    <w:hidden/>
    <w:unhideWhenUsed/>
    <w:qFormat/>
    <w:uiPriority w:val="99"/>
    <w:rPr>
      <w:rFonts w:ascii="Times New Roman" w:hAnsi="Times New Roman" w:eastAsia="宋体" w:cs="Times New Roman"/>
      <w:kern w:val="2"/>
      <w:sz w:val="21"/>
      <w:szCs w:val="24"/>
      <w:lang w:val="en-US" w:eastAsia="zh-CN" w:bidi="ar-SA"/>
    </w:rPr>
  </w:style>
  <w:style w:type="paragraph" w:customStyle="1" w:styleId="669">
    <w:name w:val="修订9"/>
    <w:hidden/>
    <w:unhideWhenUsed/>
    <w:qFormat/>
    <w:uiPriority w:val="99"/>
    <w:rPr>
      <w:rFonts w:ascii="Times New Roman" w:hAnsi="Times New Roman" w:eastAsia="宋体" w:cs="Times New Roman"/>
      <w:kern w:val="2"/>
      <w:sz w:val="21"/>
      <w:szCs w:val="24"/>
      <w:lang w:val="en-US" w:eastAsia="zh-CN" w:bidi="ar-SA"/>
    </w:rPr>
  </w:style>
  <w:style w:type="paragraph" w:customStyle="1" w:styleId="67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theme" Target="theme/theme1.xml"/><Relationship Id="rId34" Type="http://schemas.openxmlformats.org/officeDocument/2006/relationships/footer" Target="footer18.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header" Target="header10.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865A0E-80B5-477B-BBCE-88EF0EF8751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69</Pages>
  <Words>8030</Words>
  <Characters>8731</Characters>
  <Lines>352</Lines>
  <Paragraphs>99</Paragraphs>
  <TotalTime>1</TotalTime>
  <ScaleCrop>false</ScaleCrop>
  <LinksUpToDate>false</LinksUpToDate>
  <CharactersWithSpaces>8947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2025-09-24T13:18:00Z</dcterms:created>
  <dc:creator>Yin Hao</dc:creator>
  <cp:lastModifiedBy>OPA</cp:lastModifiedBy>
  <cp:lastPrinted>2023-05-25T12:03:00Z</cp:lastPrinted>
  <dcterms:modified xsi:type="dcterms:W3CDTF">2026-02-28T07:12:37Z</dcterms:modified>
  <dc:title>02年杜范本稿</dc:title>
  <cp:revision>367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693B823A8E114284A04CD72105CE1D10_13</vt:lpwstr>
  </property>
  <property fmtid="{D5CDD505-2E9C-101B-9397-08002B2CF9AE}" pid="4" name="KSOTemplateDocerSaveRecord">
    <vt:lpwstr>eyJoZGlkIjoiMmZmODhkODhhZDhlOTJiOGJhODk0YmVjYjIyZmQzMWMiLCJ1c2VySWQiOiIzODU0OTM4MDEifQ==</vt:lpwstr>
  </property>
</Properties>
</file>