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20088">
      <w:pPr>
        <w:keepNext w:val="0"/>
        <w:keepLines w:val="0"/>
        <w:pageBreakBefore w:val="0"/>
        <w:widowControl w:val="0"/>
        <w:shd w:val="clear" w:color="auto" w:fill="auto"/>
        <w:kinsoku/>
        <w:wordWrap/>
        <w:overflowPunct/>
        <w:topLinePunct w:val="0"/>
        <w:autoSpaceDE/>
        <w:autoSpaceDN/>
        <w:bidi w:val="0"/>
        <w:adjustRightInd/>
        <w:snapToGrid/>
        <w:spacing w:before="926" w:beforeLines="200"/>
        <w:jc w:val="center"/>
        <w:textAlignment w:val="auto"/>
        <w:rPr>
          <w:rFonts w:hint="eastAsia" w:ascii="仿宋" w:hAnsi="仿宋" w:eastAsia="仿宋" w:cs="仿宋"/>
          <w:b/>
          <w:bCs/>
          <w:color w:val="auto"/>
          <w:sz w:val="60"/>
          <w:szCs w:val="60"/>
          <w:highlight w:val="none"/>
        </w:rPr>
      </w:pPr>
      <w:r>
        <w:rPr>
          <w:rFonts w:hint="eastAsia" w:ascii="仿宋" w:hAnsi="仿宋" w:eastAsia="仿宋" w:cs="仿宋"/>
          <w:b/>
          <w:bCs/>
          <w:color w:val="auto"/>
          <w:sz w:val="60"/>
          <w:szCs w:val="60"/>
          <w:highlight w:val="none"/>
        </w:rPr>
        <w:t>北京市政府采购项目</w:t>
      </w:r>
    </w:p>
    <w:p w14:paraId="035EF24E">
      <w:pPr>
        <w:shd w:val="clear" w:color="auto" w:fill="auto"/>
        <w:jc w:val="center"/>
        <w:rPr>
          <w:rFonts w:hint="eastAsia" w:ascii="仿宋" w:hAnsi="仿宋" w:eastAsia="仿宋" w:cs="仿宋"/>
          <w:b/>
          <w:bCs/>
          <w:color w:val="auto"/>
          <w:sz w:val="60"/>
          <w:szCs w:val="60"/>
          <w:highlight w:val="none"/>
        </w:rPr>
      </w:pPr>
      <w:r>
        <w:rPr>
          <w:rFonts w:hint="eastAsia" w:ascii="仿宋" w:hAnsi="仿宋" w:eastAsia="仿宋" w:cs="仿宋"/>
          <w:b/>
          <w:bCs/>
          <w:color w:val="auto"/>
          <w:sz w:val="60"/>
          <w:szCs w:val="60"/>
          <w:highlight w:val="none"/>
        </w:rPr>
        <w:t>竞争性磋商文件</w:t>
      </w:r>
    </w:p>
    <w:p w14:paraId="28B93863">
      <w:pPr>
        <w:shd w:val="clear" w:color="auto" w:fill="auto"/>
        <w:jc w:val="center"/>
        <w:rPr>
          <w:rFonts w:hint="eastAsia" w:ascii="仿宋" w:hAnsi="仿宋" w:eastAsia="仿宋" w:cs="仿宋"/>
          <w:b/>
          <w:bCs/>
          <w:color w:val="auto"/>
          <w:sz w:val="60"/>
          <w:szCs w:val="60"/>
          <w:highlight w:val="none"/>
        </w:rPr>
      </w:pPr>
    </w:p>
    <w:p w14:paraId="55B7CD4D">
      <w:pPr>
        <w:shd w:val="clear" w:color="auto" w:fill="auto"/>
        <w:jc w:val="center"/>
        <w:rPr>
          <w:rFonts w:hint="eastAsia" w:ascii="仿宋" w:hAnsi="仿宋" w:eastAsia="仿宋" w:cs="仿宋"/>
          <w:b/>
          <w:bCs/>
          <w:color w:val="auto"/>
          <w:sz w:val="60"/>
          <w:szCs w:val="60"/>
          <w:highlight w:val="none"/>
        </w:rPr>
      </w:pPr>
      <w:r>
        <w:rPr>
          <w:rFonts w:hint="eastAsia" w:ascii="仿宋" w:hAnsi="仿宋" w:eastAsia="仿宋" w:cs="仿宋"/>
          <w:b/>
          <w:color w:val="auto"/>
          <w:sz w:val="30"/>
          <w:szCs w:val="30"/>
          <w:highlight w:val="none"/>
        </w:rPr>
        <w:drawing>
          <wp:inline distT="0" distB="0" distL="114300" distR="114300">
            <wp:extent cx="3603625" cy="2927350"/>
            <wp:effectExtent l="0" t="0" r="8255" b="13970"/>
            <wp:docPr id="1" name="图片 1" descr="C:\Users\GJLX\Desktop\中钰图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GJLX\Desktop\中钰图标.jpg"/>
                    <pic:cNvPicPr>
                      <a:picLocks noChangeAspect="1"/>
                    </pic:cNvPicPr>
                  </pic:nvPicPr>
                  <pic:blipFill>
                    <a:blip r:embed="rId28"/>
                    <a:stretch>
                      <a:fillRect/>
                    </a:stretch>
                  </pic:blipFill>
                  <pic:spPr>
                    <a:xfrm>
                      <a:off x="0" y="0"/>
                      <a:ext cx="3603625" cy="2927350"/>
                    </a:xfrm>
                    <a:prstGeom prst="rect">
                      <a:avLst/>
                    </a:prstGeom>
                    <a:noFill/>
                    <a:ln>
                      <a:noFill/>
                    </a:ln>
                  </pic:spPr>
                </pic:pic>
              </a:graphicData>
            </a:graphic>
          </wp:inline>
        </w:drawing>
      </w:r>
    </w:p>
    <w:p w14:paraId="028E7877">
      <w:pPr>
        <w:keepNext w:val="0"/>
        <w:keepLines w:val="0"/>
        <w:pageBreakBefore w:val="0"/>
        <w:widowControl w:val="0"/>
        <w:shd w:val="clear" w:color="auto" w:fill="auto"/>
        <w:tabs>
          <w:tab w:val="left" w:pos="3240"/>
          <w:tab w:val="left" w:pos="3420"/>
        </w:tabs>
        <w:kinsoku/>
        <w:wordWrap/>
        <w:overflowPunct/>
        <w:topLinePunct w:val="0"/>
        <w:autoSpaceDE/>
        <w:autoSpaceDN/>
        <w:bidi w:val="0"/>
        <w:adjustRightInd/>
        <w:snapToGrid/>
        <w:spacing w:before="695" w:beforeLines="150" w:line="360" w:lineRule="auto"/>
        <w:ind w:left="2752" w:leftChars="304" w:hanging="2114" w:hangingChars="585"/>
        <w:jc w:val="left"/>
        <w:textAlignment w:val="auto"/>
        <w:rPr>
          <w:rFonts w:hint="default"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eastAsia="zh-CN"/>
        </w:rPr>
        <w:t>项目名称：</w:t>
      </w:r>
      <w:r>
        <w:rPr>
          <w:rFonts w:hint="eastAsia" w:ascii="仿宋" w:hAnsi="仿宋" w:eastAsia="仿宋" w:cs="仿宋"/>
          <w:b/>
          <w:color w:val="auto"/>
          <w:sz w:val="36"/>
          <w:szCs w:val="36"/>
          <w:highlight w:val="none"/>
          <w:lang w:val="en-US" w:eastAsia="zh-CN"/>
        </w:rPr>
        <w:t>2026年大红门街道餐饮服务采购项目</w:t>
      </w:r>
    </w:p>
    <w:p w14:paraId="7B81939B">
      <w:pPr>
        <w:shd w:val="clear" w:color="auto" w:fill="auto"/>
        <w:tabs>
          <w:tab w:val="left" w:pos="3240"/>
          <w:tab w:val="left" w:pos="3420"/>
        </w:tabs>
        <w:spacing w:line="360" w:lineRule="auto"/>
        <w:ind w:left="2752" w:leftChars="304" w:hanging="2114" w:hangingChars="585"/>
        <w:jc w:val="left"/>
        <w:rPr>
          <w:rFonts w:hint="default"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rPr>
        <w:t>项目编号：</w:t>
      </w:r>
      <w:r>
        <w:rPr>
          <w:rFonts w:hint="eastAsia" w:ascii="仿宋" w:hAnsi="仿宋" w:eastAsia="仿宋" w:cs="仿宋"/>
          <w:b/>
          <w:color w:val="auto"/>
          <w:sz w:val="36"/>
          <w:szCs w:val="36"/>
          <w:highlight w:val="none"/>
          <w:lang w:val="en-US" w:eastAsia="zh-CN"/>
        </w:rPr>
        <w:t>11010626210200027030-XM001</w:t>
      </w:r>
    </w:p>
    <w:p w14:paraId="1B8657CC">
      <w:pPr>
        <w:shd w:val="clear" w:color="auto" w:fill="auto"/>
        <w:tabs>
          <w:tab w:val="left" w:pos="3240"/>
          <w:tab w:val="left" w:pos="3420"/>
        </w:tabs>
        <w:spacing w:line="360" w:lineRule="auto"/>
        <w:ind w:left="2752" w:leftChars="304" w:hanging="2114" w:hangingChars="585"/>
        <w:jc w:val="left"/>
        <w:rPr>
          <w:rFonts w:hint="default"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rPr>
        <w:t>招标编号：</w:t>
      </w:r>
      <w:r>
        <w:rPr>
          <w:rFonts w:hint="eastAsia" w:ascii="仿宋" w:hAnsi="仿宋" w:eastAsia="仿宋" w:cs="仿宋"/>
          <w:b/>
          <w:color w:val="auto"/>
          <w:sz w:val="36"/>
          <w:szCs w:val="36"/>
          <w:highlight w:val="none"/>
          <w:lang w:val="en-US" w:eastAsia="zh-CN"/>
        </w:rPr>
        <w:t>ZYZB-2026-0092</w:t>
      </w:r>
    </w:p>
    <w:p w14:paraId="2A05F779">
      <w:pPr>
        <w:shd w:val="clear" w:color="auto" w:fill="auto"/>
        <w:tabs>
          <w:tab w:val="left" w:pos="3240"/>
          <w:tab w:val="left" w:pos="3420"/>
        </w:tabs>
        <w:spacing w:line="360" w:lineRule="auto"/>
        <w:ind w:left="2752" w:leftChars="304" w:hanging="2114" w:hangingChars="585"/>
        <w:jc w:val="left"/>
        <w:rPr>
          <w:rFonts w:hint="default"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rPr>
        <w:t>采购人：</w:t>
      </w:r>
      <w:r>
        <w:rPr>
          <w:rFonts w:hint="eastAsia" w:ascii="仿宋" w:hAnsi="仿宋" w:eastAsia="仿宋" w:cs="仿宋"/>
          <w:b/>
          <w:color w:val="auto"/>
          <w:sz w:val="36"/>
          <w:szCs w:val="36"/>
          <w:highlight w:val="none"/>
          <w:lang w:eastAsia="zh-CN"/>
        </w:rPr>
        <w:t>北京市丰台区人民政府大红门街道办事处</w:t>
      </w:r>
    </w:p>
    <w:p w14:paraId="69866963">
      <w:pPr>
        <w:shd w:val="clear" w:color="auto" w:fill="auto"/>
        <w:tabs>
          <w:tab w:val="left" w:pos="3240"/>
          <w:tab w:val="left" w:pos="3420"/>
        </w:tabs>
        <w:spacing w:line="360" w:lineRule="auto"/>
        <w:ind w:left="2752" w:leftChars="304" w:hanging="2114" w:hangingChars="585"/>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采购代理机构：中钰招标有限公司</w:t>
      </w:r>
    </w:p>
    <w:p w14:paraId="2388DB56">
      <w:pPr>
        <w:shd w:val="clear" w:color="auto" w:fill="auto"/>
        <w:spacing w:line="360" w:lineRule="auto"/>
        <w:jc w:val="center"/>
        <w:outlineLvl w:val="0"/>
        <w:rPr>
          <w:rFonts w:hint="eastAsia" w:ascii="仿宋" w:hAnsi="仿宋" w:eastAsia="仿宋" w:cs="仿宋"/>
          <w:b/>
          <w:color w:val="auto"/>
          <w:sz w:val="36"/>
          <w:szCs w:val="36"/>
          <w:highlight w:val="none"/>
        </w:rPr>
      </w:pPr>
    </w:p>
    <w:p w14:paraId="1CE4F6B1">
      <w:pPr>
        <w:pStyle w:val="36"/>
        <w:rPr>
          <w:rFonts w:hint="eastAsia"/>
          <w:highlight w:val="none"/>
        </w:rPr>
        <w:sectPr>
          <w:headerReference r:id="rId4" w:type="first"/>
          <w:headerReference r:id="rId3" w:type="default"/>
          <w:pgSz w:w="11907" w:h="16840"/>
          <w:pgMar w:top="1418" w:right="1134" w:bottom="1418" w:left="1701" w:header="851" w:footer="851" w:gutter="0"/>
          <w:pgBorders>
            <w:top w:val="none" w:sz="0" w:space="0"/>
            <w:left w:val="none" w:sz="0" w:space="0"/>
            <w:bottom w:val="none" w:sz="0" w:space="0"/>
            <w:right w:val="none" w:sz="0" w:space="0"/>
          </w:pgBorders>
          <w:pgNumType w:fmt="decimal" w:start="1"/>
          <w:cols w:space="720" w:num="1"/>
          <w:titlePg/>
          <w:docGrid w:linePitch="462" w:charSpace="0"/>
        </w:sectPr>
      </w:pPr>
    </w:p>
    <w:p w14:paraId="59370BC1">
      <w:pPr>
        <w:shd w:val="clear" w:color="auto" w:fill="auto"/>
        <w:spacing w:line="360" w:lineRule="auto"/>
        <w:jc w:val="center"/>
        <w:outlineLvl w:val="0"/>
        <w:rPr>
          <w:rFonts w:hint="eastAsia" w:ascii="仿宋" w:hAnsi="仿宋" w:eastAsia="仿宋" w:cs="仿宋"/>
          <w:b/>
          <w:color w:val="auto"/>
          <w:sz w:val="36"/>
          <w:szCs w:val="36"/>
          <w:highlight w:val="none"/>
        </w:rPr>
      </w:pPr>
      <w:bookmarkStart w:id="0" w:name="_Toc7726"/>
      <w:bookmarkStart w:id="1" w:name="_Toc3943"/>
      <w:r>
        <w:rPr>
          <w:rFonts w:hint="eastAsia" w:ascii="仿宋" w:hAnsi="仿宋" w:eastAsia="仿宋" w:cs="仿宋"/>
          <w:b/>
          <w:color w:val="auto"/>
          <w:sz w:val="36"/>
          <w:szCs w:val="36"/>
          <w:highlight w:val="none"/>
        </w:rPr>
        <w:t>目录</w:t>
      </w:r>
      <w:bookmarkEnd w:id="0"/>
      <w:bookmarkEnd w:id="1"/>
    </w:p>
    <w:sdt>
      <w:sdtPr>
        <w:rPr>
          <w:rFonts w:ascii="宋体" w:hAnsi="宋体" w:eastAsia="宋体" w:cs="Times New Roman"/>
          <w:kern w:val="2"/>
          <w:sz w:val="21"/>
          <w:szCs w:val="24"/>
          <w:lang w:val="en-US" w:eastAsia="zh-CN" w:bidi="ar-SA"/>
        </w:rPr>
        <w:id w:val="147458568"/>
        <w15:color w:val="DBDBDB"/>
        <w:docPartObj>
          <w:docPartGallery w:val="Table of Contents"/>
          <w:docPartUnique/>
        </w:docPartObj>
      </w:sdtPr>
      <w:sdtEndPr>
        <w:rPr>
          <w:rFonts w:hint="eastAsia" w:ascii="Times New Roman" w:hAnsi="Times New Roman" w:eastAsia="宋体" w:cs="Times New Roman"/>
          <w:kern w:val="2"/>
          <w:sz w:val="21"/>
          <w:szCs w:val="24"/>
          <w:lang w:val="en-US" w:eastAsia="zh-CN" w:bidi="ar-SA"/>
        </w:rPr>
      </w:sdtEndPr>
      <w:sdtContent>
        <w:p w14:paraId="4370690E">
          <w:pPr>
            <w:spacing w:before="0" w:beforeLines="0" w:after="0" w:afterLines="0" w:line="240" w:lineRule="auto"/>
            <w:ind w:left="0" w:leftChars="0" w:right="0" w:rightChars="0"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TOC \o "1-1" \h \u </w:instrText>
          </w:r>
          <w:r>
            <w:rPr>
              <w:rFonts w:hint="eastAsia" w:ascii="宋体" w:hAnsi="宋体" w:eastAsia="宋体" w:cs="宋体"/>
              <w:b w:val="0"/>
              <w:bCs/>
              <w:sz w:val="24"/>
              <w:szCs w:val="24"/>
            </w:rPr>
            <w:fldChar w:fldCharType="separate"/>
          </w:r>
        </w:p>
        <w:p w14:paraId="578C12F8">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_Toc4059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highlight w:val="none"/>
            </w:rPr>
            <w:t>第一章采购邀请</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_Toc4059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6360613A">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_Toc25722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highlight w:val="none"/>
            </w:rPr>
            <w:t>第二章供应商须知</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_Toc25722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650BE444">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_Toc17175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highlight w:val="none"/>
            </w:rPr>
            <w:t>第三章评审方法和评审标准</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_Toc17175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0EF2D66A">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_Toc17795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第四章</w:t>
          </w:r>
          <w:r>
            <w:rPr>
              <w:rFonts w:hint="eastAsia" w:ascii="宋体" w:hAnsi="宋体" w:eastAsia="宋体" w:cs="宋体"/>
              <w:b w:val="0"/>
              <w:bCs/>
              <w:sz w:val="24"/>
              <w:szCs w:val="24"/>
              <w:highlight w:val="none"/>
            </w:rPr>
            <w:t>采购需求</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_Toc17795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30</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7EDDF775">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_Toc2145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highlight w:val="none"/>
            </w:rPr>
            <w:t>第五章合同草案条款</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_Toc2145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33</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28614FF6">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_Toc12944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highlight w:val="none"/>
            </w:rPr>
            <w:t>第六章响应文件格式</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_Toc12944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4F31856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kern w:val="2"/>
              <w:sz w:val="21"/>
              <w:szCs w:val="24"/>
              <w:lang w:val="en-US" w:eastAsia="zh-CN" w:bidi="ar-SA"/>
            </w:rPr>
          </w:pPr>
          <w:r>
            <w:rPr>
              <w:rFonts w:hint="eastAsia" w:ascii="宋体" w:hAnsi="宋体" w:eastAsia="宋体" w:cs="宋体"/>
              <w:b w:val="0"/>
              <w:bCs/>
              <w:sz w:val="24"/>
              <w:szCs w:val="24"/>
            </w:rPr>
            <w:fldChar w:fldCharType="end"/>
          </w:r>
        </w:p>
      </w:sdtContent>
    </w:sdt>
    <w:p w14:paraId="66E45AB8">
      <w:pPr>
        <w:rPr>
          <w:rFonts w:hint="eastAsia" w:ascii="Times New Roman" w:hAnsi="Times New Roman" w:eastAsia="宋体" w:cs="Times New Roman"/>
          <w:kern w:val="2"/>
          <w:sz w:val="21"/>
          <w:szCs w:val="24"/>
          <w:lang w:val="en-US" w:eastAsia="zh-CN" w:bidi="ar-SA"/>
        </w:rPr>
      </w:pPr>
    </w:p>
    <w:p w14:paraId="0918F693">
      <w:pPr>
        <w:shd w:val="clear" w:color="auto" w:fill="auto"/>
        <w:rPr>
          <w:rFonts w:hint="eastAsia" w:ascii="仿宋" w:hAnsi="仿宋" w:eastAsia="仿宋" w:cs="仿宋"/>
          <w:color w:val="auto"/>
          <w:highlight w:val="none"/>
        </w:rPr>
      </w:pPr>
    </w:p>
    <w:p w14:paraId="3B95FE69">
      <w:pPr>
        <w:shd w:val="clear" w:color="auto" w:fill="auto"/>
        <w:spacing w:line="360" w:lineRule="auto"/>
        <w:rPr>
          <w:rFonts w:hint="eastAsia" w:ascii="仿宋" w:hAnsi="仿宋" w:eastAsia="仿宋" w:cs="仿宋"/>
          <w:color w:val="auto"/>
          <w:sz w:val="24"/>
          <w:highlight w:val="none"/>
        </w:rPr>
        <w:sectPr>
          <w:footerReference r:id="rId6" w:type="first"/>
          <w:footerReference r:id="rId5" w:type="default"/>
          <w:pgSz w:w="11907" w:h="16840"/>
          <w:pgMar w:top="1418" w:right="1134" w:bottom="1418" w:left="1701" w:header="851" w:footer="851" w:gutter="0"/>
          <w:pgBorders>
            <w:top w:val="none" w:sz="0" w:space="0"/>
            <w:left w:val="none" w:sz="0" w:space="0"/>
            <w:bottom w:val="none" w:sz="0" w:space="0"/>
            <w:right w:val="none" w:sz="0" w:space="0"/>
          </w:pgBorders>
          <w:pgNumType w:fmt="decimal" w:start="1"/>
          <w:cols w:space="720" w:num="1"/>
          <w:titlePg/>
          <w:docGrid w:linePitch="462" w:charSpace="0"/>
        </w:sectPr>
      </w:pPr>
      <w:r>
        <w:rPr>
          <w:rFonts w:hint="eastAsia" w:ascii="仿宋" w:hAnsi="仿宋" w:eastAsia="仿宋" w:cs="仿宋"/>
          <w:color w:val="auto"/>
          <w:sz w:val="24"/>
          <w:highlight w:val="none"/>
        </w:rPr>
        <w:t>注：采购文件条款中以“■”形式标记的内容适用于本项目，以“□”形式标记的内容不适用于本项目。</w:t>
      </w:r>
    </w:p>
    <w:p w14:paraId="68F7395B">
      <w:pPr>
        <w:shd w:val="clear" w:color="auto" w:fill="auto"/>
        <w:spacing w:line="360" w:lineRule="auto"/>
        <w:jc w:val="center"/>
        <w:outlineLvl w:val="0"/>
        <w:rPr>
          <w:rFonts w:hint="eastAsia" w:ascii="仿宋" w:hAnsi="仿宋" w:eastAsia="仿宋" w:cs="仿宋"/>
          <w:b/>
          <w:color w:val="auto"/>
          <w:sz w:val="36"/>
          <w:szCs w:val="36"/>
          <w:highlight w:val="none"/>
        </w:rPr>
      </w:pPr>
      <w:bookmarkStart w:id="2" w:name="_Toc4059"/>
      <w:bookmarkStart w:id="3" w:name="_Toc15116"/>
      <w:r>
        <w:rPr>
          <w:rFonts w:hint="eastAsia" w:ascii="仿宋" w:hAnsi="仿宋" w:eastAsia="仿宋" w:cs="仿宋"/>
          <w:b/>
          <w:color w:val="auto"/>
          <w:sz w:val="36"/>
          <w:szCs w:val="36"/>
          <w:highlight w:val="none"/>
        </w:rPr>
        <w:t>第一章采购邀请</w:t>
      </w:r>
      <w:bookmarkEnd w:id="2"/>
      <w:bookmarkEnd w:id="3"/>
      <w:bookmarkStart w:id="4" w:name="_Toc28359079"/>
      <w:bookmarkStart w:id="5" w:name="_Toc35393790"/>
      <w:bookmarkStart w:id="6" w:name="_Toc35393621"/>
      <w:bookmarkStart w:id="7" w:name="_Toc28359002"/>
      <w:bookmarkStart w:id="8" w:name="_Hlk24379207"/>
    </w:p>
    <w:p w14:paraId="332BEE81">
      <w:pPr>
        <w:shd w:val="clear" w:color="auto" w:fill="auto"/>
        <w:spacing w:line="360" w:lineRule="auto"/>
        <w:ind w:firstLine="480" w:firstLineChars="200"/>
        <w:rPr>
          <w:rFonts w:hint="eastAsia" w:ascii="仿宋" w:hAnsi="仿宋" w:eastAsia="仿宋" w:cs="仿宋"/>
          <w:color w:val="auto"/>
          <w:sz w:val="24"/>
          <w:highlight w:val="none"/>
        </w:rPr>
      </w:pPr>
    </w:p>
    <w:p w14:paraId="2843B259">
      <w:pPr>
        <w:pStyle w:val="3"/>
        <w:shd w:val="clear" w:color="auto" w:fill="auto"/>
        <w:spacing w:before="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bookmarkEnd w:id="4"/>
      <w:bookmarkEnd w:id="5"/>
      <w:bookmarkEnd w:id="6"/>
      <w:bookmarkEnd w:id="7"/>
      <w:bookmarkEnd w:id="8"/>
      <w:r>
        <w:rPr>
          <w:rFonts w:hint="eastAsia" w:ascii="仿宋" w:hAnsi="仿宋" w:eastAsia="仿宋" w:cs="仿宋"/>
          <w:color w:val="auto"/>
          <w:sz w:val="24"/>
          <w:szCs w:val="24"/>
          <w:highlight w:val="none"/>
        </w:rPr>
        <w:t>项目基本情况</w:t>
      </w:r>
    </w:p>
    <w:p w14:paraId="0CD68E07">
      <w:pPr>
        <w:shd w:val="clear" w:color="auto" w:fill="auto"/>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1.项目编号：</w:t>
      </w:r>
      <w:r>
        <w:rPr>
          <w:rFonts w:hint="eastAsia" w:ascii="仿宋" w:hAnsi="仿宋" w:eastAsia="仿宋" w:cs="仿宋"/>
          <w:color w:val="auto"/>
          <w:sz w:val="24"/>
          <w:highlight w:val="none"/>
          <w:lang w:val="en-US" w:eastAsia="zh-CN"/>
        </w:rPr>
        <w:t>11010626210200027030-XM001</w:t>
      </w:r>
    </w:p>
    <w:p w14:paraId="1967ACC9">
      <w:pPr>
        <w:shd w:val="clear" w:color="auto" w:fill="auto"/>
        <w:spacing w:line="360" w:lineRule="auto"/>
        <w:ind w:left="1868" w:leftChars="229" w:hanging="1387" w:hangingChars="578"/>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2.项目名称：</w:t>
      </w:r>
      <w:r>
        <w:rPr>
          <w:rFonts w:hint="eastAsia" w:ascii="仿宋" w:hAnsi="仿宋" w:eastAsia="仿宋" w:cs="仿宋"/>
          <w:i w:val="0"/>
          <w:iCs w:val="0"/>
          <w:color w:val="auto"/>
          <w:sz w:val="24"/>
          <w:highlight w:val="none"/>
          <w:u w:val="none"/>
          <w:lang w:val="en-US" w:eastAsia="zh-CN"/>
        </w:rPr>
        <w:t>2026年大红门街道餐饮服务采购项目</w:t>
      </w:r>
    </w:p>
    <w:p w14:paraId="66EBB78B">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3.采购方式：竞争性磋商</w:t>
      </w:r>
    </w:p>
    <w:p w14:paraId="500D5741">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项目</w:t>
      </w:r>
      <w:r>
        <w:rPr>
          <w:rFonts w:hint="eastAsia" w:ascii="仿宋" w:hAnsi="仿宋" w:eastAsia="仿宋" w:cs="仿宋"/>
          <w:color w:val="auto"/>
          <w:sz w:val="24"/>
          <w:highlight w:val="none"/>
        </w:rPr>
        <w:t>预算金额：</w:t>
      </w:r>
      <w:r>
        <w:rPr>
          <w:rFonts w:hint="eastAsia" w:ascii="仿宋" w:hAnsi="仿宋" w:eastAsia="仿宋" w:cs="仿宋"/>
          <w:color w:val="auto"/>
          <w:sz w:val="24"/>
          <w:highlight w:val="none"/>
          <w:u w:val="single"/>
          <w:lang w:val="en-US" w:eastAsia="zh-CN"/>
        </w:rPr>
        <w:t>225</w:t>
      </w:r>
      <w:r>
        <w:rPr>
          <w:rFonts w:hint="eastAsia" w:ascii="仿宋" w:hAnsi="仿宋" w:eastAsia="仿宋" w:cs="仿宋"/>
          <w:color w:val="auto"/>
          <w:sz w:val="24"/>
          <w:highlight w:val="none"/>
        </w:rPr>
        <w:t>万元、</w:t>
      </w:r>
      <w:r>
        <w:rPr>
          <w:rFonts w:hint="eastAsia" w:ascii="仿宋" w:hAnsi="仿宋" w:eastAsia="仿宋" w:cs="仿宋"/>
          <w:color w:val="auto"/>
          <w:sz w:val="24"/>
          <w:highlight w:val="none"/>
          <w:lang w:eastAsia="zh-CN"/>
        </w:rPr>
        <w:t>项目</w:t>
      </w:r>
      <w:r>
        <w:rPr>
          <w:rFonts w:hint="eastAsia" w:ascii="仿宋" w:hAnsi="仿宋" w:eastAsia="仿宋" w:cs="仿宋"/>
          <w:color w:val="auto"/>
          <w:sz w:val="24"/>
          <w:highlight w:val="none"/>
        </w:rPr>
        <w:t>最高限价（如有）：</w:t>
      </w:r>
      <w:r>
        <w:rPr>
          <w:rFonts w:hint="eastAsia" w:ascii="仿宋" w:hAnsi="仿宋" w:eastAsia="仿宋" w:cs="仿宋"/>
          <w:color w:val="auto"/>
          <w:sz w:val="24"/>
          <w:highlight w:val="none"/>
          <w:u w:val="single"/>
          <w:lang w:val="en-US" w:eastAsia="zh-CN"/>
        </w:rPr>
        <w:t>225</w:t>
      </w:r>
      <w:r>
        <w:rPr>
          <w:rFonts w:hint="eastAsia" w:ascii="仿宋" w:hAnsi="仿宋" w:eastAsia="仿宋" w:cs="仿宋"/>
          <w:color w:val="auto"/>
          <w:sz w:val="24"/>
          <w:highlight w:val="none"/>
        </w:rPr>
        <w:t>万元</w:t>
      </w:r>
    </w:p>
    <w:p w14:paraId="6E012939">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5.采购需求：</w:t>
      </w:r>
    </w:p>
    <w:tbl>
      <w:tblPr>
        <w:tblStyle w:val="43"/>
        <w:tblW w:w="0" w:type="auto"/>
        <w:tblInd w:w="2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89"/>
        <w:gridCol w:w="1235"/>
        <w:gridCol w:w="990"/>
        <w:gridCol w:w="3688"/>
      </w:tblGrid>
      <w:tr w14:paraId="54B7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vAlign w:val="center"/>
          </w:tcPr>
          <w:p w14:paraId="14A07EA2">
            <w:pPr>
              <w:shd w:val="clear" w:color="auto" w:fill="auto"/>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序号</w:t>
            </w:r>
          </w:p>
        </w:tc>
        <w:tc>
          <w:tcPr>
            <w:tcW w:w="2189" w:type="dxa"/>
            <w:vAlign w:val="center"/>
          </w:tcPr>
          <w:p w14:paraId="453B94B3">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标的名称</w:t>
            </w:r>
          </w:p>
        </w:tc>
        <w:tc>
          <w:tcPr>
            <w:tcW w:w="1235" w:type="dxa"/>
            <w:vAlign w:val="center"/>
          </w:tcPr>
          <w:p w14:paraId="6F540C2D">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w:t>
            </w:r>
          </w:p>
          <w:p w14:paraId="5258A11A">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990" w:type="dxa"/>
            <w:vAlign w:val="center"/>
          </w:tcPr>
          <w:p w14:paraId="00BD1E06">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3688" w:type="dxa"/>
            <w:vAlign w:val="center"/>
          </w:tcPr>
          <w:p w14:paraId="25342248">
            <w:pPr>
              <w:shd w:val="clear" w:color="auto" w:fill="auto"/>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简要技术需求或服务要求</w:t>
            </w:r>
          </w:p>
        </w:tc>
      </w:tr>
      <w:tr w14:paraId="3B33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vAlign w:val="center"/>
          </w:tcPr>
          <w:p w14:paraId="217EE823">
            <w:pPr>
              <w:shd w:val="clear" w:color="auto" w:fill="auto"/>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2189" w:type="dxa"/>
            <w:vAlign w:val="center"/>
          </w:tcPr>
          <w:p w14:paraId="7D229F70">
            <w:pPr>
              <w:shd w:val="clear" w:color="auto" w:fill="auto"/>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2026年大红门街道餐饮服务采购项目</w:t>
            </w:r>
          </w:p>
        </w:tc>
        <w:tc>
          <w:tcPr>
            <w:tcW w:w="1235" w:type="dxa"/>
            <w:vAlign w:val="center"/>
          </w:tcPr>
          <w:p w14:paraId="58C9F6C7">
            <w:pPr>
              <w:shd w:val="clear" w:color="auto" w:fill="auto"/>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225</w:t>
            </w:r>
          </w:p>
        </w:tc>
        <w:tc>
          <w:tcPr>
            <w:tcW w:w="990" w:type="dxa"/>
            <w:vAlign w:val="center"/>
          </w:tcPr>
          <w:p w14:paraId="5C8C46BC">
            <w:pPr>
              <w:shd w:val="clear" w:color="auto" w:fill="auto"/>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1项</w:t>
            </w:r>
          </w:p>
        </w:tc>
        <w:tc>
          <w:tcPr>
            <w:tcW w:w="3688" w:type="dxa"/>
            <w:vAlign w:val="center"/>
          </w:tcPr>
          <w:p w14:paraId="0A3D0BF7">
            <w:pPr>
              <w:shd w:val="clear" w:color="auto" w:fill="auto"/>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根据街道的实际需求，参照工作日餐饮服务有关约定，提供公休日及法定节假日餐饮服务，并保障食品质量及卫生</w:t>
            </w:r>
            <w:r>
              <w:rPr>
                <w:rFonts w:hint="eastAsia" w:ascii="仿宋" w:hAnsi="仿宋" w:eastAsia="仿宋" w:cs="仿宋"/>
                <w:color w:val="auto"/>
                <w:sz w:val="24"/>
                <w:highlight w:val="none"/>
              </w:rPr>
              <w:t>（具体内容详见第四章采购需求）。</w:t>
            </w:r>
          </w:p>
        </w:tc>
      </w:tr>
    </w:tbl>
    <w:p w14:paraId="5F56C35B">
      <w:pPr>
        <w:numPr>
          <w:ilvl w:val="0"/>
          <w:numId w:val="0"/>
        </w:numPr>
        <w:shd w:val="clear" w:color="auto" w:fill="auto"/>
        <w:spacing w:line="360" w:lineRule="auto"/>
        <w:ind w:firstLine="480" w:firstLineChars="200"/>
        <w:rPr>
          <w:rFonts w:hint="eastAsia" w:ascii="仿宋" w:hAnsi="仿宋" w:eastAsia="仿宋" w:cs="仿宋"/>
          <w:color w:val="FF0000"/>
          <w:kern w:val="0"/>
          <w:sz w:val="24"/>
          <w:szCs w:val="20"/>
          <w:highlight w:val="none"/>
          <w:lang w:val="en-US" w:eastAsia="zh-CN" w:bidi="ar-SA"/>
        </w:rPr>
      </w:pPr>
    </w:p>
    <w:p w14:paraId="65AABE92">
      <w:pPr>
        <w:numPr>
          <w:ilvl w:val="0"/>
          <w:numId w:val="0"/>
        </w:numPr>
        <w:shd w:val="clear" w:color="auto" w:fill="auto"/>
        <w:spacing w:line="360" w:lineRule="auto"/>
        <w:ind w:firstLine="480" w:firstLineChars="200"/>
        <w:rPr>
          <w:rFonts w:hint="default" w:ascii="仿宋" w:hAnsi="仿宋" w:eastAsia="仿宋" w:cs="仿宋"/>
          <w:color w:val="auto"/>
          <w:sz w:val="24"/>
          <w:highlight w:val="none"/>
          <w:u w:val="single"/>
          <w:lang w:val="en-US"/>
        </w:rPr>
      </w:pPr>
      <w:r>
        <w:rPr>
          <w:rFonts w:hint="eastAsia" w:ascii="仿宋" w:hAnsi="仿宋" w:eastAsia="仿宋" w:cs="仿宋"/>
          <w:color w:val="auto"/>
          <w:kern w:val="0"/>
          <w:sz w:val="24"/>
          <w:szCs w:val="20"/>
          <w:highlight w:val="none"/>
          <w:lang w:val="en-US" w:eastAsia="zh-CN" w:bidi="ar-SA"/>
        </w:rPr>
        <w:t>6.</w:t>
      </w:r>
      <w:r>
        <w:rPr>
          <w:rFonts w:hint="eastAsia" w:ascii="仿宋" w:hAnsi="仿宋" w:eastAsia="仿宋" w:cs="仿宋"/>
          <w:color w:val="auto"/>
          <w:sz w:val="24"/>
          <w:highlight w:val="none"/>
        </w:rPr>
        <w:t>合同履行期限：</w:t>
      </w:r>
      <w:r>
        <w:rPr>
          <w:rFonts w:hint="eastAsia" w:ascii="仿宋" w:hAnsi="仿宋" w:eastAsia="仿宋" w:cs="仿宋"/>
          <w:color w:val="auto"/>
          <w:kern w:val="0"/>
          <w:sz w:val="24"/>
          <w:szCs w:val="20"/>
          <w:highlight w:val="none"/>
          <w:lang w:val="en-US" w:eastAsia="zh-CN"/>
        </w:rPr>
        <w:t>2026年04月01日到2027年03月31日。</w:t>
      </w:r>
    </w:p>
    <w:p w14:paraId="3AAFB383">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7.本项目是否接受联合体：</w:t>
      </w:r>
      <w:r>
        <w:rPr>
          <w:rFonts w:hint="eastAsia" w:ascii="仿宋" w:hAnsi="仿宋" w:eastAsia="仿宋" w:cs="仿宋"/>
          <w:color w:val="auto"/>
          <w:highlight w:val="none"/>
        </w:rPr>
        <w:t>□</w:t>
      </w:r>
      <w:r>
        <w:rPr>
          <w:rFonts w:hint="eastAsia" w:ascii="仿宋" w:hAnsi="仿宋" w:eastAsia="仿宋" w:cs="仿宋"/>
          <w:color w:val="auto"/>
          <w:sz w:val="24"/>
          <w:highlight w:val="none"/>
        </w:rPr>
        <w:t>是■否。</w:t>
      </w:r>
    </w:p>
    <w:p w14:paraId="008A6472">
      <w:pPr>
        <w:pStyle w:val="3"/>
        <w:shd w:val="clear" w:color="auto" w:fill="auto"/>
        <w:spacing w:before="0" w:line="360" w:lineRule="auto"/>
        <w:jc w:val="left"/>
        <w:rPr>
          <w:rFonts w:hint="eastAsia" w:ascii="仿宋" w:hAnsi="仿宋" w:eastAsia="仿宋" w:cs="仿宋"/>
          <w:color w:val="auto"/>
          <w:sz w:val="24"/>
          <w:szCs w:val="24"/>
          <w:highlight w:val="none"/>
        </w:rPr>
      </w:pPr>
      <w:bookmarkStart w:id="9" w:name="_Toc35393622"/>
      <w:bookmarkStart w:id="10" w:name="_Toc28359003"/>
      <w:bookmarkStart w:id="11" w:name="_Toc28359080"/>
      <w:bookmarkStart w:id="12" w:name="_Toc35393791"/>
      <w:r>
        <w:rPr>
          <w:rFonts w:hint="eastAsia" w:ascii="仿宋" w:hAnsi="仿宋" w:eastAsia="仿宋" w:cs="仿宋"/>
          <w:color w:val="auto"/>
          <w:sz w:val="24"/>
          <w:szCs w:val="24"/>
          <w:highlight w:val="none"/>
        </w:rPr>
        <w:t>二、申请人的资格要求（须同时满足）</w:t>
      </w:r>
      <w:bookmarkEnd w:id="9"/>
      <w:bookmarkEnd w:id="10"/>
      <w:bookmarkEnd w:id="11"/>
      <w:bookmarkEnd w:id="12"/>
    </w:p>
    <w:p w14:paraId="7955268B">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7570625E">
      <w:pPr>
        <w:shd w:val="clear" w:color="auto" w:fill="auto"/>
        <w:spacing w:line="360" w:lineRule="auto"/>
        <w:ind w:firstLine="480" w:firstLineChars="200"/>
        <w:rPr>
          <w:rFonts w:hint="eastAsia" w:ascii="仿宋" w:hAnsi="仿宋" w:eastAsia="仿宋" w:cs="仿宋"/>
          <w:color w:val="auto"/>
          <w:sz w:val="24"/>
          <w:highlight w:val="none"/>
        </w:rPr>
      </w:pPr>
      <w:bookmarkStart w:id="13" w:name="_Toc28359081"/>
      <w:bookmarkStart w:id="14" w:name="_Toc28359004"/>
      <w:r>
        <w:rPr>
          <w:rFonts w:hint="eastAsia" w:ascii="仿宋" w:hAnsi="仿宋" w:eastAsia="仿宋" w:cs="仿宋"/>
          <w:color w:val="auto"/>
          <w:sz w:val="24"/>
          <w:highlight w:val="none"/>
        </w:rPr>
        <w:t>2.落实政府采购政策需满足的资格要求：</w:t>
      </w:r>
    </w:p>
    <w:p w14:paraId="12739721">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2.1中小企业政策</w:t>
      </w:r>
    </w:p>
    <w:p w14:paraId="474781CA">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□本项目不专门面向中小企业预留采购份额。</w:t>
      </w:r>
    </w:p>
    <w:p w14:paraId="7799303B">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宋体" w:hAnsi="宋体" w:eastAsia="宋体" w:cs="宋体"/>
          <w:color w:val="auto"/>
          <w:sz w:val="24"/>
          <w:highlight w:val="none"/>
        </w:rPr>
        <w:t>▇</w:t>
      </w:r>
      <w:r>
        <w:rPr>
          <w:rFonts w:hint="eastAsia" w:ascii="仿宋" w:hAnsi="仿宋" w:eastAsia="仿宋" w:cs="仿宋"/>
          <w:color w:val="auto"/>
          <w:sz w:val="24"/>
          <w:highlight w:val="none"/>
        </w:rPr>
        <w:t>本项目专门面向□中小</w:t>
      </w:r>
      <w:r>
        <w:rPr>
          <w:rFonts w:hint="eastAsia" w:ascii="宋体" w:hAnsi="宋体" w:eastAsia="宋体" w:cs="宋体"/>
          <w:color w:val="auto"/>
          <w:sz w:val="24"/>
          <w:highlight w:val="none"/>
        </w:rPr>
        <w:t>▇</w:t>
      </w:r>
      <w:r>
        <w:rPr>
          <w:rFonts w:hint="eastAsia" w:ascii="仿宋" w:hAnsi="仿宋" w:eastAsia="仿宋" w:cs="仿宋"/>
          <w:color w:val="auto"/>
          <w:sz w:val="24"/>
          <w:highlight w:val="none"/>
        </w:rPr>
        <w:t>小微企业采购。即：提供的货物全部由符合政策要求的中小/小微企业制造、服务</w:t>
      </w:r>
      <w:r>
        <w:rPr>
          <w:rFonts w:hint="eastAsia" w:ascii="仿宋" w:hAnsi="仿宋" w:eastAsia="仿宋" w:cs="仿宋"/>
          <w:color w:val="auto"/>
          <w:sz w:val="24"/>
          <w:highlight w:val="none"/>
          <w:lang w:val="en-US" w:eastAsia="zh-CN"/>
        </w:rPr>
        <w:t>和工程</w:t>
      </w:r>
      <w:r>
        <w:rPr>
          <w:rFonts w:hint="eastAsia" w:ascii="仿宋" w:hAnsi="仿宋" w:eastAsia="仿宋" w:cs="仿宋"/>
          <w:color w:val="auto"/>
          <w:sz w:val="24"/>
          <w:highlight w:val="none"/>
        </w:rPr>
        <w:t>全部由符合政策要求的中小/小微企业承接。</w:t>
      </w:r>
    </w:p>
    <w:p w14:paraId="6AE15EF8">
      <w:pPr>
        <w:shd w:val="clear" w:color="auto" w:fill="auto"/>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□本项目预留部分采购项目预算专门面向中小企业采购。对于预留份额，提供的货物由符合政策要求的中小企业制造、服务</w:t>
      </w:r>
      <w:r>
        <w:rPr>
          <w:rFonts w:hint="eastAsia" w:ascii="仿宋" w:hAnsi="仿宋" w:eastAsia="仿宋" w:cs="仿宋"/>
          <w:color w:val="auto"/>
          <w:sz w:val="24"/>
          <w:highlight w:val="none"/>
          <w:lang w:val="en-US" w:eastAsia="zh-CN"/>
        </w:rPr>
        <w:t>和工程</w:t>
      </w:r>
      <w:r>
        <w:rPr>
          <w:rFonts w:hint="eastAsia" w:ascii="仿宋" w:hAnsi="仿宋" w:eastAsia="仿宋" w:cs="仿宋"/>
          <w:color w:val="auto"/>
          <w:sz w:val="24"/>
          <w:highlight w:val="none"/>
        </w:rPr>
        <w:t>由符合政策要求的中小企业承接。预留份额通过以下措施进行：___________。</w:t>
      </w:r>
    </w:p>
    <w:p w14:paraId="41CB3313">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r>
        <w:rPr>
          <w:rFonts w:hint="eastAsia" w:ascii="仿宋" w:hAnsi="仿宋" w:eastAsia="仿宋" w:cs="仿宋"/>
          <w:color w:val="auto"/>
          <w:sz w:val="24"/>
          <w:highlight w:val="none"/>
          <w:lang w:eastAsia="zh-CN"/>
        </w:rPr>
        <w:t>其他</w:t>
      </w:r>
      <w:r>
        <w:rPr>
          <w:rFonts w:hint="eastAsia" w:ascii="仿宋" w:hAnsi="仿宋" w:eastAsia="仿宋" w:cs="仿宋"/>
          <w:color w:val="auto"/>
          <w:sz w:val="24"/>
          <w:highlight w:val="none"/>
        </w:rPr>
        <w:t>落实政府采购政策的资格要求（如有）：</w:t>
      </w:r>
      <w:r>
        <w:rPr>
          <w:rFonts w:hint="eastAsia" w:ascii="仿宋" w:hAnsi="仿宋" w:eastAsia="仿宋" w:cs="仿宋"/>
          <w:color w:val="auto"/>
          <w:sz w:val="24"/>
          <w:highlight w:val="none"/>
          <w:u w:val="single"/>
        </w:rPr>
        <w:t>无</w:t>
      </w:r>
      <w:r>
        <w:rPr>
          <w:rFonts w:hint="eastAsia" w:ascii="仿宋" w:hAnsi="仿宋" w:eastAsia="仿宋" w:cs="仿宋"/>
          <w:color w:val="auto"/>
          <w:sz w:val="24"/>
          <w:highlight w:val="none"/>
        </w:rPr>
        <w:t>。</w:t>
      </w:r>
    </w:p>
    <w:p w14:paraId="55DBD96E">
      <w:pPr>
        <w:shd w:val="clear" w:color="auto" w:fill="auto"/>
        <w:spacing w:line="360" w:lineRule="auto"/>
        <w:ind w:firstLine="480" w:firstLineChars="200"/>
        <w:rPr>
          <w:rFonts w:hint="eastAsia" w:ascii="仿宋" w:hAnsi="仿宋" w:eastAsia="仿宋" w:cs="仿宋"/>
          <w:i/>
          <w:iCs/>
          <w:color w:val="auto"/>
          <w:sz w:val="24"/>
          <w:highlight w:val="none"/>
          <w:u w:val="single"/>
        </w:rPr>
      </w:pPr>
      <w:r>
        <w:rPr>
          <w:rFonts w:hint="eastAsia" w:ascii="仿宋" w:hAnsi="仿宋" w:eastAsia="仿宋" w:cs="仿宋"/>
          <w:color w:val="auto"/>
          <w:sz w:val="24"/>
          <w:highlight w:val="none"/>
        </w:rPr>
        <w:t>3.本项目的特定资格要求：</w:t>
      </w:r>
    </w:p>
    <w:p w14:paraId="0142D063">
      <w:pPr>
        <w:shd w:val="clear" w:color="auto" w:fill="auto"/>
        <w:tabs>
          <w:tab w:val="left" w:pos="900"/>
          <w:tab w:val="left" w:pos="1134"/>
          <w:tab w:val="left" w:pos="1589"/>
          <w:tab w:val="left" w:pos="5521"/>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3.1本项目是否属于政府购买服务：</w:t>
      </w:r>
    </w:p>
    <w:p w14:paraId="29D3F8C6">
      <w:pPr>
        <w:shd w:val="clear" w:color="auto" w:fill="auto"/>
        <w:tabs>
          <w:tab w:val="left" w:pos="900"/>
          <w:tab w:val="left" w:pos="1134"/>
          <w:tab w:val="left" w:pos="1589"/>
          <w:tab w:val="left" w:pos="5521"/>
        </w:tabs>
        <w:snapToGrid w:val="0"/>
        <w:spacing w:line="360" w:lineRule="auto"/>
        <w:ind w:left="991" w:leftChars="472" w:firstLine="2"/>
        <w:rPr>
          <w:rFonts w:hint="eastAsia" w:ascii="仿宋" w:hAnsi="仿宋" w:eastAsia="仿宋" w:cs="仿宋"/>
          <w:color w:val="auto"/>
          <w:sz w:val="24"/>
          <w:highlight w:val="none"/>
        </w:rPr>
      </w:pPr>
      <w:r>
        <w:rPr>
          <w:rFonts w:hint="eastAsia" w:ascii="仿宋" w:hAnsi="仿宋" w:eastAsia="仿宋" w:cs="仿宋"/>
          <w:color w:val="auto"/>
          <w:highlight w:val="none"/>
        </w:rPr>
        <w:t>□</w:t>
      </w:r>
      <w:r>
        <w:rPr>
          <w:rFonts w:hint="eastAsia" w:ascii="仿宋" w:hAnsi="仿宋" w:eastAsia="仿宋" w:cs="仿宋"/>
          <w:color w:val="auto"/>
          <w:sz w:val="24"/>
          <w:highlight w:val="none"/>
        </w:rPr>
        <w:t>否</w:t>
      </w:r>
    </w:p>
    <w:p w14:paraId="0519B946">
      <w:pPr>
        <w:shd w:val="clear" w:color="auto" w:fill="auto"/>
        <w:tabs>
          <w:tab w:val="left" w:pos="900"/>
          <w:tab w:val="left" w:pos="1134"/>
          <w:tab w:val="left" w:pos="1589"/>
          <w:tab w:val="left" w:pos="5521"/>
        </w:tabs>
        <w:snapToGrid w:val="0"/>
        <w:spacing w:line="360" w:lineRule="auto"/>
        <w:ind w:left="991" w:leftChars="472" w:firstLine="2"/>
        <w:rPr>
          <w:rFonts w:hint="eastAsia" w:ascii="仿宋" w:hAnsi="仿宋" w:eastAsia="仿宋" w:cs="仿宋"/>
          <w:color w:val="auto"/>
          <w:sz w:val="24"/>
          <w:highlight w:val="none"/>
        </w:rPr>
      </w:pPr>
      <w:r>
        <w:rPr>
          <w:rFonts w:hint="eastAsia" w:ascii="仿宋" w:hAnsi="仿宋" w:eastAsia="仿宋" w:cs="仿宋"/>
          <w:color w:val="auto"/>
          <w:sz w:val="24"/>
          <w:highlight w:val="none"/>
        </w:rPr>
        <w:t>■是，公益一类事业单位、使用事业编制且由财政拨款保障的群团组织，不得作为承接主体；</w:t>
      </w:r>
    </w:p>
    <w:p w14:paraId="485A7E61">
      <w:pPr>
        <w:shd w:val="clear" w:color="auto" w:fill="auto"/>
        <w:tabs>
          <w:tab w:val="left" w:pos="900"/>
          <w:tab w:val="left" w:pos="1134"/>
          <w:tab w:val="left" w:pos="1589"/>
          <w:tab w:val="left" w:pos="5521"/>
        </w:tabs>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3.2其他特定资格要求：</w:t>
      </w:r>
      <w:r>
        <w:rPr>
          <w:rFonts w:hint="eastAsia" w:ascii="仿宋" w:hAnsi="仿宋" w:eastAsia="仿宋" w:cs="仿宋"/>
          <w:color w:val="auto"/>
          <w:sz w:val="24"/>
          <w:highlight w:val="none"/>
          <w:lang w:val="en-US" w:eastAsia="zh-CN"/>
        </w:rPr>
        <w:t>①供应商具有有效期内的食品经营许可证；②通过“信用中国”网站（www.creditchina.gov.cn）和中国政府采购网（www.ccgp.gov.cn）查询信用记录（截止时点为响应文件提交时间），被列入失信被执行人、重大税收违法失信主体名单、政府采购严重违法失信行为记录名单的供应商，没有资格参加本项目采购活动；③单位负责人为同一人或者存在直接控股、管理关系的不同供应商，不得参加同一合同项下的政府采购活动。</w:t>
      </w:r>
    </w:p>
    <w:bookmarkEnd w:id="13"/>
    <w:bookmarkEnd w:id="14"/>
    <w:p w14:paraId="33E77C41">
      <w:pPr>
        <w:pStyle w:val="3"/>
        <w:widowControl/>
        <w:shd w:val="clear" w:color="auto" w:fill="auto"/>
        <w:spacing w:before="0" w:line="360" w:lineRule="auto"/>
        <w:jc w:val="left"/>
        <w:rPr>
          <w:rFonts w:hint="eastAsia" w:ascii="仿宋" w:hAnsi="仿宋" w:eastAsia="仿宋" w:cs="仿宋"/>
          <w:color w:val="auto"/>
          <w:sz w:val="24"/>
          <w:szCs w:val="24"/>
          <w:highlight w:val="none"/>
        </w:rPr>
      </w:pPr>
      <w:bookmarkStart w:id="15" w:name="_Toc35393623"/>
      <w:bookmarkStart w:id="16" w:name="_Toc35393792"/>
      <w:r>
        <w:rPr>
          <w:rFonts w:hint="eastAsia" w:ascii="仿宋" w:hAnsi="仿宋" w:eastAsia="仿宋" w:cs="仿宋"/>
          <w:color w:val="auto"/>
          <w:sz w:val="24"/>
          <w:szCs w:val="24"/>
          <w:highlight w:val="none"/>
        </w:rPr>
        <w:t>三、获取采购文件</w:t>
      </w:r>
      <w:bookmarkEnd w:id="15"/>
      <w:bookmarkEnd w:id="16"/>
    </w:p>
    <w:p w14:paraId="75327DE7">
      <w:pPr>
        <w:shd w:val="clear" w:color="auto" w:fill="auto"/>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1.时间：</w:t>
      </w:r>
      <w:r>
        <w:rPr>
          <w:rFonts w:hint="eastAsia" w:ascii="仿宋" w:hAnsi="仿宋" w:eastAsia="仿宋" w:cs="仿宋"/>
          <w:color w:val="auto"/>
          <w:sz w:val="24"/>
          <w:highlight w:val="none"/>
          <w:u w:val="single"/>
          <w:lang w:val="en-US" w:eastAsia="zh-CN"/>
        </w:rPr>
        <w:t>2026</w:t>
      </w:r>
      <w:r>
        <w:rPr>
          <w:rFonts w:hint="eastAsia" w:ascii="仿宋" w:hAnsi="仿宋" w:eastAsia="仿宋" w:cs="仿宋"/>
          <w:color w:val="auto"/>
          <w:sz w:val="24"/>
          <w:highlight w:val="none"/>
          <w:lang w:bidi="ar"/>
        </w:rPr>
        <w:t>年</w:t>
      </w:r>
      <w:r>
        <w:rPr>
          <w:rFonts w:hint="eastAsia" w:ascii="仿宋" w:hAnsi="仿宋" w:eastAsia="仿宋" w:cs="仿宋"/>
          <w:color w:val="auto"/>
          <w:sz w:val="24"/>
          <w:highlight w:val="none"/>
          <w:u w:val="single"/>
          <w:lang w:val="en-US" w:eastAsia="zh-CN"/>
        </w:rPr>
        <w:t>02</w:t>
      </w:r>
      <w:r>
        <w:rPr>
          <w:rFonts w:hint="eastAsia" w:ascii="仿宋" w:hAnsi="仿宋" w:eastAsia="仿宋" w:cs="仿宋"/>
          <w:color w:val="auto"/>
          <w:sz w:val="24"/>
          <w:highlight w:val="none"/>
          <w:u w:val="none"/>
          <w:lang w:val="en-US" w:eastAsia="zh-CN"/>
        </w:rPr>
        <w:t>月</w:t>
      </w:r>
      <w:r>
        <w:rPr>
          <w:rFonts w:hint="eastAsia" w:ascii="仿宋" w:hAnsi="仿宋" w:eastAsia="仿宋" w:cs="仿宋"/>
          <w:color w:val="auto"/>
          <w:sz w:val="24"/>
          <w:highlight w:val="none"/>
          <w:u w:val="single"/>
          <w:lang w:val="en-US" w:eastAsia="zh-CN"/>
        </w:rPr>
        <w:t>28</w:t>
      </w:r>
      <w:r>
        <w:rPr>
          <w:rFonts w:hint="eastAsia" w:ascii="仿宋" w:hAnsi="仿宋" w:eastAsia="仿宋" w:cs="仿宋"/>
          <w:color w:val="auto"/>
          <w:sz w:val="24"/>
          <w:highlight w:val="none"/>
          <w:lang w:bidi="ar"/>
        </w:rPr>
        <w:t>日至</w:t>
      </w:r>
      <w:r>
        <w:rPr>
          <w:rFonts w:hint="eastAsia" w:ascii="仿宋" w:hAnsi="仿宋" w:eastAsia="仿宋" w:cs="仿宋"/>
          <w:color w:val="auto"/>
          <w:sz w:val="24"/>
          <w:highlight w:val="none"/>
          <w:u w:val="single"/>
          <w:lang w:val="en-US" w:eastAsia="zh-CN"/>
        </w:rPr>
        <w:t>2026</w:t>
      </w:r>
      <w:r>
        <w:rPr>
          <w:rFonts w:hint="eastAsia" w:ascii="仿宋" w:hAnsi="仿宋" w:eastAsia="仿宋" w:cs="仿宋"/>
          <w:color w:val="auto"/>
          <w:sz w:val="24"/>
          <w:highlight w:val="none"/>
          <w:lang w:bidi="ar"/>
        </w:rPr>
        <w:t>年</w:t>
      </w:r>
      <w:r>
        <w:rPr>
          <w:rFonts w:hint="eastAsia" w:ascii="仿宋" w:hAnsi="仿宋" w:eastAsia="仿宋" w:cs="仿宋"/>
          <w:color w:val="auto"/>
          <w:sz w:val="24"/>
          <w:highlight w:val="none"/>
          <w:u w:val="single"/>
          <w:lang w:val="en-US" w:eastAsia="zh-CN"/>
        </w:rPr>
        <w:t>03</w:t>
      </w:r>
      <w:r>
        <w:rPr>
          <w:rFonts w:hint="eastAsia" w:ascii="仿宋" w:hAnsi="仿宋" w:eastAsia="仿宋" w:cs="仿宋"/>
          <w:color w:val="auto"/>
          <w:sz w:val="24"/>
          <w:highlight w:val="none"/>
          <w:u w:val="none"/>
          <w:lang w:val="en-US" w:eastAsia="zh-CN"/>
        </w:rPr>
        <w:t>月</w:t>
      </w:r>
      <w:r>
        <w:rPr>
          <w:rFonts w:hint="eastAsia" w:ascii="仿宋" w:hAnsi="仿宋" w:eastAsia="仿宋" w:cs="仿宋"/>
          <w:color w:val="auto"/>
          <w:sz w:val="24"/>
          <w:highlight w:val="none"/>
          <w:u w:val="single"/>
          <w:lang w:val="en-US" w:eastAsia="zh-CN"/>
        </w:rPr>
        <w:t>05</w:t>
      </w:r>
      <w:bookmarkStart w:id="747" w:name="_GoBack"/>
      <w:bookmarkEnd w:id="747"/>
      <w:r>
        <w:rPr>
          <w:rFonts w:hint="eastAsia" w:ascii="仿宋" w:hAnsi="仿宋" w:eastAsia="仿宋" w:cs="仿宋"/>
          <w:color w:val="auto"/>
          <w:sz w:val="24"/>
          <w:highlight w:val="none"/>
          <w:lang w:bidi="ar"/>
        </w:rPr>
        <w:t>日，每天上午</w:t>
      </w:r>
      <w:r>
        <w:rPr>
          <w:rFonts w:hint="eastAsia" w:ascii="仿宋" w:hAnsi="仿宋" w:eastAsia="仿宋" w:cs="仿宋"/>
          <w:color w:val="auto"/>
          <w:sz w:val="24"/>
          <w:highlight w:val="none"/>
          <w:u w:val="single"/>
        </w:rPr>
        <w:t>09</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00</w:t>
      </w:r>
      <w:r>
        <w:rPr>
          <w:rFonts w:hint="eastAsia" w:ascii="仿宋" w:hAnsi="仿宋" w:eastAsia="仿宋" w:cs="仿宋"/>
          <w:color w:val="auto"/>
          <w:sz w:val="24"/>
          <w:highlight w:val="none"/>
          <w:lang w:bidi="ar"/>
        </w:rPr>
        <w:t>至</w:t>
      </w:r>
      <w:r>
        <w:rPr>
          <w:rFonts w:hint="eastAsia" w:ascii="仿宋" w:hAnsi="仿宋" w:eastAsia="仿宋" w:cs="仿宋"/>
          <w:color w:val="auto"/>
          <w:sz w:val="24"/>
          <w:highlight w:val="none"/>
          <w:u w:val="single"/>
        </w:rPr>
        <w:t>12:00</w:t>
      </w:r>
      <w:r>
        <w:rPr>
          <w:rFonts w:hint="eastAsia" w:ascii="仿宋" w:hAnsi="仿宋" w:eastAsia="仿宋" w:cs="仿宋"/>
          <w:color w:val="auto"/>
          <w:sz w:val="24"/>
          <w:highlight w:val="none"/>
          <w:lang w:bidi="ar"/>
        </w:rPr>
        <w:t>，下午</w:t>
      </w:r>
      <w:r>
        <w:rPr>
          <w:rFonts w:hint="eastAsia" w:ascii="仿宋" w:hAnsi="仿宋" w:eastAsia="仿宋" w:cs="仿宋"/>
          <w:color w:val="auto"/>
          <w:sz w:val="24"/>
          <w:highlight w:val="none"/>
          <w:u w:val="single"/>
        </w:rPr>
        <w:t>12:00</w:t>
      </w:r>
      <w:r>
        <w:rPr>
          <w:rFonts w:hint="eastAsia" w:ascii="仿宋" w:hAnsi="仿宋" w:eastAsia="仿宋" w:cs="仿宋"/>
          <w:color w:val="auto"/>
          <w:sz w:val="24"/>
          <w:highlight w:val="none"/>
          <w:lang w:bidi="ar"/>
        </w:rPr>
        <w:t>至</w:t>
      </w:r>
      <w:r>
        <w:rPr>
          <w:rFonts w:hint="eastAsia" w:ascii="仿宋" w:hAnsi="仿宋" w:eastAsia="仿宋" w:cs="仿宋"/>
          <w:color w:val="auto"/>
          <w:sz w:val="24"/>
          <w:highlight w:val="none"/>
          <w:u w:val="single"/>
        </w:rPr>
        <w:t>17:00</w:t>
      </w:r>
      <w:r>
        <w:rPr>
          <w:rFonts w:hint="eastAsia" w:ascii="仿宋" w:hAnsi="仿宋" w:eastAsia="仿宋" w:cs="仿宋"/>
          <w:color w:val="auto"/>
          <w:sz w:val="24"/>
          <w:highlight w:val="none"/>
          <w:lang w:bidi="ar"/>
        </w:rPr>
        <w:t>（北京时间，法定节假日除外）。</w:t>
      </w:r>
    </w:p>
    <w:p w14:paraId="6F61F927">
      <w:pPr>
        <w:shd w:val="clear" w:color="auto" w:fill="auto"/>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2.地点：北京市政府采购电子交易平台（http://zbcg-bjzc.zhongcy.com/bjczj-portal-site/index.html#/home）</w:t>
      </w:r>
    </w:p>
    <w:p w14:paraId="682815A0">
      <w:pPr>
        <w:widowControl/>
        <w:shd w:val="clear" w:color="auto" w:fill="auto"/>
        <w:adjustRightInd w:val="0"/>
        <w:snapToGrid w:val="0"/>
        <w:spacing w:line="360" w:lineRule="auto"/>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3.方式：供应商使用CA数字证书或电子营业执照登录北京市政府采购电子交易平台（http://zbcg-bjzc.zhongcy.com/bjczj-portal-site/index.html#/home）获取电子版竞争性磋商文件。</w:t>
      </w:r>
    </w:p>
    <w:p w14:paraId="4B685C05">
      <w:pPr>
        <w:widowControl/>
        <w:shd w:val="clear" w:color="auto" w:fill="auto"/>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4.售价：0元。</w:t>
      </w:r>
    </w:p>
    <w:p w14:paraId="1720679E">
      <w:pPr>
        <w:pStyle w:val="3"/>
        <w:widowControl/>
        <w:shd w:val="clear" w:color="auto" w:fill="auto"/>
        <w:spacing w:before="0" w:line="360" w:lineRule="auto"/>
        <w:jc w:val="left"/>
        <w:rPr>
          <w:rFonts w:hint="eastAsia" w:ascii="仿宋" w:hAnsi="仿宋" w:eastAsia="仿宋" w:cs="仿宋"/>
          <w:color w:val="auto"/>
          <w:sz w:val="24"/>
          <w:szCs w:val="24"/>
          <w:highlight w:val="none"/>
        </w:rPr>
      </w:pPr>
      <w:bookmarkStart w:id="17" w:name="_Toc28359005"/>
      <w:bookmarkStart w:id="18" w:name="_Toc35393793"/>
      <w:bookmarkStart w:id="19" w:name="_Toc35393624"/>
      <w:bookmarkStart w:id="20" w:name="_Toc28359082"/>
      <w:r>
        <w:rPr>
          <w:rFonts w:hint="eastAsia" w:ascii="仿宋" w:hAnsi="仿宋" w:eastAsia="仿宋" w:cs="仿宋"/>
          <w:color w:val="auto"/>
          <w:sz w:val="24"/>
          <w:szCs w:val="24"/>
          <w:highlight w:val="none"/>
        </w:rPr>
        <w:t>四、</w:t>
      </w:r>
      <w:bookmarkEnd w:id="17"/>
      <w:bookmarkEnd w:id="18"/>
      <w:bookmarkEnd w:id="19"/>
      <w:bookmarkEnd w:id="20"/>
      <w:r>
        <w:rPr>
          <w:rFonts w:hint="eastAsia" w:ascii="仿宋" w:hAnsi="仿宋" w:eastAsia="仿宋" w:cs="仿宋"/>
          <w:color w:val="auto"/>
          <w:sz w:val="24"/>
          <w:szCs w:val="24"/>
          <w:highlight w:val="none"/>
        </w:rPr>
        <w:t>响应文件提交</w:t>
      </w:r>
    </w:p>
    <w:p w14:paraId="7CDE7283">
      <w:pPr>
        <w:shd w:val="clear" w:color="auto" w:fill="auto"/>
        <w:spacing w:line="360" w:lineRule="auto"/>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lang w:bidi="ar"/>
        </w:rPr>
        <w:t>截止时间：</w:t>
      </w:r>
      <w:r>
        <w:rPr>
          <w:rFonts w:hint="eastAsia" w:ascii="仿宋" w:hAnsi="仿宋" w:eastAsia="仿宋" w:cs="仿宋"/>
          <w:color w:val="auto"/>
          <w:sz w:val="24"/>
          <w:highlight w:val="none"/>
          <w:u w:val="single"/>
          <w:lang w:val="en-US" w:eastAsia="zh-CN"/>
        </w:rPr>
        <w:t>2026</w:t>
      </w:r>
      <w:r>
        <w:rPr>
          <w:rFonts w:hint="eastAsia" w:ascii="仿宋" w:hAnsi="仿宋" w:eastAsia="仿宋" w:cs="仿宋"/>
          <w:color w:val="auto"/>
          <w:sz w:val="24"/>
          <w:highlight w:val="none"/>
          <w:lang w:bidi="ar"/>
        </w:rPr>
        <w:t>年</w:t>
      </w:r>
      <w:r>
        <w:rPr>
          <w:rFonts w:hint="eastAsia" w:ascii="仿宋" w:hAnsi="仿宋" w:eastAsia="仿宋" w:cs="仿宋"/>
          <w:color w:val="auto"/>
          <w:sz w:val="24"/>
          <w:highlight w:val="none"/>
          <w:u w:val="single"/>
          <w:lang w:val="en-US" w:eastAsia="zh-CN"/>
        </w:rPr>
        <w:t>03</w:t>
      </w:r>
      <w:r>
        <w:rPr>
          <w:rFonts w:hint="eastAsia" w:ascii="仿宋" w:hAnsi="仿宋" w:eastAsia="仿宋" w:cs="仿宋"/>
          <w:color w:val="auto"/>
          <w:sz w:val="24"/>
          <w:highlight w:val="none"/>
          <w:u w:val="none"/>
          <w:lang w:val="en-US" w:eastAsia="zh-CN"/>
        </w:rPr>
        <w:t>月</w:t>
      </w:r>
      <w:r>
        <w:rPr>
          <w:rFonts w:hint="eastAsia" w:ascii="仿宋" w:hAnsi="仿宋" w:eastAsia="仿宋" w:cs="仿宋"/>
          <w:color w:val="auto"/>
          <w:sz w:val="24"/>
          <w:highlight w:val="none"/>
          <w:u w:val="single"/>
          <w:lang w:val="en-US" w:eastAsia="zh-CN"/>
        </w:rPr>
        <w:t>11</w:t>
      </w:r>
      <w:r>
        <w:rPr>
          <w:rFonts w:hint="eastAsia" w:ascii="仿宋" w:hAnsi="仿宋" w:eastAsia="仿宋" w:cs="仿宋"/>
          <w:color w:val="auto"/>
          <w:sz w:val="24"/>
          <w:highlight w:val="none"/>
          <w:lang w:bidi="ar"/>
        </w:rPr>
        <w:t>日</w:t>
      </w:r>
      <w:r>
        <w:rPr>
          <w:rFonts w:hint="eastAsia" w:ascii="仿宋" w:hAnsi="仿宋" w:eastAsia="仿宋" w:cs="仿宋"/>
          <w:color w:val="auto"/>
          <w:sz w:val="24"/>
          <w:highlight w:val="none"/>
          <w:u w:val="single"/>
          <w:lang w:val="en-US" w:eastAsia="zh-CN"/>
        </w:rPr>
        <w:t>09</w:t>
      </w:r>
      <w:r>
        <w:rPr>
          <w:rFonts w:hint="eastAsia" w:ascii="仿宋" w:hAnsi="仿宋" w:eastAsia="仿宋" w:cs="仿宋"/>
          <w:color w:val="auto"/>
          <w:sz w:val="24"/>
          <w:highlight w:val="none"/>
          <w:lang w:bidi="ar"/>
        </w:rPr>
        <w:t>点</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lang w:bidi="ar"/>
        </w:rPr>
        <w:t>分</w:t>
      </w:r>
      <w:r>
        <w:rPr>
          <w:rFonts w:hint="eastAsia" w:ascii="仿宋" w:hAnsi="仿宋" w:eastAsia="仿宋" w:cs="仿宋"/>
          <w:bCs/>
          <w:color w:val="auto"/>
          <w:sz w:val="24"/>
          <w:highlight w:val="none"/>
          <w:lang w:bidi="ar"/>
        </w:rPr>
        <w:t>（北京时间）</w:t>
      </w:r>
      <w:r>
        <w:rPr>
          <w:rFonts w:hint="eastAsia" w:ascii="仿宋" w:hAnsi="仿宋" w:eastAsia="仿宋" w:cs="仿宋"/>
          <w:iCs/>
          <w:color w:val="auto"/>
          <w:sz w:val="24"/>
          <w:highlight w:val="none"/>
          <w:lang w:bidi="ar"/>
        </w:rPr>
        <w:t>。</w:t>
      </w:r>
    </w:p>
    <w:p w14:paraId="292AAA7B">
      <w:pPr>
        <w:shd w:val="clear" w:color="auto" w:fill="auto"/>
        <w:wordWrap w:val="0"/>
        <w:spacing w:line="360" w:lineRule="auto"/>
        <w:ind w:firstLine="480" w:firstLineChars="200"/>
        <w:jc w:val="left"/>
        <w:rPr>
          <w:rFonts w:hint="eastAsia" w:ascii="仿宋" w:hAnsi="仿宋" w:eastAsia="仿宋" w:cs="仿宋"/>
          <w:color w:val="auto"/>
          <w:sz w:val="24"/>
          <w:highlight w:val="none"/>
          <w:lang w:val="zh-TW" w:eastAsia="zh-CN" w:bidi="ar"/>
        </w:rPr>
      </w:pPr>
      <w:r>
        <w:rPr>
          <w:rFonts w:hint="eastAsia" w:ascii="仿宋" w:hAnsi="仿宋" w:eastAsia="仿宋" w:cs="仿宋"/>
          <w:color w:val="auto"/>
          <w:sz w:val="24"/>
          <w:highlight w:val="none"/>
          <w:lang w:bidi="ar"/>
        </w:rPr>
        <w:t>地点：</w:t>
      </w:r>
      <w:r>
        <w:rPr>
          <w:rFonts w:hint="eastAsia" w:ascii="仿宋" w:hAnsi="仿宋" w:eastAsia="仿宋" w:cs="仿宋"/>
          <w:color w:val="auto"/>
          <w:sz w:val="24"/>
          <w:highlight w:val="none"/>
          <w:lang w:eastAsia="zh-CN"/>
        </w:rPr>
        <w:t>北京市政府采购电子交易平台（http://zbcg-bjzc.zhongcy.com/bjczj-portal-site/index.html#/home）。</w:t>
      </w:r>
    </w:p>
    <w:p w14:paraId="37174CC4">
      <w:pPr>
        <w:pStyle w:val="3"/>
        <w:shd w:val="clear" w:color="auto" w:fill="auto"/>
        <w:spacing w:before="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五、开启</w:t>
      </w:r>
    </w:p>
    <w:p w14:paraId="42742779">
      <w:pPr>
        <w:shd w:val="clear" w:color="auto" w:fill="auto"/>
        <w:spacing w:line="360" w:lineRule="auto"/>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lang w:bidi="ar"/>
        </w:rPr>
        <w:t>时间：</w:t>
      </w:r>
      <w:r>
        <w:rPr>
          <w:rFonts w:hint="eastAsia" w:ascii="仿宋" w:hAnsi="仿宋" w:eastAsia="仿宋" w:cs="仿宋"/>
          <w:color w:val="auto"/>
          <w:sz w:val="24"/>
          <w:highlight w:val="none"/>
          <w:u w:val="single"/>
          <w:lang w:val="en-US" w:eastAsia="zh-CN"/>
        </w:rPr>
        <w:t>2026</w:t>
      </w:r>
      <w:r>
        <w:rPr>
          <w:rFonts w:hint="eastAsia" w:ascii="仿宋" w:hAnsi="仿宋" w:eastAsia="仿宋" w:cs="仿宋"/>
          <w:color w:val="auto"/>
          <w:sz w:val="24"/>
          <w:highlight w:val="none"/>
          <w:lang w:bidi="ar"/>
        </w:rPr>
        <w:t>年</w:t>
      </w:r>
      <w:r>
        <w:rPr>
          <w:rFonts w:hint="eastAsia" w:ascii="仿宋" w:hAnsi="仿宋" w:eastAsia="仿宋" w:cs="仿宋"/>
          <w:color w:val="auto"/>
          <w:sz w:val="24"/>
          <w:highlight w:val="none"/>
          <w:u w:val="single"/>
          <w:lang w:val="en-US" w:eastAsia="zh-CN"/>
        </w:rPr>
        <w:t>03</w:t>
      </w:r>
      <w:r>
        <w:rPr>
          <w:rFonts w:hint="eastAsia" w:ascii="仿宋" w:hAnsi="仿宋" w:eastAsia="仿宋" w:cs="仿宋"/>
          <w:color w:val="auto"/>
          <w:sz w:val="24"/>
          <w:highlight w:val="none"/>
          <w:u w:val="none"/>
          <w:lang w:val="en-US" w:eastAsia="zh-CN"/>
        </w:rPr>
        <w:t>月</w:t>
      </w:r>
      <w:r>
        <w:rPr>
          <w:rFonts w:hint="eastAsia" w:ascii="仿宋" w:hAnsi="仿宋" w:eastAsia="仿宋" w:cs="仿宋"/>
          <w:color w:val="auto"/>
          <w:sz w:val="24"/>
          <w:highlight w:val="none"/>
          <w:u w:val="single"/>
          <w:lang w:val="en-US" w:eastAsia="zh-CN"/>
        </w:rPr>
        <w:t>11</w:t>
      </w:r>
      <w:r>
        <w:rPr>
          <w:rFonts w:hint="eastAsia" w:ascii="仿宋" w:hAnsi="仿宋" w:eastAsia="仿宋" w:cs="仿宋"/>
          <w:color w:val="auto"/>
          <w:sz w:val="24"/>
          <w:highlight w:val="none"/>
          <w:lang w:bidi="ar"/>
        </w:rPr>
        <w:t>日</w:t>
      </w:r>
      <w:r>
        <w:rPr>
          <w:rFonts w:hint="eastAsia" w:ascii="仿宋" w:hAnsi="仿宋" w:eastAsia="仿宋" w:cs="仿宋"/>
          <w:color w:val="auto"/>
          <w:sz w:val="24"/>
          <w:highlight w:val="none"/>
          <w:u w:val="single"/>
          <w:lang w:val="en-US" w:eastAsia="zh-CN"/>
        </w:rPr>
        <w:t>09</w:t>
      </w:r>
      <w:r>
        <w:rPr>
          <w:rFonts w:hint="eastAsia" w:ascii="仿宋" w:hAnsi="仿宋" w:eastAsia="仿宋" w:cs="仿宋"/>
          <w:color w:val="auto"/>
          <w:sz w:val="24"/>
          <w:highlight w:val="none"/>
          <w:lang w:bidi="ar"/>
        </w:rPr>
        <w:t>点</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lang w:bidi="ar"/>
        </w:rPr>
        <w:t>分</w:t>
      </w:r>
      <w:r>
        <w:rPr>
          <w:rFonts w:hint="eastAsia" w:ascii="仿宋" w:hAnsi="仿宋" w:eastAsia="仿宋" w:cs="仿宋"/>
          <w:bCs/>
          <w:color w:val="auto"/>
          <w:sz w:val="24"/>
          <w:highlight w:val="none"/>
          <w:lang w:bidi="ar"/>
        </w:rPr>
        <w:t>（北京时间）</w:t>
      </w:r>
      <w:r>
        <w:rPr>
          <w:rFonts w:hint="eastAsia" w:ascii="仿宋" w:hAnsi="仿宋" w:eastAsia="仿宋" w:cs="仿宋"/>
          <w:iCs/>
          <w:color w:val="auto"/>
          <w:sz w:val="24"/>
          <w:highlight w:val="none"/>
          <w:lang w:bidi="ar"/>
        </w:rPr>
        <w:t>。</w:t>
      </w:r>
    </w:p>
    <w:p w14:paraId="72A9C614">
      <w:pPr>
        <w:shd w:val="clear" w:color="auto" w:fill="auto"/>
        <w:wordWrap w:val="0"/>
        <w:spacing w:line="360" w:lineRule="auto"/>
        <w:ind w:firstLine="480" w:firstLineChars="200"/>
        <w:jc w:val="left"/>
        <w:rPr>
          <w:rFonts w:hint="eastAsia" w:ascii="仿宋" w:hAnsi="仿宋" w:eastAsia="仿宋" w:cs="仿宋"/>
          <w:color w:val="auto"/>
          <w:sz w:val="24"/>
          <w:highlight w:val="none"/>
          <w:lang w:val="zh-TW" w:bidi="ar"/>
        </w:rPr>
      </w:pPr>
      <w:r>
        <w:rPr>
          <w:rFonts w:hint="eastAsia" w:ascii="仿宋" w:hAnsi="仿宋" w:eastAsia="仿宋" w:cs="仿宋"/>
          <w:color w:val="auto"/>
          <w:sz w:val="24"/>
          <w:highlight w:val="none"/>
          <w:lang w:bidi="ar"/>
        </w:rPr>
        <w:t>地点：</w:t>
      </w:r>
      <w:r>
        <w:rPr>
          <w:rFonts w:hint="eastAsia" w:ascii="仿宋" w:hAnsi="仿宋" w:eastAsia="仿宋" w:cs="仿宋"/>
          <w:color w:val="auto"/>
          <w:sz w:val="24"/>
          <w:highlight w:val="none"/>
          <w:lang w:eastAsia="zh-CN"/>
        </w:rPr>
        <w:t>北京市政府采购电子交易平台（http://zbcg-bjzc.zhongcy.com/bjczj-portal-site/index.html#/home）。</w:t>
      </w:r>
    </w:p>
    <w:p w14:paraId="48C4C0C3">
      <w:pPr>
        <w:pStyle w:val="3"/>
        <w:shd w:val="clear" w:color="auto" w:fill="auto"/>
        <w:spacing w:before="0" w:line="360" w:lineRule="auto"/>
        <w:jc w:val="left"/>
        <w:rPr>
          <w:rFonts w:hint="eastAsia" w:ascii="仿宋" w:hAnsi="仿宋" w:eastAsia="仿宋" w:cs="仿宋"/>
          <w:color w:val="auto"/>
          <w:sz w:val="24"/>
          <w:szCs w:val="24"/>
          <w:highlight w:val="none"/>
        </w:rPr>
      </w:pPr>
      <w:bookmarkStart w:id="21" w:name="_Toc28359084"/>
      <w:bookmarkStart w:id="22" w:name="_Toc28359007"/>
      <w:bookmarkStart w:id="23" w:name="_Toc35393625"/>
      <w:bookmarkStart w:id="24" w:name="_Toc35393794"/>
      <w:r>
        <w:rPr>
          <w:rFonts w:hint="eastAsia" w:ascii="仿宋" w:hAnsi="仿宋" w:eastAsia="仿宋" w:cs="仿宋"/>
          <w:color w:val="auto"/>
          <w:sz w:val="24"/>
          <w:szCs w:val="24"/>
          <w:highlight w:val="none"/>
        </w:rPr>
        <w:t>六、公告期限</w:t>
      </w:r>
      <w:bookmarkEnd w:id="21"/>
      <w:bookmarkEnd w:id="22"/>
      <w:bookmarkEnd w:id="23"/>
      <w:bookmarkEnd w:id="24"/>
    </w:p>
    <w:p w14:paraId="204FB557">
      <w:pPr>
        <w:shd w:val="clear" w:color="auto" w:fill="auto"/>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自本公告发布之日起3个工作日。</w:t>
      </w:r>
    </w:p>
    <w:p w14:paraId="4C23515E">
      <w:pPr>
        <w:pStyle w:val="3"/>
        <w:shd w:val="clear" w:color="auto" w:fill="auto"/>
        <w:spacing w:before="0" w:line="360" w:lineRule="auto"/>
        <w:jc w:val="left"/>
        <w:rPr>
          <w:rFonts w:hint="eastAsia" w:ascii="仿宋" w:hAnsi="仿宋" w:eastAsia="仿宋" w:cs="仿宋"/>
          <w:color w:val="auto"/>
          <w:sz w:val="24"/>
          <w:szCs w:val="24"/>
          <w:highlight w:val="none"/>
        </w:rPr>
      </w:pPr>
      <w:bookmarkStart w:id="25" w:name="_Toc35393626"/>
      <w:bookmarkStart w:id="26" w:name="_Toc35393795"/>
      <w:r>
        <w:rPr>
          <w:rFonts w:hint="eastAsia" w:ascii="仿宋" w:hAnsi="仿宋" w:eastAsia="仿宋" w:cs="仿宋"/>
          <w:color w:val="auto"/>
          <w:sz w:val="24"/>
          <w:szCs w:val="24"/>
          <w:highlight w:val="none"/>
        </w:rPr>
        <w:t>七、其他补充事宜</w:t>
      </w:r>
      <w:bookmarkEnd w:id="25"/>
      <w:bookmarkEnd w:id="26"/>
    </w:p>
    <w:p w14:paraId="67026F87">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1.本项目需要落实的政府采购政策：</w:t>
      </w:r>
      <w:r>
        <w:rPr>
          <w:rFonts w:hint="eastAsia" w:ascii="仿宋" w:hAnsi="仿宋" w:eastAsia="仿宋" w:cs="仿宋"/>
          <w:color w:val="auto"/>
          <w:sz w:val="24"/>
          <w:highlight w:val="none"/>
          <w:u w:val="none"/>
          <w:lang w:bidi="ar"/>
        </w:rPr>
        <w:t>扶持不发达地区和少数民族地区；政府采购促进中小企业发展；政府采购支持监狱企业、戒毒企业发展；政府采购促进残疾人就业；政府采购信用担保；磋商文件中列明的其他政策要求等。</w:t>
      </w:r>
    </w:p>
    <w:p w14:paraId="032230B2">
      <w:pPr>
        <w:widowControl/>
        <w:shd w:val="clear" w:color="auto" w:fill="auto"/>
        <w:adjustRightInd w:val="0"/>
        <w:snapToGrid w:val="0"/>
        <w:spacing w:line="360" w:lineRule="auto"/>
        <w:ind w:firstLine="480" w:firstLineChars="200"/>
        <w:jc w:val="left"/>
        <w:rPr>
          <w:rFonts w:hint="eastAsia" w:ascii="仿宋" w:hAnsi="仿宋" w:eastAsia="仿宋" w:cs="仿宋"/>
          <w:bCs/>
          <w:color w:val="auto"/>
          <w:sz w:val="24"/>
          <w:highlight w:val="none"/>
          <w:lang w:bidi="ar"/>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color w:val="auto"/>
          <w:sz w:val="24"/>
          <w:highlight w:val="none"/>
          <w:lang w:bidi="ar"/>
        </w:rPr>
        <w:t>CA数字证书</w:t>
      </w:r>
      <w:r>
        <w:rPr>
          <w:rFonts w:hint="eastAsia" w:ascii="仿宋" w:hAnsi="仿宋" w:eastAsia="仿宋" w:cs="仿宋"/>
          <w:color w:val="auto"/>
          <w:sz w:val="24"/>
          <w:highlight w:val="none"/>
          <w:lang w:bidi="ar"/>
        </w:rPr>
        <w:t>或电子营业执照</w:t>
      </w:r>
      <w:r>
        <w:rPr>
          <w:rFonts w:hint="eastAsia" w:ascii="仿宋" w:hAnsi="仿宋" w:eastAsia="仿宋" w:cs="仿宋"/>
          <w:bCs/>
          <w:color w:val="auto"/>
          <w:sz w:val="24"/>
          <w:highlight w:val="none"/>
          <w:lang w:bidi="ar"/>
        </w:rPr>
        <w:t>情况确认是否符合本项目电子化采购流程要求。</w:t>
      </w:r>
    </w:p>
    <w:p w14:paraId="54D611CF">
      <w:pPr>
        <w:shd w:val="clear" w:color="auto" w:fill="auto"/>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CA数字证书服务热线010-58511086</w:t>
      </w:r>
    </w:p>
    <w:p w14:paraId="1FE784C7">
      <w:pPr>
        <w:shd w:val="clear" w:color="auto" w:fill="auto"/>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电子营业执照服务热线400-699-7000</w:t>
      </w:r>
    </w:p>
    <w:p w14:paraId="1F6FCE0E">
      <w:pPr>
        <w:shd w:val="clear" w:color="auto" w:fill="auto"/>
        <w:adjustRightInd w:val="0"/>
        <w:snapToGrid w:val="0"/>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bidi="ar"/>
        </w:rPr>
        <w:t>技术支持服务热线010-86483801</w:t>
      </w:r>
    </w:p>
    <w:p w14:paraId="527A5000">
      <w:pPr>
        <w:widowControl/>
        <w:shd w:val="clear" w:color="auto" w:fill="auto"/>
        <w:adjustRightInd w:val="0"/>
        <w:snapToGrid w:val="0"/>
        <w:spacing w:line="360" w:lineRule="auto"/>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2.1办理CA数字证书或电子营业执照</w:t>
      </w:r>
    </w:p>
    <w:p w14:paraId="04880BA4">
      <w:pPr>
        <w:widowControl/>
        <w:shd w:val="clear" w:color="auto" w:fill="auto"/>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供应商登录北京市政府采购电子交易平台查阅“用户指南”—“操作指南”—“市场主体CA办理操作流程指引”/“电子营业执照使用指南”，按照程序要求办理。</w:t>
      </w:r>
    </w:p>
    <w:p w14:paraId="1A330FB3">
      <w:pPr>
        <w:shd w:val="clear" w:color="auto" w:fill="auto"/>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2.2注册</w:t>
      </w:r>
    </w:p>
    <w:p w14:paraId="4F76CC59">
      <w:pPr>
        <w:shd w:val="clear" w:color="auto" w:fill="auto"/>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供应商登录北京市政府采购电子交易平台“用户指南”—“操作指南”—“市场主体注册入库操作流程指引”进行自助注册绑定。</w:t>
      </w:r>
    </w:p>
    <w:p w14:paraId="45A73614">
      <w:pPr>
        <w:widowControl/>
        <w:shd w:val="clear" w:color="auto" w:fill="auto"/>
        <w:adjustRightInd w:val="0"/>
        <w:snapToGrid w:val="0"/>
        <w:spacing w:line="360" w:lineRule="auto"/>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2.3驱动、客户端下载</w:t>
      </w:r>
    </w:p>
    <w:p w14:paraId="339F2CE0">
      <w:pPr>
        <w:widowControl/>
        <w:shd w:val="clear" w:color="auto" w:fill="auto"/>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供应商登录北京市政府采购电子交易平台“用户指南”—“工具下载”—“招标采购系统文件驱动安装包”下载相关驱动。</w:t>
      </w:r>
    </w:p>
    <w:p w14:paraId="7962B77A">
      <w:pPr>
        <w:shd w:val="clear" w:color="auto" w:fill="auto"/>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供应商登录北京市政府采购电子交易平台“用户指南”—“工具下载”—“</w:t>
      </w:r>
      <w:r>
        <w:rPr>
          <w:rFonts w:hint="eastAsia" w:ascii="仿宋" w:hAnsi="仿宋" w:eastAsia="仿宋" w:cs="仿宋"/>
          <w:color w:val="auto"/>
          <w:sz w:val="24"/>
          <w:highlight w:val="none"/>
          <w:lang w:eastAsia="zh-CN" w:bidi="ar"/>
        </w:rPr>
        <w:t>响应文件</w:t>
      </w:r>
      <w:r>
        <w:rPr>
          <w:rFonts w:hint="eastAsia" w:ascii="仿宋" w:hAnsi="仿宋" w:eastAsia="仿宋" w:cs="仿宋"/>
          <w:color w:val="auto"/>
          <w:sz w:val="24"/>
          <w:highlight w:val="none"/>
          <w:lang w:bidi="ar"/>
        </w:rPr>
        <w:t>编制工具”下载相关客户端。</w:t>
      </w:r>
    </w:p>
    <w:p w14:paraId="228ABD6D">
      <w:pPr>
        <w:shd w:val="clear" w:color="auto" w:fill="auto"/>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2.4获取电子竞争性磋商文件</w:t>
      </w:r>
    </w:p>
    <w:p w14:paraId="198F7380">
      <w:pPr>
        <w:shd w:val="clear" w:color="auto" w:fill="auto"/>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供应商使用CA数字证书或电子营业执照登录北京市政府采购电子交易平台获取电子竞争性磋商文件。</w:t>
      </w:r>
    </w:p>
    <w:p w14:paraId="6E8D894A">
      <w:pPr>
        <w:shd w:val="clear" w:color="auto" w:fill="auto"/>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2.5编制电子响应文件</w:t>
      </w:r>
    </w:p>
    <w:p w14:paraId="74CCEC35">
      <w:pPr>
        <w:shd w:val="clear" w:color="auto" w:fill="auto"/>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0AA02061">
      <w:pPr>
        <w:shd w:val="clear" w:color="auto" w:fill="auto"/>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2.6提交电子响应文件</w:t>
      </w:r>
    </w:p>
    <w:p w14:paraId="28F0C80C">
      <w:pPr>
        <w:shd w:val="clear" w:color="auto" w:fill="auto"/>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供应商应于响应文件提交截止时间前在北京市政府采购电子交易平台提交电子响应文件，上传电子响应文件过程中请保持与互联网的连接畅通。</w:t>
      </w:r>
    </w:p>
    <w:p w14:paraId="2ADE4249">
      <w:pPr>
        <w:shd w:val="clear" w:color="auto" w:fill="auto"/>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2.7开启响应文件</w:t>
      </w:r>
    </w:p>
    <w:p w14:paraId="2EBCCD60">
      <w:pPr>
        <w:shd w:val="clear" w:color="auto" w:fill="auto"/>
        <w:adjustRightInd w:val="0"/>
        <w:snapToGrid w:val="0"/>
        <w:spacing w:line="360" w:lineRule="auto"/>
        <w:ind w:firstLine="480" w:firstLineChars="200"/>
        <w:rPr>
          <w:rFonts w:hint="eastAsia" w:ascii="仿宋" w:hAnsi="仿宋" w:eastAsia="仿宋" w:cs="仿宋"/>
          <w:color w:val="auto"/>
          <w:sz w:val="24"/>
          <w:highlight w:val="none"/>
          <w:lang w:eastAsia="zh-CN" w:bidi="ar"/>
        </w:rPr>
      </w:pPr>
      <w:r>
        <w:rPr>
          <w:rFonts w:hint="eastAsia" w:ascii="仿宋" w:hAnsi="仿宋" w:eastAsia="仿宋" w:cs="仿宋"/>
          <w:color w:val="auto"/>
          <w:sz w:val="24"/>
          <w:highlight w:val="none"/>
          <w:lang w:bidi="ar"/>
        </w:rPr>
        <w:t>供应商于磋商文件规定的开启时间、在开启地点使用CA数字证书或电子营业执照登录北京市政府采购电子交易平台解密并开启响应文件。如因供应商问题，解密不成功，则响应无效</w:t>
      </w:r>
      <w:r>
        <w:rPr>
          <w:rFonts w:hint="eastAsia" w:ascii="仿宋" w:hAnsi="仿宋" w:eastAsia="仿宋" w:cs="仿宋"/>
          <w:color w:val="auto"/>
          <w:sz w:val="24"/>
          <w:highlight w:val="none"/>
          <w:lang w:eastAsia="zh-CN" w:bidi="ar"/>
        </w:rPr>
        <w:t>。</w:t>
      </w:r>
    </w:p>
    <w:p w14:paraId="28C650DA">
      <w:pPr>
        <w:widowControl/>
        <w:shd w:val="clear" w:color="auto" w:fill="auto"/>
        <w:adjustRightInd w:val="0"/>
        <w:snapToGrid w:val="0"/>
        <w:spacing w:line="360" w:lineRule="auto"/>
        <w:ind w:firstLine="482" w:firstLineChars="20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.供应商法定代表人或其本项目（包）的授权代表须携带</w:t>
      </w:r>
      <w:r>
        <w:rPr>
          <w:rFonts w:hint="eastAsia" w:ascii="仿宋" w:hAnsi="仿宋" w:eastAsia="仿宋" w:cs="仿宋"/>
          <w:b/>
          <w:bCs/>
          <w:color w:val="auto"/>
          <w:sz w:val="24"/>
          <w:highlight w:val="none"/>
          <w:lang w:val="en-US" w:eastAsia="zh-CN"/>
        </w:rPr>
        <w:t>身份证原件、</w:t>
      </w:r>
      <w:r>
        <w:rPr>
          <w:rFonts w:hint="eastAsia" w:ascii="仿宋" w:hAnsi="仿宋" w:eastAsia="仿宋" w:cs="仿宋"/>
          <w:b/>
          <w:bCs/>
          <w:color w:val="auto"/>
          <w:sz w:val="24"/>
          <w:highlight w:val="none"/>
        </w:rPr>
        <w:t>笔记本电脑及CA数字证书或电子营业执照，</w:t>
      </w:r>
      <w:r>
        <w:rPr>
          <w:rFonts w:hint="eastAsia" w:ascii="仿宋" w:hAnsi="仿宋" w:eastAsia="仿宋" w:cs="仿宋"/>
          <w:b/>
          <w:bCs/>
          <w:color w:val="auto"/>
          <w:sz w:val="24"/>
          <w:highlight w:val="none"/>
          <w:lang w:val="en-US" w:eastAsia="zh-CN"/>
        </w:rPr>
        <w:t>于</w:t>
      </w:r>
      <w:r>
        <w:rPr>
          <w:rFonts w:hint="eastAsia" w:ascii="仿宋" w:hAnsi="仿宋" w:eastAsia="仿宋" w:cs="仿宋"/>
          <w:b/>
          <w:bCs/>
          <w:color w:val="auto"/>
          <w:sz w:val="24"/>
          <w:highlight w:val="none"/>
        </w:rPr>
        <w:t>20</w:t>
      </w:r>
      <w:r>
        <w:rPr>
          <w:rFonts w:hint="eastAsia" w:ascii="仿宋" w:hAnsi="仿宋" w:eastAsia="仿宋" w:cs="仿宋"/>
          <w:b/>
          <w:bCs/>
          <w:color w:val="auto"/>
          <w:sz w:val="24"/>
          <w:highlight w:val="none"/>
          <w:lang w:val="en-US" w:eastAsia="zh-CN"/>
        </w:rPr>
        <w:t>26</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lang w:val="en-US" w:eastAsia="zh-CN"/>
        </w:rPr>
        <w:t>03</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lang w:val="en-US" w:eastAsia="zh-CN"/>
        </w:rPr>
        <w:t>11</w:t>
      </w:r>
      <w:r>
        <w:rPr>
          <w:rFonts w:hint="eastAsia" w:ascii="仿宋" w:hAnsi="仿宋" w:eastAsia="仿宋" w:cs="仿宋"/>
          <w:b/>
          <w:bCs/>
          <w:color w:val="auto"/>
          <w:sz w:val="24"/>
          <w:highlight w:val="none"/>
        </w:rPr>
        <w:t>日</w:t>
      </w:r>
      <w:r>
        <w:rPr>
          <w:rFonts w:hint="eastAsia" w:ascii="仿宋" w:hAnsi="仿宋" w:eastAsia="仿宋" w:cs="仿宋"/>
          <w:b/>
          <w:bCs/>
          <w:color w:val="auto"/>
          <w:sz w:val="24"/>
          <w:highlight w:val="none"/>
          <w:lang w:val="en-US" w:eastAsia="zh-CN"/>
        </w:rPr>
        <w:t>09</w:t>
      </w:r>
      <w:r>
        <w:rPr>
          <w:rFonts w:hint="eastAsia" w:ascii="仿宋" w:hAnsi="仿宋" w:eastAsia="仿宋" w:cs="仿宋"/>
          <w:b/>
          <w:bCs/>
          <w:color w:val="auto"/>
          <w:sz w:val="24"/>
          <w:highlight w:val="none"/>
        </w:rPr>
        <w:t>点30分（北京时间）前到达北京市丰台区东旭国际中心A座北楼17层第</w:t>
      </w:r>
      <w:r>
        <w:rPr>
          <w:rFonts w:hint="eastAsia" w:ascii="仿宋" w:hAnsi="仿宋" w:eastAsia="仿宋" w:cs="仿宋"/>
          <w:b/>
          <w:bCs/>
          <w:color w:val="auto"/>
          <w:sz w:val="24"/>
          <w:highlight w:val="none"/>
          <w:lang w:val="en-US" w:eastAsia="zh-CN"/>
        </w:rPr>
        <w:t>三</w:t>
      </w:r>
      <w:r>
        <w:rPr>
          <w:rFonts w:hint="eastAsia" w:ascii="仿宋" w:hAnsi="仿宋" w:eastAsia="仿宋" w:cs="仿宋"/>
          <w:b/>
          <w:bCs/>
          <w:color w:val="auto"/>
          <w:sz w:val="24"/>
          <w:highlight w:val="none"/>
        </w:rPr>
        <w:t>会议室参与磋商，磋商现场单独手持一份《授权委托书》或《法定代表人（单位负责人）》身份证明。</w:t>
      </w:r>
    </w:p>
    <w:p w14:paraId="1F1E6EC0">
      <w:pPr>
        <w:widowControl/>
        <w:shd w:val="clear" w:color="auto" w:fill="auto"/>
        <w:adjustRightInd w:val="0"/>
        <w:snapToGrid w:val="0"/>
        <w:spacing w:line="360" w:lineRule="auto"/>
        <w:ind w:firstLine="482" w:firstLineChars="20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本项目采用全流程电子化采购方式，供应商除按照竞争性磋商文件要求于响应文件提交截止时间前在北京市政府采购电子交易平台提交电子响应文件外，还应在响应文件提交截止时间前递交纸质响应文件（正本一份）（密封递交）。评审以供应商在北京市政府采购电子交易平台提交的电子响应文件为准，纸质响应文件仅用于采购人存档备案；供应商所递交纸质响应文件应与电子响应文件应保持一致，如出现不一致以电子响应文件为准；纸质响应文件正本需要按照竞争性磋商文件要求签字盖章。</w:t>
      </w:r>
    </w:p>
    <w:p w14:paraId="3AE97132">
      <w:pPr>
        <w:shd w:val="clear" w:color="auto" w:fill="auto"/>
        <w:spacing w:line="360" w:lineRule="auto"/>
        <w:ind w:firstLine="480" w:firstLineChars="200"/>
        <w:rPr>
          <w:rFonts w:hint="eastAsia"/>
          <w:highlight w:val="none"/>
        </w:rPr>
      </w:pPr>
      <w:r>
        <w:rPr>
          <w:rFonts w:hint="eastAsia" w:ascii="仿宋" w:hAnsi="仿宋" w:eastAsia="仿宋" w:cs="仿宋"/>
          <w:color w:val="auto"/>
          <w:sz w:val="24"/>
          <w:highlight w:val="none"/>
          <w:lang w:val="en-US" w:eastAsia="zh-CN" w:bidi="ar"/>
        </w:rPr>
        <w:t>5</w:t>
      </w:r>
      <w:r>
        <w:rPr>
          <w:rFonts w:hint="eastAsia" w:ascii="仿宋" w:hAnsi="仿宋" w:eastAsia="仿宋" w:cs="仿宋"/>
          <w:color w:val="auto"/>
          <w:sz w:val="24"/>
          <w:highlight w:val="none"/>
          <w:lang w:bidi="ar"/>
        </w:rPr>
        <w:t>.本项目竞争性磋商公告在《北京市政府采购网》、《中国政府采购网》上发布。</w:t>
      </w:r>
    </w:p>
    <w:p w14:paraId="6C4BF771">
      <w:pPr>
        <w:shd w:val="clear" w:color="auto" w:fill="auto"/>
        <w:spacing w:line="360" w:lineRule="auto"/>
        <w:ind w:firstLine="480" w:firstLineChars="200"/>
        <w:rPr>
          <w:rFonts w:hint="default" w:ascii="仿宋" w:hAnsi="仿宋" w:eastAsia="仿宋" w:cs="仿宋"/>
          <w:b/>
          <w:bCs/>
          <w:color w:val="auto"/>
          <w:sz w:val="24"/>
          <w:highlight w:val="none"/>
          <w:lang w:val="en-US" w:eastAsia="zh-CN" w:bidi="ar"/>
        </w:rPr>
      </w:pPr>
      <w:r>
        <w:rPr>
          <w:rFonts w:hint="eastAsia" w:ascii="仿宋" w:hAnsi="仿宋" w:eastAsia="仿宋" w:cs="仿宋"/>
          <w:b w:val="0"/>
          <w:bCs w:val="0"/>
          <w:color w:val="auto"/>
          <w:sz w:val="24"/>
          <w:highlight w:val="none"/>
          <w:lang w:val="en-US" w:eastAsia="zh-CN" w:bidi="ar"/>
        </w:rPr>
        <w:t>6</w:t>
      </w:r>
      <w:r>
        <w:rPr>
          <w:rFonts w:hint="eastAsia" w:ascii="仿宋" w:hAnsi="仿宋" w:eastAsia="仿宋" w:cs="仿宋"/>
          <w:b w:val="0"/>
          <w:bCs w:val="0"/>
          <w:color w:val="auto"/>
          <w:sz w:val="24"/>
          <w:highlight w:val="none"/>
          <w:lang w:bidi="ar"/>
        </w:rPr>
        <w:t>.招标编号：</w:t>
      </w:r>
      <w:r>
        <w:rPr>
          <w:rFonts w:hint="eastAsia" w:ascii="仿宋" w:hAnsi="仿宋" w:eastAsia="仿宋" w:cs="仿宋"/>
          <w:b w:val="0"/>
          <w:bCs w:val="0"/>
          <w:color w:val="auto"/>
          <w:sz w:val="24"/>
          <w:highlight w:val="none"/>
          <w:lang w:val="en-US" w:eastAsia="zh-CN" w:bidi="ar"/>
        </w:rPr>
        <w:t>ZYZB-2026-0092。</w:t>
      </w:r>
    </w:p>
    <w:p w14:paraId="00736CCD">
      <w:pPr>
        <w:pStyle w:val="3"/>
        <w:shd w:val="clear" w:color="auto" w:fill="auto"/>
        <w:spacing w:before="0" w:line="360" w:lineRule="auto"/>
        <w:jc w:val="left"/>
        <w:rPr>
          <w:rFonts w:hint="eastAsia" w:ascii="仿宋" w:hAnsi="仿宋" w:eastAsia="仿宋" w:cs="仿宋"/>
          <w:color w:val="auto"/>
          <w:sz w:val="24"/>
          <w:szCs w:val="24"/>
          <w:highlight w:val="none"/>
        </w:rPr>
      </w:pPr>
      <w:bookmarkStart w:id="27" w:name="_Toc35393796"/>
      <w:bookmarkStart w:id="28" w:name="_Toc35393627"/>
      <w:bookmarkStart w:id="29" w:name="_Toc28359085"/>
      <w:bookmarkStart w:id="30" w:name="_Toc28359008"/>
      <w:r>
        <w:rPr>
          <w:rFonts w:hint="eastAsia" w:ascii="仿宋" w:hAnsi="仿宋" w:eastAsia="仿宋" w:cs="仿宋"/>
          <w:color w:val="auto"/>
          <w:sz w:val="24"/>
          <w:szCs w:val="24"/>
          <w:highlight w:val="none"/>
        </w:rPr>
        <w:t>八、对本次采购提出询问，请按以下方式联系</w:t>
      </w:r>
      <w:bookmarkEnd w:id="27"/>
      <w:bookmarkEnd w:id="28"/>
      <w:bookmarkEnd w:id="29"/>
      <w:bookmarkEnd w:id="30"/>
    </w:p>
    <w:p w14:paraId="50E0BEEC">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1.采购人信息</w:t>
      </w:r>
    </w:p>
    <w:p w14:paraId="24085863">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highlight w:val="none"/>
          <w:u w:val="none"/>
          <w:lang w:val="en-US"/>
        </w:rPr>
      </w:pPr>
      <w:bookmarkStart w:id="31" w:name="_Toc28359009"/>
      <w:bookmarkStart w:id="32" w:name="_Toc28359086"/>
      <w:r>
        <w:rPr>
          <w:rFonts w:hint="eastAsia" w:ascii="仿宋" w:hAnsi="仿宋" w:eastAsia="仿宋" w:cs="仿宋"/>
          <w:color w:val="auto"/>
          <w:sz w:val="24"/>
          <w:highlight w:val="none"/>
        </w:rPr>
        <w:t>名</w:t>
      </w:r>
      <w:r>
        <w:rPr>
          <w:rFonts w:hint="eastAsia" w:ascii="仿宋" w:hAnsi="仿宋" w:eastAsia="仿宋" w:cs="仿宋"/>
          <w:color w:val="auto"/>
          <w:sz w:val="24"/>
          <w:highlight w:val="none"/>
          <w:u w:val="none"/>
        </w:rPr>
        <w:t>称：</w:t>
      </w:r>
      <w:r>
        <w:rPr>
          <w:rFonts w:hint="eastAsia" w:ascii="仿宋" w:hAnsi="仿宋" w:eastAsia="仿宋" w:cs="仿宋"/>
          <w:color w:val="auto"/>
          <w:sz w:val="24"/>
          <w:highlight w:val="none"/>
          <w:u w:val="none"/>
          <w:lang w:val="en-US" w:eastAsia="zh-CN"/>
        </w:rPr>
        <w:t>北京市丰台区人民政府大红门街道办事处</w:t>
      </w:r>
    </w:p>
    <w:p w14:paraId="74FD7B99">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rPr>
        <w:t>地址：</w:t>
      </w:r>
      <w:r>
        <w:rPr>
          <w:rFonts w:hint="eastAsia" w:ascii="仿宋" w:hAnsi="仿宋" w:eastAsia="仿宋" w:cs="仿宋"/>
          <w:color w:val="auto"/>
          <w:sz w:val="24"/>
          <w:highlight w:val="none"/>
          <w:u w:val="none"/>
          <w:lang w:val="en-US" w:eastAsia="zh-CN"/>
        </w:rPr>
        <w:t>北京市丰台区大红门南里11号</w:t>
      </w:r>
    </w:p>
    <w:p w14:paraId="2F2DA4E3">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宋体" w:cs="仿宋"/>
          <w:color w:val="auto"/>
          <w:sz w:val="24"/>
          <w:highlight w:val="none"/>
          <w:u w:val="none"/>
          <w:lang w:val="en-US" w:eastAsia="zh-CN"/>
        </w:rPr>
      </w:pPr>
      <w:r>
        <w:rPr>
          <w:rFonts w:hint="eastAsia" w:ascii="仿宋" w:hAnsi="仿宋" w:eastAsia="仿宋" w:cs="仿宋"/>
          <w:color w:val="auto"/>
          <w:sz w:val="24"/>
          <w:highlight w:val="none"/>
          <w:u w:val="none"/>
        </w:rPr>
        <w:t>联系方式：</w:t>
      </w:r>
      <w:r>
        <w:rPr>
          <w:rFonts w:hint="eastAsia" w:ascii="仿宋" w:hAnsi="仿宋" w:eastAsia="仿宋" w:cs="仿宋"/>
          <w:color w:val="auto"/>
          <w:sz w:val="24"/>
          <w:highlight w:val="none"/>
          <w:u w:val="none"/>
          <w:lang w:val="en-US" w:eastAsia="zh-CN"/>
        </w:rPr>
        <w:t>李晓雨 010-67212179</w:t>
      </w:r>
    </w:p>
    <w:p w14:paraId="00F44114">
      <w:pPr>
        <w:keepNext w:val="0"/>
        <w:keepLines w:val="0"/>
        <w:pageBreakBefore w:val="0"/>
        <w:shd w:val="clear" w:color="auto" w:fill="auto"/>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2.采购代理机构信息</w:t>
      </w:r>
      <w:bookmarkEnd w:id="31"/>
      <w:bookmarkEnd w:id="32"/>
    </w:p>
    <w:p w14:paraId="72A53457">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u w:val="none"/>
        </w:rPr>
      </w:pPr>
      <w:bookmarkStart w:id="33" w:name="_Toc28359010"/>
      <w:bookmarkStart w:id="34" w:name="_Toc28359087"/>
      <w:r>
        <w:rPr>
          <w:rFonts w:hint="eastAsia" w:ascii="仿宋" w:hAnsi="仿宋" w:eastAsia="仿宋" w:cs="仿宋"/>
          <w:color w:val="auto"/>
          <w:sz w:val="24"/>
          <w:highlight w:val="none"/>
          <w:u w:val="none"/>
        </w:rPr>
        <w:t>名称：中钰招标有限公司</w:t>
      </w:r>
    </w:p>
    <w:p w14:paraId="56805BA1">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u w:val="none"/>
        </w:rPr>
        <w:t>地址：</w:t>
      </w:r>
      <w:r>
        <w:rPr>
          <w:rFonts w:hint="eastAsia" w:ascii="仿宋" w:hAnsi="仿宋" w:eastAsia="仿宋" w:cs="仿宋"/>
          <w:color w:val="auto"/>
          <w:sz w:val="24"/>
          <w:highlight w:val="none"/>
          <w:u w:val="none"/>
          <w:lang w:eastAsia="zh-CN"/>
        </w:rPr>
        <w:t>北京市丰台区四合庄路2号院4号楼1至17层101内17层1701</w:t>
      </w:r>
    </w:p>
    <w:p w14:paraId="24389A38">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u w:val="none"/>
        </w:rPr>
        <w:t>联系方式：</w:t>
      </w:r>
      <w:r>
        <w:rPr>
          <w:rFonts w:hint="eastAsia" w:ascii="仿宋" w:hAnsi="仿宋" w:eastAsia="仿宋" w:cs="仿宋"/>
          <w:color w:val="auto"/>
          <w:sz w:val="24"/>
          <w:highlight w:val="none"/>
          <w:u w:val="none"/>
          <w:lang w:val="en-US" w:eastAsia="zh-CN"/>
        </w:rPr>
        <w:t>丁旭</w:t>
      </w:r>
      <w:r>
        <w:rPr>
          <w:rFonts w:hint="eastAsia" w:ascii="仿宋" w:hAnsi="仿宋" w:eastAsia="仿宋" w:cs="仿宋"/>
          <w:color w:val="auto"/>
          <w:sz w:val="24"/>
          <w:highlight w:val="none"/>
          <w:u w:val="none"/>
          <w:lang w:eastAsia="zh-CN"/>
        </w:rPr>
        <w:t>、李倩、刘晶晶、朱艳梅、郭玉婷、魏俊强、彭婉、卢雪、张书玲010-60624505-812</w:t>
      </w:r>
    </w:p>
    <w:p w14:paraId="7245FD65">
      <w:pPr>
        <w:keepNext w:val="0"/>
        <w:keepLines w:val="0"/>
        <w:pageBreakBefore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highlight w:val="none"/>
          <w:u w:val="none"/>
        </w:rPr>
      </w:pPr>
      <w:r>
        <w:rPr>
          <w:rFonts w:hint="eastAsia" w:ascii="仿宋" w:hAnsi="仿宋" w:eastAsia="仿宋" w:cs="仿宋"/>
          <w:b/>
          <w:color w:val="auto"/>
          <w:sz w:val="24"/>
          <w:highlight w:val="none"/>
          <w:u w:val="none"/>
        </w:rPr>
        <w:t>3.项目联系方式</w:t>
      </w:r>
      <w:bookmarkEnd w:id="33"/>
      <w:bookmarkEnd w:id="34"/>
    </w:p>
    <w:p w14:paraId="7CD11C04">
      <w:pPr>
        <w:pStyle w:val="23"/>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color w:val="auto"/>
          <w:sz w:val="24"/>
          <w:szCs w:val="24"/>
          <w:highlight w:val="none"/>
          <w:u w:val="none"/>
        </w:rPr>
        <w:t>项目联系人：</w:t>
      </w:r>
      <w:r>
        <w:rPr>
          <w:rFonts w:hint="eastAsia" w:ascii="仿宋" w:hAnsi="仿宋" w:eastAsia="仿宋" w:cs="仿宋"/>
          <w:color w:val="auto"/>
          <w:sz w:val="24"/>
          <w:highlight w:val="none"/>
          <w:u w:val="none"/>
          <w:lang w:val="en-US" w:eastAsia="zh-CN"/>
        </w:rPr>
        <w:t>丁旭</w:t>
      </w:r>
      <w:r>
        <w:rPr>
          <w:rFonts w:hint="eastAsia" w:ascii="仿宋" w:hAnsi="仿宋" w:eastAsia="仿宋" w:cs="仿宋"/>
          <w:color w:val="auto"/>
          <w:sz w:val="24"/>
          <w:highlight w:val="none"/>
          <w:u w:val="none"/>
          <w:lang w:eastAsia="zh-CN"/>
        </w:rPr>
        <w:t>、李倩、刘晶晶、朱艳梅、郭玉婷、魏俊强、彭婉、卢雪、张书玲</w:t>
      </w:r>
    </w:p>
    <w:p w14:paraId="4E8B7C23">
      <w:pPr>
        <w:pStyle w:val="23"/>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highlight w:val="none"/>
          <w:u w:val="none"/>
        </w:rPr>
        <w:t>电话：</w:t>
      </w:r>
      <w:r>
        <w:rPr>
          <w:rFonts w:hint="eastAsia" w:ascii="仿宋" w:hAnsi="仿宋" w:eastAsia="仿宋" w:cs="仿宋"/>
          <w:color w:val="auto"/>
          <w:sz w:val="24"/>
          <w:highlight w:val="none"/>
          <w:u w:val="none"/>
          <w:lang w:eastAsia="zh-CN"/>
        </w:rPr>
        <w:t>010-60624505-812</w:t>
      </w:r>
    </w:p>
    <w:p w14:paraId="2BB4A478">
      <w:pPr>
        <w:shd w:val="clear" w:color="auto" w:fill="auto"/>
        <w:spacing w:line="360" w:lineRule="auto"/>
        <w:jc w:val="center"/>
        <w:outlineLvl w:val="0"/>
        <w:rPr>
          <w:rFonts w:hint="eastAsia" w:ascii="仿宋" w:hAnsi="仿宋" w:eastAsia="仿宋" w:cs="仿宋"/>
          <w:b/>
          <w:color w:val="auto"/>
          <w:sz w:val="36"/>
          <w:szCs w:val="36"/>
          <w:highlight w:val="none"/>
        </w:rPr>
        <w:sectPr>
          <w:footerReference r:id="rId8" w:type="first"/>
          <w:footerReference r:id="rId7" w:type="default"/>
          <w:pgSz w:w="11907" w:h="16840"/>
          <w:pgMar w:top="1418" w:right="1134" w:bottom="1418" w:left="1701" w:header="851" w:footer="851" w:gutter="0"/>
          <w:pgBorders>
            <w:top w:val="none" w:sz="0" w:space="0"/>
            <w:left w:val="none" w:sz="0" w:space="0"/>
            <w:bottom w:val="none" w:sz="0" w:space="0"/>
            <w:right w:val="none" w:sz="0" w:space="0"/>
          </w:pgBorders>
          <w:pgNumType w:fmt="decimal" w:start="1"/>
          <w:cols w:space="720" w:num="1"/>
          <w:titlePg/>
          <w:docGrid w:linePitch="462" w:charSpace="0"/>
        </w:sectPr>
      </w:pPr>
      <w:bookmarkStart w:id="35" w:name="_Toc305158854"/>
      <w:bookmarkStart w:id="36" w:name="_Toc265228423"/>
      <w:bookmarkStart w:id="37" w:name="_Toc353873938"/>
      <w:bookmarkStart w:id="38" w:name="_Toc26787"/>
      <w:bookmarkStart w:id="39" w:name="_Toc150774783"/>
      <w:bookmarkStart w:id="40" w:name="_Toc195842950"/>
      <w:bookmarkStart w:id="41" w:name="_Toc127161488"/>
      <w:bookmarkStart w:id="42" w:name="_Toc305158928"/>
      <w:bookmarkStart w:id="43" w:name="_Toc353825548"/>
      <w:bookmarkStart w:id="44" w:name="_Toc512937850"/>
      <w:bookmarkStart w:id="45" w:name="_Toc264969275"/>
      <w:bookmarkStart w:id="46" w:name="_Toc127151777"/>
      <w:bookmarkStart w:id="47" w:name="_Toc226965856"/>
    </w:p>
    <w:p w14:paraId="16093133">
      <w:pPr>
        <w:shd w:val="clear" w:color="auto" w:fill="auto"/>
        <w:spacing w:line="360" w:lineRule="auto"/>
        <w:jc w:val="center"/>
        <w:outlineLvl w:val="0"/>
        <w:rPr>
          <w:rFonts w:hint="eastAsia" w:ascii="仿宋" w:hAnsi="仿宋" w:eastAsia="仿宋" w:cs="仿宋"/>
          <w:b/>
          <w:color w:val="auto"/>
          <w:sz w:val="32"/>
          <w:szCs w:val="32"/>
          <w:highlight w:val="none"/>
        </w:rPr>
      </w:pPr>
      <w:bookmarkStart w:id="48" w:name="_Toc25722"/>
      <w:r>
        <w:rPr>
          <w:rFonts w:hint="eastAsia" w:ascii="仿宋" w:hAnsi="仿宋" w:eastAsia="仿宋" w:cs="仿宋"/>
          <w:b/>
          <w:color w:val="auto"/>
          <w:sz w:val="36"/>
          <w:szCs w:val="36"/>
          <w:highlight w:val="none"/>
        </w:rPr>
        <w:t>第二章供应商须知</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C12EBD1">
      <w:pPr>
        <w:pStyle w:val="3"/>
        <w:shd w:val="clear" w:color="auto" w:fill="auto"/>
        <w:tabs>
          <w:tab w:val="center" w:pos="4592"/>
          <w:tab w:val="left" w:pos="7860"/>
        </w:tabs>
        <w:spacing w:before="0" w:line="360" w:lineRule="auto"/>
        <w:rPr>
          <w:rFonts w:hint="eastAsia" w:ascii="仿宋" w:hAnsi="仿宋" w:eastAsia="仿宋" w:cs="仿宋"/>
          <w:b w:val="0"/>
          <w:color w:val="auto"/>
          <w:sz w:val="28"/>
          <w:highlight w:val="none"/>
        </w:rPr>
      </w:pPr>
      <w:bookmarkStart w:id="49" w:name="_Toc150509270"/>
      <w:bookmarkStart w:id="50" w:name="_Toc150480757"/>
      <w:bookmarkStart w:id="51" w:name="_Toc151190146"/>
      <w:bookmarkStart w:id="52" w:name="_Toc226965792"/>
      <w:bookmarkStart w:id="53" w:name="_Toc127161433"/>
      <w:bookmarkStart w:id="54" w:name="_Toc127151519"/>
      <w:bookmarkStart w:id="55" w:name="_Toc151193617"/>
      <w:bookmarkStart w:id="56" w:name="_Toc150774619"/>
      <w:bookmarkStart w:id="57" w:name="_Toc151193761"/>
      <w:bookmarkStart w:id="58" w:name="_Toc151193689"/>
      <w:bookmarkStart w:id="59" w:name="_Toc195842884"/>
      <w:bookmarkStart w:id="60" w:name="_Toc164608633"/>
      <w:bookmarkStart w:id="61" w:name="_Toc142311021"/>
      <w:bookmarkStart w:id="62" w:name="_Toc164229360"/>
      <w:bookmarkStart w:id="63" w:name="_Toc150774724"/>
      <w:bookmarkStart w:id="64" w:name="_Toc127151720"/>
      <w:bookmarkStart w:id="65" w:name="_Toc151193907"/>
      <w:bookmarkStart w:id="66" w:name="_Toc164351613"/>
      <w:bookmarkStart w:id="67" w:name="_Toc164608788"/>
      <w:bookmarkStart w:id="68" w:name="_Toc164229214"/>
      <w:bookmarkStart w:id="69" w:name="_Toc226309763"/>
      <w:bookmarkStart w:id="70" w:name="_Toc226965709"/>
      <w:bookmarkStart w:id="71" w:name="_Toc520356144"/>
      <w:bookmarkStart w:id="72" w:name="_Toc226337215"/>
      <w:bookmarkStart w:id="73" w:name="_Toc149720812"/>
      <w:bookmarkStart w:id="74" w:name="_Toc151193833"/>
      <w:r>
        <w:rPr>
          <w:rFonts w:hint="eastAsia" w:ascii="仿宋" w:hAnsi="仿宋" w:eastAsia="仿宋" w:cs="仿宋"/>
          <w:color w:val="auto"/>
          <w:sz w:val="28"/>
          <w:highlight w:val="none"/>
        </w:rPr>
        <w:t>供应商须知资料表</w:t>
      </w:r>
    </w:p>
    <w:p w14:paraId="1EA917A6">
      <w:pPr>
        <w:shd w:val="clear" w:color="auto" w:fill="auto"/>
        <w:jc w:val="center"/>
        <w:rPr>
          <w:rFonts w:hint="eastAsia" w:ascii="仿宋" w:hAnsi="仿宋" w:eastAsia="仿宋" w:cs="仿宋"/>
          <w:b/>
          <w:color w:val="auto"/>
          <w:sz w:val="28"/>
          <w:szCs w:val="28"/>
          <w:highlight w:val="none"/>
        </w:rPr>
      </w:pPr>
    </w:p>
    <w:p w14:paraId="604A74F8">
      <w:pPr>
        <w:shd w:val="clear" w:color="auto" w:fill="auto"/>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本表是对供应商须知的具体补充和修改，如有矛盾，均以本资料表为准。</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7253"/>
      </w:tblGrid>
      <w:tr w14:paraId="4891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4D07BAF4">
            <w:pPr>
              <w:shd w:val="clear" w:color="auto" w:fill="auto"/>
              <w:jc w:val="center"/>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条款号</w:t>
            </w:r>
          </w:p>
        </w:tc>
        <w:tc>
          <w:tcPr>
            <w:tcW w:w="1701" w:type="dxa"/>
            <w:noWrap w:val="0"/>
            <w:vAlign w:val="center"/>
          </w:tcPr>
          <w:p w14:paraId="39765B44">
            <w:pPr>
              <w:shd w:val="clear" w:color="auto" w:fill="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条目</w:t>
            </w:r>
          </w:p>
        </w:tc>
        <w:tc>
          <w:tcPr>
            <w:tcW w:w="7253" w:type="dxa"/>
            <w:noWrap w:val="0"/>
            <w:vAlign w:val="center"/>
          </w:tcPr>
          <w:p w14:paraId="79985309">
            <w:pPr>
              <w:shd w:val="clear" w:color="auto" w:fill="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内容</w:t>
            </w:r>
          </w:p>
        </w:tc>
      </w:tr>
      <w:tr w14:paraId="2BA1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C6384D0">
            <w:pPr>
              <w:pStyle w:val="23"/>
              <w:shd w:val="clear" w:color="auto" w:fill="auto"/>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1701" w:type="dxa"/>
            <w:noWrap w:val="0"/>
            <w:vAlign w:val="center"/>
          </w:tcPr>
          <w:p w14:paraId="66F815CE">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项目属性</w:t>
            </w:r>
          </w:p>
        </w:tc>
        <w:tc>
          <w:tcPr>
            <w:tcW w:w="7253" w:type="dxa"/>
            <w:noWrap w:val="0"/>
            <w:vAlign w:val="center"/>
          </w:tcPr>
          <w:p w14:paraId="62C94930">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项目属性：</w:t>
            </w:r>
          </w:p>
          <w:p w14:paraId="1BC5E461">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■服务</w:t>
            </w:r>
          </w:p>
          <w:p w14:paraId="387BC5EC">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highlight w:val="none"/>
              </w:rPr>
              <w:t>□</w:t>
            </w:r>
            <w:r>
              <w:rPr>
                <w:rFonts w:hint="eastAsia" w:ascii="仿宋" w:hAnsi="仿宋" w:eastAsia="仿宋" w:cs="仿宋"/>
                <w:color w:val="auto"/>
                <w:sz w:val="24"/>
                <w:highlight w:val="none"/>
              </w:rPr>
              <w:t>货物</w:t>
            </w:r>
          </w:p>
          <w:p w14:paraId="53ABD448">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□工程</w:t>
            </w:r>
          </w:p>
        </w:tc>
      </w:tr>
      <w:tr w14:paraId="0C95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3C76229">
            <w:pPr>
              <w:pStyle w:val="23"/>
              <w:shd w:val="clear" w:color="auto" w:fill="auto"/>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1701" w:type="dxa"/>
            <w:noWrap w:val="0"/>
            <w:vAlign w:val="center"/>
          </w:tcPr>
          <w:p w14:paraId="28719718">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科研仪器设备</w:t>
            </w:r>
          </w:p>
        </w:tc>
        <w:tc>
          <w:tcPr>
            <w:tcW w:w="7253" w:type="dxa"/>
            <w:noWrap w:val="0"/>
            <w:vAlign w:val="center"/>
          </w:tcPr>
          <w:p w14:paraId="0AD4D82D">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是否属于科研仪器设备采购项目：</w:t>
            </w:r>
          </w:p>
          <w:p w14:paraId="1E1F0AE4">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highlight w:val="none"/>
              </w:rPr>
              <w:t>□</w:t>
            </w:r>
            <w:r>
              <w:rPr>
                <w:rFonts w:hint="eastAsia" w:ascii="仿宋" w:hAnsi="仿宋" w:eastAsia="仿宋" w:cs="仿宋"/>
                <w:color w:val="auto"/>
                <w:sz w:val="24"/>
                <w:highlight w:val="none"/>
              </w:rPr>
              <w:t>是</w:t>
            </w:r>
          </w:p>
          <w:p w14:paraId="54D5647A">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r>
      <w:tr w14:paraId="456D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7010DB00">
            <w:pPr>
              <w:pStyle w:val="23"/>
              <w:shd w:val="clear" w:color="auto" w:fill="auto"/>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1701" w:type="dxa"/>
            <w:noWrap w:val="0"/>
            <w:vAlign w:val="center"/>
          </w:tcPr>
          <w:p w14:paraId="0E5BA231">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现场考察</w:t>
            </w:r>
          </w:p>
        </w:tc>
        <w:tc>
          <w:tcPr>
            <w:tcW w:w="7253" w:type="dxa"/>
            <w:noWrap w:val="0"/>
            <w:vAlign w:val="center"/>
          </w:tcPr>
          <w:p w14:paraId="161A0DF8">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■不组织</w:t>
            </w:r>
          </w:p>
          <w:p w14:paraId="52171298">
            <w:pPr>
              <w:shd w:val="clear" w:color="auto" w:fill="auto"/>
              <w:jc w:val="left"/>
              <w:rPr>
                <w:rFonts w:hint="eastAsia" w:ascii="仿宋" w:hAnsi="仿宋" w:eastAsia="仿宋" w:cs="仿宋"/>
                <w:bCs/>
                <w:color w:val="auto"/>
                <w:sz w:val="24"/>
                <w:highlight w:val="none"/>
              </w:rPr>
            </w:pPr>
            <w:r>
              <w:rPr>
                <w:rFonts w:hint="eastAsia" w:ascii="仿宋" w:hAnsi="仿宋" w:eastAsia="仿宋" w:cs="仿宋"/>
                <w:color w:val="auto"/>
                <w:highlight w:val="none"/>
              </w:rPr>
              <w:t>□</w:t>
            </w:r>
            <w:r>
              <w:rPr>
                <w:rFonts w:hint="eastAsia" w:ascii="仿宋" w:hAnsi="仿宋" w:eastAsia="仿宋" w:cs="仿宋"/>
                <w:color w:val="auto"/>
                <w:sz w:val="24"/>
                <w:highlight w:val="none"/>
              </w:rPr>
              <w:t>组织，考察时间：___</w:t>
            </w:r>
            <w:r>
              <w:rPr>
                <w:rFonts w:hint="eastAsia" w:ascii="仿宋" w:hAnsi="仿宋" w:eastAsia="仿宋" w:cs="仿宋"/>
                <w:color w:val="auto"/>
                <w:sz w:val="24"/>
                <w:highlight w:val="none"/>
                <w:lang w:bidi="ar"/>
              </w:rPr>
              <w:t>年</w:t>
            </w:r>
            <w:r>
              <w:rPr>
                <w:rFonts w:hint="eastAsia" w:ascii="仿宋" w:hAnsi="仿宋" w:eastAsia="仿宋" w:cs="仿宋"/>
                <w:color w:val="auto"/>
                <w:sz w:val="24"/>
                <w:highlight w:val="none"/>
              </w:rPr>
              <w:t>___</w:t>
            </w:r>
            <w:r>
              <w:rPr>
                <w:rFonts w:hint="eastAsia" w:ascii="仿宋" w:hAnsi="仿宋" w:eastAsia="仿宋" w:cs="仿宋"/>
                <w:color w:val="auto"/>
                <w:sz w:val="24"/>
                <w:highlight w:val="none"/>
                <w:lang w:bidi="ar"/>
              </w:rPr>
              <w:t>月</w:t>
            </w:r>
            <w:r>
              <w:rPr>
                <w:rFonts w:hint="eastAsia" w:ascii="仿宋" w:hAnsi="仿宋" w:eastAsia="仿宋" w:cs="仿宋"/>
                <w:color w:val="auto"/>
                <w:sz w:val="24"/>
                <w:highlight w:val="none"/>
              </w:rPr>
              <w:t>___</w:t>
            </w:r>
            <w:r>
              <w:rPr>
                <w:rFonts w:hint="eastAsia" w:ascii="仿宋" w:hAnsi="仿宋" w:eastAsia="仿宋" w:cs="仿宋"/>
                <w:color w:val="auto"/>
                <w:sz w:val="24"/>
                <w:highlight w:val="none"/>
                <w:lang w:bidi="ar"/>
              </w:rPr>
              <w:t>日</w:t>
            </w:r>
            <w:r>
              <w:rPr>
                <w:rFonts w:hint="eastAsia" w:ascii="仿宋" w:hAnsi="仿宋" w:eastAsia="仿宋" w:cs="仿宋"/>
                <w:color w:val="auto"/>
                <w:sz w:val="24"/>
                <w:highlight w:val="none"/>
              </w:rPr>
              <w:t>___</w:t>
            </w:r>
            <w:r>
              <w:rPr>
                <w:rFonts w:hint="eastAsia" w:ascii="仿宋" w:hAnsi="仿宋" w:eastAsia="仿宋" w:cs="仿宋"/>
                <w:color w:val="auto"/>
                <w:sz w:val="24"/>
                <w:highlight w:val="none"/>
                <w:lang w:bidi="ar"/>
              </w:rPr>
              <w:t>点</w:t>
            </w:r>
            <w:r>
              <w:rPr>
                <w:rFonts w:hint="eastAsia" w:ascii="仿宋" w:hAnsi="仿宋" w:eastAsia="仿宋" w:cs="仿宋"/>
                <w:color w:val="auto"/>
                <w:sz w:val="24"/>
                <w:highlight w:val="none"/>
              </w:rPr>
              <w:t>___</w:t>
            </w:r>
            <w:r>
              <w:rPr>
                <w:rFonts w:hint="eastAsia" w:ascii="仿宋" w:hAnsi="仿宋" w:eastAsia="仿宋" w:cs="仿宋"/>
                <w:color w:val="auto"/>
                <w:sz w:val="24"/>
                <w:highlight w:val="none"/>
                <w:lang w:bidi="ar"/>
              </w:rPr>
              <w:t>分</w:t>
            </w:r>
          </w:p>
          <w:p w14:paraId="5D366D6D">
            <w:pPr>
              <w:pStyle w:val="23"/>
              <w:shd w:val="clear" w:color="auto" w:fill="auto"/>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考察地点：___________。</w:t>
            </w:r>
          </w:p>
        </w:tc>
      </w:tr>
      <w:tr w14:paraId="073E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45AB961D">
            <w:pPr>
              <w:pStyle w:val="23"/>
              <w:shd w:val="clear" w:color="auto" w:fill="auto"/>
              <w:adjustRightInd w:val="0"/>
              <w:snapToGrid w:val="0"/>
              <w:jc w:val="center"/>
              <w:rPr>
                <w:rFonts w:hint="eastAsia" w:ascii="仿宋" w:hAnsi="仿宋" w:eastAsia="仿宋" w:cs="仿宋"/>
                <w:color w:val="auto"/>
                <w:sz w:val="24"/>
                <w:szCs w:val="24"/>
                <w:highlight w:val="none"/>
              </w:rPr>
            </w:pPr>
          </w:p>
        </w:tc>
        <w:tc>
          <w:tcPr>
            <w:tcW w:w="1701" w:type="dxa"/>
            <w:noWrap w:val="0"/>
            <w:vAlign w:val="center"/>
          </w:tcPr>
          <w:p w14:paraId="16557E76">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磋商前答疑会</w:t>
            </w:r>
          </w:p>
        </w:tc>
        <w:tc>
          <w:tcPr>
            <w:tcW w:w="7253" w:type="dxa"/>
            <w:noWrap w:val="0"/>
            <w:vAlign w:val="center"/>
          </w:tcPr>
          <w:p w14:paraId="0C413355">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■不召开</w:t>
            </w:r>
          </w:p>
          <w:p w14:paraId="451B5DE2">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highlight w:val="none"/>
              </w:rPr>
              <w:t>□</w:t>
            </w:r>
            <w:r>
              <w:rPr>
                <w:rFonts w:hint="eastAsia" w:ascii="仿宋" w:hAnsi="仿宋" w:eastAsia="仿宋" w:cs="仿宋"/>
                <w:color w:val="auto"/>
                <w:sz w:val="24"/>
                <w:highlight w:val="none"/>
              </w:rPr>
              <w:t>召开，召开时间：___</w:t>
            </w:r>
            <w:r>
              <w:rPr>
                <w:rFonts w:hint="eastAsia" w:ascii="仿宋" w:hAnsi="仿宋" w:eastAsia="仿宋" w:cs="仿宋"/>
                <w:color w:val="auto"/>
                <w:sz w:val="24"/>
                <w:highlight w:val="none"/>
                <w:lang w:bidi="ar"/>
              </w:rPr>
              <w:t>年</w:t>
            </w:r>
            <w:r>
              <w:rPr>
                <w:rFonts w:hint="eastAsia" w:ascii="仿宋" w:hAnsi="仿宋" w:eastAsia="仿宋" w:cs="仿宋"/>
                <w:color w:val="auto"/>
                <w:sz w:val="24"/>
                <w:highlight w:val="none"/>
              </w:rPr>
              <w:t>___</w:t>
            </w:r>
            <w:r>
              <w:rPr>
                <w:rFonts w:hint="eastAsia" w:ascii="仿宋" w:hAnsi="仿宋" w:eastAsia="仿宋" w:cs="仿宋"/>
                <w:color w:val="auto"/>
                <w:sz w:val="24"/>
                <w:highlight w:val="none"/>
                <w:lang w:bidi="ar"/>
              </w:rPr>
              <w:t>月</w:t>
            </w:r>
            <w:r>
              <w:rPr>
                <w:rFonts w:hint="eastAsia" w:ascii="仿宋" w:hAnsi="仿宋" w:eastAsia="仿宋" w:cs="仿宋"/>
                <w:color w:val="auto"/>
                <w:sz w:val="24"/>
                <w:highlight w:val="none"/>
              </w:rPr>
              <w:t>___</w:t>
            </w:r>
            <w:r>
              <w:rPr>
                <w:rFonts w:hint="eastAsia" w:ascii="仿宋" w:hAnsi="仿宋" w:eastAsia="仿宋" w:cs="仿宋"/>
                <w:color w:val="auto"/>
                <w:sz w:val="24"/>
                <w:highlight w:val="none"/>
                <w:lang w:bidi="ar"/>
              </w:rPr>
              <w:t>日</w:t>
            </w:r>
            <w:r>
              <w:rPr>
                <w:rFonts w:hint="eastAsia" w:ascii="仿宋" w:hAnsi="仿宋" w:eastAsia="仿宋" w:cs="仿宋"/>
                <w:color w:val="auto"/>
                <w:sz w:val="24"/>
                <w:highlight w:val="none"/>
              </w:rPr>
              <w:t>___</w:t>
            </w:r>
            <w:r>
              <w:rPr>
                <w:rFonts w:hint="eastAsia" w:ascii="仿宋" w:hAnsi="仿宋" w:eastAsia="仿宋" w:cs="仿宋"/>
                <w:color w:val="auto"/>
                <w:sz w:val="24"/>
                <w:highlight w:val="none"/>
                <w:lang w:bidi="ar"/>
              </w:rPr>
              <w:t>点</w:t>
            </w:r>
            <w:r>
              <w:rPr>
                <w:rFonts w:hint="eastAsia" w:ascii="仿宋" w:hAnsi="仿宋" w:eastAsia="仿宋" w:cs="仿宋"/>
                <w:color w:val="auto"/>
                <w:sz w:val="24"/>
                <w:highlight w:val="none"/>
              </w:rPr>
              <w:t>___</w:t>
            </w:r>
            <w:r>
              <w:rPr>
                <w:rFonts w:hint="eastAsia" w:ascii="仿宋" w:hAnsi="仿宋" w:eastAsia="仿宋" w:cs="仿宋"/>
                <w:color w:val="auto"/>
                <w:sz w:val="24"/>
                <w:highlight w:val="none"/>
                <w:lang w:bidi="ar"/>
              </w:rPr>
              <w:t>分</w:t>
            </w:r>
          </w:p>
          <w:p w14:paraId="0F2B3664">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召开地点：___________。</w:t>
            </w:r>
          </w:p>
        </w:tc>
      </w:tr>
      <w:tr w14:paraId="7EDC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988" w:type="dxa"/>
            <w:noWrap w:val="0"/>
            <w:vAlign w:val="center"/>
          </w:tcPr>
          <w:p w14:paraId="34EB4D1F">
            <w:pPr>
              <w:pStyle w:val="23"/>
              <w:shd w:val="clear" w:color="auto" w:fill="auto"/>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4.2.5</w:t>
            </w:r>
          </w:p>
        </w:tc>
        <w:tc>
          <w:tcPr>
            <w:tcW w:w="1701" w:type="dxa"/>
            <w:noWrap w:val="0"/>
            <w:vAlign w:val="center"/>
          </w:tcPr>
          <w:p w14:paraId="283F2726">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标的所属行业</w:t>
            </w:r>
          </w:p>
        </w:tc>
        <w:tc>
          <w:tcPr>
            <w:tcW w:w="7253" w:type="dxa"/>
            <w:noWrap w:val="0"/>
            <w:vAlign w:val="center"/>
          </w:tcPr>
          <w:p w14:paraId="1052674B">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本项目采购标的对应的中小企业划分标准所属行业</w:t>
            </w:r>
            <w:r>
              <w:rPr>
                <w:rFonts w:hint="eastAsia" w:ascii="仿宋" w:hAnsi="仿宋" w:eastAsia="仿宋" w:cs="仿宋"/>
                <w:b/>
                <w:bCs/>
                <w:color w:val="auto"/>
                <w:sz w:val="24"/>
                <w:highlight w:val="none"/>
              </w:rPr>
              <w:t>（中小企业声明函中的标的名称及所属行业须以此处为准）</w:t>
            </w:r>
            <w:r>
              <w:rPr>
                <w:rFonts w:hint="eastAsia" w:ascii="仿宋" w:hAnsi="仿宋" w:eastAsia="仿宋" w:cs="仿宋"/>
                <w:color w:val="auto"/>
                <w:sz w:val="24"/>
                <w:highlight w:val="none"/>
              </w:rPr>
              <w:t>：</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765"/>
              <w:gridCol w:w="3273"/>
            </w:tblGrid>
            <w:tr w14:paraId="1B8F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pct"/>
                  <w:tcBorders>
                    <w:top w:val="single" w:color="auto" w:sz="4" w:space="0"/>
                    <w:left w:val="single" w:color="auto" w:sz="4" w:space="0"/>
                    <w:bottom w:val="single" w:color="auto" w:sz="4" w:space="0"/>
                    <w:right w:val="single" w:color="auto" w:sz="4" w:space="0"/>
                  </w:tcBorders>
                  <w:noWrap w:val="0"/>
                  <w:vAlign w:val="center"/>
                </w:tcPr>
                <w:p w14:paraId="70876809">
                  <w:pPr>
                    <w:shd w:val="clear" w:color="auto" w:fill="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序号</w:t>
                  </w:r>
                </w:p>
              </w:tc>
              <w:tc>
                <w:tcPr>
                  <w:tcW w:w="1967" w:type="pct"/>
                  <w:tcBorders>
                    <w:top w:val="single" w:color="auto" w:sz="4" w:space="0"/>
                    <w:left w:val="single" w:color="auto" w:sz="4" w:space="0"/>
                    <w:bottom w:val="single" w:color="auto" w:sz="4" w:space="0"/>
                    <w:right w:val="single" w:color="auto" w:sz="4" w:space="0"/>
                  </w:tcBorders>
                  <w:noWrap w:val="0"/>
                  <w:vAlign w:val="center"/>
                </w:tcPr>
                <w:p w14:paraId="79ACE10C">
                  <w:pPr>
                    <w:shd w:val="clear" w:color="auto" w:fill="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标的名称</w:t>
                  </w:r>
                </w:p>
              </w:tc>
              <w:tc>
                <w:tcPr>
                  <w:tcW w:w="2328" w:type="pct"/>
                  <w:tcBorders>
                    <w:top w:val="single" w:color="auto" w:sz="4" w:space="0"/>
                    <w:left w:val="single" w:color="auto" w:sz="4" w:space="0"/>
                    <w:bottom w:val="single" w:color="auto" w:sz="4" w:space="0"/>
                    <w:right w:val="single" w:color="auto" w:sz="4" w:space="0"/>
                  </w:tcBorders>
                  <w:noWrap w:val="0"/>
                  <w:vAlign w:val="center"/>
                </w:tcPr>
                <w:p w14:paraId="7549CE9E">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中小企业划分标准所属行业</w:t>
                  </w:r>
                </w:p>
              </w:tc>
            </w:tr>
            <w:tr w14:paraId="03D0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pct"/>
                  <w:tcBorders>
                    <w:top w:val="single" w:color="auto" w:sz="4" w:space="0"/>
                    <w:left w:val="single" w:color="auto" w:sz="4" w:space="0"/>
                    <w:bottom w:val="single" w:color="auto" w:sz="4" w:space="0"/>
                    <w:right w:val="single" w:color="auto" w:sz="4" w:space="0"/>
                  </w:tcBorders>
                  <w:noWrap w:val="0"/>
                  <w:vAlign w:val="center"/>
                </w:tcPr>
                <w:p w14:paraId="47D65D83">
                  <w:pPr>
                    <w:shd w:val="clear" w:color="auto" w:fill="auto"/>
                    <w:spacing w:line="240" w:lineRule="auto"/>
                    <w:jc w:val="center"/>
                    <w:rPr>
                      <w:rFonts w:hint="eastAsia" w:ascii="仿宋" w:hAnsi="仿宋" w:eastAsia="仿宋" w:cs="仿宋"/>
                      <w:bCs/>
                      <w:color w:val="auto"/>
                      <w:sz w:val="28"/>
                      <w:szCs w:val="28"/>
                      <w:highlight w:val="none"/>
                      <w:lang w:eastAsia="zh-CN"/>
                    </w:rPr>
                  </w:pPr>
                  <w:r>
                    <w:rPr>
                      <w:rFonts w:hint="eastAsia" w:ascii="仿宋" w:hAnsi="仿宋" w:eastAsia="仿宋" w:cs="仿宋"/>
                      <w:color w:val="auto"/>
                      <w:sz w:val="24"/>
                      <w:highlight w:val="none"/>
                      <w:lang w:val="en-US" w:eastAsia="zh-CN"/>
                    </w:rPr>
                    <w:t>1</w:t>
                  </w:r>
                </w:p>
              </w:tc>
              <w:tc>
                <w:tcPr>
                  <w:tcW w:w="1967" w:type="pct"/>
                  <w:tcBorders>
                    <w:top w:val="single" w:color="auto" w:sz="4" w:space="0"/>
                    <w:left w:val="single" w:color="auto" w:sz="4" w:space="0"/>
                    <w:bottom w:val="single" w:color="auto" w:sz="4" w:space="0"/>
                    <w:right w:val="single" w:color="auto" w:sz="4" w:space="0"/>
                  </w:tcBorders>
                  <w:noWrap w:val="0"/>
                  <w:vAlign w:val="center"/>
                </w:tcPr>
                <w:p w14:paraId="135F8CBB">
                  <w:pPr>
                    <w:shd w:val="clear" w:color="auto" w:fill="auto"/>
                    <w:spacing w:line="240" w:lineRule="auto"/>
                    <w:jc w:val="center"/>
                    <w:rPr>
                      <w:rFonts w:hint="default" w:ascii="仿宋" w:hAnsi="仿宋" w:eastAsia="仿宋" w:cs="仿宋"/>
                      <w:bCs/>
                      <w:color w:val="auto"/>
                      <w:sz w:val="28"/>
                      <w:szCs w:val="28"/>
                      <w:highlight w:val="none"/>
                      <w:lang w:val="en-US" w:eastAsia="zh-CN"/>
                    </w:rPr>
                  </w:pPr>
                  <w:r>
                    <w:rPr>
                      <w:rFonts w:hint="eastAsia" w:ascii="仿宋" w:hAnsi="仿宋" w:eastAsia="仿宋" w:cs="仿宋"/>
                      <w:color w:val="auto"/>
                      <w:sz w:val="24"/>
                      <w:highlight w:val="none"/>
                      <w:lang w:val="en-US" w:eastAsia="zh-CN"/>
                    </w:rPr>
                    <w:t>2026年大红门街道餐饮服务采购项目</w:t>
                  </w:r>
                </w:p>
              </w:tc>
              <w:tc>
                <w:tcPr>
                  <w:tcW w:w="2328" w:type="pct"/>
                  <w:tcBorders>
                    <w:top w:val="single" w:color="auto" w:sz="4" w:space="0"/>
                    <w:left w:val="single" w:color="auto" w:sz="4" w:space="0"/>
                    <w:bottom w:val="single" w:color="auto" w:sz="4" w:space="0"/>
                    <w:right w:val="single" w:color="auto" w:sz="4" w:space="0"/>
                  </w:tcBorders>
                  <w:noWrap w:val="0"/>
                  <w:vAlign w:val="center"/>
                </w:tcPr>
                <w:p w14:paraId="606A4AF5">
                  <w:pPr>
                    <w:shd w:val="clear" w:color="auto" w:fill="auto"/>
                    <w:jc w:val="center"/>
                    <w:rPr>
                      <w:rFonts w:hint="default" w:ascii="仿宋" w:hAnsi="仿宋" w:eastAsia="仿宋" w:cs="仿宋"/>
                      <w:color w:val="auto"/>
                      <w:kern w:val="0"/>
                      <w:sz w:val="24"/>
                      <w:highlight w:val="none"/>
                      <w:lang w:val="en-US" w:eastAsia="zh-CN"/>
                    </w:rPr>
                  </w:pPr>
                  <w:r>
                    <w:rPr>
                      <w:rFonts w:hint="eastAsia" w:ascii="仿宋" w:hAnsi="仿宋" w:eastAsia="仿宋" w:cs="仿宋"/>
                      <w:b w:val="0"/>
                      <w:bCs w:val="0"/>
                      <w:color w:val="auto"/>
                      <w:sz w:val="24"/>
                      <w:highlight w:val="none"/>
                      <w:shd w:val="clear" w:color="auto" w:fill="FFFFFF"/>
                    </w:rPr>
                    <w:t>餐饮业</w:t>
                  </w:r>
                </w:p>
              </w:tc>
            </w:tr>
          </w:tbl>
          <w:p w14:paraId="6311942D">
            <w:pPr>
              <w:shd w:val="clear" w:color="auto" w:fill="auto"/>
              <w:jc w:val="left"/>
              <w:rPr>
                <w:rFonts w:hint="eastAsia" w:ascii="仿宋" w:hAnsi="仿宋" w:eastAsia="仿宋" w:cs="仿宋"/>
                <w:highlight w:val="none"/>
                <w:lang w:val="en-US" w:eastAsia="zh-CN"/>
              </w:rPr>
            </w:pPr>
          </w:p>
        </w:tc>
      </w:tr>
      <w:tr w14:paraId="6FEC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noWrap w:val="0"/>
            <w:vAlign w:val="center"/>
          </w:tcPr>
          <w:p w14:paraId="6ECB7DB3">
            <w:pPr>
              <w:pStyle w:val="23"/>
              <w:shd w:val="clear" w:color="auto" w:fill="auto"/>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w:t>
            </w:r>
          </w:p>
        </w:tc>
        <w:tc>
          <w:tcPr>
            <w:tcW w:w="1701" w:type="dxa"/>
            <w:noWrap w:val="0"/>
            <w:vAlign w:val="center"/>
          </w:tcPr>
          <w:p w14:paraId="65DB6064">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报价</w:t>
            </w:r>
          </w:p>
        </w:tc>
        <w:tc>
          <w:tcPr>
            <w:tcW w:w="7253" w:type="dxa"/>
            <w:noWrap w:val="0"/>
            <w:vAlign w:val="center"/>
          </w:tcPr>
          <w:p w14:paraId="1B4C2B6A">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报价的特殊规定：</w:t>
            </w:r>
          </w:p>
          <w:p w14:paraId="61977D91">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■无</w:t>
            </w:r>
          </w:p>
          <w:p w14:paraId="7EF6B816">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highlight w:val="none"/>
              </w:rPr>
              <w:t>□</w:t>
            </w:r>
            <w:r>
              <w:rPr>
                <w:rFonts w:hint="eastAsia" w:ascii="仿宋" w:hAnsi="仿宋" w:eastAsia="仿宋" w:cs="仿宋"/>
                <w:color w:val="auto"/>
                <w:sz w:val="24"/>
                <w:highlight w:val="none"/>
              </w:rPr>
              <w:t>有，</w:t>
            </w:r>
            <w:r>
              <w:rPr>
                <w:rFonts w:hint="eastAsia" w:ascii="仿宋" w:hAnsi="仿宋" w:eastAsia="仿宋" w:cs="仿宋"/>
                <w:b w:val="0"/>
                <w:bCs w:val="0"/>
                <w:color w:val="auto"/>
                <w:sz w:val="24"/>
                <w:highlight w:val="none"/>
              </w:rPr>
              <w:t>具体情形：</w:t>
            </w:r>
            <w:r>
              <w:rPr>
                <w:rFonts w:hint="eastAsia" w:ascii="仿宋" w:hAnsi="仿宋" w:eastAsia="仿宋" w:cs="仿宋"/>
                <w:color w:val="auto"/>
                <w:sz w:val="24"/>
                <w:highlight w:val="none"/>
              </w:rPr>
              <w:t>。</w:t>
            </w:r>
          </w:p>
        </w:tc>
      </w:tr>
      <w:tr w14:paraId="7EE0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84A048F">
            <w:pPr>
              <w:pStyle w:val="23"/>
              <w:shd w:val="clear" w:color="auto" w:fill="auto"/>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w:t>
            </w:r>
          </w:p>
        </w:tc>
        <w:tc>
          <w:tcPr>
            <w:tcW w:w="1701" w:type="dxa"/>
            <w:vMerge w:val="restart"/>
            <w:noWrap w:val="0"/>
            <w:vAlign w:val="center"/>
          </w:tcPr>
          <w:p w14:paraId="778B2BFA">
            <w:pPr>
              <w:shd w:val="clear" w:color="auto" w:fill="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磋商保证金</w:t>
            </w:r>
          </w:p>
        </w:tc>
        <w:tc>
          <w:tcPr>
            <w:tcW w:w="7253" w:type="dxa"/>
            <w:noWrap w:val="0"/>
            <w:vAlign w:val="center"/>
          </w:tcPr>
          <w:p w14:paraId="38305B64">
            <w:pPr>
              <w:pStyle w:val="23"/>
              <w:shd w:val="clear" w:color="auto" w:fill="auto"/>
              <w:adjustRightInd w:val="0"/>
              <w:snapToGrid w:val="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磋商保证金金额：</w:t>
            </w:r>
            <w:r>
              <w:rPr>
                <w:rFonts w:hint="eastAsia" w:ascii="仿宋" w:hAnsi="仿宋" w:eastAsia="仿宋" w:cs="仿宋"/>
                <w:b/>
                <w:bCs/>
                <w:color w:val="auto"/>
                <w:sz w:val="24"/>
                <w:szCs w:val="24"/>
                <w:highlight w:val="none"/>
                <w:lang w:val="en-US" w:eastAsia="zh-CN"/>
              </w:rPr>
              <w:t>25,000.00</w:t>
            </w:r>
            <w:r>
              <w:rPr>
                <w:rFonts w:hint="eastAsia" w:ascii="仿宋" w:hAnsi="仿宋" w:eastAsia="仿宋" w:cs="仿宋"/>
                <w:b/>
                <w:bCs/>
                <w:color w:val="auto"/>
                <w:sz w:val="24"/>
                <w:szCs w:val="24"/>
                <w:highlight w:val="none"/>
              </w:rPr>
              <w:t>元（人民币</w:t>
            </w:r>
            <w:r>
              <w:rPr>
                <w:rFonts w:hint="eastAsia" w:ascii="仿宋" w:hAnsi="仿宋" w:eastAsia="仿宋" w:cs="仿宋"/>
                <w:b/>
                <w:bCs/>
                <w:color w:val="auto"/>
                <w:sz w:val="24"/>
                <w:szCs w:val="24"/>
                <w:highlight w:val="none"/>
                <w:lang w:val="en-US" w:eastAsia="zh-CN"/>
              </w:rPr>
              <w:t>贰万伍仟元整</w:t>
            </w:r>
            <w:r>
              <w:rPr>
                <w:rFonts w:hint="eastAsia" w:ascii="仿宋" w:hAnsi="仿宋" w:eastAsia="仿宋" w:cs="仿宋"/>
                <w:b/>
                <w:bCs/>
                <w:color w:val="auto"/>
                <w:sz w:val="24"/>
                <w:szCs w:val="24"/>
                <w:highlight w:val="none"/>
              </w:rPr>
              <w:t>）</w:t>
            </w:r>
          </w:p>
          <w:p w14:paraId="739F10DD">
            <w:pPr>
              <w:shd w:val="clear" w:color="auto" w:fil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磋商保证金收受人信息：</w:t>
            </w:r>
          </w:p>
          <w:p w14:paraId="6BD79849">
            <w:pPr>
              <w:shd w:val="clear" w:color="auto" w:fill="auto"/>
              <w:rPr>
                <w:rFonts w:hint="eastAsia" w:ascii="仿宋" w:hAnsi="仿宋" w:eastAsia="仿宋" w:cs="仿宋"/>
                <w:color w:val="auto"/>
                <w:sz w:val="24"/>
                <w:highlight w:val="none"/>
              </w:rPr>
            </w:pPr>
            <w:r>
              <w:rPr>
                <w:rFonts w:hint="eastAsia" w:ascii="仿宋" w:hAnsi="仿宋" w:eastAsia="仿宋" w:cs="仿宋"/>
                <w:color w:val="auto"/>
                <w:sz w:val="24"/>
                <w:highlight w:val="none"/>
              </w:rPr>
              <w:t>递交时间：详见第二章供应商须知11.3。</w:t>
            </w:r>
          </w:p>
          <w:p w14:paraId="2FDAD33D">
            <w:pPr>
              <w:shd w:val="clear" w:color="auto" w:fil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磋商保证金方式：</w:t>
            </w:r>
            <w:r>
              <w:rPr>
                <w:rFonts w:hint="eastAsia" w:ascii="仿宋" w:hAnsi="仿宋" w:eastAsia="仿宋" w:cs="仿宋"/>
                <w:b/>
                <w:color w:val="auto"/>
                <w:sz w:val="24"/>
                <w:highlight w:val="none"/>
              </w:rPr>
              <w:t>非现金形式，详见第二章供应商须知11.2</w:t>
            </w:r>
            <w:r>
              <w:rPr>
                <w:rFonts w:hint="eastAsia" w:ascii="仿宋" w:hAnsi="仿宋" w:eastAsia="仿宋" w:cs="仿宋"/>
                <w:color w:val="auto"/>
                <w:sz w:val="24"/>
                <w:highlight w:val="none"/>
              </w:rPr>
              <w:t>。</w:t>
            </w:r>
          </w:p>
          <w:p w14:paraId="7094650E">
            <w:pPr>
              <w:shd w:val="clear" w:color="auto" w:fil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磋商保证金汇款账户：</w:t>
            </w:r>
          </w:p>
          <w:p w14:paraId="363096BE">
            <w:pPr>
              <w:shd w:val="clear" w:color="auto" w:fil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开户行名称：中钰招标有限公司</w:t>
            </w:r>
          </w:p>
          <w:p w14:paraId="306A0461">
            <w:pPr>
              <w:shd w:val="clear" w:color="auto" w:fil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开户行：中国民生银行北京华威支行</w:t>
            </w:r>
          </w:p>
          <w:p w14:paraId="35DBA18D">
            <w:pPr>
              <w:shd w:val="clear" w:color="auto" w:fil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账号：671015888</w:t>
            </w:r>
          </w:p>
          <w:p w14:paraId="4F5442CB">
            <w:pPr>
              <w:shd w:val="clear" w:color="auto" w:fill="auto"/>
              <w:rPr>
                <w:rFonts w:hint="eastAsia" w:ascii="仿宋" w:hAnsi="仿宋" w:eastAsia="仿宋" w:cs="仿宋"/>
                <w:b/>
                <w:bCs/>
                <w:color w:val="auto"/>
                <w:sz w:val="24"/>
                <w:highlight w:val="none"/>
                <w:lang w:eastAsia="zh-CN"/>
              </w:rPr>
            </w:pPr>
            <w:r>
              <w:rPr>
                <w:rFonts w:hint="eastAsia" w:ascii="仿宋" w:hAnsi="仿宋" w:eastAsia="仿宋" w:cs="仿宋"/>
                <w:color w:val="auto"/>
                <w:sz w:val="24"/>
                <w:highlight w:val="none"/>
              </w:rPr>
              <w:t>在“转账用途”中标明“</w:t>
            </w:r>
            <w:r>
              <w:rPr>
                <w:rFonts w:hint="eastAsia" w:ascii="仿宋" w:hAnsi="仿宋" w:eastAsia="仿宋" w:cs="仿宋"/>
                <w:b/>
                <w:color w:val="auto"/>
                <w:sz w:val="24"/>
                <w:highlight w:val="none"/>
              </w:rPr>
              <w:t>磋商保证金</w:t>
            </w:r>
            <w:r>
              <w:rPr>
                <w:rFonts w:hint="eastAsia" w:ascii="仿宋" w:hAnsi="仿宋" w:eastAsia="仿宋" w:cs="仿宋"/>
                <w:b/>
                <w:color w:val="auto"/>
                <w:sz w:val="24"/>
                <w:highlight w:val="none"/>
                <w:lang w:val="en-US" w:eastAsia="zh-CN"/>
              </w:rPr>
              <w:t>ZYZB-2026-0092</w:t>
            </w: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（本条备注仅用于保证金信息统计，不用于符合性审查或其他否决投标条款）</w:t>
            </w:r>
            <w:r>
              <w:rPr>
                <w:rFonts w:hint="eastAsia" w:ascii="仿宋" w:hAnsi="仿宋" w:eastAsia="仿宋" w:cs="仿宋"/>
                <w:b/>
                <w:bCs/>
                <w:color w:val="auto"/>
                <w:sz w:val="24"/>
                <w:highlight w:val="none"/>
                <w:lang w:eastAsia="zh-CN"/>
              </w:rPr>
              <w:t>。</w:t>
            </w:r>
          </w:p>
          <w:p w14:paraId="32A38680">
            <w:pPr>
              <w:shd w:val="clear" w:color="auto" w:fil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4BDCEFD5">
            <w:pPr>
              <w:numPr>
                <w:ilvl w:val="0"/>
                <w:numId w:val="0"/>
              </w:num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rPr>
              <w:t>磋商保证金未按照竞争性磋商文件要求提交的，响应无效。</w:t>
            </w:r>
          </w:p>
          <w:p w14:paraId="5F58BE54">
            <w:pPr>
              <w:pStyle w:val="36"/>
              <w:numPr>
                <w:ilvl w:val="0"/>
                <w:numId w:val="0"/>
              </w:numPr>
              <w:rPr>
                <w:rFonts w:hint="eastAsia"/>
                <w:highlight w:val="none"/>
              </w:rPr>
            </w:pPr>
            <w:r>
              <w:rPr>
                <w:rFonts w:hint="eastAsia" w:ascii="宋体" w:hAnsi="宋体" w:eastAsia="宋体" w:cs="宋体"/>
                <w:kern w:val="0"/>
                <w:sz w:val="24"/>
                <w:szCs w:val="24"/>
                <w:highlight w:val="none"/>
                <w:lang w:val="en-US" w:eastAsia="zh-CN" w:bidi="ar-SA"/>
              </w:rPr>
              <w:t>2.</w:t>
            </w:r>
            <w:r>
              <w:rPr>
                <w:rFonts w:hint="eastAsia" w:ascii="仿宋" w:hAnsi="仿宋" w:eastAsia="仿宋" w:cs="仿宋"/>
                <w:color w:val="auto"/>
                <w:kern w:val="2"/>
                <w:highlight w:val="none"/>
              </w:rPr>
              <w:t>请供应商认真学习北京市政府采购电子交易平台发布的相关操作手册进行缴纳保证金操作。如操作中出现问题，请及时通过技术支持服务热线（010-86483801）联系技术人员。</w:t>
            </w:r>
          </w:p>
        </w:tc>
      </w:tr>
      <w:tr w14:paraId="68CB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8144853">
            <w:pPr>
              <w:pStyle w:val="23"/>
              <w:shd w:val="clear" w:color="auto" w:fill="auto"/>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11.8.5</w:t>
            </w:r>
          </w:p>
        </w:tc>
        <w:tc>
          <w:tcPr>
            <w:tcW w:w="1701" w:type="dxa"/>
            <w:vMerge w:val="continue"/>
            <w:noWrap w:val="0"/>
            <w:vAlign w:val="center"/>
          </w:tcPr>
          <w:p w14:paraId="6E78FC68">
            <w:pPr>
              <w:shd w:val="clear" w:color="auto" w:fill="auto"/>
              <w:jc w:val="center"/>
              <w:rPr>
                <w:rFonts w:hint="eastAsia" w:ascii="仿宋" w:hAnsi="仿宋" w:eastAsia="仿宋" w:cs="仿宋"/>
                <w:color w:val="auto"/>
                <w:sz w:val="24"/>
                <w:highlight w:val="none"/>
              </w:rPr>
            </w:pPr>
          </w:p>
        </w:tc>
        <w:tc>
          <w:tcPr>
            <w:tcW w:w="7253" w:type="dxa"/>
            <w:noWrap w:val="0"/>
            <w:vAlign w:val="center"/>
          </w:tcPr>
          <w:p w14:paraId="528F2374">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磋商保证金不予退还的其他情形：</w:t>
            </w:r>
          </w:p>
          <w:p w14:paraId="13B5C9C5">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highlight w:val="none"/>
              </w:rPr>
              <w:t>□</w:t>
            </w:r>
            <w:r>
              <w:rPr>
                <w:rFonts w:hint="eastAsia" w:ascii="仿宋" w:hAnsi="仿宋" w:eastAsia="仿宋" w:cs="仿宋"/>
                <w:color w:val="auto"/>
                <w:sz w:val="24"/>
                <w:highlight w:val="none"/>
              </w:rPr>
              <w:t>无</w:t>
            </w:r>
          </w:p>
          <w:p w14:paraId="68CDBBE3">
            <w:pPr>
              <w:pStyle w:val="23"/>
              <w:shd w:val="clear" w:color="auto" w:fill="auto"/>
              <w:adjustRightInd w:val="0"/>
              <w:snapToGrid w:val="0"/>
              <w:rPr>
                <w:rFonts w:hint="eastAsia" w:ascii="仿宋" w:hAnsi="仿宋" w:eastAsia="仿宋" w:cs="仿宋"/>
                <w:color w:val="auto"/>
                <w:sz w:val="24"/>
                <w:highlight w:val="none"/>
              </w:rPr>
            </w:pPr>
            <w:r>
              <w:rPr>
                <w:rFonts w:hint="eastAsia" w:ascii="仿宋" w:hAnsi="仿宋" w:eastAsia="仿宋" w:cs="仿宋"/>
                <w:color w:val="auto"/>
                <w:highlight w:val="none"/>
              </w:rPr>
              <w:t>■</w:t>
            </w:r>
            <w:r>
              <w:rPr>
                <w:rFonts w:hint="eastAsia" w:ascii="仿宋" w:hAnsi="仿宋" w:eastAsia="仿宋" w:cs="仿宋"/>
                <w:color w:val="auto"/>
                <w:sz w:val="24"/>
                <w:highlight w:val="none"/>
              </w:rPr>
              <w:t>有，具体情形：</w:t>
            </w:r>
          </w:p>
          <w:p w14:paraId="1A7945F3">
            <w:pPr>
              <w:pStyle w:val="23"/>
              <w:shd w:val="clear" w:color="auto" w:fill="auto"/>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（1）成交供应商擅自放弃成交的；</w:t>
            </w:r>
          </w:p>
          <w:p w14:paraId="3C972753">
            <w:pPr>
              <w:pStyle w:val="23"/>
              <w:shd w:val="clear" w:color="auto" w:fill="auto"/>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（2）供应商被视为串通投标的；</w:t>
            </w:r>
          </w:p>
          <w:p w14:paraId="15A11705">
            <w:pPr>
              <w:pStyle w:val="23"/>
              <w:shd w:val="clear" w:color="auto" w:fill="auto"/>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（3）未按照竞争性磋商文件要求支付成交服务费的；</w:t>
            </w:r>
          </w:p>
          <w:p w14:paraId="0E7ECCFD">
            <w:pPr>
              <w:pStyle w:val="23"/>
              <w:shd w:val="clear" w:color="auto" w:fill="auto"/>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（4）法律、法规和磋商文件规定的其他不予退还情形。</w:t>
            </w:r>
          </w:p>
        </w:tc>
      </w:tr>
      <w:tr w14:paraId="7B4C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D63D724">
            <w:pPr>
              <w:pStyle w:val="23"/>
              <w:shd w:val="clear" w:color="auto" w:fill="auto"/>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w:t>
            </w:r>
          </w:p>
        </w:tc>
        <w:tc>
          <w:tcPr>
            <w:tcW w:w="1701" w:type="dxa"/>
            <w:noWrap w:val="0"/>
            <w:vAlign w:val="center"/>
          </w:tcPr>
          <w:p w14:paraId="045C56C4">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响应有效期</w:t>
            </w:r>
          </w:p>
        </w:tc>
        <w:tc>
          <w:tcPr>
            <w:tcW w:w="7253" w:type="dxa"/>
            <w:noWrap w:val="0"/>
            <w:vAlign w:val="center"/>
          </w:tcPr>
          <w:p w14:paraId="0DB23A15">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自响应文件提交截止之日起算</w:t>
            </w:r>
            <w:r>
              <w:rPr>
                <w:rFonts w:hint="eastAsia" w:ascii="仿宋" w:hAnsi="仿宋" w:eastAsia="仿宋" w:cs="仿宋"/>
                <w:color w:val="auto"/>
                <w:sz w:val="24"/>
                <w:highlight w:val="none"/>
                <w:u w:val="single"/>
              </w:rPr>
              <w:t>90</w:t>
            </w:r>
            <w:r>
              <w:rPr>
                <w:rFonts w:hint="eastAsia" w:ascii="仿宋" w:hAnsi="仿宋" w:eastAsia="仿宋" w:cs="仿宋"/>
                <w:color w:val="auto"/>
                <w:sz w:val="24"/>
                <w:highlight w:val="none"/>
              </w:rPr>
              <w:t>日历天。</w:t>
            </w:r>
          </w:p>
        </w:tc>
      </w:tr>
      <w:tr w14:paraId="1B3B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E2B255B">
            <w:pPr>
              <w:pStyle w:val="23"/>
              <w:shd w:val="clear" w:color="auto" w:fill="auto"/>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w:t>
            </w:r>
          </w:p>
        </w:tc>
        <w:tc>
          <w:tcPr>
            <w:tcW w:w="1701" w:type="dxa"/>
            <w:noWrap w:val="0"/>
            <w:vAlign w:val="center"/>
          </w:tcPr>
          <w:p w14:paraId="6BC6EDE7">
            <w:pPr>
              <w:pStyle w:val="23"/>
              <w:shd w:val="clear" w:color="auto" w:fill="auto"/>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解密时间</w:t>
            </w:r>
          </w:p>
        </w:tc>
        <w:tc>
          <w:tcPr>
            <w:tcW w:w="7253" w:type="dxa"/>
            <w:noWrap w:val="0"/>
            <w:vAlign w:val="center"/>
          </w:tcPr>
          <w:p w14:paraId="20EC8497">
            <w:pPr>
              <w:pStyle w:val="23"/>
              <w:shd w:val="clear" w:color="auto" w:fill="auto"/>
              <w:adjustRightInd w:val="0"/>
              <w:snapToGrid w:val="0"/>
              <w:jc w:val="left"/>
              <w:rPr>
                <w:rFonts w:hint="eastAsia" w:ascii="仿宋" w:hAnsi="仿宋" w:eastAsia="仿宋" w:cs="仿宋"/>
                <w:b/>
                <w:color w:val="auto"/>
                <w:sz w:val="24"/>
                <w:highlight w:val="none"/>
              </w:rPr>
            </w:pPr>
            <w:r>
              <w:rPr>
                <w:rFonts w:hint="eastAsia" w:ascii="仿宋" w:hAnsi="仿宋" w:eastAsia="仿宋" w:cs="仿宋"/>
                <w:color w:val="auto"/>
                <w:sz w:val="24"/>
                <w:szCs w:val="24"/>
                <w:highlight w:val="none"/>
              </w:rPr>
              <w:t>解密时间：</w:t>
            </w:r>
            <w:r>
              <w:rPr>
                <w:rFonts w:hint="eastAsia" w:ascii="仿宋" w:hAnsi="仿宋" w:eastAsia="仿宋" w:cs="仿宋"/>
                <w:color w:val="auto"/>
                <w:sz w:val="24"/>
                <w:szCs w:val="24"/>
                <w:highlight w:val="none"/>
                <w:u w:val="single"/>
                <w:lang w:val="en-US" w:eastAsia="zh-CN"/>
              </w:rPr>
              <w:t>20</w:t>
            </w:r>
            <w:r>
              <w:rPr>
                <w:rFonts w:hint="eastAsia" w:ascii="仿宋" w:hAnsi="仿宋" w:eastAsia="仿宋" w:cs="仿宋"/>
                <w:color w:val="auto"/>
                <w:sz w:val="24"/>
                <w:szCs w:val="24"/>
                <w:highlight w:val="none"/>
              </w:rPr>
              <w:t>分钟</w:t>
            </w:r>
          </w:p>
        </w:tc>
      </w:tr>
      <w:tr w14:paraId="3D23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57D2990">
            <w:pPr>
              <w:pStyle w:val="23"/>
              <w:shd w:val="clear" w:color="auto" w:fill="auto"/>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w:t>
            </w:r>
          </w:p>
        </w:tc>
        <w:tc>
          <w:tcPr>
            <w:tcW w:w="1701" w:type="dxa"/>
            <w:noWrap w:val="0"/>
            <w:vAlign w:val="center"/>
          </w:tcPr>
          <w:p w14:paraId="33608A09">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确定成交供应商</w:t>
            </w:r>
          </w:p>
        </w:tc>
        <w:tc>
          <w:tcPr>
            <w:tcW w:w="7253" w:type="dxa"/>
            <w:noWrap w:val="0"/>
            <w:vAlign w:val="center"/>
          </w:tcPr>
          <w:p w14:paraId="22C24817">
            <w:pPr>
              <w:pStyle w:val="23"/>
              <w:shd w:val="clear" w:color="auto" w:fill="auto"/>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采购人是否授权磋商小组直接确定成交供应商：</w:t>
            </w:r>
          </w:p>
          <w:p w14:paraId="629D3739">
            <w:pPr>
              <w:pStyle w:val="23"/>
              <w:shd w:val="clear" w:color="auto" w:fill="auto"/>
              <w:adjustRightInd w:val="0"/>
              <w:snapToGrid w:val="0"/>
              <w:rPr>
                <w:rFonts w:hint="eastAsia" w:ascii="仿宋" w:hAnsi="仿宋" w:eastAsia="仿宋" w:cs="仿宋"/>
                <w:color w:val="auto"/>
                <w:sz w:val="24"/>
                <w:highlight w:val="none"/>
              </w:rPr>
            </w:pPr>
            <w:r>
              <w:rPr>
                <w:rFonts w:hint="eastAsia" w:ascii="仿宋" w:hAnsi="仿宋" w:eastAsia="仿宋" w:cs="仿宋"/>
                <w:color w:val="auto"/>
                <w:highlight w:val="none"/>
              </w:rPr>
              <w:t>■</w:t>
            </w:r>
            <w:r>
              <w:rPr>
                <w:rFonts w:hint="eastAsia" w:ascii="仿宋" w:hAnsi="仿宋" w:eastAsia="仿宋" w:cs="仿宋"/>
                <w:color w:val="auto"/>
                <w:sz w:val="24"/>
                <w:highlight w:val="none"/>
              </w:rPr>
              <w:t>否</w:t>
            </w:r>
          </w:p>
          <w:p w14:paraId="1D0C8199">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highlight w:val="none"/>
              </w:rPr>
              <w:t>□</w:t>
            </w:r>
            <w:r>
              <w:rPr>
                <w:rFonts w:hint="eastAsia" w:ascii="仿宋" w:hAnsi="仿宋" w:eastAsia="仿宋" w:cs="仿宋"/>
                <w:color w:val="auto"/>
                <w:sz w:val="24"/>
                <w:highlight w:val="none"/>
              </w:rPr>
              <w:t>是</w:t>
            </w:r>
          </w:p>
          <w:p w14:paraId="4767757F">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成交候选人并列的，按照以下方式确定成交供应商：</w:t>
            </w:r>
          </w:p>
          <w:p w14:paraId="425A5BF5">
            <w:pPr>
              <w:shd w:val="clear" w:color="auto" w:fill="auto"/>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w:t>
            </w:r>
          </w:p>
        </w:tc>
      </w:tr>
      <w:tr w14:paraId="4D00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1CB83AB">
            <w:pPr>
              <w:pStyle w:val="23"/>
              <w:shd w:val="clear" w:color="auto" w:fill="auto"/>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23.5</w:t>
            </w:r>
          </w:p>
        </w:tc>
        <w:tc>
          <w:tcPr>
            <w:tcW w:w="1701" w:type="dxa"/>
            <w:noWrap w:val="0"/>
            <w:vAlign w:val="center"/>
          </w:tcPr>
          <w:p w14:paraId="656111E6">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分包</w:t>
            </w:r>
          </w:p>
        </w:tc>
        <w:tc>
          <w:tcPr>
            <w:tcW w:w="7253" w:type="dxa"/>
            <w:noWrap w:val="0"/>
            <w:vAlign w:val="center"/>
          </w:tcPr>
          <w:p w14:paraId="5A79EDE8">
            <w:pPr>
              <w:shd w:val="clear" w:color="auto" w:fill="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本项目是否允许分包：</w:t>
            </w:r>
          </w:p>
          <w:p w14:paraId="1486C42D">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■不允许</w:t>
            </w:r>
          </w:p>
          <w:p w14:paraId="0B168486">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highlight w:val="none"/>
              </w:rPr>
              <w:t>□</w:t>
            </w:r>
            <w:r>
              <w:rPr>
                <w:rFonts w:hint="eastAsia" w:ascii="仿宋" w:hAnsi="仿宋" w:eastAsia="仿宋" w:cs="仿宋"/>
                <w:color w:val="auto"/>
                <w:sz w:val="24"/>
                <w:highlight w:val="none"/>
              </w:rPr>
              <w:t>允许，具体要求：</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w:t>
            </w:r>
          </w:p>
          <w:p w14:paraId="7D482867">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（1）可以分包履行的具体内容：</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w:t>
            </w:r>
          </w:p>
          <w:p w14:paraId="005FB02D">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（2）允许分包的金额或者比例：</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w:t>
            </w:r>
          </w:p>
          <w:p w14:paraId="6D2C68B1">
            <w:pPr>
              <w:shd w:val="clear" w:color="auto" w:fill="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（3）其他要求：</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w:t>
            </w:r>
          </w:p>
        </w:tc>
      </w:tr>
      <w:tr w14:paraId="507C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09564F0">
            <w:pPr>
              <w:pStyle w:val="23"/>
              <w:shd w:val="clear" w:color="auto" w:fill="auto"/>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23.6</w:t>
            </w:r>
          </w:p>
        </w:tc>
        <w:tc>
          <w:tcPr>
            <w:tcW w:w="1701" w:type="dxa"/>
            <w:noWrap w:val="0"/>
            <w:vAlign w:val="center"/>
          </w:tcPr>
          <w:p w14:paraId="7432137C">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政采贷</w:t>
            </w:r>
          </w:p>
        </w:tc>
        <w:tc>
          <w:tcPr>
            <w:tcW w:w="7253" w:type="dxa"/>
            <w:noWrap w:val="0"/>
            <w:vAlign w:val="center"/>
          </w:tcPr>
          <w:p w14:paraId="7C2F3E03">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986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94C7A6C">
            <w:pPr>
              <w:pStyle w:val="23"/>
              <w:shd w:val="clear" w:color="auto" w:fill="auto"/>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24.1.1</w:t>
            </w:r>
          </w:p>
        </w:tc>
        <w:tc>
          <w:tcPr>
            <w:tcW w:w="1701" w:type="dxa"/>
            <w:noWrap w:val="0"/>
            <w:vAlign w:val="center"/>
          </w:tcPr>
          <w:p w14:paraId="0834E65E">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询问</w:t>
            </w:r>
          </w:p>
        </w:tc>
        <w:tc>
          <w:tcPr>
            <w:tcW w:w="7253" w:type="dxa"/>
            <w:noWrap w:val="0"/>
            <w:vAlign w:val="center"/>
          </w:tcPr>
          <w:p w14:paraId="108617C3">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询问提出形式：</w:t>
            </w:r>
            <w:r>
              <w:rPr>
                <w:rFonts w:hint="eastAsia" w:ascii="仿宋" w:hAnsi="仿宋" w:eastAsia="仿宋" w:cs="仿宋"/>
                <w:color w:val="auto"/>
                <w:sz w:val="24"/>
                <w:highlight w:val="none"/>
                <w:u w:val="single"/>
              </w:rPr>
              <w:t>书面文件</w:t>
            </w:r>
            <w:r>
              <w:rPr>
                <w:rFonts w:hint="eastAsia" w:ascii="仿宋" w:hAnsi="仿宋" w:eastAsia="仿宋" w:cs="仿宋"/>
                <w:color w:val="auto"/>
                <w:sz w:val="24"/>
                <w:highlight w:val="none"/>
              </w:rPr>
              <w:t>。</w:t>
            </w:r>
          </w:p>
        </w:tc>
      </w:tr>
      <w:tr w14:paraId="0E3C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0153220">
            <w:pPr>
              <w:pStyle w:val="23"/>
              <w:shd w:val="clear" w:color="auto" w:fill="auto"/>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w:t>
            </w:r>
          </w:p>
        </w:tc>
        <w:tc>
          <w:tcPr>
            <w:tcW w:w="1701" w:type="dxa"/>
            <w:noWrap w:val="0"/>
            <w:vAlign w:val="center"/>
          </w:tcPr>
          <w:p w14:paraId="5989337A">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7253" w:type="dxa"/>
            <w:noWrap w:val="0"/>
            <w:vAlign w:val="center"/>
          </w:tcPr>
          <w:p w14:paraId="10F74CD5">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接收询问和质疑的联系方式</w:t>
            </w:r>
          </w:p>
          <w:p w14:paraId="314CD2D6">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联系部门：</w:t>
            </w:r>
            <w:r>
              <w:rPr>
                <w:rFonts w:hint="eastAsia" w:ascii="仿宋" w:hAnsi="仿宋" w:eastAsia="仿宋" w:cs="仿宋"/>
                <w:color w:val="auto"/>
                <w:sz w:val="24"/>
                <w:highlight w:val="none"/>
                <w:u w:val="single"/>
              </w:rPr>
              <w:t>招标</w:t>
            </w:r>
            <w:r>
              <w:rPr>
                <w:rFonts w:hint="eastAsia" w:ascii="仿宋" w:hAnsi="仿宋" w:eastAsia="仿宋" w:cs="仿宋"/>
                <w:color w:val="auto"/>
                <w:sz w:val="24"/>
                <w:highlight w:val="none"/>
                <w:u w:val="single"/>
                <w:lang w:eastAsia="zh-CN"/>
              </w:rPr>
              <w:t>一</w:t>
            </w:r>
            <w:r>
              <w:rPr>
                <w:rFonts w:hint="eastAsia" w:ascii="仿宋" w:hAnsi="仿宋" w:eastAsia="仿宋" w:cs="仿宋"/>
                <w:color w:val="auto"/>
                <w:sz w:val="24"/>
                <w:highlight w:val="none"/>
                <w:u w:val="single"/>
              </w:rPr>
              <w:t>部</w:t>
            </w:r>
            <w:r>
              <w:rPr>
                <w:rFonts w:hint="eastAsia" w:ascii="仿宋" w:hAnsi="仿宋" w:eastAsia="仿宋" w:cs="仿宋"/>
                <w:color w:val="auto"/>
                <w:sz w:val="24"/>
                <w:highlight w:val="none"/>
              </w:rPr>
              <w:t>；</w:t>
            </w:r>
          </w:p>
          <w:p w14:paraId="7B2833CB">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010-60624505-</w:t>
            </w:r>
            <w:r>
              <w:rPr>
                <w:rFonts w:hint="eastAsia" w:ascii="仿宋" w:hAnsi="仿宋" w:eastAsia="仿宋" w:cs="仿宋"/>
                <w:color w:val="auto"/>
                <w:sz w:val="24"/>
                <w:highlight w:val="none"/>
                <w:u w:val="single"/>
                <w:lang w:val="en-US" w:eastAsia="zh-CN"/>
              </w:rPr>
              <w:t>812</w:t>
            </w:r>
            <w:r>
              <w:rPr>
                <w:rFonts w:hint="eastAsia" w:ascii="仿宋" w:hAnsi="仿宋" w:eastAsia="仿宋" w:cs="仿宋"/>
                <w:color w:val="auto"/>
                <w:sz w:val="24"/>
                <w:highlight w:val="none"/>
              </w:rPr>
              <w:t>；</w:t>
            </w:r>
          </w:p>
          <w:p w14:paraId="3D02F178">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通讯地址：</w:t>
            </w:r>
            <w:r>
              <w:rPr>
                <w:rFonts w:hint="eastAsia" w:ascii="仿宋" w:hAnsi="仿宋" w:eastAsia="仿宋" w:cs="仿宋"/>
                <w:color w:val="auto"/>
                <w:sz w:val="24"/>
                <w:highlight w:val="none"/>
                <w:u w:val="single"/>
                <w:lang w:eastAsia="zh-CN"/>
              </w:rPr>
              <w:t>北京市丰台区四合庄路2号院4号楼1至17层101内17层1701</w:t>
            </w:r>
            <w:r>
              <w:rPr>
                <w:rFonts w:hint="eastAsia" w:ascii="仿宋" w:hAnsi="仿宋" w:eastAsia="仿宋" w:cs="仿宋"/>
                <w:color w:val="auto"/>
                <w:sz w:val="24"/>
                <w:highlight w:val="none"/>
              </w:rPr>
              <w:t>。</w:t>
            </w:r>
          </w:p>
        </w:tc>
      </w:tr>
      <w:tr w14:paraId="5910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EF77495">
            <w:pPr>
              <w:pStyle w:val="23"/>
              <w:shd w:val="clear" w:color="auto" w:fill="auto"/>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p>
        </w:tc>
        <w:tc>
          <w:tcPr>
            <w:tcW w:w="1701" w:type="dxa"/>
            <w:noWrap w:val="0"/>
            <w:vAlign w:val="center"/>
          </w:tcPr>
          <w:p w14:paraId="71FC8632">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代理费</w:t>
            </w:r>
          </w:p>
        </w:tc>
        <w:tc>
          <w:tcPr>
            <w:tcW w:w="7253" w:type="dxa"/>
            <w:noWrap w:val="0"/>
            <w:vAlign w:val="center"/>
          </w:tcPr>
          <w:p w14:paraId="3A3C3C53">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收费对象：</w:t>
            </w:r>
          </w:p>
          <w:p w14:paraId="05BEC5C8">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highlight w:val="none"/>
              </w:rPr>
              <w:t>□</w:t>
            </w:r>
            <w:r>
              <w:rPr>
                <w:rFonts w:hint="eastAsia" w:ascii="仿宋" w:hAnsi="仿宋" w:eastAsia="仿宋" w:cs="仿宋"/>
                <w:color w:val="auto"/>
                <w:sz w:val="24"/>
                <w:highlight w:val="none"/>
              </w:rPr>
              <w:t>采购人</w:t>
            </w:r>
          </w:p>
          <w:p w14:paraId="535A706E">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■成交供应商</w:t>
            </w:r>
          </w:p>
          <w:p w14:paraId="7E065A5A">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收费标准：</w:t>
            </w:r>
          </w:p>
          <w:p w14:paraId="4BF237F1">
            <w:pPr>
              <w:widowControl/>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（1）以</w:t>
            </w:r>
            <w:r>
              <w:rPr>
                <w:rFonts w:hint="eastAsia" w:ascii="仿宋" w:hAnsi="仿宋" w:eastAsia="仿宋" w:cs="仿宋"/>
                <w:color w:val="auto"/>
                <w:sz w:val="24"/>
                <w:highlight w:val="none"/>
                <w:lang w:eastAsia="zh-CN"/>
              </w:rPr>
              <w:t>成交金额</w:t>
            </w:r>
            <w:r>
              <w:rPr>
                <w:rFonts w:hint="eastAsia" w:ascii="仿宋" w:hAnsi="仿宋" w:eastAsia="仿宋" w:cs="仿宋"/>
                <w:color w:val="auto"/>
                <w:sz w:val="24"/>
                <w:highlight w:val="none"/>
              </w:rPr>
              <w:t>作为收费的计算基数。</w:t>
            </w:r>
          </w:p>
          <w:p w14:paraId="16A2B11E">
            <w:pPr>
              <w:widowControl/>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参照</w:t>
            </w:r>
            <w:r>
              <w:rPr>
                <w:rFonts w:hint="eastAsia" w:ascii="仿宋" w:hAnsi="仿宋" w:eastAsia="仿宋" w:cs="仿宋"/>
                <w:color w:val="auto"/>
                <w:sz w:val="24"/>
                <w:highlight w:val="none"/>
              </w:rPr>
              <w:t>国家发展和改革委员会</w:t>
            </w:r>
            <w:r>
              <w:rPr>
                <w:rFonts w:hint="eastAsia" w:ascii="仿宋" w:hAnsi="仿宋" w:eastAsia="仿宋" w:cs="仿宋"/>
                <w:color w:val="auto"/>
                <w:sz w:val="24"/>
                <w:highlight w:val="none"/>
                <w:lang w:eastAsia="zh-CN"/>
              </w:rPr>
              <w:t>关于</w:t>
            </w:r>
            <w:r>
              <w:rPr>
                <w:rFonts w:hint="eastAsia" w:ascii="仿宋" w:hAnsi="仿宋" w:eastAsia="仿宋" w:cs="仿宋"/>
                <w:color w:val="auto"/>
                <w:sz w:val="24"/>
                <w:highlight w:val="none"/>
              </w:rPr>
              <w:t>《招标代理服务收费管理暂行办法》（计价格</w:t>
            </w:r>
            <w:r>
              <w:rPr>
                <w:rFonts w:hint="eastAsia" w:ascii="仿宋" w:hAnsi="仿宋" w:eastAsia="仿宋" w:cs="仿宋"/>
                <w:color w:val="auto"/>
                <w:sz w:val="24"/>
                <w:highlight w:val="none"/>
                <w:lang w:eastAsia="zh-CN"/>
              </w:rPr>
              <w:t>〔2002〕1980号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规定收取</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不足</w:t>
            </w:r>
            <w:r>
              <w:rPr>
                <w:rFonts w:hint="eastAsia" w:ascii="仿宋" w:hAnsi="仿宋" w:eastAsia="仿宋" w:cs="仿宋"/>
                <w:color w:val="auto"/>
                <w:sz w:val="24"/>
                <w:highlight w:val="none"/>
                <w:lang w:val="en-US" w:eastAsia="zh-CN"/>
              </w:rPr>
              <w:t>3000元的按3000元收取。由</w:t>
            </w:r>
            <w:r>
              <w:rPr>
                <w:rFonts w:hint="eastAsia" w:ascii="仿宋" w:hAnsi="仿宋" w:eastAsia="仿宋" w:cs="仿宋"/>
                <w:color w:val="auto"/>
                <w:sz w:val="24"/>
                <w:highlight w:val="none"/>
                <w:lang w:eastAsia="zh-CN"/>
              </w:rPr>
              <w:t>成交人在领取成交通知书时，一次性向采购代理机构交纳</w:t>
            </w:r>
            <w:r>
              <w:rPr>
                <w:rFonts w:hint="eastAsia" w:ascii="仿宋" w:hAnsi="仿宋" w:eastAsia="仿宋" w:cs="仿宋"/>
                <w:color w:val="auto"/>
                <w:sz w:val="24"/>
                <w:highlight w:val="none"/>
                <w:lang w:val="en-US" w:eastAsia="zh-CN"/>
              </w:rPr>
              <w:t>代理</w:t>
            </w:r>
            <w:r>
              <w:rPr>
                <w:rFonts w:hint="eastAsia" w:ascii="仿宋" w:hAnsi="仿宋" w:eastAsia="仿宋" w:cs="仿宋"/>
                <w:color w:val="auto"/>
                <w:sz w:val="24"/>
                <w:highlight w:val="none"/>
              </w:rPr>
              <w:t>服务费。</w:t>
            </w:r>
          </w:p>
          <w:p w14:paraId="6B533C7C">
            <w:pPr>
              <w:widowControl/>
              <w:shd w:val="clear" w:color="auto" w:fill="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（3）成交服务费币种与成交签订合同的币种相同或采购代理机构同意的币种。</w:t>
            </w:r>
          </w:p>
          <w:p w14:paraId="6F0366C7">
            <w:pPr>
              <w:widowControl/>
              <w:shd w:val="clear" w:color="auto" w:fill="auto"/>
              <w:jc w:val="left"/>
              <w:rPr>
                <w:rFonts w:hint="eastAsia" w:ascii="仿宋" w:hAnsi="仿宋" w:eastAsia="仿宋" w:cs="仿宋"/>
                <w:b/>
                <w:color w:val="auto"/>
                <w:sz w:val="24"/>
                <w:highlight w:val="none"/>
                <w:lang w:eastAsia="zh-CN"/>
              </w:rPr>
            </w:pPr>
            <w:r>
              <w:rPr>
                <w:rFonts w:hint="eastAsia" w:ascii="仿宋" w:hAnsi="仿宋" w:eastAsia="仿宋" w:cs="仿宋"/>
                <w:color w:val="auto"/>
                <w:kern w:val="0"/>
                <w:sz w:val="24"/>
                <w:highlight w:val="none"/>
              </w:rPr>
              <w:t>此项费用不应单独开列，无论供应商是否填报，都视为此费用已经包含在总价中。</w:t>
            </w:r>
          </w:p>
          <w:p w14:paraId="3A967C03">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成交服务费支付形式：电汇/现金</w:t>
            </w:r>
          </w:p>
          <w:p w14:paraId="1BA1464F">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服务费账户</w:t>
            </w:r>
          </w:p>
          <w:p w14:paraId="30EEA88B">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户名：中钰招标有限公司</w:t>
            </w:r>
          </w:p>
          <w:p w14:paraId="134E84C7">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开户行：中国工商银行北京南方庄支行（中国工商银行北京方庄支行）</w:t>
            </w:r>
          </w:p>
          <w:p w14:paraId="7C68F8A6">
            <w:pPr>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账号：0200225919200036626</w:t>
            </w:r>
          </w:p>
        </w:tc>
      </w:tr>
    </w:tbl>
    <w:p w14:paraId="0EB40DA1">
      <w:pPr>
        <w:shd w:val="clear" w:color="auto" w:fill="auto"/>
        <w:tabs>
          <w:tab w:val="left" w:pos="5580"/>
        </w:tabs>
        <w:adjustRightInd w:val="0"/>
        <w:spacing w:line="360" w:lineRule="auto"/>
        <w:jc w:val="distribute"/>
        <w:rPr>
          <w:rFonts w:hint="eastAsia" w:ascii="仿宋" w:hAnsi="仿宋" w:eastAsia="仿宋" w:cs="仿宋"/>
          <w:color w:val="auto"/>
          <w:sz w:val="24"/>
          <w:highlight w:val="none"/>
        </w:rPr>
      </w:pPr>
    </w:p>
    <w:p w14:paraId="14B0F51B">
      <w:pPr>
        <w:shd w:val="clear" w:color="auto" w:fill="auto"/>
        <w:tabs>
          <w:tab w:val="left" w:pos="5580"/>
        </w:tabs>
        <w:adjustRightInd w:val="0"/>
        <w:spacing w:line="360" w:lineRule="auto"/>
        <w:jc w:val="distribute"/>
        <w:rPr>
          <w:rFonts w:hint="eastAsia" w:ascii="仿宋" w:hAnsi="仿宋" w:eastAsia="仿宋" w:cs="仿宋"/>
          <w:color w:val="auto"/>
          <w:sz w:val="24"/>
          <w:highlight w:val="none"/>
        </w:rPr>
      </w:pPr>
    </w:p>
    <w:p w14:paraId="0E68F9A2">
      <w:pPr>
        <w:shd w:val="clear" w:color="auto" w:fill="auto"/>
        <w:tabs>
          <w:tab w:val="left" w:pos="5580"/>
        </w:tabs>
        <w:adjustRightInd w:val="0"/>
        <w:spacing w:line="360" w:lineRule="auto"/>
        <w:jc w:val="distribute"/>
        <w:rPr>
          <w:rFonts w:hint="eastAsia" w:ascii="仿宋" w:hAnsi="仿宋" w:eastAsia="仿宋" w:cs="仿宋"/>
          <w:color w:val="auto"/>
          <w:sz w:val="24"/>
          <w:highlight w:val="none"/>
        </w:rPr>
      </w:pPr>
    </w:p>
    <w:p w14:paraId="3F5FE857">
      <w:pPr>
        <w:shd w:val="clear" w:color="auto" w:fill="auto"/>
        <w:tabs>
          <w:tab w:val="left" w:pos="5580"/>
        </w:tabs>
        <w:adjustRightInd w:val="0"/>
        <w:spacing w:line="360" w:lineRule="auto"/>
        <w:jc w:val="distribute"/>
        <w:rPr>
          <w:rFonts w:hint="eastAsia" w:ascii="仿宋" w:hAnsi="仿宋" w:eastAsia="仿宋" w:cs="仿宋"/>
          <w:color w:val="auto"/>
          <w:sz w:val="24"/>
          <w:highlight w:val="none"/>
        </w:rPr>
      </w:pPr>
    </w:p>
    <w:p w14:paraId="1165EAC6">
      <w:pPr>
        <w:shd w:val="clear" w:color="auto" w:fill="auto"/>
        <w:tabs>
          <w:tab w:val="left" w:pos="5580"/>
        </w:tabs>
        <w:adjustRightInd w:val="0"/>
        <w:spacing w:line="360" w:lineRule="auto"/>
        <w:jc w:val="distribute"/>
        <w:rPr>
          <w:rFonts w:hint="eastAsia" w:ascii="仿宋" w:hAnsi="仿宋" w:eastAsia="仿宋" w:cs="仿宋"/>
          <w:color w:val="auto"/>
          <w:sz w:val="24"/>
          <w:highlight w:val="none"/>
        </w:rPr>
      </w:pPr>
    </w:p>
    <w:p w14:paraId="441FCA1F">
      <w:pPr>
        <w:shd w:val="clear" w:color="auto" w:fill="auto"/>
        <w:tabs>
          <w:tab w:val="left" w:pos="5580"/>
        </w:tabs>
        <w:adjustRightInd w:val="0"/>
        <w:spacing w:line="360" w:lineRule="auto"/>
        <w:jc w:val="distribute"/>
        <w:rPr>
          <w:rFonts w:hint="eastAsia" w:ascii="仿宋" w:hAnsi="仿宋" w:eastAsia="仿宋" w:cs="仿宋"/>
          <w:color w:val="auto"/>
          <w:sz w:val="24"/>
          <w:highlight w:val="none"/>
        </w:rPr>
      </w:pPr>
    </w:p>
    <w:p w14:paraId="14563344">
      <w:pPr>
        <w:shd w:val="clear" w:color="auto" w:fill="auto"/>
        <w:tabs>
          <w:tab w:val="left" w:pos="5580"/>
        </w:tabs>
        <w:adjustRightInd w:val="0"/>
        <w:spacing w:line="360" w:lineRule="auto"/>
        <w:jc w:val="distribute"/>
        <w:rPr>
          <w:rFonts w:hint="eastAsia" w:ascii="仿宋" w:hAnsi="仿宋" w:eastAsia="仿宋" w:cs="仿宋"/>
          <w:color w:val="auto"/>
          <w:sz w:val="24"/>
          <w:highlight w:val="none"/>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titlePg/>
          <w:docGrid w:linePitch="462" w:charSpace="0"/>
        </w:sectPr>
      </w:pPr>
    </w:p>
    <w:p w14:paraId="41E88206">
      <w:pPr>
        <w:shd w:val="clear" w:color="auto" w:fill="auto"/>
        <w:spacing w:before="240" w:beforeLines="100" w:after="240" w:afterLines="1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供应商须知</w:t>
      </w:r>
    </w:p>
    <w:p w14:paraId="7823423B">
      <w:pPr>
        <w:pStyle w:val="3"/>
        <w:shd w:val="clear" w:color="auto" w:fill="auto"/>
        <w:tabs>
          <w:tab w:val="center" w:pos="4592"/>
          <w:tab w:val="left" w:pos="7860"/>
        </w:tabs>
        <w:spacing w:before="0" w:line="360" w:lineRule="auto"/>
        <w:jc w:val="left"/>
        <w:rPr>
          <w:rFonts w:hint="eastAsia" w:ascii="仿宋" w:hAnsi="仿宋" w:eastAsia="仿宋" w:cs="仿宋"/>
          <w:color w:val="auto"/>
          <w:sz w:val="28"/>
          <w:highlight w:val="none"/>
        </w:rPr>
      </w:pPr>
      <w:bookmarkStart w:id="75" w:name="_Toc127151518"/>
      <w:bookmarkStart w:id="76" w:name="_Toc520356143"/>
      <w:r>
        <w:rPr>
          <w:rFonts w:hint="eastAsia" w:ascii="仿宋" w:hAnsi="仿宋" w:eastAsia="仿宋" w:cs="仿宋"/>
          <w:color w:val="auto"/>
          <w:sz w:val="28"/>
          <w:highlight w:val="none"/>
        </w:rPr>
        <w:tab/>
      </w:r>
      <w:bookmarkStart w:id="77" w:name="_Toc151190145"/>
      <w:bookmarkStart w:id="78" w:name="_Toc151193760"/>
      <w:bookmarkStart w:id="79" w:name="_Toc226309762"/>
      <w:bookmarkStart w:id="80" w:name="_Toc226337214"/>
      <w:bookmarkStart w:id="81" w:name="_Toc226965791"/>
      <w:bookmarkStart w:id="82" w:name="_Toc265228356"/>
      <w:bookmarkStart w:id="83" w:name="_Toc195842883"/>
      <w:bookmarkStart w:id="84" w:name="_Toc305158786"/>
      <w:bookmarkStart w:id="85" w:name="_Toc150480756"/>
      <w:bookmarkStart w:id="86" w:name="_Toc226965708"/>
      <w:bookmarkStart w:id="87" w:name="_Toc150774723"/>
      <w:bookmarkStart w:id="88" w:name="_Toc151193832"/>
      <w:bookmarkStart w:id="89" w:name="_Toc150509269"/>
      <w:bookmarkStart w:id="90" w:name="_Toc264969208"/>
      <w:bookmarkStart w:id="91" w:name="_Toc151193906"/>
      <w:bookmarkStart w:id="92" w:name="_Toc142311020"/>
      <w:bookmarkStart w:id="93" w:name="_Toc150774618"/>
      <w:bookmarkStart w:id="94" w:name="_Toc151193616"/>
      <w:bookmarkStart w:id="95" w:name="_Toc305158860"/>
      <w:bookmarkStart w:id="96" w:name="_Toc151193688"/>
      <w:r>
        <w:rPr>
          <w:rFonts w:hint="eastAsia" w:ascii="仿宋" w:hAnsi="仿宋" w:eastAsia="仿宋" w:cs="仿宋"/>
          <w:color w:val="auto"/>
          <w:sz w:val="28"/>
          <w:highlight w:val="none"/>
        </w:rPr>
        <w:t>一说明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hint="eastAsia" w:ascii="仿宋" w:hAnsi="仿宋" w:eastAsia="仿宋" w:cs="仿宋"/>
          <w:color w:val="auto"/>
          <w:sz w:val="28"/>
          <w:highlight w:val="none"/>
        </w:rPr>
        <w:tab/>
      </w:r>
    </w:p>
    <w:p w14:paraId="0548635A">
      <w:pPr>
        <w:numPr>
          <w:ilvl w:val="0"/>
          <w:numId w:val="8"/>
        </w:numPr>
        <w:shd w:val="clear" w:color="auto" w:fill="auto"/>
        <w:tabs>
          <w:tab w:val="left" w:pos="360"/>
          <w:tab w:val="clear" w:pos="900"/>
        </w:tabs>
        <w:snapToGrid w:val="0"/>
        <w:spacing w:line="360" w:lineRule="auto"/>
        <w:ind w:left="357" w:hanging="357"/>
        <w:outlineLvl w:val="1"/>
        <w:rPr>
          <w:rFonts w:hint="eastAsia" w:ascii="仿宋" w:hAnsi="仿宋" w:eastAsia="仿宋" w:cs="仿宋"/>
          <w:color w:val="auto"/>
          <w:sz w:val="24"/>
          <w:highlight w:val="none"/>
        </w:rPr>
      </w:pPr>
      <w:bookmarkStart w:id="97" w:name="_Toc264969209"/>
      <w:bookmarkStart w:id="98" w:name="_Toc305158787"/>
      <w:bookmarkStart w:id="99" w:name="_Toc265228357"/>
      <w:bookmarkStart w:id="100" w:name="_Toc305158861"/>
      <w:r>
        <w:rPr>
          <w:rFonts w:hint="eastAsia" w:ascii="仿宋" w:hAnsi="仿宋" w:eastAsia="仿宋" w:cs="仿宋"/>
          <w:color w:val="auto"/>
          <w:sz w:val="24"/>
          <w:highlight w:val="none"/>
        </w:rPr>
        <w:t>采购人、采购代理机构、供应商</w:t>
      </w:r>
      <w:bookmarkEnd w:id="97"/>
      <w:bookmarkEnd w:id="98"/>
      <w:bookmarkEnd w:id="99"/>
      <w:bookmarkEnd w:id="100"/>
      <w:r>
        <w:rPr>
          <w:rFonts w:hint="eastAsia" w:ascii="仿宋" w:hAnsi="仿宋" w:eastAsia="仿宋" w:cs="仿宋"/>
          <w:color w:val="auto"/>
          <w:sz w:val="24"/>
          <w:highlight w:val="none"/>
        </w:rPr>
        <w:t>、联合体</w:t>
      </w:r>
    </w:p>
    <w:p w14:paraId="2F288BA3">
      <w:pPr>
        <w:numPr>
          <w:ilvl w:val="1"/>
          <w:numId w:val="8"/>
        </w:numPr>
        <w:shd w:val="clear" w:color="auto" w:fill="auto"/>
        <w:tabs>
          <w:tab w:val="left" w:pos="1080"/>
          <w:tab w:val="left" w:pos="2014"/>
          <w:tab w:val="left" w:pos="5521"/>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采购人、采购代理机构：指依法进行政府采购的国家机关、事业单位、团体组织，及其委托的采购代理机构。本项目采购人、采购代理机构见第一章《采购邀请》。</w:t>
      </w:r>
    </w:p>
    <w:p w14:paraId="180013F2">
      <w:pPr>
        <w:numPr>
          <w:ilvl w:val="1"/>
          <w:numId w:val="8"/>
        </w:numPr>
        <w:shd w:val="clear" w:color="auto" w:fill="auto"/>
        <w:tabs>
          <w:tab w:val="left" w:pos="1080"/>
          <w:tab w:val="left" w:pos="2014"/>
          <w:tab w:val="left" w:pos="5521"/>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供应商（也称“申请人”）：指向采购人提供货物、工程或者服务的法人、其他组织或者自然人。</w:t>
      </w:r>
    </w:p>
    <w:p w14:paraId="5E297676">
      <w:pPr>
        <w:numPr>
          <w:ilvl w:val="1"/>
          <w:numId w:val="8"/>
        </w:numPr>
        <w:shd w:val="clear" w:color="auto" w:fill="auto"/>
        <w:tabs>
          <w:tab w:val="left" w:pos="1080"/>
          <w:tab w:val="left" w:pos="2014"/>
          <w:tab w:val="left" w:pos="5521"/>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联合体：指两个以上的自然人、法人或者其他组织组成一个联合体，以一个供应商的身份共同参加政府采购。</w:t>
      </w:r>
    </w:p>
    <w:p w14:paraId="7BEDD394">
      <w:pPr>
        <w:numPr>
          <w:ilvl w:val="0"/>
          <w:numId w:val="8"/>
        </w:numPr>
        <w:shd w:val="clear" w:color="auto" w:fill="auto"/>
        <w:tabs>
          <w:tab w:val="left" w:pos="360"/>
          <w:tab w:val="clear" w:pos="900"/>
        </w:tabs>
        <w:snapToGrid w:val="0"/>
        <w:spacing w:line="360" w:lineRule="auto"/>
        <w:ind w:left="357" w:hanging="357"/>
        <w:outlineLvl w:val="1"/>
        <w:rPr>
          <w:rFonts w:hint="eastAsia" w:ascii="仿宋" w:hAnsi="仿宋" w:eastAsia="仿宋" w:cs="仿宋"/>
          <w:color w:val="auto"/>
          <w:sz w:val="24"/>
          <w:highlight w:val="none"/>
        </w:rPr>
      </w:pPr>
      <w:bookmarkStart w:id="101" w:name="_Toc150480758"/>
      <w:bookmarkStart w:id="102" w:name="_Toc127151721"/>
      <w:bookmarkStart w:id="103" w:name="_Toc164608634"/>
      <w:bookmarkStart w:id="104" w:name="_Toc195842885"/>
      <w:bookmarkStart w:id="105" w:name="_Toc226309764"/>
      <w:bookmarkStart w:id="106" w:name="_Toc164229215"/>
      <w:bookmarkStart w:id="107" w:name="_Toc151193908"/>
      <w:bookmarkStart w:id="108" w:name="_Toc151193762"/>
      <w:bookmarkStart w:id="109" w:name="_Toc149720813"/>
      <w:bookmarkStart w:id="110" w:name="_Toc164351614"/>
      <w:bookmarkStart w:id="111" w:name="_Toc150774620"/>
      <w:bookmarkStart w:id="112" w:name="_Toc127151520"/>
      <w:bookmarkStart w:id="113" w:name="_Toc151193834"/>
      <w:bookmarkStart w:id="114" w:name="_Toc151193618"/>
      <w:bookmarkStart w:id="115" w:name="_Toc150509271"/>
      <w:bookmarkStart w:id="116" w:name="_Toc264969210"/>
      <w:bookmarkStart w:id="117" w:name="_Toc164608789"/>
      <w:bookmarkStart w:id="118" w:name="_Toc305158862"/>
      <w:bookmarkStart w:id="119" w:name="_Toc127161434"/>
      <w:bookmarkStart w:id="120" w:name="_Toc226965793"/>
      <w:bookmarkStart w:id="121" w:name="_Toc226337216"/>
      <w:bookmarkStart w:id="122" w:name="_Toc150774725"/>
      <w:bookmarkStart w:id="123" w:name="_Toc265228358"/>
      <w:bookmarkStart w:id="124" w:name="_Toc151190147"/>
      <w:bookmarkStart w:id="125" w:name="_Toc151193690"/>
      <w:bookmarkStart w:id="126" w:name="_Toc164229361"/>
      <w:bookmarkStart w:id="127" w:name="_Toc305158788"/>
      <w:bookmarkStart w:id="128" w:name="_Toc226965710"/>
      <w:bookmarkStart w:id="129" w:name="_Toc142311022"/>
      <w:r>
        <w:rPr>
          <w:rFonts w:hint="eastAsia" w:ascii="仿宋" w:hAnsi="仿宋" w:eastAsia="仿宋" w:cs="仿宋"/>
          <w:color w:val="auto"/>
          <w:sz w:val="24"/>
          <w:highlight w:val="none"/>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hint="eastAsia" w:ascii="仿宋" w:hAnsi="仿宋" w:eastAsia="仿宋" w:cs="仿宋"/>
          <w:color w:val="auto"/>
          <w:sz w:val="24"/>
          <w:highlight w:val="none"/>
        </w:rPr>
        <w:t>、项目属性、科研仪器设备采购</w:t>
      </w:r>
    </w:p>
    <w:p w14:paraId="5646F7A4">
      <w:pPr>
        <w:numPr>
          <w:ilvl w:val="1"/>
          <w:numId w:val="8"/>
        </w:numPr>
        <w:shd w:val="clear" w:color="auto" w:fill="auto"/>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资金来源为财政性资金和/或本项目采购中无法与财政性资金分割的非财政性资金。</w:t>
      </w:r>
    </w:p>
    <w:p w14:paraId="27C266CF">
      <w:pPr>
        <w:numPr>
          <w:ilvl w:val="1"/>
          <w:numId w:val="8"/>
        </w:numPr>
        <w:shd w:val="clear" w:color="auto" w:fill="auto"/>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项目属性见《供应商须知资料表》。</w:t>
      </w:r>
    </w:p>
    <w:p w14:paraId="3CEB886F">
      <w:pPr>
        <w:numPr>
          <w:ilvl w:val="1"/>
          <w:numId w:val="8"/>
        </w:numPr>
        <w:shd w:val="clear" w:color="auto" w:fill="auto"/>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是否属于科研仪器设备采购见《供应商须知资料表》。</w:t>
      </w:r>
    </w:p>
    <w:p w14:paraId="2543C886">
      <w:pPr>
        <w:numPr>
          <w:ilvl w:val="0"/>
          <w:numId w:val="8"/>
        </w:numPr>
        <w:shd w:val="clear" w:color="auto" w:fill="auto"/>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现场考察、磋商前答疑会</w:t>
      </w:r>
    </w:p>
    <w:p w14:paraId="5064C534">
      <w:pPr>
        <w:numPr>
          <w:ilvl w:val="1"/>
          <w:numId w:val="8"/>
        </w:numPr>
        <w:shd w:val="clear" w:color="auto" w:fill="auto"/>
        <w:tabs>
          <w:tab w:val="left" w:pos="1080"/>
          <w:tab w:val="left" w:pos="2014"/>
        </w:tabs>
        <w:snapToGrid w:val="0"/>
        <w:spacing w:line="360" w:lineRule="auto"/>
        <w:ind w:left="1080" w:hanging="720"/>
        <w:rPr>
          <w:rFonts w:hint="eastAsia" w:ascii="仿宋" w:hAnsi="仿宋" w:eastAsia="仿宋" w:cs="仿宋"/>
          <w:color w:val="auto"/>
          <w:sz w:val="28"/>
          <w:highlight w:val="none"/>
        </w:rPr>
      </w:pPr>
      <w:r>
        <w:rPr>
          <w:rFonts w:hint="eastAsia" w:ascii="仿宋" w:hAnsi="仿宋" w:eastAsia="仿宋" w:cs="仿宋"/>
          <w:color w:val="auto"/>
          <w:sz w:val="24"/>
          <w:highlight w:val="none"/>
        </w:rPr>
        <w:t>若《供应商须知资料表》中规定了组织现场考察、召开磋商前答疑会，则供应商应按要求在规定的时间和地点参加。</w:t>
      </w:r>
      <w:bookmarkStart w:id="130" w:name="_Toc226309766"/>
      <w:bookmarkStart w:id="131" w:name="_Toc151193764"/>
      <w:bookmarkStart w:id="132" w:name="_Toc142311024"/>
      <w:bookmarkStart w:id="133" w:name="_Toc305158790"/>
      <w:bookmarkStart w:id="134" w:name="_Toc127151522"/>
      <w:bookmarkStart w:id="135" w:name="_Toc151193836"/>
      <w:bookmarkStart w:id="136" w:name="_Toc151190149"/>
      <w:bookmarkStart w:id="137" w:name="_Toc151193692"/>
      <w:bookmarkStart w:id="138" w:name="_Toc226965712"/>
      <w:bookmarkStart w:id="139" w:name="_Toc150774727"/>
      <w:bookmarkStart w:id="140" w:name="_Toc150774622"/>
      <w:bookmarkStart w:id="141" w:name="_Toc226965795"/>
      <w:bookmarkStart w:id="142" w:name="_Toc264969212"/>
      <w:bookmarkStart w:id="143" w:name="_Toc150509273"/>
      <w:bookmarkStart w:id="144" w:name="_Toc305158864"/>
      <w:bookmarkStart w:id="145" w:name="_Toc520356146"/>
      <w:bookmarkStart w:id="146" w:name="_Toc150480760"/>
      <w:bookmarkStart w:id="147" w:name="_Toc151193620"/>
      <w:bookmarkStart w:id="148" w:name="_Toc151193910"/>
      <w:bookmarkStart w:id="149" w:name="_Toc195842887"/>
      <w:bookmarkStart w:id="150" w:name="_Toc265228360"/>
      <w:bookmarkStart w:id="151" w:name="_Toc226337218"/>
    </w:p>
    <w:p w14:paraId="32B37E94">
      <w:pPr>
        <w:numPr>
          <w:ilvl w:val="1"/>
          <w:numId w:val="8"/>
        </w:numPr>
        <w:shd w:val="clear" w:color="auto" w:fill="auto"/>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645F1B23">
      <w:pPr>
        <w:numPr>
          <w:ilvl w:val="0"/>
          <w:numId w:val="8"/>
        </w:numPr>
        <w:shd w:val="clear" w:color="auto" w:fill="auto"/>
        <w:tabs>
          <w:tab w:val="left" w:pos="360"/>
          <w:tab w:val="clear" w:pos="90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政府采购政策（包括但不限于下列具体政策要求）</w:t>
      </w:r>
    </w:p>
    <w:p w14:paraId="7EEE2521">
      <w:pPr>
        <w:numPr>
          <w:ilvl w:val="1"/>
          <w:numId w:val="8"/>
        </w:numPr>
        <w:shd w:val="clear" w:color="auto" w:fill="auto"/>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采购本国货物、工程和服务</w:t>
      </w:r>
    </w:p>
    <w:p w14:paraId="62438EC8">
      <w:pPr>
        <w:numPr>
          <w:ilvl w:val="2"/>
          <w:numId w:val="8"/>
        </w:numPr>
        <w:shd w:val="clear" w:color="auto" w:fill="auto"/>
        <w:tabs>
          <w:tab w:val="left" w:pos="2014"/>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政府采购应当采购本国货物、工程和服务。但有《</w:t>
      </w:r>
      <w:r>
        <w:rPr>
          <w:rFonts w:hint="eastAsia" w:ascii="仿宋" w:hAnsi="仿宋" w:eastAsia="仿宋" w:cs="仿宋"/>
          <w:b/>
          <w:color w:val="auto"/>
          <w:kern w:val="0"/>
          <w:sz w:val="24"/>
          <w:highlight w:val="none"/>
        </w:rPr>
        <w:t>中华人民共和国政府采购法</w:t>
      </w:r>
      <w:r>
        <w:rPr>
          <w:rFonts w:hint="eastAsia" w:ascii="仿宋" w:hAnsi="仿宋" w:eastAsia="仿宋" w:cs="仿宋"/>
          <w:color w:val="auto"/>
          <w:kern w:val="0"/>
          <w:sz w:val="24"/>
          <w:highlight w:val="none"/>
        </w:rPr>
        <w:t>》第十条规定情形的除外。</w:t>
      </w:r>
    </w:p>
    <w:p w14:paraId="398D1B13">
      <w:pPr>
        <w:numPr>
          <w:ilvl w:val="2"/>
          <w:numId w:val="8"/>
        </w:numPr>
        <w:shd w:val="clear" w:color="auto" w:fill="auto"/>
        <w:tabs>
          <w:tab w:val="left" w:pos="2014"/>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本项目如接受非本国货物、工程、服务参与响应，则具体要求见第四章《采购需求》。</w:t>
      </w:r>
    </w:p>
    <w:p w14:paraId="6058BBB0">
      <w:pPr>
        <w:numPr>
          <w:ilvl w:val="2"/>
          <w:numId w:val="8"/>
        </w:numPr>
        <w:shd w:val="clear" w:color="auto" w:fill="auto"/>
        <w:tabs>
          <w:tab w:val="left" w:pos="2014"/>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858D056">
      <w:pPr>
        <w:numPr>
          <w:ilvl w:val="1"/>
          <w:numId w:val="8"/>
        </w:numPr>
        <w:shd w:val="clear" w:color="auto" w:fill="auto"/>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中小企业、监狱企业及残疾人福利性单位</w:t>
      </w:r>
    </w:p>
    <w:p w14:paraId="7425F220">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中小企业定义：</w:t>
      </w:r>
    </w:p>
    <w:p w14:paraId="0A6F2F98">
      <w:pPr>
        <w:numPr>
          <w:ilvl w:val="3"/>
          <w:numId w:val="8"/>
        </w:numPr>
        <w:shd w:val="clear" w:color="auto" w:fill="auto"/>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6C934306">
      <w:pPr>
        <w:numPr>
          <w:ilvl w:val="3"/>
          <w:numId w:val="8"/>
        </w:numPr>
        <w:shd w:val="clear" w:color="auto" w:fill="auto"/>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供应商提供的货物、工程或者服务符合下列情形的，享受中小企业扶持政策：</w:t>
      </w:r>
    </w:p>
    <w:p w14:paraId="34808832">
      <w:pPr>
        <w:shd w:val="clear" w:color="auto" w:fill="auto"/>
        <w:tabs>
          <w:tab w:val="left" w:pos="1980"/>
        </w:tabs>
        <w:snapToGrid w:val="0"/>
        <w:spacing w:line="360" w:lineRule="auto"/>
        <w:ind w:left="2835" w:leftChars="1350"/>
        <w:rPr>
          <w:rFonts w:hint="eastAsia" w:ascii="仿宋" w:hAnsi="仿宋" w:eastAsia="仿宋" w:cs="仿宋"/>
          <w:color w:val="auto"/>
          <w:sz w:val="24"/>
          <w:highlight w:val="none"/>
        </w:rPr>
      </w:pPr>
      <w:r>
        <w:rPr>
          <w:rFonts w:hint="eastAsia" w:ascii="仿宋" w:hAnsi="仿宋" w:eastAsia="仿宋" w:cs="仿宋"/>
          <w:color w:val="auto"/>
          <w:sz w:val="24"/>
          <w:highlight w:val="none"/>
        </w:rPr>
        <w:t>（1）在货物采购项目中，货物由中小企业制造，即货物由中小企业生产且使用该中小企业商号或者注册商标；</w:t>
      </w:r>
    </w:p>
    <w:p w14:paraId="42968511">
      <w:pPr>
        <w:shd w:val="clear" w:color="auto" w:fill="auto"/>
        <w:tabs>
          <w:tab w:val="left" w:pos="1980"/>
        </w:tabs>
        <w:snapToGrid w:val="0"/>
        <w:spacing w:line="360" w:lineRule="auto"/>
        <w:ind w:left="2835" w:leftChars="1350"/>
        <w:rPr>
          <w:rFonts w:hint="eastAsia" w:ascii="仿宋" w:hAnsi="仿宋" w:eastAsia="仿宋" w:cs="仿宋"/>
          <w:color w:val="auto"/>
          <w:sz w:val="24"/>
          <w:highlight w:val="none"/>
        </w:rPr>
      </w:pPr>
      <w:r>
        <w:rPr>
          <w:rFonts w:hint="eastAsia" w:ascii="仿宋" w:hAnsi="仿宋" w:eastAsia="仿宋" w:cs="仿宋"/>
          <w:color w:val="auto"/>
          <w:sz w:val="24"/>
          <w:highlight w:val="none"/>
        </w:rPr>
        <w:t>（2）在工程采购项目中，工程由中小企业承建，即工程施工单位为中小企业；</w:t>
      </w:r>
    </w:p>
    <w:p w14:paraId="3CD2ED88">
      <w:pPr>
        <w:shd w:val="clear" w:color="auto" w:fill="auto"/>
        <w:tabs>
          <w:tab w:val="left" w:pos="1980"/>
        </w:tabs>
        <w:snapToGrid w:val="0"/>
        <w:spacing w:line="360" w:lineRule="auto"/>
        <w:ind w:left="2835" w:leftChars="135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（3）在服务采购项目中，服务由中小企业承接，即提供服务的人员为中小企业依照《中华人民共和国劳动合同法》订立劳动合同的从业人员。</w:t>
      </w:r>
    </w:p>
    <w:p w14:paraId="6941706B">
      <w:pPr>
        <w:numPr>
          <w:ilvl w:val="3"/>
          <w:numId w:val="8"/>
        </w:numPr>
        <w:shd w:val="clear" w:color="auto" w:fill="auto"/>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auto"/>
          <w:sz w:val="24"/>
          <w:highlight w:val="none"/>
        </w:rPr>
      </w:pPr>
      <w:r>
        <w:rPr>
          <w:rFonts w:hint="eastAsia" w:ascii="仿宋" w:hAnsi="仿宋" w:eastAsia="仿宋" w:cs="仿宋"/>
          <w:color w:val="auto"/>
          <w:sz w:val="24"/>
          <w:highlight w:val="none"/>
        </w:rPr>
        <w:t>在货物采购项目中，供应商提供的货物既有中小企业制造货物，也有大型企业制造货物的，不享受中小企业扶持政策。</w:t>
      </w:r>
    </w:p>
    <w:p w14:paraId="7F8E2081">
      <w:pPr>
        <w:numPr>
          <w:ilvl w:val="3"/>
          <w:numId w:val="8"/>
        </w:numPr>
        <w:shd w:val="clear" w:color="auto" w:fill="auto"/>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auto"/>
          <w:sz w:val="24"/>
          <w:highlight w:val="none"/>
        </w:rPr>
      </w:pPr>
      <w:r>
        <w:rPr>
          <w:rFonts w:hint="eastAsia" w:ascii="仿宋" w:hAnsi="仿宋" w:eastAsia="仿宋" w:cs="仿宋"/>
          <w:color w:val="auto"/>
          <w:sz w:val="24"/>
          <w:highlight w:val="none"/>
        </w:rPr>
        <w:t>以联合体形式参加政府采购活动，联合体各方均为中小企业的，联合体视同中小企业。其中，联合体各方均为小微企业的，联合体视同小微企业。</w:t>
      </w:r>
    </w:p>
    <w:p w14:paraId="45B82A3F">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5B0AB3D">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6DE104A">
      <w:pPr>
        <w:numPr>
          <w:ilvl w:val="3"/>
          <w:numId w:val="8"/>
        </w:numPr>
        <w:shd w:val="clear" w:color="auto" w:fill="auto"/>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auto"/>
          <w:sz w:val="24"/>
          <w:highlight w:val="none"/>
        </w:rPr>
      </w:pPr>
      <w:r>
        <w:rPr>
          <w:rFonts w:hint="eastAsia" w:ascii="仿宋" w:hAnsi="仿宋" w:eastAsia="仿宋" w:cs="仿宋"/>
          <w:color w:val="auto"/>
          <w:sz w:val="24"/>
          <w:highlight w:val="none"/>
        </w:rPr>
        <w:t>安置的残疾人占本单位在职职工人数的比例不低于25%（含25%），并且安置的残疾人人数不少于10人（含10人）；</w:t>
      </w:r>
    </w:p>
    <w:p w14:paraId="5E41AFDC">
      <w:pPr>
        <w:numPr>
          <w:ilvl w:val="3"/>
          <w:numId w:val="8"/>
        </w:numPr>
        <w:shd w:val="clear" w:color="auto" w:fill="auto"/>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auto"/>
          <w:sz w:val="24"/>
          <w:highlight w:val="none"/>
        </w:rPr>
      </w:pPr>
      <w:r>
        <w:rPr>
          <w:rFonts w:hint="eastAsia" w:ascii="仿宋" w:hAnsi="仿宋" w:eastAsia="仿宋" w:cs="仿宋"/>
          <w:color w:val="auto"/>
          <w:sz w:val="24"/>
          <w:highlight w:val="none"/>
        </w:rPr>
        <w:t>依法与安置的每位残疾人签订了一年以上（含一年）的劳动合同或服务协议；</w:t>
      </w:r>
    </w:p>
    <w:p w14:paraId="5AAEEF68">
      <w:pPr>
        <w:numPr>
          <w:ilvl w:val="3"/>
          <w:numId w:val="8"/>
        </w:numPr>
        <w:shd w:val="clear" w:color="auto" w:fill="auto"/>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auto"/>
          <w:sz w:val="24"/>
          <w:highlight w:val="none"/>
        </w:rPr>
      </w:pPr>
      <w:r>
        <w:rPr>
          <w:rFonts w:hint="eastAsia" w:ascii="仿宋" w:hAnsi="仿宋" w:eastAsia="仿宋" w:cs="仿宋"/>
          <w:color w:val="auto"/>
          <w:sz w:val="24"/>
          <w:highlight w:val="none"/>
        </w:rPr>
        <w:t>为安置的每位残疾人按月足额缴纳了基本养老保险、基本医疗保险、失业保险、工伤保险和生育保险等社会保险费；</w:t>
      </w:r>
    </w:p>
    <w:p w14:paraId="0CCA6802">
      <w:pPr>
        <w:numPr>
          <w:ilvl w:val="3"/>
          <w:numId w:val="8"/>
        </w:numPr>
        <w:shd w:val="clear" w:color="auto" w:fill="auto"/>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auto"/>
          <w:sz w:val="24"/>
          <w:highlight w:val="none"/>
        </w:rPr>
      </w:pPr>
      <w:r>
        <w:rPr>
          <w:rFonts w:hint="eastAsia" w:ascii="仿宋" w:hAnsi="仿宋" w:eastAsia="仿宋" w:cs="仿宋"/>
          <w:color w:val="auto"/>
          <w:sz w:val="24"/>
          <w:highlight w:val="none"/>
        </w:rPr>
        <w:t>通过银行等金融机构向安置的每位残疾人，按月支付了不低于单位所在区县适用的经省级人民政府批准的月最低工资标准的工资；</w:t>
      </w:r>
    </w:p>
    <w:p w14:paraId="51A0E52D">
      <w:pPr>
        <w:numPr>
          <w:ilvl w:val="3"/>
          <w:numId w:val="8"/>
        </w:numPr>
        <w:shd w:val="clear" w:color="auto" w:fill="auto"/>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auto"/>
          <w:sz w:val="24"/>
          <w:highlight w:val="none"/>
        </w:rPr>
      </w:pPr>
      <w:r>
        <w:rPr>
          <w:rFonts w:hint="eastAsia" w:ascii="仿宋" w:hAnsi="仿宋" w:eastAsia="仿宋" w:cs="仿宋"/>
          <w:color w:val="auto"/>
          <w:sz w:val="24"/>
          <w:highlight w:val="none"/>
        </w:rPr>
        <w:t>提供本单位制造的货物、承担的工程或者服务（以下简称产品），或者提供其他残疾人福利性单位制造的货物（不包括使用非残疾人福利性单位注册商标的货物）；</w:t>
      </w:r>
    </w:p>
    <w:p w14:paraId="4868E852">
      <w:pPr>
        <w:numPr>
          <w:ilvl w:val="3"/>
          <w:numId w:val="8"/>
        </w:numPr>
        <w:shd w:val="clear" w:color="auto" w:fill="auto"/>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auto"/>
          <w:sz w:val="24"/>
          <w:highlight w:val="none"/>
        </w:rPr>
      </w:pPr>
      <w:r>
        <w:rPr>
          <w:rFonts w:hint="eastAsia" w:ascii="仿宋" w:hAnsi="仿宋" w:eastAsia="仿宋" w:cs="仿宋"/>
          <w:color w:val="auto"/>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71880D9">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本项目是否专门面向中小企业预留采购份额见第一章《采购邀请》。</w:t>
      </w:r>
    </w:p>
    <w:p w14:paraId="47D7F06B">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采购标的对应的中小企业划分标准所属行业见《供应商须知资料表》。</w:t>
      </w:r>
    </w:p>
    <w:p w14:paraId="0EEE1FCE">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小微企业价格评审优惠的政策调整：见第三章《评审方法和评审标准》。</w:t>
      </w:r>
    </w:p>
    <w:p w14:paraId="78B5268C">
      <w:pPr>
        <w:numPr>
          <w:ilvl w:val="1"/>
          <w:numId w:val="8"/>
        </w:numPr>
        <w:shd w:val="clear" w:color="auto" w:fill="auto"/>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政府采购节能产品、环境标志产品</w:t>
      </w:r>
    </w:p>
    <w:p w14:paraId="2E69926B">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A931072">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C3B9AA0">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仿宋" w:hAnsi="仿宋" w:eastAsia="仿宋" w:cs="仿宋"/>
          <w:color w:val="auto"/>
          <w:kern w:val="0"/>
          <w:sz w:val="24"/>
          <w:highlight w:val="none"/>
        </w:rPr>
        <w:t>否则</w:t>
      </w:r>
      <w:r>
        <w:rPr>
          <w:rFonts w:hint="eastAsia" w:ascii="仿宋" w:hAnsi="仿宋" w:eastAsia="仿宋" w:cs="仿宋"/>
          <w:b/>
          <w:color w:val="auto"/>
          <w:kern w:val="0"/>
          <w:sz w:val="24"/>
          <w:highlight w:val="none"/>
        </w:rPr>
        <w:t>响应无效</w:t>
      </w:r>
      <w:r>
        <w:rPr>
          <w:rFonts w:hint="eastAsia" w:ascii="仿宋" w:hAnsi="仿宋" w:eastAsia="仿宋" w:cs="仿宋"/>
          <w:color w:val="auto"/>
          <w:sz w:val="24"/>
          <w:highlight w:val="none"/>
        </w:rPr>
        <w:t>；</w:t>
      </w:r>
    </w:p>
    <w:p w14:paraId="23E9A54F">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非政府强制采购的节能产品或环境标志产品，依据品目清单和认证证书实施政府优先采购。优先采购的具体规定见第三章《评审方法和评审标准》（如涉及）。</w:t>
      </w:r>
    </w:p>
    <w:p w14:paraId="62A13922">
      <w:pPr>
        <w:numPr>
          <w:ilvl w:val="1"/>
          <w:numId w:val="8"/>
        </w:numPr>
        <w:shd w:val="clear" w:color="auto" w:fill="auto"/>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正版软件</w:t>
      </w:r>
    </w:p>
    <w:p w14:paraId="2C28FBA5">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3387441">
      <w:pPr>
        <w:numPr>
          <w:ilvl w:val="1"/>
          <w:numId w:val="8"/>
        </w:numPr>
        <w:shd w:val="clear" w:color="auto" w:fill="auto"/>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网络安全专用产品</w:t>
      </w:r>
    </w:p>
    <w:p w14:paraId="781AF775">
      <w:pPr>
        <w:numPr>
          <w:ilvl w:val="2"/>
          <w:numId w:val="8"/>
        </w:numPr>
        <w:shd w:val="clear" w:color="auto" w:fill="auto"/>
        <w:tabs>
          <w:tab w:val="left" w:pos="900"/>
          <w:tab w:val="left" w:pos="2014"/>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81D07FB">
      <w:pPr>
        <w:numPr>
          <w:ilvl w:val="1"/>
          <w:numId w:val="8"/>
        </w:numPr>
        <w:shd w:val="clear" w:color="auto" w:fill="auto"/>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推广使用低挥发性有机化合物（VOCs）</w:t>
      </w:r>
    </w:p>
    <w:p w14:paraId="65354071">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w:t>
      </w:r>
      <w:r>
        <w:rPr>
          <w:rFonts w:hint="eastAsia" w:ascii="仿宋" w:hAnsi="仿宋" w:eastAsia="仿宋" w:cs="仿宋"/>
          <w:color w:val="auto"/>
          <w:kern w:val="0"/>
          <w:sz w:val="24"/>
          <w:highlight w:val="none"/>
        </w:rPr>
        <w:t>否则</w:t>
      </w:r>
      <w:r>
        <w:rPr>
          <w:rFonts w:hint="eastAsia" w:ascii="仿宋" w:hAnsi="仿宋" w:eastAsia="仿宋" w:cs="仿宋"/>
          <w:b/>
          <w:color w:val="auto"/>
          <w:kern w:val="0"/>
          <w:sz w:val="24"/>
          <w:highlight w:val="none"/>
        </w:rPr>
        <w:t>响应无效</w:t>
      </w:r>
      <w:r>
        <w:rPr>
          <w:rFonts w:hint="eastAsia" w:ascii="仿宋" w:hAnsi="仿宋" w:eastAsia="仿宋" w:cs="仿宋"/>
          <w:color w:val="auto"/>
          <w:sz w:val="24"/>
          <w:highlight w:val="none"/>
        </w:rPr>
        <w:t>；属于推荐性标准的，优先采购，具体见第三章《评审方法和评审标准》。</w:t>
      </w:r>
    </w:p>
    <w:p w14:paraId="621EC3FD">
      <w:pPr>
        <w:numPr>
          <w:ilvl w:val="1"/>
          <w:numId w:val="8"/>
        </w:numPr>
        <w:shd w:val="clear" w:color="auto" w:fill="auto"/>
        <w:tabs>
          <w:tab w:val="left" w:pos="1080"/>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采购需求标准</w:t>
      </w:r>
    </w:p>
    <w:p w14:paraId="6D30D583">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商品包装、快递包装政府采购需求标准（试行）</w:t>
      </w:r>
    </w:p>
    <w:p w14:paraId="09ADAD9D">
      <w:pPr>
        <w:shd w:val="clear" w:color="auto" w:fill="auto"/>
        <w:tabs>
          <w:tab w:val="left" w:pos="900"/>
          <w:tab w:val="left" w:pos="1980"/>
        </w:tabs>
        <w:snapToGrid w:val="0"/>
        <w:spacing w:line="360" w:lineRule="auto"/>
        <w:ind w:left="1985"/>
        <w:rPr>
          <w:rFonts w:hint="eastAsia" w:ascii="仿宋" w:hAnsi="仿宋" w:eastAsia="仿宋" w:cs="仿宋"/>
          <w:color w:val="auto"/>
          <w:sz w:val="24"/>
          <w:highlight w:val="none"/>
        </w:rPr>
      </w:pPr>
      <w:r>
        <w:rPr>
          <w:rFonts w:hint="eastAsia" w:ascii="仿宋" w:hAnsi="仿宋" w:eastAsia="仿宋" w:cs="仿宋"/>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BD9BE3A">
      <w:pPr>
        <w:numPr>
          <w:ilvl w:val="2"/>
          <w:numId w:val="8"/>
        </w:numPr>
        <w:shd w:val="clear" w:color="auto" w:fill="auto"/>
        <w:tabs>
          <w:tab w:val="left" w:pos="2014"/>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其他政府采购需求标准</w:t>
      </w:r>
    </w:p>
    <w:p w14:paraId="083C7047">
      <w:pPr>
        <w:shd w:val="clear" w:color="auto" w:fill="auto"/>
        <w:tabs>
          <w:tab w:val="left" w:pos="900"/>
          <w:tab w:val="left" w:pos="1980"/>
        </w:tabs>
        <w:snapToGrid w:val="0"/>
        <w:spacing w:line="360" w:lineRule="auto"/>
        <w:ind w:left="1980"/>
        <w:rPr>
          <w:rFonts w:hint="eastAsia" w:ascii="仿宋" w:hAnsi="仿宋" w:eastAsia="仿宋" w:cs="仿宋"/>
          <w:color w:val="auto"/>
          <w:sz w:val="24"/>
          <w:highlight w:val="none"/>
        </w:rPr>
      </w:pPr>
      <w:r>
        <w:rPr>
          <w:rFonts w:hint="eastAsia" w:ascii="仿宋" w:hAnsi="仿宋" w:eastAsia="仿宋" w:cs="仿宋"/>
          <w:color w:val="auto"/>
          <w:sz w:val="24"/>
          <w:highlight w:val="none"/>
        </w:rPr>
        <w:t>为贯彻落实《深化政府采购制度改革方案》有关要求，推动政府采购需求标准建设，</w:t>
      </w:r>
      <w:bookmarkStart w:id="152" w:name="_Hlk168431650"/>
      <w:r>
        <w:rPr>
          <w:rFonts w:hint="eastAsia" w:ascii="仿宋" w:hAnsi="仿宋" w:eastAsia="仿宋" w:cs="仿宋"/>
          <w:color w:val="auto"/>
          <w:sz w:val="24"/>
          <w:highlight w:val="none"/>
        </w:rPr>
        <w:t>财政部门会同有关部门制定发布的</w:t>
      </w:r>
      <w:bookmarkEnd w:id="152"/>
      <w:r>
        <w:rPr>
          <w:rFonts w:hint="eastAsia" w:ascii="仿宋" w:hAnsi="仿宋" w:eastAsia="仿宋" w:cs="仿宋"/>
          <w:color w:val="auto"/>
          <w:sz w:val="24"/>
          <w:highlight w:val="none"/>
        </w:rPr>
        <w:t>其他政府采购需求标准，本项目如涉及，则具体要求见第四章《采购需求》。</w:t>
      </w:r>
    </w:p>
    <w:p w14:paraId="02FE3063">
      <w:pPr>
        <w:numPr>
          <w:ilvl w:val="0"/>
          <w:numId w:val="8"/>
        </w:numPr>
        <w:shd w:val="clear" w:color="auto" w:fill="auto"/>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响应费用</w:t>
      </w:r>
    </w:p>
    <w:p w14:paraId="3F41971F">
      <w:pPr>
        <w:numPr>
          <w:ilvl w:val="1"/>
          <w:numId w:val="8"/>
        </w:numPr>
        <w:shd w:val="clear" w:color="auto" w:fill="auto"/>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供应商应自行承担所有与准备和参加磋商有关的费用，无论磋商的结果如何，采购人或采购代理机构在任何情况下均无承担这些费用的义务和责任。</w:t>
      </w:r>
    </w:p>
    <w:p w14:paraId="4B8BEB38">
      <w:pPr>
        <w:shd w:val="clear" w:color="auto" w:fill="auto"/>
        <w:tabs>
          <w:tab w:val="left" w:pos="1080"/>
        </w:tabs>
        <w:snapToGrid w:val="0"/>
        <w:spacing w:line="360" w:lineRule="auto"/>
        <w:ind w:left="1080"/>
        <w:rPr>
          <w:rFonts w:hint="eastAsia" w:ascii="仿宋" w:hAnsi="仿宋" w:eastAsia="仿宋" w:cs="仿宋"/>
          <w:color w:val="auto"/>
          <w:sz w:val="28"/>
          <w:highlight w:val="none"/>
        </w:rPr>
      </w:pPr>
      <w:bookmarkStart w:id="153" w:name="_1.8_计量单位"/>
      <w:bookmarkEnd w:id="153"/>
    </w:p>
    <w:p w14:paraId="787123FE">
      <w:pPr>
        <w:pStyle w:val="3"/>
        <w:shd w:val="clear" w:color="auto" w:fill="auto"/>
        <w:spacing w:before="0"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二竞争性磋商文件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52B69405">
      <w:pPr>
        <w:numPr>
          <w:ilvl w:val="0"/>
          <w:numId w:val="8"/>
        </w:numPr>
        <w:shd w:val="clear" w:color="auto" w:fill="auto"/>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154" w:name="_Toc226965713"/>
      <w:bookmarkStart w:id="155" w:name="_Toc164229218"/>
      <w:bookmarkStart w:id="156" w:name="_Toc164229364"/>
      <w:bookmarkStart w:id="157" w:name="_Toc226965796"/>
      <w:bookmarkStart w:id="158" w:name="_Toc151193837"/>
      <w:bookmarkStart w:id="159" w:name="_Toc520356147"/>
      <w:bookmarkStart w:id="160" w:name="_Toc142311025"/>
      <w:bookmarkStart w:id="161" w:name="_Toc164608792"/>
      <w:bookmarkStart w:id="162" w:name="_Toc127151724"/>
      <w:bookmarkStart w:id="163" w:name="_Toc164351617"/>
      <w:bookmarkStart w:id="164" w:name="_Toc150480761"/>
      <w:bookmarkStart w:id="165" w:name="_Toc305158791"/>
      <w:bookmarkStart w:id="166" w:name="_Toc127151523"/>
      <w:bookmarkStart w:id="167" w:name="_Toc151193693"/>
      <w:bookmarkStart w:id="168" w:name="_Toc150774728"/>
      <w:bookmarkStart w:id="169" w:name="_Toc151193911"/>
      <w:bookmarkStart w:id="170" w:name="_Toc226309767"/>
      <w:bookmarkStart w:id="171" w:name="_Toc151193621"/>
      <w:bookmarkStart w:id="172" w:name="_Toc150774623"/>
      <w:bookmarkStart w:id="173" w:name="_Toc149720816"/>
      <w:bookmarkStart w:id="174" w:name="_Toc265228361"/>
      <w:bookmarkStart w:id="175" w:name="_Toc150509274"/>
      <w:bookmarkStart w:id="176" w:name="_Toc164608637"/>
      <w:bookmarkStart w:id="177" w:name="_Toc127161437"/>
      <w:bookmarkStart w:id="178" w:name="_Toc151193765"/>
      <w:bookmarkStart w:id="179" w:name="_Toc305158865"/>
      <w:bookmarkStart w:id="180" w:name="_Toc226337219"/>
      <w:bookmarkStart w:id="181" w:name="_Toc195842888"/>
      <w:bookmarkStart w:id="182" w:name="_Toc151190150"/>
      <w:bookmarkStart w:id="183" w:name="_Toc264969213"/>
      <w:r>
        <w:rPr>
          <w:rFonts w:hint="eastAsia" w:ascii="仿宋" w:hAnsi="仿宋" w:eastAsia="仿宋" w:cs="仿宋"/>
          <w:color w:val="auto"/>
          <w:sz w:val="24"/>
          <w:highlight w:val="none"/>
        </w:rPr>
        <w:t>竞争性磋商文件构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hint="eastAsia" w:ascii="仿宋" w:hAnsi="仿宋" w:eastAsia="仿宋" w:cs="仿宋"/>
          <w:color w:val="auto"/>
          <w:sz w:val="24"/>
          <w:highlight w:val="none"/>
        </w:rPr>
        <w:t>成</w:t>
      </w:r>
    </w:p>
    <w:p w14:paraId="7D7DBAF3">
      <w:pPr>
        <w:numPr>
          <w:ilvl w:val="1"/>
          <w:numId w:val="8"/>
        </w:numPr>
        <w:shd w:val="clear" w:color="auto" w:fill="auto"/>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竞争性磋商文件包括以下部分：</w:t>
      </w:r>
    </w:p>
    <w:p w14:paraId="5A443559">
      <w:pPr>
        <w:numPr>
          <w:ilvl w:val="0"/>
          <w:numId w:val="9"/>
        </w:numPr>
        <w:shd w:val="clear" w:color="auto" w:fill="auto"/>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采购邀请</w:t>
      </w:r>
    </w:p>
    <w:p w14:paraId="7D987253">
      <w:pPr>
        <w:numPr>
          <w:ilvl w:val="0"/>
          <w:numId w:val="9"/>
        </w:numPr>
        <w:shd w:val="clear" w:color="auto" w:fill="auto"/>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供应商须知</w:t>
      </w:r>
    </w:p>
    <w:p w14:paraId="1D956476">
      <w:pPr>
        <w:numPr>
          <w:ilvl w:val="0"/>
          <w:numId w:val="9"/>
        </w:numPr>
        <w:shd w:val="clear" w:color="auto" w:fill="auto"/>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评审方法和评审标准</w:t>
      </w:r>
    </w:p>
    <w:p w14:paraId="06388957">
      <w:pPr>
        <w:numPr>
          <w:ilvl w:val="0"/>
          <w:numId w:val="9"/>
        </w:numPr>
        <w:shd w:val="clear" w:color="auto" w:fill="auto"/>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14:paraId="75F88F4A">
      <w:pPr>
        <w:numPr>
          <w:ilvl w:val="0"/>
          <w:numId w:val="9"/>
        </w:numPr>
        <w:shd w:val="clear" w:color="auto" w:fill="auto"/>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合同草案条款</w:t>
      </w:r>
    </w:p>
    <w:p w14:paraId="4D586D11">
      <w:pPr>
        <w:numPr>
          <w:ilvl w:val="0"/>
          <w:numId w:val="9"/>
        </w:numPr>
        <w:shd w:val="clear" w:color="auto" w:fill="auto"/>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响应文件格式</w:t>
      </w:r>
    </w:p>
    <w:p w14:paraId="01A23CD9">
      <w:pPr>
        <w:numPr>
          <w:ilvl w:val="1"/>
          <w:numId w:val="8"/>
        </w:numPr>
        <w:shd w:val="clear" w:color="auto" w:fill="auto"/>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仿宋" w:hAnsi="仿宋" w:eastAsia="仿宋" w:cs="仿宋"/>
          <w:b/>
          <w:color w:val="auto"/>
          <w:sz w:val="24"/>
          <w:highlight w:val="none"/>
        </w:rPr>
        <w:t>响应无效</w:t>
      </w:r>
      <w:r>
        <w:rPr>
          <w:rFonts w:hint="eastAsia" w:ascii="仿宋" w:hAnsi="仿宋" w:eastAsia="仿宋" w:cs="仿宋"/>
          <w:color w:val="auto"/>
          <w:sz w:val="24"/>
          <w:highlight w:val="none"/>
        </w:rPr>
        <w:t>。</w:t>
      </w:r>
    </w:p>
    <w:p w14:paraId="22701D64">
      <w:pPr>
        <w:numPr>
          <w:ilvl w:val="0"/>
          <w:numId w:val="8"/>
        </w:numPr>
        <w:shd w:val="clear" w:color="auto" w:fill="auto"/>
        <w:tabs>
          <w:tab w:val="left" w:pos="1080"/>
          <w:tab w:val="left" w:pos="2014"/>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对竞争性磋商文件的澄清或修改</w:t>
      </w:r>
    </w:p>
    <w:p w14:paraId="2730E0BE">
      <w:pPr>
        <w:numPr>
          <w:ilvl w:val="1"/>
          <w:numId w:val="8"/>
        </w:numPr>
        <w:shd w:val="clear" w:color="auto" w:fill="auto"/>
        <w:tabs>
          <w:tab w:val="left" w:pos="1080"/>
          <w:tab w:val="left" w:pos="1561"/>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8BB73D2">
      <w:pPr>
        <w:numPr>
          <w:ilvl w:val="1"/>
          <w:numId w:val="8"/>
        </w:numPr>
        <w:shd w:val="clear" w:color="auto" w:fill="auto"/>
        <w:tabs>
          <w:tab w:val="left" w:pos="1080"/>
          <w:tab w:val="left" w:pos="1561"/>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上述书面通知，按照获取竞争性磋商文件的潜在供应商提供的联系方式发出，因提供的信息有误导致通知延迟或无法通知的，采购人或采购代理机构不承担责任。</w:t>
      </w:r>
    </w:p>
    <w:p w14:paraId="47CBF318">
      <w:pPr>
        <w:numPr>
          <w:ilvl w:val="1"/>
          <w:numId w:val="8"/>
        </w:numPr>
        <w:shd w:val="clear" w:color="auto" w:fill="auto"/>
        <w:tabs>
          <w:tab w:val="left" w:pos="1080"/>
          <w:tab w:val="left" w:pos="1561"/>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ascii="仿宋" w:hAnsi="仿宋" w:eastAsia="仿宋" w:cs="仿宋"/>
          <w:color w:val="auto"/>
          <w:kern w:val="0"/>
          <w:sz w:val="24"/>
          <w:highlight w:val="none"/>
        </w:rPr>
        <w:t>以书面形式通知所有获取磋商文件的供应商</w:t>
      </w:r>
      <w:r>
        <w:rPr>
          <w:rFonts w:hint="eastAsia" w:ascii="仿宋" w:hAnsi="仿宋" w:eastAsia="仿宋" w:cs="仿宋"/>
          <w:color w:val="auto"/>
          <w:sz w:val="24"/>
          <w:highlight w:val="none"/>
        </w:rPr>
        <w:t>；不足上述时间的，将顺延提交首次响应文件截止时间。</w:t>
      </w:r>
    </w:p>
    <w:p w14:paraId="74307DEA">
      <w:pPr>
        <w:shd w:val="clear" w:color="auto" w:fill="auto"/>
        <w:tabs>
          <w:tab w:val="left" w:pos="1080"/>
          <w:tab w:val="left" w:pos="1561"/>
        </w:tabs>
        <w:snapToGrid w:val="0"/>
        <w:spacing w:line="360" w:lineRule="auto"/>
        <w:ind w:left="1080"/>
        <w:rPr>
          <w:rFonts w:hint="eastAsia" w:ascii="仿宋" w:hAnsi="仿宋" w:eastAsia="仿宋" w:cs="仿宋"/>
          <w:color w:val="auto"/>
          <w:sz w:val="28"/>
          <w:highlight w:val="none"/>
        </w:rPr>
      </w:pPr>
      <w:bookmarkStart w:id="184" w:name="_Toc516367020"/>
      <w:bookmarkStart w:id="185" w:name="_Toc305158868"/>
      <w:bookmarkStart w:id="186" w:name="_Toc264969216"/>
      <w:bookmarkStart w:id="187" w:name="_Toc226965716"/>
      <w:bookmarkStart w:id="188" w:name="_Toc150509277"/>
      <w:bookmarkStart w:id="189" w:name="_Toc226965799"/>
      <w:bookmarkStart w:id="190" w:name="_Toc520356150"/>
      <w:bookmarkStart w:id="191" w:name="_Toc142311028"/>
      <w:bookmarkStart w:id="192" w:name="_Toc226309770"/>
      <w:bookmarkStart w:id="193" w:name="_Toc226337222"/>
      <w:bookmarkStart w:id="194" w:name="_Toc305158794"/>
      <w:bookmarkStart w:id="195" w:name="_Toc151193840"/>
      <w:bookmarkStart w:id="196" w:name="_Toc265228364"/>
      <w:bookmarkStart w:id="197" w:name="_Toc195842891"/>
      <w:bookmarkStart w:id="198" w:name="_Toc150480764"/>
      <w:bookmarkStart w:id="199" w:name="_Toc127151526"/>
      <w:bookmarkStart w:id="200" w:name="_Toc151193768"/>
      <w:bookmarkStart w:id="201" w:name="_Toc151193624"/>
      <w:bookmarkStart w:id="202" w:name="_Toc151193914"/>
      <w:bookmarkStart w:id="203" w:name="_Toc150774731"/>
      <w:bookmarkStart w:id="204" w:name="_Toc150774626"/>
      <w:bookmarkStart w:id="205" w:name="_Toc151193696"/>
      <w:bookmarkStart w:id="206" w:name="_Toc151190153"/>
    </w:p>
    <w:p w14:paraId="1B4D0C41">
      <w:pPr>
        <w:pStyle w:val="3"/>
        <w:shd w:val="clear" w:color="auto" w:fill="auto"/>
        <w:spacing w:before="0"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三响应文件</w:t>
      </w:r>
      <w:bookmarkEnd w:id="184"/>
      <w:r>
        <w:rPr>
          <w:rFonts w:hint="eastAsia" w:ascii="仿宋" w:hAnsi="仿宋" w:eastAsia="仿宋" w:cs="仿宋"/>
          <w:color w:val="auto"/>
          <w:sz w:val="28"/>
          <w:highlight w:val="none"/>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ED69110">
      <w:pPr>
        <w:numPr>
          <w:ilvl w:val="0"/>
          <w:numId w:val="8"/>
        </w:numPr>
        <w:shd w:val="clear" w:color="auto" w:fill="auto"/>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207" w:name="_Toc265228365"/>
      <w:bookmarkStart w:id="208" w:name="_Toc226965717"/>
      <w:bookmarkStart w:id="209" w:name="_Toc264969217"/>
      <w:bookmarkStart w:id="210" w:name="_Toc151193915"/>
      <w:bookmarkStart w:id="211" w:name="_Toc127151527"/>
      <w:bookmarkStart w:id="212" w:name="_Toc195842892"/>
      <w:bookmarkStart w:id="213" w:name="_Toc150774732"/>
      <w:bookmarkStart w:id="214" w:name="_Toc151193625"/>
      <w:bookmarkStart w:id="215" w:name="_Toc150774627"/>
      <w:bookmarkStart w:id="216" w:name="_Toc164229222"/>
      <w:bookmarkStart w:id="217" w:name="_Toc305158795"/>
      <w:bookmarkStart w:id="218" w:name="_Toc149720820"/>
      <w:bookmarkStart w:id="219" w:name="_Toc164229368"/>
      <w:bookmarkStart w:id="220" w:name="_Toc150509278"/>
      <w:bookmarkStart w:id="221" w:name="_Toc151193697"/>
      <w:bookmarkStart w:id="222" w:name="_Toc127151728"/>
      <w:bookmarkStart w:id="223" w:name="_Toc142311029"/>
      <w:bookmarkStart w:id="224" w:name="_Toc151193841"/>
      <w:bookmarkStart w:id="225" w:name="_Toc164608641"/>
      <w:bookmarkStart w:id="226" w:name="_Toc520356151"/>
      <w:bookmarkStart w:id="227" w:name="_Toc164608796"/>
      <w:bookmarkStart w:id="228" w:name="_Toc226965800"/>
      <w:bookmarkStart w:id="229" w:name="_Toc226337223"/>
      <w:bookmarkStart w:id="230" w:name="_Toc151193769"/>
      <w:bookmarkStart w:id="231" w:name="_Toc151190154"/>
      <w:bookmarkStart w:id="232" w:name="_Toc164351621"/>
      <w:bookmarkStart w:id="233" w:name="_Toc305158869"/>
      <w:bookmarkStart w:id="234" w:name="_Toc150480765"/>
      <w:bookmarkStart w:id="235" w:name="_Toc226309771"/>
      <w:bookmarkStart w:id="236" w:name="_Toc516367021"/>
      <w:bookmarkStart w:id="237" w:name="_Toc127161441"/>
      <w:r>
        <w:rPr>
          <w:rFonts w:hint="eastAsia" w:ascii="仿宋" w:hAnsi="仿宋" w:eastAsia="仿宋" w:cs="仿宋"/>
          <w:color w:val="auto"/>
          <w:sz w:val="24"/>
          <w:highlight w:val="none"/>
        </w:rPr>
        <w:t>响应范围、竞争性磋商文件中计量单位的使用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rFonts w:hint="eastAsia" w:ascii="仿宋" w:hAnsi="仿宋" w:eastAsia="仿宋" w:cs="仿宋"/>
          <w:color w:val="auto"/>
          <w:sz w:val="24"/>
          <w:highlight w:val="none"/>
        </w:rPr>
        <w:t>及磋商语言</w:t>
      </w:r>
    </w:p>
    <w:p w14:paraId="49204C57">
      <w:pPr>
        <w:numPr>
          <w:ilvl w:val="1"/>
          <w:numId w:val="8"/>
        </w:numPr>
        <w:shd w:val="clear" w:color="auto" w:fill="auto"/>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hint="eastAsia" w:ascii="仿宋" w:hAnsi="仿宋" w:eastAsia="仿宋" w:cs="仿宋"/>
          <w:b/>
          <w:color w:val="auto"/>
          <w:sz w:val="24"/>
          <w:highlight w:val="none"/>
        </w:rPr>
        <w:t>无效响应</w:t>
      </w:r>
      <w:r>
        <w:rPr>
          <w:rFonts w:hint="eastAsia" w:ascii="仿宋" w:hAnsi="仿宋" w:eastAsia="仿宋" w:cs="仿宋"/>
          <w:color w:val="auto"/>
          <w:sz w:val="24"/>
          <w:highlight w:val="none"/>
        </w:rPr>
        <w:t>。</w:t>
      </w:r>
    </w:p>
    <w:p w14:paraId="0907F644">
      <w:pPr>
        <w:numPr>
          <w:ilvl w:val="1"/>
          <w:numId w:val="8"/>
        </w:numPr>
        <w:shd w:val="clear" w:color="auto" w:fill="auto"/>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除竞争性磋商文件有特殊要求外，本项目磋商所使用的计量单位，应采用中华人民共和国法定计量单位。</w:t>
      </w:r>
    </w:p>
    <w:p w14:paraId="494E9B70">
      <w:pPr>
        <w:numPr>
          <w:ilvl w:val="1"/>
          <w:numId w:val="8"/>
        </w:numPr>
        <w:shd w:val="clear" w:color="auto" w:fill="auto"/>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7F98A9F">
      <w:pPr>
        <w:numPr>
          <w:ilvl w:val="0"/>
          <w:numId w:val="8"/>
        </w:numPr>
        <w:shd w:val="clear" w:color="auto" w:fill="auto"/>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238" w:name="_Ref467306195"/>
      <w:bookmarkStart w:id="239" w:name="_Toc516367022"/>
      <w:bookmarkStart w:id="240" w:name="_Ref467306676"/>
      <w:bookmarkStart w:id="241" w:name="_Toc151193626"/>
      <w:bookmarkStart w:id="242" w:name="_Toc149720821"/>
      <w:bookmarkStart w:id="243" w:name="_Toc226309772"/>
      <w:bookmarkStart w:id="244" w:name="_Toc127151729"/>
      <w:bookmarkStart w:id="245" w:name="_Toc151193770"/>
      <w:bookmarkStart w:id="246" w:name="_Toc142311030"/>
      <w:bookmarkStart w:id="247" w:name="_Toc164229369"/>
      <w:bookmarkStart w:id="248" w:name="_Toc151193698"/>
      <w:bookmarkStart w:id="249" w:name="_Toc164608797"/>
      <w:bookmarkStart w:id="250" w:name="_Toc127161442"/>
      <w:bookmarkStart w:id="251" w:name="_Toc264969218"/>
      <w:bookmarkStart w:id="252" w:name="_Toc305158796"/>
      <w:bookmarkStart w:id="253" w:name="_Toc150480766"/>
      <w:bookmarkStart w:id="254" w:name="_Toc164608642"/>
      <w:bookmarkStart w:id="255" w:name="_Toc164351622"/>
      <w:bookmarkStart w:id="256" w:name="_Toc226965801"/>
      <w:bookmarkStart w:id="257" w:name="_Toc127151528"/>
      <w:bookmarkStart w:id="258" w:name="_Toc151190155"/>
      <w:bookmarkStart w:id="259" w:name="_Toc150774628"/>
      <w:bookmarkStart w:id="260" w:name="_Toc151193842"/>
      <w:bookmarkStart w:id="261" w:name="_Toc150774733"/>
      <w:bookmarkStart w:id="262" w:name="_Toc164229223"/>
      <w:bookmarkStart w:id="263" w:name="_Toc226337224"/>
      <w:bookmarkStart w:id="264" w:name="_Toc195842893"/>
      <w:bookmarkStart w:id="265" w:name="_Toc305158870"/>
      <w:bookmarkStart w:id="266" w:name="_Toc150509279"/>
      <w:bookmarkStart w:id="267" w:name="_Toc265228366"/>
      <w:bookmarkStart w:id="268" w:name="_Toc151193916"/>
      <w:bookmarkStart w:id="269" w:name="_Toc226965718"/>
      <w:bookmarkStart w:id="270" w:name="_Toc520356152"/>
      <w:r>
        <w:rPr>
          <w:rFonts w:hint="eastAsia" w:ascii="仿宋" w:hAnsi="仿宋" w:eastAsia="仿宋" w:cs="仿宋"/>
          <w:color w:val="auto"/>
          <w:sz w:val="24"/>
          <w:highlight w:val="none"/>
        </w:rPr>
        <w:t>响应文件</w:t>
      </w:r>
      <w:bookmarkEnd w:id="238"/>
      <w:bookmarkEnd w:id="239"/>
      <w:bookmarkEnd w:id="240"/>
      <w:r>
        <w:rPr>
          <w:rFonts w:hint="eastAsia" w:ascii="仿宋" w:hAnsi="仿宋" w:eastAsia="仿宋" w:cs="仿宋"/>
          <w:color w:val="auto"/>
          <w:sz w:val="24"/>
          <w:highlight w:val="none"/>
        </w:rPr>
        <w:t>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13B9F18B">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bookmarkStart w:id="271" w:name="_Ref467052588"/>
      <w:r>
        <w:rPr>
          <w:rFonts w:hint="eastAsia" w:ascii="仿宋" w:hAnsi="仿宋" w:eastAsia="仿宋" w:cs="仿宋"/>
          <w:color w:val="auto"/>
          <w:sz w:val="24"/>
          <w:highlight w:val="none"/>
        </w:rPr>
        <w:t>供应商应当按照竞争性磋商文件的要求编制响应文件，</w:t>
      </w:r>
      <w:r>
        <w:rPr>
          <w:rFonts w:hint="eastAsia" w:ascii="仿宋" w:hAnsi="仿宋" w:eastAsia="仿宋" w:cs="仿宋"/>
          <w:color w:val="auto"/>
          <w:kern w:val="0"/>
          <w:sz w:val="24"/>
          <w:highlight w:val="none"/>
        </w:rPr>
        <w:t>并对其提交的响应文件的真实性、合法性承担法律责任</w:t>
      </w:r>
      <w:r>
        <w:rPr>
          <w:rFonts w:hint="eastAsia" w:ascii="仿宋" w:hAnsi="仿宋" w:eastAsia="仿宋" w:cs="仿宋"/>
          <w:color w:val="auto"/>
          <w:sz w:val="24"/>
          <w:highlight w:val="none"/>
        </w:rPr>
        <w:t>。响应文件的部分格式要求，见第六章《响应文件格式》。</w:t>
      </w:r>
    </w:p>
    <w:p w14:paraId="6594320D">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rPr>
        <w:t>对于竞争性磋商文件中标记了“实质性格式”文件的，</w:t>
      </w:r>
      <w:r>
        <w:rPr>
          <w:rFonts w:hint="eastAsia" w:ascii="仿宋" w:hAnsi="仿宋" w:eastAsia="仿宋" w:cs="仿宋"/>
          <w:b/>
          <w:bCs/>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b/>
          <w:bCs/>
          <w:color w:val="auto"/>
          <w:kern w:val="0"/>
          <w:sz w:val="24"/>
          <w:highlight w:val="none"/>
        </w:rPr>
        <w:t>否则响应无效。未标记“实质性格式”的文件和竞争性磋商文件未提供格式的内容，可由供应商自行编写。</w:t>
      </w:r>
    </w:p>
    <w:p w14:paraId="03B19150">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第三章《评审方法和评审标准》中涉及的证明文件。</w:t>
      </w:r>
    </w:p>
    <w:p w14:paraId="1745D6C4">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11C8687">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供应商认为应附的其他材料。</w:t>
      </w:r>
      <w:bookmarkEnd w:id="271"/>
    </w:p>
    <w:p w14:paraId="290FC9C5">
      <w:pPr>
        <w:numPr>
          <w:ilvl w:val="0"/>
          <w:numId w:val="8"/>
        </w:numPr>
        <w:shd w:val="clear" w:color="auto" w:fill="auto"/>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272" w:name="_Toc520356155"/>
      <w:bookmarkStart w:id="273" w:name="_Toc150774735"/>
      <w:bookmarkStart w:id="274" w:name="_Toc151193700"/>
      <w:bookmarkStart w:id="275" w:name="_Toc127151530"/>
      <w:bookmarkStart w:id="276" w:name="_Toc127151731"/>
      <w:bookmarkStart w:id="277" w:name="_Toc151193628"/>
      <w:bookmarkStart w:id="278" w:name="_Toc142311032"/>
      <w:bookmarkStart w:id="279" w:name="_Toc151193918"/>
      <w:bookmarkStart w:id="280" w:name="_Toc151190157"/>
      <w:bookmarkStart w:id="281" w:name="_Toc195842895"/>
      <w:bookmarkStart w:id="282" w:name="_Toc164229371"/>
      <w:bookmarkStart w:id="283" w:name="_Toc164608799"/>
      <w:bookmarkStart w:id="284" w:name="_Toc151193772"/>
      <w:bookmarkStart w:id="285" w:name="_Toc164351624"/>
      <w:bookmarkStart w:id="286" w:name="_Toc164608644"/>
      <w:bookmarkStart w:id="287" w:name="_Toc150774630"/>
      <w:bookmarkStart w:id="288" w:name="_Toc127161444"/>
      <w:bookmarkStart w:id="289" w:name="_Toc150480768"/>
      <w:bookmarkStart w:id="290" w:name="_Toc150509281"/>
      <w:bookmarkStart w:id="291" w:name="_Toc151193844"/>
      <w:bookmarkStart w:id="292" w:name="_Toc149720823"/>
      <w:bookmarkStart w:id="293" w:name="_Toc164229225"/>
      <w:r>
        <w:rPr>
          <w:rFonts w:hint="eastAsia" w:ascii="仿宋" w:hAnsi="仿宋" w:eastAsia="仿宋" w:cs="仿宋"/>
          <w:color w:val="auto"/>
          <w:sz w:val="24"/>
          <w:highlight w:val="none"/>
        </w:rPr>
        <w:t>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3CE4901B">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所有响应均以人民币为计价货币。</w:t>
      </w:r>
    </w:p>
    <w:p w14:paraId="080EF234">
      <w:pPr>
        <w:numPr>
          <w:ilvl w:val="1"/>
          <w:numId w:val="8"/>
        </w:numPr>
        <w:shd w:val="clear" w:color="auto" w:fill="auto"/>
        <w:tabs>
          <w:tab w:val="left" w:pos="1080"/>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供应商的报价应包括为完成本项目所发生的一切费用和税费，采购人将不再</w:t>
      </w:r>
    </w:p>
    <w:p w14:paraId="4890C3FC">
      <w:pPr>
        <w:numPr>
          <w:ilvl w:val="0"/>
          <w:numId w:val="0"/>
        </w:numPr>
        <w:shd w:val="clear" w:color="auto" w:fill="auto"/>
        <w:tabs>
          <w:tab w:val="left" w:pos="1080"/>
        </w:tabs>
        <w:snapToGrid w:val="0"/>
        <w:spacing w:line="360" w:lineRule="auto"/>
        <w:ind w:left="1046" w:leftChars="498"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支付报价以外的任何费用。供应商的报价应包括但不限于下列内容，《供应商须知资料表》中有特殊规定的，从其规定。</w:t>
      </w:r>
    </w:p>
    <w:p w14:paraId="3ADB2037">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0452CC4">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按照竞争性磋商文件要求完成本项目的全部相关费用。</w:t>
      </w:r>
    </w:p>
    <w:p w14:paraId="2B649791">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采购人不得向供应商索要或者接受其给予的赠品、回扣或者与采购无关的其他商品、服务。</w:t>
      </w:r>
    </w:p>
    <w:p w14:paraId="40EB3C97">
      <w:pPr>
        <w:numPr>
          <w:ilvl w:val="1"/>
          <w:numId w:val="8"/>
        </w:numPr>
        <w:shd w:val="clear" w:color="auto" w:fill="auto"/>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供应商不能提供任何有选择性或可调整的最后报价（</w:t>
      </w:r>
      <w:r>
        <w:rPr>
          <w:rFonts w:hint="eastAsia" w:ascii="仿宋" w:hAnsi="仿宋" w:eastAsia="仿宋" w:cs="仿宋"/>
          <w:color w:val="auto"/>
          <w:kern w:val="0"/>
          <w:sz w:val="24"/>
          <w:highlight w:val="none"/>
        </w:rPr>
        <w:t>竞争性磋商文件</w:t>
      </w:r>
      <w:r>
        <w:rPr>
          <w:rFonts w:hint="eastAsia" w:ascii="仿宋" w:hAnsi="仿宋" w:eastAsia="仿宋" w:cs="仿宋"/>
          <w:color w:val="auto"/>
          <w:sz w:val="24"/>
          <w:highlight w:val="none"/>
        </w:rPr>
        <w:t>另有规定的除外），否则其</w:t>
      </w:r>
      <w:r>
        <w:rPr>
          <w:rFonts w:hint="eastAsia" w:ascii="仿宋" w:hAnsi="仿宋" w:eastAsia="仿宋" w:cs="仿宋"/>
          <w:b/>
          <w:color w:val="auto"/>
          <w:sz w:val="24"/>
          <w:highlight w:val="none"/>
        </w:rPr>
        <w:t>响应无效</w:t>
      </w:r>
      <w:r>
        <w:rPr>
          <w:rFonts w:hint="eastAsia" w:ascii="仿宋" w:hAnsi="仿宋" w:eastAsia="仿宋" w:cs="仿宋"/>
          <w:color w:val="auto"/>
          <w:sz w:val="24"/>
          <w:highlight w:val="none"/>
        </w:rPr>
        <w:t>。</w:t>
      </w:r>
    </w:p>
    <w:p w14:paraId="6C084B9B">
      <w:pPr>
        <w:numPr>
          <w:ilvl w:val="0"/>
          <w:numId w:val="8"/>
        </w:numPr>
        <w:shd w:val="clear" w:color="auto" w:fill="auto"/>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w:t>
      </w:r>
    </w:p>
    <w:p w14:paraId="02E97FB3">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bookmarkStart w:id="294" w:name="_Ref467306302"/>
      <w:r>
        <w:rPr>
          <w:rFonts w:hint="eastAsia" w:ascii="仿宋" w:hAnsi="仿宋" w:eastAsia="仿宋" w:cs="仿宋"/>
          <w:color w:val="auto"/>
          <w:sz w:val="24"/>
          <w:highlight w:val="none"/>
        </w:rPr>
        <w:t>供应商应按《供应商须知资料表》中规定的金额及要求交纳磋商保证金</w:t>
      </w:r>
      <w:bookmarkEnd w:id="294"/>
      <w:r>
        <w:rPr>
          <w:rFonts w:hint="eastAsia" w:ascii="仿宋" w:hAnsi="仿宋" w:eastAsia="仿宋" w:cs="仿宋"/>
          <w:color w:val="auto"/>
          <w:sz w:val="24"/>
          <w:highlight w:val="none"/>
        </w:rPr>
        <w:t>。供应商自愿超额缴纳磋商保证金的，响应文件不做无效处理。</w:t>
      </w:r>
    </w:p>
    <w:p w14:paraId="4A435DDF">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交纳磋商保证金可采用的形式：政府采购法律法规接受的支票、汇票、本票、网上银行支付或者金融机构、担保机构出具的保函等非现金形式。</w:t>
      </w:r>
    </w:p>
    <w:p w14:paraId="23C656F2">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w:t>
      </w:r>
      <w:r>
        <w:rPr>
          <w:rFonts w:hint="eastAsia" w:ascii="仿宋" w:hAnsi="仿宋" w:eastAsia="仿宋" w:cs="仿宋"/>
          <w:b/>
          <w:color w:val="auto"/>
          <w:sz w:val="24"/>
          <w:highlight w:val="none"/>
        </w:rPr>
        <w:t>响应无效</w:t>
      </w:r>
      <w:r>
        <w:rPr>
          <w:rFonts w:hint="eastAsia" w:ascii="仿宋" w:hAnsi="仿宋" w:eastAsia="仿宋" w:cs="仿宋"/>
          <w:color w:val="auto"/>
          <w:sz w:val="24"/>
          <w:highlight w:val="none"/>
        </w:rPr>
        <w:t>。</w:t>
      </w:r>
    </w:p>
    <w:p w14:paraId="45272ED9">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bookmarkStart w:id="295" w:name="_Hlk168432698"/>
      <w:r>
        <w:rPr>
          <w:rFonts w:hint="eastAsia" w:ascii="仿宋" w:hAnsi="仿宋" w:eastAsia="仿宋" w:cs="仿宋"/>
          <w:color w:val="auto"/>
          <w:sz w:val="24"/>
          <w:highlight w:val="none"/>
        </w:rPr>
        <w:t>供应商需在响</w:t>
      </w:r>
      <w:r>
        <w:rPr>
          <w:rFonts w:hint="eastAsia" w:ascii="仿宋" w:hAnsi="仿宋" w:eastAsia="仿宋" w:cs="仿宋"/>
          <w:color w:val="auto"/>
          <w:sz w:val="24"/>
          <w:szCs w:val="20"/>
          <w:highlight w:val="none"/>
        </w:rPr>
        <w:t>应文件中提供“磋商保证金凭证/交款单据</w:t>
      </w:r>
      <w:r>
        <w:rPr>
          <w:rFonts w:hint="eastAsia" w:ascii="仿宋" w:hAnsi="仿宋" w:eastAsia="仿宋" w:cs="仿宋"/>
          <w:color w:val="auto"/>
          <w:sz w:val="24"/>
          <w:szCs w:val="20"/>
          <w:highlight w:val="none"/>
          <w:lang w:val="en-US" w:eastAsia="zh-CN"/>
        </w:rPr>
        <w:t>电子件</w:t>
      </w:r>
      <w:r>
        <w:rPr>
          <w:rFonts w:hint="eastAsia" w:ascii="仿宋" w:hAnsi="仿宋" w:eastAsia="仿宋" w:cs="仿宋"/>
          <w:color w:val="auto"/>
          <w:sz w:val="24"/>
          <w:szCs w:val="20"/>
          <w:highlight w:val="none"/>
        </w:rPr>
        <w:t>”，还需在首次响应文件提交截止时间前</w:t>
      </w:r>
      <w:r>
        <w:rPr>
          <w:rFonts w:hint="eastAsia" w:ascii="仿宋" w:hAnsi="仿宋" w:eastAsia="仿宋" w:cs="仿宋"/>
          <w:color w:val="auto"/>
          <w:sz w:val="24"/>
          <w:szCs w:val="20"/>
          <w:highlight w:val="none"/>
          <w:lang w:eastAsia="zh-CN"/>
        </w:rPr>
        <w:t>，通过电子交易平台上传“磋商保证金凭证/交款单据电子件”</w:t>
      </w:r>
      <w:r>
        <w:rPr>
          <w:rFonts w:hint="eastAsia" w:ascii="仿宋" w:hAnsi="仿宋" w:eastAsia="仿宋" w:cs="仿宋"/>
          <w:color w:val="auto"/>
          <w:sz w:val="24"/>
          <w:szCs w:val="20"/>
          <w:highlight w:val="none"/>
        </w:rPr>
        <w:t>。</w:t>
      </w:r>
    </w:p>
    <w:bookmarkEnd w:id="295"/>
    <w:p w14:paraId="28B740CC">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磋商保证金有效期同响应有效期。</w:t>
      </w:r>
    </w:p>
    <w:p w14:paraId="69C3615F">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供应商为联合体的，可以由联合体中的一方或者多方共同交纳磋商保证金，其交纳的保证金对联合体各方均具有约束力。</w:t>
      </w:r>
    </w:p>
    <w:p w14:paraId="67B5F947">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5AD79AF">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rPr>
        <w:t>已提交响应文件的供应商，在提交最后报价之前，可以根据磋商情况退出磋商。采购人、采购代理机构将退还退出磋商的供应商的磋商保证金；</w:t>
      </w:r>
    </w:p>
    <w:p w14:paraId="13F05D4E">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成交供应商的磋商保证金，在采购合同签订后5个工作日内退还成交供应商；</w:t>
      </w:r>
    </w:p>
    <w:p w14:paraId="23BE32E6">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未成交供应商的磋商保证金，在成交通知书发出后5个工作日内退还。</w:t>
      </w:r>
    </w:p>
    <w:p w14:paraId="17CDBE49">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有下列情形之一的，采购人或采购代理机构不予退还磋商保证金：</w:t>
      </w:r>
    </w:p>
    <w:p w14:paraId="3FA5FBDE">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供应商在响应文件提交截止时间后撤回响应文件的；</w:t>
      </w:r>
    </w:p>
    <w:p w14:paraId="724C44E9">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供应商在响应文件中提供虚假材料的；</w:t>
      </w:r>
    </w:p>
    <w:p w14:paraId="14140F5D">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除因不可抗力或磋商文件认可的情形以外，成交供应商不与采购人签订合同的；</w:t>
      </w:r>
    </w:p>
    <w:p w14:paraId="7EF96074">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供应商与采购人、其他供应商或者采购代理机构恶意串通的；</w:t>
      </w:r>
    </w:p>
    <w:p w14:paraId="7D63B9C9">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《供应商须知资料表》规定的其他情形。</w:t>
      </w:r>
    </w:p>
    <w:p w14:paraId="59F6504B">
      <w:pPr>
        <w:numPr>
          <w:ilvl w:val="0"/>
          <w:numId w:val="8"/>
        </w:numPr>
        <w:shd w:val="clear" w:color="auto" w:fill="auto"/>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响应有效期</w:t>
      </w:r>
    </w:p>
    <w:p w14:paraId="6A329697">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响应文件应在本竞争性磋商文件《供应商须知资料表》中规定的响应有效期内保持有效，响应有效期少于竞争性磋商文件规定期限的，其</w:t>
      </w:r>
      <w:r>
        <w:rPr>
          <w:rFonts w:hint="eastAsia" w:ascii="仿宋" w:hAnsi="仿宋" w:eastAsia="仿宋" w:cs="仿宋"/>
          <w:b/>
          <w:color w:val="auto"/>
          <w:sz w:val="24"/>
          <w:highlight w:val="none"/>
        </w:rPr>
        <w:t>响应无效</w:t>
      </w:r>
      <w:r>
        <w:rPr>
          <w:rFonts w:hint="eastAsia" w:ascii="仿宋" w:hAnsi="仿宋" w:eastAsia="仿宋" w:cs="仿宋"/>
          <w:color w:val="auto"/>
          <w:sz w:val="24"/>
          <w:highlight w:val="none"/>
        </w:rPr>
        <w:t>。</w:t>
      </w:r>
    </w:p>
    <w:p w14:paraId="435CB56D">
      <w:pPr>
        <w:numPr>
          <w:ilvl w:val="0"/>
          <w:numId w:val="8"/>
        </w:numPr>
        <w:shd w:val="clear" w:color="auto" w:fill="auto"/>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296" w:name="_Toc151193631"/>
      <w:bookmarkStart w:id="297" w:name="_Toc149720826"/>
      <w:bookmarkStart w:id="298" w:name="_Toc150774738"/>
      <w:bookmarkStart w:id="299" w:name="_Toc226309777"/>
      <w:bookmarkStart w:id="300" w:name="_Toc164351627"/>
      <w:bookmarkStart w:id="301" w:name="_Toc150480771"/>
      <w:bookmarkStart w:id="302" w:name="_Toc127161447"/>
      <w:bookmarkStart w:id="303" w:name="_Toc264969223"/>
      <w:bookmarkStart w:id="304" w:name="_Toc520356158"/>
      <w:bookmarkStart w:id="305" w:name="_Toc150774633"/>
      <w:bookmarkStart w:id="306" w:name="_Toc164608802"/>
      <w:bookmarkStart w:id="307" w:name="_Toc151193703"/>
      <w:bookmarkStart w:id="308" w:name="_Toc127151533"/>
      <w:bookmarkStart w:id="309" w:name="_Toc164229228"/>
      <w:bookmarkStart w:id="310" w:name="_Toc305158801"/>
      <w:bookmarkStart w:id="311" w:name="_Toc164229374"/>
      <w:bookmarkStart w:id="312" w:name="_Toc151193921"/>
      <w:bookmarkStart w:id="313" w:name="_Toc151190160"/>
      <w:bookmarkStart w:id="314" w:name="_Toc226965723"/>
      <w:bookmarkStart w:id="315" w:name="_Toc195842898"/>
      <w:bookmarkStart w:id="316" w:name="_Toc265228371"/>
      <w:bookmarkStart w:id="317" w:name="_Toc127151734"/>
      <w:bookmarkStart w:id="318" w:name="_Toc142311035"/>
      <w:bookmarkStart w:id="319" w:name="_Toc151193847"/>
      <w:bookmarkStart w:id="320" w:name="_Toc164608647"/>
      <w:bookmarkStart w:id="321" w:name="_Toc305158875"/>
      <w:bookmarkStart w:id="322" w:name="_Toc150509284"/>
      <w:bookmarkStart w:id="323" w:name="_Toc151193775"/>
      <w:bookmarkStart w:id="324" w:name="_Toc226337229"/>
      <w:bookmarkStart w:id="325" w:name="_Toc226965806"/>
      <w:r>
        <w:rPr>
          <w:rFonts w:hint="eastAsia" w:ascii="仿宋" w:hAnsi="仿宋" w:eastAsia="仿宋" w:cs="仿宋"/>
          <w:color w:val="auto"/>
          <w:sz w:val="24"/>
          <w:highlight w:val="none"/>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rFonts w:hint="eastAsia" w:ascii="仿宋" w:hAnsi="仿宋" w:eastAsia="仿宋" w:cs="仿宋"/>
          <w:color w:val="auto"/>
          <w:sz w:val="24"/>
          <w:highlight w:val="none"/>
        </w:rPr>
        <w:t>、盖章</w:t>
      </w:r>
    </w:p>
    <w:p w14:paraId="24F25A62">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bookmarkStart w:id="326" w:name="_Toc195842899"/>
      <w:bookmarkStart w:id="327" w:name="_Toc264969224"/>
      <w:bookmarkStart w:id="328" w:name="_Toc226965807"/>
      <w:bookmarkStart w:id="329" w:name="_Toc151193632"/>
      <w:bookmarkStart w:id="330" w:name="_Toc151190161"/>
      <w:bookmarkStart w:id="331" w:name="_Toc226309778"/>
      <w:bookmarkStart w:id="332" w:name="_Toc305158876"/>
      <w:bookmarkStart w:id="333" w:name="_Toc150509285"/>
      <w:bookmarkStart w:id="334" w:name="_Toc151193704"/>
      <w:bookmarkStart w:id="335" w:name="_Toc150774634"/>
      <w:bookmarkStart w:id="336" w:name="_Toc142311036"/>
      <w:bookmarkStart w:id="337" w:name="_Toc150774739"/>
      <w:bookmarkStart w:id="338" w:name="_Toc151193848"/>
      <w:bookmarkStart w:id="339" w:name="_Toc305158802"/>
      <w:bookmarkStart w:id="340" w:name="_Toc226965724"/>
      <w:bookmarkStart w:id="341" w:name="_Toc150480772"/>
      <w:bookmarkStart w:id="342" w:name="_Toc265228372"/>
      <w:bookmarkStart w:id="343" w:name="_Toc151193776"/>
      <w:bookmarkStart w:id="344" w:name="_Toc151193922"/>
      <w:bookmarkStart w:id="345" w:name="_Toc520356159"/>
      <w:bookmarkStart w:id="346" w:name="_Toc226337230"/>
      <w:bookmarkStart w:id="347" w:name="_Toc127151534"/>
      <w:r>
        <w:rPr>
          <w:rFonts w:hint="eastAsia" w:ascii="仿宋" w:hAnsi="仿宋" w:eastAsia="仿宋" w:cs="仿宋"/>
          <w:color w:val="auto"/>
          <w:sz w:val="24"/>
          <w:highlight w:val="none"/>
        </w:rPr>
        <w:t>竞争性磋商文件要求签字的内容（如授权委托书等），</w:t>
      </w:r>
      <w:r>
        <w:rPr>
          <w:rFonts w:hint="eastAsia" w:ascii="仿宋" w:hAnsi="仿宋" w:eastAsia="仿宋" w:cs="仿宋"/>
          <w:color w:val="auto"/>
          <w:sz w:val="24"/>
          <w:highlight w:val="none"/>
          <w:lang w:eastAsia="zh-CN"/>
        </w:rPr>
        <w:t>可以使用电子签章或使用原件的电子件（电子件指扫描件、照片等形式电子文件）；要求第三方出具的盖章件原件（如联合协议、分包意向协议、制造商授权书等），响应文件中应使用原件的电子件</w:t>
      </w:r>
      <w:r>
        <w:rPr>
          <w:rFonts w:hint="eastAsia" w:ascii="仿宋" w:hAnsi="仿宋" w:eastAsia="仿宋" w:cs="仿宋"/>
          <w:color w:val="auto"/>
          <w:sz w:val="24"/>
          <w:highlight w:val="none"/>
        </w:rPr>
        <w:t>。</w:t>
      </w:r>
    </w:p>
    <w:p w14:paraId="23234A8D">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竞争性磋商文件要求盖章的内容，</w:t>
      </w:r>
      <w:r>
        <w:rPr>
          <w:rFonts w:hint="eastAsia" w:ascii="仿宋" w:hAnsi="仿宋" w:eastAsia="仿宋" w:cs="仿宋"/>
          <w:color w:val="auto"/>
          <w:sz w:val="24"/>
          <w:highlight w:val="none"/>
          <w:lang w:val="en-US" w:eastAsia="zh-CN"/>
        </w:rPr>
        <w:t>一般通过投标文件编制工具加盖电子签章</w:t>
      </w:r>
      <w:r>
        <w:rPr>
          <w:rFonts w:hint="eastAsia" w:ascii="仿宋" w:hAnsi="仿宋" w:eastAsia="仿宋" w:cs="仿宋"/>
          <w:color w:val="auto"/>
          <w:sz w:val="24"/>
          <w:highlight w:val="none"/>
        </w:rPr>
        <w:t>。</w:t>
      </w:r>
    </w:p>
    <w:p w14:paraId="3B28A316">
      <w:pPr>
        <w:shd w:val="clear" w:color="auto" w:fill="auto"/>
        <w:tabs>
          <w:tab w:val="left" w:pos="900"/>
          <w:tab w:val="left" w:pos="1080"/>
        </w:tabs>
        <w:snapToGrid w:val="0"/>
        <w:spacing w:line="360" w:lineRule="auto"/>
        <w:ind w:left="357"/>
        <w:rPr>
          <w:rFonts w:hint="eastAsia" w:ascii="仿宋" w:hAnsi="仿宋" w:eastAsia="仿宋" w:cs="仿宋"/>
          <w:color w:val="auto"/>
          <w:highlight w:val="none"/>
        </w:rPr>
      </w:pPr>
    </w:p>
    <w:p w14:paraId="44ECB52F">
      <w:pPr>
        <w:pStyle w:val="3"/>
        <w:shd w:val="clear" w:color="auto" w:fill="auto"/>
        <w:spacing w:before="0"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四响应文件的提交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71A597FE">
      <w:pPr>
        <w:numPr>
          <w:ilvl w:val="0"/>
          <w:numId w:val="8"/>
        </w:numPr>
        <w:shd w:val="clear" w:color="auto" w:fill="auto"/>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348" w:name="_Toc151193923"/>
      <w:bookmarkStart w:id="349" w:name="_Toc164608649"/>
      <w:bookmarkStart w:id="350" w:name="_Toc151190162"/>
      <w:bookmarkStart w:id="351" w:name="_Toc151193777"/>
      <w:bookmarkStart w:id="352" w:name="_Toc151193705"/>
      <w:bookmarkStart w:id="353" w:name="_Toc142311037"/>
      <w:bookmarkStart w:id="354" w:name="_Toc226965725"/>
      <w:bookmarkStart w:id="355" w:name="_Toc164229230"/>
      <w:bookmarkStart w:id="356" w:name="_Toc195842900"/>
      <w:bookmarkStart w:id="357" w:name="_Toc226965808"/>
      <w:bookmarkStart w:id="358" w:name="_Toc149720828"/>
      <w:bookmarkStart w:id="359" w:name="_Toc151193633"/>
      <w:bookmarkStart w:id="360" w:name="_Toc305158877"/>
      <w:bookmarkStart w:id="361" w:name="_Toc150480773"/>
      <w:bookmarkStart w:id="362" w:name="_Toc226309779"/>
      <w:bookmarkStart w:id="363" w:name="_Toc127151535"/>
      <w:bookmarkStart w:id="364" w:name="_Toc150774740"/>
      <w:bookmarkStart w:id="365" w:name="_Toc264969225"/>
      <w:bookmarkStart w:id="366" w:name="_Toc164351629"/>
      <w:bookmarkStart w:id="367" w:name="_Toc305158803"/>
      <w:bookmarkStart w:id="368" w:name="_Toc520356160"/>
      <w:bookmarkStart w:id="369" w:name="_Toc164608804"/>
      <w:bookmarkStart w:id="370" w:name="_Toc226337231"/>
      <w:bookmarkStart w:id="371" w:name="_Toc265228373"/>
      <w:bookmarkStart w:id="372" w:name="_Toc151193849"/>
      <w:bookmarkStart w:id="373" w:name="_Toc164229376"/>
      <w:bookmarkStart w:id="374" w:name="_Toc150509286"/>
      <w:bookmarkStart w:id="375" w:name="_Toc127151736"/>
      <w:bookmarkStart w:id="376" w:name="_Toc127161449"/>
      <w:bookmarkStart w:id="377" w:name="_Toc150774635"/>
      <w:r>
        <w:rPr>
          <w:rFonts w:hint="eastAsia" w:ascii="仿宋" w:hAnsi="仿宋" w:eastAsia="仿宋" w:cs="仿宋"/>
          <w:color w:val="auto"/>
          <w:sz w:val="24"/>
          <w:highlight w:val="none"/>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ascii="仿宋" w:hAnsi="仿宋" w:eastAsia="仿宋" w:cs="仿宋"/>
          <w:color w:val="auto"/>
          <w:sz w:val="24"/>
          <w:highlight w:val="none"/>
        </w:rPr>
        <w:t>提交</w:t>
      </w:r>
    </w:p>
    <w:p w14:paraId="53FE8D55">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bookmarkStart w:id="378" w:name="_Toc305158804"/>
      <w:bookmarkStart w:id="379" w:name="_Toc164608650"/>
      <w:bookmarkStart w:id="380" w:name="_Toc164608805"/>
      <w:bookmarkStart w:id="381" w:name="_Toc150509287"/>
      <w:bookmarkStart w:id="382" w:name="_Toc150480774"/>
      <w:bookmarkStart w:id="383" w:name="_Toc226965809"/>
      <w:bookmarkStart w:id="384" w:name="_Toc264969226"/>
      <w:bookmarkStart w:id="385" w:name="_Toc151190163"/>
      <w:bookmarkStart w:id="386" w:name="_Toc226309780"/>
      <w:bookmarkStart w:id="387" w:name="_Toc164229231"/>
      <w:bookmarkStart w:id="388" w:name="_Toc150774636"/>
      <w:bookmarkStart w:id="389" w:name="_Toc265228374"/>
      <w:bookmarkStart w:id="390" w:name="_Toc151193924"/>
      <w:bookmarkStart w:id="391" w:name="_Toc151193634"/>
      <w:bookmarkStart w:id="392" w:name="_Toc127151737"/>
      <w:bookmarkStart w:id="393" w:name="_Toc142311038"/>
      <w:bookmarkStart w:id="394" w:name="_Toc226337232"/>
      <w:bookmarkStart w:id="395" w:name="_Toc164351630"/>
      <w:bookmarkStart w:id="396" w:name="_Toc226965726"/>
      <w:bookmarkStart w:id="397" w:name="_Toc195842901"/>
      <w:bookmarkStart w:id="398" w:name="_Toc151193778"/>
      <w:bookmarkStart w:id="399" w:name="_Toc305158878"/>
      <w:bookmarkStart w:id="400" w:name="_Toc127161450"/>
      <w:bookmarkStart w:id="401" w:name="_Toc150774741"/>
      <w:bookmarkStart w:id="402" w:name="_Toc164229377"/>
      <w:bookmarkStart w:id="403" w:name="_Toc151193850"/>
      <w:bookmarkStart w:id="404" w:name="_Toc520356161"/>
      <w:bookmarkStart w:id="405" w:name="_Toc151193706"/>
      <w:bookmarkStart w:id="406" w:name="_Toc149720829"/>
      <w:bookmarkStart w:id="407" w:name="_Toc127151536"/>
      <w:r>
        <w:rPr>
          <w:rFonts w:hint="eastAsia" w:ascii="仿宋" w:hAnsi="仿宋" w:eastAsia="仿宋" w:cs="仿宋"/>
          <w:color w:val="auto"/>
          <w:sz w:val="24"/>
          <w:highlight w:val="none"/>
        </w:rPr>
        <w:t>本项目使用北京市政府采购电子交易平台。供应商根据竞争性磋商文件及电子交易平台供应商操作手册要求编制、生成并提交电子响应文件。</w:t>
      </w:r>
    </w:p>
    <w:p w14:paraId="0A5A62AB">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采购人及采购代理机构拒绝接受通过电子交易平台以外任何形式提交的首次响应文件，磋商保证金除外。</w:t>
      </w:r>
    </w:p>
    <w:p w14:paraId="79D51412">
      <w:pPr>
        <w:numPr>
          <w:ilvl w:val="0"/>
          <w:numId w:val="8"/>
        </w:numPr>
        <w:shd w:val="clear" w:color="auto" w:fill="auto"/>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响应文件提交截止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hint="eastAsia" w:ascii="仿宋" w:hAnsi="仿宋" w:eastAsia="仿宋" w:cs="仿宋"/>
          <w:color w:val="auto"/>
          <w:sz w:val="24"/>
          <w:highlight w:val="none"/>
        </w:rPr>
        <w:t>时间</w:t>
      </w:r>
    </w:p>
    <w:p w14:paraId="37EEDC29">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供应商应在竞争性磋商文件要求提交响应文件截止时间前，将电子响应文件提交至电子交易平台。</w:t>
      </w:r>
    </w:p>
    <w:p w14:paraId="085B10A9">
      <w:pPr>
        <w:numPr>
          <w:ilvl w:val="0"/>
          <w:numId w:val="8"/>
        </w:numPr>
        <w:shd w:val="clear" w:color="auto" w:fill="auto"/>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408" w:name="_Toc127161451"/>
      <w:bookmarkStart w:id="409" w:name="_Toc150774742"/>
      <w:bookmarkStart w:id="410" w:name="_Toc520356162"/>
      <w:bookmarkStart w:id="411" w:name="_Toc164608806"/>
      <w:bookmarkStart w:id="412" w:name="_Toc127151738"/>
      <w:bookmarkStart w:id="413" w:name="_Toc142311039"/>
      <w:bookmarkStart w:id="414" w:name="_Toc151193707"/>
      <w:bookmarkStart w:id="415" w:name="_Toc150480775"/>
      <w:bookmarkStart w:id="416" w:name="_Toc264969227"/>
      <w:bookmarkStart w:id="417" w:name="_Toc150774637"/>
      <w:bookmarkStart w:id="418" w:name="_Toc151193779"/>
      <w:bookmarkStart w:id="419" w:name="_Toc164229378"/>
      <w:bookmarkStart w:id="420" w:name="_Toc164608651"/>
      <w:bookmarkStart w:id="421" w:name="_Toc226965810"/>
      <w:bookmarkStart w:id="422" w:name="_Toc164229232"/>
      <w:bookmarkStart w:id="423" w:name="_Toc127151537"/>
      <w:bookmarkStart w:id="424" w:name="_Toc305158879"/>
      <w:bookmarkStart w:id="425" w:name="_Toc265228375"/>
      <w:bookmarkStart w:id="426" w:name="_Toc149720830"/>
      <w:bookmarkStart w:id="427" w:name="_Toc150509288"/>
      <w:bookmarkStart w:id="428" w:name="_Toc151193925"/>
      <w:bookmarkStart w:id="429" w:name="_Toc164351631"/>
      <w:bookmarkStart w:id="430" w:name="_Toc226965727"/>
      <w:bookmarkStart w:id="431" w:name="_Toc195842902"/>
      <w:bookmarkStart w:id="432" w:name="_Toc151193635"/>
      <w:bookmarkStart w:id="433" w:name="_Toc226337233"/>
      <w:bookmarkStart w:id="434" w:name="_Toc151190164"/>
      <w:bookmarkStart w:id="435" w:name="_Toc305158805"/>
      <w:bookmarkStart w:id="436" w:name="_Toc226309781"/>
      <w:bookmarkStart w:id="437" w:name="_Toc151193851"/>
      <w:r>
        <w:rPr>
          <w:rFonts w:hint="eastAsia" w:ascii="仿宋" w:hAnsi="仿宋" w:eastAsia="仿宋" w:cs="仿宋"/>
          <w:color w:val="auto"/>
          <w:sz w:val="24"/>
          <w:highlight w:val="none"/>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3821EC48">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p>
    <w:p w14:paraId="3168E16E">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供应商对响应文件的补充、修改的内容应当按照竞争性磋商文件要求签署、盖章，作为响应文件的组成部分。补充、修改的内容与响应文件不一致的，以补充、修改的内容为准。</w:t>
      </w:r>
    </w:p>
    <w:p w14:paraId="19E45BE7">
      <w:pPr>
        <w:shd w:val="clear" w:color="auto" w:fill="auto"/>
        <w:tabs>
          <w:tab w:val="left" w:pos="900"/>
          <w:tab w:val="left" w:pos="1080"/>
          <w:tab w:val="left" w:pos="1589"/>
        </w:tabs>
        <w:snapToGrid w:val="0"/>
        <w:spacing w:line="360" w:lineRule="auto"/>
        <w:ind w:left="357"/>
        <w:rPr>
          <w:rFonts w:hint="eastAsia" w:ascii="仿宋" w:hAnsi="仿宋" w:eastAsia="仿宋" w:cs="仿宋"/>
          <w:color w:val="auto"/>
          <w:sz w:val="24"/>
          <w:highlight w:val="none"/>
        </w:rPr>
      </w:pPr>
    </w:p>
    <w:p w14:paraId="105FB76F">
      <w:pPr>
        <w:pStyle w:val="3"/>
        <w:shd w:val="clear" w:color="auto" w:fill="auto"/>
        <w:spacing w:before="0" w:line="360" w:lineRule="auto"/>
        <w:rPr>
          <w:rFonts w:hint="eastAsia" w:ascii="仿宋" w:hAnsi="仿宋" w:eastAsia="仿宋" w:cs="仿宋"/>
          <w:color w:val="auto"/>
          <w:sz w:val="28"/>
          <w:highlight w:val="none"/>
        </w:rPr>
      </w:pPr>
      <w:bookmarkStart w:id="438" w:name="_Toc127151538"/>
      <w:bookmarkStart w:id="439" w:name="_Toc305158880"/>
      <w:bookmarkStart w:id="440" w:name="_Toc151190165"/>
      <w:bookmarkStart w:id="441" w:name="_Toc150509289"/>
      <w:bookmarkStart w:id="442" w:name="_Toc142311040"/>
      <w:bookmarkStart w:id="443" w:name="_Toc226965811"/>
      <w:bookmarkStart w:id="444" w:name="_Toc265228376"/>
      <w:bookmarkStart w:id="445" w:name="_Toc151193780"/>
      <w:bookmarkStart w:id="446" w:name="_Toc226965728"/>
      <w:bookmarkStart w:id="447" w:name="_Toc151193852"/>
      <w:bookmarkStart w:id="448" w:name="_Toc150774743"/>
      <w:bookmarkStart w:id="449" w:name="_Toc195842903"/>
      <w:bookmarkStart w:id="450" w:name="_Toc226337234"/>
      <w:bookmarkStart w:id="451" w:name="_Toc305158806"/>
      <w:bookmarkStart w:id="452" w:name="_Toc151193708"/>
      <w:bookmarkStart w:id="453" w:name="_Toc150774638"/>
      <w:bookmarkStart w:id="454" w:name="_Toc226309782"/>
      <w:bookmarkStart w:id="455" w:name="_Toc264969228"/>
      <w:bookmarkStart w:id="456" w:name="_Toc151193926"/>
      <w:bookmarkStart w:id="457" w:name="_Toc520356163"/>
      <w:bookmarkStart w:id="458" w:name="_Toc150480776"/>
      <w:bookmarkStart w:id="459" w:name="_Toc151193636"/>
      <w:r>
        <w:rPr>
          <w:rFonts w:hint="eastAsia" w:ascii="仿宋" w:hAnsi="仿宋" w:eastAsia="仿宋" w:cs="仿宋"/>
          <w:color w:val="auto"/>
          <w:sz w:val="28"/>
          <w:highlight w:val="none"/>
        </w:rPr>
        <w:t>五</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hint="eastAsia" w:ascii="仿宋" w:hAnsi="仿宋" w:eastAsia="仿宋" w:cs="仿宋"/>
          <w:color w:val="auto"/>
          <w:sz w:val="28"/>
          <w:highlight w:val="none"/>
        </w:rPr>
        <w:t>评审</w:t>
      </w:r>
    </w:p>
    <w:p w14:paraId="5C745216">
      <w:pPr>
        <w:numPr>
          <w:ilvl w:val="0"/>
          <w:numId w:val="8"/>
        </w:numPr>
        <w:shd w:val="clear" w:color="auto" w:fill="auto"/>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响应文件的开启</w:t>
      </w:r>
    </w:p>
    <w:p w14:paraId="2EBD8E85">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采购人或采购代理机构将按竞争性磋商文件的规定，在响应文件提交截止时间的同一时间和竞争性磋商文件预先确定的地点开启响应文件。</w:t>
      </w:r>
    </w:p>
    <w:p w14:paraId="37D52B40">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本项目解密使用北京市政府采购电子交易平台。供应商应在《供应商须知资料表》规定的时间内对响应文件进行解密，因非系统原因导致的解密失败，视为无效响应。</w:t>
      </w:r>
    </w:p>
    <w:p w14:paraId="157C64C8">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F75C524">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供应商不足3家的，不予解密。</w:t>
      </w:r>
    </w:p>
    <w:p w14:paraId="72FB2D30">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本项目不公开报价。</w:t>
      </w:r>
    </w:p>
    <w:p w14:paraId="386F3687">
      <w:pPr>
        <w:numPr>
          <w:ilvl w:val="0"/>
          <w:numId w:val="8"/>
        </w:numPr>
        <w:shd w:val="clear" w:color="auto" w:fill="auto"/>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w:t>
      </w:r>
    </w:p>
    <w:p w14:paraId="6259938C">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磋商小组根据政府采购有关规定和本次采购项目的特点进行组建，并负责具体评审与磋商事务，独立履行职责。</w:t>
      </w:r>
      <w:bookmarkStart w:id="460" w:name="_Toc520356166"/>
    </w:p>
    <w:p w14:paraId="348C0430">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0"/>
      <w:bookmarkStart w:id="461" w:name="_Toc520356169"/>
    </w:p>
    <w:p w14:paraId="61C56CF6">
      <w:pPr>
        <w:numPr>
          <w:ilvl w:val="0"/>
          <w:numId w:val="8"/>
        </w:numPr>
        <w:shd w:val="clear" w:color="auto" w:fill="auto"/>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评审方法和评审标准</w:t>
      </w:r>
    </w:p>
    <w:p w14:paraId="40D07538">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见第三章《评审方法和评审标准》。</w:t>
      </w:r>
    </w:p>
    <w:p w14:paraId="61E3EEF0">
      <w:pPr>
        <w:shd w:val="clear" w:color="auto" w:fill="auto"/>
        <w:tabs>
          <w:tab w:val="left" w:pos="360"/>
          <w:tab w:val="left" w:pos="1080"/>
        </w:tabs>
        <w:snapToGrid w:val="0"/>
        <w:spacing w:line="360" w:lineRule="auto"/>
        <w:ind w:left="1080"/>
        <w:rPr>
          <w:rFonts w:hint="eastAsia" w:ascii="仿宋" w:hAnsi="仿宋" w:eastAsia="仿宋" w:cs="仿宋"/>
          <w:color w:val="auto"/>
          <w:sz w:val="24"/>
          <w:highlight w:val="none"/>
        </w:rPr>
      </w:pPr>
    </w:p>
    <w:p w14:paraId="3D8CDF4B">
      <w:pPr>
        <w:pStyle w:val="3"/>
        <w:shd w:val="clear" w:color="auto" w:fill="auto"/>
        <w:spacing w:before="0" w:line="360" w:lineRule="auto"/>
        <w:rPr>
          <w:rFonts w:hint="eastAsia" w:ascii="仿宋" w:hAnsi="仿宋" w:eastAsia="仿宋" w:cs="仿宋"/>
          <w:color w:val="auto"/>
          <w:sz w:val="28"/>
          <w:highlight w:val="none"/>
        </w:rPr>
      </w:pPr>
      <w:bookmarkStart w:id="462" w:name="_Toc150509296"/>
      <w:bookmarkStart w:id="463" w:name="_Toc151193715"/>
      <w:bookmarkStart w:id="464" w:name="_Toc226965735"/>
      <w:bookmarkStart w:id="465" w:name="_Toc151193859"/>
      <w:bookmarkStart w:id="466" w:name="_Toc150480783"/>
      <w:bookmarkStart w:id="467" w:name="_Toc151193787"/>
      <w:bookmarkStart w:id="468" w:name="_Toc151193643"/>
      <w:bookmarkStart w:id="469" w:name="_Toc305158813"/>
      <w:bookmarkStart w:id="470" w:name="_Toc265228383"/>
      <w:bookmarkStart w:id="471" w:name="_Toc150774750"/>
      <w:bookmarkStart w:id="472" w:name="_Toc226337241"/>
      <w:bookmarkStart w:id="473" w:name="_Toc151190172"/>
      <w:bookmarkStart w:id="474" w:name="_Toc151193933"/>
      <w:bookmarkStart w:id="475" w:name="_Toc226309789"/>
      <w:bookmarkStart w:id="476" w:name="_Toc142311047"/>
      <w:bookmarkStart w:id="477" w:name="_Toc226965818"/>
      <w:bookmarkStart w:id="478" w:name="_Toc264969235"/>
      <w:bookmarkStart w:id="479" w:name="_Toc195842910"/>
      <w:bookmarkStart w:id="480" w:name="_Toc305158887"/>
      <w:bookmarkStart w:id="481" w:name="_Toc150774645"/>
      <w:bookmarkStart w:id="482" w:name="_Toc127151545"/>
      <w:r>
        <w:rPr>
          <w:rFonts w:hint="eastAsia" w:ascii="仿宋" w:hAnsi="仿宋" w:eastAsia="仿宋" w:cs="仿宋"/>
          <w:color w:val="auto"/>
          <w:sz w:val="28"/>
          <w:highlight w:val="none"/>
        </w:rPr>
        <w:t>六</w:t>
      </w:r>
      <w:bookmarkEnd w:id="461"/>
      <w:r>
        <w:rPr>
          <w:rFonts w:hint="eastAsia" w:ascii="仿宋" w:hAnsi="仿宋" w:eastAsia="仿宋" w:cs="仿宋"/>
          <w:color w:val="auto"/>
          <w:sz w:val="28"/>
          <w:highlight w:val="none"/>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hint="eastAsia" w:ascii="仿宋" w:hAnsi="仿宋" w:eastAsia="仿宋" w:cs="仿宋"/>
          <w:color w:val="auto"/>
          <w:sz w:val="28"/>
          <w:highlight w:val="none"/>
        </w:rPr>
        <w:t>成交</w:t>
      </w:r>
    </w:p>
    <w:p w14:paraId="127AA252">
      <w:pPr>
        <w:numPr>
          <w:ilvl w:val="0"/>
          <w:numId w:val="8"/>
        </w:numPr>
        <w:shd w:val="clear" w:color="auto" w:fill="auto"/>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483" w:name="_Toc150509298"/>
      <w:bookmarkStart w:id="484" w:name="_Toc226965737"/>
      <w:bookmarkStart w:id="485" w:name="_Toc151193717"/>
      <w:bookmarkStart w:id="486" w:name="_Toc150774647"/>
      <w:bookmarkStart w:id="487" w:name="_Toc150480785"/>
      <w:bookmarkStart w:id="488" w:name="_Toc164608661"/>
      <w:bookmarkStart w:id="489" w:name="_Toc127161461"/>
      <w:bookmarkStart w:id="490" w:name="_Toc151190174"/>
      <w:bookmarkStart w:id="491" w:name="_Toc305158889"/>
      <w:bookmarkStart w:id="492" w:name="_Toc226965820"/>
      <w:bookmarkStart w:id="493" w:name="_Toc164351641"/>
      <w:bookmarkStart w:id="494" w:name="_Toc151193789"/>
      <w:bookmarkStart w:id="495" w:name="_Toc195842912"/>
      <w:bookmarkStart w:id="496" w:name="_Toc265228385"/>
      <w:bookmarkStart w:id="497" w:name="_Toc226337243"/>
      <w:bookmarkStart w:id="498" w:name="_Toc151193935"/>
      <w:bookmarkStart w:id="499" w:name="_Toc142311049"/>
      <w:bookmarkStart w:id="500" w:name="_Toc127151748"/>
      <w:bookmarkStart w:id="501" w:name="_Toc264969237"/>
      <w:bookmarkStart w:id="502" w:name="_Toc164229388"/>
      <w:bookmarkStart w:id="503" w:name="_Toc127151547"/>
      <w:bookmarkStart w:id="504" w:name="_Toc149720840"/>
      <w:bookmarkStart w:id="505" w:name="_Toc151193645"/>
      <w:bookmarkStart w:id="506" w:name="_Toc305158815"/>
      <w:bookmarkStart w:id="507" w:name="_Toc226309791"/>
      <w:bookmarkStart w:id="508" w:name="_Toc164229242"/>
      <w:bookmarkStart w:id="509" w:name="_Toc150774752"/>
      <w:bookmarkStart w:id="510" w:name="_Toc151193861"/>
      <w:bookmarkStart w:id="511" w:name="_Toc164608816"/>
      <w:r>
        <w:rPr>
          <w:rFonts w:hint="eastAsia" w:ascii="仿宋" w:hAnsi="仿宋" w:eastAsia="仿宋" w:cs="仿宋"/>
          <w:color w:val="auto"/>
          <w:sz w:val="24"/>
          <w:highlight w:val="none"/>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7942C36">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0D351D9F">
      <w:pPr>
        <w:numPr>
          <w:ilvl w:val="0"/>
          <w:numId w:val="8"/>
        </w:numPr>
        <w:shd w:val="clear" w:color="auto" w:fill="auto"/>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512" w:name="_Toc305158817"/>
      <w:bookmarkStart w:id="513" w:name="_Toc305158891"/>
      <w:bookmarkStart w:id="514" w:name="_Toc150480787"/>
      <w:bookmarkStart w:id="515" w:name="_Toc127151549"/>
      <w:bookmarkStart w:id="516" w:name="_Toc164608818"/>
      <w:bookmarkStart w:id="517" w:name="_Toc150509300"/>
      <w:bookmarkStart w:id="518" w:name="_Toc265228387"/>
      <w:bookmarkStart w:id="519" w:name="_Toc151193863"/>
      <w:bookmarkStart w:id="520" w:name="_Toc142311051"/>
      <w:bookmarkStart w:id="521" w:name="_Toc150774649"/>
      <w:bookmarkStart w:id="522" w:name="_Toc151193937"/>
      <w:bookmarkStart w:id="523" w:name="_Toc151190176"/>
      <w:bookmarkStart w:id="524" w:name="_Toc264969239"/>
      <w:bookmarkStart w:id="525" w:name="_Toc226337245"/>
      <w:bookmarkStart w:id="526" w:name="_Toc226965739"/>
      <w:bookmarkStart w:id="527" w:name="_Toc164608663"/>
      <w:bookmarkStart w:id="528" w:name="_Toc226965822"/>
      <w:bookmarkStart w:id="529" w:name="_Toc164229244"/>
      <w:bookmarkStart w:id="530" w:name="_Toc195842914"/>
      <w:bookmarkStart w:id="531" w:name="_Toc151193719"/>
      <w:bookmarkStart w:id="532" w:name="_Toc127161463"/>
      <w:bookmarkStart w:id="533" w:name="_Toc151193791"/>
      <w:bookmarkStart w:id="534" w:name="_Toc127151750"/>
      <w:bookmarkStart w:id="535" w:name="_Toc150774754"/>
      <w:bookmarkStart w:id="536" w:name="_Toc226309793"/>
      <w:bookmarkStart w:id="537" w:name="_Toc164351643"/>
      <w:bookmarkStart w:id="538" w:name="_Toc149720842"/>
      <w:bookmarkStart w:id="539" w:name="_Toc151193647"/>
      <w:bookmarkStart w:id="540" w:name="_Toc164229390"/>
      <w:bookmarkStart w:id="541" w:name="_Ref467306425"/>
      <w:bookmarkStart w:id="542" w:name="_Toc520356176"/>
      <w:bookmarkStart w:id="543" w:name="_Ref467307090"/>
      <w:r>
        <w:rPr>
          <w:rFonts w:hint="eastAsia" w:ascii="仿宋" w:hAnsi="仿宋" w:eastAsia="仿宋" w:cs="仿宋"/>
          <w:color w:val="auto"/>
          <w:sz w:val="24"/>
          <w:highlight w:val="none"/>
        </w:rPr>
        <w:t>成交公告与成交通知书</w:t>
      </w:r>
      <w:bookmarkEnd w:id="512"/>
      <w:bookmarkEnd w:id="513"/>
    </w:p>
    <w:p w14:paraId="10246EB2">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采购人或采购代理机构将</w:t>
      </w:r>
      <w:r>
        <w:rPr>
          <w:rFonts w:hint="eastAsia" w:ascii="仿宋" w:hAnsi="仿宋" w:eastAsia="仿宋" w:cs="仿宋"/>
          <w:color w:val="auto"/>
          <w:kern w:val="0"/>
          <w:sz w:val="24"/>
          <w:highlight w:val="none"/>
        </w:rPr>
        <w:t>在成交供应商确定后2个工作日内，在</w:t>
      </w:r>
      <w:r>
        <w:rPr>
          <w:rFonts w:hint="eastAsia" w:ascii="仿宋" w:hAnsi="仿宋" w:eastAsia="仿宋" w:cs="仿宋"/>
          <w:color w:val="auto"/>
          <w:sz w:val="24"/>
          <w:highlight w:val="none"/>
        </w:rPr>
        <w:t>北京市政府采购网</w:t>
      </w:r>
      <w:r>
        <w:rPr>
          <w:rFonts w:hint="eastAsia" w:ascii="仿宋" w:hAnsi="仿宋" w:eastAsia="仿宋" w:cs="仿宋"/>
          <w:color w:val="auto"/>
          <w:kern w:val="0"/>
          <w:sz w:val="24"/>
          <w:highlight w:val="none"/>
        </w:rPr>
        <w:t>公告成交结果，同时向成交供应商发出成交通知书，</w:t>
      </w:r>
      <w:r>
        <w:rPr>
          <w:rFonts w:hint="eastAsia" w:ascii="仿宋" w:hAnsi="仿宋" w:eastAsia="仿宋" w:cs="仿宋"/>
          <w:color w:val="auto"/>
          <w:sz w:val="24"/>
          <w:highlight w:val="none"/>
        </w:rPr>
        <w:t>成交公告期限为1个工作日。</w:t>
      </w:r>
    </w:p>
    <w:p w14:paraId="4DBC12BB">
      <w:pPr>
        <w:numPr>
          <w:ilvl w:val="1"/>
          <w:numId w:val="8"/>
        </w:numPr>
        <w:shd w:val="clear" w:color="auto" w:fill="auto"/>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成交通知书对采购人和成交供应商均具有法律效力。成交通知书发出后，采购人改变成交结果的，或者成交供应商放弃成交项目的，应当依法承担法律责任。</w:t>
      </w:r>
    </w:p>
    <w:p w14:paraId="51679BE0">
      <w:pPr>
        <w:numPr>
          <w:ilvl w:val="0"/>
          <w:numId w:val="8"/>
        </w:numPr>
        <w:shd w:val="clear" w:color="auto" w:fill="auto"/>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终止</w:t>
      </w:r>
    </w:p>
    <w:p w14:paraId="73F48F85">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出现下列情形之一的，采购人或采购代理机构将终止竞争性磋商采购活动，发布项目终止公告并说明原因，重新开展采购活动：</w:t>
      </w:r>
    </w:p>
    <w:p w14:paraId="2FFB82AE">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因情况变化，不再符合规定的竞争性磋商采购方式适用情形的；</w:t>
      </w:r>
    </w:p>
    <w:p w14:paraId="449081BA">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出现影响采购公正的违法、违规行为的；</w:t>
      </w:r>
    </w:p>
    <w:p w14:paraId="0DDEC166">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snapToGrid w:val="0"/>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14:paraId="6A4C1775">
      <w:pPr>
        <w:numPr>
          <w:ilvl w:val="0"/>
          <w:numId w:val="8"/>
        </w:numPr>
        <w:shd w:val="clear" w:color="auto" w:fill="auto"/>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544" w:name="_Toc226337246"/>
      <w:bookmarkStart w:id="545" w:name="_Toc164608664"/>
      <w:bookmarkStart w:id="546" w:name="_Toc151193648"/>
      <w:bookmarkStart w:id="547" w:name="_Ref467307062"/>
      <w:bookmarkStart w:id="548" w:name="_Toc305158818"/>
      <w:bookmarkStart w:id="549" w:name="_Toc151193864"/>
      <w:bookmarkStart w:id="550" w:name="_Toc127161464"/>
      <w:bookmarkStart w:id="551" w:name="_Toc142311052"/>
      <w:bookmarkStart w:id="552" w:name="_Toc150774755"/>
      <w:bookmarkStart w:id="553" w:name="_Toc305158892"/>
      <w:bookmarkStart w:id="554" w:name="_Toc164608819"/>
      <w:bookmarkStart w:id="555" w:name="_Ref467306377"/>
      <w:bookmarkStart w:id="556" w:name="_Toc149720843"/>
      <w:bookmarkStart w:id="557" w:name="_Toc164351644"/>
      <w:bookmarkStart w:id="558" w:name="_Toc520356175"/>
      <w:bookmarkStart w:id="559" w:name="_Toc226965740"/>
      <w:bookmarkStart w:id="560" w:name="_Ref467306978"/>
      <w:bookmarkStart w:id="561" w:name="_Toc164229245"/>
      <w:bookmarkStart w:id="562" w:name="_Toc151193720"/>
      <w:bookmarkStart w:id="563" w:name="_Toc150480788"/>
      <w:bookmarkStart w:id="564" w:name="_Toc264969240"/>
      <w:bookmarkStart w:id="565" w:name="_Toc226309794"/>
      <w:bookmarkStart w:id="566" w:name="_Toc195842915"/>
      <w:bookmarkStart w:id="567" w:name="_Toc164229391"/>
      <w:bookmarkStart w:id="568" w:name="_Toc127151550"/>
      <w:bookmarkStart w:id="569" w:name="_Ref467307204"/>
      <w:bookmarkStart w:id="570" w:name="_Toc150509301"/>
      <w:bookmarkStart w:id="571" w:name="_Toc127151751"/>
      <w:bookmarkStart w:id="572" w:name="_Toc151193938"/>
      <w:bookmarkStart w:id="573" w:name="_Toc226965823"/>
      <w:bookmarkStart w:id="574" w:name="_Toc265228388"/>
      <w:bookmarkStart w:id="575" w:name="_Toc151193792"/>
      <w:bookmarkStart w:id="576" w:name="_Toc151190177"/>
      <w:bookmarkStart w:id="577" w:name="_Toc150774650"/>
      <w:r>
        <w:rPr>
          <w:rFonts w:hint="eastAsia" w:ascii="仿宋" w:hAnsi="仿宋" w:eastAsia="仿宋" w:cs="仿宋"/>
          <w:color w:val="auto"/>
          <w:sz w:val="24"/>
          <w:highlight w:val="none"/>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0334ABC5">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4F456132">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A6A97F5">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联合体成交的，联合体各方应当共同与采购人签订合同，就采购合同约定的事项向采购人承担连带责任。</w:t>
      </w:r>
    </w:p>
    <w:p w14:paraId="647A8680">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政府采购合同不能转包。</w:t>
      </w:r>
    </w:p>
    <w:p w14:paraId="30924FB9">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仿宋" w:hAnsi="仿宋" w:eastAsia="仿宋" w:cs="仿宋"/>
          <w:b/>
          <w:color w:val="auto"/>
          <w:sz w:val="24"/>
          <w:highlight w:val="none"/>
        </w:rPr>
        <w:t>否则响应无效</w:t>
      </w:r>
      <w:r>
        <w:rPr>
          <w:rFonts w:hint="eastAsia" w:ascii="仿宋" w:hAnsi="仿宋" w:eastAsia="仿宋" w:cs="仿宋"/>
          <w:color w:val="auto"/>
          <w:sz w:val="24"/>
          <w:highlight w:val="none"/>
        </w:rPr>
        <w:t>。成交供应商就采购项目和分包项目向采购人负责，分包供应商就分包项目承担责任。</w:t>
      </w:r>
    </w:p>
    <w:p w14:paraId="071908D6">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“政采贷”融资指引：详见《供应商须知资料表》。</w:t>
      </w:r>
    </w:p>
    <w:bookmarkEnd w:id="541"/>
    <w:bookmarkEnd w:id="542"/>
    <w:bookmarkEnd w:id="543"/>
    <w:p w14:paraId="7FF4C112">
      <w:pPr>
        <w:numPr>
          <w:ilvl w:val="0"/>
          <w:numId w:val="8"/>
        </w:numPr>
        <w:shd w:val="clear" w:color="auto" w:fill="auto"/>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询问与质疑</w:t>
      </w:r>
    </w:p>
    <w:p w14:paraId="3D7A61C4">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询问</w:t>
      </w:r>
    </w:p>
    <w:p w14:paraId="22A7EC90">
      <w:pPr>
        <w:numPr>
          <w:ilvl w:val="2"/>
          <w:numId w:val="8"/>
        </w:numPr>
        <w:shd w:val="clear" w:color="auto" w:fill="auto"/>
        <w:snapToGrid w:val="0"/>
        <w:spacing w:line="360" w:lineRule="auto"/>
        <w:rPr>
          <w:rFonts w:hint="eastAsia" w:ascii="仿宋" w:hAnsi="仿宋" w:eastAsia="仿宋" w:cs="仿宋"/>
          <w:color w:val="auto"/>
          <w:sz w:val="24"/>
          <w:highlight w:val="none"/>
        </w:rPr>
      </w:pPr>
      <w:bookmarkStart w:id="578" w:name="_Hlk179293422"/>
      <w:r>
        <w:rPr>
          <w:rFonts w:hint="eastAsia" w:ascii="仿宋" w:hAnsi="仿宋" w:eastAsia="仿宋" w:cs="仿宋"/>
          <w:color w:val="auto"/>
          <w:sz w:val="24"/>
          <w:highlight w:val="none"/>
        </w:rPr>
        <w:t>供应商对政府采购活动事项有疑问的，可依法向采购人或采购代理机构提出询问，提出形式见《供应商须知资料表》。</w:t>
      </w:r>
      <w:bookmarkEnd w:id="578"/>
    </w:p>
    <w:p w14:paraId="549092CF">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采购人或采购代理机构对供应商依法提出的询问，在3个工作日内作出答复，但答复的内容不得涉及商业秘密。</w:t>
      </w:r>
    </w:p>
    <w:p w14:paraId="680181C8">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w:t>
      </w:r>
    </w:p>
    <w:p w14:paraId="1AD2E256">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557D6CA5">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1858124F">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8E5E7CD">
      <w:pPr>
        <w:numPr>
          <w:ilvl w:val="2"/>
          <w:numId w:val="8"/>
        </w:numPr>
        <w:shd w:val="clear" w:color="auto" w:fill="auto"/>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供应商应在法定质疑期内一次性提出针对同一采购程序环节的质疑，法定质疑期内针对同一采购程序环节再次提出的质疑，采购人、采购代理机构有权不予答复。</w:t>
      </w:r>
    </w:p>
    <w:p w14:paraId="25158760">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接收询问和质疑的联系部门、联系电话和通讯地址见《供应商须知资料表》。</w:t>
      </w:r>
    </w:p>
    <w:p w14:paraId="212EC21B">
      <w:pPr>
        <w:numPr>
          <w:ilvl w:val="0"/>
          <w:numId w:val="8"/>
        </w:numPr>
        <w:shd w:val="clear" w:color="auto" w:fill="auto"/>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代理费</w:t>
      </w:r>
    </w:p>
    <w:p w14:paraId="3AE8D735">
      <w:pPr>
        <w:numPr>
          <w:ilvl w:val="1"/>
          <w:numId w:val="8"/>
        </w:numPr>
        <w:shd w:val="clear" w:color="auto" w:fill="auto"/>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收费对象、收费标准及缴纳时间见《供应商须知资料表》。由成交供应商支付的，成交供应商须一次性向采购代理机构缴纳代理费，报价应包含代理费用。</w:t>
      </w:r>
    </w:p>
    <w:p w14:paraId="3C368DE3">
      <w:pPr>
        <w:shd w:val="clear" w:color="auto" w:fill="auto"/>
        <w:tabs>
          <w:tab w:val="left" w:pos="360"/>
          <w:tab w:val="left" w:pos="1080"/>
        </w:tabs>
        <w:snapToGrid w:val="0"/>
        <w:spacing w:line="360" w:lineRule="auto"/>
        <w:ind w:left="360"/>
        <w:rPr>
          <w:rFonts w:hint="eastAsia" w:ascii="仿宋" w:hAnsi="仿宋" w:eastAsia="仿宋" w:cs="仿宋"/>
          <w:color w:val="auto"/>
          <w:sz w:val="24"/>
          <w:highlight w:val="none"/>
        </w:rPr>
      </w:pPr>
    </w:p>
    <w:p w14:paraId="49CE84C1">
      <w:pPr>
        <w:shd w:val="clear" w:color="auto" w:fill="auto"/>
        <w:spacing w:line="360" w:lineRule="auto"/>
        <w:jc w:val="center"/>
        <w:outlineLvl w:val="0"/>
        <w:rPr>
          <w:rFonts w:hint="eastAsia" w:ascii="仿宋" w:hAnsi="仿宋" w:eastAsia="仿宋" w:cs="仿宋"/>
          <w:b/>
          <w:color w:val="auto"/>
          <w:sz w:val="36"/>
          <w:szCs w:val="36"/>
          <w:highlight w:val="none"/>
        </w:rPr>
      </w:pPr>
      <w:bookmarkStart w:id="579" w:name="_Toc305158896"/>
      <w:bookmarkStart w:id="580" w:name="_Toc265228392"/>
      <w:bookmarkStart w:id="581" w:name="_Toc305158822"/>
      <w:bookmarkStart w:id="582" w:name="_Toc353873934"/>
      <w:bookmarkStart w:id="583" w:name="_Toc264969244"/>
      <w:bookmarkStart w:id="584" w:name="_Toc353825544"/>
      <w:bookmarkStart w:id="585" w:name="_Toc127151554"/>
      <w:bookmarkStart w:id="586" w:name="_Toc142311056"/>
      <w:bookmarkStart w:id="587" w:name="_Toc150480792"/>
      <w:bookmarkStart w:id="588" w:name="_Toc353873664"/>
      <w:bookmarkStart w:id="589" w:name="_Toc226965827"/>
      <w:bookmarkStart w:id="590" w:name="_Toc226337250"/>
      <w:bookmarkStart w:id="591" w:name="_Toc150774759"/>
      <w:r>
        <w:rPr>
          <w:rFonts w:hint="eastAsia" w:ascii="仿宋" w:hAnsi="仿宋" w:eastAsia="仿宋" w:cs="仿宋"/>
          <w:color w:val="auto"/>
          <w:sz w:val="24"/>
          <w:highlight w:val="none"/>
        </w:rPr>
        <w:br w:type="page"/>
      </w:r>
      <w:bookmarkStart w:id="592" w:name="_Toc24186"/>
      <w:bookmarkStart w:id="593" w:name="_Toc17175"/>
      <w:r>
        <w:rPr>
          <w:rFonts w:hint="eastAsia" w:ascii="仿宋" w:hAnsi="仿宋" w:eastAsia="仿宋" w:cs="仿宋"/>
          <w:b/>
          <w:color w:val="auto"/>
          <w:sz w:val="36"/>
          <w:szCs w:val="36"/>
          <w:highlight w:val="none"/>
        </w:rPr>
        <w:t>第三章</w:t>
      </w:r>
      <w:bookmarkEnd w:id="579"/>
      <w:bookmarkEnd w:id="580"/>
      <w:bookmarkEnd w:id="581"/>
      <w:bookmarkEnd w:id="582"/>
      <w:bookmarkEnd w:id="583"/>
      <w:bookmarkEnd w:id="584"/>
      <w:bookmarkEnd w:id="585"/>
      <w:bookmarkEnd w:id="586"/>
      <w:bookmarkEnd w:id="587"/>
      <w:bookmarkEnd w:id="588"/>
      <w:bookmarkEnd w:id="589"/>
      <w:bookmarkEnd w:id="590"/>
      <w:bookmarkEnd w:id="591"/>
      <w:r>
        <w:rPr>
          <w:rFonts w:hint="eastAsia" w:ascii="仿宋" w:hAnsi="仿宋" w:eastAsia="仿宋" w:cs="仿宋"/>
          <w:b/>
          <w:color w:val="auto"/>
          <w:sz w:val="36"/>
          <w:szCs w:val="36"/>
          <w:highlight w:val="none"/>
        </w:rPr>
        <w:t>评审方法和评审标准</w:t>
      </w:r>
      <w:bookmarkEnd w:id="592"/>
      <w:bookmarkEnd w:id="593"/>
      <w:bookmarkStart w:id="594" w:name="_Toc487900382"/>
    </w:p>
    <w:p w14:paraId="74B64B59">
      <w:pPr>
        <w:pStyle w:val="3"/>
        <w:shd w:val="clear" w:color="auto" w:fill="auto"/>
        <w:spacing w:before="0" w:line="360" w:lineRule="auto"/>
        <w:rPr>
          <w:rFonts w:hint="eastAsia" w:ascii="仿宋" w:hAnsi="仿宋" w:eastAsia="仿宋" w:cs="仿宋"/>
          <w:b/>
          <w:color w:val="auto"/>
          <w:sz w:val="24"/>
          <w:highlight w:val="none"/>
        </w:rPr>
      </w:pPr>
      <w:r>
        <w:rPr>
          <w:rFonts w:hint="eastAsia" w:ascii="仿宋" w:hAnsi="仿宋" w:eastAsia="仿宋" w:cs="仿宋"/>
          <w:color w:val="auto"/>
          <w:sz w:val="24"/>
          <w:szCs w:val="24"/>
          <w:highlight w:val="none"/>
        </w:rPr>
        <w:t>一、评审程序和方法</w:t>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4"/>
    <w:p w14:paraId="5C0EDFB9">
      <w:pPr>
        <w:keepNext w:val="0"/>
        <w:keepLines w:val="0"/>
        <w:pageBreakBefore w:val="0"/>
        <w:widowControl w:val="0"/>
        <w:numPr>
          <w:ilvl w:val="1"/>
          <w:numId w:val="0"/>
        </w:numPr>
        <w:shd w:val="clear" w:color="auto" w:fill="auto"/>
        <w:tabs>
          <w:tab w:val="left" w:pos="1080"/>
        </w:tabs>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color w:val="auto"/>
          <w:sz w:val="24"/>
          <w:highlight w:val="none"/>
        </w:rPr>
      </w:pPr>
      <w:bookmarkStart w:id="595" w:name="_Toc353825551"/>
      <w:bookmarkStart w:id="596" w:name="_Toc353873941"/>
      <w:bookmarkStart w:id="597" w:name="_Toc195842920"/>
      <w:bookmarkStart w:id="598" w:name="_Toc305158897"/>
      <w:bookmarkStart w:id="599" w:name="_Toc127151555"/>
      <w:bookmarkStart w:id="600" w:name="_Toc353825545"/>
      <w:bookmarkStart w:id="601" w:name="_Toc353873935"/>
      <w:bookmarkStart w:id="602" w:name="_Toc264969245"/>
      <w:bookmarkStart w:id="603" w:name="_Toc226965828"/>
      <w:bookmarkStart w:id="604" w:name="_Toc305158823"/>
      <w:bookmarkStart w:id="605" w:name="_Toc150480793"/>
      <w:bookmarkStart w:id="606" w:name="_Toc353873665"/>
      <w:bookmarkStart w:id="607" w:name="_Toc142311057"/>
      <w:bookmarkStart w:id="608" w:name="_Toc150774760"/>
      <w:bookmarkStart w:id="609" w:name="_Toc265228393"/>
      <w:bookmarkStart w:id="610" w:name="_Toc226337251"/>
      <w:r>
        <w:rPr>
          <w:rFonts w:hint="default" w:ascii="Times New Roman" w:hAnsi="Times New Roman" w:eastAsia="仿宋" w:cs="Times New Roman"/>
          <w:b w:val="0"/>
          <w:color w:val="auto"/>
          <w:kern w:val="2"/>
          <w:sz w:val="24"/>
          <w:szCs w:val="24"/>
          <w:lang w:val="en-US" w:eastAsia="zh-CN" w:bidi="ar-SA"/>
        </w:rPr>
        <w:t>1.1</w:t>
      </w:r>
      <w:r>
        <w:rPr>
          <w:rFonts w:hint="eastAsia" w:ascii="仿宋" w:hAnsi="仿宋" w:eastAsia="仿宋" w:cs="仿宋"/>
          <w:color w:val="auto"/>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仿宋" w:hAnsi="仿宋" w:eastAsia="仿宋" w:cs="仿宋"/>
          <w:b/>
          <w:color w:val="auto"/>
          <w:sz w:val="24"/>
          <w:highlight w:val="none"/>
        </w:rPr>
        <w:t>无效响应</w:t>
      </w:r>
      <w:r>
        <w:rPr>
          <w:rFonts w:hint="eastAsia" w:ascii="仿宋" w:hAnsi="仿宋" w:eastAsia="仿宋" w:cs="仿宋"/>
          <w:color w:val="auto"/>
          <w:sz w:val="24"/>
          <w:highlight w:val="none"/>
        </w:rPr>
        <w:t>处理，磋商小组应当告知提交响应文件的供应商。</w:t>
      </w:r>
    </w:p>
    <w:p w14:paraId="75CE352D">
      <w:pPr>
        <w:keepNext w:val="0"/>
        <w:keepLines w:val="0"/>
        <w:pageBreakBefore w:val="0"/>
        <w:widowControl w:val="0"/>
        <w:numPr>
          <w:ilvl w:val="1"/>
          <w:numId w:val="0"/>
        </w:numPr>
        <w:shd w:val="clear" w:color="auto" w:fill="auto"/>
        <w:tabs>
          <w:tab w:val="left" w:pos="1080"/>
        </w:tabs>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1.2</w:t>
      </w:r>
      <w:r>
        <w:rPr>
          <w:rFonts w:hint="eastAsia" w:ascii="仿宋" w:hAnsi="仿宋" w:eastAsia="仿宋" w:cs="仿宋"/>
          <w:color w:val="auto"/>
          <w:sz w:val="24"/>
          <w:highlight w:val="none"/>
        </w:rPr>
        <w:t>《资格审查要求》中对格式有要求的，除竞争性磋商文件另有规定外，均为“实质性格式”文件。</w:t>
      </w:r>
    </w:p>
    <w:p w14:paraId="682CB632">
      <w:pPr>
        <w:keepNext w:val="0"/>
        <w:keepLines w:val="0"/>
        <w:pageBreakBefore w:val="0"/>
        <w:widowControl w:val="0"/>
        <w:numPr>
          <w:ilvl w:val="1"/>
          <w:numId w:val="0"/>
        </w:numPr>
        <w:shd w:val="clear" w:color="auto" w:fill="auto"/>
        <w:tabs>
          <w:tab w:val="left" w:pos="1080"/>
        </w:tabs>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1.3</w:t>
      </w:r>
      <w:r>
        <w:rPr>
          <w:rFonts w:hint="eastAsia" w:ascii="仿宋" w:hAnsi="仿宋" w:eastAsia="仿宋" w:cs="仿宋"/>
          <w:color w:val="auto"/>
          <w:sz w:val="24"/>
          <w:highlight w:val="none"/>
        </w:rPr>
        <w:t>《资格审查要求》见下表：</w:t>
      </w:r>
    </w:p>
    <w:p w14:paraId="77E3E67A">
      <w:pPr>
        <w:shd w:val="clear" w:color="auto" w:fill="auto"/>
        <w:tabs>
          <w:tab w:val="left" w:pos="900"/>
          <w:tab w:val="left" w:pos="1080"/>
        </w:tabs>
        <w:snapToGrid w:val="0"/>
        <w:spacing w:line="360" w:lineRule="auto"/>
        <w:ind w:left="1077" w:firstLine="2650" w:firstLineChars="11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资格审查要求</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1770"/>
        <w:gridCol w:w="4904"/>
        <w:gridCol w:w="1563"/>
      </w:tblGrid>
      <w:tr w14:paraId="142F4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8" w:hRule="atLeast"/>
        </w:trPr>
        <w:tc>
          <w:tcPr>
            <w:tcW w:w="825" w:type="dxa"/>
            <w:noWrap w:val="0"/>
            <w:vAlign w:val="center"/>
          </w:tcPr>
          <w:p w14:paraId="759DD8C8">
            <w:pPr>
              <w:shd w:val="clear" w:color="auto" w:fill="auto"/>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序号</w:t>
            </w:r>
          </w:p>
        </w:tc>
        <w:tc>
          <w:tcPr>
            <w:tcW w:w="1770" w:type="dxa"/>
            <w:noWrap w:val="0"/>
            <w:vAlign w:val="center"/>
          </w:tcPr>
          <w:p w14:paraId="265F5150">
            <w:pPr>
              <w:shd w:val="clear" w:color="auto" w:fill="auto"/>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检查因素</w:t>
            </w:r>
          </w:p>
        </w:tc>
        <w:tc>
          <w:tcPr>
            <w:tcW w:w="4904" w:type="dxa"/>
            <w:noWrap w:val="0"/>
            <w:vAlign w:val="center"/>
          </w:tcPr>
          <w:p w14:paraId="3C0217BE">
            <w:pPr>
              <w:shd w:val="clear" w:color="auto" w:fill="auto"/>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检查内容</w:t>
            </w:r>
          </w:p>
        </w:tc>
        <w:tc>
          <w:tcPr>
            <w:tcW w:w="1563" w:type="dxa"/>
            <w:noWrap w:val="0"/>
            <w:vAlign w:val="center"/>
          </w:tcPr>
          <w:p w14:paraId="39438522">
            <w:pPr>
              <w:shd w:val="clear" w:color="auto" w:fill="auto"/>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格式要求</w:t>
            </w:r>
          </w:p>
        </w:tc>
      </w:tr>
      <w:tr w14:paraId="007AC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3" w:hRule="atLeast"/>
        </w:trPr>
        <w:tc>
          <w:tcPr>
            <w:tcW w:w="825" w:type="dxa"/>
            <w:noWrap w:val="0"/>
            <w:vAlign w:val="center"/>
          </w:tcPr>
          <w:p w14:paraId="73D1AEB4">
            <w:pPr>
              <w:shd w:val="clear" w:color="auto" w:fill="auto"/>
              <w:tabs>
                <w:tab w:val="left" w:pos="1080"/>
              </w:tabs>
              <w:snapToGrid w:val="0"/>
              <w:jc w:val="center"/>
              <w:rPr>
                <w:rFonts w:hint="eastAsia" w:ascii="仿宋" w:hAnsi="仿宋" w:eastAsia="仿宋" w:cs="仿宋"/>
                <w:color w:val="auto"/>
                <w:sz w:val="24"/>
                <w:highlight w:val="none"/>
              </w:rPr>
            </w:pPr>
            <w:bookmarkStart w:id="611" w:name="_Hlt487972895"/>
            <w:bookmarkEnd w:id="611"/>
            <w:r>
              <w:rPr>
                <w:rFonts w:hint="eastAsia" w:ascii="仿宋" w:hAnsi="仿宋" w:eastAsia="仿宋" w:cs="仿宋"/>
                <w:color w:val="auto"/>
                <w:sz w:val="24"/>
                <w:highlight w:val="none"/>
              </w:rPr>
              <w:t>1</w:t>
            </w:r>
          </w:p>
        </w:tc>
        <w:tc>
          <w:tcPr>
            <w:tcW w:w="1770" w:type="dxa"/>
            <w:noWrap w:val="0"/>
            <w:vAlign w:val="center"/>
          </w:tcPr>
          <w:p w14:paraId="4962D451">
            <w:pPr>
              <w:shd w:val="clear" w:color="auto" w:fill="auto"/>
              <w:tabs>
                <w:tab w:val="left" w:pos="1080"/>
              </w:tabs>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满足《中华人民共和国政府采购法》第二十二条规定</w:t>
            </w:r>
          </w:p>
        </w:tc>
        <w:tc>
          <w:tcPr>
            <w:tcW w:w="4904" w:type="dxa"/>
            <w:noWrap w:val="0"/>
            <w:vAlign w:val="center"/>
          </w:tcPr>
          <w:p w14:paraId="7507F0E9">
            <w:pPr>
              <w:shd w:val="clear" w:color="auto" w:fill="auto"/>
              <w:tabs>
                <w:tab w:val="left" w:pos="1080"/>
              </w:tabs>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具体规定见第一章《采购邀请》</w:t>
            </w:r>
          </w:p>
        </w:tc>
        <w:tc>
          <w:tcPr>
            <w:tcW w:w="1563" w:type="dxa"/>
            <w:noWrap w:val="0"/>
            <w:vAlign w:val="center"/>
          </w:tcPr>
          <w:p w14:paraId="76B1B6D6">
            <w:pPr>
              <w:shd w:val="clear" w:color="auto" w:fill="auto"/>
              <w:tabs>
                <w:tab w:val="left" w:pos="1080"/>
              </w:tabs>
              <w:snapToGrid w:val="0"/>
              <w:jc w:val="left"/>
              <w:rPr>
                <w:rFonts w:hint="eastAsia" w:ascii="仿宋" w:hAnsi="仿宋" w:eastAsia="仿宋" w:cs="仿宋"/>
                <w:color w:val="auto"/>
                <w:sz w:val="24"/>
                <w:highlight w:val="none"/>
              </w:rPr>
            </w:pPr>
          </w:p>
        </w:tc>
      </w:tr>
      <w:tr w14:paraId="1F83C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96" w:hRule="atLeast"/>
        </w:trPr>
        <w:tc>
          <w:tcPr>
            <w:tcW w:w="825" w:type="dxa"/>
            <w:noWrap w:val="0"/>
            <w:vAlign w:val="center"/>
          </w:tcPr>
          <w:p w14:paraId="394604E0">
            <w:pPr>
              <w:shd w:val="clear" w:color="auto" w:fill="auto"/>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770" w:type="dxa"/>
            <w:noWrap w:val="0"/>
            <w:vAlign w:val="center"/>
          </w:tcPr>
          <w:p w14:paraId="6D0F72D7">
            <w:pPr>
              <w:shd w:val="clear" w:color="auto" w:fill="auto"/>
              <w:tabs>
                <w:tab w:val="left" w:pos="1080"/>
              </w:tabs>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营业执照等证明文件</w:t>
            </w:r>
          </w:p>
        </w:tc>
        <w:tc>
          <w:tcPr>
            <w:tcW w:w="4904" w:type="dxa"/>
            <w:noWrap w:val="0"/>
            <w:vAlign w:val="center"/>
          </w:tcPr>
          <w:p w14:paraId="19D63916">
            <w:pPr>
              <w:shd w:val="clear" w:color="auto" w:fill="auto"/>
              <w:tabs>
                <w:tab w:val="left" w:pos="1080"/>
              </w:tabs>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供应商为企业（包括合伙企业）的，应提供有效的“营业执照”；</w:t>
            </w:r>
          </w:p>
          <w:p w14:paraId="32F85748">
            <w:pPr>
              <w:shd w:val="clear" w:color="auto" w:fill="auto"/>
              <w:tabs>
                <w:tab w:val="left" w:pos="1080"/>
              </w:tabs>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供应商为事业单位的，应提供有效的“事业单位法人证书”；</w:t>
            </w:r>
          </w:p>
          <w:p w14:paraId="181C98BC">
            <w:pPr>
              <w:shd w:val="clear" w:color="auto" w:fill="auto"/>
              <w:tabs>
                <w:tab w:val="left" w:pos="1080"/>
              </w:tabs>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供应商是非企业机构的，应提供有效的“执业许可证”、“登记证书”等证明文件；</w:t>
            </w:r>
          </w:p>
          <w:p w14:paraId="48C427CA">
            <w:pPr>
              <w:shd w:val="clear" w:color="auto" w:fill="auto"/>
              <w:tabs>
                <w:tab w:val="left" w:pos="1080"/>
              </w:tabs>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供应商是个体工商户的，应提供有效的“个体工商户营业执照”；</w:t>
            </w:r>
          </w:p>
          <w:p w14:paraId="4EC4A8B9">
            <w:pPr>
              <w:shd w:val="clear" w:color="auto" w:fill="auto"/>
              <w:tabs>
                <w:tab w:val="left" w:pos="1080"/>
              </w:tabs>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供应商是自然人的，应提供有效的自然人身份证明。</w:t>
            </w:r>
          </w:p>
          <w:p w14:paraId="514C0FE5">
            <w:pPr>
              <w:shd w:val="clear" w:color="auto" w:fill="auto"/>
              <w:tabs>
                <w:tab w:val="left" w:pos="1080"/>
              </w:tabs>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分支机构参加响应的，应提供该分支机构或其所属法人/其他组织的相应证明文件；同时还应提供其所属法人/其他组织出具的授权其参与本项目的授权书（格式自拟，须加盖其所属法人/其他组织的公章）；对于</w:t>
            </w:r>
            <w:r>
              <w:rPr>
                <w:rFonts w:hint="eastAsia" w:ascii="仿宋" w:hAnsi="仿宋" w:eastAsia="仿宋" w:cs="仿宋"/>
                <w:iCs/>
                <w:color w:val="auto"/>
                <w:sz w:val="24"/>
                <w:highlight w:val="none"/>
              </w:rPr>
              <w:t>银行、保险、石油石化、电力、电信等行业的分支机构，可以提供上述</w:t>
            </w:r>
            <w:r>
              <w:rPr>
                <w:rFonts w:hint="eastAsia" w:ascii="仿宋" w:hAnsi="仿宋" w:eastAsia="仿宋" w:cs="仿宋"/>
                <w:color w:val="auto"/>
                <w:sz w:val="24"/>
                <w:highlight w:val="none"/>
              </w:rPr>
              <w:t>授权，也可以提供其所属法人/其他组织的有关文件或制度等能够证明授权其独立开展业务的证明材料。</w:t>
            </w:r>
          </w:p>
        </w:tc>
        <w:tc>
          <w:tcPr>
            <w:tcW w:w="1563" w:type="dxa"/>
            <w:noWrap w:val="0"/>
            <w:vAlign w:val="center"/>
          </w:tcPr>
          <w:p w14:paraId="57170283">
            <w:pPr>
              <w:shd w:val="clear" w:color="auto" w:fill="auto"/>
              <w:tabs>
                <w:tab w:val="left" w:pos="1080"/>
              </w:tabs>
              <w:snapToGrid w:val="0"/>
              <w:jc w:val="both"/>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rPr>
              <w:t>提供证明文件的电子件或电子证照</w:t>
            </w:r>
          </w:p>
        </w:tc>
      </w:tr>
      <w:tr w14:paraId="67301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blHeader/>
        </w:trPr>
        <w:tc>
          <w:tcPr>
            <w:tcW w:w="825" w:type="dxa"/>
            <w:noWrap w:val="0"/>
            <w:vAlign w:val="center"/>
          </w:tcPr>
          <w:p w14:paraId="2ACA8DA8">
            <w:pPr>
              <w:numPr>
                <w:ilvl w:val="0"/>
                <w:numId w:val="0"/>
              </w:numPr>
              <w:shd w:val="clear" w:color="auto" w:fill="auto"/>
              <w:tabs>
                <w:tab w:val="left" w:pos="360"/>
              </w:tabs>
              <w:snapToGrid w:val="0"/>
              <w:spacing w:line="360" w:lineRule="auto"/>
              <w:ind w:left="900" w:leftChars="0" w:hanging="900" w:firstLineChars="0"/>
              <w:outlineLvl w:val="1"/>
              <w:rPr>
                <w:rFonts w:hint="eastAsia" w:ascii="仿宋" w:hAnsi="仿宋" w:eastAsia="仿宋" w:cs="仿宋"/>
                <w:color w:val="auto"/>
                <w:sz w:val="24"/>
                <w:highlight w:val="none"/>
              </w:rPr>
            </w:pPr>
          </w:p>
          <w:p w14:paraId="34C03595">
            <w:pPr>
              <w:shd w:val="clear" w:color="auto" w:fill="auto"/>
              <w:tabs>
                <w:tab w:val="left" w:pos="1080"/>
              </w:tabs>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770" w:type="dxa"/>
            <w:noWrap w:val="0"/>
            <w:vAlign w:val="center"/>
          </w:tcPr>
          <w:p w14:paraId="5533433A">
            <w:pPr>
              <w:shd w:val="clear" w:color="auto" w:fill="auto"/>
              <w:tabs>
                <w:tab w:val="left" w:pos="1080"/>
              </w:tabs>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检查因素</w:t>
            </w:r>
          </w:p>
        </w:tc>
        <w:tc>
          <w:tcPr>
            <w:tcW w:w="4904" w:type="dxa"/>
            <w:noWrap w:val="0"/>
            <w:vAlign w:val="center"/>
          </w:tcPr>
          <w:p w14:paraId="2BFF5210">
            <w:pPr>
              <w:shd w:val="clear" w:color="auto" w:fill="auto"/>
              <w:tabs>
                <w:tab w:val="left" w:pos="1080"/>
              </w:tabs>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检查内容</w:t>
            </w:r>
          </w:p>
        </w:tc>
        <w:tc>
          <w:tcPr>
            <w:tcW w:w="1563" w:type="dxa"/>
            <w:noWrap w:val="0"/>
            <w:vAlign w:val="center"/>
          </w:tcPr>
          <w:p w14:paraId="05C22647">
            <w:pPr>
              <w:shd w:val="clear" w:color="auto" w:fill="auto"/>
              <w:tabs>
                <w:tab w:val="left" w:pos="1080"/>
              </w:tabs>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格式要求</w:t>
            </w:r>
          </w:p>
        </w:tc>
      </w:tr>
      <w:tr w14:paraId="3C367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825" w:type="dxa"/>
            <w:noWrap w:val="0"/>
            <w:vAlign w:val="center"/>
          </w:tcPr>
          <w:p w14:paraId="33D0DBEC">
            <w:pPr>
              <w:shd w:val="clear" w:color="auto" w:fill="auto"/>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1770" w:type="dxa"/>
            <w:noWrap w:val="0"/>
            <w:vAlign w:val="center"/>
          </w:tcPr>
          <w:p w14:paraId="73A33289">
            <w:pPr>
              <w:shd w:val="clear" w:color="auto" w:fill="auto"/>
              <w:tabs>
                <w:tab w:val="left" w:pos="1080"/>
              </w:tabs>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供应商资格声明书</w:t>
            </w:r>
          </w:p>
        </w:tc>
        <w:tc>
          <w:tcPr>
            <w:tcW w:w="4904" w:type="dxa"/>
            <w:noWrap w:val="0"/>
            <w:vAlign w:val="center"/>
          </w:tcPr>
          <w:p w14:paraId="6B4A6F42">
            <w:pPr>
              <w:shd w:val="clear" w:color="auto" w:fill="auto"/>
              <w:tabs>
                <w:tab w:val="left" w:pos="1080"/>
              </w:tabs>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提供了符合竞争性磋商文件要求的《供应商资格声明书》。</w:t>
            </w:r>
          </w:p>
        </w:tc>
        <w:tc>
          <w:tcPr>
            <w:tcW w:w="1563" w:type="dxa"/>
            <w:noWrap w:val="0"/>
            <w:vAlign w:val="center"/>
          </w:tcPr>
          <w:p w14:paraId="20B43337">
            <w:pPr>
              <w:shd w:val="clear" w:color="auto" w:fill="auto"/>
              <w:tabs>
                <w:tab w:val="left" w:pos="1080"/>
              </w:tabs>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格式见《响应文件格式》</w:t>
            </w:r>
          </w:p>
        </w:tc>
      </w:tr>
      <w:tr w14:paraId="578B9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825" w:type="dxa"/>
            <w:noWrap w:val="0"/>
            <w:vAlign w:val="center"/>
          </w:tcPr>
          <w:p w14:paraId="1BDBF49E">
            <w:pPr>
              <w:shd w:val="clear" w:color="auto" w:fill="auto"/>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1770" w:type="dxa"/>
            <w:noWrap w:val="0"/>
            <w:vAlign w:val="center"/>
          </w:tcPr>
          <w:p w14:paraId="232D408E">
            <w:pPr>
              <w:shd w:val="clear" w:color="auto" w:fill="auto"/>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供应商信用记录</w:t>
            </w:r>
          </w:p>
        </w:tc>
        <w:tc>
          <w:tcPr>
            <w:tcW w:w="4904" w:type="dxa"/>
            <w:noWrap w:val="0"/>
            <w:vAlign w:val="center"/>
          </w:tcPr>
          <w:p w14:paraId="3EBEA2BD">
            <w:pPr>
              <w:shd w:val="clear" w:color="auto" w:fill="auto"/>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查询渠道：信用中国网站和中国政府采购网（</w:t>
            </w:r>
            <w:r>
              <w:rPr>
                <w:rFonts w:hint="eastAsia" w:ascii="仿宋" w:hAnsi="仿宋" w:eastAsia="仿宋" w:cs="仿宋"/>
                <w:color w:val="auto"/>
                <w:highlight w:val="none"/>
              </w:rPr>
              <w:t>www.creditchina.gov.cn</w:t>
            </w:r>
            <w:r>
              <w:rPr>
                <w:rFonts w:hint="eastAsia" w:ascii="仿宋" w:hAnsi="仿宋" w:eastAsia="仿宋" w:cs="仿宋"/>
                <w:color w:val="auto"/>
                <w:sz w:val="24"/>
                <w:highlight w:val="none"/>
              </w:rPr>
              <w:t>、</w:t>
            </w:r>
            <w:r>
              <w:rPr>
                <w:rFonts w:hint="eastAsia" w:ascii="仿宋" w:hAnsi="仿宋" w:eastAsia="仿宋" w:cs="仿宋"/>
                <w:color w:val="auto"/>
                <w:highlight w:val="none"/>
              </w:rPr>
              <w:t>www.ccgp.gov.cn</w:t>
            </w:r>
            <w:r>
              <w:rPr>
                <w:rFonts w:hint="eastAsia" w:ascii="仿宋" w:hAnsi="仿宋" w:eastAsia="仿宋" w:cs="仿宋"/>
                <w:color w:val="auto"/>
                <w:sz w:val="24"/>
                <w:highlight w:val="none"/>
              </w:rPr>
              <w:t>）；</w:t>
            </w:r>
          </w:p>
          <w:p w14:paraId="7312A7C6">
            <w:pPr>
              <w:shd w:val="clear" w:color="auto" w:fill="auto"/>
              <w:tabs>
                <w:tab w:val="left" w:pos="900"/>
                <w:tab w:val="left" w:pos="19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截止时点：</w:t>
            </w:r>
            <w:r>
              <w:rPr>
                <w:rFonts w:hint="eastAsia" w:ascii="仿宋" w:hAnsi="仿宋" w:eastAsia="仿宋" w:cs="仿宋"/>
                <w:color w:val="auto"/>
                <w:kern w:val="0"/>
                <w:sz w:val="24"/>
                <w:szCs w:val="20"/>
                <w:highlight w:val="none"/>
              </w:rPr>
              <w:t>首次响应文件提交截止时间以后</w:t>
            </w:r>
            <w:r>
              <w:rPr>
                <w:rFonts w:hint="eastAsia" w:ascii="仿宋" w:hAnsi="仿宋" w:eastAsia="仿宋" w:cs="仿宋"/>
                <w:color w:val="auto"/>
                <w:sz w:val="24"/>
                <w:highlight w:val="none"/>
              </w:rPr>
              <w:t>、资格审查阶段采购人或采购代理机构的实际查询时间；</w:t>
            </w:r>
          </w:p>
          <w:p w14:paraId="775AC2CB">
            <w:pPr>
              <w:shd w:val="clear" w:color="auto" w:fill="auto"/>
              <w:tabs>
                <w:tab w:val="left" w:pos="900"/>
                <w:tab w:val="left" w:pos="19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信用信息查询记录和证据留存具体方式：查询结果网页打印页作为查询记录和证据，与其他竞争性磋商文件一并保存；</w:t>
            </w:r>
          </w:p>
          <w:p w14:paraId="3D8DD60C">
            <w:pPr>
              <w:shd w:val="clear" w:color="auto" w:fill="auto"/>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信用信息的使用原则：经认定的被列入失信被执行人、</w:t>
            </w:r>
            <w:r>
              <w:rPr>
                <w:rFonts w:hint="eastAsia" w:ascii="仿宋" w:hAnsi="仿宋" w:eastAsia="仿宋" w:cs="仿宋"/>
                <w:color w:val="auto"/>
                <w:sz w:val="24"/>
                <w:highlight w:val="none"/>
                <w:lang w:eastAsia="zh-CN"/>
              </w:rPr>
              <w:t>重大税收违法失信主体</w:t>
            </w:r>
            <w:r>
              <w:rPr>
                <w:rFonts w:hint="eastAsia" w:ascii="仿宋" w:hAnsi="仿宋" w:eastAsia="仿宋" w:cs="仿宋"/>
                <w:color w:val="auto"/>
                <w:sz w:val="24"/>
                <w:highlight w:val="none"/>
              </w:rPr>
              <w:t>、政府采购严重违法失信行为记录名单的供应商，其</w:t>
            </w:r>
            <w:r>
              <w:rPr>
                <w:rFonts w:hint="eastAsia" w:ascii="仿宋" w:hAnsi="仿宋" w:eastAsia="仿宋" w:cs="仿宋"/>
                <w:b/>
                <w:color w:val="auto"/>
                <w:sz w:val="24"/>
                <w:highlight w:val="none"/>
              </w:rPr>
              <w:t>响应无效</w:t>
            </w:r>
            <w:r>
              <w:rPr>
                <w:rFonts w:hint="eastAsia" w:ascii="仿宋" w:hAnsi="仿宋" w:eastAsia="仿宋" w:cs="仿宋"/>
                <w:color w:val="auto"/>
                <w:sz w:val="24"/>
                <w:highlight w:val="none"/>
              </w:rPr>
              <w:t>。联合体形式磋商的，联合体成员存在不良信用记录，视同联合体存在不良信用记录。</w:t>
            </w:r>
          </w:p>
        </w:tc>
        <w:tc>
          <w:tcPr>
            <w:tcW w:w="1563" w:type="dxa"/>
            <w:noWrap w:val="0"/>
            <w:vAlign w:val="center"/>
          </w:tcPr>
          <w:p w14:paraId="6EE2A820">
            <w:pPr>
              <w:shd w:val="clear" w:color="auto" w:fill="auto"/>
              <w:tabs>
                <w:tab w:val="left" w:pos="1080"/>
              </w:tabs>
              <w:snapToGrid w:val="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无须供应商提供，由采购人或采购代理机构查询。</w:t>
            </w:r>
          </w:p>
        </w:tc>
      </w:tr>
      <w:tr w14:paraId="30E93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825" w:type="dxa"/>
            <w:noWrap w:val="0"/>
            <w:vAlign w:val="center"/>
          </w:tcPr>
          <w:p w14:paraId="2E6FBA29">
            <w:pPr>
              <w:shd w:val="clear" w:color="auto" w:fill="auto"/>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1770" w:type="dxa"/>
            <w:noWrap w:val="0"/>
            <w:vAlign w:val="center"/>
          </w:tcPr>
          <w:p w14:paraId="08FF955A">
            <w:pPr>
              <w:shd w:val="clear" w:color="auto" w:fill="auto"/>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法律、行政法规规定的其他条件</w:t>
            </w:r>
          </w:p>
        </w:tc>
        <w:tc>
          <w:tcPr>
            <w:tcW w:w="4904" w:type="dxa"/>
            <w:noWrap w:val="0"/>
            <w:vAlign w:val="center"/>
          </w:tcPr>
          <w:p w14:paraId="4A04A7B0">
            <w:pPr>
              <w:shd w:val="clear" w:color="auto" w:fill="auto"/>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法律、行政法规规定的其他条件</w:t>
            </w:r>
          </w:p>
        </w:tc>
        <w:tc>
          <w:tcPr>
            <w:tcW w:w="1563" w:type="dxa"/>
            <w:noWrap w:val="0"/>
            <w:vAlign w:val="center"/>
          </w:tcPr>
          <w:p w14:paraId="0AF6D5A4">
            <w:pPr>
              <w:shd w:val="clear" w:color="auto" w:fill="auto"/>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r w14:paraId="79989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825" w:type="dxa"/>
            <w:noWrap w:val="0"/>
            <w:vAlign w:val="center"/>
          </w:tcPr>
          <w:p w14:paraId="35666CD0">
            <w:pPr>
              <w:shd w:val="clear" w:color="auto" w:fill="auto"/>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770" w:type="dxa"/>
            <w:noWrap w:val="0"/>
            <w:vAlign w:val="center"/>
          </w:tcPr>
          <w:p w14:paraId="3CDAD43B">
            <w:pPr>
              <w:shd w:val="clear" w:color="auto" w:fill="auto"/>
              <w:tabs>
                <w:tab w:val="left" w:pos="1080"/>
              </w:tabs>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落实政府采购政策需满足的资格要求</w:t>
            </w:r>
          </w:p>
        </w:tc>
        <w:tc>
          <w:tcPr>
            <w:tcW w:w="4904" w:type="dxa"/>
            <w:noWrap w:val="0"/>
            <w:vAlign w:val="center"/>
          </w:tcPr>
          <w:p w14:paraId="38639864">
            <w:pPr>
              <w:shd w:val="clear" w:color="auto" w:fill="auto"/>
              <w:tabs>
                <w:tab w:val="left" w:pos="1080"/>
              </w:tabs>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具体要求见第一章《采购邀请》</w:t>
            </w:r>
          </w:p>
        </w:tc>
        <w:tc>
          <w:tcPr>
            <w:tcW w:w="1563" w:type="dxa"/>
            <w:noWrap w:val="0"/>
            <w:vAlign w:val="center"/>
          </w:tcPr>
          <w:p w14:paraId="256C5A6E">
            <w:pPr>
              <w:shd w:val="clear" w:color="auto" w:fill="auto"/>
              <w:tabs>
                <w:tab w:val="left" w:pos="1080"/>
              </w:tabs>
              <w:snapToGrid w:val="0"/>
              <w:jc w:val="left"/>
              <w:rPr>
                <w:rFonts w:hint="eastAsia" w:ascii="仿宋" w:hAnsi="仿宋" w:eastAsia="仿宋" w:cs="仿宋"/>
                <w:color w:val="auto"/>
                <w:sz w:val="24"/>
                <w:highlight w:val="none"/>
              </w:rPr>
            </w:pPr>
          </w:p>
        </w:tc>
      </w:tr>
      <w:tr w14:paraId="1094C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825" w:type="dxa"/>
            <w:noWrap w:val="0"/>
            <w:vAlign w:val="center"/>
          </w:tcPr>
          <w:p w14:paraId="21115940">
            <w:pPr>
              <w:shd w:val="clear" w:color="auto" w:fill="auto"/>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p>
        </w:tc>
        <w:tc>
          <w:tcPr>
            <w:tcW w:w="1770" w:type="dxa"/>
            <w:noWrap w:val="0"/>
            <w:vAlign w:val="center"/>
          </w:tcPr>
          <w:p w14:paraId="114A9364">
            <w:pPr>
              <w:shd w:val="clear" w:color="auto" w:fill="auto"/>
              <w:tabs>
                <w:tab w:val="left" w:pos="1080"/>
              </w:tabs>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中小企业政策证明文件</w:t>
            </w:r>
          </w:p>
        </w:tc>
        <w:tc>
          <w:tcPr>
            <w:tcW w:w="4904" w:type="dxa"/>
            <w:noWrap w:val="0"/>
            <w:vAlign w:val="center"/>
          </w:tcPr>
          <w:p w14:paraId="7CC4AB55">
            <w:pPr>
              <w:shd w:val="clear" w:color="auto" w:fill="auto"/>
              <w:tabs>
                <w:tab w:val="left" w:pos="1080"/>
              </w:tabs>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具体要求见第一章《采购邀请》</w:t>
            </w:r>
          </w:p>
        </w:tc>
        <w:tc>
          <w:tcPr>
            <w:tcW w:w="1563" w:type="dxa"/>
            <w:noWrap w:val="0"/>
            <w:vAlign w:val="center"/>
          </w:tcPr>
          <w:p w14:paraId="03E0B164">
            <w:pPr>
              <w:shd w:val="clear" w:color="auto" w:fill="auto"/>
              <w:tabs>
                <w:tab w:val="left" w:pos="1080"/>
              </w:tabs>
              <w:snapToGrid w:val="0"/>
              <w:jc w:val="left"/>
              <w:rPr>
                <w:rFonts w:hint="eastAsia" w:ascii="仿宋" w:hAnsi="仿宋" w:eastAsia="仿宋" w:cs="仿宋"/>
                <w:color w:val="auto"/>
                <w:sz w:val="24"/>
                <w:highlight w:val="none"/>
              </w:rPr>
            </w:pPr>
          </w:p>
        </w:tc>
      </w:tr>
      <w:tr w14:paraId="4BF5C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825" w:type="dxa"/>
            <w:noWrap w:val="0"/>
            <w:vAlign w:val="center"/>
          </w:tcPr>
          <w:p w14:paraId="00C6BB5B">
            <w:pPr>
              <w:shd w:val="clear" w:color="auto" w:fill="auto"/>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2-1-1</w:t>
            </w:r>
          </w:p>
        </w:tc>
        <w:tc>
          <w:tcPr>
            <w:tcW w:w="1770" w:type="dxa"/>
            <w:noWrap w:val="0"/>
            <w:vAlign w:val="center"/>
          </w:tcPr>
          <w:p w14:paraId="12BDE5C2">
            <w:pPr>
              <w:shd w:val="clear" w:color="auto" w:fill="auto"/>
              <w:tabs>
                <w:tab w:val="left" w:pos="1080"/>
              </w:tabs>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中小企业证明文件</w:t>
            </w:r>
          </w:p>
        </w:tc>
        <w:tc>
          <w:tcPr>
            <w:tcW w:w="4904" w:type="dxa"/>
            <w:noWrap w:val="0"/>
            <w:vAlign w:val="center"/>
          </w:tcPr>
          <w:p w14:paraId="50DC9B27">
            <w:pPr>
              <w:shd w:val="clear" w:color="auto" w:fill="auto"/>
              <w:tabs>
                <w:tab w:val="left" w:pos="1080"/>
              </w:tabs>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当本项目（包）涉及预留份额专门面向中小企业采购，提供如下资料：</w:t>
            </w:r>
          </w:p>
          <w:p w14:paraId="1297864B">
            <w:pPr>
              <w:shd w:val="clear" w:color="auto" w:fill="auto"/>
              <w:tabs>
                <w:tab w:val="left" w:pos="1080"/>
              </w:tabs>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供应商单独响应的，应提供《中小企业声明函》或《残疾人福利性单位声明函》或由省级以上监狱管理局、戒毒管理局（含新疆生产建设兵团）出具的属于监狱企业的证明文件。</w:t>
            </w:r>
          </w:p>
          <w:p w14:paraId="1E9554BC">
            <w:pPr>
              <w:shd w:val="clear" w:color="auto" w:fill="auto"/>
              <w:tabs>
                <w:tab w:val="left" w:pos="1080"/>
              </w:tabs>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563" w:type="dxa"/>
            <w:noWrap w:val="0"/>
            <w:vAlign w:val="center"/>
          </w:tcPr>
          <w:p w14:paraId="3271570D">
            <w:pPr>
              <w:shd w:val="clear" w:color="auto" w:fill="auto"/>
              <w:tabs>
                <w:tab w:val="left" w:pos="1080"/>
              </w:tabs>
              <w:snapToGrid w:val="0"/>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格式见《响应文件格式》</w:t>
            </w:r>
          </w:p>
        </w:tc>
      </w:tr>
      <w:tr w14:paraId="55099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825" w:type="dxa"/>
            <w:noWrap w:val="0"/>
            <w:vAlign w:val="center"/>
          </w:tcPr>
          <w:p w14:paraId="1332FEF1">
            <w:pPr>
              <w:shd w:val="clear" w:color="auto" w:fill="auto"/>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770" w:type="dxa"/>
            <w:noWrap w:val="0"/>
            <w:vAlign w:val="center"/>
          </w:tcPr>
          <w:p w14:paraId="101105ED">
            <w:pPr>
              <w:shd w:val="clear" w:color="auto" w:fill="auto"/>
              <w:tabs>
                <w:tab w:val="left" w:pos="1080"/>
              </w:tabs>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本项目的特定资格要求</w:t>
            </w:r>
          </w:p>
        </w:tc>
        <w:tc>
          <w:tcPr>
            <w:tcW w:w="4904" w:type="dxa"/>
            <w:noWrap w:val="0"/>
            <w:vAlign w:val="center"/>
          </w:tcPr>
          <w:p w14:paraId="133DA259">
            <w:pPr>
              <w:shd w:val="clear" w:color="auto" w:fill="auto"/>
              <w:tabs>
                <w:tab w:val="left" w:pos="1080"/>
              </w:tabs>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如有，见第一章《采购邀请》</w:t>
            </w:r>
          </w:p>
        </w:tc>
        <w:tc>
          <w:tcPr>
            <w:tcW w:w="1563" w:type="dxa"/>
            <w:noWrap w:val="0"/>
            <w:vAlign w:val="center"/>
          </w:tcPr>
          <w:p w14:paraId="78125289">
            <w:pPr>
              <w:shd w:val="clear" w:color="auto" w:fill="auto"/>
              <w:tabs>
                <w:tab w:val="left" w:pos="1080"/>
              </w:tabs>
              <w:snapToGrid w:val="0"/>
              <w:jc w:val="left"/>
              <w:rPr>
                <w:rFonts w:hint="eastAsia" w:ascii="仿宋" w:hAnsi="仿宋" w:eastAsia="仿宋" w:cs="仿宋"/>
                <w:color w:val="auto"/>
                <w:sz w:val="24"/>
                <w:highlight w:val="none"/>
              </w:rPr>
            </w:pPr>
          </w:p>
        </w:tc>
      </w:tr>
      <w:tr w14:paraId="5ECA6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825" w:type="dxa"/>
            <w:noWrap w:val="0"/>
            <w:vAlign w:val="center"/>
          </w:tcPr>
          <w:p w14:paraId="1B72C4F6">
            <w:pPr>
              <w:shd w:val="clear" w:color="auto" w:fill="auto"/>
              <w:tabs>
                <w:tab w:val="left" w:pos="1080"/>
              </w:tabs>
              <w:snapToGrid w:val="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1</w:t>
            </w:r>
          </w:p>
        </w:tc>
        <w:tc>
          <w:tcPr>
            <w:tcW w:w="1770" w:type="dxa"/>
            <w:noWrap w:val="0"/>
            <w:vAlign w:val="center"/>
          </w:tcPr>
          <w:p w14:paraId="46935C9F">
            <w:pPr>
              <w:shd w:val="clear" w:color="auto" w:fill="auto"/>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政府购买服务承接主体的要求</w:t>
            </w:r>
          </w:p>
        </w:tc>
        <w:tc>
          <w:tcPr>
            <w:tcW w:w="4904" w:type="dxa"/>
            <w:noWrap w:val="0"/>
            <w:vAlign w:val="center"/>
          </w:tcPr>
          <w:p w14:paraId="71A4B850">
            <w:pPr>
              <w:shd w:val="clear" w:color="auto" w:fill="auto"/>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如本项目属于政府购买服务，供应商不属于公益一类事业单位、使用事业编制且由财政拨款保障的群团组织。</w:t>
            </w:r>
          </w:p>
        </w:tc>
        <w:tc>
          <w:tcPr>
            <w:tcW w:w="1563" w:type="dxa"/>
            <w:noWrap w:val="0"/>
            <w:vAlign w:val="center"/>
          </w:tcPr>
          <w:p w14:paraId="47CC78A2">
            <w:pPr>
              <w:shd w:val="clear" w:color="auto" w:fill="auto"/>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格式见《响应文件格式》“1-2供应商资格声明书”</w:t>
            </w:r>
          </w:p>
        </w:tc>
      </w:tr>
      <w:tr w14:paraId="0EA7F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825" w:type="dxa"/>
            <w:noWrap w:val="0"/>
            <w:vAlign w:val="center"/>
          </w:tcPr>
          <w:p w14:paraId="5C12E0DD">
            <w:pPr>
              <w:shd w:val="clear" w:color="auto" w:fill="auto"/>
              <w:tabs>
                <w:tab w:val="left" w:pos="1080"/>
              </w:tabs>
              <w:snapToGrid w:val="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2</w:t>
            </w:r>
          </w:p>
        </w:tc>
        <w:tc>
          <w:tcPr>
            <w:tcW w:w="1770" w:type="dxa"/>
            <w:noWrap w:val="0"/>
            <w:vAlign w:val="center"/>
          </w:tcPr>
          <w:p w14:paraId="1B77983A">
            <w:pPr>
              <w:shd w:val="clear" w:color="auto" w:fill="auto"/>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其他特定资格要求</w:t>
            </w:r>
          </w:p>
        </w:tc>
        <w:tc>
          <w:tcPr>
            <w:tcW w:w="4904" w:type="dxa"/>
            <w:noWrap w:val="0"/>
            <w:vAlign w:val="center"/>
          </w:tcPr>
          <w:p w14:paraId="58695C42">
            <w:pPr>
              <w:shd w:val="clear" w:color="auto" w:fill="auto"/>
              <w:tabs>
                <w:tab w:val="left" w:pos="1080"/>
              </w:tabs>
              <w:snapToGrid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如有，见第一章《</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lang w:eastAsia="zh-CN"/>
              </w:rPr>
              <w:t>邀请》</w:t>
            </w:r>
          </w:p>
          <w:p w14:paraId="1EBDAF98">
            <w:pPr>
              <w:shd w:val="clear" w:color="auto" w:fill="auto"/>
              <w:tabs>
                <w:tab w:val="left" w:pos="1080"/>
              </w:tabs>
              <w:snapToGrid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注：如联合体中有同类资质的供应商按照联合体分工承担相同工作的，均应当提供资质证书。</w:t>
            </w:r>
          </w:p>
        </w:tc>
        <w:tc>
          <w:tcPr>
            <w:tcW w:w="1563" w:type="dxa"/>
            <w:noWrap w:val="0"/>
            <w:vAlign w:val="center"/>
          </w:tcPr>
          <w:p w14:paraId="2C9C9531">
            <w:pPr>
              <w:shd w:val="clear" w:color="auto" w:fill="auto"/>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提供证明文件的电子件或电子证照</w:t>
            </w:r>
          </w:p>
        </w:tc>
      </w:tr>
      <w:tr w14:paraId="33F49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825" w:type="dxa"/>
            <w:noWrap w:val="0"/>
            <w:vAlign w:val="center"/>
          </w:tcPr>
          <w:p w14:paraId="5964BA94">
            <w:pPr>
              <w:shd w:val="clear" w:color="auto" w:fill="auto"/>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770" w:type="dxa"/>
            <w:noWrap w:val="0"/>
            <w:vAlign w:val="center"/>
          </w:tcPr>
          <w:p w14:paraId="165C0DCA">
            <w:pPr>
              <w:shd w:val="clear" w:color="auto" w:fill="auto"/>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磋商保证金</w:t>
            </w:r>
          </w:p>
        </w:tc>
        <w:tc>
          <w:tcPr>
            <w:tcW w:w="4904" w:type="dxa"/>
            <w:noWrap w:val="0"/>
            <w:vAlign w:val="center"/>
          </w:tcPr>
          <w:p w14:paraId="23F736DD">
            <w:pPr>
              <w:shd w:val="clear" w:color="auto" w:fill="auto"/>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按照竞争性磋商文件的要求提交磋商保证金。</w:t>
            </w:r>
          </w:p>
        </w:tc>
        <w:tc>
          <w:tcPr>
            <w:tcW w:w="1563" w:type="dxa"/>
            <w:noWrap w:val="0"/>
            <w:vAlign w:val="center"/>
          </w:tcPr>
          <w:p w14:paraId="62BECF42">
            <w:pPr>
              <w:shd w:val="clear" w:color="auto" w:fill="auto"/>
              <w:tabs>
                <w:tab w:val="left" w:pos="1080"/>
              </w:tabs>
              <w:snapToGrid w:val="0"/>
              <w:rPr>
                <w:rFonts w:hint="eastAsia" w:ascii="仿宋" w:hAnsi="仿宋" w:eastAsia="仿宋" w:cs="仿宋"/>
                <w:color w:val="auto"/>
                <w:sz w:val="24"/>
                <w:highlight w:val="none"/>
              </w:rPr>
            </w:pPr>
          </w:p>
        </w:tc>
      </w:tr>
      <w:tr w14:paraId="48AE5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825" w:type="dxa"/>
            <w:noWrap w:val="0"/>
            <w:vAlign w:val="center"/>
          </w:tcPr>
          <w:p w14:paraId="3FAD5129">
            <w:pPr>
              <w:shd w:val="clear" w:color="auto" w:fill="auto"/>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770" w:type="dxa"/>
            <w:noWrap w:val="0"/>
            <w:vAlign w:val="center"/>
          </w:tcPr>
          <w:p w14:paraId="0CE5B1B8">
            <w:pPr>
              <w:shd w:val="clear" w:color="auto" w:fill="auto"/>
              <w:tabs>
                <w:tab w:val="left" w:pos="1080"/>
              </w:tabs>
              <w:snapToGrid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获取磋商文件</w:t>
            </w:r>
          </w:p>
        </w:tc>
        <w:tc>
          <w:tcPr>
            <w:tcW w:w="4904" w:type="dxa"/>
            <w:noWrap w:val="0"/>
            <w:vAlign w:val="center"/>
          </w:tcPr>
          <w:p w14:paraId="68A13627">
            <w:pPr>
              <w:shd w:val="clear" w:color="auto" w:fill="auto"/>
              <w:tabs>
                <w:tab w:val="left" w:pos="1080"/>
              </w:tabs>
              <w:snapToGrid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在规定期限内通过北京市政府采购电子交易平台获取所参与包的磋商文件。</w:t>
            </w:r>
          </w:p>
          <w:p w14:paraId="341C0E14">
            <w:pPr>
              <w:shd w:val="clear" w:color="auto" w:fill="auto"/>
              <w:tabs>
                <w:tab w:val="left" w:pos="1080"/>
              </w:tabs>
              <w:snapToGrid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注：如本项目接受联合体，且供应商为联合体时，联合体中任一成员获取文件即视为满足要求。</w:t>
            </w:r>
          </w:p>
        </w:tc>
        <w:tc>
          <w:tcPr>
            <w:tcW w:w="1563" w:type="dxa"/>
            <w:noWrap w:val="0"/>
            <w:vAlign w:val="center"/>
          </w:tcPr>
          <w:p w14:paraId="78FD0701">
            <w:pPr>
              <w:shd w:val="clear" w:color="auto" w:fill="auto"/>
              <w:tabs>
                <w:tab w:val="left" w:pos="1080"/>
              </w:tabs>
              <w:snapToGrid w:val="0"/>
              <w:rPr>
                <w:rFonts w:hint="eastAsia" w:ascii="仿宋" w:hAnsi="仿宋" w:eastAsia="仿宋" w:cs="仿宋"/>
                <w:color w:val="auto"/>
                <w:sz w:val="24"/>
                <w:highlight w:val="none"/>
              </w:rPr>
            </w:pPr>
          </w:p>
        </w:tc>
      </w:tr>
    </w:tbl>
    <w:p w14:paraId="62B723F5">
      <w:pPr>
        <w:widowControl/>
        <w:shd w:val="clear" w:color="auto" w:fill="auto"/>
        <w:jc w:val="left"/>
        <w:rPr>
          <w:rFonts w:hint="eastAsia" w:ascii="仿宋" w:hAnsi="仿宋" w:eastAsia="仿宋" w:cs="仿宋"/>
          <w:color w:val="auto"/>
          <w:sz w:val="24"/>
          <w:highlight w:val="none"/>
        </w:rPr>
      </w:pPr>
    </w:p>
    <w:p w14:paraId="601B946C">
      <w:pPr>
        <w:numPr>
          <w:ilvl w:val="1"/>
          <w:numId w:val="0"/>
        </w:numPr>
        <w:shd w:val="clear" w:color="auto" w:fill="auto"/>
        <w:tabs>
          <w:tab w:val="left" w:pos="1080"/>
        </w:tabs>
        <w:snapToGrid w:val="0"/>
        <w:spacing w:line="360" w:lineRule="auto"/>
        <w:ind w:left="1077" w:leftChars="0" w:hanging="720" w:firstLineChars="0"/>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2.1</w:t>
      </w:r>
      <w:r>
        <w:rPr>
          <w:rFonts w:hint="eastAsia" w:ascii="仿宋" w:hAnsi="仿宋" w:eastAsia="仿宋" w:cs="仿宋"/>
          <w:color w:val="auto"/>
          <w:sz w:val="24"/>
          <w:highlight w:val="none"/>
        </w:rPr>
        <w:t>《符合性审查要求》见下表：</w:t>
      </w:r>
    </w:p>
    <w:p w14:paraId="17E69662">
      <w:pPr>
        <w:widowControl/>
        <w:shd w:val="clear" w:color="auto" w:fill="auto"/>
        <w:spacing w:line="360" w:lineRule="auto"/>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符合性审查要求</w:t>
      </w:r>
    </w:p>
    <w:tbl>
      <w:tblPr>
        <w:tblStyle w:val="43"/>
        <w:tblW w:w="48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2258"/>
        <w:gridCol w:w="4860"/>
        <w:gridCol w:w="1481"/>
      </w:tblGrid>
      <w:tr w14:paraId="77C2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88" w:type="pct"/>
            <w:noWrap w:val="0"/>
            <w:vAlign w:val="center"/>
          </w:tcPr>
          <w:p w14:paraId="349B8529">
            <w:pPr>
              <w:widowControl/>
              <w:shd w:val="clear" w:color="auto" w:fill="auto"/>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序号</w:t>
            </w:r>
          </w:p>
        </w:tc>
        <w:tc>
          <w:tcPr>
            <w:tcW w:w="1237" w:type="pct"/>
            <w:noWrap w:val="0"/>
            <w:vAlign w:val="center"/>
          </w:tcPr>
          <w:p w14:paraId="371B112A">
            <w:pPr>
              <w:widowControl/>
              <w:shd w:val="clear" w:color="auto" w:fill="auto"/>
              <w:jc w:val="center"/>
              <w:rPr>
                <w:rFonts w:hint="eastAsia" w:ascii="仿宋" w:hAnsi="仿宋" w:eastAsia="仿宋" w:cs="仿宋"/>
                <w:b/>
                <w:color w:val="auto"/>
                <w:kern w:val="0"/>
                <w:sz w:val="24"/>
                <w:highlight w:val="none"/>
              </w:rPr>
            </w:pPr>
            <w:r>
              <w:rPr>
                <w:rFonts w:hint="eastAsia" w:ascii="仿宋" w:hAnsi="仿宋" w:eastAsia="仿宋" w:cs="仿宋"/>
                <w:b/>
                <w:color w:val="auto"/>
                <w:sz w:val="24"/>
                <w:highlight w:val="none"/>
              </w:rPr>
              <w:t>检查</w:t>
            </w:r>
            <w:r>
              <w:rPr>
                <w:rFonts w:hint="eastAsia" w:ascii="仿宋" w:hAnsi="仿宋" w:eastAsia="仿宋" w:cs="仿宋"/>
                <w:b/>
                <w:color w:val="auto"/>
                <w:kern w:val="0"/>
                <w:sz w:val="24"/>
                <w:highlight w:val="none"/>
              </w:rPr>
              <w:t>因素</w:t>
            </w:r>
          </w:p>
        </w:tc>
        <w:tc>
          <w:tcPr>
            <w:tcW w:w="2662" w:type="pct"/>
            <w:noWrap w:val="0"/>
            <w:vAlign w:val="center"/>
          </w:tcPr>
          <w:p w14:paraId="157638FD">
            <w:pPr>
              <w:widowControl/>
              <w:shd w:val="clear" w:color="auto" w:fill="auto"/>
              <w:jc w:val="center"/>
              <w:rPr>
                <w:rFonts w:hint="eastAsia" w:ascii="仿宋" w:hAnsi="仿宋" w:eastAsia="仿宋" w:cs="仿宋"/>
                <w:b/>
                <w:color w:val="auto"/>
                <w:kern w:val="0"/>
                <w:sz w:val="24"/>
                <w:highlight w:val="none"/>
              </w:rPr>
            </w:pPr>
            <w:r>
              <w:rPr>
                <w:rFonts w:hint="eastAsia" w:ascii="仿宋" w:hAnsi="仿宋" w:eastAsia="仿宋" w:cs="仿宋"/>
                <w:b/>
                <w:color w:val="auto"/>
                <w:sz w:val="24"/>
                <w:highlight w:val="none"/>
              </w:rPr>
              <w:t>检查</w:t>
            </w:r>
            <w:r>
              <w:rPr>
                <w:rFonts w:hint="eastAsia" w:ascii="仿宋" w:hAnsi="仿宋" w:eastAsia="仿宋" w:cs="仿宋"/>
                <w:b/>
                <w:color w:val="auto"/>
                <w:kern w:val="0"/>
                <w:sz w:val="24"/>
                <w:highlight w:val="none"/>
              </w:rPr>
              <w:t>内容</w:t>
            </w:r>
          </w:p>
        </w:tc>
        <w:tc>
          <w:tcPr>
            <w:tcW w:w="811" w:type="pct"/>
            <w:noWrap w:val="0"/>
            <w:vAlign w:val="center"/>
          </w:tcPr>
          <w:p w14:paraId="18619545">
            <w:pPr>
              <w:widowControl/>
              <w:shd w:val="clear" w:color="auto" w:fill="auto"/>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是否允许澄清、说明或者更正</w:t>
            </w:r>
          </w:p>
        </w:tc>
      </w:tr>
      <w:tr w14:paraId="0394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88" w:type="pct"/>
            <w:noWrap w:val="0"/>
            <w:vAlign w:val="center"/>
          </w:tcPr>
          <w:p w14:paraId="26238500">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237" w:type="pct"/>
            <w:noWrap w:val="0"/>
            <w:vAlign w:val="center"/>
          </w:tcPr>
          <w:p w14:paraId="05830EFD">
            <w:pPr>
              <w:shd w:val="clear" w:color="auto" w:fill="auto"/>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磋商报价未超预算</w:t>
            </w:r>
          </w:p>
        </w:tc>
        <w:tc>
          <w:tcPr>
            <w:tcW w:w="2662" w:type="pct"/>
            <w:noWrap w:val="0"/>
            <w:vAlign w:val="center"/>
          </w:tcPr>
          <w:p w14:paraId="638D0BC6">
            <w:pPr>
              <w:shd w:val="clear" w:color="auto" w:fill="auto"/>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bidi="ar"/>
              </w:rPr>
              <w:t>没有因磋商报价超过磋商文件中规定的预算金额或者最高限价，导致采购人无法支付的</w:t>
            </w:r>
          </w:p>
        </w:tc>
        <w:tc>
          <w:tcPr>
            <w:tcW w:w="811" w:type="pct"/>
            <w:noWrap w:val="0"/>
            <w:vAlign w:val="center"/>
          </w:tcPr>
          <w:p w14:paraId="2FCFD765">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不允许</w:t>
            </w:r>
          </w:p>
        </w:tc>
      </w:tr>
      <w:tr w14:paraId="750C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88" w:type="pct"/>
            <w:noWrap w:val="0"/>
            <w:vAlign w:val="center"/>
          </w:tcPr>
          <w:p w14:paraId="1F43860A">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237" w:type="pct"/>
            <w:noWrap w:val="0"/>
            <w:vAlign w:val="center"/>
          </w:tcPr>
          <w:p w14:paraId="12FE4C2F">
            <w:pPr>
              <w:shd w:val="clear" w:color="auto" w:fill="auto"/>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响应有效期</w:t>
            </w:r>
          </w:p>
        </w:tc>
        <w:tc>
          <w:tcPr>
            <w:tcW w:w="2662" w:type="pct"/>
            <w:noWrap w:val="0"/>
            <w:vAlign w:val="center"/>
          </w:tcPr>
          <w:p w14:paraId="7CB0D835">
            <w:pPr>
              <w:shd w:val="clear" w:color="auto" w:fill="auto"/>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bidi="ar"/>
              </w:rPr>
              <w:t>响应有效期≥90个日历日</w:t>
            </w:r>
          </w:p>
        </w:tc>
        <w:tc>
          <w:tcPr>
            <w:tcW w:w="811" w:type="pct"/>
            <w:noWrap w:val="0"/>
            <w:vAlign w:val="center"/>
          </w:tcPr>
          <w:p w14:paraId="5963B275">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不允许</w:t>
            </w:r>
          </w:p>
        </w:tc>
      </w:tr>
      <w:tr w14:paraId="67E5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88" w:type="pct"/>
            <w:noWrap w:val="0"/>
            <w:vAlign w:val="center"/>
          </w:tcPr>
          <w:p w14:paraId="22F9AA88">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237" w:type="pct"/>
            <w:noWrap w:val="0"/>
            <w:vAlign w:val="center"/>
          </w:tcPr>
          <w:p w14:paraId="540D43D5">
            <w:pPr>
              <w:shd w:val="clear" w:color="auto" w:fill="auto"/>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授权委托书和法定代表人（单位负责人）身份证明</w:t>
            </w:r>
          </w:p>
        </w:tc>
        <w:tc>
          <w:tcPr>
            <w:tcW w:w="2662" w:type="pct"/>
            <w:noWrap w:val="0"/>
            <w:vAlign w:val="center"/>
          </w:tcPr>
          <w:p w14:paraId="102F13A8">
            <w:pPr>
              <w:shd w:val="clear" w:color="auto" w:fill="auto"/>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符合本文件要求及格式的授权委托书和法定代表人（单位负责人）身份证明</w:t>
            </w:r>
          </w:p>
        </w:tc>
        <w:tc>
          <w:tcPr>
            <w:tcW w:w="811" w:type="pct"/>
            <w:noWrap w:val="0"/>
            <w:vAlign w:val="center"/>
          </w:tcPr>
          <w:p w14:paraId="786898CC">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不允许</w:t>
            </w:r>
          </w:p>
        </w:tc>
      </w:tr>
      <w:tr w14:paraId="7F27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88" w:type="pct"/>
            <w:noWrap w:val="0"/>
            <w:vAlign w:val="center"/>
          </w:tcPr>
          <w:p w14:paraId="332C0EEE">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237" w:type="pct"/>
            <w:noWrap w:val="0"/>
            <w:vAlign w:val="center"/>
          </w:tcPr>
          <w:p w14:paraId="5FC52199">
            <w:pPr>
              <w:shd w:val="clear" w:color="auto" w:fill="auto"/>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★号条款项、实质性格式</w:t>
            </w:r>
          </w:p>
        </w:tc>
        <w:tc>
          <w:tcPr>
            <w:tcW w:w="2662" w:type="pct"/>
            <w:noWrap w:val="0"/>
            <w:vAlign w:val="center"/>
          </w:tcPr>
          <w:p w14:paraId="10BE5BCB">
            <w:pPr>
              <w:shd w:val="clear" w:color="auto" w:fill="auto"/>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满足“★”号条款的要求和实质性格式要求</w:t>
            </w:r>
          </w:p>
        </w:tc>
        <w:tc>
          <w:tcPr>
            <w:tcW w:w="811" w:type="pct"/>
            <w:noWrap w:val="0"/>
            <w:vAlign w:val="center"/>
          </w:tcPr>
          <w:p w14:paraId="4DD22337">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不允许</w:t>
            </w:r>
          </w:p>
        </w:tc>
      </w:tr>
      <w:tr w14:paraId="0A80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88" w:type="pct"/>
            <w:noWrap w:val="0"/>
            <w:vAlign w:val="center"/>
          </w:tcPr>
          <w:p w14:paraId="31E93099">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237" w:type="pct"/>
            <w:noWrap w:val="0"/>
            <w:vAlign w:val="center"/>
          </w:tcPr>
          <w:p w14:paraId="53E1C00D">
            <w:pPr>
              <w:shd w:val="clear" w:color="auto" w:fill="auto"/>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文件签署、盖章</w:t>
            </w:r>
          </w:p>
        </w:tc>
        <w:tc>
          <w:tcPr>
            <w:tcW w:w="2662" w:type="pct"/>
            <w:noWrap w:val="0"/>
            <w:vAlign w:val="center"/>
          </w:tcPr>
          <w:p w14:paraId="3566F161">
            <w:pPr>
              <w:shd w:val="clear" w:color="auto" w:fill="auto"/>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bidi="ar"/>
              </w:rPr>
              <w:t>没有出现未按照磋商文件规定要求签署、盖章的情形</w:t>
            </w:r>
          </w:p>
        </w:tc>
        <w:tc>
          <w:tcPr>
            <w:tcW w:w="811" w:type="pct"/>
            <w:noWrap w:val="0"/>
            <w:vAlign w:val="center"/>
          </w:tcPr>
          <w:p w14:paraId="3FF783FB">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不允许</w:t>
            </w:r>
          </w:p>
        </w:tc>
      </w:tr>
      <w:tr w14:paraId="127F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88" w:type="pct"/>
            <w:noWrap w:val="0"/>
            <w:vAlign w:val="center"/>
          </w:tcPr>
          <w:p w14:paraId="2AC8F78D">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w:t>
            </w:r>
          </w:p>
        </w:tc>
        <w:tc>
          <w:tcPr>
            <w:tcW w:w="1237" w:type="pct"/>
            <w:noWrap w:val="0"/>
            <w:vAlign w:val="center"/>
          </w:tcPr>
          <w:p w14:paraId="5E3B8A90">
            <w:pPr>
              <w:shd w:val="clear" w:color="auto" w:fill="auto"/>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文件完整性、有效性</w:t>
            </w:r>
          </w:p>
        </w:tc>
        <w:tc>
          <w:tcPr>
            <w:tcW w:w="2662" w:type="pct"/>
            <w:noWrap w:val="0"/>
            <w:vAlign w:val="center"/>
          </w:tcPr>
          <w:p w14:paraId="546864EF">
            <w:pPr>
              <w:shd w:val="clear" w:color="auto" w:fill="auto"/>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bidi="ar"/>
              </w:rPr>
              <w:t>没有出现未按照磋商文件规定的完整性编制，没有因为响应文件内容不全或字迹模糊辨认不清，导致响应文件不满足磋商文件实质性要求的</w:t>
            </w:r>
          </w:p>
        </w:tc>
        <w:tc>
          <w:tcPr>
            <w:tcW w:w="811" w:type="pct"/>
            <w:noWrap w:val="0"/>
            <w:vAlign w:val="center"/>
          </w:tcPr>
          <w:p w14:paraId="72098164">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不允许</w:t>
            </w:r>
          </w:p>
        </w:tc>
      </w:tr>
      <w:tr w14:paraId="7C15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88" w:type="pct"/>
            <w:noWrap w:val="0"/>
            <w:vAlign w:val="center"/>
          </w:tcPr>
          <w:p w14:paraId="2932F514">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w:t>
            </w:r>
          </w:p>
        </w:tc>
        <w:tc>
          <w:tcPr>
            <w:tcW w:w="1237" w:type="pct"/>
            <w:noWrap w:val="0"/>
            <w:vAlign w:val="center"/>
          </w:tcPr>
          <w:p w14:paraId="7EBFA837">
            <w:pPr>
              <w:shd w:val="clear" w:color="auto" w:fill="auto"/>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不存在法律、法规和磋商文件规定的其他无效响应情形</w:t>
            </w:r>
          </w:p>
        </w:tc>
        <w:tc>
          <w:tcPr>
            <w:tcW w:w="2662" w:type="pct"/>
            <w:noWrap w:val="0"/>
            <w:vAlign w:val="center"/>
          </w:tcPr>
          <w:p w14:paraId="3287DA38">
            <w:pPr>
              <w:shd w:val="clear" w:color="auto" w:fill="auto"/>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不存在法律、法规和磋商文件规定的其他无效响应的情形等</w:t>
            </w:r>
          </w:p>
        </w:tc>
        <w:tc>
          <w:tcPr>
            <w:tcW w:w="811" w:type="pct"/>
            <w:noWrap w:val="0"/>
            <w:vAlign w:val="center"/>
          </w:tcPr>
          <w:p w14:paraId="38D3A81F">
            <w:pPr>
              <w:widowControl/>
              <w:shd w:val="clear" w:color="auto" w:fill="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不允许</w:t>
            </w:r>
          </w:p>
        </w:tc>
      </w:tr>
    </w:tbl>
    <w:p w14:paraId="3D129A8A">
      <w:pPr>
        <w:shd w:val="clear" w:color="auto" w:fill="auto"/>
        <w:tabs>
          <w:tab w:val="left" w:pos="900"/>
          <w:tab w:val="left" w:pos="1080"/>
          <w:tab w:val="left" w:pos="1589"/>
        </w:tabs>
        <w:snapToGrid w:val="0"/>
        <w:spacing w:line="360" w:lineRule="auto"/>
        <w:rPr>
          <w:rFonts w:hint="eastAsia" w:ascii="仿宋" w:hAnsi="仿宋" w:eastAsia="仿宋" w:cs="仿宋"/>
          <w:color w:val="auto"/>
          <w:sz w:val="24"/>
          <w:highlight w:val="none"/>
        </w:rPr>
      </w:pPr>
    </w:p>
    <w:p w14:paraId="7491CE0D">
      <w:pPr>
        <w:numPr>
          <w:ilvl w:val="0"/>
          <w:numId w:val="0"/>
        </w:numPr>
        <w:shd w:val="clear" w:color="auto" w:fill="auto"/>
        <w:tabs>
          <w:tab w:val="left" w:pos="360"/>
        </w:tabs>
        <w:snapToGrid w:val="0"/>
        <w:spacing w:line="360" w:lineRule="auto"/>
        <w:ind w:left="900" w:leftChars="0" w:hanging="900" w:firstLineChars="0"/>
        <w:outlineLvl w:val="1"/>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24"/>
          <w:highlight w:val="none"/>
        </w:rPr>
        <w:t>磋商、响应文件有关事项的澄清、说明或者更正和最后报价</w:t>
      </w:r>
    </w:p>
    <w:p w14:paraId="4FE15B81">
      <w:pPr>
        <w:keepNext w:val="0"/>
        <w:keepLines w:val="0"/>
        <w:pageBreakBefore w:val="0"/>
        <w:numPr>
          <w:ilvl w:val="1"/>
          <w:numId w:val="0"/>
        </w:numPr>
        <w:shd w:val="clear" w:color="auto" w:fill="auto"/>
        <w:tabs>
          <w:tab w:val="left" w:pos="108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3.1</w:t>
      </w:r>
      <w:r>
        <w:rPr>
          <w:rFonts w:hint="eastAsia" w:ascii="仿宋" w:hAnsi="仿宋" w:eastAsia="仿宋" w:cs="仿宋"/>
          <w:color w:val="auto"/>
          <w:sz w:val="24"/>
          <w:highlight w:val="none"/>
        </w:rPr>
        <w:t>磋商小组所有成员将集中与单一供应商分别进行磋商，并给予所有参加磋商的供应商平等的磋商机会。</w:t>
      </w:r>
    </w:p>
    <w:p w14:paraId="2CC1813A">
      <w:pPr>
        <w:keepNext w:val="0"/>
        <w:keepLines w:val="0"/>
        <w:pageBreakBefore w:val="0"/>
        <w:numPr>
          <w:ilvl w:val="1"/>
          <w:numId w:val="0"/>
        </w:numPr>
        <w:shd w:val="clear" w:color="auto" w:fill="auto"/>
        <w:tabs>
          <w:tab w:val="left" w:pos="1080"/>
          <w:tab w:val="left" w:pos="1872"/>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3.2</w:t>
      </w:r>
      <w:r>
        <w:rPr>
          <w:rFonts w:hint="eastAsia" w:ascii="仿宋" w:hAnsi="仿宋" w:eastAsia="仿宋" w:cs="仿宋"/>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37871749">
      <w:pPr>
        <w:keepNext w:val="0"/>
        <w:keepLines w:val="0"/>
        <w:pageBreakBefore w:val="0"/>
        <w:numPr>
          <w:ilvl w:val="1"/>
          <w:numId w:val="0"/>
        </w:numPr>
        <w:shd w:val="clear" w:color="auto" w:fill="auto"/>
        <w:tabs>
          <w:tab w:val="left" w:pos="1080"/>
          <w:tab w:val="left" w:pos="1872"/>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kern w:val="0"/>
          <w:sz w:val="24"/>
          <w:highlight w:val="none"/>
        </w:rPr>
      </w:pPr>
      <w:r>
        <w:rPr>
          <w:rFonts w:hint="default" w:ascii="Times New Roman" w:hAnsi="Times New Roman" w:eastAsia="仿宋" w:cs="Times New Roman"/>
          <w:b w:val="0"/>
          <w:color w:val="auto"/>
          <w:kern w:val="0"/>
          <w:sz w:val="24"/>
          <w:szCs w:val="24"/>
          <w:lang w:val="en-US" w:eastAsia="zh-CN" w:bidi="ar-SA"/>
        </w:rPr>
        <w:t>3.3</w:t>
      </w:r>
      <w:r>
        <w:rPr>
          <w:rFonts w:hint="eastAsia" w:ascii="仿宋" w:hAnsi="仿宋" w:eastAsia="仿宋" w:cs="仿宋"/>
          <w:color w:val="auto"/>
          <w:kern w:val="0"/>
          <w:sz w:val="24"/>
          <w:highlight w:val="none"/>
        </w:rPr>
        <w:t>对磋商文件作出的实质性变动是磋商文件的有效组成部分，磋商小组应当及时以书面形式同时通知所有参加磋商的供应商。</w:t>
      </w:r>
    </w:p>
    <w:p w14:paraId="6F85EBEE">
      <w:pPr>
        <w:keepNext w:val="0"/>
        <w:keepLines w:val="0"/>
        <w:pageBreakBefore w:val="0"/>
        <w:numPr>
          <w:ilvl w:val="1"/>
          <w:numId w:val="0"/>
        </w:numPr>
        <w:shd w:val="clear" w:color="auto" w:fill="auto"/>
        <w:tabs>
          <w:tab w:val="left" w:pos="1080"/>
          <w:tab w:val="left" w:pos="1872"/>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kern w:val="0"/>
          <w:sz w:val="24"/>
          <w:highlight w:val="none"/>
        </w:rPr>
      </w:pPr>
      <w:r>
        <w:rPr>
          <w:rFonts w:hint="default" w:ascii="Times New Roman" w:hAnsi="Times New Roman" w:eastAsia="仿宋" w:cs="Times New Roman"/>
          <w:b w:val="0"/>
          <w:color w:val="auto"/>
          <w:kern w:val="0"/>
          <w:sz w:val="24"/>
          <w:szCs w:val="24"/>
          <w:lang w:val="en-US" w:eastAsia="zh-CN" w:bidi="ar-SA"/>
        </w:rPr>
        <w:t>3.4</w:t>
      </w:r>
      <w:r>
        <w:rPr>
          <w:rFonts w:hint="eastAsia" w:ascii="仿宋" w:hAnsi="仿宋" w:eastAsia="仿宋" w:cs="仿宋"/>
          <w:color w:val="auto"/>
          <w:kern w:val="0"/>
          <w:sz w:val="24"/>
          <w:highlight w:val="none"/>
        </w:rPr>
        <w:t>供应商应当按照磋商文件的变动情况和磋商小组的要求重新提交响应文件，并由其法定代表人（</w:t>
      </w:r>
      <w:r>
        <w:rPr>
          <w:rFonts w:hint="eastAsia" w:ascii="仿宋" w:hAnsi="仿宋" w:eastAsia="仿宋" w:cs="仿宋"/>
          <w:color w:val="auto"/>
          <w:sz w:val="24"/>
          <w:szCs w:val="20"/>
          <w:highlight w:val="none"/>
        </w:rPr>
        <w:t>若供应商为事业单位或其他组织或分支机构，可为单位负责人</w:t>
      </w:r>
      <w:r>
        <w:rPr>
          <w:rFonts w:hint="eastAsia" w:ascii="仿宋" w:hAnsi="仿宋" w:eastAsia="仿宋" w:cs="仿宋"/>
          <w:color w:val="auto"/>
          <w:kern w:val="0"/>
          <w:sz w:val="24"/>
          <w:highlight w:val="none"/>
        </w:rPr>
        <w:t>）或授权代表签字或者加盖公章。由授权代表签字的，应当附授权委托书。供应商为自然人的，应当由本人签字并附身份证明。</w:t>
      </w:r>
    </w:p>
    <w:p w14:paraId="65EBAEA2">
      <w:pPr>
        <w:keepNext w:val="0"/>
        <w:keepLines w:val="0"/>
        <w:pageBreakBefore w:val="0"/>
        <w:numPr>
          <w:ilvl w:val="1"/>
          <w:numId w:val="0"/>
        </w:numPr>
        <w:shd w:val="clear" w:color="auto" w:fill="auto"/>
        <w:tabs>
          <w:tab w:val="left" w:pos="1080"/>
          <w:tab w:val="left" w:pos="1872"/>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3.5</w:t>
      </w:r>
      <w:r>
        <w:rPr>
          <w:rFonts w:hint="eastAsia" w:ascii="仿宋" w:hAnsi="仿宋" w:eastAsia="仿宋" w:cs="仿宋"/>
          <w:color w:val="auto"/>
          <w:sz w:val="24"/>
          <w:highlight w:val="none"/>
        </w:rPr>
        <w:t>响应文件的澄清、说明或者更正：</w:t>
      </w:r>
    </w:p>
    <w:p w14:paraId="79C4F8C7">
      <w:pPr>
        <w:keepNext w:val="0"/>
        <w:keepLines w:val="0"/>
        <w:pageBreakBefore w:val="0"/>
        <w:numPr>
          <w:ilvl w:val="2"/>
          <w:numId w:val="0"/>
        </w:numPr>
        <w:shd w:val="clear" w:color="auto" w:fill="auto"/>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3.5.1</w:t>
      </w:r>
      <w:r>
        <w:rPr>
          <w:rFonts w:hint="eastAsia" w:ascii="仿宋" w:hAnsi="仿宋" w:eastAsia="仿宋" w:cs="仿宋"/>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6CCE8929">
      <w:pPr>
        <w:keepNext w:val="0"/>
        <w:keepLines w:val="0"/>
        <w:pageBreakBefore w:val="0"/>
        <w:numPr>
          <w:ilvl w:val="2"/>
          <w:numId w:val="0"/>
        </w:numPr>
        <w:shd w:val="clear" w:color="auto" w:fill="auto"/>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3.5.2</w:t>
      </w:r>
      <w:r>
        <w:rPr>
          <w:rFonts w:hint="eastAsia" w:ascii="仿宋" w:hAnsi="仿宋" w:eastAsia="仿宋" w:cs="仿宋"/>
          <w:color w:val="auto"/>
          <w:sz w:val="24"/>
          <w:highlight w:val="none"/>
        </w:rPr>
        <w:t>磋商小组对响应文件进行审查，如发现供应商提交的响应文件存在不满足《符合性审查要求》的内容，如属于表中“不允许”澄清、说明或者更正的内容，则供应商响应文件按</w:t>
      </w:r>
      <w:r>
        <w:rPr>
          <w:rFonts w:hint="eastAsia" w:ascii="仿宋" w:hAnsi="仿宋" w:eastAsia="仿宋" w:cs="仿宋"/>
          <w:b/>
          <w:color w:val="auto"/>
          <w:sz w:val="24"/>
          <w:highlight w:val="none"/>
        </w:rPr>
        <w:t>无效处理</w:t>
      </w:r>
      <w:r>
        <w:rPr>
          <w:rFonts w:hint="eastAsia" w:ascii="仿宋" w:hAnsi="仿宋" w:eastAsia="仿宋" w:cs="仿宋"/>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仿宋" w:hAnsi="仿宋" w:eastAsia="仿宋" w:cs="仿宋"/>
          <w:b/>
          <w:color w:val="auto"/>
          <w:sz w:val="24"/>
          <w:highlight w:val="none"/>
        </w:rPr>
        <w:t>无效处理</w:t>
      </w:r>
      <w:r>
        <w:rPr>
          <w:rFonts w:hint="eastAsia" w:ascii="仿宋" w:hAnsi="仿宋" w:eastAsia="仿宋" w:cs="仿宋"/>
          <w:color w:val="auto"/>
          <w:sz w:val="24"/>
          <w:highlight w:val="none"/>
        </w:rPr>
        <w:t>。</w:t>
      </w:r>
    </w:p>
    <w:p w14:paraId="34E08D7D">
      <w:pPr>
        <w:keepNext w:val="0"/>
        <w:keepLines w:val="0"/>
        <w:pageBreakBefore w:val="0"/>
        <w:numPr>
          <w:ilvl w:val="2"/>
          <w:numId w:val="0"/>
        </w:numPr>
        <w:shd w:val="clear" w:color="auto" w:fill="auto"/>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3.5.3</w:t>
      </w:r>
      <w:r>
        <w:rPr>
          <w:rFonts w:hint="eastAsia" w:ascii="仿宋" w:hAnsi="仿宋" w:eastAsia="仿宋" w:cs="仿宋"/>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仿宋" w:hAnsi="仿宋" w:eastAsia="仿宋" w:cs="仿宋"/>
          <w:color w:val="auto"/>
          <w:kern w:val="0"/>
          <w:sz w:val="24"/>
          <w:highlight w:val="none"/>
        </w:rPr>
        <w:t>（</w:t>
      </w:r>
      <w:r>
        <w:rPr>
          <w:rFonts w:hint="eastAsia" w:ascii="仿宋" w:hAnsi="仿宋" w:eastAsia="仿宋" w:cs="仿宋"/>
          <w:color w:val="auto"/>
          <w:sz w:val="24"/>
          <w:szCs w:val="20"/>
          <w:highlight w:val="none"/>
        </w:rPr>
        <w:t>若供应商为事业单位或其他组织或分支机构，可为单位负责人</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或其授权代表签字或者加盖公章。由授权代表签字的，应当附授权委托书。供应商为自然人的，应当由本人签字并附身份证明。澄清、说明或者更正文件将作为响应文件内容的一部分。</w:t>
      </w:r>
    </w:p>
    <w:p w14:paraId="252020F4">
      <w:pPr>
        <w:keepNext w:val="0"/>
        <w:keepLines w:val="0"/>
        <w:pageBreakBefore w:val="0"/>
        <w:numPr>
          <w:ilvl w:val="1"/>
          <w:numId w:val="0"/>
        </w:numPr>
        <w:shd w:val="clear" w:color="auto" w:fill="auto"/>
        <w:tabs>
          <w:tab w:val="left" w:pos="1080"/>
          <w:tab w:val="left" w:pos="1872"/>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3.6</w:t>
      </w:r>
      <w:r>
        <w:rPr>
          <w:rFonts w:hint="eastAsia" w:ascii="仿宋" w:hAnsi="仿宋" w:eastAsia="仿宋" w:cs="仿宋"/>
          <w:color w:val="auto"/>
          <w:sz w:val="24"/>
          <w:highlight w:val="none"/>
        </w:rPr>
        <w:t>磋商结束后，磋商小组将要求所有实质性响应的供应商在规定时间内提交最后报价。最后报价时间为磋商小组指定的时间，具体时间根据磋商进度另行通知。</w:t>
      </w:r>
    </w:p>
    <w:p w14:paraId="7A4598FD">
      <w:pPr>
        <w:keepNext w:val="0"/>
        <w:keepLines w:val="0"/>
        <w:pageBreakBefore w:val="0"/>
        <w:numPr>
          <w:ilvl w:val="1"/>
          <w:numId w:val="0"/>
        </w:numPr>
        <w:shd w:val="clear" w:color="auto" w:fill="auto"/>
        <w:tabs>
          <w:tab w:val="left" w:pos="1080"/>
          <w:tab w:val="left" w:pos="1872"/>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3.7</w:t>
      </w:r>
      <w:r>
        <w:rPr>
          <w:rFonts w:hint="eastAsia" w:ascii="仿宋" w:hAnsi="仿宋" w:eastAsia="仿宋" w:cs="仿宋"/>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仿宋" w:hAnsi="仿宋" w:eastAsia="仿宋" w:cs="仿宋"/>
          <w:color w:val="auto"/>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3716DCB">
      <w:pPr>
        <w:keepNext w:val="0"/>
        <w:keepLines w:val="0"/>
        <w:pageBreakBefore w:val="0"/>
        <w:numPr>
          <w:ilvl w:val="1"/>
          <w:numId w:val="0"/>
        </w:numPr>
        <w:shd w:val="clear" w:color="auto" w:fill="auto"/>
        <w:tabs>
          <w:tab w:val="left" w:pos="1080"/>
          <w:tab w:val="left" w:pos="1872"/>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3.8</w:t>
      </w:r>
      <w:r>
        <w:rPr>
          <w:rFonts w:hint="eastAsia" w:ascii="仿宋" w:hAnsi="仿宋" w:eastAsia="仿宋" w:cs="仿宋"/>
          <w:color w:val="auto"/>
          <w:sz w:val="24"/>
          <w:highlight w:val="none"/>
        </w:rPr>
        <w:t>最后报价是供应商响应文件的有效组成部分。</w:t>
      </w:r>
    </w:p>
    <w:p w14:paraId="466D47F0">
      <w:pPr>
        <w:keepNext w:val="0"/>
        <w:keepLines w:val="0"/>
        <w:pageBreakBefore w:val="0"/>
        <w:numPr>
          <w:ilvl w:val="1"/>
          <w:numId w:val="0"/>
        </w:numPr>
        <w:shd w:val="clear" w:color="auto" w:fill="auto"/>
        <w:tabs>
          <w:tab w:val="left" w:pos="1080"/>
          <w:tab w:val="left" w:pos="1872"/>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3.9</w:t>
      </w:r>
      <w:r>
        <w:rPr>
          <w:rFonts w:hint="eastAsia" w:ascii="仿宋" w:hAnsi="仿宋" w:eastAsia="仿宋" w:cs="仿宋"/>
          <w:color w:val="auto"/>
          <w:sz w:val="24"/>
          <w:highlight w:val="none"/>
        </w:rPr>
        <w:t>已提交响应文件的供应商，在提交最后报价之前，可以根据磋商情况退出磋商。</w:t>
      </w:r>
    </w:p>
    <w:p w14:paraId="1A79C814">
      <w:pPr>
        <w:keepNext w:val="0"/>
        <w:keepLines w:val="0"/>
        <w:pageBreakBefore w:val="0"/>
        <w:numPr>
          <w:ilvl w:val="0"/>
          <w:numId w:val="0"/>
        </w:numPr>
        <w:shd w:val="clear" w:color="auto" w:fill="auto"/>
        <w:tabs>
          <w:tab w:val="left" w:pos="360"/>
        </w:tabs>
        <w:kinsoku/>
        <w:wordWrap/>
        <w:overflowPunct/>
        <w:topLinePunct w:val="0"/>
        <w:autoSpaceDE/>
        <w:autoSpaceDN/>
        <w:bidi w:val="0"/>
        <w:adjustRightInd/>
        <w:snapToGrid w:val="0"/>
        <w:spacing w:line="360" w:lineRule="auto"/>
        <w:ind w:left="0" w:leftChars="0" w:firstLine="480" w:firstLineChars="200"/>
        <w:textAlignment w:val="auto"/>
        <w:outlineLvl w:val="1"/>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24"/>
          <w:highlight w:val="none"/>
        </w:rPr>
        <w:t>最后报价的算术修正及政策调整</w:t>
      </w:r>
    </w:p>
    <w:p w14:paraId="1A175983">
      <w:pPr>
        <w:keepNext w:val="0"/>
        <w:keepLines w:val="0"/>
        <w:pageBreakBefore w:val="0"/>
        <w:numPr>
          <w:ilvl w:val="1"/>
          <w:numId w:val="0"/>
        </w:numPr>
        <w:shd w:val="clear" w:color="auto" w:fill="auto"/>
        <w:tabs>
          <w:tab w:val="left" w:pos="108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4.1</w:t>
      </w:r>
      <w:r>
        <w:rPr>
          <w:rFonts w:hint="eastAsia" w:ascii="仿宋" w:hAnsi="仿宋" w:eastAsia="仿宋" w:cs="仿宋"/>
          <w:color w:val="auto"/>
          <w:sz w:val="24"/>
          <w:highlight w:val="none"/>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hint="eastAsia" w:ascii="仿宋" w:hAnsi="仿宋" w:eastAsia="仿宋" w:cs="仿宋"/>
          <w:b/>
          <w:color w:val="auto"/>
          <w:sz w:val="24"/>
          <w:highlight w:val="none"/>
        </w:rPr>
        <w:t>响应无效</w:t>
      </w:r>
      <w:r>
        <w:rPr>
          <w:rFonts w:hint="eastAsia" w:ascii="仿宋" w:hAnsi="仿宋" w:eastAsia="仿宋" w:cs="仿宋"/>
          <w:color w:val="auto"/>
          <w:sz w:val="24"/>
          <w:highlight w:val="none"/>
        </w:rPr>
        <w:t>。</w:t>
      </w:r>
    </w:p>
    <w:p w14:paraId="767FEB1C">
      <w:pPr>
        <w:keepNext w:val="0"/>
        <w:keepLines w:val="0"/>
        <w:pageBreakBefore w:val="0"/>
        <w:numPr>
          <w:ilvl w:val="1"/>
          <w:numId w:val="0"/>
        </w:numPr>
        <w:shd w:val="clear" w:color="auto" w:fill="auto"/>
        <w:tabs>
          <w:tab w:val="left" w:pos="1080"/>
          <w:tab w:val="left" w:pos="1872"/>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4.2</w:t>
      </w:r>
      <w:r>
        <w:rPr>
          <w:rFonts w:hint="eastAsia" w:ascii="仿宋" w:hAnsi="仿宋" w:eastAsia="仿宋" w:cs="仿宋"/>
          <w:color w:val="auto"/>
          <w:sz w:val="24"/>
          <w:highlight w:val="none"/>
        </w:rPr>
        <w:t>最后报价出现前后不一致的，按照下列规定修正：</w:t>
      </w:r>
    </w:p>
    <w:p w14:paraId="4EFD81F1">
      <w:pPr>
        <w:keepNext w:val="0"/>
        <w:keepLines w:val="0"/>
        <w:pageBreakBefore w:val="0"/>
        <w:numPr>
          <w:ilvl w:val="2"/>
          <w:numId w:val="0"/>
        </w:numPr>
        <w:shd w:val="clear" w:color="auto" w:fill="auto"/>
        <w:tabs>
          <w:tab w:val="left" w:pos="1080"/>
          <w:tab w:val="left" w:pos="1589"/>
          <w:tab w:val="left" w:pos="2035"/>
          <w:tab w:val="left" w:pos="2114"/>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4.2.1</w:t>
      </w:r>
      <w:r>
        <w:rPr>
          <w:rFonts w:hint="eastAsia" w:ascii="仿宋" w:hAnsi="仿宋" w:eastAsia="仿宋" w:cs="仿宋"/>
          <w:color w:val="auto"/>
          <w:sz w:val="24"/>
          <w:highlight w:val="none"/>
        </w:rPr>
        <w:t>竞争性磋商文件对于报价修正是否另有规定：</w:t>
      </w:r>
    </w:p>
    <w:p w14:paraId="00134A1B">
      <w:pPr>
        <w:keepNext w:val="0"/>
        <w:keepLines w:val="0"/>
        <w:pageBreakBefore w:val="0"/>
        <w:shd w:val="clear" w:color="auto" w:fill="auto"/>
        <w:tabs>
          <w:tab w:val="left" w:pos="1080"/>
          <w:tab w:val="left" w:pos="1589"/>
          <w:tab w:val="left" w:pos="2035"/>
          <w:tab w:val="left" w:pos="2114"/>
        </w:tabs>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□有，具体规定为：___________</w:t>
      </w:r>
    </w:p>
    <w:p w14:paraId="49469E57">
      <w:pPr>
        <w:keepNext w:val="0"/>
        <w:keepLines w:val="0"/>
        <w:pageBreakBefore w:val="0"/>
        <w:shd w:val="clear" w:color="auto" w:fill="auto"/>
        <w:tabs>
          <w:tab w:val="left" w:pos="1080"/>
          <w:tab w:val="left" w:pos="1589"/>
          <w:tab w:val="left" w:pos="2035"/>
          <w:tab w:val="left" w:pos="2114"/>
        </w:tabs>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■无，按下述3.2.2-3.2.6项规定修正。</w:t>
      </w:r>
    </w:p>
    <w:p w14:paraId="55B02E8A">
      <w:pPr>
        <w:keepNext w:val="0"/>
        <w:keepLines w:val="0"/>
        <w:pageBreakBefore w:val="0"/>
        <w:numPr>
          <w:ilvl w:val="2"/>
          <w:numId w:val="0"/>
        </w:numPr>
        <w:shd w:val="clear" w:color="auto" w:fill="auto"/>
        <w:tabs>
          <w:tab w:val="left" w:pos="2035"/>
          <w:tab w:val="left" w:pos="2114"/>
          <w:tab w:val="left" w:pos="2977"/>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4.2.2</w:t>
      </w:r>
      <w:r>
        <w:rPr>
          <w:rFonts w:hint="eastAsia" w:ascii="仿宋" w:hAnsi="仿宋" w:eastAsia="仿宋" w:cs="仿宋"/>
          <w:color w:val="auto"/>
          <w:sz w:val="24"/>
          <w:highlight w:val="none"/>
        </w:rPr>
        <w:t>大写金额和小写金额不一致的，以大写金额为准；</w:t>
      </w:r>
    </w:p>
    <w:p w14:paraId="7BF380A2">
      <w:pPr>
        <w:keepNext w:val="0"/>
        <w:keepLines w:val="0"/>
        <w:pageBreakBefore w:val="0"/>
        <w:numPr>
          <w:ilvl w:val="2"/>
          <w:numId w:val="0"/>
        </w:numPr>
        <w:shd w:val="clear" w:color="auto" w:fill="auto"/>
        <w:tabs>
          <w:tab w:val="left" w:pos="2035"/>
          <w:tab w:val="left" w:pos="2114"/>
          <w:tab w:val="left" w:pos="2977"/>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4.2.3</w:t>
      </w:r>
      <w:r>
        <w:rPr>
          <w:rFonts w:hint="eastAsia" w:ascii="仿宋" w:hAnsi="仿宋" w:eastAsia="仿宋" w:cs="仿宋"/>
          <w:color w:val="auto"/>
          <w:sz w:val="24"/>
          <w:highlight w:val="none"/>
        </w:rPr>
        <w:t>单价金额小数点或者百分比有明显错位的，以总价为准，并修改单价；</w:t>
      </w:r>
    </w:p>
    <w:p w14:paraId="57AD8906">
      <w:pPr>
        <w:keepNext w:val="0"/>
        <w:keepLines w:val="0"/>
        <w:pageBreakBefore w:val="0"/>
        <w:numPr>
          <w:ilvl w:val="2"/>
          <w:numId w:val="0"/>
        </w:numPr>
        <w:shd w:val="clear" w:color="auto" w:fill="auto"/>
        <w:tabs>
          <w:tab w:val="left" w:pos="2035"/>
          <w:tab w:val="left" w:pos="2114"/>
          <w:tab w:val="left" w:pos="2977"/>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4.2.4</w:t>
      </w:r>
      <w:r>
        <w:rPr>
          <w:rFonts w:hint="eastAsia" w:ascii="仿宋" w:hAnsi="仿宋" w:eastAsia="仿宋" w:cs="仿宋"/>
          <w:color w:val="auto"/>
          <w:sz w:val="24"/>
          <w:highlight w:val="none"/>
        </w:rPr>
        <w:t>总价金额与按单价汇总金额不一致的，以单价金额计算结果为准。</w:t>
      </w:r>
    </w:p>
    <w:p w14:paraId="633987E0">
      <w:pPr>
        <w:keepNext w:val="0"/>
        <w:keepLines w:val="0"/>
        <w:pageBreakBefore w:val="0"/>
        <w:numPr>
          <w:ilvl w:val="2"/>
          <w:numId w:val="0"/>
        </w:numPr>
        <w:shd w:val="clear" w:color="auto" w:fill="auto"/>
        <w:tabs>
          <w:tab w:val="left" w:pos="1080"/>
          <w:tab w:val="left" w:pos="1589"/>
          <w:tab w:val="left" w:pos="2035"/>
          <w:tab w:val="left" w:pos="2114"/>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4.2.5</w:t>
      </w:r>
      <w:r>
        <w:rPr>
          <w:rFonts w:hint="eastAsia" w:ascii="仿宋" w:hAnsi="仿宋" w:eastAsia="仿宋" w:cs="仿宋"/>
          <w:color w:val="auto"/>
          <w:sz w:val="24"/>
          <w:highlight w:val="none"/>
        </w:rPr>
        <w:t>同时出现两种以上不一致的，按照前款规定的顺序修正。</w:t>
      </w:r>
    </w:p>
    <w:p w14:paraId="61F1040C">
      <w:pPr>
        <w:keepNext w:val="0"/>
        <w:keepLines w:val="0"/>
        <w:pageBreakBefore w:val="0"/>
        <w:numPr>
          <w:ilvl w:val="2"/>
          <w:numId w:val="0"/>
        </w:numPr>
        <w:shd w:val="clear" w:color="auto" w:fill="auto"/>
        <w:tabs>
          <w:tab w:val="left" w:pos="1080"/>
          <w:tab w:val="left" w:pos="1589"/>
          <w:tab w:val="left" w:pos="2035"/>
          <w:tab w:val="left" w:pos="2114"/>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4.2.6</w:t>
      </w:r>
      <w:r>
        <w:rPr>
          <w:rFonts w:hint="eastAsia" w:ascii="仿宋" w:hAnsi="仿宋" w:eastAsia="仿宋" w:cs="仿宋"/>
          <w:color w:val="auto"/>
          <w:sz w:val="24"/>
          <w:highlight w:val="none"/>
        </w:rPr>
        <w:t>修正后的报价经供应商书面确认后产生约束力，供应商不确认的，</w:t>
      </w:r>
      <w:r>
        <w:rPr>
          <w:rFonts w:hint="eastAsia" w:ascii="仿宋" w:hAnsi="仿宋" w:eastAsia="仿宋" w:cs="仿宋"/>
          <w:b/>
          <w:color w:val="auto"/>
          <w:sz w:val="24"/>
          <w:highlight w:val="none"/>
        </w:rPr>
        <w:t>其响应无效</w:t>
      </w:r>
      <w:r>
        <w:rPr>
          <w:rFonts w:hint="eastAsia" w:ascii="仿宋" w:hAnsi="仿宋" w:eastAsia="仿宋" w:cs="仿宋"/>
          <w:color w:val="auto"/>
          <w:sz w:val="24"/>
          <w:highlight w:val="none"/>
        </w:rPr>
        <w:t>。</w:t>
      </w:r>
    </w:p>
    <w:p w14:paraId="555B38B1">
      <w:pPr>
        <w:keepNext w:val="0"/>
        <w:keepLines w:val="0"/>
        <w:pageBreakBefore w:val="0"/>
        <w:numPr>
          <w:ilvl w:val="1"/>
          <w:numId w:val="0"/>
        </w:numPr>
        <w:shd w:val="clear" w:color="auto" w:fill="auto"/>
        <w:tabs>
          <w:tab w:val="left" w:pos="1080"/>
          <w:tab w:val="left" w:pos="1872"/>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4.3</w:t>
      </w:r>
      <w:r>
        <w:rPr>
          <w:rFonts w:hint="eastAsia" w:ascii="仿宋" w:hAnsi="仿宋" w:eastAsia="仿宋" w:cs="仿宋"/>
          <w:color w:val="auto"/>
          <w:sz w:val="24"/>
          <w:highlight w:val="none"/>
        </w:rPr>
        <w:t>落实政府采购政策的价格调整：只有符合第二章《供应商须知》4.2条规定情形的，可以享受中小企业扶持政策，用扣除后的价格参加评审；否则，评审时价格不予扣除。</w:t>
      </w:r>
    </w:p>
    <w:p w14:paraId="62565C4D">
      <w:pPr>
        <w:keepNext w:val="0"/>
        <w:keepLines w:val="0"/>
        <w:pageBreakBefore w:val="0"/>
        <w:numPr>
          <w:ilvl w:val="2"/>
          <w:numId w:val="0"/>
        </w:numPr>
        <w:shd w:val="clear" w:color="auto" w:fill="auto"/>
        <w:tabs>
          <w:tab w:val="left" w:pos="1080"/>
          <w:tab w:val="left" w:pos="1589"/>
          <w:tab w:val="left" w:pos="2035"/>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kern w:val="2"/>
          <w:sz w:val="24"/>
          <w:szCs w:val="24"/>
          <w:lang w:val="en-US" w:eastAsia="zh-CN" w:bidi="ar-SA"/>
        </w:rPr>
        <w:t>4.3.1</w:t>
      </w:r>
      <w:r>
        <w:rPr>
          <w:rFonts w:hint="eastAsia" w:ascii="仿宋" w:hAnsi="仿宋" w:eastAsia="仿宋" w:cs="仿宋"/>
          <w:b w:val="0"/>
          <w:bCs w:val="0"/>
          <w:color w:val="auto"/>
          <w:sz w:val="24"/>
          <w:highlight w:val="none"/>
        </w:rPr>
        <w:t>对于未预留份额专门面向中小企业采购的采购项目，以及预留份额项目中的非预留部分采购包，对小微企业报价给予</w:t>
      </w:r>
      <w:r>
        <w:rPr>
          <w:rFonts w:hint="eastAsia" w:ascii="仿宋" w:hAnsi="仿宋" w:eastAsia="仿宋" w:cs="仿宋"/>
          <w:b w:val="0"/>
          <w:bCs w:val="0"/>
          <w:color w:val="auto"/>
          <w:sz w:val="24"/>
          <w:highlight w:val="none"/>
          <w:u w:val="single"/>
        </w:rPr>
        <w:t>10</w:t>
      </w:r>
      <w:r>
        <w:rPr>
          <w:rFonts w:hint="eastAsia" w:ascii="仿宋" w:hAnsi="仿宋" w:eastAsia="仿宋" w:cs="仿宋"/>
          <w:b w:val="0"/>
          <w:bCs w:val="0"/>
          <w:color w:val="auto"/>
          <w:sz w:val="24"/>
          <w:highlight w:val="none"/>
        </w:rPr>
        <w:t>%的扣除，用扣除后的价格参加评审。</w:t>
      </w:r>
    </w:p>
    <w:p w14:paraId="31EF3187">
      <w:pPr>
        <w:keepNext w:val="0"/>
        <w:keepLines w:val="0"/>
        <w:pageBreakBefore w:val="0"/>
        <w:numPr>
          <w:ilvl w:val="2"/>
          <w:numId w:val="0"/>
        </w:numPr>
        <w:shd w:val="clear" w:color="auto" w:fill="auto"/>
        <w:tabs>
          <w:tab w:val="left" w:pos="1080"/>
          <w:tab w:val="left" w:pos="1589"/>
          <w:tab w:val="left" w:pos="2035"/>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4.3.2</w:t>
      </w:r>
      <w:r>
        <w:rPr>
          <w:rFonts w:hint="eastAsia" w:ascii="仿宋" w:hAnsi="仿宋" w:eastAsia="仿宋" w:cs="仿宋"/>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仿宋" w:hAnsi="仿宋" w:eastAsia="仿宋" w:cs="仿宋"/>
          <w:color w:val="auto"/>
          <w:sz w:val="24"/>
          <w:highlight w:val="none"/>
          <w:u w:val="single"/>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6</w:t>
      </w:r>
      <w:r>
        <w:rPr>
          <w:rFonts w:hint="eastAsia" w:ascii="仿宋" w:hAnsi="仿宋" w:eastAsia="仿宋" w:cs="仿宋"/>
          <w:color w:val="auto"/>
          <w:sz w:val="24"/>
          <w:highlight w:val="none"/>
        </w:rPr>
        <w:t>%（工程项目为</w:t>
      </w:r>
      <w:r>
        <w:rPr>
          <w:rFonts w:hint="eastAsia" w:ascii="仿宋" w:hAnsi="仿宋" w:eastAsia="仿宋" w:cs="仿宋"/>
          <w:color w:val="auto"/>
          <w:sz w:val="24"/>
          <w:highlight w:val="none"/>
          <w:u w:val="single"/>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2</w:t>
      </w:r>
      <w:r>
        <w:rPr>
          <w:rFonts w:hint="eastAsia" w:ascii="仿宋" w:hAnsi="仿宋" w:eastAsia="仿宋" w:cs="仿宋"/>
          <w:color w:val="auto"/>
          <w:sz w:val="24"/>
          <w:highlight w:val="none"/>
        </w:rPr>
        <w:t>%）的扣除，用扣除后的价格参加评审。</w:t>
      </w:r>
    </w:p>
    <w:p w14:paraId="595AFFCA">
      <w:pPr>
        <w:keepNext w:val="0"/>
        <w:keepLines w:val="0"/>
        <w:pageBreakBefore w:val="0"/>
        <w:numPr>
          <w:ilvl w:val="2"/>
          <w:numId w:val="0"/>
        </w:numPr>
        <w:shd w:val="clear" w:color="auto" w:fill="auto"/>
        <w:tabs>
          <w:tab w:val="left" w:pos="1080"/>
          <w:tab w:val="left" w:pos="1589"/>
          <w:tab w:val="left" w:pos="2035"/>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4.3.3</w:t>
      </w:r>
      <w:r>
        <w:rPr>
          <w:rFonts w:hint="eastAsia" w:ascii="仿宋" w:hAnsi="仿宋" w:eastAsia="仿宋" w:cs="仿宋"/>
          <w:color w:val="auto"/>
          <w:sz w:val="24"/>
          <w:highlight w:val="none"/>
        </w:rPr>
        <w:t>组成联合体或者接受分包的小微企业与联合体内其他企业、分包企业之间存在直接控股、管理关系的，不享受价格扣除优惠政策。</w:t>
      </w:r>
    </w:p>
    <w:p w14:paraId="38BFD5BD">
      <w:pPr>
        <w:keepNext w:val="0"/>
        <w:keepLines w:val="0"/>
        <w:pageBreakBefore w:val="0"/>
        <w:numPr>
          <w:ilvl w:val="2"/>
          <w:numId w:val="0"/>
        </w:numPr>
        <w:shd w:val="clear" w:color="auto" w:fill="auto"/>
        <w:tabs>
          <w:tab w:val="left" w:pos="1080"/>
          <w:tab w:val="left" w:pos="1589"/>
          <w:tab w:val="left" w:pos="2035"/>
        </w:tabs>
        <w:kinsoku/>
        <w:wordWrap/>
        <w:overflowPunct/>
        <w:topLinePunct w:val="0"/>
        <w:autoSpaceDE/>
        <w:autoSpaceDN/>
        <w:bidi w:val="0"/>
        <w:adjustRightInd/>
        <w:snapToGrid w:val="0"/>
        <w:spacing w:line="360" w:lineRule="auto"/>
        <w:ind w:left="0" w:leftChars="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kern w:val="2"/>
          <w:sz w:val="24"/>
          <w:szCs w:val="24"/>
          <w:lang w:val="en-US" w:eastAsia="zh-CN" w:bidi="ar-SA"/>
        </w:rPr>
        <w:t>4.3.4</w:t>
      </w:r>
      <w:r>
        <w:rPr>
          <w:rFonts w:hint="eastAsia" w:ascii="仿宋" w:hAnsi="仿宋" w:eastAsia="仿宋" w:cs="仿宋"/>
          <w:b/>
          <w:bCs/>
          <w:color w:val="auto"/>
          <w:sz w:val="24"/>
          <w:highlight w:val="none"/>
        </w:rPr>
        <w:t>价格扣除比例对小型企业和微型企业同等对待，不作区分。</w:t>
      </w:r>
    </w:p>
    <w:p w14:paraId="0D259C8E">
      <w:pPr>
        <w:keepNext w:val="0"/>
        <w:keepLines w:val="0"/>
        <w:pageBreakBefore w:val="0"/>
        <w:numPr>
          <w:ilvl w:val="2"/>
          <w:numId w:val="0"/>
        </w:numPr>
        <w:shd w:val="clear" w:color="auto" w:fill="auto"/>
        <w:tabs>
          <w:tab w:val="left" w:pos="1080"/>
          <w:tab w:val="left" w:pos="1589"/>
          <w:tab w:val="left" w:pos="2035"/>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kern w:val="2"/>
          <w:sz w:val="24"/>
          <w:szCs w:val="24"/>
          <w:lang w:val="en-US" w:eastAsia="zh-CN" w:bidi="ar-SA"/>
        </w:rPr>
        <w:t>4.3.5</w:t>
      </w:r>
      <w:r>
        <w:rPr>
          <w:rFonts w:hint="eastAsia" w:ascii="仿宋" w:hAnsi="仿宋" w:eastAsia="仿宋" w:cs="仿宋"/>
          <w:b w:val="0"/>
          <w:bCs w:val="0"/>
          <w:color w:val="auto"/>
          <w:sz w:val="24"/>
          <w:highlight w:val="none"/>
        </w:rPr>
        <w:t>中小企业参加政府采购活动，应当按照竞争性磋商文件给定的格式出具《中小企业声明函》，否则不得享受相关中小企业扶持政策。</w:t>
      </w:r>
    </w:p>
    <w:p w14:paraId="61D1B4FA">
      <w:pPr>
        <w:keepNext w:val="0"/>
        <w:keepLines w:val="0"/>
        <w:pageBreakBefore w:val="0"/>
        <w:numPr>
          <w:ilvl w:val="2"/>
          <w:numId w:val="0"/>
        </w:numPr>
        <w:shd w:val="clear" w:color="auto" w:fill="auto"/>
        <w:tabs>
          <w:tab w:val="left" w:pos="1080"/>
          <w:tab w:val="left" w:pos="1589"/>
          <w:tab w:val="left" w:pos="2035"/>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4.3.6</w:t>
      </w:r>
      <w:r>
        <w:rPr>
          <w:rFonts w:hint="eastAsia" w:ascii="仿宋" w:hAnsi="仿宋" w:eastAsia="仿宋" w:cs="仿宋"/>
          <w:color w:val="auto"/>
          <w:sz w:val="24"/>
          <w:highlight w:val="none"/>
        </w:rPr>
        <w:t>监狱企业提供了由省级以上监狱管理局、戒毒管理局（含新疆生产建设兵团）出具的属于监狱企业的证明文件的，视同小微企业。</w:t>
      </w:r>
    </w:p>
    <w:p w14:paraId="5C6221F3">
      <w:pPr>
        <w:keepNext w:val="0"/>
        <w:keepLines w:val="0"/>
        <w:pageBreakBefore w:val="0"/>
        <w:numPr>
          <w:ilvl w:val="2"/>
          <w:numId w:val="0"/>
        </w:numPr>
        <w:shd w:val="clear" w:color="auto" w:fill="auto"/>
        <w:tabs>
          <w:tab w:val="left" w:pos="1080"/>
          <w:tab w:val="left" w:pos="1589"/>
          <w:tab w:val="left" w:pos="2035"/>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4.3.7</w:t>
      </w:r>
      <w:r>
        <w:rPr>
          <w:rFonts w:hint="eastAsia" w:ascii="仿宋" w:hAnsi="仿宋" w:eastAsia="仿宋" w:cs="仿宋"/>
          <w:color w:val="auto"/>
          <w:sz w:val="24"/>
          <w:highlight w:val="none"/>
        </w:rPr>
        <w:t>残疾人福利性单位按竞争性磋商文件要求提供了《残疾人福利性单位声明函》的，视同小微企业。</w:t>
      </w:r>
    </w:p>
    <w:p w14:paraId="2CA8EB55">
      <w:pPr>
        <w:keepNext w:val="0"/>
        <w:keepLines w:val="0"/>
        <w:pageBreakBefore w:val="0"/>
        <w:numPr>
          <w:ilvl w:val="2"/>
          <w:numId w:val="0"/>
        </w:numPr>
        <w:shd w:val="clear" w:color="auto" w:fill="auto"/>
        <w:tabs>
          <w:tab w:val="left" w:pos="1080"/>
          <w:tab w:val="left" w:pos="1589"/>
          <w:tab w:val="left" w:pos="2014"/>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4.3.8</w:t>
      </w:r>
      <w:r>
        <w:rPr>
          <w:rFonts w:hint="eastAsia" w:ascii="仿宋" w:hAnsi="仿宋" w:eastAsia="仿宋" w:cs="仿宋"/>
          <w:color w:val="auto"/>
          <w:sz w:val="24"/>
          <w:highlight w:val="none"/>
        </w:rPr>
        <w:t>若供应商同时属于小型或微型企业、监狱企业、残疾人福利性单位中的两种及以上，将不重复享受小微企业价格扣减的优惠政策。</w:t>
      </w:r>
    </w:p>
    <w:p w14:paraId="214735B2">
      <w:pPr>
        <w:keepNext w:val="0"/>
        <w:keepLines w:val="0"/>
        <w:pageBreakBefore w:val="0"/>
        <w:numPr>
          <w:ilvl w:val="2"/>
          <w:numId w:val="0"/>
        </w:numPr>
        <w:shd w:val="clear" w:color="auto" w:fill="auto"/>
        <w:tabs>
          <w:tab w:val="left" w:pos="1080"/>
          <w:tab w:val="left" w:pos="1589"/>
          <w:tab w:val="left" w:pos="2014"/>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4.3.9</w:t>
      </w:r>
      <w:r>
        <w:rPr>
          <w:rFonts w:hint="eastAsia" w:ascii="仿宋" w:hAnsi="仿宋" w:eastAsia="仿宋" w:cs="仿宋"/>
          <w:color w:val="auto"/>
          <w:sz w:val="24"/>
          <w:highlight w:val="none"/>
        </w:rPr>
        <w:t>其他为落实政府采购政策实施的优先采购：</w:t>
      </w:r>
      <w:r>
        <w:rPr>
          <w:rFonts w:hint="eastAsia" w:ascii="仿宋" w:hAnsi="仿宋" w:eastAsia="仿宋" w:cs="仿宋"/>
          <w:color w:val="auto"/>
          <w:sz w:val="24"/>
          <w:highlight w:val="none"/>
          <w:u w:val="single"/>
        </w:rPr>
        <w:t>无</w:t>
      </w:r>
      <w:r>
        <w:rPr>
          <w:rFonts w:hint="eastAsia" w:ascii="仿宋" w:hAnsi="仿宋" w:eastAsia="仿宋" w:cs="仿宋"/>
          <w:color w:val="auto"/>
          <w:sz w:val="24"/>
          <w:highlight w:val="none"/>
        </w:rPr>
        <w:t>。</w:t>
      </w:r>
    </w:p>
    <w:p w14:paraId="4C6C0E88">
      <w:pPr>
        <w:keepNext w:val="0"/>
        <w:keepLines w:val="0"/>
        <w:pageBreakBefore w:val="0"/>
        <w:numPr>
          <w:ilvl w:val="0"/>
          <w:numId w:val="0"/>
        </w:numPr>
        <w:shd w:val="clear" w:color="auto" w:fill="auto"/>
        <w:tabs>
          <w:tab w:val="left" w:pos="360"/>
        </w:tabs>
        <w:kinsoku/>
        <w:wordWrap/>
        <w:overflowPunct/>
        <w:topLinePunct w:val="0"/>
        <w:autoSpaceDE/>
        <w:autoSpaceDN/>
        <w:bidi w:val="0"/>
        <w:adjustRightInd/>
        <w:snapToGrid w:val="0"/>
        <w:spacing w:line="360" w:lineRule="auto"/>
        <w:ind w:left="0" w:leftChars="0" w:firstLine="480" w:firstLineChars="200"/>
        <w:textAlignment w:val="auto"/>
        <w:outlineLvl w:val="1"/>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5</w:t>
      </w:r>
      <w:r>
        <w:rPr>
          <w:rFonts w:hint="eastAsia" w:ascii="仿宋" w:hAnsi="仿宋" w:eastAsia="仿宋" w:cs="仿宋"/>
          <w:color w:val="auto"/>
          <w:sz w:val="24"/>
          <w:highlight w:val="none"/>
        </w:rPr>
        <w:t>磋商环节及提交最后报价后如出现以下情况的，供应商的</w:t>
      </w:r>
      <w:r>
        <w:rPr>
          <w:rFonts w:hint="eastAsia" w:ascii="仿宋" w:hAnsi="仿宋" w:eastAsia="仿宋" w:cs="仿宋"/>
          <w:b/>
          <w:color w:val="auto"/>
          <w:sz w:val="24"/>
          <w:highlight w:val="none"/>
        </w:rPr>
        <w:t>响应文件无效</w:t>
      </w:r>
      <w:r>
        <w:rPr>
          <w:rFonts w:hint="eastAsia" w:ascii="仿宋" w:hAnsi="仿宋" w:eastAsia="仿宋" w:cs="仿宋"/>
          <w:color w:val="auto"/>
          <w:sz w:val="24"/>
          <w:highlight w:val="none"/>
        </w:rPr>
        <w:t>：</w:t>
      </w:r>
    </w:p>
    <w:p w14:paraId="210EB758">
      <w:pPr>
        <w:keepNext w:val="0"/>
        <w:keepLines w:val="0"/>
        <w:pageBreakBefore w:val="0"/>
        <w:numPr>
          <w:ilvl w:val="1"/>
          <w:numId w:val="0"/>
        </w:numPr>
        <w:shd w:val="clear" w:color="auto" w:fill="auto"/>
        <w:tabs>
          <w:tab w:val="left" w:pos="108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5.1</w:t>
      </w:r>
      <w:r>
        <w:rPr>
          <w:rFonts w:hint="eastAsia" w:ascii="仿宋" w:hAnsi="仿宋" w:eastAsia="仿宋" w:cs="仿宋"/>
          <w:color w:val="auto"/>
          <w:sz w:val="24"/>
          <w:highlight w:val="none"/>
        </w:rPr>
        <w:t>供应商对实质性变动不予确认的；</w:t>
      </w:r>
    </w:p>
    <w:p w14:paraId="610078FF">
      <w:pPr>
        <w:keepNext w:val="0"/>
        <w:keepLines w:val="0"/>
        <w:pageBreakBefore w:val="0"/>
        <w:numPr>
          <w:ilvl w:val="1"/>
          <w:numId w:val="0"/>
        </w:numPr>
        <w:shd w:val="clear" w:color="auto" w:fill="auto"/>
        <w:tabs>
          <w:tab w:val="left" w:pos="108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5.2</w:t>
      </w:r>
      <w:r>
        <w:rPr>
          <w:rFonts w:hint="eastAsia" w:ascii="仿宋" w:hAnsi="仿宋" w:eastAsia="仿宋" w:cs="仿宋"/>
          <w:color w:val="auto"/>
          <w:sz w:val="24"/>
          <w:highlight w:val="none"/>
        </w:rPr>
        <w:t>不满足磋商文件★号条款或磋商文件技术指标超出磋商文件《采购需求》中主要技术参数允许偏差的最大范围的（如有）；</w:t>
      </w:r>
    </w:p>
    <w:p w14:paraId="3E88BD6C">
      <w:pPr>
        <w:keepNext w:val="0"/>
        <w:keepLines w:val="0"/>
        <w:pageBreakBefore w:val="0"/>
        <w:numPr>
          <w:ilvl w:val="1"/>
          <w:numId w:val="0"/>
        </w:numPr>
        <w:shd w:val="clear" w:color="auto" w:fill="auto"/>
        <w:tabs>
          <w:tab w:val="left" w:pos="108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5.3</w:t>
      </w:r>
      <w:r>
        <w:rPr>
          <w:rFonts w:hint="eastAsia" w:ascii="仿宋" w:hAnsi="仿宋" w:eastAsia="仿宋" w:cs="仿宋"/>
          <w:color w:val="auto"/>
          <w:sz w:val="24"/>
          <w:highlight w:val="none"/>
        </w:rPr>
        <w:t>未按照磋商小组规定的时间、逾期提交最后报价的；</w:t>
      </w:r>
    </w:p>
    <w:p w14:paraId="270CEDC9">
      <w:pPr>
        <w:keepNext w:val="0"/>
        <w:keepLines w:val="0"/>
        <w:pageBreakBefore w:val="0"/>
        <w:numPr>
          <w:ilvl w:val="1"/>
          <w:numId w:val="0"/>
        </w:numPr>
        <w:shd w:val="clear" w:color="auto" w:fill="auto"/>
        <w:tabs>
          <w:tab w:val="left" w:pos="108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5.4</w:t>
      </w:r>
      <w:r>
        <w:rPr>
          <w:rFonts w:hint="eastAsia" w:ascii="仿宋" w:hAnsi="仿宋" w:eastAsia="仿宋" w:cs="仿宋"/>
          <w:color w:val="auto"/>
          <w:sz w:val="24"/>
          <w:highlight w:val="none"/>
        </w:rPr>
        <w:t>如供应商的最后报价超过竞争性磋商文件中规定的项目/采购包预算金额或者项目/采购包最高限价的；</w:t>
      </w:r>
    </w:p>
    <w:p w14:paraId="76B173D4">
      <w:pPr>
        <w:keepNext w:val="0"/>
        <w:keepLines w:val="0"/>
        <w:pageBreakBefore w:val="0"/>
        <w:numPr>
          <w:ilvl w:val="1"/>
          <w:numId w:val="0"/>
        </w:numPr>
        <w:shd w:val="clear" w:color="auto" w:fill="auto"/>
        <w:tabs>
          <w:tab w:val="left" w:pos="108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5.5</w:t>
      </w:r>
      <w:r>
        <w:rPr>
          <w:rFonts w:hint="eastAsia" w:ascii="仿宋" w:hAnsi="仿宋" w:eastAsia="仿宋" w:cs="仿宋"/>
          <w:color w:val="auto"/>
          <w:sz w:val="24"/>
          <w:highlight w:val="none"/>
        </w:rPr>
        <w:t>响应文件中出现可选择性或可调整的报价的（竞争性磋商文件另有规定的除外）；</w:t>
      </w:r>
    </w:p>
    <w:p w14:paraId="35AEC668">
      <w:pPr>
        <w:keepNext w:val="0"/>
        <w:keepLines w:val="0"/>
        <w:pageBreakBefore w:val="0"/>
        <w:numPr>
          <w:ilvl w:val="1"/>
          <w:numId w:val="0"/>
        </w:numPr>
        <w:shd w:val="clear" w:color="auto" w:fill="auto"/>
        <w:tabs>
          <w:tab w:val="left" w:pos="108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5.6</w:t>
      </w:r>
      <w:r>
        <w:rPr>
          <w:rFonts w:hint="eastAsia" w:ascii="仿宋" w:hAnsi="仿宋" w:eastAsia="仿宋" w:cs="仿宋"/>
          <w:color w:val="auto"/>
          <w:sz w:val="24"/>
          <w:highlight w:val="none"/>
        </w:rPr>
        <w:t>最后报价出现前后不一致，供应商对修正后的报价不予确认的；</w:t>
      </w:r>
    </w:p>
    <w:p w14:paraId="133D6A3B">
      <w:pPr>
        <w:keepNext w:val="0"/>
        <w:keepLines w:val="0"/>
        <w:pageBreakBefore w:val="0"/>
        <w:numPr>
          <w:ilvl w:val="1"/>
          <w:numId w:val="0"/>
        </w:numPr>
        <w:shd w:val="clear" w:color="auto" w:fill="auto"/>
        <w:tabs>
          <w:tab w:val="left" w:pos="108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5.7</w:t>
      </w:r>
      <w:r>
        <w:rPr>
          <w:rFonts w:hint="eastAsia" w:ascii="仿宋" w:hAnsi="仿宋" w:eastAsia="仿宋" w:cs="仿宋"/>
          <w:color w:val="auto"/>
          <w:sz w:val="24"/>
          <w:highlight w:val="none"/>
        </w:rPr>
        <w:t>其他：</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w:t>
      </w:r>
    </w:p>
    <w:bookmarkEnd w:id="595"/>
    <w:bookmarkEnd w:id="596"/>
    <w:p w14:paraId="2032A96C">
      <w:pPr>
        <w:keepNext w:val="0"/>
        <w:keepLines w:val="0"/>
        <w:pageBreakBefore w:val="0"/>
        <w:numPr>
          <w:ilvl w:val="0"/>
          <w:numId w:val="0"/>
        </w:numPr>
        <w:shd w:val="clear" w:color="auto" w:fill="auto"/>
        <w:tabs>
          <w:tab w:val="left" w:pos="360"/>
        </w:tabs>
        <w:kinsoku/>
        <w:wordWrap/>
        <w:overflowPunct/>
        <w:topLinePunct w:val="0"/>
        <w:autoSpaceDE/>
        <w:autoSpaceDN/>
        <w:bidi w:val="0"/>
        <w:adjustRightInd/>
        <w:snapToGrid w:val="0"/>
        <w:spacing w:line="360" w:lineRule="auto"/>
        <w:ind w:left="0" w:leftChars="0" w:firstLine="480" w:firstLineChars="200"/>
        <w:textAlignment w:val="auto"/>
        <w:outlineLvl w:val="1"/>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6</w:t>
      </w:r>
      <w:r>
        <w:rPr>
          <w:rFonts w:hint="eastAsia" w:ascii="仿宋" w:hAnsi="仿宋" w:eastAsia="仿宋" w:cs="仿宋"/>
          <w:color w:val="auto"/>
          <w:sz w:val="24"/>
          <w:highlight w:val="none"/>
        </w:rPr>
        <w:t>评审方法和评审标准</w:t>
      </w:r>
    </w:p>
    <w:p w14:paraId="636F6115">
      <w:pPr>
        <w:keepNext w:val="0"/>
        <w:keepLines w:val="0"/>
        <w:pageBreakBefore w:val="0"/>
        <w:numPr>
          <w:ilvl w:val="1"/>
          <w:numId w:val="0"/>
        </w:numPr>
        <w:shd w:val="clear" w:color="auto" w:fill="auto"/>
        <w:tabs>
          <w:tab w:val="left" w:pos="1080"/>
          <w:tab w:val="left" w:pos="1872"/>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lang w:eastAsia="zh-CN"/>
        </w:rPr>
      </w:pPr>
      <w:r>
        <w:rPr>
          <w:rFonts w:hint="default" w:ascii="Times New Roman" w:hAnsi="Times New Roman" w:eastAsia="仿宋" w:cs="Times New Roman"/>
          <w:b w:val="0"/>
          <w:color w:val="auto"/>
          <w:kern w:val="2"/>
          <w:sz w:val="24"/>
          <w:szCs w:val="24"/>
          <w:lang w:val="en-US" w:eastAsia="zh-CN" w:bidi="ar-SA"/>
        </w:rPr>
        <w:t>6.1</w:t>
      </w:r>
      <w:r>
        <w:rPr>
          <w:rFonts w:hint="eastAsia" w:ascii="仿宋" w:hAnsi="仿宋" w:eastAsia="仿宋" w:cs="仿宋"/>
          <w:color w:val="auto"/>
          <w:sz w:val="24"/>
          <w:highlight w:val="none"/>
        </w:rPr>
        <w:t>本项目采用的评审方法为：本项目的评审采用综合评分法。综合评分法，是指响应文件满足磋商文件全部实质性要求且按评审因素的量化指标评审得分最高的供应商为成交候选供应商的评审方法。</w:t>
      </w:r>
    </w:p>
    <w:p w14:paraId="3531DFA2">
      <w:pPr>
        <w:keepNext w:val="0"/>
        <w:keepLines w:val="0"/>
        <w:pageBreakBefore w:val="0"/>
        <w:numPr>
          <w:ilvl w:val="1"/>
          <w:numId w:val="0"/>
        </w:numPr>
        <w:shd w:val="clear" w:color="auto" w:fill="auto"/>
        <w:tabs>
          <w:tab w:val="left" w:pos="1080"/>
          <w:tab w:val="left" w:pos="1872"/>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6.2</w:t>
      </w:r>
      <w:r>
        <w:rPr>
          <w:rFonts w:hint="eastAsia" w:ascii="仿宋" w:hAnsi="仿宋" w:eastAsia="仿宋" w:cs="仿宋"/>
          <w:color w:val="auto"/>
          <w:sz w:val="24"/>
          <w:highlight w:val="none"/>
        </w:rPr>
        <w:t>竞争性磋商文件中没有规定的评审标准不得作为评审依据。</w:t>
      </w:r>
    </w:p>
    <w:p w14:paraId="47281FDF">
      <w:pPr>
        <w:keepNext w:val="0"/>
        <w:keepLines w:val="0"/>
        <w:pageBreakBefore w:val="0"/>
        <w:numPr>
          <w:ilvl w:val="1"/>
          <w:numId w:val="0"/>
        </w:numPr>
        <w:shd w:val="clear" w:color="auto" w:fill="auto"/>
        <w:tabs>
          <w:tab w:val="left" w:pos="1080"/>
          <w:tab w:val="left" w:pos="1872"/>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6.3</w:t>
      </w:r>
      <w:r>
        <w:rPr>
          <w:rFonts w:hint="eastAsia" w:ascii="仿宋" w:hAnsi="仿宋" w:eastAsia="仿宋" w:cs="仿宋"/>
          <w:color w:val="auto"/>
          <w:sz w:val="24"/>
          <w:highlight w:val="none"/>
        </w:rPr>
        <w:t>非政府强制采购的节能产品或环境标志产品，依据品目清单和认证证书实施政府优先采购。优先采购的具体规定（如涉及）</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w:t>
      </w:r>
    </w:p>
    <w:p w14:paraId="2C9C57F7">
      <w:pPr>
        <w:keepNext w:val="0"/>
        <w:keepLines w:val="0"/>
        <w:pageBreakBefore w:val="0"/>
        <w:numPr>
          <w:ilvl w:val="0"/>
          <w:numId w:val="0"/>
        </w:numPr>
        <w:shd w:val="clear" w:color="auto" w:fill="auto"/>
        <w:tabs>
          <w:tab w:val="left" w:pos="360"/>
        </w:tabs>
        <w:kinsoku/>
        <w:wordWrap/>
        <w:overflowPunct/>
        <w:topLinePunct w:val="0"/>
        <w:autoSpaceDE/>
        <w:autoSpaceDN/>
        <w:bidi w:val="0"/>
        <w:adjustRightInd/>
        <w:snapToGrid w:val="0"/>
        <w:spacing w:line="360" w:lineRule="auto"/>
        <w:ind w:left="0" w:leftChars="0" w:firstLine="480" w:firstLineChars="200"/>
        <w:textAlignment w:val="auto"/>
        <w:outlineLvl w:val="1"/>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7</w:t>
      </w:r>
      <w:r>
        <w:rPr>
          <w:rFonts w:hint="eastAsia" w:ascii="仿宋" w:hAnsi="仿宋" w:eastAsia="仿宋" w:cs="仿宋"/>
          <w:color w:val="auto"/>
          <w:sz w:val="24"/>
          <w:highlight w:val="none"/>
        </w:rPr>
        <w:t>确定</w:t>
      </w:r>
      <w:bookmarkStart w:id="612" w:name="_Toc150509297"/>
      <w:bookmarkStart w:id="613" w:name="_Toc164229387"/>
      <w:bookmarkStart w:id="614" w:name="_Toc151190173"/>
      <w:bookmarkStart w:id="615" w:name="_Toc305158814"/>
      <w:bookmarkStart w:id="616" w:name="_Toc150480784"/>
      <w:bookmarkStart w:id="617" w:name="_Toc305158888"/>
      <w:bookmarkStart w:id="618" w:name="_Toc151193788"/>
      <w:bookmarkStart w:id="619" w:name="_Toc164608660"/>
      <w:bookmarkStart w:id="620" w:name="_Toc151193644"/>
      <w:bookmarkStart w:id="621" w:name="_Toc164608815"/>
      <w:bookmarkStart w:id="622" w:name="_Toc151193860"/>
      <w:bookmarkStart w:id="623" w:name="_Toc520356170"/>
      <w:bookmarkStart w:id="624" w:name="_Toc142311048"/>
      <w:bookmarkStart w:id="625" w:name="_Toc149720839"/>
      <w:bookmarkStart w:id="626" w:name="_Toc226337242"/>
      <w:bookmarkStart w:id="627" w:name="_Toc150774751"/>
      <w:bookmarkStart w:id="628" w:name="_Toc264969236"/>
      <w:bookmarkStart w:id="629" w:name="_Toc127161460"/>
      <w:bookmarkStart w:id="630" w:name="_Toc226965819"/>
      <w:bookmarkStart w:id="631" w:name="_Toc151193716"/>
      <w:bookmarkStart w:id="632" w:name="_Toc195842911"/>
      <w:bookmarkStart w:id="633" w:name="_Ref467307010"/>
      <w:bookmarkStart w:id="634" w:name="_Toc265228384"/>
      <w:bookmarkStart w:id="635" w:name="_Toc127151747"/>
      <w:bookmarkStart w:id="636" w:name="_Toc226309790"/>
      <w:bookmarkStart w:id="637" w:name="_Toc151193934"/>
      <w:bookmarkStart w:id="638" w:name="_Toc226965736"/>
      <w:bookmarkStart w:id="639" w:name="_Toc164351640"/>
      <w:bookmarkStart w:id="640" w:name="_Toc150774646"/>
      <w:bookmarkStart w:id="641" w:name="_Toc127151546"/>
      <w:bookmarkStart w:id="642" w:name="_Toc164229241"/>
      <w:r>
        <w:rPr>
          <w:rFonts w:hint="eastAsia" w:ascii="仿宋" w:hAnsi="仿宋" w:eastAsia="仿宋" w:cs="仿宋"/>
          <w:color w:val="auto"/>
          <w:sz w:val="24"/>
          <w:highlight w:val="none"/>
        </w:rPr>
        <w:t>成交候选人名单</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01289904">
      <w:pPr>
        <w:keepNext w:val="0"/>
        <w:keepLines w:val="0"/>
        <w:pageBreakBefore w:val="0"/>
        <w:numPr>
          <w:ilvl w:val="1"/>
          <w:numId w:val="0"/>
        </w:numPr>
        <w:shd w:val="clear" w:color="auto" w:fill="auto"/>
        <w:tabs>
          <w:tab w:val="left" w:pos="1080"/>
          <w:tab w:val="left" w:pos="1872"/>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7.1</w:t>
      </w:r>
      <w:r>
        <w:rPr>
          <w:rFonts w:hint="eastAsia" w:ascii="仿宋" w:hAnsi="仿宋" w:eastAsia="仿宋" w:cs="仿宋"/>
          <w:color w:val="auto"/>
          <w:sz w:val="24"/>
          <w:highlight w:val="none"/>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3F460FDF">
      <w:pPr>
        <w:keepNext w:val="0"/>
        <w:keepLines w:val="0"/>
        <w:pageBreakBefore w:val="0"/>
        <w:numPr>
          <w:ilvl w:val="1"/>
          <w:numId w:val="0"/>
        </w:numPr>
        <w:shd w:val="clear" w:color="auto" w:fill="auto"/>
        <w:tabs>
          <w:tab w:val="left" w:pos="1080"/>
          <w:tab w:val="left" w:pos="1872"/>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7.2</w:t>
      </w:r>
      <w:r>
        <w:rPr>
          <w:rFonts w:hint="eastAsia" w:ascii="仿宋" w:hAnsi="仿宋" w:eastAsia="仿宋" w:cs="仿宋"/>
          <w:color w:val="auto"/>
          <w:kern w:val="0"/>
          <w:sz w:val="24"/>
          <w:szCs w:val="20"/>
          <w:highlight w:val="none"/>
        </w:rPr>
        <w:t>磋商小组根据上述供应商排序，依次推荐排序前</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名</w:t>
      </w:r>
      <w:r>
        <w:rPr>
          <w:rFonts w:hint="eastAsia" w:ascii="仿宋" w:hAnsi="仿宋" w:eastAsia="仿宋" w:cs="仿宋"/>
          <w:color w:val="auto"/>
          <w:kern w:val="0"/>
          <w:sz w:val="24"/>
          <w:szCs w:val="20"/>
          <w:highlight w:val="none"/>
        </w:rPr>
        <w:t>的供应商为</w:t>
      </w:r>
      <w:r>
        <w:rPr>
          <w:rFonts w:hint="eastAsia" w:ascii="仿宋" w:hAnsi="仿宋" w:eastAsia="仿宋" w:cs="仿宋"/>
          <w:snapToGrid w:val="0"/>
          <w:color w:val="auto"/>
          <w:kern w:val="0"/>
          <w:sz w:val="24"/>
          <w:szCs w:val="21"/>
          <w:highlight w:val="none"/>
        </w:rPr>
        <w:t>成交候选供应商</w:t>
      </w:r>
      <w:r>
        <w:rPr>
          <w:rFonts w:hint="eastAsia" w:ascii="仿宋" w:hAnsi="仿宋" w:eastAsia="仿宋" w:cs="仿宋"/>
          <w:color w:val="auto"/>
          <w:kern w:val="0"/>
          <w:sz w:val="24"/>
          <w:szCs w:val="20"/>
          <w:highlight w:val="none"/>
        </w:rPr>
        <w:t>（若在磋商文件允许的情形下提交最后报价的供应商为二家，则依次推荐二名供应商为成交候选供应商），并编写评审报告。</w:t>
      </w:r>
    </w:p>
    <w:p w14:paraId="2E1EA7CE">
      <w:pPr>
        <w:keepNext w:val="0"/>
        <w:keepLines w:val="0"/>
        <w:pageBreakBefore w:val="0"/>
        <w:numPr>
          <w:ilvl w:val="1"/>
          <w:numId w:val="0"/>
        </w:numPr>
        <w:shd w:val="clear" w:color="auto" w:fill="auto"/>
        <w:tabs>
          <w:tab w:val="left" w:pos="1080"/>
          <w:tab w:val="left" w:pos="1872"/>
        </w:tabs>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color w:val="auto"/>
          <w:sz w:val="24"/>
          <w:highlight w:val="none"/>
        </w:rPr>
      </w:pPr>
      <w:r>
        <w:rPr>
          <w:rFonts w:hint="default" w:ascii="Times New Roman" w:hAnsi="Times New Roman" w:eastAsia="仿宋" w:cs="Times New Roman"/>
          <w:b w:val="0"/>
          <w:color w:val="auto"/>
          <w:kern w:val="2"/>
          <w:sz w:val="24"/>
          <w:szCs w:val="24"/>
          <w:lang w:val="en-US" w:eastAsia="zh-CN" w:bidi="ar-SA"/>
        </w:rPr>
        <w:t>7.3</w:t>
      </w:r>
      <w:r>
        <w:rPr>
          <w:rFonts w:hint="eastAsia" w:ascii="仿宋" w:hAnsi="仿宋" w:eastAsia="仿宋" w:cs="仿宋"/>
          <w:color w:val="auto"/>
          <w:sz w:val="24"/>
          <w:highlight w:val="none"/>
        </w:rPr>
        <w:t>磋商小组要对评分汇总情况进行复核，特别是对排名第一的、报价最低的、响应文件被认定为无效的情形进行重点复核。</w:t>
      </w:r>
    </w:p>
    <w:p w14:paraId="3179A409">
      <w:pPr>
        <w:keepNext w:val="0"/>
        <w:keepLines w:val="0"/>
        <w:pageBreakBefore w:val="0"/>
        <w:numPr>
          <w:ilvl w:val="0"/>
          <w:numId w:val="0"/>
        </w:numPr>
        <w:shd w:val="clear" w:color="auto" w:fill="auto"/>
        <w:tabs>
          <w:tab w:val="left" w:pos="360"/>
        </w:tabs>
        <w:kinsoku/>
        <w:wordWrap/>
        <w:overflowPunct/>
        <w:topLinePunct w:val="0"/>
        <w:autoSpaceDE/>
        <w:autoSpaceDN/>
        <w:bidi w:val="0"/>
        <w:adjustRightInd/>
        <w:snapToGrid w:val="0"/>
        <w:spacing w:line="360" w:lineRule="auto"/>
        <w:ind w:left="0" w:leftChars="0" w:firstLine="480" w:firstLineChars="200"/>
        <w:textAlignment w:val="auto"/>
        <w:outlineLvl w:val="1"/>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8</w:t>
      </w:r>
      <w:r>
        <w:rPr>
          <w:rFonts w:hint="eastAsia" w:ascii="仿宋" w:hAnsi="仿宋" w:eastAsia="仿宋" w:cs="仿宋"/>
          <w:color w:val="auto"/>
          <w:sz w:val="24"/>
          <w:highlight w:val="none"/>
        </w:rPr>
        <w:t>报告违法行为</w:t>
      </w:r>
    </w:p>
    <w:p w14:paraId="4027FADE">
      <w:pPr>
        <w:keepNext w:val="0"/>
        <w:keepLines w:val="0"/>
        <w:pageBreakBefore w:val="0"/>
        <w:widowControl/>
        <w:numPr>
          <w:ilvl w:val="1"/>
          <w:numId w:val="0"/>
        </w:numPr>
        <w:shd w:val="clear" w:color="auto" w:fill="auto"/>
        <w:tabs>
          <w:tab w:val="left" w:pos="1080"/>
          <w:tab w:val="left" w:pos="1872"/>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b/>
          <w:color w:val="auto"/>
          <w:sz w:val="24"/>
          <w:highlight w:val="none"/>
        </w:rPr>
      </w:pPr>
      <w:r>
        <w:rPr>
          <w:rFonts w:hint="default" w:ascii="Times New Roman" w:hAnsi="Times New Roman" w:eastAsia="仿宋" w:cs="Times New Roman"/>
          <w:b w:val="0"/>
          <w:color w:val="auto"/>
          <w:kern w:val="2"/>
          <w:sz w:val="24"/>
          <w:szCs w:val="24"/>
          <w:lang w:val="en-US" w:eastAsia="zh-CN" w:bidi="ar-SA"/>
        </w:rPr>
        <w:t>8.1</w:t>
      </w:r>
      <w:r>
        <w:rPr>
          <w:rFonts w:hint="eastAsia" w:ascii="仿宋" w:hAnsi="仿宋" w:eastAsia="仿宋" w:cs="仿宋"/>
          <w:color w:val="auto"/>
          <w:sz w:val="24"/>
          <w:highlight w:val="none"/>
        </w:rPr>
        <w:t>磋商小组在评审过程中发现供应商有行贿、提供虚假材料或者串通等违法行为时，应当及时向财政部门报告。</w:t>
      </w:r>
      <w:r>
        <w:rPr>
          <w:rFonts w:hint="eastAsia" w:ascii="仿宋" w:hAnsi="仿宋" w:eastAsia="仿宋" w:cs="仿宋"/>
          <w:b/>
          <w:color w:val="auto"/>
          <w:sz w:val="24"/>
          <w:highlight w:val="none"/>
        </w:rPr>
        <w:br w:type="page"/>
      </w:r>
    </w:p>
    <w:p w14:paraId="271D19E2">
      <w:pPr>
        <w:pStyle w:val="3"/>
        <w:numPr>
          <w:ilvl w:val="0"/>
          <w:numId w:val="10"/>
        </w:numPr>
        <w:shd w:val="clear" w:color="auto" w:fill="auto"/>
        <w:spacing w:before="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评审标准</w:t>
      </w:r>
    </w:p>
    <w:tbl>
      <w:tblPr>
        <w:tblStyle w:val="250"/>
        <w:tblpPr w:leftFromText="180" w:rightFromText="180" w:vertAnchor="text" w:horzAnchor="page" w:tblpX="903" w:tblpY="247"/>
        <w:tblOverlap w:val="never"/>
        <w:tblW w:w="984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051"/>
        <w:gridCol w:w="1052"/>
        <w:gridCol w:w="572"/>
        <w:gridCol w:w="6627"/>
      </w:tblGrid>
      <w:tr w14:paraId="077E8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43" w:type="dxa"/>
            <w:vAlign w:val="center"/>
          </w:tcPr>
          <w:p w14:paraId="2E974DE9">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03" w:type="dxa"/>
            <w:gridSpan w:val="2"/>
            <w:vAlign w:val="center"/>
          </w:tcPr>
          <w:p w14:paraId="36314383">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评分因</w:t>
            </w:r>
            <w:r>
              <w:rPr>
                <w:rFonts w:hint="eastAsia" w:ascii="仿宋" w:hAnsi="仿宋" w:eastAsia="仿宋" w:cs="仿宋"/>
                <w:color w:val="auto"/>
                <w:spacing w:val="-3"/>
                <w:sz w:val="24"/>
                <w:szCs w:val="24"/>
                <w:highlight w:val="none"/>
              </w:rPr>
              <w:t>素</w:t>
            </w:r>
          </w:p>
        </w:tc>
        <w:tc>
          <w:tcPr>
            <w:tcW w:w="572" w:type="dxa"/>
            <w:vAlign w:val="center"/>
          </w:tcPr>
          <w:p w14:paraId="24E682A0">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c>
          <w:tcPr>
            <w:tcW w:w="6627" w:type="dxa"/>
            <w:vAlign w:val="center"/>
          </w:tcPr>
          <w:p w14:paraId="75E933F3">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评分标准</w:t>
            </w:r>
          </w:p>
        </w:tc>
      </w:tr>
      <w:tr w14:paraId="44DB1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5" w:hRule="atLeast"/>
        </w:trPr>
        <w:tc>
          <w:tcPr>
            <w:tcW w:w="543" w:type="dxa"/>
            <w:vMerge w:val="restart"/>
            <w:vAlign w:val="center"/>
          </w:tcPr>
          <w:p w14:paraId="6C587E63">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51" w:type="dxa"/>
            <w:vMerge w:val="restart"/>
            <w:vAlign w:val="center"/>
          </w:tcPr>
          <w:p w14:paraId="14282DD6">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商务部分</w:t>
            </w:r>
          </w:p>
          <w:p w14:paraId="3DF1AE6B">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（20分）</w:t>
            </w:r>
          </w:p>
        </w:tc>
        <w:tc>
          <w:tcPr>
            <w:tcW w:w="1052" w:type="dxa"/>
            <w:vAlign w:val="center"/>
          </w:tcPr>
          <w:p w14:paraId="68FB861A">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相关业绩</w:t>
            </w:r>
          </w:p>
        </w:tc>
        <w:tc>
          <w:tcPr>
            <w:tcW w:w="572" w:type="dxa"/>
            <w:vAlign w:val="center"/>
          </w:tcPr>
          <w:p w14:paraId="21E8BF9D">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6627" w:type="dxa"/>
            <w:vAlign w:val="center"/>
          </w:tcPr>
          <w:p w14:paraId="26018CBD">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根据供应商（202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1日起</w:t>
            </w:r>
            <w:r>
              <w:rPr>
                <w:rFonts w:hint="eastAsia" w:ascii="仿宋" w:hAnsi="仿宋" w:eastAsia="仿宋" w:cs="仿宋"/>
                <w:color w:val="auto"/>
                <w:sz w:val="24"/>
                <w:szCs w:val="24"/>
                <w:highlight w:val="none"/>
                <w:lang w:eastAsia="zh-CN"/>
              </w:rPr>
              <w:t>至今，以合同或协议签订日期为准）承担的类似项目业绩情况进行评价，提供一个业绩得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分，最高得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分。未提供得</w:t>
            </w:r>
            <w:r>
              <w:rPr>
                <w:rFonts w:hint="eastAsia" w:ascii="仿宋" w:hAnsi="仿宋" w:eastAsia="仿宋" w:cs="仿宋"/>
                <w:color w:val="auto"/>
                <w:sz w:val="24"/>
                <w:szCs w:val="24"/>
                <w:highlight w:val="none"/>
                <w:lang w:val="en-US" w:eastAsia="zh-CN"/>
              </w:rPr>
              <w:t>0分。</w:t>
            </w:r>
          </w:p>
          <w:p w14:paraId="5A289B1C">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注：审核依据为合同的复印件，至少包括合同首页、标的服务内容页和签字盖章</w:t>
            </w:r>
            <w:r>
              <w:rPr>
                <w:rFonts w:hint="eastAsia" w:ascii="仿宋" w:hAnsi="仿宋" w:eastAsia="仿宋" w:cs="仿宋"/>
                <w:color w:val="auto"/>
                <w:highlight w:val="none"/>
                <w:lang w:eastAsia="zh-CN"/>
              </w:rPr>
              <w:t>签订日期</w:t>
            </w:r>
            <w:r>
              <w:rPr>
                <w:rFonts w:hint="eastAsia" w:ascii="仿宋" w:hAnsi="仿宋" w:eastAsia="仿宋" w:cs="仿宋"/>
                <w:color w:val="auto"/>
                <w:sz w:val="24"/>
                <w:szCs w:val="24"/>
                <w:highlight w:val="none"/>
                <w:lang w:eastAsia="zh-CN"/>
              </w:rPr>
              <w:t>页，并加盖供应商公章。</w:t>
            </w:r>
          </w:p>
        </w:tc>
      </w:tr>
      <w:tr w14:paraId="05A8B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dxa"/>
            <w:vMerge w:val="continue"/>
            <w:vAlign w:val="center"/>
          </w:tcPr>
          <w:p w14:paraId="68BEBDCB">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p>
        </w:tc>
        <w:tc>
          <w:tcPr>
            <w:tcW w:w="1051" w:type="dxa"/>
            <w:vMerge w:val="continue"/>
            <w:vAlign w:val="center"/>
          </w:tcPr>
          <w:p w14:paraId="5231989F">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p>
        </w:tc>
        <w:tc>
          <w:tcPr>
            <w:tcW w:w="1052" w:type="dxa"/>
            <w:vAlign w:val="center"/>
          </w:tcPr>
          <w:p w14:paraId="69620E76">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企业质量管理体系认证</w:t>
            </w:r>
          </w:p>
        </w:tc>
        <w:tc>
          <w:tcPr>
            <w:tcW w:w="572" w:type="dxa"/>
            <w:vAlign w:val="center"/>
          </w:tcPr>
          <w:p w14:paraId="579AC48B">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8</w:t>
            </w:r>
          </w:p>
        </w:tc>
        <w:tc>
          <w:tcPr>
            <w:tcW w:w="6627" w:type="dxa"/>
            <w:vAlign w:val="top"/>
          </w:tcPr>
          <w:p w14:paraId="71F86E9A">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具有有效的质量管理体系认证证书；</w:t>
            </w:r>
          </w:p>
          <w:p w14:paraId="1C76ADCC">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具有有效的环境管理体系认证证书；</w:t>
            </w:r>
          </w:p>
          <w:p w14:paraId="5DF3031E">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具有有效的职业健康安全管理体系认证证书；</w:t>
            </w:r>
          </w:p>
          <w:p w14:paraId="51001BEE">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具有有效的食品安全管理体系认证证书；</w:t>
            </w:r>
          </w:p>
          <w:p w14:paraId="31B6431D">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以上证书每提供一项得2分，最高得8分。未提供得0分。</w:t>
            </w:r>
          </w:p>
        </w:tc>
      </w:tr>
      <w:tr w14:paraId="0C1C7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1" w:hRule="atLeast"/>
        </w:trPr>
        <w:tc>
          <w:tcPr>
            <w:tcW w:w="543" w:type="dxa"/>
            <w:vAlign w:val="center"/>
          </w:tcPr>
          <w:p w14:paraId="5471157E">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1051" w:type="dxa"/>
            <w:vMerge w:val="restart"/>
            <w:vAlign w:val="center"/>
          </w:tcPr>
          <w:p w14:paraId="22D572A5">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技术部分</w:t>
            </w:r>
          </w:p>
          <w:p w14:paraId="4C6B7E2D">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（70分）</w:t>
            </w:r>
          </w:p>
        </w:tc>
        <w:tc>
          <w:tcPr>
            <w:tcW w:w="1052" w:type="dxa"/>
            <w:vAlign w:val="center"/>
          </w:tcPr>
          <w:p w14:paraId="3A31CDEA">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整体服务</w:t>
            </w:r>
          </w:p>
          <w:p w14:paraId="10CF69D5">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方案</w:t>
            </w:r>
          </w:p>
        </w:tc>
        <w:tc>
          <w:tcPr>
            <w:tcW w:w="572" w:type="dxa"/>
            <w:vAlign w:val="center"/>
          </w:tcPr>
          <w:p w14:paraId="0D89467A">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6627" w:type="dxa"/>
            <w:vAlign w:val="top"/>
          </w:tcPr>
          <w:p w14:paraId="590915D3">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方案能够概括提出有效标准，明确达标的总体措施，并与本项目联系紧密，科学合理可行得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分；</w:t>
            </w:r>
          </w:p>
          <w:p w14:paraId="187DBBE5">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方案相对较好、能较准确的概括出有效标准且与本项目联系相对紧密得</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lang w:eastAsia="zh-CN"/>
              </w:rPr>
              <w:t>分；</w:t>
            </w:r>
          </w:p>
          <w:p w14:paraId="0EF18DB7">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方案概括的有效标准及其达标的总体措施相对可行、科学性合理性及与本项目的联系程度一般得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分；</w:t>
            </w:r>
          </w:p>
          <w:p w14:paraId="1F740221">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方案概括的有效标准及其达标的总体措施基本能满足用户需求得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分；</w:t>
            </w:r>
          </w:p>
          <w:p w14:paraId="371966CD">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方案较差或未充分进行描述得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w:t>
            </w:r>
          </w:p>
          <w:p w14:paraId="047C69B5">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未提供得0分。</w:t>
            </w:r>
          </w:p>
        </w:tc>
      </w:tr>
      <w:tr w14:paraId="5141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2" w:hRule="atLeast"/>
        </w:trPr>
        <w:tc>
          <w:tcPr>
            <w:tcW w:w="543" w:type="dxa"/>
            <w:vAlign w:val="center"/>
          </w:tcPr>
          <w:p w14:paraId="19C82164">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1051" w:type="dxa"/>
            <w:vMerge w:val="continue"/>
            <w:vAlign w:val="center"/>
          </w:tcPr>
          <w:p w14:paraId="2928F16B">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p>
        </w:tc>
        <w:tc>
          <w:tcPr>
            <w:tcW w:w="1052" w:type="dxa"/>
            <w:vAlign w:val="center"/>
          </w:tcPr>
          <w:p w14:paraId="13534636">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菜品搭配</w:t>
            </w:r>
          </w:p>
          <w:p w14:paraId="55A72275">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方案</w:t>
            </w:r>
          </w:p>
        </w:tc>
        <w:tc>
          <w:tcPr>
            <w:tcW w:w="572" w:type="dxa"/>
            <w:vAlign w:val="center"/>
          </w:tcPr>
          <w:p w14:paraId="25316423">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10</w:t>
            </w:r>
          </w:p>
        </w:tc>
        <w:tc>
          <w:tcPr>
            <w:tcW w:w="6627" w:type="dxa"/>
            <w:vAlign w:val="top"/>
          </w:tcPr>
          <w:p w14:paraId="2587665B">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菜品搭配合理、每餐数量和种类丰富、营养搭配均衡、轮替方案灵活，完全能够满足服务需要得10分；</w:t>
            </w:r>
          </w:p>
          <w:p w14:paraId="2CA2B905">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菜品搭配较合理、每餐数量和种类较丰富、营养搭配较均衡、轮替方案较灵活，较能满足服务需要得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分；</w:t>
            </w:r>
          </w:p>
          <w:p w14:paraId="155CC49A">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菜品搭配相对合理、每餐数量和种类满足要求、营养搭配情况不够均衡、轮替方案一般，基本满足服务需要得4分；</w:t>
            </w:r>
          </w:p>
          <w:p w14:paraId="42F66140">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提供菜品搭配方案，但存在明显缺陷，不能满足服务需要得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分；</w:t>
            </w:r>
          </w:p>
          <w:p w14:paraId="51B6EA59">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未提供得0分。</w:t>
            </w:r>
          </w:p>
        </w:tc>
      </w:tr>
      <w:tr w14:paraId="077B4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trPr>
        <w:tc>
          <w:tcPr>
            <w:tcW w:w="543" w:type="dxa"/>
            <w:vAlign w:val="center"/>
          </w:tcPr>
          <w:p w14:paraId="18BA75C5">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1051" w:type="dxa"/>
            <w:vMerge w:val="continue"/>
            <w:vAlign w:val="center"/>
          </w:tcPr>
          <w:p w14:paraId="1A9B71C2">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p>
        </w:tc>
        <w:tc>
          <w:tcPr>
            <w:tcW w:w="1052" w:type="dxa"/>
            <w:vAlign w:val="center"/>
          </w:tcPr>
          <w:p w14:paraId="20CF8D7F">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员工培训</w:t>
            </w:r>
          </w:p>
          <w:p w14:paraId="2BD4A1AB">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制度</w:t>
            </w:r>
          </w:p>
        </w:tc>
        <w:tc>
          <w:tcPr>
            <w:tcW w:w="572" w:type="dxa"/>
            <w:vAlign w:val="center"/>
          </w:tcPr>
          <w:p w14:paraId="3547F40B">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10</w:t>
            </w:r>
          </w:p>
        </w:tc>
        <w:tc>
          <w:tcPr>
            <w:tcW w:w="6627" w:type="dxa"/>
            <w:vAlign w:val="top"/>
          </w:tcPr>
          <w:p w14:paraId="5B927482">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制度完善、详细、有针对性得10分；</w:t>
            </w:r>
          </w:p>
          <w:p w14:paraId="52FECC47">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制度基本完善、表达模糊，针对性一般得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分；</w:t>
            </w:r>
          </w:p>
          <w:p w14:paraId="4422E101">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制度不完善，不详细，无针对性得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w:t>
            </w:r>
          </w:p>
          <w:p w14:paraId="548F375D">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未提供得0分。</w:t>
            </w:r>
          </w:p>
        </w:tc>
      </w:tr>
      <w:tr w14:paraId="4C2C0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543" w:type="dxa"/>
            <w:vAlign w:val="center"/>
          </w:tcPr>
          <w:p w14:paraId="3AF4370F">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1051" w:type="dxa"/>
            <w:vMerge w:val="continue"/>
            <w:vAlign w:val="center"/>
          </w:tcPr>
          <w:p w14:paraId="5A2917E3">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p>
        </w:tc>
        <w:tc>
          <w:tcPr>
            <w:tcW w:w="1052" w:type="dxa"/>
            <w:vAlign w:val="center"/>
          </w:tcPr>
          <w:p w14:paraId="017522D7">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人员岗位</w:t>
            </w:r>
          </w:p>
          <w:p w14:paraId="7AB9D841">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配置方案</w:t>
            </w:r>
          </w:p>
        </w:tc>
        <w:tc>
          <w:tcPr>
            <w:tcW w:w="572" w:type="dxa"/>
            <w:tcBorders>
              <w:top w:val="single" w:color="auto" w:sz="4" w:space="0"/>
            </w:tcBorders>
            <w:vAlign w:val="center"/>
          </w:tcPr>
          <w:p w14:paraId="285494FE">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10</w:t>
            </w:r>
          </w:p>
        </w:tc>
        <w:tc>
          <w:tcPr>
            <w:tcW w:w="6627" w:type="dxa"/>
            <w:tcBorders>
              <w:top w:val="single" w:color="auto" w:sz="4" w:space="0"/>
            </w:tcBorders>
            <w:vAlign w:val="top"/>
          </w:tcPr>
          <w:p w14:paraId="2147AED4">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人员配置方案合理、职责分工明确、岗位匹配度高、人员素质高、技术能力卓越，得10分；</w:t>
            </w:r>
          </w:p>
          <w:p w14:paraId="4DB50D07">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人员配置方案较合理、职责分工较明确、岗位匹配度较高、人员素质较高、技术能力较卓越，得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分；</w:t>
            </w:r>
          </w:p>
          <w:p w14:paraId="6733B926">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人员配置方案基本符合要求、职责分工一般、岗位匹配度一般、人员素质一般、技术能力一般，得4分；</w:t>
            </w:r>
          </w:p>
          <w:p w14:paraId="7359E19D">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提供人员配置方案、职责分工及岗位匹配度存在缺陷、人员素质及技术能力不足，得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分；</w:t>
            </w:r>
          </w:p>
          <w:p w14:paraId="5CA9D91C">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未提供得0分。</w:t>
            </w:r>
          </w:p>
        </w:tc>
      </w:tr>
      <w:tr w14:paraId="0A90D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43" w:type="dxa"/>
            <w:vAlign w:val="center"/>
          </w:tcPr>
          <w:p w14:paraId="14D3D52C">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051" w:type="dxa"/>
            <w:vMerge w:val="continue"/>
            <w:vAlign w:val="center"/>
          </w:tcPr>
          <w:p w14:paraId="10DA2EBF">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p>
        </w:tc>
        <w:tc>
          <w:tcPr>
            <w:tcW w:w="1052" w:type="dxa"/>
            <w:vAlign w:val="center"/>
          </w:tcPr>
          <w:p w14:paraId="2D3DBE55">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应急预案处理方案</w:t>
            </w:r>
          </w:p>
        </w:tc>
        <w:tc>
          <w:tcPr>
            <w:tcW w:w="572" w:type="dxa"/>
            <w:vAlign w:val="center"/>
          </w:tcPr>
          <w:p w14:paraId="70702A6D">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6627" w:type="dxa"/>
            <w:vAlign w:val="top"/>
          </w:tcPr>
          <w:p w14:paraId="5DF9AD46">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方案措施详细、全面、合理性及可操作性强，</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分；</w:t>
            </w:r>
          </w:p>
          <w:p w14:paraId="1B507136">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方案措施较详细、较全面、合理性及可操作性较强，得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分；</w:t>
            </w:r>
          </w:p>
          <w:p w14:paraId="5B118750">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方案措施简略、不够全面、合理性及可操作性较差，得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w:t>
            </w:r>
          </w:p>
          <w:p w14:paraId="4F884520">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未提供方案，得0分。</w:t>
            </w:r>
          </w:p>
        </w:tc>
      </w:tr>
      <w:tr w14:paraId="522CB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5" w:hRule="atLeast"/>
        </w:trPr>
        <w:tc>
          <w:tcPr>
            <w:tcW w:w="543" w:type="dxa"/>
            <w:vAlign w:val="center"/>
          </w:tcPr>
          <w:p w14:paraId="38810470">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1051" w:type="dxa"/>
            <w:vMerge w:val="continue"/>
            <w:vAlign w:val="center"/>
          </w:tcPr>
          <w:p w14:paraId="7984E9CC">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p>
        </w:tc>
        <w:tc>
          <w:tcPr>
            <w:tcW w:w="1052" w:type="dxa"/>
            <w:vAlign w:val="center"/>
          </w:tcPr>
          <w:p w14:paraId="39863BA2">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食品质量</w:t>
            </w:r>
          </w:p>
          <w:p w14:paraId="35F9C55E">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安全与卫</w:t>
            </w:r>
          </w:p>
          <w:p w14:paraId="76C4E209">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生环境保</w:t>
            </w:r>
          </w:p>
          <w:p w14:paraId="287F8FF0">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障措施</w:t>
            </w:r>
          </w:p>
        </w:tc>
        <w:tc>
          <w:tcPr>
            <w:tcW w:w="572" w:type="dxa"/>
            <w:vAlign w:val="center"/>
          </w:tcPr>
          <w:p w14:paraId="4FEB7B88">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10</w:t>
            </w:r>
          </w:p>
        </w:tc>
        <w:tc>
          <w:tcPr>
            <w:tcW w:w="6627" w:type="dxa"/>
            <w:vAlign w:val="top"/>
          </w:tcPr>
          <w:p w14:paraId="4D0AE805">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食品质量安全与卫生环境保障措施内容详实和周密，用餐现场管理措施得当、工作流程严谨，可行性强得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分；</w:t>
            </w:r>
          </w:p>
          <w:p w14:paraId="3AC03789">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食品质量安全与卫生环境保障措施内容较详实、较周密，用餐现场管理措施较得当、工作流程较严谨，可行性较强得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分；</w:t>
            </w:r>
          </w:p>
          <w:p w14:paraId="7E2C437E">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食品质量安全与卫生环境保障措施内容详实度和周密性一般，用餐现场管理措施一般、工作流程一般，可行性一般得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w:t>
            </w:r>
          </w:p>
          <w:p w14:paraId="281474E8">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食品质量安全与卫生环境保障措施内容不完整，用餐现场管理措施及工作流程欠缺混乱，得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分；</w:t>
            </w:r>
          </w:p>
          <w:p w14:paraId="2232B632">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未提供得0分。</w:t>
            </w:r>
          </w:p>
        </w:tc>
      </w:tr>
      <w:tr w14:paraId="70B8F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7" w:hRule="atLeast"/>
        </w:trPr>
        <w:tc>
          <w:tcPr>
            <w:tcW w:w="543" w:type="dxa"/>
            <w:vAlign w:val="center"/>
          </w:tcPr>
          <w:p w14:paraId="349613EA">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2103" w:type="dxa"/>
            <w:gridSpan w:val="2"/>
            <w:vAlign w:val="center"/>
          </w:tcPr>
          <w:p w14:paraId="09B7B3FF">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highlight w:val="none"/>
                <w:lang w:eastAsia="zh-CN"/>
              </w:rPr>
              <w:t>部分</w:t>
            </w:r>
          </w:p>
        </w:tc>
        <w:tc>
          <w:tcPr>
            <w:tcW w:w="572" w:type="dxa"/>
            <w:vAlign w:val="center"/>
          </w:tcPr>
          <w:p w14:paraId="15139ABF">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0</w:t>
            </w:r>
          </w:p>
        </w:tc>
        <w:tc>
          <w:tcPr>
            <w:tcW w:w="6627" w:type="dxa"/>
            <w:vAlign w:val="center"/>
          </w:tcPr>
          <w:p w14:paraId="79165B56">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满足磋商文件要求的最后报价最低的供应商的价格为磋商基准价，其价格分为满分。其他供应商的价格分统一按照下列公式计算：</w:t>
            </w:r>
          </w:p>
          <w:p w14:paraId="7E716C90">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磋商报价得分=（磋商基准价/最后报价）×</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100</w:t>
            </w:r>
          </w:p>
          <w:p w14:paraId="5BDAEC0A">
            <w:pPr>
              <w:pStyle w:val="251"/>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说明：此处最后报价指经过报价修正，及因落实政府采购政策进行价格调整后的报价，详见第三章《评审方法和评审标准》3.2、3.3。</w:t>
            </w:r>
          </w:p>
        </w:tc>
      </w:tr>
      <w:tr w14:paraId="2A6CF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646" w:type="dxa"/>
            <w:gridSpan w:val="3"/>
            <w:vAlign w:val="center"/>
          </w:tcPr>
          <w:p w14:paraId="05FD72C1">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合计</w:t>
            </w:r>
          </w:p>
        </w:tc>
        <w:tc>
          <w:tcPr>
            <w:tcW w:w="7199" w:type="dxa"/>
            <w:gridSpan w:val="2"/>
            <w:vAlign w:val="center"/>
          </w:tcPr>
          <w:p w14:paraId="182EF89C">
            <w:pPr>
              <w:pStyle w:val="251"/>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100</w:t>
            </w:r>
          </w:p>
        </w:tc>
      </w:tr>
    </w:tbl>
    <w:p w14:paraId="346D393A">
      <w:pPr>
        <w:pStyle w:val="5"/>
        <w:widowControl w:val="0"/>
        <w:numPr>
          <w:ilvl w:val="0"/>
          <w:numId w:val="0"/>
        </w:numPr>
        <w:autoSpaceDE w:val="0"/>
        <w:autoSpaceDN w:val="0"/>
        <w:adjustRightInd w:val="0"/>
        <w:jc w:val="left"/>
        <w:rPr>
          <w:rFonts w:hint="eastAsia"/>
          <w:highlight w:val="none"/>
        </w:rPr>
      </w:pPr>
    </w:p>
    <w:p w14:paraId="2B1AB10D">
      <w:pPr>
        <w:pStyle w:val="109"/>
        <w:shd w:val="clear" w:color="auto" w:fill="auto"/>
        <w:adjustRightInd w:val="0"/>
        <w:spacing w:line="360" w:lineRule="auto"/>
        <w:ind w:firstLine="0" w:firstLineChars="0"/>
        <w:contextualSpacing/>
        <w:jc w:val="center"/>
        <w:outlineLvl w:val="0"/>
        <w:rPr>
          <w:rFonts w:hint="eastAsia" w:ascii="仿宋" w:hAnsi="仿宋" w:eastAsia="仿宋" w:cs="仿宋"/>
          <w:b/>
          <w:color w:val="auto"/>
          <w:sz w:val="36"/>
          <w:szCs w:val="36"/>
          <w:highlight w:val="none"/>
        </w:rPr>
      </w:pPr>
      <w:r>
        <w:rPr>
          <w:rFonts w:hint="eastAsia" w:ascii="仿宋" w:hAnsi="仿宋" w:eastAsia="仿宋" w:cs="仿宋"/>
          <w:color w:val="auto"/>
          <w:sz w:val="24"/>
          <w:highlight w:val="none"/>
        </w:rPr>
        <w:br w:type="page"/>
      </w:r>
      <w:bookmarkStart w:id="643" w:name="_Toc17795"/>
      <w:bookmarkStart w:id="644" w:name="_Toc4238"/>
      <w:r>
        <w:rPr>
          <w:rFonts w:hint="eastAsia" w:ascii="仿宋" w:hAnsi="仿宋" w:eastAsia="仿宋" w:cs="仿宋"/>
          <w:b/>
          <w:color w:val="auto"/>
          <w:sz w:val="36"/>
          <w:szCs w:val="36"/>
          <w:highlight w:val="none"/>
          <w:lang w:val="en-US" w:eastAsia="zh-CN"/>
        </w:rPr>
        <w:t>第四章</w:t>
      </w:r>
      <w:r>
        <w:rPr>
          <w:rFonts w:hint="eastAsia" w:ascii="仿宋" w:hAnsi="仿宋" w:eastAsia="仿宋" w:cs="仿宋"/>
          <w:b/>
          <w:color w:val="auto"/>
          <w:sz w:val="36"/>
          <w:szCs w:val="36"/>
          <w:highlight w:val="none"/>
        </w:rPr>
        <w:t>采购需求</w:t>
      </w:r>
      <w:bookmarkEnd w:id="643"/>
      <w:bookmarkEnd w:id="644"/>
    </w:p>
    <w:p w14:paraId="17B6B387">
      <w:pPr>
        <w:numPr>
          <w:ilvl w:val="0"/>
          <w:numId w:val="11"/>
        </w:numPr>
        <w:spacing w:line="360" w:lineRule="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采购标的</w:t>
      </w:r>
    </w:p>
    <w:p w14:paraId="35DD7778">
      <w:pPr>
        <w:shd w:val="clear" w:color="auto" w:fill="auto"/>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（一）采购标的（简要服务内容及数量）</w:t>
      </w:r>
    </w:p>
    <w:tbl>
      <w:tblPr>
        <w:tblStyle w:val="43"/>
        <w:tblW w:w="0" w:type="auto"/>
        <w:tblInd w:w="2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029"/>
        <w:gridCol w:w="1395"/>
        <w:gridCol w:w="990"/>
        <w:gridCol w:w="3688"/>
      </w:tblGrid>
      <w:tr w14:paraId="155C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vAlign w:val="center"/>
          </w:tcPr>
          <w:p w14:paraId="64756B29">
            <w:pPr>
              <w:shd w:val="clear" w:color="auto" w:fill="auto"/>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序号</w:t>
            </w:r>
          </w:p>
        </w:tc>
        <w:tc>
          <w:tcPr>
            <w:tcW w:w="2029" w:type="dxa"/>
            <w:vAlign w:val="center"/>
          </w:tcPr>
          <w:p w14:paraId="592103D7">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395" w:type="dxa"/>
            <w:vAlign w:val="center"/>
          </w:tcPr>
          <w:p w14:paraId="56B345EA">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p>
          <w:p w14:paraId="4B2F1301">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990" w:type="dxa"/>
            <w:vAlign w:val="center"/>
          </w:tcPr>
          <w:p w14:paraId="4304314A">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688" w:type="dxa"/>
            <w:vAlign w:val="center"/>
          </w:tcPr>
          <w:p w14:paraId="6395E930">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简要技术需求或服务要求</w:t>
            </w:r>
          </w:p>
        </w:tc>
      </w:tr>
      <w:tr w14:paraId="15B4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vAlign w:val="center"/>
          </w:tcPr>
          <w:p w14:paraId="37A967EF">
            <w:pPr>
              <w:shd w:val="clear" w:color="auto" w:fill="auto"/>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029" w:type="dxa"/>
            <w:vAlign w:val="center"/>
          </w:tcPr>
          <w:p w14:paraId="119B21EE">
            <w:pPr>
              <w:shd w:val="clear" w:color="auto" w:fill="auto"/>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2026年大红门街道餐饮服务采购项目</w:t>
            </w:r>
          </w:p>
        </w:tc>
        <w:tc>
          <w:tcPr>
            <w:tcW w:w="1395" w:type="dxa"/>
            <w:vAlign w:val="center"/>
          </w:tcPr>
          <w:p w14:paraId="016EFE72">
            <w:pPr>
              <w:shd w:val="clear" w:color="auto" w:fill="auto"/>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225</w:t>
            </w:r>
          </w:p>
        </w:tc>
        <w:tc>
          <w:tcPr>
            <w:tcW w:w="990" w:type="dxa"/>
            <w:vAlign w:val="center"/>
          </w:tcPr>
          <w:p w14:paraId="5FEE5447">
            <w:pPr>
              <w:shd w:val="clear" w:color="auto" w:fill="auto"/>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w:t>
            </w:r>
          </w:p>
        </w:tc>
        <w:tc>
          <w:tcPr>
            <w:tcW w:w="3688" w:type="dxa"/>
            <w:vAlign w:val="center"/>
          </w:tcPr>
          <w:p w14:paraId="24599EF6">
            <w:pPr>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根据街道的实际需求，参照工作日餐饮服务有关约定，提供公休日及法定节假日餐饮服务，并保障食品质量及卫生。（具体内容详见第四章采购需求）。</w:t>
            </w:r>
          </w:p>
        </w:tc>
      </w:tr>
    </w:tbl>
    <w:p w14:paraId="19BE9DEF">
      <w:pPr>
        <w:spacing w:line="360" w:lineRule="auto"/>
        <w:rPr>
          <w:rFonts w:hint="eastAsia" w:ascii="宋体" w:hAnsi="宋体" w:eastAsia="宋体" w:cs="宋体"/>
          <w:b/>
          <w:bCs/>
          <w:color w:val="auto"/>
          <w:kern w:val="2"/>
          <w:sz w:val="24"/>
          <w:szCs w:val="24"/>
          <w:highlight w:val="none"/>
          <w:lang w:val="en-US" w:eastAsia="zh-CN" w:bidi="ar-SA"/>
        </w:rPr>
      </w:pPr>
    </w:p>
    <w:p w14:paraId="1F1319BD">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二、项目服务要求</w:t>
      </w:r>
    </w:p>
    <w:p w14:paraId="750F8245">
      <w:pPr>
        <w:spacing w:before="254" w:line="220" w:lineRule="auto"/>
        <w:ind w:left="42"/>
        <w:rPr>
          <w:rFonts w:ascii="宋体" w:hAnsi="宋体" w:eastAsia="宋体" w:cs="宋体"/>
          <w:sz w:val="24"/>
          <w:szCs w:val="24"/>
        </w:rPr>
      </w:pPr>
      <w:bookmarkStart w:id="645" w:name="_Toc20792"/>
      <w:r>
        <w:rPr>
          <w:rFonts w:hint="eastAsia" w:ascii="宋体" w:hAnsi="宋体" w:eastAsia="宋体" w:cs="宋体"/>
          <w:b/>
          <w:bCs/>
          <w:spacing w:val="-2"/>
          <w:sz w:val="24"/>
          <w:szCs w:val="24"/>
          <w:lang w:eastAsia="zh-CN"/>
        </w:rPr>
        <w:t>（</w:t>
      </w:r>
      <w:r>
        <w:rPr>
          <w:rFonts w:hint="eastAsia" w:ascii="宋体" w:hAnsi="宋体" w:eastAsia="宋体" w:cs="宋体"/>
          <w:b/>
          <w:bCs/>
          <w:spacing w:val="-2"/>
          <w:sz w:val="24"/>
          <w:szCs w:val="24"/>
          <w:lang w:val="en-US" w:eastAsia="zh-CN"/>
        </w:rPr>
        <w:t>一</w:t>
      </w:r>
      <w:r>
        <w:rPr>
          <w:rFonts w:hint="eastAsia" w:ascii="宋体" w:hAnsi="宋体" w:eastAsia="宋体" w:cs="宋体"/>
          <w:b/>
          <w:bCs/>
          <w:spacing w:val="-2"/>
          <w:sz w:val="24"/>
          <w:szCs w:val="24"/>
          <w:lang w:eastAsia="zh-CN"/>
        </w:rPr>
        <w:t>）</w:t>
      </w:r>
      <w:r>
        <w:rPr>
          <w:rFonts w:ascii="宋体" w:hAnsi="宋体" w:eastAsia="宋体" w:cs="宋体"/>
          <w:b/>
          <w:bCs/>
          <w:spacing w:val="-2"/>
          <w:sz w:val="24"/>
          <w:szCs w:val="24"/>
        </w:rPr>
        <w:t>项目概况</w:t>
      </w:r>
    </w:p>
    <w:p w14:paraId="038149C6">
      <w:pPr>
        <w:spacing w:before="181" w:line="219" w:lineRule="auto"/>
        <w:ind w:left="476"/>
        <w:rPr>
          <w:rFonts w:ascii="宋体" w:hAnsi="宋体" w:eastAsia="宋体" w:cs="宋体"/>
          <w:sz w:val="24"/>
          <w:szCs w:val="24"/>
        </w:rPr>
      </w:pPr>
      <w:r>
        <w:rPr>
          <w:rFonts w:ascii="宋体" w:hAnsi="宋体" w:eastAsia="宋体" w:cs="宋体"/>
          <w:spacing w:val="-3"/>
          <w:sz w:val="24"/>
          <w:szCs w:val="24"/>
        </w:rPr>
        <w:t>1、项目名称：</w:t>
      </w:r>
      <w:r>
        <w:rPr>
          <w:rFonts w:hint="eastAsia" w:ascii="宋体" w:hAnsi="宋体" w:eastAsia="宋体" w:cs="宋体"/>
          <w:spacing w:val="-3"/>
          <w:sz w:val="24"/>
          <w:szCs w:val="24"/>
        </w:rPr>
        <w:t>2026年大红门街道餐饮服务采购项目</w:t>
      </w:r>
    </w:p>
    <w:p w14:paraId="0DE766A9">
      <w:pPr>
        <w:spacing w:before="182" w:line="331" w:lineRule="auto"/>
        <w:ind w:left="458" w:firstLine="2"/>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3"/>
          <w:sz w:val="24"/>
          <w:szCs w:val="24"/>
        </w:rPr>
        <w:t>服务范围及内容：提供全年每日三餐服务，早饭3种汤，凉拌菜（不含咸菜）至少1种，热菜至少1种，咸菜类2-3种，主食至少3种；自助午餐品种：午餐6种菜，4热2凉，汤2种，水果，酸奶各1种，主食4种；晚餐，3菜1荤2素，1个汤，1-2种主食。根据街道的实际需求，参照工作日餐饮服务有关约定，提供公休日及法定节假日餐饮服务，并保障食品质量及卫生。</w:t>
      </w:r>
    </w:p>
    <w:p w14:paraId="2E8AA0B1">
      <w:pPr>
        <w:spacing w:before="181" w:line="220" w:lineRule="auto"/>
        <w:ind w:left="38"/>
        <w:rPr>
          <w:rFonts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二</w:t>
      </w:r>
      <w:r>
        <w:rPr>
          <w:rFonts w:hint="eastAsia" w:ascii="宋体" w:hAnsi="宋体" w:eastAsia="宋体" w:cs="宋体"/>
          <w:b/>
          <w:bCs/>
          <w:spacing w:val="-4"/>
          <w:sz w:val="24"/>
          <w:szCs w:val="24"/>
          <w:lang w:eastAsia="zh-CN"/>
        </w:rPr>
        <w:t>）</w:t>
      </w:r>
      <w:r>
        <w:rPr>
          <w:rFonts w:ascii="宋体" w:hAnsi="宋体" w:eastAsia="宋体" w:cs="宋体"/>
          <w:b/>
          <w:bCs/>
          <w:spacing w:val="-4"/>
          <w:sz w:val="24"/>
          <w:szCs w:val="24"/>
        </w:rPr>
        <w:t>商务要求</w:t>
      </w:r>
    </w:p>
    <w:p w14:paraId="1B747676">
      <w:pPr>
        <w:spacing w:before="181" w:line="220" w:lineRule="auto"/>
        <w:ind w:left="518"/>
        <w:rPr>
          <w:rFonts w:ascii="宋体" w:hAnsi="宋体" w:eastAsia="宋体" w:cs="宋体"/>
          <w:sz w:val="24"/>
          <w:szCs w:val="24"/>
        </w:rPr>
      </w:pPr>
      <w:r>
        <w:rPr>
          <w:rFonts w:ascii="宋体" w:hAnsi="宋体" w:eastAsia="宋体" w:cs="宋体"/>
          <w:spacing w:val="-8"/>
          <w:sz w:val="24"/>
          <w:szCs w:val="24"/>
        </w:rPr>
        <w:t>服务期限：202</w:t>
      </w:r>
      <w:r>
        <w:rPr>
          <w:rFonts w:hint="eastAsia" w:ascii="宋体" w:hAnsi="宋体" w:eastAsia="宋体" w:cs="宋体"/>
          <w:spacing w:val="-8"/>
          <w:sz w:val="24"/>
          <w:szCs w:val="24"/>
          <w:lang w:val="en-US" w:eastAsia="zh-CN"/>
        </w:rPr>
        <w:t>6</w:t>
      </w:r>
      <w:r>
        <w:rPr>
          <w:rFonts w:ascii="宋体" w:hAnsi="宋体" w:eastAsia="宋体" w:cs="宋体"/>
          <w:spacing w:val="-8"/>
          <w:sz w:val="24"/>
          <w:szCs w:val="24"/>
        </w:rPr>
        <w:t>年</w:t>
      </w:r>
      <w:r>
        <w:rPr>
          <w:rFonts w:hint="eastAsia" w:ascii="宋体" w:hAnsi="宋体" w:cs="宋体"/>
          <w:spacing w:val="-8"/>
          <w:sz w:val="24"/>
          <w:szCs w:val="24"/>
          <w:lang w:val="en-US" w:eastAsia="zh-CN"/>
        </w:rPr>
        <w:t>0</w:t>
      </w:r>
      <w:r>
        <w:rPr>
          <w:rFonts w:ascii="宋体" w:hAnsi="宋体" w:eastAsia="宋体" w:cs="宋体"/>
          <w:spacing w:val="-8"/>
          <w:sz w:val="24"/>
          <w:szCs w:val="24"/>
        </w:rPr>
        <w:t>4月</w:t>
      </w:r>
      <w:r>
        <w:rPr>
          <w:rFonts w:hint="eastAsia" w:ascii="宋体" w:hAnsi="宋体" w:cs="宋体"/>
          <w:spacing w:val="-8"/>
          <w:sz w:val="24"/>
          <w:szCs w:val="24"/>
          <w:lang w:val="en-US" w:eastAsia="zh-CN"/>
        </w:rPr>
        <w:t>0</w:t>
      </w:r>
      <w:r>
        <w:rPr>
          <w:rFonts w:ascii="宋体" w:hAnsi="宋体" w:eastAsia="宋体" w:cs="宋体"/>
          <w:spacing w:val="-8"/>
          <w:sz w:val="24"/>
          <w:szCs w:val="24"/>
        </w:rPr>
        <w:t>1日到202</w:t>
      </w:r>
      <w:r>
        <w:rPr>
          <w:rFonts w:hint="eastAsia" w:ascii="宋体" w:hAnsi="宋体" w:eastAsia="宋体" w:cs="宋体"/>
          <w:spacing w:val="-8"/>
          <w:sz w:val="24"/>
          <w:szCs w:val="24"/>
          <w:lang w:val="en-US" w:eastAsia="zh-CN"/>
        </w:rPr>
        <w:t>7</w:t>
      </w:r>
      <w:r>
        <w:rPr>
          <w:rFonts w:ascii="宋体" w:hAnsi="宋体" w:eastAsia="宋体" w:cs="宋体"/>
          <w:spacing w:val="-8"/>
          <w:sz w:val="24"/>
          <w:szCs w:val="24"/>
        </w:rPr>
        <w:t>年</w:t>
      </w:r>
      <w:r>
        <w:rPr>
          <w:rFonts w:hint="eastAsia" w:ascii="宋体" w:hAnsi="宋体" w:cs="宋体"/>
          <w:spacing w:val="-8"/>
          <w:sz w:val="24"/>
          <w:szCs w:val="24"/>
          <w:lang w:val="en-US" w:eastAsia="zh-CN"/>
        </w:rPr>
        <w:t>0</w:t>
      </w:r>
      <w:r>
        <w:rPr>
          <w:rFonts w:ascii="宋体" w:hAnsi="宋体" w:eastAsia="宋体" w:cs="宋体"/>
          <w:spacing w:val="-8"/>
          <w:sz w:val="24"/>
          <w:szCs w:val="24"/>
        </w:rPr>
        <w:t>3月31日</w:t>
      </w:r>
    </w:p>
    <w:p w14:paraId="02CCFF63">
      <w:pPr>
        <w:spacing w:before="181" w:line="219" w:lineRule="auto"/>
        <w:ind w:left="518"/>
        <w:rPr>
          <w:rFonts w:ascii="宋体" w:hAnsi="宋体" w:eastAsia="宋体" w:cs="宋体"/>
          <w:sz w:val="24"/>
          <w:szCs w:val="24"/>
        </w:rPr>
      </w:pPr>
      <w:r>
        <w:rPr>
          <w:rFonts w:ascii="宋体" w:hAnsi="宋体" w:eastAsia="宋体" w:cs="宋体"/>
          <w:spacing w:val="-1"/>
          <w:sz w:val="24"/>
          <w:szCs w:val="24"/>
        </w:rPr>
        <w:t>服务实施地点：街道办事处机关食堂及</w:t>
      </w:r>
      <w:r>
        <w:rPr>
          <w:rFonts w:hint="eastAsia" w:ascii="宋体" w:hAnsi="宋体" w:cs="宋体"/>
          <w:spacing w:val="-1"/>
          <w:sz w:val="24"/>
          <w:szCs w:val="24"/>
          <w:lang w:eastAsia="zh-CN"/>
        </w:rPr>
        <w:t>综合行政执法队</w:t>
      </w:r>
      <w:r>
        <w:rPr>
          <w:rFonts w:ascii="宋体" w:hAnsi="宋体" w:eastAsia="宋体" w:cs="宋体"/>
          <w:spacing w:val="-1"/>
          <w:sz w:val="24"/>
          <w:szCs w:val="24"/>
        </w:rPr>
        <w:t>食堂</w:t>
      </w:r>
    </w:p>
    <w:p w14:paraId="03B9E628">
      <w:pPr>
        <w:spacing w:before="182" w:line="220" w:lineRule="auto"/>
        <w:ind w:left="60"/>
        <w:rPr>
          <w:rFonts w:ascii="宋体" w:hAnsi="宋体" w:eastAsia="宋体" w:cs="宋体"/>
          <w:sz w:val="24"/>
          <w:szCs w:val="24"/>
        </w:rPr>
      </w:pPr>
      <w:r>
        <w:rPr>
          <w:rFonts w:hint="eastAsia" w:ascii="宋体" w:hAnsi="宋体" w:eastAsia="宋体" w:cs="宋体"/>
          <w:b/>
          <w:bCs/>
          <w:spacing w:val="-8"/>
          <w:sz w:val="24"/>
          <w:szCs w:val="24"/>
          <w:lang w:eastAsia="zh-CN"/>
        </w:rPr>
        <w:t>（</w:t>
      </w:r>
      <w:r>
        <w:rPr>
          <w:rFonts w:hint="eastAsia" w:ascii="宋体" w:hAnsi="宋体" w:eastAsia="宋体" w:cs="宋体"/>
          <w:b/>
          <w:bCs/>
          <w:spacing w:val="-8"/>
          <w:sz w:val="24"/>
          <w:szCs w:val="24"/>
          <w:lang w:val="en-US" w:eastAsia="zh-CN"/>
        </w:rPr>
        <w:t>三</w:t>
      </w:r>
      <w:r>
        <w:rPr>
          <w:rFonts w:hint="eastAsia" w:ascii="宋体" w:hAnsi="宋体" w:eastAsia="宋体" w:cs="宋体"/>
          <w:b/>
          <w:bCs/>
          <w:spacing w:val="-8"/>
          <w:sz w:val="24"/>
          <w:szCs w:val="24"/>
          <w:lang w:eastAsia="zh-CN"/>
        </w:rPr>
        <w:t>）</w:t>
      </w:r>
      <w:r>
        <w:rPr>
          <w:rFonts w:ascii="宋体" w:hAnsi="宋体" w:eastAsia="宋体" w:cs="宋体"/>
          <w:b/>
          <w:bCs/>
          <w:spacing w:val="-8"/>
          <w:sz w:val="24"/>
          <w:szCs w:val="24"/>
        </w:rPr>
        <w:t>服务要求</w:t>
      </w:r>
    </w:p>
    <w:p w14:paraId="2673D039">
      <w:pPr>
        <w:spacing w:before="181" w:line="219" w:lineRule="auto"/>
        <w:ind w:left="536"/>
        <w:rPr>
          <w:rFonts w:ascii="宋体" w:hAnsi="宋体" w:eastAsia="宋体" w:cs="宋体"/>
          <w:sz w:val="24"/>
          <w:szCs w:val="24"/>
        </w:rPr>
      </w:pPr>
      <w:r>
        <w:rPr>
          <w:rFonts w:ascii="宋体" w:hAnsi="宋体" w:eastAsia="宋体" w:cs="宋体"/>
          <w:spacing w:val="-3"/>
          <w:sz w:val="24"/>
          <w:szCs w:val="24"/>
        </w:rPr>
        <w:t>1、提供全年每日三餐服务，员工食堂三餐膳食正常供应时间为：</w:t>
      </w:r>
    </w:p>
    <w:p w14:paraId="30EAB619">
      <w:pPr>
        <w:spacing w:before="182" w:line="220" w:lineRule="auto"/>
        <w:ind w:left="880"/>
        <w:rPr>
          <w:rFonts w:hint="default" w:ascii="宋体" w:hAnsi="宋体" w:eastAsia="宋体" w:cs="宋体"/>
          <w:sz w:val="24"/>
          <w:szCs w:val="24"/>
          <w:lang w:val="en-US" w:eastAsia="zh-CN"/>
        </w:rPr>
      </w:pPr>
      <w:r>
        <w:rPr>
          <w:rFonts w:ascii="宋体" w:hAnsi="宋体" w:eastAsia="宋体" w:cs="宋体"/>
          <w:spacing w:val="-1"/>
          <w:sz w:val="24"/>
          <w:szCs w:val="24"/>
        </w:rPr>
        <w:t>早餐：07:30—0</w:t>
      </w:r>
      <w:r>
        <w:rPr>
          <w:rFonts w:hint="eastAsia" w:ascii="宋体" w:hAnsi="宋体" w:cs="宋体"/>
          <w:spacing w:val="-1"/>
          <w:sz w:val="24"/>
          <w:szCs w:val="24"/>
          <w:lang w:val="en-US" w:eastAsia="zh-CN"/>
        </w:rPr>
        <w:t>9</w:t>
      </w:r>
      <w:r>
        <w:rPr>
          <w:rFonts w:ascii="宋体" w:hAnsi="宋体" w:eastAsia="宋体" w:cs="宋体"/>
          <w:spacing w:val="-1"/>
          <w:sz w:val="24"/>
          <w:szCs w:val="24"/>
        </w:rPr>
        <w:t>:</w:t>
      </w:r>
      <w:r>
        <w:rPr>
          <w:rFonts w:hint="eastAsia" w:ascii="宋体" w:hAnsi="宋体" w:cs="宋体"/>
          <w:spacing w:val="-1"/>
          <w:sz w:val="24"/>
          <w:szCs w:val="24"/>
          <w:lang w:val="en-US" w:eastAsia="zh-CN"/>
        </w:rPr>
        <w:t>00</w:t>
      </w:r>
    </w:p>
    <w:p w14:paraId="482E1AA1">
      <w:pPr>
        <w:spacing w:before="181" w:line="220" w:lineRule="auto"/>
        <w:ind w:left="881"/>
        <w:rPr>
          <w:rFonts w:ascii="宋体" w:hAnsi="宋体" w:eastAsia="宋体" w:cs="宋体"/>
          <w:sz w:val="24"/>
          <w:szCs w:val="24"/>
        </w:rPr>
      </w:pPr>
      <w:r>
        <w:rPr>
          <w:rFonts w:ascii="宋体" w:hAnsi="宋体" w:eastAsia="宋体" w:cs="宋体"/>
          <w:spacing w:val="-1"/>
          <w:sz w:val="24"/>
          <w:szCs w:val="24"/>
        </w:rPr>
        <w:t>午餐：11:40—13:00</w:t>
      </w:r>
    </w:p>
    <w:p w14:paraId="563D109A">
      <w:pPr>
        <w:spacing w:before="181" w:line="220" w:lineRule="auto"/>
        <w:ind w:left="890"/>
        <w:rPr>
          <w:rFonts w:ascii="宋体" w:hAnsi="宋体" w:eastAsia="宋体" w:cs="宋体"/>
          <w:sz w:val="24"/>
          <w:szCs w:val="24"/>
        </w:rPr>
      </w:pPr>
      <w:r>
        <w:rPr>
          <w:rFonts w:ascii="宋体" w:hAnsi="宋体" w:eastAsia="宋体" w:cs="宋体"/>
          <w:spacing w:val="-2"/>
          <w:sz w:val="24"/>
          <w:szCs w:val="24"/>
        </w:rPr>
        <w:t>晚餐：18:00—19:00</w:t>
      </w:r>
    </w:p>
    <w:p w14:paraId="7999EF2A">
      <w:pPr>
        <w:spacing w:before="181" w:line="219" w:lineRule="auto"/>
        <w:ind w:left="1002"/>
        <w:rPr>
          <w:rFonts w:ascii="宋体" w:hAnsi="宋体" w:eastAsia="宋体" w:cs="宋体"/>
          <w:sz w:val="24"/>
          <w:szCs w:val="24"/>
        </w:rPr>
      </w:pPr>
      <w:r>
        <w:rPr>
          <w:rFonts w:ascii="宋体" w:hAnsi="宋体" w:eastAsia="宋体" w:cs="宋体"/>
          <w:spacing w:val="-2"/>
          <w:sz w:val="24"/>
          <w:szCs w:val="24"/>
        </w:rPr>
        <w:t>该膳食供应时间可根据采购人实际需要进行</w:t>
      </w:r>
      <w:r>
        <w:rPr>
          <w:rFonts w:ascii="宋体" w:hAnsi="宋体" w:eastAsia="宋体" w:cs="宋体"/>
          <w:spacing w:val="-3"/>
          <w:sz w:val="24"/>
          <w:szCs w:val="24"/>
        </w:rPr>
        <w:t>调整。</w:t>
      </w:r>
    </w:p>
    <w:p w14:paraId="24A5C2C0">
      <w:pPr>
        <w:spacing w:before="182" w:line="219" w:lineRule="auto"/>
        <w:ind w:left="521"/>
        <w:rPr>
          <w:rFonts w:ascii="宋体" w:hAnsi="宋体" w:eastAsia="宋体" w:cs="宋体"/>
          <w:sz w:val="24"/>
          <w:szCs w:val="24"/>
        </w:rPr>
      </w:pPr>
      <w:r>
        <w:rPr>
          <w:rFonts w:ascii="宋体" w:hAnsi="宋体" w:eastAsia="宋体" w:cs="宋体"/>
          <w:spacing w:val="-6"/>
          <w:sz w:val="24"/>
          <w:szCs w:val="24"/>
        </w:rPr>
        <w:t>2、提供的餐饮服务标准：</w:t>
      </w:r>
    </w:p>
    <w:p w14:paraId="1C66C5B5">
      <w:pPr>
        <w:spacing w:before="183" w:line="359" w:lineRule="auto"/>
        <w:ind w:left="40" w:firstLine="517"/>
        <w:rPr>
          <w:rFonts w:ascii="宋体" w:hAnsi="宋体" w:eastAsia="宋体" w:cs="宋体"/>
          <w:sz w:val="24"/>
          <w:szCs w:val="24"/>
        </w:rPr>
      </w:pPr>
      <w:r>
        <w:rPr>
          <w:rFonts w:ascii="宋体" w:hAnsi="宋体" w:eastAsia="宋体" w:cs="宋体"/>
          <w:spacing w:val="-3"/>
          <w:sz w:val="24"/>
          <w:szCs w:val="24"/>
        </w:rPr>
        <w:t>自助早餐品种：早饭3种汤（面条、粥、豆浆、牛</w:t>
      </w:r>
      <w:r>
        <w:rPr>
          <w:rFonts w:ascii="宋体" w:hAnsi="宋体" w:eastAsia="宋体" w:cs="宋体"/>
          <w:spacing w:val="-4"/>
          <w:sz w:val="24"/>
          <w:szCs w:val="24"/>
        </w:rPr>
        <w:t>奶、羊杂汤、豆泡汤、炒肝等均</w:t>
      </w:r>
      <w:r>
        <w:rPr>
          <w:rFonts w:ascii="宋体" w:hAnsi="宋体" w:eastAsia="宋体" w:cs="宋体"/>
          <w:spacing w:val="-5"/>
          <w:sz w:val="24"/>
          <w:szCs w:val="24"/>
        </w:rPr>
        <w:t>属于汤类</w:t>
      </w:r>
      <w:r>
        <w:rPr>
          <w:rFonts w:ascii="宋体" w:hAnsi="宋体" w:eastAsia="宋体" w:cs="宋体"/>
          <w:spacing w:val="1"/>
          <w:sz w:val="24"/>
          <w:szCs w:val="24"/>
        </w:rPr>
        <w:t>），</w:t>
      </w:r>
      <w:r>
        <w:rPr>
          <w:rFonts w:ascii="宋体" w:hAnsi="宋体" w:eastAsia="宋体" w:cs="宋体"/>
          <w:spacing w:val="-5"/>
          <w:sz w:val="24"/>
          <w:szCs w:val="24"/>
        </w:rPr>
        <w:t>凉拌菜（不含咸菜）至少1种，热菜至少1种，咸菜类2-3种，主食至少</w:t>
      </w:r>
      <w:r>
        <w:rPr>
          <w:rFonts w:ascii="宋体" w:hAnsi="宋体" w:eastAsia="宋体" w:cs="宋体"/>
          <w:spacing w:val="-6"/>
          <w:sz w:val="24"/>
          <w:szCs w:val="24"/>
        </w:rPr>
        <w:t>3种；</w:t>
      </w:r>
    </w:p>
    <w:p w14:paraId="1768EC8A">
      <w:pPr>
        <w:spacing w:line="359" w:lineRule="auto"/>
        <w:ind w:left="41" w:firstLine="516"/>
        <w:jc w:val="both"/>
        <w:rPr>
          <w:rFonts w:ascii="宋体" w:hAnsi="宋体" w:eastAsia="宋体" w:cs="宋体"/>
          <w:sz w:val="24"/>
          <w:szCs w:val="24"/>
        </w:rPr>
      </w:pPr>
      <w:r>
        <w:rPr>
          <w:rFonts w:ascii="宋体" w:hAnsi="宋体" w:eastAsia="宋体" w:cs="宋体"/>
          <w:spacing w:val="-2"/>
          <w:sz w:val="24"/>
          <w:szCs w:val="24"/>
        </w:rPr>
        <w:t>自助午餐品种：午餐6种菜，4热2凉，其中热菜荤菜（不含鸡蛋类菜品）2种，</w:t>
      </w:r>
      <w:r>
        <w:rPr>
          <w:rFonts w:ascii="宋体" w:hAnsi="宋体" w:eastAsia="宋体" w:cs="宋体"/>
          <w:spacing w:val="-4"/>
          <w:sz w:val="24"/>
          <w:szCs w:val="24"/>
        </w:rPr>
        <w:t>素菜（含鸡蛋类菜品）2种，凉菜荤菜1种，素菜1种，粗粮至少1种，汤类2种，水果1种，酸奶（指定）1种，主食4种；</w:t>
      </w:r>
    </w:p>
    <w:p w14:paraId="7B32852F">
      <w:pPr>
        <w:spacing w:before="1" w:line="218" w:lineRule="auto"/>
        <w:ind w:left="557"/>
        <w:rPr>
          <w:rFonts w:ascii="宋体" w:hAnsi="宋体" w:eastAsia="宋体" w:cs="宋体"/>
          <w:sz w:val="24"/>
          <w:szCs w:val="24"/>
        </w:rPr>
      </w:pPr>
      <w:r>
        <w:rPr>
          <w:rFonts w:ascii="宋体" w:hAnsi="宋体" w:eastAsia="宋体" w:cs="宋体"/>
          <w:spacing w:val="-4"/>
          <w:sz w:val="24"/>
          <w:szCs w:val="24"/>
        </w:rPr>
        <w:t>自助晚餐品种：晚餐3个菜，1荤2素，1个汤，</w:t>
      </w:r>
      <w:r>
        <w:rPr>
          <w:rFonts w:ascii="宋体" w:hAnsi="宋体" w:eastAsia="宋体" w:cs="宋体"/>
          <w:spacing w:val="-5"/>
          <w:sz w:val="24"/>
          <w:szCs w:val="24"/>
        </w:rPr>
        <w:t>1-2种主食。</w:t>
      </w:r>
    </w:p>
    <w:p w14:paraId="51944CBE">
      <w:pPr>
        <w:spacing w:before="183" w:line="289" w:lineRule="auto"/>
        <w:ind w:left="38" w:right="12" w:firstLine="484"/>
        <w:rPr>
          <w:rFonts w:ascii="宋体" w:hAnsi="宋体" w:eastAsia="宋体" w:cs="宋体"/>
          <w:sz w:val="24"/>
          <w:szCs w:val="24"/>
        </w:rPr>
      </w:pPr>
      <w:r>
        <w:rPr>
          <w:rFonts w:ascii="宋体" w:hAnsi="宋体" w:eastAsia="宋体" w:cs="宋体"/>
          <w:spacing w:val="1"/>
          <w:sz w:val="24"/>
          <w:szCs w:val="24"/>
        </w:rPr>
        <w:t>3、根据采购人的实际需求，参照工作日餐饮服务有关约定，提供公休日及法定节</w:t>
      </w:r>
      <w:r>
        <w:rPr>
          <w:rFonts w:ascii="宋体" w:hAnsi="宋体" w:eastAsia="宋体" w:cs="宋体"/>
          <w:spacing w:val="-6"/>
          <w:sz w:val="24"/>
          <w:szCs w:val="24"/>
        </w:rPr>
        <w:t>假日餐饮服务。</w:t>
      </w:r>
    </w:p>
    <w:p w14:paraId="7C67DFC9">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ascii="宋体" w:hAnsi="宋体" w:eastAsia="宋体" w:cs="宋体"/>
          <w:spacing w:val="1"/>
          <w:sz w:val="24"/>
          <w:szCs w:val="24"/>
        </w:rPr>
      </w:pPr>
      <w:r>
        <w:rPr>
          <w:rFonts w:ascii="宋体" w:hAnsi="宋体" w:eastAsia="宋体" w:cs="宋体"/>
          <w:spacing w:val="1"/>
          <w:sz w:val="24"/>
          <w:szCs w:val="24"/>
        </w:rPr>
        <w:t>4、为保证员工食堂用餐需求，供应商应合理调配服务人员，并准时开餐，做到饭热菜香。</w:t>
      </w:r>
    </w:p>
    <w:p w14:paraId="0D82A1E1">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ascii="宋体" w:hAnsi="宋体" w:eastAsia="宋体" w:cs="宋体"/>
          <w:spacing w:val="1"/>
          <w:sz w:val="24"/>
          <w:szCs w:val="24"/>
        </w:rPr>
      </w:pPr>
      <w:r>
        <w:rPr>
          <w:rFonts w:ascii="宋体" w:hAnsi="宋体" w:eastAsia="宋体" w:cs="宋体"/>
          <w:spacing w:val="1"/>
          <w:sz w:val="24"/>
          <w:szCs w:val="24"/>
        </w:rPr>
        <w:t>5、食品安全规定</w:t>
      </w:r>
    </w:p>
    <w:p w14:paraId="69A8821B">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ascii="宋体" w:hAnsi="宋体" w:eastAsia="宋体" w:cs="宋体"/>
          <w:spacing w:val="1"/>
          <w:sz w:val="24"/>
          <w:szCs w:val="24"/>
        </w:rPr>
      </w:pPr>
      <w:r>
        <w:rPr>
          <w:rFonts w:ascii="宋体" w:hAnsi="宋体" w:eastAsia="宋体" w:cs="宋体"/>
          <w:spacing w:val="1"/>
          <w:sz w:val="24"/>
          <w:szCs w:val="24"/>
        </w:rPr>
        <w:t>（1）供应商在餐厅提供的餐饮服务，必须严格遵守国家《食品安全法》及其他法律法规规定。</w:t>
      </w:r>
    </w:p>
    <w:p w14:paraId="381004FD">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ascii="宋体" w:hAnsi="宋体" w:eastAsia="宋体" w:cs="宋体"/>
          <w:spacing w:val="1"/>
          <w:sz w:val="24"/>
          <w:szCs w:val="24"/>
        </w:rPr>
      </w:pPr>
      <w:r>
        <w:rPr>
          <w:rFonts w:ascii="宋体" w:hAnsi="宋体" w:eastAsia="宋体" w:cs="宋体"/>
          <w:spacing w:val="1"/>
          <w:sz w:val="24"/>
          <w:szCs w:val="24"/>
        </w:rPr>
        <w:t>（2）供应商每餐应严格执行食品留样制度，样品应至少保存48小时。</w:t>
      </w:r>
    </w:p>
    <w:p w14:paraId="4B98EFB8">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lang w:eastAsia="zh-CN"/>
        </w:rPr>
        <w:t>）卫生标准</w:t>
      </w:r>
      <w:r>
        <w:rPr>
          <w:rFonts w:hint="eastAsia" w:ascii="宋体" w:hAnsi="宋体" w:cs="宋体"/>
          <w:spacing w:val="1"/>
          <w:sz w:val="24"/>
          <w:szCs w:val="24"/>
          <w:lang w:eastAsia="zh-CN"/>
        </w:rPr>
        <w:t>：</w:t>
      </w:r>
      <w:r>
        <w:rPr>
          <w:rFonts w:hint="eastAsia" w:ascii="宋体" w:hAnsi="宋体" w:eastAsia="宋体" w:cs="宋体"/>
          <w:spacing w:val="1"/>
          <w:sz w:val="24"/>
          <w:szCs w:val="24"/>
          <w:lang w:eastAsia="zh-CN"/>
        </w:rPr>
        <w:t>达到北京市餐饮行业标准，所有卫生要求必须符合政府相关部门规定的标准</w:t>
      </w:r>
      <w:r>
        <w:rPr>
          <w:rFonts w:hint="eastAsia" w:ascii="宋体" w:hAnsi="宋体" w:cs="宋体"/>
          <w:spacing w:val="1"/>
          <w:sz w:val="24"/>
          <w:szCs w:val="24"/>
          <w:lang w:val="en-US" w:eastAsia="zh-CN"/>
        </w:rPr>
        <w:t>要</w:t>
      </w:r>
      <w:r>
        <w:rPr>
          <w:rFonts w:hint="eastAsia" w:ascii="宋体" w:hAnsi="宋体" w:eastAsia="宋体" w:cs="宋体"/>
          <w:spacing w:val="1"/>
          <w:sz w:val="24"/>
          <w:szCs w:val="24"/>
          <w:lang w:eastAsia="zh-CN"/>
        </w:rPr>
        <w:t>求统一着装、佩戴工帽、戴口罩及手套后上岗；做好垃圾分类、用具除油除垢等工作。</w:t>
      </w:r>
    </w:p>
    <w:p w14:paraId="25B8776C">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lang w:eastAsia="zh-CN"/>
        </w:rPr>
        <w:t>）</w:t>
      </w:r>
      <w:r>
        <w:rPr>
          <w:rFonts w:ascii="宋体" w:hAnsi="宋体" w:eastAsia="宋体" w:cs="宋体"/>
          <w:spacing w:val="1"/>
          <w:sz w:val="24"/>
          <w:szCs w:val="24"/>
        </w:rPr>
        <w:t>供应商</w:t>
      </w:r>
      <w:r>
        <w:rPr>
          <w:rFonts w:hint="eastAsia" w:ascii="宋体" w:hAnsi="宋体" w:eastAsia="宋体" w:cs="宋体"/>
          <w:spacing w:val="1"/>
          <w:sz w:val="24"/>
          <w:szCs w:val="24"/>
          <w:lang w:eastAsia="zh-CN"/>
        </w:rPr>
        <w:t>须严格把控食材的订货、验收、存储、加工等，收货时如有不合格产品需及时退货或换货</w:t>
      </w:r>
      <w:r>
        <w:rPr>
          <w:rFonts w:hint="eastAsia" w:ascii="宋体" w:hAnsi="宋体" w:cs="宋体"/>
          <w:spacing w:val="1"/>
          <w:sz w:val="24"/>
          <w:szCs w:val="24"/>
          <w:lang w:eastAsia="zh-CN"/>
        </w:rPr>
        <w:t>；</w:t>
      </w:r>
      <w:r>
        <w:rPr>
          <w:rFonts w:hint="eastAsia" w:ascii="宋体" w:hAnsi="宋体" w:eastAsia="宋体" w:cs="宋体"/>
          <w:spacing w:val="1"/>
          <w:sz w:val="24"/>
          <w:szCs w:val="24"/>
          <w:lang w:eastAsia="zh-CN"/>
        </w:rPr>
        <w:t>应建立库房管理制度，做好食材损耗管理与份量控制，并确保无过期、变质等食材。</w:t>
      </w:r>
    </w:p>
    <w:p w14:paraId="16921BDE">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default" w:ascii="宋体" w:hAnsi="宋体" w:cs="宋体"/>
          <w:spacing w:val="1"/>
          <w:sz w:val="24"/>
          <w:szCs w:val="24"/>
          <w:lang w:val="en-US" w:eastAsia="zh-CN"/>
        </w:rPr>
      </w:pPr>
      <w:r>
        <w:rPr>
          <w:rFonts w:hint="eastAsia" w:ascii="宋体" w:hAnsi="宋体" w:cs="宋体"/>
          <w:spacing w:val="1"/>
          <w:sz w:val="24"/>
          <w:szCs w:val="24"/>
          <w:lang w:val="en-US" w:eastAsia="zh-CN"/>
        </w:rPr>
        <w:t>6、就餐人数</w:t>
      </w:r>
    </w:p>
    <w:p w14:paraId="2F90D560">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工作日就餐人数：</w:t>
      </w:r>
    </w:p>
    <w:p w14:paraId="6BB13B39">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早餐每日实际就餐约</w:t>
      </w:r>
      <w:r>
        <w:rPr>
          <w:rFonts w:hint="eastAsia" w:ascii="宋体" w:hAnsi="宋体" w:cs="宋体"/>
          <w:spacing w:val="1"/>
          <w:sz w:val="24"/>
          <w:szCs w:val="24"/>
          <w:u w:val="single"/>
          <w:lang w:val="en-US" w:eastAsia="zh-CN"/>
        </w:rPr>
        <w:t>190</w:t>
      </w:r>
      <w:r>
        <w:rPr>
          <w:rFonts w:hint="eastAsia" w:ascii="宋体" w:hAnsi="宋体" w:cs="宋体"/>
          <w:spacing w:val="1"/>
          <w:sz w:val="24"/>
          <w:szCs w:val="24"/>
          <w:lang w:val="en-US" w:eastAsia="zh-CN"/>
        </w:rPr>
        <w:t>人左右</w:t>
      </w:r>
    </w:p>
    <w:p w14:paraId="593DE757">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其中机关食堂就餐约</w:t>
      </w:r>
      <w:r>
        <w:rPr>
          <w:rFonts w:hint="eastAsia" w:ascii="宋体" w:hAnsi="宋体" w:cs="宋体"/>
          <w:spacing w:val="1"/>
          <w:sz w:val="24"/>
          <w:szCs w:val="24"/>
          <w:u w:val="single"/>
          <w:lang w:val="en-US" w:eastAsia="zh-CN"/>
        </w:rPr>
        <w:t>160</w:t>
      </w:r>
      <w:r>
        <w:rPr>
          <w:rFonts w:hint="eastAsia" w:ascii="宋体" w:hAnsi="宋体" w:cs="宋体"/>
          <w:spacing w:val="1"/>
          <w:sz w:val="24"/>
          <w:szCs w:val="24"/>
          <w:lang w:val="en-US" w:eastAsia="zh-CN"/>
        </w:rPr>
        <w:t>人左右，综合行政执法队就餐约</w:t>
      </w:r>
      <w:r>
        <w:rPr>
          <w:rFonts w:hint="eastAsia" w:ascii="宋体" w:hAnsi="宋体" w:cs="宋体"/>
          <w:spacing w:val="1"/>
          <w:sz w:val="24"/>
          <w:szCs w:val="24"/>
          <w:u w:val="single"/>
          <w:lang w:val="en-US" w:eastAsia="zh-CN"/>
        </w:rPr>
        <w:t>30</w:t>
      </w:r>
      <w:r>
        <w:rPr>
          <w:rFonts w:hint="eastAsia" w:ascii="宋体" w:hAnsi="宋体" w:cs="宋体"/>
          <w:spacing w:val="1"/>
          <w:sz w:val="24"/>
          <w:szCs w:val="24"/>
          <w:lang w:val="en-US" w:eastAsia="zh-CN"/>
        </w:rPr>
        <w:t>人左右；</w:t>
      </w:r>
    </w:p>
    <w:p w14:paraId="4CD7F7D9">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午餐每日实际就餐约</w:t>
      </w:r>
      <w:r>
        <w:rPr>
          <w:rFonts w:hint="eastAsia" w:ascii="宋体" w:hAnsi="宋体" w:cs="宋体"/>
          <w:spacing w:val="1"/>
          <w:sz w:val="24"/>
          <w:szCs w:val="24"/>
          <w:u w:val="single"/>
          <w:lang w:val="en-US" w:eastAsia="zh-CN"/>
        </w:rPr>
        <w:t>250</w:t>
      </w:r>
      <w:r>
        <w:rPr>
          <w:rFonts w:hint="eastAsia" w:ascii="宋体" w:hAnsi="宋体" w:cs="宋体"/>
          <w:spacing w:val="1"/>
          <w:sz w:val="24"/>
          <w:szCs w:val="24"/>
          <w:lang w:val="en-US" w:eastAsia="zh-CN"/>
        </w:rPr>
        <w:t>人左右，</w:t>
      </w:r>
    </w:p>
    <w:p w14:paraId="66604F09">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其中机关食堂就餐约</w:t>
      </w:r>
      <w:r>
        <w:rPr>
          <w:rFonts w:hint="eastAsia" w:ascii="宋体" w:hAnsi="宋体" w:cs="宋体"/>
          <w:spacing w:val="1"/>
          <w:sz w:val="24"/>
          <w:szCs w:val="24"/>
          <w:u w:val="single"/>
          <w:lang w:val="en-US" w:eastAsia="zh-CN"/>
        </w:rPr>
        <w:t>210</w:t>
      </w:r>
      <w:r>
        <w:rPr>
          <w:rFonts w:hint="eastAsia" w:ascii="宋体" w:hAnsi="宋体" w:cs="宋体"/>
          <w:spacing w:val="1"/>
          <w:sz w:val="24"/>
          <w:szCs w:val="24"/>
          <w:lang w:val="en-US" w:eastAsia="zh-CN"/>
        </w:rPr>
        <w:t>人左右，综合行政执法队就餐约</w:t>
      </w:r>
      <w:r>
        <w:rPr>
          <w:rFonts w:hint="eastAsia" w:ascii="宋体" w:hAnsi="宋体" w:cs="宋体"/>
          <w:spacing w:val="1"/>
          <w:sz w:val="24"/>
          <w:szCs w:val="24"/>
          <w:u w:val="single"/>
          <w:lang w:val="en-US" w:eastAsia="zh-CN"/>
        </w:rPr>
        <w:t>40</w:t>
      </w:r>
      <w:r>
        <w:rPr>
          <w:rFonts w:hint="eastAsia" w:ascii="宋体" w:hAnsi="宋体" w:cs="宋体"/>
          <w:spacing w:val="1"/>
          <w:sz w:val="24"/>
          <w:szCs w:val="24"/>
          <w:lang w:val="en-US" w:eastAsia="zh-CN"/>
        </w:rPr>
        <w:t>人左右；</w:t>
      </w:r>
    </w:p>
    <w:p w14:paraId="4D3F683D">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晚餐每日实际就餐约</w:t>
      </w:r>
      <w:r>
        <w:rPr>
          <w:rFonts w:hint="eastAsia" w:ascii="宋体" w:hAnsi="宋体" w:cs="宋体"/>
          <w:spacing w:val="1"/>
          <w:sz w:val="24"/>
          <w:szCs w:val="24"/>
          <w:u w:val="single"/>
          <w:lang w:val="en-US" w:eastAsia="zh-CN"/>
        </w:rPr>
        <w:t>60</w:t>
      </w:r>
      <w:r>
        <w:rPr>
          <w:rFonts w:hint="eastAsia" w:ascii="宋体" w:hAnsi="宋体" w:cs="宋体"/>
          <w:spacing w:val="1"/>
          <w:sz w:val="24"/>
          <w:szCs w:val="24"/>
          <w:lang w:val="en-US" w:eastAsia="zh-CN"/>
        </w:rPr>
        <w:t>人左右，</w:t>
      </w:r>
    </w:p>
    <w:p w14:paraId="1D773C30">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其中机关食堂就餐约</w:t>
      </w:r>
      <w:r>
        <w:rPr>
          <w:rFonts w:hint="eastAsia" w:ascii="宋体" w:hAnsi="宋体" w:cs="宋体"/>
          <w:spacing w:val="1"/>
          <w:sz w:val="24"/>
          <w:szCs w:val="24"/>
          <w:u w:val="single"/>
          <w:lang w:val="en-US" w:eastAsia="zh-CN"/>
        </w:rPr>
        <w:t>30</w:t>
      </w:r>
      <w:r>
        <w:rPr>
          <w:rFonts w:hint="eastAsia" w:ascii="宋体" w:hAnsi="宋体" w:cs="宋体"/>
          <w:spacing w:val="1"/>
          <w:sz w:val="24"/>
          <w:szCs w:val="24"/>
          <w:lang w:val="en-US" w:eastAsia="zh-CN"/>
        </w:rPr>
        <w:t>人左右，综合行政执法队就餐约</w:t>
      </w:r>
      <w:r>
        <w:rPr>
          <w:rFonts w:hint="eastAsia" w:ascii="宋体" w:hAnsi="宋体" w:cs="宋体"/>
          <w:spacing w:val="1"/>
          <w:sz w:val="24"/>
          <w:szCs w:val="24"/>
          <w:u w:val="single"/>
          <w:lang w:val="en-US" w:eastAsia="zh-CN"/>
        </w:rPr>
        <w:t>30</w:t>
      </w:r>
      <w:r>
        <w:rPr>
          <w:rFonts w:hint="eastAsia" w:ascii="宋体" w:hAnsi="宋体" w:cs="宋体"/>
          <w:spacing w:val="1"/>
          <w:sz w:val="24"/>
          <w:szCs w:val="24"/>
          <w:lang w:val="en-US" w:eastAsia="zh-CN"/>
        </w:rPr>
        <w:t>人左右。</w:t>
      </w:r>
    </w:p>
    <w:p w14:paraId="6B68E41F">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周末就餐人数：</w:t>
      </w:r>
    </w:p>
    <w:p w14:paraId="69B4D846">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早餐实际就餐约</w:t>
      </w:r>
      <w:r>
        <w:rPr>
          <w:rFonts w:hint="eastAsia" w:ascii="宋体" w:hAnsi="宋体" w:cs="宋体"/>
          <w:spacing w:val="1"/>
          <w:sz w:val="24"/>
          <w:szCs w:val="24"/>
          <w:u w:val="single"/>
          <w:lang w:val="en-US" w:eastAsia="zh-CN"/>
        </w:rPr>
        <w:t>40</w:t>
      </w:r>
      <w:r>
        <w:rPr>
          <w:rFonts w:hint="eastAsia" w:ascii="宋体" w:hAnsi="宋体" w:cs="宋体"/>
          <w:spacing w:val="1"/>
          <w:sz w:val="24"/>
          <w:szCs w:val="24"/>
          <w:lang w:val="en-US" w:eastAsia="zh-CN"/>
        </w:rPr>
        <w:t>人左右</w:t>
      </w:r>
    </w:p>
    <w:p w14:paraId="1E19A15D">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其中机关食堂就餐约</w:t>
      </w:r>
      <w:r>
        <w:rPr>
          <w:rFonts w:hint="eastAsia" w:ascii="宋体" w:hAnsi="宋体" w:cs="宋体"/>
          <w:spacing w:val="1"/>
          <w:sz w:val="24"/>
          <w:szCs w:val="24"/>
          <w:u w:val="single"/>
          <w:lang w:val="en-US" w:eastAsia="zh-CN"/>
        </w:rPr>
        <w:t>10</w:t>
      </w:r>
      <w:r>
        <w:rPr>
          <w:rFonts w:hint="eastAsia" w:ascii="宋体" w:hAnsi="宋体" w:cs="宋体"/>
          <w:spacing w:val="1"/>
          <w:sz w:val="24"/>
          <w:szCs w:val="24"/>
          <w:lang w:val="en-US" w:eastAsia="zh-CN"/>
        </w:rPr>
        <w:t>人左右，综合行政执法队就餐约</w:t>
      </w:r>
      <w:r>
        <w:rPr>
          <w:rFonts w:hint="eastAsia" w:ascii="宋体" w:hAnsi="宋体" w:cs="宋体"/>
          <w:spacing w:val="1"/>
          <w:sz w:val="24"/>
          <w:szCs w:val="24"/>
          <w:u w:val="single"/>
          <w:lang w:val="en-US" w:eastAsia="zh-CN"/>
        </w:rPr>
        <w:t>30</w:t>
      </w:r>
      <w:r>
        <w:rPr>
          <w:rFonts w:hint="eastAsia" w:ascii="宋体" w:hAnsi="宋体" w:cs="宋体"/>
          <w:spacing w:val="1"/>
          <w:sz w:val="24"/>
          <w:szCs w:val="24"/>
          <w:lang w:val="en-US" w:eastAsia="zh-CN"/>
        </w:rPr>
        <w:t>人左右</w:t>
      </w:r>
    </w:p>
    <w:p w14:paraId="359A0E59">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午餐实际就餐约</w:t>
      </w:r>
      <w:r>
        <w:rPr>
          <w:rFonts w:hint="eastAsia" w:ascii="宋体" w:hAnsi="宋体" w:cs="宋体"/>
          <w:spacing w:val="1"/>
          <w:sz w:val="24"/>
          <w:szCs w:val="24"/>
          <w:u w:val="single"/>
          <w:lang w:val="en-US" w:eastAsia="zh-CN"/>
        </w:rPr>
        <w:t xml:space="preserve"> 70</w:t>
      </w:r>
      <w:r>
        <w:rPr>
          <w:rFonts w:hint="eastAsia" w:ascii="宋体" w:hAnsi="宋体" w:cs="宋体"/>
          <w:spacing w:val="1"/>
          <w:sz w:val="24"/>
          <w:szCs w:val="24"/>
          <w:lang w:val="en-US" w:eastAsia="zh-CN"/>
        </w:rPr>
        <w:t>人左右，</w:t>
      </w:r>
    </w:p>
    <w:p w14:paraId="761FBB1B">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其中机关食堂就餐约</w:t>
      </w:r>
      <w:r>
        <w:rPr>
          <w:rFonts w:hint="eastAsia" w:ascii="宋体" w:hAnsi="宋体" w:cs="宋体"/>
          <w:spacing w:val="1"/>
          <w:sz w:val="24"/>
          <w:szCs w:val="24"/>
          <w:u w:val="single"/>
          <w:lang w:val="en-US" w:eastAsia="zh-CN"/>
        </w:rPr>
        <w:t>30</w:t>
      </w:r>
      <w:r>
        <w:rPr>
          <w:rFonts w:hint="eastAsia" w:ascii="宋体" w:hAnsi="宋体" w:cs="宋体"/>
          <w:spacing w:val="1"/>
          <w:sz w:val="24"/>
          <w:szCs w:val="24"/>
          <w:lang w:val="en-US" w:eastAsia="zh-CN"/>
        </w:rPr>
        <w:t>人左右，综合行政执法队就餐约</w:t>
      </w:r>
      <w:r>
        <w:rPr>
          <w:rFonts w:hint="eastAsia" w:ascii="宋体" w:hAnsi="宋体" w:cs="宋体"/>
          <w:spacing w:val="1"/>
          <w:sz w:val="24"/>
          <w:szCs w:val="24"/>
          <w:u w:val="single"/>
          <w:lang w:val="en-US" w:eastAsia="zh-CN"/>
        </w:rPr>
        <w:t xml:space="preserve"> 40 </w:t>
      </w:r>
      <w:r>
        <w:rPr>
          <w:rFonts w:hint="eastAsia" w:ascii="宋体" w:hAnsi="宋体" w:cs="宋体"/>
          <w:spacing w:val="1"/>
          <w:sz w:val="24"/>
          <w:szCs w:val="24"/>
          <w:lang w:val="en-US" w:eastAsia="zh-CN"/>
        </w:rPr>
        <w:t>人左右；</w:t>
      </w:r>
    </w:p>
    <w:p w14:paraId="36D1D69E">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晚餐实际就餐约</w:t>
      </w:r>
      <w:r>
        <w:rPr>
          <w:rFonts w:hint="eastAsia" w:ascii="宋体" w:hAnsi="宋体" w:cs="宋体"/>
          <w:spacing w:val="1"/>
          <w:sz w:val="24"/>
          <w:szCs w:val="24"/>
          <w:u w:val="single"/>
          <w:lang w:val="en-US" w:eastAsia="zh-CN"/>
        </w:rPr>
        <w:t>60</w:t>
      </w:r>
      <w:r>
        <w:rPr>
          <w:rFonts w:hint="eastAsia" w:ascii="宋体" w:hAnsi="宋体" w:cs="宋体"/>
          <w:spacing w:val="1"/>
          <w:sz w:val="24"/>
          <w:szCs w:val="24"/>
          <w:lang w:val="en-US" w:eastAsia="zh-CN"/>
        </w:rPr>
        <w:t>人左右，</w:t>
      </w:r>
    </w:p>
    <w:p w14:paraId="51C56271">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其中机关食堂就餐约</w:t>
      </w:r>
      <w:r>
        <w:rPr>
          <w:rFonts w:hint="eastAsia" w:ascii="宋体" w:hAnsi="宋体" w:cs="宋体"/>
          <w:spacing w:val="1"/>
          <w:sz w:val="24"/>
          <w:szCs w:val="24"/>
          <w:u w:val="single"/>
          <w:lang w:val="en-US" w:eastAsia="zh-CN"/>
        </w:rPr>
        <w:t>30</w:t>
      </w:r>
      <w:r>
        <w:rPr>
          <w:rFonts w:hint="eastAsia" w:ascii="宋体" w:hAnsi="宋体" w:cs="宋体"/>
          <w:spacing w:val="1"/>
          <w:sz w:val="24"/>
          <w:szCs w:val="24"/>
          <w:lang w:val="en-US" w:eastAsia="zh-CN"/>
        </w:rPr>
        <w:t>人左右，综合行政执法队就餐约</w:t>
      </w:r>
      <w:r>
        <w:rPr>
          <w:rFonts w:hint="eastAsia" w:ascii="宋体" w:hAnsi="宋体" w:cs="宋体"/>
          <w:spacing w:val="1"/>
          <w:sz w:val="24"/>
          <w:szCs w:val="24"/>
          <w:u w:val="single"/>
          <w:lang w:val="en-US" w:eastAsia="zh-CN"/>
        </w:rPr>
        <w:t>30</w:t>
      </w:r>
      <w:r>
        <w:rPr>
          <w:rFonts w:hint="eastAsia" w:ascii="宋体" w:hAnsi="宋体" w:cs="宋体"/>
          <w:spacing w:val="1"/>
          <w:sz w:val="24"/>
          <w:szCs w:val="24"/>
          <w:lang w:val="en-US" w:eastAsia="zh-CN"/>
        </w:rPr>
        <w:t>人左右。</w:t>
      </w:r>
    </w:p>
    <w:p w14:paraId="31B4BBB7">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default" w:ascii="宋体" w:hAnsi="宋体" w:cs="宋体"/>
          <w:spacing w:val="1"/>
          <w:sz w:val="24"/>
          <w:szCs w:val="24"/>
          <w:lang w:val="en-US" w:eastAsia="zh-CN"/>
        </w:rPr>
      </w:pPr>
      <w:r>
        <w:rPr>
          <w:rFonts w:hint="eastAsia" w:ascii="宋体" w:hAnsi="宋体" w:cs="宋体"/>
          <w:spacing w:val="1"/>
          <w:sz w:val="24"/>
          <w:szCs w:val="24"/>
          <w:lang w:val="en-US" w:eastAsia="zh-CN"/>
        </w:rPr>
        <w:t>7、餐饮服务管理模式：采购人提供场所和设备设施（含餐具和厨具等），承担餐厅日常发生的水电费用，并指定专人负责员工食堂日常监督；供应商负责提供原材料及燃气采购，保证人员配备，提供餐饮制作、服务和餐厅清洁等服务，并接受采购人监督管理。</w:t>
      </w:r>
    </w:p>
    <w:p w14:paraId="68DC8548">
      <w:pPr>
        <w:spacing w:line="219" w:lineRule="auto"/>
        <w:rPr>
          <w:rFonts w:hint="default" w:ascii="宋体" w:hAnsi="宋体" w:eastAsia="宋体" w:cs="宋体"/>
          <w:sz w:val="24"/>
          <w:szCs w:val="24"/>
          <w:lang w:val="en-US" w:eastAsia="zh-CN"/>
        </w:rPr>
        <w:sectPr>
          <w:headerReference r:id="rId9" w:type="default"/>
          <w:footerReference r:id="rId10" w:type="default"/>
          <w:pgSz w:w="11907" w:h="16840"/>
          <w:pgMar w:top="1136" w:right="1133" w:bottom="1186" w:left="1672" w:header="859" w:footer="952" w:gutter="0"/>
          <w:pgNumType w:fmt="decimal"/>
          <w:cols w:space="720" w:num="1"/>
        </w:sectPr>
      </w:pPr>
    </w:p>
    <w:p w14:paraId="5559C1CF">
      <w:pPr>
        <w:pStyle w:val="109"/>
        <w:shd w:val="clear" w:color="auto" w:fill="auto"/>
        <w:adjustRightInd w:val="0"/>
        <w:spacing w:line="360" w:lineRule="auto"/>
        <w:ind w:firstLine="0" w:firstLineChars="0"/>
        <w:contextualSpacing/>
        <w:jc w:val="center"/>
        <w:outlineLvl w:val="0"/>
        <w:rPr>
          <w:rFonts w:hint="eastAsia" w:ascii="仿宋" w:hAnsi="仿宋" w:eastAsia="仿宋" w:cs="仿宋"/>
          <w:b/>
          <w:color w:val="auto"/>
          <w:sz w:val="36"/>
          <w:szCs w:val="36"/>
          <w:highlight w:val="none"/>
        </w:rPr>
      </w:pPr>
      <w:bookmarkStart w:id="646" w:name="_Toc2145"/>
      <w:r>
        <w:rPr>
          <w:rFonts w:hint="eastAsia" w:ascii="仿宋" w:hAnsi="仿宋" w:eastAsia="仿宋" w:cs="仿宋"/>
          <w:b/>
          <w:color w:val="auto"/>
          <w:sz w:val="36"/>
          <w:szCs w:val="36"/>
          <w:highlight w:val="none"/>
        </w:rPr>
        <w:t>第五章合同草案条款</w:t>
      </w:r>
      <w:bookmarkEnd w:id="645"/>
      <w:bookmarkEnd w:id="646"/>
    </w:p>
    <w:p w14:paraId="706BB774">
      <w:pPr>
        <w:spacing w:before="78" w:line="220" w:lineRule="auto"/>
        <w:ind w:left="39"/>
        <w:rPr>
          <w:rFonts w:hint="eastAsia" w:ascii="宋体" w:hAnsi="宋体" w:eastAsia="宋体" w:cs="宋体"/>
          <w:sz w:val="24"/>
          <w:szCs w:val="24"/>
          <w:lang w:eastAsia="zh-CN"/>
        </w:rPr>
      </w:pPr>
      <w:r>
        <w:rPr>
          <w:rFonts w:ascii="宋体" w:hAnsi="宋体" w:eastAsia="宋体" w:cs="宋体"/>
          <w:spacing w:val="-3"/>
          <w:sz w:val="24"/>
          <w:szCs w:val="24"/>
        </w:rPr>
        <w:t>合同编号：</w:t>
      </w:r>
    </w:p>
    <w:p w14:paraId="506C17F2">
      <w:pPr>
        <w:spacing w:before="78" w:line="220" w:lineRule="auto"/>
        <w:ind w:left="39"/>
        <w:rPr>
          <w:rFonts w:ascii="宋体" w:hAnsi="宋体" w:eastAsia="宋体" w:cs="宋体"/>
          <w:sz w:val="24"/>
          <w:szCs w:val="24"/>
        </w:rPr>
      </w:pPr>
      <w:r>
        <w:rPr>
          <w:rFonts w:hint="eastAsia"/>
          <w:lang w:eastAsia="zh-CN"/>
        </w:rPr>
        <w:tab/>
      </w:r>
      <w:r>
        <w:rPr>
          <w:rFonts w:hint="eastAsia"/>
          <w:lang w:eastAsia="zh-CN"/>
        </w:rPr>
        <w:tab/>
      </w:r>
      <w:bookmarkStart w:id="647" w:name="bookmark5"/>
      <w:bookmarkEnd w:id="647"/>
    </w:p>
    <w:p w14:paraId="5942693F">
      <w:pPr>
        <w:pStyle w:val="17"/>
        <w:spacing w:line="245" w:lineRule="auto"/>
      </w:pPr>
    </w:p>
    <w:p w14:paraId="4A68BE2A">
      <w:pPr>
        <w:pStyle w:val="17"/>
        <w:spacing w:line="245" w:lineRule="auto"/>
      </w:pPr>
    </w:p>
    <w:p w14:paraId="25243C2D">
      <w:pPr>
        <w:pStyle w:val="17"/>
        <w:spacing w:line="245" w:lineRule="auto"/>
      </w:pPr>
    </w:p>
    <w:p w14:paraId="6E3686C5">
      <w:pPr>
        <w:pStyle w:val="17"/>
        <w:spacing w:line="246" w:lineRule="auto"/>
      </w:pPr>
    </w:p>
    <w:p w14:paraId="762E520A">
      <w:pPr>
        <w:pStyle w:val="17"/>
        <w:spacing w:line="246" w:lineRule="auto"/>
      </w:pPr>
    </w:p>
    <w:p w14:paraId="34E9987D">
      <w:pPr>
        <w:spacing w:before="182" w:line="241" w:lineRule="auto"/>
        <w:ind w:left="3462" w:right="1584" w:hanging="1822"/>
        <w:rPr>
          <w:rFonts w:ascii="宋体" w:hAnsi="宋体" w:eastAsia="宋体" w:cs="宋体"/>
          <w:sz w:val="56"/>
          <w:szCs w:val="56"/>
        </w:rPr>
      </w:pPr>
      <w:r>
        <w:rPr>
          <w:rFonts w:hint="eastAsia" w:ascii="宋体" w:hAnsi="宋体" w:eastAsia="宋体" w:cs="宋体"/>
          <w:b/>
          <w:bCs/>
          <w:spacing w:val="-11"/>
          <w:sz w:val="56"/>
          <w:szCs w:val="56"/>
        </w:rPr>
        <w:t>2026年大红门街道餐饮服务</w:t>
      </w:r>
      <w:r>
        <w:rPr>
          <w:rFonts w:ascii="宋体" w:hAnsi="宋体" w:eastAsia="宋体" w:cs="宋体"/>
          <w:b/>
          <w:bCs/>
          <w:spacing w:val="-10"/>
          <w:sz w:val="56"/>
          <w:szCs w:val="56"/>
        </w:rPr>
        <w:t>合同</w:t>
      </w:r>
    </w:p>
    <w:p w14:paraId="7135B90C">
      <w:pPr>
        <w:pStyle w:val="17"/>
        <w:spacing w:line="245" w:lineRule="auto"/>
      </w:pPr>
    </w:p>
    <w:p w14:paraId="36840163">
      <w:pPr>
        <w:pStyle w:val="17"/>
        <w:spacing w:line="245" w:lineRule="auto"/>
      </w:pPr>
    </w:p>
    <w:p w14:paraId="6C575FB4">
      <w:pPr>
        <w:pStyle w:val="17"/>
        <w:spacing w:line="245" w:lineRule="auto"/>
      </w:pPr>
    </w:p>
    <w:p w14:paraId="2D2CE593">
      <w:pPr>
        <w:pStyle w:val="17"/>
        <w:spacing w:line="245" w:lineRule="auto"/>
      </w:pPr>
    </w:p>
    <w:p w14:paraId="2216AEBD">
      <w:pPr>
        <w:pStyle w:val="17"/>
        <w:spacing w:line="245" w:lineRule="auto"/>
      </w:pPr>
    </w:p>
    <w:p w14:paraId="4486ECF0">
      <w:pPr>
        <w:pStyle w:val="17"/>
        <w:spacing w:line="245" w:lineRule="auto"/>
      </w:pPr>
    </w:p>
    <w:p w14:paraId="1D8D2D82">
      <w:pPr>
        <w:pStyle w:val="17"/>
        <w:spacing w:line="245" w:lineRule="auto"/>
      </w:pPr>
    </w:p>
    <w:p w14:paraId="3FD86895">
      <w:pPr>
        <w:pStyle w:val="17"/>
        <w:spacing w:line="245" w:lineRule="auto"/>
      </w:pPr>
    </w:p>
    <w:p w14:paraId="3BF641FF">
      <w:pPr>
        <w:pStyle w:val="17"/>
        <w:spacing w:line="245" w:lineRule="auto"/>
      </w:pPr>
    </w:p>
    <w:p w14:paraId="5EF7008D">
      <w:pPr>
        <w:pStyle w:val="17"/>
        <w:spacing w:line="245" w:lineRule="auto"/>
      </w:pPr>
    </w:p>
    <w:p w14:paraId="64787B1A">
      <w:pPr>
        <w:pStyle w:val="17"/>
        <w:spacing w:line="245" w:lineRule="auto"/>
      </w:pPr>
    </w:p>
    <w:p w14:paraId="0A0E3595">
      <w:pPr>
        <w:pStyle w:val="17"/>
        <w:spacing w:line="246" w:lineRule="auto"/>
      </w:pPr>
    </w:p>
    <w:p w14:paraId="15D28A7C">
      <w:pPr>
        <w:spacing w:before="104" w:line="221" w:lineRule="auto"/>
        <w:ind w:left="649" w:firstLine="568" w:firstLineChars="200"/>
        <w:rPr>
          <w:rFonts w:hint="eastAsia" w:ascii="宋体" w:hAnsi="宋体" w:eastAsia="宋体" w:cs="宋体"/>
          <w:sz w:val="32"/>
          <w:szCs w:val="32"/>
          <w:lang w:eastAsia="zh-CN"/>
        </w:rPr>
      </w:pPr>
      <w:r>
        <w:rPr>
          <w:rFonts w:ascii="宋体" w:hAnsi="宋体" w:eastAsia="宋体" w:cs="宋体"/>
          <w:spacing w:val="-18"/>
          <w:sz w:val="32"/>
          <w:szCs w:val="32"/>
        </w:rPr>
        <w:t>甲方：</w:t>
      </w:r>
    </w:p>
    <w:p w14:paraId="3B0498E3">
      <w:pPr>
        <w:spacing w:before="239" w:line="361" w:lineRule="auto"/>
        <w:ind w:left="4031" w:leftChars="572" w:right="1785" w:hanging="2830" w:hangingChars="976"/>
        <w:rPr>
          <w:rFonts w:hint="eastAsia" w:ascii="宋体" w:hAnsi="宋体" w:eastAsia="宋体" w:cs="宋体"/>
          <w:sz w:val="32"/>
          <w:szCs w:val="32"/>
          <w:u w:val="single" w:color="auto"/>
          <w:lang w:val="en-US" w:eastAsia="zh-CN"/>
        </w:rPr>
      </w:pPr>
      <w:r>
        <w:rPr>
          <w:rFonts w:ascii="宋体" w:hAnsi="宋体" w:eastAsia="宋体" w:cs="宋体"/>
          <w:spacing w:val="-15"/>
          <w:sz w:val="32"/>
          <w:szCs w:val="32"/>
        </w:rPr>
        <w:t>乙方：</w:t>
      </w:r>
    </w:p>
    <w:p w14:paraId="2AC33B2A">
      <w:pPr>
        <w:spacing w:before="239" w:line="361" w:lineRule="auto"/>
        <w:ind w:left="4610" w:leftChars="1745" w:right="1785" w:hanging="946" w:hangingChars="275"/>
        <w:rPr>
          <w:rFonts w:ascii="宋体" w:hAnsi="宋体" w:eastAsia="宋体" w:cs="宋体"/>
          <w:spacing w:val="-8"/>
          <w:sz w:val="36"/>
          <w:szCs w:val="36"/>
        </w:rPr>
      </w:pPr>
      <w:r>
        <w:rPr>
          <w:rFonts w:hint="eastAsia" w:ascii="宋体" w:hAnsi="宋体" w:eastAsia="宋体" w:cs="宋体"/>
          <w:spacing w:val="-8"/>
          <w:sz w:val="36"/>
          <w:szCs w:val="36"/>
          <w:u w:val="single"/>
          <w:lang w:val="en-US" w:eastAsia="zh-CN"/>
        </w:rPr>
        <w:t xml:space="preserve">    </w:t>
      </w:r>
      <w:r>
        <w:rPr>
          <w:rFonts w:ascii="宋体" w:hAnsi="宋体" w:eastAsia="宋体" w:cs="宋体"/>
          <w:spacing w:val="-8"/>
          <w:sz w:val="36"/>
          <w:szCs w:val="36"/>
        </w:rPr>
        <w:t>年</w:t>
      </w:r>
      <w:r>
        <w:rPr>
          <w:rFonts w:hint="eastAsia" w:ascii="宋体" w:hAnsi="宋体" w:eastAsia="宋体" w:cs="宋体"/>
          <w:spacing w:val="-8"/>
          <w:sz w:val="36"/>
          <w:szCs w:val="36"/>
          <w:u w:val="single"/>
          <w:lang w:val="en-US" w:eastAsia="zh-CN"/>
        </w:rPr>
        <w:t xml:space="preserve">  </w:t>
      </w:r>
      <w:r>
        <w:rPr>
          <w:rFonts w:ascii="宋体" w:hAnsi="宋体" w:eastAsia="宋体" w:cs="宋体"/>
          <w:spacing w:val="-8"/>
          <w:sz w:val="36"/>
          <w:szCs w:val="36"/>
        </w:rPr>
        <w:t>月</w:t>
      </w:r>
    </w:p>
    <w:p w14:paraId="28AD0593">
      <w:pPr>
        <w:rPr>
          <w:rFonts w:ascii="宋体" w:hAnsi="宋体" w:eastAsia="宋体" w:cs="宋体"/>
          <w:spacing w:val="-8"/>
          <w:sz w:val="36"/>
          <w:szCs w:val="36"/>
        </w:rPr>
      </w:pPr>
      <w:r>
        <w:rPr>
          <w:rFonts w:ascii="宋体" w:hAnsi="宋体" w:eastAsia="宋体" w:cs="宋体"/>
          <w:spacing w:val="-8"/>
          <w:sz w:val="36"/>
          <w:szCs w:val="36"/>
        </w:rPr>
        <w:br w:type="page"/>
      </w:r>
    </w:p>
    <w:p w14:paraId="00BB7099">
      <w:pPr>
        <w:spacing w:before="239" w:line="361" w:lineRule="auto"/>
        <w:ind w:left="3950" w:right="1785" w:hanging="3311"/>
        <w:rPr>
          <w:rFonts w:ascii="宋体" w:hAnsi="宋体" w:eastAsia="宋体" w:cs="宋体"/>
          <w:spacing w:val="-8"/>
          <w:sz w:val="36"/>
          <w:szCs w:val="36"/>
        </w:rPr>
      </w:pPr>
    </w:p>
    <w:p w14:paraId="0635AE0E">
      <w:pPr>
        <w:spacing w:before="330" w:line="220" w:lineRule="auto"/>
        <w:ind w:left="2251"/>
        <w:rPr>
          <w:rFonts w:ascii="宋体" w:hAnsi="宋体" w:eastAsia="宋体" w:cs="宋体"/>
          <w:sz w:val="32"/>
          <w:szCs w:val="32"/>
        </w:rPr>
      </w:pPr>
      <w:r>
        <w:rPr>
          <w:rFonts w:hint="eastAsia" w:ascii="宋体" w:hAnsi="宋体" w:eastAsia="宋体" w:cs="宋体"/>
          <w:b/>
          <w:bCs/>
          <w:spacing w:val="-6"/>
          <w:sz w:val="32"/>
          <w:szCs w:val="32"/>
        </w:rPr>
        <w:t>2026年大红门街道餐饮服务</w:t>
      </w:r>
      <w:r>
        <w:rPr>
          <w:rFonts w:ascii="宋体" w:hAnsi="宋体" w:eastAsia="宋体" w:cs="宋体"/>
          <w:b/>
          <w:bCs/>
          <w:spacing w:val="-6"/>
          <w:sz w:val="32"/>
          <w:szCs w:val="32"/>
        </w:rPr>
        <w:t>合同</w:t>
      </w:r>
    </w:p>
    <w:p w14:paraId="157D5796">
      <w:pPr>
        <w:spacing w:before="261" w:line="221" w:lineRule="auto"/>
        <w:ind w:left="69"/>
        <w:rPr>
          <w:rFonts w:hint="eastAsia" w:ascii="宋体" w:hAnsi="宋体" w:eastAsia="宋体" w:cs="宋体"/>
          <w:sz w:val="24"/>
          <w:szCs w:val="24"/>
          <w:lang w:eastAsia="zh-CN"/>
        </w:rPr>
      </w:pPr>
      <w:r>
        <w:rPr>
          <w:rFonts w:ascii="宋体" w:hAnsi="宋体" w:eastAsia="宋体" w:cs="宋体"/>
          <w:spacing w:val="-14"/>
          <w:sz w:val="24"/>
          <w:szCs w:val="24"/>
        </w:rPr>
        <w:t>甲方：</w:t>
      </w:r>
    </w:p>
    <w:p w14:paraId="5CC3FD79">
      <w:pPr>
        <w:spacing w:before="179" w:line="221" w:lineRule="auto"/>
        <w:ind w:left="61"/>
        <w:rPr>
          <w:rFonts w:hint="eastAsia" w:ascii="宋体" w:hAnsi="宋体" w:eastAsia="宋体" w:cs="宋体"/>
          <w:sz w:val="24"/>
          <w:szCs w:val="24"/>
          <w:lang w:eastAsia="zh-CN"/>
        </w:rPr>
      </w:pPr>
      <w:r>
        <w:rPr>
          <w:rFonts w:ascii="宋体" w:hAnsi="宋体" w:eastAsia="宋体" w:cs="宋体"/>
          <w:spacing w:val="-7"/>
          <w:sz w:val="24"/>
          <w:szCs w:val="24"/>
        </w:rPr>
        <w:t>乙方：</w:t>
      </w:r>
    </w:p>
    <w:p w14:paraId="2335D7C9">
      <w:pPr>
        <w:pStyle w:val="17"/>
        <w:spacing w:line="282" w:lineRule="auto"/>
      </w:pPr>
    </w:p>
    <w:p w14:paraId="1F77DEF0">
      <w:pPr>
        <w:pStyle w:val="17"/>
        <w:spacing w:line="283" w:lineRule="auto"/>
      </w:pPr>
    </w:p>
    <w:p w14:paraId="5F1120E2">
      <w:pPr>
        <w:keepNext w:val="0"/>
        <w:keepLines w:val="0"/>
        <w:pageBreakBefore w:val="0"/>
        <w:widowControl w:val="0"/>
        <w:kinsoku/>
        <w:wordWrap/>
        <w:overflowPunct/>
        <w:topLinePunct w:val="0"/>
        <w:autoSpaceDE/>
        <w:autoSpaceDN/>
        <w:bidi w:val="0"/>
        <w:adjustRightInd/>
        <w:snapToGrid/>
        <w:spacing w:line="360" w:lineRule="auto"/>
        <w:ind w:left="0" w:right="0" w:firstLine="480"/>
        <w:jc w:val="both"/>
        <w:textAlignment w:val="auto"/>
        <w:rPr>
          <w:rFonts w:ascii="宋体" w:hAnsi="宋体" w:eastAsia="宋体" w:cs="宋体"/>
          <w:sz w:val="24"/>
          <w:szCs w:val="24"/>
        </w:rPr>
      </w:pPr>
      <w:r>
        <w:rPr>
          <w:rFonts w:ascii="宋体" w:hAnsi="宋体" w:eastAsia="宋体" w:cs="宋体"/>
          <w:spacing w:val="-2"/>
          <w:sz w:val="24"/>
          <w:szCs w:val="24"/>
        </w:rPr>
        <w:t>根据</w:t>
      </w:r>
      <w:r>
        <w:rPr>
          <w:rFonts w:hint="eastAsia" w:ascii="宋体" w:hAnsi="宋体" w:eastAsia="宋体" w:cs="宋体"/>
          <w:spacing w:val="-2"/>
          <w:sz w:val="24"/>
          <w:szCs w:val="24"/>
        </w:rPr>
        <w:t>2026年大红门街道餐饮服务采购项目</w:t>
      </w:r>
      <w:r>
        <w:rPr>
          <w:rFonts w:ascii="宋体" w:hAnsi="宋体" w:eastAsia="宋体" w:cs="宋体"/>
          <w:spacing w:val="-2"/>
          <w:sz w:val="24"/>
          <w:szCs w:val="24"/>
        </w:rPr>
        <w:t>竞争性磋商结果，并经北京市丰台区人民</w:t>
      </w:r>
      <w:r>
        <w:rPr>
          <w:rFonts w:ascii="宋体" w:hAnsi="宋体" w:eastAsia="宋体" w:cs="宋体"/>
          <w:spacing w:val="-1"/>
          <w:sz w:val="24"/>
          <w:szCs w:val="24"/>
        </w:rPr>
        <w:t>政府大红门街道办事处（以下简称“甲方”）确认，确定</w:t>
      </w:r>
      <w:r>
        <w:rPr>
          <w:rFonts w:ascii="宋体" w:hAnsi="宋体" w:eastAsia="宋体" w:cs="宋体"/>
          <w:spacing w:val="-2"/>
          <w:sz w:val="24"/>
          <w:szCs w:val="24"/>
        </w:rPr>
        <w:t>（以下简称“乙方”）为成交单位。双方经友好协商，根据《中华人民共和国民法典》、《中华人民共</w:t>
      </w:r>
      <w:r>
        <w:rPr>
          <w:rFonts w:ascii="宋体" w:hAnsi="宋体" w:eastAsia="宋体" w:cs="宋体"/>
          <w:spacing w:val="-4"/>
          <w:sz w:val="24"/>
          <w:szCs w:val="24"/>
        </w:rPr>
        <w:t>和国食品安全法》及国家有关规定及本次磋商的相关内容，就乙方为甲方职工食堂提供</w:t>
      </w:r>
      <w:r>
        <w:rPr>
          <w:rFonts w:ascii="宋体" w:hAnsi="宋体" w:eastAsia="宋体" w:cs="宋体"/>
          <w:spacing w:val="-1"/>
          <w:sz w:val="24"/>
          <w:szCs w:val="24"/>
        </w:rPr>
        <w:t>餐饮服务事宜达成如下协议（以下简称“本</w:t>
      </w:r>
      <w:r>
        <w:rPr>
          <w:rFonts w:ascii="宋体" w:hAnsi="宋体" w:eastAsia="宋体" w:cs="宋体"/>
          <w:spacing w:val="-2"/>
          <w:sz w:val="24"/>
          <w:szCs w:val="24"/>
        </w:rPr>
        <w:t>合同”</w:t>
      </w:r>
      <w:r>
        <w:rPr>
          <w:rFonts w:ascii="宋体" w:hAnsi="宋体" w:eastAsia="宋体" w:cs="宋体"/>
          <w:spacing w:val="-1"/>
          <w:sz w:val="24"/>
          <w:szCs w:val="24"/>
        </w:rPr>
        <w:t>），</w:t>
      </w:r>
      <w:r>
        <w:rPr>
          <w:rFonts w:ascii="宋体" w:hAnsi="宋体" w:eastAsia="宋体" w:cs="宋体"/>
          <w:spacing w:val="-2"/>
          <w:sz w:val="24"/>
          <w:szCs w:val="24"/>
        </w:rPr>
        <w:t>以共同遵守执行。</w:t>
      </w:r>
    </w:p>
    <w:p w14:paraId="4AE8E093">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b/>
          <w:bCs/>
          <w:spacing w:val="-7"/>
          <w:sz w:val="24"/>
          <w:szCs w:val="24"/>
        </w:rPr>
        <w:t>1.项目概况</w:t>
      </w:r>
    </w:p>
    <w:p w14:paraId="49B48DB4">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sz w:val="24"/>
          <w:szCs w:val="24"/>
          <w:lang w:eastAsia="zh-CN"/>
        </w:rPr>
      </w:pPr>
      <w:r>
        <w:rPr>
          <w:rFonts w:ascii="宋体" w:hAnsi="宋体" w:eastAsia="宋体" w:cs="宋体"/>
          <w:spacing w:val="-1"/>
          <w:sz w:val="24"/>
          <w:szCs w:val="24"/>
        </w:rPr>
        <w:t>1.1项目所在地：</w:t>
      </w:r>
      <w:r>
        <w:rPr>
          <w:rFonts w:ascii="宋体" w:hAnsi="宋体" w:eastAsia="宋体" w:cs="宋体"/>
          <w:spacing w:val="-1"/>
          <w:sz w:val="24"/>
          <w:szCs w:val="24"/>
          <w:u w:val="single" w:color="auto"/>
        </w:rPr>
        <w:t>街道办事处机关食堂及</w:t>
      </w:r>
      <w:r>
        <w:rPr>
          <w:rFonts w:hint="eastAsia" w:ascii="宋体" w:hAnsi="宋体" w:cs="宋体"/>
          <w:spacing w:val="-1"/>
          <w:sz w:val="24"/>
          <w:szCs w:val="24"/>
          <w:u w:val="single" w:color="auto"/>
          <w:lang w:eastAsia="zh-CN"/>
        </w:rPr>
        <w:t>综合行政执法队</w:t>
      </w:r>
      <w:r>
        <w:rPr>
          <w:rFonts w:ascii="宋体" w:hAnsi="宋体" w:eastAsia="宋体" w:cs="宋体"/>
          <w:spacing w:val="-1"/>
          <w:sz w:val="24"/>
          <w:szCs w:val="24"/>
          <w:u w:val="single" w:color="auto"/>
        </w:rPr>
        <w:t>食堂</w:t>
      </w:r>
    </w:p>
    <w:p w14:paraId="009D1A1D">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ascii="宋体" w:hAnsi="宋体" w:eastAsia="宋体" w:cs="宋体"/>
          <w:sz w:val="24"/>
          <w:szCs w:val="24"/>
        </w:rPr>
      </w:pPr>
      <w:r>
        <w:rPr>
          <w:rFonts w:ascii="宋体" w:hAnsi="宋体" w:eastAsia="宋体" w:cs="宋体"/>
          <w:spacing w:val="-2"/>
          <w:sz w:val="24"/>
          <w:szCs w:val="24"/>
        </w:rPr>
        <w:t>1.2项目规模：根据以往食堂实际就餐人数估算。(</w:t>
      </w:r>
      <w:r>
        <w:rPr>
          <w:rFonts w:ascii="宋体" w:hAnsi="宋体" w:eastAsia="宋体" w:cs="宋体"/>
          <w:spacing w:val="-3"/>
          <w:sz w:val="24"/>
          <w:szCs w:val="24"/>
        </w:rPr>
        <w:t>含机关、</w:t>
      </w:r>
      <w:r>
        <w:rPr>
          <w:rFonts w:hint="eastAsia" w:ascii="宋体" w:hAnsi="宋体" w:cs="宋体"/>
          <w:spacing w:val="-3"/>
          <w:sz w:val="24"/>
          <w:szCs w:val="24"/>
          <w:lang w:eastAsia="zh-CN"/>
        </w:rPr>
        <w:t>综合行政执法队</w:t>
      </w:r>
      <w:r>
        <w:rPr>
          <w:rFonts w:ascii="宋体" w:hAnsi="宋体" w:eastAsia="宋体" w:cs="宋体"/>
          <w:spacing w:val="-3"/>
          <w:sz w:val="24"/>
          <w:szCs w:val="24"/>
        </w:rPr>
        <w:t>)</w:t>
      </w:r>
    </w:p>
    <w:p w14:paraId="70250015">
      <w:pPr>
        <w:keepNext w:val="0"/>
        <w:keepLines w:val="0"/>
        <w:pageBreakBefore w:val="0"/>
        <w:widowControl w:val="0"/>
        <w:kinsoku/>
        <w:wordWrap/>
        <w:overflowPunct/>
        <w:topLinePunct w:val="0"/>
        <w:autoSpaceDE/>
        <w:autoSpaceDN/>
        <w:bidi w:val="0"/>
        <w:adjustRightInd/>
        <w:snapToGrid/>
        <w:spacing w:line="360" w:lineRule="auto"/>
        <w:ind w:left="0" w:right="0" w:firstLine="450" w:firstLineChars="200"/>
        <w:textAlignment w:val="auto"/>
        <w:rPr>
          <w:rFonts w:ascii="宋体" w:hAnsi="宋体" w:eastAsia="宋体" w:cs="宋体"/>
          <w:b/>
          <w:bCs/>
          <w:sz w:val="24"/>
          <w:szCs w:val="24"/>
        </w:rPr>
      </w:pPr>
      <w:r>
        <w:rPr>
          <w:rFonts w:ascii="宋体" w:hAnsi="宋体" w:eastAsia="宋体" w:cs="宋体"/>
          <w:b/>
          <w:bCs/>
          <w:spacing w:val="-8"/>
          <w:sz w:val="24"/>
          <w:szCs w:val="24"/>
        </w:rPr>
        <w:t>工作日就餐人数：</w:t>
      </w:r>
    </w:p>
    <w:p w14:paraId="434C79AE">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早餐每日实际就餐约</w:t>
      </w:r>
      <w:r>
        <w:rPr>
          <w:rFonts w:hint="eastAsia" w:ascii="宋体" w:hAnsi="宋体" w:cs="宋体"/>
          <w:spacing w:val="1"/>
          <w:sz w:val="24"/>
          <w:szCs w:val="24"/>
          <w:u w:val="single"/>
          <w:lang w:val="en-US" w:eastAsia="zh-CN"/>
        </w:rPr>
        <w:t>190</w:t>
      </w:r>
      <w:r>
        <w:rPr>
          <w:rFonts w:hint="eastAsia" w:ascii="宋体" w:hAnsi="宋体" w:cs="宋体"/>
          <w:spacing w:val="1"/>
          <w:sz w:val="24"/>
          <w:szCs w:val="24"/>
          <w:lang w:val="en-US" w:eastAsia="zh-CN"/>
        </w:rPr>
        <w:t>人左右</w:t>
      </w:r>
    </w:p>
    <w:p w14:paraId="4388698D">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其中机关食堂就餐约</w:t>
      </w:r>
      <w:r>
        <w:rPr>
          <w:rFonts w:hint="eastAsia" w:ascii="宋体" w:hAnsi="宋体" w:cs="宋体"/>
          <w:spacing w:val="1"/>
          <w:sz w:val="24"/>
          <w:szCs w:val="24"/>
          <w:u w:val="single"/>
          <w:lang w:val="en-US" w:eastAsia="zh-CN"/>
        </w:rPr>
        <w:t>160</w:t>
      </w:r>
      <w:r>
        <w:rPr>
          <w:rFonts w:hint="eastAsia" w:ascii="宋体" w:hAnsi="宋体" w:cs="宋体"/>
          <w:spacing w:val="1"/>
          <w:sz w:val="24"/>
          <w:szCs w:val="24"/>
          <w:lang w:val="en-US" w:eastAsia="zh-CN"/>
        </w:rPr>
        <w:t>人左右，综合行政执法队就餐约</w:t>
      </w:r>
      <w:r>
        <w:rPr>
          <w:rFonts w:hint="eastAsia" w:ascii="宋体" w:hAnsi="宋体" w:cs="宋体"/>
          <w:spacing w:val="1"/>
          <w:sz w:val="24"/>
          <w:szCs w:val="24"/>
          <w:u w:val="single"/>
          <w:lang w:val="en-US" w:eastAsia="zh-CN"/>
        </w:rPr>
        <w:t>30</w:t>
      </w:r>
      <w:r>
        <w:rPr>
          <w:rFonts w:hint="eastAsia" w:ascii="宋体" w:hAnsi="宋体" w:cs="宋体"/>
          <w:spacing w:val="1"/>
          <w:sz w:val="24"/>
          <w:szCs w:val="24"/>
          <w:lang w:val="en-US" w:eastAsia="zh-CN"/>
        </w:rPr>
        <w:t>人左右；</w:t>
      </w:r>
    </w:p>
    <w:p w14:paraId="67386417">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午餐每日实际就餐约</w:t>
      </w:r>
      <w:r>
        <w:rPr>
          <w:rFonts w:hint="eastAsia" w:ascii="宋体" w:hAnsi="宋体" w:cs="宋体"/>
          <w:spacing w:val="1"/>
          <w:sz w:val="24"/>
          <w:szCs w:val="24"/>
          <w:u w:val="single"/>
          <w:lang w:val="en-US" w:eastAsia="zh-CN"/>
        </w:rPr>
        <w:t>250</w:t>
      </w:r>
      <w:r>
        <w:rPr>
          <w:rFonts w:hint="eastAsia" w:ascii="宋体" w:hAnsi="宋体" w:cs="宋体"/>
          <w:spacing w:val="1"/>
          <w:sz w:val="24"/>
          <w:szCs w:val="24"/>
          <w:lang w:val="en-US" w:eastAsia="zh-CN"/>
        </w:rPr>
        <w:t>人左右，</w:t>
      </w:r>
    </w:p>
    <w:p w14:paraId="07DE35F8">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其中机关食堂就餐约</w:t>
      </w:r>
      <w:r>
        <w:rPr>
          <w:rFonts w:hint="eastAsia" w:ascii="宋体" w:hAnsi="宋体" w:cs="宋体"/>
          <w:spacing w:val="1"/>
          <w:sz w:val="24"/>
          <w:szCs w:val="24"/>
          <w:u w:val="single"/>
          <w:lang w:val="en-US" w:eastAsia="zh-CN"/>
        </w:rPr>
        <w:t>210</w:t>
      </w:r>
      <w:r>
        <w:rPr>
          <w:rFonts w:hint="eastAsia" w:ascii="宋体" w:hAnsi="宋体" w:cs="宋体"/>
          <w:spacing w:val="1"/>
          <w:sz w:val="24"/>
          <w:szCs w:val="24"/>
          <w:lang w:val="en-US" w:eastAsia="zh-CN"/>
        </w:rPr>
        <w:t>人左右，综合行政执法队就餐约</w:t>
      </w:r>
      <w:r>
        <w:rPr>
          <w:rFonts w:hint="eastAsia" w:ascii="宋体" w:hAnsi="宋体" w:cs="宋体"/>
          <w:spacing w:val="1"/>
          <w:sz w:val="24"/>
          <w:szCs w:val="24"/>
          <w:u w:val="single"/>
          <w:lang w:val="en-US" w:eastAsia="zh-CN"/>
        </w:rPr>
        <w:t>40</w:t>
      </w:r>
      <w:r>
        <w:rPr>
          <w:rFonts w:hint="eastAsia" w:ascii="宋体" w:hAnsi="宋体" w:cs="宋体"/>
          <w:spacing w:val="1"/>
          <w:sz w:val="24"/>
          <w:szCs w:val="24"/>
          <w:lang w:val="en-US" w:eastAsia="zh-CN"/>
        </w:rPr>
        <w:t>人左右；</w:t>
      </w:r>
    </w:p>
    <w:p w14:paraId="5D80FF1C">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晚餐每日实际就餐约</w:t>
      </w:r>
      <w:r>
        <w:rPr>
          <w:rFonts w:hint="eastAsia" w:ascii="宋体" w:hAnsi="宋体" w:cs="宋体"/>
          <w:spacing w:val="1"/>
          <w:sz w:val="24"/>
          <w:szCs w:val="24"/>
          <w:u w:val="single"/>
          <w:lang w:val="en-US" w:eastAsia="zh-CN"/>
        </w:rPr>
        <w:t>60</w:t>
      </w:r>
      <w:r>
        <w:rPr>
          <w:rFonts w:hint="eastAsia" w:ascii="宋体" w:hAnsi="宋体" w:cs="宋体"/>
          <w:spacing w:val="1"/>
          <w:sz w:val="24"/>
          <w:szCs w:val="24"/>
          <w:lang w:val="en-US" w:eastAsia="zh-CN"/>
        </w:rPr>
        <w:t>人左右，</w:t>
      </w:r>
    </w:p>
    <w:p w14:paraId="064847BA">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其中机关食堂就餐约</w:t>
      </w:r>
      <w:r>
        <w:rPr>
          <w:rFonts w:hint="eastAsia" w:ascii="宋体" w:hAnsi="宋体" w:cs="宋体"/>
          <w:spacing w:val="1"/>
          <w:sz w:val="24"/>
          <w:szCs w:val="24"/>
          <w:u w:val="single"/>
          <w:lang w:val="en-US" w:eastAsia="zh-CN"/>
        </w:rPr>
        <w:t>30</w:t>
      </w:r>
      <w:r>
        <w:rPr>
          <w:rFonts w:hint="eastAsia" w:ascii="宋体" w:hAnsi="宋体" w:cs="宋体"/>
          <w:spacing w:val="1"/>
          <w:sz w:val="24"/>
          <w:szCs w:val="24"/>
          <w:lang w:val="en-US" w:eastAsia="zh-CN"/>
        </w:rPr>
        <w:t>人左右，综合行政执法队就餐约</w:t>
      </w:r>
      <w:r>
        <w:rPr>
          <w:rFonts w:hint="eastAsia" w:ascii="宋体" w:hAnsi="宋体" w:cs="宋体"/>
          <w:spacing w:val="1"/>
          <w:sz w:val="24"/>
          <w:szCs w:val="24"/>
          <w:u w:val="single"/>
          <w:lang w:val="en-US" w:eastAsia="zh-CN"/>
        </w:rPr>
        <w:t>30</w:t>
      </w:r>
      <w:r>
        <w:rPr>
          <w:rFonts w:hint="eastAsia" w:ascii="宋体" w:hAnsi="宋体" w:cs="宋体"/>
          <w:spacing w:val="1"/>
          <w:sz w:val="24"/>
          <w:szCs w:val="24"/>
          <w:lang w:val="en-US" w:eastAsia="zh-CN"/>
        </w:rPr>
        <w:t>人左右。</w:t>
      </w:r>
    </w:p>
    <w:p w14:paraId="41187B9E">
      <w:pPr>
        <w:keepNext w:val="0"/>
        <w:keepLines w:val="0"/>
        <w:pageBreakBefore w:val="0"/>
        <w:widowControl w:val="0"/>
        <w:kinsoku/>
        <w:wordWrap/>
        <w:overflowPunct/>
        <w:topLinePunct w:val="0"/>
        <w:autoSpaceDE/>
        <w:autoSpaceDN/>
        <w:bidi w:val="0"/>
        <w:adjustRightInd/>
        <w:snapToGrid/>
        <w:spacing w:line="360" w:lineRule="auto"/>
        <w:ind w:left="0" w:right="0" w:firstLine="486" w:firstLineChars="200"/>
        <w:textAlignment w:val="auto"/>
        <w:rPr>
          <w:rFonts w:hint="eastAsia" w:ascii="宋体" w:hAnsi="宋体" w:cs="宋体"/>
          <w:b/>
          <w:bCs/>
          <w:spacing w:val="1"/>
          <w:sz w:val="24"/>
          <w:szCs w:val="24"/>
          <w:lang w:val="en-US" w:eastAsia="zh-CN"/>
        </w:rPr>
      </w:pPr>
      <w:r>
        <w:rPr>
          <w:rFonts w:hint="eastAsia" w:ascii="宋体" w:hAnsi="宋体" w:cs="宋体"/>
          <w:b/>
          <w:bCs/>
          <w:spacing w:val="1"/>
          <w:sz w:val="24"/>
          <w:szCs w:val="24"/>
          <w:lang w:val="en-US" w:eastAsia="zh-CN"/>
        </w:rPr>
        <w:t>周末就餐人数：</w:t>
      </w:r>
    </w:p>
    <w:p w14:paraId="66AB1D93">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早餐实际就餐约</w:t>
      </w:r>
      <w:r>
        <w:rPr>
          <w:rFonts w:hint="eastAsia" w:ascii="宋体" w:hAnsi="宋体" w:cs="宋体"/>
          <w:spacing w:val="1"/>
          <w:sz w:val="24"/>
          <w:szCs w:val="24"/>
          <w:u w:val="single"/>
          <w:lang w:val="en-US" w:eastAsia="zh-CN"/>
        </w:rPr>
        <w:t>40</w:t>
      </w:r>
      <w:r>
        <w:rPr>
          <w:rFonts w:hint="eastAsia" w:ascii="宋体" w:hAnsi="宋体" w:cs="宋体"/>
          <w:spacing w:val="1"/>
          <w:sz w:val="24"/>
          <w:szCs w:val="24"/>
          <w:lang w:val="en-US" w:eastAsia="zh-CN"/>
        </w:rPr>
        <w:t>人左右</w:t>
      </w:r>
    </w:p>
    <w:p w14:paraId="0FFA6011">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其中机关食堂就餐约</w:t>
      </w:r>
      <w:r>
        <w:rPr>
          <w:rFonts w:hint="eastAsia" w:ascii="宋体" w:hAnsi="宋体" w:cs="宋体"/>
          <w:spacing w:val="1"/>
          <w:sz w:val="24"/>
          <w:szCs w:val="24"/>
          <w:u w:val="single"/>
          <w:lang w:val="en-US" w:eastAsia="zh-CN"/>
        </w:rPr>
        <w:t>10</w:t>
      </w:r>
      <w:r>
        <w:rPr>
          <w:rFonts w:hint="eastAsia" w:ascii="宋体" w:hAnsi="宋体" w:cs="宋体"/>
          <w:spacing w:val="1"/>
          <w:sz w:val="24"/>
          <w:szCs w:val="24"/>
          <w:lang w:val="en-US" w:eastAsia="zh-CN"/>
        </w:rPr>
        <w:t>人左右，综合行政执法队就餐约</w:t>
      </w:r>
      <w:r>
        <w:rPr>
          <w:rFonts w:hint="eastAsia" w:ascii="宋体" w:hAnsi="宋体" w:cs="宋体"/>
          <w:spacing w:val="1"/>
          <w:sz w:val="24"/>
          <w:szCs w:val="24"/>
          <w:u w:val="single"/>
          <w:lang w:val="en-US" w:eastAsia="zh-CN"/>
        </w:rPr>
        <w:t>30</w:t>
      </w:r>
      <w:r>
        <w:rPr>
          <w:rFonts w:hint="eastAsia" w:ascii="宋体" w:hAnsi="宋体" w:cs="宋体"/>
          <w:spacing w:val="1"/>
          <w:sz w:val="24"/>
          <w:szCs w:val="24"/>
          <w:lang w:val="en-US" w:eastAsia="zh-CN"/>
        </w:rPr>
        <w:t>人左右</w:t>
      </w:r>
    </w:p>
    <w:p w14:paraId="7166DA54">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午餐实际就餐约</w:t>
      </w:r>
      <w:r>
        <w:rPr>
          <w:rFonts w:hint="eastAsia" w:ascii="宋体" w:hAnsi="宋体" w:cs="宋体"/>
          <w:spacing w:val="1"/>
          <w:sz w:val="24"/>
          <w:szCs w:val="24"/>
          <w:u w:val="single"/>
          <w:lang w:val="en-US" w:eastAsia="zh-CN"/>
        </w:rPr>
        <w:t xml:space="preserve"> 70</w:t>
      </w:r>
      <w:r>
        <w:rPr>
          <w:rFonts w:hint="eastAsia" w:ascii="宋体" w:hAnsi="宋体" w:cs="宋体"/>
          <w:spacing w:val="1"/>
          <w:sz w:val="24"/>
          <w:szCs w:val="24"/>
          <w:lang w:val="en-US" w:eastAsia="zh-CN"/>
        </w:rPr>
        <w:t>人左右，</w:t>
      </w:r>
    </w:p>
    <w:p w14:paraId="56B8F123">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其中机关食堂就餐约</w:t>
      </w:r>
      <w:r>
        <w:rPr>
          <w:rFonts w:hint="eastAsia" w:ascii="宋体" w:hAnsi="宋体" w:cs="宋体"/>
          <w:spacing w:val="1"/>
          <w:sz w:val="24"/>
          <w:szCs w:val="24"/>
          <w:u w:val="single"/>
          <w:lang w:val="en-US" w:eastAsia="zh-CN"/>
        </w:rPr>
        <w:t>30</w:t>
      </w:r>
      <w:r>
        <w:rPr>
          <w:rFonts w:hint="eastAsia" w:ascii="宋体" w:hAnsi="宋体" w:cs="宋体"/>
          <w:spacing w:val="1"/>
          <w:sz w:val="24"/>
          <w:szCs w:val="24"/>
          <w:lang w:val="en-US" w:eastAsia="zh-CN"/>
        </w:rPr>
        <w:t>人左右，综合行政执法队就餐约</w:t>
      </w:r>
      <w:r>
        <w:rPr>
          <w:rFonts w:hint="eastAsia" w:ascii="宋体" w:hAnsi="宋体" w:cs="宋体"/>
          <w:spacing w:val="1"/>
          <w:sz w:val="24"/>
          <w:szCs w:val="24"/>
          <w:u w:val="single"/>
          <w:lang w:val="en-US" w:eastAsia="zh-CN"/>
        </w:rPr>
        <w:t xml:space="preserve"> 40 </w:t>
      </w:r>
      <w:r>
        <w:rPr>
          <w:rFonts w:hint="eastAsia" w:ascii="宋体" w:hAnsi="宋体" w:cs="宋体"/>
          <w:spacing w:val="1"/>
          <w:sz w:val="24"/>
          <w:szCs w:val="24"/>
          <w:lang w:val="en-US" w:eastAsia="zh-CN"/>
        </w:rPr>
        <w:t>人左右；</w:t>
      </w:r>
    </w:p>
    <w:p w14:paraId="290274BB">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晚餐实际就餐约</w:t>
      </w:r>
      <w:r>
        <w:rPr>
          <w:rFonts w:hint="eastAsia" w:ascii="宋体" w:hAnsi="宋体" w:cs="宋体"/>
          <w:spacing w:val="1"/>
          <w:sz w:val="24"/>
          <w:szCs w:val="24"/>
          <w:u w:val="single"/>
          <w:lang w:val="en-US" w:eastAsia="zh-CN"/>
        </w:rPr>
        <w:t>60</w:t>
      </w:r>
      <w:r>
        <w:rPr>
          <w:rFonts w:hint="eastAsia" w:ascii="宋体" w:hAnsi="宋体" w:cs="宋体"/>
          <w:spacing w:val="1"/>
          <w:sz w:val="24"/>
          <w:szCs w:val="24"/>
          <w:lang w:val="en-US" w:eastAsia="zh-CN"/>
        </w:rPr>
        <w:t>人左右，</w:t>
      </w:r>
    </w:p>
    <w:p w14:paraId="09A75E3D">
      <w:pPr>
        <w:keepNext w:val="0"/>
        <w:keepLines w:val="0"/>
        <w:pageBreakBefore w:val="0"/>
        <w:widowControl w:val="0"/>
        <w:kinsoku/>
        <w:wordWrap/>
        <w:overflowPunct/>
        <w:topLinePunct w:val="0"/>
        <w:autoSpaceDE/>
        <w:autoSpaceDN/>
        <w:bidi w:val="0"/>
        <w:adjustRightInd/>
        <w:snapToGrid/>
        <w:spacing w:line="360" w:lineRule="auto"/>
        <w:ind w:right="0" w:firstLine="484" w:firstLineChars="200"/>
        <w:textAlignment w:val="auto"/>
        <w:rPr>
          <w:rFonts w:ascii="宋体" w:hAnsi="宋体" w:eastAsia="宋体" w:cs="宋体"/>
          <w:sz w:val="24"/>
          <w:szCs w:val="24"/>
        </w:rPr>
      </w:pPr>
      <w:r>
        <w:rPr>
          <w:rFonts w:hint="eastAsia" w:ascii="宋体" w:hAnsi="宋体" w:cs="宋体"/>
          <w:spacing w:val="1"/>
          <w:sz w:val="24"/>
          <w:szCs w:val="24"/>
          <w:lang w:val="en-US" w:eastAsia="zh-CN"/>
        </w:rPr>
        <w:t>其中机关食堂就餐约</w:t>
      </w:r>
      <w:r>
        <w:rPr>
          <w:rFonts w:hint="eastAsia" w:ascii="宋体" w:hAnsi="宋体" w:cs="宋体"/>
          <w:spacing w:val="1"/>
          <w:sz w:val="24"/>
          <w:szCs w:val="24"/>
          <w:u w:val="single"/>
          <w:lang w:val="en-US" w:eastAsia="zh-CN"/>
        </w:rPr>
        <w:t>30</w:t>
      </w:r>
      <w:r>
        <w:rPr>
          <w:rFonts w:hint="eastAsia" w:ascii="宋体" w:hAnsi="宋体" w:cs="宋体"/>
          <w:spacing w:val="1"/>
          <w:sz w:val="24"/>
          <w:szCs w:val="24"/>
          <w:lang w:val="en-US" w:eastAsia="zh-CN"/>
        </w:rPr>
        <w:t>人左右，综合行政执法队就餐约</w:t>
      </w:r>
      <w:r>
        <w:rPr>
          <w:rFonts w:hint="eastAsia" w:ascii="宋体" w:hAnsi="宋体" w:cs="宋体"/>
          <w:spacing w:val="1"/>
          <w:sz w:val="24"/>
          <w:szCs w:val="24"/>
          <w:u w:val="single"/>
          <w:lang w:val="en-US" w:eastAsia="zh-CN"/>
        </w:rPr>
        <w:t>30</w:t>
      </w:r>
      <w:r>
        <w:rPr>
          <w:rFonts w:hint="eastAsia" w:ascii="宋体" w:hAnsi="宋体" w:cs="宋体"/>
          <w:spacing w:val="1"/>
          <w:sz w:val="24"/>
          <w:szCs w:val="24"/>
          <w:lang w:val="en-US" w:eastAsia="zh-CN"/>
        </w:rPr>
        <w:t>人左右。</w:t>
      </w:r>
    </w:p>
    <w:p w14:paraId="15798077">
      <w:pPr>
        <w:keepNext w:val="0"/>
        <w:keepLines w:val="0"/>
        <w:pageBreakBefore w:val="0"/>
        <w:widowControl w:val="0"/>
        <w:kinsoku/>
        <w:wordWrap/>
        <w:overflowPunct/>
        <w:topLinePunct w:val="0"/>
        <w:autoSpaceDE/>
        <w:autoSpaceDN/>
        <w:bidi w:val="0"/>
        <w:adjustRightInd/>
        <w:snapToGrid/>
        <w:spacing w:line="360" w:lineRule="auto"/>
        <w:ind w:left="0" w:right="0" w:firstLine="498"/>
        <w:jc w:val="both"/>
        <w:textAlignment w:val="auto"/>
        <w:rPr>
          <w:rFonts w:ascii="宋体" w:hAnsi="宋体" w:eastAsia="宋体" w:cs="宋体"/>
          <w:sz w:val="24"/>
          <w:szCs w:val="24"/>
        </w:rPr>
      </w:pPr>
      <w:r>
        <w:rPr>
          <w:rFonts w:ascii="宋体" w:hAnsi="宋体" w:eastAsia="宋体" w:cs="宋体"/>
          <w:spacing w:val="-1"/>
          <w:sz w:val="24"/>
          <w:szCs w:val="24"/>
        </w:rPr>
        <w:t>1.3餐饮服务管理模式：甲方提供场所和设备设施（含餐具和厨具等</w:t>
      </w:r>
      <w:r>
        <w:rPr>
          <w:rFonts w:ascii="宋体" w:hAnsi="宋体" w:eastAsia="宋体" w:cs="宋体"/>
          <w:spacing w:val="5"/>
          <w:sz w:val="24"/>
          <w:szCs w:val="24"/>
        </w:rPr>
        <w:t>），</w:t>
      </w:r>
      <w:r>
        <w:rPr>
          <w:rFonts w:ascii="宋体" w:hAnsi="宋体" w:eastAsia="宋体" w:cs="宋体"/>
          <w:spacing w:val="-2"/>
          <w:sz w:val="24"/>
          <w:szCs w:val="24"/>
        </w:rPr>
        <w:t>承担餐厅日常发生的水电费用，并指定专人负责员工食堂日常监督；乙方负责提供原材料及燃气</w:t>
      </w:r>
      <w:r>
        <w:rPr>
          <w:rFonts w:ascii="宋体" w:hAnsi="宋体" w:eastAsia="宋体" w:cs="宋体"/>
          <w:spacing w:val="-1"/>
          <w:sz w:val="24"/>
          <w:szCs w:val="24"/>
        </w:rPr>
        <w:t>采购，保证人员配备，提供餐饮制作、服务和餐厅清洁等服务，并接受</w:t>
      </w:r>
      <w:r>
        <w:rPr>
          <w:rFonts w:ascii="宋体" w:hAnsi="宋体" w:eastAsia="宋体" w:cs="宋体"/>
          <w:spacing w:val="-2"/>
          <w:sz w:val="24"/>
          <w:szCs w:val="24"/>
        </w:rPr>
        <w:t>甲方监督管理。</w:t>
      </w:r>
    </w:p>
    <w:p w14:paraId="1C2B95AC">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b/>
          <w:bCs/>
          <w:spacing w:val="-4"/>
          <w:sz w:val="24"/>
          <w:szCs w:val="24"/>
        </w:rPr>
        <w:t>2.服务内容</w:t>
      </w:r>
    </w:p>
    <w:p w14:paraId="3342F4FF">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rPr>
          <w:rFonts w:ascii="宋体" w:hAnsi="宋体" w:eastAsia="宋体" w:cs="宋体"/>
          <w:sz w:val="24"/>
          <w:szCs w:val="24"/>
        </w:rPr>
      </w:pPr>
      <w:r>
        <w:rPr>
          <w:rFonts w:ascii="宋体" w:hAnsi="宋体" w:eastAsia="宋体" w:cs="宋体"/>
          <w:spacing w:val="-3"/>
          <w:sz w:val="24"/>
          <w:szCs w:val="24"/>
        </w:rPr>
        <w:t>2.1乙方为甲方提供全年每日三餐服务，员工食堂三餐膳食正常供应时间为：</w:t>
      </w:r>
    </w:p>
    <w:p w14:paraId="366FCAFC">
      <w:pPr>
        <w:keepNext w:val="0"/>
        <w:keepLines w:val="0"/>
        <w:pageBreakBefore w:val="0"/>
        <w:widowControl w:val="0"/>
        <w:kinsoku/>
        <w:wordWrap/>
        <w:overflowPunct/>
        <w:topLinePunct w:val="0"/>
        <w:autoSpaceDE/>
        <w:autoSpaceDN/>
        <w:bidi w:val="0"/>
        <w:adjustRightInd/>
        <w:snapToGrid/>
        <w:spacing w:line="360" w:lineRule="auto"/>
        <w:ind w:left="0" w:right="0" w:firstLine="498"/>
        <w:jc w:val="both"/>
        <w:textAlignment w:val="auto"/>
        <w:rPr>
          <w:rFonts w:hint="eastAsia" w:ascii="宋体" w:hAnsi="宋体" w:cs="宋体"/>
          <w:spacing w:val="-1"/>
          <w:sz w:val="24"/>
          <w:szCs w:val="24"/>
          <w:lang w:val="en-US" w:eastAsia="zh-CN"/>
        </w:rPr>
      </w:pPr>
      <w:r>
        <w:rPr>
          <w:rFonts w:ascii="宋体" w:hAnsi="宋体" w:eastAsia="宋体" w:cs="宋体"/>
          <w:spacing w:val="-1"/>
          <w:sz w:val="24"/>
          <w:szCs w:val="24"/>
        </w:rPr>
        <w:t>早餐：07:30—0</w:t>
      </w:r>
      <w:r>
        <w:rPr>
          <w:rFonts w:hint="eastAsia" w:ascii="宋体" w:hAnsi="宋体" w:cs="宋体"/>
          <w:spacing w:val="-1"/>
          <w:sz w:val="24"/>
          <w:szCs w:val="24"/>
          <w:lang w:val="en-US" w:eastAsia="zh-CN"/>
        </w:rPr>
        <w:t>9</w:t>
      </w:r>
      <w:r>
        <w:rPr>
          <w:rFonts w:ascii="宋体" w:hAnsi="宋体" w:eastAsia="宋体" w:cs="宋体"/>
          <w:spacing w:val="-1"/>
          <w:sz w:val="24"/>
          <w:szCs w:val="24"/>
        </w:rPr>
        <w:t>:</w:t>
      </w:r>
      <w:r>
        <w:rPr>
          <w:rFonts w:hint="eastAsia" w:ascii="宋体" w:hAnsi="宋体" w:cs="宋体"/>
          <w:spacing w:val="-1"/>
          <w:sz w:val="24"/>
          <w:szCs w:val="24"/>
          <w:lang w:val="en-US" w:eastAsia="zh-CN"/>
        </w:rPr>
        <w:t>00</w:t>
      </w:r>
    </w:p>
    <w:p w14:paraId="71241004">
      <w:pPr>
        <w:keepNext w:val="0"/>
        <w:keepLines w:val="0"/>
        <w:pageBreakBefore w:val="0"/>
        <w:widowControl w:val="0"/>
        <w:kinsoku/>
        <w:wordWrap/>
        <w:overflowPunct/>
        <w:topLinePunct w:val="0"/>
        <w:autoSpaceDE/>
        <w:autoSpaceDN/>
        <w:bidi w:val="0"/>
        <w:adjustRightInd/>
        <w:snapToGrid/>
        <w:spacing w:line="360" w:lineRule="auto"/>
        <w:ind w:left="0" w:right="0" w:firstLine="498"/>
        <w:jc w:val="both"/>
        <w:textAlignment w:val="auto"/>
        <w:rPr>
          <w:rFonts w:ascii="宋体" w:hAnsi="宋体" w:eastAsia="宋体" w:cs="宋体"/>
          <w:spacing w:val="-1"/>
          <w:sz w:val="24"/>
          <w:szCs w:val="24"/>
        </w:rPr>
      </w:pPr>
      <w:r>
        <w:rPr>
          <w:rFonts w:ascii="宋体" w:hAnsi="宋体" w:eastAsia="宋体" w:cs="宋体"/>
          <w:spacing w:val="-1"/>
          <w:sz w:val="24"/>
          <w:szCs w:val="24"/>
        </w:rPr>
        <w:t>午餐：11:40—13:00</w:t>
      </w:r>
    </w:p>
    <w:p w14:paraId="107F334F">
      <w:pPr>
        <w:keepNext w:val="0"/>
        <w:keepLines w:val="0"/>
        <w:pageBreakBefore w:val="0"/>
        <w:widowControl w:val="0"/>
        <w:kinsoku/>
        <w:wordWrap/>
        <w:overflowPunct/>
        <w:topLinePunct w:val="0"/>
        <w:autoSpaceDE/>
        <w:autoSpaceDN/>
        <w:bidi w:val="0"/>
        <w:adjustRightInd/>
        <w:snapToGrid/>
        <w:spacing w:line="360" w:lineRule="auto"/>
        <w:ind w:left="0" w:right="0" w:firstLine="498"/>
        <w:jc w:val="both"/>
        <w:textAlignment w:val="auto"/>
        <w:rPr>
          <w:rFonts w:ascii="宋体" w:hAnsi="宋体" w:eastAsia="宋体" w:cs="宋体"/>
          <w:spacing w:val="-1"/>
          <w:sz w:val="24"/>
          <w:szCs w:val="24"/>
        </w:rPr>
      </w:pPr>
      <w:r>
        <w:rPr>
          <w:rFonts w:ascii="宋体" w:hAnsi="宋体" w:eastAsia="宋体" w:cs="宋体"/>
          <w:spacing w:val="-1"/>
          <w:sz w:val="24"/>
          <w:szCs w:val="24"/>
        </w:rPr>
        <w:t>晚餐：18:00—19:00</w:t>
      </w:r>
    </w:p>
    <w:p w14:paraId="41CD2F16">
      <w:pPr>
        <w:keepNext w:val="0"/>
        <w:keepLines w:val="0"/>
        <w:pageBreakBefore w:val="0"/>
        <w:widowControl w:val="0"/>
        <w:kinsoku/>
        <w:wordWrap/>
        <w:overflowPunct/>
        <w:topLinePunct w:val="0"/>
        <w:autoSpaceDE/>
        <w:autoSpaceDN/>
        <w:bidi w:val="0"/>
        <w:adjustRightInd/>
        <w:snapToGrid/>
        <w:spacing w:line="360" w:lineRule="auto"/>
        <w:ind w:left="0" w:right="0" w:firstLine="498"/>
        <w:jc w:val="both"/>
        <w:textAlignment w:val="auto"/>
        <w:rPr>
          <w:rFonts w:ascii="宋体" w:hAnsi="宋体" w:eastAsia="宋体" w:cs="宋体"/>
          <w:spacing w:val="-1"/>
          <w:sz w:val="24"/>
          <w:szCs w:val="24"/>
        </w:rPr>
      </w:pPr>
      <w:r>
        <w:rPr>
          <w:rFonts w:ascii="宋体" w:hAnsi="宋体" w:eastAsia="宋体" w:cs="宋体"/>
          <w:spacing w:val="-1"/>
          <w:sz w:val="24"/>
          <w:szCs w:val="24"/>
        </w:rPr>
        <w:t>该膳食供应时间可根据甲方实际需要进行调整。</w:t>
      </w:r>
    </w:p>
    <w:p w14:paraId="2E4D129A">
      <w:pPr>
        <w:keepNext w:val="0"/>
        <w:keepLines w:val="0"/>
        <w:pageBreakBefore w:val="0"/>
        <w:widowControl w:val="0"/>
        <w:kinsoku/>
        <w:wordWrap/>
        <w:overflowPunct/>
        <w:topLinePunct w:val="0"/>
        <w:autoSpaceDE/>
        <w:autoSpaceDN/>
        <w:bidi w:val="0"/>
        <w:adjustRightInd/>
        <w:snapToGrid/>
        <w:spacing w:line="360" w:lineRule="auto"/>
        <w:ind w:left="0" w:right="0" w:firstLine="452" w:firstLineChars="200"/>
        <w:textAlignment w:val="auto"/>
        <w:rPr>
          <w:rFonts w:ascii="宋体" w:hAnsi="宋体" w:eastAsia="宋体" w:cs="宋体"/>
          <w:sz w:val="24"/>
          <w:szCs w:val="24"/>
        </w:rPr>
      </w:pPr>
      <w:r>
        <w:rPr>
          <w:rFonts w:ascii="宋体" w:hAnsi="宋体" w:eastAsia="宋体" w:cs="宋体"/>
          <w:spacing w:val="-7"/>
          <w:sz w:val="24"/>
          <w:szCs w:val="24"/>
        </w:rPr>
        <w:t>2.2乙方提供的餐饮服务标准：</w:t>
      </w:r>
    </w:p>
    <w:p w14:paraId="510E0D28">
      <w:pPr>
        <w:keepNext w:val="0"/>
        <w:keepLines w:val="0"/>
        <w:pageBreakBefore w:val="0"/>
        <w:widowControl w:val="0"/>
        <w:kinsoku/>
        <w:wordWrap w:val="0"/>
        <w:overflowPunct/>
        <w:topLinePunct w:val="0"/>
        <w:autoSpaceDE/>
        <w:autoSpaceDN/>
        <w:bidi w:val="0"/>
        <w:adjustRightInd/>
        <w:snapToGrid/>
        <w:spacing w:line="360" w:lineRule="auto"/>
        <w:ind w:left="0" w:right="0" w:firstLine="517"/>
        <w:textAlignment w:val="auto"/>
        <w:rPr>
          <w:rFonts w:ascii="宋体" w:hAnsi="宋体" w:eastAsia="宋体" w:cs="宋体"/>
          <w:sz w:val="24"/>
          <w:szCs w:val="24"/>
        </w:rPr>
      </w:pPr>
      <w:r>
        <w:rPr>
          <w:rFonts w:ascii="宋体" w:hAnsi="宋体" w:eastAsia="宋体" w:cs="宋体"/>
          <w:spacing w:val="-5"/>
          <w:sz w:val="24"/>
          <w:szCs w:val="24"/>
        </w:rPr>
        <w:t>自助早餐品种：</w:t>
      </w:r>
      <w:r>
        <w:rPr>
          <w:rFonts w:ascii="宋体" w:hAnsi="宋体" w:eastAsia="宋体" w:cs="宋体"/>
          <w:spacing w:val="-5"/>
          <w:sz w:val="24"/>
          <w:szCs w:val="24"/>
          <w:u w:val="single" w:color="auto"/>
        </w:rPr>
        <w:t>早饭3种汤（面条、粥、豆浆、牛奶</w:t>
      </w:r>
      <w:r>
        <w:rPr>
          <w:rFonts w:ascii="宋体" w:hAnsi="宋体" w:eastAsia="宋体" w:cs="宋体"/>
          <w:spacing w:val="-6"/>
          <w:sz w:val="24"/>
          <w:szCs w:val="24"/>
          <w:u w:val="single" w:color="auto"/>
        </w:rPr>
        <w:t>、羊杂汤、豆泡汤、炒肝等均</w:t>
      </w:r>
      <w:r>
        <w:rPr>
          <w:rFonts w:ascii="宋体" w:hAnsi="宋体" w:eastAsia="宋体" w:cs="宋体"/>
          <w:spacing w:val="-5"/>
          <w:sz w:val="24"/>
          <w:szCs w:val="24"/>
          <w:u w:val="single" w:color="auto"/>
        </w:rPr>
        <w:t>属于汤类</w:t>
      </w:r>
      <w:r>
        <w:rPr>
          <w:rFonts w:ascii="宋体" w:hAnsi="宋体" w:eastAsia="宋体" w:cs="宋体"/>
          <w:spacing w:val="1"/>
          <w:sz w:val="24"/>
          <w:szCs w:val="24"/>
          <w:u w:val="single" w:color="auto"/>
        </w:rPr>
        <w:t>），</w:t>
      </w:r>
      <w:r>
        <w:rPr>
          <w:rFonts w:ascii="宋体" w:hAnsi="宋体" w:eastAsia="宋体" w:cs="宋体"/>
          <w:spacing w:val="-5"/>
          <w:sz w:val="24"/>
          <w:szCs w:val="24"/>
          <w:u w:val="single" w:color="auto"/>
        </w:rPr>
        <w:t>凉拌菜（不含咸菜）至少1种，热菜至少1种，咸菜类2-3种，主食至少</w:t>
      </w:r>
      <w:r>
        <w:rPr>
          <w:rFonts w:ascii="宋体" w:hAnsi="宋体" w:eastAsia="宋体" w:cs="宋体"/>
          <w:spacing w:val="-6"/>
          <w:sz w:val="24"/>
          <w:szCs w:val="24"/>
          <w:u w:val="single" w:color="auto"/>
        </w:rPr>
        <w:t>3种</w:t>
      </w:r>
      <w:r>
        <w:rPr>
          <w:rFonts w:ascii="宋体" w:hAnsi="宋体" w:eastAsia="宋体" w:cs="宋体"/>
          <w:spacing w:val="-6"/>
          <w:sz w:val="24"/>
          <w:szCs w:val="24"/>
        </w:rPr>
        <w:t>；</w:t>
      </w:r>
    </w:p>
    <w:p w14:paraId="1AF79D4D">
      <w:pPr>
        <w:keepNext w:val="0"/>
        <w:keepLines w:val="0"/>
        <w:pageBreakBefore w:val="0"/>
        <w:widowControl w:val="0"/>
        <w:tabs>
          <w:tab w:val="left" w:pos="9147"/>
        </w:tabs>
        <w:kinsoku/>
        <w:wordWrap w:val="0"/>
        <w:overflowPunct/>
        <w:topLinePunct w:val="0"/>
        <w:autoSpaceDE/>
        <w:autoSpaceDN/>
        <w:bidi w:val="0"/>
        <w:adjustRightInd/>
        <w:snapToGrid/>
        <w:spacing w:line="360" w:lineRule="auto"/>
        <w:ind w:left="0" w:right="0" w:firstLine="516"/>
        <w:jc w:val="both"/>
        <w:textAlignment w:val="auto"/>
        <w:rPr>
          <w:rFonts w:ascii="宋体" w:hAnsi="宋体" w:eastAsia="宋体" w:cs="宋体"/>
          <w:sz w:val="24"/>
          <w:szCs w:val="24"/>
        </w:rPr>
      </w:pPr>
      <w:r>
        <w:rPr>
          <w:rFonts w:ascii="宋体" w:hAnsi="宋体" w:eastAsia="宋体" w:cs="宋体"/>
          <w:spacing w:val="-8"/>
          <w:sz w:val="24"/>
          <w:szCs w:val="24"/>
        </w:rPr>
        <w:t>自助午餐品种：</w:t>
      </w:r>
      <w:r>
        <w:rPr>
          <w:rFonts w:ascii="宋体" w:hAnsi="宋体" w:eastAsia="宋体" w:cs="宋体"/>
          <w:spacing w:val="-8"/>
          <w:sz w:val="24"/>
          <w:szCs w:val="24"/>
          <w:u w:val="single" w:color="auto"/>
        </w:rPr>
        <w:t>午餐6种菜，4热2凉，其中热菜荤菜（不含鸡蛋类菜品）2种，</w:t>
      </w:r>
      <w:r>
        <w:rPr>
          <w:rFonts w:ascii="宋体" w:hAnsi="宋体" w:eastAsia="宋体" w:cs="宋体"/>
          <w:spacing w:val="-4"/>
          <w:sz w:val="24"/>
          <w:szCs w:val="24"/>
          <w:u w:val="single" w:color="auto"/>
        </w:rPr>
        <w:t>素菜（含鸡蛋类菜品）2种，凉菜荤菜1种，素菜1种，粗粮至少1种，汤类2种，水果1种，酸奶（指定）1种，主食4种</w:t>
      </w:r>
      <w:r>
        <w:rPr>
          <w:rFonts w:ascii="宋体" w:hAnsi="宋体" w:eastAsia="宋体" w:cs="宋体"/>
          <w:spacing w:val="-4"/>
          <w:sz w:val="24"/>
          <w:szCs w:val="24"/>
        </w:rPr>
        <w:t>；</w:t>
      </w:r>
    </w:p>
    <w:p w14:paraId="51FD2EDA">
      <w:pPr>
        <w:keepNext w:val="0"/>
        <w:keepLines w:val="0"/>
        <w:pageBreakBefore w:val="0"/>
        <w:widowControl w:val="0"/>
        <w:kinsoku/>
        <w:wordWrap w:val="0"/>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spacing w:val="-4"/>
          <w:sz w:val="24"/>
          <w:szCs w:val="24"/>
        </w:rPr>
        <w:t>自助晚餐品种：</w:t>
      </w:r>
      <w:r>
        <w:rPr>
          <w:rFonts w:ascii="宋体" w:hAnsi="宋体" w:eastAsia="宋体" w:cs="宋体"/>
          <w:spacing w:val="-4"/>
          <w:sz w:val="24"/>
          <w:szCs w:val="24"/>
          <w:u w:val="single" w:color="auto"/>
        </w:rPr>
        <w:t>晚餐3个菜，1荤2素，1个汤，1-2种</w:t>
      </w:r>
      <w:r>
        <w:rPr>
          <w:rFonts w:ascii="宋体" w:hAnsi="宋体" w:eastAsia="宋体" w:cs="宋体"/>
          <w:spacing w:val="-5"/>
          <w:sz w:val="24"/>
          <w:szCs w:val="24"/>
          <w:u w:val="single" w:color="auto"/>
        </w:rPr>
        <w:t>主食</w:t>
      </w:r>
      <w:r>
        <w:rPr>
          <w:rFonts w:ascii="宋体" w:hAnsi="宋体" w:eastAsia="宋体" w:cs="宋体"/>
          <w:spacing w:val="-5"/>
          <w:sz w:val="24"/>
          <w:szCs w:val="24"/>
        </w:rPr>
        <w:t>。</w:t>
      </w:r>
    </w:p>
    <w:p w14:paraId="6062A038">
      <w:pPr>
        <w:keepNext w:val="0"/>
        <w:keepLines w:val="0"/>
        <w:pageBreakBefore w:val="0"/>
        <w:widowControl w:val="0"/>
        <w:kinsoku/>
        <w:wordWrap/>
        <w:overflowPunct/>
        <w:topLinePunct w:val="0"/>
        <w:autoSpaceDE/>
        <w:autoSpaceDN/>
        <w:bidi w:val="0"/>
        <w:adjustRightInd/>
        <w:snapToGrid/>
        <w:spacing w:line="360" w:lineRule="auto"/>
        <w:ind w:left="0" w:right="0" w:firstLine="482"/>
        <w:textAlignment w:val="auto"/>
        <w:rPr>
          <w:rFonts w:ascii="宋体" w:hAnsi="宋体" w:eastAsia="宋体" w:cs="宋体"/>
          <w:sz w:val="24"/>
          <w:szCs w:val="24"/>
        </w:rPr>
      </w:pPr>
      <w:r>
        <w:rPr>
          <w:rFonts w:ascii="宋体" w:hAnsi="宋体" w:eastAsia="宋体" w:cs="宋体"/>
          <w:spacing w:val="-1"/>
          <w:sz w:val="24"/>
          <w:szCs w:val="24"/>
        </w:rPr>
        <w:t>2.3乙方根据甲方的实际需求，参照工作日餐饮服务有关约定，提供公休日及法定</w:t>
      </w:r>
      <w:r>
        <w:rPr>
          <w:rFonts w:ascii="宋体" w:hAnsi="宋体" w:eastAsia="宋体" w:cs="宋体"/>
          <w:spacing w:val="-5"/>
          <w:sz w:val="24"/>
          <w:szCs w:val="24"/>
        </w:rPr>
        <w:t>节假日餐饮服务。</w:t>
      </w:r>
    </w:p>
    <w:p w14:paraId="6699A5D3">
      <w:pPr>
        <w:keepNext w:val="0"/>
        <w:keepLines w:val="0"/>
        <w:pageBreakBefore w:val="0"/>
        <w:widowControl w:val="0"/>
        <w:kinsoku/>
        <w:wordWrap/>
        <w:overflowPunct/>
        <w:topLinePunct w:val="0"/>
        <w:autoSpaceDE/>
        <w:autoSpaceDN/>
        <w:bidi w:val="0"/>
        <w:adjustRightInd/>
        <w:snapToGrid/>
        <w:spacing w:line="360" w:lineRule="auto"/>
        <w:ind w:left="0" w:right="0" w:firstLine="482"/>
        <w:textAlignment w:val="auto"/>
        <w:rPr>
          <w:rFonts w:ascii="宋体" w:hAnsi="宋体" w:eastAsia="宋体" w:cs="宋体"/>
          <w:sz w:val="24"/>
          <w:szCs w:val="24"/>
        </w:rPr>
      </w:pPr>
      <w:r>
        <w:rPr>
          <w:rFonts w:ascii="宋体" w:hAnsi="宋体" w:eastAsia="宋体" w:cs="宋体"/>
          <w:spacing w:val="-2"/>
          <w:sz w:val="24"/>
          <w:szCs w:val="24"/>
        </w:rPr>
        <w:t>2.4为保证员工食堂用餐需求，乙方应合理调配服务人员，并准时开餐，做到饭热</w:t>
      </w:r>
      <w:r>
        <w:rPr>
          <w:rFonts w:ascii="宋体" w:hAnsi="宋体" w:eastAsia="宋体" w:cs="宋体"/>
          <w:spacing w:val="-10"/>
          <w:sz w:val="24"/>
          <w:szCs w:val="24"/>
        </w:rPr>
        <w:t>菜香。</w:t>
      </w:r>
    </w:p>
    <w:p w14:paraId="31F026CB">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b/>
          <w:bCs/>
          <w:spacing w:val="-4"/>
          <w:sz w:val="24"/>
          <w:szCs w:val="24"/>
        </w:rPr>
        <w:t>3.甲方权利义务</w:t>
      </w:r>
    </w:p>
    <w:p w14:paraId="21869155">
      <w:pPr>
        <w:keepNext w:val="0"/>
        <w:keepLines w:val="0"/>
        <w:pageBreakBefore w:val="0"/>
        <w:widowControl w:val="0"/>
        <w:kinsoku/>
        <w:wordWrap/>
        <w:overflowPunct/>
        <w:topLinePunct w:val="0"/>
        <w:autoSpaceDE/>
        <w:autoSpaceDN/>
        <w:bidi w:val="0"/>
        <w:adjustRightInd/>
        <w:snapToGrid/>
        <w:spacing w:line="360" w:lineRule="auto"/>
        <w:ind w:left="0" w:right="0" w:firstLine="480"/>
        <w:textAlignment w:val="auto"/>
        <w:rPr>
          <w:rFonts w:ascii="宋体" w:hAnsi="宋体" w:eastAsia="宋体" w:cs="宋体"/>
          <w:sz w:val="24"/>
          <w:szCs w:val="24"/>
        </w:rPr>
      </w:pPr>
      <w:r>
        <w:rPr>
          <w:rFonts w:ascii="宋体" w:hAnsi="宋体" w:eastAsia="宋体" w:cs="宋体"/>
          <w:spacing w:val="-6"/>
          <w:sz w:val="24"/>
          <w:szCs w:val="24"/>
        </w:rPr>
        <w:t>3.1为乙方提供必要的工作条件，配置厨房、餐厅专用设备和设施，主要</w:t>
      </w:r>
      <w:r>
        <w:rPr>
          <w:rFonts w:ascii="宋体" w:hAnsi="宋体" w:eastAsia="宋体" w:cs="宋体"/>
          <w:spacing w:val="-7"/>
          <w:sz w:val="24"/>
          <w:szCs w:val="24"/>
        </w:rPr>
        <w:t>包括厨房</w:t>
      </w:r>
      <w:r>
        <w:rPr>
          <w:rFonts w:ascii="宋体" w:hAnsi="宋体" w:eastAsia="宋体" w:cs="宋体"/>
          <w:spacing w:val="-6"/>
          <w:sz w:val="24"/>
          <w:szCs w:val="24"/>
        </w:rPr>
        <w:t>炊事机械、灶具、餐桌椅、餐具等。所配设备物资由乙</w:t>
      </w:r>
      <w:r>
        <w:rPr>
          <w:rFonts w:ascii="宋体" w:hAnsi="宋体" w:eastAsia="宋体" w:cs="宋体"/>
          <w:spacing w:val="-7"/>
          <w:sz w:val="24"/>
          <w:szCs w:val="24"/>
        </w:rPr>
        <w:t>方在进驻时进行清点验收，并在</w:t>
      </w:r>
      <w:r>
        <w:rPr>
          <w:rFonts w:ascii="宋体" w:hAnsi="宋体" w:eastAsia="宋体" w:cs="宋体"/>
          <w:spacing w:val="-4"/>
          <w:sz w:val="24"/>
          <w:szCs w:val="24"/>
        </w:rPr>
        <w:t>甲方所列清单上签字确认。</w:t>
      </w:r>
    </w:p>
    <w:p w14:paraId="5D36D42F">
      <w:pPr>
        <w:keepNext w:val="0"/>
        <w:keepLines w:val="0"/>
        <w:pageBreakBefore w:val="0"/>
        <w:widowControl w:val="0"/>
        <w:kinsoku/>
        <w:wordWrap/>
        <w:overflowPunct/>
        <w:topLinePunct w:val="0"/>
        <w:autoSpaceDE/>
        <w:autoSpaceDN/>
        <w:bidi w:val="0"/>
        <w:adjustRightInd/>
        <w:snapToGrid/>
        <w:spacing w:line="360" w:lineRule="auto"/>
        <w:ind w:left="0" w:right="0" w:firstLine="461"/>
        <w:textAlignment w:val="auto"/>
        <w:rPr>
          <w:rFonts w:ascii="宋体" w:hAnsi="宋体" w:eastAsia="宋体" w:cs="宋体"/>
          <w:sz w:val="24"/>
          <w:szCs w:val="24"/>
        </w:rPr>
      </w:pPr>
      <w:r>
        <w:rPr>
          <w:rFonts w:ascii="宋体" w:hAnsi="宋体" w:eastAsia="宋体" w:cs="宋体"/>
          <w:spacing w:val="-7"/>
          <w:sz w:val="24"/>
          <w:szCs w:val="24"/>
        </w:rPr>
        <w:t>3.2甲方所提供服务场地只作餐厅之用途，在本合同有效</w:t>
      </w:r>
      <w:r>
        <w:rPr>
          <w:rFonts w:ascii="宋体" w:hAnsi="宋体" w:eastAsia="宋体" w:cs="宋体"/>
          <w:spacing w:val="-8"/>
          <w:sz w:val="24"/>
          <w:szCs w:val="24"/>
        </w:rPr>
        <w:t>期内，未经甲方书面同意，</w:t>
      </w:r>
      <w:r>
        <w:rPr>
          <w:rFonts w:ascii="宋体" w:hAnsi="宋体" w:eastAsia="宋体" w:cs="宋体"/>
          <w:spacing w:val="-6"/>
          <w:sz w:val="24"/>
          <w:szCs w:val="24"/>
        </w:rPr>
        <w:t>乙方不得改变餐厅的用途。</w:t>
      </w:r>
    </w:p>
    <w:p w14:paraId="6AD4AF3B">
      <w:pPr>
        <w:keepNext w:val="0"/>
        <w:keepLines w:val="0"/>
        <w:pageBreakBefore w:val="0"/>
        <w:widowControl w:val="0"/>
        <w:kinsoku/>
        <w:wordWrap/>
        <w:overflowPunct/>
        <w:topLinePunct w:val="0"/>
        <w:autoSpaceDE/>
        <w:autoSpaceDN/>
        <w:bidi w:val="0"/>
        <w:adjustRightInd/>
        <w:snapToGrid/>
        <w:spacing w:line="360" w:lineRule="auto"/>
        <w:ind w:left="0" w:right="0" w:firstLine="484"/>
        <w:textAlignment w:val="auto"/>
        <w:rPr>
          <w:rFonts w:ascii="宋体" w:hAnsi="宋体" w:eastAsia="宋体" w:cs="宋体"/>
          <w:sz w:val="24"/>
          <w:szCs w:val="24"/>
        </w:rPr>
      </w:pPr>
      <w:r>
        <w:rPr>
          <w:rFonts w:ascii="宋体" w:hAnsi="宋体" w:eastAsia="宋体" w:cs="宋体"/>
          <w:spacing w:val="-1"/>
          <w:sz w:val="24"/>
          <w:szCs w:val="24"/>
        </w:rPr>
        <w:t>3.3保证所提供餐厅具备使用功能，保证乙方进驻即可</w:t>
      </w:r>
      <w:r>
        <w:rPr>
          <w:rFonts w:ascii="宋体" w:hAnsi="宋体" w:eastAsia="宋体" w:cs="宋体"/>
          <w:spacing w:val="-2"/>
          <w:sz w:val="24"/>
          <w:szCs w:val="24"/>
        </w:rPr>
        <w:t>使用，餐厅内设施（空调、</w:t>
      </w:r>
      <w:r>
        <w:rPr>
          <w:rFonts w:ascii="宋体" w:hAnsi="宋体" w:eastAsia="宋体" w:cs="宋体"/>
          <w:spacing w:val="-5"/>
          <w:sz w:val="24"/>
          <w:szCs w:val="24"/>
        </w:rPr>
        <w:t>供暖、照明及水、电、气）齐全，并可正常使用。乙方提供餐饮服务发生的水、电、暖</w:t>
      </w:r>
      <w:r>
        <w:rPr>
          <w:rFonts w:ascii="宋体" w:hAnsi="宋体" w:eastAsia="宋体" w:cs="宋体"/>
          <w:spacing w:val="-3"/>
          <w:sz w:val="24"/>
          <w:szCs w:val="24"/>
        </w:rPr>
        <w:t>气费、空调用电费用由甲方承担。</w:t>
      </w:r>
    </w:p>
    <w:p w14:paraId="08DB7750">
      <w:pPr>
        <w:keepNext w:val="0"/>
        <w:keepLines w:val="0"/>
        <w:pageBreakBefore w:val="0"/>
        <w:widowControl w:val="0"/>
        <w:kinsoku/>
        <w:wordWrap/>
        <w:overflowPunct/>
        <w:topLinePunct w:val="0"/>
        <w:autoSpaceDE/>
        <w:autoSpaceDN/>
        <w:bidi w:val="0"/>
        <w:adjustRightInd/>
        <w:snapToGrid/>
        <w:spacing w:line="360" w:lineRule="auto"/>
        <w:ind w:left="0" w:right="0" w:firstLine="476"/>
        <w:textAlignment w:val="auto"/>
        <w:rPr>
          <w:rFonts w:ascii="宋体" w:hAnsi="宋体" w:eastAsia="宋体" w:cs="宋体"/>
          <w:sz w:val="24"/>
          <w:szCs w:val="24"/>
        </w:rPr>
      </w:pPr>
      <w:r>
        <w:rPr>
          <w:rFonts w:ascii="宋体" w:hAnsi="宋体" w:eastAsia="宋体" w:cs="宋体"/>
          <w:spacing w:val="-2"/>
          <w:sz w:val="24"/>
          <w:szCs w:val="24"/>
        </w:rPr>
        <w:t>3.4对乙方进行监督检查，同时要求乙方对违规行为进行整改。监督检查和要求整</w:t>
      </w:r>
      <w:r>
        <w:rPr>
          <w:rFonts w:ascii="宋体" w:hAnsi="宋体" w:eastAsia="宋体" w:cs="宋体"/>
          <w:spacing w:val="-7"/>
          <w:sz w:val="24"/>
          <w:szCs w:val="24"/>
        </w:rPr>
        <w:t>改范围包括但不限于：</w:t>
      </w:r>
    </w:p>
    <w:p w14:paraId="054D3456">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z w:val="24"/>
          <w:szCs w:val="24"/>
        </w:rPr>
      </w:pPr>
      <w:r>
        <w:rPr>
          <w:rFonts w:ascii="宋体" w:hAnsi="宋体" w:eastAsia="宋体" w:cs="宋体"/>
          <w:spacing w:val="-4"/>
          <w:sz w:val="24"/>
          <w:szCs w:val="24"/>
        </w:rPr>
        <w:t>（1）各岗位人员的资质、工作水平、服务质量；</w:t>
      </w:r>
    </w:p>
    <w:p w14:paraId="08659EC4">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rPr>
          <w:rFonts w:ascii="宋体" w:hAnsi="宋体" w:eastAsia="宋体" w:cs="宋体"/>
          <w:sz w:val="24"/>
          <w:szCs w:val="24"/>
        </w:rPr>
      </w:pPr>
      <w:r>
        <w:rPr>
          <w:rFonts w:ascii="宋体" w:hAnsi="宋体" w:eastAsia="宋体" w:cs="宋体"/>
          <w:spacing w:val="-5"/>
          <w:sz w:val="24"/>
          <w:szCs w:val="24"/>
        </w:rPr>
        <w:t>（2）工作环境卫生及工作人员卫生；</w:t>
      </w:r>
    </w:p>
    <w:p w14:paraId="7696B549">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z w:val="24"/>
          <w:szCs w:val="24"/>
        </w:rPr>
      </w:pPr>
      <w:r>
        <w:rPr>
          <w:rFonts w:ascii="宋体" w:hAnsi="宋体" w:eastAsia="宋体" w:cs="宋体"/>
          <w:spacing w:val="-4"/>
          <w:sz w:val="24"/>
          <w:szCs w:val="24"/>
        </w:rPr>
        <w:t>（3）食品原材料的来源和质量。</w:t>
      </w:r>
    </w:p>
    <w:p w14:paraId="1F3D0922">
      <w:pPr>
        <w:keepNext w:val="0"/>
        <w:keepLines w:val="0"/>
        <w:pageBreakBefore w:val="0"/>
        <w:widowControl w:val="0"/>
        <w:kinsoku/>
        <w:wordWrap/>
        <w:overflowPunct/>
        <w:topLinePunct w:val="0"/>
        <w:autoSpaceDE/>
        <w:autoSpaceDN/>
        <w:bidi w:val="0"/>
        <w:adjustRightInd/>
        <w:snapToGrid/>
        <w:spacing w:line="360" w:lineRule="auto"/>
        <w:ind w:left="0" w:right="0" w:firstLine="483"/>
        <w:textAlignment w:val="auto"/>
        <w:rPr>
          <w:rFonts w:ascii="宋体" w:hAnsi="宋体" w:eastAsia="宋体" w:cs="宋体"/>
          <w:sz w:val="24"/>
          <w:szCs w:val="24"/>
        </w:rPr>
      </w:pPr>
      <w:r>
        <w:rPr>
          <w:rFonts w:ascii="宋体" w:hAnsi="宋体" w:eastAsia="宋体" w:cs="宋体"/>
          <w:spacing w:val="-6"/>
          <w:sz w:val="24"/>
          <w:szCs w:val="24"/>
        </w:rPr>
        <w:t>3.5因停电、停水等原因造成餐饮服务不能按平日正常状态进行时，应提前通知乙</w:t>
      </w:r>
      <w:r>
        <w:rPr>
          <w:rFonts w:ascii="宋体" w:hAnsi="宋体" w:eastAsia="宋体" w:cs="宋体"/>
          <w:spacing w:val="-2"/>
          <w:sz w:val="24"/>
          <w:szCs w:val="24"/>
        </w:rPr>
        <w:t>方，配合乙方应采取措施，保证就餐人员的正常就餐。</w:t>
      </w:r>
    </w:p>
    <w:p w14:paraId="6D0F56CB">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rPr>
          <w:rFonts w:ascii="宋体" w:hAnsi="宋体" w:eastAsia="宋体" w:cs="宋体"/>
          <w:sz w:val="24"/>
          <w:szCs w:val="24"/>
        </w:rPr>
      </w:pPr>
      <w:r>
        <w:rPr>
          <w:rFonts w:ascii="宋体" w:hAnsi="宋体" w:eastAsia="宋体" w:cs="宋体"/>
          <w:spacing w:val="-3"/>
          <w:sz w:val="24"/>
          <w:szCs w:val="24"/>
        </w:rPr>
        <w:t>3.6甲方为乙方人员免费提供员工宿舍，但乙方须遵守甲方宿舍管理规定。</w:t>
      </w:r>
    </w:p>
    <w:p w14:paraId="5CC1A59F">
      <w:pPr>
        <w:keepNext w:val="0"/>
        <w:keepLines w:val="0"/>
        <w:pageBreakBefore w:val="0"/>
        <w:widowControl w:val="0"/>
        <w:kinsoku/>
        <w:wordWrap/>
        <w:overflowPunct/>
        <w:topLinePunct w:val="0"/>
        <w:autoSpaceDE/>
        <w:autoSpaceDN/>
        <w:bidi w:val="0"/>
        <w:adjustRightInd/>
        <w:snapToGrid/>
        <w:spacing w:line="360" w:lineRule="auto"/>
        <w:ind w:left="0" w:right="0" w:firstLine="483"/>
        <w:textAlignment w:val="auto"/>
        <w:rPr>
          <w:rFonts w:ascii="宋体" w:hAnsi="宋体" w:eastAsia="宋体" w:cs="宋体"/>
          <w:sz w:val="24"/>
          <w:szCs w:val="24"/>
        </w:rPr>
      </w:pPr>
      <w:r>
        <w:rPr>
          <w:rFonts w:ascii="宋体" w:hAnsi="宋体" w:eastAsia="宋体" w:cs="宋体"/>
          <w:spacing w:val="-2"/>
          <w:sz w:val="24"/>
          <w:szCs w:val="24"/>
        </w:rPr>
        <w:t>3.7双方共同建立食品原料出入库制度，由乙方指派专人负责每日食品原料的出入</w:t>
      </w:r>
      <w:r>
        <w:rPr>
          <w:rFonts w:ascii="宋体" w:hAnsi="宋体" w:eastAsia="宋体" w:cs="宋体"/>
          <w:spacing w:val="-1"/>
          <w:sz w:val="24"/>
          <w:szCs w:val="24"/>
        </w:rPr>
        <w:t>库登记事宜，食品原料未经登记不得出入库；甲方定期对</w:t>
      </w:r>
      <w:r>
        <w:rPr>
          <w:rFonts w:ascii="宋体" w:hAnsi="宋体" w:eastAsia="宋体" w:cs="宋体"/>
          <w:spacing w:val="-2"/>
          <w:sz w:val="24"/>
          <w:szCs w:val="24"/>
        </w:rPr>
        <w:t>此工作进行监督检查。</w:t>
      </w:r>
    </w:p>
    <w:p w14:paraId="60889891">
      <w:pPr>
        <w:keepNext w:val="0"/>
        <w:keepLines w:val="0"/>
        <w:pageBreakBefore w:val="0"/>
        <w:widowControl w:val="0"/>
        <w:kinsoku/>
        <w:wordWrap/>
        <w:overflowPunct/>
        <w:topLinePunct w:val="0"/>
        <w:autoSpaceDE/>
        <w:autoSpaceDN/>
        <w:bidi w:val="0"/>
        <w:adjustRightInd/>
        <w:snapToGrid/>
        <w:spacing w:line="360" w:lineRule="auto"/>
        <w:ind w:left="0" w:right="0" w:firstLine="484"/>
        <w:textAlignment w:val="auto"/>
        <w:rPr>
          <w:rFonts w:ascii="宋体" w:hAnsi="宋体" w:eastAsia="宋体" w:cs="宋体"/>
          <w:sz w:val="24"/>
          <w:szCs w:val="24"/>
        </w:rPr>
      </w:pPr>
      <w:r>
        <w:rPr>
          <w:rFonts w:ascii="宋体" w:hAnsi="宋体" w:eastAsia="宋体" w:cs="宋体"/>
          <w:spacing w:val="-3"/>
          <w:sz w:val="24"/>
          <w:szCs w:val="24"/>
        </w:rPr>
        <w:t>3.8甲方有权监督乙方的食材质量及使用情况，且每季度对乙方进行一次用餐人员</w:t>
      </w:r>
      <w:r>
        <w:rPr>
          <w:rFonts w:ascii="宋体" w:hAnsi="宋体" w:eastAsia="宋体" w:cs="宋体"/>
          <w:spacing w:val="-2"/>
          <w:sz w:val="24"/>
          <w:szCs w:val="24"/>
        </w:rPr>
        <w:t>满意度调查，并根据调查结果对乙方提出意见、建议和要求。</w:t>
      </w:r>
    </w:p>
    <w:p w14:paraId="3A7B2420">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ascii="宋体" w:hAnsi="宋体" w:eastAsia="宋体" w:cs="宋体"/>
          <w:sz w:val="24"/>
          <w:szCs w:val="24"/>
        </w:rPr>
      </w:pPr>
      <w:r>
        <w:rPr>
          <w:rFonts w:ascii="宋体" w:hAnsi="宋体" w:eastAsia="宋体" w:cs="宋体"/>
          <w:spacing w:val="-1"/>
          <w:sz w:val="24"/>
          <w:szCs w:val="24"/>
        </w:rPr>
        <w:t>3.9餐厅日常所需要的低值易耗品（牙签、餐巾纸、卫生</w:t>
      </w:r>
      <w:r>
        <w:rPr>
          <w:rFonts w:ascii="宋体" w:hAnsi="宋体" w:eastAsia="宋体" w:cs="宋体"/>
          <w:spacing w:val="-2"/>
          <w:sz w:val="24"/>
          <w:szCs w:val="24"/>
        </w:rPr>
        <w:t>清洁用品）由乙方提供。</w:t>
      </w:r>
    </w:p>
    <w:p w14:paraId="1F029CF9">
      <w:pPr>
        <w:keepNext w:val="0"/>
        <w:keepLines w:val="0"/>
        <w:pageBreakBefore w:val="0"/>
        <w:widowControl w:val="0"/>
        <w:kinsoku/>
        <w:wordWrap/>
        <w:overflowPunct/>
        <w:topLinePunct w:val="0"/>
        <w:autoSpaceDE/>
        <w:autoSpaceDN/>
        <w:bidi w:val="0"/>
        <w:adjustRightInd/>
        <w:snapToGrid/>
        <w:spacing w:line="360" w:lineRule="auto"/>
        <w:ind w:left="0" w:right="0" w:firstLine="482"/>
        <w:textAlignment w:val="auto"/>
        <w:rPr>
          <w:rFonts w:ascii="宋体" w:hAnsi="宋体" w:eastAsia="宋体" w:cs="宋体"/>
          <w:sz w:val="24"/>
          <w:szCs w:val="24"/>
        </w:rPr>
      </w:pPr>
      <w:r>
        <w:rPr>
          <w:rFonts w:ascii="宋体" w:hAnsi="宋体" w:eastAsia="宋体" w:cs="宋体"/>
          <w:spacing w:val="-5"/>
          <w:sz w:val="24"/>
          <w:szCs w:val="24"/>
        </w:rPr>
        <w:t>3.10甲方负责餐厅内日常运营产生烟道清洗费用、餐厅消杀灭蟑费用、垃圾处理费</w:t>
      </w:r>
      <w:r>
        <w:rPr>
          <w:rFonts w:ascii="宋体" w:hAnsi="宋体" w:eastAsia="宋体" w:cs="宋体"/>
          <w:spacing w:val="-12"/>
          <w:sz w:val="24"/>
          <w:szCs w:val="24"/>
        </w:rPr>
        <w:t>用。</w:t>
      </w:r>
    </w:p>
    <w:p w14:paraId="6297454B">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rPr>
          <w:rFonts w:ascii="宋体" w:hAnsi="宋体" w:eastAsia="宋体" w:cs="宋体"/>
          <w:sz w:val="24"/>
          <w:szCs w:val="24"/>
        </w:rPr>
      </w:pPr>
      <w:r>
        <w:rPr>
          <w:rFonts w:ascii="宋体" w:hAnsi="宋体" w:eastAsia="宋体" w:cs="宋体"/>
          <w:spacing w:val="-3"/>
          <w:sz w:val="24"/>
          <w:szCs w:val="24"/>
        </w:rPr>
        <w:t>3.11甲方因生产需要占用食堂设备和设施，乙方须积极配合。</w:t>
      </w:r>
    </w:p>
    <w:p w14:paraId="53FAEF8F">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b/>
          <w:bCs/>
          <w:spacing w:val="-3"/>
          <w:sz w:val="24"/>
          <w:szCs w:val="24"/>
        </w:rPr>
        <w:t>4.乙方权利义务</w:t>
      </w:r>
    </w:p>
    <w:p w14:paraId="16E195CD">
      <w:pPr>
        <w:keepNext w:val="0"/>
        <w:keepLines w:val="0"/>
        <w:pageBreakBefore w:val="0"/>
        <w:widowControl w:val="0"/>
        <w:kinsoku/>
        <w:wordWrap/>
        <w:overflowPunct/>
        <w:topLinePunct w:val="0"/>
        <w:autoSpaceDE/>
        <w:autoSpaceDN/>
        <w:bidi w:val="0"/>
        <w:adjustRightInd/>
        <w:snapToGrid/>
        <w:spacing w:line="360" w:lineRule="auto"/>
        <w:ind w:left="0" w:right="0" w:firstLine="476"/>
        <w:textAlignment w:val="auto"/>
        <w:rPr>
          <w:rFonts w:ascii="宋体" w:hAnsi="宋体" w:eastAsia="宋体" w:cs="宋体"/>
          <w:sz w:val="24"/>
          <w:szCs w:val="24"/>
        </w:rPr>
      </w:pPr>
      <w:r>
        <w:rPr>
          <w:rFonts w:ascii="宋体" w:hAnsi="宋体" w:eastAsia="宋体" w:cs="宋体"/>
          <w:spacing w:val="-5"/>
          <w:sz w:val="24"/>
          <w:szCs w:val="24"/>
        </w:rPr>
        <w:t>4.1按照甲方要求提供餐饮服务。未经甲方事先书面同意，不得将服务的全部或者</w:t>
      </w:r>
      <w:r>
        <w:rPr>
          <w:rFonts w:ascii="宋体" w:hAnsi="宋体" w:eastAsia="宋体" w:cs="宋体"/>
          <w:spacing w:val="-2"/>
          <w:sz w:val="24"/>
          <w:szCs w:val="24"/>
        </w:rPr>
        <w:t>部分以任何方式转让与他人；不得擅自改变餐厅用途、经营业态，不得对甲方提供的设</w:t>
      </w:r>
      <w:r>
        <w:rPr>
          <w:rFonts w:ascii="宋体" w:hAnsi="宋体" w:eastAsia="宋体" w:cs="宋体"/>
          <w:spacing w:val="-4"/>
          <w:sz w:val="24"/>
          <w:szCs w:val="24"/>
        </w:rPr>
        <w:t>备设施造成损坏或破坏。</w:t>
      </w:r>
    </w:p>
    <w:p w14:paraId="7036F834">
      <w:pPr>
        <w:keepNext w:val="0"/>
        <w:keepLines w:val="0"/>
        <w:pageBreakBefore w:val="0"/>
        <w:widowControl w:val="0"/>
        <w:kinsoku/>
        <w:wordWrap/>
        <w:overflowPunct/>
        <w:topLinePunct w:val="0"/>
        <w:autoSpaceDE/>
        <w:autoSpaceDN/>
        <w:bidi w:val="0"/>
        <w:adjustRightInd/>
        <w:snapToGrid/>
        <w:spacing w:line="360" w:lineRule="auto"/>
        <w:ind w:left="0" w:right="0" w:firstLine="476"/>
        <w:textAlignment w:val="auto"/>
        <w:rPr>
          <w:rFonts w:ascii="宋体" w:hAnsi="宋体" w:eastAsia="宋体" w:cs="宋体"/>
          <w:sz w:val="24"/>
          <w:szCs w:val="24"/>
        </w:rPr>
      </w:pPr>
      <w:r>
        <w:rPr>
          <w:rFonts w:ascii="宋体" w:hAnsi="宋体" w:eastAsia="宋体" w:cs="宋体"/>
          <w:spacing w:val="-5"/>
          <w:sz w:val="24"/>
          <w:szCs w:val="24"/>
        </w:rPr>
        <w:t>4.2负责对甲方提供的一切设施、设备的使用进行管理，对管理不当造成设备丢失</w:t>
      </w:r>
      <w:r>
        <w:rPr>
          <w:rFonts w:ascii="宋体" w:hAnsi="宋体" w:eastAsia="宋体" w:cs="宋体"/>
          <w:spacing w:val="-1"/>
          <w:sz w:val="24"/>
          <w:szCs w:val="24"/>
        </w:rPr>
        <w:t>或非正常使用造成设施、设备损坏，乙方负责修复，无法修复</w:t>
      </w:r>
      <w:r>
        <w:rPr>
          <w:rFonts w:ascii="宋体" w:hAnsi="宋体" w:eastAsia="宋体" w:cs="宋体"/>
          <w:spacing w:val="-2"/>
          <w:sz w:val="24"/>
          <w:szCs w:val="24"/>
        </w:rPr>
        <w:t>的按市场价值予以赔偿。</w:t>
      </w:r>
    </w:p>
    <w:p w14:paraId="1B8C51CD">
      <w:pPr>
        <w:keepNext w:val="0"/>
        <w:keepLines w:val="0"/>
        <w:pageBreakBefore w:val="0"/>
        <w:widowControl w:val="0"/>
        <w:kinsoku/>
        <w:wordWrap/>
        <w:overflowPunct/>
        <w:topLinePunct w:val="0"/>
        <w:autoSpaceDE/>
        <w:autoSpaceDN/>
        <w:bidi w:val="0"/>
        <w:adjustRightInd/>
        <w:snapToGrid/>
        <w:spacing w:line="360" w:lineRule="auto"/>
        <w:ind w:left="0" w:right="0" w:firstLine="476"/>
        <w:textAlignment w:val="auto"/>
        <w:rPr>
          <w:rFonts w:ascii="宋体" w:hAnsi="宋体" w:eastAsia="宋体" w:cs="宋体"/>
          <w:sz w:val="24"/>
          <w:szCs w:val="24"/>
        </w:rPr>
      </w:pPr>
      <w:r>
        <w:rPr>
          <w:rFonts w:ascii="宋体" w:hAnsi="宋体" w:eastAsia="宋体" w:cs="宋体"/>
          <w:spacing w:val="-2"/>
          <w:sz w:val="24"/>
          <w:szCs w:val="24"/>
        </w:rPr>
        <w:t>4.3乙方负责各种设备设施的日常清洁和使</w:t>
      </w:r>
      <w:r>
        <w:rPr>
          <w:rFonts w:ascii="宋体" w:hAnsi="宋体" w:eastAsia="宋体" w:cs="宋体"/>
          <w:spacing w:val="-3"/>
          <w:sz w:val="24"/>
          <w:szCs w:val="24"/>
        </w:rPr>
        <w:t>用，因人为操作因素造成设备发生故障或者其他责任事故的，由乙方自行承担。</w:t>
      </w:r>
    </w:p>
    <w:p w14:paraId="4B669A06">
      <w:pPr>
        <w:keepNext w:val="0"/>
        <w:keepLines w:val="0"/>
        <w:pageBreakBefore w:val="0"/>
        <w:widowControl w:val="0"/>
        <w:kinsoku/>
        <w:wordWrap/>
        <w:overflowPunct/>
        <w:topLinePunct w:val="0"/>
        <w:autoSpaceDE/>
        <w:autoSpaceDN/>
        <w:bidi w:val="0"/>
        <w:adjustRightInd/>
        <w:snapToGrid/>
        <w:spacing w:line="360" w:lineRule="auto"/>
        <w:ind w:left="0" w:right="0" w:firstLine="475"/>
        <w:textAlignment w:val="auto"/>
        <w:rPr>
          <w:rFonts w:ascii="宋体" w:hAnsi="宋体" w:eastAsia="宋体" w:cs="宋体"/>
          <w:sz w:val="24"/>
          <w:szCs w:val="24"/>
        </w:rPr>
      </w:pPr>
      <w:r>
        <w:rPr>
          <w:rFonts w:ascii="宋体" w:hAnsi="宋体" w:eastAsia="宋体" w:cs="宋体"/>
          <w:spacing w:val="-7"/>
          <w:sz w:val="24"/>
          <w:szCs w:val="24"/>
        </w:rPr>
        <w:t>4.4乙方应服从甲方的管理，并保持食堂内部及餐厅责任区域内卫生；不乱倒垃圾，不乱排废物。</w:t>
      </w:r>
    </w:p>
    <w:p w14:paraId="72F935D1">
      <w:pPr>
        <w:keepNext w:val="0"/>
        <w:keepLines w:val="0"/>
        <w:pageBreakBefore w:val="0"/>
        <w:widowControl w:val="0"/>
        <w:kinsoku/>
        <w:wordWrap/>
        <w:overflowPunct/>
        <w:topLinePunct w:val="0"/>
        <w:autoSpaceDE/>
        <w:autoSpaceDN/>
        <w:bidi w:val="0"/>
        <w:adjustRightInd/>
        <w:snapToGrid/>
        <w:spacing w:line="360" w:lineRule="auto"/>
        <w:ind w:left="0" w:right="0" w:firstLine="479"/>
        <w:textAlignment w:val="auto"/>
        <w:rPr>
          <w:rFonts w:ascii="宋体" w:hAnsi="宋体" w:eastAsia="宋体" w:cs="宋体"/>
          <w:sz w:val="24"/>
          <w:szCs w:val="24"/>
        </w:rPr>
      </w:pPr>
      <w:r>
        <w:rPr>
          <w:rFonts w:ascii="宋体" w:hAnsi="宋体" w:eastAsia="宋体" w:cs="宋体"/>
          <w:spacing w:val="-2"/>
          <w:sz w:val="24"/>
          <w:szCs w:val="24"/>
        </w:rPr>
        <w:t>4.5保证向甲方配备具有资质的管理和专业技能的人员，提供优质的专业服务，保证食品质量，保证本合同涉及范围的安全、消防、食品及环境卫生符合国家有关规定及标准，并承担因管理不当引发的一切责任。</w:t>
      </w:r>
    </w:p>
    <w:p w14:paraId="30C7EA8E">
      <w:pPr>
        <w:keepNext w:val="0"/>
        <w:keepLines w:val="0"/>
        <w:pageBreakBefore w:val="0"/>
        <w:widowControl w:val="0"/>
        <w:kinsoku/>
        <w:wordWrap/>
        <w:overflowPunct/>
        <w:topLinePunct w:val="0"/>
        <w:autoSpaceDE/>
        <w:autoSpaceDN/>
        <w:bidi w:val="0"/>
        <w:adjustRightInd/>
        <w:snapToGrid/>
        <w:spacing w:line="360" w:lineRule="auto"/>
        <w:ind w:left="0" w:right="0" w:firstLine="478"/>
        <w:textAlignment w:val="auto"/>
        <w:rPr>
          <w:rFonts w:ascii="宋体" w:hAnsi="宋体" w:eastAsia="宋体" w:cs="宋体"/>
          <w:sz w:val="24"/>
          <w:szCs w:val="24"/>
        </w:rPr>
      </w:pPr>
      <w:r>
        <w:rPr>
          <w:rFonts w:ascii="宋体" w:hAnsi="宋体" w:eastAsia="宋体" w:cs="宋体"/>
          <w:spacing w:val="-2"/>
          <w:sz w:val="24"/>
          <w:szCs w:val="24"/>
        </w:rPr>
        <w:t>4.6乙方员工或派遣人员必须遵守国家、政</w:t>
      </w:r>
      <w:r>
        <w:rPr>
          <w:rFonts w:ascii="宋体" w:hAnsi="宋体" w:eastAsia="宋体" w:cs="宋体"/>
          <w:spacing w:val="-3"/>
          <w:sz w:val="24"/>
          <w:szCs w:val="24"/>
        </w:rPr>
        <w:t>府及相关单位及甲方对餐饮服务的各项</w:t>
      </w:r>
      <w:r>
        <w:rPr>
          <w:rFonts w:ascii="宋体" w:hAnsi="宋体" w:eastAsia="宋体" w:cs="宋体"/>
          <w:spacing w:val="-2"/>
          <w:sz w:val="24"/>
          <w:szCs w:val="24"/>
        </w:rPr>
        <w:t>规定、标准及要求，对于甲方的合理建议，乙方应有令人满意的回应。</w:t>
      </w:r>
    </w:p>
    <w:p w14:paraId="407DF6FF">
      <w:pPr>
        <w:keepNext w:val="0"/>
        <w:keepLines w:val="0"/>
        <w:pageBreakBefore w:val="0"/>
        <w:widowControl w:val="0"/>
        <w:kinsoku/>
        <w:wordWrap/>
        <w:overflowPunct/>
        <w:topLinePunct w:val="0"/>
        <w:autoSpaceDE/>
        <w:autoSpaceDN/>
        <w:bidi w:val="0"/>
        <w:adjustRightInd/>
        <w:snapToGrid/>
        <w:spacing w:line="360" w:lineRule="auto"/>
        <w:ind w:left="0" w:right="0" w:firstLine="480"/>
        <w:textAlignment w:val="auto"/>
        <w:rPr>
          <w:rFonts w:ascii="宋体" w:hAnsi="宋体" w:eastAsia="宋体" w:cs="宋体"/>
          <w:sz w:val="24"/>
          <w:szCs w:val="24"/>
        </w:rPr>
      </w:pPr>
      <w:r>
        <w:rPr>
          <w:rFonts w:ascii="宋体" w:hAnsi="宋体" w:eastAsia="宋体" w:cs="宋体"/>
          <w:spacing w:val="-2"/>
          <w:sz w:val="24"/>
          <w:szCs w:val="24"/>
        </w:rPr>
        <w:t>4.7乙方承担其派驻人员的所有费用，做到</w:t>
      </w:r>
      <w:r>
        <w:rPr>
          <w:rFonts w:ascii="宋体" w:hAnsi="宋体" w:eastAsia="宋体" w:cs="宋体"/>
          <w:spacing w:val="-3"/>
          <w:sz w:val="24"/>
          <w:szCs w:val="24"/>
        </w:rPr>
        <w:t>及时支付，不得无故拖欠。因该费用产</w:t>
      </w:r>
      <w:r>
        <w:rPr>
          <w:rFonts w:ascii="宋体" w:hAnsi="宋体" w:eastAsia="宋体" w:cs="宋体"/>
          <w:spacing w:val="-2"/>
          <w:sz w:val="24"/>
          <w:szCs w:val="24"/>
        </w:rPr>
        <w:t>生纠纷对甲方造成影响的，乙方应负责采取补救措施，消除影响，恢复甲方名誉，并赔</w:t>
      </w:r>
      <w:r>
        <w:rPr>
          <w:rFonts w:ascii="宋体" w:hAnsi="宋体" w:eastAsia="宋体" w:cs="宋体"/>
          <w:spacing w:val="-4"/>
          <w:sz w:val="24"/>
          <w:szCs w:val="24"/>
        </w:rPr>
        <w:t>偿甲方因此造成的损失。</w:t>
      </w:r>
    </w:p>
    <w:p w14:paraId="65CA5C0C">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ascii="宋体" w:hAnsi="宋体" w:eastAsia="宋体" w:cs="宋体"/>
          <w:sz w:val="24"/>
          <w:szCs w:val="24"/>
        </w:rPr>
      </w:pPr>
      <w:r>
        <w:rPr>
          <w:rFonts w:ascii="宋体" w:hAnsi="宋体" w:eastAsia="宋体" w:cs="宋体"/>
          <w:spacing w:val="-2"/>
          <w:sz w:val="24"/>
          <w:szCs w:val="24"/>
        </w:rPr>
        <w:t>4.8执行甲方有关规章制度，包括但不限于消防安全规定、停车场管理规定、环境</w:t>
      </w:r>
    </w:p>
    <w:p w14:paraId="2B3DAB3D">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sectPr>
          <w:headerReference r:id="rId11" w:type="default"/>
          <w:footerReference r:id="rId12" w:type="default"/>
          <w:pgSz w:w="11907" w:h="16840"/>
          <w:pgMar w:top="1136" w:right="1067" w:bottom="1186" w:left="1672" w:header="859" w:footer="952" w:gutter="0"/>
          <w:pgNumType w:fmt="decimal"/>
          <w:cols w:space="720" w:num="1"/>
        </w:sectPr>
      </w:pPr>
    </w:p>
    <w:p w14:paraId="236E1776">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spacing w:val="-2"/>
          <w:sz w:val="24"/>
          <w:szCs w:val="24"/>
        </w:rPr>
        <w:t>卫生管理规定。运货（包括垃圾）按甲方单位指定的通道运送，并保证在运输过程中保</w:t>
      </w:r>
      <w:r>
        <w:rPr>
          <w:rFonts w:ascii="宋体" w:hAnsi="宋体" w:eastAsia="宋体" w:cs="宋体"/>
          <w:spacing w:val="-7"/>
          <w:sz w:val="24"/>
          <w:szCs w:val="24"/>
        </w:rPr>
        <w:t>持地面清洁。</w:t>
      </w:r>
    </w:p>
    <w:p w14:paraId="564C7B5F">
      <w:pPr>
        <w:keepNext w:val="0"/>
        <w:keepLines w:val="0"/>
        <w:pageBreakBefore w:val="0"/>
        <w:widowControl w:val="0"/>
        <w:kinsoku/>
        <w:wordWrap/>
        <w:overflowPunct/>
        <w:topLinePunct w:val="0"/>
        <w:autoSpaceDE/>
        <w:autoSpaceDN/>
        <w:bidi w:val="0"/>
        <w:adjustRightInd/>
        <w:snapToGrid/>
        <w:spacing w:line="360" w:lineRule="auto"/>
        <w:ind w:left="0" w:right="0" w:firstLine="479"/>
        <w:textAlignment w:val="auto"/>
        <w:rPr>
          <w:rFonts w:ascii="宋体" w:hAnsi="宋体" w:eastAsia="宋体" w:cs="宋体"/>
          <w:sz w:val="24"/>
          <w:szCs w:val="24"/>
        </w:rPr>
      </w:pPr>
      <w:r>
        <w:rPr>
          <w:rFonts w:ascii="宋体" w:hAnsi="宋体" w:eastAsia="宋体" w:cs="宋体"/>
          <w:spacing w:val="-5"/>
          <w:sz w:val="24"/>
          <w:szCs w:val="24"/>
        </w:rPr>
        <w:t>4.9积极配合甲方监管人员进行监督检查工作，对甲方监管人员检查中存在的问题，</w:t>
      </w:r>
      <w:r>
        <w:rPr>
          <w:rFonts w:ascii="宋体" w:hAnsi="宋体" w:eastAsia="宋体" w:cs="宋体"/>
          <w:spacing w:val="-7"/>
          <w:sz w:val="24"/>
          <w:szCs w:val="24"/>
        </w:rPr>
        <w:t>应立即改进。</w:t>
      </w:r>
    </w:p>
    <w:p w14:paraId="0F27C9FD">
      <w:pPr>
        <w:keepNext w:val="0"/>
        <w:keepLines w:val="0"/>
        <w:pageBreakBefore w:val="0"/>
        <w:widowControl w:val="0"/>
        <w:kinsoku/>
        <w:wordWrap/>
        <w:overflowPunct/>
        <w:topLinePunct w:val="0"/>
        <w:autoSpaceDE/>
        <w:autoSpaceDN/>
        <w:bidi w:val="0"/>
        <w:adjustRightInd/>
        <w:snapToGrid/>
        <w:spacing w:line="360" w:lineRule="auto"/>
        <w:ind w:left="0" w:right="0" w:firstLine="480"/>
        <w:textAlignment w:val="auto"/>
        <w:rPr>
          <w:rFonts w:ascii="宋体" w:hAnsi="宋体" w:eastAsia="宋体" w:cs="宋体"/>
          <w:sz w:val="24"/>
          <w:szCs w:val="24"/>
        </w:rPr>
      </w:pPr>
      <w:r>
        <w:rPr>
          <w:rFonts w:ascii="宋体" w:hAnsi="宋体" w:eastAsia="宋体" w:cs="宋体"/>
          <w:spacing w:val="-3"/>
          <w:sz w:val="24"/>
          <w:szCs w:val="24"/>
        </w:rPr>
        <w:t>4.10保证在遇到停电、停水等影响正常餐饮服务的</w:t>
      </w:r>
      <w:r>
        <w:rPr>
          <w:rFonts w:ascii="宋体" w:hAnsi="宋体" w:eastAsia="宋体" w:cs="宋体"/>
          <w:spacing w:val="-4"/>
          <w:sz w:val="24"/>
          <w:szCs w:val="24"/>
        </w:rPr>
        <w:t>情况时积极配合甲方采取有效措</w:t>
      </w:r>
      <w:r>
        <w:rPr>
          <w:rFonts w:ascii="宋体" w:hAnsi="宋体" w:eastAsia="宋体" w:cs="宋体"/>
          <w:spacing w:val="-5"/>
          <w:sz w:val="24"/>
          <w:szCs w:val="24"/>
        </w:rPr>
        <w:t>施，保证员工用餐。</w:t>
      </w:r>
    </w:p>
    <w:p w14:paraId="2138BCFD">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ascii="宋体" w:hAnsi="宋体" w:eastAsia="宋体" w:cs="宋体"/>
          <w:sz w:val="24"/>
          <w:szCs w:val="24"/>
        </w:rPr>
      </w:pPr>
      <w:r>
        <w:rPr>
          <w:rFonts w:ascii="宋体" w:hAnsi="宋体" w:eastAsia="宋体" w:cs="宋体"/>
          <w:spacing w:val="-1"/>
          <w:sz w:val="24"/>
          <w:szCs w:val="24"/>
        </w:rPr>
        <w:t>4.11对餐饮用具要按规定消毒，对由此引发的卫生事故</w:t>
      </w:r>
      <w:r>
        <w:rPr>
          <w:rFonts w:ascii="宋体" w:hAnsi="宋体" w:eastAsia="宋体" w:cs="宋体"/>
          <w:spacing w:val="-2"/>
          <w:sz w:val="24"/>
          <w:szCs w:val="24"/>
        </w:rPr>
        <w:t>乙方负全部责任。</w:t>
      </w:r>
    </w:p>
    <w:p w14:paraId="3398E47A">
      <w:pPr>
        <w:keepNext w:val="0"/>
        <w:keepLines w:val="0"/>
        <w:pageBreakBefore w:val="0"/>
        <w:widowControl w:val="0"/>
        <w:kinsoku/>
        <w:wordWrap/>
        <w:overflowPunct/>
        <w:topLinePunct w:val="0"/>
        <w:autoSpaceDE/>
        <w:autoSpaceDN/>
        <w:bidi w:val="0"/>
        <w:adjustRightInd/>
        <w:snapToGrid/>
        <w:spacing w:line="360" w:lineRule="auto"/>
        <w:ind w:left="0" w:right="0" w:firstLine="475"/>
        <w:textAlignment w:val="auto"/>
        <w:rPr>
          <w:rFonts w:ascii="宋体" w:hAnsi="宋体" w:eastAsia="宋体" w:cs="宋体"/>
          <w:sz w:val="24"/>
          <w:szCs w:val="24"/>
        </w:rPr>
      </w:pPr>
      <w:r>
        <w:rPr>
          <w:rFonts w:ascii="宋体" w:hAnsi="宋体" w:eastAsia="宋体" w:cs="宋体"/>
          <w:spacing w:val="-3"/>
          <w:sz w:val="24"/>
          <w:szCs w:val="24"/>
        </w:rPr>
        <w:t>4.12积极配合甲方针对餐饮服务情况在用餐人员中进</w:t>
      </w:r>
      <w:r>
        <w:rPr>
          <w:rFonts w:ascii="宋体" w:hAnsi="宋体" w:eastAsia="宋体" w:cs="宋体"/>
          <w:spacing w:val="-4"/>
          <w:sz w:val="24"/>
          <w:szCs w:val="24"/>
        </w:rPr>
        <w:t>行满意度调查，并根据甲方意</w:t>
      </w:r>
      <w:r>
        <w:rPr>
          <w:rFonts w:ascii="宋体" w:hAnsi="宋体" w:eastAsia="宋体" w:cs="宋体"/>
          <w:spacing w:val="-3"/>
          <w:sz w:val="24"/>
          <w:szCs w:val="24"/>
        </w:rPr>
        <w:t>见、建议和要求对餐饮服务作出相应调整。</w:t>
      </w:r>
    </w:p>
    <w:p w14:paraId="29C6CE2E">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rPr>
          <w:rFonts w:ascii="宋体" w:hAnsi="宋体" w:eastAsia="宋体" w:cs="宋体"/>
          <w:sz w:val="24"/>
          <w:szCs w:val="24"/>
        </w:rPr>
      </w:pPr>
      <w:r>
        <w:rPr>
          <w:rFonts w:ascii="宋体" w:hAnsi="宋体" w:eastAsia="宋体" w:cs="宋体"/>
          <w:spacing w:val="-3"/>
          <w:sz w:val="24"/>
          <w:szCs w:val="24"/>
        </w:rPr>
        <w:t>4.13向甲方提供餐饮服务人员的健康证和各类上岗证复印件。</w:t>
      </w:r>
    </w:p>
    <w:p w14:paraId="4D576D4A">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ascii="宋体" w:hAnsi="宋体" w:eastAsia="宋体" w:cs="宋体"/>
          <w:sz w:val="24"/>
          <w:szCs w:val="24"/>
        </w:rPr>
      </w:pPr>
      <w:r>
        <w:rPr>
          <w:rFonts w:ascii="宋体" w:hAnsi="宋体" w:eastAsia="宋体" w:cs="宋体"/>
          <w:spacing w:val="-2"/>
          <w:sz w:val="24"/>
          <w:szCs w:val="24"/>
        </w:rPr>
        <w:t>4.14乙方及派驻服务人员使用水、电、燃气、空调等应保持节约，避免</w:t>
      </w:r>
      <w:r>
        <w:rPr>
          <w:rFonts w:ascii="宋体" w:hAnsi="宋体" w:eastAsia="宋体" w:cs="宋体"/>
          <w:spacing w:val="-3"/>
          <w:sz w:val="24"/>
          <w:szCs w:val="24"/>
        </w:rPr>
        <w:t>浪费。</w:t>
      </w:r>
    </w:p>
    <w:p w14:paraId="2CF9454C">
      <w:pPr>
        <w:keepNext w:val="0"/>
        <w:keepLines w:val="0"/>
        <w:pageBreakBefore w:val="0"/>
        <w:widowControl w:val="0"/>
        <w:kinsoku/>
        <w:wordWrap/>
        <w:overflowPunct/>
        <w:topLinePunct w:val="0"/>
        <w:autoSpaceDE/>
        <w:autoSpaceDN/>
        <w:bidi w:val="0"/>
        <w:adjustRightInd/>
        <w:snapToGrid/>
        <w:spacing w:line="360" w:lineRule="auto"/>
        <w:ind w:left="0" w:right="0" w:firstLine="478"/>
        <w:textAlignment w:val="auto"/>
        <w:rPr>
          <w:rFonts w:ascii="宋体" w:hAnsi="宋体" w:eastAsia="宋体" w:cs="宋体"/>
          <w:sz w:val="24"/>
          <w:szCs w:val="24"/>
        </w:rPr>
      </w:pPr>
      <w:r>
        <w:rPr>
          <w:rFonts w:ascii="宋体" w:hAnsi="宋体" w:eastAsia="宋体" w:cs="宋体"/>
          <w:spacing w:val="-4"/>
          <w:sz w:val="24"/>
          <w:szCs w:val="24"/>
        </w:rPr>
        <w:t>4.15乙方自行承担餐厅经营产生的燃气费用，乙方向甲方缴纳的，从乙方应结款项</w:t>
      </w:r>
      <w:r>
        <w:rPr>
          <w:rFonts w:ascii="宋体" w:hAnsi="宋体" w:eastAsia="宋体" w:cs="宋体"/>
          <w:spacing w:val="-2"/>
          <w:sz w:val="24"/>
          <w:szCs w:val="24"/>
        </w:rPr>
        <w:t>中扣除，甲方向乙方开具合法有效的财务结算凭证；乙方直接向燃气公司缴纳的，甲方</w:t>
      </w:r>
      <w:r>
        <w:rPr>
          <w:rFonts w:ascii="宋体" w:hAnsi="宋体" w:eastAsia="宋体" w:cs="宋体"/>
          <w:spacing w:val="-3"/>
          <w:sz w:val="24"/>
          <w:szCs w:val="24"/>
        </w:rPr>
        <w:t>协助乙方办理开具乙方抬头发票的相关手续。</w:t>
      </w:r>
    </w:p>
    <w:p w14:paraId="026A399F">
      <w:pPr>
        <w:keepNext w:val="0"/>
        <w:keepLines w:val="0"/>
        <w:pageBreakBefore w:val="0"/>
        <w:widowControl w:val="0"/>
        <w:kinsoku/>
        <w:wordWrap/>
        <w:overflowPunct/>
        <w:topLinePunct w:val="0"/>
        <w:autoSpaceDE/>
        <w:autoSpaceDN/>
        <w:bidi w:val="0"/>
        <w:adjustRightInd/>
        <w:snapToGrid/>
        <w:spacing w:line="360" w:lineRule="auto"/>
        <w:ind w:left="0" w:right="0" w:firstLine="480"/>
        <w:textAlignment w:val="auto"/>
        <w:rPr>
          <w:rFonts w:ascii="宋体" w:hAnsi="宋体" w:eastAsia="宋体" w:cs="宋体"/>
          <w:sz w:val="24"/>
          <w:szCs w:val="24"/>
        </w:rPr>
      </w:pPr>
      <w:r>
        <w:rPr>
          <w:rFonts w:ascii="宋体" w:hAnsi="宋体" w:eastAsia="宋体" w:cs="宋体"/>
          <w:spacing w:val="-4"/>
          <w:sz w:val="24"/>
          <w:szCs w:val="24"/>
        </w:rPr>
        <w:t>4.16乙方要按照《北京市财政局关于做好各区政府采购脱贫地区</w:t>
      </w:r>
      <w:r>
        <w:rPr>
          <w:rFonts w:ascii="宋体" w:hAnsi="宋体" w:eastAsia="宋体" w:cs="宋体"/>
          <w:spacing w:val="-5"/>
          <w:sz w:val="24"/>
          <w:szCs w:val="24"/>
        </w:rPr>
        <w:t>农副产品工作的通</w:t>
      </w:r>
      <w:r>
        <w:rPr>
          <w:rFonts w:ascii="宋体" w:hAnsi="宋体" w:eastAsia="宋体" w:cs="宋体"/>
          <w:spacing w:val="1"/>
          <w:sz w:val="24"/>
          <w:szCs w:val="24"/>
        </w:rPr>
        <w:t>知》文件政策要求，确定不低于30%的预留比例份额和具体采购执行主体，并在“832</w:t>
      </w:r>
      <w:r>
        <w:rPr>
          <w:rFonts w:ascii="宋体" w:hAnsi="宋体" w:eastAsia="宋体" w:cs="宋体"/>
          <w:spacing w:val="-2"/>
          <w:sz w:val="24"/>
          <w:szCs w:val="24"/>
        </w:rPr>
        <w:t>平台”采购人管理系统为具体采购执行主体开通交易账号。</w:t>
      </w:r>
    </w:p>
    <w:p w14:paraId="6346BB5E">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b/>
          <w:bCs/>
          <w:spacing w:val="-3"/>
          <w:sz w:val="24"/>
          <w:szCs w:val="24"/>
        </w:rPr>
        <w:t>5.合同价款及财务结算</w:t>
      </w:r>
    </w:p>
    <w:p w14:paraId="1EE824C9">
      <w:pPr>
        <w:keepNext w:val="0"/>
        <w:keepLines w:val="0"/>
        <w:pageBreakBefore w:val="0"/>
        <w:widowControl w:val="0"/>
        <w:kinsoku/>
        <w:wordWrap/>
        <w:overflowPunct/>
        <w:topLinePunct w:val="0"/>
        <w:autoSpaceDE/>
        <w:autoSpaceDN/>
        <w:bidi w:val="0"/>
        <w:adjustRightInd/>
        <w:snapToGrid/>
        <w:spacing w:line="360" w:lineRule="auto"/>
        <w:ind w:left="0" w:right="0" w:firstLine="482"/>
        <w:textAlignment w:val="auto"/>
        <w:rPr>
          <w:rFonts w:ascii="宋体" w:hAnsi="宋体" w:eastAsia="宋体" w:cs="宋体"/>
          <w:sz w:val="24"/>
          <w:szCs w:val="24"/>
        </w:rPr>
      </w:pPr>
      <w:r>
        <w:rPr>
          <w:rFonts w:ascii="宋体" w:hAnsi="宋体" w:eastAsia="宋体" w:cs="宋体"/>
          <w:spacing w:val="-1"/>
          <w:sz w:val="24"/>
          <w:szCs w:val="24"/>
        </w:rPr>
        <w:t>5.1乙方为甲方食堂提供本合同约定的餐饮服务，甲方向乙方支付服务管理费及用</w:t>
      </w:r>
      <w:r>
        <w:rPr>
          <w:rFonts w:ascii="宋体" w:hAnsi="宋体" w:eastAsia="宋体" w:cs="宋体"/>
          <w:spacing w:val="-7"/>
          <w:sz w:val="24"/>
          <w:szCs w:val="24"/>
        </w:rPr>
        <w:t>餐人员餐费。</w:t>
      </w:r>
    </w:p>
    <w:p w14:paraId="54E4F400">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ascii="宋体" w:hAnsi="宋体" w:eastAsia="宋体" w:cs="宋体"/>
          <w:sz w:val="24"/>
          <w:szCs w:val="24"/>
        </w:rPr>
      </w:pPr>
      <w:r>
        <w:rPr>
          <w:rFonts w:ascii="宋体" w:hAnsi="宋体" w:eastAsia="宋体" w:cs="宋体"/>
          <w:spacing w:val="-2"/>
          <w:sz w:val="24"/>
          <w:szCs w:val="24"/>
        </w:rPr>
        <w:t>5.2服务管理费及其结算</w:t>
      </w:r>
    </w:p>
    <w:p w14:paraId="487BC8E0">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ascii="宋体" w:hAnsi="宋体" w:eastAsia="宋体" w:cs="宋体"/>
          <w:sz w:val="24"/>
          <w:szCs w:val="24"/>
        </w:rPr>
      </w:pPr>
      <w:r>
        <w:rPr>
          <w:rFonts w:ascii="宋体" w:hAnsi="宋体" w:eastAsia="宋体" w:cs="宋体"/>
          <w:spacing w:val="-1"/>
          <w:sz w:val="24"/>
          <w:szCs w:val="24"/>
        </w:rPr>
        <w:t>（1）服务管理费：</w:t>
      </w:r>
      <w:r>
        <w:rPr>
          <w:rFonts w:ascii="宋体" w:hAnsi="宋体" w:eastAsia="宋体" w:cs="宋体"/>
          <w:spacing w:val="-1"/>
          <w:sz w:val="24"/>
          <w:szCs w:val="24"/>
          <w:u w:val="single" w:color="auto"/>
        </w:rPr>
        <w:t>¥</w:t>
      </w:r>
      <w:r>
        <w:rPr>
          <w:rFonts w:hint="eastAsia" w:ascii="宋体" w:hAnsi="宋体" w:cs="宋体"/>
          <w:spacing w:val="-1"/>
          <w:sz w:val="24"/>
          <w:szCs w:val="24"/>
          <w:u w:val="single" w:color="auto"/>
          <w:lang w:val="en-US" w:eastAsia="zh-CN"/>
        </w:rPr>
        <w:t xml:space="preserve">    </w:t>
      </w:r>
      <w:r>
        <w:rPr>
          <w:rFonts w:ascii="宋体" w:hAnsi="宋体" w:eastAsia="宋体" w:cs="宋体"/>
          <w:spacing w:val="-1"/>
          <w:sz w:val="24"/>
          <w:szCs w:val="24"/>
          <w:u w:val="single" w:color="auto"/>
        </w:rPr>
        <w:t>元，大写：</w:t>
      </w:r>
      <w:r>
        <w:rPr>
          <w:rFonts w:hint="eastAsia" w:ascii="宋体" w:hAnsi="宋体" w:cs="宋体"/>
          <w:spacing w:val="-1"/>
          <w:sz w:val="24"/>
          <w:szCs w:val="24"/>
          <w:u w:val="single" w:color="auto"/>
          <w:lang w:val="en-US" w:eastAsia="zh-CN"/>
        </w:rPr>
        <w:t xml:space="preserve">    </w:t>
      </w:r>
      <w:r>
        <w:rPr>
          <w:rFonts w:ascii="宋体" w:hAnsi="宋体" w:eastAsia="宋体" w:cs="宋体"/>
          <w:spacing w:val="-1"/>
          <w:sz w:val="24"/>
          <w:szCs w:val="24"/>
          <w:u w:val="single" w:color="auto"/>
        </w:rPr>
        <w:t>整。</w:t>
      </w:r>
    </w:p>
    <w:p w14:paraId="729058A1">
      <w:pPr>
        <w:keepNext w:val="0"/>
        <w:keepLines w:val="0"/>
        <w:pageBreakBefore w:val="0"/>
        <w:widowControl w:val="0"/>
        <w:kinsoku/>
        <w:wordWrap/>
        <w:overflowPunct/>
        <w:topLinePunct w:val="0"/>
        <w:autoSpaceDE/>
        <w:autoSpaceDN/>
        <w:bidi w:val="0"/>
        <w:adjustRightInd/>
        <w:snapToGrid/>
        <w:spacing w:line="360" w:lineRule="auto"/>
        <w:ind w:left="0" w:right="0" w:firstLine="486" w:firstLineChars="201"/>
        <w:textAlignment w:val="auto"/>
        <w:rPr>
          <w:rFonts w:ascii="宋体" w:hAnsi="宋体" w:eastAsia="宋体" w:cs="宋体"/>
          <w:sz w:val="24"/>
          <w:szCs w:val="24"/>
        </w:rPr>
      </w:pPr>
      <w:r>
        <w:rPr>
          <w:rFonts w:ascii="宋体" w:hAnsi="宋体" w:eastAsia="宋体" w:cs="宋体"/>
          <w:spacing w:val="1"/>
          <w:sz w:val="24"/>
          <w:szCs w:val="24"/>
        </w:rPr>
        <w:t>（2）费用结算：前款约定费用由甲方按季度向乙方支付，每季度初乙方向甲方开具服</w:t>
      </w:r>
      <w:r>
        <w:rPr>
          <w:rFonts w:ascii="宋体" w:hAnsi="宋体" w:eastAsia="宋体" w:cs="宋体"/>
          <w:spacing w:val="-4"/>
          <w:sz w:val="24"/>
          <w:szCs w:val="24"/>
        </w:rPr>
        <w:t>务费增值税普通发票，甲方在当季度第一个15日前完成支付</w:t>
      </w:r>
      <w:r>
        <w:rPr>
          <w:rFonts w:ascii="宋体" w:hAnsi="宋体" w:eastAsia="宋体" w:cs="宋体"/>
          <w:spacing w:val="-13"/>
          <w:sz w:val="24"/>
          <w:szCs w:val="24"/>
        </w:rPr>
        <w:t>；（</w:t>
      </w:r>
      <w:r>
        <w:rPr>
          <w:rFonts w:ascii="宋体" w:hAnsi="宋体" w:eastAsia="宋体" w:cs="宋体"/>
          <w:spacing w:val="-4"/>
          <w:sz w:val="24"/>
          <w:szCs w:val="24"/>
        </w:rPr>
        <w:t>甲方在202</w:t>
      </w:r>
      <w:r>
        <w:rPr>
          <w:rFonts w:hint="eastAsia" w:ascii="宋体" w:hAnsi="宋体" w:eastAsia="宋体" w:cs="宋体"/>
          <w:spacing w:val="-4"/>
          <w:sz w:val="24"/>
          <w:szCs w:val="24"/>
          <w:lang w:val="en-US" w:eastAsia="zh-CN"/>
        </w:rPr>
        <w:t>6</w:t>
      </w:r>
      <w:r>
        <w:rPr>
          <w:rFonts w:ascii="宋体" w:hAnsi="宋体" w:eastAsia="宋体" w:cs="宋体"/>
          <w:spacing w:val="-4"/>
          <w:sz w:val="24"/>
          <w:szCs w:val="24"/>
        </w:rPr>
        <w:t>年当季度</w:t>
      </w:r>
      <w:r>
        <w:rPr>
          <w:rFonts w:ascii="宋体" w:hAnsi="宋体" w:eastAsia="宋体" w:cs="宋体"/>
          <w:spacing w:val="-8"/>
          <w:sz w:val="24"/>
          <w:szCs w:val="24"/>
        </w:rPr>
        <w:t>第一个月15日前完成支付，202</w:t>
      </w:r>
      <w:r>
        <w:rPr>
          <w:rFonts w:hint="eastAsia" w:ascii="宋体" w:hAnsi="宋体" w:eastAsia="宋体" w:cs="宋体"/>
          <w:spacing w:val="-8"/>
          <w:sz w:val="24"/>
          <w:szCs w:val="24"/>
          <w:lang w:val="en-US" w:eastAsia="zh-CN"/>
        </w:rPr>
        <w:t>7</w:t>
      </w:r>
      <w:r>
        <w:rPr>
          <w:rFonts w:ascii="宋体" w:hAnsi="宋体" w:eastAsia="宋体" w:cs="宋体"/>
          <w:spacing w:val="-8"/>
          <w:sz w:val="24"/>
          <w:szCs w:val="24"/>
        </w:rPr>
        <w:t>年第一季度服务费在202</w:t>
      </w:r>
      <w:r>
        <w:rPr>
          <w:rFonts w:hint="eastAsia" w:ascii="宋体" w:hAnsi="宋体" w:eastAsia="宋体" w:cs="宋体"/>
          <w:spacing w:val="-8"/>
          <w:sz w:val="24"/>
          <w:szCs w:val="24"/>
          <w:lang w:val="en-US" w:eastAsia="zh-CN"/>
        </w:rPr>
        <w:t>6</w:t>
      </w:r>
      <w:r>
        <w:rPr>
          <w:rFonts w:ascii="宋体" w:hAnsi="宋体" w:eastAsia="宋体" w:cs="宋体"/>
          <w:spacing w:val="-8"/>
          <w:sz w:val="24"/>
          <w:szCs w:val="24"/>
        </w:rPr>
        <w:t>年11月15</w:t>
      </w:r>
      <w:r>
        <w:rPr>
          <w:rFonts w:ascii="宋体" w:hAnsi="宋体" w:eastAsia="宋体" w:cs="宋体"/>
          <w:spacing w:val="-9"/>
          <w:sz w:val="24"/>
          <w:szCs w:val="24"/>
        </w:rPr>
        <w:t>日前支付并</w:t>
      </w:r>
      <w:r>
        <w:rPr>
          <w:rFonts w:hint="eastAsia" w:ascii="宋体" w:hAnsi="宋体" w:cs="宋体"/>
          <w:spacing w:val="-9"/>
          <w:sz w:val="24"/>
          <w:szCs w:val="24"/>
          <w:lang w:eastAsia="zh-CN"/>
        </w:rPr>
        <w:t>由乙方</w:t>
      </w:r>
      <w:r>
        <w:rPr>
          <w:rFonts w:ascii="宋体" w:hAnsi="宋体" w:eastAsia="宋体" w:cs="宋体"/>
          <w:spacing w:val="-9"/>
          <w:sz w:val="24"/>
          <w:szCs w:val="24"/>
        </w:rPr>
        <w:t>缴纳</w:t>
      </w:r>
      <w:r>
        <w:rPr>
          <w:rFonts w:ascii="宋体" w:hAnsi="宋体" w:eastAsia="宋体" w:cs="宋体"/>
          <w:spacing w:val="-2"/>
          <w:sz w:val="24"/>
          <w:szCs w:val="24"/>
        </w:rPr>
        <w:t>履约保证金6万元）甲方在本合同期内每季度支付</w:t>
      </w:r>
      <w:r>
        <w:rPr>
          <w:rFonts w:ascii="宋体" w:hAnsi="宋体" w:eastAsia="宋体" w:cs="宋体"/>
          <w:spacing w:val="-2"/>
          <w:sz w:val="24"/>
          <w:szCs w:val="24"/>
          <w:u w:val="single" w:color="auto"/>
        </w:rPr>
        <w:t>¥</w:t>
      </w:r>
      <w:r>
        <w:rPr>
          <w:rFonts w:hint="eastAsia" w:ascii="宋体" w:hAnsi="宋体" w:cs="宋体"/>
          <w:spacing w:val="-2"/>
          <w:sz w:val="24"/>
          <w:szCs w:val="24"/>
          <w:u w:val="single"/>
          <w:lang w:val="en-US" w:eastAsia="zh-CN"/>
        </w:rPr>
        <w:t xml:space="preserve">    </w:t>
      </w:r>
      <w:r>
        <w:rPr>
          <w:rFonts w:ascii="宋体" w:hAnsi="宋体" w:eastAsia="宋体" w:cs="宋体"/>
          <w:spacing w:val="-2"/>
          <w:sz w:val="24"/>
          <w:szCs w:val="24"/>
        </w:rPr>
        <w:t>元，大写：</w:t>
      </w:r>
      <w:r>
        <w:rPr>
          <w:rFonts w:hint="eastAsia" w:ascii="宋体" w:hAnsi="宋体" w:cs="宋体"/>
          <w:spacing w:val="-2"/>
          <w:sz w:val="24"/>
          <w:szCs w:val="24"/>
          <w:u w:val="single"/>
          <w:lang w:val="en-US" w:eastAsia="zh-CN"/>
        </w:rPr>
        <w:t xml:space="preserve">    </w:t>
      </w:r>
      <w:r>
        <w:rPr>
          <w:rFonts w:ascii="宋体" w:hAnsi="宋体" w:eastAsia="宋体" w:cs="宋体"/>
          <w:spacing w:val="-3"/>
          <w:sz w:val="24"/>
          <w:szCs w:val="24"/>
        </w:rPr>
        <w:t>元整。</w:t>
      </w:r>
    </w:p>
    <w:p w14:paraId="5C5A511D">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b/>
          <w:bCs/>
          <w:spacing w:val="-4"/>
          <w:sz w:val="24"/>
          <w:szCs w:val="24"/>
        </w:rPr>
        <w:t>6.食品安全规定</w:t>
      </w:r>
    </w:p>
    <w:p w14:paraId="279E97BF">
      <w:pPr>
        <w:keepNext w:val="0"/>
        <w:keepLines w:val="0"/>
        <w:pageBreakBefore w:val="0"/>
        <w:widowControl w:val="0"/>
        <w:kinsoku/>
        <w:wordWrap/>
        <w:overflowPunct/>
        <w:topLinePunct w:val="0"/>
        <w:autoSpaceDE/>
        <w:autoSpaceDN/>
        <w:bidi w:val="0"/>
        <w:adjustRightInd/>
        <w:snapToGrid/>
        <w:spacing w:line="360" w:lineRule="auto"/>
        <w:ind w:left="0" w:right="0" w:firstLine="480"/>
        <w:textAlignment w:val="auto"/>
        <w:rPr>
          <w:rFonts w:ascii="宋体" w:hAnsi="宋体" w:eastAsia="宋体" w:cs="宋体"/>
          <w:sz w:val="24"/>
          <w:szCs w:val="24"/>
        </w:rPr>
      </w:pPr>
      <w:r>
        <w:rPr>
          <w:rFonts w:ascii="宋体" w:hAnsi="宋体" w:eastAsia="宋体" w:cs="宋体"/>
          <w:spacing w:val="-1"/>
          <w:sz w:val="24"/>
          <w:szCs w:val="24"/>
        </w:rPr>
        <w:t>6.1乙方在餐厅提供的餐饮服务，必须严格遵守国家《食品安全法》及其他法律法</w:t>
      </w:r>
      <w:r>
        <w:rPr>
          <w:rFonts w:ascii="宋体" w:hAnsi="宋体" w:eastAsia="宋体" w:cs="宋体"/>
          <w:spacing w:val="-9"/>
          <w:sz w:val="24"/>
          <w:szCs w:val="24"/>
        </w:rPr>
        <w:t>规规定。</w:t>
      </w:r>
    </w:p>
    <w:p w14:paraId="4092B051">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rPr>
          <w:rFonts w:ascii="宋体" w:hAnsi="宋体" w:eastAsia="宋体" w:cs="宋体"/>
          <w:sz w:val="24"/>
          <w:szCs w:val="24"/>
        </w:rPr>
      </w:pPr>
      <w:r>
        <w:rPr>
          <w:rFonts w:ascii="宋体" w:hAnsi="宋体" w:eastAsia="宋体" w:cs="宋体"/>
          <w:spacing w:val="-5"/>
          <w:sz w:val="24"/>
          <w:szCs w:val="24"/>
        </w:rPr>
        <w:t>6.2乙方每餐应严格执行食品留样制度，样品应至少保存48小时，当有就餐者用餐</w:t>
      </w:r>
    </w:p>
    <w:p w14:paraId="651F87F2">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sectPr>
          <w:headerReference r:id="rId13" w:type="default"/>
          <w:footerReference r:id="rId14" w:type="default"/>
          <w:pgSz w:w="11907" w:h="16840"/>
          <w:pgMar w:top="1136" w:right="1019" w:bottom="1186" w:left="1672" w:header="859" w:footer="952" w:gutter="0"/>
          <w:pgNumType w:fmt="decimal"/>
          <w:cols w:space="720" w:num="1"/>
        </w:sectPr>
      </w:pPr>
    </w:p>
    <w:p w14:paraId="2E2733F7">
      <w:pPr>
        <w:keepNext w:val="0"/>
        <w:keepLines w:val="0"/>
        <w:pageBreakBefore w:val="0"/>
        <w:widowControl w:val="0"/>
        <w:kinsoku/>
        <w:wordWrap/>
        <w:overflowPunct/>
        <w:topLinePunct w:val="0"/>
        <w:autoSpaceDE/>
        <w:autoSpaceDN/>
        <w:bidi w:val="0"/>
        <w:adjustRightInd/>
        <w:snapToGrid/>
        <w:spacing w:line="360" w:lineRule="auto"/>
        <w:ind w:left="0" w:right="0" w:firstLine="1"/>
        <w:textAlignment w:val="auto"/>
        <w:rPr>
          <w:rFonts w:ascii="宋体" w:hAnsi="宋体" w:eastAsia="宋体" w:cs="宋体"/>
          <w:sz w:val="24"/>
          <w:szCs w:val="24"/>
        </w:rPr>
      </w:pPr>
      <w:r>
        <w:rPr>
          <w:rFonts w:ascii="宋体" w:hAnsi="宋体" w:eastAsia="宋体" w:cs="宋体"/>
          <w:spacing w:val="-2"/>
          <w:sz w:val="24"/>
          <w:szCs w:val="24"/>
        </w:rPr>
        <w:t>后出现异常情况，乙方要迅速将患者送往医院，属乙方责任的，乙方承担一切经济与法</w:t>
      </w:r>
      <w:r>
        <w:rPr>
          <w:rFonts w:ascii="宋体" w:hAnsi="宋体" w:eastAsia="宋体" w:cs="宋体"/>
          <w:spacing w:val="-9"/>
          <w:sz w:val="24"/>
          <w:szCs w:val="24"/>
        </w:rPr>
        <w:t>律责任。</w:t>
      </w:r>
    </w:p>
    <w:p w14:paraId="483E2DA5">
      <w:pPr>
        <w:keepNext w:val="0"/>
        <w:keepLines w:val="0"/>
        <w:pageBreakBefore w:val="0"/>
        <w:widowControl w:val="0"/>
        <w:kinsoku/>
        <w:wordWrap/>
        <w:overflowPunct/>
        <w:topLinePunct w:val="0"/>
        <w:autoSpaceDE/>
        <w:autoSpaceDN/>
        <w:bidi w:val="0"/>
        <w:adjustRightInd/>
        <w:snapToGrid/>
        <w:spacing w:line="360" w:lineRule="auto"/>
        <w:ind w:left="0" w:right="0" w:firstLine="482"/>
        <w:jc w:val="both"/>
        <w:textAlignment w:val="auto"/>
        <w:rPr>
          <w:rFonts w:ascii="宋体" w:hAnsi="宋体" w:eastAsia="宋体" w:cs="宋体"/>
          <w:sz w:val="24"/>
          <w:szCs w:val="24"/>
        </w:rPr>
      </w:pPr>
      <w:r>
        <w:rPr>
          <w:rFonts w:ascii="宋体" w:hAnsi="宋体" w:eastAsia="宋体" w:cs="宋体"/>
          <w:spacing w:val="-1"/>
          <w:sz w:val="24"/>
          <w:szCs w:val="24"/>
        </w:rPr>
        <w:t>6.3当就餐人员用餐吃出异物时，乙方负责赔偿，并对上述问题及时采取纠正措施</w:t>
      </w:r>
      <w:r>
        <w:rPr>
          <w:rFonts w:ascii="宋体" w:hAnsi="宋体" w:eastAsia="宋体" w:cs="宋体"/>
          <w:spacing w:val="-7"/>
          <w:sz w:val="24"/>
          <w:szCs w:val="24"/>
        </w:rPr>
        <w:t>解决。因此给就餐人员造成身体损害的，乙方除承担赔偿责任以外，甲方另有权对乙方</w:t>
      </w:r>
      <w:r>
        <w:rPr>
          <w:rFonts w:ascii="宋体" w:hAnsi="宋体" w:eastAsia="宋体" w:cs="宋体"/>
          <w:spacing w:val="-5"/>
          <w:sz w:val="24"/>
          <w:szCs w:val="24"/>
        </w:rPr>
        <w:t>处罚不低于50元/人次。</w:t>
      </w:r>
    </w:p>
    <w:p w14:paraId="233CEA0C">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b/>
          <w:bCs/>
          <w:spacing w:val="-5"/>
          <w:sz w:val="24"/>
          <w:szCs w:val="24"/>
        </w:rPr>
        <w:t>7.违约责任</w:t>
      </w:r>
    </w:p>
    <w:p w14:paraId="332CD2F2">
      <w:pPr>
        <w:keepNext w:val="0"/>
        <w:keepLines w:val="0"/>
        <w:pageBreakBefore w:val="0"/>
        <w:widowControl w:val="0"/>
        <w:kinsoku/>
        <w:wordWrap/>
        <w:overflowPunct/>
        <w:topLinePunct w:val="0"/>
        <w:autoSpaceDE/>
        <w:autoSpaceDN/>
        <w:bidi w:val="0"/>
        <w:adjustRightInd/>
        <w:snapToGrid/>
        <w:spacing w:line="360" w:lineRule="auto"/>
        <w:ind w:left="0" w:right="0" w:firstLine="481"/>
        <w:textAlignment w:val="auto"/>
        <w:rPr>
          <w:rFonts w:ascii="宋体" w:hAnsi="宋体" w:eastAsia="宋体" w:cs="宋体"/>
          <w:sz w:val="24"/>
          <w:szCs w:val="24"/>
        </w:rPr>
      </w:pPr>
      <w:r>
        <w:rPr>
          <w:rFonts w:ascii="宋体" w:hAnsi="宋体" w:eastAsia="宋体" w:cs="宋体"/>
          <w:spacing w:val="-2"/>
          <w:sz w:val="24"/>
          <w:szCs w:val="24"/>
        </w:rPr>
        <w:t>7.1甲、乙双方应谨慎行使和履行在本合同中约定的权利、义务，任何一方因未履</w:t>
      </w:r>
      <w:r>
        <w:rPr>
          <w:rFonts w:ascii="宋体" w:hAnsi="宋体" w:eastAsia="宋体" w:cs="宋体"/>
          <w:spacing w:val="-1"/>
          <w:sz w:val="24"/>
          <w:szCs w:val="24"/>
        </w:rPr>
        <w:t>行或未完全履行其在本合同的权利、义务，而给对方造</w:t>
      </w:r>
      <w:r>
        <w:rPr>
          <w:rFonts w:ascii="宋体" w:hAnsi="宋体" w:eastAsia="宋体" w:cs="宋体"/>
          <w:spacing w:val="-2"/>
          <w:sz w:val="24"/>
          <w:szCs w:val="24"/>
        </w:rPr>
        <w:t>成的损失的，应负责赔偿。</w:t>
      </w:r>
    </w:p>
    <w:p w14:paraId="0B9682AC">
      <w:pPr>
        <w:keepNext w:val="0"/>
        <w:keepLines w:val="0"/>
        <w:pageBreakBefore w:val="0"/>
        <w:widowControl w:val="0"/>
        <w:kinsoku/>
        <w:wordWrap/>
        <w:overflowPunct/>
        <w:topLinePunct w:val="0"/>
        <w:autoSpaceDE/>
        <w:autoSpaceDN/>
        <w:bidi w:val="0"/>
        <w:adjustRightInd/>
        <w:snapToGrid/>
        <w:spacing w:line="360" w:lineRule="auto"/>
        <w:ind w:left="0" w:right="0" w:firstLine="485"/>
        <w:textAlignment w:val="auto"/>
        <w:rPr>
          <w:rFonts w:ascii="宋体" w:hAnsi="宋体" w:eastAsia="宋体" w:cs="宋体"/>
          <w:sz w:val="24"/>
          <w:szCs w:val="24"/>
        </w:rPr>
      </w:pPr>
      <w:r>
        <w:rPr>
          <w:rFonts w:ascii="宋体" w:hAnsi="宋体" w:eastAsia="宋体" w:cs="宋体"/>
          <w:spacing w:val="-1"/>
          <w:sz w:val="24"/>
          <w:szCs w:val="24"/>
        </w:rPr>
        <w:t>7.2如因乙方经营问题或其他原因造成不能履行本合同，须提前一个月以书面形式</w:t>
      </w:r>
      <w:r>
        <w:rPr>
          <w:rFonts w:ascii="宋体" w:hAnsi="宋体" w:eastAsia="宋体" w:cs="宋体"/>
          <w:spacing w:val="-3"/>
          <w:sz w:val="24"/>
          <w:szCs w:val="24"/>
        </w:rPr>
        <w:t>通知甲方，由此给甲方造成损失予以赔偿。</w:t>
      </w:r>
    </w:p>
    <w:p w14:paraId="68BFFECC">
      <w:pPr>
        <w:keepNext w:val="0"/>
        <w:keepLines w:val="0"/>
        <w:pageBreakBefore w:val="0"/>
        <w:widowControl w:val="0"/>
        <w:kinsoku/>
        <w:wordWrap/>
        <w:overflowPunct/>
        <w:topLinePunct w:val="0"/>
        <w:autoSpaceDE/>
        <w:autoSpaceDN/>
        <w:bidi w:val="0"/>
        <w:adjustRightInd/>
        <w:snapToGrid/>
        <w:spacing w:line="360" w:lineRule="auto"/>
        <w:ind w:left="0" w:right="0" w:firstLine="485"/>
        <w:textAlignment w:val="auto"/>
        <w:rPr>
          <w:rFonts w:ascii="宋体" w:hAnsi="宋体" w:eastAsia="宋体" w:cs="宋体"/>
          <w:sz w:val="24"/>
          <w:szCs w:val="24"/>
        </w:rPr>
      </w:pPr>
      <w:r>
        <w:rPr>
          <w:rFonts w:ascii="宋体" w:hAnsi="宋体" w:eastAsia="宋体" w:cs="宋体"/>
          <w:spacing w:val="-1"/>
          <w:sz w:val="24"/>
          <w:szCs w:val="24"/>
        </w:rPr>
        <w:t>7.3如因甲方服务场地之基础设施（如照明、水电、供暖等）出现故障而影响到用</w:t>
      </w:r>
      <w:r>
        <w:rPr>
          <w:rFonts w:ascii="宋体" w:hAnsi="宋体" w:eastAsia="宋体" w:cs="宋体"/>
          <w:spacing w:val="-6"/>
          <w:sz w:val="24"/>
          <w:szCs w:val="24"/>
        </w:rPr>
        <w:t>餐，甲方应及时进行整改。由于甲方原因，员工就餐受</w:t>
      </w:r>
      <w:r>
        <w:rPr>
          <w:rFonts w:ascii="宋体" w:hAnsi="宋体" w:eastAsia="宋体" w:cs="宋体"/>
          <w:spacing w:val="-7"/>
          <w:sz w:val="24"/>
          <w:szCs w:val="24"/>
        </w:rPr>
        <w:t>到影响，则乙方不承担责任。如</w:t>
      </w:r>
      <w:r>
        <w:rPr>
          <w:rFonts w:ascii="宋体" w:hAnsi="宋体" w:eastAsia="宋体" w:cs="宋体"/>
          <w:spacing w:val="2"/>
          <w:sz w:val="24"/>
          <w:szCs w:val="24"/>
        </w:rPr>
        <w:t>双方均有原因时，甲乙双方应就出现的紧急情况积极协商解决。但不论责任原因如何，</w:t>
      </w:r>
      <w:r>
        <w:rPr>
          <w:rFonts w:ascii="宋体" w:hAnsi="宋体" w:eastAsia="宋体" w:cs="宋体"/>
          <w:spacing w:val="-2"/>
          <w:sz w:val="24"/>
          <w:szCs w:val="24"/>
        </w:rPr>
        <w:t>乙方均应按本合同约定积极采取措施保障人员用餐。</w:t>
      </w:r>
    </w:p>
    <w:p w14:paraId="5826982D">
      <w:pPr>
        <w:keepNext w:val="0"/>
        <w:keepLines w:val="0"/>
        <w:pageBreakBefore w:val="0"/>
        <w:widowControl w:val="0"/>
        <w:kinsoku/>
        <w:wordWrap/>
        <w:overflowPunct/>
        <w:topLinePunct w:val="0"/>
        <w:autoSpaceDE/>
        <w:autoSpaceDN/>
        <w:bidi w:val="0"/>
        <w:adjustRightInd/>
        <w:snapToGrid/>
        <w:spacing w:line="360" w:lineRule="auto"/>
        <w:ind w:left="0" w:right="0" w:firstLine="479"/>
        <w:textAlignment w:val="auto"/>
        <w:rPr>
          <w:rFonts w:ascii="宋体" w:hAnsi="宋体" w:eastAsia="宋体" w:cs="宋体"/>
          <w:sz w:val="24"/>
          <w:szCs w:val="24"/>
        </w:rPr>
      </w:pPr>
      <w:r>
        <w:rPr>
          <w:rFonts w:ascii="宋体" w:hAnsi="宋体" w:eastAsia="宋体" w:cs="宋体"/>
          <w:spacing w:val="-1"/>
          <w:sz w:val="24"/>
          <w:szCs w:val="24"/>
        </w:rPr>
        <w:t>7.4因乙方原因造成食品安全事故、公共卫生事件等，受到主管部门行政处罚的，</w:t>
      </w:r>
      <w:r>
        <w:rPr>
          <w:rFonts w:ascii="宋体" w:hAnsi="宋体" w:eastAsia="宋体" w:cs="宋体"/>
          <w:spacing w:val="-6"/>
          <w:sz w:val="24"/>
          <w:szCs w:val="24"/>
        </w:rPr>
        <w:t>乙方承担全部责任。甲方有权立即解除合同，并要求乙</w:t>
      </w:r>
      <w:r>
        <w:rPr>
          <w:rFonts w:ascii="宋体" w:hAnsi="宋体" w:eastAsia="宋体" w:cs="宋体"/>
          <w:spacing w:val="-7"/>
          <w:sz w:val="24"/>
          <w:szCs w:val="24"/>
        </w:rPr>
        <w:t>方采取补救措施，消除影响，恢</w:t>
      </w:r>
      <w:r>
        <w:rPr>
          <w:rFonts w:ascii="宋体" w:hAnsi="宋体" w:eastAsia="宋体" w:cs="宋体"/>
          <w:spacing w:val="-8"/>
          <w:sz w:val="24"/>
          <w:szCs w:val="24"/>
        </w:rPr>
        <w:t>复甲方名誉。</w:t>
      </w:r>
    </w:p>
    <w:p w14:paraId="2A0ED11B">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z w:val="24"/>
          <w:szCs w:val="24"/>
        </w:rPr>
      </w:pPr>
      <w:r>
        <w:rPr>
          <w:rFonts w:ascii="宋体" w:hAnsi="宋体" w:eastAsia="宋体" w:cs="宋体"/>
          <w:spacing w:val="-4"/>
          <w:sz w:val="24"/>
          <w:szCs w:val="24"/>
        </w:rPr>
        <w:t>7.5双方不得无故终止合同。</w:t>
      </w:r>
    </w:p>
    <w:p w14:paraId="38AB8D88">
      <w:pPr>
        <w:keepNext w:val="0"/>
        <w:keepLines w:val="0"/>
        <w:pageBreakBefore w:val="0"/>
        <w:widowControl w:val="0"/>
        <w:kinsoku/>
        <w:wordWrap/>
        <w:overflowPunct/>
        <w:topLinePunct w:val="0"/>
        <w:autoSpaceDE/>
        <w:autoSpaceDN/>
        <w:bidi w:val="0"/>
        <w:adjustRightInd/>
        <w:snapToGrid/>
        <w:spacing w:line="360" w:lineRule="auto"/>
        <w:ind w:left="0" w:right="0" w:firstLine="481"/>
        <w:textAlignment w:val="auto"/>
        <w:rPr>
          <w:rFonts w:ascii="宋体" w:hAnsi="宋体" w:eastAsia="宋体" w:cs="宋体"/>
          <w:sz w:val="24"/>
          <w:szCs w:val="24"/>
        </w:rPr>
      </w:pPr>
      <w:r>
        <w:rPr>
          <w:rFonts w:ascii="宋体" w:hAnsi="宋体" w:eastAsia="宋体" w:cs="宋体"/>
          <w:sz w:val="24"/>
          <w:szCs w:val="24"/>
        </w:rPr>
        <w:t>7.6合同终止后半年内，甲方餐厅不得录用乙</w:t>
      </w:r>
      <w:r>
        <w:rPr>
          <w:rFonts w:ascii="宋体" w:hAnsi="宋体" w:eastAsia="宋体" w:cs="宋体"/>
          <w:spacing w:val="-1"/>
          <w:sz w:val="24"/>
          <w:szCs w:val="24"/>
        </w:rPr>
        <w:t>方配备的工作人员，否则应赔偿乙方</w:t>
      </w:r>
      <w:r>
        <w:rPr>
          <w:rFonts w:ascii="宋体" w:hAnsi="宋体" w:eastAsia="宋体" w:cs="宋体"/>
          <w:spacing w:val="-5"/>
          <w:sz w:val="24"/>
          <w:szCs w:val="24"/>
        </w:rPr>
        <w:t>一月的服务费作为补偿。</w:t>
      </w:r>
    </w:p>
    <w:p w14:paraId="7838AF3A">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b/>
          <w:bCs/>
          <w:spacing w:val="-4"/>
          <w:sz w:val="24"/>
          <w:szCs w:val="24"/>
        </w:rPr>
        <w:t>8.合同有效期</w:t>
      </w:r>
    </w:p>
    <w:p w14:paraId="394CBD7B">
      <w:pPr>
        <w:keepNext w:val="0"/>
        <w:keepLines w:val="0"/>
        <w:pageBreakBefore w:val="0"/>
        <w:widowControl w:val="0"/>
        <w:kinsoku/>
        <w:wordWrap/>
        <w:overflowPunct/>
        <w:topLinePunct w:val="0"/>
        <w:autoSpaceDE/>
        <w:autoSpaceDN/>
        <w:bidi w:val="0"/>
        <w:adjustRightInd/>
        <w:snapToGrid/>
        <w:spacing w:line="360" w:lineRule="auto"/>
        <w:ind w:left="0" w:right="0" w:firstLine="457"/>
        <w:jc w:val="both"/>
        <w:textAlignment w:val="auto"/>
        <w:rPr>
          <w:rFonts w:ascii="宋体" w:hAnsi="宋体" w:eastAsia="宋体" w:cs="宋体"/>
          <w:sz w:val="24"/>
          <w:szCs w:val="24"/>
        </w:rPr>
      </w:pPr>
      <w:r>
        <w:rPr>
          <w:rFonts w:ascii="宋体" w:hAnsi="宋体" w:eastAsia="宋体" w:cs="宋体"/>
          <w:spacing w:val="-7"/>
          <w:sz w:val="24"/>
          <w:szCs w:val="24"/>
        </w:rPr>
        <w:t>本合同有效期自</w:t>
      </w:r>
      <w:r>
        <w:rPr>
          <w:rFonts w:hint="eastAsia" w:ascii="宋体" w:hAnsi="宋体" w:cs="宋体"/>
          <w:spacing w:val="-7"/>
          <w:sz w:val="24"/>
          <w:szCs w:val="24"/>
          <w:lang w:val="en-US" w:eastAsia="zh-CN"/>
        </w:rPr>
        <w:t xml:space="preserve">  </w:t>
      </w:r>
      <w:r>
        <w:rPr>
          <w:rFonts w:ascii="宋体" w:hAnsi="宋体" w:eastAsia="宋体" w:cs="宋体"/>
          <w:spacing w:val="-7"/>
          <w:sz w:val="24"/>
          <w:szCs w:val="24"/>
        </w:rPr>
        <w:t>年</w:t>
      </w:r>
      <w:r>
        <w:rPr>
          <w:rFonts w:hint="eastAsia" w:ascii="宋体" w:hAnsi="宋体" w:cs="宋体"/>
          <w:spacing w:val="-7"/>
          <w:sz w:val="24"/>
          <w:szCs w:val="24"/>
          <w:lang w:val="en-US" w:eastAsia="zh-CN"/>
        </w:rPr>
        <w:t xml:space="preserve">  </w:t>
      </w:r>
      <w:r>
        <w:rPr>
          <w:rFonts w:ascii="宋体" w:hAnsi="宋体" w:eastAsia="宋体" w:cs="宋体"/>
          <w:spacing w:val="-7"/>
          <w:sz w:val="24"/>
          <w:szCs w:val="24"/>
        </w:rPr>
        <w:t>月</w:t>
      </w:r>
      <w:r>
        <w:rPr>
          <w:rFonts w:hint="eastAsia" w:ascii="宋体" w:hAnsi="宋体" w:cs="宋体"/>
          <w:spacing w:val="-7"/>
          <w:sz w:val="24"/>
          <w:szCs w:val="24"/>
          <w:lang w:val="en-US" w:eastAsia="zh-CN"/>
        </w:rPr>
        <w:t xml:space="preserve">  </w:t>
      </w:r>
      <w:r>
        <w:rPr>
          <w:rFonts w:ascii="宋体" w:hAnsi="宋体" w:eastAsia="宋体" w:cs="宋体"/>
          <w:spacing w:val="-7"/>
          <w:sz w:val="24"/>
          <w:szCs w:val="24"/>
        </w:rPr>
        <w:t>日起至</w:t>
      </w:r>
      <w:r>
        <w:rPr>
          <w:rFonts w:hint="eastAsia" w:ascii="宋体" w:hAnsi="宋体" w:cs="宋体"/>
          <w:spacing w:val="-7"/>
          <w:sz w:val="24"/>
          <w:szCs w:val="24"/>
          <w:lang w:val="en-US" w:eastAsia="zh-CN"/>
        </w:rPr>
        <w:t xml:space="preserve">  </w:t>
      </w:r>
      <w:r>
        <w:rPr>
          <w:rFonts w:ascii="宋体" w:hAnsi="宋体" w:eastAsia="宋体" w:cs="宋体"/>
          <w:spacing w:val="-7"/>
          <w:sz w:val="24"/>
          <w:szCs w:val="24"/>
        </w:rPr>
        <w:t>年</w:t>
      </w:r>
      <w:r>
        <w:rPr>
          <w:rFonts w:hint="eastAsia" w:ascii="宋体" w:hAnsi="宋体" w:cs="宋体"/>
          <w:spacing w:val="-7"/>
          <w:sz w:val="24"/>
          <w:szCs w:val="24"/>
          <w:lang w:val="en-US" w:eastAsia="zh-CN"/>
        </w:rPr>
        <w:t xml:space="preserve">  </w:t>
      </w:r>
      <w:r>
        <w:rPr>
          <w:rFonts w:ascii="宋体" w:hAnsi="宋体" w:eastAsia="宋体" w:cs="宋体"/>
          <w:spacing w:val="-7"/>
          <w:sz w:val="24"/>
          <w:szCs w:val="24"/>
        </w:rPr>
        <w:t>月</w:t>
      </w:r>
      <w:r>
        <w:rPr>
          <w:rFonts w:hint="eastAsia" w:ascii="宋体" w:hAnsi="宋体" w:cs="宋体"/>
          <w:spacing w:val="-7"/>
          <w:sz w:val="24"/>
          <w:szCs w:val="24"/>
          <w:lang w:val="en-US" w:eastAsia="zh-CN"/>
        </w:rPr>
        <w:t xml:space="preserve">  </w:t>
      </w:r>
      <w:r>
        <w:rPr>
          <w:rFonts w:ascii="宋体" w:hAnsi="宋体" w:eastAsia="宋体" w:cs="宋体"/>
          <w:spacing w:val="-7"/>
          <w:sz w:val="24"/>
          <w:szCs w:val="24"/>
        </w:rPr>
        <w:t>日止。有效期届满前三个月，</w:t>
      </w:r>
      <w:r>
        <w:rPr>
          <w:rFonts w:ascii="宋体" w:hAnsi="宋体" w:eastAsia="宋体" w:cs="宋体"/>
          <w:spacing w:val="-2"/>
          <w:sz w:val="24"/>
          <w:szCs w:val="24"/>
        </w:rPr>
        <w:t>甲乙双方应就是否续约进行磋商；同意由乙方继续为甲方员工食堂提供餐</w:t>
      </w:r>
      <w:r>
        <w:rPr>
          <w:rFonts w:ascii="宋体" w:hAnsi="宋体" w:eastAsia="宋体" w:cs="宋体"/>
          <w:spacing w:val="-3"/>
          <w:sz w:val="24"/>
          <w:szCs w:val="24"/>
        </w:rPr>
        <w:t>饮服务的，甲乙双方应在本合同到期前签订新的餐饮服务合同。</w:t>
      </w:r>
    </w:p>
    <w:p w14:paraId="380B643B">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b/>
          <w:bCs/>
          <w:spacing w:val="-4"/>
          <w:sz w:val="24"/>
          <w:szCs w:val="24"/>
        </w:rPr>
        <w:t>9.合同的终止</w:t>
      </w:r>
    </w:p>
    <w:p w14:paraId="1F1DBCBE">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z w:val="24"/>
          <w:szCs w:val="24"/>
        </w:rPr>
      </w:pPr>
      <w:r>
        <w:rPr>
          <w:rFonts w:ascii="宋体" w:hAnsi="宋体" w:eastAsia="宋体" w:cs="宋体"/>
          <w:spacing w:val="-4"/>
          <w:sz w:val="24"/>
          <w:szCs w:val="24"/>
        </w:rPr>
        <w:t>9.1本合同出现下列情况时终止：</w:t>
      </w:r>
    </w:p>
    <w:p w14:paraId="49892C34">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z w:val="24"/>
          <w:szCs w:val="24"/>
        </w:rPr>
      </w:pPr>
      <w:r>
        <w:rPr>
          <w:rFonts w:ascii="宋体" w:hAnsi="宋体" w:eastAsia="宋体" w:cs="宋体"/>
          <w:spacing w:val="-4"/>
          <w:sz w:val="24"/>
          <w:szCs w:val="24"/>
        </w:rPr>
        <w:t>（1）合同期满自行终止。</w:t>
      </w:r>
    </w:p>
    <w:p w14:paraId="2168FBFA">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z w:val="24"/>
          <w:szCs w:val="24"/>
        </w:rPr>
      </w:pPr>
      <w:r>
        <w:rPr>
          <w:rFonts w:ascii="宋体" w:hAnsi="宋体" w:eastAsia="宋体" w:cs="宋体"/>
          <w:spacing w:val="-4"/>
          <w:sz w:val="24"/>
          <w:szCs w:val="24"/>
        </w:rPr>
        <w:t>（2）法律规定的终止事由。</w:t>
      </w:r>
    </w:p>
    <w:p w14:paraId="5BBCD8E0">
      <w:pPr>
        <w:keepNext w:val="0"/>
        <w:keepLines w:val="0"/>
        <w:pageBreakBefore w:val="0"/>
        <w:widowControl w:val="0"/>
        <w:kinsoku/>
        <w:wordWrap/>
        <w:overflowPunct/>
        <w:topLinePunct w:val="0"/>
        <w:autoSpaceDE/>
        <w:autoSpaceDN/>
        <w:bidi w:val="0"/>
        <w:adjustRightInd/>
        <w:snapToGrid/>
        <w:spacing w:line="360" w:lineRule="auto"/>
        <w:ind w:left="0" w:right="0" w:firstLine="484"/>
        <w:textAlignment w:val="auto"/>
        <w:rPr>
          <w:rFonts w:ascii="宋体" w:hAnsi="宋体" w:eastAsia="宋体" w:cs="宋体"/>
          <w:sz w:val="24"/>
          <w:szCs w:val="24"/>
        </w:rPr>
      </w:pPr>
      <w:r>
        <w:rPr>
          <w:rFonts w:ascii="宋体" w:hAnsi="宋体" w:eastAsia="宋体" w:cs="宋体"/>
          <w:spacing w:val="1"/>
          <w:sz w:val="24"/>
          <w:szCs w:val="24"/>
        </w:rPr>
        <w:t>（3）在本合同有效期内，发生地震、台风、水灾、雷击、瘟疫、战争以及其他不</w:t>
      </w:r>
      <w:r>
        <w:rPr>
          <w:rFonts w:ascii="宋体" w:hAnsi="宋体" w:eastAsia="宋体" w:cs="宋体"/>
          <w:spacing w:val="-2"/>
          <w:sz w:val="24"/>
          <w:szCs w:val="24"/>
        </w:rPr>
        <w:t>可抗力事件，合同终止，由此造成的损失各自承担。</w:t>
      </w:r>
    </w:p>
    <w:p w14:paraId="1EF3C9E2">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sectPr>
          <w:headerReference r:id="rId15" w:type="default"/>
          <w:footerReference r:id="rId16" w:type="default"/>
          <w:pgSz w:w="11907" w:h="16840"/>
          <w:pgMar w:top="1136" w:right="947" w:bottom="1186" w:left="1672" w:header="859" w:footer="952" w:gutter="0"/>
          <w:pgNumType w:fmt="decimal"/>
          <w:cols w:space="720" w:num="1"/>
        </w:sectPr>
      </w:pPr>
    </w:p>
    <w:p w14:paraId="21CD4A8B">
      <w:pPr>
        <w:keepNext w:val="0"/>
        <w:keepLines w:val="0"/>
        <w:pageBreakBefore w:val="0"/>
        <w:widowControl w:val="0"/>
        <w:kinsoku/>
        <w:wordWrap/>
        <w:overflowPunct/>
        <w:topLinePunct w:val="0"/>
        <w:autoSpaceDE/>
        <w:autoSpaceDN/>
        <w:bidi w:val="0"/>
        <w:adjustRightInd/>
        <w:snapToGrid/>
        <w:spacing w:line="360" w:lineRule="auto"/>
        <w:ind w:left="0" w:right="0" w:firstLine="477"/>
        <w:textAlignment w:val="auto"/>
        <w:rPr>
          <w:rFonts w:ascii="宋体" w:hAnsi="宋体" w:eastAsia="宋体" w:cs="宋体"/>
          <w:sz w:val="24"/>
          <w:szCs w:val="24"/>
        </w:rPr>
      </w:pPr>
      <w:r>
        <w:rPr>
          <w:rFonts w:ascii="宋体" w:hAnsi="宋体" w:eastAsia="宋体" w:cs="宋体"/>
          <w:spacing w:val="-2"/>
          <w:sz w:val="24"/>
          <w:szCs w:val="24"/>
        </w:rPr>
        <w:t>9.2如乙方在出现下列任何一种情况时，甲方有权单方面终止或解除本合同，而无</w:t>
      </w:r>
      <w:r>
        <w:rPr>
          <w:rFonts w:ascii="宋体" w:hAnsi="宋体" w:eastAsia="宋体" w:cs="宋体"/>
          <w:spacing w:val="-4"/>
          <w:sz w:val="24"/>
          <w:szCs w:val="24"/>
        </w:rPr>
        <w:t>须向乙方做出任何赔偿。</w:t>
      </w:r>
    </w:p>
    <w:p w14:paraId="54F2C0CE">
      <w:pPr>
        <w:keepNext w:val="0"/>
        <w:keepLines w:val="0"/>
        <w:pageBreakBefore w:val="0"/>
        <w:widowControl w:val="0"/>
        <w:kinsoku/>
        <w:wordWrap/>
        <w:overflowPunct/>
        <w:topLinePunct w:val="0"/>
        <w:autoSpaceDE/>
        <w:autoSpaceDN/>
        <w:bidi w:val="0"/>
        <w:adjustRightInd/>
        <w:snapToGrid/>
        <w:spacing w:line="360" w:lineRule="auto"/>
        <w:ind w:left="0" w:right="0" w:firstLine="486"/>
        <w:textAlignment w:val="auto"/>
        <w:rPr>
          <w:rFonts w:ascii="宋体" w:hAnsi="宋体" w:eastAsia="宋体" w:cs="宋体"/>
          <w:sz w:val="24"/>
          <w:szCs w:val="24"/>
        </w:rPr>
      </w:pPr>
      <w:r>
        <w:rPr>
          <w:rFonts w:ascii="宋体" w:hAnsi="宋体" w:eastAsia="宋体" w:cs="宋体"/>
          <w:spacing w:val="1"/>
          <w:sz w:val="24"/>
          <w:szCs w:val="24"/>
        </w:rPr>
        <w:t>（1）违反中华人民共和国法律法规进行非</w:t>
      </w:r>
      <w:r>
        <w:rPr>
          <w:rFonts w:ascii="宋体" w:hAnsi="宋体" w:eastAsia="宋体" w:cs="宋体"/>
          <w:sz w:val="24"/>
          <w:szCs w:val="24"/>
        </w:rPr>
        <w:t>法经营活动，擅自与双方以外的单位、</w:t>
      </w:r>
      <w:r>
        <w:rPr>
          <w:rFonts w:ascii="宋体" w:hAnsi="宋体" w:eastAsia="宋体" w:cs="宋体"/>
          <w:spacing w:val="-4"/>
          <w:sz w:val="24"/>
          <w:szCs w:val="24"/>
        </w:rPr>
        <w:t>个人承包和合作经营。</w:t>
      </w:r>
    </w:p>
    <w:p w14:paraId="508C3E03">
      <w:pPr>
        <w:keepNext w:val="0"/>
        <w:keepLines w:val="0"/>
        <w:pageBreakBefore w:val="0"/>
        <w:widowControl w:val="0"/>
        <w:kinsoku/>
        <w:wordWrap/>
        <w:overflowPunct/>
        <w:topLinePunct w:val="0"/>
        <w:autoSpaceDE/>
        <w:autoSpaceDN/>
        <w:bidi w:val="0"/>
        <w:adjustRightInd/>
        <w:snapToGrid/>
        <w:spacing w:line="360" w:lineRule="auto"/>
        <w:ind w:left="0" w:right="0" w:firstLine="480"/>
        <w:textAlignment w:val="auto"/>
        <w:rPr>
          <w:rFonts w:ascii="宋体" w:hAnsi="宋体" w:eastAsia="宋体" w:cs="宋体"/>
          <w:sz w:val="24"/>
          <w:szCs w:val="24"/>
        </w:rPr>
      </w:pPr>
      <w:r>
        <w:rPr>
          <w:rFonts w:ascii="宋体" w:hAnsi="宋体" w:eastAsia="宋体" w:cs="宋体"/>
          <w:spacing w:val="-5"/>
          <w:sz w:val="24"/>
          <w:szCs w:val="24"/>
        </w:rPr>
        <w:t>（2）本合同约定的其他事项，以及违反有关规定，甲方</w:t>
      </w:r>
      <w:r>
        <w:rPr>
          <w:rFonts w:ascii="宋体" w:hAnsi="宋体" w:eastAsia="宋体" w:cs="宋体"/>
          <w:spacing w:val="-6"/>
          <w:sz w:val="24"/>
          <w:szCs w:val="24"/>
        </w:rPr>
        <w:t>提出要求整改而不整改（两</w:t>
      </w:r>
      <w:r>
        <w:rPr>
          <w:rFonts w:ascii="宋体" w:hAnsi="宋体" w:eastAsia="宋体" w:cs="宋体"/>
          <w:spacing w:val="-2"/>
          <w:sz w:val="24"/>
          <w:szCs w:val="24"/>
        </w:rPr>
        <w:t>次</w:t>
      </w:r>
      <w:r>
        <w:rPr>
          <w:rFonts w:ascii="宋体" w:hAnsi="宋体" w:eastAsia="宋体" w:cs="宋体"/>
          <w:sz w:val="24"/>
          <w:szCs w:val="24"/>
        </w:rPr>
        <w:t>），</w:t>
      </w:r>
      <w:r>
        <w:rPr>
          <w:rFonts w:ascii="宋体" w:hAnsi="宋体" w:eastAsia="宋体" w:cs="宋体"/>
          <w:spacing w:val="-2"/>
          <w:sz w:val="24"/>
          <w:szCs w:val="24"/>
        </w:rPr>
        <w:t>给甲方造成一定损失或对外造成较为严重不良影响时。</w:t>
      </w:r>
    </w:p>
    <w:p w14:paraId="455B7E0B">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b/>
          <w:bCs/>
          <w:spacing w:val="-4"/>
          <w:sz w:val="24"/>
          <w:szCs w:val="24"/>
        </w:rPr>
        <w:t>10.法律适用及争议解决</w:t>
      </w:r>
    </w:p>
    <w:p w14:paraId="5B51EDD5">
      <w:pPr>
        <w:keepNext w:val="0"/>
        <w:keepLines w:val="0"/>
        <w:pageBreakBefore w:val="0"/>
        <w:widowControl w:val="0"/>
        <w:kinsoku/>
        <w:wordWrap/>
        <w:overflowPunct/>
        <w:topLinePunct w:val="0"/>
        <w:autoSpaceDE/>
        <w:autoSpaceDN/>
        <w:bidi w:val="0"/>
        <w:adjustRightInd/>
        <w:snapToGrid/>
        <w:spacing w:line="360" w:lineRule="auto"/>
        <w:ind w:left="0" w:right="0" w:firstLine="492"/>
        <w:textAlignment w:val="auto"/>
        <w:rPr>
          <w:rFonts w:ascii="宋体" w:hAnsi="宋体" w:eastAsia="宋体" w:cs="宋体"/>
          <w:sz w:val="24"/>
          <w:szCs w:val="24"/>
        </w:rPr>
      </w:pPr>
      <w:r>
        <w:rPr>
          <w:rFonts w:ascii="宋体" w:hAnsi="宋体" w:eastAsia="宋体" w:cs="宋体"/>
          <w:spacing w:val="-4"/>
          <w:sz w:val="24"/>
          <w:szCs w:val="24"/>
        </w:rPr>
        <w:t>10.1本合同的订立、效力、解释、履行和争议的解决均接受中华人民共和国法律的</w:t>
      </w:r>
      <w:r>
        <w:rPr>
          <w:rFonts w:ascii="宋体" w:hAnsi="宋体" w:eastAsia="宋体" w:cs="宋体"/>
          <w:spacing w:val="-12"/>
          <w:sz w:val="24"/>
          <w:szCs w:val="24"/>
        </w:rPr>
        <w:t>管辖。</w:t>
      </w:r>
    </w:p>
    <w:p w14:paraId="6A5CDF8E">
      <w:pPr>
        <w:keepNext w:val="0"/>
        <w:keepLines w:val="0"/>
        <w:pageBreakBefore w:val="0"/>
        <w:widowControl w:val="0"/>
        <w:kinsoku/>
        <w:wordWrap/>
        <w:overflowPunct/>
        <w:topLinePunct w:val="0"/>
        <w:autoSpaceDE/>
        <w:autoSpaceDN/>
        <w:bidi w:val="0"/>
        <w:adjustRightInd/>
        <w:snapToGrid/>
        <w:spacing w:line="360" w:lineRule="auto"/>
        <w:ind w:left="0" w:right="0" w:firstLine="497"/>
        <w:textAlignment w:val="auto"/>
        <w:rPr>
          <w:rFonts w:ascii="宋体" w:hAnsi="宋体" w:eastAsia="宋体" w:cs="宋体"/>
          <w:sz w:val="24"/>
          <w:szCs w:val="24"/>
        </w:rPr>
      </w:pPr>
      <w:r>
        <w:rPr>
          <w:rFonts w:ascii="宋体" w:hAnsi="宋体" w:eastAsia="宋体" w:cs="宋体"/>
          <w:spacing w:val="-5"/>
          <w:sz w:val="24"/>
          <w:szCs w:val="24"/>
        </w:rPr>
        <w:t>10.2甲、乙双方因履行本合同而发生的或与本合同有关一切争议，双方应通过</w:t>
      </w:r>
      <w:r>
        <w:rPr>
          <w:rFonts w:ascii="宋体" w:hAnsi="宋体" w:eastAsia="宋体" w:cs="宋体"/>
          <w:spacing w:val="-6"/>
          <w:sz w:val="24"/>
          <w:szCs w:val="24"/>
        </w:rPr>
        <w:t>友好</w:t>
      </w:r>
      <w:r>
        <w:rPr>
          <w:rFonts w:ascii="宋体" w:hAnsi="宋体" w:eastAsia="宋体" w:cs="宋体"/>
          <w:spacing w:val="-2"/>
          <w:sz w:val="24"/>
          <w:szCs w:val="24"/>
        </w:rPr>
        <w:t>协商解决；如果协商不能解决，任何一方有权向甲方所在地有管辖权的人民法院提起诉</w:t>
      </w:r>
      <w:r>
        <w:rPr>
          <w:rFonts w:ascii="宋体" w:hAnsi="宋体" w:eastAsia="宋体" w:cs="宋体"/>
          <w:spacing w:val="-12"/>
          <w:sz w:val="24"/>
          <w:szCs w:val="24"/>
        </w:rPr>
        <w:t>讼。</w:t>
      </w:r>
    </w:p>
    <w:p w14:paraId="1B820695">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b/>
          <w:bCs/>
          <w:spacing w:val="-8"/>
          <w:sz w:val="24"/>
          <w:szCs w:val="24"/>
        </w:rPr>
        <w:t>11.附则</w:t>
      </w:r>
    </w:p>
    <w:p w14:paraId="2DB4ED0D">
      <w:pPr>
        <w:keepNext w:val="0"/>
        <w:keepLines w:val="0"/>
        <w:pageBreakBefore w:val="0"/>
        <w:widowControl w:val="0"/>
        <w:kinsoku/>
        <w:wordWrap/>
        <w:overflowPunct/>
        <w:topLinePunct w:val="0"/>
        <w:autoSpaceDE/>
        <w:autoSpaceDN/>
        <w:bidi w:val="0"/>
        <w:adjustRightInd/>
        <w:snapToGrid/>
        <w:spacing w:line="360" w:lineRule="auto"/>
        <w:ind w:left="0" w:right="0" w:firstLine="495"/>
        <w:textAlignment w:val="auto"/>
        <w:rPr>
          <w:rFonts w:ascii="宋体" w:hAnsi="宋体" w:eastAsia="宋体" w:cs="宋体"/>
          <w:sz w:val="24"/>
          <w:szCs w:val="24"/>
        </w:rPr>
      </w:pPr>
      <w:r>
        <w:rPr>
          <w:rFonts w:ascii="宋体" w:hAnsi="宋体" w:eastAsia="宋体" w:cs="宋体"/>
          <w:spacing w:val="-5"/>
          <w:sz w:val="24"/>
          <w:szCs w:val="24"/>
        </w:rPr>
        <w:t>11.1甲方如因行政区划调整发生就餐人员人数变更的，按实际就餐人数调整食</w:t>
      </w:r>
      <w:r>
        <w:rPr>
          <w:rFonts w:ascii="宋体" w:hAnsi="宋体" w:eastAsia="宋体" w:cs="宋体"/>
          <w:spacing w:val="-6"/>
          <w:sz w:val="24"/>
          <w:szCs w:val="24"/>
        </w:rPr>
        <w:t>材费</w:t>
      </w:r>
      <w:r>
        <w:rPr>
          <w:rFonts w:ascii="宋体" w:hAnsi="宋体" w:eastAsia="宋体" w:cs="宋体"/>
          <w:spacing w:val="-12"/>
          <w:sz w:val="24"/>
          <w:szCs w:val="24"/>
        </w:rPr>
        <w:t>用。</w:t>
      </w:r>
    </w:p>
    <w:p w14:paraId="0D72006A">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rPr>
          <w:rFonts w:ascii="宋体" w:hAnsi="宋体" w:eastAsia="宋体" w:cs="宋体"/>
          <w:sz w:val="24"/>
          <w:szCs w:val="24"/>
        </w:rPr>
      </w:pPr>
      <w:r>
        <w:rPr>
          <w:rFonts w:ascii="宋体" w:hAnsi="宋体" w:eastAsia="宋体" w:cs="宋体"/>
          <w:spacing w:val="-5"/>
          <w:sz w:val="24"/>
          <w:szCs w:val="24"/>
        </w:rPr>
        <w:t>11.2本合同不包括附件。</w:t>
      </w:r>
    </w:p>
    <w:p w14:paraId="6544F769">
      <w:pPr>
        <w:keepNext w:val="0"/>
        <w:keepLines w:val="0"/>
        <w:pageBreakBefore w:val="0"/>
        <w:widowControl w:val="0"/>
        <w:kinsoku/>
        <w:wordWrap/>
        <w:overflowPunct/>
        <w:topLinePunct w:val="0"/>
        <w:autoSpaceDE/>
        <w:autoSpaceDN/>
        <w:bidi w:val="0"/>
        <w:adjustRightInd/>
        <w:snapToGrid/>
        <w:spacing w:line="360" w:lineRule="auto"/>
        <w:ind w:left="0" w:right="0" w:firstLine="496"/>
        <w:textAlignment w:val="auto"/>
        <w:rPr>
          <w:rFonts w:ascii="宋体" w:hAnsi="宋体" w:eastAsia="宋体" w:cs="宋体"/>
          <w:sz w:val="24"/>
          <w:szCs w:val="24"/>
        </w:rPr>
      </w:pPr>
      <w:r>
        <w:rPr>
          <w:rFonts w:ascii="宋体" w:hAnsi="宋体" w:eastAsia="宋体" w:cs="宋体"/>
          <w:spacing w:val="-4"/>
          <w:sz w:val="24"/>
          <w:szCs w:val="24"/>
        </w:rPr>
        <w:t>11.3若本合同的部分条款根据法律规定成为无效或不能执行，则本合同其他条款的</w:t>
      </w:r>
      <w:r>
        <w:rPr>
          <w:rFonts w:ascii="宋体" w:hAnsi="宋体" w:eastAsia="宋体" w:cs="宋体"/>
          <w:spacing w:val="-5"/>
          <w:sz w:val="24"/>
          <w:szCs w:val="24"/>
        </w:rPr>
        <w:t>有效性、合法性和可执行性不受影响，任何一方不得以此为理由拒绝履行该合同其他的</w:t>
      </w:r>
      <w:r>
        <w:rPr>
          <w:rFonts w:ascii="宋体" w:hAnsi="宋体" w:eastAsia="宋体" w:cs="宋体"/>
          <w:spacing w:val="-11"/>
          <w:sz w:val="24"/>
          <w:szCs w:val="24"/>
        </w:rPr>
        <w:t>条款。</w:t>
      </w:r>
    </w:p>
    <w:p w14:paraId="5EBAC2E0">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ascii="宋体" w:hAnsi="宋体" w:eastAsia="宋体" w:cs="宋体"/>
          <w:sz w:val="24"/>
          <w:szCs w:val="24"/>
        </w:rPr>
      </w:pPr>
      <w:r>
        <w:rPr>
          <w:rFonts w:ascii="宋体" w:hAnsi="宋体" w:eastAsia="宋体" w:cs="宋体"/>
          <w:spacing w:val="-2"/>
          <w:sz w:val="24"/>
          <w:szCs w:val="24"/>
        </w:rPr>
        <w:t>11.4凡有关本合同的通知、请求或其他业务往来，需以书面形式为准。</w:t>
      </w:r>
    </w:p>
    <w:p w14:paraId="7DD446F7">
      <w:pPr>
        <w:keepNext w:val="0"/>
        <w:keepLines w:val="0"/>
        <w:pageBreakBefore w:val="0"/>
        <w:widowControl w:val="0"/>
        <w:kinsoku/>
        <w:wordWrap/>
        <w:overflowPunct/>
        <w:topLinePunct w:val="0"/>
        <w:autoSpaceDE/>
        <w:autoSpaceDN/>
        <w:bidi w:val="0"/>
        <w:adjustRightInd/>
        <w:snapToGrid/>
        <w:spacing w:line="360" w:lineRule="auto"/>
        <w:ind w:left="0" w:right="0" w:firstLine="496"/>
        <w:textAlignment w:val="auto"/>
        <w:rPr>
          <w:rFonts w:ascii="宋体" w:hAnsi="宋体" w:eastAsia="宋体" w:cs="宋体"/>
          <w:sz w:val="24"/>
          <w:szCs w:val="24"/>
        </w:rPr>
      </w:pPr>
      <w:r>
        <w:rPr>
          <w:rFonts w:ascii="宋体" w:hAnsi="宋体" w:eastAsia="宋体" w:cs="宋体"/>
          <w:spacing w:val="-9"/>
          <w:sz w:val="24"/>
          <w:szCs w:val="24"/>
        </w:rPr>
        <w:t>11.5本合同未尽事宜，经甲、乙双方协商解决，并由甲、乙双方另行</w:t>
      </w:r>
      <w:r>
        <w:rPr>
          <w:rFonts w:ascii="宋体" w:hAnsi="宋体" w:eastAsia="宋体" w:cs="宋体"/>
          <w:spacing w:val="-10"/>
          <w:sz w:val="24"/>
          <w:szCs w:val="24"/>
        </w:rPr>
        <w:t>签订补充协议。</w:t>
      </w:r>
      <w:r>
        <w:rPr>
          <w:rFonts w:ascii="宋体" w:hAnsi="宋体" w:eastAsia="宋体" w:cs="宋体"/>
          <w:spacing w:val="-2"/>
          <w:sz w:val="24"/>
          <w:szCs w:val="24"/>
        </w:rPr>
        <w:t>合同履行过程中发生的变更或因政策因素引起的合同内容调整，对其也具有一样的约束力。餐饮服务方案为本合同的附件，与本合同具有同等法律效力。</w:t>
      </w:r>
    </w:p>
    <w:p w14:paraId="00571843">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rPr>
          <w:rFonts w:ascii="宋体" w:hAnsi="宋体" w:eastAsia="宋体" w:cs="宋体"/>
          <w:sz w:val="24"/>
          <w:szCs w:val="24"/>
        </w:rPr>
      </w:pPr>
      <w:r>
        <w:rPr>
          <w:rFonts w:ascii="宋体" w:hAnsi="宋体" w:eastAsia="宋体" w:cs="宋体"/>
          <w:spacing w:val="-3"/>
          <w:sz w:val="24"/>
          <w:szCs w:val="24"/>
        </w:rPr>
        <w:t>11.6本合同共</w:t>
      </w:r>
      <w:r>
        <w:rPr>
          <w:rFonts w:hint="eastAsia" w:ascii="宋体" w:hAnsi="宋体" w:cs="宋体"/>
          <w:spacing w:val="-3"/>
          <w:sz w:val="24"/>
          <w:szCs w:val="24"/>
          <w:u w:val="single"/>
          <w:lang w:val="en-US" w:eastAsia="zh-CN"/>
        </w:rPr>
        <w:t xml:space="preserve">  </w:t>
      </w:r>
      <w:r>
        <w:rPr>
          <w:rFonts w:ascii="宋体" w:hAnsi="宋体" w:eastAsia="宋体" w:cs="宋体"/>
          <w:spacing w:val="-3"/>
          <w:sz w:val="24"/>
          <w:szCs w:val="24"/>
        </w:rPr>
        <w:t>页，以中文签署、A4纸打印。</w:t>
      </w:r>
    </w:p>
    <w:p w14:paraId="5F909866">
      <w:pPr>
        <w:keepNext w:val="0"/>
        <w:keepLines w:val="0"/>
        <w:pageBreakBefore w:val="0"/>
        <w:widowControl w:val="0"/>
        <w:kinsoku/>
        <w:wordWrap/>
        <w:overflowPunct/>
        <w:topLinePunct w:val="0"/>
        <w:autoSpaceDE/>
        <w:autoSpaceDN/>
        <w:bidi w:val="0"/>
        <w:adjustRightInd/>
        <w:snapToGrid/>
        <w:spacing w:line="360" w:lineRule="auto"/>
        <w:ind w:right="0" w:firstLine="472" w:firstLineChars="200"/>
        <w:textAlignment w:val="auto"/>
        <w:rPr>
          <w:rFonts w:ascii="宋体" w:hAnsi="宋体" w:eastAsia="宋体" w:cs="宋体"/>
          <w:sz w:val="24"/>
          <w:szCs w:val="24"/>
        </w:rPr>
      </w:pPr>
      <w:r>
        <w:rPr>
          <w:rFonts w:ascii="宋体" w:hAnsi="宋体" w:eastAsia="宋体" w:cs="宋体"/>
          <w:spacing w:val="-2"/>
          <w:sz w:val="24"/>
          <w:szCs w:val="24"/>
        </w:rPr>
        <w:t>11.7本合同一式肆份，甲乙双方各执两份。合同双方签字盖公章后本合同生效。</w:t>
      </w:r>
      <w:r>
        <w:rPr>
          <w:rFonts w:ascii="宋体" w:hAnsi="宋体" w:eastAsia="宋体" w:cs="宋体"/>
          <w:b/>
          <w:bCs/>
          <w:spacing w:val="-3"/>
          <w:sz w:val="24"/>
          <w:szCs w:val="24"/>
        </w:rPr>
        <w:t>（以下为签字盖章页，无正文）</w:t>
      </w:r>
    </w:p>
    <w:p w14:paraId="2F3312BD">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sectPr>
          <w:headerReference r:id="rId17" w:type="default"/>
          <w:footerReference r:id="rId18" w:type="default"/>
          <w:pgSz w:w="11907" w:h="16840"/>
          <w:pgMar w:top="1136" w:right="1048" w:bottom="1186" w:left="1672" w:header="859" w:footer="952" w:gutter="0"/>
          <w:pgNumType w:fmt="decimal"/>
          <w:cols w:space="720" w:num="1"/>
        </w:sectPr>
      </w:pPr>
    </w:p>
    <w:p w14:paraId="5CE523FE">
      <w:pPr>
        <w:keepNext w:val="0"/>
        <w:keepLines w:val="0"/>
        <w:pageBreakBefore w:val="0"/>
        <w:widowControl w:val="0"/>
        <w:tabs>
          <w:tab w:val="left" w:pos="6267"/>
          <w:tab w:val="left" w:pos="6275"/>
        </w:tabs>
        <w:kinsoku/>
        <w:overflowPunct/>
        <w:topLinePunct w:val="0"/>
        <w:autoSpaceDE/>
        <w:autoSpaceDN/>
        <w:bidi w:val="0"/>
        <w:adjustRightInd/>
        <w:snapToGrid/>
        <w:spacing w:line="480" w:lineRule="auto"/>
        <w:ind w:left="0" w:right="0" w:firstLine="22"/>
        <w:jc w:val="both"/>
        <w:textAlignment w:val="auto"/>
        <w:rPr>
          <w:rFonts w:hint="eastAsia" w:ascii="宋体" w:hAnsi="宋体" w:eastAsia="宋体" w:cs="宋体"/>
          <w:spacing w:val="-1"/>
          <w:sz w:val="24"/>
          <w:szCs w:val="24"/>
          <w:lang w:eastAsia="zh-CN"/>
        </w:rPr>
      </w:pPr>
      <w:bookmarkStart w:id="648" w:name="bookmark8"/>
      <w:bookmarkEnd w:id="648"/>
      <w:r>
        <w:rPr>
          <w:rFonts w:ascii="宋体" w:hAnsi="宋体" w:eastAsia="宋体" w:cs="宋体"/>
          <w:b/>
          <w:bCs/>
          <w:spacing w:val="-1"/>
          <w:sz w:val="24"/>
          <w:szCs w:val="24"/>
        </w:rPr>
        <w:t>甲方：（盖章）</w:t>
      </w:r>
    </w:p>
    <w:p w14:paraId="0463932D">
      <w:pPr>
        <w:keepNext w:val="0"/>
        <w:keepLines w:val="0"/>
        <w:pageBreakBefore w:val="0"/>
        <w:widowControl w:val="0"/>
        <w:tabs>
          <w:tab w:val="left" w:pos="6267"/>
          <w:tab w:val="left" w:pos="6275"/>
        </w:tabs>
        <w:kinsoku/>
        <w:overflowPunct/>
        <w:topLinePunct w:val="0"/>
        <w:autoSpaceDE/>
        <w:autoSpaceDN/>
        <w:bidi w:val="0"/>
        <w:adjustRightInd/>
        <w:snapToGrid/>
        <w:spacing w:line="480" w:lineRule="auto"/>
        <w:ind w:left="0" w:right="0" w:firstLine="22"/>
        <w:jc w:val="both"/>
        <w:textAlignment w:val="auto"/>
        <w:rPr>
          <w:rFonts w:hint="eastAsia" w:ascii="宋体" w:hAnsi="宋体" w:eastAsia="宋体" w:cs="宋体"/>
          <w:sz w:val="24"/>
          <w:szCs w:val="24"/>
          <w:lang w:eastAsia="zh-CN"/>
        </w:rPr>
      </w:pPr>
      <w:r>
        <w:rPr>
          <w:rFonts w:ascii="宋体" w:hAnsi="宋体" w:eastAsia="宋体" w:cs="宋体"/>
          <w:spacing w:val="-1"/>
          <w:sz w:val="24"/>
          <w:szCs w:val="24"/>
        </w:rPr>
        <w:t>法定代表人或授权代表：</w:t>
      </w:r>
      <w:r>
        <w:rPr>
          <w:rFonts w:ascii="宋体" w:hAnsi="宋体" w:eastAsia="宋体" w:cs="宋体"/>
          <w:spacing w:val="2"/>
          <w:sz w:val="24"/>
          <w:szCs w:val="24"/>
        </w:rPr>
        <w:t>（</w:t>
      </w:r>
      <w:r>
        <w:rPr>
          <w:rFonts w:ascii="宋体" w:hAnsi="宋体" w:eastAsia="宋体" w:cs="宋体"/>
          <w:spacing w:val="-1"/>
          <w:sz w:val="24"/>
          <w:szCs w:val="24"/>
        </w:rPr>
        <w:t>签字或签公章）</w:t>
      </w:r>
    </w:p>
    <w:p w14:paraId="72D4E066">
      <w:pPr>
        <w:pStyle w:val="17"/>
        <w:keepNext w:val="0"/>
        <w:keepLines w:val="0"/>
        <w:pageBreakBefore w:val="0"/>
        <w:widowControl w:val="0"/>
        <w:kinsoku/>
        <w:overflowPunct/>
        <w:topLinePunct w:val="0"/>
        <w:autoSpaceDE/>
        <w:autoSpaceDN/>
        <w:bidi w:val="0"/>
        <w:adjustRightInd/>
        <w:snapToGrid/>
        <w:spacing w:before="0" w:line="480" w:lineRule="auto"/>
        <w:ind w:left="0" w:right="0"/>
        <w:textAlignment w:val="auto"/>
        <w:rPr>
          <w:rFonts w:hint="eastAsia"/>
        </w:rPr>
      </w:pPr>
      <w:r>
        <w:rPr>
          <w:rFonts w:hint="eastAsia"/>
        </w:rPr>
        <w:t>开户行：</w:t>
      </w:r>
    </w:p>
    <w:p w14:paraId="56DCD72E">
      <w:pPr>
        <w:pStyle w:val="17"/>
        <w:keepNext w:val="0"/>
        <w:keepLines w:val="0"/>
        <w:pageBreakBefore w:val="0"/>
        <w:widowControl w:val="0"/>
        <w:kinsoku/>
        <w:overflowPunct/>
        <w:topLinePunct w:val="0"/>
        <w:autoSpaceDE/>
        <w:autoSpaceDN/>
        <w:bidi w:val="0"/>
        <w:adjustRightInd/>
        <w:snapToGrid/>
        <w:spacing w:before="0" w:line="480" w:lineRule="auto"/>
        <w:ind w:left="0" w:right="0"/>
        <w:textAlignment w:val="auto"/>
        <w:rPr>
          <w:rFonts w:hint="eastAsia"/>
        </w:rPr>
      </w:pPr>
      <w:r>
        <w:rPr>
          <w:rFonts w:hint="eastAsia"/>
        </w:rPr>
        <w:t>银行账号：</w:t>
      </w:r>
    </w:p>
    <w:p w14:paraId="483B917E">
      <w:pPr>
        <w:pStyle w:val="17"/>
        <w:keepNext w:val="0"/>
        <w:keepLines w:val="0"/>
        <w:pageBreakBefore w:val="0"/>
        <w:widowControl w:val="0"/>
        <w:kinsoku/>
        <w:overflowPunct/>
        <w:topLinePunct w:val="0"/>
        <w:autoSpaceDE/>
        <w:autoSpaceDN/>
        <w:bidi w:val="0"/>
        <w:adjustRightInd/>
        <w:snapToGrid/>
        <w:spacing w:before="0" w:line="480" w:lineRule="auto"/>
        <w:ind w:left="0" w:right="0"/>
        <w:textAlignment w:val="auto"/>
      </w:pPr>
      <w:r>
        <w:rPr>
          <w:rFonts w:hint="eastAsia"/>
        </w:rPr>
        <w:t>签订日期：  年  月  日</w:t>
      </w:r>
    </w:p>
    <w:p w14:paraId="45B8849C">
      <w:pPr>
        <w:pStyle w:val="17"/>
        <w:keepNext w:val="0"/>
        <w:keepLines w:val="0"/>
        <w:pageBreakBefore w:val="0"/>
        <w:widowControl w:val="0"/>
        <w:kinsoku/>
        <w:overflowPunct/>
        <w:topLinePunct w:val="0"/>
        <w:autoSpaceDE/>
        <w:autoSpaceDN/>
        <w:bidi w:val="0"/>
        <w:adjustRightInd/>
        <w:snapToGrid/>
        <w:spacing w:before="0" w:line="480" w:lineRule="auto"/>
        <w:ind w:left="0" w:right="0"/>
        <w:textAlignment w:val="auto"/>
      </w:pPr>
    </w:p>
    <w:p w14:paraId="0CBC81F5">
      <w:pPr>
        <w:keepNext w:val="0"/>
        <w:keepLines w:val="0"/>
        <w:pageBreakBefore w:val="0"/>
        <w:widowControl w:val="0"/>
        <w:tabs>
          <w:tab w:val="left" w:pos="6267"/>
          <w:tab w:val="left" w:pos="6275"/>
        </w:tabs>
        <w:kinsoku/>
        <w:wordWrap w:val="0"/>
        <w:overflowPunct/>
        <w:topLinePunct w:val="0"/>
        <w:autoSpaceDE/>
        <w:autoSpaceDN/>
        <w:bidi w:val="0"/>
        <w:adjustRightInd/>
        <w:snapToGrid/>
        <w:spacing w:line="480" w:lineRule="auto"/>
        <w:ind w:left="0" w:right="0" w:firstLine="22"/>
        <w:jc w:val="left"/>
        <w:textAlignment w:val="auto"/>
        <w:rPr>
          <w:rFonts w:ascii="宋体" w:hAnsi="宋体" w:eastAsia="宋体" w:cs="宋体"/>
          <w:b/>
          <w:bCs/>
          <w:spacing w:val="-1"/>
          <w:sz w:val="24"/>
          <w:szCs w:val="24"/>
        </w:rPr>
      </w:pPr>
      <w:bookmarkStart w:id="649" w:name="bookmark6"/>
      <w:bookmarkEnd w:id="649"/>
      <w:r>
        <w:rPr>
          <w:rFonts w:ascii="宋体" w:hAnsi="宋体" w:eastAsia="宋体" w:cs="宋体"/>
          <w:b/>
          <w:bCs/>
          <w:spacing w:val="-1"/>
          <w:sz w:val="24"/>
          <w:szCs w:val="24"/>
        </w:rPr>
        <w:t>乙方</w:t>
      </w:r>
      <w:r>
        <w:rPr>
          <w:rFonts w:ascii="宋体" w:hAnsi="宋体" w:eastAsia="宋体" w:cs="宋体"/>
          <w:b/>
          <w:bCs/>
          <w:spacing w:val="-19"/>
          <w:sz w:val="24"/>
          <w:szCs w:val="24"/>
        </w:rPr>
        <w:t>：（</w:t>
      </w:r>
      <w:r>
        <w:rPr>
          <w:rFonts w:ascii="宋体" w:hAnsi="宋体" w:eastAsia="宋体" w:cs="宋体"/>
          <w:b/>
          <w:bCs/>
          <w:spacing w:val="-1"/>
          <w:sz w:val="24"/>
          <w:szCs w:val="24"/>
        </w:rPr>
        <w:t>盖章）</w:t>
      </w:r>
    </w:p>
    <w:p w14:paraId="62F2BD9A">
      <w:pPr>
        <w:keepNext w:val="0"/>
        <w:keepLines w:val="0"/>
        <w:pageBreakBefore w:val="0"/>
        <w:widowControl w:val="0"/>
        <w:tabs>
          <w:tab w:val="left" w:pos="6267"/>
          <w:tab w:val="left" w:pos="6275"/>
        </w:tabs>
        <w:kinsoku/>
        <w:wordWrap w:val="0"/>
        <w:overflowPunct/>
        <w:topLinePunct w:val="0"/>
        <w:autoSpaceDE/>
        <w:autoSpaceDN/>
        <w:bidi w:val="0"/>
        <w:adjustRightInd/>
        <w:snapToGrid/>
        <w:spacing w:line="480" w:lineRule="auto"/>
        <w:ind w:left="0" w:right="0" w:firstLine="22"/>
        <w:jc w:val="left"/>
        <w:textAlignment w:val="auto"/>
        <w:rPr>
          <w:rFonts w:ascii="宋体" w:hAnsi="宋体" w:eastAsia="宋体" w:cs="宋体"/>
          <w:spacing w:val="-1"/>
          <w:sz w:val="24"/>
          <w:szCs w:val="24"/>
        </w:rPr>
      </w:pPr>
      <w:r>
        <w:rPr>
          <w:rFonts w:ascii="宋体" w:hAnsi="宋体" w:eastAsia="宋体" w:cs="宋体"/>
          <w:spacing w:val="-1"/>
          <w:sz w:val="24"/>
          <w:szCs w:val="24"/>
        </w:rPr>
        <w:t>法定代表人或授权代表</w:t>
      </w:r>
      <w:r>
        <w:rPr>
          <w:rFonts w:ascii="宋体" w:hAnsi="宋体" w:eastAsia="宋体" w:cs="宋体"/>
          <w:spacing w:val="2"/>
          <w:sz w:val="24"/>
          <w:szCs w:val="24"/>
        </w:rPr>
        <w:t>：（</w:t>
      </w:r>
      <w:r>
        <w:rPr>
          <w:rFonts w:ascii="宋体" w:hAnsi="宋体" w:eastAsia="宋体" w:cs="宋体"/>
          <w:spacing w:val="-1"/>
          <w:sz w:val="24"/>
          <w:szCs w:val="24"/>
        </w:rPr>
        <w:t>签字或签公章）</w:t>
      </w:r>
    </w:p>
    <w:p w14:paraId="095BB518">
      <w:pPr>
        <w:keepNext w:val="0"/>
        <w:keepLines w:val="0"/>
        <w:pageBreakBefore w:val="0"/>
        <w:widowControl w:val="0"/>
        <w:tabs>
          <w:tab w:val="left" w:pos="6267"/>
          <w:tab w:val="left" w:pos="6275"/>
        </w:tabs>
        <w:kinsoku/>
        <w:wordWrap w:val="0"/>
        <w:overflowPunct/>
        <w:topLinePunct w:val="0"/>
        <w:autoSpaceDE/>
        <w:autoSpaceDN/>
        <w:bidi w:val="0"/>
        <w:adjustRightInd/>
        <w:snapToGrid/>
        <w:spacing w:line="480" w:lineRule="auto"/>
        <w:ind w:left="0" w:right="0" w:firstLine="22"/>
        <w:jc w:val="left"/>
        <w:textAlignment w:val="auto"/>
        <w:rPr>
          <w:rFonts w:ascii="宋体" w:hAnsi="宋体" w:eastAsia="宋体" w:cs="宋体"/>
          <w:spacing w:val="-3"/>
          <w:sz w:val="24"/>
          <w:szCs w:val="24"/>
        </w:rPr>
      </w:pPr>
      <w:r>
        <w:rPr>
          <w:rFonts w:ascii="宋体" w:hAnsi="宋体" w:eastAsia="宋体" w:cs="宋体"/>
          <w:spacing w:val="-3"/>
          <w:sz w:val="24"/>
          <w:szCs w:val="24"/>
        </w:rPr>
        <w:t>开户行：</w:t>
      </w:r>
    </w:p>
    <w:p w14:paraId="3A65B2F1">
      <w:pPr>
        <w:keepNext w:val="0"/>
        <w:keepLines w:val="0"/>
        <w:pageBreakBefore w:val="0"/>
        <w:widowControl w:val="0"/>
        <w:tabs>
          <w:tab w:val="left" w:pos="6267"/>
          <w:tab w:val="left" w:pos="6275"/>
        </w:tabs>
        <w:kinsoku/>
        <w:wordWrap w:val="0"/>
        <w:overflowPunct/>
        <w:topLinePunct w:val="0"/>
        <w:autoSpaceDE/>
        <w:autoSpaceDN/>
        <w:bidi w:val="0"/>
        <w:adjustRightInd/>
        <w:snapToGrid/>
        <w:spacing w:line="480" w:lineRule="auto"/>
        <w:ind w:left="0" w:right="0" w:firstLine="22"/>
        <w:jc w:val="left"/>
        <w:textAlignment w:val="auto"/>
        <w:rPr>
          <w:rFonts w:hint="eastAsia" w:ascii="宋体" w:hAnsi="宋体" w:eastAsia="宋体" w:cs="宋体"/>
          <w:sz w:val="24"/>
          <w:szCs w:val="24"/>
          <w:lang w:eastAsia="zh-CN"/>
        </w:rPr>
      </w:pPr>
      <w:r>
        <w:rPr>
          <w:rFonts w:ascii="宋体" w:hAnsi="宋体" w:eastAsia="宋体" w:cs="宋体"/>
          <w:spacing w:val="-3"/>
          <w:sz w:val="24"/>
          <w:szCs w:val="24"/>
        </w:rPr>
        <w:t>银行账号：</w:t>
      </w:r>
    </w:p>
    <w:p w14:paraId="504A5079">
      <w:pPr>
        <w:keepNext w:val="0"/>
        <w:keepLines w:val="0"/>
        <w:pageBreakBefore w:val="0"/>
        <w:widowControl w:val="0"/>
        <w:kinsoku/>
        <w:wordWrap w:val="0"/>
        <w:overflowPunct/>
        <w:topLinePunct w:val="0"/>
        <w:autoSpaceDE/>
        <w:autoSpaceDN/>
        <w:bidi w:val="0"/>
        <w:adjustRightInd/>
        <w:snapToGrid/>
        <w:spacing w:line="480" w:lineRule="auto"/>
        <w:ind w:left="0" w:right="0"/>
        <w:jc w:val="left"/>
        <w:textAlignment w:val="auto"/>
        <w:rPr>
          <w:rFonts w:ascii="宋体" w:hAnsi="宋体" w:eastAsia="宋体" w:cs="宋体"/>
          <w:sz w:val="24"/>
          <w:szCs w:val="24"/>
        </w:rPr>
      </w:pPr>
      <w:r>
        <w:rPr>
          <w:rFonts w:ascii="宋体" w:hAnsi="宋体" w:eastAsia="宋体" w:cs="宋体"/>
          <w:spacing w:val="-2"/>
          <w:sz w:val="24"/>
          <w:szCs w:val="24"/>
        </w:rPr>
        <w:t>签订日期：</w:t>
      </w:r>
      <w:r>
        <w:rPr>
          <w:rFonts w:hint="eastAsia" w:ascii="宋体" w:hAnsi="宋体" w:cs="宋体"/>
          <w:spacing w:val="-2"/>
          <w:sz w:val="24"/>
          <w:szCs w:val="24"/>
          <w:u w:val="single"/>
          <w:lang w:val="en-US" w:eastAsia="zh-CN"/>
        </w:rPr>
        <w:t xml:space="preserve">  </w:t>
      </w:r>
      <w:r>
        <w:rPr>
          <w:rFonts w:ascii="宋体" w:hAnsi="宋体" w:eastAsia="宋体" w:cs="宋体"/>
          <w:spacing w:val="-2"/>
          <w:sz w:val="24"/>
          <w:szCs w:val="24"/>
        </w:rPr>
        <w:t>年</w:t>
      </w:r>
      <w:r>
        <w:rPr>
          <w:rFonts w:hint="eastAsia" w:ascii="宋体" w:hAnsi="宋体" w:cs="宋体"/>
          <w:spacing w:val="-2"/>
          <w:sz w:val="24"/>
          <w:szCs w:val="24"/>
          <w:u w:val="single"/>
          <w:lang w:val="en-US" w:eastAsia="zh-CN"/>
        </w:rPr>
        <w:t xml:space="preserve">  </w:t>
      </w:r>
      <w:r>
        <w:rPr>
          <w:rFonts w:ascii="宋体" w:hAnsi="宋体" w:eastAsia="宋体" w:cs="宋体"/>
          <w:spacing w:val="-2"/>
          <w:sz w:val="24"/>
          <w:szCs w:val="24"/>
        </w:rPr>
        <w:t>月</w:t>
      </w:r>
      <w:r>
        <w:rPr>
          <w:rFonts w:hint="eastAsia" w:ascii="宋体" w:hAnsi="宋体" w:cs="宋体"/>
          <w:spacing w:val="-2"/>
          <w:sz w:val="24"/>
          <w:szCs w:val="24"/>
          <w:u w:val="single"/>
          <w:lang w:val="en-US" w:eastAsia="zh-CN"/>
        </w:rPr>
        <w:t xml:space="preserve">  </w:t>
      </w:r>
      <w:r>
        <w:rPr>
          <w:rFonts w:ascii="宋体" w:hAnsi="宋体" w:eastAsia="宋体" w:cs="宋体"/>
          <w:spacing w:val="-2"/>
          <w:sz w:val="24"/>
          <w:szCs w:val="24"/>
        </w:rPr>
        <w:t>日</w:t>
      </w:r>
    </w:p>
    <w:p w14:paraId="18EBECF8">
      <w:pPr>
        <w:spacing w:line="219" w:lineRule="auto"/>
        <w:rPr>
          <w:rFonts w:ascii="宋体" w:hAnsi="宋体" w:eastAsia="宋体" w:cs="宋体"/>
          <w:sz w:val="24"/>
          <w:szCs w:val="24"/>
        </w:rPr>
        <w:sectPr>
          <w:headerReference r:id="rId19" w:type="default"/>
          <w:footerReference r:id="rId20" w:type="default"/>
          <w:pgSz w:w="11907" w:h="16840"/>
          <w:pgMar w:top="1136" w:right="1133" w:bottom="1186" w:left="1672" w:header="859" w:footer="952" w:gutter="0"/>
          <w:pgNumType w:fmt="decimal"/>
          <w:cols w:space="720" w:num="1"/>
        </w:sectPr>
      </w:pPr>
    </w:p>
    <w:p w14:paraId="3DA1D1BC">
      <w:pPr>
        <w:shd w:val="clear" w:color="auto" w:fill="auto"/>
        <w:tabs>
          <w:tab w:val="left" w:pos="900"/>
          <w:tab w:val="left" w:pos="1080"/>
        </w:tabs>
        <w:snapToGrid w:val="0"/>
        <w:spacing w:line="360" w:lineRule="auto"/>
        <w:jc w:val="center"/>
        <w:outlineLvl w:val="0"/>
        <w:rPr>
          <w:rFonts w:hint="eastAsia" w:ascii="仿宋" w:hAnsi="仿宋" w:eastAsia="仿宋" w:cs="仿宋"/>
          <w:b/>
          <w:color w:val="auto"/>
          <w:sz w:val="36"/>
          <w:szCs w:val="36"/>
          <w:highlight w:val="none"/>
        </w:rPr>
      </w:pPr>
      <w:bookmarkStart w:id="650" w:name="_Toc9415"/>
      <w:bookmarkStart w:id="651" w:name="_Toc12944"/>
      <w:r>
        <w:rPr>
          <w:rFonts w:hint="eastAsia" w:ascii="仿宋" w:hAnsi="仿宋" w:eastAsia="仿宋" w:cs="仿宋"/>
          <w:b/>
          <w:color w:val="auto"/>
          <w:sz w:val="36"/>
          <w:szCs w:val="36"/>
          <w:highlight w:val="none"/>
        </w:rPr>
        <w:t>第六章响应文件格式</w:t>
      </w:r>
      <w:bookmarkEnd w:id="650"/>
      <w:bookmarkEnd w:id="651"/>
    </w:p>
    <w:p w14:paraId="1C05ED9E">
      <w:pPr>
        <w:widowControl/>
        <w:shd w:val="clear" w:color="auto" w:fill="auto"/>
        <w:spacing w:line="360" w:lineRule="auto"/>
        <w:jc w:val="left"/>
        <w:rPr>
          <w:rFonts w:hint="eastAsia" w:ascii="仿宋" w:hAnsi="仿宋" w:eastAsia="仿宋" w:cs="仿宋"/>
          <w:b/>
          <w:color w:val="auto"/>
          <w:sz w:val="24"/>
          <w:highlight w:val="none"/>
        </w:rPr>
      </w:pPr>
    </w:p>
    <w:p w14:paraId="7755D43E">
      <w:pPr>
        <w:shd w:val="clear" w:color="auto" w:fill="auto"/>
        <w:tabs>
          <w:tab w:val="left" w:pos="900"/>
          <w:tab w:val="left" w:pos="1980"/>
        </w:tabs>
        <w:snapToGrid w:val="0"/>
        <w:spacing w:line="360" w:lineRule="auto"/>
        <w:ind w:left="142"/>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供应商编制文件须知</w:t>
      </w:r>
    </w:p>
    <w:p w14:paraId="4143179F">
      <w:pPr>
        <w:shd w:val="clear" w:color="auto" w:fill="auto"/>
        <w:tabs>
          <w:tab w:val="left" w:pos="900"/>
          <w:tab w:val="left" w:pos="1980"/>
        </w:tabs>
        <w:snapToGrid w:val="0"/>
        <w:spacing w:line="360" w:lineRule="auto"/>
        <w:ind w:left="142"/>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1、供应商按照本部分的顺序编制响应文件，编制中涉及格式资料的，应按照本部分提供的内容和格式（所有表格的格式可扩展）填写提交。</w:t>
      </w:r>
    </w:p>
    <w:p w14:paraId="428A5C80">
      <w:pPr>
        <w:shd w:val="clear" w:color="auto" w:fill="auto"/>
        <w:tabs>
          <w:tab w:val="left" w:pos="900"/>
          <w:tab w:val="left" w:pos="1980"/>
        </w:tabs>
        <w:snapToGrid w:val="0"/>
        <w:spacing w:line="360" w:lineRule="auto"/>
        <w:ind w:left="142"/>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kern w:val="0"/>
          <w:sz w:val="24"/>
          <w:highlight w:val="none"/>
        </w:rPr>
        <w:t>对于竞争性磋商文件中标记了“实质性格式”文件的，供应商</w:t>
      </w:r>
      <w:r>
        <w:rPr>
          <w:rFonts w:hint="eastAsia" w:ascii="仿宋" w:hAnsi="仿宋" w:eastAsia="仿宋" w:cs="仿宋"/>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b/>
          <w:color w:val="auto"/>
          <w:kern w:val="0"/>
          <w:sz w:val="24"/>
          <w:highlight w:val="none"/>
        </w:rPr>
        <w:t>否则响应无效</w:t>
      </w:r>
      <w:r>
        <w:rPr>
          <w:rFonts w:hint="eastAsia" w:ascii="仿宋" w:hAnsi="仿宋" w:eastAsia="仿宋" w:cs="仿宋"/>
          <w:color w:val="auto"/>
          <w:kern w:val="0"/>
          <w:sz w:val="24"/>
          <w:highlight w:val="none"/>
        </w:rPr>
        <w:t>。未标记“实质性格式”的文件和竞争性磋商文件未提供格式的内容，可由供应商自行编写。</w:t>
      </w:r>
    </w:p>
    <w:p w14:paraId="2E5501E9">
      <w:pPr>
        <w:shd w:val="clear" w:color="auto" w:fill="auto"/>
        <w:tabs>
          <w:tab w:val="left" w:pos="900"/>
          <w:tab w:val="left" w:pos="1980"/>
        </w:tabs>
        <w:snapToGrid w:val="0"/>
        <w:spacing w:line="360" w:lineRule="auto"/>
        <w:ind w:left="142"/>
        <w:rPr>
          <w:rFonts w:hint="eastAsia" w:ascii="仿宋" w:hAnsi="仿宋" w:eastAsia="仿宋" w:cs="仿宋"/>
          <w:color w:val="auto"/>
          <w:sz w:val="24"/>
          <w:highlight w:val="none"/>
        </w:rPr>
      </w:pPr>
      <w:r>
        <w:rPr>
          <w:rFonts w:hint="eastAsia" w:ascii="仿宋" w:hAnsi="仿宋" w:eastAsia="仿宋" w:cs="仿宋"/>
          <w:color w:val="auto"/>
          <w:sz w:val="24"/>
          <w:highlight w:val="none"/>
        </w:rPr>
        <w:t>3、全部声明和问题的回答及所附材料必须是真实的、准确的和完整的。</w:t>
      </w:r>
    </w:p>
    <w:p w14:paraId="6E21E1CE">
      <w:pPr>
        <w:shd w:val="clear" w:color="auto" w:fill="auto"/>
        <w:tabs>
          <w:tab w:val="left" w:pos="900"/>
          <w:tab w:val="left" w:pos="1980"/>
        </w:tabs>
        <w:snapToGrid w:val="0"/>
        <w:spacing w:line="360" w:lineRule="auto"/>
        <w:ind w:left="142"/>
        <w:rPr>
          <w:rFonts w:hint="eastAsia" w:ascii="仿宋" w:hAnsi="仿宋" w:eastAsia="仿宋" w:cs="仿宋"/>
          <w:color w:val="auto"/>
          <w:sz w:val="24"/>
          <w:highlight w:val="none"/>
        </w:rPr>
      </w:pPr>
    </w:p>
    <w:p w14:paraId="7C7FAB33">
      <w:pPr>
        <w:widowControl/>
        <w:shd w:val="clear" w:color="auto" w:fill="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14:paraId="7BDCF409">
      <w:pPr>
        <w:shd w:val="clear" w:color="auto" w:fill="auto"/>
        <w:rPr>
          <w:rFonts w:hint="eastAsia" w:ascii="仿宋" w:hAnsi="仿宋" w:eastAsia="仿宋" w:cs="仿宋"/>
          <w:b/>
          <w:color w:val="auto"/>
          <w:spacing w:val="20"/>
          <w:szCs w:val="21"/>
          <w:highlight w:val="none"/>
        </w:rPr>
      </w:pPr>
    </w:p>
    <w:p w14:paraId="70AE159F">
      <w:pPr>
        <w:shd w:val="clear" w:color="auto" w:fill="auto"/>
        <w:rPr>
          <w:rFonts w:hint="eastAsia" w:ascii="仿宋" w:hAnsi="仿宋" w:eastAsia="仿宋" w:cs="仿宋"/>
          <w:b/>
          <w:color w:val="auto"/>
          <w:sz w:val="24"/>
          <w:highlight w:val="none"/>
        </w:rPr>
      </w:pPr>
      <w:r>
        <w:rPr>
          <w:rFonts w:hint="eastAsia" w:ascii="仿宋" w:hAnsi="仿宋" w:eastAsia="仿宋" w:cs="仿宋"/>
          <w:b/>
          <w:color w:val="auto"/>
          <w:spacing w:val="20"/>
          <w:sz w:val="24"/>
          <w:highlight w:val="none"/>
        </w:rPr>
        <w:t>响应文件</w:t>
      </w:r>
      <w:r>
        <w:rPr>
          <w:rFonts w:hint="eastAsia" w:ascii="仿宋" w:hAnsi="仿宋" w:eastAsia="仿宋" w:cs="仿宋"/>
          <w:b/>
          <w:color w:val="auto"/>
          <w:sz w:val="24"/>
          <w:highlight w:val="none"/>
        </w:rPr>
        <w:t>封面（非实质性格式）</w:t>
      </w:r>
    </w:p>
    <w:p w14:paraId="230BDC6A">
      <w:pPr>
        <w:shd w:val="clear" w:color="auto" w:fill="auto"/>
        <w:jc w:val="center"/>
        <w:rPr>
          <w:rFonts w:hint="eastAsia" w:ascii="仿宋" w:hAnsi="仿宋" w:eastAsia="仿宋" w:cs="仿宋"/>
          <w:color w:val="auto"/>
          <w:szCs w:val="21"/>
          <w:highlight w:val="none"/>
        </w:rPr>
      </w:pPr>
    </w:p>
    <w:p w14:paraId="3B8F2A25">
      <w:pPr>
        <w:shd w:val="clear" w:color="auto" w:fill="auto"/>
        <w:jc w:val="center"/>
        <w:rPr>
          <w:rFonts w:hint="eastAsia" w:ascii="仿宋" w:hAnsi="仿宋" w:eastAsia="仿宋" w:cs="仿宋"/>
          <w:b/>
          <w:color w:val="auto"/>
          <w:spacing w:val="60"/>
          <w:sz w:val="84"/>
          <w:szCs w:val="84"/>
          <w:highlight w:val="none"/>
        </w:rPr>
      </w:pPr>
      <w:r>
        <w:rPr>
          <w:rFonts w:hint="eastAsia" w:ascii="仿宋" w:hAnsi="仿宋" w:eastAsia="仿宋" w:cs="仿宋"/>
          <w:b/>
          <w:color w:val="auto"/>
          <w:spacing w:val="60"/>
          <w:sz w:val="84"/>
          <w:szCs w:val="84"/>
          <w:highlight w:val="none"/>
        </w:rPr>
        <w:t>响应文件</w:t>
      </w:r>
    </w:p>
    <w:p w14:paraId="233E4C42">
      <w:pPr>
        <w:shd w:val="clear" w:color="auto" w:fill="auto"/>
        <w:jc w:val="center"/>
        <w:rPr>
          <w:rFonts w:hint="eastAsia" w:ascii="仿宋" w:hAnsi="仿宋" w:eastAsia="仿宋" w:cs="仿宋"/>
          <w:b/>
          <w:color w:val="auto"/>
          <w:spacing w:val="60"/>
          <w:sz w:val="52"/>
          <w:szCs w:val="52"/>
          <w:highlight w:val="none"/>
        </w:rPr>
      </w:pPr>
    </w:p>
    <w:p w14:paraId="25FF9F0E">
      <w:pPr>
        <w:shd w:val="clear" w:color="auto" w:fill="auto"/>
        <w:ind w:firstLine="542" w:firstLineChars="150"/>
        <w:rPr>
          <w:rFonts w:hint="eastAsia" w:ascii="仿宋" w:hAnsi="仿宋" w:eastAsia="仿宋" w:cs="仿宋"/>
          <w:b/>
          <w:color w:val="auto"/>
          <w:spacing w:val="20"/>
          <w:sz w:val="32"/>
          <w:szCs w:val="32"/>
          <w:highlight w:val="none"/>
        </w:rPr>
      </w:pPr>
    </w:p>
    <w:p w14:paraId="37464F7C">
      <w:pPr>
        <w:shd w:val="clear" w:color="auto" w:fill="auto"/>
        <w:ind w:firstLine="542" w:firstLineChars="150"/>
        <w:rPr>
          <w:rFonts w:hint="eastAsia" w:ascii="仿宋" w:hAnsi="仿宋" w:eastAsia="仿宋" w:cs="仿宋"/>
          <w:b/>
          <w:color w:val="auto"/>
          <w:spacing w:val="20"/>
          <w:sz w:val="32"/>
          <w:szCs w:val="32"/>
          <w:highlight w:val="none"/>
        </w:rPr>
      </w:pPr>
    </w:p>
    <w:p w14:paraId="23234D9E">
      <w:pPr>
        <w:shd w:val="clear" w:color="auto" w:fill="auto"/>
        <w:spacing w:line="360" w:lineRule="auto"/>
        <w:ind w:firstLine="542" w:firstLineChars="150"/>
        <w:rPr>
          <w:rFonts w:hint="eastAsia" w:ascii="仿宋" w:hAnsi="仿宋" w:eastAsia="仿宋" w:cs="仿宋"/>
          <w:b/>
          <w:color w:val="auto"/>
          <w:spacing w:val="20"/>
          <w:sz w:val="32"/>
          <w:szCs w:val="32"/>
          <w:highlight w:val="none"/>
        </w:rPr>
      </w:pPr>
      <w:r>
        <w:rPr>
          <w:rFonts w:hint="eastAsia" w:ascii="仿宋" w:hAnsi="仿宋" w:eastAsia="仿宋" w:cs="仿宋"/>
          <w:b/>
          <w:color w:val="auto"/>
          <w:spacing w:val="20"/>
          <w:sz w:val="32"/>
          <w:szCs w:val="32"/>
          <w:highlight w:val="none"/>
        </w:rPr>
        <w:t>项目名称:</w:t>
      </w:r>
    </w:p>
    <w:p w14:paraId="50BFE2FB">
      <w:pPr>
        <w:shd w:val="clear" w:color="auto" w:fill="auto"/>
        <w:spacing w:line="360" w:lineRule="auto"/>
        <w:ind w:firstLine="542" w:firstLineChars="150"/>
        <w:rPr>
          <w:rFonts w:hint="eastAsia" w:ascii="仿宋" w:hAnsi="仿宋" w:eastAsia="仿宋" w:cs="仿宋"/>
          <w:b/>
          <w:color w:val="auto"/>
          <w:spacing w:val="20"/>
          <w:sz w:val="32"/>
          <w:szCs w:val="32"/>
          <w:highlight w:val="none"/>
        </w:rPr>
      </w:pPr>
      <w:r>
        <w:rPr>
          <w:rFonts w:hint="eastAsia" w:ascii="仿宋" w:hAnsi="仿宋" w:eastAsia="仿宋" w:cs="仿宋"/>
          <w:b/>
          <w:color w:val="auto"/>
          <w:spacing w:val="20"/>
          <w:sz w:val="32"/>
          <w:szCs w:val="32"/>
          <w:highlight w:val="none"/>
        </w:rPr>
        <w:t>项目编号：</w:t>
      </w:r>
    </w:p>
    <w:p w14:paraId="3606AD05">
      <w:pPr>
        <w:shd w:val="clear" w:color="auto" w:fill="auto"/>
        <w:spacing w:line="360" w:lineRule="auto"/>
        <w:ind w:firstLine="542" w:firstLineChars="150"/>
        <w:rPr>
          <w:rFonts w:hint="eastAsia" w:ascii="仿宋" w:hAnsi="仿宋" w:eastAsia="仿宋" w:cs="仿宋"/>
          <w:b/>
          <w:color w:val="auto"/>
          <w:spacing w:val="20"/>
          <w:sz w:val="32"/>
          <w:szCs w:val="32"/>
          <w:highlight w:val="none"/>
        </w:rPr>
      </w:pPr>
      <w:r>
        <w:rPr>
          <w:rFonts w:hint="eastAsia" w:ascii="仿宋" w:hAnsi="仿宋" w:eastAsia="仿宋" w:cs="仿宋"/>
          <w:b/>
          <w:color w:val="auto"/>
          <w:spacing w:val="20"/>
          <w:sz w:val="32"/>
          <w:szCs w:val="32"/>
          <w:highlight w:val="none"/>
        </w:rPr>
        <w:t>招标编号：</w:t>
      </w:r>
    </w:p>
    <w:p w14:paraId="58547E52">
      <w:pPr>
        <w:shd w:val="clear" w:color="auto" w:fill="auto"/>
        <w:ind w:firstLine="542" w:firstLineChars="150"/>
        <w:rPr>
          <w:rFonts w:hint="eastAsia" w:ascii="仿宋" w:hAnsi="仿宋" w:eastAsia="仿宋" w:cs="仿宋"/>
          <w:b/>
          <w:color w:val="auto"/>
          <w:spacing w:val="20"/>
          <w:sz w:val="32"/>
          <w:szCs w:val="32"/>
          <w:highlight w:val="none"/>
        </w:rPr>
      </w:pPr>
    </w:p>
    <w:p w14:paraId="6A1457A7">
      <w:pPr>
        <w:shd w:val="clear" w:color="auto" w:fill="auto"/>
        <w:jc w:val="center"/>
        <w:rPr>
          <w:rFonts w:hint="eastAsia" w:ascii="仿宋" w:hAnsi="仿宋" w:eastAsia="仿宋" w:cs="仿宋"/>
          <w:b/>
          <w:color w:val="auto"/>
          <w:sz w:val="32"/>
          <w:szCs w:val="32"/>
          <w:highlight w:val="none"/>
        </w:rPr>
      </w:pPr>
    </w:p>
    <w:p w14:paraId="5DB900BF">
      <w:pPr>
        <w:shd w:val="clear" w:color="auto" w:fill="auto"/>
        <w:jc w:val="center"/>
        <w:rPr>
          <w:rFonts w:hint="eastAsia" w:ascii="仿宋" w:hAnsi="仿宋" w:eastAsia="仿宋" w:cs="仿宋"/>
          <w:b/>
          <w:color w:val="auto"/>
          <w:sz w:val="32"/>
          <w:szCs w:val="32"/>
          <w:highlight w:val="none"/>
        </w:rPr>
      </w:pPr>
    </w:p>
    <w:p w14:paraId="4EF8764A">
      <w:pPr>
        <w:shd w:val="clear" w:color="auto" w:fill="auto"/>
        <w:jc w:val="center"/>
        <w:rPr>
          <w:rFonts w:hint="eastAsia" w:ascii="仿宋" w:hAnsi="仿宋" w:eastAsia="仿宋" w:cs="仿宋"/>
          <w:b/>
          <w:color w:val="auto"/>
          <w:sz w:val="32"/>
          <w:szCs w:val="32"/>
          <w:highlight w:val="none"/>
        </w:rPr>
      </w:pPr>
    </w:p>
    <w:p w14:paraId="5F3297F2">
      <w:pPr>
        <w:shd w:val="clear" w:color="auto" w:fill="auto"/>
        <w:jc w:val="center"/>
        <w:rPr>
          <w:rFonts w:hint="eastAsia" w:ascii="仿宋" w:hAnsi="仿宋" w:eastAsia="仿宋" w:cs="仿宋"/>
          <w:b/>
          <w:color w:val="auto"/>
          <w:spacing w:val="20"/>
          <w:sz w:val="32"/>
          <w:szCs w:val="32"/>
          <w:highlight w:val="none"/>
        </w:rPr>
      </w:pPr>
    </w:p>
    <w:p w14:paraId="759A2D13">
      <w:pPr>
        <w:shd w:val="clear" w:color="auto" w:fill="auto"/>
        <w:jc w:val="center"/>
        <w:rPr>
          <w:rFonts w:hint="eastAsia" w:ascii="仿宋" w:hAnsi="仿宋" w:eastAsia="仿宋" w:cs="仿宋"/>
          <w:b/>
          <w:color w:val="auto"/>
          <w:spacing w:val="20"/>
          <w:sz w:val="32"/>
          <w:szCs w:val="32"/>
          <w:highlight w:val="none"/>
        </w:rPr>
      </w:pPr>
    </w:p>
    <w:p w14:paraId="3531D646">
      <w:pPr>
        <w:shd w:val="clear" w:color="auto" w:fill="auto"/>
        <w:jc w:val="center"/>
        <w:rPr>
          <w:rFonts w:hint="eastAsia" w:ascii="仿宋" w:hAnsi="仿宋" w:eastAsia="仿宋" w:cs="仿宋"/>
          <w:b/>
          <w:color w:val="auto"/>
          <w:spacing w:val="20"/>
          <w:sz w:val="32"/>
          <w:szCs w:val="32"/>
          <w:highlight w:val="none"/>
        </w:rPr>
      </w:pPr>
    </w:p>
    <w:p w14:paraId="42D47ED9">
      <w:pPr>
        <w:shd w:val="clear" w:color="auto" w:fill="auto"/>
        <w:spacing w:line="360" w:lineRule="auto"/>
        <w:ind w:firstLine="1445" w:firstLineChars="400"/>
        <w:jc w:val="left"/>
        <w:rPr>
          <w:rFonts w:hint="eastAsia" w:ascii="仿宋" w:hAnsi="仿宋" w:eastAsia="仿宋" w:cs="仿宋"/>
          <w:b/>
          <w:color w:val="auto"/>
          <w:spacing w:val="20"/>
          <w:sz w:val="32"/>
          <w:szCs w:val="32"/>
          <w:highlight w:val="none"/>
        </w:rPr>
      </w:pPr>
      <w:r>
        <w:rPr>
          <w:rFonts w:hint="eastAsia" w:ascii="仿宋" w:hAnsi="仿宋" w:eastAsia="仿宋" w:cs="仿宋"/>
          <w:b/>
          <w:color w:val="auto"/>
          <w:spacing w:val="20"/>
          <w:sz w:val="32"/>
          <w:szCs w:val="32"/>
          <w:highlight w:val="none"/>
        </w:rPr>
        <w:t>供应商名称：</w:t>
      </w:r>
    </w:p>
    <w:p w14:paraId="1D675E98">
      <w:pPr>
        <w:shd w:val="clear" w:color="auto" w:fill="auto"/>
        <w:jc w:val="center"/>
        <w:rPr>
          <w:rFonts w:hint="eastAsia" w:ascii="仿宋" w:hAnsi="仿宋" w:eastAsia="仿宋" w:cs="仿宋"/>
          <w:b/>
          <w:color w:val="auto"/>
          <w:sz w:val="32"/>
          <w:szCs w:val="32"/>
          <w:highlight w:val="none"/>
        </w:rPr>
      </w:pPr>
    </w:p>
    <w:p w14:paraId="37786749">
      <w:pPr>
        <w:shd w:val="clear" w:color="auto" w:fill="auto"/>
        <w:outlineLvl w:val="1"/>
        <w:rPr>
          <w:rFonts w:hint="eastAsia" w:ascii="仿宋" w:hAnsi="仿宋" w:eastAsia="仿宋" w:cs="仿宋"/>
          <w:color w:val="auto"/>
          <w:sz w:val="24"/>
          <w:highlight w:val="none"/>
        </w:rPr>
      </w:pPr>
      <w:r>
        <w:rPr>
          <w:rFonts w:hint="eastAsia" w:ascii="仿宋" w:hAnsi="仿宋" w:eastAsia="仿宋" w:cs="仿宋"/>
          <w:b/>
          <w:color w:val="auto"/>
          <w:spacing w:val="20"/>
          <w:sz w:val="32"/>
          <w:szCs w:val="32"/>
          <w:highlight w:val="none"/>
        </w:rPr>
        <w:br w:type="page"/>
      </w:r>
      <w:r>
        <w:rPr>
          <w:rFonts w:hint="eastAsia" w:ascii="仿宋" w:hAnsi="仿宋" w:eastAsia="仿宋" w:cs="仿宋"/>
          <w:color w:val="auto"/>
          <w:sz w:val="24"/>
          <w:highlight w:val="none"/>
        </w:rPr>
        <w:t>1满足《中华人民共和国政府采购法》第二十二条规定</w:t>
      </w:r>
    </w:p>
    <w:p w14:paraId="2D954B7E">
      <w:pPr>
        <w:shd w:val="clear" w:color="auto" w:fill="auto"/>
        <w:spacing w:line="360" w:lineRule="auto"/>
        <w:outlineLvl w:val="2"/>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1-1营业执照等证明文件</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提供证明文件的电子件或电子证照</w:t>
      </w:r>
      <w:r>
        <w:rPr>
          <w:rFonts w:hint="eastAsia" w:ascii="仿宋" w:hAnsi="仿宋" w:eastAsia="仿宋" w:cs="仿宋"/>
          <w:color w:val="auto"/>
          <w:sz w:val="24"/>
          <w:highlight w:val="none"/>
          <w:lang w:eastAsia="zh-CN"/>
        </w:rPr>
        <w:t>）</w:t>
      </w:r>
    </w:p>
    <w:p w14:paraId="79D11C2B">
      <w:pPr>
        <w:shd w:val="clear" w:color="auto" w:fill="auto"/>
        <w:tabs>
          <w:tab w:val="left" w:pos="1080"/>
        </w:tabs>
        <w:snapToGrid w:val="0"/>
        <w:rPr>
          <w:rFonts w:hint="eastAsia" w:ascii="仿宋" w:hAnsi="仿宋" w:eastAsia="仿宋" w:cs="仿宋"/>
          <w:color w:val="auto"/>
          <w:sz w:val="24"/>
          <w:highlight w:val="none"/>
        </w:rPr>
      </w:pPr>
    </w:p>
    <w:p w14:paraId="3FCAA407">
      <w:pPr>
        <w:widowControl/>
        <w:shd w:val="clear" w:color="auto" w:fill="auto"/>
        <w:jc w:val="left"/>
        <w:outlineLvl w:val="2"/>
        <w:rPr>
          <w:rFonts w:hint="eastAsia" w:ascii="仿宋" w:hAnsi="仿宋" w:eastAsia="仿宋" w:cs="仿宋"/>
          <w:bCs/>
          <w:color w:val="auto"/>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rPr>
        <w:t>1-2供应商资格声明书</w:t>
      </w:r>
    </w:p>
    <w:p w14:paraId="493451D3">
      <w:pPr>
        <w:shd w:val="clear" w:color="auto" w:fill="auto"/>
        <w:jc w:val="center"/>
        <w:rPr>
          <w:rFonts w:hint="eastAsia" w:ascii="仿宋" w:hAnsi="仿宋" w:eastAsia="仿宋" w:cs="仿宋"/>
          <w:color w:val="auto"/>
          <w:sz w:val="24"/>
          <w:highlight w:val="none"/>
        </w:rPr>
      </w:pPr>
      <w:r>
        <w:rPr>
          <w:rFonts w:hint="eastAsia" w:ascii="仿宋" w:hAnsi="仿宋" w:eastAsia="仿宋" w:cs="仿宋"/>
          <w:b/>
          <w:color w:val="auto"/>
          <w:sz w:val="36"/>
          <w:szCs w:val="36"/>
          <w:highlight w:val="none"/>
        </w:rPr>
        <w:t>供应商资格声明书</w:t>
      </w:r>
    </w:p>
    <w:p w14:paraId="0133181C">
      <w:pPr>
        <w:shd w:val="clear" w:color="auto" w:fill="auto"/>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采购人或采购代理机构</w:t>
      </w:r>
    </w:p>
    <w:p w14:paraId="26E51E41">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在参与本次项目磋商中，我单位承诺：</w:t>
      </w:r>
    </w:p>
    <w:p w14:paraId="42EB7967">
      <w:pPr>
        <w:numPr>
          <w:ilvl w:val="0"/>
          <w:numId w:val="12"/>
        </w:numPr>
        <w:shd w:val="clear" w:color="auto" w:fill="auto"/>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具有良好的商业信誉和健全的财务会计制度；</w:t>
      </w:r>
    </w:p>
    <w:p w14:paraId="1FF15572">
      <w:pPr>
        <w:numPr>
          <w:ilvl w:val="0"/>
          <w:numId w:val="12"/>
        </w:numPr>
        <w:shd w:val="clear" w:color="auto" w:fill="auto"/>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具有履行合同所必需的设备和专业技术能力；</w:t>
      </w:r>
    </w:p>
    <w:p w14:paraId="30DD2C51">
      <w:pPr>
        <w:numPr>
          <w:ilvl w:val="0"/>
          <w:numId w:val="12"/>
        </w:numPr>
        <w:shd w:val="clear" w:color="auto" w:fill="auto"/>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有依法缴纳税收和社会保障资金的良好记录；</w:t>
      </w:r>
    </w:p>
    <w:p w14:paraId="6C9544EF">
      <w:pPr>
        <w:numPr>
          <w:ilvl w:val="0"/>
          <w:numId w:val="12"/>
        </w:numPr>
        <w:shd w:val="clear" w:color="auto" w:fill="auto"/>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5D14A17">
      <w:pPr>
        <w:numPr>
          <w:ilvl w:val="0"/>
          <w:numId w:val="12"/>
        </w:numPr>
        <w:shd w:val="clear" w:color="auto" w:fill="auto"/>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我单位不属于政府采购法律、行政法规规定的公益一类事业单位、或使用事业编制且由财政拨款保障的群团组织（仅适用于政府购买服务项目）；</w:t>
      </w:r>
    </w:p>
    <w:p w14:paraId="6F8FC6F5">
      <w:pPr>
        <w:numPr>
          <w:ilvl w:val="0"/>
          <w:numId w:val="12"/>
        </w:numPr>
        <w:shd w:val="clear" w:color="auto" w:fill="auto"/>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我单位不存在为采购项目提供整体设计、规范编制或者项目管理、监理、检测等服务后，再参加该采购项目的其他采购活动的情形（单一来源采购项目除外）；</w:t>
      </w:r>
    </w:p>
    <w:p w14:paraId="7B0D9294">
      <w:pPr>
        <w:numPr>
          <w:ilvl w:val="0"/>
          <w:numId w:val="12"/>
        </w:numPr>
        <w:shd w:val="clear" w:color="auto" w:fill="auto"/>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70FA0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DF7A127">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4574" w:type="dxa"/>
            <w:noWrap w:val="0"/>
            <w:vAlign w:val="center"/>
          </w:tcPr>
          <w:p w14:paraId="1298D552">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p>
        </w:tc>
        <w:tc>
          <w:tcPr>
            <w:tcW w:w="2976" w:type="dxa"/>
            <w:noWrap w:val="0"/>
            <w:vAlign w:val="center"/>
          </w:tcPr>
          <w:p w14:paraId="1CB7E384">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相互关系</w:t>
            </w:r>
          </w:p>
        </w:tc>
      </w:tr>
      <w:tr w14:paraId="0A6AE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F231C4B">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4574" w:type="dxa"/>
            <w:noWrap w:val="0"/>
            <w:vAlign w:val="center"/>
          </w:tcPr>
          <w:p w14:paraId="6A343A0C">
            <w:pPr>
              <w:shd w:val="clear" w:color="auto" w:fill="auto"/>
              <w:jc w:val="center"/>
              <w:rPr>
                <w:rFonts w:hint="eastAsia" w:ascii="仿宋" w:hAnsi="仿宋" w:eastAsia="仿宋" w:cs="仿宋"/>
                <w:color w:val="auto"/>
                <w:sz w:val="24"/>
                <w:highlight w:val="none"/>
              </w:rPr>
            </w:pPr>
          </w:p>
        </w:tc>
        <w:tc>
          <w:tcPr>
            <w:tcW w:w="2976" w:type="dxa"/>
            <w:noWrap w:val="0"/>
            <w:vAlign w:val="center"/>
          </w:tcPr>
          <w:p w14:paraId="35439695">
            <w:pPr>
              <w:shd w:val="clear" w:color="auto" w:fill="auto"/>
              <w:jc w:val="center"/>
              <w:rPr>
                <w:rFonts w:hint="eastAsia" w:ascii="仿宋" w:hAnsi="仿宋" w:eastAsia="仿宋" w:cs="仿宋"/>
                <w:color w:val="auto"/>
                <w:sz w:val="24"/>
                <w:highlight w:val="none"/>
              </w:rPr>
            </w:pPr>
          </w:p>
        </w:tc>
      </w:tr>
      <w:tr w14:paraId="6D942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30C6789">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4574" w:type="dxa"/>
            <w:noWrap w:val="0"/>
            <w:vAlign w:val="center"/>
          </w:tcPr>
          <w:p w14:paraId="08548538">
            <w:pPr>
              <w:shd w:val="clear" w:color="auto" w:fill="auto"/>
              <w:jc w:val="center"/>
              <w:rPr>
                <w:rFonts w:hint="eastAsia" w:ascii="仿宋" w:hAnsi="仿宋" w:eastAsia="仿宋" w:cs="仿宋"/>
                <w:color w:val="auto"/>
                <w:sz w:val="24"/>
                <w:highlight w:val="none"/>
              </w:rPr>
            </w:pPr>
          </w:p>
        </w:tc>
        <w:tc>
          <w:tcPr>
            <w:tcW w:w="2976" w:type="dxa"/>
            <w:noWrap w:val="0"/>
            <w:vAlign w:val="center"/>
          </w:tcPr>
          <w:p w14:paraId="51096C5C">
            <w:pPr>
              <w:shd w:val="clear" w:color="auto" w:fill="auto"/>
              <w:jc w:val="center"/>
              <w:rPr>
                <w:rFonts w:hint="eastAsia" w:ascii="仿宋" w:hAnsi="仿宋" w:eastAsia="仿宋" w:cs="仿宋"/>
                <w:color w:val="auto"/>
                <w:sz w:val="24"/>
                <w:highlight w:val="none"/>
              </w:rPr>
            </w:pPr>
          </w:p>
        </w:tc>
      </w:tr>
      <w:tr w14:paraId="53BEF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B2CC8E6">
            <w:pPr>
              <w:shd w:val="clear" w:color="auto" w:fill="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4574" w:type="dxa"/>
            <w:noWrap w:val="0"/>
            <w:vAlign w:val="center"/>
          </w:tcPr>
          <w:p w14:paraId="27ED347C">
            <w:pPr>
              <w:shd w:val="clear" w:color="auto" w:fill="auto"/>
              <w:jc w:val="center"/>
              <w:rPr>
                <w:rFonts w:hint="eastAsia" w:ascii="仿宋" w:hAnsi="仿宋" w:eastAsia="仿宋" w:cs="仿宋"/>
                <w:color w:val="auto"/>
                <w:sz w:val="24"/>
                <w:highlight w:val="none"/>
              </w:rPr>
            </w:pPr>
          </w:p>
        </w:tc>
        <w:tc>
          <w:tcPr>
            <w:tcW w:w="2976" w:type="dxa"/>
            <w:noWrap w:val="0"/>
            <w:vAlign w:val="center"/>
          </w:tcPr>
          <w:p w14:paraId="12D23C40">
            <w:pPr>
              <w:shd w:val="clear" w:color="auto" w:fill="auto"/>
              <w:jc w:val="center"/>
              <w:rPr>
                <w:rFonts w:hint="eastAsia" w:ascii="仿宋" w:hAnsi="仿宋" w:eastAsia="仿宋" w:cs="仿宋"/>
                <w:color w:val="auto"/>
                <w:sz w:val="24"/>
                <w:highlight w:val="none"/>
              </w:rPr>
            </w:pPr>
          </w:p>
        </w:tc>
      </w:tr>
    </w:tbl>
    <w:p w14:paraId="51BED42D">
      <w:pPr>
        <w:shd w:val="clear" w:color="auto" w:fill="auto"/>
        <w:rPr>
          <w:rFonts w:hint="eastAsia" w:ascii="仿宋" w:hAnsi="仿宋" w:eastAsia="仿宋" w:cs="仿宋"/>
          <w:color w:val="auto"/>
          <w:highlight w:val="none"/>
        </w:rPr>
      </w:pPr>
    </w:p>
    <w:p w14:paraId="2AC246F3">
      <w:pPr>
        <w:shd w:val="clear" w:color="auto" w:fill="auto"/>
        <w:ind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highlight w:val="none"/>
        </w:rPr>
        <w:t>上述声明真实有效，否则我方负全部责任。</w:t>
      </w:r>
    </w:p>
    <w:p w14:paraId="75468AAC">
      <w:pPr>
        <w:shd w:val="clear" w:color="auto" w:fill="auto"/>
        <w:spacing w:line="360" w:lineRule="auto"/>
        <w:rPr>
          <w:rFonts w:hint="eastAsia" w:ascii="仿宋" w:hAnsi="仿宋" w:eastAsia="仿宋" w:cs="仿宋"/>
          <w:color w:val="auto"/>
          <w:sz w:val="24"/>
          <w:highlight w:val="none"/>
        </w:rPr>
      </w:pPr>
    </w:p>
    <w:p w14:paraId="2DB5C678">
      <w:pPr>
        <w:shd w:val="clear" w:color="auto" w:fill="auto"/>
        <w:autoSpaceDE w:val="0"/>
        <w:autoSpaceDN w:val="0"/>
        <w:adjustRightInd w:val="0"/>
        <w:snapToGrid w:val="0"/>
        <w:spacing w:before="25" w:after="25" w:line="360" w:lineRule="auto"/>
        <w:ind w:right="360"/>
        <w:jc w:val="righ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w:t>
      </w:r>
    </w:p>
    <w:p w14:paraId="5E6E4F6B">
      <w:pPr>
        <w:shd w:val="clear" w:color="auto" w:fill="auto"/>
        <w:spacing w:line="360" w:lineRule="auto"/>
        <w:ind w:right="360" w:firstLine="480"/>
        <w:jc w:val="right"/>
        <w:rPr>
          <w:rFonts w:hint="eastAsia" w:ascii="仿宋" w:hAnsi="仿宋" w:eastAsia="仿宋" w:cs="仿宋"/>
          <w:color w:val="auto"/>
          <w:sz w:val="24"/>
          <w:highlight w:val="none"/>
          <w:lang w:eastAsia="zh-CN"/>
        </w:rPr>
      </w:pPr>
      <w:r>
        <w:rPr>
          <w:rFonts w:hint="eastAsia" w:ascii="仿宋" w:hAnsi="仿宋" w:eastAsia="仿宋" w:cs="仿宋"/>
          <w:color w:val="auto"/>
          <w:sz w:val="24"/>
          <w:szCs w:val="20"/>
          <w:highlight w:val="none"/>
        </w:rPr>
        <w:t>日期：____年____月____日</w:t>
      </w:r>
    </w:p>
    <w:p w14:paraId="1914B124">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说明：供应商承诺不实的，依据《政府采购法》第七十七条“提供虚假材料谋取中标、成交的”有关规定予以处理。</w:t>
      </w:r>
    </w:p>
    <w:p w14:paraId="53C4668A">
      <w:pPr>
        <w:shd w:val="clear" w:color="auto" w:fill="auto"/>
        <w:tabs>
          <w:tab w:val="left" w:pos="5580"/>
        </w:tabs>
        <w:spacing w:line="360" w:lineRule="auto"/>
        <w:rPr>
          <w:rFonts w:hint="eastAsia" w:ascii="仿宋" w:hAnsi="仿宋" w:eastAsia="仿宋" w:cs="仿宋"/>
          <w:color w:val="auto"/>
          <w:sz w:val="24"/>
          <w:highlight w:val="none"/>
        </w:rPr>
        <w:sectPr>
          <w:headerReference r:id="rId21" w:type="default"/>
          <w:footerReference r:id="rId22" w:type="default"/>
          <w:pgSz w:w="11907" w:h="16840"/>
          <w:pgMar w:top="1417" w:right="1134" w:bottom="1417"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43311AF0">
      <w:pPr>
        <w:shd w:val="clear" w:color="auto" w:fill="auto"/>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2落实政府采购政策需满足的资格要求（如有）</w:t>
      </w:r>
    </w:p>
    <w:p w14:paraId="35A0EE7C">
      <w:pPr>
        <w:shd w:val="clear" w:color="auto" w:fill="auto"/>
        <w:spacing w:line="360" w:lineRule="auto"/>
        <w:outlineLvl w:val="2"/>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2-1中小企业政策证明文件</w:t>
      </w:r>
    </w:p>
    <w:p w14:paraId="21A9739F">
      <w:pPr>
        <w:shd w:val="clear" w:color="auto" w:fill="auto"/>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75CEBEE4">
      <w:pPr>
        <w:shd w:val="clear" w:color="auto" w:fill="auto"/>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3939B75B">
      <w:pPr>
        <w:shd w:val="clear" w:color="auto" w:fill="auto"/>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如本项目（包）专门面向中小企业采购，响应文件中须提供《中小企业声明函》或《残疾人福利性单位声明函》，或提供由省级以上监狱管理局、戒毒管理局（含新疆生产建设兵团）出具的属于监狱企业的证明文件。</w:t>
      </w:r>
    </w:p>
    <w:p w14:paraId="542EA280">
      <w:pPr>
        <w:shd w:val="clear" w:color="auto" w:fill="auto"/>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036C64A">
      <w:pPr>
        <w:shd w:val="clear" w:color="auto" w:fill="auto"/>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（4）中小企业声明函填写注意事项</w:t>
      </w:r>
    </w:p>
    <w:p w14:paraId="720F609F">
      <w:pPr>
        <w:shd w:val="clear" w:color="auto" w:fill="auto"/>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1）《中小企业声明函》由参加政府采购活动的供应商出具。联合体参与的，《中小企业声明函》可由牵头人出具。</w:t>
      </w:r>
    </w:p>
    <w:p w14:paraId="4B43FA0A">
      <w:pPr>
        <w:shd w:val="clear" w:color="auto" w:fill="auto"/>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B240A40">
      <w:pPr>
        <w:shd w:val="clear" w:color="auto" w:fill="auto"/>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3）对于多标的采购项目，供应商应充分、准确地了解所提供货物的制造企业、提供服务的承接企业信息。对相关情况了解不清楚的，不建议填报本声明函。</w:t>
      </w:r>
    </w:p>
    <w:p w14:paraId="15E9E32D">
      <w:pPr>
        <w:shd w:val="clear" w:color="auto" w:fill="auto"/>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373F00BA">
      <w:pPr>
        <w:pStyle w:val="6"/>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2-1-1中小企业证明文件</w:t>
      </w:r>
    </w:p>
    <w:p w14:paraId="62F25ABC">
      <w:pPr>
        <w:shd w:val="clear" w:color="auto" w:fill="auto"/>
        <w:spacing w:before="240" w:beforeLines="100" w:after="240" w:afterLines="100"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中小企业声明函（工程、服务）格式</w:t>
      </w:r>
    </w:p>
    <w:p w14:paraId="4C3684BB">
      <w:pPr>
        <w:shd w:val="clear" w:color="auto" w:fill="auto"/>
        <w:spacing w:line="360" w:lineRule="auto"/>
        <w:ind w:firstLine="504"/>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本公司（联合体）郑重声明，根据《政府采购促进中小企业发展管理办法》（财库﹝2020﹞46号）的规定，本公司（联合体）参加</w:t>
      </w:r>
      <w:r>
        <w:rPr>
          <w:rFonts w:hint="eastAsia" w:ascii="仿宋" w:hAnsi="仿宋" w:eastAsia="仿宋" w:cs="仿宋"/>
          <w:b w:val="0"/>
          <w:bCs w:val="0"/>
          <w:color w:val="auto"/>
          <w:spacing w:val="6"/>
          <w:sz w:val="24"/>
          <w:highlight w:val="none"/>
          <w:u w:val="single"/>
          <w:lang w:val="en-US" w:eastAsia="zh-CN"/>
        </w:rPr>
        <w:t>北京市丰台区人民政府大红门街道办事处</w:t>
      </w:r>
      <w:r>
        <w:rPr>
          <w:rFonts w:hint="eastAsia" w:ascii="仿宋" w:hAnsi="仿宋" w:eastAsia="仿宋" w:cs="仿宋"/>
          <w:color w:val="auto"/>
          <w:spacing w:val="6"/>
          <w:sz w:val="24"/>
          <w:highlight w:val="none"/>
        </w:rPr>
        <w:t>（单位名称）的</w:t>
      </w:r>
      <w:r>
        <w:rPr>
          <w:rFonts w:hint="eastAsia" w:ascii="仿宋" w:hAnsi="仿宋" w:eastAsia="仿宋" w:cs="仿宋"/>
          <w:b w:val="0"/>
          <w:bCs w:val="0"/>
          <w:color w:val="auto"/>
          <w:spacing w:val="6"/>
          <w:sz w:val="24"/>
          <w:highlight w:val="none"/>
          <w:u w:val="single"/>
          <w:lang w:val="en-US" w:eastAsia="zh-CN"/>
        </w:rPr>
        <w:t>2026年大红门街道餐饮服务采购项目</w:t>
      </w:r>
      <w:r>
        <w:rPr>
          <w:rFonts w:hint="eastAsia" w:ascii="仿宋" w:hAnsi="仿宋" w:eastAsia="仿宋" w:cs="仿宋"/>
          <w:color w:val="auto"/>
          <w:spacing w:val="6"/>
          <w:sz w:val="24"/>
          <w:highlight w:val="none"/>
        </w:rPr>
        <w:t>（项目名称）采购活动，工程的施工单位全部为符合政策要求的中小企业（或者：服务全部由符合政策要求的中小企业承接）。相关企业（含联合体中的中小企业、签订分包意向协议的中小企业）的具体情况如下：</w:t>
      </w:r>
    </w:p>
    <w:p w14:paraId="125ACE94">
      <w:pPr>
        <w:shd w:val="clear" w:color="auto" w:fill="auto"/>
        <w:spacing w:line="360" w:lineRule="auto"/>
        <w:ind w:firstLine="504"/>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1.</w:t>
      </w:r>
      <w:r>
        <w:rPr>
          <w:rFonts w:hint="eastAsia" w:ascii="仿宋" w:hAnsi="仿宋" w:eastAsia="仿宋" w:cs="仿宋"/>
          <w:b w:val="0"/>
          <w:bCs w:val="0"/>
          <w:color w:val="auto"/>
          <w:spacing w:val="6"/>
          <w:sz w:val="24"/>
          <w:highlight w:val="none"/>
          <w:u w:val="single"/>
          <w:lang w:val="en-US" w:eastAsia="zh-CN"/>
        </w:rPr>
        <w:t>2026年大红门街道餐饮服务采购项目</w:t>
      </w:r>
      <w:r>
        <w:rPr>
          <w:rFonts w:hint="eastAsia" w:ascii="仿宋" w:hAnsi="仿宋" w:eastAsia="仿宋" w:cs="仿宋"/>
          <w:color w:val="auto"/>
          <w:spacing w:val="6"/>
          <w:sz w:val="24"/>
          <w:highlight w:val="none"/>
        </w:rPr>
        <w:t>，属于</w:t>
      </w:r>
      <w:r>
        <w:rPr>
          <w:rFonts w:hint="eastAsia" w:ascii="仿宋" w:hAnsi="仿宋" w:eastAsia="仿宋" w:cs="仿宋"/>
          <w:color w:val="auto"/>
          <w:spacing w:val="6"/>
          <w:sz w:val="24"/>
          <w:highlight w:val="none"/>
          <w:u w:val="single"/>
          <w:lang w:val="en-US" w:eastAsia="zh-CN"/>
        </w:rPr>
        <w:t>餐饮业</w:t>
      </w:r>
      <w:r>
        <w:rPr>
          <w:rFonts w:hint="eastAsia" w:ascii="仿宋" w:hAnsi="仿宋" w:eastAsia="仿宋" w:cs="仿宋"/>
          <w:color w:val="auto"/>
          <w:spacing w:val="6"/>
          <w:sz w:val="24"/>
          <w:highlight w:val="none"/>
        </w:rPr>
        <w:t>行业；承建（承接）企业为</w:t>
      </w:r>
      <w:r>
        <w:rPr>
          <w:rFonts w:hint="eastAsia" w:ascii="仿宋" w:hAnsi="仿宋" w:eastAsia="仿宋" w:cs="仿宋"/>
          <w:color w:val="auto"/>
          <w:spacing w:val="6"/>
          <w:sz w:val="24"/>
          <w:highlight w:val="none"/>
          <w:u w:val="single"/>
        </w:rPr>
        <w:t>（企业名称）</w:t>
      </w:r>
      <w:r>
        <w:rPr>
          <w:rFonts w:hint="eastAsia" w:ascii="仿宋" w:hAnsi="仿宋" w:eastAsia="仿宋" w:cs="仿宋"/>
          <w:color w:val="auto"/>
          <w:spacing w:val="6"/>
          <w:sz w:val="24"/>
          <w:highlight w:val="none"/>
        </w:rPr>
        <w:t>，从业人员</w:t>
      </w:r>
      <w:r>
        <w:rPr>
          <w:rFonts w:hint="eastAsia" w:ascii="仿宋" w:hAnsi="仿宋" w:eastAsia="仿宋" w:cs="仿宋"/>
          <w:color w:val="auto"/>
          <w:sz w:val="24"/>
          <w:highlight w:val="none"/>
        </w:rPr>
        <w:t>______</w:t>
      </w:r>
      <w:r>
        <w:rPr>
          <w:rFonts w:hint="eastAsia" w:ascii="仿宋" w:hAnsi="仿宋" w:eastAsia="仿宋" w:cs="仿宋"/>
          <w:color w:val="auto"/>
          <w:spacing w:val="6"/>
          <w:sz w:val="24"/>
          <w:highlight w:val="none"/>
        </w:rPr>
        <w:t>人，营业收入为</w:t>
      </w:r>
      <w:r>
        <w:rPr>
          <w:rFonts w:hint="eastAsia" w:ascii="仿宋" w:hAnsi="仿宋" w:eastAsia="仿宋" w:cs="仿宋"/>
          <w:color w:val="auto"/>
          <w:sz w:val="24"/>
          <w:highlight w:val="none"/>
        </w:rPr>
        <w:t>______</w:t>
      </w:r>
      <w:r>
        <w:rPr>
          <w:rFonts w:hint="eastAsia" w:ascii="仿宋" w:hAnsi="仿宋" w:eastAsia="仿宋" w:cs="仿宋"/>
          <w:color w:val="auto"/>
          <w:spacing w:val="6"/>
          <w:sz w:val="24"/>
          <w:highlight w:val="none"/>
        </w:rPr>
        <w:t>万元，资产总额为</w:t>
      </w:r>
      <w:r>
        <w:rPr>
          <w:rFonts w:hint="eastAsia" w:ascii="仿宋" w:hAnsi="仿宋" w:eastAsia="仿宋" w:cs="仿宋"/>
          <w:color w:val="auto"/>
          <w:sz w:val="24"/>
          <w:highlight w:val="none"/>
        </w:rPr>
        <w:t>______</w:t>
      </w:r>
      <w:r>
        <w:rPr>
          <w:rFonts w:hint="eastAsia" w:ascii="仿宋" w:hAnsi="仿宋" w:eastAsia="仿宋" w:cs="仿宋"/>
          <w:color w:val="auto"/>
          <w:spacing w:val="6"/>
          <w:sz w:val="24"/>
          <w:highlight w:val="none"/>
        </w:rPr>
        <w:t>万元，属于</w:t>
      </w:r>
      <w:r>
        <w:rPr>
          <w:rFonts w:hint="eastAsia" w:ascii="仿宋" w:hAnsi="仿宋" w:eastAsia="仿宋" w:cs="仿宋"/>
          <w:color w:val="auto"/>
          <w:spacing w:val="6"/>
          <w:sz w:val="24"/>
          <w:highlight w:val="none"/>
          <w:u w:val="single"/>
        </w:rPr>
        <w:t>（中型企业、小型企业、微型企业）</w:t>
      </w:r>
      <w:r>
        <w:rPr>
          <w:rFonts w:hint="eastAsia" w:ascii="仿宋" w:hAnsi="仿宋" w:eastAsia="仿宋" w:cs="仿宋"/>
          <w:color w:val="auto"/>
          <w:spacing w:val="6"/>
          <w:sz w:val="24"/>
          <w:highlight w:val="none"/>
        </w:rPr>
        <w:t>；</w:t>
      </w:r>
    </w:p>
    <w:p w14:paraId="3BDE1D0C">
      <w:pPr>
        <w:shd w:val="clear" w:color="auto" w:fill="auto"/>
        <w:spacing w:line="360" w:lineRule="auto"/>
        <w:ind w:firstLine="504"/>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2.</w:t>
      </w:r>
      <w:r>
        <w:rPr>
          <w:rFonts w:hint="eastAsia" w:ascii="仿宋" w:hAnsi="仿宋" w:eastAsia="仿宋" w:cs="仿宋"/>
          <w:color w:val="auto"/>
          <w:spacing w:val="6"/>
          <w:sz w:val="24"/>
          <w:highlight w:val="none"/>
          <w:u w:val="single"/>
        </w:rPr>
        <w:t>（标的名称）</w:t>
      </w:r>
      <w:r>
        <w:rPr>
          <w:rFonts w:hint="eastAsia" w:ascii="仿宋" w:hAnsi="仿宋" w:eastAsia="仿宋" w:cs="仿宋"/>
          <w:color w:val="auto"/>
          <w:spacing w:val="6"/>
          <w:sz w:val="24"/>
          <w:highlight w:val="none"/>
        </w:rPr>
        <w:t>，属于</w:t>
      </w:r>
      <w:r>
        <w:rPr>
          <w:rFonts w:hint="eastAsia" w:ascii="仿宋" w:hAnsi="仿宋" w:eastAsia="仿宋" w:cs="仿宋"/>
          <w:color w:val="auto"/>
          <w:spacing w:val="6"/>
          <w:sz w:val="24"/>
          <w:highlight w:val="none"/>
          <w:u w:val="single"/>
        </w:rPr>
        <w:t>（采购文件中明确的所属行业）</w:t>
      </w:r>
      <w:r>
        <w:rPr>
          <w:rFonts w:hint="eastAsia" w:ascii="仿宋" w:hAnsi="仿宋" w:eastAsia="仿宋" w:cs="仿宋"/>
          <w:color w:val="auto"/>
          <w:spacing w:val="6"/>
          <w:sz w:val="24"/>
          <w:highlight w:val="none"/>
        </w:rPr>
        <w:t>行业；承建（承接）企业为</w:t>
      </w:r>
      <w:r>
        <w:rPr>
          <w:rFonts w:hint="eastAsia" w:ascii="仿宋" w:hAnsi="仿宋" w:eastAsia="仿宋" w:cs="仿宋"/>
          <w:color w:val="auto"/>
          <w:spacing w:val="6"/>
          <w:sz w:val="24"/>
          <w:highlight w:val="none"/>
          <w:u w:val="single"/>
        </w:rPr>
        <w:t>（企业名称）</w:t>
      </w:r>
      <w:r>
        <w:rPr>
          <w:rFonts w:hint="eastAsia" w:ascii="仿宋" w:hAnsi="仿宋" w:eastAsia="仿宋" w:cs="仿宋"/>
          <w:color w:val="auto"/>
          <w:spacing w:val="6"/>
          <w:sz w:val="24"/>
          <w:highlight w:val="none"/>
        </w:rPr>
        <w:t>，从业人员</w:t>
      </w:r>
      <w:r>
        <w:rPr>
          <w:rFonts w:hint="eastAsia" w:ascii="仿宋" w:hAnsi="仿宋" w:eastAsia="仿宋" w:cs="仿宋"/>
          <w:color w:val="auto"/>
          <w:sz w:val="24"/>
          <w:highlight w:val="none"/>
        </w:rPr>
        <w:t>______</w:t>
      </w:r>
      <w:r>
        <w:rPr>
          <w:rFonts w:hint="eastAsia" w:ascii="仿宋" w:hAnsi="仿宋" w:eastAsia="仿宋" w:cs="仿宋"/>
          <w:color w:val="auto"/>
          <w:spacing w:val="6"/>
          <w:sz w:val="24"/>
          <w:highlight w:val="none"/>
        </w:rPr>
        <w:t>人，营业收入为</w:t>
      </w:r>
      <w:r>
        <w:rPr>
          <w:rFonts w:hint="eastAsia" w:ascii="仿宋" w:hAnsi="仿宋" w:eastAsia="仿宋" w:cs="仿宋"/>
          <w:color w:val="auto"/>
          <w:sz w:val="24"/>
          <w:highlight w:val="none"/>
        </w:rPr>
        <w:t>______</w:t>
      </w:r>
      <w:r>
        <w:rPr>
          <w:rFonts w:hint="eastAsia" w:ascii="仿宋" w:hAnsi="仿宋" w:eastAsia="仿宋" w:cs="仿宋"/>
          <w:color w:val="auto"/>
          <w:spacing w:val="6"/>
          <w:sz w:val="24"/>
          <w:highlight w:val="none"/>
        </w:rPr>
        <w:t>万元，资产总额为</w:t>
      </w:r>
      <w:r>
        <w:rPr>
          <w:rFonts w:hint="eastAsia" w:ascii="仿宋" w:hAnsi="仿宋" w:eastAsia="仿宋" w:cs="仿宋"/>
          <w:color w:val="auto"/>
          <w:sz w:val="24"/>
          <w:highlight w:val="none"/>
        </w:rPr>
        <w:t>______</w:t>
      </w:r>
      <w:r>
        <w:rPr>
          <w:rFonts w:hint="eastAsia" w:ascii="仿宋" w:hAnsi="仿宋" w:eastAsia="仿宋" w:cs="仿宋"/>
          <w:color w:val="auto"/>
          <w:spacing w:val="6"/>
          <w:sz w:val="24"/>
          <w:highlight w:val="none"/>
        </w:rPr>
        <w:t>万元，属于</w:t>
      </w:r>
      <w:r>
        <w:rPr>
          <w:rFonts w:hint="eastAsia" w:ascii="仿宋" w:hAnsi="仿宋" w:eastAsia="仿宋" w:cs="仿宋"/>
          <w:color w:val="auto"/>
          <w:spacing w:val="6"/>
          <w:sz w:val="24"/>
          <w:highlight w:val="none"/>
          <w:u w:val="single"/>
        </w:rPr>
        <w:t>（中型企业、小型企业、微型企业）</w:t>
      </w:r>
      <w:r>
        <w:rPr>
          <w:rFonts w:hint="eastAsia" w:ascii="仿宋" w:hAnsi="仿宋" w:eastAsia="仿宋" w:cs="仿宋"/>
          <w:color w:val="auto"/>
          <w:spacing w:val="6"/>
          <w:sz w:val="24"/>
          <w:highlight w:val="none"/>
        </w:rPr>
        <w:t>；</w:t>
      </w:r>
    </w:p>
    <w:p w14:paraId="01EBF806">
      <w:pPr>
        <w:shd w:val="clear" w:color="auto" w:fill="auto"/>
        <w:spacing w:line="360" w:lineRule="auto"/>
        <w:ind w:firstLine="504"/>
        <w:rPr>
          <w:rFonts w:hint="eastAsia" w:ascii="仿宋" w:hAnsi="仿宋" w:eastAsia="仿宋" w:cs="仿宋"/>
          <w:color w:val="auto"/>
          <w:spacing w:val="6"/>
          <w:sz w:val="24"/>
          <w:highlight w:val="none"/>
        </w:rPr>
      </w:pPr>
    </w:p>
    <w:p w14:paraId="2E06E56D">
      <w:pPr>
        <w:shd w:val="clear" w:color="auto" w:fill="auto"/>
        <w:spacing w:line="360" w:lineRule="auto"/>
        <w:ind w:firstLine="504"/>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w:t>
      </w:r>
    </w:p>
    <w:p w14:paraId="2CF355D1">
      <w:pPr>
        <w:shd w:val="clear" w:color="auto" w:fill="auto"/>
        <w:spacing w:line="360" w:lineRule="auto"/>
        <w:ind w:firstLine="504"/>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以上企业，不属于大企业的分支机构，不存在控股股东为大企业的情形，也不存在与大企业的负责人为同一人的情形。</w:t>
      </w:r>
    </w:p>
    <w:p w14:paraId="11F698E1">
      <w:pPr>
        <w:shd w:val="clear" w:color="auto" w:fill="auto"/>
        <w:spacing w:line="360" w:lineRule="auto"/>
        <w:ind w:firstLine="504"/>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本企业对上述声明内容的真实性负责。如有虚假，将依法承担相应责任。</w:t>
      </w:r>
    </w:p>
    <w:p w14:paraId="7EC91EDF">
      <w:pPr>
        <w:shd w:val="clear" w:color="auto" w:fill="auto"/>
        <w:spacing w:line="360" w:lineRule="auto"/>
        <w:ind w:right="360" w:firstLine="480"/>
        <w:jc w:val="right"/>
        <w:rPr>
          <w:rFonts w:hint="eastAsia" w:ascii="仿宋" w:hAnsi="仿宋" w:eastAsia="仿宋" w:cs="仿宋"/>
          <w:color w:val="auto"/>
          <w:sz w:val="24"/>
          <w:highlight w:val="none"/>
        </w:rPr>
      </w:pPr>
    </w:p>
    <w:p w14:paraId="0BB23759">
      <w:pPr>
        <w:shd w:val="clear" w:color="auto" w:fill="auto"/>
        <w:spacing w:line="360" w:lineRule="auto"/>
        <w:ind w:right="360" w:firstLine="48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企业名称（盖章）：______</w:t>
      </w:r>
    </w:p>
    <w:p w14:paraId="240F65C6">
      <w:pPr>
        <w:shd w:val="clear" w:color="auto" w:fill="auto"/>
        <w:spacing w:line="360" w:lineRule="auto"/>
        <w:ind w:right="360" w:firstLine="48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日期：______</w:t>
      </w:r>
    </w:p>
    <w:p w14:paraId="42842E4C">
      <w:pPr>
        <w:shd w:val="clear" w:color="auto" w:fill="auto"/>
        <w:adjustRightInd w:val="0"/>
        <w:snapToGrid w:val="0"/>
        <w:jc w:val="left"/>
        <w:rPr>
          <w:rFonts w:hint="eastAsia" w:ascii="仿宋" w:hAnsi="仿宋" w:eastAsia="仿宋" w:cs="仿宋"/>
          <w:color w:val="auto"/>
          <w:sz w:val="24"/>
          <w:szCs w:val="21"/>
          <w:highlight w:val="none"/>
        </w:rPr>
      </w:pPr>
    </w:p>
    <w:p w14:paraId="1835FA10">
      <w:pPr>
        <w:shd w:val="clear" w:color="auto" w:fill="auto"/>
        <w:adjustRightInd w:val="0"/>
        <w:snapToGrid w:val="0"/>
        <w:jc w:val="left"/>
        <w:rPr>
          <w:rFonts w:hint="eastAsia" w:ascii="仿宋" w:hAnsi="仿宋" w:eastAsia="仿宋" w:cs="仿宋"/>
          <w:color w:val="auto"/>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123040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4CCF4704">
            <w:pPr>
              <w:shd w:val="clear" w:color="auto" w:fill="auto"/>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vertAlign w:val="superscript"/>
              </w:rPr>
              <w:t>1</w:t>
            </w:r>
            <w:r>
              <w:rPr>
                <w:rFonts w:hint="eastAsia" w:ascii="仿宋" w:hAnsi="仿宋" w:eastAsia="仿宋" w:cs="仿宋"/>
                <w:color w:val="auto"/>
                <w:szCs w:val="21"/>
                <w:highlight w:val="none"/>
              </w:rPr>
              <w:t>从业人员、营业收入、资产总额填报上一年度数据，无上一年度数据的新成立企业可不填报。</w:t>
            </w:r>
          </w:p>
        </w:tc>
      </w:tr>
    </w:tbl>
    <w:p w14:paraId="1D1DDC96">
      <w:pPr>
        <w:shd w:val="clear"/>
        <w:adjustRightInd/>
        <w:snapToGrid/>
        <w:jc w:val="left"/>
        <w:rPr>
          <w:rFonts w:hint="eastAsia" w:ascii="仿宋" w:hAnsi="仿宋" w:eastAsia="仿宋" w:cs="仿宋"/>
          <w:color w:val="auto"/>
          <w:szCs w:val="21"/>
          <w:highlight w:val="none"/>
          <w:vertAlign w:val="superscript"/>
        </w:rPr>
      </w:pPr>
      <w:r>
        <w:rPr>
          <w:rFonts w:hint="eastAsia" w:ascii="仿宋" w:hAnsi="仿宋" w:eastAsia="仿宋" w:cs="仿宋"/>
          <w:color w:val="auto"/>
          <w:szCs w:val="21"/>
          <w:highlight w:val="none"/>
          <w:vertAlign w:val="superscript"/>
        </w:rPr>
        <w:br w:type="page"/>
      </w:r>
    </w:p>
    <w:p w14:paraId="6ED25674">
      <w:pPr>
        <w:shd w:val="clear" w:color="auto" w:fill="auto"/>
        <w:spacing w:line="360" w:lineRule="auto"/>
        <w:ind w:right="360"/>
        <w:jc w:val="center"/>
        <w:rPr>
          <w:rFonts w:hint="eastAsia" w:ascii="仿宋" w:hAnsi="仿宋" w:eastAsia="仿宋" w:cs="仿宋"/>
          <w:b/>
          <w:color w:val="auto"/>
          <w:sz w:val="36"/>
          <w:szCs w:val="36"/>
          <w:highlight w:val="none"/>
        </w:rPr>
      </w:pPr>
      <w:r>
        <w:rPr>
          <w:rFonts w:hint="eastAsia" w:ascii="仿宋" w:hAnsi="仿宋" w:eastAsia="仿宋" w:cs="仿宋"/>
          <w:b/>
          <w:bCs/>
          <w:color w:val="auto"/>
          <w:sz w:val="36"/>
          <w:szCs w:val="36"/>
          <w:highlight w:val="none"/>
        </w:rPr>
        <w:t>残疾人福利性单位声明函格式</w:t>
      </w:r>
    </w:p>
    <w:p w14:paraId="182DC08B">
      <w:pPr>
        <w:shd w:val="clear" w:color="auto" w:fill="auto"/>
        <w:spacing w:line="588" w:lineRule="exact"/>
        <w:ind w:firstLine="504"/>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本单位郑重声明，根据《财政部民政部中国残疾人联合会关于促进残疾人就业政府采购政策的通知》（财库</w:t>
      </w:r>
      <w:r>
        <w:rPr>
          <w:rFonts w:hint="eastAsia" w:ascii="仿宋" w:hAnsi="仿宋" w:eastAsia="仿宋" w:cs="仿宋"/>
          <w:color w:val="auto"/>
          <w:sz w:val="24"/>
          <w:highlight w:val="none"/>
        </w:rPr>
        <w:t>〔2017〕141</w:t>
      </w:r>
      <w:r>
        <w:rPr>
          <w:rFonts w:hint="eastAsia" w:ascii="仿宋" w:hAnsi="仿宋" w:eastAsia="仿宋" w:cs="仿宋"/>
          <w:color w:val="auto"/>
          <w:spacing w:val="6"/>
          <w:sz w:val="24"/>
          <w:highlight w:val="none"/>
        </w:rPr>
        <w:t>号）的规定，本单位</w:t>
      </w:r>
      <w:r>
        <w:rPr>
          <w:rFonts w:hint="eastAsia" w:ascii="仿宋" w:hAnsi="仿宋" w:eastAsia="仿宋" w:cs="仿宋"/>
          <w:b/>
          <w:color w:val="auto"/>
          <w:sz w:val="24"/>
          <w:highlight w:val="none"/>
        </w:rPr>
        <w:t>（请进行选择）</w:t>
      </w:r>
      <w:r>
        <w:rPr>
          <w:rFonts w:hint="eastAsia" w:ascii="仿宋" w:hAnsi="仿宋" w:eastAsia="仿宋" w:cs="仿宋"/>
          <w:color w:val="auto"/>
          <w:spacing w:val="6"/>
          <w:sz w:val="24"/>
          <w:highlight w:val="none"/>
        </w:rPr>
        <w:t>：</w:t>
      </w:r>
    </w:p>
    <w:p w14:paraId="4BF2E2BC">
      <w:pPr>
        <w:shd w:val="clear" w:color="auto" w:fill="auto"/>
        <w:spacing w:line="588" w:lineRule="exact"/>
        <w:ind w:firstLine="482"/>
        <w:rPr>
          <w:rFonts w:hint="eastAsia" w:ascii="仿宋" w:hAnsi="仿宋" w:eastAsia="仿宋" w:cs="仿宋"/>
          <w:b/>
          <w:color w:val="auto"/>
          <w:spacing w:val="6"/>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pacing w:val="6"/>
          <w:sz w:val="24"/>
          <w:highlight w:val="none"/>
        </w:rPr>
        <w:t>不属于符合条件的残疾人福利性单位。</w:t>
      </w:r>
    </w:p>
    <w:p w14:paraId="00AADBB9">
      <w:pPr>
        <w:shd w:val="clear" w:color="auto" w:fill="auto"/>
        <w:spacing w:line="588" w:lineRule="exact"/>
        <w:ind w:firstLine="482"/>
        <w:rPr>
          <w:rFonts w:hint="eastAsia" w:ascii="仿宋" w:hAnsi="仿宋" w:eastAsia="仿宋" w:cs="仿宋"/>
          <w:color w:val="auto"/>
          <w:spacing w:val="6"/>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pacing w:val="6"/>
          <w:sz w:val="24"/>
          <w:highlight w:val="none"/>
        </w:rPr>
        <w:t>属于符合条件的残疾人福利性单位，</w:t>
      </w:r>
      <w:r>
        <w:rPr>
          <w:rFonts w:hint="eastAsia" w:ascii="仿宋" w:hAnsi="仿宋" w:eastAsia="仿宋" w:cs="仿宋"/>
          <w:color w:val="auto"/>
          <w:spacing w:val="6"/>
          <w:sz w:val="24"/>
          <w:highlight w:val="none"/>
        </w:rPr>
        <w:t>且本单位参加</w:t>
      </w:r>
      <w:r>
        <w:rPr>
          <w:rFonts w:hint="eastAsia" w:ascii="仿宋" w:hAnsi="仿宋" w:eastAsia="仿宋" w:cs="仿宋"/>
          <w:color w:val="auto"/>
          <w:sz w:val="24"/>
          <w:highlight w:val="none"/>
        </w:rPr>
        <w:t>______</w:t>
      </w:r>
      <w:r>
        <w:rPr>
          <w:rFonts w:hint="eastAsia" w:ascii="仿宋" w:hAnsi="仿宋" w:eastAsia="仿宋" w:cs="仿宋"/>
          <w:color w:val="auto"/>
          <w:spacing w:val="6"/>
          <w:sz w:val="24"/>
          <w:highlight w:val="none"/>
        </w:rPr>
        <w:t>单位的</w:t>
      </w:r>
      <w:r>
        <w:rPr>
          <w:rFonts w:hint="eastAsia" w:ascii="仿宋" w:hAnsi="仿宋" w:eastAsia="仿宋" w:cs="仿宋"/>
          <w:color w:val="auto"/>
          <w:sz w:val="24"/>
          <w:highlight w:val="none"/>
        </w:rPr>
        <w:t>______</w:t>
      </w:r>
      <w:r>
        <w:rPr>
          <w:rFonts w:hint="eastAsia" w:ascii="仿宋" w:hAnsi="仿宋" w:eastAsia="仿宋" w:cs="仿宋"/>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6F71EC45">
      <w:pPr>
        <w:shd w:val="clear" w:color="auto" w:fill="auto"/>
        <w:spacing w:line="588" w:lineRule="exact"/>
        <w:ind w:firstLine="506" w:firstLineChars="200"/>
        <w:rPr>
          <w:rFonts w:hint="eastAsia" w:ascii="仿宋" w:hAnsi="仿宋" w:eastAsia="仿宋" w:cs="仿宋"/>
          <w:color w:val="auto"/>
          <w:spacing w:val="6"/>
          <w:sz w:val="24"/>
          <w:highlight w:val="none"/>
        </w:rPr>
      </w:pPr>
      <w:r>
        <w:rPr>
          <w:rFonts w:hint="eastAsia" w:ascii="仿宋" w:hAnsi="仿宋" w:eastAsia="仿宋" w:cs="仿宋"/>
          <w:b/>
          <w:color w:val="auto"/>
          <w:spacing w:val="6"/>
          <w:sz w:val="24"/>
          <w:highlight w:val="none"/>
        </w:rPr>
        <w:t>本单位对上述声明的真实性负责。如有虚假，将依法承担相应责任。</w:t>
      </w:r>
    </w:p>
    <w:p w14:paraId="75C7FC16">
      <w:pPr>
        <w:shd w:val="clear" w:color="auto" w:fill="auto"/>
        <w:spacing w:line="588" w:lineRule="exact"/>
        <w:ind w:firstLine="504" w:firstLineChars="200"/>
        <w:rPr>
          <w:rFonts w:hint="eastAsia" w:ascii="仿宋" w:hAnsi="仿宋" w:eastAsia="仿宋" w:cs="仿宋"/>
          <w:color w:val="auto"/>
          <w:spacing w:val="6"/>
          <w:sz w:val="24"/>
          <w:highlight w:val="none"/>
        </w:rPr>
      </w:pPr>
    </w:p>
    <w:p w14:paraId="4E30A4E7">
      <w:pPr>
        <w:shd w:val="clear" w:color="auto" w:fill="auto"/>
        <w:spacing w:line="588" w:lineRule="exact"/>
        <w:ind w:firstLine="504" w:firstLineChars="200"/>
        <w:rPr>
          <w:rFonts w:hint="eastAsia" w:ascii="仿宋" w:hAnsi="仿宋" w:eastAsia="仿宋" w:cs="仿宋"/>
          <w:color w:val="auto"/>
          <w:spacing w:val="6"/>
          <w:sz w:val="24"/>
          <w:highlight w:val="none"/>
        </w:rPr>
      </w:pPr>
    </w:p>
    <w:p w14:paraId="03BAC5E5">
      <w:pPr>
        <w:shd w:val="clear" w:color="auto" w:fill="auto"/>
        <w:tabs>
          <w:tab w:val="left" w:pos="4860"/>
        </w:tabs>
        <w:spacing w:line="588" w:lineRule="exact"/>
        <w:ind w:right="1560" w:firstLine="504" w:firstLineChars="200"/>
        <w:jc w:val="right"/>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单位名称（盖章）：</w:t>
      </w:r>
      <w:r>
        <w:rPr>
          <w:rFonts w:hint="eastAsia" w:ascii="仿宋" w:hAnsi="仿宋" w:eastAsia="仿宋" w:cs="仿宋"/>
          <w:color w:val="auto"/>
          <w:sz w:val="24"/>
          <w:highlight w:val="none"/>
        </w:rPr>
        <w:t>______</w:t>
      </w:r>
    </w:p>
    <w:p w14:paraId="42FF5226">
      <w:pPr>
        <w:shd w:val="clear" w:color="auto" w:fill="auto"/>
        <w:tabs>
          <w:tab w:val="left" w:pos="4860"/>
        </w:tabs>
        <w:spacing w:line="588" w:lineRule="exact"/>
        <w:ind w:right="1560" w:firstLine="504" w:firstLineChars="200"/>
        <w:jc w:val="right"/>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日期：</w:t>
      </w:r>
      <w:r>
        <w:rPr>
          <w:rFonts w:hint="eastAsia" w:ascii="仿宋" w:hAnsi="仿宋" w:eastAsia="仿宋" w:cs="仿宋"/>
          <w:color w:val="auto"/>
          <w:sz w:val="24"/>
          <w:highlight w:val="none"/>
        </w:rPr>
        <w:t>______</w:t>
      </w:r>
    </w:p>
    <w:p w14:paraId="6ABE95A7">
      <w:pPr>
        <w:shd w:val="clear" w:color="auto" w:fill="auto"/>
        <w:spacing w:before="240" w:beforeLines="100" w:after="240" w:afterLines="100" w:line="360" w:lineRule="auto"/>
        <w:jc w:val="center"/>
        <w:rPr>
          <w:rFonts w:hint="eastAsia" w:ascii="仿宋" w:hAnsi="仿宋" w:eastAsia="仿宋" w:cs="仿宋"/>
          <w:b/>
          <w:bCs/>
          <w:color w:val="auto"/>
          <w:sz w:val="36"/>
          <w:szCs w:val="36"/>
          <w:highlight w:val="none"/>
        </w:rPr>
      </w:pPr>
      <w:r>
        <w:rPr>
          <w:rFonts w:hint="eastAsia" w:ascii="仿宋" w:hAnsi="仿宋" w:eastAsia="仿宋" w:cs="仿宋"/>
          <w:color w:val="auto"/>
          <w:sz w:val="24"/>
          <w:szCs w:val="20"/>
          <w:highlight w:val="none"/>
        </w:rPr>
        <w:br w:type="page"/>
      </w:r>
      <w:bookmarkStart w:id="652" w:name="_Toc11258"/>
      <w:bookmarkStart w:id="653" w:name="_Toc4615512"/>
      <w:r>
        <w:rPr>
          <w:rFonts w:hint="eastAsia" w:ascii="仿宋" w:hAnsi="仿宋" w:eastAsia="仿宋" w:cs="仿宋"/>
          <w:b/>
          <w:bCs/>
          <w:color w:val="auto"/>
          <w:sz w:val="36"/>
          <w:szCs w:val="36"/>
          <w:highlight w:val="none"/>
        </w:rPr>
        <w:t>监狱、戒毒企业声明函</w:t>
      </w:r>
      <w:bookmarkEnd w:id="652"/>
      <w:bookmarkEnd w:id="653"/>
      <w:r>
        <w:rPr>
          <w:rFonts w:hint="eastAsia" w:ascii="仿宋" w:hAnsi="仿宋" w:eastAsia="仿宋" w:cs="仿宋"/>
          <w:b/>
          <w:bCs/>
          <w:color w:val="auto"/>
          <w:sz w:val="36"/>
          <w:szCs w:val="36"/>
          <w:highlight w:val="none"/>
        </w:rPr>
        <w:t>格式</w:t>
      </w:r>
    </w:p>
    <w:p w14:paraId="20064DF7">
      <w:pPr>
        <w:shd w:val="clear" w:color="auto" w:fill="auto"/>
        <w:spacing w:line="588" w:lineRule="exact"/>
        <w:ind w:firstLine="504"/>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本单位郑重声明，根据《关于政府采购支持监狱企业发展有关问题的通知》（财库[2014]68号）的规定，本单位</w:t>
      </w:r>
      <w:r>
        <w:rPr>
          <w:rFonts w:hint="eastAsia" w:ascii="仿宋" w:hAnsi="仿宋" w:eastAsia="仿宋" w:cs="仿宋"/>
          <w:b/>
          <w:color w:val="auto"/>
          <w:sz w:val="24"/>
          <w:highlight w:val="none"/>
        </w:rPr>
        <w:t>（请进行勾选）</w:t>
      </w:r>
      <w:r>
        <w:rPr>
          <w:rFonts w:hint="eastAsia" w:ascii="仿宋" w:hAnsi="仿宋" w:eastAsia="仿宋" w:cs="仿宋"/>
          <w:color w:val="auto"/>
          <w:spacing w:val="6"/>
          <w:sz w:val="24"/>
          <w:highlight w:val="none"/>
        </w:rPr>
        <w:t>：</w:t>
      </w:r>
    </w:p>
    <w:p w14:paraId="53C19D3C">
      <w:pPr>
        <w:shd w:val="clear" w:color="auto" w:fill="auto"/>
        <w:spacing w:line="588" w:lineRule="exact"/>
        <w:ind w:firstLine="482"/>
        <w:rPr>
          <w:rFonts w:hint="eastAsia" w:ascii="仿宋" w:hAnsi="仿宋" w:eastAsia="仿宋" w:cs="仿宋"/>
          <w:b/>
          <w:color w:val="auto"/>
          <w:spacing w:val="6"/>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pacing w:val="6"/>
          <w:sz w:val="24"/>
          <w:highlight w:val="none"/>
        </w:rPr>
        <w:t>不属于符合条件的监狱、戒毒企业。</w:t>
      </w:r>
    </w:p>
    <w:p w14:paraId="576BE980">
      <w:pPr>
        <w:shd w:val="clear" w:color="auto" w:fill="auto"/>
        <w:spacing w:line="588" w:lineRule="exact"/>
        <w:ind w:firstLine="482"/>
        <w:rPr>
          <w:rFonts w:hint="eastAsia" w:ascii="仿宋" w:hAnsi="仿宋" w:eastAsia="仿宋" w:cs="仿宋"/>
          <w:color w:val="auto"/>
          <w:spacing w:val="6"/>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pacing w:val="6"/>
          <w:sz w:val="24"/>
          <w:highlight w:val="none"/>
        </w:rPr>
        <w:t>属于符合条件的监狱、戒毒企业，</w:t>
      </w:r>
      <w:r>
        <w:rPr>
          <w:rFonts w:hint="eastAsia" w:ascii="仿宋" w:hAnsi="仿宋" w:eastAsia="仿宋" w:cs="仿宋"/>
          <w:color w:val="auto"/>
          <w:spacing w:val="6"/>
          <w:sz w:val="24"/>
          <w:highlight w:val="none"/>
        </w:rPr>
        <w:t>且本单位参加______单位的______项目采购活动提供由省级以上监狱管理局（北京市含教育矫治局）、戒毒管理局（含新疆生产建设兵团）出具的属于监狱企业的证明文件。</w:t>
      </w:r>
    </w:p>
    <w:p w14:paraId="77F6750B">
      <w:pPr>
        <w:shd w:val="clear" w:color="auto" w:fill="auto"/>
        <w:spacing w:line="588" w:lineRule="exact"/>
        <w:ind w:firstLine="506" w:firstLineChars="200"/>
        <w:rPr>
          <w:rFonts w:hint="eastAsia" w:ascii="仿宋" w:hAnsi="仿宋" w:eastAsia="仿宋" w:cs="仿宋"/>
          <w:color w:val="auto"/>
          <w:spacing w:val="6"/>
          <w:sz w:val="24"/>
          <w:highlight w:val="none"/>
        </w:rPr>
      </w:pPr>
      <w:r>
        <w:rPr>
          <w:rFonts w:hint="eastAsia" w:ascii="仿宋" w:hAnsi="仿宋" w:eastAsia="仿宋" w:cs="仿宋"/>
          <w:b/>
          <w:color w:val="auto"/>
          <w:spacing w:val="6"/>
          <w:sz w:val="24"/>
          <w:highlight w:val="none"/>
        </w:rPr>
        <w:t>本单位对上述声明的真实性负责。如有虚假，将依法承担相应责任。</w:t>
      </w:r>
    </w:p>
    <w:p w14:paraId="7B181D4F">
      <w:pPr>
        <w:shd w:val="clear" w:color="auto" w:fill="auto"/>
        <w:spacing w:line="588" w:lineRule="exact"/>
        <w:ind w:firstLine="504" w:firstLineChars="200"/>
        <w:rPr>
          <w:rFonts w:hint="eastAsia" w:ascii="仿宋" w:hAnsi="仿宋" w:eastAsia="仿宋" w:cs="仿宋"/>
          <w:color w:val="auto"/>
          <w:spacing w:val="6"/>
          <w:sz w:val="24"/>
          <w:highlight w:val="none"/>
        </w:rPr>
      </w:pPr>
    </w:p>
    <w:p w14:paraId="6F9148FC">
      <w:pPr>
        <w:shd w:val="clear" w:color="auto" w:fill="auto"/>
        <w:spacing w:line="588" w:lineRule="exact"/>
        <w:ind w:firstLine="504" w:firstLineChars="200"/>
        <w:rPr>
          <w:rFonts w:hint="eastAsia" w:ascii="仿宋" w:hAnsi="仿宋" w:eastAsia="仿宋" w:cs="仿宋"/>
          <w:color w:val="auto"/>
          <w:spacing w:val="6"/>
          <w:sz w:val="24"/>
          <w:highlight w:val="none"/>
        </w:rPr>
      </w:pPr>
    </w:p>
    <w:p w14:paraId="64EB7752">
      <w:pPr>
        <w:shd w:val="clear" w:color="auto" w:fill="auto"/>
        <w:tabs>
          <w:tab w:val="left" w:pos="4860"/>
        </w:tabs>
        <w:spacing w:line="588" w:lineRule="exact"/>
        <w:ind w:right="1560" w:firstLine="504" w:firstLineChars="200"/>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单位名称（盖章）：</w:t>
      </w:r>
    </w:p>
    <w:p w14:paraId="677364FB">
      <w:pPr>
        <w:shd w:val="clear" w:color="auto" w:fill="auto"/>
        <w:tabs>
          <w:tab w:val="left" w:pos="4860"/>
        </w:tabs>
        <w:spacing w:line="588" w:lineRule="exact"/>
        <w:ind w:right="1560" w:firstLine="504" w:firstLineChars="200"/>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日期：</w:t>
      </w:r>
    </w:p>
    <w:p w14:paraId="5C2A3FB9">
      <w:pPr>
        <w:shd w:val="clear" w:color="auto" w:fill="auto"/>
        <w:spacing w:line="360" w:lineRule="auto"/>
        <w:ind w:left="719" w:leftChars="228" w:hanging="240" w:hangingChars="100"/>
        <w:rPr>
          <w:rFonts w:hint="eastAsia" w:ascii="仿宋" w:hAnsi="仿宋" w:eastAsia="仿宋" w:cs="仿宋"/>
          <w:color w:val="auto"/>
          <w:sz w:val="24"/>
          <w:highlight w:val="none"/>
        </w:rPr>
      </w:pPr>
      <w:r>
        <w:rPr>
          <w:rFonts w:hint="eastAsia" w:ascii="仿宋" w:hAnsi="仿宋" w:eastAsia="仿宋" w:cs="仿宋"/>
          <w:color w:val="auto"/>
          <w:sz w:val="24"/>
          <w:szCs w:val="20"/>
          <w:highlight w:val="none"/>
        </w:rPr>
        <w:br w:type="page"/>
      </w:r>
    </w:p>
    <w:p w14:paraId="50CC54A5">
      <w:pPr>
        <w:widowControl/>
        <w:shd w:val="clear" w:color="auto" w:fill="auto"/>
        <w:jc w:val="left"/>
        <w:outlineLvl w:val="1"/>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3其他特定资格要求</w:t>
      </w:r>
    </w:p>
    <w:p w14:paraId="431BAE48">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F4F00D2">
      <w:pPr>
        <w:widowControl/>
        <w:shd w:val="clear" w:color="auto" w:fill="auto"/>
        <w:jc w:val="left"/>
        <w:outlineLvl w:val="1"/>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4磋商保证金凭证/交款单据</w:t>
      </w:r>
      <w:r>
        <w:rPr>
          <w:rFonts w:hint="eastAsia" w:ascii="仿宋" w:hAnsi="仿宋" w:eastAsia="仿宋" w:cs="仿宋"/>
          <w:color w:val="auto"/>
          <w:sz w:val="24"/>
          <w:highlight w:val="none"/>
          <w:lang w:eastAsia="zh-CN"/>
        </w:rPr>
        <w:t>电子件</w:t>
      </w:r>
    </w:p>
    <w:p w14:paraId="014CDEF5">
      <w:pPr>
        <w:widowControl/>
        <w:shd w:val="clear" w:color="auto" w:fill="auto"/>
        <w:jc w:val="left"/>
        <w:outlineLvl w:val="1"/>
        <w:rPr>
          <w:rFonts w:hint="eastAsia" w:ascii="仿宋" w:hAnsi="仿宋" w:eastAsia="仿宋" w:cs="仿宋"/>
          <w:color w:val="auto"/>
          <w:sz w:val="24"/>
          <w:highlight w:val="none"/>
        </w:rPr>
      </w:pPr>
      <w:r>
        <w:rPr>
          <w:rFonts w:hint="eastAsia" w:ascii="仿宋" w:hAnsi="仿宋" w:eastAsia="仿宋" w:cs="仿宋"/>
          <w:b/>
          <w:color w:val="auto"/>
          <w:sz w:val="24"/>
          <w:highlight w:val="none"/>
        </w:rPr>
        <w:br w:type="page"/>
      </w:r>
      <w:bookmarkStart w:id="654" w:name="_Hlt520355504"/>
      <w:bookmarkEnd w:id="654"/>
      <w:bookmarkStart w:id="655" w:name="_Hlt520274393"/>
      <w:bookmarkEnd w:id="655"/>
      <w:bookmarkStart w:id="656" w:name="_Hlt520274121"/>
      <w:bookmarkEnd w:id="656"/>
      <w:bookmarkStart w:id="657" w:name="_Hlt520274407"/>
      <w:bookmarkEnd w:id="657"/>
      <w:bookmarkStart w:id="658" w:name="_Hlt520343392"/>
      <w:bookmarkEnd w:id="658"/>
      <w:bookmarkStart w:id="659" w:name="_Hlt520343000"/>
      <w:bookmarkEnd w:id="659"/>
      <w:bookmarkStart w:id="660" w:name="_Hlt520274065"/>
      <w:bookmarkEnd w:id="660"/>
      <w:bookmarkStart w:id="661" w:name="_Hlt520350918"/>
      <w:bookmarkEnd w:id="661"/>
      <w:bookmarkStart w:id="662" w:name="_Hlt520273711"/>
      <w:bookmarkEnd w:id="662"/>
      <w:bookmarkStart w:id="663" w:name="_Hlt520271212"/>
      <w:bookmarkEnd w:id="663"/>
      <w:bookmarkStart w:id="664" w:name="_Toc480942349"/>
      <w:bookmarkStart w:id="665" w:name="_Ref467988698"/>
      <w:bookmarkStart w:id="666" w:name="_Toc150774761"/>
      <w:bookmarkStart w:id="667" w:name="_Toc520356217"/>
      <w:bookmarkStart w:id="668" w:name="_Toc150480794"/>
      <w:bookmarkStart w:id="669" w:name="_Toc226965829"/>
      <w:bookmarkStart w:id="670" w:name="_Toc226965746"/>
      <w:bookmarkStart w:id="671" w:name="_Toc127151556"/>
      <w:bookmarkStart w:id="672" w:name="_Toc142311058"/>
      <w:bookmarkStart w:id="673" w:name="_Toc195842921"/>
      <w:bookmarkStart w:id="674" w:name="_Toc226309800"/>
      <w:bookmarkStart w:id="675" w:name="_Toc226337252"/>
      <w:r>
        <w:rPr>
          <w:rFonts w:hint="eastAsia" w:ascii="仿宋" w:hAnsi="仿宋" w:eastAsia="仿宋" w:cs="仿宋"/>
          <w:color w:val="auto"/>
          <w:sz w:val="24"/>
          <w:highlight w:val="none"/>
        </w:rPr>
        <w:t>5</w:t>
      </w:r>
      <w:bookmarkEnd w:id="664"/>
      <w:bookmarkEnd w:id="665"/>
      <w:r>
        <w:rPr>
          <w:rFonts w:hint="eastAsia" w:ascii="仿宋" w:hAnsi="仿宋" w:eastAsia="仿宋" w:cs="仿宋"/>
          <w:color w:val="auto"/>
          <w:sz w:val="24"/>
          <w:highlight w:val="none"/>
        </w:rPr>
        <w:t>响应书</w:t>
      </w:r>
      <w:bookmarkEnd w:id="666"/>
      <w:bookmarkEnd w:id="667"/>
      <w:bookmarkEnd w:id="668"/>
      <w:bookmarkEnd w:id="669"/>
      <w:bookmarkEnd w:id="670"/>
      <w:bookmarkEnd w:id="671"/>
      <w:bookmarkEnd w:id="672"/>
      <w:bookmarkEnd w:id="673"/>
      <w:bookmarkEnd w:id="674"/>
      <w:bookmarkEnd w:id="675"/>
      <w:r>
        <w:rPr>
          <w:rFonts w:hint="eastAsia" w:ascii="仿宋" w:hAnsi="仿宋" w:eastAsia="仿宋" w:cs="仿宋"/>
          <w:color w:val="auto"/>
          <w:sz w:val="24"/>
          <w:highlight w:val="none"/>
        </w:rPr>
        <w:t>（实质性格式）</w:t>
      </w:r>
    </w:p>
    <w:p w14:paraId="50F6BF19">
      <w:pPr>
        <w:shd w:val="clear" w:color="auto" w:fill="auto"/>
        <w:tabs>
          <w:tab w:val="left" w:pos="5580"/>
        </w:tabs>
        <w:spacing w:line="360" w:lineRule="auto"/>
        <w:rPr>
          <w:rFonts w:hint="eastAsia" w:ascii="仿宋" w:hAnsi="仿宋" w:eastAsia="仿宋" w:cs="仿宋"/>
          <w:color w:val="auto"/>
          <w:sz w:val="24"/>
          <w:highlight w:val="none"/>
        </w:rPr>
      </w:pPr>
    </w:p>
    <w:p w14:paraId="1AACFE93">
      <w:pPr>
        <w:shd w:val="clear" w:color="auto" w:fill="auto"/>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响应书</w:t>
      </w:r>
    </w:p>
    <w:p w14:paraId="34CE1EDF">
      <w:pPr>
        <w:shd w:val="clear" w:color="auto" w:fill="auto"/>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（采购人或采购代理机构）</w:t>
      </w:r>
    </w:p>
    <w:p w14:paraId="4BFBCFFC">
      <w:pPr>
        <w:shd w:val="clear" w:color="auto" w:fill="auto"/>
        <w:tabs>
          <w:tab w:val="left" w:pos="5580"/>
        </w:tabs>
        <w:spacing w:line="360" w:lineRule="auto"/>
        <w:rPr>
          <w:rFonts w:hint="eastAsia" w:ascii="仿宋" w:hAnsi="仿宋" w:eastAsia="仿宋" w:cs="仿宋"/>
          <w:color w:val="auto"/>
          <w:sz w:val="24"/>
          <w:szCs w:val="20"/>
          <w:highlight w:val="none"/>
        </w:rPr>
      </w:pPr>
    </w:p>
    <w:p w14:paraId="341C9913">
      <w:pPr>
        <w:shd w:val="clear" w:color="auto" w:fill="auto"/>
        <w:tabs>
          <w:tab w:val="left" w:pos="5580"/>
        </w:tabs>
        <w:spacing w:line="360" w:lineRule="auto"/>
        <w:ind w:firstLine="408"/>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我方参加你方就</w:t>
      </w:r>
      <w:r>
        <w:rPr>
          <w:rFonts w:hint="eastAsia" w:ascii="仿宋" w:hAnsi="仿宋" w:eastAsia="仿宋" w:cs="仿宋"/>
          <w:color w:val="auto"/>
          <w:sz w:val="24"/>
          <w:highlight w:val="none"/>
        </w:rPr>
        <w:t>______</w:t>
      </w:r>
      <w:r>
        <w:rPr>
          <w:rFonts w:hint="eastAsia" w:ascii="仿宋" w:hAnsi="仿宋" w:eastAsia="仿宋" w:cs="仿宋"/>
          <w:color w:val="auto"/>
          <w:sz w:val="24"/>
          <w:szCs w:val="20"/>
          <w:highlight w:val="none"/>
        </w:rPr>
        <w:t>（项目名称</w:t>
      </w:r>
      <w:r>
        <w:rPr>
          <w:rFonts w:hint="eastAsia" w:ascii="仿宋" w:hAnsi="仿宋" w:eastAsia="仿宋" w:cs="仿宋"/>
          <w:color w:val="auto"/>
          <w:sz w:val="24"/>
          <w:szCs w:val="20"/>
          <w:highlight w:val="none"/>
          <w:lang w:val="en-US" w:eastAsia="zh-CN"/>
        </w:rPr>
        <w:t>、</w:t>
      </w:r>
      <w:r>
        <w:rPr>
          <w:rFonts w:hint="eastAsia" w:ascii="仿宋" w:hAnsi="仿宋" w:eastAsia="仿宋" w:cs="仿宋"/>
          <w:color w:val="auto"/>
          <w:sz w:val="24"/>
          <w:szCs w:val="20"/>
          <w:highlight w:val="none"/>
        </w:rPr>
        <w:t>招标</w:t>
      </w:r>
      <w:r>
        <w:rPr>
          <w:rFonts w:hint="eastAsia" w:ascii="仿宋" w:hAnsi="仿宋" w:eastAsia="仿宋" w:cs="仿宋"/>
          <w:color w:val="auto"/>
          <w:sz w:val="24"/>
          <w:szCs w:val="20"/>
          <w:highlight w:val="none"/>
          <w:lang w:val="en-US" w:eastAsia="zh-CN"/>
        </w:rPr>
        <w:t>/项目</w:t>
      </w:r>
      <w:r>
        <w:rPr>
          <w:rFonts w:hint="eastAsia" w:ascii="仿宋" w:hAnsi="仿宋" w:eastAsia="仿宋" w:cs="仿宋"/>
          <w:color w:val="auto"/>
          <w:sz w:val="24"/>
          <w:szCs w:val="20"/>
          <w:highlight w:val="none"/>
        </w:rPr>
        <w:t>编号）组织的采购活动，并对此项目进行磋商。</w:t>
      </w:r>
    </w:p>
    <w:p w14:paraId="48C0A58E">
      <w:pPr>
        <w:shd w:val="clear" w:color="auto" w:fill="auto"/>
        <w:tabs>
          <w:tab w:val="left" w:pos="5580"/>
        </w:tabs>
        <w:spacing w:line="360" w:lineRule="auto"/>
        <w:ind w:firstLine="408"/>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1.我方</w:t>
      </w:r>
      <w:r>
        <w:rPr>
          <w:rFonts w:hint="eastAsia" w:ascii="仿宋" w:hAnsi="仿宋" w:eastAsia="仿宋" w:cs="仿宋"/>
          <w:color w:val="auto"/>
          <w:sz w:val="24"/>
          <w:highlight w:val="none"/>
        </w:rPr>
        <w:t>已详细审查全部竞争性磋商文件</w:t>
      </w:r>
      <w:r>
        <w:rPr>
          <w:rFonts w:hint="eastAsia" w:ascii="仿宋" w:hAnsi="仿宋" w:eastAsia="仿宋" w:cs="仿宋"/>
          <w:color w:val="auto"/>
          <w:sz w:val="24"/>
          <w:szCs w:val="20"/>
          <w:highlight w:val="none"/>
        </w:rPr>
        <w:t>，自愿参与磋商并承诺如下：</w:t>
      </w:r>
    </w:p>
    <w:p w14:paraId="52E9F663">
      <w:pPr>
        <w:shd w:val="clear" w:color="auto" w:fill="auto"/>
        <w:tabs>
          <w:tab w:val="left" w:pos="720"/>
          <w:tab w:val="left" w:pos="900"/>
        </w:tabs>
        <w:spacing w:line="360" w:lineRule="auto"/>
        <w:ind w:left="360" w:firstLine="72" w:firstLineChars="3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（1）本响应有效期为自响应文件提交截止之日起</w:t>
      </w:r>
      <w:r>
        <w:rPr>
          <w:rFonts w:hint="eastAsia" w:ascii="仿宋" w:hAnsi="仿宋" w:eastAsia="仿宋" w:cs="仿宋"/>
          <w:color w:val="auto"/>
          <w:sz w:val="24"/>
          <w:highlight w:val="none"/>
        </w:rPr>
        <w:t>______</w:t>
      </w:r>
      <w:r>
        <w:rPr>
          <w:rFonts w:hint="eastAsia" w:ascii="仿宋" w:hAnsi="仿宋" w:eastAsia="仿宋" w:cs="仿宋"/>
          <w:color w:val="auto"/>
          <w:sz w:val="24"/>
          <w:szCs w:val="20"/>
          <w:highlight w:val="none"/>
        </w:rPr>
        <w:t>个日历日。</w:t>
      </w:r>
    </w:p>
    <w:p w14:paraId="1A5BA75E">
      <w:pPr>
        <w:shd w:val="clear" w:color="auto" w:fill="auto"/>
        <w:tabs>
          <w:tab w:val="left" w:pos="720"/>
          <w:tab w:val="left" w:pos="900"/>
        </w:tabs>
        <w:spacing w:line="360" w:lineRule="auto"/>
        <w:ind w:left="360" w:firstLine="72" w:firstLineChars="3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（2）除合同条款及采购需求偏离表列出的偏离外，我方响应竞争性磋商文件的全部要求。</w:t>
      </w:r>
    </w:p>
    <w:p w14:paraId="15050D90">
      <w:pPr>
        <w:shd w:val="clear" w:color="auto" w:fill="auto"/>
        <w:tabs>
          <w:tab w:val="left" w:pos="5580"/>
        </w:tabs>
        <w:spacing w:line="360" w:lineRule="auto"/>
        <w:ind w:firstLine="420" w:firstLineChars="175"/>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（3）我方已提供的全部文件资料是真实、准确的，并对此承担一切法律后果。</w:t>
      </w:r>
    </w:p>
    <w:p w14:paraId="0C3E90C8">
      <w:pPr>
        <w:shd w:val="clear" w:color="auto" w:fill="auto"/>
        <w:tabs>
          <w:tab w:val="left" w:pos="5580"/>
        </w:tabs>
        <w:spacing w:line="360" w:lineRule="auto"/>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szCs w:val="20"/>
          <w:highlight w:val="none"/>
        </w:rPr>
        <w:t>（4）如我方成交，我方将在法律规定的期限内与你方签订合同，按照竞争性磋商文件要求提交履约保证金，并在合同约定的期限内完成合同规定的全部义务。</w:t>
      </w:r>
    </w:p>
    <w:p w14:paraId="78309EB0">
      <w:pPr>
        <w:shd w:val="clear" w:color="auto" w:fill="auto"/>
        <w:spacing w:line="360" w:lineRule="auto"/>
        <w:ind w:left="42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承诺：我方在本项目磋商中的陈述和本响应文件的一切资料均为真实合法，没有不实的描述、承诺或者伪造、变造的情形。如果我方在本项目磋商中做虚假陈述或者在响应文件中提供虚假资料，本响应文件无效，并自愿接受有关处罚，及由此带来的法律后果。</w:t>
      </w:r>
    </w:p>
    <w:p w14:paraId="3D6D977F">
      <w:pPr>
        <w:shd w:val="clear" w:color="auto" w:fill="auto"/>
        <w:spacing w:line="360" w:lineRule="auto"/>
        <w:ind w:left="42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其他补充条款（如有）：______。</w:t>
      </w:r>
    </w:p>
    <w:p w14:paraId="6B971A6E">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与本磋商有关的一切正式往来信函请寄：</w:t>
      </w:r>
    </w:p>
    <w:p w14:paraId="4D5C4F96">
      <w:pPr>
        <w:shd w:val="clear" w:color="auto" w:fill="auto"/>
        <w:tabs>
          <w:tab w:val="left" w:pos="5580"/>
        </w:tabs>
        <w:spacing w:line="360" w:lineRule="auto"/>
        <w:ind w:left="420"/>
        <w:rPr>
          <w:rFonts w:hint="eastAsia" w:ascii="仿宋" w:hAnsi="仿宋" w:eastAsia="仿宋" w:cs="仿宋"/>
          <w:color w:val="auto"/>
          <w:sz w:val="24"/>
          <w:szCs w:val="20"/>
          <w:highlight w:val="none"/>
        </w:rPr>
      </w:pPr>
    </w:p>
    <w:p w14:paraId="3A49AAC8">
      <w:pPr>
        <w:shd w:val="clear" w:color="auto" w:fill="auto"/>
        <w:tabs>
          <w:tab w:val="left" w:pos="5580"/>
        </w:tabs>
        <w:spacing w:line="360" w:lineRule="auto"/>
        <w:ind w:left="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地址</w:t>
      </w:r>
      <w:r>
        <w:rPr>
          <w:rFonts w:hint="eastAsia" w:ascii="仿宋" w:hAnsi="仿宋" w:eastAsia="仿宋" w:cs="仿宋"/>
          <w:bCs/>
          <w:color w:val="auto"/>
          <w:sz w:val="24"/>
          <w:highlight w:val="none"/>
        </w:rPr>
        <w:t>_________________________</w:t>
      </w:r>
      <w:r>
        <w:rPr>
          <w:rFonts w:hint="eastAsia" w:ascii="仿宋" w:hAnsi="仿宋" w:eastAsia="仿宋" w:cs="仿宋"/>
          <w:color w:val="auto"/>
          <w:sz w:val="24"/>
          <w:szCs w:val="20"/>
          <w:highlight w:val="none"/>
        </w:rPr>
        <w:t>传真</w:t>
      </w:r>
      <w:r>
        <w:rPr>
          <w:rFonts w:hint="eastAsia" w:ascii="仿宋" w:hAnsi="仿宋" w:eastAsia="仿宋" w:cs="仿宋"/>
          <w:bCs/>
          <w:color w:val="auto"/>
          <w:sz w:val="24"/>
          <w:highlight w:val="none"/>
        </w:rPr>
        <w:t>_________________________</w:t>
      </w:r>
    </w:p>
    <w:p w14:paraId="5211DD0B">
      <w:pPr>
        <w:shd w:val="clear" w:color="auto" w:fill="auto"/>
        <w:tabs>
          <w:tab w:val="left" w:pos="5580"/>
        </w:tabs>
        <w:spacing w:line="360" w:lineRule="auto"/>
        <w:ind w:left="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电话</w:t>
      </w:r>
      <w:r>
        <w:rPr>
          <w:rFonts w:hint="eastAsia" w:ascii="仿宋" w:hAnsi="仿宋" w:eastAsia="仿宋" w:cs="仿宋"/>
          <w:bCs/>
          <w:color w:val="auto"/>
          <w:sz w:val="24"/>
          <w:highlight w:val="none"/>
        </w:rPr>
        <w:t>_________________________</w:t>
      </w:r>
      <w:r>
        <w:rPr>
          <w:rFonts w:hint="eastAsia" w:ascii="仿宋" w:hAnsi="仿宋" w:eastAsia="仿宋" w:cs="仿宋"/>
          <w:color w:val="auto"/>
          <w:sz w:val="24"/>
          <w:szCs w:val="20"/>
          <w:highlight w:val="none"/>
        </w:rPr>
        <w:t>电子函件</w:t>
      </w:r>
      <w:r>
        <w:rPr>
          <w:rFonts w:hint="eastAsia" w:ascii="仿宋" w:hAnsi="仿宋" w:eastAsia="仿宋" w:cs="仿宋"/>
          <w:bCs/>
          <w:color w:val="auto"/>
          <w:sz w:val="24"/>
          <w:highlight w:val="none"/>
        </w:rPr>
        <w:t>_________________________</w:t>
      </w:r>
    </w:p>
    <w:p w14:paraId="5F0590B8">
      <w:pPr>
        <w:shd w:val="clear" w:color="auto" w:fill="auto"/>
        <w:tabs>
          <w:tab w:val="left" w:pos="5580"/>
        </w:tabs>
        <w:spacing w:line="360" w:lineRule="auto"/>
        <w:ind w:left="420"/>
        <w:rPr>
          <w:rFonts w:hint="eastAsia" w:ascii="仿宋" w:hAnsi="仿宋" w:eastAsia="仿宋" w:cs="仿宋"/>
          <w:color w:val="auto"/>
          <w:sz w:val="24"/>
          <w:szCs w:val="20"/>
          <w:highlight w:val="none"/>
        </w:rPr>
      </w:pPr>
    </w:p>
    <w:p w14:paraId="2A2776B8">
      <w:pPr>
        <w:shd w:val="clear" w:color="auto" w:fill="auto"/>
        <w:tabs>
          <w:tab w:val="left" w:pos="5580"/>
        </w:tabs>
        <w:spacing w:line="360" w:lineRule="auto"/>
        <w:ind w:left="420"/>
        <w:rPr>
          <w:rFonts w:hint="eastAsia" w:ascii="仿宋" w:hAnsi="仿宋" w:eastAsia="仿宋" w:cs="仿宋"/>
          <w:color w:val="auto"/>
          <w:sz w:val="24"/>
          <w:szCs w:val="20"/>
          <w:highlight w:val="none"/>
        </w:rPr>
      </w:pPr>
    </w:p>
    <w:p w14:paraId="2D8EABE4">
      <w:pPr>
        <w:shd w:val="clear" w:color="auto" w:fill="auto"/>
        <w:tabs>
          <w:tab w:val="left" w:pos="5580"/>
        </w:tabs>
        <w:spacing w:line="360" w:lineRule="auto"/>
        <w:ind w:left="420"/>
        <w:rPr>
          <w:rFonts w:hint="eastAsia" w:ascii="仿宋" w:hAnsi="仿宋" w:eastAsia="仿宋" w:cs="仿宋"/>
          <w:color w:val="auto"/>
          <w:sz w:val="24"/>
          <w:szCs w:val="20"/>
          <w:highlight w:val="none"/>
        </w:rPr>
      </w:pPr>
    </w:p>
    <w:p w14:paraId="23EB24C9">
      <w:pPr>
        <w:shd w:val="clear" w:color="auto" w:fill="auto"/>
        <w:autoSpaceDE w:val="0"/>
        <w:autoSpaceDN w:val="0"/>
        <w:adjustRightInd w:val="0"/>
        <w:snapToGrid w:val="0"/>
        <w:spacing w:before="25" w:after="25" w:line="360" w:lineRule="auto"/>
        <w:ind w:right="360" w:firstLine="360" w:firstLineChars="15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w:t>
      </w:r>
    </w:p>
    <w:p w14:paraId="0E5A2DE5">
      <w:pPr>
        <w:shd w:val="clear" w:color="auto" w:fill="auto"/>
        <w:tabs>
          <w:tab w:val="left" w:pos="5580"/>
        </w:tabs>
        <w:spacing w:line="360" w:lineRule="auto"/>
        <w:ind w:firstLine="360" w:firstLineChars="150"/>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日期：____年____月____日</w:t>
      </w:r>
    </w:p>
    <w:p w14:paraId="2829DF98">
      <w:pPr>
        <w:shd w:val="clear" w:color="auto" w:fill="auto"/>
        <w:tabs>
          <w:tab w:val="left" w:pos="5580"/>
        </w:tabs>
        <w:spacing w:line="360" w:lineRule="auto"/>
        <w:ind w:left="420"/>
        <w:jc w:val="left"/>
        <w:rPr>
          <w:rFonts w:hint="eastAsia" w:ascii="仿宋" w:hAnsi="仿宋" w:eastAsia="仿宋" w:cs="仿宋"/>
          <w:color w:val="auto"/>
          <w:sz w:val="24"/>
          <w:szCs w:val="20"/>
          <w:highlight w:val="none"/>
        </w:rPr>
      </w:pPr>
    </w:p>
    <w:p w14:paraId="07FF5301">
      <w:pPr>
        <w:widowControl/>
        <w:shd w:val="clear" w:color="auto" w:fill="auto"/>
        <w:jc w:val="left"/>
        <w:outlineLvl w:val="1"/>
        <w:rPr>
          <w:rFonts w:hint="eastAsia" w:ascii="仿宋" w:hAnsi="仿宋" w:eastAsia="仿宋" w:cs="仿宋"/>
          <w:color w:val="auto"/>
          <w:sz w:val="24"/>
          <w:highlight w:val="none"/>
        </w:rPr>
      </w:pPr>
      <w:r>
        <w:rPr>
          <w:rFonts w:hint="eastAsia" w:ascii="仿宋" w:hAnsi="仿宋" w:eastAsia="仿宋" w:cs="仿宋"/>
          <w:b/>
          <w:color w:val="auto"/>
          <w:sz w:val="24"/>
          <w:szCs w:val="20"/>
          <w:highlight w:val="none"/>
        </w:rPr>
        <w:br w:type="page"/>
      </w:r>
      <w:bookmarkStart w:id="676" w:name="_Hlt520355938"/>
      <w:bookmarkEnd w:id="676"/>
      <w:bookmarkStart w:id="677" w:name="_Hlt520356243"/>
      <w:bookmarkEnd w:id="677"/>
      <w:bookmarkStart w:id="678" w:name="_Toc142311059"/>
      <w:bookmarkStart w:id="679" w:name="_Toc264969247"/>
      <w:bookmarkStart w:id="680" w:name="_Toc265228395"/>
      <w:bookmarkStart w:id="681" w:name="_Toc480942350"/>
      <w:bookmarkStart w:id="682" w:name="_Ref467988705"/>
      <w:bookmarkStart w:id="683" w:name="_Toc150774762"/>
      <w:bookmarkStart w:id="684" w:name="_Toc226965830"/>
      <w:bookmarkStart w:id="685" w:name="_Toc305158825"/>
      <w:bookmarkStart w:id="686" w:name="_Toc226965747"/>
      <w:bookmarkStart w:id="687" w:name="_Toc127151557"/>
      <w:bookmarkStart w:id="688" w:name="_Toc150480795"/>
      <w:bookmarkStart w:id="689" w:name="_Toc195842922"/>
      <w:bookmarkStart w:id="690" w:name="_Toc520356218"/>
      <w:bookmarkStart w:id="691" w:name="_Toc226337253"/>
      <w:bookmarkStart w:id="692" w:name="_Toc226309801"/>
      <w:bookmarkStart w:id="693" w:name="_Toc305158899"/>
      <w:r>
        <w:rPr>
          <w:rFonts w:hint="eastAsia" w:ascii="仿宋" w:hAnsi="仿宋" w:eastAsia="仿宋" w:cs="仿宋"/>
          <w:color w:val="auto"/>
          <w:sz w:val="24"/>
          <w:highlight w:val="none"/>
        </w:rPr>
        <w:t>6授权委托书（实质性格式）</w:t>
      </w:r>
    </w:p>
    <w:p w14:paraId="6268D40C">
      <w:pPr>
        <w:shd w:val="clear" w:color="auto" w:fill="auto"/>
        <w:autoSpaceDE w:val="0"/>
        <w:autoSpaceDN w:val="0"/>
        <w:adjustRightInd w:val="0"/>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授权委托书</w:t>
      </w:r>
    </w:p>
    <w:p w14:paraId="320CFB78">
      <w:pPr>
        <w:shd w:val="clear" w:color="auto" w:fill="auto"/>
        <w:spacing w:line="360" w:lineRule="auto"/>
        <w:ind w:firstLine="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本人____（姓名）系____（供应商名称）的法定代表人（单位负责人），现委托_____（姓名）为我方代理人。代理人根据授权，以我方名义签署、澄清确认、提交、撤回、修改____（项目名称）响应文件和处理有关事宜，其法律后果由我方承担。</w:t>
      </w:r>
    </w:p>
    <w:p w14:paraId="5F35A907">
      <w:pPr>
        <w:shd w:val="clear" w:color="auto" w:fill="auto"/>
        <w:spacing w:line="360" w:lineRule="auto"/>
        <w:ind w:firstLine="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委托期限：自本授权委托书签署之日起至响应有效期届满之日止。</w:t>
      </w:r>
    </w:p>
    <w:p w14:paraId="2F59305E">
      <w:pPr>
        <w:shd w:val="clear" w:color="auto" w:fill="auto"/>
        <w:spacing w:line="360" w:lineRule="auto"/>
        <w:ind w:firstLine="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代理人无转委托权。</w:t>
      </w:r>
      <w:r>
        <w:rPr>
          <w:rFonts w:hint="eastAsia" w:ascii="仿宋" w:hAnsi="仿宋" w:eastAsia="仿宋" w:cs="仿宋"/>
          <w:color w:val="auto"/>
          <w:sz w:val="24"/>
          <w:szCs w:val="20"/>
          <w:highlight w:val="none"/>
        </w:rPr>
        <w:cr/>
      </w:r>
    </w:p>
    <w:p w14:paraId="264F4FC4">
      <w:pPr>
        <w:shd w:val="clear" w:color="auto" w:fill="auto"/>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szCs w:val="20"/>
          <w:highlight w:val="none"/>
        </w:rPr>
        <w:t>______________</w:t>
      </w:r>
    </w:p>
    <w:p w14:paraId="557309A0">
      <w:pPr>
        <w:shd w:val="clear" w:color="auto" w:fill="auto"/>
        <w:spacing w:line="360" w:lineRule="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法定代表人（单位负责人）（签字或</w:t>
      </w:r>
      <w:r>
        <w:rPr>
          <w:rFonts w:hint="eastAsia" w:ascii="仿宋" w:hAnsi="仿宋" w:eastAsia="仿宋" w:cs="仿宋"/>
          <w:color w:val="auto"/>
          <w:sz w:val="24"/>
          <w:szCs w:val="20"/>
          <w:highlight w:val="none"/>
          <w:lang w:val="en-US" w:eastAsia="zh-CN"/>
        </w:rPr>
        <w:t>盖章或签章</w:t>
      </w:r>
      <w:r>
        <w:rPr>
          <w:rFonts w:hint="eastAsia" w:ascii="仿宋" w:hAnsi="仿宋" w:eastAsia="仿宋" w:cs="仿宋"/>
          <w:color w:val="auto"/>
          <w:sz w:val="24"/>
          <w:szCs w:val="20"/>
          <w:highlight w:val="none"/>
        </w:rPr>
        <w:t>）：______________</w:t>
      </w:r>
    </w:p>
    <w:p w14:paraId="532D0039">
      <w:pPr>
        <w:shd w:val="clear" w:color="auto" w:fill="auto"/>
        <w:autoSpaceDE w:val="0"/>
        <w:autoSpaceDN w:val="0"/>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委托代理人（签字</w:t>
      </w:r>
      <w:r>
        <w:rPr>
          <w:rFonts w:hint="eastAsia" w:ascii="仿宋" w:hAnsi="仿宋" w:eastAsia="仿宋" w:cs="仿宋"/>
          <w:color w:val="auto"/>
          <w:sz w:val="24"/>
          <w:szCs w:val="20"/>
          <w:highlight w:val="none"/>
        </w:rPr>
        <w:t>或</w:t>
      </w:r>
      <w:r>
        <w:rPr>
          <w:rFonts w:hint="eastAsia" w:ascii="仿宋" w:hAnsi="仿宋" w:eastAsia="仿宋" w:cs="仿宋"/>
          <w:color w:val="auto"/>
          <w:sz w:val="24"/>
          <w:szCs w:val="20"/>
          <w:highlight w:val="none"/>
          <w:lang w:val="en-US" w:eastAsia="zh-CN"/>
        </w:rPr>
        <w:t>盖章或签章</w:t>
      </w:r>
      <w:r>
        <w:rPr>
          <w:rFonts w:hint="eastAsia" w:ascii="仿宋" w:hAnsi="仿宋" w:eastAsia="仿宋" w:cs="仿宋"/>
          <w:color w:val="auto"/>
          <w:sz w:val="24"/>
          <w:highlight w:val="none"/>
        </w:rPr>
        <w:t>）：</w:t>
      </w:r>
      <w:r>
        <w:rPr>
          <w:rFonts w:hint="eastAsia" w:ascii="仿宋" w:hAnsi="仿宋" w:eastAsia="仿宋" w:cs="仿宋"/>
          <w:color w:val="auto"/>
          <w:sz w:val="24"/>
          <w:szCs w:val="20"/>
          <w:highlight w:val="none"/>
        </w:rPr>
        <w:t>______________</w:t>
      </w:r>
    </w:p>
    <w:p w14:paraId="3875C603">
      <w:pPr>
        <w:shd w:val="clear" w:color="auto" w:fill="auto"/>
        <w:autoSpaceDE w:val="0"/>
        <w:autoSpaceDN w:val="0"/>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日期：</w:t>
      </w:r>
      <w:r>
        <w:rPr>
          <w:rFonts w:hint="eastAsia" w:ascii="仿宋" w:hAnsi="仿宋" w:eastAsia="仿宋" w:cs="仿宋"/>
          <w:color w:val="auto"/>
          <w:sz w:val="24"/>
          <w:szCs w:val="20"/>
          <w:highlight w:val="none"/>
        </w:rPr>
        <w:t>____</w:t>
      </w:r>
      <w:r>
        <w:rPr>
          <w:rFonts w:hint="eastAsia" w:ascii="仿宋" w:hAnsi="仿宋" w:eastAsia="仿宋" w:cs="仿宋"/>
          <w:color w:val="auto"/>
          <w:sz w:val="24"/>
          <w:highlight w:val="none"/>
        </w:rPr>
        <w:t>年</w:t>
      </w:r>
      <w:r>
        <w:rPr>
          <w:rFonts w:hint="eastAsia" w:ascii="仿宋" w:hAnsi="仿宋" w:eastAsia="仿宋" w:cs="仿宋"/>
          <w:color w:val="auto"/>
          <w:sz w:val="24"/>
          <w:szCs w:val="20"/>
          <w:highlight w:val="none"/>
        </w:rPr>
        <w:t>____</w:t>
      </w:r>
      <w:r>
        <w:rPr>
          <w:rFonts w:hint="eastAsia" w:ascii="仿宋" w:hAnsi="仿宋" w:eastAsia="仿宋" w:cs="仿宋"/>
          <w:color w:val="auto"/>
          <w:sz w:val="24"/>
          <w:highlight w:val="none"/>
        </w:rPr>
        <w:t>月</w:t>
      </w:r>
      <w:r>
        <w:rPr>
          <w:rFonts w:hint="eastAsia" w:ascii="仿宋" w:hAnsi="仿宋" w:eastAsia="仿宋" w:cs="仿宋"/>
          <w:color w:val="auto"/>
          <w:sz w:val="24"/>
          <w:szCs w:val="20"/>
          <w:highlight w:val="none"/>
        </w:rPr>
        <w:t>____</w:t>
      </w:r>
      <w:r>
        <w:rPr>
          <w:rFonts w:hint="eastAsia" w:ascii="仿宋" w:hAnsi="仿宋" w:eastAsia="仿宋" w:cs="仿宋"/>
          <w:color w:val="auto"/>
          <w:sz w:val="24"/>
          <w:highlight w:val="none"/>
        </w:rPr>
        <w:t>日</w:t>
      </w:r>
    </w:p>
    <w:p w14:paraId="0B21F4AC">
      <w:pPr>
        <w:shd w:val="clear" w:color="auto" w:fill="auto"/>
        <w:tabs>
          <w:tab w:val="left" w:pos="5580"/>
        </w:tabs>
        <w:spacing w:line="360" w:lineRule="auto"/>
        <w:ind w:firstLine="480" w:firstLineChars="200"/>
        <w:rPr>
          <w:rFonts w:hint="eastAsia" w:ascii="仿宋" w:hAnsi="仿宋" w:eastAsia="仿宋" w:cs="仿宋"/>
          <w:color w:val="auto"/>
          <w:sz w:val="24"/>
          <w:szCs w:val="20"/>
          <w:highlight w:val="none"/>
        </w:rPr>
      </w:pPr>
    </w:p>
    <w:p w14:paraId="2B272918">
      <w:pPr>
        <w:shd w:val="clear" w:color="auto" w:fill="auto"/>
        <w:tabs>
          <w:tab w:val="left" w:pos="5580"/>
        </w:tabs>
        <w:spacing w:line="360" w:lineRule="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附：法定代表人（单位负责人）及委托代理人身份证明文件</w:t>
      </w:r>
      <w:r>
        <w:rPr>
          <w:rFonts w:hint="eastAsia" w:ascii="仿宋" w:hAnsi="仿宋" w:eastAsia="仿宋" w:cs="仿宋"/>
          <w:color w:val="auto"/>
          <w:sz w:val="24"/>
          <w:szCs w:val="20"/>
          <w:highlight w:val="none"/>
          <w:lang w:eastAsia="zh-CN"/>
        </w:rPr>
        <w:t>电子件</w:t>
      </w:r>
      <w:r>
        <w:rPr>
          <w:rFonts w:hint="eastAsia" w:ascii="仿宋" w:hAnsi="仿宋" w:eastAsia="仿宋" w:cs="仿宋"/>
          <w:color w:val="auto"/>
          <w:sz w:val="24"/>
          <w:szCs w:val="20"/>
          <w:highlight w:val="none"/>
        </w:rP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14:paraId="403C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4644" w:type="dxa"/>
          </w:tcPr>
          <w:p w14:paraId="177DBB8D">
            <w:pPr>
              <w:tabs>
                <w:tab w:val="left" w:pos="5580"/>
              </w:tabs>
              <w:spacing w:line="360" w:lineRule="auto"/>
              <w:jc w:val="left"/>
              <w:rPr>
                <w:rFonts w:hint="eastAsia" w:ascii="仿宋" w:hAnsi="仿宋" w:eastAsia="仿宋" w:cs="仿宋"/>
                <w:color w:val="auto"/>
                <w:sz w:val="24"/>
                <w:szCs w:val="20"/>
                <w:highlight w:val="none"/>
                <w:vertAlign w:val="baseline"/>
              </w:rPr>
            </w:pPr>
          </w:p>
        </w:tc>
        <w:tc>
          <w:tcPr>
            <w:tcW w:w="4644" w:type="dxa"/>
          </w:tcPr>
          <w:p w14:paraId="4A0635A7">
            <w:pPr>
              <w:tabs>
                <w:tab w:val="left" w:pos="5580"/>
              </w:tabs>
              <w:spacing w:line="360" w:lineRule="auto"/>
              <w:jc w:val="left"/>
              <w:rPr>
                <w:rFonts w:hint="eastAsia" w:ascii="仿宋" w:hAnsi="仿宋" w:eastAsia="仿宋" w:cs="仿宋"/>
                <w:color w:val="auto"/>
                <w:sz w:val="24"/>
                <w:szCs w:val="20"/>
                <w:highlight w:val="none"/>
                <w:vertAlign w:val="baseline"/>
              </w:rPr>
            </w:pPr>
          </w:p>
        </w:tc>
      </w:tr>
      <w:tr w14:paraId="7A7E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trPr>
        <w:tc>
          <w:tcPr>
            <w:tcW w:w="4644" w:type="dxa"/>
          </w:tcPr>
          <w:p w14:paraId="72D058F1">
            <w:pPr>
              <w:tabs>
                <w:tab w:val="left" w:pos="5580"/>
              </w:tabs>
              <w:spacing w:line="360" w:lineRule="auto"/>
              <w:jc w:val="left"/>
              <w:rPr>
                <w:rFonts w:hint="eastAsia" w:ascii="仿宋" w:hAnsi="仿宋" w:eastAsia="仿宋" w:cs="仿宋"/>
                <w:color w:val="auto"/>
                <w:sz w:val="24"/>
                <w:szCs w:val="20"/>
                <w:highlight w:val="none"/>
                <w:vertAlign w:val="baseline"/>
              </w:rPr>
            </w:pPr>
          </w:p>
        </w:tc>
        <w:tc>
          <w:tcPr>
            <w:tcW w:w="4644" w:type="dxa"/>
          </w:tcPr>
          <w:p w14:paraId="3C70B7B6">
            <w:pPr>
              <w:tabs>
                <w:tab w:val="left" w:pos="5580"/>
              </w:tabs>
              <w:spacing w:line="360" w:lineRule="auto"/>
              <w:jc w:val="left"/>
              <w:rPr>
                <w:rFonts w:hint="eastAsia" w:ascii="仿宋" w:hAnsi="仿宋" w:eastAsia="仿宋" w:cs="仿宋"/>
                <w:color w:val="auto"/>
                <w:sz w:val="24"/>
                <w:szCs w:val="20"/>
                <w:highlight w:val="none"/>
                <w:vertAlign w:val="baseline"/>
              </w:rPr>
            </w:pPr>
          </w:p>
        </w:tc>
      </w:tr>
    </w:tbl>
    <w:p w14:paraId="221872C2">
      <w:pPr>
        <w:shd w:val="clear" w:color="auto" w:fill="auto"/>
        <w:tabs>
          <w:tab w:val="left" w:pos="5580"/>
        </w:tabs>
        <w:spacing w:line="360" w:lineRule="auto"/>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说明：</w:t>
      </w:r>
    </w:p>
    <w:p w14:paraId="5561FD12">
      <w:pPr>
        <w:shd w:val="clear" w:color="auto" w:fill="auto"/>
        <w:tabs>
          <w:tab w:val="left" w:pos="5580"/>
        </w:tabs>
        <w:spacing w:line="360" w:lineRule="auto"/>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1.若供应商为事业单位或其他组织或分支机构，则法定代表人（单位负责人）处的签署人可为单位负责人。</w:t>
      </w:r>
    </w:p>
    <w:p w14:paraId="636C6527">
      <w:pPr>
        <w:shd w:val="clear" w:color="auto" w:fill="auto"/>
        <w:tabs>
          <w:tab w:val="left" w:pos="5580"/>
        </w:tabs>
        <w:spacing w:line="360" w:lineRule="auto"/>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14:paraId="63C39E1D">
      <w:pPr>
        <w:shd w:val="clear" w:color="auto" w:fill="auto"/>
        <w:tabs>
          <w:tab w:val="left" w:pos="5580"/>
        </w:tabs>
        <w:spacing w:line="360" w:lineRule="auto"/>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3.供应商为自然人的情形，可不提供本《授权委托书》。</w:t>
      </w:r>
    </w:p>
    <w:p w14:paraId="36EE502A">
      <w:pPr>
        <w:shd w:val="clear" w:color="auto" w:fill="auto"/>
        <w:tabs>
          <w:tab w:val="left" w:pos="5580"/>
        </w:tabs>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24"/>
          <w:szCs w:val="20"/>
          <w:highlight w:val="none"/>
        </w:rPr>
        <w:t>4.供应商应随本《授权委托书》同时提供法定代表人（单位负责人）及委托代理人的有效的身份证或护照等身份证明文件</w:t>
      </w:r>
      <w:r>
        <w:rPr>
          <w:rFonts w:hint="eastAsia" w:ascii="仿宋" w:hAnsi="仿宋" w:eastAsia="仿宋" w:cs="仿宋"/>
          <w:color w:val="auto"/>
          <w:sz w:val="24"/>
          <w:szCs w:val="20"/>
          <w:highlight w:val="none"/>
          <w:lang w:eastAsia="zh-CN"/>
        </w:rPr>
        <w:t>电子件</w:t>
      </w:r>
      <w:r>
        <w:rPr>
          <w:rFonts w:hint="eastAsia" w:ascii="仿宋" w:hAnsi="仿宋" w:eastAsia="仿宋" w:cs="仿宋"/>
          <w:color w:val="auto"/>
          <w:sz w:val="24"/>
          <w:szCs w:val="20"/>
          <w:highlight w:val="none"/>
        </w:rPr>
        <w:t>。提供身份证的，应同时提供身份证</w:t>
      </w:r>
      <w:r>
        <w:rPr>
          <w:rFonts w:hint="eastAsia" w:ascii="仿宋" w:hAnsi="仿宋" w:eastAsia="仿宋" w:cs="仿宋"/>
          <w:b/>
          <w:color w:val="auto"/>
          <w:sz w:val="24"/>
          <w:szCs w:val="20"/>
          <w:highlight w:val="none"/>
        </w:rPr>
        <w:t>双面</w:t>
      </w:r>
      <w:r>
        <w:rPr>
          <w:rFonts w:hint="eastAsia" w:ascii="仿宋" w:hAnsi="仿宋" w:eastAsia="仿宋" w:cs="仿宋"/>
          <w:color w:val="auto"/>
          <w:sz w:val="24"/>
          <w:szCs w:val="20"/>
          <w:highlight w:val="none"/>
          <w:lang w:eastAsia="zh-CN"/>
        </w:rPr>
        <w:t>电子件</w:t>
      </w:r>
      <w:r>
        <w:rPr>
          <w:rFonts w:hint="eastAsia" w:ascii="仿宋" w:hAnsi="仿宋" w:eastAsia="仿宋" w:cs="仿宋"/>
          <w:color w:val="auto"/>
          <w:sz w:val="24"/>
          <w:szCs w:val="20"/>
          <w:highlight w:val="none"/>
        </w:rPr>
        <w:t>。</w:t>
      </w:r>
      <w:r>
        <w:rPr>
          <w:rFonts w:hint="eastAsia" w:ascii="仿宋" w:hAnsi="仿宋" w:eastAsia="仿宋" w:cs="仿宋"/>
          <w:color w:val="auto"/>
          <w:sz w:val="30"/>
          <w:szCs w:val="30"/>
          <w:highlight w:val="none"/>
        </w:rPr>
        <w:br w:type="page"/>
      </w:r>
    </w:p>
    <w:p w14:paraId="70D9E0D1">
      <w:pPr>
        <w:shd w:val="clear" w:color="auto" w:fill="auto"/>
        <w:autoSpaceDE w:val="0"/>
        <w:autoSpaceDN w:val="0"/>
        <w:adjustRightInd w:val="0"/>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法定代表人（单位负责人）身份证明</w:t>
      </w:r>
    </w:p>
    <w:p w14:paraId="04023ED2">
      <w:pPr>
        <w:shd w:val="clear" w:color="auto" w:fill="auto"/>
        <w:kinsoku w:val="0"/>
        <w:overflowPunct w:val="0"/>
        <w:spacing w:line="200" w:lineRule="exact"/>
        <w:rPr>
          <w:rFonts w:hint="eastAsia" w:ascii="仿宋" w:hAnsi="仿宋" w:eastAsia="仿宋" w:cs="仿宋"/>
          <w:color w:val="auto"/>
          <w:sz w:val="20"/>
          <w:szCs w:val="20"/>
          <w:highlight w:val="none"/>
        </w:rPr>
      </w:pPr>
    </w:p>
    <w:p w14:paraId="4A35BA65">
      <w:pPr>
        <w:shd w:val="clear" w:color="auto" w:fill="auto"/>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szCs w:val="20"/>
          <w:highlight w:val="none"/>
        </w:rPr>
        <w:t>____</w:t>
      </w:r>
      <w:r>
        <w:rPr>
          <w:rFonts w:hint="eastAsia" w:ascii="仿宋" w:hAnsi="仿宋" w:eastAsia="仿宋" w:cs="仿宋"/>
          <w:color w:val="auto"/>
          <w:sz w:val="24"/>
          <w:highlight w:val="none"/>
        </w:rPr>
        <w:t>（采购人或采购代理机构）</w:t>
      </w:r>
    </w:p>
    <w:p w14:paraId="2291C642">
      <w:pPr>
        <w:pStyle w:val="17"/>
        <w:shd w:val="clear" w:color="auto" w:fill="auto"/>
        <w:tabs>
          <w:tab w:val="left" w:pos="2412"/>
          <w:tab w:val="left" w:pos="3883"/>
          <w:tab w:val="left" w:pos="5352"/>
          <w:tab w:val="left" w:pos="6821"/>
        </w:tabs>
        <w:kinsoku w:val="0"/>
        <w:overflowPunct w:val="0"/>
        <w:spacing w:line="480" w:lineRule="auto"/>
        <w:ind w:firstLine="480" w:firstLineChars="200"/>
        <w:rPr>
          <w:rFonts w:hint="eastAsia" w:ascii="仿宋" w:hAnsi="仿宋" w:eastAsia="仿宋" w:cs="仿宋"/>
          <w:color w:val="auto"/>
          <w:highlight w:val="none"/>
        </w:rPr>
      </w:pPr>
    </w:p>
    <w:p w14:paraId="517E256B">
      <w:pPr>
        <w:pStyle w:val="17"/>
        <w:shd w:val="clear" w:color="auto" w:fill="auto"/>
        <w:tabs>
          <w:tab w:val="left" w:pos="2412"/>
          <w:tab w:val="left" w:pos="3883"/>
          <w:tab w:val="left" w:pos="5352"/>
          <w:tab w:val="left" w:pos="6821"/>
        </w:tabs>
        <w:kinsoku w:val="0"/>
        <w:overflowPunct w:val="0"/>
        <w:spacing w:line="48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兹证明，姓名：</w:t>
      </w:r>
      <w:r>
        <w:rPr>
          <w:rFonts w:hint="eastAsia" w:ascii="仿宋" w:hAnsi="仿宋" w:eastAsia="仿宋" w:cs="仿宋"/>
          <w:color w:val="auto"/>
          <w:szCs w:val="20"/>
          <w:highlight w:val="none"/>
        </w:rPr>
        <w:t>____</w:t>
      </w:r>
      <w:r>
        <w:rPr>
          <w:rFonts w:hint="eastAsia" w:ascii="仿宋" w:hAnsi="仿宋" w:eastAsia="仿宋" w:cs="仿宋"/>
          <w:color w:val="auto"/>
          <w:highlight w:val="none"/>
        </w:rPr>
        <w:t>性别：</w:t>
      </w:r>
      <w:r>
        <w:rPr>
          <w:rFonts w:hint="eastAsia" w:ascii="仿宋" w:hAnsi="仿宋" w:eastAsia="仿宋" w:cs="仿宋"/>
          <w:color w:val="auto"/>
          <w:szCs w:val="20"/>
          <w:highlight w:val="none"/>
        </w:rPr>
        <w:t>____</w:t>
      </w:r>
      <w:r>
        <w:rPr>
          <w:rFonts w:hint="eastAsia" w:ascii="仿宋" w:hAnsi="仿宋" w:eastAsia="仿宋" w:cs="仿宋"/>
          <w:color w:val="auto"/>
          <w:highlight w:val="none"/>
        </w:rPr>
        <w:t>年龄：</w:t>
      </w:r>
      <w:r>
        <w:rPr>
          <w:rFonts w:hint="eastAsia" w:ascii="仿宋" w:hAnsi="仿宋" w:eastAsia="仿宋" w:cs="仿宋"/>
          <w:color w:val="auto"/>
          <w:szCs w:val="20"/>
          <w:highlight w:val="none"/>
        </w:rPr>
        <w:t>____</w:t>
      </w:r>
      <w:r>
        <w:rPr>
          <w:rFonts w:hint="eastAsia" w:ascii="仿宋" w:hAnsi="仿宋" w:eastAsia="仿宋" w:cs="仿宋"/>
          <w:color w:val="auto"/>
          <w:highlight w:val="none"/>
        </w:rPr>
        <w:t>职务：</w:t>
      </w:r>
      <w:r>
        <w:rPr>
          <w:rFonts w:hint="eastAsia" w:ascii="仿宋" w:hAnsi="仿宋" w:eastAsia="仿宋" w:cs="仿宋"/>
          <w:color w:val="auto"/>
          <w:szCs w:val="20"/>
          <w:highlight w:val="none"/>
        </w:rPr>
        <w:t>____</w:t>
      </w:r>
      <w:r>
        <w:rPr>
          <w:rFonts w:hint="eastAsia" w:ascii="仿宋" w:hAnsi="仿宋" w:eastAsia="仿宋" w:cs="仿宋"/>
          <w:color w:val="auto"/>
          <w:highlight w:val="none"/>
        </w:rPr>
        <w:t>系</w:t>
      </w:r>
      <w:r>
        <w:rPr>
          <w:rFonts w:hint="eastAsia" w:ascii="仿宋" w:hAnsi="仿宋" w:eastAsia="仿宋" w:cs="仿宋"/>
          <w:color w:val="auto"/>
          <w:szCs w:val="20"/>
          <w:highlight w:val="none"/>
        </w:rPr>
        <w:t>__________</w:t>
      </w:r>
      <w:r>
        <w:rPr>
          <w:rFonts w:hint="eastAsia" w:ascii="仿宋" w:hAnsi="仿宋" w:eastAsia="仿宋" w:cs="仿宋"/>
          <w:color w:val="auto"/>
          <w:highlight w:val="none"/>
        </w:rPr>
        <w:t>（供应商名称）的法定代表人（单位负责人）。</w:t>
      </w:r>
    </w:p>
    <w:p w14:paraId="77FACD8E">
      <w:pPr>
        <w:pStyle w:val="17"/>
        <w:shd w:val="clear" w:color="auto" w:fill="auto"/>
        <w:kinsoku w:val="0"/>
        <w:overflowPunct w:val="0"/>
        <w:spacing w:line="583" w:lineRule="auto"/>
        <w:ind w:right="-46"/>
        <w:rPr>
          <w:rFonts w:hint="eastAsia" w:ascii="仿宋" w:hAnsi="仿宋" w:eastAsia="仿宋" w:cs="仿宋"/>
          <w:color w:val="auto"/>
          <w:szCs w:val="20"/>
          <w:highlight w:val="none"/>
        </w:rPr>
      </w:pPr>
    </w:p>
    <w:p w14:paraId="0101E6D7">
      <w:pPr>
        <w:pStyle w:val="17"/>
        <w:shd w:val="clear" w:color="auto" w:fill="auto"/>
        <w:kinsoku w:val="0"/>
        <w:overflowPunct w:val="0"/>
        <w:spacing w:line="583" w:lineRule="auto"/>
        <w:ind w:right="-46"/>
        <w:rPr>
          <w:rFonts w:hint="eastAsia" w:ascii="仿宋" w:hAnsi="仿宋" w:eastAsia="仿宋" w:cs="仿宋"/>
          <w:color w:val="auto"/>
          <w:szCs w:val="20"/>
          <w:highlight w:val="none"/>
        </w:rPr>
      </w:pPr>
      <w:r>
        <w:rPr>
          <w:rFonts w:hint="eastAsia" w:ascii="仿宋" w:hAnsi="仿宋" w:eastAsia="仿宋" w:cs="仿宋"/>
          <w:color w:val="auto"/>
          <w:szCs w:val="20"/>
          <w:highlight w:val="none"/>
        </w:rPr>
        <w:t>附：法定代表人（单位负责人）身份证或护照等身份证明文件</w:t>
      </w:r>
      <w:r>
        <w:rPr>
          <w:rFonts w:hint="eastAsia" w:ascii="仿宋" w:hAnsi="仿宋" w:eastAsia="仿宋" w:cs="仿宋"/>
          <w:color w:val="auto"/>
          <w:szCs w:val="20"/>
          <w:highlight w:val="none"/>
          <w:lang w:eastAsia="zh-CN"/>
        </w:rPr>
        <w:t>电子件</w:t>
      </w:r>
      <w:r>
        <w:rPr>
          <w:rFonts w:hint="eastAsia" w:ascii="仿宋" w:hAnsi="仿宋" w:eastAsia="仿宋" w:cs="仿宋"/>
          <w:color w:val="auto"/>
          <w:szCs w:val="20"/>
          <w:highlight w:val="none"/>
        </w:rP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14:paraId="7CE6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trPr>
        <w:tc>
          <w:tcPr>
            <w:tcW w:w="4644" w:type="dxa"/>
          </w:tcPr>
          <w:p w14:paraId="5AD142A4">
            <w:pPr>
              <w:rPr>
                <w:rFonts w:hint="eastAsia"/>
                <w:vertAlign w:val="baseline"/>
              </w:rPr>
            </w:pPr>
          </w:p>
        </w:tc>
        <w:tc>
          <w:tcPr>
            <w:tcW w:w="4644" w:type="dxa"/>
          </w:tcPr>
          <w:p w14:paraId="6258AF52">
            <w:pPr>
              <w:rPr>
                <w:rFonts w:hint="eastAsia"/>
                <w:vertAlign w:val="baseline"/>
              </w:rPr>
            </w:pPr>
          </w:p>
        </w:tc>
      </w:tr>
    </w:tbl>
    <w:p w14:paraId="1680FCC3">
      <w:pPr>
        <w:rPr>
          <w:rFonts w:hint="eastAsia"/>
        </w:rPr>
      </w:pPr>
    </w:p>
    <w:p w14:paraId="5F64AB4C">
      <w:pPr>
        <w:pStyle w:val="17"/>
        <w:shd w:val="clear" w:color="auto" w:fill="auto"/>
        <w:kinsoku w:val="0"/>
        <w:overflowPunct w:val="0"/>
        <w:spacing w:line="583" w:lineRule="auto"/>
        <w:ind w:right="4305"/>
        <w:rPr>
          <w:rFonts w:hint="eastAsia" w:ascii="仿宋" w:hAnsi="仿宋" w:eastAsia="仿宋" w:cs="仿宋"/>
          <w:color w:val="auto"/>
          <w:spacing w:val="-3"/>
          <w:highlight w:val="none"/>
        </w:rPr>
      </w:pPr>
    </w:p>
    <w:p w14:paraId="3FA86F94">
      <w:pPr>
        <w:shd w:val="clear" w:color="auto" w:fill="auto"/>
        <w:autoSpaceDE w:val="0"/>
        <w:autoSpaceDN w:val="0"/>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w:t>
      </w:r>
    </w:p>
    <w:p w14:paraId="55D3A8B4">
      <w:pPr>
        <w:shd w:val="clear" w:color="auto" w:fill="auto"/>
        <w:autoSpaceDE w:val="0"/>
        <w:autoSpaceDN w:val="0"/>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pacing w:val="-3"/>
          <w:sz w:val="24"/>
          <w:highlight w:val="none"/>
        </w:rPr>
        <w:t>法定代表人（</w:t>
      </w:r>
      <w:r>
        <w:rPr>
          <w:rFonts w:hint="eastAsia" w:ascii="仿宋" w:hAnsi="仿宋" w:eastAsia="仿宋" w:cs="仿宋"/>
          <w:color w:val="auto"/>
          <w:sz w:val="24"/>
          <w:highlight w:val="none"/>
        </w:rPr>
        <w:t>单位负责人</w:t>
      </w:r>
      <w:r>
        <w:rPr>
          <w:rFonts w:hint="eastAsia" w:ascii="仿宋" w:hAnsi="仿宋" w:eastAsia="仿宋" w:cs="仿宋"/>
          <w:color w:val="auto"/>
          <w:spacing w:val="-3"/>
          <w:sz w:val="24"/>
          <w:highlight w:val="none"/>
        </w:rPr>
        <w:t>）（签字</w:t>
      </w:r>
      <w:r>
        <w:rPr>
          <w:rFonts w:hint="eastAsia" w:ascii="仿宋" w:hAnsi="仿宋" w:eastAsia="仿宋" w:cs="仿宋"/>
          <w:color w:val="auto"/>
          <w:sz w:val="24"/>
          <w:szCs w:val="20"/>
          <w:highlight w:val="none"/>
        </w:rPr>
        <w:t>或</w:t>
      </w:r>
      <w:r>
        <w:rPr>
          <w:rFonts w:hint="eastAsia" w:ascii="仿宋" w:hAnsi="仿宋" w:eastAsia="仿宋" w:cs="仿宋"/>
          <w:color w:val="auto"/>
          <w:sz w:val="24"/>
          <w:szCs w:val="20"/>
          <w:highlight w:val="none"/>
          <w:lang w:val="en-US" w:eastAsia="zh-CN"/>
        </w:rPr>
        <w:t>盖章或签章</w:t>
      </w:r>
      <w:r>
        <w:rPr>
          <w:rFonts w:hint="eastAsia" w:ascii="仿宋" w:hAnsi="仿宋" w:eastAsia="仿宋" w:cs="仿宋"/>
          <w:color w:val="auto"/>
          <w:spacing w:val="-3"/>
          <w:sz w:val="24"/>
          <w:highlight w:val="none"/>
        </w:rPr>
        <w:t>）：</w:t>
      </w:r>
      <w:r>
        <w:rPr>
          <w:rFonts w:hint="eastAsia" w:ascii="仿宋" w:hAnsi="仿宋" w:eastAsia="仿宋" w:cs="仿宋"/>
          <w:color w:val="auto"/>
          <w:sz w:val="24"/>
          <w:highlight w:val="none"/>
        </w:rPr>
        <w:t>______</w:t>
      </w:r>
    </w:p>
    <w:p w14:paraId="51D4CCB0">
      <w:pPr>
        <w:shd w:val="clear" w:color="auto" w:fill="auto"/>
        <w:autoSpaceDE w:val="0"/>
        <w:autoSpaceDN w:val="0"/>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日期：</w:t>
      </w:r>
      <w:r>
        <w:rPr>
          <w:rFonts w:hint="eastAsia" w:ascii="仿宋" w:hAnsi="仿宋" w:eastAsia="仿宋" w:cs="仿宋"/>
          <w:color w:val="auto"/>
          <w:sz w:val="24"/>
          <w:szCs w:val="20"/>
          <w:highlight w:val="none"/>
        </w:rPr>
        <w:t>____年____月____日</w:t>
      </w:r>
    </w:p>
    <w:p w14:paraId="4F91A8CA">
      <w:pPr>
        <w:widowControl/>
        <w:shd w:val="clear" w:color="auto" w:fill="auto"/>
        <w:jc w:val="left"/>
        <w:rPr>
          <w:rFonts w:hint="eastAsia" w:ascii="仿宋" w:hAnsi="仿宋" w:eastAsia="仿宋" w:cs="仿宋"/>
          <w:i/>
          <w:color w:val="auto"/>
          <w:sz w:val="24"/>
          <w:szCs w:val="20"/>
          <w:highlight w:val="none"/>
          <w:u w:val="single"/>
        </w:rPr>
      </w:pPr>
    </w:p>
    <w:p w14:paraId="7424678E">
      <w:pPr>
        <w:widowControl/>
        <w:shd w:val="clear" w:color="auto" w:fill="auto"/>
        <w:jc w:val="left"/>
        <w:outlineLvl w:val="1"/>
        <w:rPr>
          <w:rFonts w:hint="eastAsia" w:ascii="仿宋" w:hAnsi="仿宋" w:eastAsia="仿宋" w:cs="仿宋"/>
          <w:color w:val="auto"/>
          <w:sz w:val="24"/>
          <w:highlight w:val="none"/>
        </w:rPr>
      </w:pPr>
      <w:r>
        <w:rPr>
          <w:rFonts w:hint="eastAsia" w:ascii="仿宋" w:hAnsi="仿宋" w:eastAsia="仿宋" w:cs="仿宋"/>
          <w:color w:val="auto"/>
          <w:sz w:val="24"/>
          <w:szCs w:val="20"/>
          <w:highlight w:val="none"/>
        </w:rPr>
        <w:br w:type="page"/>
      </w:r>
      <w:r>
        <w:rPr>
          <w:rFonts w:hint="eastAsia" w:ascii="仿宋" w:hAnsi="仿宋" w:eastAsia="仿宋" w:cs="仿宋"/>
          <w:color w:val="auto"/>
          <w:sz w:val="24"/>
          <w:highlight w:val="none"/>
        </w:rPr>
        <w:t>7报价一览表</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3508D4DD">
      <w:pPr>
        <w:shd w:val="clear" w:color="auto" w:fill="auto"/>
        <w:spacing w:line="360" w:lineRule="exact"/>
        <w:jc w:val="center"/>
        <w:rPr>
          <w:rFonts w:hint="eastAsia" w:ascii="仿宋" w:hAnsi="仿宋" w:eastAsia="仿宋" w:cs="仿宋"/>
          <w:b/>
          <w:color w:val="auto"/>
          <w:sz w:val="36"/>
          <w:szCs w:val="36"/>
          <w:highlight w:val="none"/>
        </w:rPr>
      </w:pPr>
      <w:bookmarkStart w:id="694" w:name="_Toc265228396"/>
      <w:bookmarkStart w:id="695" w:name="_Toc164608672"/>
      <w:bookmarkStart w:id="696" w:name="_Toc264969248"/>
      <w:bookmarkStart w:id="697" w:name="_Toc305158826"/>
      <w:bookmarkStart w:id="698" w:name="_Toc226337254"/>
      <w:bookmarkStart w:id="699" w:name="_Toc226309802"/>
      <w:bookmarkStart w:id="700" w:name="_Toc305158900"/>
      <w:bookmarkStart w:id="701" w:name="_Toc164608827"/>
      <w:bookmarkStart w:id="702" w:name="_Toc226965831"/>
      <w:bookmarkStart w:id="703" w:name="_Toc195842923"/>
      <w:bookmarkStart w:id="704" w:name="_Toc226965748"/>
      <w:r>
        <w:rPr>
          <w:rFonts w:hint="eastAsia" w:ascii="仿宋" w:hAnsi="仿宋" w:eastAsia="仿宋" w:cs="仿宋"/>
          <w:b/>
          <w:color w:val="auto"/>
          <w:sz w:val="36"/>
          <w:szCs w:val="36"/>
          <w:highlight w:val="none"/>
        </w:rPr>
        <w:t>报价一览表</w:t>
      </w:r>
      <w:bookmarkEnd w:id="694"/>
      <w:bookmarkEnd w:id="695"/>
      <w:bookmarkEnd w:id="696"/>
      <w:bookmarkEnd w:id="697"/>
      <w:bookmarkEnd w:id="698"/>
      <w:bookmarkEnd w:id="699"/>
      <w:bookmarkEnd w:id="700"/>
      <w:bookmarkEnd w:id="701"/>
      <w:bookmarkEnd w:id="702"/>
      <w:bookmarkEnd w:id="703"/>
      <w:bookmarkEnd w:id="704"/>
    </w:p>
    <w:p w14:paraId="5E37ACA7">
      <w:pPr>
        <w:shd w:val="clear" w:color="auto" w:fill="auto"/>
        <w:tabs>
          <w:tab w:val="left" w:pos="1800"/>
          <w:tab w:val="left" w:pos="5580"/>
        </w:tabs>
        <w:spacing w:line="360" w:lineRule="auto"/>
        <w:jc w:val="left"/>
        <w:rPr>
          <w:rFonts w:hint="eastAsia" w:ascii="仿宋" w:hAnsi="仿宋" w:eastAsia="仿宋" w:cs="仿宋"/>
          <w:color w:val="auto"/>
          <w:sz w:val="24"/>
          <w:highlight w:val="none"/>
        </w:rPr>
      </w:pPr>
    </w:p>
    <w:p w14:paraId="0859EBF7">
      <w:pPr>
        <w:tabs>
          <w:tab w:val="left" w:pos="1800"/>
          <w:tab w:val="left" w:pos="5580"/>
        </w:tabs>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编号：__________项目名称：_________________</w:t>
      </w:r>
    </w:p>
    <w:tbl>
      <w:tblPr>
        <w:tblStyle w:val="43"/>
        <w:tblW w:w="922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2149"/>
        <w:gridCol w:w="2021"/>
        <w:gridCol w:w="2127"/>
        <w:gridCol w:w="2209"/>
      </w:tblGrid>
      <w:tr w14:paraId="140A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right"/>
        </w:trPr>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230D5F34">
            <w:pPr>
              <w:shd w:val="clear" w:color="auto" w:fill="auto"/>
              <w:tabs>
                <w:tab w:val="left" w:pos="55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149" w:type="dxa"/>
            <w:vMerge w:val="restart"/>
            <w:tcBorders>
              <w:top w:val="single" w:color="auto" w:sz="4" w:space="0"/>
              <w:left w:val="single" w:color="auto" w:sz="4" w:space="0"/>
              <w:bottom w:val="single" w:color="auto" w:sz="4" w:space="0"/>
              <w:right w:val="single" w:color="auto" w:sz="4" w:space="0"/>
            </w:tcBorders>
            <w:noWrap w:val="0"/>
            <w:vAlign w:val="center"/>
          </w:tcPr>
          <w:p w14:paraId="6DAC6045">
            <w:pPr>
              <w:shd w:val="clear" w:color="auto" w:fill="auto"/>
              <w:tabs>
                <w:tab w:val="left" w:pos="55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供应商名称</w:t>
            </w:r>
          </w:p>
        </w:tc>
        <w:tc>
          <w:tcPr>
            <w:tcW w:w="4148" w:type="dxa"/>
            <w:gridSpan w:val="2"/>
            <w:tcBorders>
              <w:top w:val="single" w:color="auto" w:sz="4" w:space="0"/>
              <w:left w:val="single" w:color="auto" w:sz="4" w:space="0"/>
              <w:bottom w:val="single" w:color="auto" w:sz="4" w:space="0"/>
              <w:right w:val="single" w:color="auto" w:sz="4" w:space="0"/>
            </w:tcBorders>
            <w:noWrap w:val="0"/>
            <w:vAlign w:val="center"/>
          </w:tcPr>
          <w:p w14:paraId="7DA4F338">
            <w:pPr>
              <w:shd w:val="clear" w:color="auto" w:fill="auto"/>
              <w:tabs>
                <w:tab w:val="left" w:pos="5580"/>
              </w:tabs>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t>报价</w:t>
            </w:r>
            <w:r>
              <w:rPr>
                <w:rFonts w:hint="eastAsia" w:ascii="仿宋" w:hAnsi="仿宋" w:eastAsia="仿宋" w:cs="仿宋"/>
                <w:b/>
                <w:color w:val="auto"/>
                <w:sz w:val="24"/>
                <w:highlight w:val="none"/>
                <w:lang w:eastAsia="zh-CN"/>
              </w:rPr>
              <w:t>（人民币</w:t>
            </w:r>
            <w:r>
              <w:rPr>
                <w:rFonts w:hint="eastAsia" w:ascii="仿宋" w:hAnsi="仿宋" w:eastAsia="仿宋" w:cs="仿宋"/>
                <w:b/>
                <w:color w:val="auto"/>
                <w:sz w:val="24"/>
                <w:highlight w:val="none"/>
                <w:lang w:val="en-US" w:eastAsia="zh-CN"/>
              </w:rPr>
              <w:t>/元</w:t>
            </w:r>
            <w:r>
              <w:rPr>
                <w:rFonts w:hint="eastAsia" w:ascii="仿宋" w:hAnsi="仿宋" w:eastAsia="仿宋" w:cs="仿宋"/>
                <w:b/>
                <w:color w:val="auto"/>
                <w:sz w:val="24"/>
                <w:highlight w:val="none"/>
                <w:lang w:eastAsia="zh-CN"/>
              </w:rPr>
              <w:t>）</w:t>
            </w:r>
          </w:p>
        </w:tc>
        <w:tc>
          <w:tcPr>
            <w:tcW w:w="2209" w:type="dxa"/>
            <w:vMerge w:val="restart"/>
            <w:tcBorders>
              <w:top w:val="single" w:color="auto" w:sz="4" w:space="0"/>
              <w:left w:val="single" w:color="auto" w:sz="4" w:space="0"/>
              <w:right w:val="single" w:color="auto" w:sz="4" w:space="0"/>
            </w:tcBorders>
            <w:noWrap w:val="0"/>
            <w:vAlign w:val="center"/>
          </w:tcPr>
          <w:p w14:paraId="0923F4C6">
            <w:pPr>
              <w:shd w:val="clear" w:color="auto" w:fill="auto"/>
              <w:tabs>
                <w:tab w:val="left" w:pos="55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合同履行期限</w:t>
            </w:r>
          </w:p>
        </w:tc>
      </w:tr>
      <w:tr w14:paraId="6E4D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righ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83CF21C">
            <w:pPr>
              <w:widowControl/>
              <w:shd w:val="clear" w:color="auto" w:fill="auto"/>
              <w:jc w:val="left"/>
              <w:rPr>
                <w:rFonts w:hint="eastAsia" w:ascii="仿宋" w:hAnsi="仿宋" w:eastAsia="仿宋" w:cs="仿宋"/>
                <w:b/>
                <w:color w:val="auto"/>
                <w:sz w:val="24"/>
                <w:highlight w:val="none"/>
              </w:rPr>
            </w:pPr>
          </w:p>
        </w:tc>
        <w:tc>
          <w:tcPr>
            <w:tcW w:w="2149" w:type="dxa"/>
            <w:vMerge w:val="continue"/>
            <w:tcBorders>
              <w:top w:val="single" w:color="auto" w:sz="4" w:space="0"/>
              <w:left w:val="single" w:color="auto" w:sz="4" w:space="0"/>
              <w:bottom w:val="single" w:color="auto" w:sz="4" w:space="0"/>
              <w:right w:val="single" w:color="auto" w:sz="4" w:space="0"/>
            </w:tcBorders>
            <w:noWrap w:val="0"/>
            <w:vAlign w:val="center"/>
          </w:tcPr>
          <w:p w14:paraId="3D80AE7A">
            <w:pPr>
              <w:widowControl/>
              <w:shd w:val="clear" w:color="auto" w:fill="auto"/>
              <w:jc w:val="left"/>
              <w:rPr>
                <w:rFonts w:hint="eastAsia" w:ascii="仿宋" w:hAnsi="仿宋" w:eastAsia="仿宋" w:cs="仿宋"/>
                <w:b/>
                <w:color w:val="auto"/>
                <w:sz w:val="24"/>
                <w:highlight w:val="none"/>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4D4D706B">
            <w:pPr>
              <w:shd w:val="clear" w:color="auto" w:fill="auto"/>
              <w:tabs>
                <w:tab w:val="left" w:pos="55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大写</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43BEE91C">
            <w:pPr>
              <w:shd w:val="clear" w:color="auto" w:fill="auto"/>
              <w:tabs>
                <w:tab w:val="left" w:pos="55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小写</w:t>
            </w:r>
          </w:p>
        </w:tc>
        <w:tc>
          <w:tcPr>
            <w:tcW w:w="2209" w:type="dxa"/>
            <w:vMerge w:val="continue"/>
            <w:tcBorders>
              <w:left w:val="single" w:color="auto" w:sz="4" w:space="0"/>
              <w:bottom w:val="single" w:color="auto" w:sz="4" w:space="0"/>
              <w:right w:val="single" w:color="auto" w:sz="4" w:space="0"/>
            </w:tcBorders>
            <w:noWrap w:val="0"/>
            <w:vAlign w:val="center"/>
          </w:tcPr>
          <w:p w14:paraId="012A2210">
            <w:pPr>
              <w:shd w:val="clear" w:color="auto" w:fill="auto"/>
              <w:tabs>
                <w:tab w:val="left" w:pos="5580"/>
              </w:tabs>
              <w:jc w:val="center"/>
              <w:rPr>
                <w:rFonts w:hint="eastAsia" w:ascii="仿宋" w:hAnsi="仿宋" w:eastAsia="仿宋" w:cs="仿宋"/>
                <w:b/>
                <w:color w:val="auto"/>
                <w:sz w:val="24"/>
                <w:highlight w:val="none"/>
              </w:rPr>
            </w:pPr>
          </w:p>
        </w:tc>
      </w:tr>
      <w:tr w14:paraId="284F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right"/>
        </w:trPr>
        <w:tc>
          <w:tcPr>
            <w:tcW w:w="716" w:type="dxa"/>
            <w:tcBorders>
              <w:top w:val="single" w:color="auto" w:sz="4" w:space="0"/>
              <w:left w:val="single" w:color="auto" w:sz="4" w:space="0"/>
              <w:bottom w:val="single" w:color="auto" w:sz="4" w:space="0"/>
              <w:right w:val="single" w:color="auto" w:sz="4" w:space="0"/>
            </w:tcBorders>
            <w:noWrap w:val="0"/>
            <w:vAlign w:val="center"/>
          </w:tcPr>
          <w:p w14:paraId="387C2AA9">
            <w:pPr>
              <w:shd w:val="clear" w:color="auto" w:fill="auto"/>
              <w:tabs>
                <w:tab w:val="left" w:pos="5580"/>
              </w:tabs>
              <w:jc w:val="center"/>
              <w:rPr>
                <w:rFonts w:hint="eastAsia" w:ascii="仿宋" w:hAnsi="仿宋" w:eastAsia="仿宋" w:cs="仿宋"/>
                <w:color w:val="auto"/>
                <w:sz w:val="24"/>
                <w:highlight w:val="none"/>
              </w:rPr>
            </w:pPr>
          </w:p>
        </w:tc>
        <w:tc>
          <w:tcPr>
            <w:tcW w:w="2149" w:type="dxa"/>
            <w:tcBorders>
              <w:top w:val="single" w:color="auto" w:sz="4" w:space="0"/>
              <w:left w:val="single" w:color="auto" w:sz="4" w:space="0"/>
              <w:bottom w:val="single" w:color="auto" w:sz="4" w:space="0"/>
              <w:right w:val="single" w:color="auto" w:sz="4" w:space="0"/>
            </w:tcBorders>
            <w:noWrap w:val="0"/>
            <w:vAlign w:val="center"/>
          </w:tcPr>
          <w:p w14:paraId="19CB98EA">
            <w:pPr>
              <w:shd w:val="clear" w:color="auto" w:fill="auto"/>
              <w:tabs>
                <w:tab w:val="left" w:pos="5580"/>
              </w:tabs>
              <w:jc w:val="center"/>
              <w:rPr>
                <w:rFonts w:hint="eastAsia" w:ascii="仿宋" w:hAnsi="仿宋" w:eastAsia="仿宋" w:cs="仿宋"/>
                <w:color w:val="auto"/>
                <w:sz w:val="24"/>
                <w:highlight w:val="none"/>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31CD9B6F">
            <w:pPr>
              <w:shd w:val="clear" w:color="auto" w:fill="auto"/>
              <w:tabs>
                <w:tab w:val="left" w:pos="5580"/>
              </w:tabs>
              <w:jc w:val="center"/>
              <w:rPr>
                <w:rFonts w:hint="eastAsia" w:ascii="仿宋" w:hAnsi="仿宋" w:eastAsia="仿宋" w:cs="仿宋"/>
                <w:color w:val="auto"/>
                <w:sz w:val="24"/>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157C5617">
            <w:pPr>
              <w:shd w:val="clear" w:color="auto" w:fill="auto"/>
              <w:tabs>
                <w:tab w:val="left" w:pos="5580"/>
              </w:tabs>
              <w:jc w:val="center"/>
              <w:rPr>
                <w:rFonts w:hint="eastAsia" w:ascii="仿宋" w:hAnsi="仿宋" w:eastAsia="仿宋" w:cs="仿宋"/>
                <w:color w:val="auto"/>
                <w:sz w:val="24"/>
                <w:highlight w:val="none"/>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14:paraId="75FA7D93">
            <w:pPr>
              <w:shd w:val="clear" w:color="auto" w:fill="auto"/>
              <w:tabs>
                <w:tab w:val="left" w:pos="5580"/>
              </w:tabs>
              <w:jc w:val="center"/>
              <w:rPr>
                <w:rFonts w:hint="eastAsia" w:ascii="仿宋" w:hAnsi="仿宋" w:eastAsia="仿宋" w:cs="仿宋"/>
                <w:color w:val="auto"/>
                <w:sz w:val="24"/>
                <w:highlight w:val="none"/>
              </w:rPr>
            </w:pPr>
          </w:p>
        </w:tc>
      </w:tr>
    </w:tbl>
    <w:p w14:paraId="370CE90B">
      <w:pPr>
        <w:shd w:val="clear" w:color="auto" w:fill="auto"/>
        <w:autoSpaceDE w:val="0"/>
        <w:autoSpaceDN w:val="0"/>
        <w:adjustRightInd w:val="0"/>
        <w:jc w:val="left"/>
        <w:rPr>
          <w:rFonts w:hint="eastAsia" w:ascii="仿宋" w:hAnsi="仿宋" w:eastAsia="仿宋" w:cs="仿宋"/>
          <w:color w:val="auto"/>
          <w:kern w:val="0"/>
          <w:sz w:val="24"/>
          <w:highlight w:val="none"/>
        </w:rPr>
      </w:pPr>
    </w:p>
    <w:p w14:paraId="2F7FAB33">
      <w:pPr>
        <w:shd w:val="clear" w:color="auto" w:fill="auto"/>
        <w:autoSpaceDE w:val="0"/>
        <w:autoSpaceDN w:val="0"/>
        <w:adjustRightInd w:val="0"/>
        <w:jc w:val="left"/>
        <w:rPr>
          <w:rFonts w:hint="eastAsia" w:ascii="仿宋" w:hAnsi="仿宋" w:eastAsia="仿宋" w:cs="仿宋"/>
          <w:color w:val="auto"/>
          <w:sz w:val="24"/>
          <w:szCs w:val="20"/>
          <w:highlight w:val="none"/>
        </w:rPr>
      </w:pPr>
      <w:r>
        <w:rPr>
          <w:rFonts w:hint="eastAsia" w:ascii="仿宋" w:hAnsi="仿宋" w:eastAsia="仿宋" w:cs="仿宋"/>
          <w:color w:val="auto"/>
          <w:kern w:val="0"/>
          <w:sz w:val="24"/>
          <w:highlight w:val="none"/>
        </w:rPr>
        <w:t>注：</w:t>
      </w:r>
      <w:r>
        <w:rPr>
          <w:rFonts w:hint="eastAsia" w:ascii="仿宋" w:hAnsi="仿宋" w:eastAsia="仿宋" w:cs="仿宋"/>
          <w:color w:val="auto"/>
          <w:sz w:val="24"/>
          <w:szCs w:val="20"/>
          <w:highlight w:val="none"/>
        </w:rPr>
        <w:t>此表中，报价应和《分项报价表》中的总价相一致。</w:t>
      </w:r>
    </w:p>
    <w:p w14:paraId="03F479EF">
      <w:pPr>
        <w:shd w:val="clear" w:color="auto" w:fill="auto"/>
        <w:tabs>
          <w:tab w:val="left" w:pos="5580"/>
        </w:tabs>
        <w:ind w:firstLine="480" w:firstLineChars="200"/>
        <w:rPr>
          <w:rFonts w:hint="eastAsia" w:ascii="仿宋" w:hAnsi="仿宋" w:eastAsia="仿宋" w:cs="仿宋"/>
          <w:color w:val="auto"/>
          <w:sz w:val="24"/>
          <w:szCs w:val="20"/>
          <w:highlight w:val="none"/>
        </w:rPr>
      </w:pPr>
    </w:p>
    <w:p w14:paraId="00AFD2FC">
      <w:pPr>
        <w:shd w:val="clear" w:color="auto" w:fill="auto"/>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p>
    <w:p w14:paraId="28B84F9E">
      <w:pPr>
        <w:shd w:val="clear" w:color="auto" w:fill="auto"/>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p>
    <w:p w14:paraId="2C644931">
      <w:pPr>
        <w:shd w:val="clear" w:color="auto" w:fill="auto"/>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___________</w:t>
      </w:r>
    </w:p>
    <w:p w14:paraId="15A45D4E">
      <w:pPr>
        <w:shd w:val="clear" w:color="auto" w:fill="auto"/>
        <w:autoSpaceDE w:val="0"/>
        <w:autoSpaceDN w:val="0"/>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日期：</w:t>
      </w:r>
      <w:r>
        <w:rPr>
          <w:rFonts w:hint="eastAsia" w:ascii="仿宋" w:hAnsi="仿宋" w:eastAsia="仿宋" w:cs="仿宋"/>
          <w:color w:val="auto"/>
          <w:sz w:val="24"/>
          <w:szCs w:val="20"/>
          <w:highlight w:val="none"/>
        </w:rPr>
        <w:t>____年____月____日</w:t>
      </w:r>
    </w:p>
    <w:p w14:paraId="78A8ACAC">
      <w:pPr>
        <w:shd w:val="clear" w:color="auto" w:fill="auto"/>
        <w:autoSpaceDE w:val="0"/>
        <w:autoSpaceDN w:val="0"/>
        <w:adjustRightInd w:val="0"/>
        <w:snapToGrid w:val="0"/>
        <w:spacing w:before="25" w:after="25" w:line="360" w:lineRule="auto"/>
        <w:rPr>
          <w:rFonts w:hint="eastAsia" w:ascii="仿宋" w:hAnsi="仿宋" w:eastAsia="仿宋" w:cs="仿宋"/>
          <w:color w:val="auto"/>
          <w:sz w:val="24"/>
          <w:highlight w:val="none"/>
          <w:lang w:val="zh-CN" w:eastAsia="zh-CN"/>
        </w:rPr>
      </w:pPr>
    </w:p>
    <w:p w14:paraId="550D8488">
      <w:pPr>
        <w:shd w:val="clear" w:color="auto" w:fill="auto"/>
        <w:tabs>
          <w:tab w:val="left" w:pos="360"/>
        </w:tabs>
        <w:snapToGrid w:val="0"/>
        <w:spacing w:line="360" w:lineRule="auto"/>
        <w:outlineLvl w:val="1"/>
        <w:rPr>
          <w:rFonts w:hint="eastAsia" w:ascii="仿宋" w:hAnsi="仿宋" w:eastAsia="仿宋" w:cs="仿宋"/>
          <w:color w:val="auto"/>
          <w:sz w:val="24"/>
          <w:highlight w:val="none"/>
        </w:rPr>
        <w:sectPr>
          <w:headerReference r:id="rId24" w:type="first"/>
          <w:footerReference r:id="rId26" w:type="first"/>
          <w:headerReference r:id="rId23" w:type="even"/>
          <w:footerReference r:id="rId25" w:type="even"/>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bookmarkStart w:id="705" w:name="_Toc305158901"/>
      <w:bookmarkStart w:id="706" w:name="_Toc150480796"/>
      <w:bookmarkStart w:id="707" w:name="_Toc142311060"/>
      <w:bookmarkStart w:id="708" w:name="_Toc226965832"/>
      <w:bookmarkStart w:id="709" w:name="_Toc226309803"/>
      <w:bookmarkStart w:id="710" w:name="_Toc226337255"/>
      <w:bookmarkStart w:id="711" w:name="_Toc195842924"/>
      <w:bookmarkStart w:id="712" w:name="_Toc226965749"/>
      <w:bookmarkStart w:id="713" w:name="_Toc264969249"/>
      <w:bookmarkStart w:id="714" w:name="_Toc127151558"/>
      <w:bookmarkStart w:id="715" w:name="_Toc150774763"/>
      <w:bookmarkStart w:id="716" w:name="_Toc305158827"/>
      <w:bookmarkStart w:id="717" w:name="_Toc265228397"/>
    </w:p>
    <w:p w14:paraId="558303DA">
      <w:pPr>
        <w:shd w:val="clear" w:color="auto" w:fill="auto"/>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8分项报价表</w:t>
      </w:r>
      <w:bookmarkEnd w:id="705"/>
      <w:bookmarkEnd w:id="706"/>
      <w:bookmarkEnd w:id="707"/>
      <w:bookmarkEnd w:id="708"/>
      <w:bookmarkEnd w:id="709"/>
      <w:bookmarkEnd w:id="710"/>
      <w:bookmarkEnd w:id="711"/>
      <w:bookmarkEnd w:id="712"/>
      <w:bookmarkEnd w:id="713"/>
      <w:bookmarkEnd w:id="714"/>
      <w:bookmarkEnd w:id="715"/>
      <w:bookmarkEnd w:id="716"/>
      <w:bookmarkEnd w:id="717"/>
    </w:p>
    <w:p w14:paraId="27ADDC70">
      <w:pPr>
        <w:shd w:val="clear" w:color="auto" w:fill="auto"/>
        <w:spacing w:line="360" w:lineRule="exact"/>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分项报价表</w:t>
      </w:r>
    </w:p>
    <w:p w14:paraId="7F558CE7">
      <w:pPr>
        <w:shd w:val="clear" w:color="auto" w:fill="auto"/>
        <w:spacing w:line="260" w:lineRule="exact"/>
        <w:jc w:val="center"/>
        <w:rPr>
          <w:rFonts w:hint="eastAsia" w:ascii="仿宋" w:hAnsi="仿宋" w:eastAsia="仿宋" w:cs="仿宋"/>
          <w:color w:val="auto"/>
          <w:sz w:val="36"/>
          <w:szCs w:val="36"/>
          <w:highlight w:val="none"/>
        </w:rPr>
      </w:pPr>
    </w:p>
    <w:p w14:paraId="434A46EA">
      <w:pPr>
        <w:shd w:val="clear" w:color="auto" w:fill="auto"/>
        <w:tabs>
          <w:tab w:val="left" w:pos="1800"/>
          <w:tab w:val="left" w:pos="5580"/>
        </w:tabs>
        <w:rPr>
          <w:rFonts w:hint="eastAsia" w:ascii="仿宋" w:hAnsi="仿宋" w:eastAsia="仿宋" w:cs="仿宋"/>
          <w:color w:val="auto"/>
          <w:sz w:val="24"/>
          <w:highlight w:val="none"/>
        </w:rPr>
      </w:pPr>
      <w:r>
        <w:rPr>
          <w:rFonts w:hint="eastAsia" w:ascii="仿宋" w:hAnsi="仿宋" w:eastAsia="仿宋" w:cs="仿宋"/>
          <w:color w:val="auto"/>
          <w:sz w:val="24"/>
          <w:highlight w:val="none"/>
        </w:rPr>
        <w:t>招标</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编号：__________项目名称：__________报价单位：人民币元</w:t>
      </w:r>
    </w:p>
    <w:tbl>
      <w:tblPr>
        <w:tblStyle w:val="250"/>
        <w:tblW w:w="84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1896"/>
        <w:gridCol w:w="1613"/>
        <w:gridCol w:w="999"/>
        <w:gridCol w:w="1952"/>
        <w:gridCol w:w="1306"/>
      </w:tblGrid>
      <w:tr w14:paraId="7C4BF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697" w:type="dxa"/>
            <w:vAlign w:val="top"/>
          </w:tcPr>
          <w:p w14:paraId="1E0012F0">
            <w:pPr>
              <w:pStyle w:val="251"/>
              <w:autoSpaceDE w:val="0"/>
              <w:autoSpaceDN w:val="0"/>
              <w:spacing w:before="225" w:line="210" w:lineRule="auto"/>
              <w:ind w:left="0" w:leftChars="0" w:firstLine="0" w:firstLineChars="0"/>
              <w:jc w:val="center"/>
              <w:rPr>
                <w:rFonts w:hint="eastAsia" w:eastAsia="宋体"/>
                <w:b w:val="0"/>
                <w:bCs w:val="0"/>
                <w:lang w:val="en-US" w:eastAsia="zh-CN"/>
              </w:rPr>
            </w:pPr>
            <w:r>
              <w:rPr>
                <w:rFonts w:hint="eastAsia"/>
                <w:b w:val="0"/>
                <w:bCs w:val="0"/>
                <w:lang w:val="en-US" w:eastAsia="zh-CN"/>
              </w:rPr>
              <w:t>序号</w:t>
            </w:r>
          </w:p>
        </w:tc>
        <w:tc>
          <w:tcPr>
            <w:tcW w:w="1896" w:type="dxa"/>
            <w:vAlign w:val="top"/>
          </w:tcPr>
          <w:p w14:paraId="723E53AB">
            <w:pPr>
              <w:pStyle w:val="251"/>
              <w:autoSpaceDE w:val="0"/>
              <w:autoSpaceDN w:val="0"/>
              <w:spacing w:before="193" w:line="220" w:lineRule="auto"/>
              <w:jc w:val="center"/>
              <w:rPr>
                <w:b w:val="0"/>
                <w:bCs w:val="0"/>
              </w:rPr>
            </w:pPr>
            <w:r>
              <w:rPr>
                <w:b w:val="0"/>
                <w:bCs w:val="0"/>
                <w:spacing w:val="-5"/>
              </w:rPr>
              <w:t>分项名称</w:t>
            </w:r>
          </w:p>
        </w:tc>
        <w:tc>
          <w:tcPr>
            <w:tcW w:w="1613" w:type="dxa"/>
            <w:vAlign w:val="top"/>
          </w:tcPr>
          <w:p w14:paraId="218E3573">
            <w:pPr>
              <w:pStyle w:val="251"/>
              <w:autoSpaceDE w:val="0"/>
              <w:autoSpaceDN w:val="0"/>
              <w:spacing w:before="193" w:line="218" w:lineRule="auto"/>
              <w:ind w:left="210"/>
              <w:rPr>
                <w:b w:val="0"/>
                <w:bCs w:val="0"/>
              </w:rPr>
            </w:pPr>
            <w:r>
              <w:rPr>
                <w:b w:val="0"/>
                <w:bCs w:val="0"/>
                <w:spacing w:val="-5"/>
              </w:rPr>
              <w:t>单价（元）</w:t>
            </w:r>
          </w:p>
        </w:tc>
        <w:tc>
          <w:tcPr>
            <w:tcW w:w="999" w:type="dxa"/>
            <w:vAlign w:val="top"/>
          </w:tcPr>
          <w:p w14:paraId="0C01AA4E">
            <w:pPr>
              <w:pStyle w:val="251"/>
              <w:autoSpaceDE w:val="0"/>
              <w:autoSpaceDN w:val="0"/>
              <w:spacing w:before="192" w:line="220" w:lineRule="auto"/>
              <w:ind w:left="266"/>
              <w:rPr>
                <w:b w:val="0"/>
                <w:bCs w:val="0"/>
              </w:rPr>
            </w:pPr>
            <w:r>
              <w:rPr>
                <w:b w:val="0"/>
                <w:bCs w:val="0"/>
                <w:spacing w:val="-8"/>
              </w:rPr>
              <w:t>数量</w:t>
            </w:r>
          </w:p>
        </w:tc>
        <w:tc>
          <w:tcPr>
            <w:tcW w:w="1952" w:type="dxa"/>
            <w:vAlign w:val="top"/>
          </w:tcPr>
          <w:p w14:paraId="7B5F17A5">
            <w:pPr>
              <w:pStyle w:val="251"/>
              <w:autoSpaceDE w:val="0"/>
              <w:autoSpaceDN w:val="0"/>
              <w:spacing w:before="193" w:line="218" w:lineRule="auto"/>
              <w:ind w:left="557"/>
              <w:rPr>
                <w:b w:val="0"/>
                <w:bCs w:val="0"/>
              </w:rPr>
            </w:pPr>
            <w:r>
              <w:rPr>
                <w:b w:val="0"/>
                <w:bCs w:val="0"/>
                <w:spacing w:val="-5"/>
              </w:rPr>
              <w:t>合价（元）</w:t>
            </w:r>
          </w:p>
        </w:tc>
        <w:tc>
          <w:tcPr>
            <w:tcW w:w="1306" w:type="dxa"/>
            <w:vAlign w:val="top"/>
          </w:tcPr>
          <w:p w14:paraId="7EBECD29">
            <w:pPr>
              <w:pStyle w:val="251"/>
              <w:autoSpaceDE w:val="0"/>
              <w:autoSpaceDN w:val="0"/>
              <w:spacing w:before="192" w:line="220" w:lineRule="auto"/>
              <w:ind w:left="120"/>
              <w:rPr>
                <w:b w:val="0"/>
                <w:bCs w:val="0"/>
              </w:rPr>
            </w:pPr>
            <w:r>
              <w:rPr>
                <w:b w:val="0"/>
                <w:bCs w:val="0"/>
                <w:spacing w:val="-5"/>
              </w:rPr>
              <w:t>备注/说明</w:t>
            </w:r>
          </w:p>
        </w:tc>
      </w:tr>
      <w:tr w14:paraId="4AA64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697" w:type="dxa"/>
            <w:vAlign w:val="top"/>
          </w:tcPr>
          <w:p w14:paraId="4F1F1A40">
            <w:pPr>
              <w:pStyle w:val="251"/>
              <w:autoSpaceDE w:val="0"/>
              <w:autoSpaceDN w:val="0"/>
              <w:spacing w:before="134" w:line="241" w:lineRule="auto"/>
              <w:ind w:left="308"/>
              <w:rPr>
                <w:b w:val="0"/>
                <w:bCs w:val="0"/>
              </w:rPr>
            </w:pPr>
            <w:r>
              <w:rPr>
                <w:b w:val="0"/>
                <w:bCs w:val="0"/>
              </w:rPr>
              <w:t>1</w:t>
            </w:r>
          </w:p>
        </w:tc>
        <w:tc>
          <w:tcPr>
            <w:tcW w:w="1896" w:type="dxa"/>
            <w:vAlign w:val="top"/>
          </w:tcPr>
          <w:p w14:paraId="28335474">
            <w:pPr>
              <w:autoSpaceDE w:val="0"/>
              <w:autoSpaceDN w:val="0"/>
              <w:rPr>
                <w:rFonts w:ascii="Arial"/>
                <w:b w:val="0"/>
                <w:bCs w:val="0"/>
                <w:sz w:val="21"/>
              </w:rPr>
            </w:pPr>
          </w:p>
        </w:tc>
        <w:tc>
          <w:tcPr>
            <w:tcW w:w="1613" w:type="dxa"/>
            <w:vAlign w:val="top"/>
          </w:tcPr>
          <w:p w14:paraId="5F473519">
            <w:pPr>
              <w:autoSpaceDE w:val="0"/>
              <w:autoSpaceDN w:val="0"/>
              <w:rPr>
                <w:rFonts w:ascii="Arial"/>
                <w:b w:val="0"/>
                <w:bCs w:val="0"/>
                <w:sz w:val="21"/>
              </w:rPr>
            </w:pPr>
          </w:p>
        </w:tc>
        <w:tc>
          <w:tcPr>
            <w:tcW w:w="999" w:type="dxa"/>
            <w:vAlign w:val="top"/>
          </w:tcPr>
          <w:p w14:paraId="0DA1FE11">
            <w:pPr>
              <w:autoSpaceDE w:val="0"/>
              <w:autoSpaceDN w:val="0"/>
              <w:rPr>
                <w:rFonts w:ascii="Arial"/>
                <w:b w:val="0"/>
                <w:bCs w:val="0"/>
                <w:sz w:val="21"/>
              </w:rPr>
            </w:pPr>
          </w:p>
        </w:tc>
        <w:tc>
          <w:tcPr>
            <w:tcW w:w="1952" w:type="dxa"/>
            <w:vAlign w:val="top"/>
          </w:tcPr>
          <w:p w14:paraId="0EFD9163">
            <w:pPr>
              <w:autoSpaceDE w:val="0"/>
              <w:autoSpaceDN w:val="0"/>
              <w:rPr>
                <w:rFonts w:ascii="Arial"/>
                <w:b w:val="0"/>
                <w:bCs w:val="0"/>
                <w:sz w:val="21"/>
              </w:rPr>
            </w:pPr>
          </w:p>
        </w:tc>
        <w:tc>
          <w:tcPr>
            <w:tcW w:w="1306" w:type="dxa"/>
            <w:vAlign w:val="top"/>
          </w:tcPr>
          <w:p w14:paraId="09132F88">
            <w:pPr>
              <w:autoSpaceDE w:val="0"/>
              <w:autoSpaceDN w:val="0"/>
              <w:rPr>
                <w:rFonts w:ascii="Arial"/>
                <w:b w:val="0"/>
                <w:bCs w:val="0"/>
                <w:sz w:val="21"/>
              </w:rPr>
            </w:pPr>
          </w:p>
        </w:tc>
      </w:tr>
      <w:tr w14:paraId="2F1DE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97" w:type="dxa"/>
            <w:vAlign w:val="top"/>
          </w:tcPr>
          <w:p w14:paraId="4D9ECB3F">
            <w:pPr>
              <w:pStyle w:val="251"/>
              <w:autoSpaceDE w:val="0"/>
              <w:autoSpaceDN w:val="0"/>
              <w:spacing w:before="89" w:line="241" w:lineRule="auto"/>
              <w:ind w:left="293"/>
              <w:rPr>
                <w:b w:val="0"/>
                <w:bCs w:val="0"/>
              </w:rPr>
            </w:pPr>
            <w:r>
              <w:rPr>
                <w:b w:val="0"/>
                <w:bCs w:val="0"/>
              </w:rPr>
              <w:t>2</w:t>
            </w:r>
          </w:p>
        </w:tc>
        <w:tc>
          <w:tcPr>
            <w:tcW w:w="1896" w:type="dxa"/>
            <w:vAlign w:val="top"/>
          </w:tcPr>
          <w:p w14:paraId="51888E80">
            <w:pPr>
              <w:autoSpaceDE w:val="0"/>
              <w:autoSpaceDN w:val="0"/>
              <w:rPr>
                <w:rFonts w:ascii="Arial"/>
                <w:b w:val="0"/>
                <w:bCs w:val="0"/>
                <w:sz w:val="21"/>
              </w:rPr>
            </w:pPr>
          </w:p>
        </w:tc>
        <w:tc>
          <w:tcPr>
            <w:tcW w:w="1613" w:type="dxa"/>
            <w:vAlign w:val="top"/>
          </w:tcPr>
          <w:p w14:paraId="0DC59608">
            <w:pPr>
              <w:autoSpaceDE w:val="0"/>
              <w:autoSpaceDN w:val="0"/>
              <w:rPr>
                <w:rFonts w:ascii="Arial"/>
                <w:b w:val="0"/>
                <w:bCs w:val="0"/>
                <w:sz w:val="21"/>
              </w:rPr>
            </w:pPr>
          </w:p>
        </w:tc>
        <w:tc>
          <w:tcPr>
            <w:tcW w:w="999" w:type="dxa"/>
            <w:vAlign w:val="top"/>
          </w:tcPr>
          <w:p w14:paraId="1EAC8E78">
            <w:pPr>
              <w:autoSpaceDE w:val="0"/>
              <w:autoSpaceDN w:val="0"/>
              <w:rPr>
                <w:rFonts w:ascii="Arial"/>
                <w:b w:val="0"/>
                <w:bCs w:val="0"/>
                <w:sz w:val="21"/>
              </w:rPr>
            </w:pPr>
          </w:p>
        </w:tc>
        <w:tc>
          <w:tcPr>
            <w:tcW w:w="1952" w:type="dxa"/>
            <w:vAlign w:val="top"/>
          </w:tcPr>
          <w:p w14:paraId="79E029DA">
            <w:pPr>
              <w:autoSpaceDE w:val="0"/>
              <w:autoSpaceDN w:val="0"/>
              <w:rPr>
                <w:rFonts w:ascii="Arial"/>
                <w:b w:val="0"/>
                <w:bCs w:val="0"/>
                <w:sz w:val="21"/>
              </w:rPr>
            </w:pPr>
          </w:p>
        </w:tc>
        <w:tc>
          <w:tcPr>
            <w:tcW w:w="1306" w:type="dxa"/>
            <w:vAlign w:val="top"/>
          </w:tcPr>
          <w:p w14:paraId="4840B3CE">
            <w:pPr>
              <w:autoSpaceDE w:val="0"/>
              <w:autoSpaceDN w:val="0"/>
              <w:rPr>
                <w:rFonts w:ascii="Arial"/>
                <w:b w:val="0"/>
                <w:bCs w:val="0"/>
                <w:sz w:val="21"/>
              </w:rPr>
            </w:pPr>
          </w:p>
        </w:tc>
      </w:tr>
      <w:tr w14:paraId="3527C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697" w:type="dxa"/>
            <w:vAlign w:val="top"/>
          </w:tcPr>
          <w:p w14:paraId="04480550">
            <w:pPr>
              <w:pStyle w:val="251"/>
              <w:autoSpaceDE w:val="0"/>
              <w:autoSpaceDN w:val="0"/>
              <w:spacing w:before="86" w:line="237" w:lineRule="auto"/>
              <w:ind w:left="295"/>
              <w:rPr>
                <w:b w:val="0"/>
                <w:bCs w:val="0"/>
              </w:rPr>
            </w:pPr>
            <w:r>
              <w:rPr>
                <w:b w:val="0"/>
                <w:bCs w:val="0"/>
              </w:rPr>
              <w:t>3</w:t>
            </w:r>
          </w:p>
        </w:tc>
        <w:tc>
          <w:tcPr>
            <w:tcW w:w="1896" w:type="dxa"/>
            <w:vAlign w:val="top"/>
          </w:tcPr>
          <w:p w14:paraId="45C16DA7">
            <w:pPr>
              <w:pStyle w:val="251"/>
              <w:autoSpaceDE w:val="0"/>
              <w:autoSpaceDN w:val="0"/>
              <w:spacing w:before="187" w:line="175" w:lineRule="exact"/>
              <w:ind w:left="123"/>
              <w:rPr>
                <w:b w:val="0"/>
                <w:bCs w:val="0"/>
              </w:rPr>
            </w:pPr>
            <w:r>
              <w:rPr>
                <w:b w:val="0"/>
                <w:bCs w:val="0"/>
                <w:position w:val="-3"/>
              </w:rPr>
              <w:t>…</w:t>
            </w:r>
          </w:p>
        </w:tc>
        <w:tc>
          <w:tcPr>
            <w:tcW w:w="1613" w:type="dxa"/>
            <w:vAlign w:val="top"/>
          </w:tcPr>
          <w:p w14:paraId="173DA23C">
            <w:pPr>
              <w:autoSpaceDE w:val="0"/>
              <w:autoSpaceDN w:val="0"/>
              <w:rPr>
                <w:rFonts w:ascii="Arial"/>
                <w:b w:val="0"/>
                <w:bCs w:val="0"/>
                <w:sz w:val="21"/>
              </w:rPr>
            </w:pPr>
          </w:p>
        </w:tc>
        <w:tc>
          <w:tcPr>
            <w:tcW w:w="999" w:type="dxa"/>
            <w:vAlign w:val="top"/>
          </w:tcPr>
          <w:p w14:paraId="2F813EBE">
            <w:pPr>
              <w:autoSpaceDE w:val="0"/>
              <w:autoSpaceDN w:val="0"/>
              <w:rPr>
                <w:rFonts w:ascii="Arial"/>
                <w:b w:val="0"/>
                <w:bCs w:val="0"/>
                <w:sz w:val="21"/>
              </w:rPr>
            </w:pPr>
          </w:p>
        </w:tc>
        <w:tc>
          <w:tcPr>
            <w:tcW w:w="1952" w:type="dxa"/>
            <w:vAlign w:val="top"/>
          </w:tcPr>
          <w:p w14:paraId="3B9546C2">
            <w:pPr>
              <w:autoSpaceDE w:val="0"/>
              <w:autoSpaceDN w:val="0"/>
              <w:rPr>
                <w:rFonts w:ascii="Arial"/>
                <w:b w:val="0"/>
                <w:bCs w:val="0"/>
                <w:sz w:val="21"/>
              </w:rPr>
            </w:pPr>
          </w:p>
        </w:tc>
        <w:tc>
          <w:tcPr>
            <w:tcW w:w="1306" w:type="dxa"/>
            <w:vAlign w:val="top"/>
          </w:tcPr>
          <w:p w14:paraId="70542CAA">
            <w:pPr>
              <w:autoSpaceDE w:val="0"/>
              <w:autoSpaceDN w:val="0"/>
              <w:rPr>
                <w:rFonts w:ascii="Arial"/>
                <w:b w:val="0"/>
                <w:bCs w:val="0"/>
                <w:sz w:val="21"/>
              </w:rPr>
            </w:pPr>
          </w:p>
        </w:tc>
      </w:tr>
      <w:tr w14:paraId="76EA3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205" w:type="dxa"/>
            <w:gridSpan w:val="4"/>
            <w:vAlign w:val="top"/>
          </w:tcPr>
          <w:p w14:paraId="154A8A2F">
            <w:pPr>
              <w:pStyle w:val="251"/>
              <w:autoSpaceDE w:val="0"/>
              <w:autoSpaceDN w:val="0"/>
              <w:spacing w:before="89" w:line="218" w:lineRule="auto"/>
              <w:ind w:left="2206"/>
              <w:rPr>
                <w:b w:val="0"/>
                <w:bCs w:val="0"/>
              </w:rPr>
            </w:pPr>
            <w:r>
              <w:rPr>
                <w:b w:val="0"/>
                <w:bCs w:val="0"/>
                <w:spacing w:val="-6"/>
              </w:rPr>
              <w:t>总价（元）</w:t>
            </w:r>
          </w:p>
        </w:tc>
        <w:tc>
          <w:tcPr>
            <w:tcW w:w="1952" w:type="dxa"/>
            <w:vAlign w:val="top"/>
          </w:tcPr>
          <w:p w14:paraId="72E1B168">
            <w:pPr>
              <w:autoSpaceDE w:val="0"/>
              <w:autoSpaceDN w:val="0"/>
              <w:rPr>
                <w:rFonts w:ascii="Arial"/>
                <w:b w:val="0"/>
                <w:bCs w:val="0"/>
                <w:sz w:val="21"/>
              </w:rPr>
            </w:pPr>
          </w:p>
        </w:tc>
        <w:tc>
          <w:tcPr>
            <w:tcW w:w="1306" w:type="dxa"/>
            <w:vAlign w:val="top"/>
          </w:tcPr>
          <w:p w14:paraId="2DF082F0">
            <w:pPr>
              <w:autoSpaceDE w:val="0"/>
              <w:autoSpaceDN w:val="0"/>
              <w:rPr>
                <w:rFonts w:ascii="Arial"/>
                <w:b w:val="0"/>
                <w:bCs w:val="0"/>
                <w:sz w:val="21"/>
              </w:rPr>
            </w:pPr>
          </w:p>
        </w:tc>
      </w:tr>
    </w:tbl>
    <w:p w14:paraId="6C7C3196">
      <w:pPr>
        <w:shd w:val="clear" w:color="auto" w:fill="auto"/>
        <w:tabs>
          <w:tab w:val="left" w:pos="1800"/>
          <w:tab w:val="left" w:pos="5580"/>
        </w:tabs>
        <w:jc w:val="left"/>
        <w:rPr>
          <w:rFonts w:hint="eastAsia" w:ascii="仿宋" w:hAnsi="仿宋" w:eastAsia="仿宋" w:cs="仿宋"/>
          <w:color w:val="auto"/>
          <w:sz w:val="24"/>
          <w:highlight w:val="none"/>
        </w:rPr>
      </w:pPr>
    </w:p>
    <w:p w14:paraId="6ABE83C7">
      <w:pPr>
        <w:shd w:val="clear" w:color="auto" w:fill="auto"/>
        <w:tabs>
          <w:tab w:val="left" w:pos="1800"/>
          <w:tab w:val="left" w:pos="5580"/>
        </w:tabs>
        <w:jc w:val="left"/>
        <w:rPr>
          <w:rFonts w:hint="eastAsia" w:ascii="仿宋" w:hAnsi="仿宋" w:eastAsia="仿宋" w:cs="仿宋"/>
          <w:color w:val="auto"/>
          <w:sz w:val="24"/>
          <w:highlight w:val="none"/>
        </w:rPr>
      </w:pPr>
    </w:p>
    <w:p w14:paraId="5DAC13DB">
      <w:pPr>
        <w:shd w:val="clear" w:color="auto" w:fill="auto"/>
        <w:tabs>
          <w:tab w:val="left" w:pos="1800"/>
          <w:tab w:val="left" w:pos="5580"/>
        </w:tabs>
        <w:jc w:val="left"/>
        <w:rPr>
          <w:rFonts w:hint="eastAsia" w:ascii="仿宋" w:hAnsi="仿宋" w:eastAsia="仿宋" w:cs="仿宋"/>
          <w:color w:val="auto"/>
          <w:sz w:val="24"/>
          <w:highlight w:val="none"/>
        </w:rPr>
      </w:pPr>
    </w:p>
    <w:p w14:paraId="3EF48ADE">
      <w:pPr>
        <w:shd w:val="clear" w:color="auto" w:fill="auto"/>
        <w:tabs>
          <w:tab w:val="left" w:pos="1800"/>
          <w:tab w:val="left" w:pos="5580"/>
        </w:tabs>
        <w:jc w:val="left"/>
        <w:rPr>
          <w:rFonts w:hint="eastAsia" w:ascii="仿宋" w:hAnsi="仿宋" w:eastAsia="仿宋" w:cs="仿宋"/>
          <w:color w:val="auto"/>
          <w:sz w:val="24"/>
          <w:highlight w:val="none"/>
        </w:rPr>
      </w:pPr>
    </w:p>
    <w:p w14:paraId="1967AC90">
      <w:pPr>
        <w:shd w:val="clear" w:color="auto" w:fill="auto"/>
        <w:tabs>
          <w:tab w:val="left" w:pos="1800"/>
          <w:tab w:val="left" w:pos="5580"/>
        </w:tabs>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注：上述各项的详细规格（如有），可另页描述。</w:t>
      </w:r>
    </w:p>
    <w:p w14:paraId="75E375B3">
      <w:pPr>
        <w:shd w:val="clear" w:color="auto" w:fill="auto"/>
        <w:autoSpaceDE w:val="0"/>
        <w:autoSpaceDN w:val="0"/>
        <w:adjustRightInd w:val="0"/>
        <w:snapToGrid w:val="0"/>
        <w:spacing w:before="25" w:after="25" w:line="360" w:lineRule="auto"/>
        <w:rPr>
          <w:rFonts w:hint="eastAsia" w:ascii="仿宋" w:hAnsi="仿宋" w:eastAsia="仿宋" w:cs="仿宋"/>
          <w:color w:val="auto"/>
          <w:sz w:val="24"/>
          <w:highlight w:val="none"/>
        </w:rPr>
      </w:pPr>
    </w:p>
    <w:p w14:paraId="6229C8AD">
      <w:pPr>
        <w:shd w:val="clear" w:color="auto" w:fill="auto"/>
        <w:autoSpaceDE w:val="0"/>
        <w:autoSpaceDN w:val="0"/>
        <w:adjustRightInd w:val="0"/>
        <w:snapToGrid w:val="0"/>
        <w:spacing w:before="25" w:after="25" w:line="360" w:lineRule="auto"/>
        <w:rPr>
          <w:rFonts w:hint="eastAsia" w:ascii="仿宋" w:hAnsi="仿宋" w:eastAsia="仿宋" w:cs="仿宋"/>
          <w:color w:val="auto"/>
          <w:sz w:val="24"/>
          <w:highlight w:val="none"/>
        </w:rPr>
      </w:pPr>
    </w:p>
    <w:p w14:paraId="1C2CE902">
      <w:pPr>
        <w:shd w:val="clear" w:color="auto" w:fill="auto"/>
        <w:autoSpaceDE w:val="0"/>
        <w:autoSpaceDN w:val="0"/>
        <w:adjustRightInd w:val="0"/>
        <w:snapToGrid w:val="0"/>
        <w:spacing w:before="25" w:after="25" w:line="360" w:lineRule="auto"/>
        <w:ind w:right="36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w:t>
      </w:r>
    </w:p>
    <w:p w14:paraId="4C2B18FE">
      <w:pPr>
        <w:shd w:val="clear" w:color="auto" w:fill="auto"/>
        <w:autoSpaceDE w:val="0"/>
        <w:autoSpaceDN w:val="0"/>
        <w:adjustRightInd w:val="0"/>
        <w:snapToGrid w:val="0"/>
        <w:spacing w:before="25" w:after="25" w:line="360" w:lineRule="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szCs w:val="20"/>
          <w:highlight w:val="none"/>
        </w:rPr>
        <w:t>日期：____年____月____日</w:t>
      </w:r>
    </w:p>
    <w:p w14:paraId="004544A9">
      <w:pPr>
        <w:shd w:val="clear" w:color="auto" w:fill="auto"/>
        <w:tabs>
          <w:tab w:val="left" w:pos="360"/>
        </w:tabs>
        <w:snapToGrid w:val="0"/>
        <w:spacing w:line="360" w:lineRule="auto"/>
        <w:outlineLvl w:val="1"/>
        <w:rPr>
          <w:rFonts w:hint="eastAsia" w:ascii="仿宋" w:hAnsi="仿宋" w:eastAsia="仿宋" w:cs="仿宋"/>
          <w:color w:val="auto"/>
          <w:sz w:val="24"/>
          <w:highlight w:val="none"/>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bookmarkStart w:id="718" w:name="_Toc305158830"/>
      <w:bookmarkStart w:id="719" w:name="_Toc127151562"/>
      <w:bookmarkStart w:id="720" w:name="_Toc226337258"/>
      <w:bookmarkStart w:id="721" w:name="_Toc150480798"/>
      <w:bookmarkStart w:id="722" w:name="_Toc195842927"/>
      <w:bookmarkStart w:id="723" w:name="_Toc305158904"/>
      <w:bookmarkStart w:id="724" w:name="_Toc226309806"/>
      <w:bookmarkStart w:id="725" w:name="_Toc226965835"/>
      <w:bookmarkStart w:id="726" w:name="_Toc142311062"/>
      <w:bookmarkStart w:id="727" w:name="_Toc226965752"/>
      <w:bookmarkStart w:id="728" w:name="_Toc264969252"/>
      <w:bookmarkStart w:id="729" w:name="_Toc150774765"/>
      <w:bookmarkStart w:id="730" w:name="_Toc265228400"/>
      <w:bookmarkStart w:id="731" w:name="_Toc264969251"/>
      <w:bookmarkStart w:id="732" w:name="_Toc150480797"/>
      <w:bookmarkStart w:id="733" w:name="_Toc305158829"/>
      <w:bookmarkStart w:id="734" w:name="_Toc226309805"/>
      <w:bookmarkStart w:id="735" w:name="_Toc150774764"/>
      <w:bookmarkStart w:id="736" w:name="_Toc195842926"/>
      <w:bookmarkStart w:id="737" w:name="_Toc305158903"/>
      <w:bookmarkStart w:id="738" w:name="_Toc142311061"/>
      <w:bookmarkStart w:id="739" w:name="_Toc127151561"/>
      <w:bookmarkStart w:id="740" w:name="_Toc226965751"/>
      <w:bookmarkStart w:id="741" w:name="_Toc226337257"/>
      <w:bookmarkStart w:id="742" w:name="_Toc265228399"/>
      <w:bookmarkStart w:id="743" w:name="_Toc226965834"/>
    </w:p>
    <w:p w14:paraId="2DA7E080">
      <w:pPr>
        <w:shd w:val="clear" w:color="auto" w:fill="auto"/>
        <w:tabs>
          <w:tab w:val="left" w:pos="360"/>
        </w:tabs>
        <w:snapToGrid w:val="0"/>
        <w:spacing w:line="360" w:lineRule="auto"/>
        <w:outlineLvl w:val="1"/>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9合同条款偏离表</w:t>
      </w:r>
      <w:bookmarkEnd w:id="718"/>
      <w:bookmarkEnd w:id="719"/>
      <w:bookmarkEnd w:id="720"/>
      <w:bookmarkEnd w:id="721"/>
      <w:bookmarkEnd w:id="722"/>
      <w:bookmarkEnd w:id="723"/>
      <w:bookmarkEnd w:id="724"/>
      <w:bookmarkEnd w:id="725"/>
      <w:bookmarkEnd w:id="726"/>
      <w:bookmarkEnd w:id="727"/>
      <w:bookmarkEnd w:id="728"/>
      <w:bookmarkEnd w:id="729"/>
      <w:bookmarkEnd w:id="730"/>
      <w:r>
        <w:rPr>
          <w:rFonts w:hint="eastAsia" w:ascii="仿宋" w:hAnsi="仿宋" w:eastAsia="仿宋" w:cs="仿宋"/>
          <w:color w:val="auto"/>
          <w:sz w:val="24"/>
          <w:highlight w:val="none"/>
        </w:rPr>
        <w:t>（实质性格式）</w:t>
      </w:r>
    </w:p>
    <w:p w14:paraId="5A5D439A">
      <w:pPr>
        <w:shd w:val="clear" w:color="auto" w:fill="auto"/>
        <w:spacing w:line="360" w:lineRule="auto"/>
        <w:rPr>
          <w:rFonts w:hint="eastAsia" w:ascii="仿宋" w:hAnsi="仿宋" w:eastAsia="仿宋" w:cs="仿宋"/>
          <w:color w:val="auto"/>
          <w:sz w:val="24"/>
          <w:szCs w:val="20"/>
          <w:highlight w:val="none"/>
        </w:rPr>
      </w:pPr>
    </w:p>
    <w:p w14:paraId="40AF7481">
      <w:pPr>
        <w:shd w:val="clear" w:color="auto" w:fill="auto"/>
        <w:tabs>
          <w:tab w:val="left" w:pos="2775"/>
          <w:tab w:val="center" w:pos="4153"/>
        </w:tabs>
        <w:autoSpaceDE w:val="0"/>
        <w:autoSpaceDN w:val="0"/>
        <w:adjustRightInd w:val="0"/>
        <w:spacing w:line="360" w:lineRule="auto"/>
        <w:jc w:val="left"/>
        <w:rPr>
          <w:rFonts w:hint="eastAsia" w:ascii="仿宋" w:hAnsi="仿宋" w:eastAsia="仿宋" w:cs="仿宋"/>
          <w:b/>
          <w:color w:val="auto"/>
          <w:sz w:val="36"/>
          <w:szCs w:val="36"/>
          <w:highlight w:val="none"/>
        </w:rPr>
      </w:pPr>
      <w:r>
        <w:rPr>
          <w:rFonts w:hint="eastAsia" w:ascii="仿宋" w:hAnsi="仿宋" w:eastAsia="仿宋" w:cs="仿宋"/>
          <w:color w:val="auto"/>
          <w:sz w:val="36"/>
          <w:szCs w:val="36"/>
          <w:highlight w:val="none"/>
        </w:rPr>
        <w:tab/>
      </w:r>
      <w:r>
        <w:rPr>
          <w:rFonts w:hint="eastAsia" w:ascii="仿宋" w:hAnsi="仿宋" w:eastAsia="仿宋" w:cs="仿宋"/>
          <w:b/>
          <w:color w:val="auto"/>
          <w:sz w:val="36"/>
          <w:szCs w:val="36"/>
          <w:highlight w:val="none"/>
        </w:rPr>
        <w:tab/>
      </w:r>
      <w:r>
        <w:rPr>
          <w:rFonts w:hint="eastAsia" w:ascii="仿宋" w:hAnsi="仿宋" w:eastAsia="仿宋" w:cs="仿宋"/>
          <w:b/>
          <w:color w:val="auto"/>
          <w:sz w:val="36"/>
          <w:szCs w:val="36"/>
          <w:highlight w:val="none"/>
        </w:rPr>
        <w:t>合同条款偏离表</w:t>
      </w:r>
    </w:p>
    <w:p w14:paraId="59EF45FE">
      <w:pPr>
        <w:shd w:val="clear" w:color="auto" w:fill="auto"/>
        <w:spacing w:line="360" w:lineRule="auto"/>
        <w:rPr>
          <w:rFonts w:hint="eastAsia" w:ascii="仿宋" w:hAnsi="仿宋" w:eastAsia="仿宋" w:cs="仿宋"/>
          <w:color w:val="auto"/>
          <w:sz w:val="24"/>
          <w:szCs w:val="20"/>
          <w:highlight w:val="none"/>
        </w:rPr>
      </w:pPr>
    </w:p>
    <w:p w14:paraId="5316C216">
      <w:pPr>
        <w:shd w:val="clear" w:color="auto" w:fill="auto"/>
        <w:tabs>
          <w:tab w:val="left" w:pos="1800"/>
          <w:tab w:val="left" w:pos="55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招标</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编号：__________项目名称：________________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29"/>
        <w:gridCol w:w="1730"/>
        <w:gridCol w:w="1731"/>
        <w:gridCol w:w="2122"/>
        <w:gridCol w:w="961"/>
      </w:tblGrid>
      <w:tr w14:paraId="3DE6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989" w:type="dxa"/>
            <w:noWrap w:val="0"/>
            <w:vAlign w:val="center"/>
          </w:tcPr>
          <w:p w14:paraId="7DDBA043">
            <w:pPr>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529" w:type="dxa"/>
            <w:noWrap w:val="0"/>
            <w:vAlign w:val="center"/>
          </w:tcPr>
          <w:p w14:paraId="24962AE8">
            <w:pPr>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szCs w:val="21"/>
                <w:highlight w:val="none"/>
              </w:rPr>
              <w:t>竞争性磋商文件</w:t>
            </w:r>
            <w:r>
              <w:rPr>
                <w:rFonts w:hint="eastAsia" w:ascii="仿宋" w:hAnsi="仿宋" w:eastAsia="仿宋" w:cs="仿宋"/>
                <w:color w:val="auto"/>
                <w:sz w:val="24"/>
                <w:highlight w:val="none"/>
              </w:rPr>
              <w:t>条目号（页码）</w:t>
            </w:r>
          </w:p>
        </w:tc>
        <w:tc>
          <w:tcPr>
            <w:tcW w:w="1730" w:type="dxa"/>
            <w:noWrap w:val="0"/>
            <w:vAlign w:val="center"/>
          </w:tcPr>
          <w:p w14:paraId="3C6504D7">
            <w:pPr>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szCs w:val="21"/>
                <w:highlight w:val="none"/>
              </w:rPr>
              <w:t>竞争性磋商文件</w:t>
            </w:r>
            <w:r>
              <w:rPr>
                <w:rFonts w:hint="eastAsia" w:ascii="仿宋" w:hAnsi="仿宋" w:eastAsia="仿宋" w:cs="仿宋"/>
                <w:color w:val="auto"/>
                <w:sz w:val="24"/>
                <w:highlight w:val="none"/>
              </w:rPr>
              <w:t>要求</w:t>
            </w:r>
          </w:p>
        </w:tc>
        <w:tc>
          <w:tcPr>
            <w:tcW w:w="1731" w:type="dxa"/>
            <w:noWrap w:val="0"/>
            <w:vAlign w:val="center"/>
          </w:tcPr>
          <w:p w14:paraId="6526EBE5">
            <w:pPr>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响应文件内容</w:t>
            </w:r>
          </w:p>
        </w:tc>
        <w:tc>
          <w:tcPr>
            <w:tcW w:w="2122" w:type="dxa"/>
            <w:noWrap w:val="0"/>
            <w:vAlign w:val="center"/>
          </w:tcPr>
          <w:p w14:paraId="3F71440C">
            <w:pPr>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偏离情况</w:t>
            </w:r>
          </w:p>
        </w:tc>
        <w:tc>
          <w:tcPr>
            <w:tcW w:w="961" w:type="dxa"/>
            <w:noWrap w:val="0"/>
            <w:vAlign w:val="center"/>
          </w:tcPr>
          <w:p w14:paraId="7DEB1BC4">
            <w:pPr>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549D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noWrap w:val="0"/>
            <w:vAlign w:val="center"/>
          </w:tcPr>
          <w:p w14:paraId="1028249F">
            <w:pPr>
              <w:shd w:val="clear" w:color="auto" w:fill="auto"/>
              <w:adjustRightInd w:val="0"/>
              <w:snapToGrid w:val="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对本项目合同条款的偏离情况（</w:t>
            </w:r>
            <w:r>
              <w:rPr>
                <w:rFonts w:hint="eastAsia" w:ascii="仿宋" w:hAnsi="仿宋" w:eastAsia="仿宋" w:cs="仿宋"/>
                <w:bCs/>
                <w:color w:val="auto"/>
                <w:sz w:val="24"/>
                <w:highlight w:val="none"/>
              </w:rPr>
              <w:t>应进行选择，未选择</w:t>
            </w:r>
            <w:r>
              <w:rPr>
                <w:rFonts w:hint="eastAsia" w:ascii="仿宋" w:hAnsi="仿宋" w:eastAsia="仿宋" w:cs="仿宋"/>
                <w:b/>
                <w:color w:val="auto"/>
                <w:sz w:val="24"/>
                <w:highlight w:val="none"/>
              </w:rPr>
              <w:t>响应无效）：</w:t>
            </w:r>
          </w:p>
          <w:p w14:paraId="0C427641">
            <w:pPr>
              <w:shd w:val="clear" w:color="auto" w:fill="auto"/>
              <w:adjustRightInd w:val="0"/>
              <w:snapToGrid w:val="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□无偏离</w:t>
            </w:r>
            <w:r>
              <w:rPr>
                <w:rFonts w:hint="eastAsia" w:ascii="仿宋" w:hAnsi="仿宋" w:eastAsia="仿宋" w:cs="仿宋"/>
                <w:color w:val="auto"/>
                <w:sz w:val="24"/>
                <w:highlight w:val="none"/>
              </w:rPr>
              <w:t>（</w:t>
            </w:r>
            <w:r>
              <w:rPr>
                <w:rFonts w:hint="eastAsia" w:ascii="仿宋" w:hAnsi="仿宋" w:eastAsia="仿宋" w:cs="仿宋"/>
                <w:color w:val="auto"/>
                <w:sz w:val="24"/>
                <w:szCs w:val="21"/>
                <w:highlight w:val="none"/>
              </w:rPr>
              <w:t>如无偏离，仅选择无偏离即可；</w:t>
            </w:r>
            <w:r>
              <w:rPr>
                <w:rFonts w:hint="eastAsia" w:ascii="仿宋" w:hAnsi="仿宋" w:eastAsia="仿宋" w:cs="仿宋"/>
                <w:bCs/>
                <w:color w:val="auto"/>
                <w:sz w:val="24"/>
                <w:highlight w:val="none"/>
              </w:rPr>
              <w:t>无偏离即为</w:t>
            </w:r>
            <w:r>
              <w:rPr>
                <w:rFonts w:hint="eastAsia" w:ascii="仿宋" w:hAnsi="仿宋" w:eastAsia="仿宋" w:cs="仿宋"/>
                <w:color w:val="auto"/>
                <w:sz w:val="24"/>
                <w:highlight w:val="none"/>
              </w:rPr>
              <w:t>对合同条款中的所有要求，均视作供应商已对之理解和响应。）</w:t>
            </w:r>
          </w:p>
          <w:p w14:paraId="07C225A5">
            <w:pPr>
              <w:shd w:val="clear" w:color="auto" w:fill="auto"/>
              <w:adjustRightInd w:val="0"/>
              <w:snapToGrid w:val="0"/>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□有偏离</w:t>
            </w:r>
            <w:r>
              <w:rPr>
                <w:rFonts w:hint="eastAsia" w:ascii="仿宋" w:hAnsi="仿宋" w:eastAsia="仿宋" w:cs="仿宋"/>
                <w:color w:val="auto"/>
                <w:sz w:val="24"/>
                <w:highlight w:val="none"/>
              </w:rPr>
              <w:t>（</w:t>
            </w:r>
            <w:r>
              <w:rPr>
                <w:rFonts w:hint="eastAsia" w:ascii="仿宋" w:hAnsi="仿宋" w:eastAsia="仿宋" w:cs="仿宋"/>
                <w:color w:val="auto"/>
                <w:sz w:val="24"/>
                <w:szCs w:val="21"/>
                <w:highlight w:val="none"/>
              </w:rPr>
              <w:t>如有偏离，</w:t>
            </w:r>
            <w:r>
              <w:rPr>
                <w:rFonts w:hint="eastAsia" w:ascii="仿宋" w:hAnsi="仿宋" w:eastAsia="仿宋" w:cs="仿宋"/>
                <w:color w:val="auto"/>
                <w:sz w:val="24"/>
                <w:highlight w:val="none"/>
              </w:rPr>
              <w:t>则应在本表中对负偏离项逐一列明，否则</w:t>
            </w:r>
            <w:r>
              <w:rPr>
                <w:rFonts w:hint="eastAsia" w:ascii="仿宋" w:hAnsi="仿宋" w:eastAsia="仿宋" w:cs="仿宋"/>
                <w:b/>
                <w:bCs/>
                <w:color w:val="auto"/>
                <w:sz w:val="24"/>
                <w:highlight w:val="none"/>
              </w:rPr>
              <w:t>响应无效</w:t>
            </w:r>
            <w:r>
              <w:rPr>
                <w:rFonts w:hint="eastAsia" w:ascii="仿宋" w:hAnsi="仿宋" w:eastAsia="仿宋" w:cs="仿宋"/>
                <w:color w:val="auto"/>
                <w:sz w:val="24"/>
                <w:highlight w:val="none"/>
              </w:rPr>
              <w:t>；对合同条款中的所有要求，除本表列明的偏离外，均视作供应商已对之理解和响应。）</w:t>
            </w:r>
          </w:p>
        </w:tc>
      </w:tr>
      <w:tr w14:paraId="53DF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0D6ECCA8">
            <w:pPr>
              <w:shd w:val="clear" w:color="auto" w:fill="auto"/>
              <w:adjustRightInd w:val="0"/>
              <w:snapToGrid w:val="0"/>
              <w:jc w:val="center"/>
              <w:rPr>
                <w:rFonts w:hint="eastAsia" w:ascii="仿宋" w:hAnsi="仿宋" w:eastAsia="仿宋" w:cs="仿宋"/>
                <w:color w:val="auto"/>
                <w:sz w:val="24"/>
                <w:highlight w:val="none"/>
              </w:rPr>
            </w:pPr>
          </w:p>
        </w:tc>
        <w:tc>
          <w:tcPr>
            <w:tcW w:w="1529" w:type="dxa"/>
            <w:noWrap w:val="0"/>
            <w:vAlign w:val="center"/>
          </w:tcPr>
          <w:p w14:paraId="0AE35230">
            <w:pPr>
              <w:shd w:val="clear" w:color="auto" w:fill="auto"/>
              <w:adjustRightInd w:val="0"/>
              <w:snapToGrid w:val="0"/>
              <w:jc w:val="center"/>
              <w:rPr>
                <w:rFonts w:hint="eastAsia" w:ascii="仿宋" w:hAnsi="仿宋" w:eastAsia="仿宋" w:cs="仿宋"/>
                <w:color w:val="auto"/>
                <w:sz w:val="24"/>
                <w:highlight w:val="none"/>
              </w:rPr>
            </w:pPr>
          </w:p>
        </w:tc>
        <w:tc>
          <w:tcPr>
            <w:tcW w:w="1730" w:type="dxa"/>
            <w:noWrap w:val="0"/>
            <w:vAlign w:val="center"/>
          </w:tcPr>
          <w:p w14:paraId="6B6B267F">
            <w:pPr>
              <w:shd w:val="clear" w:color="auto" w:fill="auto"/>
              <w:adjustRightInd w:val="0"/>
              <w:snapToGrid w:val="0"/>
              <w:jc w:val="center"/>
              <w:rPr>
                <w:rFonts w:hint="eastAsia" w:ascii="仿宋" w:hAnsi="仿宋" w:eastAsia="仿宋" w:cs="仿宋"/>
                <w:color w:val="auto"/>
                <w:sz w:val="24"/>
                <w:highlight w:val="none"/>
              </w:rPr>
            </w:pPr>
          </w:p>
        </w:tc>
        <w:tc>
          <w:tcPr>
            <w:tcW w:w="1731" w:type="dxa"/>
            <w:noWrap w:val="0"/>
            <w:vAlign w:val="center"/>
          </w:tcPr>
          <w:p w14:paraId="7F0D483D">
            <w:pPr>
              <w:shd w:val="clear" w:color="auto" w:fill="auto"/>
              <w:adjustRightInd w:val="0"/>
              <w:snapToGrid w:val="0"/>
              <w:jc w:val="center"/>
              <w:rPr>
                <w:rFonts w:hint="eastAsia" w:ascii="仿宋" w:hAnsi="仿宋" w:eastAsia="仿宋" w:cs="仿宋"/>
                <w:color w:val="auto"/>
                <w:sz w:val="24"/>
                <w:highlight w:val="none"/>
              </w:rPr>
            </w:pPr>
          </w:p>
        </w:tc>
        <w:tc>
          <w:tcPr>
            <w:tcW w:w="2122" w:type="dxa"/>
            <w:noWrap w:val="0"/>
            <w:vAlign w:val="center"/>
          </w:tcPr>
          <w:p w14:paraId="02D856A7">
            <w:pPr>
              <w:shd w:val="clear" w:color="auto" w:fill="auto"/>
              <w:adjustRightInd w:val="0"/>
              <w:snapToGrid w:val="0"/>
              <w:jc w:val="center"/>
              <w:rPr>
                <w:rFonts w:hint="eastAsia" w:ascii="仿宋" w:hAnsi="仿宋" w:eastAsia="仿宋" w:cs="仿宋"/>
                <w:color w:val="auto"/>
                <w:sz w:val="24"/>
                <w:highlight w:val="none"/>
              </w:rPr>
            </w:pPr>
          </w:p>
        </w:tc>
        <w:tc>
          <w:tcPr>
            <w:tcW w:w="961" w:type="dxa"/>
            <w:noWrap w:val="0"/>
            <w:vAlign w:val="center"/>
          </w:tcPr>
          <w:p w14:paraId="2DC2E860">
            <w:pPr>
              <w:shd w:val="clear" w:color="auto" w:fill="auto"/>
              <w:adjustRightInd w:val="0"/>
              <w:snapToGrid w:val="0"/>
              <w:jc w:val="center"/>
              <w:rPr>
                <w:rFonts w:hint="eastAsia" w:ascii="仿宋" w:hAnsi="仿宋" w:eastAsia="仿宋" w:cs="仿宋"/>
                <w:color w:val="auto"/>
                <w:sz w:val="24"/>
                <w:highlight w:val="none"/>
              </w:rPr>
            </w:pPr>
          </w:p>
        </w:tc>
      </w:tr>
      <w:tr w14:paraId="62ED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166D6338">
            <w:pPr>
              <w:shd w:val="clear" w:color="auto" w:fill="auto"/>
              <w:adjustRightInd w:val="0"/>
              <w:snapToGrid w:val="0"/>
              <w:jc w:val="center"/>
              <w:rPr>
                <w:rFonts w:hint="eastAsia" w:ascii="仿宋" w:hAnsi="仿宋" w:eastAsia="仿宋" w:cs="仿宋"/>
                <w:color w:val="auto"/>
                <w:sz w:val="24"/>
                <w:highlight w:val="none"/>
              </w:rPr>
            </w:pPr>
          </w:p>
        </w:tc>
        <w:tc>
          <w:tcPr>
            <w:tcW w:w="1529" w:type="dxa"/>
            <w:noWrap w:val="0"/>
            <w:vAlign w:val="center"/>
          </w:tcPr>
          <w:p w14:paraId="06BF2CF3">
            <w:pPr>
              <w:shd w:val="clear" w:color="auto" w:fill="auto"/>
              <w:adjustRightInd w:val="0"/>
              <w:snapToGrid w:val="0"/>
              <w:jc w:val="center"/>
              <w:rPr>
                <w:rFonts w:hint="eastAsia" w:ascii="仿宋" w:hAnsi="仿宋" w:eastAsia="仿宋" w:cs="仿宋"/>
                <w:color w:val="auto"/>
                <w:sz w:val="24"/>
                <w:highlight w:val="none"/>
              </w:rPr>
            </w:pPr>
          </w:p>
        </w:tc>
        <w:tc>
          <w:tcPr>
            <w:tcW w:w="1730" w:type="dxa"/>
            <w:noWrap w:val="0"/>
            <w:vAlign w:val="center"/>
          </w:tcPr>
          <w:p w14:paraId="30D57C49">
            <w:pPr>
              <w:shd w:val="clear" w:color="auto" w:fill="auto"/>
              <w:adjustRightInd w:val="0"/>
              <w:snapToGrid w:val="0"/>
              <w:jc w:val="center"/>
              <w:rPr>
                <w:rFonts w:hint="eastAsia" w:ascii="仿宋" w:hAnsi="仿宋" w:eastAsia="仿宋" w:cs="仿宋"/>
                <w:color w:val="auto"/>
                <w:sz w:val="24"/>
                <w:highlight w:val="none"/>
              </w:rPr>
            </w:pPr>
          </w:p>
        </w:tc>
        <w:tc>
          <w:tcPr>
            <w:tcW w:w="1731" w:type="dxa"/>
            <w:noWrap w:val="0"/>
            <w:vAlign w:val="center"/>
          </w:tcPr>
          <w:p w14:paraId="291AEE4E">
            <w:pPr>
              <w:shd w:val="clear" w:color="auto" w:fill="auto"/>
              <w:adjustRightInd w:val="0"/>
              <w:snapToGrid w:val="0"/>
              <w:jc w:val="center"/>
              <w:rPr>
                <w:rFonts w:hint="eastAsia" w:ascii="仿宋" w:hAnsi="仿宋" w:eastAsia="仿宋" w:cs="仿宋"/>
                <w:color w:val="auto"/>
                <w:sz w:val="24"/>
                <w:highlight w:val="none"/>
              </w:rPr>
            </w:pPr>
          </w:p>
        </w:tc>
        <w:tc>
          <w:tcPr>
            <w:tcW w:w="2122" w:type="dxa"/>
            <w:noWrap w:val="0"/>
            <w:vAlign w:val="center"/>
          </w:tcPr>
          <w:p w14:paraId="2D903018">
            <w:pPr>
              <w:shd w:val="clear" w:color="auto" w:fill="auto"/>
              <w:adjustRightInd w:val="0"/>
              <w:snapToGrid w:val="0"/>
              <w:jc w:val="center"/>
              <w:rPr>
                <w:rFonts w:hint="eastAsia" w:ascii="仿宋" w:hAnsi="仿宋" w:eastAsia="仿宋" w:cs="仿宋"/>
                <w:color w:val="auto"/>
                <w:sz w:val="24"/>
                <w:highlight w:val="none"/>
              </w:rPr>
            </w:pPr>
          </w:p>
        </w:tc>
        <w:tc>
          <w:tcPr>
            <w:tcW w:w="961" w:type="dxa"/>
            <w:noWrap w:val="0"/>
            <w:vAlign w:val="center"/>
          </w:tcPr>
          <w:p w14:paraId="0CF1AA2B">
            <w:pPr>
              <w:shd w:val="clear" w:color="auto" w:fill="auto"/>
              <w:adjustRightInd w:val="0"/>
              <w:snapToGrid w:val="0"/>
              <w:jc w:val="center"/>
              <w:rPr>
                <w:rFonts w:hint="eastAsia" w:ascii="仿宋" w:hAnsi="仿宋" w:eastAsia="仿宋" w:cs="仿宋"/>
                <w:color w:val="auto"/>
                <w:sz w:val="24"/>
                <w:highlight w:val="none"/>
              </w:rPr>
            </w:pPr>
          </w:p>
        </w:tc>
      </w:tr>
      <w:tr w14:paraId="6257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3806FA6F">
            <w:pPr>
              <w:shd w:val="clear" w:color="auto" w:fill="auto"/>
              <w:adjustRightInd w:val="0"/>
              <w:snapToGrid w:val="0"/>
              <w:jc w:val="center"/>
              <w:rPr>
                <w:rFonts w:hint="eastAsia" w:ascii="仿宋" w:hAnsi="仿宋" w:eastAsia="仿宋" w:cs="仿宋"/>
                <w:color w:val="auto"/>
                <w:sz w:val="24"/>
                <w:highlight w:val="none"/>
              </w:rPr>
            </w:pPr>
          </w:p>
        </w:tc>
        <w:tc>
          <w:tcPr>
            <w:tcW w:w="1529" w:type="dxa"/>
            <w:noWrap w:val="0"/>
            <w:vAlign w:val="center"/>
          </w:tcPr>
          <w:p w14:paraId="5A7561E5">
            <w:pPr>
              <w:shd w:val="clear" w:color="auto" w:fill="auto"/>
              <w:adjustRightInd w:val="0"/>
              <w:snapToGrid w:val="0"/>
              <w:jc w:val="center"/>
              <w:rPr>
                <w:rFonts w:hint="eastAsia" w:ascii="仿宋" w:hAnsi="仿宋" w:eastAsia="仿宋" w:cs="仿宋"/>
                <w:color w:val="auto"/>
                <w:sz w:val="24"/>
                <w:highlight w:val="none"/>
              </w:rPr>
            </w:pPr>
          </w:p>
        </w:tc>
        <w:tc>
          <w:tcPr>
            <w:tcW w:w="1730" w:type="dxa"/>
            <w:noWrap w:val="0"/>
            <w:vAlign w:val="center"/>
          </w:tcPr>
          <w:p w14:paraId="0E93DD05">
            <w:pPr>
              <w:shd w:val="clear" w:color="auto" w:fill="auto"/>
              <w:adjustRightInd w:val="0"/>
              <w:snapToGrid w:val="0"/>
              <w:jc w:val="center"/>
              <w:rPr>
                <w:rFonts w:hint="eastAsia" w:ascii="仿宋" w:hAnsi="仿宋" w:eastAsia="仿宋" w:cs="仿宋"/>
                <w:color w:val="auto"/>
                <w:sz w:val="24"/>
                <w:highlight w:val="none"/>
              </w:rPr>
            </w:pPr>
          </w:p>
        </w:tc>
        <w:tc>
          <w:tcPr>
            <w:tcW w:w="1731" w:type="dxa"/>
            <w:noWrap w:val="0"/>
            <w:vAlign w:val="center"/>
          </w:tcPr>
          <w:p w14:paraId="26B72100">
            <w:pPr>
              <w:shd w:val="clear" w:color="auto" w:fill="auto"/>
              <w:adjustRightInd w:val="0"/>
              <w:snapToGrid w:val="0"/>
              <w:jc w:val="center"/>
              <w:rPr>
                <w:rFonts w:hint="eastAsia" w:ascii="仿宋" w:hAnsi="仿宋" w:eastAsia="仿宋" w:cs="仿宋"/>
                <w:color w:val="auto"/>
                <w:sz w:val="24"/>
                <w:highlight w:val="none"/>
              </w:rPr>
            </w:pPr>
          </w:p>
        </w:tc>
        <w:tc>
          <w:tcPr>
            <w:tcW w:w="2122" w:type="dxa"/>
            <w:noWrap w:val="0"/>
            <w:vAlign w:val="center"/>
          </w:tcPr>
          <w:p w14:paraId="44D799A3">
            <w:pPr>
              <w:shd w:val="clear" w:color="auto" w:fill="auto"/>
              <w:adjustRightInd w:val="0"/>
              <w:snapToGrid w:val="0"/>
              <w:jc w:val="center"/>
              <w:rPr>
                <w:rFonts w:hint="eastAsia" w:ascii="仿宋" w:hAnsi="仿宋" w:eastAsia="仿宋" w:cs="仿宋"/>
                <w:color w:val="auto"/>
                <w:sz w:val="24"/>
                <w:highlight w:val="none"/>
              </w:rPr>
            </w:pPr>
          </w:p>
        </w:tc>
        <w:tc>
          <w:tcPr>
            <w:tcW w:w="961" w:type="dxa"/>
            <w:noWrap w:val="0"/>
            <w:vAlign w:val="center"/>
          </w:tcPr>
          <w:p w14:paraId="196E07FD">
            <w:pPr>
              <w:shd w:val="clear" w:color="auto" w:fill="auto"/>
              <w:adjustRightInd w:val="0"/>
              <w:snapToGrid w:val="0"/>
              <w:jc w:val="center"/>
              <w:rPr>
                <w:rFonts w:hint="eastAsia" w:ascii="仿宋" w:hAnsi="仿宋" w:eastAsia="仿宋" w:cs="仿宋"/>
                <w:color w:val="auto"/>
                <w:sz w:val="24"/>
                <w:highlight w:val="none"/>
              </w:rPr>
            </w:pPr>
          </w:p>
        </w:tc>
      </w:tr>
      <w:tr w14:paraId="3104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3B2DF7BA">
            <w:pPr>
              <w:shd w:val="clear" w:color="auto" w:fill="auto"/>
              <w:adjustRightInd w:val="0"/>
              <w:snapToGrid w:val="0"/>
              <w:jc w:val="center"/>
              <w:rPr>
                <w:rFonts w:hint="eastAsia" w:ascii="仿宋" w:hAnsi="仿宋" w:eastAsia="仿宋" w:cs="仿宋"/>
                <w:color w:val="auto"/>
                <w:sz w:val="24"/>
                <w:highlight w:val="none"/>
              </w:rPr>
            </w:pPr>
          </w:p>
        </w:tc>
        <w:tc>
          <w:tcPr>
            <w:tcW w:w="1529" w:type="dxa"/>
            <w:noWrap w:val="0"/>
            <w:vAlign w:val="center"/>
          </w:tcPr>
          <w:p w14:paraId="2E5D0441">
            <w:pPr>
              <w:shd w:val="clear" w:color="auto" w:fill="auto"/>
              <w:adjustRightInd w:val="0"/>
              <w:snapToGrid w:val="0"/>
              <w:jc w:val="center"/>
              <w:rPr>
                <w:rFonts w:hint="eastAsia" w:ascii="仿宋" w:hAnsi="仿宋" w:eastAsia="仿宋" w:cs="仿宋"/>
                <w:color w:val="auto"/>
                <w:sz w:val="24"/>
                <w:highlight w:val="none"/>
              </w:rPr>
            </w:pPr>
          </w:p>
        </w:tc>
        <w:tc>
          <w:tcPr>
            <w:tcW w:w="1730" w:type="dxa"/>
            <w:noWrap w:val="0"/>
            <w:vAlign w:val="center"/>
          </w:tcPr>
          <w:p w14:paraId="2A64ACC9">
            <w:pPr>
              <w:shd w:val="clear" w:color="auto" w:fill="auto"/>
              <w:adjustRightInd w:val="0"/>
              <w:snapToGrid w:val="0"/>
              <w:jc w:val="center"/>
              <w:rPr>
                <w:rFonts w:hint="eastAsia" w:ascii="仿宋" w:hAnsi="仿宋" w:eastAsia="仿宋" w:cs="仿宋"/>
                <w:color w:val="auto"/>
                <w:sz w:val="24"/>
                <w:highlight w:val="none"/>
              </w:rPr>
            </w:pPr>
          </w:p>
        </w:tc>
        <w:tc>
          <w:tcPr>
            <w:tcW w:w="1731" w:type="dxa"/>
            <w:noWrap w:val="0"/>
            <w:vAlign w:val="center"/>
          </w:tcPr>
          <w:p w14:paraId="3BFF49D2">
            <w:pPr>
              <w:shd w:val="clear" w:color="auto" w:fill="auto"/>
              <w:adjustRightInd w:val="0"/>
              <w:snapToGrid w:val="0"/>
              <w:jc w:val="center"/>
              <w:rPr>
                <w:rFonts w:hint="eastAsia" w:ascii="仿宋" w:hAnsi="仿宋" w:eastAsia="仿宋" w:cs="仿宋"/>
                <w:color w:val="auto"/>
                <w:sz w:val="24"/>
                <w:highlight w:val="none"/>
              </w:rPr>
            </w:pPr>
          </w:p>
        </w:tc>
        <w:tc>
          <w:tcPr>
            <w:tcW w:w="2122" w:type="dxa"/>
            <w:noWrap w:val="0"/>
            <w:vAlign w:val="center"/>
          </w:tcPr>
          <w:p w14:paraId="4E4D982C">
            <w:pPr>
              <w:shd w:val="clear" w:color="auto" w:fill="auto"/>
              <w:adjustRightInd w:val="0"/>
              <w:snapToGrid w:val="0"/>
              <w:jc w:val="center"/>
              <w:rPr>
                <w:rFonts w:hint="eastAsia" w:ascii="仿宋" w:hAnsi="仿宋" w:eastAsia="仿宋" w:cs="仿宋"/>
                <w:color w:val="auto"/>
                <w:sz w:val="24"/>
                <w:highlight w:val="none"/>
              </w:rPr>
            </w:pPr>
          </w:p>
        </w:tc>
        <w:tc>
          <w:tcPr>
            <w:tcW w:w="961" w:type="dxa"/>
            <w:noWrap w:val="0"/>
            <w:vAlign w:val="center"/>
          </w:tcPr>
          <w:p w14:paraId="56C07FB1">
            <w:pPr>
              <w:shd w:val="clear" w:color="auto" w:fill="auto"/>
              <w:adjustRightInd w:val="0"/>
              <w:snapToGrid w:val="0"/>
              <w:jc w:val="center"/>
              <w:rPr>
                <w:rFonts w:hint="eastAsia" w:ascii="仿宋" w:hAnsi="仿宋" w:eastAsia="仿宋" w:cs="仿宋"/>
                <w:color w:val="auto"/>
                <w:sz w:val="24"/>
                <w:highlight w:val="none"/>
              </w:rPr>
            </w:pPr>
          </w:p>
        </w:tc>
      </w:tr>
      <w:tr w14:paraId="7D11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30F15CF8">
            <w:pPr>
              <w:shd w:val="clear" w:color="auto" w:fill="auto"/>
              <w:adjustRightInd w:val="0"/>
              <w:snapToGrid w:val="0"/>
              <w:jc w:val="center"/>
              <w:rPr>
                <w:rFonts w:hint="eastAsia" w:ascii="仿宋" w:hAnsi="仿宋" w:eastAsia="仿宋" w:cs="仿宋"/>
                <w:color w:val="auto"/>
                <w:sz w:val="24"/>
                <w:highlight w:val="none"/>
              </w:rPr>
            </w:pPr>
          </w:p>
        </w:tc>
        <w:tc>
          <w:tcPr>
            <w:tcW w:w="1529" w:type="dxa"/>
            <w:noWrap w:val="0"/>
            <w:vAlign w:val="center"/>
          </w:tcPr>
          <w:p w14:paraId="02478BD6">
            <w:pPr>
              <w:shd w:val="clear" w:color="auto" w:fill="auto"/>
              <w:adjustRightInd w:val="0"/>
              <w:snapToGrid w:val="0"/>
              <w:jc w:val="center"/>
              <w:rPr>
                <w:rFonts w:hint="eastAsia" w:ascii="仿宋" w:hAnsi="仿宋" w:eastAsia="仿宋" w:cs="仿宋"/>
                <w:color w:val="auto"/>
                <w:sz w:val="24"/>
                <w:highlight w:val="none"/>
              </w:rPr>
            </w:pPr>
          </w:p>
        </w:tc>
        <w:tc>
          <w:tcPr>
            <w:tcW w:w="1730" w:type="dxa"/>
            <w:noWrap w:val="0"/>
            <w:vAlign w:val="center"/>
          </w:tcPr>
          <w:p w14:paraId="6A08DAE1">
            <w:pPr>
              <w:shd w:val="clear" w:color="auto" w:fill="auto"/>
              <w:adjustRightInd w:val="0"/>
              <w:snapToGrid w:val="0"/>
              <w:jc w:val="center"/>
              <w:rPr>
                <w:rFonts w:hint="eastAsia" w:ascii="仿宋" w:hAnsi="仿宋" w:eastAsia="仿宋" w:cs="仿宋"/>
                <w:color w:val="auto"/>
                <w:sz w:val="24"/>
                <w:highlight w:val="none"/>
              </w:rPr>
            </w:pPr>
          </w:p>
        </w:tc>
        <w:tc>
          <w:tcPr>
            <w:tcW w:w="1731" w:type="dxa"/>
            <w:noWrap w:val="0"/>
            <w:vAlign w:val="center"/>
          </w:tcPr>
          <w:p w14:paraId="04244FB7">
            <w:pPr>
              <w:shd w:val="clear" w:color="auto" w:fill="auto"/>
              <w:adjustRightInd w:val="0"/>
              <w:snapToGrid w:val="0"/>
              <w:jc w:val="center"/>
              <w:rPr>
                <w:rFonts w:hint="eastAsia" w:ascii="仿宋" w:hAnsi="仿宋" w:eastAsia="仿宋" w:cs="仿宋"/>
                <w:color w:val="auto"/>
                <w:sz w:val="24"/>
                <w:highlight w:val="none"/>
              </w:rPr>
            </w:pPr>
          </w:p>
        </w:tc>
        <w:tc>
          <w:tcPr>
            <w:tcW w:w="2122" w:type="dxa"/>
            <w:noWrap w:val="0"/>
            <w:vAlign w:val="center"/>
          </w:tcPr>
          <w:p w14:paraId="18A9E3D8">
            <w:pPr>
              <w:shd w:val="clear" w:color="auto" w:fill="auto"/>
              <w:adjustRightInd w:val="0"/>
              <w:snapToGrid w:val="0"/>
              <w:jc w:val="center"/>
              <w:rPr>
                <w:rFonts w:hint="eastAsia" w:ascii="仿宋" w:hAnsi="仿宋" w:eastAsia="仿宋" w:cs="仿宋"/>
                <w:color w:val="auto"/>
                <w:sz w:val="24"/>
                <w:highlight w:val="none"/>
              </w:rPr>
            </w:pPr>
          </w:p>
        </w:tc>
        <w:tc>
          <w:tcPr>
            <w:tcW w:w="961" w:type="dxa"/>
            <w:noWrap w:val="0"/>
            <w:vAlign w:val="center"/>
          </w:tcPr>
          <w:p w14:paraId="00DA5642">
            <w:pPr>
              <w:shd w:val="clear" w:color="auto" w:fill="auto"/>
              <w:adjustRightInd w:val="0"/>
              <w:snapToGrid w:val="0"/>
              <w:jc w:val="center"/>
              <w:rPr>
                <w:rFonts w:hint="eastAsia" w:ascii="仿宋" w:hAnsi="仿宋" w:eastAsia="仿宋" w:cs="仿宋"/>
                <w:color w:val="auto"/>
                <w:sz w:val="24"/>
                <w:highlight w:val="none"/>
              </w:rPr>
            </w:pPr>
          </w:p>
        </w:tc>
      </w:tr>
    </w:tbl>
    <w:p w14:paraId="51FF7E60">
      <w:pPr>
        <w:shd w:val="clear" w:color="auto" w:fill="auto"/>
        <w:tabs>
          <w:tab w:val="left" w:pos="1800"/>
          <w:tab w:val="left" w:pos="5580"/>
        </w:tabs>
        <w:jc w:val="left"/>
        <w:rPr>
          <w:rFonts w:hint="eastAsia" w:ascii="仿宋" w:hAnsi="仿宋" w:eastAsia="仿宋" w:cs="仿宋"/>
          <w:color w:val="auto"/>
          <w:sz w:val="24"/>
          <w:highlight w:val="none"/>
        </w:rPr>
      </w:pPr>
    </w:p>
    <w:p w14:paraId="0BF6E490">
      <w:pPr>
        <w:shd w:val="clear" w:color="auto" w:fill="auto"/>
        <w:tabs>
          <w:tab w:val="left" w:pos="1800"/>
          <w:tab w:val="left" w:pos="5580"/>
        </w:tabs>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eastAsia="zh-CN"/>
        </w:rPr>
        <w:t>如有偏离，</w:t>
      </w:r>
      <w:r>
        <w:rPr>
          <w:rFonts w:hint="eastAsia" w:ascii="仿宋" w:hAnsi="仿宋" w:eastAsia="仿宋" w:cs="仿宋"/>
          <w:color w:val="auto"/>
          <w:sz w:val="24"/>
          <w:highlight w:val="none"/>
        </w:rPr>
        <w:t>“偏离情况”列应据实填写“正偏离”或“负偏离”。</w:t>
      </w:r>
    </w:p>
    <w:p w14:paraId="4310F1CD">
      <w:pPr>
        <w:shd w:val="clear" w:color="auto" w:fill="auto"/>
        <w:spacing w:line="360" w:lineRule="auto"/>
        <w:rPr>
          <w:rFonts w:hint="eastAsia" w:ascii="仿宋" w:hAnsi="仿宋" w:eastAsia="仿宋" w:cs="仿宋"/>
          <w:color w:val="auto"/>
          <w:sz w:val="24"/>
          <w:szCs w:val="20"/>
          <w:highlight w:val="none"/>
        </w:rPr>
      </w:pPr>
    </w:p>
    <w:p w14:paraId="1A16F3C6">
      <w:pPr>
        <w:shd w:val="clear" w:color="auto" w:fill="auto"/>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_______________</w:t>
      </w:r>
    </w:p>
    <w:p w14:paraId="54CC7D61">
      <w:pPr>
        <w:shd w:val="clear" w:color="auto" w:fill="auto"/>
        <w:autoSpaceDE w:val="0"/>
        <w:autoSpaceDN w:val="0"/>
        <w:adjustRightInd w:val="0"/>
        <w:snapToGrid w:val="0"/>
        <w:spacing w:before="25" w:after="25" w:line="360" w:lineRule="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szCs w:val="20"/>
          <w:highlight w:val="none"/>
        </w:rPr>
        <w:t>日期：____年____月____日</w:t>
      </w:r>
    </w:p>
    <w:p w14:paraId="375346F9">
      <w:pPr>
        <w:shd w:val="clear" w:color="auto" w:fill="auto"/>
        <w:tabs>
          <w:tab w:val="left" w:pos="360"/>
        </w:tabs>
        <w:snapToGrid w:val="0"/>
        <w:spacing w:line="360" w:lineRule="auto"/>
        <w:outlineLvl w:val="1"/>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br w:type="page"/>
      </w:r>
      <w:r>
        <w:rPr>
          <w:rFonts w:hint="eastAsia" w:ascii="仿宋" w:hAnsi="仿宋" w:eastAsia="仿宋" w:cs="仿宋"/>
          <w:color w:val="auto"/>
          <w:sz w:val="24"/>
          <w:highlight w:val="none"/>
        </w:rPr>
        <w:t>10</w:t>
      </w:r>
      <w:bookmarkEnd w:id="731"/>
      <w:bookmarkEnd w:id="732"/>
      <w:bookmarkEnd w:id="733"/>
      <w:bookmarkEnd w:id="734"/>
      <w:bookmarkEnd w:id="735"/>
      <w:bookmarkEnd w:id="736"/>
      <w:bookmarkEnd w:id="737"/>
      <w:bookmarkEnd w:id="738"/>
      <w:bookmarkEnd w:id="739"/>
      <w:bookmarkEnd w:id="740"/>
      <w:bookmarkEnd w:id="741"/>
      <w:bookmarkEnd w:id="742"/>
      <w:bookmarkEnd w:id="743"/>
      <w:r>
        <w:rPr>
          <w:rFonts w:hint="eastAsia" w:ascii="仿宋" w:hAnsi="仿宋" w:eastAsia="仿宋" w:cs="仿宋"/>
          <w:color w:val="auto"/>
          <w:sz w:val="24"/>
          <w:highlight w:val="none"/>
        </w:rPr>
        <w:t>采购需求偏离表（实质性格式）</w:t>
      </w:r>
    </w:p>
    <w:p w14:paraId="38021D9A">
      <w:pPr>
        <w:shd w:val="clear" w:color="auto" w:fill="auto"/>
        <w:autoSpaceDE w:val="0"/>
        <w:autoSpaceDN w:val="0"/>
        <w:adjustRightInd w:val="0"/>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采购需求偏离表</w:t>
      </w:r>
    </w:p>
    <w:p w14:paraId="47BB032A">
      <w:pPr>
        <w:shd w:val="clear" w:color="auto" w:fill="auto"/>
        <w:tabs>
          <w:tab w:val="left" w:pos="1800"/>
          <w:tab w:val="left" w:pos="55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招标</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编号：__________项目名称：________________</w:t>
      </w:r>
    </w:p>
    <w:tbl>
      <w:tblPr>
        <w:tblStyle w:val="43"/>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917"/>
        <w:gridCol w:w="2384"/>
        <w:gridCol w:w="1411"/>
        <w:gridCol w:w="1557"/>
        <w:gridCol w:w="1009"/>
      </w:tblGrid>
      <w:tr w14:paraId="1AE5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52924813">
            <w:pPr>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917" w:type="dxa"/>
            <w:noWrap w:val="0"/>
            <w:vAlign w:val="center"/>
          </w:tcPr>
          <w:p w14:paraId="15194DD6">
            <w:pPr>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竞争性磋商文件条目号(页码)</w:t>
            </w:r>
          </w:p>
        </w:tc>
        <w:tc>
          <w:tcPr>
            <w:tcW w:w="2384" w:type="dxa"/>
            <w:noWrap w:val="0"/>
            <w:vAlign w:val="center"/>
          </w:tcPr>
          <w:p w14:paraId="29A07310">
            <w:pPr>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竞争性磋商文件要求</w:t>
            </w:r>
          </w:p>
        </w:tc>
        <w:tc>
          <w:tcPr>
            <w:tcW w:w="1411" w:type="dxa"/>
            <w:noWrap w:val="0"/>
            <w:vAlign w:val="center"/>
          </w:tcPr>
          <w:p w14:paraId="19043693">
            <w:pPr>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响应内容</w:t>
            </w:r>
          </w:p>
        </w:tc>
        <w:tc>
          <w:tcPr>
            <w:tcW w:w="1557" w:type="dxa"/>
            <w:noWrap w:val="0"/>
            <w:vAlign w:val="center"/>
          </w:tcPr>
          <w:p w14:paraId="1AE9963D">
            <w:pPr>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偏离情况</w:t>
            </w:r>
          </w:p>
        </w:tc>
        <w:tc>
          <w:tcPr>
            <w:tcW w:w="1009" w:type="dxa"/>
            <w:noWrap w:val="0"/>
            <w:vAlign w:val="center"/>
          </w:tcPr>
          <w:p w14:paraId="24162CA1">
            <w:pPr>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1BE8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8936EF8">
            <w:pPr>
              <w:shd w:val="clear" w:color="auto" w:fill="auto"/>
              <w:adjustRightInd w:val="0"/>
              <w:snapToGrid w:val="0"/>
              <w:jc w:val="center"/>
              <w:rPr>
                <w:rFonts w:hint="eastAsia" w:ascii="仿宋" w:hAnsi="仿宋" w:eastAsia="仿宋" w:cs="仿宋"/>
                <w:color w:val="auto"/>
                <w:sz w:val="24"/>
                <w:highlight w:val="none"/>
              </w:rPr>
            </w:pPr>
          </w:p>
        </w:tc>
        <w:tc>
          <w:tcPr>
            <w:tcW w:w="1917" w:type="dxa"/>
            <w:noWrap w:val="0"/>
            <w:vAlign w:val="center"/>
          </w:tcPr>
          <w:p w14:paraId="53EF7850">
            <w:pPr>
              <w:shd w:val="clear" w:color="auto" w:fill="auto"/>
              <w:adjustRightInd w:val="0"/>
              <w:snapToGrid w:val="0"/>
              <w:jc w:val="center"/>
              <w:rPr>
                <w:rFonts w:hint="eastAsia" w:ascii="仿宋" w:hAnsi="仿宋" w:eastAsia="仿宋" w:cs="仿宋"/>
                <w:color w:val="auto"/>
                <w:sz w:val="24"/>
                <w:highlight w:val="none"/>
              </w:rPr>
            </w:pPr>
          </w:p>
        </w:tc>
        <w:tc>
          <w:tcPr>
            <w:tcW w:w="2384" w:type="dxa"/>
            <w:noWrap w:val="0"/>
            <w:vAlign w:val="center"/>
          </w:tcPr>
          <w:p w14:paraId="0D8EE0C5">
            <w:pPr>
              <w:shd w:val="clear" w:color="auto" w:fill="auto"/>
              <w:adjustRightInd w:val="0"/>
              <w:snapToGrid w:val="0"/>
              <w:jc w:val="center"/>
              <w:rPr>
                <w:rFonts w:hint="eastAsia" w:ascii="仿宋" w:hAnsi="仿宋" w:eastAsia="仿宋" w:cs="仿宋"/>
                <w:color w:val="auto"/>
                <w:sz w:val="24"/>
                <w:highlight w:val="none"/>
              </w:rPr>
            </w:pPr>
          </w:p>
        </w:tc>
        <w:tc>
          <w:tcPr>
            <w:tcW w:w="1411" w:type="dxa"/>
            <w:noWrap w:val="0"/>
            <w:vAlign w:val="center"/>
          </w:tcPr>
          <w:p w14:paraId="5991AB68">
            <w:pPr>
              <w:shd w:val="clear" w:color="auto" w:fill="auto"/>
              <w:adjustRightInd w:val="0"/>
              <w:snapToGrid w:val="0"/>
              <w:jc w:val="center"/>
              <w:rPr>
                <w:rFonts w:hint="eastAsia" w:ascii="仿宋" w:hAnsi="仿宋" w:eastAsia="仿宋" w:cs="仿宋"/>
                <w:color w:val="auto"/>
                <w:sz w:val="24"/>
                <w:highlight w:val="none"/>
              </w:rPr>
            </w:pPr>
          </w:p>
        </w:tc>
        <w:tc>
          <w:tcPr>
            <w:tcW w:w="1557" w:type="dxa"/>
            <w:noWrap w:val="0"/>
            <w:vAlign w:val="center"/>
          </w:tcPr>
          <w:p w14:paraId="6B6B5265">
            <w:pPr>
              <w:shd w:val="clear" w:color="auto" w:fill="auto"/>
              <w:adjustRightInd w:val="0"/>
              <w:snapToGrid w:val="0"/>
              <w:jc w:val="center"/>
              <w:rPr>
                <w:rFonts w:hint="eastAsia" w:ascii="仿宋" w:hAnsi="仿宋" w:eastAsia="仿宋" w:cs="仿宋"/>
                <w:color w:val="auto"/>
                <w:sz w:val="24"/>
                <w:highlight w:val="none"/>
              </w:rPr>
            </w:pPr>
          </w:p>
        </w:tc>
        <w:tc>
          <w:tcPr>
            <w:tcW w:w="1009" w:type="dxa"/>
            <w:noWrap w:val="0"/>
            <w:vAlign w:val="center"/>
          </w:tcPr>
          <w:p w14:paraId="4095D8E1">
            <w:pPr>
              <w:shd w:val="clear" w:color="auto" w:fill="auto"/>
              <w:adjustRightInd w:val="0"/>
              <w:snapToGrid w:val="0"/>
              <w:jc w:val="center"/>
              <w:rPr>
                <w:rFonts w:hint="eastAsia" w:ascii="仿宋" w:hAnsi="仿宋" w:eastAsia="仿宋" w:cs="仿宋"/>
                <w:color w:val="auto"/>
                <w:sz w:val="24"/>
                <w:highlight w:val="none"/>
              </w:rPr>
            </w:pPr>
          </w:p>
        </w:tc>
      </w:tr>
      <w:tr w14:paraId="1082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F18A644">
            <w:pPr>
              <w:shd w:val="clear" w:color="auto" w:fill="auto"/>
              <w:adjustRightInd w:val="0"/>
              <w:snapToGrid w:val="0"/>
              <w:jc w:val="center"/>
              <w:rPr>
                <w:rFonts w:hint="eastAsia" w:ascii="仿宋" w:hAnsi="仿宋" w:eastAsia="仿宋" w:cs="仿宋"/>
                <w:color w:val="auto"/>
                <w:sz w:val="24"/>
                <w:highlight w:val="none"/>
              </w:rPr>
            </w:pPr>
          </w:p>
        </w:tc>
        <w:tc>
          <w:tcPr>
            <w:tcW w:w="1917" w:type="dxa"/>
            <w:noWrap w:val="0"/>
            <w:vAlign w:val="center"/>
          </w:tcPr>
          <w:p w14:paraId="35472182">
            <w:pPr>
              <w:shd w:val="clear" w:color="auto" w:fill="auto"/>
              <w:adjustRightInd w:val="0"/>
              <w:snapToGrid w:val="0"/>
              <w:jc w:val="center"/>
              <w:rPr>
                <w:rFonts w:hint="eastAsia" w:ascii="仿宋" w:hAnsi="仿宋" w:eastAsia="仿宋" w:cs="仿宋"/>
                <w:color w:val="auto"/>
                <w:sz w:val="24"/>
                <w:highlight w:val="none"/>
              </w:rPr>
            </w:pPr>
          </w:p>
        </w:tc>
        <w:tc>
          <w:tcPr>
            <w:tcW w:w="2384" w:type="dxa"/>
            <w:noWrap w:val="0"/>
            <w:vAlign w:val="center"/>
          </w:tcPr>
          <w:p w14:paraId="3A7F0956">
            <w:pPr>
              <w:shd w:val="clear" w:color="auto" w:fill="auto"/>
              <w:adjustRightInd w:val="0"/>
              <w:snapToGrid w:val="0"/>
              <w:jc w:val="center"/>
              <w:rPr>
                <w:rFonts w:hint="eastAsia" w:ascii="仿宋" w:hAnsi="仿宋" w:eastAsia="仿宋" w:cs="仿宋"/>
                <w:color w:val="auto"/>
                <w:sz w:val="24"/>
                <w:highlight w:val="none"/>
              </w:rPr>
            </w:pPr>
          </w:p>
        </w:tc>
        <w:tc>
          <w:tcPr>
            <w:tcW w:w="1411" w:type="dxa"/>
            <w:noWrap w:val="0"/>
            <w:vAlign w:val="center"/>
          </w:tcPr>
          <w:p w14:paraId="059A9EEA">
            <w:pPr>
              <w:shd w:val="clear" w:color="auto" w:fill="auto"/>
              <w:adjustRightInd w:val="0"/>
              <w:snapToGrid w:val="0"/>
              <w:jc w:val="center"/>
              <w:rPr>
                <w:rFonts w:hint="eastAsia" w:ascii="仿宋" w:hAnsi="仿宋" w:eastAsia="仿宋" w:cs="仿宋"/>
                <w:color w:val="auto"/>
                <w:sz w:val="24"/>
                <w:highlight w:val="none"/>
              </w:rPr>
            </w:pPr>
          </w:p>
        </w:tc>
        <w:tc>
          <w:tcPr>
            <w:tcW w:w="1557" w:type="dxa"/>
            <w:noWrap w:val="0"/>
            <w:vAlign w:val="center"/>
          </w:tcPr>
          <w:p w14:paraId="38419D12">
            <w:pPr>
              <w:shd w:val="clear" w:color="auto" w:fill="auto"/>
              <w:adjustRightInd w:val="0"/>
              <w:snapToGrid w:val="0"/>
              <w:jc w:val="center"/>
              <w:rPr>
                <w:rFonts w:hint="eastAsia" w:ascii="仿宋" w:hAnsi="仿宋" w:eastAsia="仿宋" w:cs="仿宋"/>
                <w:color w:val="auto"/>
                <w:sz w:val="24"/>
                <w:highlight w:val="none"/>
              </w:rPr>
            </w:pPr>
          </w:p>
        </w:tc>
        <w:tc>
          <w:tcPr>
            <w:tcW w:w="1009" w:type="dxa"/>
            <w:noWrap w:val="0"/>
            <w:vAlign w:val="center"/>
          </w:tcPr>
          <w:p w14:paraId="7A4E424B">
            <w:pPr>
              <w:shd w:val="clear" w:color="auto" w:fill="auto"/>
              <w:adjustRightInd w:val="0"/>
              <w:snapToGrid w:val="0"/>
              <w:jc w:val="center"/>
              <w:rPr>
                <w:rFonts w:hint="eastAsia" w:ascii="仿宋" w:hAnsi="仿宋" w:eastAsia="仿宋" w:cs="仿宋"/>
                <w:color w:val="auto"/>
                <w:sz w:val="24"/>
                <w:highlight w:val="none"/>
              </w:rPr>
            </w:pPr>
          </w:p>
        </w:tc>
      </w:tr>
      <w:tr w14:paraId="34F6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7C97F20">
            <w:pPr>
              <w:shd w:val="clear" w:color="auto" w:fill="auto"/>
              <w:adjustRightInd w:val="0"/>
              <w:snapToGrid w:val="0"/>
              <w:jc w:val="center"/>
              <w:rPr>
                <w:rFonts w:hint="eastAsia" w:ascii="仿宋" w:hAnsi="仿宋" w:eastAsia="仿宋" w:cs="仿宋"/>
                <w:color w:val="auto"/>
                <w:sz w:val="24"/>
                <w:highlight w:val="none"/>
              </w:rPr>
            </w:pPr>
          </w:p>
        </w:tc>
        <w:tc>
          <w:tcPr>
            <w:tcW w:w="1917" w:type="dxa"/>
            <w:noWrap w:val="0"/>
            <w:vAlign w:val="center"/>
          </w:tcPr>
          <w:p w14:paraId="287D8435">
            <w:pPr>
              <w:shd w:val="clear" w:color="auto" w:fill="auto"/>
              <w:adjustRightInd w:val="0"/>
              <w:snapToGrid w:val="0"/>
              <w:jc w:val="center"/>
              <w:rPr>
                <w:rFonts w:hint="eastAsia" w:ascii="仿宋" w:hAnsi="仿宋" w:eastAsia="仿宋" w:cs="仿宋"/>
                <w:color w:val="auto"/>
                <w:sz w:val="24"/>
                <w:highlight w:val="none"/>
              </w:rPr>
            </w:pPr>
          </w:p>
        </w:tc>
        <w:tc>
          <w:tcPr>
            <w:tcW w:w="2384" w:type="dxa"/>
            <w:noWrap w:val="0"/>
            <w:vAlign w:val="center"/>
          </w:tcPr>
          <w:p w14:paraId="5F97366C">
            <w:pPr>
              <w:shd w:val="clear" w:color="auto" w:fill="auto"/>
              <w:adjustRightInd w:val="0"/>
              <w:snapToGrid w:val="0"/>
              <w:jc w:val="center"/>
              <w:rPr>
                <w:rFonts w:hint="eastAsia" w:ascii="仿宋" w:hAnsi="仿宋" w:eastAsia="仿宋" w:cs="仿宋"/>
                <w:color w:val="auto"/>
                <w:sz w:val="24"/>
                <w:highlight w:val="none"/>
              </w:rPr>
            </w:pPr>
          </w:p>
        </w:tc>
        <w:tc>
          <w:tcPr>
            <w:tcW w:w="1411" w:type="dxa"/>
            <w:noWrap w:val="0"/>
            <w:vAlign w:val="center"/>
          </w:tcPr>
          <w:p w14:paraId="4FA5EC84">
            <w:pPr>
              <w:shd w:val="clear" w:color="auto" w:fill="auto"/>
              <w:adjustRightInd w:val="0"/>
              <w:snapToGrid w:val="0"/>
              <w:jc w:val="center"/>
              <w:rPr>
                <w:rFonts w:hint="eastAsia" w:ascii="仿宋" w:hAnsi="仿宋" w:eastAsia="仿宋" w:cs="仿宋"/>
                <w:color w:val="auto"/>
                <w:sz w:val="24"/>
                <w:highlight w:val="none"/>
              </w:rPr>
            </w:pPr>
          </w:p>
        </w:tc>
        <w:tc>
          <w:tcPr>
            <w:tcW w:w="1557" w:type="dxa"/>
            <w:noWrap w:val="0"/>
            <w:vAlign w:val="center"/>
          </w:tcPr>
          <w:p w14:paraId="09A71DE1">
            <w:pPr>
              <w:shd w:val="clear" w:color="auto" w:fill="auto"/>
              <w:adjustRightInd w:val="0"/>
              <w:snapToGrid w:val="0"/>
              <w:jc w:val="center"/>
              <w:rPr>
                <w:rFonts w:hint="eastAsia" w:ascii="仿宋" w:hAnsi="仿宋" w:eastAsia="仿宋" w:cs="仿宋"/>
                <w:color w:val="auto"/>
                <w:sz w:val="24"/>
                <w:highlight w:val="none"/>
              </w:rPr>
            </w:pPr>
          </w:p>
        </w:tc>
        <w:tc>
          <w:tcPr>
            <w:tcW w:w="1009" w:type="dxa"/>
            <w:noWrap w:val="0"/>
            <w:vAlign w:val="center"/>
          </w:tcPr>
          <w:p w14:paraId="5DC4D9AC">
            <w:pPr>
              <w:shd w:val="clear" w:color="auto" w:fill="auto"/>
              <w:adjustRightInd w:val="0"/>
              <w:snapToGrid w:val="0"/>
              <w:jc w:val="center"/>
              <w:rPr>
                <w:rFonts w:hint="eastAsia" w:ascii="仿宋" w:hAnsi="仿宋" w:eastAsia="仿宋" w:cs="仿宋"/>
                <w:color w:val="auto"/>
                <w:sz w:val="24"/>
                <w:highlight w:val="none"/>
              </w:rPr>
            </w:pPr>
          </w:p>
        </w:tc>
      </w:tr>
      <w:tr w14:paraId="3781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238E154">
            <w:pPr>
              <w:shd w:val="clear" w:color="auto" w:fill="auto"/>
              <w:adjustRightInd w:val="0"/>
              <w:snapToGrid w:val="0"/>
              <w:jc w:val="center"/>
              <w:rPr>
                <w:rFonts w:hint="eastAsia" w:ascii="仿宋" w:hAnsi="仿宋" w:eastAsia="仿宋" w:cs="仿宋"/>
                <w:color w:val="auto"/>
                <w:sz w:val="24"/>
                <w:highlight w:val="none"/>
              </w:rPr>
            </w:pPr>
          </w:p>
        </w:tc>
        <w:tc>
          <w:tcPr>
            <w:tcW w:w="1917" w:type="dxa"/>
            <w:noWrap w:val="0"/>
            <w:vAlign w:val="center"/>
          </w:tcPr>
          <w:p w14:paraId="32244B45">
            <w:pPr>
              <w:shd w:val="clear" w:color="auto" w:fill="auto"/>
              <w:adjustRightInd w:val="0"/>
              <w:snapToGrid w:val="0"/>
              <w:jc w:val="center"/>
              <w:rPr>
                <w:rFonts w:hint="eastAsia" w:ascii="仿宋" w:hAnsi="仿宋" w:eastAsia="仿宋" w:cs="仿宋"/>
                <w:color w:val="auto"/>
                <w:sz w:val="24"/>
                <w:highlight w:val="none"/>
              </w:rPr>
            </w:pPr>
          </w:p>
        </w:tc>
        <w:tc>
          <w:tcPr>
            <w:tcW w:w="2384" w:type="dxa"/>
            <w:noWrap w:val="0"/>
            <w:vAlign w:val="center"/>
          </w:tcPr>
          <w:p w14:paraId="68105464">
            <w:pPr>
              <w:shd w:val="clear" w:color="auto" w:fill="auto"/>
              <w:adjustRightInd w:val="0"/>
              <w:snapToGrid w:val="0"/>
              <w:jc w:val="center"/>
              <w:rPr>
                <w:rFonts w:hint="eastAsia" w:ascii="仿宋" w:hAnsi="仿宋" w:eastAsia="仿宋" w:cs="仿宋"/>
                <w:color w:val="auto"/>
                <w:sz w:val="24"/>
                <w:highlight w:val="none"/>
              </w:rPr>
            </w:pPr>
          </w:p>
        </w:tc>
        <w:tc>
          <w:tcPr>
            <w:tcW w:w="1411" w:type="dxa"/>
            <w:noWrap w:val="0"/>
            <w:vAlign w:val="center"/>
          </w:tcPr>
          <w:p w14:paraId="49A0FB10">
            <w:pPr>
              <w:shd w:val="clear" w:color="auto" w:fill="auto"/>
              <w:adjustRightInd w:val="0"/>
              <w:snapToGrid w:val="0"/>
              <w:jc w:val="center"/>
              <w:rPr>
                <w:rFonts w:hint="eastAsia" w:ascii="仿宋" w:hAnsi="仿宋" w:eastAsia="仿宋" w:cs="仿宋"/>
                <w:color w:val="auto"/>
                <w:sz w:val="24"/>
                <w:highlight w:val="none"/>
              </w:rPr>
            </w:pPr>
          </w:p>
        </w:tc>
        <w:tc>
          <w:tcPr>
            <w:tcW w:w="1557" w:type="dxa"/>
            <w:noWrap w:val="0"/>
            <w:vAlign w:val="center"/>
          </w:tcPr>
          <w:p w14:paraId="53EE77DD">
            <w:pPr>
              <w:shd w:val="clear" w:color="auto" w:fill="auto"/>
              <w:adjustRightInd w:val="0"/>
              <w:snapToGrid w:val="0"/>
              <w:jc w:val="center"/>
              <w:rPr>
                <w:rFonts w:hint="eastAsia" w:ascii="仿宋" w:hAnsi="仿宋" w:eastAsia="仿宋" w:cs="仿宋"/>
                <w:color w:val="auto"/>
                <w:sz w:val="24"/>
                <w:highlight w:val="none"/>
              </w:rPr>
            </w:pPr>
          </w:p>
        </w:tc>
        <w:tc>
          <w:tcPr>
            <w:tcW w:w="1009" w:type="dxa"/>
            <w:noWrap w:val="0"/>
            <w:vAlign w:val="center"/>
          </w:tcPr>
          <w:p w14:paraId="4742AF13">
            <w:pPr>
              <w:shd w:val="clear" w:color="auto" w:fill="auto"/>
              <w:adjustRightInd w:val="0"/>
              <w:snapToGrid w:val="0"/>
              <w:jc w:val="center"/>
              <w:rPr>
                <w:rFonts w:hint="eastAsia" w:ascii="仿宋" w:hAnsi="仿宋" w:eastAsia="仿宋" w:cs="仿宋"/>
                <w:color w:val="auto"/>
                <w:sz w:val="24"/>
                <w:highlight w:val="none"/>
              </w:rPr>
            </w:pPr>
          </w:p>
        </w:tc>
      </w:tr>
      <w:tr w14:paraId="7736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9BB9F80">
            <w:pPr>
              <w:shd w:val="clear" w:color="auto" w:fill="auto"/>
              <w:adjustRightInd w:val="0"/>
              <w:snapToGrid w:val="0"/>
              <w:jc w:val="center"/>
              <w:rPr>
                <w:rFonts w:hint="eastAsia" w:ascii="仿宋" w:hAnsi="仿宋" w:eastAsia="仿宋" w:cs="仿宋"/>
                <w:color w:val="auto"/>
                <w:sz w:val="24"/>
                <w:highlight w:val="none"/>
              </w:rPr>
            </w:pPr>
          </w:p>
        </w:tc>
        <w:tc>
          <w:tcPr>
            <w:tcW w:w="1917" w:type="dxa"/>
            <w:noWrap w:val="0"/>
            <w:vAlign w:val="center"/>
          </w:tcPr>
          <w:p w14:paraId="6100282B">
            <w:pPr>
              <w:shd w:val="clear" w:color="auto" w:fill="auto"/>
              <w:adjustRightInd w:val="0"/>
              <w:snapToGrid w:val="0"/>
              <w:jc w:val="center"/>
              <w:rPr>
                <w:rFonts w:hint="eastAsia" w:ascii="仿宋" w:hAnsi="仿宋" w:eastAsia="仿宋" w:cs="仿宋"/>
                <w:color w:val="auto"/>
                <w:sz w:val="24"/>
                <w:highlight w:val="none"/>
              </w:rPr>
            </w:pPr>
          </w:p>
        </w:tc>
        <w:tc>
          <w:tcPr>
            <w:tcW w:w="2384" w:type="dxa"/>
            <w:noWrap w:val="0"/>
            <w:vAlign w:val="center"/>
          </w:tcPr>
          <w:p w14:paraId="66E91948">
            <w:pPr>
              <w:shd w:val="clear" w:color="auto" w:fill="auto"/>
              <w:adjustRightInd w:val="0"/>
              <w:snapToGrid w:val="0"/>
              <w:jc w:val="center"/>
              <w:rPr>
                <w:rFonts w:hint="eastAsia" w:ascii="仿宋" w:hAnsi="仿宋" w:eastAsia="仿宋" w:cs="仿宋"/>
                <w:color w:val="auto"/>
                <w:sz w:val="24"/>
                <w:highlight w:val="none"/>
              </w:rPr>
            </w:pPr>
          </w:p>
        </w:tc>
        <w:tc>
          <w:tcPr>
            <w:tcW w:w="1411" w:type="dxa"/>
            <w:noWrap w:val="0"/>
            <w:vAlign w:val="center"/>
          </w:tcPr>
          <w:p w14:paraId="5962576C">
            <w:pPr>
              <w:shd w:val="clear" w:color="auto" w:fill="auto"/>
              <w:adjustRightInd w:val="0"/>
              <w:snapToGrid w:val="0"/>
              <w:jc w:val="center"/>
              <w:rPr>
                <w:rFonts w:hint="eastAsia" w:ascii="仿宋" w:hAnsi="仿宋" w:eastAsia="仿宋" w:cs="仿宋"/>
                <w:color w:val="auto"/>
                <w:sz w:val="24"/>
                <w:highlight w:val="none"/>
              </w:rPr>
            </w:pPr>
          </w:p>
        </w:tc>
        <w:tc>
          <w:tcPr>
            <w:tcW w:w="1557" w:type="dxa"/>
            <w:noWrap w:val="0"/>
            <w:vAlign w:val="center"/>
          </w:tcPr>
          <w:p w14:paraId="1B81E3FA">
            <w:pPr>
              <w:shd w:val="clear" w:color="auto" w:fill="auto"/>
              <w:adjustRightInd w:val="0"/>
              <w:snapToGrid w:val="0"/>
              <w:jc w:val="center"/>
              <w:rPr>
                <w:rFonts w:hint="eastAsia" w:ascii="仿宋" w:hAnsi="仿宋" w:eastAsia="仿宋" w:cs="仿宋"/>
                <w:color w:val="auto"/>
                <w:sz w:val="24"/>
                <w:highlight w:val="none"/>
              </w:rPr>
            </w:pPr>
          </w:p>
        </w:tc>
        <w:tc>
          <w:tcPr>
            <w:tcW w:w="1009" w:type="dxa"/>
            <w:noWrap w:val="0"/>
            <w:vAlign w:val="center"/>
          </w:tcPr>
          <w:p w14:paraId="1466EBC3">
            <w:pPr>
              <w:shd w:val="clear" w:color="auto" w:fill="auto"/>
              <w:adjustRightInd w:val="0"/>
              <w:snapToGrid w:val="0"/>
              <w:jc w:val="center"/>
              <w:rPr>
                <w:rFonts w:hint="eastAsia" w:ascii="仿宋" w:hAnsi="仿宋" w:eastAsia="仿宋" w:cs="仿宋"/>
                <w:color w:val="auto"/>
                <w:sz w:val="24"/>
                <w:highlight w:val="none"/>
              </w:rPr>
            </w:pPr>
          </w:p>
        </w:tc>
      </w:tr>
      <w:tr w14:paraId="5593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CB5AA98">
            <w:pPr>
              <w:shd w:val="clear" w:color="auto" w:fill="auto"/>
              <w:adjustRightInd w:val="0"/>
              <w:snapToGrid w:val="0"/>
              <w:jc w:val="center"/>
              <w:rPr>
                <w:rFonts w:hint="eastAsia" w:ascii="仿宋" w:hAnsi="仿宋" w:eastAsia="仿宋" w:cs="仿宋"/>
                <w:color w:val="auto"/>
                <w:sz w:val="24"/>
                <w:highlight w:val="none"/>
              </w:rPr>
            </w:pPr>
          </w:p>
        </w:tc>
        <w:tc>
          <w:tcPr>
            <w:tcW w:w="1917" w:type="dxa"/>
            <w:noWrap w:val="0"/>
            <w:vAlign w:val="center"/>
          </w:tcPr>
          <w:p w14:paraId="3E0365AA">
            <w:pPr>
              <w:shd w:val="clear" w:color="auto" w:fill="auto"/>
              <w:adjustRightInd w:val="0"/>
              <w:snapToGrid w:val="0"/>
              <w:jc w:val="center"/>
              <w:rPr>
                <w:rFonts w:hint="eastAsia" w:ascii="仿宋" w:hAnsi="仿宋" w:eastAsia="仿宋" w:cs="仿宋"/>
                <w:color w:val="auto"/>
                <w:sz w:val="24"/>
                <w:highlight w:val="none"/>
              </w:rPr>
            </w:pPr>
          </w:p>
        </w:tc>
        <w:tc>
          <w:tcPr>
            <w:tcW w:w="2384" w:type="dxa"/>
            <w:noWrap w:val="0"/>
            <w:vAlign w:val="center"/>
          </w:tcPr>
          <w:p w14:paraId="4AE21A7A">
            <w:pPr>
              <w:shd w:val="clear" w:color="auto" w:fill="auto"/>
              <w:adjustRightInd w:val="0"/>
              <w:snapToGrid w:val="0"/>
              <w:jc w:val="center"/>
              <w:rPr>
                <w:rFonts w:hint="eastAsia" w:ascii="仿宋" w:hAnsi="仿宋" w:eastAsia="仿宋" w:cs="仿宋"/>
                <w:color w:val="auto"/>
                <w:sz w:val="24"/>
                <w:highlight w:val="none"/>
              </w:rPr>
            </w:pPr>
          </w:p>
        </w:tc>
        <w:tc>
          <w:tcPr>
            <w:tcW w:w="1411" w:type="dxa"/>
            <w:noWrap w:val="0"/>
            <w:vAlign w:val="center"/>
          </w:tcPr>
          <w:p w14:paraId="559B551D">
            <w:pPr>
              <w:shd w:val="clear" w:color="auto" w:fill="auto"/>
              <w:adjustRightInd w:val="0"/>
              <w:snapToGrid w:val="0"/>
              <w:jc w:val="center"/>
              <w:rPr>
                <w:rFonts w:hint="eastAsia" w:ascii="仿宋" w:hAnsi="仿宋" w:eastAsia="仿宋" w:cs="仿宋"/>
                <w:color w:val="auto"/>
                <w:sz w:val="24"/>
                <w:highlight w:val="none"/>
              </w:rPr>
            </w:pPr>
          </w:p>
        </w:tc>
        <w:tc>
          <w:tcPr>
            <w:tcW w:w="1557" w:type="dxa"/>
            <w:noWrap w:val="0"/>
            <w:vAlign w:val="center"/>
          </w:tcPr>
          <w:p w14:paraId="6DF055C5">
            <w:pPr>
              <w:shd w:val="clear" w:color="auto" w:fill="auto"/>
              <w:adjustRightInd w:val="0"/>
              <w:snapToGrid w:val="0"/>
              <w:jc w:val="center"/>
              <w:rPr>
                <w:rFonts w:hint="eastAsia" w:ascii="仿宋" w:hAnsi="仿宋" w:eastAsia="仿宋" w:cs="仿宋"/>
                <w:color w:val="auto"/>
                <w:sz w:val="24"/>
                <w:highlight w:val="none"/>
              </w:rPr>
            </w:pPr>
          </w:p>
        </w:tc>
        <w:tc>
          <w:tcPr>
            <w:tcW w:w="1009" w:type="dxa"/>
            <w:noWrap w:val="0"/>
            <w:vAlign w:val="center"/>
          </w:tcPr>
          <w:p w14:paraId="1512DBEA">
            <w:pPr>
              <w:shd w:val="clear" w:color="auto" w:fill="auto"/>
              <w:adjustRightInd w:val="0"/>
              <w:snapToGrid w:val="0"/>
              <w:jc w:val="center"/>
              <w:rPr>
                <w:rFonts w:hint="eastAsia" w:ascii="仿宋" w:hAnsi="仿宋" w:eastAsia="仿宋" w:cs="仿宋"/>
                <w:color w:val="auto"/>
                <w:sz w:val="24"/>
                <w:highlight w:val="none"/>
              </w:rPr>
            </w:pPr>
          </w:p>
        </w:tc>
      </w:tr>
    </w:tbl>
    <w:p w14:paraId="43C870B3">
      <w:pPr>
        <w:shd w:val="clear" w:color="auto" w:fill="auto"/>
        <w:tabs>
          <w:tab w:val="left" w:pos="1800"/>
          <w:tab w:val="left" w:pos="5580"/>
        </w:tabs>
        <w:spacing w:line="360" w:lineRule="auto"/>
        <w:ind w:firstLine="360" w:firstLineChars="150"/>
        <w:jc w:val="left"/>
        <w:rPr>
          <w:rFonts w:hint="eastAsia" w:ascii="仿宋" w:hAnsi="仿宋" w:eastAsia="仿宋" w:cs="仿宋"/>
          <w:color w:val="auto"/>
          <w:sz w:val="24"/>
          <w:highlight w:val="none"/>
          <w:u w:val="single"/>
        </w:rPr>
      </w:pPr>
    </w:p>
    <w:p w14:paraId="6BBB0F7F">
      <w:pPr>
        <w:shd w:val="clear" w:color="auto" w:fill="auto"/>
        <w:tabs>
          <w:tab w:val="left" w:pos="1800"/>
          <w:tab w:val="left" w:pos="5580"/>
        </w:tabs>
        <w:spacing w:line="360" w:lineRule="auto"/>
        <w:ind w:firstLine="360" w:firstLineChars="150"/>
        <w:jc w:val="left"/>
        <w:rPr>
          <w:rFonts w:hint="eastAsia" w:ascii="仿宋" w:hAnsi="仿宋" w:eastAsia="仿宋" w:cs="仿宋"/>
          <w:color w:val="auto"/>
          <w:sz w:val="24"/>
          <w:highlight w:val="none"/>
          <w:u w:val="single"/>
        </w:rPr>
      </w:pPr>
    </w:p>
    <w:p w14:paraId="6ABA3D17">
      <w:pPr>
        <w:shd w:val="clear" w:color="auto" w:fill="auto"/>
        <w:tabs>
          <w:tab w:val="left" w:pos="1800"/>
          <w:tab w:val="left" w:pos="5580"/>
        </w:tabs>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509AB40C">
      <w:pPr>
        <w:shd w:val="clear" w:color="auto" w:fill="auto"/>
        <w:tabs>
          <w:tab w:val="left" w:pos="1800"/>
          <w:tab w:val="left" w:pos="5580"/>
        </w:tabs>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1.对竞争性磋商文件中的所有商务、技术要求，除本表所列明的所有偏离外，均视作供应商已对之理解和响应。此表中若无任何文字说明，内容为空白的，</w:t>
      </w:r>
      <w:r>
        <w:rPr>
          <w:rFonts w:hint="eastAsia" w:ascii="仿宋" w:hAnsi="仿宋" w:eastAsia="仿宋" w:cs="仿宋"/>
          <w:b/>
          <w:color w:val="auto"/>
          <w:sz w:val="24"/>
          <w:highlight w:val="none"/>
        </w:rPr>
        <w:t>响应无效</w:t>
      </w:r>
      <w:r>
        <w:rPr>
          <w:rFonts w:hint="eastAsia" w:ascii="仿宋" w:hAnsi="仿宋" w:eastAsia="仿宋" w:cs="仿宋"/>
          <w:color w:val="auto"/>
          <w:sz w:val="24"/>
          <w:highlight w:val="none"/>
        </w:rPr>
        <w:t>。</w:t>
      </w:r>
    </w:p>
    <w:p w14:paraId="49A8BD5E">
      <w:pPr>
        <w:shd w:val="clear" w:color="auto" w:fill="auto"/>
        <w:tabs>
          <w:tab w:val="left" w:pos="1800"/>
          <w:tab w:val="left" w:pos="5580"/>
        </w:tabs>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2.“偏离情况”列应据实填写“无偏离”、“正偏离”或“负偏离”。</w:t>
      </w:r>
    </w:p>
    <w:p w14:paraId="27BCD623">
      <w:pPr>
        <w:shd w:val="clear" w:color="auto" w:fill="auto"/>
        <w:tabs>
          <w:tab w:val="left" w:pos="1800"/>
          <w:tab w:val="left" w:pos="5580"/>
        </w:tabs>
        <w:jc w:val="left"/>
        <w:rPr>
          <w:rFonts w:hint="eastAsia" w:ascii="仿宋" w:hAnsi="仿宋" w:eastAsia="仿宋" w:cs="仿宋"/>
          <w:color w:val="auto"/>
          <w:sz w:val="24"/>
          <w:highlight w:val="none"/>
        </w:rPr>
      </w:pPr>
    </w:p>
    <w:p w14:paraId="77DF388E">
      <w:pPr>
        <w:shd w:val="clear" w:color="auto" w:fill="auto"/>
        <w:rPr>
          <w:rFonts w:hint="eastAsia" w:ascii="仿宋" w:hAnsi="仿宋" w:eastAsia="仿宋" w:cs="仿宋"/>
          <w:color w:val="auto"/>
          <w:sz w:val="24"/>
          <w:szCs w:val="20"/>
          <w:highlight w:val="none"/>
        </w:rPr>
      </w:pPr>
    </w:p>
    <w:p w14:paraId="3949E10E">
      <w:pPr>
        <w:shd w:val="clear" w:color="auto" w:fill="auto"/>
        <w:autoSpaceDE w:val="0"/>
        <w:autoSpaceDN w:val="0"/>
        <w:adjustRightInd w:val="0"/>
        <w:snapToGrid w:val="0"/>
        <w:spacing w:before="25" w:after="25" w:line="360" w:lineRule="auto"/>
        <w:ind w:right="36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供应商名称（加盖公章）</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______</w:t>
      </w:r>
    </w:p>
    <w:p w14:paraId="5AF7B60C">
      <w:pPr>
        <w:shd w:val="clear" w:color="auto" w:fill="auto"/>
        <w:autoSpaceDE w:val="0"/>
        <w:autoSpaceDN w:val="0"/>
        <w:adjustRightInd w:val="0"/>
        <w:snapToGrid w:val="0"/>
        <w:spacing w:before="25" w:after="25" w:line="360" w:lineRule="auto"/>
        <w:ind w:right="360"/>
        <w:jc w:val="left"/>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日期：____年____月____日</w:t>
      </w:r>
    </w:p>
    <w:p w14:paraId="12647DDB">
      <w:pPr>
        <w:rPr>
          <w:rFonts w:hint="eastAsia" w:ascii="仿宋" w:hAnsi="仿宋" w:eastAsia="仿宋" w:cs="仿宋"/>
          <w:color w:val="auto"/>
          <w:sz w:val="24"/>
          <w:highlight w:val="none"/>
        </w:rPr>
      </w:pPr>
      <w:r>
        <w:rPr>
          <w:rFonts w:hint="eastAsia" w:ascii="仿宋" w:hAnsi="仿宋" w:eastAsia="仿宋" w:cs="仿宋"/>
          <w:color w:val="auto"/>
          <w:sz w:val="24"/>
          <w:szCs w:val="20"/>
          <w:highlight w:val="none"/>
        </w:rPr>
        <w:br w:type="page"/>
      </w:r>
    </w:p>
    <w:p w14:paraId="0E5546B8">
      <w:pPr>
        <w:shd w:val="clear" w:color="auto" w:fill="auto"/>
        <w:tabs>
          <w:tab w:val="left" w:pos="360"/>
        </w:tabs>
        <w:snapToGrid w:val="0"/>
        <w:spacing w:line="360" w:lineRule="auto"/>
        <w:outlineLvl w:val="1"/>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竞争性磋商文件要求提供或供应商认为应附的其他材料</w:t>
      </w:r>
    </w:p>
    <w:p w14:paraId="5F266C58">
      <w:pPr>
        <w:widowControl/>
        <w:shd w:val="clear" w:color="auto" w:fill="auto"/>
        <w:jc w:val="left"/>
        <w:rPr>
          <w:rFonts w:hint="eastAsia" w:ascii="仿宋" w:hAnsi="仿宋" w:eastAsia="仿宋" w:cs="仿宋"/>
          <w:b/>
          <w:color w:val="auto"/>
          <w:sz w:val="36"/>
          <w:szCs w:val="36"/>
          <w:highlight w:val="none"/>
        </w:rPr>
      </w:pPr>
    </w:p>
    <w:p w14:paraId="00BB1266">
      <w:pPr>
        <w:widowControl/>
        <w:shd w:val="clear" w:color="auto" w:fill="auto"/>
        <w:jc w:val="left"/>
        <w:rPr>
          <w:rFonts w:hint="eastAsia" w:ascii="仿宋" w:hAnsi="仿宋" w:eastAsia="仿宋" w:cs="仿宋"/>
          <w:color w:val="auto"/>
          <w:sz w:val="24"/>
          <w:szCs w:val="20"/>
          <w:highlight w:val="none"/>
        </w:rPr>
      </w:pPr>
      <w:bookmarkStart w:id="744" w:name="_Hlk167094858"/>
      <w:r>
        <w:rPr>
          <w:rFonts w:hint="eastAsia" w:ascii="仿宋" w:hAnsi="仿宋" w:eastAsia="仿宋" w:cs="仿宋"/>
          <w:color w:val="auto"/>
          <w:sz w:val="24"/>
          <w:szCs w:val="20"/>
          <w:highlight w:val="none"/>
        </w:rPr>
        <w:t>1</w:t>
      </w:r>
      <w:r>
        <w:rPr>
          <w:rFonts w:hint="eastAsia" w:ascii="仿宋" w:hAnsi="仿宋" w:eastAsia="仿宋" w:cs="仿宋"/>
          <w:color w:val="auto"/>
          <w:sz w:val="24"/>
          <w:szCs w:val="20"/>
          <w:highlight w:val="none"/>
          <w:lang w:val="en-US" w:eastAsia="zh-CN"/>
        </w:rPr>
        <w:t>1</w:t>
      </w:r>
      <w:r>
        <w:rPr>
          <w:rFonts w:hint="eastAsia" w:ascii="仿宋" w:hAnsi="仿宋" w:eastAsia="仿宋" w:cs="仿宋"/>
          <w:color w:val="auto"/>
          <w:sz w:val="24"/>
          <w:szCs w:val="20"/>
          <w:highlight w:val="none"/>
        </w:rPr>
        <w:t>-1供应商信息采集表</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7E15F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noWrap w:val="0"/>
            <w:vAlign w:val="top"/>
          </w:tcPr>
          <w:p w14:paraId="425F1187">
            <w:pPr>
              <w:shd w:val="clear" w:color="auto" w:fil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p>
        </w:tc>
        <w:tc>
          <w:tcPr>
            <w:tcW w:w="3021" w:type="dxa"/>
            <w:noWrap w:val="0"/>
            <w:vAlign w:val="top"/>
          </w:tcPr>
          <w:p w14:paraId="5F9255E2">
            <w:pPr>
              <w:shd w:val="clear" w:color="auto" w:fil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供应商所属性别</w:t>
            </w:r>
          </w:p>
        </w:tc>
        <w:tc>
          <w:tcPr>
            <w:tcW w:w="3019" w:type="dxa"/>
            <w:noWrap w:val="0"/>
            <w:vAlign w:val="top"/>
          </w:tcPr>
          <w:p w14:paraId="532481AD">
            <w:pPr>
              <w:shd w:val="clear" w:color="auto" w:fil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外商投资类型</w:t>
            </w:r>
          </w:p>
        </w:tc>
      </w:tr>
      <w:tr w14:paraId="37D6D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noWrap w:val="0"/>
            <w:vAlign w:val="top"/>
          </w:tcPr>
          <w:p w14:paraId="111AF63B">
            <w:pPr>
              <w:shd w:val="clear" w:color="auto" w:fill="auto"/>
              <w:rPr>
                <w:rFonts w:hint="eastAsia" w:ascii="仿宋" w:hAnsi="仿宋" w:eastAsia="仿宋" w:cs="仿宋"/>
                <w:color w:val="auto"/>
                <w:sz w:val="24"/>
                <w:highlight w:val="none"/>
              </w:rPr>
            </w:pPr>
          </w:p>
        </w:tc>
        <w:tc>
          <w:tcPr>
            <w:tcW w:w="3021" w:type="dxa"/>
            <w:noWrap w:val="0"/>
            <w:vAlign w:val="top"/>
          </w:tcPr>
          <w:p w14:paraId="14C9FAD0">
            <w:pPr>
              <w:shd w:val="clear" w:color="auto" w:fill="auto"/>
              <w:rPr>
                <w:rFonts w:hint="eastAsia" w:ascii="仿宋" w:hAnsi="仿宋" w:eastAsia="仿宋" w:cs="仿宋"/>
                <w:color w:val="auto"/>
                <w:sz w:val="24"/>
                <w:highlight w:val="none"/>
              </w:rPr>
            </w:pPr>
          </w:p>
        </w:tc>
        <w:tc>
          <w:tcPr>
            <w:tcW w:w="3019" w:type="dxa"/>
            <w:noWrap w:val="0"/>
            <w:vAlign w:val="top"/>
          </w:tcPr>
          <w:p w14:paraId="616815AB">
            <w:pPr>
              <w:shd w:val="clear" w:color="auto" w:fill="auto"/>
              <w:rPr>
                <w:rFonts w:hint="eastAsia" w:ascii="仿宋" w:hAnsi="仿宋" w:eastAsia="仿宋" w:cs="仿宋"/>
                <w:color w:val="auto"/>
                <w:sz w:val="24"/>
                <w:highlight w:val="none"/>
              </w:rPr>
            </w:pPr>
          </w:p>
        </w:tc>
      </w:tr>
      <w:tr w14:paraId="10AED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noWrap w:val="0"/>
            <w:vAlign w:val="top"/>
          </w:tcPr>
          <w:p w14:paraId="3451404C">
            <w:pPr>
              <w:shd w:val="clear" w:color="auto" w:fill="auto"/>
              <w:rPr>
                <w:rFonts w:hint="eastAsia" w:ascii="仿宋" w:hAnsi="仿宋" w:eastAsia="仿宋" w:cs="仿宋"/>
                <w:color w:val="auto"/>
                <w:highlight w:val="none"/>
              </w:rPr>
            </w:pPr>
          </w:p>
        </w:tc>
        <w:tc>
          <w:tcPr>
            <w:tcW w:w="3021" w:type="dxa"/>
            <w:noWrap w:val="0"/>
            <w:vAlign w:val="top"/>
          </w:tcPr>
          <w:p w14:paraId="40EB0913">
            <w:pPr>
              <w:shd w:val="clear" w:color="auto" w:fill="auto"/>
              <w:rPr>
                <w:rFonts w:hint="eastAsia" w:ascii="仿宋" w:hAnsi="仿宋" w:eastAsia="仿宋" w:cs="仿宋"/>
                <w:color w:val="auto"/>
                <w:highlight w:val="none"/>
              </w:rPr>
            </w:pPr>
          </w:p>
        </w:tc>
        <w:tc>
          <w:tcPr>
            <w:tcW w:w="3019" w:type="dxa"/>
            <w:noWrap w:val="0"/>
            <w:vAlign w:val="top"/>
          </w:tcPr>
          <w:p w14:paraId="0C430AF2">
            <w:pPr>
              <w:shd w:val="clear" w:color="auto" w:fill="auto"/>
              <w:rPr>
                <w:rFonts w:hint="eastAsia" w:ascii="仿宋" w:hAnsi="仿宋" w:eastAsia="仿宋" w:cs="仿宋"/>
                <w:color w:val="auto"/>
                <w:highlight w:val="none"/>
              </w:rPr>
            </w:pPr>
          </w:p>
        </w:tc>
      </w:tr>
      <w:tr w14:paraId="26906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noWrap w:val="0"/>
            <w:vAlign w:val="top"/>
          </w:tcPr>
          <w:p w14:paraId="6FFE3BAF">
            <w:pPr>
              <w:shd w:val="clear" w:color="auto" w:fill="auto"/>
              <w:rPr>
                <w:rFonts w:hint="eastAsia" w:ascii="仿宋" w:hAnsi="仿宋" w:eastAsia="仿宋" w:cs="仿宋"/>
                <w:color w:val="auto"/>
                <w:highlight w:val="none"/>
              </w:rPr>
            </w:pPr>
          </w:p>
        </w:tc>
        <w:tc>
          <w:tcPr>
            <w:tcW w:w="3021" w:type="dxa"/>
            <w:noWrap w:val="0"/>
            <w:vAlign w:val="top"/>
          </w:tcPr>
          <w:p w14:paraId="3964AA8E">
            <w:pPr>
              <w:shd w:val="clear" w:color="auto" w:fill="auto"/>
              <w:rPr>
                <w:rFonts w:hint="eastAsia" w:ascii="仿宋" w:hAnsi="仿宋" w:eastAsia="仿宋" w:cs="仿宋"/>
                <w:color w:val="auto"/>
                <w:highlight w:val="none"/>
              </w:rPr>
            </w:pPr>
          </w:p>
        </w:tc>
        <w:tc>
          <w:tcPr>
            <w:tcW w:w="3019" w:type="dxa"/>
            <w:noWrap w:val="0"/>
            <w:vAlign w:val="top"/>
          </w:tcPr>
          <w:p w14:paraId="037848F3">
            <w:pPr>
              <w:shd w:val="clear" w:color="auto" w:fill="auto"/>
              <w:rPr>
                <w:rFonts w:hint="eastAsia" w:ascii="仿宋" w:hAnsi="仿宋" w:eastAsia="仿宋" w:cs="仿宋"/>
                <w:color w:val="auto"/>
                <w:highlight w:val="none"/>
              </w:rPr>
            </w:pPr>
          </w:p>
        </w:tc>
      </w:tr>
      <w:tr w14:paraId="52F16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noWrap w:val="0"/>
            <w:vAlign w:val="top"/>
          </w:tcPr>
          <w:p w14:paraId="1A82E93B">
            <w:pPr>
              <w:shd w:val="clear" w:color="auto" w:fill="auto"/>
              <w:rPr>
                <w:rFonts w:hint="eastAsia" w:ascii="仿宋" w:hAnsi="仿宋" w:eastAsia="仿宋" w:cs="仿宋"/>
                <w:color w:val="auto"/>
                <w:highlight w:val="none"/>
              </w:rPr>
            </w:pPr>
          </w:p>
        </w:tc>
        <w:tc>
          <w:tcPr>
            <w:tcW w:w="3021" w:type="dxa"/>
            <w:noWrap w:val="0"/>
            <w:vAlign w:val="top"/>
          </w:tcPr>
          <w:p w14:paraId="7975C204">
            <w:pPr>
              <w:shd w:val="clear" w:color="auto" w:fill="auto"/>
              <w:rPr>
                <w:rFonts w:hint="eastAsia" w:ascii="仿宋" w:hAnsi="仿宋" w:eastAsia="仿宋" w:cs="仿宋"/>
                <w:color w:val="auto"/>
                <w:highlight w:val="none"/>
              </w:rPr>
            </w:pPr>
          </w:p>
        </w:tc>
        <w:tc>
          <w:tcPr>
            <w:tcW w:w="3019" w:type="dxa"/>
            <w:noWrap w:val="0"/>
            <w:vAlign w:val="top"/>
          </w:tcPr>
          <w:p w14:paraId="4C9E62C6">
            <w:pPr>
              <w:shd w:val="clear" w:color="auto" w:fill="auto"/>
              <w:rPr>
                <w:rFonts w:hint="eastAsia" w:ascii="仿宋" w:hAnsi="仿宋" w:eastAsia="仿宋" w:cs="仿宋"/>
                <w:color w:val="auto"/>
                <w:highlight w:val="none"/>
              </w:rPr>
            </w:pPr>
          </w:p>
        </w:tc>
      </w:tr>
    </w:tbl>
    <w:p w14:paraId="7A2E72C3">
      <w:pPr>
        <w:shd w:val="clear" w:color="auto" w:fill="auto"/>
        <w:tabs>
          <w:tab w:val="left" w:pos="1800"/>
          <w:tab w:val="left" w:pos="5580"/>
        </w:tabs>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注：1.供应商如为联合体，则应填写联合体各成员信息。</w:t>
      </w:r>
    </w:p>
    <w:p w14:paraId="5FFD06BC">
      <w:pPr>
        <w:shd w:val="clear" w:color="auto" w:fill="auto"/>
        <w:tabs>
          <w:tab w:val="left" w:pos="1800"/>
          <w:tab w:val="left" w:pos="5580"/>
        </w:tabs>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2.供应商所属性别请填写“男”或“女”，指拥有供应商51%以上绝对所有权的性别；绝对所有权拥有者可以是一个人，也可以是多人合计计算。</w:t>
      </w:r>
    </w:p>
    <w:p w14:paraId="0D994673">
      <w:pPr>
        <w:shd w:val="clear" w:color="auto" w:fill="auto"/>
        <w:tabs>
          <w:tab w:val="left" w:pos="1800"/>
          <w:tab w:val="left" w:pos="5580"/>
        </w:tabs>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3.外商投资类型请填写“外商单独投资”、“外商部分投资”或“内资”。</w:t>
      </w:r>
    </w:p>
    <w:bookmarkEnd w:id="744"/>
    <w:p w14:paraId="20AD79AE">
      <w:pPr>
        <w:shd w:val="clear" w:color="auto" w:fill="auto"/>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b/>
          <w:color w:val="auto"/>
          <w:sz w:val="36"/>
          <w:szCs w:val="36"/>
          <w:highlight w:val="none"/>
        </w:rPr>
        <w:br w:type="page"/>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最后报价一览表（实质性格式，磋商后提交）</w:t>
      </w:r>
    </w:p>
    <w:p w14:paraId="67173881">
      <w:pPr>
        <w:widowControl/>
        <w:shd w:val="clear" w:color="auto" w:fill="auto"/>
        <w:jc w:val="left"/>
        <w:rPr>
          <w:rFonts w:hint="eastAsia" w:ascii="仿宋" w:hAnsi="仿宋" w:eastAsia="仿宋" w:cs="仿宋"/>
          <w:color w:val="auto"/>
          <w:kern w:val="0"/>
          <w:sz w:val="24"/>
          <w:szCs w:val="20"/>
          <w:highlight w:val="none"/>
        </w:rPr>
      </w:pPr>
    </w:p>
    <w:p w14:paraId="60D1E808">
      <w:pPr>
        <w:shd w:val="clear" w:color="auto" w:fill="auto"/>
        <w:spacing w:line="240" w:lineRule="auto"/>
        <w:ind w:firstLine="72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最后报价一览表</w:t>
      </w:r>
    </w:p>
    <w:p w14:paraId="1E54FF0E">
      <w:pPr>
        <w:shd w:val="clear" w:color="auto" w:fill="auto"/>
        <w:tabs>
          <w:tab w:val="left" w:pos="1800"/>
          <w:tab w:val="left" w:pos="5580"/>
        </w:tabs>
        <w:spacing w:line="360" w:lineRule="auto"/>
        <w:jc w:val="left"/>
        <w:rPr>
          <w:rFonts w:hint="eastAsia" w:ascii="仿宋" w:hAnsi="仿宋" w:eastAsia="仿宋" w:cs="仿宋"/>
          <w:color w:val="auto"/>
          <w:sz w:val="24"/>
          <w:highlight w:val="none"/>
        </w:rPr>
      </w:pPr>
    </w:p>
    <w:p w14:paraId="7BB5975C">
      <w:pPr>
        <w:shd w:val="clear" w:color="auto" w:fill="auto"/>
        <w:tabs>
          <w:tab w:val="left" w:pos="1800"/>
          <w:tab w:val="left" w:pos="55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招标</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编号：__________项目名称：________________</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9"/>
        <w:gridCol w:w="2721"/>
        <w:gridCol w:w="2022"/>
        <w:gridCol w:w="1804"/>
        <w:gridCol w:w="1722"/>
      </w:tblGrid>
      <w:tr w14:paraId="7444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446" w:type="pct"/>
            <w:vMerge w:val="restart"/>
            <w:noWrap w:val="0"/>
            <w:vAlign w:val="center"/>
          </w:tcPr>
          <w:p w14:paraId="36C792C8">
            <w:pPr>
              <w:shd w:val="clear" w:color="auto" w:fill="auto"/>
              <w:tabs>
                <w:tab w:val="left" w:pos="55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498" w:type="pct"/>
            <w:vMerge w:val="restart"/>
            <w:noWrap w:val="0"/>
            <w:vAlign w:val="center"/>
          </w:tcPr>
          <w:p w14:paraId="4C9B35A9">
            <w:pPr>
              <w:shd w:val="clear" w:color="auto" w:fill="auto"/>
              <w:tabs>
                <w:tab w:val="left" w:pos="55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供应商名称</w:t>
            </w:r>
          </w:p>
        </w:tc>
        <w:tc>
          <w:tcPr>
            <w:tcW w:w="2106" w:type="pct"/>
            <w:gridSpan w:val="2"/>
            <w:noWrap w:val="0"/>
            <w:vAlign w:val="center"/>
          </w:tcPr>
          <w:p w14:paraId="610E5632">
            <w:pPr>
              <w:shd w:val="clear" w:color="auto" w:fill="auto"/>
              <w:tabs>
                <w:tab w:val="left" w:pos="5580"/>
              </w:tabs>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最后报价</w:t>
            </w:r>
            <w:r>
              <w:rPr>
                <w:rFonts w:hint="eastAsia" w:ascii="仿宋" w:hAnsi="仿宋" w:eastAsia="仿宋" w:cs="仿宋"/>
                <w:b/>
                <w:color w:val="auto"/>
                <w:sz w:val="24"/>
                <w:highlight w:val="none"/>
                <w:lang w:eastAsia="zh-CN"/>
              </w:rPr>
              <w:t>（人民币</w:t>
            </w:r>
            <w:r>
              <w:rPr>
                <w:rFonts w:hint="eastAsia" w:ascii="仿宋" w:hAnsi="仿宋" w:eastAsia="仿宋" w:cs="仿宋"/>
                <w:b/>
                <w:color w:val="auto"/>
                <w:sz w:val="24"/>
                <w:highlight w:val="none"/>
                <w:lang w:val="en-US" w:eastAsia="zh-CN"/>
              </w:rPr>
              <w:t>/元</w:t>
            </w:r>
            <w:r>
              <w:rPr>
                <w:rFonts w:hint="eastAsia" w:ascii="仿宋" w:hAnsi="仿宋" w:eastAsia="仿宋" w:cs="仿宋"/>
                <w:b/>
                <w:color w:val="auto"/>
                <w:sz w:val="24"/>
                <w:highlight w:val="none"/>
                <w:lang w:eastAsia="zh-CN"/>
              </w:rPr>
              <w:t>）</w:t>
            </w:r>
          </w:p>
        </w:tc>
        <w:tc>
          <w:tcPr>
            <w:tcW w:w="948" w:type="pct"/>
            <w:vMerge w:val="restart"/>
            <w:noWrap w:val="0"/>
            <w:vAlign w:val="center"/>
          </w:tcPr>
          <w:p w14:paraId="3212FBC4">
            <w:pPr>
              <w:shd w:val="clear" w:color="auto" w:fill="auto"/>
              <w:tabs>
                <w:tab w:val="left" w:pos="55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其他</w:t>
            </w:r>
          </w:p>
          <w:p w14:paraId="61DF8876">
            <w:pPr>
              <w:shd w:val="clear" w:color="auto" w:fill="auto"/>
              <w:tabs>
                <w:tab w:val="left" w:pos="55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声明</w:t>
            </w:r>
          </w:p>
        </w:tc>
      </w:tr>
      <w:tr w14:paraId="191B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446" w:type="pct"/>
            <w:vMerge w:val="continue"/>
            <w:noWrap w:val="0"/>
            <w:vAlign w:val="center"/>
          </w:tcPr>
          <w:p w14:paraId="7630556F">
            <w:pPr>
              <w:shd w:val="clear" w:color="auto" w:fill="auto"/>
              <w:tabs>
                <w:tab w:val="left" w:pos="5580"/>
              </w:tabs>
              <w:jc w:val="center"/>
              <w:rPr>
                <w:rFonts w:hint="eastAsia" w:ascii="仿宋" w:hAnsi="仿宋" w:eastAsia="仿宋" w:cs="仿宋"/>
                <w:color w:val="auto"/>
                <w:sz w:val="24"/>
                <w:highlight w:val="none"/>
              </w:rPr>
            </w:pPr>
          </w:p>
        </w:tc>
        <w:tc>
          <w:tcPr>
            <w:tcW w:w="1498" w:type="pct"/>
            <w:vMerge w:val="continue"/>
            <w:noWrap w:val="0"/>
            <w:vAlign w:val="center"/>
          </w:tcPr>
          <w:p w14:paraId="584998CC">
            <w:pPr>
              <w:shd w:val="clear" w:color="auto" w:fill="auto"/>
              <w:tabs>
                <w:tab w:val="left" w:pos="5580"/>
              </w:tabs>
              <w:jc w:val="center"/>
              <w:rPr>
                <w:rFonts w:hint="eastAsia" w:ascii="仿宋" w:hAnsi="仿宋" w:eastAsia="仿宋" w:cs="仿宋"/>
                <w:color w:val="auto"/>
                <w:sz w:val="24"/>
                <w:highlight w:val="none"/>
              </w:rPr>
            </w:pPr>
          </w:p>
        </w:tc>
        <w:tc>
          <w:tcPr>
            <w:tcW w:w="1113" w:type="pct"/>
            <w:noWrap w:val="0"/>
            <w:vAlign w:val="center"/>
          </w:tcPr>
          <w:p w14:paraId="2A8C06C8">
            <w:pPr>
              <w:shd w:val="clear" w:color="auto" w:fill="auto"/>
              <w:tabs>
                <w:tab w:val="left" w:pos="55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大写</w:t>
            </w:r>
          </w:p>
        </w:tc>
        <w:tc>
          <w:tcPr>
            <w:tcW w:w="992" w:type="pct"/>
            <w:noWrap w:val="0"/>
            <w:vAlign w:val="center"/>
          </w:tcPr>
          <w:p w14:paraId="467B2210">
            <w:pPr>
              <w:shd w:val="clear" w:color="auto" w:fill="auto"/>
              <w:tabs>
                <w:tab w:val="left" w:pos="55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小写</w:t>
            </w:r>
          </w:p>
        </w:tc>
        <w:tc>
          <w:tcPr>
            <w:tcW w:w="948" w:type="pct"/>
            <w:vMerge w:val="continue"/>
            <w:noWrap w:val="0"/>
            <w:vAlign w:val="center"/>
          </w:tcPr>
          <w:p w14:paraId="118088B2">
            <w:pPr>
              <w:shd w:val="clear" w:color="auto" w:fill="auto"/>
              <w:tabs>
                <w:tab w:val="left" w:pos="5580"/>
              </w:tabs>
              <w:ind w:firstLine="482"/>
              <w:jc w:val="center"/>
              <w:rPr>
                <w:rFonts w:hint="eastAsia" w:ascii="仿宋" w:hAnsi="仿宋" w:eastAsia="仿宋" w:cs="仿宋"/>
                <w:b/>
                <w:color w:val="auto"/>
                <w:sz w:val="24"/>
                <w:highlight w:val="none"/>
              </w:rPr>
            </w:pPr>
          </w:p>
        </w:tc>
      </w:tr>
      <w:tr w14:paraId="257E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446" w:type="pct"/>
            <w:noWrap w:val="0"/>
            <w:vAlign w:val="center"/>
          </w:tcPr>
          <w:p w14:paraId="083CF17E">
            <w:pPr>
              <w:shd w:val="clear" w:color="auto" w:fill="auto"/>
              <w:tabs>
                <w:tab w:val="left" w:pos="5580"/>
              </w:tabs>
              <w:jc w:val="center"/>
              <w:rPr>
                <w:rFonts w:hint="eastAsia" w:ascii="仿宋" w:hAnsi="仿宋" w:eastAsia="仿宋" w:cs="仿宋"/>
                <w:color w:val="auto"/>
                <w:sz w:val="24"/>
                <w:highlight w:val="none"/>
              </w:rPr>
            </w:pPr>
          </w:p>
        </w:tc>
        <w:tc>
          <w:tcPr>
            <w:tcW w:w="1498" w:type="pct"/>
            <w:noWrap w:val="0"/>
            <w:vAlign w:val="center"/>
          </w:tcPr>
          <w:p w14:paraId="377DAE7E">
            <w:pPr>
              <w:shd w:val="clear" w:color="auto" w:fill="auto"/>
              <w:tabs>
                <w:tab w:val="left" w:pos="5580"/>
              </w:tabs>
              <w:jc w:val="center"/>
              <w:rPr>
                <w:rFonts w:hint="eastAsia" w:ascii="仿宋" w:hAnsi="仿宋" w:eastAsia="仿宋" w:cs="仿宋"/>
                <w:color w:val="auto"/>
                <w:sz w:val="24"/>
                <w:highlight w:val="none"/>
              </w:rPr>
            </w:pPr>
          </w:p>
        </w:tc>
        <w:tc>
          <w:tcPr>
            <w:tcW w:w="1113" w:type="pct"/>
            <w:noWrap w:val="0"/>
            <w:vAlign w:val="center"/>
          </w:tcPr>
          <w:p w14:paraId="35408A63">
            <w:pPr>
              <w:shd w:val="clear" w:color="auto" w:fill="auto"/>
              <w:tabs>
                <w:tab w:val="left" w:pos="5580"/>
              </w:tabs>
              <w:jc w:val="center"/>
              <w:rPr>
                <w:rFonts w:hint="eastAsia" w:ascii="仿宋" w:hAnsi="仿宋" w:eastAsia="仿宋" w:cs="仿宋"/>
                <w:color w:val="auto"/>
                <w:sz w:val="24"/>
                <w:highlight w:val="none"/>
              </w:rPr>
            </w:pPr>
          </w:p>
        </w:tc>
        <w:tc>
          <w:tcPr>
            <w:tcW w:w="992" w:type="pct"/>
            <w:noWrap w:val="0"/>
            <w:vAlign w:val="center"/>
          </w:tcPr>
          <w:p w14:paraId="7791C9FC">
            <w:pPr>
              <w:shd w:val="clear" w:color="auto" w:fill="auto"/>
              <w:tabs>
                <w:tab w:val="left" w:pos="5580"/>
              </w:tabs>
              <w:jc w:val="center"/>
              <w:rPr>
                <w:rFonts w:hint="eastAsia" w:ascii="仿宋" w:hAnsi="仿宋" w:eastAsia="仿宋" w:cs="仿宋"/>
                <w:color w:val="auto"/>
                <w:sz w:val="24"/>
                <w:highlight w:val="none"/>
              </w:rPr>
            </w:pPr>
          </w:p>
        </w:tc>
        <w:tc>
          <w:tcPr>
            <w:tcW w:w="948" w:type="pct"/>
            <w:noWrap w:val="0"/>
            <w:vAlign w:val="center"/>
          </w:tcPr>
          <w:p w14:paraId="7AD7F0B6">
            <w:pPr>
              <w:shd w:val="clear" w:color="auto" w:fill="auto"/>
              <w:tabs>
                <w:tab w:val="left" w:pos="5580"/>
              </w:tabs>
              <w:jc w:val="center"/>
              <w:rPr>
                <w:rFonts w:hint="eastAsia" w:ascii="仿宋" w:hAnsi="仿宋" w:eastAsia="仿宋" w:cs="仿宋"/>
                <w:color w:val="auto"/>
                <w:sz w:val="24"/>
                <w:highlight w:val="none"/>
              </w:rPr>
            </w:pPr>
          </w:p>
        </w:tc>
      </w:tr>
    </w:tbl>
    <w:p w14:paraId="041F75F2">
      <w:pPr>
        <w:shd w:val="clear" w:color="auto" w:fill="auto"/>
        <w:autoSpaceDE w:val="0"/>
        <w:autoSpaceDN w:val="0"/>
        <w:adjustRightInd w:val="0"/>
        <w:jc w:val="left"/>
        <w:rPr>
          <w:rFonts w:hint="eastAsia" w:ascii="仿宋" w:hAnsi="仿宋" w:eastAsia="仿宋" w:cs="仿宋"/>
          <w:color w:val="auto"/>
          <w:kern w:val="0"/>
          <w:sz w:val="24"/>
          <w:highlight w:val="none"/>
        </w:rPr>
      </w:pPr>
    </w:p>
    <w:p w14:paraId="3BF8F62F">
      <w:pPr>
        <w:shd w:val="clear" w:color="auto" w:fill="auto"/>
        <w:autoSpaceDE w:val="0"/>
        <w:autoSpaceDN w:val="0"/>
        <w:adjustRightInd w:val="0"/>
        <w:jc w:val="left"/>
        <w:rPr>
          <w:rFonts w:hint="eastAsia" w:ascii="仿宋" w:hAnsi="仿宋" w:eastAsia="仿宋" w:cs="仿宋"/>
          <w:color w:val="auto"/>
          <w:kern w:val="0"/>
          <w:sz w:val="24"/>
          <w:highlight w:val="none"/>
        </w:rPr>
      </w:pPr>
    </w:p>
    <w:p w14:paraId="46C4A309">
      <w:pPr>
        <w:shd w:val="clear" w:color="auto" w:fill="auto"/>
        <w:autoSpaceDE w:val="0"/>
        <w:autoSpaceDN w:val="0"/>
        <w:adjustRightInd w:val="0"/>
        <w:jc w:val="left"/>
        <w:rPr>
          <w:rFonts w:hint="eastAsia" w:ascii="仿宋" w:hAnsi="仿宋" w:eastAsia="仿宋" w:cs="仿宋"/>
          <w:color w:val="auto"/>
          <w:kern w:val="0"/>
          <w:sz w:val="24"/>
          <w:highlight w:val="none"/>
        </w:rPr>
      </w:pPr>
    </w:p>
    <w:p w14:paraId="3C93BD15">
      <w:pPr>
        <w:shd w:val="clear" w:color="auto" w:fill="auto"/>
        <w:autoSpaceDE w:val="0"/>
        <w:autoSpaceDN w:val="0"/>
        <w:adjustRightInd w:val="0"/>
        <w:jc w:val="left"/>
        <w:rPr>
          <w:rFonts w:hint="eastAsia" w:ascii="仿宋" w:hAnsi="仿宋" w:eastAsia="仿宋" w:cs="仿宋"/>
          <w:color w:val="auto"/>
          <w:kern w:val="0"/>
          <w:sz w:val="24"/>
          <w:highlight w:val="none"/>
        </w:rPr>
      </w:pPr>
    </w:p>
    <w:p w14:paraId="5E1057AE">
      <w:pPr>
        <w:shd w:val="clear" w:color="auto" w:fill="auto"/>
        <w:autoSpaceDE w:val="0"/>
        <w:autoSpaceDN w:val="0"/>
        <w:adjustRightInd w:val="0"/>
        <w:jc w:val="left"/>
        <w:rPr>
          <w:rFonts w:hint="eastAsia" w:ascii="仿宋" w:hAnsi="仿宋" w:eastAsia="仿宋" w:cs="仿宋"/>
          <w:color w:val="auto"/>
          <w:sz w:val="24"/>
          <w:szCs w:val="20"/>
          <w:highlight w:val="none"/>
        </w:rPr>
      </w:pPr>
      <w:r>
        <w:rPr>
          <w:rFonts w:hint="eastAsia" w:ascii="仿宋" w:hAnsi="仿宋" w:eastAsia="仿宋" w:cs="仿宋"/>
          <w:color w:val="auto"/>
          <w:kern w:val="0"/>
          <w:sz w:val="24"/>
          <w:highlight w:val="none"/>
        </w:rPr>
        <w:t>注：1</w:t>
      </w:r>
      <w:r>
        <w:rPr>
          <w:rFonts w:hint="eastAsia" w:ascii="仿宋" w:hAnsi="仿宋" w:eastAsia="仿宋" w:cs="仿宋"/>
          <w:color w:val="auto"/>
          <w:sz w:val="24"/>
          <w:szCs w:val="20"/>
          <w:highlight w:val="none"/>
        </w:rPr>
        <w:t>.此表中，每包的最后报价应和《最后分项报价表》中的总价相一致。</w:t>
      </w:r>
    </w:p>
    <w:p w14:paraId="78D01A93">
      <w:pPr>
        <w:shd w:val="clear" w:color="auto" w:fill="auto"/>
        <w:tabs>
          <w:tab w:val="left" w:pos="5580"/>
        </w:tabs>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2.本表必须按包分别填写。</w:t>
      </w:r>
    </w:p>
    <w:p w14:paraId="732478BB">
      <w:pPr>
        <w:pStyle w:val="95"/>
        <w:shd w:val="clear" w:color="auto" w:fill="auto"/>
        <w:ind w:left="642" w:leftChars="227" w:hanging="165" w:hangingChars="6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745" w:name="_Hlk137145809"/>
      <w:r>
        <w:rPr>
          <w:rFonts w:hint="eastAsia" w:ascii="仿宋" w:hAnsi="仿宋" w:eastAsia="仿宋" w:cs="仿宋"/>
          <w:color w:val="auto"/>
          <w:sz w:val="24"/>
          <w:szCs w:val="24"/>
          <w:highlight w:val="none"/>
        </w:rPr>
        <w:t>此表无需在响应文件中提交，磋商后供应商按磋商小组要求提交。</w:t>
      </w:r>
      <w:bookmarkEnd w:id="745"/>
    </w:p>
    <w:p w14:paraId="48514287">
      <w:pPr>
        <w:shd w:val="clear" w:color="auto" w:fill="auto"/>
        <w:tabs>
          <w:tab w:val="left" w:pos="5580"/>
        </w:tabs>
        <w:ind w:firstLine="480" w:firstLineChars="200"/>
        <w:rPr>
          <w:rFonts w:hint="eastAsia" w:ascii="仿宋" w:hAnsi="仿宋" w:eastAsia="仿宋" w:cs="仿宋"/>
          <w:color w:val="auto"/>
          <w:sz w:val="24"/>
          <w:szCs w:val="20"/>
          <w:highlight w:val="none"/>
        </w:rPr>
      </w:pPr>
    </w:p>
    <w:p w14:paraId="00A111F6">
      <w:pPr>
        <w:shd w:val="clear" w:color="auto" w:fill="auto"/>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p>
    <w:p w14:paraId="4FE8784C">
      <w:pPr>
        <w:shd w:val="clear" w:color="auto" w:fill="auto"/>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p>
    <w:p w14:paraId="011C7D53">
      <w:pPr>
        <w:shd w:val="clear" w:color="auto" w:fill="auto"/>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供应商授权代表签字（或加盖供应商公章）</w:t>
      </w:r>
      <w:r>
        <w:rPr>
          <w:rFonts w:hint="eastAsia" w:ascii="仿宋" w:hAnsi="仿宋" w:eastAsia="仿宋" w:cs="仿宋"/>
          <w:color w:val="auto"/>
          <w:sz w:val="24"/>
          <w:highlight w:val="none"/>
          <w:lang w:val="zh-CN"/>
        </w:rPr>
        <w:t>：___________</w:t>
      </w:r>
    </w:p>
    <w:p w14:paraId="228CC2B2">
      <w:pPr>
        <w:widowControl/>
        <w:shd w:val="clear" w:color="auto" w:fill="auto"/>
        <w:jc w:val="left"/>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日期：____年____月____日</w:t>
      </w:r>
    </w:p>
    <w:p w14:paraId="73CB0FB0">
      <w:pPr>
        <w:widowControl/>
        <w:shd w:val="clear" w:color="auto" w:fill="auto"/>
        <w:jc w:val="left"/>
        <w:rPr>
          <w:rFonts w:hint="eastAsia" w:ascii="仿宋" w:hAnsi="仿宋" w:eastAsia="仿宋" w:cs="仿宋"/>
          <w:color w:val="auto"/>
          <w:sz w:val="24"/>
          <w:szCs w:val="20"/>
          <w:highlight w:val="none"/>
        </w:rPr>
      </w:pPr>
    </w:p>
    <w:p w14:paraId="402284C5">
      <w:pPr>
        <w:shd w:val="clear" w:color="auto" w:fill="auto"/>
        <w:tabs>
          <w:tab w:val="left" w:pos="360"/>
        </w:tabs>
        <w:snapToGrid w:val="0"/>
        <w:spacing w:line="360" w:lineRule="auto"/>
        <w:outlineLvl w:val="1"/>
        <w:rPr>
          <w:rFonts w:hint="eastAsia" w:ascii="仿宋" w:hAnsi="仿宋" w:eastAsia="仿宋" w:cs="仿宋"/>
          <w:color w:val="auto"/>
          <w:sz w:val="24"/>
          <w:highlight w:val="none"/>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3D32770A">
      <w:pPr>
        <w:shd w:val="clear" w:color="auto" w:fill="auto"/>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最后分项报价表（实质性格式，磋商后提交）</w:t>
      </w:r>
    </w:p>
    <w:p w14:paraId="0502321C">
      <w:pPr>
        <w:shd w:val="clear" w:color="auto" w:fill="auto"/>
        <w:spacing w:line="360" w:lineRule="exact"/>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最后分项报价表</w:t>
      </w:r>
    </w:p>
    <w:p w14:paraId="5A467F9C">
      <w:pPr>
        <w:shd w:val="clear" w:color="auto" w:fill="auto"/>
        <w:spacing w:line="260" w:lineRule="exact"/>
        <w:jc w:val="center"/>
        <w:rPr>
          <w:rFonts w:hint="eastAsia" w:ascii="仿宋" w:hAnsi="仿宋" w:eastAsia="仿宋" w:cs="仿宋"/>
          <w:color w:val="auto"/>
          <w:sz w:val="36"/>
          <w:szCs w:val="36"/>
          <w:highlight w:val="none"/>
        </w:rPr>
      </w:pPr>
    </w:p>
    <w:p w14:paraId="608D22A5">
      <w:pPr>
        <w:tabs>
          <w:tab w:val="left" w:pos="1800"/>
          <w:tab w:val="left" w:pos="5580"/>
        </w:tabs>
        <w:rPr>
          <w:rFonts w:hint="eastAsia" w:ascii="仿宋" w:hAnsi="仿宋" w:eastAsia="仿宋" w:cs="仿宋"/>
          <w:color w:val="auto"/>
          <w:sz w:val="24"/>
          <w:highlight w:val="none"/>
        </w:rPr>
      </w:pPr>
      <w:r>
        <w:rPr>
          <w:rFonts w:hint="eastAsia" w:ascii="仿宋" w:hAnsi="仿宋" w:eastAsia="仿宋" w:cs="仿宋"/>
          <w:color w:val="auto"/>
          <w:sz w:val="24"/>
          <w:highlight w:val="none"/>
        </w:rPr>
        <w:t>招标</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编号：__________项目名称：__________报价单位：人民币元</w:t>
      </w:r>
    </w:p>
    <w:tbl>
      <w:tblPr>
        <w:tblStyle w:val="250"/>
        <w:tblW w:w="84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1896"/>
        <w:gridCol w:w="1613"/>
        <w:gridCol w:w="999"/>
        <w:gridCol w:w="1952"/>
        <w:gridCol w:w="1306"/>
      </w:tblGrid>
      <w:tr w14:paraId="39832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697" w:type="dxa"/>
            <w:vAlign w:val="top"/>
          </w:tcPr>
          <w:p w14:paraId="7B474C11">
            <w:pPr>
              <w:pStyle w:val="251"/>
              <w:autoSpaceDE w:val="0"/>
              <w:autoSpaceDN w:val="0"/>
              <w:spacing w:before="225" w:line="210" w:lineRule="auto"/>
              <w:ind w:left="0" w:leftChars="0" w:firstLine="0" w:firstLineChars="0"/>
              <w:jc w:val="center"/>
              <w:rPr>
                <w:rFonts w:hint="eastAsia" w:eastAsia="宋体"/>
                <w:b w:val="0"/>
                <w:bCs w:val="0"/>
                <w:lang w:val="en-US" w:eastAsia="zh-CN"/>
              </w:rPr>
            </w:pPr>
            <w:r>
              <w:rPr>
                <w:rFonts w:hint="eastAsia"/>
                <w:b w:val="0"/>
                <w:bCs w:val="0"/>
                <w:lang w:val="en-US" w:eastAsia="zh-CN"/>
              </w:rPr>
              <w:t>序号</w:t>
            </w:r>
          </w:p>
        </w:tc>
        <w:tc>
          <w:tcPr>
            <w:tcW w:w="1896" w:type="dxa"/>
            <w:vAlign w:val="top"/>
          </w:tcPr>
          <w:p w14:paraId="22CFA1B0">
            <w:pPr>
              <w:pStyle w:val="251"/>
              <w:autoSpaceDE w:val="0"/>
              <w:autoSpaceDN w:val="0"/>
              <w:spacing w:before="193" w:line="220" w:lineRule="auto"/>
              <w:jc w:val="center"/>
              <w:rPr>
                <w:b w:val="0"/>
                <w:bCs w:val="0"/>
              </w:rPr>
            </w:pPr>
            <w:r>
              <w:rPr>
                <w:b w:val="0"/>
                <w:bCs w:val="0"/>
                <w:spacing w:val="-5"/>
              </w:rPr>
              <w:t>分项名称</w:t>
            </w:r>
          </w:p>
        </w:tc>
        <w:tc>
          <w:tcPr>
            <w:tcW w:w="1613" w:type="dxa"/>
            <w:vAlign w:val="top"/>
          </w:tcPr>
          <w:p w14:paraId="1E4FAC90">
            <w:pPr>
              <w:pStyle w:val="251"/>
              <w:autoSpaceDE w:val="0"/>
              <w:autoSpaceDN w:val="0"/>
              <w:spacing w:before="193" w:line="218" w:lineRule="auto"/>
              <w:ind w:left="210"/>
              <w:rPr>
                <w:b w:val="0"/>
                <w:bCs w:val="0"/>
              </w:rPr>
            </w:pPr>
            <w:r>
              <w:rPr>
                <w:b w:val="0"/>
                <w:bCs w:val="0"/>
                <w:spacing w:val="-5"/>
              </w:rPr>
              <w:t>单价（元）</w:t>
            </w:r>
          </w:p>
        </w:tc>
        <w:tc>
          <w:tcPr>
            <w:tcW w:w="999" w:type="dxa"/>
            <w:vAlign w:val="top"/>
          </w:tcPr>
          <w:p w14:paraId="6A883B00">
            <w:pPr>
              <w:pStyle w:val="251"/>
              <w:autoSpaceDE w:val="0"/>
              <w:autoSpaceDN w:val="0"/>
              <w:spacing w:before="192" w:line="220" w:lineRule="auto"/>
              <w:ind w:left="266"/>
              <w:rPr>
                <w:b w:val="0"/>
                <w:bCs w:val="0"/>
              </w:rPr>
            </w:pPr>
            <w:r>
              <w:rPr>
                <w:b w:val="0"/>
                <w:bCs w:val="0"/>
                <w:spacing w:val="-8"/>
              </w:rPr>
              <w:t>数量</w:t>
            </w:r>
          </w:p>
        </w:tc>
        <w:tc>
          <w:tcPr>
            <w:tcW w:w="1952" w:type="dxa"/>
            <w:vAlign w:val="top"/>
          </w:tcPr>
          <w:p w14:paraId="29A5612A">
            <w:pPr>
              <w:pStyle w:val="251"/>
              <w:autoSpaceDE w:val="0"/>
              <w:autoSpaceDN w:val="0"/>
              <w:spacing w:before="193" w:line="218" w:lineRule="auto"/>
              <w:ind w:left="557"/>
              <w:rPr>
                <w:b w:val="0"/>
                <w:bCs w:val="0"/>
              </w:rPr>
            </w:pPr>
            <w:r>
              <w:rPr>
                <w:b w:val="0"/>
                <w:bCs w:val="0"/>
                <w:spacing w:val="-5"/>
              </w:rPr>
              <w:t>合价（元）</w:t>
            </w:r>
          </w:p>
        </w:tc>
        <w:tc>
          <w:tcPr>
            <w:tcW w:w="1306" w:type="dxa"/>
            <w:vAlign w:val="top"/>
          </w:tcPr>
          <w:p w14:paraId="0F360441">
            <w:pPr>
              <w:pStyle w:val="251"/>
              <w:autoSpaceDE w:val="0"/>
              <w:autoSpaceDN w:val="0"/>
              <w:spacing w:before="192" w:line="220" w:lineRule="auto"/>
              <w:ind w:left="120"/>
              <w:rPr>
                <w:b w:val="0"/>
                <w:bCs w:val="0"/>
              </w:rPr>
            </w:pPr>
            <w:r>
              <w:rPr>
                <w:b w:val="0"/>
                <w:bCs w:val="0"/>
                <w:spacing w:val="-5"/>
              </w:rPr>
              <w:t>备注/说明</w:t>
            </w:r>
          </w:p>
        </w:tc>
      </w:tr>
      <w:tr w14:paraId="26E60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697" w:type="dxa"/>
            <w:vAlign w:val="top"/>
          </w:tcPr>
          <w:p w14:paraId="28A13F4B">
            <w:pPr>
              <w:pStyle w:val="251"/>
              <w:autoSpaceDE w:val="0"/>
              <w:autoSpaceDN w:val="0"/>
              <w:spacing w:before="134" w:line="241" w:lineRule="auto"/>
              <w:ind w:left="308"/>
              <w:rPr>
                <w:b w:val="0"/>
                <w:bCs w:val="0"/>
              </w:rPr>
            </w:pPr>
            <w:r>
              <w:rPr>
                <w:b w:val="0"/>
                <w:bCs w:val="0"/>
              </w:rPr>
              <w:t>1</w:t>
            </w:r>
          </w:p>
        </w:tc>
        <w:tc>
          <w:tcPr>
            <w:tcW w:w="1896" w:type="dxa"/>
            <w:vAlign w:val="top"/>
          </w:tcPr>
          <w:p w14:paraId="572C19B0">
            <w:pPr>
              <w:autoSpaceDE w:val="0"/>
              <w:autoSpaceDN w:val="0"/>
              <w:rPr>
                <w:rFonts w:ascii="Arial"/>
                <w:b w:val="0"/>
                <w:bCs w:val="0"/>
                <w:sz w:val="21"/>
              </w:rPr>
            </w:pPr>
          </w:p>
        </w:tc>
        <w:tc>
          <w:tcPr>
            <w:tcW w:w="1613" w:type="dxa"/>
            <w:vAlign w:val="top"/>
          </w:tcPr>
          <w:p w14:paraId="566CE415">
            <w:pPr>
              <w:autoSpaceDE w:val="0"/>
              <w:autoSpaceDN w:val="0"/>
              <w:rPr>
                <w:rFonts w:ascii="Arial"/>
                <w:b w:val="0"/>
                <w:bCs w:val="0"/>
                <w:sz w:val="21"/>
              </w:rPr>
            </w:pPr>
          </w:p>
        </w:tc>
        <w:tc>
          <w:tcPr>
            <w:tcW w:w="999" w:type="dxa"/>
            <w:vAlign w:val="top"/>
          </w:tcPr>
          <w:p w14:paraId="4FEC17DA">
            <w:pPr>
              <w:autoSpaceDE w:val="0"/>
              <w:autoSpaceDN w:val="0"/>
              <w:rPr>
                <w:rFonts w:ascii="Arial"/>
                <w:b w:val="0"/>
                <w:bCs w:val="0"/>
                <w:sz w:val="21"/>
              </w:rPr>
            </w:pPr>
          </w:p>
        </w:tc>
        <w:tc>
          <w:tcPr>
            <w:tcW w:w="1952" w:type="dxa"/>
            <w:vAlign w:val="top"/>
          </w:tcPr>
          <w:p w14:paraId="1B74B96A">
            <w:pPr>
              <w:autoSpaceDE w:val="0"/>
              <w:autoSpaceDN w:val="0"/>
              <w:rPr>
                <w:rFonts w:ascii="Arial"/>
                <w:b w:val="0"/>
                <w:bCs w:val="0"/>
                <w:sz w:val="21"/>
              </w:rPr>
            </w:pPr>
          </w:p>
        </w:tc>
        <w:tc>
          <w:tcPr>
            <w:tcW w:w="1306" w:type="dxa"/>
            <w:vAlign w:val="top"/>
          </w:tcPr>
          <w:p w14:paraId="4A11C94B">
            <w:pPr>
              <w:autoSpaceDE w:val="0"/>
              <w:autoSpaceDN w:val="0"/>
              <w:rPr>
                <w:rFonts w:ascii="Arial"/>
                <w:b w:val="0"/>
                <w:bCs w:val="0"/>
                <w:sz w:val="21"/>
              </w:rPr>
            </w:pPr>
          </w:p>
        </w:tc>
      </w:tr>
      <w:tr w14:paraId="0E76D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97" w:type="dxa"/>
            <w:vAlign w:val="top"/>
          </w:tcPr>
          <w:p w14:paraId="680C0149">
            <w:pPr>
              <w:pStyle w:val="251"/>
              <w:autoSpaceDE w:val="0"/>
              <w:autoSpaceDN w:val="0"/>
              <w:spacing w:before="89" w:line="241" w:lineRule="auto"/>
              <w:ind w:left="293"/>
              <w:rPr>
                <w:b w:val="0"/>
                <w:bCs w:val="0"/>
              </w:rPr>
            </w:pPr>
            <w:r>
              <w:rPr>
                <w:b w:val="0"/>
                <w:bCs w:val="0"/>
              </w:rPr>
              <w:t>2</w:t>
            </w:r>
          </w:p>
        </w:tc>
        <w:tc>
          <w:tcPr>
            <w:tcW w:w="1896" w:type="dxa"/>
            <w:vAlign w:val="top"/>
          </w:tcPr>
          <w:p w14:paraId="38B67161">
            <w:pPr>
              <w:autoSpaceDE w:val="0"/>
              <w:autoSpaceDN w:val="0"/>
              <w:rPr>
                <w:rFonts w:ascii="Arial"/>
                <w:b w:val="0"/>
                <w:bCs w:val="0"/>
                <w:sz w:val="21"/>
              </w:rPr>
            </w:pPr>
          </w:p>
        </w:tc>
        <w:tc>
          <w:tcPr>
            <w:tcW w:w="1613" w:type="dxa"/>
            <w:vAlign w:val="top"/>
          </w:tcPr>
          <w:p w14:paraId="1F0E4507">
            <w:pPr>
              <w:autoSpaceDE w:val="0"/>
              <w:autoSpaceDN w:val="0"/>
              <w:rPr>
                <w:rFonts w:ascii="Arial"/>
                <w:b w:val="0"/>
                <w:bCs w:val="0"/>
                <w:sz w:val="21"/>
              </w:rPr>
            </w:pPr>
          </w:p>
        </w:tc>
        <w:tc>
          <w:tcPr>
            <w:tcW w:w="999" w:type="dxa"/>
            <w:vAlign w:val="top"/>
          </w:tcPr>
          <w:p w14:paraId="129FD595">
            <w:pPr>
              <w:autoSpaceDE w:val="0"/>
              <w:autoSpaceDN w:val="0"/>
              <w:rPr>
                <w:rFonts w:ascii="Arial"/>
                <w:b w:val="0"/>
                <w:bCs w:val="0"/>
                <w:sz w:val="21"/>
              </w:rPr>
            </w:pPr>
          </w:p>
        </w:tc>
        <w:tc>
          <w:tcPr>
            <w:tcW w:w="1952" w:type="dxa"/>
            <w:vAlign w:val="top"/>
          </w:tcPr>
          <w:p w14:paraId="2B73300A">
            <w:pPr>
              <w:autoSpaceDE w:val="0"/>
              <w:autoSpaceDN w:val="0"/>
              <w:rPr>
                <w:rFonts w:ascii="Arial"/>
                <w:b w:val="0"/>
                <w:bCs w:val="0"/>
                <w:sz w:val="21"/>
              </w:rPr>
            </w:pPr>
          </w:p>
        </w:tc>
        <w:tc>
          <w:tcPr>
            <w:tcW w:w="1306" w:type="dxa"/>
            <w:vAlign w:val="top"/>
          </w:tcPr>
          <w:p w14:paraId="6CB2A1DE">
            <w:pPr>
              <w:autoSpaceDE w:val="0"/>
              <w:autoSpaceDN w:val="0"/>
              <w:rPr>
                <w:rFonts w:ascii="Arial"/>
                <w:b w:val="0"/>
                <w:bCs w:val="0"/>
                <w:sz w:val="21"/>
              </w:rPr>
            </w:pPr>
          </w:p>
        </w:tc>
      </w:tr>
      <w:tr w14:paraId="50775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697" w:type="dxa"/>
            <w:vAlign w:val="top"/>
          </w:tcPr>
          <w:p w14:paraId="61162447">
            <w:pPr>
              <w:pStyle w:val="251"/>
              <w:autoSpaceDE w:val="0"/>
              <w:autoSpaceDN w:val="0"/>
              <w:spacing w:before="86" w:line="237" w:lineRule="auto"/>
              <w:ind w:left="295"/>
              <w:rPr>
                <w:b w:val="0"/>
                <w:bCs w:val="0"/>
              </w:rPr>
            </w:pPr>
            <w:r>
              <w:rPr>
                <w:b w:val="0"/>
                <w:bCs w:val="0"/>
              </w:rPr>
              <w:t>3</w:t>
            </w:r>
          </w:p>
        </w:tc>
        <w:tc>
          <w:tcPr>
            <w:tcW w:w="1896" w:type="dxa"/>
            <w:vAlign w:val="top"/>
          </w:tcPr>
          <w:p w14:paraId="5E880D1E">
            <w:pPr>
              <w:pStyle w:val="251"/>
              <w:autoSpaceDE w:val="0"/>
              <w:autoSpaceDN w:val="0"/>
              <w:spacing w:before="187" w:line="175" w:lineRule="exact"/>
              <w:ind w:left="123"/>
              <w:rPr>
                <w:b w:val="0"/>
                <w:bCs w:val="0"/>
              </w:rPr>
            </w:pPr>
            <w:r>
              <w:rPr>
                <w:b w:val="0"/>
                <w:bCs w:val="0"/>
                <w:position w:val="-3"/>
              </w:rPr>
              <w:t>…</w:t>
            </w:r>
          </w:p>
        </w:tc>
        <w:tc>
          <w:tcPr>
            <w:tcW w:w="1613" w:type="dxa"/>
            <w:vAlign w:val="top"/>
          </w:tcPr>
          <w:p w14:paraId="087ED83A">
            <w:pPr>
              <w:autoSpaceDE w:val="0"/>
              <w:autoSpaceDN w:val="0"/>
              <w:rPr>
                <w:rFonts w:ascii="Arial"/>
                <w:b w:val="0"/>
                <w:bCs w:val="0"/>
                <w:sz w:val="21"/>
              </w:rPr>
            </w:pPr>
          </w:p>
        </w:tc>
        <w:tc>
          <w:tcPr>
            <w:tcW w:w="999" w:type="dxa"/>
            <w:vAlign w:val="top"/>
          </w:tcPr>
          <w:p w14:paraId="740DD5A6">
            <w:pPr>
              <w:autoSpaceDE w:val="0"/>
              <w:autoSpaceDN w:val="0"/>
              <w:rPr>
                <w:rFonts w:ascii="Arial"/>
                <w:b w:val="0"/>
                <w:bCs w:val="0"/>
                <w:sz w:val="21"/>
              </w:rPr>
            </w:pPr>
          </w:p>
        </w:tc>
        <w:tc>
          <w:tcPr>
            <w:tcW w:w="1952" w:type="dxa"/>
            <w:vAlign w:val="top"/>
          </w:tcPr>
          <w:p w14:paraId="1025B115">
            <w:pPr>
              <w:autoSpaceDE w:val="0"/>
              <w:autoSpaceDN w:val="0"/>
              <w:rPr>
                <w:rFonts w:ascii="Arial"/>
                <w:b w:val="0"/>
                <w:bCs w:val="0"/>
                <w:sz w:val="21"/>
              </w:rPr>
            </w:pPr>
          </w:p>
        </w:tc>
        <w:tc>
          <w:tcPr>
            <w:tcW w:w="1306" w:type="dxa"/>
            <w:vAlign w:val="top"/>
          </w:tcPr>
          <w:p w14:paraId="5F436836">
            <w:pPr>
              <w:autoSpaceDE w:val="0"/>
              <w:autoSpaceDN w:val="0"/>
              <w:rPr>
                <w:rFonts w:ascii="Arial"/>
                <w:b w:val="0"/>
                <w:bCs w:val="0"/>
                <w:sz w:val="21"/>
              </w:rPr>
            </w:pPr>
          </w:p>
        </w:tc>
      </w:tr>
      <w:tr w14:paraId="45A34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205" w:type="dxa"/>
            <w:gridSpan w:val="4"/>
            <w:vAlign w:val="top"/>
          </w:tcPr>
          <w:p w14:paraId="76595154">
            <w:pPr>
              <w:pStyle w:val="251"/>
              <w:autoSpaceDE w:val="0"/>
              <w:autoSpaceDN w:val="0"/>
              <w:spacing w:before="89" w:line="218" w:lineRule="auto"/>
              <w:ind w:left="2206"/>
              <w:rPr>
                <w:b w:val="0"/>
                <w:bCs w:val="0"/>
              </w:rPr>
            </w:pPr>
            <w:r>
              <w:rPr>
                <w:b w:val="0"/>
                <w:bCs w:val="0"/>
                <w:spacing w:val="-6"/>
              </w:rPr>
              <w:t>总价（元）</w:t>
            </w:r>
          </w:p>
        </w:tc>
        <w:tc>
          <w:tcPr>
            <w:tcW w:w="1952" w:type="dxa"/>
            <w:vAlign w:val="top"/>
          </w:tcPr>
          <w:p w14:paraId="64D9E826">
            <w:pPr>
              <w:autoSpaceDE w:val="0"/>
              <w:autoSpaceDN w:val="0"/>
              <w:rPr>
                <w:rFonts w:ascii="Arial"/>
                <w:b w:val="0"/>
                <w:bCs w:val="0"/>
                <w:sz w:val="21"/>
              </w:rPr>
            </w:pPr>
          </w:p>
        </w:tc>
        <w:tc>
          <w:tcPr>
            <w:tcW w:w="1306" w:type="dxa"/>
            <w:vAlign w:val="top"/>
          </w:tcPr>
          <w:p w14:paraId="25699199">
            <w:pPr>
              <w:autoSpaceDE w:val="0"/>
              <w:autoSpaceDN w:val="0"/>
              <w:rPr>
                <w:rFonts w:ascii="Arial"/>
                <w:b w:val="0"/>
                <w:bCs w:val="0"/>
                <w:sz w:val="21"/>
              </w:rPr>
            </w:pPr>
          </w:p>
        </w:tc>
      </w:tr>
    </w:tbl>
    <w:p w14:paraId="2BA846D5">
      <w:pPr>
        <w:shd w:val="clear" w:color="auto" w:fill="auto"/>
        <w:tabs>
          <w:tab w:val="left" w:pos="1800"/>
          <w:tab w:val="left" w:pos="5580"/>
        </w:tabs>
        <w:jc w:val="left"/>
        <w:rPr>
          <w:rFonts w:hint="eastAsia" w:ascii="仿宋" w:hAnsi="仿宋" w:eastAsia="仿宋" w:cs="仿宋"/>
          <w:color w:val="auto"/>
          <w:sz w:val="24"/>
          <w:highlight w:val="none"/>
        </w:rPr>
      </w:pPr>
    </w:p>
    <w:p w14:paraId="04C80004">
      <w:pPr>
        <w:shd w:val="clear" w:color="auto" w:fill="auto"/>
        <w:tabs>
          <w:tab w:val="left" w:pos="1800"/>
          <w:tab w:val="left" w:pos="5580"/>
        </w:tabs>
        <w:jc w:val="left"/>
        <w:rPr>
          <w:rFonts w:hint="eastAsia" w:ascii="仿宋" w:hAnsi="仿宋" w:eastAsia="仿宋" w:cs="仿宋"/>
          <w:color w:val="auto"/>
          <w:sz w:val="24"/>
          <w:highlight w:val="none"/>
        </w:rPr>
      </w:pPr>
    </w:p>
    <w:p w14:paraId="6F73B92A">
      <w:pPr>
        <w:shd w:val="clear" w:color="auto" w:fill="auto"/>
        <w:tabs>
          <w:tab w:val="left" w:pos="1800"/>
          <w:tab w:val="left" w:pos="5580"/>
        </w:tabs>
        <w:jc w:val="left"/>
        <w:rPr>
          <w:rFonts w:hint="eastAsia" w:ascii="仿宋" w:hAnsi="仿宋" w:eastAsia="仿宋" w:cs="仿宋"/>
          <w:color w:val="auto"/>
          <w:sz w:val="24"/>
          <w:highlight w:val="none"/>
        </w:rPr>
      </w:pPr>
    </w:p>
    <w:p w14:paraId="2B7BE89D">
      <w:pPr>
        <w:shd w:val="clear" w:color="auto" w:fill="auto"/>
        <w:tabs>
          <w:tab w:val="left" w:pos="1800"/>
          <w:tab w:val="left" w:pos="5580"/>
        </w:tabs>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注：1.本表应按包分别填写。</w:t>
      </w:r>
    </w:p>
    <w:p w14:paraId="486D1D55">
      <w:pPr>
        <w:shd w:val="clear" w:color="auto" w:fill="auto"/>
        <w:tabs>
          <w:tab w:val="left" w:pos="1800"/>
          <w:tab w:val="left" w:pos="5580"/>
        </w:tabs>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2.上述各项的详细规格（如有），可另页描述。</w:t>
      </w:r>
    </w:p>
    <w:p w14:paraId="18F42C37">
      <w:pPr>
        <w:shd w:val="clear" w:color="auto" w:fill="auto"/>
        <w:tabs>
          <w:tab w:val="left" w:pos="1800"/>
          <w:tab w:val="left" w:pos="5580"/>
        </w:tabs>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3.此表无需在响应文件中提交，磋商后供应商按磋商小组要求提交。</w:t>
      </w:r>
    </w:p>
    <w:p w14:paraId="050FFA64">
      <w:pPr>
        <w:shd w:val="clear" w:color="auto" w:fill="auto"/>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p>
    <w:p w14:paraId="184312A8">
      <w:pPr>
        <w:shd w:val="clear" w:color="auto" w:fill="auto"/>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r>
        <w:rPr>
          <w:rFonts w:hint="eastAsia" w:ascii="仿宋" w:hAnsi="仿宋" w:eastAsia="仿宋" w:cs="仿宋"/>
          <w:color w:val="auto"/>
          <w:kern w:val="0"/>
          <w:sz w:val="24"/>
          <w:highlight w:val="none"/>
        </w:rPr>
        <w:t>供应商授权代表签字（或加盖供应商公章）</w:t>
      </w:r>
      <w:r>
        <w:rPr>
          <w:rFonts w:hint="eastAsia" w:ascii="仿宋" w:hAnsi="仿宋" w:eastAsia="仿宋" w:cs="仿宋"/>
          <w:color w:val="auto"/>
          <w:sz w:val="24"/>
          <w:highlight w:val="none"/>
          <w:lang w:val="zh-CN"/>
        </w:rPr>
        <w:t>：____________</w:t>
      </w:r>
    </w:p>
    <w:p w14:paraId="47AD1B31">
      <w:pPr>
        <w:shd w:val="clear" w:color="auto" w:fill="auto"/>
        <w:autoSpaceDE w:val="0"/>
        <w:autoSpaceDN w:val="0"/>
        <w:adjustRightInd w:val="0"/>
        <w:snapToGrid w:val="0"/>
        <w:spacing w:before="25" w:after="25" w:line="360" w:lineRule="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szCs w:val="20"/>
          <w:highlight w:val="none"/>
        </w:rPr>
        <w:t>日期：____年____月____日</w:t>
      </w:r>
    </w:p>
    <w:p w14:paraId="2CFD3FDC">
      <w:pPr>
        <w:shd w:val="clear" w:color="auto" w:fill="auto"/>
        <w:tabs>
          <w:tab w:val="left" w:pos="360"/>
        </w:tabs>
        <w:snapToGrid w:val="0"/>
        <w:spacing w:line="360" w:lineRule="auto"/>
        <w:outlineLvl w:val="1"/>
        <w:rPr>
          <w:rFonts w:hint="eastAsia" w:ascii="仿宋" w:hAnsi="仿宋" w:eastAsia="仿宋" w:cs="仿宋"/>
          <w:color w:val="auto"/>
          <w:highlight w:val="none"/>
        </w:rPr>
      </w:pPr>
      <w:r>
        <w:rPr>
          <w:rFonts w:hint="eastAsia" w:ascii="仿宋" w:hAnsi="仿宋" w:eastAsia="仿宋" w:cs="仿宋"/>
          <w:b/>
          <w:color w:val="auto"/>
          <w:sz w:val="36"/>
          <w:szCs w:val="36"/>
          <w:highlight w:val="none"/>
        </w:rPr>
        <w:br w:type="page"/>
      </w: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成交服务费承诺书</w:t>
      </w:r>
    </w:p>
    <w:p w14:paraId="73B8751C">
      <w:pPr>
        <w:shd w:val="clear" w:color="auto" w:fill="auto"/>
        <w:spacing w:line="480" w:lineRule="auto"/>
        <w:rPr>
          <w:rFonts w:hint="eastAsia" w:ascii="仿宋" w:hAnsi="仿宋" w:eastAsia="仿宋" w:cs="仿宋"/>
          <w:color w:val="auto"/>
          <w:sz w:val="24"/>
          <w:highlight w:val="none"/>
        </w:rPr>
      </w:pPr>
    </w:p>
    <w:p w14:paraId="47BCAB08">
      <w:pPr>
        <w:shd w:val="clear" w:color="auto" w:fill="auto"/>
        <w:spacing w:line="480" w:lineRule="auto"/>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rPr>
        <w:t>致：</w:t>
      </w:r>
      <w:r>
        <w:rPr>
          <w:rFonts w:hint="eastAsia" w:ascii="仿宋" w:hAnsi="仿宋" w:eastAsia="仿宋" w:cs="仿宋"/>
          <w:b/>
          <w:color w:val="auto"/>
          <w:position w:val="2"/>
          <w:sz w:val="24"/>
          <w:highlight w:val="none"/>
          <w:u w:val="single"/>
        </w:rPr>
        <w:t>中钰招标有限公司</w:t>
      </w:r>
    </w:p>
    <w:p w14:paraId="50B4F1D8">
      <w:pPr>
        <w:widowControl/>
        <w:shd w:val="clear" w:color="auto" w:fill="auto"/>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我公司在贵公司组织的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）采购中若获</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rPr>
        <w:t>，我公司保证在领取</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rPr>
        <w:t>通知书时按磋商文件的规定，以电汇或现金，向贵公司一次性支付应该交纳的成交服务费用。</w:t>
      </w:r>
    </w:p>
    <w:p w14:paraId="371ED802">
      <w:pPr>
        <w:shd w:val="clear" w:color="auto" w:fill="auto"/>
        <w:spacing w:line="360" w:lineRule="auto"/>
        <w:rPr>
          <w:rFonts w:hint="eastAsia" w:ascii="仿宋" w:hAnsi="仿宋" w:eastAsia="仿宋" w:cs="仿宋"/>
          <w:color w:val="auto"/>
          <w:sz w:val="24"/>
          <w:highlight w:val="none"/>
        </w:rPr>
      </w:pPr>
    </w:p>
    <w:p w14:paraId="7DD50E8A">
      <w:pPr>
        <w:shd w:val="clear" w:color="auto" w:fill="auto"/>
        <w:spacing w:line="360" w:lineRule="auto"/>
        <w:rPr>
          <w:rFonts w:hint="eastAsia" w:ascii="仿宋" w:hAnsi="仿宋" w:eastAsia="仿宋" w:cs="仿宋"/>
          <w:color w:val="auto"/>
          <w:sz w:val="24"/>
          <w:highlight w:val="none"/>
        </w:rPr>
      </w:pPr>
    </w:p>
    <w:p w14:paraId="66F43350">
      <w:pPr>
        <w:shd w:val="clear" w:color="auto" w:fill="auto"/>
        <w:spacing w:line="360" w:lineRule="auto"/>
        <w:rPr>
          <w:rFonts w:hint="eastAsia" w:ascii="仿宋" w:hAnsi="仿宋" w:eastAsia="仿宋" w:cs="仿宋"/>
          <w:color w:val="auto"/>
          <w:sz w:val="24"/>
          <w:highlight w:val="none"/>
        </w:rPr>
      </w:pPr>
    </w:p>
    <w:p w14:paraId="4BBBCD80">
      <w:pPr>
        <w:shd w:val="clear" w:color="auto" w:fill="auto"/>
        <w:spacing w:line="360" w:lineRule="auto"/>
        <w:rPr>
          <w:rFonts w:hint="eastAsia" w:ascii="仿宋" w:hAnsi="仿宋" w:eastAsia="仿宋" w:cs="仿宋"/>
          <w:color w:val="auto"/>
          <w:sz w:val="24"/>
          <w:highlight w:val="none"/>
        </w:rPr>
      </w:pPr>
    </w:p>
    <w:p w14:paraId="1F1DFB68">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73A425BE">
      <w:pPr>
        <w:shd w:val="clear" w:color="auto" w:fill="auto"/>
        <w:spacing w:line="360" w:lineRule="auto"/>
        <w:rPr>
          <w:rFonts w:hint="eastAsia" w:ascii="仿宋" w:hAnsi="仿宋" w:eastAsia="仿宋" w:cs="仿宋"/>
          <w:color w:val="auto"/>
          <w:sz w:val="24"/>
          <w:highlight w:val="none"/>
        </w:rPr>
      </w:pPr>
    </w:p>
    <w:p w14:paraId="30B55138">
      <w:pPr>
        <w:shd w:val="clear" w:color="auto" w:fill="auto"/>
        <w:spacing w:line="360" w:lineRule="auto"/>
        <w:rPr>
          <w:rFonts w:hint="eastAsia" w:ascii="仿宋" w:hAnsi="仿宋" w:eastAsia="仿宋" w:cs="仿宋"/>
          <w:color w:val="auto"/>
          <w:sz w:val="24"/>
          <w:highlight w:val="none"/>
        </w:rPr>
      </w:pPr>
    </w:p>
    <w:p w14:paraId="392EF78D">
      <w:pPr>
        <w:shd w:val="clear" w:color="auto" w:fill="auto"/>
        <w:spacing w:line="360" w:lineRule="auto"/>
        <w:rPr>
          <w:rFonts w:hint="eastAsia" w:ascii="仿宋" w:hAnsi="仿宋" w:eastAsia="仿宋" w:cs="仿宋"/>
          <w:color w:val="auto"/>
          <w:sz w:val="24"/>
          <w:highlight w:val="none"/>
        </w:rPr>
      </w:pPr>
    </w:p>
    <w:p w14:paraId="7C8282DD">
      <w:pPr>
        <w:shd w:val="clear" w:color="auto" w:fill="auto"/>
        <w:spacing w:line="360" w:lineRule="auto"/>
        <w:rPr>
          <w:rFonts w:hint="eastAsia" w:ascii="仿宋" w:hAnsi="仿宋" w:eastAsia="仿宋" w:cs="仿宋"/>
          <w:color w:val="auto"/>
          <w:sz w:val="24"/>
          <w:highlight w:val="none"/>
        </w:rPr>
      </w:pPr>
    </w:p>
    <w:p w14:paraId="10A07CBC">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（承诺方盖章）</w:t>
      </w:r>
    </w:p>
    <w:p w14:paraId="7563CB20">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067958FB">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510454B7">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92924D8">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51DAB5E">
      <w:pPr>
        <w:pStyle w:val="41"/>
        <w:shd w:val="clear" w:color="auto" w:fill="auto"/>
        <w:ind w:firstLine="0" w:firstLineChars="0"/>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55509F3B">
      <w:pPr>
        <w:shd w:val="clear" w:color="auto" w:fill="auto"/>
        <w:tabs>
          <w:tab w:val="left" w:pos="360"/>
        </w:tabs>
        <w:snapToGrid w:val="0"/>
        <w:spacing w:line="360" w:lineRule="auto"/>
        <w:outlineLvl w:val="1"/>
        <w:rPr>
          <w:rFonts w:hint="eastAsia" w:ascii="仿宋" w:hAnsi="仿宋" w:eastAsia="仿宋" w:cs="仿宋"/>
          <w:color w:val="auto"/>
          <w:szCs w:val="20"/>
          <w:highlight w:val="none"/>
        </w:rPr>
      </w:pPr>
      <w:r>
        <w:rPr>
          <w:rFonts w:hint="eastAsia" w:ascii="仿宋" w:hAnsi="仿宋" w:eastAsia="仿宋" w:cs="仿宋"/>
          <w:color w:val="auto"/>
          <w:sz w:val="24"/>
          <w:szCs w:val="20"/>
          <w:highlight w:val="none"/>
        </w:rPr>
        <w:br w:type="page"/>
      </w:r>
      <w:r>
        <w:rPr>
          <w:rFonts w:hint="eastAsia" w:ascii="仿宋" w:hAnsi="仿宋" w:eastAsia="仿宋" w:cs="仿宋"/>
          <w:b/>
          <w:color w:val="auto"/>
          <w:sz w:val="28"/>
          <w:szCs w:val="36"/>
          <w:highlight w:val="none"/>
        </w:rPr>
        <w:t>附件1：关于印发中小企业划型标准规定的通知（不属于响应文件格式，仅作为判断中小企业的依据）</w:t>
      </w:r>
    </w:p>
    <w:p w14:paraId="6B209A5A">
      <w:pPr>
        <w:widowControl/>
        <w:shd w:val="clear" w:color="auto" w:fill="auto"/>
        <w:spacing w:line="750" w:lineRule="atLeast"/>
        <w:jc w:val="center"/>
        <w:textAlignment w:val="baseline"/>
        <w:rPr>
          <w:rFonts w:hint="eastAsia" w:ascii="仿宋" w:hAnsi="仿宋" w:eastAsia="仿宋" w:cs="仿宋"/>
          <w:color w:val="auto"/>
          <w:sz w:val="24"/>
          <w:highlight w:val="none"/>
        </w:rPr>
      </w:pPr>
      <w:bookmarkStart w:id="746" w:name="_Toc31978"/>
      <w:r>
        <w:rPr>
          <w:rFonts w:hint="eastAsia" w:ascii="仿宋" w:hAnsi="仿宋" w:eastAsia="仿宋" w:cs="仿宋"/>
          <w:color w:val="auto"/>
          <w:sz w:val="24"/>
          <w:highlight w:val="none"/>
          <w:shd w:val="clear" w:color="auto" w:fill="FFFFFF"/>
        </w:rPr>
        <w:t>工信部联企业〔2011〕300号</w:t>
      </w:r>
      <w:bookmarkEnd w:id="746"/>
    </w:p>
    <w:p w14:paraId="5A0524EC">
      <w:pPr>
        <w:pStyle w:val="37"/>
        <w:shd w:val="clear" w:color="auto" w:fill="auto"/>
        <w:spacing w:before="0" w:beforeAutospacing="0" w:after="0" w:afterAutospacing="0" w:line="560" w:lineRule="atLeast"/>
        <w:textAlignment w:val="baseline"/>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各省、自治区、直辖市人民政府，国务院各部委、各直属机构及有关单位：</w:t>
      </w:r>
    </w:p>
    <w:p w14:paraId="4FFC56AA">
      <w:pPr>
        <w:pStyle w:val="37"/>
        <w:shd w:val="clear" w:color="auto" w:fill="auto"/>
        <w:spacing w:before="0" w:beforeAutospacing="0" w:after="0" w:afterAutospacing="0" w:line="560" w:lineRule="atLeast"/>
        <w:textAlignment w:val="baseline"/>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3D22E174">
      <w:pPr>
        <w:pStyle w:val="37"/>
        <w:shd w:val="clear" w:color="auto" w:fill="auto"/>
        <w:spacing w:before="0" w:beforeAutospacing="0" w:after="0" w:afterAutospacing="0" w:line="560" w:lineRule="atLeast"/>
        <w:jc w:val="right"/>
        <w:textAlignment w:val="baseline"/>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工业和信息化部</w:t>
      </w:r>
    </w:p>
    <w:p w14:paraId="0AD4D228">
      <w:pPr>
        <w:pStyle w:val="37"/>
        <w:shd w:val="clear" w:color="auto" w:fill="auto"/>
        <w:spacing w:before="0" w:beforeAutospacing="0" w:after="0" w:afterAutospacing="0" w:line="560" w:lineRule="atLeast"/>
        <w:jc w:val="right"/>
        <w:textAlignment w:val="baseline"/>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国家统计局</w:t>
      </w:r>
    </w:p>
    <w:p w14:paraId="0A40C31E">
      <w:pPr>
        <w:pStyle w:val="37"/>
        <w:shd w:val="clear" w:color="auto" w:fill="auto"/>
        <w:spacing w:before="0" w:beforeAutospacing="0" w:after="0" w:afterAutospacing="0" w:line="560" w:lineRule="atLeast"/>
        <w:jc w:val="right"/>
        <w:textAlignment w:val="baseline"/>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国家发展和改革委员会</w:t>
      </w:r>
    </w:p>
    <w:p w14:paraId="23D0B27D">
      <w:pPr>
        <w:pStyle w:val="37"/>
        <w:shd w:val="clear" w:color="auto" w:fill="auto"/>
        <w:spacing w:before="0" w:beforeAutospacing="0" w:after="0" w:afterAutospacing="0" w:line="560" w:lineRule="atLeast"/>
        <w:jc w:val="right"/>
        <w:textAlignment w:val="baseline"/>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财政部</w:t>
      </w:r>
    </w:p>
    <w:p w14:paraId="2B8AD641">
      <w:pPr>
        <w:pStyle w:val="37"/>
        <w:shd w:val="clear" w:color="auto" w:fill="auto"/>
        <w:spacing w:before="0" w:beforeAutospacing="0" w:after="0" w:afterAutospacing="0" w:line="560" w:lineRule="atLeast"/>
        <w:jc w:val="right"/>
        <w:textAlignment w:val="baseline"/>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二○一一年六月十八日</w:t>
      </w:r>
    </w:p>
    <w:p w14:paraId="5383FBA3">
      <w:pPr>
        <w:pStyle w:val="37"/>
        <w:shd w:val="clear" w:color="auto" w:fill="auto"/>
        <w:spacing w:before="0" w:beforeAutospacing="0" w:after="0" w:afterAutospacing="0" w:line="360" w:lineRule="auto"/>
        <w:jc w:val="center"/>
        <w:textAlignment w:val="baseline"/>
        <w:rPr>
          <w:rFonts w:hint="eastAsia" w:ascii="仿宋" w:hAnsi="仿宋" w:eastAsia="仿宋" w:cs="仿宋"/>
          <w:color w:val="auto"/>
          <w:highlight w:val="none"/>
        </w:rPr>
      </w:pPr>
      <w:r>
        <w:rPr>
          <w:rStyle w:val="47"/>
          <w:rFonts w:hint="eastAsia" w:ascii="仿宋" w:hAnsi="仿宋" w:eastAsia="仿宋" w:cs="仿宋"/>
          <w:color w:val="auto"/>
          <w:highlight w:val="none"/>
          <w:shd w:val="clear" w:color="auto" w:fill="FFFFFF"/>
        </w:rPr>
        <w:t>中小企业划型标准规定</w:t>
      </w:r>
    </w:p>
    <w:p w14:paraId="696238FD">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一、根据《中华人民共和国中小企业促进法》和《国务院关于进一步促进中小企业发展的若干意见》(国发〔2009〕36号)，制定本规定。</w:t>
      </w:r>
    </w:p>
    <w:p w14:paraId="2B216410">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二、中小企业划分为中型、小型、微型三种类型，具体标准根据企业从业人员、营业收入、资产总额等指标，结合行业特点制定。</w:t>
      </w:r>
    </w:p>
    <w:p w14:paraId="30A55A82">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AD7E6BA">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四、各行业划型标准为：</w:t>
      </w:r>
    </w:p>
    <w:p w14:paraId="3AC86BA8">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310726E3">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570BB1">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E0FA036">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A62C57C">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9AB1F7F">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68BA0CB">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4FF2092">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E41F8C2">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FE65D7">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w:t>
      </w:r>
      <w:r>
        <w:rPr>
          <w:rFonts w:hint="eastAsia" w:ascii="仿宋" w:hAnsi="仿宋" w:eastAsia="仿宋" w:cs="仿宋"/>
          <w:b/>
          <w:bCs/>
          <w:color w:val="auto"/>
          <w:sz w:val="24"/>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939B188">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510F940">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74329C8">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56C6A05">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304CA7C">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w:t>
      </w:r>
      <w:r>
        <w:rPr>
          <w:rFonts w:hint="eastAsia" w:ascii="仿宋" w:hAnsi="仿宋" w:eastAsia="仿宋" w:cs="仿宋"/>
          <w:b w:val="0"/>
          <w:bCs w:val="0"/>
          <w:color w:val="auto"/>
          <w:sz w:val="24"/>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6FE00FE">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14:paraId="458A2326">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五、企业类型的划分以统计部门的统计数据为依据。</w:t>
      </w:r>
    </w:p>
    <w:p w14:paraId="586A2874">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六、本规定适用于在中华人民共和国境内依法设立的各类所有制和各种组织形式的企业。个体工商户和本规定以外的行业，参照本规定进行划型。</w:t>
      </w:r>
    </w:p>
    <w:p w14:paraId="66120C8C">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13C6D1EF">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八、本规定由工业和信息化部、国家统计局会同有关部门根据《国民经济行业分类》修订情况和企业发展变化情况适时修订。</w:t>
      </w:r>
    </w:p>
    <w:p w14:paraId="3D7D4029">
      <w:pPr>
        <w:shd w:val="clear" w:color="auto" w:fill="auto"/>
        <w:spacing w:line="360" w:lineRule="auto"/>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九、本规定由工业和信息化部、国家统计局会同有关部门负责解释。</w:t>
      </w:r>
    </w:p>
    <w:p w14:paraId="0C42F3ED">
      <w:pPr>
        <w:shd w:val="clear" w:color="auto" w:fill="auto"/>
        <w:spacing w:line="360" w:lineRule="auto"/>
        <w:rPr>
          <w:rFonts w:hint="eastAsia" w:ascii="仿宋" w:hAnsi="仿宋" w:eastAsia="仿宋" w:cs="仿宋"/>
          <w:color w:val="auto"/>
          <w:highlight w:val="none"/>
        </w:rPr>
      </w:pPr>
      <w:r>
        <w:rPr>
          <w:rFonts w:hint="eastAsia" w:ascii="仿宋" w:hAnsi="仿宋" w:eastAsia="仿宋" w:cs="仿宋"/>
          <w:color w:val="auto"/>
          <w:sz w:val="24"/>
          <w:highlight w:val="none"/>
          <w:shd w:val="clear" w:color="auto" w:fill="FFFFFF"/>
        </w:rPr>
        <w:t>　　十、本规定自发布之日起执行，原国家经贸委、原国家计委、财政部和国家统计局2003年颁布的《中小企业标准暂行规定》同时废止。</w:t>
      </w:r>
    </w:p>
    <w:p w14:paraId="5E4EECC7">
      <w:pPr>
        <w:shd w:val="clear" w:color="auto" w:fill="auto"/>
        <w:autoSpaceDE w:val="0"/>
        <w:autoSpaceDN w:val="0"/>
        <w:adjustRightInd w:val="0"/>
        <w:snapToGrid w:val="0"/>
        <w:spacing w:before="25" w:after="25" w:line="360" w:lineRule="auto"/>
        <w:rPr>
          <w:rFonts w:hint="eastAsia" w:ascii="仿宋" w:hAnsi="仿宋" w:eastAsia="仿宋" w:cs="仿宋"/>
          <w:color w:val="auto"/>
          <w:sz w:val="24"/>
          <w:highlight w:val="none"/>
        </w:rPr>
      </w:pPr>
    </w:p>
    <w:p w14:paraId="7CEB22E8">
      <w:pPr>
        <w:rPr>
          <w:rFonts w:hint="eastAsia" w:ascii="仿宋" w:hAnsi="仿宋" w:eastAsia="仿宋" w:cs="仿宋"/>
          <w:highlight w:val="none"/>
        </w:rPr>
      </w:pPr>
    </w:p>
    <w:p w14:paraId="53C60A28">
      <w:pPr>
        <w:shd w:val="clear" w:color="auto" w:fill="auto"/>
        <w:tabs>
          <w:tab w:val="left" w:pos="1800"/>
          <w:tab w:val="left" w:pos="5580"/>
        </w:tabs>
        <w:jc w:val="left"/>
        <w:rPr>
          <w:rFonts w:hint="eastAsia" w:ascii="仿宋" w:hAnsi="仿宋" w:eastAsia="仿宋" w:cs="仿宋"/>
          <w:color w:val="auto"/>
          <w:sz w:val="24"/>
          <w:highlight w:val="none"/>
        </w:rPr>
      </w:pPr>
    </w:p>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C2FA6">
    <w:pPr>
      <w:pStyle w:val="28"/>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E7B1D">
    <w:pPr>
      <w:spacing w:line="229" w:lineRule="auto"/>
      <w:ind w:left="4481"/>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D1989">
                          <w:pPr>
                            <w:pStyle w:val="2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7CD1989">
                    <w:pPr>
                      <w:pStyle w:val="2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0F456">
    <w:pPr>
      <w:pStyle w:val="28"/>
      <w:spacing w:beforeLines="0" w:afterLines="0"/>
      <w:rPr>
        <w:rFonts w:hint="default"/>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E5F68">
                          <w:pPr>
                            <w:pStyle w:val="2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E3E5F68">
                    <w:pPr>
                      <w:pStyle w:val="2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7F733">
    <w:pPr>
      <w:pStyle w:val="28"/>
      <w:framePr w:wrap="around" w:vAnchor="text" w:hAnchor="margin" w:xAlign="right" w:y="1"/>
      <w:rPr>
        <w:rStyle w:val="48"/>
      </w:rPr>
    </w:pPr>
    <w:r>
      <w:fldChar w:fldCharType="begin"/>
    </w:r>
    <w:r>
      <w:rPr>
        <w:rStyle w:val="48"/>
      </w:rPr>
      <w:instrText xml:space="preserve">PAGE  </w:instrText>
    </w:r>
    <w:r>
      <w:fldChar w:fldCharType="end"/>
    </w:r>
  </w:p>
  <w:p w14:paraId="7605A63F">
    <w:pPr>
      <w:pStyle w:val="28"/>
      <w:ind w:right="360"/>
    </w:pPr>
  </w:p>
  <w:p w14:paraId="5A8BD04B"/>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04DA4">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A2E9B">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DBC6C">
    <w:pPr>
      <w:pStyle w:val="28"/>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849DE">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BE849DE">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B5785">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47BF6">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2E47BF6">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FC56C">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ED218">
                          <w:pPr>
                            <w:pStyle w:val="2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C3ED218">
                    <w:pPr>
                      <w:pStyle w:val="2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C2844">
    <w:pPr>
      <w:spacing w:line="229" w:lineRule="auto"/>
      <w:ind w:left="4485"/>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2CA40">
                          <w:pPr>
                            <w:pStyle w:val="2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E52CA40">
                    <w:pPr>
                      <w:pStyle w:val="2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0F23D">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F7E9C">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BCF7E9C">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A4DE9">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AD653">
                          <w:pPr>
                            <w:pStyle w:val="2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3DAD653">
                    <w:pPr>
                      <w:pStyle w:val="2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5D2C">
    <w:pPr>
      <w:spacing w:line="229" w:lineRule="auto"/>
      <w:ind w:left="4485"/>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87770">
                          <w:pPr>
                            <w:pStyle w:val="2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2C87770">
                    <w:pPr>
                      <w:pStyle w:val="2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0E432">
    <w:pPr>
      <w:pStyle w:val="29"/>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3CB6A">
    <w:pPr>
      <w:pStyle w:val="29"/>
    </w:pPr>
  </w:p>
  <w:p w14:paraId="3A63D4DD"/>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5DECA">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F309C">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148FB">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DA3B2">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69E4C">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82520">
    <w:pPr>
      <w:tabs>
        <w:tab w:val="left" w:pos="6140"/>
      </w:tabs>
      <w:spacing w:before="48" w:line="219" w:lineRule="auto"/>
      <w:rPr>
        <w:rFonts w:hint="eastAsia" w:ascii="宋体" w:hAnsi="宋体" w:eastAsia="宋体" w:cs="宋体"/>
        <w:sz w:val="18"/>
        <w:szCs w:val="18"/>
        <w:lang w:eastAsia="zh-CN"/>
      </w:rPr>
    </w:pPr>
    <w:r>
      <w:rPr>
        <w:rFonts w:ascii="宋体" w:hAnsi="宋体" w:eastAsia="宋体" w:cs="宋体"/>
        <w:sz w:val="18"/>
        <w:szCs w:val="18"/>
        <w:u w:val="single" w:color="auto"/>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2C38E">
    <w:pPr>
      <w:tabs>
        <w:tab w:val="left" w:pos="6140"/>
      </w:tabs>
      <w:spacing w:before="48" w:line="219" w:lineRule="auto"/>
      <w:rPr>
        <w:rFonts w:hint="eastAsia" w:ascii="宋体" w:hAnsi="宋体" w:eastAsia="宋体" w:cs="宋体"/>
        <w:sz w:val="18"/>
        <w:szCs w:val="18"/>
        <w:lang w:eastAsia="zh-CN"/>
      </w:rPr>
    </w:pPr>
    <w:r>
      <w:rPr>
        <w:rFonts w:ascii="宋体" w:hAnsi="宋体" w:eastAsia="宋体" w:cs="宋体"/>
        <w:sz w:val="18"/>
        <w:szCs w:val="18"/>
        <w:u w:val="single" w:color="auto"/>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E4266">
    <w:pPr>
      <w:tabs>
        <w:tab w:val="left" w:pos="6140"/>
      </w:tabs>
      <w:spacing w:before="48" w:line="219" w:lineRule="auto"/>
      <w:rPr>
        <w:rFonts w:hint="eastAsia" w:ascii="宋体" w:hAnsi="宋体" w:eastAsia="宋体" w:cs="宋体"/>
        <w:sz w:val="18"/>
        <w:szCs w:val="18"/>
        <w:lang w:eastAsia="zh-CN"/>
      </w:rPr>
    </w:pPr>
    <w:r>
      <w:rPr>
        <w:rFonts w:ascii="宋体" w:hAnsi="宋体" w:eastAsia="宋体" w:cs="宋体"/>
        <w:sz w:val="18"/>
        <w:szCs w:val="18"/>
        <w:u w:val="single" w:color="auto"/>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E4C75">
    <w:pPr>
      <w:pStyle w:val="29"/>
      <w:widowControl w:val="0"/>
      <w:pBdr>
        <w:top w:val="none" w:color="auto" w:sz="0" w:space="1"/>
        <w:left w:val="none" w:color="auto" w:sz="0" w:space="4"/>
        <w:bottom w:val="none" w:color="auto" w:sz="0" w:space="1"/>
        <w:right w:val="none" w:color="auto" w:sz="0" w:space="4"/>
        <w:between w:val="none" w:color="auto" w:sz="0" w:space="0"/>
      </w:pBdr>
      <w:wordWrap w:val="0"/>
      <w:snapToGrid w:val="0"/>
      <w:spacing w:beforeLines="0" w:afterLines="0"/>
      <w:jc w:val="both"/>
      <w:rPr>
        <w:rFonts w:hint="eastAsia" w:ascii="仿宋_GB2312" w:eastAsia="仿宋_GB231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9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4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87"/>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3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3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9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9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8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6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9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0">
    <w:nsid w:val="30B9BB5F"/>
    <w:multiLevelType w:val="singleLevel"/>
    <w:tmpl w:val="30B9BB5F"/>
    <w:lvl w:ilvl="0" w:tentative="0">
      <w:start w:val="2"/>
      <w:numFmt w:val="chineseCounting"/>
      <w:suff w:val="nothing"/>
      <w:lvlText w:val="%1、"/>
      <w:lvlJc w:val="left"/>
      <w:rPr>
        <w:rFonts w:hint="eastAsia"/>
      </w:rPr>
    </w:lvl>
  </w:abstractNum>
  <w:abstractNum w:abstractNumId="11">
    <w:nsid w:val="6808A640"/>
    <w:multiLevelType w:val="singleLevel"/>
    <w:tmpl w:val="6808A640"/>
    <w:lvl w:ilvl="0" w:tentative="0">
      <w:start w:val="1"/>
      <w:numFmt w:val="chineseCounting"/>
      <w:suff w:val="nothing"/>
      <w:lvlText w:val="%1、"/>
      <w:lvlJc w:val="left"/>
      <w:rPr>
        <w:rFonts w:hint="eastAsia"/>
      </w:rPr>
    </w:lvl>
  </w:abstractNum>
  <w:num w:numId="1">
    <w:abstractNumId w:val="4"/>
  </w:num>
  <w:num w:numId="2">
    <w:abstractNumId w:val="2"/>
  </w:num>
  <w:num w:numId="3">
    <w:abstractNumId w:val="5"/>
  </w:num>
  <w:num w:numId="4">
    <w:abstractNumId w:val="3"/>
  </w:num>
  <w:num w:numId="5">
    <w:abstractNumId w:val="7"/>
  </w:num>
  <w:num w:numId="6">
    <w:abstractNumId w:val="1"/>
  </w:num>
  <w:num w:numId="7">
    <w:abstractNumId w:val="8"/>
  </w:num>
  <w:num w:numId="8">
    <w:abstractNumId w:val="6"/>
  </w:num>
  <w:num w:numId="9">
    <w:abstractNumId w:val="0"/>
  </w:num>
  <w:num w:numId="10">
    <w:abstractNumId w:val="1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jYyZTFlNDY3YWU2NzRlZjkxMTEwMDdmNDVhNjU5NzQ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6CA0"/>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1D2B"/>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146"/>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5EDA"/>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7D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DB8"/>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2B1F"/>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7D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5B"/>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50"/>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597"/>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DF2"/>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A1A"/>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991"/>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9F6"/>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43C"/>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AB9"/>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AA0"/>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2E5"/>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C6"/>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78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88"/>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4D7E"/>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D49"/>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CDC"/>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E17"/>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AB"/>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CAB"/>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76B"/>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3F4"/>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0A3"/>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86"/>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17684"/>
    <w:rsid w:val="0107005A"/>
    <w:rsid w:val="010827C0"/>
    <w:rsid w:val="010855B5"/>
    <w:rsid w:val="010D6029"/>
    <w:rsid w:val="01121891"/>
    <w:rsid w:val="01143036"/>
    <w:rsid w:val="011A24F4"/>
    <w:rsid w:val="01422176"/>
    <w:rsid w:val="01536131"/>
    <w:rsid w:val="017165B7"/>
    <w:rsid w:val="0181011E"/>
    <w:rsid w:val="018C0C1D"/>
    <w:rsid w:val="018D0F17"/>
    <w:rsid w:val="019D55FE"/>
    <w:rsid w:val="01A22C15"/>
    <w:rsid w:val="01A46251"/>
    <w:rsid w:val="01BD35AB"/>
    <w:rsid w:val="01D50D80"/>
    <w:rsid w:val="01E64A48"/>
    <w:rsid w:val="01FF1E15"/>
    <w:rsid w:val="020411DA"/>
    <w:rsid w:val="020E3E06"/>
    <w:rsid w:val="0247556A"/>
    <w:rsid w:val="025263E9"/>
    <w:rsid w:val="02816CCE"/>
    <w:rsid w:val="02910A6D"/>
    <w:rsid w:val="02D54924"/>
    <w:rsid w:val="02F96864"/>
    <w:rsid w:val="03004E24"/>
    <w:rsid w:val="03017BE1"/>
    <w:rsid w:val="033A5ABC"/>
    <w:rsid w:val="035C6DF3"/>
    <w:rsid w:val="035E4972"/>
    <w:rsid w:val="037203C5"/>
    <w:rsid w:val="03830824"/>
    <w:rsid w:val="03922815"/>
    <w:rsid w:val="03A502A7"/>
    <w:rsid w:val="03BE7475"/>
    <w:rsid w:val="03CA0FEA"/>
    <w:rsid w:val="03D80B70"/>
    <w:rsid w:val="03DF22BD"/>
    <w:rsid w:val="03EF1A15"/>
    <w:rsid w:val="03FA4266"/>
    <w:rsid w:val="04001E75"/>
    <w:rsid w:val="04117BDE"/>
    <w:rsid w:val="041A1188"/>
    <w:rsid w:val="041B2008"/>
    <w:rsid w:val="041B6CAE"/>
    <w:rsid w:val="04335DA6"/>
    <w:rsid w:val="043B2EAD"/>
    <w:rsid w:val="04425FE9"/>
    <w:rsid w:val="04553F6E"/>
    <w:rsid w:val="047F3D51"/>
    <w:rsid w:val="048B3E34"/>
    <w:rsid w:val="049D113A"/>
    <w:rsid w:val="04A07725"/>
    <w:rsid w:val="04B30C95"/>
    <w:rsid w:val="04B769D7"/>
    <w:rsid w:val="04BA64C7"/>
    <w:rsid w:val="04BB2B23"/>
    <w:rsid w:val="04C9495C"/>
    <w:rsid w:val="04E355EA"/>
    <w:rsid w:val="04F5168B"/>
    <w:rsid w:val="051017B6"/>
    <w:rsid w:val="05203C3C"/>
    <w:rsid w:val="052102F4"/>
    <w:rsid w:val="0523406D"/>
    <w:rsid w:val="052A3D5D"/>
    <w:rsid w:val="052B0602"/>
    <w:rsid w:val="05445D91"/>
    <w:rsid w:val="05595CE0"/>
    <w:rsid w:val="05656433"/>
    <w:rsid w:val="05681A7F"/>
    <w:rsid w:val="057C552B"/>
    <w:rsid w:val="05856AD5"/>
    <w:rsid w:val="0596483F"/>
    <w:rsid w:val="05B6243F"/>
    <w:rsid w:val="05C173E2"/>
    <w:rsid w:val="05ED01D7"/>
    <w:rsid w:val="05F477B7"/>
    <w:rsid w:val="060E4278"/>
    <w:rsid w:val="06253E14"/>
    <w:rsid w:val="06426774"/>
    <w:rsid w:val="06514C09"/>
    <w:rsid w:val="06540256"/>
    <w:rsid w:val="06543641"/>
    <w:rsid w:val="066A7A79"/>
    <w:rsid w:val="06C4579E"/>
    <w:rsid w:val="06C70A28"/>
    <w:rsid w:val="06C85569"/>
    <w:rsid w:val="06DD024B"/>
    <w:rsid w:val="06F15AA5"/>
    <w:rsid w:val="06F37A6F"/>
    <w:rsid w:val="07017849"/>
    <w:rsid w:val="0721638A"/>
    <w:rsid w:val="074309F6"/>
    <w:rsid w:val="074D53D1"/>
    <w:rsid w:val="077A1F3E"/>
    <w:rsid w:val="078E74C5"/>
    <w:rsid w:val="07921036"/>
    <w:rsid w:val="07990616"/>
    <w:rsid w:val="07C1191B"/>
    <w:rsid w:val="07C5765D"/>
    <w:rsid w:val="07EA2C20"/>
    <w:rsid w:val="07EF6488"/>
    <w:rsid w:val="080623A4"/>
    <w:rsid w:val="08193505"/>
    <w:rsid w:val="084410E6"/>
    <w:rsid w:val="08470072"/>
    <w:rsid w:val="085602B5"/>
    <w:rsid w:val="0889068B"/>
    <w:rsid w:val="08A95ADC"/>
    <w:rsid w:val="08CE609D"/>
    <w:rsid w:val="08D86F1C"/>
    <w:rsid w:val="08DB6A0C"/>
    <w:rsid w:val="08DF02AB"/>
    <w:rsid w:val="08FD2E27"/>
    <w:rsid w:val="09290881"/>
    <w:rsid w:val="09436A8B"/>
    <w:rsid w:val="097E74A1"/>
    <w:rsid w:val="097F55EA"/>
    <w:rsid w:val="098350DA"/>
    <w:rsid w:val="099A0675"/>
    <w:rsid w:val="09A45050"/>
    <w:rsid w:val="09B259BF"/>
    <w:rsid w:val="09DF42DA"/>
    <w:rsid w:val="09E576CD"/>
    <w:rsid w:val="09FB1114"/>
    <w:rsid w:val="0A4B5335"/>
    <w:rsid w:val="0A5F5B47"/>
    <w:rsid w:val="0A622F41"/>
    <w:rsid w:val="0A64315D"/>
    <w:rsid w:val="0A706740"/>
    <w:rsid w:val="0A7669ED"/>
    <w:rsid w:val="0A7D5CED"/>
    <w:rsid w:val="0A8A2498"/>
    <w:rsid w:val="0A960E3D"/>
    <w:rsid w:val="0AA51080"/>
    <w:rsid w:val="0AB26E31"/>
    <w:rsid w:val="0AF3003D"/>
    <w:rsid w:val="0B2B3C7B"/>
    <w:rsid w:val="0B4B60CB"/>
    <w:rsid w:val="0B4E34C6"/>
    <w:rsid w:val="0B660C1A"/>
    <w:rsid w:val="0B811AED"/>
    <w:rsid w:val="0BAB0918"/>
    <w:rsid w:val="0BB35A1E"/>
    <w:rsid w:val="0BCA5242"/>
    <w:rsid w:val="0BD51E39"/>
    <w:rsid w:val="0BE82909"/>
    <w:rsid w:val="0BF422BF"/>
    <w:rsid w:val="0BF56037"/>
    <w:rsid w:val="0BF57DE5"/>
    <w:rsid w:val="0C08078A"/>
    <w:rsid w:val="0C0B7609"/>
    <w:rsid w:val="0C5C1C12"/>
    <w:rsid w:val="0C963376"/>
    <w:rsid w:val="0C9910B8"/>
    <w:rsid w:val="0CE02843"/>
    <w:rsid w:val="0CF62067"/>
    <w:rsid w:val="0CFB58CF"/>
    <w:rsid w:val="0D0429D6"/>
    <w:rsid w:val="0D272220"/>
    <w:rsid w:val="0D3D37F2"/>
    <w:rsid w:val="0D4508F8"/>
    <w:rsid w:val="0D7116ED"/>
    <w:rsid w:val="0D8B4B77"/>
    <w:rsid w:val="0D8E04F1"/>
    <w:rsid w:val="0D8E229F"/>
    <w:rsid w:val="0D9C676A"/>
    <w:rsid w:val="0DCB34F3"/>
    <w:rsid w:val="0DF742E8"/>
    <w:rsid w:val="0E100F06"/>
    <w:rsid w:val="0E146C48"/>
    <w:rsid w:val="0E2D1AB8"/>
    <w:rsid w:val="0E2D7D0A"/>
    <w:rsid w:val="0E3015A8"/>
    <w:rsid w:val="0E4F1A2E"/>
    <w:rsid w:val="0E5E1C72"/>
    <w:rsid w:val="0E7D2A40"/>
    <w:rsid w:val="0E7E2314"/>
    <w:rsid w:val="0E9438E5"/>
    <w:rsid w:val="0E9B1118"/>
    <w:rsid w:val="0E9E4472"/>
    <w:rsid w:val="0E9E4764"/>
    <w:rsid w:val="0E9E6F19"/>
    <w:rsid w:val="0EA63619"/>
    <w:rsid w:val="0EA87391"/>
    <w:rsid w:val="0EAC50D3"/>
    <w:rsid w:val="0ED1410A"/>
    <w:rsid w:val="0EF97BEC"/>
    <w:rsid w:val="0F182768"/>
    <w:rsid w:val="0F596ABB"/>
    <w:rsid w:val="0F6056D0"/>
    <w:rsid w:val="0F7200CA"/>
    <w:rsid w:val="0F9242C9"/>
    <w:rsid w:val="0F955B67"/>
    <w:rsid w:val="0F957915"/>
    <w:rsid w:val="0F9E1AA9"/>
    <w:rsid w:val="0FA1450C"/>
    <w:rsid w:val="10046849"/>
    <w:rsid w:val="10090303"/>
    <w:rsid w:val="10120F66"/>
    <w:rsid w:val="10134CDE"/>
    <w:rsid w:val="10264A11"/>
    <w:rsid w:val="10274C2E"/>
    <w:rsid w:val="10282537"/>
    <w:rsid w:val="10294501"/>
    <w:rsid w:val="1032785A"/>
    <w:rsid w:val="10376C1E"/>
    <w:rsid w:val="10392996"/>
    <w:rsid w:val="103E7FAD"/>
    <w:rsid w:val="10505F32"/>
    <w:rsid w:val="108F4B59"/>
    <w:rsid w:val="10991687"/>
    <w:rsid w:val="10B55BD2"/>
    <w:rsid w:val="10C34956"/>
    <w:rsid w:val="110378AE"/>
    <w:rsid w:val="111D7BC2"/>
    <w:rsid w:val="112A22DF"/>
    <w:rsid w:val="112C24FB"/>
    <w:rsid w:val="115D26B4"/>
    <w:rsid w:val="116B3023"/>
    <w:rsid w:val="11737FAA"/>
    <w:rsid w:val="11943BFC"/>
    <w:rsid w:val="11B322D4"/>
    <w:rsid w:val="11D34725"/>
    <w:rsid w:val="11FD23FD"/>
    <w:rsid w:val="121A6C9D"/>
    <w:rsid w:val="121F5BBC"/>
    <w:rsid w:val="122A6B1E"/>
    <w:rsid w:val="123553DF"/>
    <w:rsid w:val="123F625E"/>
    <w:rsid w:val="12495E0F"/>
    <w:rsid w:val="12577104"/>
    <w:rsid w:val="12794AAC"/>
    <w:rsid w:val="1299771C"/>
    <w:rsid w:val="12B409FA"/>
    <w:rsid w:val="12D6271E"/>
    <w:rsid w:val="12E110C3"/>
    <w:rsid w:val="12EF37E0"/>
    <w:rsid w:val="130152C1"/>
    <w:rsid w:val="13053FF0"/>
    <w:rsid w:val="1326490A"/>
    <w:rsid w:val="133B4C77"/>
    <w:rsid w:val="136840DC"/>
    <w:rsid w:val="139D148E"/>
    <w:rsid w:val="13C7475D"/>
    <w:rsid w:val="13D95AAC"/>
    <w:rsid w:val="13E339A4"/>
    <w:rsid w:val="13EB21F9"/>
    <w:rsid w:val="13F37300"/>
    <w:rsid w:val="13FA6B59"/>
    <w:rsid w:val="14133317"/>
    <w:rsid w:val="14216AFD"/>
    <w:rsid w:val="1468384A"/>
    <w:rsid w:val="146855F8"/>
    <w:rsid w:val="14706BA3"/>
    <w:rsid w:val="149A59CD"/>
    <w:rsid w:val="14E46C49"/>
    <w:rsid w:val="14EA7E15"/>
    <w:rsid w:val="14EF1A59"/>
    <w:rsid w:val="15015A4D"/>
    <w:rsid w:val="15145780"/>
    <w:rsid w:val="151B126A"/>
    <w:rsid w:val="154A6D7F"/>
    <w:rsid w:val="154C4F1A"/>
    <w:rsid w:val="155810FF"/>
    <w:rsid w:val="158D16D2"/>
    <w:rsid w:val="159A3ED7"/>
    <w:rsid w:val="15AA307D"/>
    <w:rsid w:val="15B678A4"/>
    <w:rsid w:val="15BB5BFB"/>
    <w:rsid w:val="15C745A0"/>
    <w:rsid w:val="15C947BC"/>
    <w:rsid w:val="15CE23A2"/>
    <w:rsid w:val="15D05B4B"/>
    <w:rsid w:val="15E45152"/>
    <w:rsid w:val="15E46F00"/>
    <w:rsid w:val="1606156C"/>
    <w:rsid w:val="161377E5"/>
    <w:rsid w:val="1658169C"/>
    <w:rsid w:val="166B13D0"/>
    <w:rsid w:val="167504A0"/>
    <w:rsid w:val="16897AA8"/>
    <w:rsid w:val="16A62408"/>
    <w:rsid w:val="16F21F39"/>
    <w:rsid w:val="16F45869"/>
    <w:rsid w:val="17005FBC"/>
    <w:rsid w:val="174B1F11"/>
    <w:rsid w:val="17A96653"/>
    <w:rsid w:val="17AC7EF2"/>
    <w:rsid w:val="17B172B6"/>
    <w:rsid w:val="17E01616"/>
    <w:rsid w:val="17E4768B"/>
    <w:rsid w:val="17F92A0B"/>
    <w:rsid w:val="17F93E0B"/>
    <w:rsid w:val="18041ADC"/>
    <w:rsid w:val="18047D2E"/>
    <w:rsid w:val="1840063A"/>
    <w:rsid w:val="185C5B9E"/>
    <w:rsid w:val="185F6D12"/>
    <w:rsid w:val="1867206B"/>
    <w:rsid w:val="187327BD"/>
    <w:rsid w:val="189E3CDE"/>
    <w:rsid w:val="18A4506D"/>
    <w:rsid w:val="18B37CD1"/>
    <w:rsid w:val="18C13529"/>
    <w:rsid w:val="18D63C3C"/>
    <w:rsid w:val="18DE057F"/>
    <w:rsid w:val="19045F66"/>
    <w:rsid w:val="190B6E9A"/>
    <w:rsid w:val="192D6E10"/>
    <w:rsid w:val="194F6D87"/>
    <w:rsid w:val="19596F42"/>
    <w:rsid w:val="195A572B"/>
    <w:rsid w:val="195E7D49"/>
    <w:rsid w:val="19614D0C"/>
    <w:rsid w:val="197467ED"/>
    <w:rsid w:val="19CA5F1F"/>
    <w:rsid w:val="19CE2DC7"/>
    <w:rsid w:val="19D379B8"/>
    <w:rsid w:val="19FB6F0E"/>
    <w:rsid w:val="1A0F6516"/>
    <w:rsid w:val="1A491A28"/>
    <w:rsid w:val="1A815666"/>
    <w:rsid w:val="1A9058A9"/>
    <w:rsid w:val="1A9F789A"/>
    <w:rsid w:val="1ABF618E"/>
    <w:rsid w:val="1AD734D7"/>
    <w:rsid w:val="1AF44089"/>
    <w:rsid w:val="1B0157DA"/>
    <w:rsid w:val="1B0E67CD"/>
    <w:rsid w:val="1B1D5FE3"/>
    <w:rsid w:val="1B283968"/>
    <w:rsid w:val="1B3A75C2"/>
    <w:rsid w:val="1B4346C9"/>
    <w:rsid w:val="1B5763C6"/>
    <w:rsid w:val="1B682381"/>
    <w:rsid w:val="1B6D1746"/>
    <w:rsid w:val="1B79458F"/>
    <w:rsid w:val="1B862808"/>
    <w:rsid w:val="1B986D66"/>
    <w:rsid w:val="1B99302C"/>
    <w:rsid w:val="1BAA4748"/>
    <w:rsid w:val="1BB142CC"/>
    <w:rsid w:val="1BC2493B"/>
    <w:rsid w:val="1BE764BD"/>
    <w:rsid w:val="1BF15280"/>
    <w:rsid w:val="1C0C09B0"/>
    <w:rsid w:val="1C1216E4"/>
    <w:rsid w:val="1C124165"/>
    <w:rsid w:val="1C1415B4"/>
    <w:rsid w:val="1C35495A"/>
    <w:rsid w:val="1C455CA5"/>
    <w:rsid w:val="1C4F2064"/>
    <w:rsid w:val="1C60776B"/>
    <w:rsid w:val="1C7865F4"/>
    <w:rsid w:val="1C7A236C"/>
    <w:rsid w:val="1CAC629E"/>
    <w:rsid w:val="1CB25FAA"/>
    <w:rsid w:val="1CC6131B"/>
    <w:rsid w:val="1CD75A11"/>
    <w:rsid w:val="1CD84047"/>
    <w:rsid w:val="1CED1726"/>
    <w:rsid w:val="1CF814E3"/>
    <w:rsid w:val="1D2C69D2"/>
    <w:rsid w:val="1D392227"/>
    <w:rsid w:val="1D75044B"/>
    <w:rsid w:val="1D772D50"/>
    <w:rsid w:val="1D7F5341"/>
    <w:rsid w:val="1D840FC9"/>
    <w:rsid w:val="1D884F5D"/>
    <w:rsid w:val="1D9456B0"/>
    <w:rsid w:val="1D994A74"/>
    <w:rsid w:val="1DA43419"/>
    <w:rsid w:val="1DBA1560"/>
    <w:rsid w:val="1DCD1F90"/>
    <w:rsid w:val="1DEB1048"/>
    <w:rsid w:val="1DF47EFC"/>
    <w:rsid w:val="1DFB74DD"/>
    <w:rsid w:val="1E034679"/>
    <w:rsid w:val="1E087E4C"/>
    <w:rsid w:val="1E3824DF"/>
    <w:rsid w:val="1E3E39E6"/>
    <w:rsid w:val="1E5310C7"/>
    <w:rsid w:val="1E543091"/>
    <w:rsid w:val="1E557266"/>
    <w:rsid w:val="1E6A01BF"/>
    <w:rsid w:val="1E8F6EB8"/>
    <w:rsid w:val="1E9D67E6"/>
    <w:rsid w:val="1EA23DFC"/>
    <w:rsid w:val="1EA5569B"/>
    <w:rsid w:val="1EAB4489"/>
    <w:rsid w:val="1EAF0DE7"/>
    <w:rsid w:val="1EEB23D0"/>
    <w:rsid w:val="1EEC32CA"/>
    <w:rsid w:val="1F0423C1"/>
    <w:rsid w:val="1F066139"/>
    <w:rsid w:val="1F1A6D83"/>
    <w:rsid w:val="1F301408"/>
    <w:rsid w:val="1F3E1D77"/>
    <w:rsid w:val="1F444EB4"/>
    <w:rsid w:val="1F505606"/>
    <w:rsid w:val="1F5E41C7"/>
    <w:rsid w:val="1F672950"/>
    <w:rsid w:val="1F9A0F77"/>
    <w:rsid w:val="1FA140B4"/>
    <w:rsid w:val="1FAE057F"/>
    <w:rsid w:val="1FAF4A23"/>
    <w:rsid w:val="1FB96B79"/>
    <w:rsid w:val="1FD77AD6"/>
    <w:rsid w:val="1FD91AA0"/>
    <w:rsid w:val="1FDF698A"/>
    <w:rsid w:val="1FE87F35"/>
    <w:rsid w:val="2000702C"/>
    <w:rsid w:val="2011123A"/>
    <w:rsid w:val="203B62B7"/>
    <w:rsid w:val="20541126"/>
    <w:rsid w:val="205747F9"/>
    <w:rsid w:val="20651585"/>
    <w:rsid w:val="20A21E92"/>
    <w:rsid w:val="20A420AE"/>
    <w:rsid w:val="20AC195A"/>
    <w:rsid w:val="20B120D5"/>
    <w:rsid w:val="20BD4F1E"/>
    <w:rsid w:val="20DF0472"/>
    <w:rsid w:val="20E701EC"/>
    <w:rsid w:val="20F326ED"/>
    <w:rsid w:val="20FD17BE"/>
    <w:rsid w:val="210466A8"/>
    <w:rsid w:val="211D776A"/>
    <w:rsid w:val="2129610F"/>
    <w:rsid w:val="21380A48"/>
    <w:rsid w:val="21645399"/>
    <w:rsid w:val="216C24A0"/>
    <w:rsid w:val="217C6B87"/>
    <w:rsid w:val="21823A71"/>
    <w:rsid w:val="21851AE7"/>
    <w:rsid w:val="219C2D85"/>
    <w:rsid w:val="21DE339D"/>
    <w:rsid w:val="21E32762"/>
    <w:rsid w:val="21FE134A"/>
    <w:rsid w:val="2257622A"/>
    <w:rsid w:val="229B4CE8"/>
    <w:rsid w:val="22A77C33"/>
    <w:rsid w:val="22AC7B6D"/>
    <w:rsid w:val="22C5455D"/>
    <w:rsid w:val="22CC58EC"/>
    <w:rsid w:val="23007343"/>
    <w:rsid w:val="23045086"/>
    <w:rsid w:val="232543B2"/>
    <w:rsid w:val="236553F8"/>
    <w:rsid w:val="23757D31"/>
    <w:rsid w:val="237D0994"/>
    <w:rsid w:val="239E00B4"/>
    <w:rsid w:val="23A34399"/>
    <w:rsid w:val="23A77CBC"/>
    <w:rsid w:val="23BA3996"/>
    <w:rsid w:val="23E629DD"/>
    <w:rsid w:val="23E6478B"/>
    <w:rsid w:val="23FC2E8F"/>
    <w:rsid w:val="240D7F6A"/>
    <w:rsid w:val="24217571"/>
    <w:rsid w:val="242461C4"/>
    <w:rsid w:val="24480FA2"/>
    <w:rsid w:val="247C6E9E"/>
    <w:rsid w:val="24853FA4"/>
    <w:rsid w:val="249B7324"/>
    <w:rsid w:val="24F93858"/>
    <w:rsid w:val="25111996"/>
    <w:rsid w:val="25145328"/>
    <w:rsid w:val="251610A0"/>
    <w:rsid w:val="251E1D03"/>
    <w:rsid w:val="251E74A4"/>
    <w:rsid w:val="25464913"/>
    <w:rsid w:val="254C0284"/>
    <w:rsid w:val="256B13EC"/>
    <w:rsid w:val="25757B75"/>
    <w:rsid w:val="25845C69"/>
    <w:rsid w:val="25910727"/>
    <w:rsid w:val="25A45DD1"/>
    <w:rsid w:val="25A641D2"/>
    <w:rsid w:val="25D24FC7"/>
    <w:rsid w:val="25D3648E"/>
    <w:rsid w:val="25E663F0"/>
    <w:rsid w:val="25E82A3D"/>
    <w:rsid w:val="25EA4F1E"/>
    <w:rsid w:val="25F06132"/>
    <w:rsid w:val="25F807A6"/>
    <w:rsid w:val="26025181"/>
    <w:rsid w:val="260B04D9"/>
    <w:rsid w:val="260F4BD7"/>
    <w:rsid w:val="262E5F76"/>
    <w:rsid w:val="265579A6"/>
    <w:rsid w:val="2661634B"/>
    <w:rsid w:val="267918E7"/>
    <w:rsid w:val="26867B60"/>
    <w:rsid w:val="268838D8"/>
    <w:rsid w:val="268E58B9"/>
    <w:rsid w:val="26A526DC"/>
    <w:rsid w:val="26A60202"/>
    <w:rsid w:val="26AC2FFD"/>
    <w:rsid w:val="26AD03C7"/>
    <w:rsid w:val="26AD1590"/>
    <w:rsid w:val="26DB7EAB"/>
    <w:rsid w:val="274C0DA9"/>
    <w:rsid w:val="275F6D2E"/>
    <w:rsid w:val="27602AA7"/>
    <w:rsid w:val="276205CD"/>
    <w:rsid w:val="276C144B"/>
    <w:rsid w:val="27843CE5"/>
    <w:rsid w:val="27893DAB"/>
    <w:rsid w:val="27A02EA3"/>
    <w:rsid w:val="27A961FC"/>
    <w:rsid w:val="27C97914"/>
    <w:rsid w:val="27D843EB"/>
    <w:rsid w:val="27D86AE1"/>
    <w:rsid w:val="27DD40F7"/>
    <w:rsid w:val="27EC5A7D"/>
    <w:rsid w:val="281C077C"/>
    <w:rsid w:val="28215D92"/>
    <w:rsid w:val="28277120"/>
    <w:rsid w:val="289B3A6A"/>
    <w:rsid w:val="28FB2A87"/>
    <w:rsid w:val="28FE2577"/>
    <w:rsid w:val="292A511A"/>
    <w:rsid w:val="29332221"/>
    <w:rsid w:val="293B2E83"/>
    <w:rsid w:val="294F4B81"/>
    <w:rsid w:val="29621E5D"/>
    <w:rsid w:val="29852351"/>
    <w:rsid w:val="298A7967"/>
    <w:rsid w:val="299802D6"/>
    <w:rsid w:val="29AE5D4B"/>
    <w:rsid w:val="29E654E5"/>
    <w:rsid w:val="29FD638B"/>
    <w:rsid w:val="2A222295"/>
    <w:rsid w:val="2A2B114A"/>
    <w:rsid w:val="2A2D4EC2"/>
    <w:rsid w:val="2A351FC9"/>
    <w:rsid w:val="2A4B359A"/>
    <w:rsid w:val="2A592089"/>
    <w:rsid w:val="2A71043B"/>
    <w:rsid w:val="2A735C2B"/>
    <w:rsid w:val="2A810D6A"/>
    <w:rsid w:val="2A905451"/>
    <w:rsid w:val="2A930A9D"/>
    <w:rsid w:val="2AD27817"/>
    <w:rsid w:val="2AEA2DB3"/>
    <w:rsid w:val="2B1020EE"/>
    <w:rsid w:val="2B3B716B"/>
    <w:rsid w:val="2B5244B4"/>
    <w:rsid w:val="2B5B780D"/>
    <w:rsid w:val="2B69017C"/>
    <w:rsid w:val="2B7B3A0B"/>
    <w:rsid w:val="2B8925CC"/>
    <w:rsid w:val="2B944ACD"/>
    <w:rsid w:val="2BA016C4"/>
    <w:rsid w:val="2BA07916"/>
    <w:rsid w:val="2BC76C50"/>
    <w:rsid w:val="2BD558B9"/>
    <w:rsid w:val="2BE04487"/>
    <w:rsid w:val="2BE664C3"/>
    <w:rsid w:val="2BF65788"/>
    <w:rsid w:val="2C170506"/>
    <w:rsid w:val="2C280C3B"/>
    <w:rsid w:val="2C2C2F57"/>
    <w:rsid w:val="2C3F2C8B"/>
    <w:rsid w:val="2C4604BD"/>
    <w:rsid w:val="2C50004F"/>
    <w:rsid w:val="2C665D4F"/>
    <w:rsid w:val="2C8903AA"/>
    <w:rsid w:val="2C8B0EC4"/>
    <w:rsid w:val="2C9A4365"/>
    <w:rsid w:val="2CA156F3"/>
    <w:rsid w:val="2CA67D76"/>
    <w:rsid w:val="2CC87124"/>
    <w:rsid w:val="2D3227EF"/>
    <w:rsid w:val="2D34327D"/>
    <w:rsid w:val="2D376058"/>
    <w:rsid w:val="2D411497"/>
    <w:rsid w:val="2D4F33A1"/>
    <w:rsid w:val="2DA21723"/>
    <w:rsid w:val="2DAC07F4"/>
    <w:rsid w:val="2DB66F7C"/>
    <w:rsid w:val="2DF31F7F"/>
    <w:rsid w:val="2E163EBF"/>
    <w:rsid w:val="2E3511E0"/>
    <w:rsid w:val="2E371675"/>
    <w:rsid w:val="2E514EF7"/>
    <w:rsid w:val="2E60513A"/>
    <w:rsid w:val="2E6B5FB9"/>
    <w:rsid w:val="2E7D7A9A"/>
    <w:rsid w:val="2E8928E3"/>
    <w:rsid w:val="2E921798"/>
    <w:rsid w:val="2E9279E9"/>
    <w:rsid w:val="2E9F3EB4"/>
    <w:rsid w:val="2EA96C03"/>
    <w:rsid w:val="2ED3590C"/>
    <w:rsid w:val="2F0D0123"/>
    <w:rsid w:val="2F195A15"/>
    <w:rsid w:val="2F794705"/>
    <w:rsid w:val="2FBB23E2"/>
    <w:rsid w:val="2FDC6A42"/>
    <w:rsid w:val="2FEE50F3"/>
    <w:rsid w:val="2FF011E9"/>
    <w:rsid w:val="30000983"/>
    <w:rsid w:val="300F506A"/>
    <w:rsid w:val="301B756B"/>
    <w:rsid w:val="30203C3F"/>
    <w:rsid w:val="30226B4B"/>
    <w:rsid w:val="30797186"/>
    <w:rsid w:val="309D08C8"/>
    <w:rsid w:val="30B023A9"/>
    <w:rsid w:val="30B17ECF"/>
    <w:rsid w:val="30FA3624"/>
    <w:rsid w:val="30FC114A"/>
    <w:rsid w:val="31121843"/>
    <w:rsid w:val="313905F0"/>
    <w:rsid w:val="313B198F"/>
    <w:rsid w:val="315A1B46"/>
    <w:rsid w:val="316366F3"/>
    <w:rsid w:val="31921562"/>
    <w:rsid w:val="319C77E5"/>
    <w:rsid w:val="319F5F79"/>
    <w:rsid w:val="31AF440F"/>
    <w:rsid w:val="31B77767"/>
    <w:rsid w:val="31CF685F"/>
    <w:rsid w:val="31DD5420"/>
    <w:rsid w:val="31EC5663"/>
    <w:rsid w:val="31ED3189"/>
    <w:rsid w:val="320209E2"/>
    <w:rsid w:val="3213099D"/>
    <w:rsid w:val="322C5A5F"/>
    <w:rsid w:val="32311DE8"/>
    <w:rsid w:val="323D7C6C"/>
    <w:rsid w:val="32444FA2"/>
    <w:rsid w:val="324A2389"/>
    <w:rsid w:val="32586854"/>
    <w:rsid w:val="325A6A70"/>
    <w:rsid w:val="32760D76"/>
    <w:rsid w:val="329E1C9C"/>
    <w:rsid w:val="32A55811"/>
    <w:rsid w:val="32A970B0"/>
    <w:rsid w:val="32B53CA7"/>
    <w:rsid w:val="32D305D1"/>
    <w:rsid w:val="32EB653A"/>
    <w:rsid w:val="32F26CA9"/>
    <w:rsid w:val="333948D8"/>
    <w:rsid w:val="336631F3"/>
    <w:rsid w:val="33664FA1"/>
    <w:rsid w:val="336D4581"/>
    <w:rsid w:val="33801A95"/>
    <w:rsid w:val="33A04957"/>
    <w:rsid w:val="33A15FD9"/>
    <w:rsid w:val="33B201E6"/>
    <w:rsid w:val="33C323F3"/>
    <w:rsid w:val="33CA4F2D"/>
    <w:rsid w:val="33D26ADA"/>
    <w:rsid w:val="33D91C17"/>
    <w:rsid w:val="33E02FA5"/>
    <w:rsid w:val="33EA022F"/>
    <w:rsid w:val="33EA3E24"/>
    <w:rsid w:val="33EC5935"/>
    <w:rsid w:val="33ED749B"/>
    <w:rsid w:val="33FB7DDF"/>
    <w:rsid w:val="34056FE7"/>
    <w:rsid w:val="340824FC"/>
    <w:rsid w:val="340A6274"/>
    <w:rsid w:val="340F73E6"/>
    <w:rsid w:val="34254E5C"/>
    <w:rsid w:val="342B3056"/>
    <w:rsid w:val="342C4EC8"/>
    <w:rsid w:val="3454129D"/>
    <w:rsid w:val="345B087E"/>
    <w:rsid w:val="345F6D8C"/>
    <w:rsid w:val="34640A9B"/>
    <w:rsid w:val="34646FF7"/>
    <w:rsid w:val="349B511E"/>
    <w:rsid w:val="34C957E7"/>
    <w:rsid w:val="34CA77B1"/>
    <w:rsid w:val="34CC52D7"/>
    <w:rsid w:val="34CE1050"/>
    <w:rsid w:val="34DD5737"/>
    <w:rsid w:val="34F843F9"/>
    <w:rsid w:val="35092088"/>
    <w:rsid w:val="350B2ED3"/>
    <w:rsid w:val="351C4E39"/>
    <w:rsid w:val="353F3CFB"/>
    <w:rsid w:val="357808F9"/>
    <w:rsid w:val="359A53D6"/>
    <w:rsid w:val="35A324DC"/>
    <w:rsid w:val="35D94150"/>
    <w:rsid w:val="35DC154A"/>
    <w:rsid w:val="35DE1766"/>
    <w:rsid w:val="35EA3174"/>
    <w:rsid w:val="35EC675A"/>
    <w:rsid w:val="35F05C1F"/>
    <w:rsid w:val="35F53E06"/>
    <w:rsid w:val="35F72828"/>
    <w:rsid w:val="35F76384"/>
    <w:rsid w:val="35FA4AC4"/>
    <w:rsid w:val="36010FB1"/>
    <w:rsid w:val="36032F7B"/>
    <w:rsid w:val="36203B2D"/>
    <w:rsid w:val="36337E22"/>
    <w:rsid w:val="36852E35"/>
    <w:rsid w:val="36B14785"/>
    <w:rsid w:val="36B349A1"/>
    <w:rsid w:val="36B75410"/>
    <w:rsid w:val="36B85B13"/>
    <w:rsid w:val="36C941C4"/>
    <w:rsid w:val="36D8721B"/>
    <w:rsid w:val="36E64C78"/>
    <w:rsid w:val="36EC7EB3"/>
    <w:rsid w:val="36F54FB9"/>
    <w:rsid w:val="373F7FE3"/>
    <w:rsid w:val="375515B4"/>
    <w:rsid w:val="376F092F"/>
    <w:rsid w:val="37734130"/>
    <w:rsid w:val="377F0D27"/>
    <w:rsid w:val="378E64BD"/>
    <w:rsid w:val="37C64260"/>
    <w:rsid w:val="37C82868"/>
    <w:rsid w:val="38397128"/>
    <w:rsid w:val="383B2EA0"/>
    <w:rsid w:val="385B709E"/>
    <w:rsid w:val="387B504A"/>
    <w:rsid w:val="38983E4E"/>
    <w:rsid w:val="38C52A81"/>
    <w:rsid w:val="38C631AE"/>
    <w:rsid w:val="38D429AD"/>
    <w:rsid w:val="38E2331B"/>
    <w:rsid w:val="38F1355F"/>
    <w:rsid w:val="38F24410"/>
    <w:rsid w:val="38F4304F"/>
    <w:rsid w:val="3922196A"/>
    <w:rsid w:val="39243934"/>
    <w:rsid w:val="392A4796"/>
    <w:rsid w:val="393A1386"/>
    <w:rsid w:val="39471BCA"/>
    <w:rsid w:val="397B5759"/>
    <w:rsid w:val="39981C2C"/>
    <w:rsid w:val="39BF34CA"/>
    <w:rsid w:val="39D92970"/>
    <w:rsid w:val="39FF3A59"/>
    <w:rsid w:val="3A064DE8"/>
    <w:rsid w:val="3A0B0650"/>
    <w:rsid w:val="3A0D5245"/>
    <w:rsid w:val="3A1E0383"/>
    <w:rsid w:val="3A2636DC"/>
    <w:rsid w:val="3A2E433E"/>
    <w:rsid w:val="3A3000B7"/>
    <w:rsid w:val="3A345DF9"/>
    <w:rsid w:val="3A4122C4"/>
    <w:rsid w:val="3A4748B2"/>
    <w:rsid w:val="3A654204"/>
    <w:rsid w:val="3AA840F1"/>
    <w:rsid w:val="3ABB02C8"/>
    <w:rsid w:val="3B0A0908"/>
    <w:rsid w:val="3B1874C8"/>
    <w:rsid w:val="3B4F19E2"/>
    <w:rsid w:val="3B714E2B"/>
    <w:rsid w:val="3B7D732B"/>
    <w:rsid w:val="3B8403E8"/>
    <w:rsid w:val="3B8A37F6"/>
    <w:rsid w:val="3B9E5E50"/>
    <w:rsid w:val="3BA1126C"/>
    <w:rsid w:val="3BC53906"/>
    <w:rsid w:val="3BC62A80"/>
    <w:rsid w:val="3BC75CC8"/>
    <w:rsid w:val="3BC9431F"/>
    <w:rsid w:val="3BCB6780"/>
    <w:rsid w:val="3BD00368"/>
    <w:rsid w:val="3BD827B4"/>
    <w:rsid w:val="3C237ED3"/>
    <w:rsid w:val="3C5462DE"/>
    <w:rsid w:val="3C68149F"/>
    <w:rsid w:val="3C8961DF"/>
    <w:rsid w:val="3CB44FCF"/>
    <w:rsid w:val="3CC6540C"/>
    <w:rsid w:val="3CDC4526"/>
    <w:rsid w:val="3CE82ECA"/>
    <w:rsid w:val="3CEA09F1"/>
    <w:rsid w:val="3CEC29BB"/>
    <w:rsid w:val="3D18555E"/>
    <w:rsid w:val="3D232155"/>
    <w:rsid w:val="3D2772B2"/>
    <w:rsid w:val="3D31661F"/>
    <w:rsid w:val="3D3B2FFA"/>
    <w:rsid w:val="3D3E226D"/>
    <w:rsid w:val="3D49298E"/>
    <w:rsid w:val="3D4F4CF8"/>
    <w:rsid w:val="3D540560"/>
    <w:rsid w:val="3D5D5666"/>
    <w:rsid w:val="3D734E8A"/>
    <w:rsid w:val="3D840E45"/>
    <w:rsid w:val="3DA212CB"/>
    <w:rsid w:val="3DAE1A1E"/>
    <w:rsid w:val="3DCC459A"/>
    <w:rsid w:val="3DE96EFA"/>
    <w:rsid w:val="3DEB0EC4"/>
    <w:rsid w:val="3DF657DE"/>
    <w:rsid w:val="3E03620E"/>
    <w:rsid w:val="3E0C2BE9"/>
    <w:rsid w:val="3E171CB9"/>
    <w:rsid w:val="3E80785E"/>
    <w:rsid w:val="3EA01CAF"/>
    <w:rsid w:val="3ED26B8E"/>
    <w:rsid w:val="3EE14075"/>
    <w:rsid w:val="3EE5195A"/>
    <w:rsid w:val="3F163D1F"/>
    <w:rsid w:val="3F177A97"/>
    <w:rsid w:val="3F446ADE"/>
    <w:rsid w:val="3F4C74BC"/>
    <w:rsid w:val="3F724CCD"/>
    <w:rsid w:val="3FB276CB"/>
    <w:rsid w:val="3FC65745"/>
    <w:rsid w:val="3FCF2120"/>
    <w:rsid w:val="3FF456E9"/>
    <w:rsid w:val="3FF676AC"/>
    <w:rsid w:val="4004001B"/>
    <w:rsid w:val="40061607"/>
    <w:rsid w:val="402661E4"/>
    <w:rsid w:val="40385F17"/>
    <w:rsid w:val="40526FD9"/>
    <w:rsid w:val="40532D51"/>
    <w:rsid w:val="40905D53"/>
    <w:rsid w:val="409475F1"/>
    <w:rsid w:val="40BE2B06"/>
    <w:rsid w:val="40CF0629"/>
    <w:rsid w:val="40CF687B"/>
    <w:rsid w:val="40FF5994"/>
    <w:rsid w:val="41142496"/>
    <w:rsid w:val="4125649B"/>
    <w:rsid w:val="41597EF3"/>
    <w:rsid w:val="419453CF"/>
    <w:rsid w:val="41A73354"/>
    <w:rsid w:val="41B31CF9"/>
    <w:rsid w:val="41DD0B24"/>
    <w:rsid w:val="41E9571B"/>
    <w:rsid w:val="41EB1ABE"/>
    <w:rsid w:val="41FF0A9A"/>
    <w:rsid w:val="423F17DF"/>
    <w:rsid w:val="42820D3D"/>
    <w:rsid w:val="42CD0A98"/>
    <w:rsid w:val="42EA799C"/>
    <w:rsid w:val="4306645E"/>
    <w:rsid w:val="431A0C09"/>
    <w:rsid w:val="432B58BF"/>
    <w:rsid w:val="434C53D8"/>
    <w:rsid w:val="434D3A87"/>
    <w:rsid w:val="43754D8C"/>
    <w:rsid w:val="43786151"/>
    <w:rsid w:val="43813731"/>
    <w:rsid w:val="43851473"/>
    <w:rsid w:val="439714AA"/>
    <w:rsid w:val="43A318F9"/>
    <w:rsid w:val="43A713E9"/>
    <w:rsid w:val="43AF64F0"/>
    <w:rsid w:val="43CD4BC8"/>
    <w:rsid w:val="43E97226"/>
    <w:rsid w:val="44370438"/>
    <w:rsid w:val="445C58D6"/>
    <w:rsid w:val="44817E8C"/>
    <w:rsid w:val="4484735B"/>
    <w:rsid w:val="44957B55"/>
    <w:rsid w:val="44A91191"/>
    <w:rsid w:val="44DC50C3"/>
    <w:rsid w:val="45077DB1"/>
    <w:rsid w:val="450B1E4C"/>
    <w:rsid w:val="452F4E7B"/>
    <w:rsid w:val="45352A25"/>
    <w:rsid w:val="454F7F8B"/>
    <w:rsid w:val="45505AB1"/>
    <w:rsid w:val="45575091"/>
    <w:rsid w:val="456017C3"/>
    <w:rsid w:val="456D319A"/>
    <w:rsid w:val="456D6663"/>
    <w:rsid w:val="45800144"/>
    <w:rsid w:val="458F46CB"/>
    <w:rsid w:val="459260C9"/>
    <w:rsid w:val="459639B7"/>
    <w:rsid w:val="45B1654F"/>
    <w:rsid w:val="45BA2812"/>
    <w:rsid w:val="45C06792"/>
    <w:rsid w:val="45C142B9"/>
    <w:rsid w:val="45C81AEB"/>
    <w:rsid w:val="45D65949"/>
    <w:rsid w:val="45E22BAD"/>
    <w:rsid w:val="45EA2501"/>
    <w:rsid w:val="45F8417E"/>
    <w:rsid w:val="462F56C6"/>
    <w:rsid w:val="4643296D"/>
    <w:rsid w:val="4654512D"/>
    <w:rsid w:val="46674963"/>
    <w:rsid w:val="466F483C"/>
    <w:rsid w:val="468462CB"/>
    <w:rsid w:val="469975E5"/>
    <w:rsid w:val="46A41C10"/>
    <w:rsid w:val="46A55988"/>
    <w:rsid w:val="46AC31BB"/>
    <w:rsid w:val="46B8390E"/>
    <w:rsid w:val="46C60E54"/>
    <w:rsid w:val="46D27EA6"/>
    <w:rsid w:val="46DB13AA"/>
    <w:rsid w:val="46EC35B7"/>
    <w:rsid w:val="46F74436"/>
    <w:rsid w:val="47084895"/>
    <w:rsid w:val="471A6376"/>
    <w:rsid w:val="47361F2C"/>
    <w:rsid w:val="473F7B8B"/>
    <w:rsid w:val="474653BD"/>
    <w:rsid w:val="47711EE6"/>
    <w:rsid w:val="4797618A"/>
    <w:rsid w:val="479E48B1"/>
    <w:rsid w:val="47B6609F"/>
    <w:rsid w:val="47C307BC"/>
    <w:rsid w:val="47C63E08"/>
    <w:rsid w:val="47CA7D9C"/>
    <w:rsid w:val="47DE41D5"/>
    <w:rsid w:val="480242CF"/>
    <w:rsid w:val="480E2158"/>
    <w:rsid w:val="48256D81"/>
    <w:rsid w:val="48376AB4"/>
    <w:rsid w:val="48403BBB"/>
    <w:rsid w:val="48496F13"/>
    <w:rsid w:val="488F420B"/>
    <w:rsid w:val="489E3443"/>
    <w:rsid w:val="48C920F7"/>
    <w:rsid w:val="48FB5D34"/>
    <w:rsid w:val="48FD7CFE"/>
    <w:rsid w:val="491868E5"/>
    <w:rsid w:val="491C4628"/>
    <w:rsid w:val="494E2307"/>
    <w:rsid w:val="496679E4"/>
    <w:rsid w:val="49804BB7"/>
    <w:rsid w:val="49A1070A"/>
    <w:rsid w:val="49A97A3E"/>
    <w:rsid w:val="49D41E80"/>
    <w:rsid w:val="49EE1FB5"/>
    <w:rsid w:val="4A370FED"/>
    <w:rsid w:val="4A3B0ADD"/>
    <w:rsid w:val="4A3C6604"/>
    <w:rsid w:val="4A3E412A"/>
    <w:rsid w:val="4A547DF1"/>
    <w:rsid w:val="4A550953"/>
    <w:rsid w:val="4A5D0A54"/>
    <w:rsid w:val="4A6C6EE9"/>
    <w:rsid w:val="4A7162AD"/>
    <w:rsid w:val="4A9405F5"/>
    <w:rsid w:val="4A995804"/>
    <w:rsid w:val="4AAA5E88"/>
    <w:rsid w:val="4AC5484B"/>
    <w:rsid w:val="4AC62A9D"/>
    <w:rsid w:val="4AD079F1"/>
    <w:rsid w:val="4ADF7AF0"/>
    <w:rsid w:val="4AFF5FAF"/>
    <w:rsid w:val="4B0C247A"/>
    <w:rsid w:val="4B0D1A32"/>
    <w:rsid w:val="4B1530DD"/>
    <w:rsid w:val="4B223A4B"/>
    <w:rsid w:val="4B475260"/>
    <w:rsid w:val="4B5E12FD"/>
    <w:rsid w:val="4B6354A3"/>
    <w:rsid w:val="4B65373A"/>
    <w:rsid w:val="4B8F7333"/>
    <w:rsid w:val="4BAB1C93"/>
    <w:rsid w:val="4BAE2868"/>
    <w:rsid w:val="4BAF1783"/>
    <w:rsid w:val="4BBC5C4E"/>
    <w:rsid w:val="4BBF0E84"/>
    <w:rsid w:val="4BD20FCE"/>
    <w:rsid w:val="4BDE3E16"/>
    <w:rsid w:val="4BE56F53"/>
    <w:rsid w:val="4C1938EB"/>
    <w:rsid w:val="4C261319"/>
    <w:rsid w:val="4C285091"/>
    <w:rsid w:val="4C9E4182"/>
    <w:rsid w:val="4CA010CC"/>
    <w:rsid w:val="4CBD1D79"/>
    <w:rsid w:val="4CDD40CE"/>
    <w:rsid w:val="4D00163A"/>
    <w:rsid w:val="4D0E072B"/>
    <w:rsid w:val="4D1D44CA"/>
    <w:rsid w:val="4D2B2F37"/>
    <w:rsid w:val="4D510618"/>
    <w:rsid w:val="4D5A127B"/>
    <w:rsid w:val="4D6245D3"/>
    <w:rsid w:val="4D697710"/>
    <w:rsid w:val="4D7C5BEE"/>
    <w:rsid w:val="4D810EFD"/>
    <w:rsid w:val="4DA846DC"/>
    <w:rsid w:val="4DC4528E"/>
    <w:rsid w:val="4DC92417"/>
    <w:rsid w:val="4DD508DB"/>
    <w:rsid w:val="4DF9301E"/>
    <w:rsid w:val="4E143B1F"/>
    <w:rsid w:val="4E1C5F7B"/>
    <w:rsid w:val="4E4F6905"/>
    <w:rsid w:val="4E7C6BBF"/>
    <w:rsid w:val="4E9B5FEF"/>
    <w:rsid w:val="4EA529C9"/>
    <w:rsid w:val="4EC00A71"/>
    <w:rsid w:val="4EE473BA"/>
    <w:rsid w:val="4EF179BD"/>
    <w:rsid w:val="4F0F5BE3"/>
    <w:rsid w:val="4F413E18"/>
    <w:rsid w:val="4F4727B8"/>
    <w:rsid w:val="4F583EE0"/>
    <w:rsid w:val="4F6E3703"/>
    <w:rsid w:val="4F710AFD"/>
    <w:rsid w:val="4F8922EB"/>
    <w:rsid w:val="4F9111A0"/>
    <w:rsid w:val="4F950C90"/>
    <w:rsid w:val="4FB70C06"/>
    <w:rsid w:val="4FDA66A3"/>
    <w:rsid w:val="4FDB79C1"/>
    <w:rsid w:val="4FE90FDC"/>
    <w:rsid w:val="4FEC59CF"/>
    <w:rsid w:val="4FF054FB"/>
    <w:rsid w:val="500F1083"/>
    <w:rsid w:val="50285660"/>
    <w:rsid w:val="503F29AA"/>
    <w:rsid w:val="5055041F"/>
    <w:rsid w:val="50577CF3"/>
    <w:rsid w:val="50964CC0"/>
    <w:rsid w:val="50AF5D81"/>
    <w:rsid w:val="50B320FA"/>
    <w:rsid w:val="50B6598C"/>
    <w:rsid w:val="50B82E88"/>
    <w:rsid w:val="50D37CC2"/>
    <w:rsid w:val="50E47475"/>
    <w:rsid w:val="50F96FFC"/>
    <w:rsid w:val="510C31D4"/>
    <w:rsid w:val="51136310"/>
    <w:rsid w:val="511931FB"/>
    <w:rsid w:val="514526E1"/>
    <w:rsid w:val="51556929"/>
    <w:rsid w:val="515F72D3"/>
    <w:rsid w:val="516C3C72"/>
    <w:rsid w:val="51791EEB"/>
    <w:rsid w:val="517B5039"/>
    <w:rsid w:val="517E35DD"/>
    <w:rsid w:val="51952171"/>
    <w:rsid w:val="51976F41"/>
    <w:rsid w:val="51994ECA"/>
    <w:rsid w:val="51D57A6A"/>
    <w:rsid w:val="52043EAB"/>
    <w:rsid w:val="521072FC"/>
    <w:rsid w:val="522560CB"/>
    <w:rsid w:val="523A1FC0"/>
    <w:rsid w:val="52422029"/>
    <w:rsid w:val="52481FEA"/>
    <w:rsid w:val="524C3BDA"/>
    <w:rsid w:val="525C3CE7"/>
    <w:rsid w:val="525F10E1"/>
    <w:rsid w:val="52B069C9"/>
    <w:rsid w:val="52BF7DD2"/>
    <w:rsid w:val="52CD0741"/>
    <w:rsid w:val="52DB2E5E"/>
    <w:rsid w:val="52E635B0"/>
    <w:rsid w:val="52F91536"/>
    <w:rsid w:val="5307643B"/>
    <w:rsid w:val="53563C96"/>
    <w:rsid w:val="535D1AC5"/>
    <w:rsid w:val="536E5A80"/>
    <w:rsid w:val="53B2032E"/>
    <w:rsid w:val="53B41304"/>
    <w:rsid w:val="53B611D5"/>
    <w:rsid w:val="53BF452D"/>
    <w:rsid w:val="53DC50DF"/>
    <w:rsid w:val="53E144A4"/>
    <w:rsid w:val="54161C73"/>
    <w:rsid w:val="54260108"/>
    <w:rsid w:val="54297BF9"/>
    <w:rsid w:val="54436F0C"/>
    <w:rsid w:val="545253A1"/>
    <w:rsid w:val="54554E92"/>
    <w:rsid w:val="5463310B"/>
    <w:rsid w:val="546B6463"/>
    <w:rsid w:val="547C241E"/>
    <w:rsid w:val="5486329D"/>
    <w:rsid w:val="548A4B3B"/>
    <w:rsid w:val="548B08B3"/>
    <w:rsid w:val="54974AF4"/>
    <w:rsid w:val="54996B2C"/>
    <w:rsid w:val="54A45AAE"/>
    <w:rsid w:val="54D264E2"/>
    <w:rsid w:val="54F00716"/>
    <w:rsid w:val="54F975CB"/>
    <w:rsid w:val="55040901"/>
    <w:rsid w:val="550B72FE"/>
    <w:rsid w:val="550F7668"/>
    <w:rsid w:val="55161546"/>
    <w:rsid w:val="554D7917"/>
    <w:rsid w:val="5552317F"/>
    <w:rsid w:val="556F3D31"/>
    <w:rsid w:val="55794BB0"/>
    <w:rsid w:val="55925938"/>
    <w:rsid w:val="55B21D4E"/>
    <w:rsid w:val="55D50038"/>
    <w:rsid w:val="55D75716"/>
    <w:rsid w:val="55DF2C65"/>
    <w:rsid w:val="55E83734"/>
    <w:rsid w:val="55EA33B8"/>
    <w:rsid w:val="55F06C20"/>
    <w:rsid w:val="55F62EB8"/>
    <w:rsid w:val="55FF3307"/>
    <w:rsid w:val="560A37F2"/>
    <w:rsid w:val="56186177"/>
    <w:rsid w:val="56293EE0"/>
    <w:rsid w:val="563E5FFB"/>
    <w:rsid w:val="56574EF1"/>
    <w:rsid w:val="56660C90"/>
    <w:rsid w:val="569C6DA8"/>
    <w:rsid w:val="56B04601"/>
    <w:rsid w:val="56C105BC"/>
    <w:rsid w:val="56D6389D"/>
    <w:rsid w:val="56DF05DE"/>
    <w:rsid w:val="57521214"/>
    <w:rsid w:val="575C28F0"/>
    <w:rsid w:val="576C677A"/>
    <w:rsid w:val="579C1CF8"/>
    <w:rsid w:val="579C6AD6"/>
    <w:rsid w:val="579E3F37"/>
    <w:rsid w:val="57B27F05"/>
    <w:rsid w:val="57C57C38"/>
    <w:rsid w:val="57DF519E"/>
    <w:rsid w:val="57E52089"/>
    <w:rsid w:val="57E722A5"/>
    <w:rsid w:val="57FC0A59"/>
    <w:rsid w:val="57FC6189"/>
    <w:rsid w:val="57FD5624"/>
    <w:rsid w:val="5818363E"/>
    <w:rsid w:val="582C415B"/>
    <w:rsid w:val="583A6878"/>
    <w:rsid w:val="584B45E2"/>
    <w:rsid w:val="585039A6"/>
    <w:rsid w:val="587B7D66"/>
    <w:rsid w:val="5898359F"/>
    <w:rsid w:val="58A43CF2"/>
    <w:rsid w:val="58A75590"/>
    <w:rsid w:val="58F00CE5"/>
    <w:rsid w:val="58F307D5"/>
    <w:rsid w:val="590D0758"/>
    <w:rsid w:val="59127415"/>
    <w:rsid w:val="591C7D2C"/>
    <w:rsid w:val="5923730C"/>
    <w:rsid w:val="594E3962"/>
    <w:rsid w:val="5988716F"/>
    <w:rsid w:val="59965D30"/>
    <w:rsid w:val="59AC10B0"/>
    <w:rsid w:val="59C02DAD"/>
    <w:rsid w:val="59C4289D"/>
    <w:rsid w:val="59D86349"/>
    <w:rsid w:val="59E940B2"/>
    <w:rsid w:val="59EF71EF"/>
    <w:rsid w:val="5A2570B4"/>
    <w:rsid w:val="5A4B6B1B"/>
    <w:rsid w:val="5A5C0D28"/>
    <w:rsid w:val="5A5D2350"/>
    <w:rsid w:val="5A5F4374"/>
    <w:rsid w:val="5A9102A6"/>
    <w:rsid w:val="5A9658BC"/>
    <w:rsid w:val="5AA63D51"/>
    <w:rsid w:val="5AB06EFB"/>
    <w:rsid w:val="5ABA5A4E"/>
    <w:rsid w:val="5ACB1A0A"/>
    <w:rsid w:val="5AD85ED5"/>
    <w:rsid w:val="5AFD3D21"/>
    <w:rsid w:val="5AFD593B"/>
    <w:rsid w:val="5B1F728F"/>
    <w:rsid w:val="5B286E5C"/>
    <w:rsid w:val="5B322360"/>
    <w:rsid w:val="5B417F1E"/>
    <w:rsid w:val="5B5C4D58"/>
    <w:rsid w:val="5B5E287E"/>
    <w:rsid w:val="5BA04C44"/>
    <w:rsid w:val="5BA6536C"/>
    <w:rsid w:val="5BA65FD3"/>
    <w:rsid w:val="5BD57899"/>
    <w:rsid w:val="5BFB631F"/>
    <w:rsid w:val="5C1549F1"/>
    <w:rsid w:val="5C164F06"/>
    <w:rsid w:val="5C381321"/>
    <w:rsid w:val="5C4557EC"/>
    <w:rsid w:val="5C4A436B"/>
    <w:rsid w:val="5C846DA5"/>
    <w:rsid w:val="5C855BE8"/>
    <w:rsid w:val="5C8A1451"/>
    <w:rsid w:val="5C8F6A67"/>
    <w:rsid w:val="5CBE3C8E"/>
    <w:rsid w:val="5CF80AB0"/>
    <w:rsid w:val="5CFE60C6"/>
    <w:rsid w:val="5D027239"/>
    <w:rsid w:val="5D1256CE"/>
    <w:rsid w:val="5D237490"/>
    <w:rsid w:val="5D2418A5"/>
    <w:rsid w:val="5D3715D8"/>
    <w:rsid w:val="5D465377"/>
    <w:rsid w:val="5D4C6DCF"/>
    <w:rsid w:val="5D557CB0"/>
    <w:rsid w:val="5D59154F"/>
    <w:rsid w:val="5D641CA2"/>
    <w:rsid w:val="5D7F6ADB"/>
    <w:rsid w:val="5D845EE5"/>
    <w:rsid w:val="5D9407D9"/>
    <w:rsid w:val="5DA83A3A"/>
    <w:rsid w:val="5DD938F3"/>
    <w:rsid w:val="5DD93AB7"/>
    <w:rsid w:val="5DDE7CA6"/>
    <w:rsid w:val="5E055233"/>
    <w:rsid w:val="5E2C041B"/>
    <w:rsid w:val="5E36363E"/>
    <w:rsid w:val="5E3653EC"/>
    <w:rsid w:val="5E4D0988"/>
    <w:rsid w:val="5E59557E"/>
    <w:rsid w:val="5E5A37D0"/>
    <w:rsid w:val="5E6261E1"/>
    <w:rsid w:val="5E63780A"/>
    <w:rsid w:val="5E656DD7"/>
    <w:rsid w:val="5E6F680C"/>
    <w:rsid w:val="5E714676"/>
    <w:rsid w:val="5E7B7023"/>
    <w:rsid w:val="5E800D5D"/>
    <w:rsid w:val="5E8545C5"/>
    <w:rsid w:val="5E8E1E22"/>
    <w:rsid w:val="5E8F2D4E"/>
    <w:rsid w:val="5EA20CD3"/>
    <w:rsid w:val="5EBB3B43"/>
    <w:rsid w:val="5F0400F2"/>
    <w:rsid w:val="5F073306"/>
    <w:rsid w:val="5F0A5163"/>
    <w:rsid w:val="5F1E36CF"/>
    <w:rsid w:val="5F462822"/>
    <w:rsid w:val="5F5F73B9"/>
    <w:rsid w:val="5F6441DB"/>
    <w:rsid w:val="5F677827"/>
    <w:rsid w:val="5F904FD0"/>
    <w:rsid w:val="5FAF36A8"/>
    <w:rsid w:val="5FB213EA"/>
    <w:rsid w:val="5FB54A36"/>
    <w:rsid w:val="5FB962D5"/>
    <w:rsid w:val="5FD024AF"/>
    <w:rsid w:val="5FE34FB9"/>
    <w:rsid w:val="5FEC15CA"/>
    <w:rsid w:val="60200102"/>
    <w:rsid w:val="60213E7A"/>
    <w:rsid w:val="603728C5"/>
    <w:rsid w:val="603C0CB4"/>
    <w:rsid w:val="60536729"/>
    <w:rsid w:val="6062696C"/>
    <w:rsid w:val="608319C9"/>
    <w:rsid w:val="60BA67A8"/>
    <w:rsid w:val="60F872D1"/>
    <w:rsid w:val="60F90953"/>
    <w:rsid w:val="610712C2"/>
    <w:rsid w:val="610E08A2"/>
    <w:rsid w:val="61120392"/>
    <w:rsid w:val="611C2FBF"/>
    <w:rsid w:val="611D6D37"/>
    <w:rsid w:val="61483DB4"/>
    <w:rsid w:val="61AC652B"/>
    <w:rsid w:val="61B01959"/>
    <w:rsid w:val="61F555BE"/>
    <w:rsid w:val="62092E18"/>
    <w:rsid w:val="62126170"/>
    <w:rsid w:val="6220088D"/>
    <w:rsid w:val="622A170C"/>
    <w:rsid w:val="623460E6"/>
    <w:rsid w:val="623D2734"/>
    <w:rsid w:val="624C78D4"/>
    <w:rsid w:val="62593D9F"/>
    <w:rsid w:val="626369CC"/>
    <w:rsid w:val="629372B1"/>
    <w:rsid w:val="62A74B0A"/>
    <w:rsid w:val="62C76F5B"/>
    <w:rsid w:val="62D33B51"/>
    <w:rsid w:val="62E3077B"/>
    <w:rsid w:val="62EC69C1"/>
    <w:rsid w:val="63065CD5"/>
    <w:rsid w:val="63141A74"/>
    <w:rsid w:val="63236614"/>
    <w:rsid w:val="633E070A"/>
    <w:rsid w:val="63424833"/>
    <w:rsid w:val="634560D1"/>
    <w:rsid w:val="6356208C"/>
    <w:rsid w:val="63762650"/>
    <w:rsid w:val="63984453"/>
    <w:rsid w:val="639F1695"/>
    <w:rsid w:val="63CB2A7A"/>
    <w:rsid w:val="63D01E3F"/>
    <w:rsid w:val="63DC06E6"/>
    <w:rsid w:val="63E37D02"/>
    <w:rsid w:val="63EE0517"/>
    <w:rsid w:val="63FD5B1F"/>
    <w:rsid w:val="64281C7B"/>
    <w:rsid w:val="64393E88"/>
    <w:rsid w:val="64412D3D"/>
    <w:rsid w:val="64462101"/>
    <w:rsid w:val="64610CE9"/>
    <w:rsid w:val="646D4C5C"/>
    <w:rsid w:val="64962970"/>
    <w:rsid w:val="64CF659A"/>
    <w:rsid w:val="64E33DF4"/>
    <w:rsid w:val="64E75692"/>
    <w:rsid w:val="64F63B27"/>
    <w:rsid w:val="64FB2EEB"/>
    <w:rsid w:val="65051FBC"/>
    <w:rsid w:val="652D4A74"/>
    <w:rsid w:val="653D3504"/>
    <w:rsid w:val="6546685C"/>
    <w:rsid w:val="654F3237"/>
    <w:rsid w:val="65674A25"/>
    <w:rsid w:val="656F7435"/>
    <w:rsid w:val="65CB6D62"/>
    <w:rsid w:val="65CD5BB9"/>
    <w:rsid w:val="65E01019"/>
    <w:rsid w:val="65FC516D"/>
    <w:rsid w:val="660B1854"/>
    <w:rsid w:val="661A5316"/>
    <w:rsid w:val="66372649"/>
    <w:rsid w:val="66377F53"/>
    <w:rsid w:val="66456B14"/>
    <w:rsid w:val="66546D57"/>
    <w:rsid w:val="666351EC"/>
    <w:rsid w:val="66766F2B"/>
    <w:rsid w:val="669453A6"/>
    <w:rsid w:val="66967370"/>
    <w:rsid w:val="669B2BD8"/>
    <w:rsid w:val="66AD290B"/>
    <w:rsid w:val="66D92742"/>
    <w:rsid w:val="66E83943"/>
    <w:rsid w:val="670047E9"/>
    <w:rsid w:val="67067B77"/>
    <w:rsid w:val="67112C45"/>
    <w:rsid w:val="67340937"/>
    <w:rsid w:val="673821D5"/>
    <w:rsid w:val="673F7A07"/>
    <w:rsid w:val="67430B7A"/>
    <w:rsid w:val="67583B0E"/>
    <w:rsid w:val="675A0FE4"/>
    <w:rsid w:val="676A47C6"/>
    <w:rsid w:val="677451B8"/>
    <w:rsid w:val="679715F1"/>
    <w:rsid w:val="67A930D3"/>
    <w:rsid w:val="67D836B6"/>
    <w:rsid w:val="68000819"/>
    <w:rsid w:val="6817003C"/>
    <w:rsid w:val="6838144E"/>
    <w:rsid w:val="68582403"/>
    <w:rsid w:val="686F7E78"/>
    <w:rsid w:val="688651C2"/>
    <w:rsid w:val="688B219F"/>
    <w:rsid w:val="68955405"/>
    <w:rsid w:val="68A8338A"/>
    <w:rsid w:val="68AA7398"/>
    <w:rsid w:val="68B910F3"/>
    <w:rsid w:val="68C47A98"/>
    <w:rsid w:val="68E65024"/>
    <w:rsid w:val="68F760C0"/>
    <w:rsid w:val="690F3409"/>
    <w:rsid w:val="691C1682"/>
    <w:rsid w:val="691D3F3C"/>
    <w:rsid w:val="69246DB3"/>
    <w:rsid w:val="692F13B6"/>
    <w:rsid w:val="69564B94"/>
    <w:rsid w:val="69601EB7"/>
    <w:rsid w:val="696574CD"/>
    <w:rsid w:val="69704B40"/>
    <w:rsid w:val="69B00BB8"/>
    <w:rsid w:val="69C02956"/>
    <w:rsid w:val="69CC4E56"/>
    <w:rsid w:val="69D81A4D"/>
    <w:rsid w:val="69EA79C9"/>
    <w:rsid w:val="6A050368"/>
    <w:rsid w:val="6A0C7949"/>
    <w:rsid w:val="6A425119"/>
    <w:rsid w:val="6A5A4B58"/>
    <w:rsid w:val="6A5D1F52"/>
    <w:rsid w:val="6A9F0827"/>
    <w:rsid w:val="6AA06A0F"/>
    <w:rsid w:val="6AAB0F10"/>
    <w:rsid w:val="6ACF2E50"/>
    <w:rsid w:val="6AEC1C54"/>
    <w:rsid w:val="6AED1528"/>
    <w:rsid w:val="6AED7BB3"/>
    <w:rsid w:val="6AEF52A0"/>
    <w:rsid w:val="6B2313EE"/>
    <w:rsid w:val="6B3B4041"/>
    <w:rsid w:val="6B455C57"/>
    <w:rsid w:val="6B4D0219"/>
    <w:rsid w:val="6B71367C"/>
    <w:rsid w:val="6B932632"/>
    <w:rsid w:val="6B95409A"/>
    <w:rsid w:val="6B9E322F"/>
    <w:rsid w:val="6B9F6CC6"/>
    <w:rsid w:val="6BDB75D3"/>
    <w:rsid w:val="6BDE3191"/>
    <w:rsid w:val="6BDF2B3E"/>
    <w:rsid w:val="6BEA291B"/>
    <w:rsid w:val="6BF84629"/>
    <w:rsid w:val="6C5C7DCC"/>
    <w:rsid w:val="6C7D68DC"/>
    <w:rsid w:val="6C81624F"/>
    <w:rsid w:val="6C8B724B"/>
    <w:rsid w:val="6CAB51F7"/>
    <w:rsid w:val="6CB87914"/>
    <w:rsid w:val="6CD40BF2"/>
    <w:rsid w:val="6CE54BAD"/>
    <w:rsid w:val="6D282CEC"/>
    <w:rsid w:val="6D286848"/>
    <w:rsid w:val="6D3C22F3"/>
    <w:rsid w:val="6D765805"/>
    <w:rsid w:val="6D7952F5"/>
    <w:rsid w:val="6D8B3613"/>
    <w:rsid w:val="6D8B525F"/>
    <w:rsid w:val="6DA46816"/>
    <w:rsid w:val="6DBB76BC"/>
    <w:rsid w:val="6DC5053A"/>
    <w:rsid w:val="6DC8529E"/>
    <w:rsid w:val="6DD356FC"/>
    <w:rsid w:val="6DD662A4"/>
    <w:rsid w:val="6DF1132F"/>
    <w:rsid w:val="6E1D7E40"/>
    <w:rsid w:val="6E3A0F28"/>
    <w:rsid w:val="6E7039C3"/>
    <w:rsid w:val="6E8E4DD0"/>
    <w:rsid w:val="6EA35608"/>
    <w:rsid w:val="6EA36ACE"/>
    <w:rsid w:val="6EAE7221"/>
    <w:rsid w:val="6EC9384B"/>
    <w:rsid w:val="6EDF387E"/>
    <w:rsid w:val="6EEC2539"/>
    <w:rsid w:val="6EFC7F8C"/>
    <w:rsid w:val="6F12155D"/>
    <w:rsid w:val="6F2022B7"/>
    <w:rsid w:val="6F215C44"/>
    <w:rsid w:val="6F2A2D4B"/>
    <w:rsid w:val="6F2B0871"/>
    <w:rsid w:val="6F370FC4"/>
    <w:rsid w:val="6F502086"/>
    <w:rsid w:val="6F672B9E"/>
    <w:rsid w:val="6F6A0833"/>
    <w:rsid w:val="6F6A1399"/>
    <w:rsid w:val="6F6B0955"/>
    <w:rsid w:val="6F9A6E5F"/>
    <w:rsid w:val="6FB2689C"/>
    <w:rsid w:val="6FF0119D"/>
    <w:rsid w:val="6FF45107"/>
    <w:rsid w:val="705F6A24"/>
    <w:rsid w:val="70926DFA"/>
    <w:rsid w:val="70C66AA3"/>
    <w:rsid w:val="70D0347E"/>
    <w:rsid w:val="70E21403"/>
    <w:rsid w:val="710B095A"/>
    <w:rsid w:val="71184DA3"/>
    <w:rsid w:val="711A294B"/>
    <w:rsid w:val="712B2DAA"/>
    <w:rsid w:val="71306D70"/>
    <w:rsid w:val="713C306F"/>
    <w:rsid w:val="7160714E"/>
    <w:rsid w:val="716B13F9"/>
    <w:rsid w:val="717007BD"/>
    <w:rsid w:val="717209D9"/>
    <w:rsid w:val="71724535"/>
    <w:rsid w:val="717E112C"/>
    <w:rsid w:val="71973F9C"/>
    <w:rsid w:val="71A212BE"/>
    <w:rsid w:val="71CC00E9"/>
    <w:rsid w:val="71E05992"/>
    <w:rsid w:val="71EC2F76"/>
    <w:rsid w:val="71F47640"/>
    <w:rsid w:val="71F81FB2"/>
    <w:rsid w:val="72262696"/>
    <w:rsid w:val="72323CC5"/>
    <w:rsid w:val="72565C05"/>
    <w:rsid w:val="7278201F"/>
    <w:rsid w:val="727A287F"/>
    <w:rsid w:val="729A1F96"/>
    <w:rsid w:val="729D3834"/>
    <w:rsid w:val="72A97D68"/>
    <w:rsid w:val="72B81717"/>
    <w:rsid w:val="72F10F91"/>
    <w:rsid w:val="72F21DD2"/>
    <w:rsid w:val="72FD42D3"/>
    <w:rsid w:val="7315786E"/>
    <w:rsid w:val="7331726A"/>
    <w:rsid w:val="734038C7"/>
    <w:rsid w:val="735D2FC3"/>
    <w:rsid w:val="7366631C"/>
    <w:rsid w:val="737722D7"/>
    <w:rsid w:val="73797DFD"/>
    <w:rsid w:val="738F7621"/>
    <w:rsid w:val="73AA6208"/>
    <w:rsid w:val="73B01345"/>
    <w:rsid w:val="73B11CDA"/>
    <w:rsid w:val="73B452D9"/>
    <w:rsid w:val="73B54BAD"/>
    <w:rsid w:val="73E3397D"/>
    <w:rsid w:val="73E57241"/>
    <w:rsid w:val="73F92CEC"/>
    <w:rsid w:val="740A314B"/>
    <w:rsid w:val="740F6B94"/>
    <w:rsid w:val="742C597A"/>
    <w:rsid w:val="743B2B1E"/>
    <w:rsid w:val="743D707D"/>
    <w:rsid w:val="74455F31"/>
    <w:rsid w:val="745B39A7"/>
    <w:rsid w:val="746D040B"/>
    <w:rsid w:val="747D1B6F"/>
    <w:rsid w:val="748F3650"/>
    <w:rsid w:val="74942C70"/>
    <w:rsid w:val="749D7B1B"/>
    <w:rsid w:val="74A0760B"/>
    <w:rsid w:val="74EC0AA3"/>
    <w:rsid w:val="751F0834"/>
    <w:rsid w:val="75581C94"/>
    <w:rsid w:val="75AD6500"/>
    <w:rsid w:val="75B479DA"/>
    <w:rsid w:val="75B710B1"/>
    <w:rsid w:val="75E83CBD"/>
    <w:rsid w:val="75FF0A4C"/>
    <w:rsid w:val="76051E1C"/>
    <w:rsid w:val="76116A13"/>
    <w:rsid w:val="761243B6"/>
    <w:rsid w:val="763B75EC"/>
    <w:rsid w:val="766052A4"/>
    <w:rsid w:val="768A0573"/>
    <w:rsid w:val="76B178AE"/>
    <w:rsid w:val="76BE1040"/>
    <w:rsid w:val="76D67314"/>
    <w:rsid w:val="76D90BB3"/>
    <w:rsid w:val="76EC2FDC"/>
    <w:rsid w:val="770205F0"/>
    <w:rsid w:val="77065E4C"/>
    <w:rsid w:val="770B26BA"/>
    <w:rsid w:val="772B3B04"/>
    <w:rsid w:val="772E7150"/>
    <w:rsid w:val="775617BA"/>
    <w:rsid w:val="7759307A"/>
    <w:rsid w:val="777D1E86"/>
    <w:rsid w:val="777E0B98"/>
    <w:rsid w:val="778130D9"/>
    <w:rsid w:val="77820F42"/>
    <w:rsid w:val="77890A18"/>
    <w:rsid w:val="778B2D58"/>
    <w:rsid w:val="779C184E"/>
    <w:rsid w:val="779F1DFC"/>
    <w:rsid w:val="77A147AC"/>
    <w:rsid w:val="77B43AFA"/>
    <w:rsid w:val="77C56C4E"/>
    <w:rsid w:val="77C82080"/>
    <w:rsid w:val="77D1763B"/>
    <w:rsid w:val="781814EC"/>
    <w:rsid w:val="786D1EFA"/>
    <w:rsid w:val="788D7EA7"/>
    <w:rsid w:val="78984A57"/>
    <w:rsid w:val="78A31478"/>
    <w:rsid w:val="78A82F32"/>
    <w:rsid w:val="78E94F2E"/>
    <w:rsid w:val="78F46178"/>
    <w:rsid w:val="78FF0DA4"/>
    <w:rsid w:val="7906211F"/>
    <w:rsid w:val="790F4D60"/>
    <w:rsid w:val="79112886"/>
    <w:rsid w:val="794013BD"/>
    <w:rsid w:val="795F5591"/>
    <w:rsid w:val="798219D5"/>
    <w:rsid w:val="79876FEC"/>
    <w:rsid w:val="798968C0"/>
    <w:rsid w:val="79982FA7"/>
    <w:rsid w:val="79A8143C"/>
    <w:rsid w:val="79B002F1"/>
    <w:rsid w:val="79D35D8D"/>
    <w:rsid w:val="79DF4732"/>
    <w:rsid w:val="7A1940E8"/>
    <w:rsid w:val="7A1E16FE"/>
    <w:rsid w:val="7A1F19C3"/>
    <w:rsid w:val="7A3B22B0"/>
    <w:rsid w:val="7AA00365"/>
    <w:rsid w:val="7AAF2356"/>
    <w:rsid w:val="7ABA5260"/>
    <w:rsid w:val="7AFD57B8"/>
    <w:rsid w:val="7B02692A"/>
    <w:rsid w:val="7B0E5DCE"/>
    <w:rsid w:val="7B2C7846"/>
    <w:rsid w:val="7B3E7771"/>
    <w:rsid w:val="7B4E6013"/>
    <w:rsid w:val="7B515A90"/>
    <w:rsid w:val="7B58479C"/>
    <w:rsid w:val="7B5B603A"/>
    <w:rsid w:val="7B6E2211"/>
    <w:rsid w:val="7BB360CA"/>
    <w:rsid w:val="7BC053F6"/>
    <w:rsid w:val="7BC57958"/>
    <w:rsid w:val="7BC71922"/>
    <w:rsid w:val="7BC736D0"/>
    <w:rsid w:val="7BD04C7A"/>
    <w:rsid w:val="7BD32074"/>
    <w:rsid w:val="7BD55DED"/>
    <w:rsid w:val="7BEE3634"/>
    <w:rsid w:val="7C01164E"/>
    <w:rsid w:val="7C0641F8"/>
    <w:rsid w:val="7C2B1EB0"/>
    <w:rsid w:val="7C2D79D7"/>
    <w:rsid w:val="7C4F3DF1"/>
    <w:rsid w:val="7C574A54"/>
    <w:rsid w:val="7C5E5DE2"/>
    <w:rsid w:val="7C613B24"/>
    <w:rsid w:val="7C6B4507"/>
    <w:rsid w:val="7C6F4493"/>
    <w:rsid w:val="7CA63DDC"/>
    <w:rsid w:val="7CA659DB"/>
    <w:rsid w:val="7CAC1243"/>
    <w:rsid w:val="7CB974BC"/>
    <w:rsid w:val="7CC91BF7"/>
    <w:rsid w:val="7CE0713F"/>
    <w:rsid w:val="7CE16A13"/>
    <w:rsid w:val="7CF4523D"/>
    <w:rsid w:val="7D07647A"/>
    <w:rsid w:val="7D117B82"/>
    <w:rsid w:val="7D425704"/>
    <w:rsid w:val="7D537911"/>
    <w:rsid w:val="7D613816"/>
    <w:rsid w:val="7D676F18"/>
    <w:rsid w:val="7DAF61F4"/>
    <w:rsid w:val="7DB2716A"/>
    <w:rsid w:val="7DD00F61"/>
    <w:rsid w:val="7DD56578"/>
    <w:rsid w:val="7DDB186C"/>
    <w:rsid w:val="7DF72E41"/>
    <w:rsid w:val="7E123328"/>
    <w:rsid w:val="7E260FF9"/>
    <w:rsid w:val="7E6B2289"/>
    <w:rsid w:val="7EA47CF8"/>
    <w:rsid w:val="7EC565EC"/>
    <w:rsid w:val="7F1E5CFC"/>
    <w:rsid w:val="7F357A92"/>
    <w:rsid w:val="7F3D43D5"/>
    <w:rsid w:val="7F546B4E"/>
    <w:rsid w:val="7F69412C"/>
    <w:rsid w:val="7F8065C4"/>
    <w:rsid w:val="7F90635F"/>
    <w:rsid w:val="7FCC5758"/>
    <w:rsid w:val="7FD90169"/>
    <w:rsid w:val="7FEC42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5">
    <w:name w:val="Normal Indent"/>
    <w:basedOn w:val="1"/>
    <w:link w:val="5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4"/>
    <w:qFormat/>
    <w:uiPriority w:val="0"/>
    <w:pPr>
      <w:shd w:val="clear" w:color="auto" w:fill="000080"/>
    </w:pPr>
  </w:style>
  <w:style w:type="paragraph" w:styleId="15">
    <w:name w:val="annotation text"/>
    <w:basedOn w:val="1"/>
    <w:link w:val="65"/>
    <w:qFormat/>
    <w:uiPriority w:val="99"/>
    <w:pPr>
      <w:jc w:val="left"/>
    </w:pPr>
  </w:style>
  <w:style w:type="paragraph" w:styleId="16">
    <w:name w:val="Body Text 3"/>
    <w:basedOn w:val="1"/>
    <w:link w:val="66"/>
    <w:qFormat/>
    <w:uiPriority w:val="0"/>
    <w:pPr>
      <w:spacing w:after="120"/>
    </w:pPr>
    <w:rPr>
      <w:sz w:val="16"/>
      <w:szCs w:val="16"/>
    </w:rPr>
  </w:style>
  <w:style w:type="paragraph" w:styleId="17">
    <w:name w:val="Body Text"/>
    <w:basedOn w:val="1"/>
    <w:link w:val="67"/>
    <w:qFormat/>
    <w:uiPriority w:val="0"/>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9"/>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0"/>
    <w:qFormat/>
    <w:uiPriority w:val="0"/>
    <w:pPr>
      <w:ind w:left="100" w:leftChars="2500"/>
    </w:pPr>
    <w:rPr>
      <w:rFonts w:ascii="仿宋_GB2312" w:hAnsi="宋体" w:eastAsia="仿宋_GB2312"/>
      <w:color w:val="000000"/>
      <w:sz w:val="24"/>
    </w:rPr>
  </w:style>
  <w:style w:type="paragraph" w:styleId="26">
    <w:name w:val="Body Text Indent 2"/>
    <w:basedOn w:val="1"/>
    <w:link w:val="71"/>
    <w:qFormat/>
    <w:uiPriority w:val="0"/>
    <w:pPr>
      <w:ind w:firstLine="480" w:firstLineChars="200"/>
    </w:pPr>
    <w:rPr>
      <w:rFonts w:ascii="仿宋_GB2312" w:eastAsia="仿宋_GB2312"/>
      <w:sz w:val="24"/>
    </w:rPr>
  </w:style>
  <w:style w:type="paragraph" w:styleId="27">
    <w:name w:val="Balloon Text"/>
    <w:basedOn w:val="1"/>
    <w:link w:val="72"/>
    <w:qFormat/>
    <w:uiPriority w:val="0"/>
    <w:rPr>
      <w:sz w:val="18"/>
      <w:szCs w:val="18"/>
    </w:rPr>
  </w:style>
  <w:style w:type="paragraph" w:styleId="28">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7"/>
    <w:qFormat/>
    <w:uiPriority w:val="0"/>
    <w:pPr>
      <w:jc w:val="center"/>
      <w:outlineLvl w:val="0"/>
    </w:pPr>
    <w:rPr>
      <w:b/>
      <w:sz w:val="32"/>
      <w:szCs w:val="20"/>
    </w:rPr>
  </w:style>
  <w:style w:type="paragraph" w:styleId="40">
    <w:name w:val="annotation subject"/>
    <w:basedOn w:val="15"/>
    <w:next w:val="15"/>
    <w:link w:val="78"/>
    <w:qFormat/>
    <w:uiPriority w:val="0"/>
    <w:rPr>
      <w:b/>
      <w:bCs/>
    </w:rPr>
  </w:style>
  <w:style w:type="paragraph" w:styleId="41">
    <w:name w:val="Body Text First Indent"/>
    <w:basedOn w:val="17"/>
    <w:qFormat/>
    <w:uiPriority w:val="99"/>
    <w:pPr>
      <w:spacing w:before="0" w:after="120" w:line="240" w:lineRule="auto"/>
      <w:ind w:firstLine="420" w:firstLineChars="100"/>
    </w:pPr>
    <w:rPr>
      <w:sz w:val="21"/>
    </w:rPr>
  </w:style>
  <w:style w:type="paragraph" w:styleId="42">
    <w:name w:val="Body Text First Indent 2"/>
    <w:basedOn w:val="18"/>
    <w:link w:val="79"/>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1 Char"/>
    <w:link w:val="2"/>
    <w:qFormat/>
    <w:uiPriority w:val="0"/>
    <w:rPr>
      <w:rFonts w:ascii="宋体"/>
      <w:b/>
      <w:kern w:val="44"/>
      <w:sz w:val="32"/>
    </w:rPr>
  </w:style>
  <w:style w:type="character" w:customStyle="1" w:styleId="55">
    <w:name w:val="标题 2 Char1"/>
    <w:link w:val="3"/>
    <w:qFormat/>
    <w:uiPriority w:val="0"/>
    <w:rPr>
      <w:rFonts w:ascii="Arial" w:hAnsi="Arial" w:eastAsia="黑体"/>
      <w:b/>
      <w:sz w:val="30"/>
      <w:lang w:val="en-US" w:eastAsia="zh-CN" w:bidi="ar-SA"/>
    </w:rPr>
  </w:style>
  <w:style w:type="character" w:customStyle="1" w:styleId="56">
    <w:name w:val="正文缩进 Char1"/>
    <w:link w:val="5"/>
    <w:qFormat/>
    <w:uiPriority w:val="0"/>
    <w:rPr>
      <w:rFonts w:ascii="宋体" w:eastAsia="宋体"/>
      <w:kern w:val="2"/>
      <w:sz w:val="24"/>
      <w:szCs w:val="24"/>
      <w:lang w:val="en-US" w:eastAsia="zh-CN" w:bidi="ar-SA"/>
    </w:rPr>
  </w:style>
  <w:style w:type="character" w:customStyle="1" w:styleId="57">
    <w:name w:val="标题 3 Char1"/>
    <w:link w:val="4"/>
    <w:qFormat/>
    <w:uiPriority w:val="0"/>
    <w:rPr>
      <w:rFonts w:ascii="宋体" w:eastAsia="宋体"/>
      <w:b/>
      <w:sz w:val="24"/>
      <w:u w:val="single"/>
      <w:lang w:val="en-US" w:eastAsia="zh-CN" w:bidi="ar-SA"/>
    </w:rPr>
  </w:style>
  <w:style w:type="character" w:customStyle="1" w:styleId="58">
    <w:name w:val="标题 4 Char"/>
    <w:link w:val="6"/>
    <w:qFormat/>
    <w:uiPriority w:val="0"/>
    <w:rPr>
      <w:rFonts w:ascii="Arial" w:hAnsi="Arial" w:eastAsia="黑体"/>
      <w:b/>
      <w:sz w:val="28"/>
    </w:rPr>
  </w:style>
  <w:style w:type="character" w:customStyle="1" w:styleId="59">
    <w:name w:val="标题 5 Char"/>
    <w:link w:val="7"/>
    <w:qFormat/>
    <w:uiPriority w:val="0"/>
    <w:rPr>
      <w:b/>
      <w:sz w:val="28"/>
    </w:rPr>
  </w:style>
  <w:style w:type="character" w:customStyle="1" w:styleId="60">
    <w:name w:val="标题 6 Char"/>
    <w:link w:val="8"/>
    <w:qFormat/>
    <w:uiPriority w:val="0"/>
    <w:rPr>
      <w:rFonts w:ascii="Arial" w:hAnsi="Arial" w:eastAsia="黑体"/>
      <w:b/>
      <w:sz w:val="24"/>
    </w:rPr>
  </w:style>
  <w:style w:type="character" w:customStyle="1" w:styleId="61">
    <w:name w:val="标题 7 Char"/>
    <w:link w:val="9"/>
    <w:qFormat/>
    <w:uiPriority w:val="0"/>
    <w:rPr>
      <w:b/>
      <w:sz w:val="24"/>
    </w:rPr>
  </w:style>
  <w:style w:type="character" w:customStyle="1" w:styleId="62">
    <w:name w:val="标题 8 Char"/>
    <w:link w:val="10"/>
    <w:qFormat/>
    <w:uiPriority w:val="0"/>
    <w:rPr>
      <w:rFonts w:ascii="Arial" w:hAnsi="Arial" w:eastAsia="黑体"/>
      <w:sz w:val="24"/>
    </w:rPr>
  </w:style>
  <w:style w:type="character" w:customStyle="1" w:styleId="63">
    <w:name w:val="标题 9 Char"/>
    <w:link w:val="11"/>
    <w:qFormat/>
    <w:uiPriority w:val="0"/>
    <w:rPr>
      <w:rFonts w:ascii="Arial" w:hAnsi="Arial" w:eastAsia="黑体"/>
      <w:sz w:val="21"/>
    </w:rPr>
  </w:style>
  <w:style w:type="character" w:customStyle="1" w:styleId="64">
    <w:name w:val="文档结构图 Char"/>
    <w:link w:val="14"/>
    <w:qFormat/>
    <w:uiPriority w:val="0"/>
    <w:rPr>
      <w:kern w:val="2"/>
      <w:sz w:val="21"/>
      <w:szCs w:val="24"/>
      <w:shd w:val="clear" w:color="auto" w:fill="000080"/>
    </w:rPr>
  </w:style>
  <w:style w:type="character" w:customStyle="1" w:styleId="65">
    <w:name w:val="批注文字 Char1"/>
    <w:link w:val="15"/>
    <w:qFormat/>
    <w:uiPriority w:val="99"/>
    <w:rPr>
      <w:kern w:val="2"/>
      <w:sz w:val="21"/>
      <w:szCs w:val="24"/>
    </w:rPr>
  </w:style>
  <w:style w:type="character" w:customStyle="1" w:styleId="66">
    <w:name w:val="正文文本 3 Char"/>
    <w:link w:val="16"/>
    <w:qFormat/>
    <w:uiPriority w:val="0"/>
    <w:rPr>
      <w:kern w:val="2"/>
      <w:sz w:val="16"/>
      <w:szCs w:val="16"/>
    </w:rPr>
  </w:style>
  <w:style w:type="character" w:customStyle="1" w:styleId="67">
    <w:name w:val="正文文本 Char"/>
    <w:link w:val="17"/>
    <w:qFormat/>
    <w:uiPriority w:val="0"/>
    <w:rPr>
      <w:rFonts w:ascii="宋体" w:hAnsi="宋体"/>
      <w:kern w:val="2"/>
      <w:sz w:val="24"/>
      <w:szCs w:val="24"/>
    </w:rPr>
  </w:style>
  <w:style w:type="character" w:customStyle="1" w:styleId="68">
    <w:name w:val="正文文本缩进 Char2"/>
    <w:link w:val="18"/>
    <w:qFormat/>
    <w:uiPriority w:val="0"/>
    <w:rPr>
      <w:rFonts w:eastAsia="宋体"/>
      <w:kern w:val="2"/>
      <w:sz w:val="24"/>
      <w:szCs w:val="24"/>
      <w:lang w:val="en-US" w:eastAsia="zh-CN" w:bidi="ar-SA"/>
    </w:rPr>
  </w:style>
  <w:style w:type="character" w:customStyle="1" w:styleId="69">
    <w:name w:val="纯文本 Char"/>
    <w:link w:val="23"/>
    <w:qFormat/>
    <w:uiPriority w:val="0"/>
    <w:rPr>
      <w:rFonts w:hint="eastAsia" w:ascii="宋体" w:hAnsi="Courier New" w:eastAsia="宋体" w:cs="宋体"/>
      <w:kern w:val="2"/>
      <w:sz w:val="21"/>
    </w:rPr>
  </w:style>
  <w:style w:type="character" w:customStyle="1" w:styleId="70">
    <w:name w:val="日期 Char"/>
    <w:link w:val="25"/>
    <w:qFormat/>
    <w:uiPriority w:val="0"/>
    <w:rPr>
      <w:rFonts w:ascii="仿宋_GB2312" w:hAnsi="宋体" w:eastAsia="仿宋_GB2312"/>
      <w:color w:val="000000"/>
      <w:kern w:val="2"/>
      <w:sz w:val="24"/>
      <w:szCs w:val="24"/>
    </w:rPr>
  </w:style>
  <w:style w:type="character" w:customStyle="1" w:styleId="71">
    <w:name w:val="正文文本缩进 2 Char"/>
    <w:link w:val="26"/>
    <w:qFormat/>
    <w:uiPriority w:val="0"/>
    <w:rPr>
      <w:rFonts w:ascii="仿宋_GB2312" w:eastAsia="仿宋_GB2312"/>
      <w:kern w:val="2"/>
      <w:sz w:val="24"/>
      <w:szCs w:val="24"/>
    </w:rPr>
  </w:style>
  <w:style w:type="character" w:customStyle="1" w:styleId="72">
    <w:name w:val="批注框文本 Char"/>
    <w:link w:val="27"/>
    <w:qFormat/>
    <w:uiPriority w:val="0"/>
    <w:rPr>
      <w:kern w:val="2"/>
      <w:sz w:val="18"/>
      <w:szCs w:val="18"/>
    </w:rPr>
  </w:style>
  <w:style w:type="character" w:customStyle="1" w:styleId="73">
    <w:name w:val="页脚 Char1"/>
    <w:link w:val="28"/>
    <w:qFormat/>
    <w:uiPriority w:val="99"/>
    <w:rPr>
      <w:rFonts w:ascii="宋体" w:eastAsia="宋体"/>
      <w:sz w:val="18"/>
      <w:lang w:val="en-US" w:eastAsia="zh-CN" w:bidi="ar-SA"/>
    </w:rPr>
  </w:style>
  <w:style w:type="character" w:customStyle="1" w:styleId="74">
    <w:name w:val="页眉 Char1"/>
    <w:link w:val="29"/>
    <w:qFormat/>
    <w:uiPriority w:val="99"/>
    <w:rPr>
      <w:rFonts w:eastAsia="宋体"/>
      <w:kern w:val="2"/>
      <w:sz w:val="18"/>
      <w:szCs w:val="18"/>
      <w:lang w:val="en-US" w:eastAsia="zh-CN" w:bidi="ar-SA"/>
    </w:rPr>
  </w:style>
  <w:style w:type="character" w:customStyle="1" w:styleId="75">
    <w:name w:val="正文文本缩进 3 Char"/>
    <w:link w:val="33"/>
    <w:qFormat/>
    <w:uiPriority w:val="0"/>
    <w:rPr>
      <w:rFonts w:ascii="宋体"/>
      <w:sz w:val="24"/>
    </w:rPr>
  </w:style>
  <w:style w:type="character" w:customStyle="1" w:styleId="76">
    <w:name w:val="HTML 预设格式 Char"/>
    <w:link w:val="36"/>
    <w:qFormat/>
    <w:uiPriority w:val="0"/>
    <w:rPr>
      <w:rFonts w:ascii="宋体" w:hAnsi="宋体" w:cs="宋体"/>
      <w:sz w:val="24"/>
      <w:szCs w:val="24"/>
    </w:rPr>
  </w:style>
  <w:style w:type="character" w:customStyle="1" w:styleId="77">
    <w:name w:val="标题 Char1"/>
    <w:link w:val="39"/>
    <w:qFormat/>
    <w:uiPriority w:val="0"/>
    <w:rPr>
      <w:b/>
      <w:kern w:val="2"/>
      <w:sz w:val="32"/>
    </w:rPr>
  </w:style>
  <w:style w:type="character" w:customStyle="1" w:styleId="78">
    <w:name w:val="批注主题 Char"/>
    <w:link w:val="40"/>
    <w:qFormat/>
    <w:uiPriority w:val="0"/>
    <w:rPr>
      <w:rFonts w:ascii="Times New Roman" w:hAnsi="Times New Roman" w:eastAsia="宋体" w:cs="Times New Roman"/>
      <w:b/>
      <w:bCs/>
      <w:kern w:val="2"/>
      <w:sz w:val="21"/>
      <w:szCs w:val="24"/>
      <w:lang w:val="en-US" w:eastAsia="zh-CN" w:bidi="ar-SA"/>
    </w:rPr>
  </w:style>
  <w:style w:type="character" w:customStyle="1" w:styleId="79">
    <w:name w:val="正文首行缩进 2 Char"/>
    <w:link w:val="42"/>
    <w:qFormat/>
    <w:uiPriority w:val="0"/>
    <w:rPr>
      <w:rFonts w:eastAsia="宋体"/>
      <w:kern w:val="2"/>
      <w:sz w:val="24"/>
      <w:szCs w:val="24"/>
      <w:lang w:val="en-US" w:eastAsia="zh-CN" w:bidi="ar-SA"/>
    </w:rPr>
  </w:style>
  <w:style w:type="paragraph" w:customStyle="1" w:styleId="80">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character" w:customStyle="1" w:styleId="81">
    <w:name w:val="批注文字 字符"/>
    <w:qFormat/>
    <w:uiPriority w:val="99"/>
    <w:rPr>
      <w:rFonts w:ascii="Times New Roman" w:hAnsi="Times New Roman" w:eastAsia="宋体" w:cs="Times New Roman"/>
      <w:sz w:val="24"/>
      <w:lang w:val="en-US" w:eastAsia="zh-CN" w:bidi="ar-SA"/>
    </w:rPr>
  </w:style>
  <w:style w:type="character" w:customStyle="1" w:styleId="82">
    <w:name w:val="txt"/>
    <w:qFormat/>
    <w:uiPriority w:val="0"/>
  </w:style>
  <w:style w:type="character" w:customStyle="1" w:styleId="83">
    <w:name w:val="black1"/>
    <w:qFormat/>
    <w:uiPriority w:val="0"/>
    <w:rPr>
      <w:color w:val="000000"/>
    </w:rPr>
  </w:style>
  <w:style w:type="character" w:customStyle="1" w:styleId="84">
    <w:name w:val="正文大标题 Char"/>
    <w:link w:val="85"/>
    <w:qFormat/>
    <w:uiPriority w:val="0"/>
    <w:rPr>
      <w:rFonts w:ascii="宋体" w:hAnsi="宋体"/>
      <w:b/>
      <w:color w:val="000000"/>
      <w:kern w:val="2"/>
      <w:sz w:val="28"/>
      <w:szCs w:val="21"/>
    </w:rPr>
  </w:style>
  <w:style w:type="paragraph" w:customStyle="1" w:styleId="85">
    <w:name w:val="正文大标题"/>
    <w:basedOn w:val="86"/>
    <w:next w:val="5"/>
    <w:link w:val="84"/>
    <w:qFormat/>
    <w:uiPriority w:val="0"/>
    <w:pPr>
      <w:jc w:val="center"/>
    </w:pPr>
    <w:rPr>
      <w:i w:val="0"/>
      <w:color w:val="000000"/>
      <w:sz w:val="28"/>
      <w:szCs w:val="21"/>
    </w:rPr>
  </w:style>
  <w:style w:type="paragraph" w:customStyle="1" w:styleId="86">
    <w:name w:val="正文小标题"/>
    <w:basedOn w:val="1"/>
    <w:next w:val="5"/>
    <w:link w:val="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87">
    <w:name w:val="正文小标题 Char"/>
    <w:link w:val="86"/>
    <w:qFormat/>
    <w:uiPriority w:val="0"/>
    <w:rPr>
      <w:rFonts w:ascii="宋体" w:hAnsi="宋体"/>
      <w:b/>
      <w:i/>
      <w:color w:val="FF0000"/>
      <w:kern w:val="2"/>
      <w:sz w:val="24"/>
    </w:rPr>
  </w:style>
  <w:style w:type="character" w:customStyle="1" w:styleId="88">
    <w:name w:val="title4"/>
    <w:qFormat/>
    <w:uiPriority w:val="0"/>
    <w:rPr>
      <w:b/>
      <w:bCs/>
      <w:color w:val="1D87B3"/>
      <w:sz w:val="15"/>
      <w:szCs w:val="15"/>
    </w:rPr>
  </w:style>
  <w:style w:type="character" w:customStyle="1" w:styleId="89">
    <w:name w:val="纯文本 Char1"/>
    <w:qFormat/>
    <w:uiPriority w:val="0"/>
    <w:rPr>
      <w:rFonts w:ascii="宋体" w:hAnsi="Courier New" w:eastAsia="宋体"/>
      <w:kern w:val="2"/>
      <w:sz w:val="21"/>
      <w:lang w:val="en-US" w:eastAsia="zh-CN" w:bidi="ar-SA"/>
    </w:rPr>
  </w:style>
  <w:style w:type="character" w:customStyle="1" w:styleId="90">
    <w:name w:val="chanpin1"/>
    <w:qFormat/>
    <w:uiPriority w:val="0"/>
    <w:rPr>
      <w:rFonts w:hint="default" w:ascii="ˎ̥" w:hAnsi="ˎ̥"/>
      <w:color w:val="000000"/>
      <w:sz w:val="20"/>
      <w:szCs w:val="20"/>
      <w:u w:val="none"/>
    </w:rPr>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纯文本 字符"/>
    <w:qFormat/>
    <w:uiPriority w:val="99"/>
    <w:rPr>
      <w:rFonts w:ascii="宋体" w:hAnsi="Courier New" w:eastAsia="宋体" w:cs="Times New Roman"/>
      <w:kern w:val="2"/>
      <w:sz w:val="21"/>
      <w:szCs w:val="21"/>
      <w:lang w:val="en-US" w:eastAsia="zh-CN" w:bidi="ar-SA"/>
    </w:rPr>
  </w:style>
  <w:style w:type="character" w:customStyle="1" w:styleId="94">
    <w:name w:val="正文表格 Char"/>
    <w:link w:val="95"/>
    <w:qFormat/>
    <w:uiPriority w:val="0"/>
    <w:rPr>
      <w:rFonts w:ascii="宋体" w:hAnsi="宋体"/>
      <w:color w:val="000000"/>
      <w:kern w:val="2"/>
      <w:sz w:val="21"/>
      <w:szCs w:val="21"/>
    </w:rPr>
  </w:style>
  <w:style w:type="paragraph" w:customStyle="1" w:styleId="95">
    <w:name w:val="正文表格"/>
    <w:basedOn w:val="1"/>
    <w:link w:val="94"/>
    <w:qFormat/>
    <w:uiPriority w:val="0"/>
    <w:pPr>
      <w:adjustRightInd w:val="0"/>
      <w:snapToGrid w:val="0"/>
      <w:jc w:val="left"/>
    </w:pPr>
    <w:rPr>
      <w:rFonts w:ascii="宋体" w:hAnsi="宋体"/>
      <w:color w:val="000000"/>
      <w:szCs w:val="21"/>
    </w:rPr>
  </w:style>
  <w:style w:type="character" w:customStyle="1" w:styleId="96">
    <w:name w:val="注释 Char"/>
    <w:link w:val="97"/>
    <w:qFormat/>
    <w:uiPriority w:val="0"/>
    <w:rPr>
      <w:rFonts w:ascii="宋体" w:hAnsi="宋体"/>
      <w:kern w:val="2"/>
      <w:sz w:val="21"/>
      <w:szCs w:val="21"/>
    </w:rPr>
  </w:style>
  <w:style w:type="paragraph" w:customStyle="1" w:styleId="97">
    <w:name w:val="注释"/>
    <w:basedOn w:val="1"/>
    <w:link w:val="96"/>
    <w:qFormat/>
    <w:uiPriority w:val="0"/>
    <w:pPr>
      <w:adjustRightInd w:val="0"/>
      <w:snapToGrid w:val="0"/>
      <w:ind w:left="420" w:hanging="420" w:hangingChars="200"/>
      <w:jc w:val="left"/>
    </w:pPr>
    <w:rPr>
      <w:rFonts w:ascii="宋体" w:hAnsi="宋体"/>
      <w:szCs w:val="21"/>
    </w:rPr>
  </w:style>
  <w:style w:type="character" w:customStyle="1" w:styleId="98">
    <w:name w:val="locality"/>
    <w:qFormat/>
    <w:uiPriority w:val="0"/>
  </w:style>
  <w:style w:type="character" w:customStyle="1" w:styleId="99">
    <w:name w:val="正文缩进 Char Char"/>
    <w:link w:val="100"/>
    <w:qFormat/>
    <w:uiPriority w:val="0"/>
    <w:rPr>
      <w:rFonts w:ascii="宋体" w:eastAsia="宋体"/>
      <w:snapToGrid w:val="0"/>
      <w:color w:val="000000"/>
      <w:kern w:val="28"/>
      <w:sz w:val="28"/>
      <w:lang w:bidi="ar-SA"/>
    </w:rPr>
  </w:style>
  <w:style w:type="paragraph" w:customStyle="1" w:styleId="100">
    <w:name w:val="正文缩进1"/>
    <w:basedOn w:val="1"/>
    <w:link w:val="9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1">
    <w:name w:val="street-address"/>
    <w:qFormat/>
    <w:uiPriority w:val="0"/>
  </w:style>
  <w:style w:type="character" w:customStyle="1" w:styleId="102">
    <w:name w:val="段1 Char"/>
    <w:qFormat/>
    <w:uiPriority w:val="0"/>
    <w:rPr>
      <w:rFonts w:ascii="宋体" w:eastAsia="宋体"/>
      <w:sz w:val="24"/>
      <w:lang w:val="en-US" w:eastAsia="zh-CN" w:bidi="ar-SA"/>
    </w:rPr>
  </w:style>
  <w:style w:type="character" w:customStyle="1" w:styleId="103">
    <w:name w:val="c21"/>
    <w:qFormat/>
    <w:uiPriority w:val="0"/>
    <w:rPr>
      <w:rFonts w:hint="default" w:ascii="ˎ̥" w:hAnsi="ˎ̥"/>
      <w:color w:val="000000"/>
      <w:sz w:val="20"/>
      <w:szCs w:val="20"/>
      <w:u w:val="none"/>
    </w:rPr>
  </w:style>
  <w:style w:type="character" w:customStyle="1" w:styleId="104">
    <w:name w:val="chanpin拷贝"/>
    <w:qFormat/>
    <w:uiPriority w:val="0"/>
  </w:style>
  <w:style w:type="character" w:customStyle="1" w:styleId="105">
    <w:name w:val="普通文字1 Char1"/>
    <w:qFormat/>
    <w:uiPriority w:val="0"/>
    <w:rPr>
      <w:rFonts w:ascii="宋体" w:hAnsi="Courier New" w:eastAsia="宋体"/>
      <w:kern w:val="2"/>
      <w:sz w:val="21"/>
      <w:lang w:val="en-US" w:eastAsia="zh-CN" w:bidi="ar-SA"/>
    </w:rPr>
  </w:style>
  <w:style w:type="character" w:customStyle="1" w:styleId="106">
    <w:name w:val="Char Char11"/>
    <w:qFormat/>
    <w:uiPriority w:val="0"/>
    <w:rPr>
      <w:rFonts w:ascii="宋体" w:eastAsia="宋体"/>
      <w:b/>
      <w:sz w:val="24"/>
      <w:u w:val="single"/>
      <w:lang w:val="en-US" w:eastAsia="zh-CN" w:bidi="ar-SA"/>
    </w:rPr>
  </w:style>
  <w:style w:type="character" w:customStyle="1" w:styleId="107">
    <w:name w:val="标题 2 Char Char"/>
    <w:qFormat/>
    <w:uiPriority w:val="0"/>
    <w:rPr>
      <w:rFonts w:ascii="Arial" w:hAnsi="Arial" w:eastAsia="黑体"/>
      <w:b/>
      <w:bCs/>
      <w:kern w:val="2"/>
      <w:sz w:val="32"/>
      <w:szCs w:val="32"/>
      <w:lang w:val="en-US" w:eastAsia="zh-CN" w:bidi="ar-SA"/>
    </w:rPr>
  </w:style>
  <w:style w:type="character" w:customStyle="1" w:styleId="108">
    <w:name w:val="列表段落 字符"/>
    <w:link w:val="109"/>
    <w:qFormat/>
    <w:uiPriority w:val="34"/>
    <w:rPr>
      <w:rFonts w:ascii="Calibri" w:hAnsi="Calibri" w:eastAsia="宋体"/>
      <w:kern w:val="2"/>
      <w:sz w:val="21"/>
      <w:szCs w:val="22"/>
      <w:lang w:val="en-US" w:eastAsia="zh-CN" w:bidi="ar-SA"/>
    </w:rPr>
  </w:style>
  <w:style w:type="paragraph" w:customStyle="1" w:styleId="109">
    <w:name w:val="List Paragraph"/>
    <w:basedOn w:val="1"/>
    <w:link w:val="108"/>
    <w:qFormat/>
    <w:uiPriority w:val="34"/>
    <w:pPr>
      <w:ind w:firstLine="420" w:firstLineChars="200"/>
    </w:pPr>
    <w:rPr>
      <w:rFonts w:ascii="Calibri" w:hAnsi="Calibri"/>
      <w:szCs w:val="22"/>
    </w:rPr>
  </w:style>
  <w:style w:type="character" w:customStyle="1" w:styleId="110">
    <w:name w:val="标题 3 Char Char"/>
    <w:qFormat/>
    <w:uiPriority w:val="0"/>
    <w:rPr>
      <w:rFonts w:eastAsia="宋体"/>
      <w:b/>
      <w:bCs/>
      <w:kern w:val="2"/>
      <w:sz w:val="32"/>
      <w:szCs w:val="32"/>
      <w:lang w:val="en-US" w:eastAsia="zh-CN" w:bidi="ar-SA"/>
    </w:rPr>
  </w:style>
  <w:style w:type="character" w:customStyle="1" w:styleId="111">
    <w:name w:val="apple-style-span"/>
    <w:qFormat/>
    <w:uiPriority w:val="0"/>
    <w:rPr>
      <w:rFonts w:cs="Times New Roman"/>
    </w:rPr>
  </w:style>
  <w:style w:type="character" w:customStyle="1" w:styleId="112">
    <w:name w:val="正文重点 Char"/>
    <w:link w:val="113"/>
    <w:qFormat/>
    <w:uiPriority w:val="0"/>
    <w:rPr>
      <w:b/>
      <w:sz w:val="24"/>
    </w:rPr>
  </w:style>
  <w:style w:type="paragraph" w:customStyle="1" w:styleId="113">
    <w:name w:val="正文重点"/>
    <w:basedOn w:val="1"/>
    <w:link w:val="112"/>
    <w:qFormat/>
    <w:uiPriority w:val="0"/>
    <w:pPr>
      <w:adjustRightInd w:val="0"/>
      <w:spacing w:line="360" w:lineRule="auto"/>
      <w:ind w:firstLine="482" w:firstLineChars="200"/>
      <w:jc w:val="left"/>
      <w:textAlignment w:val="baseline"/>
    </w:pPr>
    <w:rPr>
      <w:b/>
      <w:kern w:val="0"/>
      <w:sz w:val="24"/>
      <w:szCs w:val="20"/>
    </w:rPr>
  </w:style>
  <w:style w:type="character" w:customStyle="1" w:styleId="114">
    <w:name w:val="中等深浅网格 1 - 强调文字颜色 2 Char"/>
    <w:link w:val="115"/>
    <w:qFormat/>
    <w:uiPriority w:val="0"/>
    <w:rPr>
      <w:kern w:val="2"/>
      <w:sz w:val="21"/>
      <w:szCs w:val="24"/>
      <w:lang w:val="zh-CN" w:eastAsia="zh-CN"/>
    </w:rPr>
  </w:style>
  <w:style w:type="paragraph" w:customStyle="1" w:styleId="115">
    <w:name w:val="1"/>
    <w:link w:val="114"/>
    <w:qFormat/>
    <w:uiPriority w:val="0"/>
    <w:rPr>
      <w:rFonts w:ascii="Times New Roman" w:hAnsi="Times New Roman" w:eastAsia="宋体" w:cs="Times New Roman"/>
      <w:kern w:val="2"/>
      <w:sz w:val="21"/>
      <w:szCs w:val="24"/>
      <w:lang w:val="zh-CN" w:eastAsia="zh-CN" w:bidi="ar-SA"/>
    </w:rPr>
  </w:style>
  <w:style w:type="character" w:customStyle="1" w:styleId="116">
    <w:name w:val="纯文本 字符1"/>
    <w:qFormat/>
    <w:uiPriority w:val="0"/>
    <w:rPr>
      <w:rFonts w:ascii="宋体" w:hAnsi="Courier New"/>
    </w:rPr>
  </w:style>
  <w:style w:type="character" w:customStyle="1" w:styleId="117">
    <w:name w:val="bjh-p"/>
    <w:qFormat/>
    <w:uiPriority w:val="0"/>
  </w:style>
  <w:style w:type="character" w:customStyle="1" w:styleId="118">
    <w:name w:val="正文格式 Char"/>
    <w:link w:val="119"/>
    <w:qFormat/>
    <w:locked/>
    <w:uiPriority w:val="0"/>
    <w:rPr>
      <w:rFonts w:ascii="宋体" w:hAnsi="宋体"/>
      <w:sz w:val="24"/>
      <w:szCs w:val="24"/>
      <w:lang w:val="en-GB"/>
    </w:rPr>
  </w:style>
  <w:style w:type="paragraph" w:customStyle="1" w:styleId="119">
    <w:name w:val="正文格式"/>
    <w:basedOn w:val="1"/>
    <w:link w:val="118"/>
    <w:qFormat/>
    <w:uiPriority w:val="0"/>
    <w:pPr>
      <w:spacing w:beforeLines="50" w:line="360" w:lineRule="auto"/>
      <w:ind w:firstLine="480" w:firstLineChars="200"/>
    </w:pPr>
    <w:rPr>
      <w:rFonts w:ascii="宋体" w:hAnsi="宋体"/>
      <w:kern w:val="0"/>
      <w:sz w:val="24"/>
      <w:lang w:val="en-GB"/>
    </w:rPr>
  </w:style>
  <w:style w:type="character" w:customStyle="1" w:styleId="120">
    <w:name w:val="标题 3 Char"/>
    <w:qFormat/>
    <w:uiPriority w:val="0"/>
    <w:rPr>
      <w:rFonts w:ascii="宋体" w:eastAsia="宋体"/>
      <w:b/>
      <w:sz w:val="24"/>
      <w:u w:val="single"/>
      <w:lang w:val="en-US" w:eastAsia="zh-CN" w:bidi="ar-SA"/>
    </w:rPr>
  </w:style>
  <w:style w:type="character" w:customStyle="1" w:styleId="121">
    <w:name w:val="正文缩进 Char"/>
    <w:qFormat/>
    <w:uiPriority w:val="0"/>
    <w:rPr>
      <w:rFonts w:ascii="宋体" w:eastAsia="宋体"/>
      <w:kern w:val="2"/>
      <w:sz w:val="24"/>
      <w:szCs w:val="24"/>
      <w:lang w:val="en-US" w:eastAsia="zh-CN" w:bidi="ar-SA"/>
    </w:rPr>
  </w:style>
  <w:style w:type="character" w:customStyle="1" w:styleId="122">
    <w:name w:val="Char Char111"/>
    <w:qFormat/>
    <w:uiPriority w:val="0"/>
    <w:rPr>
      <w:rFonts w:ascii="宋体" w:eastAsia="宋体"/>
      <w:b/>
      <w:sz w:val="24"/>
      <w:u w:val="single"/>
      <w:lang w:val="en-US" w:eastAsia="zh-CN" w:bidi="ar-SA"/>
    </w:rPr>
  </w:style>
  <w:style w:type="character" w:customStyle="1" w:styleId="123">
    <w:name w:val="正文文本缩进 Char"/>
    <w:qFormat/>
    <w:uiPriority w:val="0"/>
    <w:rPr>
      <w:rFonts w:eastAsia="宋体"/>
      <w:kern w:val="2"/>
      <w:sz w:val="24"/>
      <w:szCs w:val="24"/>
      <w:lang w:val="en-US" w:eastAsia="zh-CN" w:bidi="ar-SA"/>
    </w:rPr>
  </w:style>
  <w:style w:type="character" w:customStyle="1" w:styleId="124">
    <w:name w:val="列出段落 Char"/>
    <w:qFormat/>
    <w:uiPriority w:val="0"/>
    <w:rPr>
      <w:rFonts w:ascii="Calibri" w:hAnsi="Calibri" w:eastAsia="宋体"/>
      <w:kern w:val="2"/>
      <w:sz w:val="21"/>
      <w:szCs w:val="22"/>
      <w:lang w:val="en-US" w:eastAsia="zh-CN" w:bidi="ar-SA"/>
    </w:rPr>
  </w:style>
  <w:style w:type="character" w:customStyle="1" w:styleId="125">
    <w:name w:val="页眉 Char"/>
    <w:qFormat/>
    <w:uiPriority w:val="0"/>
    <w:rPr>
      <w:rFonts w:eastAsia="宋体"/>
      <w:kern w:val="2"/>
      <w:sz w:val="18"/>
      <w:szCs w:val="18"/>
      <w:lang w:val="en-US" w:eastAsia="zh-CN" w:bidi="ar-SA"/>
    </w:rPr>
  </w:style>
  <w:style w:type="character" w:customStyle="1" w:styleId="126">
    <w:name w:val="标题 2 Char"/>
    <w:qFormat/>
    <w:uiPriority w:val="0"/>
    <w:rPr>
      <w:rFonts w:ascii="Arial" w:hAnsi="Arial" w:eastAsia="黑体"/>
      <w:b/>
      <w:sz w:val="30"/>
      <w:lang w:val="en-US" w:eastAsia="zh-CN" w:bidi="ar-SA"/>
    </w:rPr>
  </w:style>
  <w:style w:type="character" w:customStyle="1" w:styleId="127">
    <w:name w:val="页脚 Char"/>
    <w:qFormat/>
    <w:uiPriority w:val="0"/>
    <w:rPr>
      <w:rFonts w:ascii="宋体" w:eastAsia="宋体"/>
      <w:sz w:val="18"/>
      <w:lang w:val="en-US" w:eastAsia="zh-CN" w:bidi="ar-SA"/>
    </w:rPr>
  </w:style>
  <w:style w:type="character" w:customStyle="1" w:styleId="128">
    <w:name w:val="批注文字 Char"/>
    <w:qFormat/>
    <w:uiPriority w:val="99"/>
    <w:rPr>
      <w:kern w:val="2"/>
      <w:sz w:val="21"/>
      <w:szCs w:val="24"/>
    </w:rPr>
  </w:style>
  <w:style w:type="character" w:customStyle="1" w:styleId="129">
    <w:name w:val="标题 Char"/>
    <w:qFormat/>
    <w:uiPriority w:val="0"/>
    <w:rPr>
      <w:b/>
      <w:kern w:val="2"/>
      <w:sz w:val="32"/>
    </w:rPr>
  </w:style>
  <w:style w:type="paragraph" w:customStyle="1" w:styleId="130">
    <w:name w:val="Char21"/>
    <w:basedOn w:val="1"/>
    <w:qFormat/>
    <w:uiPriority w:val="0"/>
    <w:rPr>
      <w:rFonts w:ascii="Tahoma" w:hAnsi="Tahoma"/>
      <w:sz w:val="24"/>
      <w:szCs w:val="20"/>
    </w:rPr>
  </w:style>
  <w:style w:type="paragraph" w:customStyle="1" w:styleId="13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w:basedOn w:val="1"/>
    <w:qFormat/>
    <w:uiPriority w:val="0"/>
    <w:rPr>
      <w:rFonts w:ascii="Tahoma" w:hAnsi="Tahoma"/>
      <w:sz w:val="24"/>
      <w:szCs w:val="20"/>
    </w:rPr>
  </w:style>
  <w:style w:type="paragraph" w:customStyle="1" w:styleId="13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35">
    <w:name w:val="二级条标题"/>
    <w:basedOn w:val="136"/>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36">
    <w:name w:val="一级条标题"/>
    <w:basedOn w:val="137"/>
    <w:next w:val="1"/>
    <w:qFormat/>
    <w:uiPriority w:val="0"/>
    <w:pPr>
      <w:numPr>
        <w:ilvl w:val="1"/>
      </w:numPr>
      <w:tabs>
        <w:tab w:val="left" w:pos="360"/>
        <w:tab w:val="left" w:pos="840"/>
      </w:tabs>
      <w:ind w:left="0" w:hanging="840"/>
      <w:outlineLvl w:val="1"/>
    </w:pPr>
  </w:style>
  <w:style w:type="paragraph" w:customStyle="1" w:styleId="13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38">
    <w:name w:val="Char2 Char Char Char Char Char Char"/>
    <w:basedOn w:val="1"/>
    <w:qFormat/>
    <w:uiPriority w:val="0"/>
    <w:pPr>
      <w:widowControl/>
      <w:spacing w:line="400" w:lineRule="exact"/>
      <w:jc w:val="center"/>
    </w:pPr>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字元 字元"/>
    <w:basedOn w:val="1"/>
    <w:qFormat/>
    <w:uiPriority w:val="0"/>
    <w:rPr>
      <w:rFonts w:ascii="Tahoma" w:hAnsi="Tahoma"/>
      <w:sz w:val="24"/>
      <w:szCs w:val="20"/>
    </w:rPr>
  </w:style>
  <w:style w:type="paragraph" w:customStyle="1" w:styleId="143">
    <w:name w:val="列出段落1"/>
    <w:basedOn w:val="1"/>
    <w:qFormat/>
    <w:uiPriority w:val="0"/>
    <w:pPr>
      <w:ind w:firstLine="420" w:firstLineChars="200"/>
    </w:pPr>
    <w:rPr>
      <w:rFonts w:ascii="Calibri" w:hAnsi="Calibri"/>
      <w:szCs w:val="22"/>
    </w:rPr>
  </w:style>
  <w:style w:type="paragraph" w:customStyle="1" w:styleId="14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4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7">
    <w:name w:val="项目编号3"/>
    <w:basedOn w:val="148"/>
    <w:qFormat/>
    <w:uiPriority w:val="0"/>
    <w:pPr>
      <w:numPr>
        <w:ilvl w:val="0"/>
        <w:numId w:val="2"/>
      </w:numPr>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正文文本样式 加粗"/>
    <w:basedOn w:val="148"/>
    <w:qFormat/>
    <w:uiPriority w:val="0"/>
    <w:rPr>
      <w:b/>
    </w:rPr>
  </w:style>
  <w:style w:type="paragraph" w:customStyle="1" w:styleId="15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缺省文本"/>
    <w:basedOn w:val="1"/>
    <w:qFormat/>
    <w:uiPriority w:val="0"/>
    <w:pPr>
      <w:autoSpaceDE w:val="0"/>
      <w:autoSpaceDN w:val="0"/>
      <w:adjustRightInd w:val="0"/>
      <w:jc w:val="left"/>
    </w:pPr>
    <w:rPr>
      <w:kern w:val="0"/>
      <w:sz w:val="24"/>
    </w:rPr>
  </w:style>
  <w:style w:type="paragraph" w:customStyle="1" w:styleId="15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55">
    <w:name w:val="_Style 160"/>
    <w:qFormat/>
    <w:uiPriority w:val="0"/>
    <w:rPr>
      <w:rFonts w:ascii="Times New Roman" w:hAnsi="Times New Roman" w:eastAsia="宋体" w:cs="Times New Roman"/>
      <w:kern w:val="2"/>
      <w:sz w:val="21"/>
      <w:szCs w:val="24"/>
      <w:lang w:val="en-US" w:eastAsia="zh-CN" w:bidi="ar-SA"/>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Char Char Char Char Char Char Char Char Char Char1"/>
    <w:basedOn w:val="1"/>
    <w:qFormat/>
    <w:uiPriority w:val="0"/>
    <w:rPr>
      <w:rFonts w:ascii="宋体" w:hAnsi="宋体" w:cs="Courier New"/>
      <w:sz w:val="32"/>
      <w:szCs w:val="32"/>
    </w:rPr>
  </w:style>
  <w:style w:type="paragraph" w:customStyle="1" w:styleId="158">
    <w:name w:val="Char Char Char Char Char Char Char Char Char Char"/>
    <w:basedOn w:val="1"/>
    <w:qFormat/>
    <w:uiPriority w:val="0"/>
  </w:style>
  <w:style w:type="paragraph" w:customStyle="1" w:styleId="15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3">
    <w:name w:val="字元 字元1"/>
    <w:basedOn w:val="1"/>
    <w:qFormat/>
    <w:uiPriority w:val="0"/>
    <w:rPr>
      <w:rFonts w:ascii="Tahoma" w:hAnsi="Tahoma"/>
      <w:sz w:val="24"/>
      <w:szCs w:val="20"/>
    </w:rPr>
  </w:style>
  <w:style w:type="paragraph" w:customStyle="1" w:styleId="164">
    <w:name w:val="Char Char Char1 Char"/>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67">
    <w:name w:val="Char Char Char"/>
    <w:basedOn w:val="1"/>
    <w:qFormat/>
    <w:uiPriority w:val="0"/>
    <w:rPr>
      <w:rFonts w:ascii="Tahoma" w:hAnsi="Tahoma"/>
      <w:sz w:val="24"/>
      <w:szCs w:val="20"/>
    </w:rPr>
  </w:style>
  <w:style w:type="paragraph" w:customStyle="1" w:styleId="168">
    <w:name w:val="样式 标题 2 + 宋体 五号 行距: 单倍行距"/>
    <w:basedOn w:val="3"/>
    <w:qFormat/>
    <w:uiPriority w:val="0"/>
    <w:pPr>
      <w:numPr>
        <w:ilvl w:val="1"/>
        <w:numId w:val="3"/>
      </w:numPr>
      <w:autoSpaceDE/>
      <w:autoSpaceDN/>
      <w:spacing w:before="260" w:after="260" w:line="240" w:lineRule="auto"/>
      <w:jc w:val="left"/>
      <w:textAlignment w:val="baseline"/>
    </w:pPr>
    <w:rPr>
      <w:rFonts w:ascii="宋体" w:hAnsi="宋体" w:eastAsia="宋体"/>
      <w:bCs/>
      <w:sz w:val="21"/>
    </w:rPr>
  </w:style>
  <w:style w:type="paragraph" w:customStyle="1" w:styleId="169">
    <w:name w:val="Char3 Char Char Char"/>
    <w:basedOn w:val="1"/>
    <w:qFormat/>
    <w:uiPriority w:val="0"/>
    <w:rPr>
      <w:rFonts w:ascii="Tahoma" w:hAnsi="Tahoma"/>
      <w:sz w:val="24"/>
      <w:szCs w:val="20"/>
    </w:rPr>
  </w:style>
  <w:style w:type="paragraph" w:customStyle="1" w:styleId="17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6">
    <w:name w:val="font8"/>
    <w:basedOn w:val="1"/>
    <w:qFormat/>
    <w:uiPriority w:val="0"/>
    <w:pPr>
      <w:widowControl/>
      <w:spacing w:before="100" w:beforeAutospacing="1" w:after="100" w:afterAutospacing="1"/>
      <w:jc w:val="left"/>
    </w:pPr>
    <w:rPr>
      <w:kern w:val="0"/>
      <w:sz w:val="36"/>
      <w:szCs w:val="36"/>
    </w:rPr>
  </w:style>
  <w:style w:type="paragraph" w:customStyle="1" w:styleId="177">
    <w:name w:val="Char Char4"/>
    <w:basedOn w:val="1"/>
    <w:qFormat/>
    <w:uiPriority w:val="0"/>
    <w:pPr>
      <w:widowControl/>
      <w:spacing w:line="400" w:lineRule="exact"/>
      <w:jc w:val="center"/>
    </w:pPr>
  </w:style>
  <w:style w:type="paragraph" w:customStyle="1" w:styleId="17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Char Char Char1 Char1"/>
    <w:basedOn w:val="1"/>
    <w:qFormat/>
    <w:uiPriority w:val="0"/>
    <w:rPr>
      <w:rFonts w:ascii="Tahoma" w:hAnsi="Tahoma"/>
      <w:sz w:val="24"/>
      <w:szCs w:val="20"/>
    </w:rPr>
  </w:style>
  <w:style w:type="paragraph" w:customStyle="1" w:styleId="18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8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82">
    <w:name w:val="表格1"/>
    <w:basedOn w:val="1"/>
    <w:qFormat/>
    <w:uiPriority w:val="0"/>
    <w:pPr>
      <w:ind w:firstLine="480" w:firstLineChars="200"/>
      <w:jc w:val="center"/>
    </w:pPr>
    <w:rPr>
      <w:sz w:val="24"/>
      <w:szCs w:val="20"/>
    </w:rPr>
  </w:style>
  <w:style w:type="paragraph" w:customStyle="1" w:styleId="18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4">
    <w:name w:val="Char3 Char Char Char1"/>
    <w:basedOn w:val="1"/>
    <w:qFormat/>
    <w:uiPriority w:val="0"/>
    <w:rPr>
      <w:rFonts w:ascii="Tahoma" w:hAnsi="Tahoma"/>
      <w:sz w:val="24"/>
      <w:szCs w:val="20"/>
    </w:rPr>
  </w:style>
  <w:style w:type="paragraph" w:customStyle="1" w:styleId="18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6">
    <w:name w:val="List Paragraph1"/>
    <w:basedOn w:val="1"/>
    <w:qFormat/>
    <w:uiPriority w:val="0"/>
    <w:pPr>
      <w:ind w:firstLine="420" w:firstLineChars="200"/>
    </w:pPr>
    <w:rPr>
      <w:rFonts w:ascii="Calibri" w:hAnsi="Calibri"/>
      <w:szCs w:val="22"/>
    </w:rPr>
  </w:style>
  <w:style w:type="paragraph" w:customStyle="1" w:styleId="187">
    <w:name w:val="1名"/>
    <w:basedOn w:val="1"/>
    <w:qFormat/>
    <w:uiPriority w:val="0"/>
    <w:pPr>
      <w:numPr>
        <w:ilvl w:val="0"/>
        <w:numId w:val="4"/>
      </w:numPr>
      <w:spacing w:before="120"/>
    </w:pPr>
    <w:rPr>
      <w:rFonts w:ascii="宋体"/>
      <w:sz w:val="28"/>
      <w:szCs w:val="20"/>
    </w:rPr>
  </w:style>
  <w:style w:type="paragraph" w:customStyle="1" w:styleId="18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90">
    <w:name w:val="Char"/>
    <w:basedOn w:val="1"/>
    <w:qFormat/>
    <w:uiPriority w:val="0"/>
    <w:pPr>
      <w:tabs>
        <w:tab w:val="left" w:pos="360"/>
      </w:tabs>
    </w:pPr>
    <w:rPr>
      <w:sz w:val="24"/>
    </w:rPr>
  </w:style>
  <w:style w:type="paragraph" w:customStyle="1" w:styleId="191">
    <w:name w:val="Char1"/>
    <w:basedOn w:val="1"/>
    <w:qFormat/>
    <w:uiPriority w:val="0"/>
    <w:pPr>
      <w:tabs>
        <w:tab w:val="left" w:pos="360"/>
      </w:tabs>
    </w:pPr>
    <w:rPr>
      <w:sz w:val="24"/>
    </w:rPr>
  </w:style>
  <w:style w:type="paragraph" w:customStyle="1" w:styleId="192">
    <w:name w:val="Char Char1"/>
    <w:basedOn w:val="14"/>
    <w:qFormat/>
    <w:uiPriority w:val="0"/>
    <w:rPr>
      <w:rFonts w:ascii="Tahoma" w:hAnsi="Tahoma"/>
      <w:sz w:val="24"/>
    </w:rPr>
  </w:style>
  <w:style w:type="paragraph" w:customStyle="1" w:styleId="193">
    <w:name w:val="四级条标题"/>
    <w:basedOn w:val="194"/>
    <w:next w:val="1"/>
    <w:qFormat/>
    <w:uiPriority w:val="0"/>
    <w:pPr>
      <w:numPr>
        <w:ilvl w:val="4"/>
      </w:numPr>
      <w:tabs>
        <w:tab w:val="left" w:pos="360"/>
        <w:tab w:val="left" w:pos="840"/>
      </w:tabs>
      <w:ind w:left="0" w:hanging="840"/>
      <w:outlineLvl w:val="4"/>
    </w:pPr>
  </w:style>
  <w:style w:type="paragraph" w:customStyle="1" w:styleId="194">
    <w:name w:val="三级条标题"/>
    <w:basedOn w:val="135"/>
    <w:next w:val="1"/>
    <w:qFormat/>
    <w:uiPriority w:val="0"/>
    <w:pPr>
      <w:numPr>
        <w:ilvl w:val="3"/>
        <w:numId w:val="1"/>
      </w:numPr>
      <w:ind w:left="0" w:hanging="840"/>
      <w:outlineLvl w:val="3"/>
    </w:pPr>
  </w:style>
  <w:style w:type="paragraph" w:customStyle="1" w:styleId="19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96">
    <w:name w:val="项目编号2"/>
    <w:basedOn w:val="197"/>
    <w:qFormat/>
    <w:uiPriority w:val="0"/>
    <w:pPr>
      <w:numPr>
        <w:numId w:val="5"/>
      </w:numPr>
    </w:pPr>
  </w:style>
  <w:style w:type="paragraph" w:customStyle="1" w:styleId="197">
    <w:name w:val="项目编号1"/>
    <w:basedOn w:val="1"/>
    <w:qFormat/>
    <w:uiPriority w:val="0"/>
    <w:pPr>
      <w:numPr>
        <w:ilvl w:val="0"/>
        <w:numId w:val="6"/>
      </w:numPr>
      <w:spacing w:before="100" w:beforeAutospacing="1" w:after="100" w:afterAutospacing="1" w:line="360" w:lineRule="auto"/>
    </w:pPr>
    <w:rPr>
      <w:sz w:val="24"/>
    </w:rPr>
  </w:style>
  <w:style w:type="paragraph" w:customStyle="1" w:styleId="198">
    <w:name w:val="标题1-附件"/>
    <w:basedOn w:val="2"/>
    <w:qFormat/>
    <w:uiPriority w:val="0"/>
    <w:pPr>
      <w:jc w:val="left"/>
    </w:pPr>
    <w:rPr>
      <w:sz w:val="24"/>
      <w:szCs w:val="24"/>
    </w:rPr>
  </w:style>
  <w:style w:type="paragraph" w:customStyle="1" w:styleId="19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图中文字"/>
    <w:basedOn w:val="1"/>
    <w:qFormat/>
    <w:uiPriority w:val="0"/>
    <w:pPr>
      <w:adjustRightInd w:val="0"/>
      <w:snapToGrid w:val="0"/>
      <w:spacing w:line="0" w:lineRule="atLeast"/>
      <w:jc w:val="center"/>
    </w:pPr>
    <w:rPr>
      <w:sz w:val="24"/>
      <w:szCs w:val="20"/>
    </w:rPr>
  </w:style>
  <w:style w:type="paragraph" w:customStyle="1" w:styleId="20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03">
    <w:name w:val="默认段落字体 Para Char Char Char Char"/>
    <w:basedOn w:val="1"/>
    <w:qFormat/>
    <w:uiPriority w:val="0"/>
    <w:rPr>
      <w:rFonts w:ascii="Arial" w:hAnsi="Arial" w:cs="Arial"/>
      <w:szCs w:val="21"/>
    </w:rPr>
  </w:style>
  <w:style w:type="paragraph" w:customStyle="1" w:styleId="20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7">
    <w:name w:val="Char2"/>
    <w:basedOn w:val="1"/>
    <w:qFormat/>
    <w:uiPriority w:val="0"/>
    <w:rPr>
      <w:rFonts w:ascii="Tahoma" w:hAnsi="Tahoma"/>
      <w:sz w:val="24"/>
      <w:szCs w:val="20"/>
    </w:rPr>
  </w:style>
  <w:style w:type="paragraph" w:customStyle="1" w:styleId="20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 + 楷体_GB2312"/>
    <w:basedOn w:val="1"/>
    <w:qFormat/>
    <w:uiPriority w:val="0"/>
    <w:pPr>
      <w:widowControl/>
      <w:jc w:val="left"/>
    </w:pPr>
    <w:rPr>
      <w:rFonts w:ascii="楷体_GB2312" w:eastAsia="楷体_GB2312" w:cs="Arial"/>
      <w:kern w:val="0"/>
      <w:sz w:val="24"/>
    </w:rPr>
  </w:style>
  <w:style w:type="paragraph" w:customStyle="1" w:styleId="21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1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217">
    <w:name w:val="1 Char Char Char Char"/>
    <w:basedOn w:val="1"/>
    <w:qFormat/>
    <w:uiPriority w:val="0"/>
    <w:rPr>
      <w:rFonts w:ascii="Tahoma" w:hAnsi="Tahoma"/>
      <w:sz w:val="24"/>
      <w:szCs w:val="20"/>
    </w:rPr>
  </w:style>
  <w:style w:type="paragraph" w:customStyle="1" w:styleId="2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9">
    <w:name w:val="样式2"/>
    <w:basedOn w:val="38"/>
    <w:qFormat/>
    <w:uiPriority w:val="0"/>
    <w:pPr>
      <w:spacing w:line="360" w:lineRule="auto"/>
      <w:jc w:val="center"/>
    </w:pPr>
    <w:rPr>
      <w:sz w:val="24"/>
    </w:rPr>
  </w:style>
  <w:style w:type="paragraph" w:customStyle="1" w:styleId="220">
    <w:name w:val="项目符号1"/>
    <w:basedOn w:val="148"/>
    <w:qFormat/>
    <w:uiPriority w:val="0"/>
    <w:pPr>
      <w:ind w:left="-25" w:firstLine="0"/>
    </w:pPr>
  </w:style>
  <w:style w:type="paragraph" w:customStyle="1" w:styleId="22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27">
    <w:name w:val="五级条标题"/>
    <w:basedOn w:val="193"/>
    <w:next w:val="1"/>
    <w:qFormat/>
    <w:uiPriority w:val="0"/>
    <w:pPr>
      <w:numPr>
        <w:ilvl w:val="5"/>
      </w:numPr>
      <w:ind w:left="0" w:hanging="840"/>
      <w:outlineLvl w:val="5"/>
    </w:pPr>
  </w:style>
  <w:style w:type="paragraph" w:customStyle="1" w:styleId="22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3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31">
    <w:name w:val="图例"/>
    <w:basedOn w:val="1"/>
    <w:qFormat/>
    <w:uiPriority w:val="0"/>
    <w:pPr>
      <w:spacing w:before="120" w:after="120" w:line="360" w:lineRule="auto"/>
      <w:jc w:val="center"/>
    </w:pPr>
    <w:rPr>
      <w:rFonts w:eastAsia="仿宋_GB2312"/>
      <w:b/>
      <w:sz w:val="24"/>
      <w:szCs w:val="20"/>
    </w:rPr>
  </w:style>
  <w:style w:type="paragraph" w:customStyle="1" w:styleId="23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33">
    <w:name w:val="字元 字元2"/>
    <w:basedOn w:val="1"/>
    <w:qFormat/>
    <w:uiPriority w:val="0"/>
    <w:rPr>
      <w:rFonts w:ascii="Tahoma" w:hAnsi="Tahoma"/>
      <w:sz w:val="24"/>
      <w:szCs w:val="20"/>
    </w:rPr>
  </w:style>
  <w:style w:type="paragraph" w:customStyle="1" w:styleId="234">
    <w:name w:val="Char3 Char Char Char2"/>
    <w:basedOn w:val="1"/>
    <w:qFormat/>
    <w:uiPriority w:val="0"/>
    <w:rPr>
      <w:rFonts w:ascii="Tahoma" w:hAnsi="Tahoma"/>
      <w:sz w:val="24"/>
      <w:szCs w:val="20"/>
    </w:rPr>
  </w:style>
  <w:style w:type="paragraph" w:customStyle="1" w:styleId="235">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36">
    <w:name w:val="Char3"/>
    <w:basedOn w:val="1"/>
    <w:qFormat/>
    <w:uiPriority w:val="0"/>
    <w:pPr>
      <w:tabs>
        <w:tab w:val="left" w:pos="360"/>
      </w:tabs>
    </w:pPr>
    <w:rPr>
      <w:sz w:val="24"/>
    </w:rPr>
  </w:style>
  <w:style w:type="paragraph" w:customStyle="1" w:styleId="23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列出段落2"/>
    <w:basedOn w:val="1"/>
    <w:qFormat/>
    <w:uiPriority w:val="0"/>
    <w:pPr>
      <w:ind w:firstLine="420" w:firstLineChars="200"/>
    </w:pPr>
    <w:rPr>
      <w:rFonts w:ascii="Calibri" w:hAnsi="Calibri"/>
      <w:szCs w:val="22"/>
    </w:rPr>
  </w:style>
  <w:style w:type="paragraph" w:customStyle="1" w:styleId="240">
    <w:name w:val="Char Char Char1 Char2"/>
    <w:basedOn w:val="1"/>
    <w:qFormat/>
    <w:uiPriority w:val="0"/>
    <w:rPr>
      <w:rFonts w:ascii="Tahoma" w:hAnsi="Tahoma"/>
      <w:sz w:val="24"/>
      <w:szCs w:val="20"/>
    </w:rPr>
  </w:style>
  <w:style w:type="paragraph" w:customStyle="1" w:styleId="241">
    <w:name w:val="Char Char Char2"/>
    <w:basedOn w:val="1"/>
    <w:qFormat/>
    <w:uiPriority w:val="0"/>
    <w:rPr>
      <w:rFonts w:ascii="Tahoma" w:hAnsi="Tahoma"/>
      <w:sz w:val="24"/>
      <w:szCs w:val="20"/>
    </w:rPr>
  </w:style>
  <w:style w:type="paragraph" w:customStyle="1" w:styleId="24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4">
    <w:name w:val="Revision"/>
    <w:qFormat/>
    <w:uiPriority w:val="0"/>
    <w:rPr>
      <w:rFonts w:ascii="Times New Roman" w:hAnsi="Times New Roman" w:eastAsia="宋体" w:cs="Times New Roman"/>
      <w:kern w:val="2"/>
      <w:sz w:val="21"/>
      <w:szCs w:val="24"/>
      <w:lang w:val="en-US" w:eastAsia="zh-CN" w:bidi="ar-SA"/>
    </w:rPr>
  </w:style>
  <w:style w:type="paragraph" w:customStyle="1" w:styleId="245">
    <w:name w:val="Char22"/>
    <w:basedOn w:val="1"/>
    <w:qFormat/>
    <w:uiPriority w:val="0"/>
    <w:rPr>
      <w:rFonts w:ascii="Tahoma" w:hAnsi="Tahoma"/>
      <w:sz w:val="24"/>
      <w:szCs w:val="20"/>
    </w:rPr>
  </w:style>
  <w:style w:type="paragraph" w:customStyle="1" w:styleId="246">
    <w:name w:val="Char Char Char Char Char Char Char Char Char Char2"/>
    <w:basedOn w:val="1"/>
    <w:qFormat/>
    <w:uiPriority w:val="0"/>
    <w:rPr>
      <w:rFonts w:ascii="宋体" w:hAnsi="宋体" w:cs="Courier New"/>
      <w:sz w:val="32"/>
      <w:szCs w:val="32"/>
    </w:rPr>
  </w:style>
  <w:style w:type="paragraph" w:customStyle="1" w:styleId="247">
    <w:name w:val="Char2 Char Char Char Char Char Char1"/>
    <w:basedOn w:val="1"/>
    <w:qFormat/>
    <w:uiPriority w:val="0"/>
    <w:pPr>
      <w:widowControl/>
      <w:spacing w:line="400" w:lineRule="exact"/>
      <w:jc w:val="center"/>
    </w:pPr>
  </w:style>
  <w:style w:type="paragraph" w:customStyle="1" w:styleId="248">
    <w:name w:val="Char Char41"/>
    <w:basedOn w:val="1"/>
    <w:qFormat/>
    <w:uiPriority w:val="0"/>
    <w:pPr>
      <w:widowControl/>
      <w:spacing w:line="400" w:lineRule="exact"/>
      <w:jc w:val="center"/>
    </w:p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0">
    <w:name w:val="Table Normal"/>
    <w:semiHidden/>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1">
    <w:name w:val="Table Text"/>
    <w:basedOn w:val="1"/>
    <w:semiHidden/>
    <w:qFormat/>
    <w:uiPriority w:val="0"/>
    <w:rPr>
      <w:rFonts w:ascii="宋体" w:hAnsi="宋体" w:eastAsia="宋体" w:cs="宋体"/>
      <w:sz w:val="24"/>
      <w:szCs w:val="24"/>
      <w:lang w:val="en-US" w:eastAsia="en-US" w:bidi="ar-SA"/>
    </w:rPr>
  </w:style>
  <w:style w:type="paragraph" w:customStyle="1" w:styleId="252">
    <w:name w:val="0"/>
    <w:basedOn w:val="1"/>
    <w:qFormat/>
    <w:uiPriority w:val="0"/>
    <w:pPr>
      <w:widowControl/>
      <w:snapToGrid w:val="0"/>
      <w:spacing w:before="156" w:after="156" w:line="360" w:lineRule="auto"/>
    </w:pPr>
    <w:rPr>
      <w:kern w:val="0"/>
      <w:sz w:val="24"/>
      <w:szCs w:val="20"/>
    </w:rPr>
  </w:style>
  <w:style w:type="paragraph" w:customStyle="1" w:styleId="253">
    <w:name w:val="p0"/>
    <w:basedOn w:val="1"/>
    <w:qFormat/>
    <w:uiPriority w:val="0"/>
    <w:pPr>
      <w:widowControl/>
      <w:autoSpaceDE/>
      <w:autoSpaceDN/>
      <w:jc w:val="both"/>
    </w:pPr>
    <w:rPr>
      <w:rFonts w:ascii="Times New Roman" w:hAnsi="Times New Roman" w:cs="Times New Roman"/>
      <w:sz w:val="21"/>
      <w:szCs w:val="21"/>
      <w:lang w:eastAsia="zh-CN"/>
    </w:rPr>
  </w:style>
  <w:style w:type="paragraph" w:customStyle="1" w:styleId="254">
    <w:name w:val="无间隔1"/>
    <w:qFormat/>
    <w:uiPriority w:val="99"/>
    <w:rPr>
      <w:rFonts w:ascii="Calibri" w:hAnsi="Calibri" w:eastAsia="宋体" w:cs="Times New Roman"/>
      <w:sz w:val="22"/>
      <w:szCs w:val="22"/>
      <w:lang w:val="en-US" w:eastAsia="zh-CN" w:bidi="ar-SA"/>
    </w:rPr>
  </w:style>
  <w:style w:type="paragraph" w:customStyle="1" w:styleId="255">
    <w:name w:val="表格正文"/>
    <w:basedOn w:val="1"/>
    <w:qFormat/>
    <w:uiPriority w:val="0"/>
    <w:rPr>
      <w:rFonts w:ascii="Arial" w:hAnsi="Arial" w:cs="Arial"/>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68</Pages>
  <Words>4790</Words>
  <Characters>5580</Characters>
  <Lines>300</Lines>
  <Paragraphs>84</Paragraphs>
  <TotalTime>31</TotalTime>
  <ScaleCrop>false</ScaleCrop>
  <LinksUpToDate>false</LinksUpToDate>
  <CharactersWithSpaces>5601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D</cp:lastModifiedBy>
  <cp:lastPrinted>2020-04-01T03:13:00Z</cp:lastPrinted>
  <dcterms:modified xsi:type="dcterms:W3CDTF">2026-02-28T01:42:26Z</dcterms:modified>
  <dc:title>政府采购示范文本（2023）</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22866B7A491F469E91D40980979008CD</vt:lpwstr>
  </property>
  <property fmtid="{D5CDD505-2E9C-101B-9397-08002B2CF9AE}" pid="4" name="KSOTemplateDocerSaveRecord">
    <vt:lpwstr>eyJoZGlkIjoiYTllZjc5ODkzZDMxOWUxOTM0NjhlYzg2YjFmZTE3NGQiLCJ1c2VySWQiOiIzMDU2NTUzNjkifQ==</vt:lpwstr>
  </property>
</Properties>
</file>