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12D5B0">
      <w:pPr>
        <w:spacing w:line="360" w:lineRule="auto"/>
        <w:ind w:firstLine="300" w:firstLineChars="50"/>
        <w:rPr>
          <w:sz w:val="60"/>
          <w:szCs w:val="60"/>
        </w:rPr>
      </w:pPr>
    </w:p>
    <w:p w14:paraId="3A1FB3C7">
      <w:pPr>
        <w:spacing w:line="360" w:lineRule="auto"/>
        <w:ind w:firstLine="300" w:firstLineChars="50"/>
        <w:rPr>
          <w:sz w:val="60"/>
          <w:szCs w:val="60"/>
        </w:rPr>
      </w:pPr>
    </w:p>
    <w:p w14:paraId="1860F1E9">
      <w:pPr>
        <w:jc w:val="center"/>
        <w:rPr>
          <w:b/>
          <w:bCs/>
          <w:sz w:val="60"/>
          <w:szCs w:val="60"/>
        </w:rPr>
      </w:pPr>
      <w:r>
        <w:rPr>
          <w:b/>
          <w:bCs/>
          <w:sz w:val="60"/>
          <w:szCs w:val="60"/>
        </w:rPr>
        <w:t>北京市政府采购项目</w:t>
      </w:r>
    </w:p>
    <w:p w14:paraId="449904B5">
      <w:pPr>
        <w:jc w:val="center"/>
        <w:rPr>
          <w:b/>
          <w:bCs/>
          <w:sz w:val="60"/>
          <w:szCs w:val="60"/>
        </w:rPr>
      </w:pPr>
      <w:r>
        <w:rPr>
          <w:b/>
          <w:bCs/>
          <w:sz w:val="60"/>
          <w:szCs w:val="60"/>
        </w:rPr>
        <w:t>竞争性谈判文件示范文本</w:t>
      </w:r>
    </w:p>
    <w:p w14:paraId="5A2D7BFD">
      <w:pPr>
        <w:jc w:val="center"/>
        <w:rPr>
          <w:b/>
          <w:bCs/>
          <w:sz w:val="60"/>
          <w:szCs w:val="60"/>
        </w:rPr>
      </w:pPr>
      <w:r>
        <w:rPr>
          <w:b/>
          <w:bCs/>
          <w:sz w:val="60"/>
          <w:szCs w:val="60"/>
        </w:rPr>
        <w:t>（2026年版）</w:t>
      </w:r>
    </w:p>
    <w:p w14:paraId="38B399D6">
      <w:pPr>
        <w:jc w:val="center"/>
        <w:rPr>
          <w:rFonts w:eastAsiaTheme="minorEastAsia"/>
          <w:b/>
          <w:bCs/>
          <w:sz w:val="60"/>
          <w:szCs w:val="60"/>
        </w:rPr>
      </w:pPr>
    </w:p>
    <w:p w14:paraId="47859EF1">
      <w:pPr>
        <w:jc w:val="center"/>
        <w:rPr>
          <w:rFonts w:eastAsiaTheme="minorEastAsia"/>
          <w:b/>
          <w:bCs/>
          <w:i/>
          <w:sz w:val="60"/>
          <w:szCs w:val="60"/>
        </w:rPr>
      </w:pPr>
    </w:p>
    <w:p w14:paraId="0ABB0A5B">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怀柔区应急广播建设</w:t>
      </w:r>
    </w:p>
    <w:p w14:paraId="6A5BE4F4">
      <w:pPr>
        <w:tabs>
          <w:tab w:val="left" w:pos="3240"/>
          <w:tab w:val="left" w:pos="3420"/>
        </w:tabs>
        <w:spacing w:line="360" w:lineRule="auto"/>
        <w:ind w:left="2832" w:leftChars="444" w:hanging="1900" w:hangingChars="528"/>
        <w:jc w:val="left"/>
        <w:rPr>
          <w:rFonts w:hint="eastAsia"/>
          <w:bCs/>
          <w:sz w:val="36"/>
          <w:szCs w:val="36"/>
          <w:lang w:val="en-US" w:eastAsia="zh-CN"/>
        </w:rPr>
      </w:pPr>
      <w:r>
        <w:rPr>
          <w:bCs/>
          <w:sz w:val="36"/>
          <w:szCs w:val="36"/>
        </w:rPr>
        <w:t>项目编号/包号：</w:t>
      </w:r>
      <w:r>
        <w:rPr>
          <w:rFonts w:hint="eastAsia"/>
          <w:bCs/>
          <w:color w:val="auto"/>
          <w:sz w:val="36"/>
          <w:szCs w:val="36"/>
          <w:lang w:val="en-US" w:eastAsia="zh-CN"/>
        </w:rPr>
        <w:t>11011626210200016745-XM002</w:t>
      </w:r>
    </w:p>
    <w:p w14:paraId="63274ED3">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北京市怀柔区融媒体中心</w:t>
      </w:r>
    </w:p>
    <w:p w14:paraId="763D9221">
      <w:pPr>
        <w:tabs>
          <w:tab w:val="left" w:pos="3240"/>
          <w:tab w:val="left" w:pos="3420"/>
        </w:tabs>
        <w:spacing w:line="360" w:lineRule="auto"/>
        <w:ind w:left="2832" w:leftChars="444" w:hanging="1900" w:hangingChars="528"/>
        <w:jc w:val="left"/>
        <w:rPr>
          <w:rFonts w:hint="eastAsia"/>
          <w:bCs/>
          <w:sz w:val="36"/>
          <w:szCs w:val="36"/>
          <w:lang w:val="en-US" w:eastAsia="zh-CN"/>
        </w:rPr>
      </w:pPr>
      <w:r>
        <w:rPr>
          <w:bCs/>
          <w:sz w:val="36"/>
          <w:szCs w:val="36"/>
        </w:rPr>
        <w:t>采购代理机构：</w:t>
      </w:r>
      <w:r>
        <w:rPr>
          <w:rFonts w:hint="eastAsia"/>
          <w:bCs/>
          <w:sz w:val="36"/>
          <w:szCs w:val="36"/>
          <w:lang w:val="en-US" w:eastAsia="zh-CN"/>
        </w:rPr>
        <w:t>中归咨询管理（北京）有限公司</w:t>
      </w:r>
    </w:p>
    <w:p w14:paraId="2D0E5055">
      <w:pPr>
        <w:pStyle w:val="17"/>
        <w:rPr>
          <w:rFonts w:hint="default"/>
          <w:lang w:val="en-US" w:eastAsia="zh-CN"/>
        </w:rPr>
      </w:pPr>
    </w:p>
    <w:p w14:paraId="0F97BA2F">
      <w:pPr>
        <w:autoSpaceDE w:val="0"/>
        <w:autoSpaceDN w:val="0"/>
        <w:adjustRightInd w:val="0"/>
        <w:spacing w:line="360" w:lineRule="auto"/>
        <w:ind w:firstLine="640" w:firstLineChars="200"/>
        <w:jc w:val="left"/>
        <w:rPr>
          <w:kern w:val="0"/>
          <w:sz w:val="32"/>
          <w:szCs w:val="32"/>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0" w:name="_Toc99301371"/>
    </w:p>
    <w:p w14:paraId="131A1406">
      <w:pPr>
        <w:autoSpaceDE w:val="0"/>
        <w:autoSpaceDN w:val="0"/>
        <w:adjustRightInd w:val="0"/>
        <w:spacing w:line="360" w:lineRule="auto"/>
        <w:ind w:firstLine="640" w:firstLineChars="200"/>
        <w:jc w:val="left"/>
        <w:rPr>
          <w:kern w:val="0"/>
          <w:sz w:val="32"/>
          <w:szCs w:val="32"/>
        </w:rPr>
      </w:pPr>
    </w:p>
    <w:bookmarkEnd w:id="0"/>
    <w:p w14:paraId="6416E0E0">
      <w:pPr>
        <w:spacing w:line="360" w:lineRule="auto"/>
        <w:jc w:val="center"/>
        <w:outlineLvl w:val="0"/>
        <w:rPr>
          <w:b/>
          <w:sz w:val="36"/>
          <w:szCs w:val="36"/>
        </w:rPr>
      </w:pPr>
      <w:bookmarkStart w:id="1" w:name="_Toc99301372"/>
      <w:r>
        <w:rPr>
          <w:b/>
          <w:sz w:val="36"/>
          <w:szCs w:val="36"/>
        </w:rPr>
        <w:t>目      录</w:t>
      </w:r>
      <w:bookmarkEnd w:id="1"/>
    </w:p>
    <w:p w14:paraId="0003548F"/>
    <w:p w14:paraId="290EC90B"/>
    <w:p w14:paraId="56C8C64D"/>
    <w:p w14:paraId="2ECDB2F3">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E2A4841">
      <w:pPr>
        <w:pStyle w:val="30"/>
        <w:spacing w:line="360" w:lineRule="auto"/>
        <w:rPr>
          <w:rFonts w:ascii="Times New Roman" w:hAnsi="Times New Roman" w:eastAsiaTheme="minorEastAsia"/>
          <w:b w:val="0"/>
          <w:sz w:val="21"/>
          <w:szCs w:val="22"/>
        </w:rPr>
      </w:pPr>
      <w:r>
        <w:fldChar w:fldCharType="begin"/>
      </w:r>
      <w:r>
        <w:instrText xml:space="preserve"> HYPERLINK \l "_Toc99301373" </w:instrText>
      </w:r>
      <w:r>
        <w:fldChar w:fldCharType="separate"/>
      </w:r>
      <w:r>
        <w:rPr>
          <w:rStyle w:val="50"/>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152222A">
      <w:pPr>
        <w:pStyle w:val="30"/>
        <w:spacing w:line="360" w:lineRule="auto"/>
        <w:rPr>
          <w:rFonts w:ascii="Times New Roman" w:hAnsi="Times New Roman" w:eastAsiaTheme="minorEastAsia"/>
          <w:b w:val="0"/>
          <w:sz w:val="21"/>
          <w:szCs w:val="22"/>
        </w:rPr>
      </w:pPr>
      <w:r>
        <w:fldChar w:fldCharType="begin"/>
      </w:r>
      <w:r>
        <w:instrText xml:space="preserve"> HYPERLINK \l "_Toc99301374" </w:instrText>
      </w:r>
      <w:r>
        <w:fldChar w:fldCharType="separate"/>
      </w:r>
      <w:r>
        <w:rPr>
          <w:rStyle w:val="50"/>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1CDD09D">
      <w:pPr>
        <w:pStyle w:val="30"/>
        <w:spacing w:line="360" w:lineRule="auto"/>
        <w:rPr>
          <w:rFonts w:ascii="Times New Roman" w:hAnsi="Times New Roman" w:eastAsiaTheme="minorEastAsia"/>
          <w:b w:val="0"/>
          <w:sz w:val="21"/>
          <w:szCs w:val="22"/>
        </w:rPr>
      </w:pPr>
      <w:r>
        <w:fldChar w:fldCharType="begin"/>
      </w:r>
      <w:r>
        <w:instrText xml:space="preserve"> HYPERLINK \l "_Toc99301375" </w:instrText>
      </w:r>
      <w:r>
        <w:fldChar w:fldCharType="separate"/>
      </w:r>
      <w:r>
        <w:rPr>
          <w:rStyle w:val="50"/>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64A55AEB">
      <w:pPr>
        <w:pStyle w:val="30"/>
        <w:spacing w:line="360" w:lineRule="auto"/>
        <w:rPr>
          <w:rFonts w:ascii="Times New Roman" w:hAnsi="Times New Roman" w:eastAsiaTheme="minorEastAsia"/>
          <w:b w:val="0"/>
          <w:sz w:val="21"/>
          <w:szCs w:val="22"/>
        </w:rPr>
      </w:pPr>
      <w:r>
        <w:fldChar w:fldCharType="begin"/>
      </w:r>
      <w:r>
        <w:instrText xml:space="preserve"> HYPERLINK \l "_Toc99301376" </w:instrText>
      </w:r>
      <w:r>
        <w:fldChar w:fldCharType="separate"/>
      </w:r>
      <w:r>
        <w:rPr>
          <w:rStyle w:val="50"/>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14:paraId="4D5DA388">
      <w:pPr>
        <w:pStyle w:val="30"/>
        <w:spacing w:line="360" w:lineRule="auto"/>
        <w:rPr>
          <w:rFonts w:ascii="Times New Roman" w:hAnsi="Times New Roman" w:eastAsiaTheme="minorEastAsia"/>
          <w:b w:val="0"/>
          <w:sz w:val="21"/>
          <w:szCs w:val="22"/>
        </w:rPr>
      </w:pPr>
      <w:r>
        <w:fldChar w:fldCharType="begin"/>
      </w:r>
      <w:r>
        <w:instrText xml:space="preserve"> HYPERLINK \l "_Toc99301377" </w:instrText>
      </w:r>
      <w:r>
        <w:fldChar w:fldCharType="separate"/>
      </w:r>
      <w:r>
        <w:rPr>
          <w:rStyle w:val="50"/>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92</w:t>
      </w:r>
      <w:r>
        <w:rPr>
          <w:rFonts w:ascii="Times New Roman" w:hAnsi="Times New Roman"/>
        </w:rPr>
        <w:fldChar w:fldCharType="end"/>
      </w:r>
      <w:r>
        <w:rPr>
          <w:rFonts w:ascii="Times New Roman" w:hAnsi="Times New Roman"/>
        </w:rPr>
        <w:fldChar w:fldCharType="end"/>
      </w:r>
    </w:p>
    <w:p w14:paraId="01C70DEB">
      <w:pPr>
        <w:pStyle w:val="30"/>
        <w:spacing w:line="360" w:lineRule="auto"/>
        <w:rPr>
          <w:rFonts w:ascii="Times New Roman" w:hAnsi="Times New Roman" w:eastAsiaTheme="minorEastAsia"/>
          <w:b w:val="0"/>
          <w:sz w:val="21"/>
          <w:szCs w:val="22"/>
        </w:rPr>
      </w:pPr>
      <w:r>
        <w:fldChar w:fldCharType="begin"/>
      </w:r>
      <w:r>
        <w:instrText xml:space="preserve"> HYPERLINK \l "_Toc99301378" </w:instrText>
      </w:r>
      <w:r>
        <w:fldChar w:fldCharType="separate"/>
      </w:r>
      <w:r>
        <w:rPr>
          <w:rStyle w:val="50"/>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108</w:t>
      </w:r>
      <w:r>
        <w:rPr>
          <w:rFonts w:ascii="Times New Roman" w:hAnsi="Times New Roman"/>
        </w:rPr>
        <w:fldChar w:fldCharType="end"/>
      </w:r>
      <w:r>
        <w:rPr>
          <w:rFonts w:ascii="Times New Roman" w:hAnsi="Times New Roman"/>
        </w:rPr>
        <w:fldChar w:fldCharType="end"/>
      </w:r>
    </w:p>
    <w:p w14:paraId="343863D5">
      <w:pPr>
        <w:pStyle w:val="30"/>
        <w:spacing w:line="480" w:lineRule="auto"/>
        <w:rPr>
          <w:rFonts w:ascii="Times New Roman" w:hAnsi="Times New Roman" w:eastAsiaTheme="minorEastAsia"/>
          <w:b w:val="0"/>
        </w:rPr>
      </w:pPr>
      <w:r>
        <w:rPr>
          <w:b w:val="0"/>
        </w:rPr>
        <w:fldChar w:fldCharType="end"/>
      </w:r>
    </w:p>
    <w:p w14:paraId="20E155E6"/>
    <w:p w14:paraId="1AE0033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hint="eastAsia" w:eastAsiaTheme="minorEastAsia"/>
          <w:sz w:val="24"/>
          <w:lang w:eastAsia="zh-CN"/>
        </w:rPr>
        <w:t>□</w:t>
      </w:r>
      <w:r>
        <w:rPr>
          <w:sz w:val="24"/>
        </w:rPr>
        <w:t>”</w:t>
      </w:r>
      <w:r>
        <w:rPr>
          <w:rFonts w:hint="eastAsia"/>
          <w:sz w:val="24"/>
        </w:rPr>
        <w:t>形式标记的内容不适用于本项目。</w:t>
      </w:r>
    </w:p>
    <w:p w14:paraId="6BA449DE">
      <w:pPr>
        <w:spacing w:line="480" w:lineRule="auto"/>
        <w:rPr>
          <w:b/>
          <w:sz w:val="36"/>
          <w:szCs w:val="36"/>
        </w:rPr>
      </w:pPr>
    </w:p>
    <w:p w14:paraId="6396EBEF">
      <w:pPr>
        <w:spacing w:line="360" w:lineRule="auto"/>
        <w:jc w:val="center"/>
        <w:outlineLvl w:val="0"/>
        <w:rPr>
          <w:b/>
          <w:sz w:val="36"/>
          <w:szCs w:val="36"/>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bookmarkStart w:id="2" w:name="_Toc99301373"/>
    </w:p>
    <w:p w14:paraId="39E19BF1">
      <w:pPr>
        <w:spacing w:line="360" w:lineRule="auto"/>
        <w:jc w:val="center"/>
        <w:outlineLvl w:val="0"/>
        <w:rPr>
          <w:b/>
          <w:sz w:val="36"/>
          <w:szCs w:val="36"/>
        </w:rPr>
      </w:pPr>
      <w:r>
        <w:rPr>
          <w:b/>
          <w:sz w:val="36"/>
          <w:szCs w:val="36"/>
        </w:rPr>
        <w:t>第一章   采购邀请</w:t>
      </w:r>
      <w:bookmarkEnd w:id="2"/>
    </w:p>
    <w:p w14:paraId="522B16FC">
      <w:pPr>
        <w:spacing w:line="360" w:lineRule="auto"/>
        <w:ind w:firstLine="640" w:firstLineChars="200"/>
        <w:rPr>
          <w:sz w:val="32"/>
          <w:szCs w:val="32"/>
        </w:rPr>
      </w:pPr>
    </w:p>
    <w:p w14:paraId="58FE69D6">
      <w:pPr>
        <w:pStyle w:val="3"/>
        <w:spacing w:before="0" w:line="360" w:lineRule="auto"/>
        <w:jc w:val="left"/>
        <w:rPr>
          <w:rFonts w:ascii="Times New Roman" w:hAnsi="Times New Roman" w:eastAsia="宋体"/>
          <w:sz w:val="24"/>
          <w:szCs w:val="24"/>
        </w:rPr>
      </w:pPr>
      <w:bookmarkStart w:id="3" w:name="_Toc28359002"/>
      <w:bookmarkStart w:id="4" w:name="_Toc35393621"/>
      <w:bookmarkStart w:id="5" w:name="_Toc35393790"/>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p w14:paraId="7563D3EC">
      <w:pPr>
        <w:spacing w:line="360" w:lineRule="auto"/>
        <w:ind w:firstLine="480" w:firstLineChars="200"/>
        <w:rPr>
          <w:sz w:val="24"/>
          <w:u w:val="single"/>
        </w:rPr>
      </w:pPr>
      <w:r>
        <w:rPr>
          <w:sz w:val="24"/>
        </w:rPr>
        <w:t>1.项目编号：</w:t>
      </w:r>
      <w:r>
        <w:rPr>
          <w:rFonts w:hint="eastAsia"/>
          <w:sz w:val="24"/>
          <w:u w:val="single"/>
          <w:lang w:val="en-US" w:eastAsia="zh-CN"/>
        </w:rPr>
        <w:t>11011626210200016745-XM002</w:t>
      </w:r>
    </w:p>
    <w:p w14:paraId="69C61F81">
      <w:pPr>
        <w:spacing w:line="360" w:lineRule="auto"/>
        <w:ind w:firstLine="480" w:firstLineChars="200"/>
        <w:rPr>
          <w:sz w:val="24"/>
        </w:rPr>
      </w:pPr>
      <w:r>
        <w:rPr>
          <w:sz w:val="24"/>
        </w:rPr>
        <w:t>2.项目名称：</w:t>
      </w:r>
      <w:r>
        <w:rPr>
          <w:rFonts w:hint="eastAsia"/>
          <w:sz w:val="24"/>
          <w:u w:val="single"/>
        </w:rPr>
        <w:t>怀柔区应急广播建设</w:t>
      </w:r>
    </w:p>
    <w:p w14:paraId="57F71778">
      <w:pPr>
        <w:spacing w:line="360" w:lineRule="auto"/>
        <w:ind w:firstLine="480" w:firstLineChars="200"/>
        <w:rPr>
          <w:sz w:val="24"/>
        </w:rPr>
      </w:pPr>
      <w:r>
        <w:rPr>
          <w:sz w:val="24"/>
        </w:rPr>
        <w:t>3.采购方式：竞争性谈判</w:t>
      </w:r>
    </w:p>
    <w:bookmarkEnd w:id="7"/>
    <w:p w14:paraId="4C697A1E">
      <w:pPr>
        <w:spacing w:line="360" w:lineRule="auto"/>
        <w:ind w:firstLine="480" w:firstLineChars="200"/>
        <w:rPr>
          <w:sz w:val="24"/>
        </w:rPr>
      </w:pPr>
      <w:r>
        <w:rPr>
          <w:sz w:val="24"/>
        </w:rPr>
        <w:t>4.项目预算金</w:t>
      </w:r>
      <w:r>
        <w:rPr>
          <w:color w:val="auto"/>
          <w:sz w:val="24"/>
        </w:rPr>
        <w:t>额：</w:t>
      </w:r>
      <w:r>
        <w:rPr>
          <w:rFonts w:hint="eastAsia"/>
          <w:color w:val="auto"/>
          <w:sz w:val="24"/>
          <w:lang w:eastAsia="zh-CN"/>
        </w:rPr>
        <w:t>2287.6402</w:t>
      </w:r>
      <w:r>
        <w:rPr>
          <w:color w:val="auto"/>
          <w:sz w:val="24"/>
        </w:rPr>
        <w:t>万元、项目最高限价（如有）：</w:t>
      </w:r>
      <w:r>
        <w:rPr>
          <w:rFonts w:hint="eastAsia"/>
          <w:color w:val="auto"/>
          <w:sz w:val="24"/>
          <w:lang w:eastAsia="zh-CN"/>
        </w:rPr>
        <w:t>2287.6402</w:t>
      </w:r>
      <w:r>
        <w:rPr>
          <w:color w:val="auto"/>
          <w:sz w:val="24"/>
        </w:rPr>
        <w:t>万元</w:t>
      </w:r>
    </w:p>
    <w:p w14:paraId="548CB57E">
      <w:pPr>
        <w:spacing w:line="360" w:lineRule="auto"/>
        <w:ind w:firstLine="480" w:firstLineChars="200"/>
        <w:rPr>
          <w:rFonts w:hint="default" w:eastAsia="宋体"/>
          <w:sz w:val="24"/>
          <w:lang w:val="en-US" w:eastAsia="zh-CN"/>
        </w:rPr>
      </w:pPr>
      <w:r>
        <w:rPr>
          <w:sz w:val="24"/>
        </w:rPr>
        <w:t>5.采购需求：</w:t>
      </w:r>
      <w:r>
        <w:rPr>
          <w:rFonts w:hint="eastAsia"/>
          <w:sz w:val="24"/>
          <w:lang w:val="en-US" w:eastAsia="zh-CN"/>
        </w:rPr>
        <w:t>详见第四章采购需求。</w:t>
      </w:r>
    </w:p>
    <w:p w14:paraId="1656BF1B">
      <w:pPr>
        <w:spacing w:line="360" w:lineRule="auto"/>
        <w:ind w:firstLine="480" w:firstLineChars="200"/>
        <w:rPr>
          <w:rFonts w:hint="eastAsia"/>
          <w:color w:val="auto"/>
          <w:sz w:val="24"/>
          <w:lang w:val="en-US" w:eastAsia="zh-CN"/>
        </w:rPr>
      </w:pPr>
      <w:r>
        <w:rPr>
          <w:sz w:val="24"/>
        </w:rPr>
        <w:t>6.合同履行</w:t>
      </w:r>
      <w:r>
        <w:rPr>
          <w:color w:val="auto"/>
          <w:sz w:val="24"/>
        </w:rPr>
        <w:t>期限：</w:t>
      </w:r>
      <w:r>
        <w:rPr>
          <w:rFonts w:hint="eastAsia"/>
          <w:color w:val="auto"/>
          <w:sz w:val="24"/>
        </w:rPr>
        <w:t>自合同签订之日起</w:t>
      </w:r>
      <w:r>
        <w:rPr>
          <w:rFonts w:hint="eastAsia"/>
          <w:color w:val="auto"/>
          <w:sz w:val="24"/>
          <w:lang w:val="en-US" w:eastAsia="zh-CN"/>
        </w:rPr>
        <w:t>一年。</w:t>
      </w:r>
    </w:p>
    <w:p w14:paraId="00A9455A">
      <w:pPr>
        <w:spacing w:line="360" w:lineRule="auto"/>
        <w:ind w:firstLine="480" w:firstLineChars="200"/>
        <w:rPr>
          <w:color w:val="auto"/>
          <w:sz w:val="24"/>
        </w:rPr>
      </w:pPr>
      <w:r>
        <w:rPr>
          <w:color w:val="auto"/>
          <w:sz w:val="24"/>
        </w:rPr>
        <w:t>7.本项目是否接受联合体：</w:t>
      </w:r>
      <w:r>
        <w:rPr>
          <w:rFonts w:hint="eastAsia"/>
          <w:color w:val="auto"/>
          <w:sz w:val="24"/>
          <w:lang w:eastAsia="zh-CN"/>
        </w:rPr>
        <w:t>□</w:t>
      </w:r>
      <w:r>
        <w:rPr>
          <w:color w:val="auto"/>
          <w:sz w:val="24"/>
        </w:rPr>
        <w:t xml:space="preserve">是  </w:t>
      </w:r>
      <w:r>
        <w:rPr>
          <w:rFonts w:hint="eastAsia"/>
          <w:color w:val="auto"/>
          <w:sz w:val="24"/>
        </w:rPr>
        <w:t>■</w:t>
      </w:r>
      <w:r>
        <w:rPr>
          <w:color w:val="auto"/>
          <w:sz w:val="24"/>
        </w:rPr>
        <w:t>否。</w:t>
      </w:r>
    </w:p>
    <w:p w14:paraId="2EA2C6C9">
      <w:pPr>
        <w:spacing w:line="360" w:lineRule="auto"/>
        <w:ind w:firstLine="480" w:firstLineChars="200"/>
        <w:rPr>
          <w:sz w:val="24"/>
        </w:rPr>
      </w:pPr>
    </w:p>
    <w:p w14:paraId="1AB66069">
      <w:pPr>
        <w:pStyle w:val="3"/>
        <w:spacing w:before="0" w:line="360" w:lineRule="auto"/>
        <w:jc w:val="left"/>
        <w:rPr>
          <w:rFonts w:ascii="Times New Roman" w:hAnsi="Times New Roman" w:eastAsia="宋体"/>
          <w:sz w:val="24"/>
          <w:szCs w:val="24"/>
        </w:rPr>
      </w:pPr>
      <w:bookmarkStart w:id="8" w:name="_Toc28359003"/>
      <w:bookmarkStart w:id="9" w:name="_Toc35393622"/>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5344AFB4">
      <w:pPr>
        <w:spacing w:line="360" w:lineRule="auto"/>
        <w:ind w:firstLine="480" w:firstLineChars="200"/>
        <w:rPr>
          <w:sz w:val="24"/>
        </w:rPr>
      </w:pPr>
      <w:r>
        <w:rPr>
          <w:sz w:val="24"/>
        </w:rPr>
        <w:t>1.满足《中华人民共和国政府采购法》第二十二条规定；</w:t>
      </w:r>
    </w:p>
    <w:p w14:paraId="6FB915B7">
      <w:pPr>
        <w:spacing w:line="360" w:lineRule="auto"/>
        <w:ind w:firstLine="480" w:firstLineChars="200"/>
        <w:rPr>
          <w:sz w:val="24"/>
        </w:rPr>
      </w:pPr>
      <w:bookmarkStart w:id="12" w:name="_Toc28359004"/>
      <w:bookmarkStart w:id="13" w:name="_Toc28359081"/>
      <w:r>
        <w:rPr>
          <w:sz w:val="24"/>
        </w:rPr>
        <w:t>2.落实政府采购政策需满足的资格要求：</w:t>
      </w:r>
    </w:p>
    <w:p w14:paraId="020819C9">
      <w:pPr>
        <w:spacing w:line="360" w:lineRule="auto"/>
        <w:ind w:firstLine="480" w:firstLineChars="200"/>
        <w:rPr>
          <w:sz w:val="24"/>
        </w:rPr>
      </w:pPr>
      <w:r>
        <w:rPr>
          <w:sz w:val="24"/>
        </w:rPr>
        <w:t>2.1 中小企业政策</w:t>
      </w:r>
    </w:p>
    <w:p w14:paraId="056888F4">
      <w:pPr>
        <w:spacing w:line="360" w:lineRule="auto"/>
        <w:ind w:firstLine="480" w:firstLineChars="200"/>
        <w:rPr>
          <w:color w:val="auto"/>
          <w:sz w:val="24"/>
        </w:rPr>
      </w:pPr>
      <w:r>
        <w:rPr>
          <w:rFonts w:hint="eastAsia"/>
          <w:color w:val="auto"/>
          <w:sz w:val="24"/>
        </w:rPr>
        <w:t>■</w:t>
      </w:r>
      <w:r>
        <w:rPr>
          <w:color w:val="auto"/>
          <w:sz w:val="24"/>
        </w:rPr>
        <w:t>本项目不专门面向中小企业预留采购份额。</w:t>
      </w:r>
    </w:p>
    <w:p w14:paraId="5E617293">
      <w:pPr>
        <w:spacing w:line="360" w:lineRule="auto"/>
        <w:ind w:firstLine="480" w:firstLineChars="200"/>
        <w:rPr>
          <w:color w:val="auto"/>
          <w:sz w:val="24"/>
        </w:rPr>
      </w:pPr>
      <w:r>
        <w:rPr>
          <w:rFonts w:hint="eastAsia"/>
          <w:color w:val="auto"/>
          <w:sz w:val="24"/>
          <w:lang w:eastAsia="zh-CN"/>
        </w:rPr>
        <w:t>□</w:t>
      </w:r>
      <w:r>
        <w:rPr>
          <w:color w:val="auto"/>
          <w:sz w:val="24"/>
        </w:rPr>
        <w:t xml:space="preserve">本项目专门面向  </w:t>
      </w:r>
      <w:r>
        <w:rPr>
          <w:rFonts w:hint="eastAsia"/>
          <w:color w:val="auto"/>
          <w:sz w:val="24"/>
          <w:lang w:eastAsia="zh-CN"/>
        </w:rPr>
        <w:t>□</w:t>
      </w:r>
      <w:r>
        <w:rPr>
          <w:color w:val="auto"/>
          <w:sz w:val="24"/>
        </w:rPr>
        <w:t xml:space="preserve">中小 </w:t>
      </w:r>
      <w:r>
        <w:rPr>
          <w:rFonts w:hint="eastAsia"/>
          <w:color w:val="auto"/>
          <w:sz w:val="24"/>
          <w:lang w:eastAsia="zh-CN"/>
        </w:rPr>
        <w:t>□</w:t>
      </w:r>
      <w:r>
        <w:rPr>
          <w:color w:val="auto"/>
          <w:sz w:val="24"/>
        </w:rPr>
        <w:t>小微企业  采购。即：提供的货物全部由符合政策要求的中小/小微企业制造、服务全部由符合政策要求的中小/小微企业承接。</w:t>
      </w:r>
    </w:p>
    <w:p w14:paraId="58B7525F">
      <w:pPr>
        <w:spacing w:line="360" w:lineRule="auto"/>
        <w:ind w:firstLine="480" w:firstLineChars="200"/>
        <w:rPr>
          <w:color w:val="auto"/>
          <w:sz w:val="24"/>
        </w:rPr>
      </w:pPr>
      <w:r>
        <w:rPr>
          <w:rFonts w:hint="eastAsia"/>
          <w:color w:val="auto"/>
          <w:sz w:val="24"/>
          <w:lang w:eastAsia="zh-CN"/>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3D76EF6">
      <w:pPr>
        <w:spacing w:line="360" w:lineRule="auto"/>
        <w:ind w:firstLine="480" w:firstLineChars="200"/>
        <w:rPr>
          <w:color w:val="auto"/>
          <w:sz w:val="24"/>
        </w:rPr>
      </w:pPr>
      <w:r>
        <w:rPr>
          <w:color w:val="auto"/>
          <w:sz w:val="24"/>
        </w:rPr>
        <w:t>2.2 其它落实政府采购政策的资格要求（如有）：___________________</w:t>
      </w:r>
    </w:p>
    <w:p w14:paraId="47E48746">
      <w:pPr>
        <w:spacing w:line="360" w:lineRule="auto"/>
        <w:ind w:firstLine="480" w:firstLineChars="200"/>
        <w:rPr>
          <w:i/>
          <w:iCs/>
          <w:color w:val="auto"/>
          <w:sz w:val="24"/>
          <w:u w:val="single"/>
        </w:rPr>
      </w:pPr>
      <w:r>
        <w:rPr>
          <w:color w:val="auto"/>
          <w:sz w:val="24"/>
        </w:rPr>
        <w:t>3.本项目的特定资格要求：</w:t>
      </w:r>
    </w:p>
    <w:p w14:paraId="6DE77BA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193D4BD7">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rPr>
        <w:t>■</w:t>
      </w:r>
      <w:r>
        <w:rPr>
          <w:color w:val="auto"/>
          <w:sz w:val="24"/>
        </w:rPr>
        <w:t>否</w:t>
      </w:r>
    </w:p>
    <w:p w14:paraId="3A19E404">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eastAsia="zh-CN"/>
        </w:rPr>
        <w:t>□</w:t>
      </w:r>
      <w:r>
        <w:rPr>
          <w:color w:val="auto"/>
          <w:sz w:val="24"/>
        </w:rPr>
        <w:t>是，公益一类事业单位、使用事业编制且由财政拨款保障的群团组织，不得作为承接主体；</w:t>
      </w:r>
    </w:p>
    <w:p w14:paraId="5E929D54">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w:t>
      </w:r>
      <w:r>
        <w:rPr>
          <w:rFonts w:hint="eastAsia" w:eastAsiaTheme="minorEastAsia"/>
          <w:color w:val="auto"/>
          <w:sz w:val="24"/>
          <w:lang w:val="en-US" w:eastAsia="zh-CN"/>
        </w:rPr>
        <w:t>/</w:t>
      </w:r>
      <w:r>
        <w:rPr>
          <w:color w:val="auto"/>
          <w:sz w:val="24"/>
        </w:rPr>
        <w:t>。</w:t>
      </w:r>
    </w:p>
    <w:p w14:paraId="7EC07770">
      <w:pPr>
        <w:spacing w:line="360" w:lineRule="auto"/>
        <w:ind w:firstLine="480" w:firstLineChars="200"/>
        <w:rPr>
          <w:i/>
          <w:iCs/>
          <w:sz w:val="24"/>
          <w:u w:val="single"/>
        </w:rPr>
      </w:pPr>
    </w:p>
    <w:bookmarkEnd w:id="12"/>
    <w:bookmarkEnd w:id="13"/>
    <w:p w14:paraId="2A4C50CD">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14:paraId="7E6828DF">
      <w:pPr>
        <w:adjustRightInd w:val="0"/>
        <w:snapToGrid w:val="0"/>
        <w:spacing w:line="360" w:lineRule="auto"/>
        <w:ind w:firstLine="480" w:firstLineChars="200"/>
        <w:rPr>
          <w:color w:val="auto"/>
          <w:sz w:val="24"/>
          <w:lang w:bidi="ar"/>
        </w:rPr>
      </w:pPr>
      <w:r>
        <w:rPr>
          <w:sz w:val="24"/>
          <w:lang w:bidi="ar"/>
        </w:rPr>
        <w:t>1.时间</w:t>
      </w:r>
      <w:r>
        <w:rPr>
          <w:color w:val="auto"/>
          <w:sz w:val="24"/>
          <w:lang w:bidi="ar"/>
        </w:rPr>
        <w:t>：</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10</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14</w:t>
      </w:r>
      <w:r>
        <w:rPr>
          <w:color w:val="auto"/>
          <w:sz w:val="24"/>
          <w:lang w:bidi="ar"/>
        </w:rPr>
        <w:t>日，每天上午</w:t>
      </w:r>
      <w:r>
        <w:rPr>
          <w:rFonts w:hint="eastAsia"/>
          <w:color w:val="auto"/>
          <w:sz w:val="24"/>
          <w:lang w:val="en-US" w:eastAsia="zh-CN" w:bidi="ar"/>
        </w:rPr>
        <w:t>08:30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12:00</w:t>
      </w:r>
      <w:r>
        <w:rPr>
          <w:color w:val="auto"/>
          <w:sz w:val="24"/>
          <w:lang w:bidi="ar"/>
        </w:rPr>
        <w:t>至</w:t>
      </w:r>
      <w:r>
        <w:rPr>
          <w:rFonts w:hint="eastAsia"/>
          <w:color w:val="auto"/>
          <w:sz w:val="24"/>
          <w:lang w:val="en-US" w:eastAsia="zh-CN" w:bidi="ar"/>
        </w:rPr>
        <w:t>16:30</w:t>
      </w:r>
      <w:r>
        <w:rPr>
          <w:color w:val="auto"/>
          <w:sz w:val="24"/>
          <w:lang w:bidi="ar"/>
        </w:rPr>
        <w:t>（北京时间，法定节假日除外）。</w:t>
      </w:r>
    </w:p>
    <w:p w14:paraId="7E6374F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6A87AF71">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w:t>
      </w:r>
      <w:r>
        <w:rPr>
          <w:rFonts w:eastAsiaTheme="minorEastAsia"/>
          <w:color w:val="auto"/>
          <w:sz w:val="24"/>
          <w:lang w:bidi="ar"/>
        </w:rPr>
        <w:t>（http://zbcg-bjzc.zhongcy.com/bjczj-portal-site/index.html#/home）</w:t>
      </w:r>
      <w:r>
        <w:rPr>
          <w:color w:val="auto"/>
          <w:sz w:val="24"/>
          <w:lang w:bidi="ar"/>
        </w:rPr>
        <w:t>获取电子版谈判文件。</w:t>
      </w:r>
    </w:p>
    <w:p w14:paraId="5C9F6493">
      <w:pPr>
        <w:widowControl/>
        <w:adjustRightInd w:val="0"/>
        <w:snapToGrid w:val="0"/>
        <w:spacing w:line="360" w:lineRule="auto"/>
        <w:ind w:firstLine="480" w:firstLineChars="200"/>
        <w:jc w:val="left"/>
        <w:rPr>
          <w:color w:val="auto"/>
          <w:sz w:val="24"/>
        </w:rPr>
      </w:pPr>
      <w:r>
        <w:rPr>
          <w:color w:val="auto"/>
          <w:sz w:val="24"/>
          <w:lang w:bidi="ar"/>
        </w:rPr>
        <w:t>4.售价：0元。</w:t>
      </w:r>
    </w:p>
    <w:p w14:paraId="2E88C06C">
      <w:pPr>
        <w:tabs>
          <w:tab w:val="left" w:pos="900"/>
          <w:tab w:val="left" w:pos="1980"/>
        </w:tabs>
        <w:snapToGrid w:val="0"/>
        <w:spacing w:line="360" w:lineRule="auto"/>
        <w:ind w:left="840"/>
        <w:rPr>
          <w:color w:val="auto"/>
          <w:sz w:val="24"/>
        </w:rPr>
      </w:pPr>
      <w:bookmarkStart w:id="765" w:name="_GoBack"/>
      <w:bookmarkEnd w:id="765"/>
    </w:p>
    <w:p w14:paraId="76A7FCA7">
      <w:pPr>
        <w:pStyle w:val="3"/>
        <w:widowControl/>
        <w:spacing w:before="0" w:line="360" w:lineRule="auto"/>
        <w:jc w:val="left"/>
        <w:rPr>
          <w:rFonts w:hint="default" w:ascii="Times New Roman" w:hAnsi="Times New Roman" w:eastAsia="宋体"/>
          <w:color w:val="auto"/>
          <w:sz w:val="24"/>
          <w:szCs w:val="24"/>
          <w:lang w:val="en-US" w:eastAsia="zh-CN"/>
        </w:rPr>
      </w:pPr>
      <w:bookmarkStart w:id="16" w:name="_Toc35393793"/>
      <w:bookmarkStart w:id="17" w:name="_Toc35393624"/>
      <w:bookmarkStart w:id="18" w:name="_Toc28359082"/>
      <w:bookmarkStart w:id="19" w:name="_Toc28359005"/>
      <w:r>
        <w:rPr>
          <w:rFonts w:ascii="Times New Roman" w:hAnsi="Times New Roman" w:eastAsia="宋体"/>
          <w:color w:val="auto"/>
          <w:sz w:val="24"/>
          <w:szCs w:val="24"/>
        </w:rPr>
        <w:t>四、</w:t>
      </w:r>
      <w:bookmarkEnd w:id="16"/>
      <w:bookmarkEnd w:id="17"/>
      <w:bookmarkEnd w:id="18"/>
      <w:bookmarkEnd w:id="19"/>
      <w:r>
        <w:rPr>
          <w:rFonts w:ascii="Times New Roman" w:hAnsi="Times New Roman" w:eastAsia="宋体"/>
          <w:color w:val="auto"/>
          <w:sz w:val="24"/>
          <w:szCs w:val="24"/>
        </w:rPr>
        <w:t>响应文件提交</w:t>
      </w:r>
    </w:p>
    <w:p w14:paraId="3DA3B446">
      <w:pPr>
        <w:spacing w:line="360" w:lineRule="auto"/>
        <w:ind w:firstLine="480" w:firstLineChars="200"/>
        <w:rPr>
          <w:bCs/>
          <w:color w:val="auto"/>
          <w:sz w:val="24"/>
          <w:u w:val="single"/>
        </w:rPr>
      </w:pPr>
      <w:r>
        <w:rPr>
          <w:color w:val="auto"/>
          <w:sz w:val="24"/>
        </w:rPr>
        <w:t>截止时间</w:t>
      </w:r>
      <w:r>
        <w:rPr>
          <w:color w:val="auto"/>
          <w:sz w:val="24"/>
          <w:lang w:bidi="ar"/>
        </w:rPr>
        <w:t>：</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15</w:t>
      </w:r>
      <w:r>
        <w:rPr>
          <w:color w:val="auto"/>
          <w:sz w:val="24"/>
          <w:lang w:bidi="ar"/>
        </w:rPr>
        <w:t>日</w:t>
      </w:r>
      <w:r>
        <w:rPr>
          <w:rFonts w:hint="eastAsia"/>
          <w:color w:val="auto"/>
          <w:sz w:val="24"/>
          <w:lang w:val="en-US" w:eastAsia="zh-CN" w:bidi="ar"/>
        </w:rPr>
        <w:t>09</w:t>
      </w:r>
      <w:r>
        <w:rPr>
          <w:color w:val="auto"/>
          <w:sz w:val="24"/>
          <w:lang w:bidi="ar"/>
        </w:rPr>
        <w:t>点</w:t>
      </w:r>
      <w:r>
        <w:rPr>
          <w:rFonts w:hint="eastAsia"/>
          <w:color w:val="auto"/>
          <w:sz w:val="24"/>
          <w:lang w:val="en-US" w:eastAsia="zh-CN" w:bidi="ar"/>
        </w:rPr>
        <w:t>00</w:t>
      </w:r>
      <w:r>
        <w:rPr>
          <w:color w:val="auto"/>
          <w:sz w:val="24"/>
          <w:lang w:bidi="ar"/>
        </w:rPr>
        <w:t>分</w:t>
      </w:r>
      <w:r>
        <w:rPr>
          <w:bCs/>
          <w:color w:val="auto"/>
          <w:sz w:val="24"/>
          <w:lang w:bidi="ar"/>
        </w:rPr>
        <w:t>（北京时间）</w:t>
      </w:r>
      <w:r>
        <w:rPr>
          <w:iCs/>
          <w:color w:val="auto"/>
          <w:sz w:val="24"/>
          <w:lang w:bidi="ar"/>
        </w:rPr>
        <w:t>。</w:t>
      </w:r>
    </w:p>
    <w:p w14:paraId="29036D6E">
      <w:pPr>
        <w:spacing w:line="360" w:lineRule="auto"/>
        <w:ind w:firstLine="480" w:firstLineChars="200"/>
        <w:rPr>
          <w:rFonts w:hint="eastAsia"/>
          <w:color w:val="auto"/>
          <w:sz w:val="24"/>
          <w:lang w:val="en-US" w:eastAsia="zh-CN" w:bidi="ar"/>
        </w:rPr>
      </w:pPr>
      <w:r>
        <w:rPr>
          <w:color w:val="auto"/>
          <w:sz w:val="24"/>
        </w:rPr>
        <w:t>地点</w:t>
      </w:r>
      <w:r>
        <w:rPr>
          <w:color w:val="auto"/>
          <w:sz w:val="24"/>
          <w:lang w:bidi="ar"/>
        </w:rPr>
        <w:t>：</w:t>
      </w:r>
      <w:r>
        <w:rPr>
          <w:rFonts w:hint="eastAsia"/>
          <w:color w:val="auto"/>
          <w:sz w:val="24"/>
          <w:lang w:val="en-US" w:eastAsia="zh-CN" w:bidi="ar"/>
        </w:rPr>
        <w:t>本项目采用远程电子开标方式；为方便供应商提高解密效率，请供应商在各</w:t>
      </w:r>
    </w:p>
    <w:p w14:paraId="36CFDF90">
      <w:pPr>
        <w:spacing w:line="360" w:lineRule="auto"/>
        <w:ind w:firstLine="480" w:firstLineChars="200"/>
        <w:rPr>
          <w:bCs/>
          <w:color w:val="auto"/>
          <w:sz w:val="24"/>
          <w:u w:val="single"/>
        </w:rPr>
      </w:pPr>
      <w:r>
        <w:rPr>
          <w:rFonts w:hint="eastAsia"/>
          <w:color w:val="auto"/>
          <w:sz w:val="24"/>
          <w:lang w:val="en-US" w:eastAsia="zh-CN" w:bidi="ar"/>
        </w:rPr>
        <w:t>自的电脑终端，登录北京市电子交易平台进行响应文件解密及参加电子开标。本项目不接受纸质响应文件，无须供应商到达现场。</w:t>
      </w:r>
    </w:p>
    <w:p w14:paraId="15B9717A">
      <w:pPr>
        <w:pStyle w:val="3"/>
        <w:spacing w:before="0" w:line="360" w:lineRule="auto"/>
        <w:jc w:val="left"/>
        <w:rPr>
          <w:rFonts w:ascii="Times New Roman" w:hAnsi="Times New Roman" w:eastAsia="宋体"/>
          <w:sz w:val="24"/>
          <w:szCs w:val="24"/>
        </w:rPr>
      </w:pPr>
      <w:bookmarkStart w:id="20" w:name="_Toc28359007"/>
      <w:bookmarkStart w:id="21" w:name="_Toc35393794"/>
      <w:bookmarkStart w:id="22" w:name="_Toc35393625"/>
      <w:bookmarkStart w:id="23" w:name="_Toc28359084"/>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14:paraId="185A53B0">
      <w:pPr>
        <w:spacing w:line="360" w:lineRule="auto"/>
        <w:ind w:firstLine="480" w:firstLineChars="200"/>
        <w:rPr>
          <w:kern w:val="0"/>
          <w:sz w:val="24"/>
        </w:rPr>
      </w:pPr>
      <w:r>
        <w:rPr>
          <w:kern w:val="0"/>
          <w:sz w:val="24"/>
        </w:rPr>
        <w:t>自本公告发布之日起3个工作日。</w:t>
      </w:r>
    </w:p>
    <w:p w14:paraId="004780BE">
      <w:pPr>
        <w:spacing w:line="360" w:lineRule="auto"/>
        <w:ind w:firstLine="480" w:firstLineChars="200"/>
        <w:rPr>
          <w:kern w:val="0"/>
          <w:sz w:val="24"/>
        </w:rPr>
      </w:pPr>
    </w:p>
    <w:p w14:paraId="44856A00">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01BB4990">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505401AE">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w:t>
      </w:r>
      <w:r>
        <w:rPr>
          <w:bCs/>
          <w:sz w:val="24"/>
          <w:lang w:bidi="ar"/>
        </w:rPr>
        <w:t>情况确认是否符合本项目电子化采购流程要求。</w:t>
      </w:r>
    </w:p>
    <w:p w14:paraId="76319314">
      <w:pPr>
        <w:adjustRightInd w:val="0"/>
        <w:snapToGrid w:val="0"/>
        <w:spacing w:line="360" w:lineRule="auto"/>
        <w:ind w:firstLine="480" w:firstLineChars="200"/>
        <w:rPr>
          <w:sz w:val="24"/>
        </w:rPr>
      </w:pPr>
      <w:r>
        <w:rPr>
          <w:sz w:val="24"/>
          <w:lang w:bidi="ar"/>
        </w:rPr>
        <w:t>CA数字证书服务热线 010-58511086</w:t>
      </w:r>
    </w:p>
    <w:p w14:paraId="72256BD3">
      <w:pPr>
        <w:adjustRightInd w:val="0"/>
        <w:snapToGrid w:val="0"/>
        <w:spacing w:line="360" w:lineRule="auto"/>
        <w:ind w:firstLine="480" w:firstLineChars="200"/>
        <w:rPr>
          <w:sz w:val="24"/>
        </w:rPr>
      </w:pPr>
      <w:r>
        <w:rPr>
          <w:sz w:val="24"/>
          <w:lang w:bidi="ar"/>
        </w:rPr>
        <w:t>电子营业执照服务热线 400-699-7000</w:t>
      </w:r>
    </w:p>
    <w:p w14:paraId="0BED8AFF">
      <w:pPr>
        <w:adjustRightInd w:val="0"/>
        <w:snapToGrid w:val="0"/>
        <w:spacing w:line="360" w:lineRule="auto"/>
        <w:ind w:firstLine="480" w:firstLineChars="200"/>
        <w:rPr>
          <w:sz w:val="24"/>
        </w:rPr>
      </w:pPr>
      <w:r>
        <w:rPr>
          <w:sz w:val="24"/>
          <w:lang w:bidi="ar"/>
        </w:rPr>
        <w:t>技术支持服务热线    010-86483801</w:t>
      </w:r>
    </w:p>
    <w:p w14:paraId="15F8B88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AC0243F">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14:paraId="77026A2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159D06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4E9088F">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2A6A92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67E8A7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CD4726">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获取电子谈判文件</w:t>
      </w:r>
    </w:p>
    <w:p w14:paraId="6423E64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供应商使用CA数字证书或电子营业执照登录北京市政府采购电子交易平台获取电子谈判文件。</w:t>
      </w:r>
    </w:p>
    <w:p w14:paraId="1FBE8727">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E8223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.5编制电子响应文件</w:t>
      </w:r>
    </w:p>
    <w:p w14:paraId="6184EBB8">
      <w:pPr>
        <w:adjustRightInd w:val="0"/>
        <w:snapToGrid w:val="0"/>
        <w:spacing w:line="360" w:lineRule="auto"/>
        <w:ind w:firstLine="480" w:firstLineChars="20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29C1BA40">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提交电子响应文件</w:t>
      </w:r>
    </w:p>
    <w:p w14:paraId="5CC14625">
      <w:pPr>
        <w:widowControl/>
        <w:spacing w:line="360" w:lineRule="auto"/>
        <w:ind w:firstLine="480" w:firstLineChars="20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14:paraId="57BEF483">
      <w:pPr>
        <w:spacing w:line="360" w:lineRule="auto"/>
        <w:ind w:firstLine="480" w:firstLineChars="200"/>
        <w:rPr>
          <w:sz w:val="24"/>
        </w:rPr>
      </w:pPr>
    </w:p>
    <w:p w14:paraId="1A3B29A6">
      <w:pPr>
        <w:pStyle w:val="3"/>
        <w:spacing w:before="0" w:line="360" w:lineRule="auto"/>
        <w:jc w:val="left"/>
        <w:rPr>
          <w:rFonts w:ascii="Times New Roman" w:hAnsi="Times New Roman" w:eastAsia="宋体"/>
          <w:sz w:val="24"/>
          <w:szCs w:val="24"/>
        </w:rPr>
      </w:pPr>
      <w:bookmarkStart w:id="26" w:name="_Toc35393627"/>
      <w:bookmarkStart w:id="27" w:name="_Toc28359085"/>
      <w:bookmarkStart w:id="28" w:name="_Toc35393796"/>
      <w:bookmarkStart w:id="29" w:name="_Toc28359008"/>
      <w:r>
        <w:rPr>
          <w:rFonts w:ascii="Times New Roman" w:hAnsi="Times New Roman" w:eastAsia="宋体"/>
          <w:sz w:val="24"/>
          <w:szCs w:val="24"/>
        </w:rPr>
        <w:t>七、对本次采购提出询问，请按以下方式联系。</w:t>
      </w:r>
      <w:bookmarkEnd w:id="26"/>
      <w:bookmarkEnd w:id="27"/>
      <w:bookmarkEnd w:id="28"/>
      <w:bookmarkEnd w:id="29"/>
    </w:p>
    <w:p w14:paraId="7F342CA3">
      <w:pPr>
        <w:widowControl/>
        <w:spacing w:line="360" w:lineRule="auto"/>
        <w:jc w:val="left"/>
        <w:rPr>
          <w:b/>
          <w:sz w:val="24"/>
        </w:rPr>
      </w:pPr>
      <w:r>
        <w:rPr>
          <w:sz w:val="24"/>
        </w:rPr>
        <w:t>　　　</w:t>
      </w:r>
      <w:r>
        <w:rPr>
          <w:b/>
          <w:sz w:val="24"/>
        </w:rPr>
        <w:t>1.采购人信息</w:t>
      </w:r>
    </w:p>
    <w:p w14:paraId="6EFB33F7">
      <w:pPr>
        <w:spacing w:line="360" w:lineRule="auto"/>
        <w:ind w:left="1079" w:leftChars="371" w:hanging="300" w:hangingChars="125"/>
        <w:jc w:val="left"/>
        <w:rPr>
          <w:sz w:val="24"/>
        </w:rPr>
      </w:pPr>
      <w:bookmarkStart w:id="30" w:name="_Toc28359086"/>
      <w:bookmarkStart w:id="31" w:name="_Toc28359009"/>
      <w:r>
        <w:rPr>
          <w:sz w:val="24"/>
        </w:rPr>
        <w:t>名    称：</w:t>
      </w:r>
      <w:r>
        <w:rPr>
          <w:rFonts w:hint="eastAsia"/>
          <w:sz w:val="24"/>
        </w:rPr>
        <w:t>北京市怀柔区融媒体中心</w:t>
      </w:r>
    </w:p>
    <w:p w14:paraId="03948202">
      <w:pPr>
        <w:spacing w:line="360" w:lineRule="auto"/>
        <w:ind w:left="1079" w:leftChars="371" w:hanging="300" w:hangingChars="125"/>
        <w:jc w:val="left"/>
        <w:rPr>
          <w:sz w:val="24"/>
        </w:rPr>
      </w:pPr>
      <w:r>
        <w:rPr>
          <w:sz w:val="24"/>
        </w:rPr>
        <w:t>地    址：</w:t>
      </w:r>
      <w:r>
        <w:rPr>
          <w:rFonts w:hint="eastAsia"/>
          <w:sz w:val="24"/>
        </w:rPr>
        <w:t>北京市怀柔区府前街19号</w:t>
      </w:r>
    </w:p>
    <w:p w14:paraId="328D226E">
      <w:pPr>
        <w:spacing w:line="360" w:lineRule="auto"/>
        <w:ind w:left="1079" w:leftChars="371" w:hanging="300" w:hangingChars="125"/>
        <w:jc w:val="left"/>
        <w:rPr>
          <w:color w:val="auto"/>
          <w:sz w:val="24"/>
          <w:u w:val="single"/>
        </w:rPr>
      </w:pPr>
      <w:r>
        <w:rPr>
          <w:sz w:val="24"/>
        </w:rPr>
        <w:t>联系方式</w:t>
      </w:r>
      <w:r>
        <w:rPr>
          <w:color w:val="auto"/>
          <w:sz w:val="24"/>
        </w:rPr>
        <w:t>：</w:t>
      </w:r>
      <w:r>
        <w:rPr>
          <w:rFonts w:hint="eastAsia" w:ascii="宋体" w:hAnsi="宋体" w:eastAsia="宋体" w:cs="宋体"/>
          <w:color w:val="auto"/>
          <w:sz w:val="24"/>
        </w:rPr>
        <w:t>任老师</w:t>
      </w:r>
      <w:r>
        <w:rPr>
          <w:rFonts w:hint="eastAsia" w:ascii="宋体" w:hAnsi="宋体" w:eastAsia="宋体" w:cs="宋体"/>
          <w:color w:val="auto"/>
          <w:sz w:val="24"/>
          <w:lang w:eastAsia="zh-CN"/>
        </w:rPr>
        <w:t>、</w:t>
      </w:r>
      <w:r>
        <w:rPr>
          <w:rFonts w:hint="eastAsia" w:ascii="宋体" w:hAnsi="宋体" w:eastAsia="宋体" w:cs="宋体"/>
          <w:color w:val="auto"/>
          <w:sz w:val="24"/>
        </w:rPr>
        <w:t>010-69632646</w:t>
      </w:r>
    </w:p>
    <w:p w14:paraId="422B411B">
      <w:pPr>
        <w:spacing w:line="360" w:lineRule="auto"/>
        <w:ind w:left="1080" w:leftChars="371" w:hanging="301" w:hangingChars="125"/>
        <w:jc w:val="left"/>
        <w:rPr>
          <w:b/>
          <w:sz w:val="24"/>
        </w:rPr>
      </w:pPr>
      <w:r>
        <w:rPr>
          <w:b/>
          <w:sz w:val="24"/>
        </w:rPr>
        <w:t>2.采购代理机构信息</w:t>
      </w:r>
      <w:bookmarkEnd w:id="30"/>
      <w:bookmarkEnd w:id="31"/>
    </w:p>
    <w:p w14:paraId="0D070A64">
      <w:pPr>
        <w:spacing w:line="360" w:lineRule="auto"/>
        <w:ind w:left="1079" w:leftChars="371" w:hanging="300" w:hangingChars="125"/>
        <w:jc w:val="left"/>
        <w:rPr>
          <w:rFonts w:hint="eastAsia"/>
          <w:sz w:val="24"/>
        </w:rPr>
      </w:pPr>
      <w:bookmarkStart w:id="32" w:name="_Toc28359087"/>
      <w:bookmarkStart w:id="33" w:name="_Toc28359010"/>
      <w:r>
        <w:rPr>
          <w:rFonts w:hint="eastAsia"/>
          <w:sz w:val="24"/>
        </w:rPr>
        <w:t>名</w:t>
      </w:r>
      <w:r>
        <w:rPr>
          <w:rFonts w:hint="eastAsia"/>
          <w:sz w:val="24"/>
          <w:lang w:val="en-US" w:eastAsia="zh-CN"/>
        </w:rPr>
        <w:t xml:space="preserve">    </w:t>
      </w:r>
      <w:r>
        <w:rPr>
          <w:rFonts w:hint="eastAsia"/>
          <w:sz w:val="24"/>
        </w:rPr>
        <w:t>称：中归咨询管理（北京）有限公司</w:t>
      </w:r>
    </w:p>
    <w:p w14:paraId="10B7A541">
      <w:pPr>
        <w:spacing w:line="360" w:lineRule="auto"/>
        <w:ind w:left="1079" w:leftChars="371" w:hanging="300" w:hangingChars="125"/>
        <w:jc w:val="left"/>
        <w:rPr>
          <w:rFonts w:hint="eastAsia"/>
          <w:sz w:val="24"/>
        </w:rPr>
      </w:pPr>
      <w:r>
        <w:rPr>
          <w:rFonts w:hint="eastAsia"/>
          <w:sz w:val="24"/>
        </w:rPr>
        <w:t>地</w:t>
      </w:r>
      <w:r>
        <w:rPr>
          <w:rFonts w:hint="eastAsia"/>
          <w:sz w:val="24"/>
          <w:lang w:val="en-US" w:eastAsia="zh-CN"/>
        </w:rPr>
        <w:t xml:space="preserve">    </w:t>
      </w:r>
      <w:r>
        <w:rPr>
          <w:rFonts w:hint="eastAsia"/>
          <w:sz w:val="24"/>
        </w:rPr>
        <w:t>址：北京市怀柔区迎宾南路11号五幢二层2213室</w:t>
      </w:r>
    </w:p>
    <w:p w14:paraId="7730EDAE">
      <w:pPr>
        <w:spacing w:line="360" w:lineRule="auto"/>
        <w:ind w:left="1079" w:leftChars="371" w:hanging="300" w:hangingChars="125"/>
        <w:jc w:val="left"/>
        <w:rPr>
          <w:sz w:val="24"/>
          <w:u w:val="single"/>
        </w:rPr>
      </w:pPr>
      <w:r>
        <w:rPr>
          <w:rFonts w:hint="eastAsia"/>
          <w:sz w:val="24"/>
        </w:rPr>
        <w:t>联系方式：师博科</w:t>
      </w:r>
      <w:r>
        <w:rPr>
          <w:rFonts w:hint="eastAsia"/>
          <w:sz w:val="24"/>
          <w:lang w:eastAsia="zh-CN"/>
        </w:rPr>
        <w:t>、</w:t>
      </w:r>
      <w:r>
        <w:rPr>
          <w:rFonts w:hint="eastAsia"/>
          <w:sz w:val="24"/>
        </w:rPr>
        <w:t>010-53606938、17310362080</w:t>
      </w:r>
    </w:p>
    <w:p w14:paraId="6154B97A">
      <w:pPr>
        <w:spacing w:line="360" w:lineRule="auto"/>
        <w:ind w:firstLine="723" w:firstLineChars="300"/>
        <w:rPr>
          <w:b/>
          <w:sz w:val="24"/>
          <w:u w:val="single"/>
        </w:rPr>
      </w:pPr>
      <w:r>
        <w:rPr>
          <w:b/>
          <w:sz w:val="24"/>
        </w:rPr>
        <w:t>3.项目联系方式</w:t>
      </w:r>
      <w:bookmarkEnd w:id="32"/>
      <w:bookmarkEnd w:id="33"/>
    </w:p>
    <w:p w14:paraId="1CD6187C">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rPr>
        <w:t>师博科</w:t>
      </w:r>
    </w:p>
    <w:p w14:paraId="641AB761">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rPr>
        <w:t>电      话：010-53606938、17310362080</w:t>
      </w:r>
    </w:p>
    <w:p w14:paraId="48F26E1A">
      <w:pPr>
        <w:spacing w:line="360" w:lineRule="auto"/>
        <w:ind w:firstLine="5880" w:firstLineChars="2450"/>
        <w:jc w:val="right"/>
        <w:rPr>
          <w:sz w:val="24"/>
        </w:rPr>
      </w:pPr>
    </w:p>
    <w:p w14:paraId="3B133E5A">
      <w:pPr>
        <w:spacing w:line="360" w:lineRule="auto"/>
        <w:jc w:val="center"/>
        <w:outlineLvl w:val="0"/>
        <w:rPr>
          <w:b/>
          <w:sz w:val="32"/>
          <w:szCs w:val="32"/>
        </w:rPr>
      </w:pPr>
      <w:r>
        <w:rPr>
          <w:sz w:val="24"/>
        </w:rPr>
        <w:br w:type="page"/>
      </w:r>
      <w:bookmarkStart w:id="34" w:name="_Toc305158928"/>
      <w:bookmarkStart w:id="35" w:name="_Toc195842950"/>
      <w:bookmarkStart w:id="36" w:name="_Toc353825548"/>
      <w:bookmarkStart w:id="37" w:name="_Toc264969275"/>
      <w:bookmarkStart w:id="38" w:name="_Toc127151777"/>
      <w:bookmarkStart w:id="39" w:name="_Toc305158854"/>
      <w:bookmarkStart w:id="40" w:name="_Toc265228423"/>
      <w:bookmarkStart w:id="41" w:name="_Toc512937850"/>
      <w:bookmarkStart w:id="42" w:name="_Toc127161488"/>
      <w:bookmarkStart w:id="43" w:name="_Toc226965856"/>
      <w:bookmarkStart w:id="44" w:name="_Toc99301374"/>
      <w:bookmarkStart w:id="45" w:name="_Toc150774783"/>
      <w:bookmarkStart w:id="46" w:name="_Toc353873938"/>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080E0D04">
      <w:pPr>
        <w:pStyle w:val="3"/>
        <w:tabs>
          <w:tab w:val="center" w:pos="4592"/>
          <w:tab w:val="left" w:pos="7860"/>
        </w:tabs>
        <w:spacing w:before="0" w:line="360" w:lineRule="auto"/>
        <w:rPr>
          <w:rFonts w:ascii="Times New Roman" w:hAnsi="Times New Roman" w:eastAsia="宋体"/>
          <w:sz w:val="28"/>
        </w:rPr>
      </w:pPr>
      <w:bookmarkStart w:id="47" w:name="_Hlk97750450"/>
      <w:bookmarkStart w:id="48" w:name="_Toc226965709"/>
      <w:bookmarkStart w:id="49" w:name="_Toc151193907"/>
      <w:bookmarkStart w:id="50" w:name="_Toc150774619"/>
      <w:bookmarkStart w:id="51" w:name="_Toc164229214"/>
      <w:bookmarkStart w:id="52" w:name="_Toc226309763"/>
      <w:bookmarkStart w:id="53" w:name="_Toc150509270"/>
      <w:bookmarkStart w:id="54" w:name="_Toc151190146"/>
      <w:bookmarkStart w:id="55" w:name="_Toc150480757"/>
      <w:bookmarkStart w:id="56" w:name="_Toc151193617"/>
      <w:bookmarkStart w:id="57" w:name="_Toc149720812"/>
      <w:bookmarkStart w:id="58" w:name="_Toc127151720"/>
      <w:bookmarkStart w:id="59" w:name="_Toc226337215"/>
      <w:bookmarkStart w:id="60" w:name="_Toc150774724"/>
      <w:bookmarkStart w:id="61" w:name="_Toc151193833"/>
      <w:bookmarkStart w:id="62" w:name="_Toc142311021"/>
      <w:bookmarkStart w:id="63" w:name="_Toc164351613"/>
      <w:bookmarkStart w:id="64" w:name="_Toc151193761"/>
      <w:bookmarkStart w:id="65" w:name="_Toc127151519"/>
      <w:bookmarkStart w:id="66" w:name="_Toc164608788"/>
      <w:bookmarkStart w:id="67" w:name="_Toc226965792"/>
      <w:bookmarkStart w:id="68" w:name="_Toc164229360"/>
      <w:bookmarkStart w:id="69" w:name="_Toc195842884"/>
      <w:bookmarkStart w:id="70" w:name="_Toc127161433"/>
      <w:bookmarkStart w:id="71" w:name="_Toc164608633"/>
      <w:bookmarkStart w:id="72" w:name="_Toc520356144"/>
      <w:bookmarkStart w:id="73" w:name="_Toc151193689"/>
      <w:r>
        <w:rPr>
          <w:rFonts w:ascii="Times New Roman" w:hAnsi="Times New Roman" w:eastAsia="宋体"/>
          <w:sz w:val="28"/>
        </w:rPr>
        <w:t>供应商须知资料表</w:t>
      </w:r>
      <w:bookmarkEnd w:id="47"/>
    </w:p>
    <w:p w14:paraId="1A26C755">
      <w:pPr>
        <w:jc w:val="center"/>
        <w:rPr>
          <w:b/>
          <w:sz w:val="28"/>
          <w:szCs w:val="28"/>
        </w:rPr>
      </w:pPr>
    </w:p>
    <w:p w14:paraId="551D43F8">
      <w:pPr>
        <w:spacing w:line="360" w:lineRule="auto"/>
        <w:ind w:firstLine="480"/>
        <w:rPr>
          <w:sz w:val="24"/>
        </w:rPr>
      </w:pPr>
      <w:r>
        <w:rPr>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F0C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14:paraId="0999B105">
            <w:pPr>
              <w:jc w:val="center"/>
              <w:rPr>
                <w:rFonts w:hint="eastAsia" w:ascii="宋体" w:hAnsi="宋体" w:eastAsia="宋体" w:cs="宋体"/>
                <w:b/>
                <w:bCs/>
                <w:sz w:val="24"/>
                <w:szCs w:val="24"/>
              </w:rPr>
            </w:pPr>
            <w:r>
              <w:rPr>
                <w:rFonts w:hint="eastAsia" w:ascii="宋体" w:hAnsi="宋体" w:eastAsia="宋体" w:cs="宋体"/>
                <w:b/>
                <w:sz w:val="24"/>
                <w:szCs w:val="24"/>
              </w:rPr>
              <w:t>条款号</w:t>
            </w:r>
          </w:p>
        </w:tc>
        <w:tc>
          <w:tcPr>
            <w:tcW w:w="1701" w:type="dxa"/>
            <w:vAlign w:val="center"/>
          </w:tcPr>
          <w:p w14:paraId="3B0A7480">
            <w:pPr>
              <w:jc w:val="center"/>
              <w:rPr>
                <w:rFonts w:hint="eastAsia" w:ascii="宋体" w:hAnsi="宋体" w:eastAsia="宋体" w:cs="宋体"/>
                <w:b/>
                <w:bCs/>
                <w:sz w:val="24"/>
                <w:szCs w:val="24"/>
              </w:rPr>
            </w:pPr>
            <w:r>
              <w:rPr>
                <w:rFonts w:hint="eastAsia" w:ascii="宋体" w:hAnsi="宋体" w:eastAsia="宋体" w:cs="宋体"/>
                <w:b/>
                <w:bCs/>
                <w:sz w:val="24"/>
                <w:szCs w:val="24"/>
              </w:rPr>
              <w:t>条目</w:t>
            </w:r>
          </w:p>
        </w:tc>
        <w:tc>
          <w:tcPr>
            <w:tcW w:w="7253" w:type="dxa"/>
            <w:vAlign w:val="center"/>
          </w:tcPr>
          <w:p w14:paraId="17DA2E8F">
            <w:pPr>
              <w:jc w:val="center"/>
              <w:rPr>
                <w:rFonts w:hint="eastAsia" w:ascii="宋体" w:hAnsi="宋体" w:eastAsia="宋体" w:cs="宋体"/>
                <w:b/>
                <w:bCs/>
                <w:sz w:val="24"/>
                <w:szCs w:val="24"/>
              </w:rPr>
            </w:pPr>
            <w:r>
              <w:rPr>
                <w:rFonts w:hint="eastAsia" w:ascii="宋体" w:hAnsi="宋体" w:eastAsia="宋体" w:cs="宋体"/>
                <w:b/>
                <w:bCs/>
                <w:sz w:val="24"/>
                <w:szCs w:val="24"/>
              </w:rPr>
              <w:t>内容</w:t>
            </w:r>
          </w:p>
        </w:tc>
      </w:tr>
      <w:tr w14:paraId="0D4F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33B14A">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01125D87">
            <w:pPr>
              <w:jc w:val="center"/>
              <w:rPr>
                <w:rFonts w:hint="eastAsia" w:ascii="宋体" w:hAnsi="宋体" w:eastAsia="宋体" w:cs="宋体"/>
                <w:sz w:val="24"/>
                <w:szCs w:val="24"/>
              </w:rPr>
            </w:pPr>
            <w:r>
              <w:rPr>
                <w:rFonts w:hint="eastAsia" w:ascii="宋体" w:hAnsi="宋体" w:eastAsia="宋体" w:cs="宋体"/>
                <w:sz w:val="24"/>
                <w:szCs w:val="24"/>
              </w:rPr>
              <w:t>科研仪器设备</w:t>
            </w:r>
          </w:p>
        </w:tc>
        <w:tc>
          <w:tcPr>
            <w:tcW w:w="7253" w:type="dxa"/>
            <w:vAlign w:val="center"/>
          </w:tcPr>
          <w:p w14:paraId="5323DFF3">
            <w:pPr>
              <w:jc w:val="left"/>
              <w:rPr>
                <w:rFonts w:hint="eastAsia" w:ascii="宋体" w:hAnsi="宋体" w:eastAsia="宋体" w:cs="宋体"/>
                <w:sz w:val="24"/>
                <w:szCs w:val="24"/>
              </w:rPr>
            </w:pPr>
            <w:r>
              <w:rPr>
                <w:rFonts w:hint="eastAsia" w:ascii="宋体" w:hAnsi="宋体" w:eastAsia="宋体" w:cs="宋体"/>
                <w:sz w:val="24"/>
                <w:szCs w:val="24"/>
              </w:rPr>
              <w:t>是否属于科研仪器设备采购项目：</w:t>
            </w:r>
          </w:p>
          <w:p w14:paraId="5009BB0E">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是</w:t>
            </w:r>
          </w:p>
          <w:p w14:paraId="14FC7B13">
            <w:pPr>
              <w:jc w:val="left"/>
              <w:rPr>
                <w:rFonts w:hint="eastAsia" w:ascii="宋体" w:hAnsi="宋体" w:eastAsia="宋体" w:cs="宋体"/>
                <w:sz w:val="24"/>
                <w:szCs w:val="24"/>
              </w:rPr>
            </w:pPr>
            <w:r>
              <w:rPr>
                <w:rFonts w:hint="eastAsia" w:ascii="宋体" w:hAnsi="宋体" w:eastAsia="宋体" w:cs="宋体"/>
                <w:sz w:val="24"/>
                <w:szCs w:val="24"/>
              </w:rPr>
              <w:t>■否</w:t>
            </w:r>
          </w:p>
        </w:tc>
      </w:tr>
      <w:tr w14:paraId="0759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52B16CC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3.3.5</w:t>
            </w:r>
          </w:p>
        </w:tc>
        <w:tc>
          <w:tcPr>
            <w:tcW w:w="1701" w:type="dxa"/>
            <w:vAlign w:val="center"/>
          </w:tcPr>
          <w:p w14:paraId="4697C64C">
            <w:pPr>
              <w:jc w:val="center"/>
              <w:rPr>
                <w:rFonts w:hint="eastAsia" w:ascii="宋体" w:hAnsi="宋体" w:eastAsia="宋体" w:cs="宋体"/>
                <w:sz w:val="24"/>
                <w:szCs w:val="24"/>
              </w:rPr>
            </w:pPr>
            <w:r>
              <w:rPr>
                <w:rFonts w:hint="eastAsia" w:ascii="宋体" w:hAnsi="宋体" w:eastAsia="宋体" w:cs="宋体"/>
                <w:sz w:val="24"/>
                <w:szCs w:val="24"/>
              </w:rPr>
              <w:t>标的所属行业</w:t>
            </w:r>
          </w:p>
        </w:tc>
        <w:tc>
          <w:tcPr>
            <w:tcW w:w="7253" w:type="dxa"/>
            <w:vAlign w:val="center"/>
          </w:tcPr>
          <w:p w14:paraId="6D8DCE30">
            <w:pPr>
              <w:jc w:val="left"/>
              <w:rPr>
                <w:rFonts w:hint="eastAsia"/>
              </w:rPr>
            </w:pPr>
            <w:r>
              <w:rPr>
                <w:rFonts w:hint="eastAsia"/>
              </w:rPr>
              <w:t>本项目采购标的对应的中小企业划分标准所属行业：</w:t>
            </w:r>
          </w:p>
          <w:tbl>
            <w:tblPr>
              <w:tblStyle w:val="42"/>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4439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03529BB3">
                  <w:pPr>
                    <w:jc w:val="center"/>
                    <w:rPr>
                      <w:rFonts w:hint="eastAsia"/>
                    </w:rPr>
                  </w:pPr>
                  <w:r>
                    <w:rPr>
                      <w:rFonts w:hint="eastAsia"/>
                    </w:rPr>
                    <w:t>包号</w:t>
                  </w:r>
                </w:p>
              </w:tc>
              <w:tc>
                <w:tcPr>
                  <w:tcW w:w="2690" w:type="dxa"/>
                  <w:tcBorders>
                    <w:top w:val="single" w:color="auto" w:sz="4" w:space="0"/>
                    <w:left w:val="single" w:color="auto" w:sz="4" w:space="0"/>
                    <w:bottom w:val="single" w:color="auto" w:sz="4" w:space="0"/>
                    <w:right w:val="single" w:color="auto" w:sz="4" w:space="0"/>
                  </w:tcBorders>
                  <w:vAlign w:val="center"/>
                </w:tcPr>
                <w:p w14:paraId="64857DD4">
                  <w:pPr>
                    <w:jc w:val="center"/>
                    <w:rPr>
                      <w:rFonts w:hint="eastAsia"/>
                    </w:rPr>
                  </w:pPr>
                  <w:r>
                    <w:rPr>
                      <w:rFonts w:hint="eastAsia"/>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14:paraId="789FE4BB">
                  <w:pPr>
                    <w:jc w:val="center"/>
                    <w:rPr>
                      <w:rFonts w:hint="eastAsia"/>
                    </w:rPr>
                  </w:pPr>
                  <w:r>
                    <w:rPr>
                      <w:rFonts w:hint="eastAsia"/>
                    </w:rPr>
                    <w:t>中小企业划分标准所属行业</w:t>
                  </w:r>
                </w:p>
              </w:tc>
            </w:tr>
            <w:tr w14:paraId="6A2F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vMerge w:val="restart"/>
                  <w:tcBorders>
                    <w:top w:val="single" w:color="auto" w:sz="4" w:space="0"/>
                    <w:left w:val="single" w:color="auto" w:sz="4" w:space="0"/>
                    <w:right w:val="single" w:color="auto" w:sz="4" w:space="0"/>
                  </w:tcBorders>
                  <w:vAlign w:val="center"/>
                </w:tcPr>
                <w:p w14:paraId="2B74EDB8">
                  <w:pPr>
                    <w:jc w:val="center"/>
                    <w:rPr>
                      <w:rFonts w:hint="eastAsia"/>
                      <w:lang w:val="en-US" w:eastAsia="zh-CN"/>
                    </w:rPr>
                  </w:pPr>
                  <w:r>
                    <w:rPr>
                      <w:rFonts w:hint="eastAsia"/>
                      <w:lang w:val="en-US" w:eastAsia="zh-CN"/>
                    </w:rPr>
                    <w:t>01</w:t>
                  </w:r>
                </w:p>
              </w:tc>
              <w:tc>
                <w:tcPr>
                  <w:tcW w:w="2690" w:type="dxa"/>
                  <w:tcBorders>
                    <w:top w:val="single" w:color="auto" w:sz="4" w:space="0"/>
                    <w:left w:val="single" w:color="auto" w:sz="4" w:space="0"/>
                    <w:bottom w:val="single" w:color="auto" w:sz="4" w:space="0"/>
                    <w:right w:val="single" w:color="auto" w:sz="4" w:space="0"/>
                  </w:tcBorders>
                  <w:vAlign w:val="center"/>
                </w:tcPr>
                <w:p w14:paraId="12EE15F9">
                  <w:pPr>
                    <w:rPr>
                      <w:rFonts w:hint="eastAsia"/>
                    </w:rPr>
                  </w:pPr>
                  <w:r>
                    <w:rPr>
                      <w:rFonts w:hint="eastAsia"/>
                    </w:rPr>
                    <w:t>USB密码器</w:t>
                  </w:r>
                  <w:r>
                    <w:rPr>
                      <w:rFonts w:hint="eastAsia"/>
                      <w:lang w:eastAsia="zh-CN"/>
                    </w:rPr>
                    <w:t>、</w:t>
                  </w:r>
                  <w:r>
                    <w:rPr>
                      <w:rFonts w:hint="eastAsia"/>
                    </w:rPr>
                    <w:t>接入交换机</w:t>
                  </w:r>
                  <w:r>
                    <w:rPr>
                      <w:rFonts w:hint="eastAsia"/>
                      <w:lang w:eastAsia="zh-CN"/>
                    </w:rPr>
                    <w:t>、</w:t>
                  </w:r>
                  <w:r>
                    <w:rPr>
                      <w:rFonts w:hint="eastAsia"/>
                    </w:rPr>
                    <w:t>播控桌椅</w:t>
                  </w:r>
                  <w:r>
                    <w:rPr>
                      <w:rFonts w:hint="eastAsia"/>
                      <w:lang w:eastAsia="zh-CN"/>
                    </w:rPr>
                    <w:t>、</w:t>
                  </w:r>
                  <w:r>
                    <w:rPr>
                      <w:rFonts w:hint="eastAsia"/>
                    </w:rPr>
                    <w:t>会议摄像头</w:t>
                  </w:r>
                  <w:r>
                    <w:rPr>
                      <w:rFonts w:hint="eastAsia"/>
                      <w:lang w:eastAsia="zh-CN"/>
                    </w:rPr>
                    <w:t>、</w:t>
                  </w:r>
                  <w:r>
                    <w:rPr>
                      <w:rFonts w:hint="eastAsia"/>
                    </w:rPr>
                    <w:t>融媒体应急广播适配器</w:t>
                  </w:r>
                  <w:r>
                    <w:rPr>
                      <w:rFonts w:hint="eastAsia"/>
                      <w:lang w:eastAsia="zh-CN"/>
                    </w:rPr>
                    <w:t>、</w:t>
                  </w:r>
                  <w:r>
                    <w:rPr>
                      <w:rFonts w:hint="eastAsia"/>
                    </w:rPr>
                    <w:t>街道应急广播适配器</w:t>
                  </w:r>
                  <w:r>
                    <w:rPr>
                      <w:rFonts w:hint="eastAsia"/>
                      <w:lang w:eastAsia="zh-CN"/>
                    </w:rPr>
                    <w:t>、</w:t>
                  </w:r>
                  <w:r>
                    <w:rPr>
                      <w:rFonts w:hint="eastAsia"/>
                    </w:rPr>
                    <w:t>有线话筒</w:t>
                  </w:r>
                  <w:r>
                    <w:rPr>
                      <w:rFonts w:hint="eastAsia"/>
                      <w:lang w:eastAsia="zh-CN"/>
                    </w:rPr>
                    <w:t>、</w:t>
                  </w:r>
                  <w:r>
                    <w:rPr>
                      <w:rFonts w:hint="eastAsia"/>
                    </w:rPr>
                    <w:t>交换机</w:t>
                  </w:r>
                  <w:r>
                    <w:rPr>
                      <w:rFonts w:hint="eastAsia"/>
                      <w:lang w:eastAsia="zh-CN"/>
                    </w:rPr>
                    <w:t>、</w:t>
                  </w:r>
                  <w:r>
                    <w:rPr>
                      <w:rFonts w:hint="eastAsia"/>
                    </w:rPr>
                    <w:t>10U机柜</w:t>
                  </w:r>
                  <w:r>
                    <w:rPr>
                      <w:rFonts w:hint="eastAsia"/>
                      <w:lang w:eastAsia="zh-CN"/>
                    </w:rPr>
                    <w:t>、</w:t>
                  </w:r>
                  <w:r>
                    <w:rPr>
                      <w:rFonts w:hint="eastAsia"/>
                    </w:rPr>
                    <w:t>高可靠性终端（带直播星）</w:t>
                  </w:r>
                  <w:r>
                    <w:rPr>
                      <w:rFonts w:hint="eastAsia"/>
                      <w:lang w:eastAsia="zh-CN"/>
                    </w:rPr>
                    <w:t>、</w:t>
                  </w:r>
                  <w:r>
                    <w:rPr>
                      <w:rFonts w:hint="eastAsia"/>
                    </w:rPr>
                    <w:t>高可靠性终端立杆</w:t>
                  </w:r>
                  <w:r>
                    <w:rPr>
                      <w:rFonts w:hint="eastAsia"/>
                      <w:lang w:eastAsia="zh-CN"/>
                    </w:rPr>
                    <w:t>、</w:t>
                  </w:r>
                  <w:r>
                    <w:rPr>
                      <w:rFonts w:hint="eastAsia"/>
                    </w:rPr>
                    <w:t>乡镇应急广播适配器</w:t>
                  </w:r>
                  <w:r>
                    <w:rPr>
                      <w:rFonts w:hint="eastAsia"/>
                      <w:lang w:eastAsia="zh-CN"/>
                    </w:rPr>
                    <w:t>、</w:t>
                  </w:r>
                  <w:r>
                    <w:rPr>
                      <w:rFonts w:hint="eastAsia"/>
                    </w:rPr>
                    <w:t>多模收扩机</w:t>
                  </w:r>
                  <w:r>
                    <w:rPr>
                      <w:rFonts w:hint="eastAsia"/>
                      <w:lang w:eastAsia="zh-CN"/>
                    </w:rPr>
                    <w:t>、</w:t>
                  </w:r>
                  <w:r>
                    <w:rPr>
                      <w:rFonts w:hint="eastAsia"/>
                    </w:rPr>
                    <w:t>高音喇叭</w:t>
                  </w:r>
                  <w:r>
                    <w:rPr>
                      <w:rFonts w:hint="eastAsia"/>
                      <w:lang w:eastAsia="zh-CN"/>
                    </w:rPr>
                    <w:t>、</w:t>
                  </w:r>
                  <w:r>
                    <w:rPr>
                      <w:rFonts w:hint="eastAsia"/>
                    </w:rPr>
                    <w:t>社区应急广播适配器</w:t>
                  </w:r>
                  <w:r>
                    <w:rPr>
                      <w:rFonts w:hint="eastAsia"/>
                      <w:lang w:eastAsia="zh-CN"/>
                    </w:rPr>
                    <w:t>、</w:t>
                  </w:r>
                  <w:r>
                    <w:rPr>
                      <w:rFonts w:hint="eastAsia"/>
                    </w:rPr>
                    <w:t>行政村应急广播适配器</w:t>
                  </w:r>
                  <w:r>
                    <w:rPr>
                      <w:rFonts w:hint="eastAsia"/>
                      <w:lang w:eastAsia="zh-CN"/>
                    </w:rPr>
                    <w:t>、</w:t>
                  </w:r>
                  <w:r>
                    <w:rPr>
                      <w:rFonts w:hint="eastAsia"/>
                    </w:rPr>
                    <w:t>太阳能供电系统</w:t>
                  </w:r>
                  <w:r>
                    <w:rPr>
                      <w:rFonts w:hint="eastAsia"/>
                      <w:lang w:eastAsia="zh-CN"/>
                    </w:rPr>
                    <w:t>、核心交换机、汇聚交换机、磁盘阵列、IP话筒、多媒体网关、短信网关、下一代防火墙、安全隔离设备、密码机、智能密码钥匙、VPN安全网关、指挥中心大屏、中控、音视频矩阵、调音台、会议主机、会议话筒、吸顶音响</w:t>
                  </w:r>
                </w:p>
              </w:tc>
              <w:tc>
                <w:tcPr>
                  <w:tcW w:w="3112" w:type="dxa"/>
                  <w:tcBorders>
                    <w:top w:val="single" w:color="auto" w:sz="4" w:space="0"/>
                    <w:left w:val="single" w:color="auto" w:sz="4" w:space="0"/>
                    <w:bottom w:val="single" w:color="auto" w:sz="4" w:space="0"/>
                    <w:right w:val="single" w:color="auto" w:sz="4" w:space="0"/>
                  </w:tcBorders>
                  <w:vAlign w:val="center"/>
                </w:tcPr>
                <w:p w14:paraId="7FF0B611">
                  <w:pPr>
                    <w:keepNext w:val="0"/>
                    <w:keepLines w:val="0"/>
                    <w:widowControl/>
                    <w:suppressLineNumbers w:val="0"/>
                    <w:jc w:val="center"/>
                    <w:textAlignment w:val="center"/>
                    <w:rPr>
                      <w:rFonts w:hint="eastAsia"/>
                      <w:lang w:val="en-US" w:eastAsia="zh-CN"/>
                    </w:rPr>
                  </w:pPr>
                  <w:r>
                    <w:rPr>
                      <w:rFonts w:hint="eastAsia"/>
                      <w:lang w:val="en-US" w:eastAsia="zh-CN"/>
                    </w:rPr>
                    <w:t>工业</w:t>
                  </w:r>
                </w:p>
              </w:tc>
            </w:tr>
            <w:tr w14:paraId="1612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vMerge w:val="continue"/>
                  <w:tcBorders>
                    <w:left w:val="single" w:color="auto" w:sz="4" w:space="0"/>
                    <w:right w:val="single" w:color="auto" w:sz="4" w:space="0"/>
                  </w:tcBorders>
                  <w:vAlign w:val="center"/>
                </w:tcPr>
                <w:p w14:paraId="2C5B8F9B">
                  <w:pPr>
                    <w:jc w:val="center"/>
                    <w:rPr>
                      <w:rFonts w:hint="eastAsia"/>
                      <w:lang w:val="en-US" w:eastAsia="zh-CN"/>
                    </w:rPr>
                  </w:pPr>
                </w:p>
              </w:tc>
              <w:tc>
                <w:tcPr>
                  <w:tcW w:w="2690" w:type="dxa"/>
                  <w:tcBorders>
                    <w:top w:val="single" w:color="auto" w:sz="4" w:space="0"/>
                    <w:left w:val="single" w:color="auto" w:sz="4" w:space="0"/>
                    <w:bottom w:val="single" w:color="auto" w:sz="4" w:space="0"/>
                    <w:right w:val="single" w:color="auto" w:sz="4" w:space="0"/>
                  </w:tcBorders>
                  <w:vAlign w:val="center"/>
                </w:tcPr>
                <w:p w14:paraId="13010E0D">
                  <w:pPr>
                    <w:rPr>
                      <w:rFonts w:hint="eastAsia"/>
                    </w:rPr>
                  </w:pPr>
                  <w:r>
                    <w:rPr>
                      <w:rFonts w:hint="eastAsia"/>
                      <w:lang w:eastAsia="zh-CN"/>
                    </w:rPr>
                    <w:t>接入处理系统、调度控制系统、快速通道传输系统、监管考核系统、媒资系统、智慧运维系统、视频融合指挥系统、GIS地图、综合可视化系统、终端安全管理系统、日志审计系统、数据库审计系统、签名验签系统、应急信息接入前置系统、应急信息发布前置系统、街道应急广播分控平台、乡镇应急广播分控平台、系统集成</w:t>
                  </w:r>
                </w:p>
              </w:tc>
              <w:tc>
                <w:tcPr>
                  <w:tcW w:w="3112" w:type="dxa"/>
                  <w:tcBorders>
                    <w:top w:val="single" w:color="auto" w:sz="4" w:space="0"/>
                    <w:left w:val="single" w:color="auto" w:sz="4" w:space="0"/>
                    <w:bottom w:val="single" w:color="auto" w:sz="4" w:space="0"/>
                    <w:right w:val="single" w:color="auto" w:sz="4" w:space="0"/>
                  </w:tcBorders>
                  <w:vAlign w:val="center"/>
                </w:tcPr>
                <w:p w14:paraId="31657754">
                  <w:pPr>
                    <w:keepNext w:val="0"/>
                    <w:keepLines w:val="0"/>
                    <w:widowControl/>
                    <w:suppressLineNumbers w:val="0"/>
                    <w:jc w:val="left"/>
                    <w:textAlignment w:val="center"/>
                    <w:rPr>
                      <w:rFonts w:hint="eastAsia"/>
                      <w:lang w:val="en-US" w:eastAsia="zh-CN"/>
                    </w:rPr>
                  </w:pPr>
                  <w:r>
                    <w:rPr>
                      <w:rFonts w:hint="eastAsia"/>
                      <w:lang w:val="en-US" w:eastAsia="zh-CN"/>
                    </w:rPr>
                    <w:t>软件和信息技术服务业</w:t>
                  </w:r>
                </w:p>
              </w:tc>
            </w:tr>
            <w:tr w14:paraId="5615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vMerge w:val="continue"/>
                  <w:tcBorders>
                    <w:left w:val="single" w:color="auto" w:sz="4" w:space="0"/>
                    <w:right w:val="single" w:color="auto" w:sz="4" w:space="0"/>
                  </w:tcBorders>
                  <w:vAlign w:val="center"/>
                </w:tcPr>
                <w:p w14:paraId="4F3A2DFC">
                  <w:pPr>
                    <w:jc w:val="center"/>
                    <w:rPr>
                      <w:rFonts w:hint="eastAsia"/>
                      <w:lang w:val="en-US" w:eastAsia="zh-CN"/>
                    </w:rPr>
                  </w:pPr>
                </w:p>
              </w:tc>
              <w:tc>
                <w:tcPr>
                  <w:tcW w:w="2690" w:type="dxa"/>
                  <w:tcBorders>
                    <w:top w:val="single" w:color="auto" w:sz="4" w:space="0"/>
                    <w:left w:val="single" w:color="auto" w:sz="4" w:space="0"/>
                    <w:bottom w:val="single" w:color="auto" w:sz="4" w:space="0"/>
                    <w:right w:val="single" w:color="auto" w:sz="4" w:space="0"/>
                  </w:tcBorders>
                  <w:vAlign w:val="center"/>
                </w:tcPr>
                <w:p w14:paraId="646641F4">
                  <w:pPr>
                    <w:rPr>
                      <w:rFonts w:hint="eastAsia"/>
                      <w:lang w:eastAsia="zh-CN"/>
                    </w:rPr>
                  </w:pPr>
                  <w:r>
                    <w:rPr>
                      <w:rFonts w:hint="eastAsia"/>
                      <w:lang w:eastAsia="zh-CN"/>
                    </w:rPr>
                    <w:t>指挥中心装修改造、辅材及安装调试</w:t>
                  </w:r>
                </w:p>
              </w:tc>
              <w:tc>
                <w:tcPr>
                  <w:tcW w:w="3112" w:type="dxa"/>
                  <w:tcBorders>
                    <w:top w:val="single" w:color="auto" w:sz="4" w:space="0"/>
                    <w:left w:val="single" w:color="auto" w:sz="4" w:space="0"/>
                    <w:bottom w:val="single" w:color="auto" w:sz="4" w:space="0"/>
                    <w:right w:val="single" w:color="auto" w:sz="4" w:space="0"/>
                  </w:tcBorders>
                  <w:vAlign w:val="center"/>
                </w:tcPr>
                <w:p w14:paraId="76C226E0">
                  <w:pPr>
                    <w:keepNext w:val="0"/>
                    <w:keepLines w:val="0"/>
                    <w:widowControl/>
                    <w:suppressLineNumbers w:val="0"/>
                    <w:jc w:val="left"/>
                    <w:textAlignment w:val="center"/>
                    <w:rPr>
                      <w:rFonts w:hint="eastAsia"/>
                      <w:lang w:val="en-US" w:eastAsia="zh-CN"/>
                    </w:rPr>
                  </w:pPr>
                  <w:r>
                    <w:rPr>
                      <w:rFonts w:hint="eastAsia"/>
                      <w:lang w:val="en-US" w:eastAsia="zh-CN"/>
                    </w:rPr>
                    <w:t>其他未列明行业</w:t>
                  </w:r>
                </w:p>
              </w:tc>
            </w:tr>
            <w:tr w14:paraId="5DB0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vMerge w:val="continue"/>
                  <w:tcBorders>
                    <w:left w:val="single" w:color="auto" w:sz="4" w:space="0"/>
                    <w:bottom w:val="single" w:color="auto" w:sz="4" w:space="0"/>
                    <w:right w:val="single" w:color="auto" w:sz="4" w:space="0"/>
                  </w:tcBorders>
                  <w:vAlign w:val="center"/>
                </w:tcPr>
                <w:p w14:paraId="15BB3FBA">
                  <w:pPr>
                    <w:jc w:val="center"/>
                    <w:rPr>
                      <w:rFonts w:hint="eastAsia"/>
                      <w:lang w:val="en-US" w:eastAsia="zh-CN"/>
                    </w:rPr>
                  </w:pPr>
                </w:p>
              </w:tc>
              <w:tc>
                <w:tcPr>
                  <w:tcW w:w="2690" w:type="dxa"/>
                  <w:tcBorders>
                    <w:top w:val="single" w:color="auto" w:sz="4" w:space="0"/>
                    <w:left w:val="single" w:color="auto" w:sz="4" w:space="0"/>
                    <w:bottom w:val="single" w:color="auto" w:sz="4" w:space="0"/>
                    <w:right w:val="single" w:color="auto" w:sz="4" w:space="0"/>
                  </w:tcBorders>
                  <w:vAlign w:val="center"/>
                </w:tcPr>
                <w:p w14:paraId="1AADF98F">
                  <w:pPr>
                    <w:rPr>
                      <w:rFonts w:hint="eastAsia"/>
                      <w:lang w:eastAsia="zh-CN"/>
                    </w:rPr>
                  </w:pPr>
                  <w:r>
                    <w:rPr>
                      <w:rFonts w:hint="eastAsia"/>
                      <w:lang w:eastAsia="zh-CN"/>
                    </w:rPr>
                    <w:t>北京市应急广播平台至怀柔区应急广播平台，100M政务外网、怀柔区应急广播平台至应急局、地震局、气象局、水务局、园林绿化局，50M通达链路、怀柔区应急广播平台至怀柔区融媒体中心，50M通达链路、怀柔区应急广播平台至街道应急广播前端，50M通达链路、怀柔区应急广播平台至社区应急广播前端，50M通达链路、怀柔区应急广播平台至乡镇应急广播前端，50M通达链路、怀柔区应急广播平台至行政村前端，50M通达链路、怀柔区应急广播平台至社区、街道、行政村终端，4G</w:t>
                  </w:r>
                  <w:r>
                    <w:rPr>
                      <w:rFonts w:hint="eastAsia"/>
                      <w:lang w:val="en-US" w:eastAsia="zh-CN"/>
                    </w:rPr>
                    <w:t>/5G</w:t>
                  </w:r>
                  <w:r>
                    <w:rPr>
                      <w:rFonts w:hint="eastAsia"/>
                      <w:lang w:eastAsia="zh-CN"/>
                    </w:rPr>
                    <w:t>物联卡、怀柔区应急广播平台至高可靠性终端专线，50M通达链路</w:t>
                  </w:r>
                </w:p>
              </w:tc>
              <w:tc>
                <w:tcPr>
                  <w:tcW w:w="3112" w:type="dxa"/>
                  <w:tcBorders>
                    <w:top w:val="single" w:color="auto" w:sz="4" w:space="0"/>
                    <w:left w:val="single" w:color="auto" w:sz="4" w:space="0"/>
                    <w:bottom w:val="single" w:color="auto" w:sz="4" w:space="0"/>
                    <w:right w:val="single" w:color="auto" w:sz="4" w:space="0"/>
                  </w:tcBorders>
                  <w:vAlign w:val="center"/>
                </w:tcPr>
                <w:p w14:paraId="37629BA1">
                  <w:pPr>
                    <w:keepNext w:val="0"/>
                    <w:keepLines w:val="0"/>
                    <w:widowControl/>
                    <w:suppressLineNumbers w:val="0"/>
                    <w:jc w:val="left"/>
                    <w:textAlignment w:val="center"/>
                    <w:rPr>
                      <w:rFonts w:hint="eastAsia"/>
                      <w:lang w:val="en-US" w:eastAsia="zh-CN"/>
                    </w:rPr>
                  </w:pPr>
                  <w:r>
                    <w:rPr>
                      <w:rFonts w:hint="eastAsia"/>
                      <w:lang w:val="en-US" w:eastAsia="zh-CN"/>
                    </w:rPr>
                    <w:t>租赁和商务服务业</w:t>
                  </w:r>
                </w:p>
              </w:tc>
            </w:tr>
          </w:tbl>
          <w:p w14:paraId="62AD28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lang w:val="en-US" w:eastAsia="zh-CN"/>
              </w:rPr>
              <w:t>企业划分说明：</w:t>
            </w:r>
          </w:p>
          <w:p w14:paraId="5D393A44">
            <w:pPr>
              <w:pStyle w:val="17"/>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sz w:val="21"/>
                <w:szCs w:val="21"/>
                <w:lang w:val="en-US" w:eastAsia="zh-CN"/>
              </w:rPr>
            </w:pPr>
            <w:r>
              <w:rPr>
                <w:rFonts w:hint="eastAsia"/>
                <w:b/>
                <w:bCs/>
                <w:sz w:val="21"/>
                <w:szCs w:val="21"/>
                <w:lang w:val="en-US" w:eastAsia="zh-CN"/>
              </w:rPr>
              <w:t>工业</w:t>
            </w:r>
            <w:r>
              <w:rPr>
                <w:rFonts w:hint="eastAsia"/>
                <w:sz w:val="21"/>
                <w:szCs w:val="21"/>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BAC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b/>
                <w:bCs/>
                <w:sz w:val="21"/>
                <w:szCs w:val="21"/>
                <w:lang w:val="en-US" w:eastAsia="zh-CN"/>
              </w:rPr>
              <w:t>软件和信息技术服务业</w:t>
            </w:r>
            <w:r>
              <w:rPr>
                <w:rFonts w:hint="eastAsia"/>
                <w:sz w:val="21"/>
                <w:szCs w:val="21"/>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EB37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mallCaps/>
                <w:kern w:val="0"/>
                <w:sz w:val="21"/>
                <w:szCs w:val="21"/>
              </w:rPr>
            </w:pPr>
            <w:r>
              <w:rPr>
                <w:rFonts w:hint="eastAsia" w:ascii="宋体" w:hAnsi="宋体" w:eastAsia="宋体" w:cs="宋体"/>
                <w:b/>
                <w:bCs/>
                <w:smallCaps/>
                <w:kern w:val="0"/>
                <w:sz w:val="21"/>
                <w:szCs w:val="21"/>
              </w:rPr>
              <w:t>其他未列明行业。</w:t>
            </w:r>
            <w:r>
              <w:rPr>
                <w:rFonts w:hint="eastAsia" w:ascii="宋体" w:hAnsi="宋体" w:eastAsia="宋体" w:cs="宋体"/>
                <w:smallCaps/>
                <w:kern w:val="0"/>
                <w:sz w:val="21"/>
                <w:szCs w:val="21"/>
              </w:rPr>
              <w:t>从业人员300人以下的为中小微型企业。其中，从业人员100人及以上的为中型企业；从业人员10人及以上的为小型企业；从业人员10人以下的为微型企业。</w:t>
            </w:r>
          </w:p>
          <w:p w14:paraId="556D6A54">
            <w:pPr>
              <w:pStyle w:val="17"/>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rPr>
            </w:pPr>
            <w:r>
              <w:rPr>
                <w:rFonts w:hint="default" w:ascii="宋体" w:hAnsi="宋体" w:eastAsia="宋体" w:cs="Times New Roman"/>
                <w:b/>
                <w:bCs/>
                <w:sz w:val="21"/>
                <w:szCs w:val="21"/>
                <w:lang w:val="en-US" w:eastAsia="zh-CN"/>
              </w:rPr>
              <w:t>租赁和商务服务业。</w:t>
            </w:r>
            <w:r>
              <w:rPr>
                <w:rFonts w:hint="default" w:ascii="宋体" w:hAnsi="宋体" w:eastAsia="宋体" w:cs="Times New Roman"/>
                <w:sz w:val="21"/>
                <w:szCs w:val="21"/>
                <w:lang w:val="en-US"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6DE3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14:paraId="3463502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9.2</w:t>
            </w:r>
          </w:p>
        </w:tc>
        <w:tc>
          <w:tcPr>
            <w:tcW w:w="1701" w:type="dxa"/>
            <w:vAlign w:val="center"/>
          </w:tcPr>
          <w:p w14:paraId="6C6FDBDC">
            <w:pPr>
              <w:jc w:val="center"/>
              <w:rPr>
                <w:rFonts w:hint="eastAsia" w:ascii="宋体" w:hAnsi="宋体" w:eastAsia="宋体" w:cs="宋体"/>
                <w:sz w:val="24"/>
                <w:szCs w:val="24"/>
              </w:rPr>
            </w:pPr>
            <w:r>
              <w:rPr>
                <w:rFonts w:hint="eastAsia" w:ascii="宋体" w:hAnsi="宋体" w:eastAsia="宋体" w:cs="宋体"/>
                <w:sz w:val="24"/>
                <w:szCs w:val="24"/>
              </w:rPr>
              <w:t>报价</w:t>
            </w:r>
          </w:p>
        </w:tc>
        <w:tc>
          <w:tcPr>
            <w:tcW w:w="7253" w:type="dxa"/>
            <w:vAlign w:val="center"/>
          </w:tcPr>
          <w:p w14:paraId="3059D75F">
            <w:pPr>
              <w:jc w:val="left"/>
              <w:rPr>
                <w:rFonts w:hint="eastAsia" w:ascii="宋体" w:hAnsi="宋体" w:eastAsia="宋体" w:cs="宋体"/>
                <w:sz w:val="24"/>
                <w:szCs w:val="24"/>
              </w:rPr>
            </w:pPr>
            <w:r>
              <w:rPr>
                <w:rFonts w:hint="eastAsia" w:ascii="宋体" w:hAnsi="宋体" w:eastAsia="宋体" w:cs="宋体"/>
                <w:sz w:val="24"/>
                <w:szCs w:val="24"/>
              </w:rPr>
              <w:t>报价的特殊规定：</w:t>
            </w:r>
          </w:p>
          <w:p w14:paraId="37E07BC1">
            <w:pPr>
              <w:jc w:val="left"/>
              <w:rPr>
                <w:rFonts w:hint="eastAsia" w:ascii="宋体" w:hAnsi="宋体" w:eastAsia="宋体" w:cs="宋体"/>
                <w:sz w:val="24"/>
                <w:szCs w:val="24"/>
              </w:rPr>
            </w:pPr>
            <w:r>
              <w:rPr>
                <w:rFonts w:hint="eastAsia" w:ascii="宋体" w:hAnsi="宋体" w:eastAsia="宋体" w:cs="宋体"/>
                <w:sz w:val="24"/>
                <w:szCs w:val="24"/>
              </w:rPr>
              <w:t>■无</w:t>
            </w:r>
          </w:p>
          <w:p w14:paraId="4D54FFE5">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有，具体情形：__________。</w:t>
            </w:r>
          </w:p>
        </w:tc>
      </w:tr>
      <w:tr w14:paraId="7E7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D971A5">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10.1</w:t>
            </w:r>
          </w:p>
        </w:tc>
        <w:tc>
          <w:tcPr>
            <w:tcW w:w="1701" w:type="dxa"/>
            <w:vMerge w:val="restart"/>
            <w:vAlign w:val="center"/>
          </w:tcPr>
          <w:p w14:paraId="7BD51F58">
            <w:pPr>
              <w:jc w:val="center"/>
              <w:rPr>
                <w:rFonts w:hint="eastAsia" w:ascii="宋体" w:hAnsi="宋体" w:eastAsia="宋体" w:cs="宋体"/>
                <w:sz w:val="24"/>
                <w:szCs w:val="24"/>
              </w:rPr>
            </w:pPr>
            <w:r>
              <w:rPr>
                <w:rFonts w:hint="eastAsia" w:ascii="宋体" w:hAnsi="宋体" w:eastAsia="宋体" w:cs="宋体"/>
                <w:sz w:val="24"/>
                <w:szCs w:val="24"/>
              </w:rPr>
              <w:t>保证金</w:t>
            </w:r>
          </w:p>
        </w:tc>
        <w:tc>
          <w:tcPr>
            <w:tcW w:w="7253" w:type="dxa"/>
            <w:vAlign w:val="center"/>
          </w:tcPr>
          <w:p w14:paraId="01EE052A">
            <w:pPr>
              <w:pStyle w:val="23"/>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保证金金额：</w:t>
            </w:r>
            <w:r>
              <w:rPr>
                <w:rFonts w:hint="eastAsia" w:hAnsi="宋体" w:cs="宋体"/>
                <w:sz w:val="24"/>
                <w:szCs w:val="24"/>
                <w:highlight w:val="none"/>
                <w:lang w:val="en-US" w:eastAsia="zh-CN"/>
              </w:rPr>
              <w:t>无</w:t>
            </w:r>
            <w:r>
              <w:rPr>
                <w:rFonts w:hint="eastAsia" w:ascii="宋体" w:hAnsi="宋体" w:eastAsia="宋体" w:cs="宋体"/>
                <w:sz w:val="24"/>
                <w:szCs w:val="24"/>
                <w:highlight w:val="none"/>
              </w:rPr>
              <w:t>。</w:t>
            </w:r>
          </w:p>
          <w:p w14:paraId="6D87D4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保证金收受人信息：</w:t>
            </w:r>
            <w:r>
              <w:rPr>
                <w:rFonts w:hint="eastAsia" w:ascii="宋体" w:hAnsi="宋体" w:eastAsia="宋体" w:cs="宋体"/>
                <w:sz w:val="24"/>
                <w:szCs w:val="24"/>
                <w:highlight w:val="none"/>
                <w:u w:val="single"/>
              </w:rPr>
              <w:t>投标保证金可采用下列形式之一：</w:t>
            </w:r>
          </w:p>
          <w:p w14:paraId="6B3A87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（1）支票（支票抬头：中归咨询管理（北京）有限公司）；</w:t>
            </w:r>
          </w:p>
          <w:p w14:paraId="2B643F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（2）汇款（1.凡以汇款形式提交投标保证金的，</w:t>
            </w:r>
            <w:r>
              <w:rPr>
                <w:rFonts w:hint="eastAsia" w:ascii="宋体" w:hAnsi="宋体" w:eastAsia="宋体" w:cs="宋体"/>
                <w:b/>
                <w:bCs/>
                <w:sz w:val="24"/>
                <w:szCs w:val="24"/>
                <w:u w:val="none"/>
                <w:lang w:val="en-US" w:eastAsia="zh-CN"/>
              </w:rPr>
              <w:t>供应商</w:t>
            </w:r>
            <w:r>
              <w:rPr>
                <w:rFonts w:hint="eastAsia" w:ascii="宋体" w:hAnsi="宋体" w:eastAsia="宋体" w:cs="宋体"/>
                <w:b/>
                <w:bCs/>
                <w:sz w:val="24"/>
                <w:szCs w:val="24"/>
                <w:u w:val="none"/>
              </w:rPr>
              <w:t>务必登录该网站链接（https://s8giz9twlp.jiandaoyun.com/f/6866a233c47e3c423e2b11be）</w:t>
            </w:r>
            <w:r>
              <w:rPr>
                <w:rFonts w:hint="eastAsia" w:ascii="宋体" w:hAnsi="宋体" w:eastAsia="宋体" w:cs="宋体"/>
                <w:sz w:val="24"/>
                <w:szCs w:val="24"/>
              </w:rPr>
              <w:t>获取投标保证金缴款信息，并按照要求填写信息及上传缴纳凭证。）</w:t>
            </w:r>
          </w:p>
          <w:p w14:paraId="7550FF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（3）投标担保函原件。投标保证金有效期同投标有效期。</w:t>
            </w:r>
          </w:p>
          <w:p w14:paraId="552A4E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投标保证金退还：以转账形式退还。未</w:t>
            </w:r>
            <w:r>
              <w:rPr>
                <w:rFonts w:hint="eastAsia" w:ascii="宋体" w:hAnsi="宋体" w:eastAsia="宋体" w:cs="宋体"/>
                <w:sz w:val="24"/>
                <w:szCs w:val="24"/>
                <w:lang w:eastAsia="zh-CN"/>
              </w:rPr>
              <w:t>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的投标保证金，将于</w:t>
            </w:r>
            <w:r>
              <w:rPr>
                <w:rFonts w:hint="eastAsia" w:ascii="宋体" w:hAnsi="宋体" w:eastAsia="宋体" w:cs="宋体"/>
                <w:sz w:val="24"/>
                <w:szCs w:val="24"/>
                <w:lang w:eastAsia="zh-CN"/>
              </w:rPr>
              <w:t>成交</w:t>
            </w:r>
            <w:r>
              <w:rPr>
                <w:rFonts w:hint="eastAsia" w:ascii="宋体" w:hAnsi="宋体" w:eastAsia="宋体" w:cs="宋体"/>
                <w:sz w:val="24"/>
                <w:szCs w:val="24"/>
              </w:rPr>
              <w:t>通知书发出后五日内退还</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成交</w:t>
            </w:r>
            <w:r>
              <w:rPr>
                <w:rFonts w:hint="eastAsia" w:ascii="宋体" w:hAnsi="宋体" w:eastAsia="宋体" w:cs="宋体"/>
                <w:sz w:val="24"/>
                <w:szCs w:val="24"/>
              </w:rPr>
              <w:t>单位的投标保证金在</w:t>
            </w:r>
            <w:r>
              <w:rPr>
                <w:rFonts w:hint="eastAsia" w:ascii="宋体" w:hAnsi="宋体" w:eastAsia="宋体" w:cs="宋体"/>
                <w:sz w:val="24"/>
                <w:szCs w:val="24"/>
                <w:lang w:eastAsia="zh-CN"/>
              </w:rPr>
              <w:t>成交</w:t>
            </w:r>
            <w:r>
              <w:rPr>
                <w:rFonts w:hint="eastAsia" w:ascii="宋体" w:hAnsi="宋体" w:eastAsia="宋体" w:cs="宋体"/>
                <w:sz w:val="24"/>
                <w:szCs w:val="24"/>
              </w:rPr>
              <w:t>单位签订合同后五日内退还</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p>
          <w:p w14:paraId="31D87F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本票。</w:t>
            </w:r>
          </w:p>
        </w:tc>
      </w:tr>
      <w:tr w14:paraId="6FCB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B0F565">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10.8.5</w:t>
            </w:r>
          </w:p>
        </w:tc>
        <w:tc>
          <w:tcPr>
            <w:tcW w:w="1701" w:type="dxa"/>
            <w:vMerge w:val="continue"/>
            <w:vAlign w:val="center"/>
          </w:tcPr>
          <w:p w14:paraId="489C9EDE">
            <w:pPr>
              <w:jc w:val="center"/>
              <w:rPr>
                <w:rFonts w:hint="eastAsia" w:ascii="宋体" w:hAnsi="宋体" w:eastAsia="宋体" w:cs="宋体"/>
                <w:sz w:val="24"/>
                <w:szCs w:val="24"/>
              </w:rPr>
            </w:pPr>
          </w:p>
        </w:tc>
        <w:tc>
          <w:tcPr>
            <w:tcW w:w="7253" w:type="dxa"/>
            <w:vAlign w:val="center"/>
          </w:tcPr>
          <w:p w14:paraId="5E56E3C6">
            <w:pPr>
              <w:jc w:val="left"/>
              <w:rPr>
                <w:rFonts w:hint="eastAsia" w:ascii="宋体" w:hAnsi="宋体" w:eastAsia="宋体" w:cs="宋体"/>
                <w:sz w:val="24"/>
                <w:szCs w:val="24"/>
              </w:rPr>
            </w:pPr>
            <w:r>
              <w:rPr>
                <w:rFonts w:hint="eastAsia" w:ascii="宋体" w:hAnsi="宋体" w:eastAsia="宋体" w:cs="宋体"/>
                <w:sz w:val="24"/>
                <w:szCs w:val="24"/>
              </w:rPr>
              <w:t>保证金不予退还的其他情形：</w:t>
            </w:r>
          </w:p>
          <w:p w14:paraId="7BF03EBC">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无</w:t>
            </w:r>
          </w:p>
          <w:p w14:paraId="78DD592D">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■有，具体情形：</w:t>
            </w:r>
          </w:p>
          <w:p w14:paraId="64C27F75">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（1）投标截止后撤回</w:t>
            </w:r>
            <w:r>
              <w:rPr>
                <w:rFonts w:hint="eastAsia" w:hAnsi="宋体" w:cs="宋体"/>
                <w:sz w:val="24"/>
                <w:szCs w:val="24"/>
                <w:lang w:val="en-US" w:eastAsia="zh-CN"/>
              </w:rPr>
              <w:t>响应</w:t>
            </w:r>
            <w:r>
              <w:rPr>
                <w:rFonts w:hint="eastAsia" w:ascii="宋体" w:hAnsi="宋体" w:eastAsia="宋体" w:cs="宋体"/>
                <w:sz w:val="24"/>
                <w:szCs w:val="24"/>
              </w:rPr>
              <w:t>文件；</w:t>
            </w:r>
          </w:p>
          <w:p w14:paraId="6E3F0BA4">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（2）在</w:t>
            </w:r>
            <w:r>
              <w:rPr>
                <w:rFonts w:hint="eastAsia" w:hAnsi="宋体" w:cs="宋体"/>
                <w:sz w:val="24"/>
                <w:szCs w:val="24"/>
                <w:lang w:val="en-US" w:eastAsia="zh-CN"/>
              </w:rPr>
              <w:t>响应</w:t>
            </w:r>
            <w:r>
              <w:rPr>
                <w:rFonts w:hint="eastAsia" w:ascii="宋体" w:hAnsi="宋体" w:eastAsia="宋体" w:cs="宋体"/>
                <w:sz w:val="24"/>
                <w:szCs w:val="24"/>
              </w:rPr>
              <w:t>文件中提供虚假材料；</w:t>
            </w:r>
          </w:p>
          <w:p w14:paraId="59130CC8">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（3）</w:t>
            </w:r>
            <w:r>
              <w:rPr>
                <w:rFonts w:hint="eastAsia" w:hAnsi="宋体" w:cs="宋体"/>
                <w:sz w:val="24"/>
                <w:szCs w:val="24"/>
                <w:lang w:val="en-US" w:eastAsia="zh-CN"/>
              </w:rPr>
              <w:t>成交</w:t>
            </w:r>
            <w:r>
              <w:rPr>
                <w:rFonts w:hint="eastAsia" w:ascii="宋体" w:hAnsi="宋体" w:eastAsia="宋体" w:cs="宋体"/>
                <w:sz w:val="24"/>
                <w:szCs w:val="24"/>
              </w:rPr>
              <w:t>后无正当理由不与采购人签订合同；</w:t>
            </w:r>
          </w:p>
          <w:p w14:paraId="6E7E236A">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（4）与采购人、其他供应商或代理机构恶意串通；</w:t>
            </w:r>
          </w:p>
          <w:p w14:paraId="25753BB3">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（5）将</w:t>
            </w:r>
            <w:r>
              <w:rPr>
                <w:rFonts w:hint="eastAsia" w:hAnsi="宋体" w:cs="宋体"/>
                <w:sz w:val="24"/>
                <w:szCs w:val="24"/>
                <w:lang w:val="en-US" w:eastAsia="zh-CN"/>
              </w:rPr>
              <w:t>成交</w:t>
            </w:r>
            <w:r>
              <w:rPr>
                <w:rFonts w:hint="eastAsia" w:ascii="宋体" w:hAnsi="宋体" w:eastAsia="宋体" w:cs="宋体"/>
                <w:sz w:val="24"/>
                <w:szCs w:val="24"/>
              </w:rPr>
              <w:t>项目转让给他人；</w:t>
            </w:r>
          </w:p>
          <w:p w14:paraId="2FE7A7BA">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（6）拒绝履行合同义务。</w:t>
            </w:r>
          </w:p>
        </w:tc>
      </w:tr>
      <w:tr w14:paraId="1F9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3B677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Align w:val="center"/>
          </w:tcPr>
          <w:p w14:paraId="25008DA4">
            <w:pPr>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253" w:type="dxa"/>
            <w:vAlign w:val="center"/>
          </w:tcPr>
          <w:p w14:paraId="42413A75">
            <w:pPr>
              <w:jc w:val="left"/>
              <w:rPr>
                <w:rFonts w:hint="eastAsia" w:ascii="宋体" w:hAnsi="宋体" w:eastAsia="宋体" w:cs="宋体"/>
                <w:sz w:val="24"/>
                <w:szCs w:val="24"/>
              </w:rPr>
            </w:pPr>
            <w:r>
              <w:rPr>
                <w:rFonts w:hint="eastAsia" w:ascii="宋体" w:hAnsi="宋体" w:eastAsia="宋体" w:cs="宋体"/>
                <w:sz w:val="24"/>
                <w:szCs w:val="24"/>
              </w:rPr>
              <w:t>自响应文件提交截止之日起算</w:t>
            </w:r>
            <w:r>
              <w:rPr>
                <w:rFonts w:hint="eastAsia" w:ascii="宋体" w:hAnsi="宋体" w:eastAsia="宋体" w:cs="宋体"/>
                <w:sz w:val="24"/>
                <w:szCs w:val="24"/>
                <w:u w:val="single"/>
                <w:lang w:val="en-US" w:eastAsia="zh-CN"/>
              </w:rPr>
              <w:t>90</w:t>
            </w:r>
            <w:r>
              <w:rPr>
                <w:rFonts w:hint="eastAsia" w:ascii="宋体" w:hAnsi="宋体" w:eastAsia="宋体" w:cs="宋体"/>
                <w:sz w:val="24"/>
                <w:szCs w:val="24"/>
              </w:rPr>
              <w:t>日历天。</w:t>
            </w:r>
          </w:p>
        </w:tc>
      </w:tr>
      <w:tr w14:paraId="5D1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88" w:type="dxa"/>
            <w:vAlign w:val="center"/>
          </w:tcPr>
          <w:p w14:paraId="49174B7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16.1</w:t>
            </w:r>
          </w:p>
        </w:tc>
        <w:tc>
          <w:tcPr>
            <w:tcW w:w="1701" w:type="dxa"/>
            <w:vAlign w:val="center"/>
          </w:tcPr>
          <w:p w14:paraId="639075F5">
            <w:pPr>
              <w:jc w:val="center"/>
              <w:rPr>
                <w:rFonts w:hint="eastAsia" w:ascii="宋体" w:hAnsi="宋体" w:eastAsia="宋体" w:cs="宋体"/>
                <w:sz w:val="24"/>
                <w:szCs w:val="24"/>
              </w:rPr>
            </w:pPr>
            <w:r>
              <w:rPr>
                <w:rFonts w:hint="eastAsia" w:ascii="宋体" w:hAnsi="宋体" w:eastAsia="宋体" w:cs="宋体"/>
                <w:sz w:val="24"/>
                <w:szCs w:val="24"/>
              </w:rPr>
              <w:t>解密地点</w:t>
            </w:r>
          </w:p>
        </w:tc>
        <w:tc>
          <w:tcPr>
            <w:tcW w:w="7253" w:type="dxa"/>
            <w:vAlign w:val="center"/>
          </w:tcPr>
          <w:p w14:paraId="5D27800D">
            <w:pPr>
              <w:jc w:val="left"/>
              <w:rPr>
                <w:rFonts w:hint="eastAsia" w:ascii="宋体" w:hAnsi="宋体" w:eastAsia="宋体" w:cs="宋体"/>
                <w:sz w:val="24"/>
                <w:szCs w:val="24"/>
              </w:rPr>
            </w:pPr>
            <w:r>
              <w:rPr>
                <w:rFonts w:hint="eastAsia" w:ascii="宋体" w:hAnsi="宋体" w:eastAsia="宋体" w:cs="宋体"/>
                <w:sz w:val="24"/>
                <w:szCs w:val="24"/>
              </w:rPr>
              <w:t>解密地点：</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w:t>
            </w:r>
          </w:p>
        </w:tc>
      </w:tr>
      <w:tr w14:paraId="4CB9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741D0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16.2</w:t>
            </w:r>
          </w:p>
        </w:tc>
        <w:tc>
          <w:tcPr>
            <w:tcW w:w="1701" w:type="dxa"/>
            <w:vAlign w:val="center"/>
          </w:tcPr>
          <w:p w14:paraId="453841ED">
            <w:pPr>
              <w:jc w:val="center"/>
              <w:rPr>
                <w:rFonts w:hint="eastAsia" w:ascii="宋体" w:hAnsi="宋体" w:eastAsia="宋体" w:cs="宋体"/>
                <w:sz w:val="24"/>
                <w:szCs w:val="24"/>
              </w:rPr>
            </w:pPr>
            <w:r>
              <w:rPr>
                <w:rFonts w:hint="eastAsia" w:ascii="宋体" w:hAnsi="宋体" w:eastAsia="宋体" w:cs="宋体"/>
                <w:sz w:val="24"/>
                <w:szCs w:val="24"/>
              </w:rPr>
              <w:t>解密时间</w:t>
            </w:r>
          </w:p>
        </w:tc>
        <w:tc>
          <w:tcPr>
            <w:tcW w:w="7253" w:type="dxa"/>
            <w:vAlign w:val="center"/>
          </w:tcPr>
          <w:p w14:paraId="09D568B5">
            <w:pPr>
              <w:jc w:val="left"/>
              <w:rPr>
                <w:rFonts w:hint="eastAsia" w:ascii="宋体" w:hAnsi="宋体" w:eastAsia="宋体" w:cs="宋体"/>
                <w:sz w:val="24"/>
                <w:szCs w:val="24"/>
              </w:rPr>
            </w:pPr>
            <w:r>
              <w:rPr>
                <w:rFonts w:hint="eastAsia" w:ascii="宋体" w:hAnsi="宋体" w:eastAsia="宋体" w:cs="宋体"/>
                <w:sz w:val="24"/>
                <w:szCs w:val="24"/>
              </w:rPr>
              <w:t>解密时间：</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分钟</w:t>
            </w:r>
          </w:p>
        </w:tc>
      </w:tr>
      <w:tr w14:paraId="532F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FB2F6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19.1</w:t>
            </w:r>
          </w:p>
        </w:tc>
        <w:tc>
          <w:tcPr>
            <w:tcW w:w="1701" w:type="dxa"/>
            <w:vAlign w:val="center"/>
          </w:tcPr>
          <w:p w14:paraId="03B72F96">
            <w:pPr>
              <w:jc w:val="center"/>
              <w:rPr>
                <w:rFonts w:hint="eastAsia" w:ascii="宋体" w:hAnsi="宋体" w:eastAsia="宋体" w:cs="宋体"/>
                <w:sz w:val="24"/>
                <w:szCs w:val="24"/>
              </w:rPr>
            </w:pPr>
            <w:r>
              <w:rPr>
                <w:rFonts w:hint="eastAsia" w:ascii="宋体" w:hAnsi="宋体" w:eastAsia="宋体" w:cs="宋体"/>
                <w:color w:val="000000"/>
                <w:sz w:val="24"/>
                <w:szCs w:val="24"/>
              </w:rPr>
              <w:t>确定成交供应商</w:t>
            </w:r>
          </w:p>
        </w:tc>
        <w:tc>
          <w:tcPr>
            <w:tcW w:w="7253" w:type="dxa"/>
            <w:vAlign w:val="center"/>
          </w:tcPr>
          <w:p w14:paraId="1C53D0E5">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采购人是否</w:t>
            </w:r>
            <w:r>
              <w:rPr>
                <w:rFonts w:hint="eastAsia" w:ascii="宋体" w:hAnsi="宋体" w:eastAsia="宋体" w:cs="宋体"/>
                <w:color w:val="000000"/>
                <w:sz w:val="24"/>
                <w:szCs w:val="24"/>
              </w:rPr>
              <w:t>授权谈判小组直接确定成交供应商</w:t>
            </w:r>
            <w:r>
              <w:rPr>
                <w:rFonts w:hint="eastAsia" w:ascii="宋体" w:hAnsi="宋体" w:eastAsia="宋体" w:cs="宋体"/>
                <w:sz w:val="24"/>
                <w:szCs w:val="24"/>
              </w:rPr>
              <w:t>：</w:t>
            </w:r>
          </w:p>
          <w:p w14:paraId="0A183281">
            <w:pPr>
              <w:pStyle w:val="23"/>
              <w:adjustRightInd w:val="0"/>
              <w:snapToGrid w:val="0"/>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sz w:val="24"/>
                <w:szCs w:val="24"/>
              </w:rPr>
              <w:t>否</w:t>
            </w:r>
          </w:p>
          <w:p w14:paraId="09EB6F83">
            <w:pPr>
              <w:tabs>
                <w:tab w:val="left" w:pos="5005"/>
              </w:tabs>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是</w:t>
            </w:r>
          </w:p>
          <w:p w14:paraId="4CB85BA9">
            <w:pPr>
              <w:jc w:val="left"/>
              <w:rPr>
                <w:rFonts w:hint="eastAsia" w:ascii="宋体" w:hAnsi="宋体" w:eastAsia="宋体" w:cs="宋体"/>
                <w:sz w:val="24"/>
                <w:szCs w:val="24"/>
              </w:rPr>
            </w:pPr>
            <w:r>
              <w:rPr>
                <w:rFonts w:hint="eastAsia" w:ascii="宋体" w:hAnsi="宋体" w:eastAsia="宋体" w:cs="宋体"/>
                <w:sz w:val="24"/>
                <w:szCs w:val="24"/>
              </w:rPr>
              <w:t>成交候选人并列的，按照以下方式确定成交供应</w:t>
            </w:r>
            <w:r>
              <w:rPr>
                <w:rFonts w:hint="eastAsia" w:ascii="宋体" w:hAnsi="宋体" w:eastAsia="宋体" w:cs="宋体"/>
                <w:color w:val="000000" w:themeColor="text1"/>
                <w:sz w:val="24"/>
                <w:szCs w:val="24"/>
                <w14:textFill>
                  <w14:solidFill>
                    <w14:schemeClr w14:val="tx1"/>
                  </w14:solidFill>
                </w14:textFill>
              </w:rPr>
              <w:t>商：</w:t>
            </w:r>
            <w:r>
              <w:rPr>
                <w:rFonts w:hint="eastAsia" w:ascii="宋体" w:hAnsi="宋体" w:cs="宋体"/>
                <w:color w:val="000000" w:themeColor="text1"/>
                <w:sz w:val="24"/>
                <w:szCs w:val="24"/>
                <w:u w:val="single"/>
                <w:lang w:val="en-US" w:eastAsia="zh-CN"/>
                <w14:textFill>
                  <w14:solidFill>
                    <w14:schemeClr w14:val="tx1"/>
                  </w14:solidFill>
                </w14:textFill>
              </w:rPr>
              <w:t>随机抽取</w:t>
            </w:r>
            <w:r>
              <w:rPr>
                <w:rFonts w:hint="eastAsia" w:ascii="宋体" w:hAnsi="宋体" w:eastAsia="宋体" w:cs="宋体"/>
                <w:color w:val="000000" w:themeColor="text1"/>
                <w:sz w:val="24"/>
                <w:szCs w:val="24"/>
                <w14:textFill>
                  <w14:solidFill>
                    <w14:schemeClr w14:val="tx1"/>
                  </w14:solidFill>
                </w14:textFill>
              </w:rPr>
              <w:t>。</w:t>
            </w:r>
          </w:p>
        </w:tc>
      </w:tr>
      <w:tr w14:paraId="1CA3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CE8B07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22.5</w:t>
            </w:r>
          </w:p>
        </w:tc>
        <w:tc>
          <w:tcPr>
            <w:tcW w:w="1701" w:type="dxa"/>
            <w:vAlign w:val="center"/>
          </w:tcPr>
          <w:p w14:paraId="5351B7CA">
            <w:pPr>
              <w:jc w:val="center"/>
              <w:rPr>
                <w:rFonts w:hint="eastAsia" w:ascii="宋体" w:hAnsi="宋体" w:eastAsia="宋体" w:cs="宋体"/>
                <w:sz w:val="24"/>
                <w:szCs w:val="24"/>
              </w:rPr>
            </w:pPr>
            <w:r>
              <w:rPr>
                <w:rFonts w:hint="eastAsia" w:ascii="宋体" w:hAnsi="宋体" w:eastAsia="宋体" w:cs="宋体"/>
                <w:sz w:val="24"/>
                <w:szCs w:val="24"/>
              </w:rPr>
              <w:t>分包</w:t>
            </w:r>
          </w:p>
        </w:tc>
        <w:tc>
          <w:tcPr>
            <w:tcW w:w="7253" w:type="dxa"/>
            <w:vAlign w:val="center"/>
          </w:tcPr>
          <w:p w14:paraId="1E36B52B">
            <w:pPr>
              <w:jc w:val="left"/>
              <w:rPr>
                <w:rFonts w:hint="eastAsia" w:ascii="宋体" w:hAnsi="宋体" w:eastAsia="宋体" w:cs="宋体"/>
                <w:sz w:val="24"/>
                <w:szCs w:val="24"/>
              </w:rPr>
            </w:pPr>
            <w:r>
              <w:rPr>
                <w:rFonts w:hint="eastAsia" w:ascii="宋体" w:hAnsi="宋体" w:eastAsia="宋体" w:cs="宋体"/>
                <w:sz w:val="24"/>
                <w:szCs w:val="24"/>
              </w:rPr>
              <w:t>本项目是否允许分包：</w:t>
            </w:r>
          </w:p>
          <w:p w14:paraId="1470A0A5">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p w14:paraId="3EAC1DD0">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允许，具体要求：</w:t>
            </w:r>
          </w:p>
          <w:p w14:paraId="18BD9655">
            <w:pPr>
              <w:jc w:val="left"/>
              <w:rPr>
                <w:rFonts w:hint="eastAsia" w:ascii="宋体" w:hAnsi="宋体" w:eastAsia="宋体" w:cs="宋体"/>
                <w:sz w:val="24"/>
                <w:szCs w:val="24"/>
              </w:rPr>
            </w:pPr>
            <w:r>
              <w:rPr>
                <w:rFonts w:hint="eastAsia" w:ascii="宋体" w:hAnsi="宋体" w:eastAsia="宋体" w:cs="宋体"/>
                <w:sz w:val="24"/>
                <w:szCs w:val="24"/>
              </w:rPr>
              <w:t>（1）可以分包履行的具体内容：__________；</w:t>
            </w:r>
          </w:p>
          <w:p w14:paraId="40B6C5B0">
            <w:pPr>
              <w:jc w:val="left"/>
              <w:rPr>
                <w:rFonts w:hint="eastAsia" w:ascii="宋体" w:hAnsi="宋体" w:eastAsia="宋体" w:cs="宋体"/>
                <w:sz w:val="24"/>
                <w:szCs w:val="24"/>
              </w:rPr>
            </w:pPr>
            <w:r>
              <w:rPr>
                <w:rFonts w:hint="eastAsia" w:ascii="宋体" w:hAnsi="宋体" w:eastAsia="宋体" w:cs="宋体"/>
                <w:sz w:val="24"/>
                <w:szCs w:val="24"/>
              </w:rPr>
              <w:t>（2）允许分包的金额或者比例：__________；</w:t>
            </w:r>
          </w:p>
          <w:p w14:paraId="77F96297">
            <w:pPr>
              <w:jc w:val="left"/>
              <w:rPr>
                <w:rFonts w:hint="eastAsia" w:ascii="宋体" w:hAnsi="宋体" w:eastAsia="宋体" w:cs="宋体"/>
                <w:sz w:val="24"/>
                <w:szCs w:val="24"/>
              </w:rPr>
            </w:pPr>
            <w:r>
              <w:rPr>
                <w:rFonts w:hint="eastAsia" w:ascii="宋体" w:hAnsi="宋体" w:eastAsia="宋体" w:cs="宋体"/>
                <w:sz w:val="24"/>
                <w:szCs w:val="24"/>
              </w:rPr>
              <w:t>（3）其他要求：__________。</w:t>
            </w:r>
          </w:p>
        </w:tc>
      </w:tr>
      <w:tr w14:paraId="610D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6BE1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22.6</w:t>
            </w:r>
          </w:p>
        </w:tc>
        <w:tc>
          <w:tcPr>
            <w:tcW w:w="1701" w:type="dxa"/>
            <w:vAlign w:val="center"/>
          </w:tcPr>
          <w:p w14:paraId="26A4D309">
            <w:pPr>
              <w:jc w:val="center"/>
              <w:rPr>
                <w:rFonts w:hint="eastAsia" w:ascii="宋体" w:hAnsi="宋体" w:eastAsia="宋体" w:cs="宋体"/>
                <w:sz w:val="24"/>
                <w:szCs w:val="24"/>
              </w:rPr>
            </w:pPr>
            <w:r>
              <w:rPr>
                <w:rFonts w:hint="eastAsia" w:ascii="宋体" w:hAnsi="宋体" w:eastAsia="宋体" w:cs="宋体"/>
                <w:sz w:val="24"/>
                <w:szCs w:val="24"/>
              </w:rPr>
              <w:t>政采贷</w:t>
            </w:r>
          </w:p>
        </w:tc>
        <w:tc>
          <w:tcPr>
            <w:tcW w:w="7253" w:type="dxa"/>
            <w:vAlign w:val="center"/>
          </w:tcPr>
          <w:p w14:paraId="7E9BE096">
            <w:pPr>
              <w:jc w:val="left"/>
              <w:rPr>
                <w:rFonts w:hint="eastAsia" w:ascii="宋体" w:hAnsi="宋体" w:eastAsia="宋体" w:cs="宋体"/>
                <w:sz w:val="24"/>
                <w:szCs w:val="24"/>
              </w:rPr>
            </w:pPr>
            <w:r>
              <w:rPr>
                <w:rFonts w:hint="eastAsia" w:ascii="宋体" w:hAnsi="宋体" w:eastAsia="宋体" w:cs="宋体"/>
                <w:kern w:val="0"/>
                <w:sz w:val="24"/>
                <w:szCs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67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08716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23.1.1</w:t>
            </w:r>
          </w:p>
        </w:tc>
        <w:tc>
          <w:tcPr>
            <w:tcW w:w="1701" w:type="dxa"/>
            <w:vAlign w:val="center"/>
          </w:tcPr>
          <w:p w14:paraId="3FC2F898">
            <w:pPr>
              <w:jc w:val="center"/>
              <w:rPr>
                <w:rFonts w:hint="eastAsia" w:ascii="宋体" w:hAnsi="宋体" w:eastAsia="宋体" w:cs="宋体"/>
                <w:sz w:val="24"/>
                <w:szCs w:val="24"/>
              </w:rPr>
            </w:pPr>
            <w:r>
              <w:rPr>
                <w:rFonts w:hint="eastAsia" w:ascii="宋体" w:hAnsi="宋体" w:eastAsia="宋体" w:cs="宋体"/>
                <w:sz w:val="24"/>
                <w:szCs w:val="24"/>
              </w:rPr>
              <w:t>询问</w:t>
            </w:r>
          </w:p>
        </w:tc>
        <w:tc>
          <w:tcPr>
            <w:tcW w:w="7253" w:type="dxa"/>
            <w:vAlign w:val="center"/>
          </w:tcPr>
          <w:p w14:paraId="75989876">
            <w:pPr>
              <w:pStyle w:val="23"/>
              <w:adjustRightInd w:val="0"/>
              <w:snapToGrid w:val="0"/>
              <w:jc w:val="left"/>
              <w:rPr>
                <w:rFonts w:hint="eastAsia" w:ascii="宋体" w:hAnsi="宋体" w:eastAsia="宋体" w:cs="宋体"/>
                <w:sz w:val="24"/>
                <w:szCs w:val="24"/>
                <w:u w:val="single"/>
              </w:rPr>
            </w:pPr>
            <w:r>
              <w:rPr>
                <w:rFonts w:hint="eastAsia" w:ascii="宋体" w:hAnsi="宋体" w:eastAsia="宋体" w:cs="宋体"/>
                <w:sz w:val="24"/>
                <w:szCs w:val="24"/>
              </w:rPr>
              <w:t>询问提出形式：</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u w:val="single"/>
              </w:rPr>
              <w:t>如果对</w:t>
            </w:r>
            <w:r>
              <w:rPr>
                <w:rFonts w:hint="eastAsia" w:ascii="宋体" w:hAnsi="宋体" w:eastAsia="宋体" w:cs="宋体"/>
                <w:sz w:val="24"/>
                <w:szCs w:val="24"/>
                <w:u w:val="single"/>
                <w:lang w:val="en-US" w:eastAsia="zh-CN"/>
              </w:rPr>
              <w:t>谈判</w:t>
            </w:r>
            <w:r>
              <w:rPr>
                <w:rFonts w:hint="eastAsia" w:ascii="宋体" w:hAnsi="宋体" w:eastAsia="宋体" w:cs="宋体"/>
                <w:sz w:val="24"/>
                <w:szCs w:val="24"/>
                <w:u w:val="single"/>
              </w:rPr>
              <w:t>文件的任何部分有疑问，应以书面的形式提出，并加盖</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u w:val="single"/>
              </w:rPr>
              <w:t>单位公章后送达招标代理机构。招标人将以书面的形式酌情予以澄清（包括对询问的解释，但不说明询问的来源），并发给所有获得</w:t>
            </w:r>
            <w:r>
              <w:rPr>
                <w:rFonts w:hint="eastAsia" w:ascii="宋体" w:hAnsi="宋体" w:eastAsia="宋体" w:cs="宋体"/>
                <w:sz w:val="24"/>
                <w:szCs w:val="24"/>
                <w:u w:val="single"/>
                <w:lang w:val="en-US" w:eastAsia="zh-CN"/>
              </w:rPr>
              <w:t>谈判</w:t>
            </w:r>
            <w:r>
              <w:rPr>
                <w:rFonts w:hint="eastAsia" w:ascii="宋体" w:hAnsi="宋体" w:eastAsia="宋体" w:cs="宋体"/>
                <w:sz w:val="24"/>
                <w:szCs w:val="24"/>
                <w:u w:val="single"/>
              </w:rPr>
              <w:t>文件的</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rPr>
              <w:t>。</w:t>
            </w:r>
          </w:p>
        </w:tc>
      </w:tr>
      <w:tr w14:paraId="1032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F36CC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23.3</w:t>
            </w:r>
          </w:p>
        </w:tc>
        <w:tc>
          <w:tcPr>
            <w:tcW w:w="1701" w:type="dxa"/>
            <w:vAlign w:val="center"/>
          </w:tcPr>
          <w:p w14:paraId="08A8C921">
            <w:pPr>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7253" w:type="dxa"/>
            <w:vAlign w:val="center"/>
          </w:tcPr>
          <w:p w14:paraId="3CFEA6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接收询问和质疑的联系方式：</w:t>
            </w:r>
          </w:p>
          <w:p w14:paraId="133EAC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u w:val="single"/>
              </w:rPr>
              <w:t>中归咨询管理（北京）有限公司招标部</w:t>
            </w:r>
            <w:r>
              <w:rPr>
                <w:rFonts w:hint="eastAsia" w:ascii="宋体" w:hAnsi="宋体" w:eastAsia="宋体" w:cs="宋体"/>
                <w:sz w:val="24"/>
                <w:szCs w:val="24"/>
                <w:highlight w:val="none"/>
              </w:rPr>
              <w:t>；</w:t>
            </w:r>
          </w:p>
          <w:p w14:paraId="06EE1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010-53606938、</w:t>
            </w:r>
            <w:r>
              <w:rPr>
                <w:rFonts w:hint="eastAsia" w:ascii="宋体" w:hAnsi="宋体" w:eastAsia="宋体" w:cs="宋体"/>
                <w:sz w:val="24"/>
                <w:szCs w:val="24"/>
                <w:highlight w:val="none"/>
                <w:u w:val="single"/>
              </w:rPr>
              <w:t>17310362080</w:t>
            </w:r>
            <w:r>
              <w:rPr>
                <w:rFonts w:hint="eastAsia" w:ascii="宋体" w:hAnsi="宋体" w:eastAsia="宋体" w:cs="宋体"/>
                <w:sz w:val="24"/>
                <w:szCs w:val="24"/>
                <w:highlight w:val="none"/>
              </w:rPr>
              <w:t>；</w:t>
            </w:r>
          </w:p>
          <w:p w14:paraId="60DB51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通讯地址：</w:t>
            </w:r>
            <w:r>
              <w:rPr>
                <w:rFonts w:hint="eastAsia" w:ascii="宋体" w:hAnsi="宋体" w:eastAsia="宋体" w:cs="宋体"/>
                <w:sz w:val="24"/>
                <w:szCs w:val="24"/>
                <w:highlight w:val="none"/>
                <w:u w:val="single"/>
              </w:rPr>
              <w:t>北京市通州区嘉创二路6号（北京智慧电竞赛事中心）10幢</w:t>
            </w:r>
            <w:r>
              <w:rPr>
                <w:rFonts w:hint="eastAsia" w:ascii="宋体" w:hAnsi="宋体" w:eastAsia="宋体" w:cs="宋体"/>
                <w:sz w:val="24"/>
                <w:szCs w:val="24"/>
                <w:highlight w:val="none"/>
                <w:u w:val="single"/>
                <w:lang w:val="en-US" w:eastAsia="zh-CN"/>
              </w:rPr>
              <w:t>1001</w:t>
            </w:r>
            <w:r>
              <w:rPr>
                <w:rFonts w:hint="eastAsia" w:ascii="宋体" w:hAnsi="宋体" w:eastAsia="宋体" w:cs="宋体"/>
                <w:sz w:val="24"/>
                <w:szCs w:val="24"/>
                <w:highlight w:val="none"/>
                <w:u w:val="single"/>
              </w:rPr>
              <w:t>室</w:t>
            </w:r>
            <w:r>
              <w:rPr>
                <w:rFonts w:hint="eastAsia" w:ascii="宋体" w:hAnsi="宋体" w:eastAsia="宋体" w:cs="宋体"/>
                <w:sz w:val="24"/>
                <w:szCs w:val="24"/>
                <w:highlight w:val="none"/>
                <w:u w:val="none"/>
                <w:lang w:eastAsia="zh-CN"/>
              </w:rPr>
              <w:t>；</w:t>
            </w:r>
          </w:p>
        </w:tc>
      </w:tr>
      <w:tr w14:paraId="7E2F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019E0E">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w:t>
            </w:r>
          </w:p>
        </w:tc>
        <w:tc>
          <w:tcPr>
            <w:tcW w:w="1701" w:type="dxa"/>
            <w:vAlign w:val="center"/>
          </w:tcPr>
          <w:p w14:paraId="6C505F87">
            <w:pPr>
              <w:jc w:val="center"/>
              <w:rPr>
                <w:rFonts w:hint="eastAsia" w:ascii="宋体" w:hAnsi="宋体" w:eastAsia="宋体" w:cs="宋体"/>
                <w:sz w:val="24"/>
                <w:szCs w:val="24"/>
              </w:rPr>
            </w:pPr>
            <w:r>
              <w:rPr>
                <w:rFonts w:hint="eastAsia" w:ascii="宋体" w:hAnsi="宋体" w:eastAsia="宋体" w:cs="宋体"/>
                <w:sz w:val="24"/>
                <w:szCs w:val="24"/>
              </w:rPr>
              <w:t>代理费</w:t>
            </w:r>
          </w:p>
        </w:tc>
        <w:tc>
          <w:tcPr>
            <w:tcW w:w="7253" w:type="dxa"/>
            <w:vAlign w:val="center"/>
          </w:tcPr>
          <w:p w14:paraId="3D92FEAE">
            <w:pPr>
              <w:jc w:val="left"/>
              <w:rPr>
                <w:rFonts w:hint="eastAsia" w:ascii="宋体" w:hAnsi="宋体" w:eastAsia="宋体" w:cs="宋体"/>
                <w:sz w:val="24"/>
                <w:szCs w:val="24"/>
              </w:rPr>
            </w:pPr>
            <w:r>
              <w:rPr>
                <w:rFonts w:hint="eastAsia" w:ascii="宋体" w:hAnsi="宋体" w:eastAsia="宋体" w:cs="宋体"/>
                <w:sz w:val="24"/>
                <w:szCs w:val="24"/>
              </w:rPr>
              <w:t>收费对象：</w:t>
            </w:r>
          </w:p>
          <w:p w14:paraId="1F63D66B">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采购人</w:t>
            </w:r>
          </w:p>
          <w:p w14:paraId="54EE4C94">
            <w:pPr>
              <w:jc w:val="left"/>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sz w:val="24"/>
                <w:szCs w:val="24"/>
              </w:rPr>
              <w:t>成交供应商</w:t>
            </w:r>
          </w:p>
          <w:p w14:paraId="4D0CB539">
            <w:pPr>
              <w:jc w:val="left"/>
              <w:rPr>
                <w:rFonts w:hint="eastAsia" w:ascii="宋体" w:hAnsi="宋体" w:eastAsia="宋体" w:cs="宋体"/>
                <w:sz w:val="24"/>
                <w:szCs w:val="24"/>
                <w:u w:val="single"/>
              </w:rPr>
            </w:pPr>
            <w:r>
              <w:rPr>
                <w:rFonts w:hint="eastAsia" w:ascii="宋体" w:hAnsi="宋体" w:eastAsia="宋体" w:cs="宋体"/>
                <w:sz w:val="24"/>
                <w:szCs w:val="24"/>
              </w:rPr>
              <w:t>收费标准：</w:t>
            </w:r>
            <w:r>
              <w:rPr>
                <w:rFonts w:hint="eastAsia" w:ascii="宋体" w:hAnsi="宋体" w:eastAsia="宋体" w:cs="宋体"/>
                <w:sz w:val="24"/>
                <w:szCs w:val="24"/>
                <w:u w:val="single"/>
              </w:rPr>
              <w:t>以</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金额为基数，</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人领取</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通知书时须向招标代理机构支付</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服务费。收费标准：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执行</w:t>
            </w:r>
            <w:r>
              <w:rPr>
                <w:rFonts w:hint="eastAsia" w:ascii="宋体" w:hAnsi="宋体" w:eastAsia="宋体" w:cs="宋体"/>
                <w:sz w:val="24"/>
                <w:szCs w:val="24"/>
              </w:rPr>
              <w:t>；</w:t>
            </w:r>
          </w:p>
          <w:p w14:paraId="472DD13A">
            <w:pPr>
              <w:jc w:val="left"/>
              <w:rPr>
                <w:rFonts w:hint="eastAsia" w:ascii="宋体" w:hAnsi="宋体" w:eastAsia="宋体" w:cs="宋体"/>
                <w:color w:val="auto"/>
                <w:sz w:val="24"/>
                <w:szCs w:val="24"/>
              </w:rPr>
            </w:pPr>
            <w:r>
              <w:rPr>
                <w:rFonts w:hint="eastAsia" w:ascii="宋体" w:hAnsi="宋体" w:eastAsia="宋体" w:cs="宋体"/>
                <w:sz w:val="24"/>
                <w:szCs w:val="24"/>
              </w:rPr>
              <w:t>缴纳时</w:t>
            </w:r>
            <w:r>
              <w:rPr>
                <w:rFonts w:hint="eastAsia" w:ascii="宋体" w:hAnsi="宋体" w:eastAsia="宋体" w:cs="宋体"/>
                <w:color w:val="auto"/>
                <w:sz w:val="24"/>
                <w:szCs w:val="24"/>
              </w:rPr>
              <w:t>间：</w:t>
            </w:r>
            <w:r>
              <w:rPr>
                <w:rFonts w:hint="eastAsia" w:ascii="宋体" w:hAnsi="宋体" w:eastAsia="宋体" w:cs="宋体"/>
                <w:color w:val="auto"/>
                <w:sz w:val="24"/>
                <w:szCs w:val="24"/>
                <w:u w:val="single"/>
              </w:rPr>
              <w:t>领取</w:t>
            </w:r>
            <w:r>
              <w:rPr>
                <w:rFonts w:hint="eastAsia" w:ascii="宋体" w:hAnsi="宋体" w:cs="宋体"/>
                <w:color w:val="auto"/>
                <w:sz w:val="24"/>
                <w:szCs w:val="24"/>
                <w:u w:val="single"/>
                <w:lang w:val="en-US" w:eastAsia="zh-CN"/>
              </w:rPr>
              <w:t>成交</w:t>
            </w:r>
            <w:r>
              <w:rPr>
                <w:rFonts w:hint="eastAsia" w:ascii="宋体" w:hAnsi="宋体" w:eastAsia="宋体" w:cs="宋体"/>
                <w:color w:val="auto"/>
                <w:sz w:val="24"/>
                <w:szCs w:val="24"/>
                <w:u w:val="single"/>
              </w:rPr>
              <w:t>通知书的同时</w:t>
            </w:r>
            <w:r>
              <w:rPr>
                <w:rFonts w:hint="eastAsia" w:ascii="宋体" w:hAnsi="宋体" w:eastAsia="宋体" w:cs="宋体"/>
                <w:color w:val="auto"/>
                <w:sz w:val="24"/>
                <w:szCs w:val="24"/>
              </w:rPr>
              <w:t>。</w:t>
            </w:r>
          </w:p>
          <w:p w14:paraId="4C39C5CF">
            <w:pPr>
              <w:jc w:val="left"/>
              <w:rPr>
                <w:rFonts w:hint="eastAsia" w:ascii="宋体" w:hAnsi="宋体" w:eastAsia="宋体" w:cs="宋体"/>
                <w:color w:val="auto"/>
                <w:sz w:val="24"/>
                <w:szCs w:val="24"/>
              </w:rPr>
            </w:pPr>
            <w:r>
              <w:rPr>
                <w:rFonts w:hint="eastAsia" w:ascii="宋体" w:hAnsi="宋体" w:eastAsia="宋体" w:cs="宋体"/>
                <w:color w:val="auto"/>
                <w:sz w:val="24"/>
                <w:szCs w:val="24"/>
              </w:rPr>
              <w:t>缴纳服务费帐户信息:</w:t>
            </w:r>
          </w:p>
          <w:p w14:paraId="00C1C9E2">
            <w:pPr>
              <w:jc w:val="left"/>
              <w:rPr>
                <w:rFonts w:hint="eastAsia" w:ascii="宋体" w:hAnsi="宋体" w:eastAsia="宋体" w:cs="宋体"/>
                <w:color w:val="auto"/>
                <w:sz w:val="24"/>
                <w:szCs w:val="24"/>
              </w:rPr>
            </w:pPr>
            <w:r>
              <w:rPr>
                <w:rFonts w:hint="eastAsia" w:ascii="宋体" w:hAnsi="宋体" w:eastAsia="宋体" w:cs="宋体"/>
                <w:color w:val="auto"/>
                <w:sz w:val="24"/>
                <w:szCs w:val="24"/>
              </w:rPr>
              <w:t>账户名称：</w:t>
            </w:r>
            <w:r>
              <w:rPr>
                <w:rFonts w:hint="eastAsia" w:ascii="宋体" w:hAnsi="宋体" w:eastAsia="宋体" w:cs="宋体"/>
                <w:color w:val="auto"/>
                <w:sz w:val="24"/>
                <w:szCs w:val="24"/>
                <w:u w:val="single"/>
              </w:rPr>
              <w:t>中归咨询管理（北京）有限公司</w:t>
            </w:r>
          </w:p>
          <w:p w14:paraId="506CDE16">
            <w:pPr>
              <w:jc w:val="left"/>
              <w:rPr>
                <w:rFonts w:hint="eastAsia" w:ascii="宋体" w:hAnsi="宋体" w:eastAsia="宋体" w:cs="宋体"/>
                <w:color w:val="auto"/>
                <w:sz w:val="24"/>
                <w:szCs w:val="24"/>
              </w:rPr>
            </w:pPr>
            <w:r>
              <w:rPr>
                <w:rFonts w:hint="eastAsia" w:ascii="宋体" w:hAnsi="宋体" w:eastAsia="宋体" w:cs="宋体"/>
                <w:color w:val="auto"/>
                <w:sz w:val="24"/>
                <w:szCs w:val="24"/>
              </w:rPr>
              <w:t>账户号码：</w:t>
            </w:r>
            <w:r>
              <w:rPr>
                <w:rFonts w:hint="eastAsia" w:ascii="宋体" w:hAnsi="宋体" w:eastAsia="宋体" w:cs="宋体"/>
                <w:color w:val="auto"/>
                <w:sz w:val="24"/>
                <w:szCs w:val="24"/>
                <w:u w:val="single"/>
              </w:rPr>
              <w:t>3562 0188 0000 1470 1</w:t>
            </w:r>
          </w:p>
          <w:p w14:paraId="6874EE5B">
            <w:pPr>
              <w:jc w:val="left"/>
              <w:rPr>
                <w:rFonts w:hint="eastAsia" w:ascii="宋体" w:hAnsi="宋体" w:eastAsia="宋体" w:cs="宋体"/>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中国光大银行股份有限公司北京怀柔支行</w:t>
            </w:r>
          </w:p>
        </w:tc>
      </w:tr>
    </w:tbl>
    <w:p w14:paraId="6F716031">
      <w:pPr>
        <w:tabs>
          <w:tab w:val="left" w:pos="5580"/>
        </w:tabs>
        <w:adjustRightInd w:val="0"/>
        <w:spacing w:line="360" w:lineRule="auto"/>
        <w:jc w:val="distribute"/>
        <w:rPr>
          <w:sz w:val="24"/>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2C543113">
      <w:pPr>
        <w:spacing w:before="240" w:beforeLines="100" w:after="240" w:afterLines="100"/>
        <w:jc w:val="center"/>
        <w:rPr>
          <w:b/>
          <w:sz w:val="28"/>
          <w:szCs w:val="28"/>
        </w:rPr>
      </w:pPr>
      <w:bookmarkStart w:id="74" w:name="_Toc305158785"/>
      <w:bookmarkStart w:id="75" w:name="_Toc127151517"/>
      <w:bookmarkStart w:id="76" w:name="_Toc142311019"/>
      <w:bookmarkStart w:id="77" w:name="_Toc150774722"/>
      <w:bookmarkStart w:id="78" w:name="_Toc353873662"/>
      <w:bookmarkStart w:id="79" w:name="_Toc353825542"/>
      <w:bookmarkStart w:id="80" w:name="_Toc353873932"/>
      <w:bookmarkStart w:id="81" w:name="_Toc265228355"/>
      <w:bookmarkStart w:id="82" w:name="_Toc226965790"/>
      <w:bookmarkStart w:id="83" w:name="_Toc226337213"/>
      <w:bookmarkStart w:id="84" w:name="_Toc264969207"/>
      <w:bookmarkStart w:id="85" w:name="_Toc150480755"/>
      <w:bookmarkStart w:id="86" w:name="_Toc305158859"/>
      <w:bookmarkStart w:id="87" w:name="_Toc195842882"/>
      <w:r>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592A60E">
      <w:pPr>
        <w:pStyle w:val="3"/>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305158786"/>
      <w:bookmarkStart w:id="91" w:name="_Toc226965791"/>
      <w:bookmarkStart w:id="92" w:name="_Toc150480756"/>
      <w:bookmarkStart w:id="93" w:name="_Toc305158860"/>
      <w:bookmarkStart w:id="94" w:name="_Toc265228356"/>
      <w:bookmarkStart w:id="95" w:name="_Toc150774618"/>
      <w:bookmarkStart w:id="96" w:name="_Toc151193616"/>
      <w:bookmarkStart w:id="97" w:name="_Toc195842883"/>
      <w:bookmarkStart w:id="98" w:name="_Toc150509269"/>
      <w:bookmarkStart w:id="99" w:name="_Toc151193688"/>
      <w:bookmarkStart w:id="100" w:name="_Toc226309762"/>
      <w:bookmarkStart w:id="101" w:name="_Toc151193832"/>
      <w:bookmarkStart w:id="102" w:name="_Toc226965708"/>
      <w:bookmarkStart w:id="103" w:name="_Toc142311020"/>
      <w:bookmarkStart w:id="104" w:name="_Toc151193760"/>
      <w:bookmarkStart w:id="105" w:name="_Toc151193906"/>
      <w:bookmarkStart w:id="106" w:name="_Toc150774723"/>
      <w:bookmarkStart w:id="107" w:name="_Toc151190145"/>
      <w:bookmarkStart w:id="108" w:name="_Toc226337214"/>
      <w:bookmarkStart w:id="109" w:name="_Toc264969208"/>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3084B283">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leftChars="0" w:firstLine="0"/>
        <w:textAlignment w:val="auto"/>
        <w:outlineLvl w:val="1"/>
        <w:rPr>
          <w:sz w:val="24"/>
        </w:rPr>
      </w:pPr>
      <w:bookmarkStart w:id="110" w:name="_Toc305158861"/>
      <w:bookmarkStart w:id="111" w:name="_Toc264969209"/>
      <w:bookmarkStart w:id="112" w:name="_Toc265228357"/>
      <w:bookmarkStart w:id="113" w:name="_Toc305158787"/>
      <w:r>
        <w:rPr>
          <w:sz w:val="24"/>
        </w:rPr>
        <w:t>采购人、采购代理机构、供应商</w:t>
      </w:r>
      <w:bookmarkEnd w:id="110"/>
      <w:bookmarkEnd w:id="111"/>
      <w:bookmarkEnd w:id="112"/>
      <w:bookmarkEnd w:id="113"/>
      <w:r>
        <w:rPr>
          <w:sz w:val="24"/>
        </w:rPr>
        <w:t>、联合体</w:t>
      </w:r>
    </w:p>
    <w:p w14:paraId="0CC8BA87">
      <w:pPr>
        <w:keepNext w:val="0"/>
        <w:keepLines w:val="0"/>
        <w:pageBreakBefore w:val="0"/>
        <w:widowControl w:val="0"/>
        <w:numPr>
          <w:ilvl w:val="1"/>
          <w:numId w:val="9"/>
        </w:numPr>
        <w:tabs>
          <w:tab w:val="left" w:pos="1080"/>
          <w:tab w:val="left" w:pos="2014"/>
          <w:tab w:val="left" w:pos="5521"/>
        </w:tabs>
        <w:kinsoku/>
        <w:wordWrap/>
        <w:overflowPunct/>
        <w:topLinePunct w:val="0"/>
        <w:autoSpaceDE/>
        <w:autoSpaceDN/>
        <w:bidi w:val="0"/>
        <w:adjustRightInd/>
        <w:snapToGrid w:val="0"/>
        <w:spacing w:line="360" w:lineRule="auto"/>
        <w:ind w:left="0" w:leftChars="0" w:firstLine="0"/>
        <w:textAlignment w:val="auto"/>
        <w:rPr>
          <w:sz w:val="24"/>
        </w:rPr>
      </w:pPr>
      <w:r>
        <w:rPr>
          <w:sz w:val="24"/>
        </w:rPr>
        <w:t>采购人、采购代理机构：指依法进行政府采购的国家机关、事业单位、团体组织，及其委托的采购代理机构。本项目采购人、采购代理机构见第一章《采购邀请》。</w:t>
      </w:r>
    </w:p>
    <w:p w14:paraId="11E35E3F">
      <w:pPr>
        <w:keepNext w:val="0"/>
        <w:keepLines w:val="0"/>
        <w:pageBreakBefore w:val="0"/>
        <w:widowControl w:val="0"/>
        <w:numPr>
          <w:ilvl w:val="1"/>
          <w:numId w:val="9"/>
        </w:numPr>
        <w:tabs>
          <w:tab w:val="left" w:pos="1080"/>
          <w:tab w:val="left" w:pos="2014"/>
          <w:tab w:val="left" w:pos="5521"/>
        </w:tabs>
        <w:kinsoku/>
        <w:wordWrap/>
        <w:overflowPunct/>
        <w:topLinePunct w:val="0"/>
        <w:autoSpaceDE/>
        <w:autoSpaceDN/>
        <w:bidi w:val="0"/>
        <w:adjustRightInd/>
        <w:snapToGrid w:val="0"/>
        <w:spacing w:line="360" w:lineRule="auto"/>
        <w:ind w:left="0" w:leftChars="0" w:firstLine="0"/>
        <w:textAlignment w:val="auto"/>
        <w:rPr>
          <w:sz w:val="24"/>
        </w:rPr>
      </w:pPr>
      <w:r>
        <w:rPr>
          <w:sz w:val="24"/>
        </w:rPr>
        <w:t>供应商（也称“申请人”）：指向采购人提供货物、工程或者服务的法人、其他组织或者自然人。</w:t>
      </w:r>
    </w:p>
    <w:p w14:paraId="7BE2840D">
      <w:pPr>
        <w:keepNext w:val="0"/>
        <w:keepLines w:val="0"/>
        <w:pageBreakBefore w:val="0"/>
        <w:widowControl w:val="0"/>
        <w:numPr>
          <w:ilvl w:val="1"/>
          <w:numId w:val="9"/>
        </w:numPr>
        <w:tabs>
          <w:tab w:val="left" w:pos="1080"/>
          <w:tab w:val="left" w:pos="2014"/>
          <w:tab w:val="left" w:pos="5521"/>
        </w:tabs>
        <w:kinsoku/>
        <w:wordWrap/>
        <w:overflowPunct/>
        <w:topLinePunct w:val="0"/>
        <w:autoSpaceDE/>
        <w:autoSpaceDN/>
        <w:bidi w:val="0"/>
        <w:adjustRightInd/>
        <w:snapToGrid w:val="0"/>
        <w:spacing w:line="360" w:lineRule="auto"/>
        <w:ind w:left="0" w:leftChars="0" w:firstLine="0"/>
        <w:textAlignment w:val="auto"/>
        <w:rPr>
          <w:sz w:val="24"/>
        </w:rPr>
      </w:pPr>
      <w:r>
        <w:rPr>
          <w:sz w:val="24"/>
        </w:rPr>
        <w:t>联合体：指两个以上的自然人、法人或者其他组织组成一个联合体，以一个供应商的身份共同参加政府采购。</w:t>
      </w:r>
    </w:p>
    <w:p w14:paraId="611F56A7">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leftChars="0" w:firstLine="0"/>
        <w:textAlignment w:val="auto"/>
        <w:outlineLvl w:val="1"/>
        <w:rPr>
          <w:sz w:val="24"/>
        </w:rPr>
      </w:pPr>
      <w:bookmarkStart w:id="114" w:name="_Toc127151721"/>
      <w:bookmarkStart w:id="115" w:name="_Toc305158788"/>
      <w:bookmarkStart w:id="116" w:name="_Toc150509271"/>
      <w:bookmarkStart w:id="117" w:name="_Toc164608789"/>
      <w:bookmarkStart w:id="118" w:name="_Toc264969210"/>
      <w:bookmarkStart w:id="119" w:name="_Toc150774725"/>
      <w:bookmarkStart w:id="120" w:name="_Toc149720813"/>
      <w:bookmarkStart w:id="121" w:name="_Toc127151520"/>
      <w:bookmarkStart w:id="122" w:name="_Toc164229215"/>
      <w:bookmarkStart w:id="123" w:name="_Toc164229361"/>
      <w:bookmarkStart w:id="124" w:name="_Toc226309764"/>
      <w:bookmarkStart w:id="125" w:name="_Toc151190147"/>
      <w:bookmarkStart w:id="126" w:name="_Toc127161434"/>
      <w:bookmarkStart w:id="127" w:name="_Toc151193618"/>
      <w:bookmarkStart w:id="128" w:name="_Toc150774620"/>
      <w:bookmarkStart w:id="129" w:name="_Toc151193762"/>
      <w:bookmarkStart w:id="130" w:name="_Toc164351614"/>
      <w:bookmarkStart w:id="131" w:name="_Toc151193834"/>
      <w:bookmarkStart w:id="132" w:name="_Toc226965793"/>
      <w:bookmarkStart w:id="133" w:name="_Toc151193690"/>
      <w:bookmarkStart w:id="134" w:name="_Toc226337216"/>
      <w:bookmarkStart w:id="135" w:name="_Toc164608634"/>
      <w:bookmarkStart w:id="136" w:name="_Toc151193908"/>
      <w:bookmarkStart w:id="137" w:name="_Toc150480758"/>
      <w:bookmarkStart w:id="138" w:name="_Toc226965710"/>
      <w:bookmarkStart w:id="139" w:name="_Toc305158862"/>
      <w:bookmarkStart w:id="140" w:name="_Toc195842885"/>
      <w:bookmarkStart w:id="141" w:name="_Toc265228358"/>
      <w:bookmarkStart w:id="142" w:name="_Toc142311022"/>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14:paraId="68EF36C0">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资金来源为财政性资金和/或本项目采购中无法与财政性资金分割的非财政性资金。</w:t>
      </w:r>
    </w:p>
    <w:p w14:paraId="777F8CE3">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是否属于科研仪器设备采购见《供应商须知资料表》。</w:t>
      </w:r>
    </w:p>
    <w:p w14:paraId="0CDBABCE">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leftChars="0" w:firstLine="0"/>
        <w:textAlignment w:val="auto"/>
        <w:outlineLvl w:val="1"/>
        <w:rPr>
          <w:sz w:val="24"/>
        </w:rPr>
      </w:pPr>
      <w:bookmarkStart w:id="143" w:name="_Toc151193764"/>
      <w:bookmarkStart w:id="144" w:name="_Toc150480760"/>
      <w:bookmarkStart w:id="145" w:name="_Toc151193910"/>
      <w:bookmarkStart w:id="146" w:name="_Toc226965795"/>
      <w:bookmarkStart w:id="147" w:name="_Toc151190149"/>
      <w:bookmarkStart w:id="148" w:name="_Toc151193692"/>
      <w:bookmarkStart w:id="149" w:name="_Toc226337218"/>
      <w:bookmarkStart w:id="150" w:name="_Toc150774622"/>
      <w:bookmarkStart w:id="151" w:name="_Toc264969212"/>
      <w:bookmarkStart w:id="152" w:name="_Toc150774727"/>
      <w:bookmarkStart w:id="153" w:name="_Toc151193620"/>
      <w:bookmarkStart w:id="154" w:name="_Toc226965712"/>
      <w:bookmarkStart w:id="155" w:name="_Toc305158864"/>
      <w:bookmarkStart w:id="156" w:name="_Toc226309766"/>
      <w:bookmarkStart w:id="157" w:name="_Toc151193836"/>
      <w:bookmarkStart w:id="158" w:name="_Toc265228360"/>
      <w:bookmarkStart w:id="159" w:name="_Toc142311024"/>
      <w:bookmarkStart w:id="160" w:name="_Toc305158790"/>
      <w:bookmarkStart w:id="161" w:name="_Toc150509273"/>
      <w:bookmarkStart w:id="162" w:name="_Toc195842887"/>
      <w:bookmarkStart w:id="163" w:name="_Toc520356146"/>
      <w:bookmarkStart w:id="164" w:name="_Toc127151522"/>
      <w:r>
        <w:rPr>
          <w:sz w:val="24"/>
        </w:rPr>
        <w:t>政府采购政策（包括但不限于下列具体政策要求）</w:t>
      </w:r>
    </w:p>
    <w:p w14:paraId="5EF47E0A">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采购本国货物、工程和服务</w:t>
      </w:r>
    </w:p>
    <w:p w14:paraId="310135E6">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AA1C9D8">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本项目如接受非本国货物、工程、服务参与</w:t>
      </w:r>
      <w:r>
        <w:rPr>
          <w:rFonts w:hint="eastAsia"/>
          <w:sz w:val="24"/>
        </w:rPr>
        <w:t>响应</w:t>
      </w:r>
      <w:r>
        <w:rPr>
          <w:sz w:val="24"/>
        </w:rPr>
        <w:t>，则具体要求见第四章《采购需求》。</w:t>
      </w:r>
    </w:p>
    <w:p w14:paraId="11A2AA02">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D5DA7C">
      <w:pPr>
        <w:keepNext w:val="0"/>
        <w:keepLines w:val="0"/>
        <w:pageBreakBefore w:val="0"/>
        <w:widowControl w:val="0"/>
        <w:numPr>
          <w:ilvl w:val="1"/>
          <w:numId w:val="9"/>
        </w:numPr>
        <w:tabs>
          <w:tab w:val="left" w:pos="1080"/>
        </w:tabs>
        <w:kinsoku/>
        <w:wordWrap/>
        <w:overflowPunct/>
        <w:topLinePunct w:val="0"/>
        <w:autoSpaceDE/>
        <w:autoSpaceDN/>
        <w:bidi w:val="0"/>
        <w:adjustRightInd/>
        <w:snapToGrid w:val="0"/>
        <w:spacing w:line="360" w:lineRule="auto"/>
        <w:ind w:left="0" w:leftChars="0" w:firstLine="0"/>
        <w:textAlignment w:val="auto"/>
        <w:rPr>
          <w:sz w:val="24"/>
        </w:rPr>
      </w:pPr>
      <w:r>
        <w:rPr>
          <w:rFonts w:hint="eastAsia"/>
          <w:sz w:val="24"/>
        </w:rPr>
        <w:t>本国产品</w:t>
      </w:r>
    </w:p>
    <w:p w14:paraId="7665CBDC">
      <w:pPr>
        <w:keepNext w:val="0"/>
        <w:keepLines w:val="0"/>
        <w:pageBreakBefore w:val="0"/>
        <w:widowControl w:val="0"/>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1BDF9EFA">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中小企业、监狱企业及残疾人福利性单位</w:t>
      </w:r>
    </w:p>
    <w:p w14:paraId="24219D37">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中小企业定义：</w:t>
      </w:r>
    </w:p>
    <w:p w14:paraId="338BC067">
      <w:pPr>
        <w:keepNext w:val="0"/>
        <w:keepLines w:val="0"/>
        <w:pageBreakBefore w:val="0"/>
        <w:widowControl w:val="0"/>
        <w:numPr>
          <w:ilvl w:val="3"/>
          <w:numId w:val="10"/>
        </w:numPr>
        <w:tabs>
          <w:tab w:val="left" w:pos="2035"/>
          <w:tab w:val="left" w:pos="2977"/>
          <w:tab w:val="left" w:pos="3524"/>
          <w:tab w:val="clear" w:pos="42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color w:val="auto"/>
          <w:sz w:val="24"/>
        </w:rPr>
        <w:t>中小企业是指</w:t>
      </w:r>
      <w:r>
        <w:rPr>
          <w:color w:val="000000" w:themeColor="text1"/>
          <w:sz w:val="24"/>
          <w14:textFill>
            <w14:solidFill>
              <w14:schemeClr w14:val="tx1"/>
            </w14:solidFill>
          </w14:textFill>
        </w:rPr>
        <w:t>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611EF84">
      <w:pPr>
        <w:keepNext w:val="0"/>
        <w:keepLines w:val="0"/>
        <w:pageBreakBefore w:val="0"/>
        <w:widowControl w:val="0"/>
        <w:numPr>
          <w:ilvl w:val="3"/>
          <w:numId w:val="10"/>
        </w:numPr>
        <w:tabs>
          <w:tab w:val="left" w:pos="1980"/>
          <w:tab w:val="left" w:pos="2035"/>
          <w:tab w:val="left" w:pos="2885"/>
          <w:tab w:val="left" w:pos="2977"/>
          <w:tab w:val="clear" w:pos="42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sz w:val="24"/>
        </w:rPr>
        <w:t>供应商提供的货物、工程或者服务符合下列情形的，享受中小企业扶持政策：</w:t>
      </w:r>
    </w:p>
    <w:p w14:paraId="70E14A1E">
      <w:pPr>
        <w:keepNext w:val="0"/>
        <w:keepLines w:val="0"/>
        <w:pageBreakBefore w:val="0"/>
        <w:widowControl w:val="0"/>
        <w:tabs>
          <w:tab w:val="left" w:pos="1980"/>
        </w:tabs>
        <w:kinsoku/>
        <w:wordWrap/>
        <w:overflowPunct/>
        <w:topLinePunct w:val="0"/>
        <w:autoSpaceDE/>
        <w:autoSpaceDN/>
        <w:bidi w:val="0"/>
        <w:adjustRightInd/>
        <w:snapToGrid w:val="0"/>
        <w:spacing w:line="360" w:lineRule="auto"/>
        <w:ind w:left="0" w:leftChars="0" w:firstLine="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680C8BB2">
      <w:pPr>
        <w:keepNext w:val="0"/>
        <w:keepLines w:val="0"/>
        <w:pageBreakBefore w:val="0"/>
        <w:widowControl w:val="0"/>
        <w:tabs>
          <w:tab w:val="left" w:pos="1980"/>
        </w:tabs>
        <w:kinsoku/>
        <w:wordWrap/>
        <w:overflowPunct/>
        <w:topLinePunct w:val="0"/>
        <w:autoSpaceDE/>
        <w:autoSpaceDN/>
        <w:bidi w:val="0"/>
        <w:adjustRightInd/>
        <w:snapToGrid w:val="0"/>
        <w:spacing w:line="360" w:lineRule="auto"/>
        <w:ind w:left="0" w:leftChars="0" w:firstLine="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CB7448E">
      <w:pPr>
        <w:keepNext w:val="0"/>
        <w:keepLines w:val="0"/>
        <w:pageBreakBefore w:val="0"/>
        <w:widowControl w:val="0"/>
        <w:tabs>
          <w:tab w:val="left" w:pos="1980"/>
        </w:tabs>
        <w:kinsoku/>
        <w:wordWrap/>
        <w:overflowPunct/>
        <w:topLinePunct w:val="0"/>
        <w:autoSpaceDE/>
        <w:autoSpaceDN/>
        <w:bidi w:val="0"/>
        <w:adjustRightInd/>
        <w:snapToGrid w:val="0"/>
        <w:spacing w:line="360" w:lineRule="auto"/>
        <w:ind w:left="0" w:leftChars="0" w:firstLine="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B43D64F">
      <w:pPr>
        <w:keepNext w:val="0"/>
        <w:keepLines w:val="0"/>
        <w:pageBreakBefore w:val="0"/>
        <w:widowControl w:val="0"/>
        <w:numPr>
          <w:ilvl w:val="3"/>
          <w:numId w:val="10"/>
        </w:numPr>
        <w:tabs>
          <w:tab w:val="left" w:pos="1980"/>
          <w:tab w:val="left" w:pos="2035"/>
          <w:tab w:val="left" w:pos="2885"/>
          <w:tab w:val="left" w:pos="2977"/>
          <w:tab w:val="clear" w:pos="420"/>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在货物采购项目中，供应商提供的货物既有中小企业制造货物，也有大型企业制造货物的，不享受中小企业扶持政策。</w:t>
      </w:r>
    </w:p>
    <w:p w14:paraId="0B25BCA3">
      <w:pPr>
        <w:keepNext w:val="0"/>
        <w:keepLines w:val="0"/>
        <w:pageBreakBefore w:val="0"/>
        <w:widowControl w:val="0"/>
        <w:numPr>
          <w:ilvl w:val="3"/>
          <w:numId w:val="10"/>
        </w:numPr>
        <w:tabs>
          <w:tab w:val="left" w:pos="1980"/>
          <w:tab w:val="left" w:pos="2035"/>
          <w:tab w:val="left" w:pos="2885"/>
          <w:tab w:val="left" w:pos="2977"/>
          <w:tab w:val="clear" w:pos="420"/>
        </w:tabs>
        <w:kinsoku/>
        <w:wordWrap/>
        <w:overflowPunct/>
        <w:topLinePunct w:val="0"/>
        <w:autoSpaceDE/>
        <w:autoSpaceDN/>
        <w:bidi w:val="0"/>
        <w:adjustRightInd/>
        <w:snapToGrid w:val="0"/>
        <w:spacing w:line="360" w:lineRule="auto"/>
        <w:ind w:left="0" w:leftChars="0" w:firstLine="0" w:firstLineChars="0"/>
        <w:textAlignment w:val="auto"/>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6DDC7EA">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5608A5">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961713E">
      <w:pPr>
        <w:keepNext w:val="0"/>
        <w:keepLines w:val="0"/>
        <w:pageBreakBefore w:val="0"/>
        <w:widowControl w:val="0"/>
        <w:numPr>
          <w:ilvl w:val="3"/>
          <w:numId w:val="11"/>
        </w:numPr>
        <w:tabs>
          <w:tab w:val="left" w:pos="1980"/>
          <w:tab w:val="left" w:pos="2035"/>
          <w:tab w:val="left" w:pos="2885"/>
          <w:tab w:val="left" w:pos="2977"/>
          <w:tab w:val="clear" w:pos="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安</w:t>
      </w:r>
      <w:r>
        <w:rPr>
          <w:color w:val="auto"/>
          <w:sz w:val="24"/>
        </w:rPr>
        <w:t>置的残疾人占本单</w:t>
      </w:r>
      <w:r>
        <w:rPr>
          <w:color w:val="000000" w:themeColor="text1"/>
          <w:sz w:val="24"/>
          <w14:textFill>
            <w14:solidFill>
              <w14:schemeClr w14:val="tx1"/>
            </w14:solidFill>
          </w14:textFill>
        </w:rPr>
        <w:t>位在职职工人数的比例不低于25%（含25%），并且安置的残疾人人数不少于10 人（含10 人）；</w:t>
      </w:r>
    </w:p>
    <w:p w14:paraId="61D9E734">
      <w:pPr>
        <w:keepNext w:val="0"/>
        <w:keepLines w:val="0"/>
        <w:pageBreakBefore w:val="0"/>
        <w:widowControl w:val="0"/>
        <w:numPr>
          <w:ilvl w:val="3"/>
          <w:numId w:val="11"/>
        </w:numPr>
        <w:tabs>
          <w:tab w:val="left" w:pos="1980"/>
          <w:tab w:val="left" w:pos="2035"/>
          <w:tab w:val="left" w:pos="2885"/>
          <w:tab w:val="left" w:pos="2977"/>
          <w:tab w:val="clear" w:pos="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sz w:val="24"/>
        </w:rPr>
        <w:t>依法与安置的每位残疾人签订了一年以上（含一年）的劳动合同或服务协议；</w:t>
      </w:r>
    </w:p>
    <w:p w14:paraId="22E4AA7D">
      <w:pPr>
        <w:keepNext w:val="0"/>
        <w:keepLines w:val="0"/>
        <w:pageBreakBefore w:val="0"/>
        <w:widowControl w:val="0"/>
        <w:numPr>
          <w:ilvl w:val="3"/>
          <w:numId w:val="11"/>
        </w:numPr>
        <w:tabs>
          <w:tab w:val="left" w:pos="1980"/>
          <w:tab w:val="left" w:pos="2035"/>
          <w:tab w:val="left" w:pos="2885"/>
          <w:tab w:val="left" w:pos="2977"/>
          <w:tab w:val="clear" w:pos="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1E9992D">
      <w:pPr>
        <w:keepNext w:val="0"/>
        <w:keepLines w:val="0"/>
        <w:pageBreakBefore w:val="0"/>
        <w:widowControl w:val="0"/>
        <w:numPr>
          <w:ilvl w:val="3"/>
          <w:numId w:val="11"/>
        </w:numPr>
        <w:tabs>
          <w:tab w:val="left" w:pos="1980"/>
          <w:tab w:val="left" w:pos="2035"/>
          <w:tab w:val="left" w:pos="2885"/>
          <w:tab w:val="left" w:pos="2977"/>
          <w:tab w:val="clear" w:pos="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3679089">
      <w:pPr>
        <w:keepNext w:val="0"/>
        <w:keepLines w:val="0"/>
        <w:pageBreakBefore w:val="0"/>
        <w:widowControl w:val="0"/>
        <w:numPr>
          <w:ilvl w:val="3"/>
          <w:numId w:val="11"/>
        </w:numPr>
        <w:tabs>
          <w:tab w:val="left" w:pos="1980"/>
          <w:tab w:val="left" w:pos="2035"/>
          <w:tab w:val="left" w:pos="2885"/>
          <w:tab w:val="left" w:pos="2977"/>
          <w:tab w:val="clear" w:pos="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695C6BC4">
      <w:pPr>
        <w:keepNext w:val="0"/>
        <w:keepLines w:val="0"/>
        <w:pageBreakBefore w:val="0"/>
        <w:widowControl w:val="0"/>
        <w:numPr>
          <w:ilvl w:val="3"/>
          <w:numId w:val="11"/>
        </w:numPr>
        <w:tabs>
          <w:tab w:val="left" w:pos="1980"/>
          <w:tab w:val="left" w:pos="2035"/>
          <w:tab w:val="left" w:pos="2885"/>
          <w:tab w:val="left" w:pos="2977"/>
          <w:tab w:val="clear" w:pos="0"/>
        </w:tabs>
        <w:kinsoku/>
        <w:wordWrap/>
        <w:overflowPunct/>
        <w:topLinePunct w:val="0"/>
        <w:autoSpaceDE/>
        <w:autoSpaceDN/>
        <w:bidi w:val="0"/>
        <w:adjustRightInd/>
        <w:snapToGrid w:val="0"/>
        <w:spacing w:line="360" w:lineRule="auto"/>
        <w:ind w:left="0" w:leftChars="0" w:firstLine="0" w:firstLineChars="0"/>
        <w:textAlignment w:val="auto"/>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01603AE">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本项目是否专门面向中小企业预留采购份额见第一章《采购邀请》。</w:t>
      </w:r>
    </w:p>
    <w:p w14:paraId="3ED90AF8">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采购标的对应的中小企业划分标准所属行业见《供应商须知资料表》。</w:t>
      </w:r>
    </w:p>
    <w:p w14:paraId="14F31ABC">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小微企业价格评审优惠的政策调整：见第三章《评审程序和评定成交的标准》。</w:t>
      </w:r>
    </w:p>
    <w:p w14:paraId="4D358A5A">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政府采购节能产品、环境标志产品</w:t>
      </w:r>
    </w:p>
    <w:p w14:paraId="069DB3CF">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0AD796">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642E7F">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color w:val="auto"/>
          <w:sz w:val="24"/>
        </w:rPr>
      </w:pPr>
      <w:r>
        <w:rPr>
          <w:color w:val="auto"/>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color w:val="auto"/>
          <w:sz w:val="24"/>
        </w:rPr>
        <w:t>，否则</w:t>
      </w:r>
      <w:r>
        <w:rPr>
          <w:b/>
          <w:bCs/>
          <w:color w:val="auto"/>
          <w:sz w:val="24"/>
        </w:rPr>
        <w:t>响应无效</w:t>
      </w:r>
      <w:bookmarkEnd w:id="165"/>
      <w:r>
        <w:rPr>
          <w:color w:val="auto"/>
          <w:sz w:val="24"/>
        </w:rPr>
        <w:t>；</w:t>
      </w:r>
    </w:p>
    <w:p w14:paraId="7B8204F8">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非政府强制采购的节能产品或环境标志产品，依据品目清单和认证证书实施政府优先采购。优先采购的具体规定见第三章《评审程序和评定成交的标准》（如涉及）。</w:t>
      </w:r>
    </w:p>
    <w:p w14:paraId="6B2A2EFD">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正版软件</w:t>
      </w:r>
    </w:p>
    <w:p w14:paraId="1220A671">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leftChars="0" w:firstLine="0"/>
        <w:textAlignment w:val="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009E178">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rFonts w:eastAsiaTheme="minorEastAsia"/>
          <w:sz w:val="24"/>
        </w:rPr>
        <w:t>网络安全专用产品</w:t>
      </w:r>
    </w:p>
    <w:p w14:paraId="644678BA">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04468046">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推广使用低挥发性有机化合物（VOCs）</w:t>
      </w:r>
    </w:p>
    <w:p w14:paraId="3763FF9B">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w:t>
      </w:r>
      <w:r>
        <w:rPr>
          <w:color w:val="000000" w:themeColor="text1"/>
          <w:sz w:val="24"/>
          <w14:textFill>
            <w14:solidFill>
              <w14:schemeClr w14:val="tx1"/>
            </w14:solidFill>
          </w14:textFill>
        </w:rPr>
        <w:t>本项目中涉及涂料、胶黏剂、油墨、清洗剂等挥发性有机物产品的，属于强制性标准的，供应商应执行符合本市和国家的VOCs 含量限制标准（具体标准见第四章《采购需求》），否则</w:t>
      </w:r>
      <w:r>
        <w:rPr>
          <w:b/>
          <w:bCs/>
          <w:color w:val="000000" w:themeColor="text1"/>
          <w:sz w:val="24"/>
          <w14:textFill>
            <w14:solidFill>
              <w14:schemeClr w14:val="tx1"/>
            </w14:solidFill>
          </w14:textFill>
        </w:rPr>
        <w:t>响应无效</w:t>
      </w:r>
      <w:r>
        <w:rPr>
          <w:color w:val="000000" w:themeColor="text1"/>
          <w:sz w:val="24"/>
          <w14:textFill>
            <w14:solidFill>
              <w14:schemeClr w14:val="tx1"/>
            </w14:solidFill>
          </w14:textFill>
        </w:rPr>
        <w:t>；</w:t>
      </w:r>
      <w:r>
        <w:rPr>
          <w:sz w:val="24"/>
        </w:rPr>
        <w:t>属于推荐性标准的，优先采购，具体见第三章《评审程序和评定成交的标准》。</w:t>
      </w:r>
    </w:p>
    <w:p w14:paraId="65F55ABA">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采购需求标准</w:t>
      </w:r>
      <w:r>
        <w:rPr>
          <w:rFonts w:hint="eastAsia"/>
          <w:sz w:val="24"/>
          <w:lang w:val="en-US" w:eastAsia="zh-CN"/>
        </w:rPr>
        <w:tab/>
      </w:r>
    </w:p>
    <w:p w14:paraId="727328AC">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sz w:val="24"/>
        </w:rPr>
        <w:t>商品包装、快递包装政府采购需求标准（试行）</w:t>
      </w:r>
    </w:p>
    <w:p w14:paraId="30C6D193">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ind w:left="0" w:leftChars="0" w:firstLine="0"/>
        <w:textAlignment w:val="auto"/>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A83B78B">
      <w:pPr>
        <w:keepNext w:val="0"/>
        <w:keepLines w:val="0"/>
        <w:pageBreakBefore w:val="0"/>
        <w:widowControl w:val="0"/>
        <w:numPr>
          <w:ilvl w:val="2"/>
          <w:numId w:val="9"/>
        </w:numPr>
        <w:tabs>
          <w:tab w:val="left" w:pos="2014"/>
        </w:tabs>
        <w:kinsoku/>
        <w:wordWrap/>
        <w:overflowPunct/>
        <w:topLinePunct w:val="0"/>
        <w:autoSpaceDE/>
        <w:autoSpaceDN/>
        <w:bidi w:val="0"/>
        <w:adjustRightInd/>
        <w:snapToGrid w:val="0"/>
        <w:spacing w:line="360" w:lineRule="auto"/>
        <w:ind w:left="0" w:leftChars="0" w:firstLine="0"/>
        <w:textAlignment w:val="auto"/>
        <w:rPr>
          <w:sz w:val="24"/>
        </w:rPr>
      </w:pPr>
      <w:r>
        <w:rPr>
          <w:rFonts w:hint="eastAsia"/>
          <w:sz w:val="24"/>
        </w:rPr>
        <w:t>其他</w:t>
      </w:r>
      <w:r>
        <w:rPr>
          <w:sz w:val="24"/>
        </w:rPr>
        <w:t>政府采购需求标准</w:t>
      </w:r>
    </w:p>
    <w:p w14:paraId="1CB439CA">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ind w:left="0" w:leftChars="0" w:firstLine="0"/>
        <w:textAlignment w:val="auto"/>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14:paraId="5A8810EE">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leftChars="0" w:firstLine="0"/>
        <w:textAlignment w:val="auto"/>
        <w:outlineLvl w:val="1"/>
        <w:rPr>
          <w:sz w:val="24"/>
        </w:rPr>
      </w:pPr>
      <w:r>
        <w:rPr>
          <w:sz w:val="24"/>
        </w:rPr>
        <w:t>响应费用</w:t>
      </w:r>
    </w:p>
    <w:p w14:paraId="76900745">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leftChars="0" w:firstLine="0"/>
        <w:textAlignment w:val="auto"/>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8" w:name="_1.8_计量单位"/>
      <w:bookmarkEnd w:id="168"/>
    </w:p>
    <w:p w14:paraId="17C61D6C">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sz w:val="28"/>
        </w:rPr>
        <w:t>谈判文件</w:t>
      </w:r>
    </w:p>
    <w:p w14:paraId="60A5DD59">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169" w:name="_Toc127151724"/>
      <w:bookmarkStart w:id="170" w:name="_Toc151190150"/>
      <w:bookmarkStart w:id="171" w:name="_Toc226337219"/>
      <w:bookmarkStart w:id="172" w:name="_Toc150774728"/>
      <w:bookmarkStart w:id="173" w:name="_Toc127151523"/>
      <w:bookmarkStart w:id="174" w:name="_Toc151193911"/>
      <w:bookmarkStart w:id="175" w:name="_Toc520356147"/>
      <w:bookmarkStart w:id="176" w:name="_Toc142311025"/>
      <w:bookmarkStart w:id="177" w:name="_Toc164229218"/>
      <w:bookmarkStart w:id="178" w:name="_Toc127161437"/>
      <w:bookmarkStart w:id="179" w:name="_Toc151193621"/>
      <w:bookmarkStart w:id="180" w:name="_Toc264969213"/>
      <w:bookmarkStart w:id="181" w:name="_Toc265228361"/>
      <w:bookmarkStart w:id="182" w:name="_Toc151193837"/>
      <w:bookmarkStart w:id="183" w:name="_Toc164608637"/>
      <w:bookmarkStart w:id="184" w:name="_Toc164608792"/>
      <w:bookmarkStart w:id="185" w:name="_Toc150509274"/>
      <w:bookmarkStart w:id="186" w:name="_Toc149720816"/>
      <w:bookmarkStart w:id="187" w:name="_Toc164229364"/>
      <w:bookmarkStart w:id="188" w:name="_Toc226309767"/>
      <w:bookmarkStart w:id="189" w:name="_Toc305158791"/>
      <w:bookmarkStart w:id="190" w:name="_Toc195842888"/>
      <w:bookmarkStart w:id="191" w:name="_Toc305158865"/>
      <w:bookmarkStart w:id="192" w:name="_Toc164351617"/>
      <w:bookmarkStart w:id="193" w:name="_Toc151193693"/>
      <w:bookmarkStart w:id="194" w:name="_Toc226965796"/>
      <w:bookmarkStart w:id="195" w:name="_Toc150480761"/>
      <w:bookmarkStart w:id="196" w:name="_Toc151193765"/>
      <w:bookmarkStart w:id="197" w:name="_Toc226965713"/>
      <w:bookmarkStart w:id="198" w:name="_Toc150774623"/>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2C2601CD">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谈判文件包括以下部分：</w:t>
      </w:r>
    </w:p>
    <w:p w14:paraId="5C890C34">
      <w:pPr>
        <w:keepNext w:val="0"/>
        <w:keepLines w:val="0"/>
        <w:pageBreakBefore w:val="0"/>
        <w:widowControl w:val="0"/>
        <w:numPr>
          <w:ilvl w:val="0"/>
          <w:numId w:val="12"/>
        </w:numPr>
        <w:tabs>
          <w:tab w:val="left" w:pos="1980"/>
          <w:tab w:val="left" w:pos="2520"/>
        </w:tabs>
        <w:kinsoku/>
        <w:wordWrap/>
        <w:overflowPunct/>
        <w:topLinePunct w:val="0"/>
        <w:autoSpaceDE/>
        <w:autoSpaceDN/>
        <w:bidi w:val="0"/>
        <w:adjustRightInd/>
        <w:snapToGrid w:val="0"/>
        <w:spacing w:line="360" w:lineRule="auto"/>
        <w:ind w:left="0" w:firstLine="0"/>
        <w:textAlignment w:val="auto"/>
        <w:rPr>
          <w:sz w:val="24"/>
        </w:rPr>
      </w:pPr>
      <w:r>
        <w:rPr>
          <w:sz w:val="24"/>
        </w:rPr>
        <w:t>采购邀请</w:t>
      </w:r>
    </w:p>
    <w:p w14:paraId="62F9D35E">
      <w:pPr>
        <w:keepNext w:val="0"/>
        <w:keepLines w:val="0"/>
        <w:pageBreakBefore w:val="0"/>
        <w:widowControl w:val="0"/>
        <w:numPr>
          <w:ilvl w:val="0"/>
          <w:numId w:val="12"/>
        </w:numPr>
        <w:tabs>
          <w:tab w:val="left" w:pos="1980"/>
          <w:tab w:val="left" w:pos="2520"/>
        </w:tabs>
        <w:kinsoku/>
        <w:wordWrap/>
        <w:overflowPunct/>
        <w:topLinePunct w:val="0"/>
        <w:autoSpaceDE/>
        <w:autoSpaceDN/>
        <w:bidi w:val="0"/>
        <w:adjustRightInd/>
        <w:snapToGrid w:val="0"/>
        <w:spacing w:line="360" w:lineRule="auto"/>
        <w:ind w:left="0" w:firstLine="0"/>
        <w:textAlignment w:val="auto"/>
        <w:rPr>
          <w:sz w:val="24"/>
        </w:rPr>
      </w:pPr>
      <w:r>
        <w:rPr>
          <w:sz w:val="24"/>
        </w:rPr>
        <w:t>供应商须知</w:t>
      </w:r>
    </w:p>
    <w:p w14:paraId="54ABF661">
      <w:pPr>
        <w:keepNext w:val="0"/>
        <w:keepLines w:val="0"/>
        <w:pageBreakBefore w:val="0"/>
        <w:widowControl w:val="0"/>
        <w:numPr>
          <w:ilvl w:val="0"/>
          <w:numId w:val="12"/>
        </w:numPr>
        <w:tabs>
          <w:tab w:val="left" w:pos="1980"/>
          <w:tab w:val="left" w:pos="2520"/>
        </w:tabs>
        <w:kinsoku/>
        <w:wordWrap/>
        <w:overflowPunct/>
        <w:topLinePunct w:val="0"/>
        <w:autoSpaceDE/>
        <w:autoSpaceDN/>
        <w:bidi w:val="0"/>
        <w:adjustRightInd/>
        <w:snapToGrid w:val="0"/>
        <w:spacing w:line="360" w:lineRule="auto"/>
        <w:ind w:left="0" w:firstLine="0"/>
        <w:textAlignment w:val="auto"/>
        <w:rPr>
          <w:sz w:val="24"/>
        </w:rPr>
      </w:pPr>
      <w:r>
        <w:rPr>
          <w:sz w:val="24"/>
        </w:rPr>
        <w:t>评审程序和评定成交的标准</w:t>
      </w:r>
    </w:p>
    <w:p w14:paraId="2C0C25D2">
      <w:pPr>
        <w:keepNext w:val="0"/>
        <w:keepLines w:val="0"/>
        <w:pageBreakBefore w:val="0"/>
        <w:widowControl w:val="0"/>
        <w:numPr>
          <w:ilvl w:val="0"/>
          <w:numId w:val="12"/>
        </w:numPr>
        <w:tabs>
          <w:tab w:val="left" w:pos="1980"/>
          <w:tab w:val="left" w:pos="2520"/>
        </w:tabs>
        <w:kinsoku/>
        <w:wordWrap/>
        <w:overflowPunct/>
        <w:topLinePunct w:val="0"/>
        <w:autoSpaceDE/>
        <w:autoSpaceDN/>
        <w:bidi w:val="0"/>
        <w:adjustRightInd/>
        <w:snapToGrid w:val="0"/>
        <w:spacing w:line="360" w:lineRule="auto"/>
        <w:ind w:left="0" w:firstLine="0"/>
        <w:textAlignment w:val="auto"/>
        <w:rPr>
          <w:sz w:val="24"/>
        </w:rPr>
      </w:pPr>
      <w:r>
        <w:rPr>
          <w:sz w:val="24"/>
        </w:rPr>
        <w:t>采购需求</w:t>
      </w:r>
    </w:p>
    <w:p w14:paraId="70F61603">
      <w:pPr>
        <w:keepNext w:val="0"/>
        <w:keepLines w:val="0"/>
        <w:pageBreakBefore w:val="0"/>
        <w:widowControl w:val="0"/>
        <w:numPr>
          <w:ilvl w:val="0"/>
          <w:numId w:val="12"/>
        </w:numPr>
        <w:tabs>
          <w:tab w:val="left" w:pos="1980"/>
          <w:tab w:val="left" w:pos="2520"/>
        </w:tabs>
        <w:kinsoku/>
        <w:wordWrap/>
        <w:overflowPunct/>
        <w:topLinePunct w:val="0"/>
        <w:autoSpaceDE/>
        <w:autoSpaceDN/>
        <w:bidi w:val="0"/>
        <w:adjustRightInd/>
        <w:snapToGrid w:val="0"/>
        <w:spacing w:line="360" w:lineRule="auto"/>
        <w:ind w:left="0" w:firstLine="0"/>
        <w:textAlignment w:val="auto"/>
        <w:rPr>
          <w:sz w:val="24"/>
        </w:rPr>
      </w:pPr>
      <w:r>
        <w:rPr>
          <w:sz w:val="24"/>
        </w:rPr>
        <w:t>合同草案条款</w:t>
      </w:r>
    </w:p>
    <w:p w14:paraId="245BDBEB">
      <w:pPr>
        <w:keepNext w:val="0"/>
        <w:keepLines w:val="0"/>
        <w:pageBreakBefore w:val="0"/>
        <w:widowControl w:val="0"/>
        <w:numPr>
          <w:ilvl w:val="0"/>
          <w:numId w:val="12"/>
        </w:numPr>
        <w:tabs>
          <w:tab w:val="left" w:pos="1980"/>
          <w:tab w:val="left" w:pos="2520"/>
        </w:tabs>
        <w:kinsoku/>
        <w:wordWrap/>
        <w:overflowPunct/>
        <w:topLinePunct w:val="0"/>
        <w:autoSpaceDE/>
        <w:autoSpaceDN/>
        <w:bidi w:val="0"/>
        <w:adjustRightInd/>
        <w:snapToGrid w:val="0"/>
        <w:spacing w:line="360" w:lineRule="auto"/>
        <w:ind w:left="0" w:firstLine="0"/>
        <w:textAlignment w:val="auto"/>
        <w:rPr>
          <w:sz w:val="24"/>
        </w:rPr>
      </w:pPr>
      <w:r>
        <w:rPr>
          <w:sz w:val="24"/>
        </w:rPr>
        <w:t>响应文件格式</w:t>
      </w:r>
    </w:p>
    <w:p w14:paraId="01084FAC">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3E8FAB30">
      <w:pPr>
        <w:keepNext w:val="0"/>
        <w:keepLines w:val="0"/>
        <w:pageBreakBefore w:val="0"/>
        <w:widowControl w:val="0"/>
        <w:numPr>
          <w:ilvl w:val="0"/>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对谈判文件的澄清或修改</w:t>
      </w:r>
    </w:p>
    <w:p w14:paraId="45AF2474">
      <w:pPr>
        <w:keepNext w:val="0"/>
        <w:keepLines w:val="0"/>
        <w:pageBreakBefore w:val="0"/>
        <w:widowControl w:val="0"/>
        <w:numPr>
          <w:ilvl w:val="1"/>
          <w:numId w:val="9"/>
        </w:numPr>
        <w:tabs>
          <w:tab w:val="left" w:pos="1080"/>
          <w:tab w:val="left" w:pos="1561"/>
          <w:tab w:val="left" w:pos="2014"/>
        </w:tabs>
        <w:kinsoku/>
        <w:wordWrap/>
        <w:overflowPunct/>
        <w:topLinePunct w:val="0"/>
        <w:autoSpaceDE/>
        <w:autoSpaceDN/>
        <w:bidi w:val="0"/>
        <w:adjustRightInd/>
        <w:snapToGrid w:val="0"/>
        <w:spacing w:line="360" w:lineRule="auto"/>
        <w:ind w:left="0" w:firstLine="0"/>
        <w:textAlignment w:val="auto"/>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14:paraId="44818C78">
      <w:pPr>
        <w:keepNext w:val="0"/>
        <w:keepLines w:val="0"/>
        <w:pageBreakBefore w:val="0"/>
        <w:widowControl w:val="0"/>
        <w:numPr>
          <w:ilvl w:val="1"/>
          <w:numId w:val="9"/>
        </w:numPr>
        <w:tabs>
          <w:tab w:val="left" w:pos="1080"/>
          <w:tab w:val="left" w:pos="1561"/>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上述书面通知，按照获取谈判文件的潜在供应商提供的联系方式发出，因提供的信息有误导致通知延迟或无法通知的，采购人或采购代理机构不承担责任。</w:t>
      </w:r>
    </w:p>
    <w:p w14:paraId="73B812F5">
      <w:pPr>
        <w:keepNext w:val="0"/>
        <w:keepLines w:val="0"/>
        <w:pageBreakBefore w:val="0"/>
        <w:widowControl w:val="0"/>
        <w:numPr>
          <w:ilvl w:val="1"/>
          <w:numId w:val="9"/>
        </w:numPr>
        <w:tabs>
          <w:tab w:val="left" w:pos="1080"/>
          <w:tab w:val="left" w:pos="1561"/>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14:paraId="610CFFEC">
      <w:pPr>
        <w:tabs>
          <w:tab w:val="left" w:pos="900"/>
          <w:tab w:val="left" w:pos="1080"/>
          <w:tab w:val="left" w:pos="1561"/>
          <w:tab w:val="left" w:pos="1589"/>
        </w:tabs>
        <w:snapToGrid w:val="0"/>
        <w:spacing w:line="360" w:lineRule="auto"/>
        <w:ind w:left="1080"/>
        <w:rPr>
          <w:sz w:val="24"/>
        </w:rPr>
      </w:pPr>
    </w:p>
    <w:p w14:paraId="7FC5C58D">
      <w:pPr>
        <w:pStyle w:val="3"/>
        <w:spacing w:before="0" w:line="360" w:lineRule="auto"/>
        <w:rPr>
          <w:rFonts w:ascii="Times New Roman" w:hAnsi="Times New Roman" w:eastAsia="宋体"/>
          <w:sz w:val="28"/>
        </w:rPr>
      </w:pPr>
      <w:bookmarkStart w:id="200" w:name="_Toc516367020"/>
      <w:bookmarkStart w:id="201" w:name="_Toc151193914"/>
      <w:bookmarkStart w:id="202" w:name="_Toc151193624"/>
      <w:bookmarkStart w:id="203" w:name="_Toc226965716"/>
      <w:bookmarkStart w:id="204" w:name="_Toc264969216"/>
      <w:bookmarkStart w:id="205" w:name="_Toc151190153"/>
      <w:bookmarkStart w:id="206" w:name="_Toc150509277"/>
      <w:bookmarkStart w:id="207" w:name="_Toc150774731"/>
      <w:bookmarkStart w:id="208" w:name="_Toc127151526"/>
      <w:bookmarkStart w:id="209" w:name="_Toc195842891"/>
      <w:bookmarkStart w:id="210" w:name="_Toc151193696"/>
      <w:bookmarkStart w:id="211" w:name="_Toc305158868"/>
      <w:bookmarkStart w:id="212" w:name="_Toc150774626"/>
      <w:bookmarkStart w:id="213" w:name="_Toc305158794"/>
      <w:bookmarkStart w:id="214" w:name="_Toc520356150"/>
      <w:bookmarkStart w:id="215" w:name="_Toc151193768"/>
      <w:bookmarkStart w:id="216" w:name="_Toc226309770"/>
      <w:bookmarkStart w:id="217" w:name="_Toc265228364"/>
      <w:bookmarkStart w:id="218" w:name="_Toc142311028"/>
      <w:bookmarkStart w:id="219" w:name="_Toc226965799"/>
      <w:bookmarkStart w:id="220" w:name="_Toc226337222"/>
      <w:bookmarkStart w:id="221" w:name="_Toc150480764"/>
      <w:bookmarkStart w:id="222" w:name="_Toc151193840"/>
      <w:r>
        <w:rPr>
          <w:rFonts w:ascii="Times New Roman" w:hAnsi="Times New Roman" w:eastAsia="宋体"/>
          <w:sz w:val="28"/>
        </w:rPr>
        <w:t>三   响应文件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802CD11">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223" w:name="_Toc226965800"/>
      <w:bookmarkStart w:id="224" w:name="_Toc226309771"/>
      <w:bookmarkStart w:id="225" w:name="_Toc151193841"/>
      <w:bookmarkStart w:id="226" w:name="_Toc127151527"/>
      <w:bookmarkStart w:id="227" w:name="_Toc127161441"/>
      <w:bookmarkStart w:id="228" w:name="_Toc164229222"/>
      <w:bookmarkStart w:id="229" w:name="_Toc150774732"/>
      <w:bookmarkStart w:id="230" w:name="_Toc150774627"/>
      <w:bookmarkStart w:id="231" w:name="_Toc164229368"/>
      <w:bookmarkStart w:id="232" w:name="_Toc150480765"/>
      <w:bookmarkStart w:id="233" w:name="_Toc265228365"/>
      <w:bookmarkStart w:id="234" w:name="_Toc520356151"/>
      <w:bookmarkStart w:id="235" w:name="_Toc516367021"/>
      <w:bookmarkStart w:id="236" w:name="_Toc164351621"/>
      <w:bookmarkStart w:id="237" w:name="_Toc226965717"/>
      <w:bookmarkStart w:id="238" w:name="_Toc164608641"/>
      <w:bookmarkStart w:id="239" w:name="_Toc149720820"/>
      <w:bookmarkStart w:id="240" w:name="_Toc150509278"/>
      <w:bookmarkStart w:id="241" w:name="_Toc305158869"/>
      <w:bookmarkStart w:id="242" w:name="_Toc151193697"/>
      <w:bookmarkStart w:id="243" w:name="_Toc226337223"/>
      <w:bookmarkStart w:id="244" w:name="_Toc305158795"/>
      <w:bookmarkStart w:id="245" w:name="_Toc151193769"/>
      <w:bookmarkStart w:id="246" w:name="_Toc164608796"/>
      <w:bookmarkStart w:id="247" w:name="_Toc264969217"/>
      <w:bookmarkStart w:id="248" w:name="_Toc142311029"/>
      <w:bookmarkStart w:id="249" w:name="_Toc151193625"/>
      <w:bookmarkStart w:id="250" w:name="_Toc195842892"/>
      <w:bookmarkStart w:id="251" w:name="_Toc127151728"/>
      <w:bookmarkStart w:id="252" w:name="_Toc151190154"/>
      <w:bookmarkStart w:id="253" w:name="_Toc151193915"/>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14:paraId="4E853176">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516AA615">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除谈判文件有特殊要求外，本项目响应所使用的计量单位，应采用中华人民共和国法定计量单位。</w:t>
      </w:r>
    </w:p>
    <w:p w14:paraId="047B01AE">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37EA24E">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254" w:name="_Toc520356152"/>
      <w:bookmarkStart w:id="255" w:name="_Toc127161442"/>
      <w:bookmarkStart w:id="256" w:name="_Toc195842893"/>
      <w:bookmarkStart w:id="257" w:name="_Toc150480766"/>
      <w:bookmarkStart w:id="258" w:name="_Toc150774628"/>
      <w:bookmarkStart w:id="259" w:name="_Toc305158796"/>
      <w:bookmarkStart w:id="260" w:name="_Toc151193626"/>
      <w:bookmarkStart w:id="261" w:name="_Toc164229223"/>
      <w:bookmarkStart w:id="262" w:name="_Toc151193698"/>
      <w:bookmarkStart w:id="263" w:name="_Toc150774733"/>
      <w:bookmarkStart w:id="264" w:name="_Toc127151729"/>
      <w:bookmarkStart w:id="265" w:name="_Toc150509279"/>
      <w:bookmarkStart w:id="266" w:name="_Toc226309772"/>
      <w:bookmarkStart w:id="267" w:name="_Toc164351622"/>
      <w:bookmarkStart w:id="268" w:name="_Toc127151528"/>
      <w:bookmarkStart w:id="269" w:name="_Toc265228366"/>
      <w:bookmarkStart w:id="270" w:name="_Toc226337224"/>
      <w:bookmarkStart w:id="271" w:name="_Toc151193770"/>
      <w:bookmarkStart w:id="272" w:name="_Toc151193842"/>
      <w:bookmarkStart w:id="273" w:name="_Toc226965801"/>
      <w:bookmarkStart w:id="274" w:name="_Toc164608642"/>
      <w:bookmarkStart w:id="275" w:name="_Toc264969218"/>
      <w:bookmarkStart w:id="276" w:name="_Toc305158870"/>
      <w:bookmarkStart w:id="277" w:name="_Toc142311030"/>
      <w:bookmarkStart w:id="278" w:name="_Toc149720821"/>
      <w:bookmarkStart w:id="279" w:name="_Toc151190155"/>
      <w:bookmarkStart w:id="280" w:name="_Toc151193916"/>
      <w:bookmarkStart w:id="281" w:name="_Toc226965718"/>
      <w:bookmarkStart w:id="282" w:name="_Toc164229369"/>
      <w:bookmarkStart w:id="283" w:name="_Toc164608797"/>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62C035F">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61A7966B">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1FC6C48D">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第三章《评审程序和评定成交的标准》中涉及的证明文件。</w:t>
      </w:r>
    </w:p>
    <w:p w14:paraId="03C139B5">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DF241A8">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供应商认为应附的其他材料。</w:t>
      </w:r>
      <w:bookmarkEnd w:id="284"/>
    </w:p>
    <w:p w14:paraId="624B9D82">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报价</w:t>
      </w:r>
    </w:p>
    <w:p w14:paraId="57A4F200">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所有响应均以人民币</w:t>
      </w:r>
      <w:r>
        <w:rPr>
          <w:rFonts w:hint="eastAsia" w:eastAsiaTheme="minorEastAsia"/>
          <w:sz w:val="24"/>
        </w:rPr>
        <w:t>为计价货币</w:t>
      </w:r>
      <w:r>
        <w:rPr>
          <w:sz w:val="24"/>
        </w:rPr>
        <w:t>。</w:t>
      </w:r>
    </w:p>
    <w:p w14:paraId="61B4D4B0">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14:paraId="4ED32BF1">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1AA6D32">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 xml:space="preserve">按照谈判文件要求完成本项目的全部相关费用。 </w:t>
      </w:r>
    </w:p>
    <w:p w14:paraId="68805855">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采购人不得向供应商索要或者接受其给予的赠品、回扣或者与采购无关的其他商品、服务。</w:t>
      </w:r>
    </w:p>
    <w:p w14:paraId="45EC1AF0">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供应商不能提供任何有选择性或可调整的最后报价（谈判文件另有规定的除外），否则其</w:t>
      </w:r>
      <w:r>
        <w:rPr>
          <w:b/>
          <w:bCs/>
          <w:sz w:val="24"/>
        </w:rPr>
        <w:t>响应无效</w:t>
      </w:r>
      <w:r>
        <w:rPr>
          <w:sz w:val="24"/>
        </w:rPr>
        <w:t>。</w:t>
      </w:r>
    </w:p>
    <w:p w14:paraId="3BC961BF">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保证金</w:t>
      </w:r>
    </w:p>
    <w:p w14:paraId="1B8C6D94">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14:paraId="3982FF7F">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交纳保证金可采用的形式：政府采购法律法规接受的支票、汇票、本票、网上银行支付或者金融机构、担保机构出具的保函等非现金形式。</w:t>
      </w:r>
    </w:p>
    <w:p w14:paraId="5CB3A6FD">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6"/>
      <w:r>
        <w:rPr>
          <w:rFonts w:hint="eastAsia"/>
          <w:sz w:val="24"/>
        </w:rPr>
        <w:t>未按上述要求缴纳保证金的</w:t>
      </w:r>
      <w:r>
        <w:rPr>
          <w:sz w:val="24"/>
        </w:rPr>
        <w:t>，其</w:t>
      </w:r>
      <w:r>
        <w:rPr>
          <w:b/>
          <w:bCs/>
          <w:sz w:val="24"/>
        </w:rPr>
        <w:t>响应无效</w:t>
      </w:r>
      <w:r>
        <w:rPr>
          <w:sz w:val="24"/>
        </w:rPr>
        <w:t>。</w:t>
      </w:r>
    </w:p>
    <w:p w14:paraId="0B35850F">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70A76396">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保证金有效期同响应有效期。</w:t>
      </w:r>
    </w:p>
    <w:p w14:paraId="625F73C3">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供应商为联合体的，可以由联合体中的一方或者多方共同交纳保证金，其交纳的保证金对联合体各方均具有约束力。</w:t>
      </w:r>
    </w:p>
    <w:p w14:paraId="1C6D41D2">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采购人、采购代理机构将及时退还供应商的保证金，</w:t>
      </w:r>
      <w:r>
        <w:rPr>
          <w:rFonts w:eastAsiaTheme="minorEastAsia"/>
          <w:sz w:val="24"/>
        </w:rPr>
        <w:t>采用银行保函、担保机构担保函等形式递交的保证金，经供应商同意后采购人、采购代理机构可以不再退还，</w:t>
      </w:r>
      <w:r>
        <w:rPr>
          <w:sz w:val="24"/>
        </w:rPr>
        <w:t>但因供应商自身原因导致无法及时退还的除外：</w:t>
      </w:r>
    </w:p>
    <w:p w14:paraId="5F13D339">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已提交响应文件的供应商，在提交最后报价之前退出谈判的，采购人、采购代理机构将退还退出谈判的供应商的保证金；</w:t>
      </w:r>
    </w:p>
    <w:p w14:paraId="37FF6AA8">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成交供应商的保证金，自采购合同签订之日起5个工作日内退还成交供应商；</w:t>
      </w:r>
    </w:p>
    <w:p w14:paraId="617ABF8F">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未成交供应商的保证金，自成交通知书发出之日起5个工作日内退还未成交供应商。</w:t>
      </w:r>
    </w:p>
    <w:p w14:paraId="0834E386">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有下列情形之一的，采购人或采购代理机构不予退还保证金：</w:t>
      </w:r>
    </w:p>
    <w:p w14:paraId="5EB43D71">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 xml:space="preserve">供应商在响应文件提交截止时间后撤回响应文件的； </w:t>
      </w:r>
    </w:p>
    <w:p w14:paraId="09AACDBD">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 xml:space="preserve">供应商在响应文件中提供虚假材料的； </w:t>
      </w:r>
    </w:p>
    <w:p w14:paraId="29CF3B1A">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 xml:space="preserve">除因不可抗力或谈判文件认可的情形以外，成交供应商不与采购人签订合同的； </w:t>
      </w:r>
    </w:p>
    <w:p w14:paraId="662C1B64">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供应商与采购人、其他供应商或者采购代理机构恶意串通的；</w:t>
      </w:r>
    </w:p>
    <w:p w14:paraId="1BA5BA17">
      <w:pPr>
        <w:keepNext w:val="0"/>
        <w:keepLines w:val="0"/>
        <w:pageBreakBefore w:val="0"/>
        <w:widowControl w:val="0"/>
        <w:numPr>
          <w:ilvl w:val="2"/>
          <w:numId w:val="9"/>
        </w:numPr>
        <w:tabs>
          <w:tab w:val="left" w:pos="900"/>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《供应商须知资料表》中规定的其他情形。</w:t>
      </w:r>
    </w:p>
    <w:p w14:paraId="75BA6BCB">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响应有效期</w:t>
      </w:r>
    </w:p>
    <w:p w14:paraId="42A53CD1">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640ED409">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287" w:name="_Toc226965806"/>
      <w:bookmarkStart w:id="288" w:name="_Toc151193921"/>
      <w:bookmarkStart w:id="289" w:name="_Toc150774738"/>
      <w:bookmarkStart w:id="290" w:name="_Toc164229228"/>
      <w:bookmarkStart w:id="291" w:name="_Toc127151533"/>
      <w:bookmarkStart w:id="292" w:name="_Toc151193775"/>
      <w:bookmarkStart w:id="293" w:name="_Toc164608647"/>
      <w:bookmarkStart w:id="294" w:name="_Toc151193631"/>
      <w:bookmarkStart w:id="295" w:name="_Toc226309777"/>
      <w:bookmarkStart w:id="296" w:name="_Toc305158875"/>
      <w:bookmarkStart w:id="297" w:name="_Toc127151734"/>
      <w:bookmarkStart w:id="298" w:name="_Toc226965723"/>
      <w:bookmarkStart w:id="299" w:name="_Toc150774633"/>
      <w:bookmarkStart w:id="300" w:name="_Toc149720826"/>
      <w:bookmarkStart w:id="301" w:name="_Toc151193703"/>
      <w:bookmarkStart w:id="302" w:name="_Toc127161447"/>
      <w:bookmarkStart w:id="303" w:name="_Toc150480771"/>
      <w:bookmarkStart w:id="304" w:name="_Toc164608802"/>
      <w:bookmarkStart w:id="305" w:name="_Toc150509284"/>
      <w:bookmarkStart w:id="306" w:name="_Toc151193847"/>
      <w:bookmarkStart w:id="307" w:name="_Toc265228371"/>
      <w:bookmarkStart w:id="308" w:name="_Toc305158801"/>
      <w:bookmarkStart w:id="309" w:name="_Toc142311035"/>
      <w:bookmarkStart w:id="310" w:name="_Toc264969223"/>
      <w:bookmarkStart w:id="311" w:name="_Toc151190160"/>
      <w:bookmarkStart w:id="312" w:name="_Toc520356158"/>
      <w:bookmarkStart w:id="313" w:name="_Toc195842898"/>
      <w:bookmarkStart w:id="314" w:name="_Toc164351627"/>
      <w:bookmarkStart w:id="315" w:name="_Toc226337229"/>
      <w:bookmarkStart w:id="316" w:name="_Toc164229374"/>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14:paraId="69D1293C">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bookmarkStart w:id="317" w:name="_Toc142311036"/>
      <w:bookmarkStart w:id="318" w:name="_Toc151193776"/>
      <w:bookmarkStart w:id="319" w:name="_Toc150480772"/>
      <w:bookmarkStart w:id="320" w:name="_Toc150509285"/>
      <w:bookmarkStart w:id="321" w:name="_Toc151193848"/>
      <w:bookmarkStart w:id="322" w:name="_Toc226965724"/>
      <w:bookmarkStart w:id="323" w:name="_Toc305158802"/>
      <w:bookmarkStart w:id="324" w:name="_Toc226337230"/>
      <w:bookmarkStart w:id="325" w:name="_Toc265228372"/>
      <w:bookmarkStart w:id="326" w:name="_Toc305158876"/>
      <w:bookmarkStart w:id="327" w:name="_Toc195842899"/>
      <w:bookmarkStart w:id="328" w:name="_Toc520356159"/>
      <w:bookmarkStart w:id="329" w:name="_Toc151193922"/>
      <w:bookmarkStart w:id="330" w:name="_Toc264969224"/>
      <w:bookmarkStart w:id="331" w:name="_Toc226965807"/>
      <w:bookmarkStart w:id="332" w:name="_Toc226309778"/>
      <w:bookmarkStart w:id="333" w:name="_Toc127151534"/>
      <w:bookmarkStart w:id="334" w:name="_Toc151190161"/>
      <w:bookmarkStart w:id="335" w:name="_Toc150774634"/>
      <w:bookmarkStart w:id="336" w:name="_Toc151193632"/>
      <w:bookmarkStart w:id="337" w:name="_Toc150774739"/>
      <w:bookmarkStart w:id="338" w:name="_Toc151193704"/>
      <w:r>
        <w:rPr>
          <w:sz w:val="24"/>
        </w:rPr>
        <w:t>谈判文件要求签字的内容（如授权委托书等），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2EF001A2">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谈判文件要求盖章的内容，一般通过投标文件编制工具加盖电子签章。</w:t>
      </w:r>
    </w:p>
    <w:p w14:paraId="5E083AAB">
      <w:pPr>
        <w:tabs>
          <w:tab w:val="left" w:pos="900"/>
          <w:tab w:val="left" w:pos="1080"/>
        </w:tabs>
        <w:snapToGrid w:val="0"/>
        <w:spacing w:line="360" w:lineRule="auto"/>
        <w:ind w:left="357"/>
      </w:pPr>
    </w:p>
    <w:p w14:paraId="746D3421">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21CF0DE">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339" w:name="_Toc151193777"/>
      <w:bookmarkStart w:id="340" w:name="_Toc151193705"/>
      <w:bookmarkStart w:id="341" w:name="_Toc150774635"/>
      <w:bookmarkStart w:id="342" w:name="_Toc150774740"/>
      <w:bookmarkStart w:id="343" w:name="_Toc149720828"/>
      <w:bookmarkStart w:id="344" w:name="_Toc226965725"/>
      <w:bookmarkStart w:id="345" w:name="_Toc127151736"/>
      <w:bookmarkStart w:id="346" w:name="_Toc265228373"/>
      <w:bookmarkStart w:id="347" w:name="_Toc151193849"/>
      <w:bookmarkStart w:id="348" w:name="_Toc226309779"/>
      <w:bookmarkStart w:id="349" w:name="_Toc127151535"/>
      <w:bookmarkStart w:id="350" w:name="_Toc164608804"/>
      <w:bookmarkStart w:id="351" w:name="_Toc164229230"/>
      <w:bookmarkStart w:id="352" w:name="_Toc151193923"/>
      <w:bookmarkStart w:id="353" w:name="_Toc164229376"/>
      <w:bookmarkStart w:id="354" w:name="_Toc164608649"/>
      <w:bookmarkStart w:id="355" w:name="_Toc150509286"/>
      <w:bookmarkStart w:id="356" w:name="_Toc226337231"/>
      <w:bookmarkStart w:id="357" w:name="_Toc164351629"/>
      <w:bookmarkStart w:id="358" w:name="_Toc127161449"/>
      <w:bookmarkStart w:id="359" w:name="_Toc151193633"/>
      <w:bookmarkStart w:id="360" w:name="_Toc226965808"/>
      <w:bookmarkStart w:id="361" w:name="_Toc305158803"/>
      <w:bookmarkStart w:id="362" w:name="_Toc305158877"/>
      <w:bookmarkStart w:id="363" w:name="_Toc195842900"/>
      <w:bookmarkStart w:id="364" w:name="_Toc150480773"/>
      <w:bookmarkStart w:id="365" w:name="_Toc520356160"/>
      <w:bookmarkStart w:id="366" w:name="_Toc264969225"/>
      <w:bookmarkStart w:id="367" w:name="_Toc151190162"/>
      <w:bookmarkStart w:id="368" w:name="_Toc142311037"/>
      <w:r>
        <w:rPr>
          <w:sz w:val="24"/>
        </w:rPr>
        <w:t>响应文件的</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sz w:val="24"/>
        </w:rPr>
        <w:t>提交</w:t>
      </w:r>
    </w:p>
    <w:p w14:paraId="7984E8C1">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本项目使用北京市政府采购电子交易平台。供应商根据谈判文件及电子交易平台供应商操作手册要求编制、生成并提交电子响应文件。</w:t>
      </w:r>
    </w:p>
    <w:p w14:paraId="2332D7F6">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采购人及采购代理机构拒绝接受通过电子交易平台以外任何形式提交的</w:t>
      </w:r>
      <w:r>
        <w:rPr>
          <w:rFonts w:hint="eastAsia"/>
          <w:sz w:val="24"/>
        </w:rPr>
        <w:t>首次</w:t>
      </w:r>
      <w:r>
        <w:rPr>
          <w:sz w:val="24"/>
        </w:rPr>
        <w:t>响应文件，保证金除外。</w:t>
      </w:r>
    </w:p>
    <w:p w14:paraId="6C367202">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响应文件提交截止时间</w:t>
      </w:r>
    </w:p>
    <w:p w14:paraId="58BD861A">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供应商应在谈判文件要求响应文件提交截止时间前，将电子响应文件提交至电子交易平台。</w:t>
      </w:r>
    </w:p>
    <w:p w14:paraId="07276DC6">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369" w:name="_Toc150774637"/>
      <w:bookmarkStart w:id="370" w:name="_Toc520356162"/>
      <w:bookmarkStart w:id="371" w:name="_Toc142311039"/>
      <w:bookmarkStart w:id="372" w:name="_Toc149720830"/>
      <w:bookmarkStart w:id="373" w:name="_Toc151193635"/>
      <w:bookmarkStart w:id="374" w:name="_Toc150480775"/>
      <w:bookmarkStart w:id="375" w:name="_Toc164229378"/>
      <w:bookmarkStart w:id="376" w:name="_Toc305158879"/>
      <w:bookmarkStart w:id="377" w:name="_Toc264969227"/>
      <w:bookmarkStart w:id="378" w:name="_Toc226309781"/>
      <w:bookmarkStart w:id="379" w:name="_Toc164608806"/>
      <w:bookmarkStart w:id="380" w:name="_Toc150774742"/>
      <w:bookmarkStart w:id="381" w:name="_Toc305158805"/>
      <w:bookmarkStart w:id="382" w:name="_Toc151190164"/>
      <w:bookmarkStart w:id="383" w:name="_Toc195842902"/>
      <w:bookmarkStart w:id="384" w:name="_Toc164608651"/>
      <w:bookmarkStart w:id="385" w:name="_Toc164351631"/>
      <w:bookmarkStart w:id="386" w:name="_Toc127151537"/>
      <w:bookmarkStart w:id="387" w:name="_Toc151193707"/>
      <w:bookmarkStart w:id="388" w:name="_Toc127151738"/>
      <w:bookmarkStart w:id="389" w:name="_Toc150509288"/>
      <w:bookmarkStart w:id="390" w:name="_Toc127161451"/>
      <w:bookmarkStart w:id="391" w:name="_Toc151193925"/>
      <w:bookmarkStart w:id="392" w:name="_Toc226337233"/>
      <w:bookmarkStart w:id="393" w:name="_Toc226965727"/>
      <w:bookmarkStart w:id="394" w:name="_Toc226965810"/>
      <w:bookmarkStart w:id="395" w:name="_Toc164229232"/>
      <w:bookmarkStart w:id="396" w:name="_Toc151193779"/>
      <w:bookmarkStart w:id="397" w:name="_Toc151193851"/>
      <w:bookmarkStart w:id="398" w:name="_Toc265228375"/>
      <w:r>
        <w:rPr>
          <w:sz w:val="24"/>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E3503A9">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响应文件提交截止时间前，供应商可以通过电子交易平台对所提交的响应文件进行补充、修改或者撤回。</w:t>
      </w:r>
      <w:r>
        <w:rPr>
          <w:rFonts w:eastAsiaTheme="minorEastAsia"/>
          <w:color w:val="000000"/>
          <w:sz w:val="24"/>
        </w:rPr>
        <w:t>保证金的补充、修改或者撤回</w:t>
      </w:r>
      <w:r>
        <w:rPr>
          <w:sz w:val="24"/>
        </w:rPr>
        <w:t>无需通过电子交易平台，但应就其补充、修改或者撤回通知采购人或采购代理机构</w:t>
      </w:r>
      <w:r>
        <w:rPr>
          <w:rFonts w:eastAsiaTheme="minorEastAsia"/>
          <w:color w:val="000000"/>
          <w:sz w:val="24"/>
        </w:rPr>
        <w:t>。</w:t>
      </w:r>
    </w:p>
    <w:p w14:paraId="1C931799">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供应商对响应文件的补充、修改的内容应当按照谈判文件要求签署、盖章，作为响应文件的组成部分。补充、修改的内容与响应文件不一致的，以补充、修改的内容为准。</w:t>
      </w:r>
    </w:p>
    <w:p w14:paraId="2155FF92">
      <w:pPr>
        <w:spacing w:line="360" w:lineRule="auto"/>
        <w:rPr>
          <w:sz w:val="24"/>
        </w:rPr>
      </w:pPr>
    </w:p>
    <w:p w14:paraId="02E90E4B">
      <w:pPr>
        <w:pStyle w:val="3"/>
        <w:spacing w:before="0" w:line="360" w:lineRule="auto"/>
        <w:rPr>
          <w:rFonts w:ascii="Times New Roman" w:hAnsi="Times New Roman" w:eastAsia="宋体"/>
          <w:sz w:val="28"/>
        </w:rPr>
      </w:pPr>
      <w:bookmarkStart w:id="399" w:name="_Toc150774743"/>
      <w:bookmarkStart w:id="400" w:name="_Toc226965811"/>
      <w:bookmarkStart w:id="401" w:name="_Toc142311040"/>
      <w:bookmarkStart w:id="402" w:name="_Toc150480776"/>
      <w:bookmarkStart w:id="403" w:name="_Toc150509289"/>
      <w:bookmarkStart w:id="404" w:name="_Toc151193780"/>
      <w:bookmarkStart w:id="405" w:name="_Toc151193926"/>
      <w:bookmarkStart w:id="406" w:name="_Toc265228376"/>
      <w:bookmarkStart w:id="407" w:name="_Toc305158806"/>
      <w:bookmarkStart w:id="408" w:name="_Toc151193708"/>
      <w:bookmarkStart w:id="409" w:name="_Toc150774638"/>
      <w:bookmarkStart w:id="410" w:name="_Toc226337234"/>
      <w:bookmarkStart w:id="411" w:name="_Toc226309782"/>
      <w:bookmarkStart w:id="412" w:name="_Toc151190165"/>
      <w:bookmarkStart w:id="413" w:name="_Toc195842903"/>
      <w:bookmarkStart w:id="414" w:name="_Toc226965728"/>
      <w:bookmarkStart w:id="415" w:name="_Toc264969228"/>
      <w:bookmarkStart w:id="416" w:name="_Toc151193636"/>
      <w:bookmarkStart w:id="417" w:name="_Toc127151538"/>
      <w:bookmarkStart w:id="418" w:name="_Toc151193852"/>
      <w:bookmarkStart w:id="419" w:name="_Toc305158880"/>
      <w:bookmarkStart w:id="420" w:name="_Toc520356163"/>
      <w:r>
        <w:rPr>
          <w:rFonts w:ascii="Times New Roman" w:hAnsi="Times New Roman" w:eastAsia="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Start w:id="421" w:name="_Hlk97413571"/>
      <w:r>
        <w:rPr>
          <w:rFonts w:ascii="Times New Roman" w:hAnsi="Times New Roman" w:eastAsia="宋体"/>
          <w:sz w:val="28"/>
        </w:rPr>
        <w:t>评审</w:t>
      </w:r>
      <w:bookmarkEnd w:id="421"/>
    </w:p>
    <w:p w14:paraId="6F4C1A88">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422" w:name="_Toc249515416"/>
      <w:bookmarkStart w:id="423" w:name="_Toc493711048"/>
      <w:bookmarkStart w:id="424" w:name="_Toc249515304"/>
      <w:bookmarkStart w:id="425" w:name="_Toc461642305"/>
      <w:bookmarkStart w:id="426" w:name="_Toc249525185"/>
      <w:bookmarkStart w:id="427" w:name="_Toc501504681"/>
      <w:bookmarkStart w:id="428" w:name="_Toc493661679"/>
      <w:bookmarkStart w:id="429" w:name="_Toc388010432"/>
      <w:bookmarkStart w:id="430" w:name="_Toc501547521"/>
      <w:bookmarkStart w:id="431" w:name="_Toc493590991"/>
      <w:bookmarkStart w:id="432" w:name="_Toc501505903"/>
      <w:r>
        <w:rPr>
          <w:color w:val="000000"/>
          <w:sz w:val="24"/>
        </w:rPr>
        <w:t>解密</w:t>
      </w:r>
      <w:bookmarkEnd w:id="422"/>
      <w:bookmarkEnd w:id="423"/>
      <w:bookmarkEnd w:id="424"/>
      <w:bookmarkEnd w:id="425"/>
      <w:bookmarkEnd w:id="426"/>
      <w:bookmarkEnd w:id="427"/>
      <w:bookmarkEnd w:id="428"/>
      <w:bookmarkEnd w:id="429"/>
      <w:bookmarkEnd w:id="430"/>
      <w:bookmarkEnd w:id="431"/>
      <w:bookmarkEnd w:id="432"/>
    </w:p>
    <w:p w14:paraId="25FBD860">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color w:val="000000"/>
          <w:sz w:val="24"/>
        </w:rPr>
        <w:t>采购人或采购代理机构将按谈判文件的规定，在响应文件提交截止时间的同一时间和《供应商须知资料表》约定的地点组织解密。</w:t>
      </w:r>
    </w:p>
    <w:p w14:paraId="196378B4">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color w:val="000000"/>
          <w:sz w:val="24"/>
        </w:rPr>
        <w:t>本项目解密使用北京市政府采购电子交易平台。供应商应在</w:t>
      </w:r>
      <w:r>
        <w:rPr>
          <w:rFonts w:eastAsiaTheme="minorEastAsia"/>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p>
    <w:p w14:paraId="30906F9A">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5C631E9E">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rFonts w:hint="eastAsia" w:eastAsiaTheme="minorEastAsia"/>
          <w:sz w:val="24"/>
        </w:rPr>
        <w:t>供应商不足</w:t>
      </w:r>
      <w:r>
        <w:rPr>
          <w:rFonts w:eastAsiaTheme="minorEastAsia"/>
          <w:sz w:val="24"/>
        </w:rPr>
        <w:t>3</w:t>
      </w:r>
      <w:r>
        <w:rPr>
          <w:rFonts w:hint="eastAsia" w:eastAsiaTheme="minorEastAsia"/>
          <w:sz w:val="24"/>
        </w:rPr>
        <w:t>家的，不予解密</w:t>
      </w:r>
      <w:r>
        <w:rPr>
          <w:sz w:val="24"/>
        </w:rPr>
        <w:t>，但《政府采购非招标采购方式管理办法》第二十七条第二款规定的情形除外</w:t>
      </w:r>
      <w:r>
        <w:rPr>
          <w:rFonts w:hint="eastAsia" w:eastAsiaTheme="minorEastAsia"/>
          <w:sz w:val="24"/>
        </w:rPr>
        <w:t>。</w:t>
      </w:r>
    </w:p>
    <w:p w14:paraId="27C922B4">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color w:val="000000"/>
          <w:sz w:val="24"/>
        </w:rPr>
        <w:t>本项目不公开报价</w:t>
      </w:r>
      <w:r>
        <w:rPr>
          <w:sz w:val="24"/>
        </w:rPr>
        <w:t>。</w:t>
      </w:r>
    </w:p>
    <w:p w14:paraId="1B2176B7">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433" w:name="_Toc226965813"/>
      <w:bookmarkStart w:id="434" w:name="_Toc151193638"/>
      <w:bookmarkStart w:id="435" w:name="_Toc127161454"/>
      <w:bookmarkStart w:id="436" w:name="_Toc142311042"/>
      <w:bookmarkStart w:id="437" w:name="_Toc305158882"/>
      <w:bookmarkStart w:id="438" w:name="_Toc226309784"/>
      <w:bookmarkStart w:id="439" w:name="_Toc164608809"/>
      <w:bookmarkStart w:id="440" w:name="_Toc151193710"/>
      <w:bookmarkStart w:id="441" w:name="_Toc265228378"/>
      <w:bookmarkStart w:id="442" w:name="_Toc150480778"/>
      <w:bookmarkStart w:id="443" w:name="_Toc226965730"/>
      <w:bookmarkStart w:id="444" w:name="_Toc164351634"/>
      <w:bookmarkStart w:id="445" w:name="_Toc127151741"/>
      <w:bookmarkStart w:id="446" w:name="_Toc151193782"/>
      <w:bookmarkStart w:id="447" w:name="_Toc264969230"/>
      <w:bookmarkStart w:id="448" w:name="_Toc164229381"/>
      <w:bookmarkStart w:id="449" w:name="_Toc127151540"/>
      <w:bookmarkStart w:id="450" w:name="_Toc305158808"/>
      <w:bookmarkStart w:id="451" w:name="_Toc151190167"/>
      <w:bookmarkStart w:id="452" w:name="_Toc151193854"/>
      <w:bookmarkStart w:id="453" w:name="_Toc164229235"/>
      <w:bookmarkStart w:id="454" w:name="_Toc149720833"/>
      <w:bookmarkStart w:id="455" w:name="_Toc151193928"/>
      <w:bookmarkStart w:id="456" w:name="_Toc150774745"/>
      <w:bookmarkStart w:id="457" w:name="_Toc150774640"/>
      <w:bookmarkStart w:id="458" w:name="_Toc195842905"/>
      <w:bookmarkStart w:id="459" w:name="_Toc164608654"/>
      <w:bookmarkStart w:id="460" w:name="_Toc150509291"/>
      <w:bookmarkStart w:id="461" w:name="_Toc226337236"/>
      <w:r>
        <w:rPr>
          <w:sz w:val="24"/>
        </w:rPr>
        <w:t>谈判小组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6DF46BD">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谈判小组根据政府采购有关规定和本次采购项目的特点进行组建，并负责具体评审与谈判事务，独立履行职责。</w:t>
      </w:r>
      <w:bookmarkStart w:id="462" w:name="_Toc520356166"/>
    </w:p>
    <w:p w14:paraId="1E064A54">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0FF3DC1C">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464" w:name="_Hlk97413435"/>
      <w:r>
        <w:rPr>
          <w:sz w:val="24"/>
        </w:rPr>
        <w:t>评审程序和评定成交的标准</w:t>
      </w:r>
    </w:p>
    <w:p w14:paraId="0093B557">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bookmarkStart w:id="465" w:name="_Toc83547671"/>
      <w:r>
        <w:rPr>
          <w:sz w:val="24"/>
        </w:rPr>
        <w:t>见第三章《评审程序和评定成交的标准》。</w:t>
      </w:r>
    </w:p>
    <w:bookmarkEnd w:id="464"/>
    <w:bookmarkEnd w:id="465"/>
    <w:p w14:paraId="3167CED9">
      <w:pPr>
        <w:tabs>
          <w:tab w:val="left" w:pos="360"/>
          <w:tab w:val="left" w:pos="1080"/>
        </w:tabs>
        <w:snapToGrid w:val="0"/>
        <w:spacing w:line="360" w:lineRule="auto"/>
        <w:ind w:left="1080"/>
        <w:rPr>
          <w:sz w:val="24"/>
        </w:rPr>
      </w:pPr>
    </w:p>
    <w:p w14:paraId="69DB21EA">
      <w:pPr>
        <w:pStyle w:val="3"/>
        <w:spacing w:before="0" w:line="360" w:lineRule="auto"/>
        <w:rPr>
          <w:rFonts w:ascii="Times New Roman" w:hAnsi="Times New Roman" w:eastAsia="宋体"/>
          <w:sz w:val="28"/>
        </w:rPr>
      </w:pPr>
      <w:bookmarkStart w:id="466" w:name="_Toc226309789"/>
      <w:bookmarkStart w:id="467" w:name="_Toc151190172"/>
      <w:bookmarkStart w:id="468" w:name="_Toc150774750"/>
      <w:bookmarkStart w:id="469" w:name="_Toc305158887"/>
      <w:bookmarkStart w:id="470" w:name="_Toc151193715"/>
      <w:bookmarkStart w:id="471" w:name="_Toc195842910"/>
      <w:bookmarkStart w:id="472" w:name="_Toc265228383"/>
      <w:bookmarkStart w:id="473" w:name="_Toc127151545"/>
      <w:bookmarkStart w:id="474" w:name="_Toc151193933"/>
      <w:bookmarkStart w:id="475" w:name="_Toc150509296"/>
      <w:bookmarkStart w:id="476" w:name="_Toc226337241"/>
      <w:bookmarkStart w:id="477" w:name="_Toc142311047"/>
      <w:bookmarkStart w:id="478" w:name="_Toc150774645"/>
      <w:bookmarkStart w:id="479" w:name="_Toc151193643"/>
      <w:bookmarkStart w:id="480" w:name="_Toc264969235"/>
      <w:bookmarkStart w:id="481" w:name="_Toc226965735"/>
      <w:bookmarkStart w:id="482" w:name="_Toc150480783"/>
      <w:bookmarkStart w:id="483" w:name="_Toc151193787"/>
      <w:bookmarkStart w:id="484" w:name="_Toc226965818"/>
      <w:bookmarkStart w:id="485" w:name="_Toc305158813"/>
      <w:bookmarkStart w:id="486" w:name="_Toc151193859"/>
      <w:r>
        <w:rPr>
          <w:rFonts w:ascii="Times New Roman" w:hAnsi="Times New Roman" w:eastAsia="宋体"/>
          <w:sz w:val="28"/>
        </w:rPr>
        <w:t xml:space="preserve">六   </w:t>
      </w:r>
      <w:bookmarkEnd w:id="463"/>
      <w:r>
        <w:rPr>
          <w:rFonts w:ascii="Times New Roman" w:hAnsi="Times New Roman" w:eastAsia="宋体"/>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eastAsia="宋体"/>
          <w:sz w:val="28"/>
        </w:rPr>
        <w:t>成交</w:t>
      </w:r>
    </w:p>
    <w:p w14:paraId="2EECE0C8">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487" w:name="_Toc226965737"/>
      <w:bookmarkStart w:id="488" w:name="_Toc265228385"/>
      <w:bookmarkStart w:id="489" w:name="_Toc142311049"/>
      <w:bookmarkStart w:id="490" w:name="_Toc150480785"/>
      <w:bookmarkStart w:id="491" w:name="_Toc305158889"/>
      <w:bookmarkStart w:id="492" w:name="_Toc127151748"/>
      <w:bookmarkStart w:id="493" w:name="_Toc149720840"/>
      <w:bookmarkStart w:id="494" w:name="_Toc305158815"/>
      <w:bookmarkStart w:id="495" w:name="_Toc151190174"/>
      <w:bookmarkStart w:id="496" w:name="_Toc195842912"/>
      <w:bookmarkStart w:id="497" w:name="_Toc226337243"/>
      <w:bookmarkStart w:id="498" w:name="_Toc164608661"/>
      <w:bookmarkStart w:id="499" w:name="_Toc226309791"/>
      <w:bookmarkStart w:id="500" w:name="_Toc164229242"/>
      <w:bookmarkStart w:id="501" w:name="_Toc151193789"/>
      <w:bookmarkStart w:id="502" w:name="_Toc127151547"/>
      <w:bookmarkStart w:id="503" w:name="_Toc127161461"/>
      <w:bookmarkStart w:id="504" w:name="_Toc151193935"/>
      <w:bookmarkStart w:id="505" w:name="_Toc226965820"/>
      <w:bookmarkStart w:id="506" w:name="_Toc150509298"/>
      <w:bookmarkStart w:id="507" w:name="_Toc264969237"/>
      <w:bookmarkStart w:id="508" w:name="_Toc150774647"/>
      <w:bookmarkStart w:id="509" w:name="_Toc151193645"/>
      <w:bookmarkStart w:id="510" w:name="_Toc164351641"/>
      <w:bookmarkStart w:id="511" w:name="_Toc151193717"/>
      <w:bookmarkStart w:id="512" w:name="_Toc164608816"/>
      <w:bookmarkStart w:id="513" w:name="_Toc151193861"/>
      <w:bookmarkStart w:id="514" w:name="_Toc150774752"/>
      <w:bookmarkStart w:id="515" w:name="_Toc164229388"/>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32F5265">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14:paraId="18E198A1">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516" w:name="_Toc305158891"/>
      <w:bookmarkStart w:id="517" w:name="_Toc305158817"/>
      <w:bookmarkStart w:id="518" w:name="_Toc264969239"/>
      <w:bookmarkStart w:id="519" w:name="_Toc127151549"/>
      <w:bookmarkStart w:id="520" w:name="_Toc150774649"/>
      <w:bookmarkStart w:id="521" w:name="_Toc164608663"/>
      <w:bookmarkStart w:id="522" w:name="_Toc151193791"/>
      <w:bookmarkStart w:id="523" w:name="_Toc226965739"/>
      <w:bookmarkStart w:id="524" w:name="_Toc151190176"/>
      <w:bookmarkStart w:id="525" w:name="_Toc127161463"/>
      <w:bookmarkStart w:id="526" w:name="_Toc265228387"/>
      <w:bookmarkStart w:id="527" w:name="_Toc127151750"/>
      <w:bookmarkStart w:id="528" w:name="_Toc151193647"/>
      <w:bookmarkStart w:id="529" w:name="_Toc226309793"/>
      <w:bookmarkStart w:id="530" w:name="_Toc149720842"/>
      <w:bookmarkStart w:id="531" w:name="_Toc164608818"/>
      <w:bookmarkStart w:id="532" w:name="_Toc164229390"/>
      <w:bookmarkStart w:id="533" w:name="_Toc226965822"/>
      <w:bookmarkStart w:id="534" w:name="_Toc150509300"/>
      <w:bookmarkStart w:id="535" w:name="_Toc195842914"/>
      <w:bookmarkStart w:id="536" w:name="_Toc150774754"/>
      <w:bookmarkStart w:id="537" w:name="_Toc142311051"/>
      <w:bookmarkStart w:id="538" w:name="_Toc151193863"/>
      <w:bookmarkStart w:id="539" w:name="_Toc151193719"/>
      <w:bookmarkStart w:id="540" w:name="_Toc164351643"/>
      <w:bookmarkStart w:id="541" w:name="_Toc164229244"/>
      <w:bookmarkStart w:id="542" w:name="_Toc150480787"/>
      <w:bookmarkStart w:id="543" w:name="_Toc151193937"/>
      <w:bookmarkStart w:id="544" w:name="_Toc226337245"/>
      <w:bookmarkStart w:id="545" w:name="_Ref467307090"/>
      <w:bookmarkStart w:id="546" w:name="_Toc520356176"/>
      <w:bookmarkStart w:id="547" w:name="_Ref467306425"/>
      <w:r>
        <w:rPr>
          <w:sz w:val="24"/>
        </w:rPr>
        <w:t>成交公告与成交通知书</w:t>
      </w:r>
      <w:bookmarkEnd w:id="516"/>
      <w:bookmarkEnd w:id="517"/>
    </w:p>
    <w:p w14:paraId="5E0B36B8">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color w:val="000000"/>
          <w:sz w:val="24"/>
        </w:rPr>
        <w:t>采购人或采购代理机构将在成交供应商确定后2个工作日内，在</w:t>
      </w:r>
      <w:r>
        <w:rPr>
          <w:rFonts w:eastAsiaTheme="minorEastAsia"/>
          <w:sz w:val="24"/>
        </w:rPr>
        <w:t>北京市政府采购网</w:t>
      </w:r>
      <w:r>
        <w:rPr>
          <w:color w:val="000000"/>
          <w:sz w:val="24"/>
        </w:rPr>
        <w:t>公告成交结果，同时向成交供应商发出成交通知书，成交公告期限为1个工作日。</w:t>
      </w:r>
    </w:p>
    <w:p w14:paraId="028424F9">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0111BA31">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bookmarkStart w:id="548" w:name="_Toc142311052"/>
      <w:bookmarkStart w:id="549" w:name="_Ref467306978"/>
      <w:bookmarkStart w:id="550" w:name="_Toc150509301"/>
      <w:bookmarkStart w:id="551" w:name="_Toc127151751"/>
      <w:bookmarkStart w:id="552" w:name="_Toc151193720"/>
      <w:bookmarkStart w:id="553" w:name="_Toc265228388"/>
      <w:bookmarkStart w:id="554" w:name="_Toc164608819"/>
      <w:bookmarkStart w:id="555" w:name="_Toc226965823"/>
      <w:bookmarkStart w:id="556" w:name="_Toc164229391"/>
      <w:bookmarkStart w:id="557" w:name="_Ref467306377"/>
      <w:bookmarkStart w:id="558" w:name="_Toc127151550"/>
      <w:bookmarkStart w:id="559" w:name="_Toc151193938"/>
      <w:bookmarkStart w:id="560" w:name="_Toc520356175"/>
      <w:bookmarkStart w:id="561" w:name="_Toc151193792"/>
      <w:bookmarkStart w:id="562" w:name="_Toc226337246"/>
      <w:bookmarkStart w:id="563" w:name="_Toc164229245"/>
      <w:bookmarkStart w:id="564" w:name="_Toc305158892"/>
      <w:bookmarkStart w:id="565" w:name="_Toc164608664"/>
      <w:bookmarkStart w:id="566" w:name="_Toc150774755"/>
      <w:bookmarkStart w:id="567" w:name="_Toc151193648"/>
      <w:bookmarkStart w:id="568" w:name="_Toc164351644"/>
      <w:bookmarkStart w:id="569" w:name="_Toc226965740"/>
      <w:bookmarkStart w:id="570" w:name="_Toc151193864"/>
      <w:bookmarkStart w:id="571" w:name="_Toc150480788"/>
      <w:bookmarkStart w:id="572" w:name="_Toc151190177"/>
      <w:bookmarkStart w:id="573" w:name="_Toc305158818"/>
      <w:bookmarkStart w:id="574" w:name="_Toc264969240"/>
      <w:bookmarkStart w:id="575" w:name="_Toc150774650"/>
      <w:bookmarkStart w:id="576" w:name="_Toc195842915"/>
      <w:bookmarkStart w:id="577" w:name="_Ref467307062"/>
      <w:bookmarkStart w:id="578" w:name="_Toc226309794"/>
      <w:bookmarkStart w:id="579" w:name="_Toc127161464"/>
      <w:bookmarkStart w:id="580" w:name="_Toc149720843"/>
      <w:bookmarkStart w:id="581" w:name="_Ref467307204"/>
      <w:r>
        <w:rPr>
          <w:sz w:val="24"/>
        </w:rPr>
        <w:t>终止</w:t>
      </w:r>
    </w:p>
    <w:p w14:paraId="184FBFB4">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color w:val="000000"/>
          <w:sz w:val="24"/>
        </w:rPr>
      </w:pPr>
      <w:r>
        <w:rPr>
          <w:color w:val="000000"/>
          <w:sz w:val="24"/>
        </w:rPr>
        <w:t>出现下列情形之一的，采购人或采购代理机构将终止竞争性谈判采购活动，发布项目终止公告并说明原因，重新开展采购活动：</w:t>
      </w:r>
    </w:p>
    <w:p w14:paraId="71EF8067">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因情况变化，不再符合规定的竞争性谈判采购方式适用情形的；</w:t>
      </w:r>
    </w:p>
    <w:p w14:paraId="6CB702F8">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出现影响采购公正的违法、违规行为的；</w:t>
      </w:r>
    </w:p>
    <w:p w14:paraId="5EEC27EB">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在采购过程中符合竞争要求的供应商或者报价未超过采购预算的供应商不足3 家的，但《政府采购非招标采购方式管理办法》第二十七条第二款规定的情形除外。</w:t>
      </w:r>
    </w:p>
    <w:p w14:paraId="5F22B93A">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D9D7A36">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294FD8AB">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69B44BEE">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联合体成交的，联合体各方应当共同与采购人签订合同，就采购合同约定的事项向采购人承担连带责任。</w:t>
      </w:r>
    </w:p>
    <w:p w14:paraId="5C3CFB2C">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政府采购合同不能转包。</w:t>
      </w:r>
    </w:p>
    <w:p w14:paraId="2BED0168">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5455C440">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bookmarkStart w:id="582"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5"/>
    <w:bookmarkEnd w:id="546"/>
    <w:bookmarkEnd w:id="547"/>
    <w:bookmarkEnd w:id="582"/>
    <w:p w14:paraId="11F81A19">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询问与质疑</w:t>
      </w:r>
    </w:p>
    <w:p w14:paraId="709A7B6E">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询问</w:t>
      </w:r>
    </w:p>
    <w:p w14:paraId="70E70436">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78018FFB">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采购人或采购代理机构对供应商依法提出的询问，在3个工作日内作出答复，但答复的内容不得涉及商业秘密。</w:t>
      </w:r>
    </w:p>
    <w:p w14:paraId="2BEE69DF">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质疑</w:t>
      </w:r>
    </w:p>
    <w:p w14:paraId="4C97ECE0">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D29A3D9">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FEF277D">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39C85B8">
      <w:pPr>
        <w:keepNext w:val="0"/>
        <w:keepLines w:val="0"/>
        <w:pageBreakBefore w:val="0"/>
        <w:widowControl w:val="0"/>
        <w:numPr>
          <w:ilvl w:val="2"/>
          <w:numId w:val="9"/>
        </w:numPr>
        <w:kinsoku/>
        <w:wordWrap/>
        <w:overflowPunct/>
        <w:topLinePunct w:val="0"/>
        <w:autoSpaceDE/>
        <w:autoSpaceDN/>
        <w:bidi w:val="0"/>
        <w:adjustRightInd/>
        <w:snapToGrid w:val="0"/>
        <w:spacing w:line="360" w:lineRule="auto"/>
        <w:ind w:left="0" w:firstLine="0"/>
        <w:textAlignment w:val="auto"/>
        <w:rPr>
          <w:sz w:val="24"/>
        </w:rPr>
      </w:pPr>
      <w:r>
        <w:rPr>
          <w:sz w:val="24"/>
        </w:rPr>
        <w:t>供应商应在法定质疑期内一次性提出针对同一采购程序环节的质疑，法定质疑期内针对同一采购程序环节再次提出的质疑，采购人、采购代理机构有权不予答复。</w:t>
      </w:r>
    </w:p>
    <w:p w14:paraId="7DA59E5C">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接收询问和质疑的联系部门、联系电话和通讯地址见《供应商须知资料表》。</w:t>
      </w:r>
    </w:p>
    <w:p w14:paraId="124D1A09">
      <w:pPr>
        <w:keepNext w:val="0"/>
        <w:keepLines w:val="0"/>
        <w:pageBreakBefore w:val="0"/>
        <w:widowControl w:val="0"/>
        <w:numPr>
          <w:ilvl w:val="0"/>
          <w:numId w:val="9"/>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代理费</w:t>
      </w:r>
    </w:p>
    <w:p w14:paraId="5EAC3A15">
      <w:pPr>
        <w:keepNext w:val="0"/>
        <w:keepLines w:val="0"/>
        <w:pageBreakBefore w:val="0"/>
        <w:widowControl w:val="0"/>
        <w:numPr>
          <w:ilvl w:val="1"/>
          <w:numId w:val="9"/>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收费对象、收费标准及缴纳时间见《供应商须知资料表》。由成交供应商支付的，成交供应商须一次性向采购代理机构缴纳代理费，报价应包含代理费用。</w:t>
      </w:r>
    </w:p>
    <w:p w14:paraId="3E51D214">
      <w:pPr>
        <w:tabs>
          <w:tab w:val="left" w:pos="360"/>
          <w:tab w:val="left" w:pos="1080"/>
        </w:tabs>
        <w:snapToGrid w:val="0"/>
        <w:spacing w:line="360" w:lineRule="auto"/>
        <w:ind w:left="360"/>
        <w:rPr>
          <w:sz w:val="24"/>
        </w:rPr>
      </w:pPr>
    </w:p>
    <w:p w14:paraId="22FB1AFC">
      <w:pPr>
        <w:spacing w:line="360" w:lineRule="auto"/>
        <w:jc w:val="center"/>
        <w:outlineLvl w:val="0"/>
        <w:rPr>
          <w:b/>
          <w:sz w:val="36"/>
          <w:szCs w:val="36"/>
        </w:rPr>
      </w:pPr>
      <w:bookmarkStart w:id="583" w:name="_Toc150774759"/>
      <w:bookmarkStart w:id="584" w:name="_Toc353873934"/>
      <w:bookmarkStart w:id="585" w:name="_Toc265228392"/>
      <w:bookmarkStart w:id="586" w:name="_Toc127151554"/>
      <w:bookmarkStart w:id="587" w:name="_Toc226965827"/>
      <w:bookmarkStart w:id="588" w:name="_Toc142311056"/>
      <w:bookmarkStart w:id="589" w:name="_Toc353825544"/>
      <w:bookmarkStart w:id="590" w:name="_Toc264969244"/>
      <w:bookmarkStart w:id="591" w:name="_Toc305158822"/>
      <w:bookmarkStart w:id="592" w:name="_Toc226337250"/>
      <w:bookmarkStart w:id="593" w:name="_Toc353873664"/>
      <w:bookmarkStart w:id="594" w:name="_Toc150480792"/>
      <w:bookmarkStart w:id="595" w:name="_Toc305158896"/>
      <w:r>
        <w:rPr>
          <w:sz w:val="24"/>
        </w:rPr>
        <w:br w:type="page"/>
      </w:r>
      <w:bookmarkStart w:id="596" w:name="_Toc99301375"/>
      <w:r>
        <w:rPr>
          <w:b/>
          <w:sz w:val="36"/>
          <w:szCs w:val="36"/>
        </w:rPr>
        <w:t xml:space="preserve">第三章   </w:t>
      </w:r>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7" w:name="_Hlk97413531"/>
      <w:bookmarkStart w:id="598" w:name="_Toc487900382"/>
      <w:r>
        <w:rPr>
          <w:b/>
          <w:sz w:val="36"/>
          <w:szCs w:val="36"/>
        </w:rPr>
        <w:t>评审程序和</w:t>
      </w:r>
      <w:bookmarkEnd w:id="597"/>
      <w:r>
        <w:rPr>
          <w:b/>
          <w:sz w:val="36"/>
          <w:szCs w:val="36"/>
        </w:rPr>
        <w:t>评定成交的标准</w:t>
      </w:r>
      <w:bookmarkEnd w:id="596"/>
    </w:p>
    <w:p w14:paraId="18AD5F69">
      <w:pPr>
        <w:keepNext w:val="0"/>
        <w:keepLines w:val="0"/>
        <w:pageBreakBefore w:val="0"/>
        <w:widowControl w:val="0"/>
        <w:numPr>
          <w:ilvl w:val="0"/>
          <w:numId w:val="13"/>
        </w:numPr>
        <w:tabs>
          <w:tab w:val="left" w:pos="360"/>
        </w:tabs>
        <w:kinsoku/>
        <w:wordWrap/>
        <w:overflowPunct/>
        <w:topLinePunct w:val="0"/>
        <w:autoSpaceDE/>
        <w:autoSpaceDN/>
        <w:bidi w:val="0"/>
        <w:adjustRightInd/>
        <w:snapToGrid w:val="0"/>
        <w:spacing w:line="360" w:lineRule="auto"/>
        <w:ind w:left="0" w:firstLine="0"/>
        <w:textAlignment w:val="auto"/>
        <w:outlineLvl w:val="1"/>
        <w:rPr>
          <w:sz w:val="24"/>
        </w:rPr>
      </w:pPr>
      <w:r>
        <w:rPr>
          <w:sz w:val="24"/>
        </w:rPr>
        <w:t>响应文件的资格审查和符合性审查</w:t>
      </w:r>
    </w:p>
    <w:p w14:paraId="537479B4">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lang w:eastAsia="zh-CN"/>
        </w:rPr>
        <w:t>要求</w:t>
      </w:r>
      <w:r>
        <w:rPr>
          <w:sz w:val="24"/>
        </w:rPr>
        <w:t>的，视为未实质性响应谈判文件。未实质性响应谈判文件的响应文件按无效处理，谈判小组应当告知有关供应商。</w:t>
      </w:r>
    </w:p>
    <w:p w14:paraId="02E962B0">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rFonts w:hint="eastAsia" w:eastAsiaTheme="minorEastAsia"/>
          <w:color w:val="000000" w:themeColor="text1"/>
          <w:kern w:val="0"/>
          <w:sz w:val="24"/>
          <w14:textFill>
            <w14:solidFill>
              <w14:schemeClr w14:val="tx1"/>
            </w14:solidFill>
          </w14:textFill>
        </w:rPr>
        <w:t>《资格审查要求》中对格式有要求的，除谈判文件另有规定外，均为</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实质性格式</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文件。</w:t>
      </w:r>
    </w:p>
    <w:p w14:paraId="5880FAA0">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firstLine="0"/>
        <w:textAlignment w:val="auto"/>
        <w:rPr>
          <w:sz w:val="24"/>
        </w:rPr>
      </w:pPr>
      <w:r>
        <w:rPr>
          <w:rFonts w:hint="eastAsia" w:eastAsiaTheme="minorEastAsia"/>
          <w:color w:val="000000" w:themeColor="text1"/>
          <w:kern w:val="0"/>
          <w:sz w:val="24"/>
          <w14:textFill>
            <w14:solidFill>
              <w14:schemeClr w14:val="tx1"/>
            </w14:solidFill>
          </w14:textFill>
        </w:rPr>
        <w:t>《资格审查要求》见下表：</w:t>
      </w:r>
    </w:p>
    <w:p w14:paraId="79C5FB5A">
      <w:pPr>
        <w:tabs>
          <w:tab w:val="left" w:pos="1080"/>
        </w:tabs>
        <w:snapToGrid w:val="0"/>
        <w:spacing w:line="360" w:lineRule="auto"/>
        <w:jc w:val="center"/>
        <w:rPr>
          <w:b/>
          <w:sz w:val="24"/>
        </w:rPr>
      </w:pPr>
      <w:r>
        <w:rPr>
          <w:b/>
          <w:sz w:val="24"/>
        </w:rPr>
        <w:t>资格审查要求</w:t>
      </w:r>
    </w:p>
    <w:tbl>
      <w:tblPr>
        <w:tblStyle w:val="42"/>
        <w:tblW w:w="9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851"/>
        <w:gridCol w:w="4838"/>
        <w:gridCol w:w="1741"/>
      </w:tblGrid>
      <w:tr w14:paraId="6543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854" w:type="dxa"/>
            <w:vAlign w:val="center"/>
          </w:tcPr>
          <w:p w14:paraId="4CF61F15">
            <w:pPr>
              <w:tabs>
                <w:tab w:val="left" w:pos="1080"/>
              </w:tabs>
              <w:snapToGrid w:val="0"/>
              <w:jc w:val="center"/>
              <w:rPr>
                <w:b/>
                <w:sz w:val="24"/>
              </w:rPr>
            </w:pPr>
            <w:r>
              <w:rPr>
                <w:b/>
                <w:sz w:val="24"/>
              </w:rPr>
              <w:t>序号</w:t>
            </w:r>
          </w:p>
        </w:tc>
        <w:tc>
          <w:tcPr>
            <w:tcW w:w="1851" w:type="dxa"/>
            <w:vAlign w:val="center"/>
          </w:tcPr>
          <w:p w14:paraId="48D6B23F">
            <w:pPr>
              <w:tabs>
                <w:tab w:val="left" w:pos="1080"/>
              </w:tabs>
              <w:snapToGrid w:val="0"/>
              <w:jc w:val="center"/>
              <w:rPr>
                <w:b/>
                <w:sz w:val="24"/>
              </w:rPr>
            </w:pPr>
            <w:r>
              <w:rPr>
                <w:b/>
                <w:sz w:val="24"/>
              </w:rPr>
              <w:t>审查因素</w:t>
            </w:r>
          </w:p>
        </w:tc>
        <w:tc>
          <w:tcPr>
            <w:tcW w:w="4838" w:type="dxa"/>
            <w:vAlign w:val="center"/>
          </w:tcPr>
          <w:p w14:paraId="1CFC69D1">
            <w:pPr>
              <w:tabs>
                <w:tab w:val="left" w:pos="1080"/>
              </w:tabs>
              <w:snapToGrid w:val="0"/>
              <w:jc w:val="center"/>
              <w:rPr>
                <w:b/>
                <w:sz w:val="24"/>
              </w:rPr>
            </w:pPr>
            <w:r>
              <w:rPr>
                <w:b/>
                <w:sz w:val="24"/>
              </w:rPr>
              <w:t>审查内容</w:t>
            </w:r>
          </w:p>
        </w:tc>
        <w:tc>
          <w:tcPr>
            <w:tcW w:w="1741" w:type="dxa"/>
            <w:vAlign w:val="center"/>
          </w:tcPr>
          <w:p w14:paraId="2077DB07">
            <w:pPr>
              <w:tabs>
                <w:tab w:val="left" w:pos="1080"/>
              </w:tabs>
              <w:snapToGrid w:val="0"/>
              <w:jc w:val="center"/>
              <w:rPr>
                <w:b/>
                <w:sz w:val="24"/>
              </w:rPr>
            </w:pPr>
            <w:r>
              <w:rPr>
                <w:b/>
                <w:sz w:val="24"/>
              </w:rPr>
              <w:t>格式要求</w:t>
            </w:r>
          </w:p>
        </w:tc>
      </w:tr>
      <w:tr w14:paraId="1193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119DB5BF">
            <w:pPr>
              <w:tabs>
                <w:tab w:val="left" w:pos="1080"/>
              </w:tabs>
              <w:snapToGrid w:val="0"/>
              <w:jc w:val="center"/>
              <w:rPr>
                <w:sz w:val="24"/>
              </w:rPr>
            </w:pPr>
            <w:r>
              <w:rPr>
                <w:sz w:val="24"/>
              </w:rPr>
              <w:t>1</w:t>
            </w:r>
          </w:p>
        </w:tc>
        <w:tc>
          <w:tcPr>
            <w:tcW w:w="1851" w:type="dxa"/>
            <w:vAlign w:val="center"/>
          </w:tcPr>
          <w:p w14:paraId="499D891D">
            <w:pPr>
              <w:tabs>
                <w:tab w:val="left" w:pos="1080"/>
              </w:tabs>
              <w:snapToGrid w:val="0"/>
              <w:rPr>
                <w:sz w:val="24"/>
              </w:rPr>
            </w:pPr>
            <w:r>
              <w:rPr>
                <w:sz w:val="24"/>
              </w:rPr>
              <w:t>满足《中华人民共和国政府采购法》第二十二条规定</w:t>
            </w:r>
          </w:p>
        </w:tc>
        <w:tc>
          <w:tcPr>
            <w:tcW w:w="4838" w:type="dxa"/>
            <w:vAlign w:val="center"/>
          </w:tcPr>
          <w:p w14:paraId="2080DBC8">
            <w:pPr>
              <w:tabs>
                <w:tab w:val="left" w:pos="1080"/>
              </w:tabs>
              <w:snapToGrid w:val="0"/>
              <w:rPr>
                <w:sz w:val="24"/>
              </w:rPr>
            </w:pPr>
            <w:r>
              <w:rPr>
                <w:sz w:val="24"/>
              </w:rPr>
              <w:t>具体规定见第一章《采购邀请》</w:t>
            </w:r>
          </w:p>
        </w:tc>
        <w:tc>
          <w:tcPr>
            <w:tcW w:w="1741" w:type="dxa"/>
            <w:vAlign w:val="center"/>
          </w:tcPr>
          <w:p w14:paraId="1F0FAE08">
            <w:pPr>
              <w:tabs>
                <w:tab w:val="left" w:pos="1080"/>
              </w:tabs>
              <w:snapToGrid w:val="0"/>
              <w:rPr>
                <w:sz w:val="24"/>
              </w:rPr>
            </w:pPr>
          </w:p>
        </w:tc>
      </w:tr>
      <w:tr w14:paraId="391E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1CE55809">
            <w:pPr>
              <w:tabs>
                <w:tab w:val="left" w:pos="1080"/>
              </w:tabs>
              <w:snapToGrid w:val="0"/>
              <w:jc w:val="center"/>
              <w:rPr>
                <w:sz w:val="24"/>
              </w:rPr>
            </w:pPr>
            <w:r>
              <w:rPr>
                <w:sz w:val="24"/>
              </w:rPr>
              <w:t>1-1</w:t>
            </w:r>
          </w:p>
        </w:tc>
        <w:tc>
          <w:tcPr>
            <w:tcW w:w="1851" w:type="dxa"/>
            <w:vAlign w:val="center"/>
          </w:tcPr>
          <w:p w14:paraId="5035E595">
            <w:pPr>
              <w:tabs>
                <w:tab w:val="left" w:pos="1080"/>
              </w:tabs>
              <w:snapToGrid w:val="0"/>
              <w:rPr>
                <w:sz w:val="24"/>
              </w:rPr>
            </w:pPr>
            <w:r>
              <w:rPr>
                <w:sz w:val="24"/>
              </w:rPr>
              <w:t>营业执照等证明文件</w:t>
            </w:r>
          </w:p>
        </w:tc>
        <w:tc>
          <w:tcPr>
            <w:tcW w:w="4838" w:type="dxa"/>
            <w:vAlign w:val="center"/>
          </w:tcPr>
          <w:p w14:paraId="60E90587">
            <w:pPr>
              <w:tabs>
                <w:tab w:val="left" w:pos="1080"/>
              </w:tabs>
              <w:snapToGrid w:val="0"/>
              <w:rPr>
                <w:sz w:val="24"/>
              </w:rPr>
            </w:pPr>
            <w:r>
              <w:rPr>
                <w:sz w:val="24"/>
              </w:rPr>
              <w:t>供应商为企业（包括合伙企业）的，应提供有效的“营业执照”；</w:t>
            </w:r>
          </w:p>
          <w:p w14:paraId="6757084D">
            <w:pPr>
              <w:tabs>
                <w:tab w:val="left" w:pos="1080"/>
              </w:tabs>
              <w:snapToGrid w:val="0"/>
              <w:rPr>
                <w:sz w:val="24"/>
              </w:rPr>
            </w:pPr>
            <w:r>
              <w:rPr>
                <w:sz w:val="24"/>
              </w:rPr>
              <w:t>供应商为事业单位的，应提供有效的“事业单位法人证书”；</w:t>
            </w:r>
          </w:p>
          <w:p w14:paraId="0E6FEE70">
            <w:pPr>
              <w:tabs>
                <w:tab w:val="left" w:pos="1080"/>
              </w:tabs>
              <w:snapToGrid w:val="0"/>
              <w:rPr>
                <w:sz w:val="24"/>
              </w:rPr>
            </w:pPr>
            <w:r>
              <w:rPr>
                <w:sz w:val="24"/>
              </w:rPr>
              <w:t>供应商是非企业机构的，应提供有效的“执业许可证”、“登记证书”等证明文件；</w:t>
            </w:r>
          </w:p>
          <w:p w14:paraId="6E8576E5">
            <w:pPr>
              <w:tabs>
                <w:tab w:val="left" w:pos="1080"/>
              </w:tabs>
              <w:snapToGrid w:val="0"/>
              <w:rPr>
                <w:sz w:val="24"/>
              </w:rPr>
            </w:pPr>
            <w:r>
              <w:rPr>
                <w:sz w:val="24"/>
              </w:rPr>
              <w:t>供应商是个体工商户的，应提供有效的“个体工商户营业执照”；</w:t>
            </w:r>
          </w:p>
          <w:p w14:paraId="504D8A80">
            <w:pPr>
              <w:tabs>
                <w:tab w:val="left" w:pos="1080"/>
              </w:tabs>
              <w:snapToGrid w:val="0"/>
              <w:rPr>
                <w:sz w:val="24"/>
              </w:rPr>
            </w:pPr>
            <w:r>
              <w:rPr>
                <w:sz w:val="24"/>
              </w:rPr>
              <w:t>供应商是自然人的，应提供有效的自然人身份证明。</w:t>
            </w:r>
          </w:p>
          <w:p w14:paraId="1C9C1D15">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741" w:type="dxa"/>
            <w:vAlign w:val="center"/>
          </w:tcPr>
          <w:p w14:paraId="513D5CF4">
            <w:pPr>
              <w:tabs>
                <w:tab w:val="left" w:pos="1080"/>
              </w:tabs>
              <w:snapToGrid w:val="0"/>
              <w:rPr>
                <w:sz w:val="24"/>
              </w:rPr>
            </w:pPr>
            <w:r>
              <w:rPr>
                <w:sz w:val="24"/>
              </w:rPr>
              <w:t>提供证明文件的电子件或电子证照</w:t>
            </w:r>
          </w:p>
        </w:tc>
      </w:tr>
      <w:tr w14:paraId="10D6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4318AEB3">
            <w:pPr>
              <w:tabs>
                <w:tab w:val="left" w:pos="1080"/>
              </w:tabs>
              <w:snapToGrid w:val="0"/>
              <w:jc w:val="center"/>
              <w:rPr>
                <w:sz w:val="24"/>
              </w:rPr>
            </w:pPr>
            <w:r>
              <w:rPr>
                <w:sz w:val="24"/>
              </w:rPr>
              <w:t>1-2</w:t>
            </w:r>
          </w:p>
        </w:tc>
        <w:tc>
          <w:tcPr>
            <w:tcW w:w="1851" w:type="dxa"/>
            <w:vAlign w:val="center"/>
          </w:tcPr>
          <w:p w14:paraId="69C7BCD5">
            <w:pPr>
              <w:tabs>
                <w:tab w:val="left" w:pos="1080"/>
              </w:tabs>
              <w:snapToGrid w:val="0"/>
              <w:rPr>
                <w:sz w:val="24"/>
              </w:rPr>
            </w:pPr>
            <w:r>
              <w:rPr>
                <w:sz w:val="24"/>
              </w:rPr>
              <w:t>供应商资格声明书</w:t>
            </w:r>
          </w:p>
        </w:tc>
        <w:tc>
          <w:tcPr>
            <w:tcW w:w="4838" w:type="dxa"/>
            <w:vAlign w:val="center"/>
          </w:tcPr>
          <w:p w14:paraId="66B8EF2E">
            <w:pPr>
              <w:tabs>
                <w:tab w:val="left" w:pos="1080"/>
              </w:tabs>
              <w:snapToGrid w:val="0"/>
              <w:rPr>
                <w:sz w:val="24"/>
              </w:rPr>
            </w:pPr>
            <w:r>
              <w:rPr>
                <w:sz w:val="24"/>
              </w:rPr>
              <w:t>提供了符合谈判文件要求的《供应商资格声明书》。</w:t>
            </w:r>
          </w:p>
        </w:tc>
        <w:tc>
          <w:tcPr>
            <w:tcW w:w="1741" w:type="dxa"/>
            <w:vAlign w:val="center"/>
          </w:tcPr>
          <w:p w14:paraId="1C6EEA87">
            <w:pPr>
              <w:tabs>
                <w:tab w:val="left" w:pos="1080"/>
              </w:tabs>
              <w:snapToGrid w:val="0"/>
              <w:rPr>
                <w:sz w:val="24"/>
              </w:rPr>
            </w:pPr>
            <w:r>
              <w:rPr>
                <w:sz w:val="24"/>
              </w:rPr>
              <w:t>格式见《响应文件格式》</w:t>
            </w:r>
          </w:p>
        </w:tc>
      </w:tr>
      <w:tr w14:paraId="5451D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1DBE358C">
            <w:pPr>
              <w:tabs>
                <w:tab w:val="left" w:pos="1080"/>
              </w:tabs>
              <w:snapToGrid w:val="0"/>
              <w:jc w:val="center"/>
              <w:rPr>
                <w:sz w:val="24"/>
              </w:rPr>
            </w:pPr>
            <w:r>
              <w:rPr>
                <w:sz w:val="24"/>
              </w:rPr>
              <w:t>1-3</w:t>
            </w:r>
          </w:p>
        </w:tc>
        <w:tc>
          <w:tcPr>
            <w:tcW w:w="1851" w:type="dxa"/>
            <w:vAlign w:val="center"/>
          </w:tcPr>
          <w:p w14:paraId="335C9373">
            <w:pPr>
              <w:tabs>
                <w:tab w:val="left" w:pos="1080"/>
              </w:tabs>
              <w:snapToGrid w:val="0"/>
              <w:rPr>
                <w:sz w:val="24"/>
              </w:rPr>
            </w:pPr>
            <w:r>
              <w:rPr>
                <w:sz w:val="24"/>
              </w:rPr>
              <w:t>供应商信用记录</w:t>
            </w:r>
          </w:p>
        </w:tc>
        <w:tc>
          <w:tcPr>
            <w:tcW w:w="4838" w:type="dxa"/>
            <w:vAlign w:val="center"/>
          </w:tcPr>
          <w:p w14:paraId="08507AD3">
            <w:pPr>
              <w:tabs>
                <w:tab w:val="left" w:pos="900"/>
                <w:tab w:val="left" w:pos="1980"/>
              </w:tabs>
              <w:snapToGrid w:val="0"/>
              <w:rPr>
                <w:sz w:val="24"/>
              </w:rPr>
            </w:pPr>
            <w:r>
              <w:rPr>
                <w:sz w:val="24"/>
              </w:rPr>
              <w:t>查询渠道：信用中国网站和中国政府采购网（www.creditchina.gov.cn、www.ccgp.gov.cn）；</w:t>
            </w:r>
          </w:p>
          <w:p w14:paraId="34EF8E0B">
            <w:pPr>
              <w:tabs>
                <w:tab w:val="left" w:pos="900"/>
                <w:tab w:val="left" w:pos="1980"/>
              </w:tabs>
              <w:snapToGrid w:val="0"/>
              <w:rPr>
                <w:sz w:val="24"/>
              </w:rPr>
            </w:pPr>
            <w:r>
              <w:rPr>
                <w:sz w:val="24"/>
              </w:rPr>
              <w:t>截止时点：首次响应文件提交截止时间以后、资格审查阶段采购人或采购代理机构的实际查询时间；</w:t>
            </w:r>
          </w:p>
          <w:p w14:paraId="6BCA1AC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65109E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1741" w:type="dxa"/>
            <w:vAlign w:val="center"/>
          </w:tcPr>
          <w:p w14:paraId="2FC9A826">
            <w:pPr>
              <w:tabs>
                <w:tab w:val="left" w:pos="1080"/>
              </w:tabs>
              <w:snapToGrid w:val="0"/>
              <w:rPr>
                <w:sz w:val="24"/>
              </w:rPr>
            </w:pPr>
            <w:r>
              <w:rPr>
                <w:sz w:val="24"/>
              </w:rPr>
              <w:t>无须供应商提供，由采购人或采购代理机构查询。</w:t>
            </w:r>
          </w:p>
        </w:tc>
      </w:tr>
      <w:tr w14:paraId="3146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5737B148">
            <w:pPr>
              <w:tabs>
                <w:tab w:val="left" w:pos="1080"/>
              </w:tabs>
              <w:snapToGrid w:val="0"/>
              <w:jc w:val="center"/>
              <w:rPr>
                <w:sz w:val="24"/>
              </w:rPr>
            </w:pPr>
            <w:r>
              <w:rPr>
                <w:sz w:val="24"/>
              </w:rPr>
              <w:t>1-4</w:t>
            </w:r>
          </w:p>
        </w:tc>
        <w:tc>
          <w:tcPr>
            <w:tcW w:w="1851" w:type="dxa"/>
            <w:vAlign w:val="center"/>
          </w:tcPr>
          <w:p w14:paraId="405C38E0">
            <w:pPr>
              <w:tabs>
                <w:tab w:val="left" w:pos="1080"/>
              </w:tabs>
              <w:snapToGrid w:val="0"/>
              <w:rPr>
                <w:sz w:val="24"/>
              </w:rPr>
            </w:pPr>
            <w:r>
              <w:rPr>
                <w:sz w:val="24"/>
              </w:rPr>
              <w:t>法律、行政法规规定的其他条件</w:t>
            </w:r>
          </w:p>
        </w:tc>
        <w:tc>
          <w:tcPr>
            <w:tcW w:w="4838" w:type="dxa"/>
            <w:vAlign w:val="center"/>
          </w:tcPr>
          <w:p w14:paraId="6D748A0E">
            <w:pPr>
              <w:tabs>
                <w:tab w:val="left" w:pos="900"/>
                <w:tab w:val="left" w:pos="1980"/>
              </w:tabs>
              <w:snapToGrid w:val="0"/>
              <w:rPr>
                <w:sz w:val="24"/>
              </w:rPr>
            </w:pPr>
            <w:r>
              <w:rPr>
                <w:sz w:val="24"/>
              </w:rPr>
              <w:t>法律、行政法规规定的其他条件</w:t>
            </w:r>
          </w:p>
        </w:tc>
        <w:tc>
          <w:tcPr>
            <w:tcW w:w="1741" w:type="dxa"/>
            <w:vAlign w:val="center"/>
          </w:tcPr>
          <w:p w14:paraId="14F92EBE">
            <w:pPr>
              <w:tabs>
                <w:tab w:val="left" w:pos="1080"/>
              </w:tabs>
              <w:snapToGrid w:val="0"/>
              <w:jc w:val="center"/>
              <w:rPr>
                <w:sz w:val="24"/>
              </w:rPr>
            </w:pPr>
            <w:r>
              <w:rPr>
                <w:sz w:val="24"/>
              </w:rPr>
              <w:t>/</w:t>
            </w:r>
          </w:p>
        </w:tc>
      </w:tr>
      <w:tr w14:paraId="56AD4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4895565A">
            <w:pPr>
              <w:tabs>
                <w:tab w:val="left" w:pos="1080"/>
              </w:tabs>
              <w:snapToGrid w:val="0"/>
              <w:jc w:val="center"/>
              <w:rPr>
                <w:sz w:val="24"/>
              </w:rPr>
            </w:pPr>
            <w:r>
              <w:rPr>
                <w:sz w:val="24"/>
              </w:rPr>
              <w:t>2</w:t>
            </w:r>
          </w:p>
        </w:tc>
        <w:tc>
          <w:tcPr>
            <w:tcW w:w="1851" w:type="dxa"/>
            <w:vAlign w:val="center"/>
          </w:tcPr>
          <w:p w14:paraId="662B6F8C">
            <w:pPr>
              <w:tabs>
                <w:tab w:val="left" w:pos="1080"/>
              </w:tabs>
              <w:snapToGrid w:val="0"/>
              <w:rPr>
                <w:sz w:val="24"/>
              </w:rPr>
            </w:pPr>
            <w:r>
              <w:rPr>
                <w:sz w:val="24"/>
              </w:rPr>
              <w:t>落实政府采购政策需满足的资格要求</w:t>
            </w:r>
          </w:p>
        </w:tc>
        <w:tc>
          <w:tcPr>
            <w:tcW w:w="4838" w:type="dxa"/>
            <w:vAlign w:val="center"/>
          </w:tcPr>
          <w:p w14:paraId="786A10E8">
            <w:pPr>
              <w:tabs>
                <w:tab w:val="left" w:pos="1080"/>
              </w:tabs>
              <w:snapToGrid w:val="0"/>
              <w:rPr>
                <w:sz w:val="24"/>
              </w:rPr>
            </w:pPr>
            <w:r>
              <w:rPr>
                <w:sz w:val="24"/>
              </w:rPr>
              <w:t>具体要求见第一章《采购邀请》</w:t>
            </w:r>
          </w:p>
        </w:tc>
        <w:tc>
          <w:tcPr>
            <w:tcW w:w="1741" w:type="dxa"/>
            <w:vAlign w:val="center"/>
          </w:tcPr>
          <w:p w14:paraId="284ABAD8">
            <w:pPr>
              <w:tabs>
                <w:tab w:val="left" w:pos="1080"/>
              </w:tabs>
              <w:snapToGrid w:val="0"/>
              <w:rPr>
                <w:sz w:val="24"/>
              </w:rPr>
            </w:pPr>
          </w:p>
        </w:tc>
      </w:tr>
      <w:tr w14:paraId="54F4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0EBA9A85">
            <w:pPr>
              <w:tabs>
                <w:tab w:val="left" w:pos="1080"/>
              </w:tabs>
              <w:snapToGrid w:val="0"/>
              <w:jc w:val="center"/>
              <w:rPr>
                <w:sz w:val="24"/>
              </w:rPr>
            </w:pPr>
            <w:r>
              <w:rPr>
                <w:rFonts w:eastAsiaTheme="minorEastAsia"/>
                <w:sz w:val="24"/>
              </w:rPr>
              <w:t>2-1</w:t>
            </w:r>
          </w:p>
        </w:tc>
        <w:tc>
          <w:tcPr>
            <w:tcW w:w="1851" w:type="dxa"/>
            <w:vAlign w:val="center"/>
          </w:tcPr>
          <w:p w14:paraId="0DACCD1C">
            <w:pPr>
              <w:tabs>
                <w:tab w:val="left" w:pos="1080"/>
              </w:tabs>
              <w:snapToGrid w:val="0"/>
              <w:rPr>
                <w:sz w:val="24"/>
              </w:rPr>
            </w:pPr>
            <w:r>
              <w:rPr>
                <w:rFonts w:eastAsiaTheme="minorEastAsia"/>
                <w:sz w:val="24"/>
              </w:rPr>
              <w:t>中小企业政策</w:t>
            </w:r>
            <w:r>
              <w:rPr>
                <w:rFonts w:hint="eastAsia" w:eastAsiaTheme="minorEastAsia"/>
                <w:sz w:val="24"/>
              </w:rPr>
              <w:t>证明文件</w:t>
            </w:r>
          </w:p>
        </w:tc>
        <w:tc>
          <w:tcPr>
            <w:tcW w:w="4838" w:type="dxa"/>
            <w:vAlign w:val="center"/>
          </w:tcPr>
          <w:p w14:paraId="125676A3">
            <w:pPr>
              <w:tabs>
                <w:tab w:val="left" w:pos="1080"/>
              </w:tabs>
              <w:snapToGrid w:val="0"/>
              <w:rPr>
                <w:sz w:val="24"/>
              </w:rPr>
            </w:pPr>
            <w:r>
              <w:rPr>
                <w:rFonts w:eastAsiaTheme="minorEastAsia"/>
                <w:sz w:val="24"/>
              </w:rPr>
              <w:t>具体要求见第一章《采购邀请》</w:t>
            </w:r>
          </w:p>
        </w:tc>
        <w:tc>
          <w:tcPr>
            <w:tcW w:w="1741" w:type="dxa"/>
            <w:vAlign w:val="center"/>
          </w:tcPr>
          <w:p w14:paraId="4CFCA6DC">
            <w:pPr>
              <w:tabs>
                <w:tab w:val="left" w:pos="1080"/>
              </w:tabs>
              <w:snapToGrid w:val="0"/>
              <w:rPr>
                <w:sz w:val="24"/>
              </w:rPr>
            </w:pPr>
          </w:p>
        </w:tc>
      </w:tr>
      <w:tr w14:paraId="4DB27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65B688B1">
            <w:pPr>
              <w:tabs>
                <w:tab w:val="left" w:pos="1080"/>
              </w:tabs>
              <w:snapToGrid w:val="0"/>
              <w:jc w:val="center"/>
              <w:rPr>
                <w:sz w:val="24"/>
              </w:rPr>
            </w:pPr>
            <w:r>
              <w:rPr>
                <w:sz w:val="24"/>
              </w:rPr>
              <w:t>2-1-1</w:t>
            </w:r>
          </w:p>
        </w:tc>
        <w:tc>
          <w:tcPr>
            <w:tcW w:w="1851" w:type="dxa"/>
            <w:vAlign w:val="center"/>
          </w:tcPr>
          <w:p w14:paraId="41F3DA9C">
            <w:pPr>
              <w:tabs>
                <w:tab w:val="left" w:pos="1080"/>
              </w:tabs>
              <w:snapToGrid w:val="0"/>
              <w:rPr>
                <w:sz w:val="24"/>
              </w:rPr>
            </w:pPr>
            <w:r>
              <w:rPr>
                <w:sz w:val="24"/>
              </w:rPr>
              <w:t>中小企业证明文件</w:t>
            </w:r>
          </w:p>
        </w:tc>
        <w:tc>
          <w:tcPr>
            <w:tcW w:w="4838" w:type="dxa"/>
            <w:vAlign w:val="center"/>
          </w:tcPr>
          <w:p w14:paraId="19E1CA0E">
            <w:pPr>
              <w:tabs>
                <w:tab w:val="left" w:pos="1080"/>
              </w:tabs>
              <w:snapToGrid w:val="0"/>
              <w:rPr>
                <w:b/>
                <w:color w:val="auto"/>
                <w:sz w:val="24"/>
              </w:rPr>
            </w:pPr>
            <w:r>
              <w:rPr>
                <w:b/>
                <w:color w:val="auto"/>
                <w:sz w:val="24"/>
              </w:rPr>
              <w:t>当本项目（包）涉及预留份额专门面向中小企业采购，</w:t>
            </w:r>
            <w:r>
              <w:rPr>
                <w:rFonts w:eastAsiaTheme="minorEastAsia"/>
                <w:b/>
                <w:color w:val="auto"/>
                <w:sz w:val="24"/>
              </w:rPr>
              <w:t>提供如下资料：</w:t>
            </w:r>
          </w:p>
          <w:p w14:paraId="0E54A5E1">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3578C4FE">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1741" w:type="dxa"/>
            <w:vAlign w:val="center"/>
          </w:tcPr>
          <w:p w14:paraId="522188B4">
            <w:pPr>
              <w:tabs>
                <w:tab w:val="left" w:pos="1080"/>
              </w:tabs>
              <w:snapToGrid w:val="0"/>
              <w:rPr>
                <w:sz w:val="24"/>
              </w:rPr>
            </w:pPr>
            <w:r>
              <w:rPr>
                <w:sz w:val="24"/>
              </w:rPr>
              <w:t>格式见《响应文件格式》</w:t>
            </w:r>
          </w:p>
        </w:tc>
      </w:tr>
      <w:tr w14:paraId="036B3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72644B85">
            <w:pPr>
              <w:tabs>
                <w:tab w:val="left" w:pos="1080"/>
              </w:tabs>
              <w:snapToGrid w:val="0"/>
              <w:jc w:val="center"/>
              <w:rPr>
                <w:sz w:val="24"/>
              </w:rPr>
            </w:pPr>
            <w:r>
              <w:rPr>
                <w:sz w:val="24"/>
              </w:rPr>
              <w:t>2-1-2</w:t>
            </w:r>
          </w:p>
        </w:tc>
        <w:tc>
          <w:tcPr>
            <w:tcW w:w="1851" w:type="dxa"/>
            <w:vAlign w:val="center"/>
          </w:tcPr>
          <w:p w14:paraId="3C3BDC40">
            <w:pPr>
              <w:tabs>
                <w:tab w:val="left" w:pos="1080"/>
              </w:tabs>
              <w:snapToGrid w:val="0"/>
              <w:rPr>
                <w:sz w:val="24"/>
              </w:rPr>
            </w:pPr>
            <w:r>
              <w:rPr>
                <w:sz w:val="24"/>
              </w:rPr>
              <w:t>拟分包情况说明及分包意向协议</w:t>
            </w:r>
          </w:p>
        </w:tc>
        <w:tc>
          <w:tcPr>
            <w:tcW w:w="4838" w:type="dxa"/>
            <w:vAlign w:val="center"/>
          </w:tcPr>
          <w:p w14:paraId="31461623">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3BA0622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741" w:type="dxa"/>
            <w:vAlign w:val="center"/>
          </w:tcPr>
          <w:p w14:paraId="3C99592E">
            <w:pPr>
              <w:tabs>
                <w:tab w:val="left" w:pos="1080"/>
              </w:tabs>
              <w:snapToGrid w:val="0"/>
              <w:rPr>
                <w:sz w:val="24"/>
              </w:rPr>
            </w:pPr>
            <w:r>
              <w:rPr>
                <w:sz w:val="24"/>
              </w:rPr>
              <w:t>格式见《响应文件格式》</w:t>
            </w:r>
          </w:p>
        </w:tc>
      </w:tr>
      <w:tr w14:paraId="03BD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2A479B4E">
            <w:pPr>
              <w:tabs>
                <w:tab w:val="left" w:pos="1080"/>
              </w:tabs>
              <w:snapToGrid w:val="0"/>
              <w:jc w:val="center"/>
              <w:rPr>
                <w:sz w:val="24"/>
              </w:rPr>
            </w:pPr>
            <w:r>
              <w:rPr>
                <w:sz w:val="24"/>
              </w:rPr>
              <w:t>2-2</w:t>
            </w:r>
          </w:p>
        </w:tc>
        <w:tc>
          <w:tcPr>
            <w:tcW w:w="1851" w:type="dxa"/>
            <w:vAlign w:val="center"/>
          </w:tcPr>
          <w:p w14:paraId="3B8F8A01">
            <w:pPr>
              <w:tabs>
                <w:tab w:val="left" w:pos="1080"/>
              </w:tabs>
              <w:snapToGrid w:val="0"/>
              <w:rPr>
                <w:sz w:val="24"/>
              </w:rPr>
            </w:pPr>
            <w:r>
              <w:rPr>
                <w:sz w:val="24"/>
              </w:rPr>
              <w:t>其它落实政府采购政策的资格要求</w:t>
            </w:r>
          </w:p>
        </w:tc>
        <w:tc>
          <w:tcPr>
            <w:tcW w:w="4838" w:type="dxa"/>
            <w:vAlign w:val="center"/>
          </w:tcPr>
          <w:p w14:paraId="34CD9CB2">
            <w:pPr>
              <w:tabs>
                <w:tab w:val="left" w:pos="1080"/>
              </w:tabs>
              <w:snapToGrid w:val="0"/>
              <w:rPr>
                <w:sz w:val="24"/>
              </w:rPr>
            </w:pPr>
            <w:r>
              <w:rPr>
                <w:sz w:val="24"/>
              </w:rPr>
              <w:t>如有，见第一章《采购邀请》</w:t>
            </w:r>
          </w:p>
        </w:tc>
        <w:tc>
          <w:tcPr>
            <w:tcW w:w="1741" w:type="dxa"/>
            <w:vAlign w:val="center"/>
          </w:tcPr>
          <w:p w14:paraId="5F1E5967">
            <w:pPr>
              <w:tabs>
                <w:tab w:val="left" w:pos="1080"/>
              </w:tabs>
              <w:snapToGrid w:val="0"/>
              <w:rPr>
                <w:sz w:val="24"/>
              </w:rPr>
            </w:pPr>
            <w:r>
              <w:rPr>
                <w:sz w:val="24"/>
              </w:rPr>
              <w:t>提供证明文件的电子件或电子证照</w:t>
            </w:r>
          </w:p>
        </w:tc>
      </w:tr>
      <w:tr w14:paraId="62FD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1572DFB7">
            <w:pPr>
              <w:tabs>
                <w:tab w:val="left" w:pos="1080"/>
              </w:tabs>
              <w:snapToGrid w:val="0"/>
              <w:jc w:val="center"/>
              <w:rPr>
                <w:sz w:val="24"/>
              </w:rPr>
            </w:pPr>
            <w:r>
              <w:rPr>
                <w:sz w:val="24"/>
              </w:rPr>
              <w:t>3</w:t>
            </w:r>
          </w:p>
        </w:tc>
        <w:tc>
          <w:tcPr>
            <w:tcW w:w="1851" w:type="dxa"/>
            <w:vAlign w:val="center"/>
          </w:tcPr>
          <w:p w14:paraId="087BC093">
            <w:pPr>
              <w:tabs>
                <w:tab w:val="left" w:pos="1080"/>
              </w:tabs>
              <w:snapToGrid w:val="0"/>
              <w:rPr>
                <w:sz w:val="24"/>
              </w:rPr>
            </w:pPr>
            <w:r>
              <w:rPr>
                <w:sz w:val="24"/>
              </w:rPr>
              <w:t>本项目的特定资格要求</w:t>
            </w:r>
          </w:p>
        </w:tc>
        <w:tc>
          <w:tcPr>
            <w:tcW w:w="4838" w:type="dxa"/>
            <w:vAlign w:val="center"/>
          </w:tcPr>
          <w:p w14:paraId="104F16EF">
            <w:pPr>
              <w:tabs>
                <w:tab w:val="left" w:pos="1080"/>
              </w:tabs>
              <w:snapToGrid w:val="0"/>
              <w:rPr>
                <w:sz w:val="24"/>
              </w:rPr>
            </w:pPr>
            <w:r>
              <w:rPr>
                <w:sz w:val="24"/>
              </w:rPr>
              <w:t>如有，见第一章《采购邀请》</w:t>
            </w:r>
          </w:p>
        </w:tc>
        <w:tc>
          <w:tcPr>
            <w:tcW w:w="1741" w:type="dxa"/>
            <w:vAlign w:val="center"/>
          </w:tcPr>
          <w:p w14:paraId="36B3143C">
            <w:pPr>
              <w:tabs>
                <w:tab w:val="left" w:pos="1080"/>
              </w:tabs>
              <w:snapToGrid w:val="0"/>
              <w:rPr>
                <w:sz w:val="24"/>
              </w:rPr>
            </w:pPr>
          </w:p>
        </w:tc>
      </w:tr>
      <w:tr w14:paraId="1027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38DE9CBA">
            <w:pPr>
              <w:tabs>
                <w:tab w:val="left" w:pos="1080"/>
              </w:tabs>
              <w:snapToGrid w:val="0"/>
              <w:jc w:val="center"/>
              <w:rPr>
                <w:sz w:val="24"/>
              </w:rPr>
            </w:pPr>
            <w:r>
              <w:rPr>
                <w:sz w:val="24"/>
              </w:rPr>
              <w:t>3-1</w:t>
            </w:r>
          </w:p>
        </w:tc>
        <w:tc>
          <w:tcPr>
            <w:tcW w:w="1851" w:type="dxa"/>
            <w:vAlign w:val="center"/>
          </w:tcPr>
          <w:p w14:paraId="39297E34">
            <w:pPr>
              <w:tabs>
                <w:tab w:val="left" w:pos="1080"/>
              </w:tabs>
              <w:snapToGrid w:val="0"/>
              <w:rPr>
                <w:sz w:val="24"/>
              </w:rPr>
            </w:pPr>
            <w:r>
              <w:rPr>
                <w:sz w:val="24"/>
              </w:rPr>
              <w:t>本项目对于联合体的要求</w:t>
            </w:r>
          </w:p>
        </w:tc>
        <w:tc>
          <w:tcPr>
            <w:tcW w:w="4838" w:type="dxa"/>
            <w:vAlign w:val="center"/>
          </w:tcPr>
          <w:p w14:paraId="66DFE149">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7E09CF68">
            <w:pPr>
              <w:tabs>
                <w:tab w:val="left" w:pos="1080"/>
              </w:tabs>
              <w:snapToGrid w:val="0"/>
              <w:rPr>
                <w:sz w:val="24"/>
              </w:rPr>
            </w:pPr>
            <w:r>
              <w:rPr>
                <w:sz w:val="24"/>
              </w:rPr>
              <w:t>2、联合体各成员单位均须提供本表中序号1-1、1-2的证明文件。联合体各成员单位均应满足本表3-2项规定。</w:t>
            </w:r>
          </w:p>
          <w:p w14:paraId="1A09A005">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F480C50">
            <w:pPr>
              <w:tabs>
                <w:tab w:val="left" w:pos="1080"/>
              </w:tabs>
              <w:snapToGrid w:val="0"/>
              <w:rPr>
                <w:sz w:val="24"/>
              </w:rPr>
            </w:pPr>
            <w:r>
              <w:rPr>
                <w:sz w:val="24"/>
              </w:rPr>
              <w:t>4、联合体中有同类资质的供应商按照联合体分工承担相同工作的，应当按照资质等级较低的供应商确定资质等级。</w:t>
            </w:r>
          </w:p>
          <w:p w14:paraId="27581B87">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F2FEA75">
            <w:pPr>
              <w:tabs>
                <w:tab w:val="left" w:pos="1080"/>
              </w:tabs>
              <w:snapToGrid w:val="0"/>
              <w:rPr>
                <w:sz w:val="24"/>
              </w:rPr>
            </w:pPr>
            <w:r>
              <w:rPr>
                <w:sz w:val="24"/>
              </w:rPr>
              <w:t>6、若联合体中任一成员单位中途退出，则该联合体的</w:t>
            </w:r>
            <w:r>
              <w:rPr>
                <w:b/>
                <w:sz w:val="24"/>
              </w:rPr>
              <w:t>响应无效</w:t>
            </w:r>
            <w:r>
              <w:rPr>
                <w:sz w:val="24"/>
              </w:rPr>
              <w:t>。</w:t>
            </w:r>
          </w:p>
          <w:p w14:paraId="7163BBA9">
            <w:pPr>
              <w:tabs>
                <w:tab w:val="left" w:pos="1080"/>
              </w:tabs>
              <w:snapToGrid w:val="0"/>
              <w:rPr>
                <w:sz w:val="24"/>
              </w:rPr>
            </w:pPr>
            <w:r>
              <w:rPr>
                <w:sz w:val="24"/>
              </w:rPr>
              <w:t>7、本项目不接受联合体响应时，供应商不得为联合体。</w:t>
            </w:r>
          </w:p>
        </w:tc>
        <w:tc>
          <w:tcPr>
            <w:tcW w:w="1741" w:type="dxa"/>
            <w:vAlign w:val="center"/>
          </w:tcPr>
          <w:p w14:paraId="786A0D3A">
            <w:pPr>
              <w:tabs>
                <w:tab w:val="left" w:pos="1080"/>
              </w:tabs>
              <w:snapToGrid w:val="0"/>
              <w:rPr>
                <w:sz w:val="24"/>
              </w:rPr>
            </w:pPr>
            <w:r>
              <w:rPr>
                <w:sz w:val="24"/>
              </w:rPr>
              <w:t>提供《联合协议》原件的电子件</w:t>
            </w:r>
          </w:p>
          <w:p w14:paraId="46A86D1F">
            <w:pPr>
              <w:tabs>
                <w:tab w:val="left" w:pos="1080"/>
              </w:tabs>
              <w:snapToGrid w:val="0"/>
              <w:rPr>
                <w:sz w:val="24"/>
              </w:rPr>
            </w:pPr>
            <w:r>
              <w:rPr>
                <w:sz w:val="24"/>
              </w:rPr>
              <w:t>格式见《响应文件格式》</w:t>
            </w:r>
          </w:p>
        </w:tc>
      </w:tr>
      <w:tr w14:paraId="5C586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3902AD3C">
            <w:pPr>
              <w:tabs>
                <w:tab w:val="left" w:pos="1080"/>
              </w:tabs>
              <w:snapToGrid w:val="0"/>
              <w:jc w:val="center"/>
              <w:rPr>
                <w:sz w:val="24"/>
              </w:rPr>
            </w:pPr>
            <w:r>
              <w:rPr>
                <w:sz w:val="24"/>
              </w:rPr>
              <w:t>3-2</w:t>
            </w:r>
          </w:p>
        </w:tc>
        <w:tc>
          <w:tcPr>
            <w:tcW w:w="1851" w:type="dxa"/>
            <w:vAlign w:val="center"/>
          </w:tcPr>
          <w:p w14:paraId="3883479E">
            <w:pPr>
              <w:tabs>
                <w:tab w:val="left" w:pos="1080"/>
              </w:tabs>
              <w:snapToGrid w:val="0"/>
              <w:rPr>
                <w:sz w:val="24"/>
              </w:rPr>
            </w:pPr>
            <w:r>
              <w:rPr>
                <w:sz w:val="24"/>
              </w:rPr>
              <w:t>政府购买服务承接主体的要求</w:t>
            </w:r>
          </w:p>
        </w:tc>
        <w:tc>
          <w:tcPr>
            <w:tcW w:w="4838" w:type="dxa"/>
            <w:vAlign w:val="center"/>
          </w:tcPr>
          <w:p w14:paraId="17041F33">
            <w:pPr>
              <w:tabs>
                <w:tab w:val="left" w:pos="1080"/>
              </w:tabs>
              <w:snapToGrid w:val="0"/>
              <w:rPr>
                <w:sz w:val="24"/>
              </w:rPr>
            </w:pPr>
            <w:r>
              <w:rPr>
                <w:sz w:val="24"/>
              </w:rPr>
              <w:t>如本项目属于政府购买服务，供应商不属于公益一类事业单位、使用事业编制且由财政拨款保障的群团组织。</w:t>
            </w:r>
          </w:p>
        </w:tc>
        <w:tc>
          <w:tcPr>
            <w:tcW w:w="1741" w:type="dxa"/>
            <w:vAlign w:val="center"/>
          </w:tcPr>
          <w:p w14:paraId="1C50A2B4">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6A91D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54" w:type="dxa"/>
            <w:vAlign w:val="center"/>
          </w:tcPr>
          <w:p w14:paraId="0C5983C4">
            <w:pPr>
              <w:tabs>
                <w:tab w:val="left" w:pos="1080"/>
              </w:tabs>
              <w:snapToGrid w:val="0"/>
              <w:jc w:val="center"/>
              <w:rPr>
                <w:sz w:val="24"/>
              </w:rPr>
            </w:pPr>
            <w:r>
              <w:rPr>
                <w:sz w:val="24"/>
              </w:rPr>
              <w:t>3-3</w:t>
            </w:r>
          </w:p>
        </w:tc>
        <w:tc>
          <w:tcPr>
            <w:tcW w:w="1851" w:type="dxa"/>
            <w:vAlign w:val="center"/>
          </w:tcPr>
          <w:p w14:paraId="5A477CCB">
            <w:pPr>
              <w:tabs>
                <w:tab w:val="left" w:pos="1080"/>
              </w:tabs>
              <w:snapToGrid w:val="0"/>
              <w:rPr>
                <w:sz w:val="24"/>
              </w:rPr>
            </w:pPr>
            <w:r>
              <w:rPr>
                <w:sz w:val="24"/>
              </w:rPr>
              <w:t>其他特定资格要求</w:t>
            </w:r>
          </w:p>
        </w:tc>
        <w:tc>
          <w:tcPr>
            <w:tcW w:w="4838" w:type="dxa"/>
            <w:vAlign w:val="center"/>
          </w:tcPr>
          <w:p w14:paraId="58122661">
            <w:pPr>
              <w:tabs>
                <w:tab w:val="left" w:pos="1080"/>
              </w:tabs>
              <w:snapToGrid w:val="0"/>
              <w:rPr>
                <w:sz w:val="24"/>
              </w:rPr>
            </w:pPr>
            <w:r>
              <w:rPr>
                <w:color w:val="000000"/>
                <w:sz w:val="24"/>
              </w:rPr>
              <w:t>如有，见</w:t>
            </w:r>
            <w:r>
              <w:rPr>
                <w:sz w:val="24"/>
              </w:rPr>
              <w:t>第一章《采购邀请》</w:t>
            </w:r>
          </w:p>
          <w:p w14:paraId="629A84B5">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741" w:type="dxa"/>
            <w:vAlign w:val="center"/>
          </w:tcPr>
          <w:p w14:paraId="05EFF88D">
            <w:pPr>
              <w:tabs>
                <w:tab w:val="left" w:pos="1080"/>
              </w:tabs>
              <w:snapToGrid w:val="0"/>
              <w:rPr>
                <w:sz w:val="24"/>
              </w:rPr>
            </w:pPr>
            <w:r>
              <w:rPr>
                <w:sz w:val="24"/>
              </w:rPr>
              <w:t>提供证明文件的电子件或电子证照</w:t>
            </w:r>
          </w:p>
        </w:tc>
      </w:tr>
      <w:tr w14:paraId="65E00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854" w:type="dxa"/>
            <w:vAlign w:val="center"/>
          </w:tcPr>
          <w:p w14:paraId="51732AE5">
            <w:pPr>
              <w:tabs>
                <w:tab w:val="left" w:pos="1080"/>
              </w:tabs>
              <w:snapToGrid w:val="0"/>
              <w:jc w:val="center"/>
              <w:rPr>
                <w:sz w:val="24"/>
              </w:rPr>
            </w:pPr>
            <w:r>
              <w:rPr>
                <w:sz w:val="24"/>
              </w:rPr>
              <w:t>4</w:t>
            </w:r>
          </w:p>
        </w:tc>
        <w:tc>
          <w:tcPr>
            <w:tcW w:w="1851" w:type="dxa"/>
            <w:vAlign w:val="center"/>
          </w:tcPr>
          <w:p w14:paraId="060FFFEC">
            <w:pPr>
              <w:tabs>
                <w:tab w:val="left" w:pos="1080"/>
              </w:tabs>
              <w:snapToGrid w:val="0"/>
              <w:rPr>
                <w:sz w:val="24"/>
              </w:rPr>
            </w:pPr>
            <w:r>
              <w:rPr>
                <w:sz w:val="24"/>
              </w:rPr>
              <w:t>保证金</w:t>
            </w:r>
          </w:p>
        </w:tc>
        <w:tc>
          <w:tcPr>
            <w:tcW w:w="4838" w:type="dxa"/>
            <w:vAlign w:val="center"/>
          </w:tcPr>
          <w:p w14:paraId="25EDF563">
            <w:pPr>
              <w:tabs>
                <w:tab w:val="left" w:pos="1080"/>
              </w:tabs>
              <w:snapToGrid w:val="0"/>
              <w:rPr>
                <w:color w:val="000000"/>
                <w:sz w:val="24"/>
              </w:rPr>
            </w:pPr>
            <w:r>
              <w:rPr>
                <w:color w:val="000000"/>
                <w:kern w:val="0"/>
                <w:sz w:val="24"/>
              </w:rPr>
              <w:t>按照谈判文件的规定提交保证金。</w:t>
            </w:r>
          </w:p>
        </w:tc>
        <w:tc>
          <w:tcPr>
            <w:tcW w:w="1741" w:type="dxa"/>
            <w:vAlign w:val="center"/>
          </w:tcPr>
          <w:p w14:paraId="256BBA1D">
            <w:pPr>
              <w:tabs>
                <w:tab w:val="left" w:pos="1080"/>
              </w:tabs>
              <w:snapToGrid w:val="0"/>
              <w:rPr>
                <w:sz w:val="24"/>
              </w:rPr>
            </w:pPr>
          </w:p>
        </w:tc>
      </w:tr>
      <w:tr w14:paraId="641B2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854" w:type="dxa"/>
            <w:vAlign w:val="center"/>
          </w:tcPr>
          <w:p w14:paraId="506D02D3">
            <w:pPr>
              <w:tabs>
                <w:tab w:val="left" w:pos="1080"/>
              </w:tabs>
              <w:snapToGrid w:val="0"/>
              <w:jc w:val="center"/>
              <w:rPr>
                <w:sz w:val="24"/>
              </w:rPr>
            </w:pPr>
            <w:r>
              <w:rPr>
                <w:rFonts w:hint="eastAsia"/>
                <w:sz w:val="24"/>
              </w:rPr>
              <w:t>5</w:t>
            </w:r>
          </w:p>
        </w:tc>
        <w:tc>
          <w:tcPr>
            <w:tcW w:w="1851" w:type="dxa"/>
            <w:vAlign w:val="center"/>
          </w:tcPr>
          <w:p w14:paraId="1AC67C33">
            <w:pPr>
              <w:tabs>
                <w:tab w:val="left" w:pos="1080"/>
              </w:tabs>
              <w:snapToGrid w:val="0"/>
              <w:rPr>
                <w:sz w:val="24"/>
              </w:rPr>
            </w:pPr>
            <w:r>
              <w:rPr>
                <w:rFonts w:hint="eastAsia" w:eastAsiaTheme="minorEastAsia"/>
                <w:sz w:val="24"/>
              </w:rPr>
              <w:t>获取竞争性谈判文件</w:t>
            </w:r>
          </w:p>
        </w:tc>
        <w:tc>
          <w:tcPr>
            <w:tcW w:w="4838" w:type="dxa"/>
            <w:vAlign w:val="center"/>
          </w:tcPr>
          <w:p w14:paraId="31B62A8A">
            <w:pPr>
              <w:tabs>
                <w:tab w:val="left" w:pos="1080"/>
              </w:tabs>
              <w:snapToGrid w:val="0"/>
              <w:rPr>
                <w:color w:val="000000"/>
                <w:kern w:val="0"/>
                <w:sz w:val="24"/>
              </w:rPr>
            </w:pPr>
            <w:r>
              <w:rPr>
                <w:rFonts w:hint="eastAsia"/>
                <w:color w:val="000000"/>
                <w:kern w:val="0"/>
                <w:sz w:val="24"/>
              </w:rPr>
              <w:t>在规定期限内通过北京市政府采购电子交易平台获取所参与包的</w:t>
            </w:r>
            <w:r>
              <w:rPr>
                <w:rFonts w:hint="eastAsia" w:eastAsiaTheme="minorEastAsia"/>
                <w:sz w:val="24"/>
              </w:rPr>
              <w:t>竞争性谈判</w:t>
            </w:r>
            <w:r>
              <w:rPr>
                <w:rFonts w:hint="eastAsia"/>
                <w:color w:val="000000"/>
                <w:kern w:val="0"/>
                <w:sz w:val="24"/>
              </w:rPr>
              <w:t>采购文件。</w:t>
            </w:r>
          </w:p>
          <w:p w14:paraId="37F4E418">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741" w:type="dxa"/>
            <w:vAlign w:val="center"/>
          </w:tcPr>
          <w:p w14:paraId="530BDA3F">
            <w:pPr>
              <w:tabs>
                <w:tab w:val="left" w:pos="1080"/>
              </w:tabs>
              <w:snapToGrid w:val="0"/>
              <w:rPr>
                <w:sz w:val="24"/>
              </w:rPr>
            </w:pPr>
          </w:p>
        </w:tc>
      </w:tr>
    </w:tbl>
    <w:p w14:paraId="55200EA5">
      <w:pPr>
        <w:numPr>
          <w:ilvl w:val="1"/>
          <w:numId w:val="13"/>
        </w:numPr>
        <w:tabs>
          <w:tab w:val="left" w:pos="1080"/>
          <w:tab w:val="left" w:pos="2014"/>
        </w:tabs>
        <w:snapToGrid w:val="0"/>
        <w:spacing w:line="360" w:lineRule="auto"/>
        <w:ind w:left="1077" w:hanging="720"/>
        <w:rPr>
          <w:rFonts w:eastAsiaTheme="minorEastAsia"/>
          <w:color w:val="000000" w:themeColor="text1"/>
          <w:kern w:val="0"/>
          <w:sz w:val="24"/>
          <w14:textFill>
            <w14:solidFill>
              <w14:schemeClr w14:val="tx1"/>
            </w14:solidFill>
          </w14:textFill>
        </w:rPr>
      </w:pPr>
      <w:bookmarkStart w:id="599" w:name="_Toc127151779"/>
      <w:bookmarkStart w:id="600" w:name="_Toc226965858"/>
      <w:bookmarkStart w:id="601" w:name="_Toc127161490"/>
      <w:bookmarkStart w:id="602" w:name="_Toc353873940"/>
      <w:bookmarkStart w:id="603" w:name="_Toc353825550"/>
      <w:r>
        <w:rPr>
          <w:rFonts w:eastAsiaTheme="minorEastAsia"/>
          <w:color w:val="000000" w:themeColor="text1"/>
          <w:kern w:val="0"/>
          <w:sz w:val="24"/>
          <w14:textFill>
            <w14:solidFill>
              <w14:schemeClr w14:val="tx1"/>
            </w14:solidFill>
          </w14:textFill>
        </w:rPr>
        <w:t>《符合性审查要求》见下表：</w:t>
      </w:r>
      <w:bookmarkEnd w:id="599"/>
      <w:bookmarkEnd w:id="600"/>
      <w:bookmarkEnd w:id="601"/>
      <w:bookmarkEnd w:id="602"/>
      <w:bookmarkEnd w:id="603"/>
    </w:p>
    <w:p w14:paraId="0C67037B">
      <w:pPr>
        <w:jc w:val="center"/>
        <w:rPr>
          <w:b/>
          <w:sz w:val="24"/>
        </w:rPr>
      </w:pPr>
      <w:r>
        <w:rPr>
          <w:b/>
          <w:sz w:val="24"/>
        </w:rPr>
        <w:t>符合性审查要求</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1016"/>
        <w:gridCol w:w="1710"/>
        <w:gridCol w:w="4864"/>
        <w:gridCol w:w="1702"/>
      </w:tblGrid>
      <w:tr w14:paraId="18D88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94" w:hRule="atLeast"/>
        </w:trPr>
        <w:tc>
          <w:tcPr>
            <w:tcW w:w="1016" w:type="dxa"/>
            <w:shd w:val="clear" w:color="auto" w:fill="FFFFFF" w:themeFill="background1"/>
            <w:vAlign w:val="center"/>
          </w:tcPr>
          <w:p w14:paraId="7341E7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bCs/>
                <w:i w:val="0"/>
                <w:iCs w:val="0"/>
                <w:spacing w:val="-3"/>
                <w:sz w:val="24"/>
                <w:szCs w:val="24"/>
              </w:rPr>
              <w:t>序号</w:t>
            </w:r>
          </w:p>
        </w:tc>
        <w:tc>
          <w:tcPr>
            <w:tcW w:w="1710" w:type="dxa"/>
            <w:shd w:val="clear" w:color="auto" w:fill="FFFFFF" w:themeFill="background1"/>
            <w:vAlign w:val="center"/>
          </w:tcPr>
          <w:p w14:paraId="0A7D82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bCs/>
                <w:i w:val="0"/>
                <w:iCs w:val="0"/>
                <w:spacing w:val="-2"/>
                <w:sz w:val="24"/>
                <w:szCs w:val="24"/>
              </w:rPr>
              <w:t>检查因素</w:t>
            </w:r>
          </w:p>
        </w:tc>
        <w:tc>
          <w:tcPr>
            <w:tcW w:w="4864" w:type="dxa"/>
            <w:shd w:val="clear" w:color="auto" w:fill="FFFFFF" w:themeFill="background1"/>
            <w:vAlign w:val="center"/>
          </w:tcPr>
          <w:p w14:paraId="5B92ED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bCs/>
                <w:i w:val="0"/>
                <w:iCs w:val="0"/>
                <w:spacing w:val="-2"/>
                <w:sz w:val="24"/>
                <w:szCs w:val="24"/>
              </w:rPr>
              <w:t>检查内容</w:t>
            </w:r>
          </w:p>
        </w:tc>
        <w:tc>
          <w:tcPr>
            <w:tcW w:w="1702" w:type="dxa"/>
            <w:shd w:val="clear" w:color="auto" w:fill="FFFFFF" w:themeFill="background1"/>
            <w:vAlign w:val="center"/>
          </w:tcPr>
          <w:p w14:paraId="696E53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bCs/>
                <w:i w:val="0"/>
                <w:iCs w:val="0"/>
                <w:sz w:val="24"/>
                <w:szCs w:val="24"/>
              </w:rPr>
              <w:t>是否允许澄清、说明或者更正</w:t>
            </w:r>
          </w:p>
        </w:tc>
      </w:tr>
      <w:tr w14:paraId="6094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730" w:hRule="atLeast"/>
        </w:trPr>
        <w:tc>
          <w:tcPr>
            <w:tcW w:w="1016" w:type="dxa"/>
            <w:shd w:val="clear" w:color="auto" w:fill="FFFFFF" w:themeFill="background1"/>
            <w:vAlign w:val="center"/>
          </w:tcPr>
          <w:p w14:paraId="579355AA">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1</w:t>
            </w:r>
          </w:p>
        </w:tc>
        <w:tc>
          <w:tcPr>
            <w:tcW w:w="1710" w:type="dxa"/>
            <w:shd w:val="clear" w:color="auto" w:fill="FFFFFF" w:themeFill="background1"/>
            <w:vAlign w:val="center"/>
          </w:tcPr>
          <w:p w14:paraId="286EAB5A">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授权委托书</w:t>
            </w:r>
          </w:p>
        </w:tc>
        <w:tc>
          <w:tcPr>
            <w:tcW w:w="4864" w:type="dxa"/>
            <w:shd w:val="clear" w:color="auto" w:fill="FFFFFF" w:themeFill="background1"/>
            <w:vAlign w:val="center"/>
          </w:tcPr>
          <w:p w14:paraId="4FFDA92B">
            <w:pPr>
              <w:keepNext w:val="0"/>
              <w:keepLines w:val="0"/>
              <w:widowControl/>
              <w:suppressLineNumbers w:val="0"/>
              <w:autoSpaceDE w:val="0"/>
              <w:autoSpaceDN w:val="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按谈判文件要求提供授权委托书；</w:t>
            </w:r>
          </w:p>
        </w:tc>
        <w:tc>
          <w:tcPr>
            <w:tcW w:w="1702" w:type="dxa"/>
            <w:shd w:val="clear" w:color="auto" w:fill="FFFFFF" w:themeFill="background1"/>
            <w:vAlign w:val="center"/>
          </w:tcPr>
          <w:p w14:paraId="2EF62AA6">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i w:val="0"/>
                <w:iCs w:val="0"/>
                <w:sz w:val="24"/>
                <w:szCs w:val="24"/>
                <w:lang w:val="en-US" w:eastAsia="zh-CN"/>
              </w:rPr>
              <w:t>否</w:t>
            </w:r>
          </w:p>
        </w:tc>
      </w:tr>
      <w:tr w14:paraId="42FF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89" w:hRule="atLeast"/>
        </w:trPr>
        <w:tc>
          <w:tcPr>
            <w:tcW w:w="1016" w:type="dxa"/>
            <w:shd w:val="clear" w:color="auto" w:fill="FFFFFF" w:themeFill="background1"/>
            <w:vAlign w:val="center"/>
          </w:tcPr>
          <w:p w14:paraId="77521C2C">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2</w:t>
            </w:r>
          </w:p>
        </w:tc>
        <w:tc>
          <w:tcPr>
            <w:tcW w:w="1710" w:type="dxa"/>
            <w:shd w:val="clear" w:color="auto" w:fill="FFFFFF" w:themeFill="background1"/>
            <w:vAlign w:val="center"/>
          </w:tcPr>
          <w:p w14:paraId="1C78F855">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响应完整性</w:t>
            </w:r>
          </w:p>
        </w:tc>
        <w:tc>
          <w:tcPr>
            <w:tcW w:w="4864" w:type="dxa"/>
            <w:shd w:val="clear" w:color="auto" w:fill="FFFFFF" w:themeFill="background1"/>
            <w:vAlign w:val="center"/>
          </w:tcPr>
          <w:p w14:paraId="080FF999">
            <w:pPr>
              <w:keepNext w:val="0"/>
              <w:keepLines w:val="0"/>
              <w:widowControl/>
              <w:suppressLineNumbers w:val="0"/>
              <w:autoSpaceDE w:val="0"/>
              <w:autoSpaceDN w:val="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未将一个采购包中的内容拆分响应；</w:t>
            </w:r>
          </w:p>
        </w:tc>
        <w:tc>
          <w:tcPr>
            <w:tcW w:w="1702" w:type="dxa"/>
            <w:shd w:val="clear" w:color="auto" w:fill="FFFFFF" w:themeFill="background1"/>
            <w:vAlign w:val="center"/>
          </w:tcPr>
          <w:p w14:paraId="110B8083">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i w:val="0"/>
                <w:iCs w:val="0"/>
                <w:sz w:val="24"/>
                <w:szCs w:val="24"/>
                <w:lang w:val="en-US" w:eastAsia="zh-CN"/>
              </w:rPr>
              <w:t>否</w:t>
            </w:r>
          </w:p>
        </w:tc>
      </w:tr>
      <w:tr w14:paraId="07D47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FFFFFF" w:themeFill="background1"/>
            <w:vAlign w:val="center"/>
          </w:tcPr>
          <w:p w14:paraId="04E8664E">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3</w:t>
            </w:r>
          </w:p>
        </w:tc>
        <w:tc>
          <w:tcPr>
            <w:tcW w:w="1710" w:type="dxa"/>
            <w:shd w:val="clear" w:color="auto" w:fill="FFFFFF" w:themeFill="background1"/>
            <w:vAlign w:val="center"/>
          </w:tcPr>
          <w:p w14:paraId="3BB00E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color w:val="auto"/>
                <w:kern w:val="0"/>
                <w:sz w:val="24"/>
              </w:rPr>
              <w:t>投标报价</w:t>
            </w:r>
          </w:p>
        </w:tc>
        <w:tc>
          <w:tcPr>
            <w:tcW w:w="4864" w:type="dxa"/>
            <w:shd w:val="clear" w:color="auto" w:fill="FFFFFF" w:themeFill="background1"/>
            <w:vAlign w:val="center"/>
          </w:tcPr>
          <w:p w14:paraId="5612D9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color w:val="auto"/>
                <w:kern w:val="0"/>
                <w:sz w:val="24"/>
                <w:szCs w:val="24"/>
              </w:rPr>
              <w:t>投标报价未</w:t>
            </w:r>
            <w:r>
              <w:rPr>
                <w:rFonts w:hint="eastAsia" w:asciiTheme="majorEastAsia" w:hAnsiTheme="majorEastAsia" w:eastAsiaTheme="majorEastAsia" w:cstheme="majorEastAsia"/>
                <w:color w:val="auto"/>
                <w:sz w:val="24"/>
                <w:szCs w:val="24"/>
              </w:rPr>
              <w:t>超过采购文件中规定的项目/采购包预算金额</w:t>
            </w:r>
            <w:r>
              <w:rPr>
                <w:rFonts w:hint="eastAsia" w:asciiTheme="majorEastAsia" w:hAnsiTheme="majorEastAsia" w:eastAsiaTheme="majorEastAsia" w:cstheme="majorEastAsia"/>
                <w:color w:val="auto"/>
                <w:kern w:val="0"/>
                <w:sz w:val="24"/>
                <w:szCs w:val="24"/>
              </w:rPr>
              <w:t>；</w:t>
            </w:r>
          </w:p>
        </w:tc>
        <w:tc>
          <w:tcPr>
            <w:tcW w:w="1702" w:type="dxa"/>
            <w:shd w:val="clear" w:color="auto" w:fill="FFFFFF" w:themeFill="background1"/>
            <w:vAlign w:val="center"/>
          </w:tcPr>
          <w:p w14:paraId="3E2120F5">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i w:val="0"/>
                <w:iCs w:val="0"/>
                <w:sz w:val="24"/>
                <w:szCs w:val="24"/>
                <w:lang w:val="en-US" w:eastAsia="zh-CN"/>
              </w:rPr>
              <w:t>否</w:t>
            </w:r>
          </w:p>
        </w:tc>
      </w:tr>
      <w:tr w14:paraId="22B6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89" w:hRule="atLeast"/>
        </w:trPr>
        <w:tc>
          <w:tcPr>
            <w:tcW w:w="1016" w:type="dxa"/>
            <w:shd w:val="clear" w:color="auto" w:fill="FFFFFF" w:themeFill="background1"/>
            <w:vAlign w:val="center"/>
          </w:tcPr>
          <w:p w14:paraId="63C5A06B">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4</w:t>
            </w:r>
          </w:p>
        </w:tc>
        <w:tc>
          <w:tcPr>
            <w:tcW w:w="1710" w:type="dxa"/>
            <w:shd w:val="clear" w:color="auto" w:fill="FFFFFF" w:themeFill="background1"/>
            <w:vAlign w:val="center"/>
          </w:tcPr>
          <w:p w14:paraId="2BCADA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报价唯一性</w:t>
            </w:r>
          </w:p>
        </w:tc>
        <w:tc>
          <w:tcPr>
            <w:tcW w:w="4864" w:type="dxa"/>
            <w:shd w:val="clear" w:color="auto" w:fill="FFFFFF" w:themeFill="background1"/>
            <w:vAlign w:val="center"/>
          </w:tcPr>
          <w:p w14:paraId="798937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供应商不能提供任何有选择性或可调整的最后报价（</w:t>
            </w:r>
            <w:r>
              <w:rPr>
                <w:rFonts w:hint="eastAsia" w:asciiTheme="majorEastAsia" w:hAnsiTheme="majorEastAsia" w:eastAsiaTheme="majorEastAsia" w:cstheme="majorEastAsia"/>
                <w:b/>
                <w:bCs/>
                <w:color w:val="auto"/>
                <w:kern w:val="0"/>
                <w:sz w:val="24"/>
                <w:szCs w:val="24"/>
              </w:rPr>
              <w:t>竞争性</w:t>
            </w:r>
            <w:r>
              <w:rPr>
                <w:rFonts w:hint="eastAsia" w:asciiTheme="majorEastAsia" w:hAnsiTheme="majorEastAsia" w:eastAsiaTheme="majorEastAsia" w:cstheme="majorEastAsia"/>
                <w:b/>
                <w:bCs/>
                <w:color w:val="auto"/>
                <w:kern w:val="0"/>
                <w:sz w:val="24"/>
                <w:szCs w:val="24"/>
                <w:lang w:eastAsia="zh-CN"/>
              </w:rPr>
              <w:t>谈判文件</w:t>
            </w:r>
            <w:r>
              <w:rPr>
                <w:rFonts w:hint="eastAsia" w:asciiTheme="majorEastAsia" w:hAnsiTheme="majorEastAsia" w:eastAsiaTheme="majorEastAsia" w:cstheme="majorEastAsia"/>
                <w:b/>
                <w:bCs/>
                <w:color w:val="auto"/>
                <w:kern w:val="0"/>
                <w:sz w:val="24"/>
                <w:szCs w:val="24"/>
              </w:rPr>
              <w:t>另有规定的除外</w:t>
            </w:r>
            <w:r>
              <w:rPr>
                <w:rFonts w:hint="eastAsia" w:asciiTheme="majorEastAsia" w:hAnsiTheme="majorEastAsia" w:eastAsiaTheme="majorEastAsia" w:cstheme="majorEastAsia"/>
                <w:color w:val="auto"/>
                <w:kern w:val="0"/>
                <w:sz w:val="24"/>
                <w:szCs w:val="24"/>
              </w:rPr>
              <w:t>）</w:t>
            </w:r>
          </w:p>
        </w:tc>
        <w:tc>
          <w:tcPr>
            <w:tcW w:w="1702" w:type="dxa"/>
            <w:shd w:val="clear" w:color="auto" w:fill="FFFFFF" w:themeFill="background1"/>
            <w:vAlign w:val="center"/>
          </w:tcPr>
          <w:p w14:paraId="56E62B95">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i w:val="0"/>
                <w:iCs w:val="0"/>
                <w:sz w:val="24"/>
                <w:szCs w:val="24"/>
                <w:lang w:val="en-US" w:eastAsia="zh-CN"/>
              </w:rPr>
              <w:t>否</w:t>
            </w:r>
          </w:p>
        </w:tc>
      </w:tr>
      <w:tr w14:paraId="364A2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FFFFFF" w:themeFill="background1"/>
            <w:vAlign w:val="center"/>
          </w:tcPr>
          <w:p w14:paraId="58798A73">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5</w:t>
            </w:r>
          </w:p>
        </w:tc>
        <w:tc>
          <w:tcPr>
            <w:tcW w:w="1710" w:type="dxa"/>
            <w:shd w:val="clear" w:color="auto" w:fill="FFFFFF" w:themeFill="background1"/>
            <w:vAlign w:val="center"/>
          </w:tcPr>
          <w:p w14:paraId="57DA3C32">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响应有效期</w:t>
            </w:r>
          </w:p>
        </w:tc>
        <w:tc>
          <w:tcPr>
            <w:tcW w:w="4864" w:type="dxa"/>
            <w:shd w:val="clear" w:color="auto" w:fill="FFFFFF" w:themeFill="background1"/>
            <w:vAlign w:val="center"/>
          </w:tcPr>
          <w:p w14:paraId="18547608">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响应文件中承诺的响应有效期满足谈判文件</w:t>
            </w:r>
          </w:p>
          <w:p w14:paraId="68499340">
            <w:pPr>
              <w:keepNext w:val="0"/>
              <w:keepLines w:val="0"/>
              <w:widowControl/>
              <w:suppressLineNumbers w:val="0"/>
              <w:autoSpaceDE w:val="0"/>
              <w:autoSpaceDN w:val="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中载明的响应有效期；</w:t>
            </w:r>
          </w:p>
        </w:tc>
        <w:tc>
          <w:tcPr>
            <w:tcW w:w="1702" w:type="dxa"/>
            <w:shd w:val="clear" w:color="auto" w:fill="FFFFFF" w:themeFill="background1"/>
            <w:vAlign w:val="center"/>
          </w:tcPr>
          <w:p w14:paraId="41EDC1A1">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7FCB4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FFFFFF" w:themeFill="background1"/>
            <w:vAlign w:val="center"/>
          </w:tcPr>
          <w:p w14:paraId="51CA6202">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6</w:t>
            </w:r>
          </w:p>
        </w:tc>
        <w:tc>
          <w:tcPr>
            <w:tcW w:w="1710" w:type="dxa"/>
            <w:shd w:val="clear" w:color="auto" w:fill="FFFFFF" w:themeFill="background1"/>
            <w:vAlign w:val="center"/>
          </w:tcPr>
          <w:p w14:paraId="1A34A16F">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实质性格式</w:t>
            </w:r>
          </w:p>
        </w:tc>
        <w:tc>
          <w:tcPr>
            <w:tcW w:w="4864" w:type="dxa"/>
            <w:shd w:val="clear" w:color="auto" w:fill="FFFFFF" w:themeFill="background1"/>
            <w:vAlign w:val="center"/>
          </w:tcPr>
          <w:p w14:paraId="2C414D15">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标记为“实质性格式”的文件均按谈判文件要</w:t>
            </w:r>
          </w:p>
          <w:p w14:paraId="65DF32CC">
            <w:pPr>
              <w:keepNext w:val="0"/>
              <w:keepLines w:val="0"/>
              <w:widowControl/>
              <w:suppressLineNumbers w:val="0"/>
              <w:autoSpaceDE w:val="0"/>
              <w:autoSpaceDN w:val="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求提供且签署、盖章的；</w:t>
            </w:r>
          </w:p>
        </w:tc>
        <w:tc>
          <w:tcPr>
            <w:tcW w:w="1702" w:type="dxa"/>
            <w:shd w:val="clear" w:color="auto" w:fill="FFFFFF" w:themeFill="background1"/>
            <w:vAlign w:val="center"/>
          </w:tcPr>
          <w:p w14:paraId="584B113B">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380E5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92" w:hRule="atLeast"/>
        </w:trPr>
        <w:tc>
          <w:tcPr>
            <w:tcW w:w="1016" w:type="dxa"/>
            <w:shd w:val="clear" w:color="auto" w:fill="FFFFFF" w:themeFill="background1"/>
            <w:vAlign w:val="center"/>
          </w:tcPr>
          <w:p w14:paraId="30351A13">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7</w:t>
            </w:r>
          </w:p>
        </w:tc>
        <w:tc>
          <w:tcPr>
            <w:tcW w:w="1710" w:type="dxa"/>
            <w:shd w:val="clear" w:color="auto" w:fill="FFFFFF" w:themeFill="background1"/>
            <w:vAlign w:val="center"/>
          </w:tcPr>
          <w:p w14:paraId="56F06C80">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★号条款响应</w:t>
            </w:r>
          </w:p>
        </w:tc>
        <w:tc>
          <w:tcPr>
            <w:tcW w:w="4864" w:type="dxa"/>
            <w:shd w:val="clear" w:color="auto" w:fill="FFFFFF" w:themeFill="background1"/>
            <w:vAlign w:val="center"/>
          </w:tcPr>
          <w:p w14:paraId="0CEEFEA2">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响应文件满足谈判文件</w:t>
            </w:r>
            <w:r>
              <w:rPr>
                <w:rFonts w:hint="eastAsia" w:asciiTheme="majorEastAsia" w:hAnsiTheme="majorEastAsia" w:eastAsiaTheme="majorEastAsia" w:cstheme="majorEastAsia"/>
                <w:snapToGrid w:val="0"/>
                <w:color w:val="000000"/>
                <w:kern w:val="0"/>
                <w:sz w:val="24"/>
                <w:szCs w:val="24"/>
                <w:highlight w:val="none"/>
                <w:lang w:val="en-US" w:eastAsia="zh-CN" w:bidi="ar"/>
              </w:rPr>
              <w:t>第四章《</w:t>
            </w:r>
            <w:r>
              <w:rPr>
                <w:rFonts w:hint="eastAsia" w:asciiTheme="majorEastAsia" w:hAnsiTheme="majorEastAsia" w:eastAsiaTheme="majorEastAsia" w:cstheme="majorEastAsia"/>
                <w:snapToGrid w:val="0"/>
                <w:color w:val="000000"/>
                <w:kern w:val="0"/>
                <w:sz w:val="24"/>
                <w:szCs w:val="24"/>
                <w:lang w:val="en-US" w:eastAsia="zh-CN" w:bidi="ar"/>
              </w:rPr>
              <w:t>采购需求》中</w:t>
            </w:r>
          </w:p>
          <w:p w14:paraId="6BBF40D7">
            <w:pPr>
              <w:keepNext w:val="0"/>
              <w:keepLines w:val="0"/>
              <w:widowControl/>
              <w:suppressLineNumbers w:val="0"/>
              <w:autoSpaceDE w:val="0"/>
              <w:autoSpaceDN w:val="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★号条款要求的；</w:t>
            </w:r>
          </w:p>
        </w:tc>
        <w:tc>
          <w:tcPr>
            <w:tcW w:w="1702" w:type="dxa"/>
            <w:shd w:val="clear" w:color="auto" w:fill="FFFFFF" w:themeFill="background1"/>
            <w:vAlign w:val="center"/>
          </w:tcPr>
          <w:p w14:paraId="226421AA">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78F7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92" w:hRule="atLeast"/>
        </w:trPr>
        <w:tc>
          <w:tcPr>
            <w:tcW w:w="1016" w:type="dxa"/>
            <w:shd w:val="clear" w:color="auto" w:fill="FFFFFF" w:themeFill="background1"/>
            <w:vAlign w:val="center"/>
          </w:tcPr>
          <w:p w14:paraId="637F7A24">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8</w:t>
            </w:r>
          </w:p>
        </w:tc>
        <w:tc>
          <w:tcPr>
            <w:tcW w:w="1710" w:type="dxa"/>
            <w:shd w:val="clear" w:color="auto" w:fill="FFFFFF" w:themeFill="background1"/>
            <w:vAlign w:val="center"/>
          </w:tcPr>
          <w:p w14:paraId="38E62A8C">
            <w:pPr>
              <w:keepNext w:val="0"/>
              <w:keepLines w:val="0"/>
              <w:widowControl/>
              <w:suppressLineNumbers w:val="0"/>
              <w:autoSpaceDE w:val="0"/>
              <w:autoSpaceDN w:val="0"/>
              <w:jc w:val="center"/>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进口产品</w:t>
            </w:r>
          </w:p>
          <w:p w14:paraId="4C597F7F">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（如有）</w:t>
            </w:r>
          </w:p>
        </w:tc>
        <w:tc>
          <w:tcPr>
            <w:tcW w:w="4864" w:type="dxa"/>
            <w:shd w:val="clear" w:color="auto" w:fill="FFFFFF" w:themeFill="background1"/>
            <w:vAlign w:val="center"/>
          </w:tcPr>
          <w:p w14:paraId="2EABE0FB">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谈判文件不接受进口产品响应的内容时，供应</w:t>
            </w:r>
          </w:p>
          <w:p w14:paraId="451D8593">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商所报产品不含进口产品的；</w:t>
            </w:r>
          </w:p>
        </w:tc>
        <w:tc>
          <w:tcPr>
            <w:tcW w:w="1702" w:type="dxa"/>
            <w:shd w:val="clear" w:color="auto" w:fill="FFFFFF" w:themeFill="background1"/>
            <w:vAlign w:val="center"/>
          </w:tcPr>
          <w:p w14:paraId="517CFFE4">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6FD3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92" w:hRule="atLeast"/>
        </w:trPr>
        <w:tc>
          <w:tcPr>
            <w:tcW w:w="1016" w:type="dxa"/>
            <w:shd w:val="clear" w:color="auto" w:fill="FFFFFF" w:themeFill="background1"/>
            <w:vAlign w:val="center"/>
          </w:tcPr>
          <w:p w14:paraId="72412ACC">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9</w:t>
            </w:r>
          </w:p>
        </w:tc>
        <w:tc>
          <w:tcPr>
            <w:tcW w:w="1710" w:type="dxa"/>
            <w:shd w:val="clear" w:color="auto" w:fill="FFFFFF" w:themeFill="background1"/>
            <w:vAlign w:val="center"/>
          </w:tcPr>
          <w:p w14:paraId="359A6135">
            <w:pPr>
              <w:keepNext w:val="0"/>
              <w:keepLines w:val="0"/>
              <w:widowControl/>
              <w:suppressLineNumbers w:val="0"/>
              <w:autoSpaceDE w:val="0"/>
              <w:autoSpaceDN w:val="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napToGrid w:val="0"/>
                <w:color w:val="000000"/>
                <w:kern w:val="0"/>
                <w:sz w:val="24"/>
                <w:szCs w:val="24"/>
                <w:lang w:val="en-US" w:eastAsia="zh-CN" w:bidi="ar"/>
              </w:rPr>
              <w:t>国家有关部门对</w:t>
            </w:r>
          </w:p>
          <w:p w14:paraId="56FA7CD9">
            <w:pPr>
              <w:keepNext w:val="0"/>
              <w:keepLines w:val="0"/>
              <w:widowControl/>
              <w:suppressLineNumbers w:val="0"/>
              <w:autoSpaceDE w:val="0"/>
              <w:autoSpaceDN w:val="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napToGrid w:val="0"/>
                <w:color w:val="000000"/>
                <w:kern w:val="0"/>
                <w:sz w:val="24"/>
                <w:szCs w:val="24"/>
                <w:lang w:val="en-US" w:eastAsia="zh-CN" w:bidi="ar"/>
              </w:rPr>
              <w:t>供应商的所报产</w:t>
            </w:r>
          </w:p>
          <w:p w14:paraId="6E7E7D94">
            <w:pPr>
              <w:keepNext w:val="0"/>
              <w:keepLines w:val="0"/>
              <w:widowControl/>
              <w:suppressLineNumbers w:val="0"/>
              <w:autoSpaceDE w:val="0"/>
              <w:autoSpaceDN w:val="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napToGrid w:val="0"/>
                <w:color w:val="000000"/>
                <w:kern w:val="0"/>
                <w:sz w:val="24"/>
                <w:szCs w:val="24"/>
                <w:lang w:val="en-US" w:eastAsia="zh-CN" w:bidi="ar"/>
              </w:rPr>
              <w:t>品有强制性规定</w:t>
            </w:r>
          </w:p>
          <w:p w14:paraId="5A5904B4">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或要求的</w:t>
            </w:r>
          </w:p>
        </w:tc>
        <w:tc>
          <w:tcPr>
            <w:tcW w:w="4864" w:type="dxa"/>
            <w:shd w:val="clear" w:color="auto" w:fill="FFFFFF" w:themeFill="background1"/>
            <w:vAlign w:val="center"/>
          </w:tcPr>
          <w:p w14:paraId="38C3741D">
            <w:pPr>
              <w:keepNext w:val="0"/>
              <w:keepLines w:val="0"/>
              <w:widowControl/>
              <w:suppressLineNumbers w:val="0"/>
              <w:autoSpaceDE w:val="0"/>
              <w:autoSpaceDN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国家有关部门对供应商的投标产品有强制性规定或要求的（如相应技术、安全、节能和环保等），投标人的投标产品应符合相应规定或要求，并提供证明文件电子件：</w:t>
            </w:r>
          </w:p>
          <w:p w14:paraId="141234CE">
            <w:pPr>
              <w:keepNext w:val="0"/>
              <w:keepLines w:val="0"/>
              <w:widowControl/>
              <w:numPr>
                <w:ilvl w:val="0"/>
                <w:numId w:val="14"/>
              </w:numPr>
              <w:suppressLineNumbers w:val="0"/>
              <w:autoSpaceDE w:val="0"/>
              <w:autoSpaceDN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采购的产品若属于《节能产品政府采购品目清单》范围中政府强制采购产品，则供应商所报产品必须获得国家确定的认证机构出具的、处于有效期之内的节能产品认证证书；</w:t>
            </w:r>
          </w:p>
          <w:p w14:paraId="4A41AA0B">
            <w:pPr>
              <w:keepNext w:val="0"/>
              <w:keepLines w:val="0"/>
              <w:widowControl/>
              <w:numPr>
                <w:ilvl w:val="0"/>
                <w:numId w:val="14"/>
              </w:numPr>
              <w:suppressLineNumbers w:val="0"/>
              <w:autoSpaceDE w:val="0"/>
              <w:autoSpaceDN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2E3D927">
            <w:pPr>
              <w:keepNext w:val="0"/>
              <w:keepLines w:val="0"/>
              <w:widowControl/>
              <w:numPr>
                <w:ilvl w:val="0"/>
                <w:numId w:val="0"/>
              </w:numPr>
              <w:suppressLineNumbers w:val="0"/>
              <w:autoSpaceDE w:val="0"/>
              <w:autoSpaceDN w:val="0"/>
              <w:ind w:leftChars="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3）项目中涉及涂料、胶黏剂、油墨、清洗剂等挥发性有机物产品，且属于强制性标准的，供应商应执行符合本市和国家的VOCs含量限制标准。</w:t>
            </w:r>
          </w:p>
        </w:tc>
        <w:tc>
          <w:tcPr>
            <w:tcW w:w="1702" w:type="dxa"/>
            <w:shd w:val="clear" w:color="auto" w:fill="FFFFFF" w:themeFill="background1"/>
            <w:vAlign w:val="center"/>
          </w:tcPr>
          <w:p w14:paraId="273D5EA5">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2151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90" w:hRule="atLeast"/>
        </w:trPr>
        <w:tc>
          <w:tcPr>
            <w:tcW w:w="1016" w:type="dxa"/>
            <w:shd w:val="clear" w:color="auto" w:fill="FFFFFF" w:themeFill="background1"/>
            <w:vAlign w:val="center"/>
          </w:tcPr>
          <w:p w14:paraId="38876E9F">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10</w:t>
            </w:r>
          </w:p>
        </w:tc>
        <w:tc>
          <w:tcPr>
            <w:tcW w:w="1710" w:type="dxa"/>
            <w:shd w:val="clear" w:color="auto" w:fill="FFFFFF" w:themeFill="background1"/>
            <w:vAlign w:val="center"/>
          </w:tcPr>
          <w:p w14:paraId="77CB935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公平竞争</w:t>
            </w:r>
          </w:p>
        </w:tc>
        <w:tc>
          <w:tcPr>
            <w:tcW w:w="4864" w:type="dxa"/>
            <w:shd w:val="clear" w:color="auto" w:fill="FFFFFF" w:themeFill="background1"/>
            <w:vAlign w:val="center"/>
          </w:tcPr>
          <w:p w14:paraId="40E8C60D">
            <w:pPr>
              <w:keepNext w:val="0"/>
              <w:keepLines w:val="0"/>
              <w:widowControl/>
              <w:suppressLineNumbers w:val="0"/>
              <w:autoSpaceDE w:val="0"/>
              <w:autoSpaceDN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供应商遵循公平竞争的原则，不存在恶意串通，妨碍其他投标人的竞争行为，不存在损害采购人或者其他供应商的合法权益情形的；</w:t>
            </w:r>
          </w:p>
        </w:tc>
        <w:tc>
          <w:tcPr>
            <w:tcW w:w="1702" w:type="dxa"/>
            <w:shd w:val="clear" w:color="auto" w:fill="FFFFFF" w:themeFill="background1"/>
            <w:vAlign w:val="center"/>
          </w:tcPr>
          <w:p w14:paraId="6AA24744">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37DEC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92" w:hRule="atLeast"/>
        </w:trPr>
        <w:tc>
          <w:tcPr>
            <w:tcW w:w="1016" w:type="dxa"/>
            <w:shd w:val="clear" w:color="auto" w:fill="FFFFFF" w:themeFill="background1"/>
            <w:vAlign w:val="center"/>
          </w:tcPr>
          <w:p w14:paraId="7560A525">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11</w:t>
            </w:r>
          </w:p>
        </w:tc>
        <w:tc>
          <w:tcPr>
            <w:tcW w:w="1710" w:type="dxa"/>
            <w:shd w:val="clear" w:color="auto" w:fill="FFFFFF" w:themeFill="background1"/>
            <w:vAlign w:val="center"/>
          </w:tcPr>
          <w:p w14:paraId="18D51C4C">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串通投标</w:t>
            </w:r>
          </w:p>
        </w:tc>
        <w:tc>
          <w:tcPr>
            <w:tcW w:w="4864" w:type="dxa"/>
            <w:shd w:val="clear" w:color="auto" w:fill="FFFFFF" w:themeFill="background1"/>
            <w:vAlign w:val="center"/>
          </w:tcPr>
          <w:p w14:paraId="77C8C0B9">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不存在《中华人民共和国招标投标法实施条例》第四十条视为投标人串通投标的情形：</w:t>
            </w:r>
          </w:p>
          <w:p w14:paraId="0CE35BFA">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（一）不同投标人的投标文件由同一单位或者</w:t>
            </w:r>
          </w:p>
          <w:p w14:paraId="6034E7FD">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个人编制；</w:t>
            </w:r>
          </w:p>
          <w:p w14:paraId="160CD393">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（二）不同投标人委托同一单位或者个人办理投标事宜；</w:t>
            </w:r>
          </w:p>
          <w:p w14:paraId="47E2691D">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（三）不同投标人的投标文件载明的项目管理成员或者联系人员为同一人；</w:t>
            </w:r>
          </w:p>
          <w:p w14:paraId="4D755A06">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（四）不同投标人的投标文件异常一致或者投标报价呈规律性差异；</w:t>
            </w:r>
          </w:p>
          <w:p w14:paraId="21BFE7AF">
            <w:pPr>
              <w:keepNext w:val="0"/>
              <w:keepLines w:val="0"/>
              <w:widowControl/>
              <w:numPr>
                <w:ilvl w:val="0"/>
                <w:numId w:val="15"/>
              </w:numPr>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不同投标人的投标文件相互混装；</w:t>
            </w:r>
          </w:p>
          <w:p w14:paraId="5D25B1F4">
            <w:pPr>
              <w:keepNext w:val="0"/>
              <w:keepLines w:val="0"/>
              <w:widowControl/>
              <w:numPr>
                <w:ilvl w:val="0"/>
                <w:numId w:val="0"/>
              </w:numPr>
              <w:suppressLineNumbers w:val="0"/>
              <w:autoSpaceDE w:val="0"/>
              <w:autoSpaceDN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（六）不同投标人的投标保证金从同一单位或者个人的账户转出；</w:t>
            </w:r>
          </w:p>
        </w:tc>
        <w:tc>
          <w:tcPr>
            <w:tcW w:w="1702" w:type="dxa"/>
            <w:shd w:val="clear" w:color="auto" w:fill="FFFFFF" w:themeFill="background1"/>
            <w:vAlign w:val="center"/>
          </w:tcPr>
          <w:p w14:paraId="0F3BEF7B">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2491F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016" w:type="dxa"/>
            <w:shd w:val="clear" w:color="auto" w:fill="FFFFFF" w:themeFill="background1"/>
            <w:vAlign w:val="center"/>
          </w:tcPr>
          <w:p w14:paraId="219C83AA">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121</w:t>
            </w:r>
          </w:p>
        </w:tc>
        <w:tc>
          <w:tcPr>
            <w:tcW w:w="1710" w:type="dxa"/>
            <w:shd w:val="clear" w:color="auto" w:fill="FFFFFF" w:themeFill="background1"/>
            <w:vAlign w:val="center"/>
          </w:tcPr>
          <w:p w14:paraId="522F5A77">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附加条件</w:t>
            </w:r>
          </w:p>
        </w:tc>
        <w:tc>
          <w:tcPr>
            <w:tcW w:w="4864" w:type="dxa"/>
            <w:shd w:val="clear" w:color="auto" w:fill="FFFFFF" w:themeFill="background1"/>
            <w:vAlign w:val="center"/>
          </w:tcPr>
          <w:p w14:paraId="2A4A0CB8">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响应文件未含有采购人不能接受的附加条件</w:t>
            </w:r>
          </w:p>
          <w:p w14:paraId="07AC2ABF">
            <w:pPr>
              <w:keepNext w:val="0"/>
              <w:keepLines w:val="0"/>
              <w:widowControl/>
              <w:suppressLineNumbers w:val="0"/>
              <w:autoSpaceDE w:val="0"/>
              <w:autoSpaceDN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的；</w:t>
            </w:r>
          </w:p>
        </w:tc>
        <w:tc>
          <w:tcPr>
            <w:tcW w:w="1702" w:type="dxa"/>
            <w:shd w:val="clear" w:color="auto" w:fill="FFFFFF" w:themeFill="background1"/>
            <w:vAlign w:val="center"/>
          </w:tcPr>
          <w:p w14:paraId="04E9AB11">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r w14:paraId="2116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92" w:hRule="atLeast"/>
        </w:trPr>
        <w:tc>
          <w:tcPr>
            <w:tcW w:w="1016" w:type="dxa"/>
            <w:shd w:val="clear" w:color="auto" w:fill="FFFFFF" w:themeFill="background1"/>
            <w:vAlign w:val="center"/>
          </w:tcPr>
          <w:p w14:paraId="4AC3803B">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lang w:val="en-US" w:eastAsia="zh-CN"/>
              </w:rPr>
              <w:t>13</w:t>
            </w:r>
          </w:p>
        </w:tc>
        <w:tc>
          <w:tcPr>
            <w:tcW w:w="1710" w:type="dxa"/>
            <w:shd w:val="clear" w:color="auto" w:fill="FFFFFF" w:themeFill="background1"/>
            <w:vAlign w:val="center"/>
          </w:tcPr>
          <w:p w14:paraId="6336951D">
            <w:pPr>
              <w:keepNext w:val="0"/>
              <w:keepLines w:val="0"/>
              <w:widowControl/>
              <w:suppressLineNumbers w:val="0"/>
              <w:autoSpaceDE w:val="0"/>
              <w:autoSpaceDN w:val="0"/>
              <w:jc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snapToGrid w:val="0"/>
                <w:color w:val="000000"/>
                <w:kern w:val="0"/>
                <w:sz w:val="24"/>
                <w:szCs w:val="24"/>
                <w:lang w:val="en-US" w:eastAsia="zh-CN" w:bidi="ar"/>
              </w:rPr>
              <w:t>其他无效情形</w:t>
            </w:r>
          </w:p>
        </w:tc>
        <w:tc>
          <w:tcPr>
            <w:tcW w:w="4864" w:type="dxa"/>
            <w:shd w:val="clear" w:color="auto" w:fill="FFFFFF" w:themeFill="background1"/>
            <w:vAlign w:val="center"/>
          </w:tcPr>
          <w:p w14:paraId="4215E839">
            <w:pPr>
              <w:keepNext w:val="0"/>
              <w:keepLines w:val="0"/>
              <w:widowControl/>
              <w:suppressLineNumbers w:val="0"/>
              <w:autoSpaceDE w:val="0"/>
              <w:autoSpaceDN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供应商、响应文件不存在不符合法律、法规和</w:t>
            </w:r>
          </w:p>
          <w:p w14:paraId="5744F8B0">
            <w:pPr>
              <w:keepNext w:val="0"/>
              <w:keepLines w:val="0"/>
              <w:widowControl/>
              <w:suppressLineNumbers w:val="0"/>
              <w:autoSpaceDE w:val="0"/>
              <w:autoSpaceDN w:val="0"/>
              <w:jc w:val="left"/>
              <w:rPr>
                <w:rFonts w:hint="eastAsia" w:asciiTheme="majorEastAsia" w:hAnsiTheme="majorEastAsia" w:eastAsiaTheme="majorEastAsia" w:cstheme="majorEastAsia"/>
                <w:snapToGrid w:val="0"/>
                <w:color w:val="000000"/>
                <w:kern w:val="0"/>
                <w:sz w:val="24"/>
                <w:szCs w:val="24"/>
                <w:lang w:val="en-US" w:eastAsia="zh-CN" w:bidi="ar"/>
              </w:rPr>
            </w:pPr>
            <w:r>
              <w:rPr>
                <w:rFonts w:hint="eastAsia" w:asciiTheme="majorEastAsia" w:hAnsiTheme="majorEastAsia" w:eastAsiaTheme="majorEastAsia" w:cstheme="majorEastAsia"/>
                <w:snapToGrid w:val="0"/>
                <w:color w:val="000000"/>
                <w:kern w:val="0"/>
                <w:sz w:val="24"/>
                <w:szCs w:val="24"/>
                <w:lang w:val="en-US" w:eastAsia="zh-CN" w:bidi="ar"/>
              </w:rPr>
              <w:t>谈判文件规定的其他无效情形。</w:t>
            </w:r>
          </w:p>
        </w:tc>
        <w:tc>
          <w:tcPr>
            <w:tcW w:w="1702" w:type="dxa"/>
            <w:shd w:val="clear" w:color="auto" w:fill="FFFFFF" w:themeFill="background1"/>
            <w:vAlign w:val="center"/>
          </w:tcPr>
          <w:p w14:paraId="065E41F0">
            <w:pPr>
              <w:pStyle w:val="25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lang w:val="en-US" w:eastAsia="zh-CN"/>
              </w:rPr>
              <w:t>否</w:t>
            </w:r>
          </w:p>
        </w:tc>
      </w:tr>
    </w:tbl>
    <w:p w14:paraId="2CCD512C">
      <w:pPr>
        <w:widowControl/>
        <w:jc w:val="left"/>
        <w:rPr>
          <w:sz w:val="24"/>
        </w:rPr>
      </w:pPr>
      <w:r>
        <w:rPr>
          <w:sz w:val="24"/>
        </w:rPr>
        <w:br w:type="page"/>
      </w:r>
    </w:p>
    <w:p w14:paraId="68511521">
      <w:pPr>
        <w:keepNext w:val="0"/>
        <w:keepLines w:val="0"/>
        <w:pageBreakBefore w:val="0"/>
        <w:widowControl w:val="0"/>
        <w:numPr>
          <w:ilvl w:val="0"/>
          <w:numId w:val="13"/>
        </w:numPr>
        <w:tabs>
          <w:tab w:val="left" w:pos="360"/>
        </w:tabs>
        <w:kinsoku/>
        <w:wordWrap/>
        <w:overflowPunct/>
        <w:topLinePunct w:val="0"/>
        <w:autoSpaceDE/>
        <w:autoSpaceDN/>
        <w:bidi w:val="0"/>
        <w:adjustRightInd/>
        <w:snapToGrid w:val="0"/>
        <w:spacing w:line="360" w:lineRule="auto"/>
        <w:ind w:left="0" w:leftChars="0" w:firstLine="0" w:firstLineChars="0"/>
        <w:textAlignment w:val="auto"/>
        <w:outlineLvl w:val="1"/>
        <w:rPr>
          <w:sz w:val="24"/>
        </w:rPr>
      </w:pPr>
      <w:r>
        <w:rPr>
          <w:sz w:val="24"/>
        </w:rPr>
        <w:t>谈判、</w:t>
      </w:r>
      <w:r>
        <w:rPr>
          <w:rFonts w:eastAsiaTheme="minorEastAsia"/>
          <w:sz w:val="24"/>
        </w:rPr>
        <w:t>响应文件有关事项的澄清、说明或者更正</w:t>
      </w:r>
      <w:r>
        <w:rPr>
          <w:sz w:val="24"/>
        </w:rPr>
        <w:t>和最后报价</w:t>
      </w:r>
    </w:p>
    <w:p w14:paraId="6FE87A0E">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1D8CFBDE">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1CB702DA">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对谈判文件作出的实质性变动是谈判文件的有效组成部分，谈判小组将及时以书面形式同时通知所有参加谈判的供应商。</w:t>
      </w:r>
    </w:p>
    <w:p w14:paraId="0DCC660B">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1E78ECEF">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eastAsiaTheme="minorEastAsia"/>
          <w:sz w:val="24"/>
        </w:rPr>
        <w:t>响应文件的澄清、说明或者更正</w:t>
      </w:r>
      <w:r>
        <w:rPr>
          <w:sz w:val="24"/>
        </w:rPr>
        <w:t>：</w:t>
      </w:r>
    </w:p>
    <w:p w14:paraId="0A585432">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0F9A1F14">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2292A0C1">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7741CC95">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14:paraId="5501791B">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bookmarkStart w:id="604" w:name="_Hlk220085436"/>
      <w:bookmarkStart w:id="605" w:name="_Hlk220086448"/>
      <w:r>
        <w:rPr>
          <w:rFonts w:hint="eastAsia"/>
          <w:sz w:val="24"/>
        </w:rPr>
        <w:t>异常低价处理</w:t>
      </w:r>
    </w:p>
    <w:p w14:paraId="4E0979FE">
      <w:pPr>
        <w:keepNext w:val="0"/>
        <w:keepLines w:val="0"/>
        <w:pageBreakBefore w:val="0"/>
        <w:widowControl w:val="0"/>
        <w:numPr>
          <w:ilvl w:val="2"/>
          <w:numId w:val="13"/>
        </w:numPr>
        <w:tabs>
          <w:tab w:val="left" w:pos="1134"/>
          <w:tab w:val="left" w:pos="1276"/>
          <w:tab w:val="left" w:pos="1560"/>
          <w:tab w:val="left" w:pos="1701"/>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政府采购评审中出现下列情形之一的，评审委员会应当启动异常低价投标（响应）审查程序：</w:t>
      </w:r>
    </w:p>
    <w:p w14:paraId="385FD109">
      <w:pPr>
        <w:keepNext w:val="0"/>
        <w:keepLines w:val="0"/>
        <w:pageBreakBefore w:val="0"/>
        <w:widowControl w:val="0"/>
        <w:tabs>
          <w:tab w:val="left" w:pos="1589"/>
          <w:tab w:val="left" w:pos="1701"/>
          <w:tab w:val="left" w:pos="2035"/>
          <w:tab w:val="left" w:pos="21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w:t>
      </w:r>
      <w:r>
        <w:rPr>
          <w:sz w:val="24"/>
        </w:rPr>
        <w:t>1</w:t>
      </w:r>
      <w:r>
        <w:rPr>
          <w:rFonts w:hint="eastAsia"/>
          <w:sz w:val="24"/>
        </w:rPr>
        <w:t>）投标（响应）报价低于全部通过符合性审查供应商投标（响应）报价平均值</w:t>
      </w:r>
      <w:r>
        <w:rPr>
          <w:rFonts w:hint="eastAsia"/>
          <w:sz w:val="24"/>
          <w:u w:val="single"/>
          <w:lang w:val="en-US" w:eastAsia="zh-CN"/>
        </w:rPr>
        <w:t>50</w:t>
      </w:r>
      <w:r>
        <w:rPr>
          <w:sz w:val="24"/>
        </w:rPr>
        <w:t>%</w:t>
      </w:r>
      <w:r>
        <w:rPr>
          <w:rFonts w:hint="eastAsia"/>
          <w:sz w:val="24"/>
        </w:rPr>
        <w:t>的，即投标（响应）报价</w:t>
      </w:r>
      <w:r>
        <w:rPr>
          <w:sz w:val="24"/>
        </w:rPr>
        <w:t>&lt;</w:t>
      </w:r>
      <w:r>
        <w:rPr>
          <w:rFonts w:hint="eastAsia"/>
          <w:sz w:val="24"/>
        </w:rPr>
        <w:t>全部通过符合性审查供应商投标（响应）报价平均值×</w:t>
      </w:r>
      <w:r>
        <w:rPr>
          <w:rFonts w:hint="eastAsia"/>
          <w:sz w:val="24"/>
          <w:u w:val="single"/>
          <w:lang w:val="en-US" w:eastAsia="zh-CN"/>
        </w:rPr>
        <w:t>50</w:t>
      </w:r>
      <w:r>
        <w:rPr>
          <w:sz w:val="24"/>
        </w:rPr>
        <w:t>%</w:t>
      </w:r>
      <w:r>
        <w:rPr>
          <w:rFonts w:hint="eastAsia"/>
          <w:sz w:val="24"/>
        </w:rPr>
        <w:t>；</w:t>
      </w:r>
    </w:p>
    <w:p w14:paraId="0F31180B">
      <w:pPr>
        <w:keepNext w:val="0"/>
        <w:keepLines w:val="0"/>
        <w:pageBreakBefore w:val="0"/>
        <w:widowControl w:val="0"/>
        <w:tabs>
          <w:tab w:val="left" w:pos="1589"/>
          <w:tab w:val="left" w:pos="1701"/>
          <w:tab w:val="left" w:pos="2035"/>
          <w:tab w:val="left" w:pos="21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w:t>
      </w:r>
      <w:r>
        <w:rPr>
          <w:sz w:val="24"/>
        </w:rPr>
        <w:t>2</w:t>
      </w:r>
      <w:r>
        <w:rPr>
          <w:rFonts w:hint="eastAsia"/>
          <w:sz w:val="24"/>
        </w:rPr>
        <w:t>）投标（响应）报价低于通过符合性审查的次低报价供应商投标（响应）报价</w:t>
      </w:r>
      <w:r>
        <w:rPr>
          <w:rFonts w:hint="eastAsia"/>
          <w:sz w:val="24"/>
          <w:u w:val="single"/>
          <w:lang w:val="en-US" w:eastAsia="zh-CN"/>
        </w:rPr>
        <w:t>50</w:t>
      </w:r>
      <w:r>
        <w:rPr>
          <w:sz w:val="24"/>
        </w:rPr>
        <w:t>%</w:t>
      </w:r>
      <w:r>
        <w:rPr>
          <w:rFonts w:hint="eastAsia"/>
          <w:sz w:val="24"/>
        </w:rPr>
        <w:t>的，即投标（响应）报价</w:t>
      </w:r>
      <w:r>
        <w:rPr>
          <w:sz w:val="24"/>
        </w:rPr>
        <w:t>&lt;</w:t>
      </w:r>
      <w:r>
        <w:rPr>
          <w:rFonts w:hint="eastAsia"/>
          <w:sz w:val="24"/>
        </w:rPr>
        <w:t>通过符合性审查的次低报价供应商投标（响应）报价×</w:t>
      </w:r>
      <w:r>
        <w:rPr>
          <w:rFonts w:hint="eastAsia"/>
          <w:sz w:val="24"/>
          <w:u w:val="single"/>
          <w:lang w:val="en-US" w:eastAsia="zh-CN"/>
        </w:rPr>
        <w:t>50</w:t>
      </w:r>
      <w:r>
        <w:rPr>
          <w:sz w:val="24"/>
        </w:rPr>
        <w:t>%</w:t>
      </w:r>
      <w:r>
        <w:rPr>
          <w:rFonts w:hint="eastAsia"/>
          <w:sz w:val="24"/>
        </w:rPr>
        <w:t>；</w:t>
      </w:r>
    </w:p>
    <w:p w14:paraId="164FBFDF">
      <w:pPr>
        <w:keepNext w:val="0"/>
        <w:keepLines w:val="0"/>
        <w:pageBreakBefore w:val="0"/>
        <w:widowControl w:val="0"/>
        <w:tabs>
          <w:tab w:val="left" w:pos="1589"/>
          <w:tab w:val="left" w:pos="1701"/>
          <w:tab w:val="left" w:pos="2035"/>
          <w:tab w:val="left" w:pos="21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w:t>
      </w:r>
      <w:r>
        <w:rPr>
          <w:sz w:val="24"/>
        </w:rPr>
        <w:t>3</w:t>
      </w:r>
      <w:r>
        <w:rPr>
          <w:rFonts w:hint="eastAsia"/>
          <w:sz w:val="24"/>
        </w:rPr>
        <w:t>）投标（响应）报价低于采购项目最高限价</w:t>
      </w:r>
      <w:r>
        <w:rPr>
          <w:rFonts w:hint="eastAsia"/>
          <w:sz w:val="24"/>
          <w:u w:val="single"/>
          <w:lang w:val="en-US" w:eastAsia="zh-CN"/>
        </w:rPr>
        <w:t>45</w:t>
      </w:r>
      <w:r>
        <w:rPr>
          <w:sz w:val="24"/>
        </w:rPr>
        <w:t>%</w:t>
      </w:r>
      <w:r>
        <w:rPr>
          <w:rFonts w:hint="eastAsia"/>
          <w:sz w:val="24"/>
        </w:rPr>
        <w:t>的，即投标（响应）报价</w:t>
      </w:r>
      <w:r>
        <w:rPr>
          <w:sz w:val="24"/>
        </w:rPr>
        <w:t>&lt;</w:t>
      </w:r>
      <w:r>
        <w:rPr>
          <w:rFonts w:hint="eastAsia"/>
          <w:sz w:val="24"/>
        </w:rPr>
        <w:t>采购项目最高限价×</w:t>
      </w:r>
      <w:r>
        <w:rPr>
          <w:rFonts w:hint="eastAsia"/>
          <w:sz w:val="24"/>
          <w:u w:val="single"/>
          <w:lang w:val="en-US" w:eastAsia="zh-CN"/>
        </w:rPr>
        <w:t>45</w:t>
      </w:r>
      <w:r>
        <w:rPr>
          <w:sz w:val="24"/>
        </w:rPr>
        <w:t>%</w:t>
      </w:r>
      <w:r>
        <w:rPr>
          <w:rFonts w:hint="eastAsia"/>
          <w:sz w:val="24"/>
        </w:rPr>
        <w:t>；</w:t>
      </w:r>
      <w:r>
        <w:rPr>
          <w:rFonts w:hint="eastAsia"/>
          <w:color w:val="000000"/>
          <w:sz w:val="24"/>
        </w:rPr>
        <w:t>未设定最高限价的采购项目，以采购项目预算金额作为最高限价；</w:t>
      </w:r>
    </w:p>
    <w:p w14:paraId="0CF72543">
      <w:pPr>
        <w:keepNext w:val="0"/>
        <w:keepLines w:val="0"/>
        <w:pageBreakBefore w:val="0"/>
        <w:widowControl w:val="0"/>
        <w:tabs>
          <w:tab w:val="left" w:pos="1589"/>
          <w:tab w:val="left" w:pos="1701"/>
          <w:tab w:val="left" w:pos="2035"/>
          <w:tab w:val="left" w:pos="21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14:paraId="333EC541">
      <w:pPr>
        <w:keepNext w:val="0"/>
        <w:keepLines w:val="0"/>
        <w:pageBreakBefore w:val="0"/>
        <w:widowControl w:val="0"/>
        <w:numPr>
          <w:ilvl w:val="2"/>
          <w:numId w:val="13"/>
        </w:numPr>
        <w:tabs>
          <w:tab w:val="left" w:pos="1134"/>
          <w:tab w:val="left" w:pos="1276"/>
          <w:tab w:val="left" w:pos="1560"/>
          <w:tab w:val="left" w:pos="1701"/>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14:paraId="3AFB7D15">
      <w:pPr>
        <w:keepNext w:val="0"/>
        <w:keepLines w:val="0"/>
        <w:pageBreakBefore w:val="0"/>
        <w:widowControl w:val="0"/>
        <w:numPr>
          <w:ilvl w:val="2"/>
          <w:numId w:val="13"/>
        </w:numPr>
        <w:tabs>
          <w:tab w:val="left" w:pos="1134"/>
          <w:tab w:val="left" w:pos="1276"/>
          <w:tab w:val="left" w:pos="1560"/>
          <w:tab w:val="left" w:pos="1701"/>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56425E3">
      <w:pPr>
        <w:keepNext w:val="0"/>
        <w:keepLines w:val="0"/>
        <w:pageBreakBefore w:val="0"/>
        <w:widowControl w:val="0"/>
        <w:numPr>
          <w:ilvl w:val="2"/>
          <w:numId w:val="13"/>
        </w:numPr>
        <w:tabs>
          <w:tab w:val="left" w:pos="1134"/>
          <w:tab w:val="left" w:pos="1276"/>
          <w:tab w:val="left" w:pos="1560"/>
          <w:tab w:val="left" w:pos="1701"/>
        </w:tabs>
        <w:kinsoku/>
        <w:wordWrap/>
        <w:overflowPunct/>
        <w:topLinePunct w:val="0"/>
        <w:autoSpaceDE/>
        <w:autoSpaceDN/>
        <w:bidi w:val="0"/>
        <w:adjustRightInd/>
        <w:snapToGrid w:val="0"/>
        <w:spacing w:line="360" w:lineRule="auto"/>
        <w:ind w:left="0" w:leftChars="0" w:firstLine="0" w:firstLineChars="0"/>
        <w:textAlignment w:val="auto"/>
        <w:rPr>
          <w:sz w:val="24"/>
        </w:rPr>
      </w:pPr>
      <w:bookmarkStart w:id="606" w:name="_Hlk190337965"/>
      <w:r>
        <w:rPr>
          <w:rFonts w:hint="eastAsia"/>
          <w:sz w:val="24"/>
        </w:rPr>
        <w:t>上述投标（响应）报价指按照本章3</w:t>
      </w:r>
      <w:r>
        <w:rPr>
          <w:sz w:val="24"/>
        </w:rPr>
        <w:t>.2</w:t>
      </w:r>
      <w:r>
        <w:rPr>
          <w:rFonts w:hint="eastAsia"/>
          <w:sz w:val="24"/>
        </w:rPr>
        <w:t>修正后的报价</w:t>
      </w:r>
      <w:bookmarkEnd w:id="606"/>
      <w:r>
        <w:rPr>
          <w:rFonts w:hint="eastAsia"/>
          <w:sz w:val="24"/>
        </w:rPr>
        <w:t>。</w:t>
      </w:r>
      <w:bookmarkEnd w:id="604"/>
    </w:p>
    <w:bookmarkEnd w:id="605"/>
    <w:p w14:paraId="3B4515F7">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69ED6498">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最后报价是供应商响应文件的有效组成部分。</w:t>
      </w:r>
    </w:p>
    <w:p w14:paraId="25F4D634">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已提交响应文件的供应商，在提交最后报价之前，可以根据谈判情况退出谈判。</w:t>
      </w:r>
    </w:p>
    <w:p w14:paraId="6C5B85B2">
      <w:pPr>
        <w:keepNext w:val="0"/>
        <w:keepLines w:val="0"/>
        <w:pageBreakBefore w:val="0"/>
        <w:widowControl w:val="0"/>
        <w:numPr>
          <w:ilvl w:val="0"/>
          <w:numId w:val="13"/>
        </w:numPr>
        <w:tabs>
          <w:tab w:val="left" w:pos="360"/>
        </w:tabs>
        <w:kinsoku/>
        <w:wordWrap/>
        <w:overflowPunct/>
        <w:topLinePunct w:val="0"/>
        <w:autoSpaceDE/>
        <w:autoSpaceDN/>
        <w:bidi w:val="0"/>
        <w:adjustRightInd/>
        <w:snapToGrid w:val="0"/>
        <w:spacing w:line="360" w:lineRule="auto"/>
        <w:ind w:left="0" w:leftChars="0" w:firstLine="0" w:firstLineChars="0"/>
        <w:textAlignment w:val="auto"/>
        <w:outlineLvl w:val="1"/>
        <w:rPr>
          <w:sz w:val="24"/>
        </w:rPr>
      </w:pPr>
      <w:r>
        <w:rPr>
          <w:sz w:val="24"/>
        </w:rPr>
        <w:t>最后报价的算术修正及政策调整</w:t>
      </w:r>
    </w:p>
    <w:p w14:paraId="6B7895AF">
      <w:pPr>
        <w:keepNext w:val="0"/>
        <w:keepLines w:val="0"/>
        <w:pageBreakBefore w:val="0"/>
        <w:widowControl w:val="0"/>
        <w:numPr>
          <w:ilvl w:val="1"/>
          <w:numId w:val="13"/>
        </w:numPr>
        <w:tabs>
          <w:tab w:val="left" w:pos="1080"/>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4E686253">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最后报价出现前后不一致的，按照下列规定修正：</w:t>
      </w:r>
    </w:p>
    <w:p w14:paraId="7A26AA6D">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谈判文件对于报价修正是否另有规定：</w:t>
      </w:r>
    </w:p>
    <w:p w14:paraId="48C091EA">
      <w:pPr>
        <w:keepNext w:val="0"/>
        <w:keepLines w:val="0"/>
        <w:pageBreakBefore w:val="0"/>
        <w:widowControl w:val="0"/>
        <w:tabs>
          <w:tab w:val="left" w:pos="1080"/>
          <w:tab w:val="left" w:pos="1589"/>
          <w:tab w:val="left" w:pos="2035"/>
          <w:tab w:val="left" w:pos="2114"/>
        </w:tabs>
        <w:kinsoku/>
        <w:wordWrap/>
        <w:overflowPunct/>
        <w:topLinePunct w:val="0"/>
        <w:autoSpaceDE/>
        <w:autoSpaceDN/>
        <w:bidi w:val="0"/>
        <w:adjustRightInd/>
        <w:snapToGrid w:val="0"/>
        <w:spacing w:line="360" w:lineRule="auto"/>
        <w:ind w:left="0" w:leftChars="0" w:firstLine="0" w:firstLineChars="0"/>
        <w:textAlignment w:val="auto"/>
        <w:rPr>
          <w:sz w:val="24"/>
          <w:u w:val="single"/>
        </w:rPr>
      </w:pPr>
      <w:r>
        <w:rPr>
          <w:rFonts w:hint="eastAsia"/>
          <w:sz w:val="24"/>
          <w:lang w:eastAsia="zh-CN"/>
        </w:rPr>
        <w:t>□</w:t>
      </w:r>
      <w:r>
        <w:rPr>
          <w:sz w:val="24"/>
        </w:rPr>
        <w:t>有，具体规定为：____________________________</w:t>
      </w:r>
    </w:p>
    <w:p w14:paraId="7B6D4B9A">
      <w:pPr>
        <w:keepNext w:val="0"/>
        <w:keepLines w:val="0"/>
        <w:pageBreakBefore w:val="0"/>
        <w:widowControl w:val="0"/>
        <w:tabs>
          <w:tab w:val="left" w:pos="1080"/>
          <w:tab w:val="left" w:pos="1589"/>
          <w:tab w:val="left" w:pos="2035"/>
          <w:tab w:val="left" w:pos="21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asciiTheme="majorEastAsia" w:hAnsiTheme="majorEastAsia" w:eastAsiaTheme="majorEastAsia" w:cstheme="majorEastAsia"/>
          <w:i w:val="0"/>
          <w:iCs w:val="0"/>
          <w:spacing w:val="8"/>
          <w:sz w:val="24"/>
          <w:szCs w:val="24"/>
          <w:lang w:eastAsia="zh-CN"/>
        </w:rPr>
        <w:t>■</w:t>
      </w:r>
      <w:r>
        <w:rPr>
          <w:sz w:val="24"/>
        </w:rPr>
        <w:t>无，按下述3.2.2-3.2.5项规定修正。</w:t>
      </w:r>
    </w:p>
    <w:p w14:paraId="22746339">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大写金额和小写金额不一致的，以大写金额为准；</w:t>
      </w:r>
    </w:p>
    <w:p w14:paraId="7FC7EBCE">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单价金额小数点或者百分比有明显错位的，以总价为准，并修改单价；</w:t>
      </w:r>
    </w:p>
    <w:p w14:paraId="149BDC9F">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总价金额与按单价汇总金额不一致的，以单价金额计算结果为准。</w:t>
      </w:r>
    </w:p>
    <w:p w14:paraId="062E339A">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同时出现两种以上不一致的，按照前款规定的顺序修正。</w:t>
      </w:r>
    </w:p>
    <w:p w14:paraId="20E00B4B">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修正后的报价经供应商书面确认后产生约束力，供应商不确认的，其</w:t>
      </w:r>
      <w:r>
        <w:rPr>
          <w:b/>
          <w:bCs/>
          <w:sz w:val="24"/>
        </w:rPr>
        <w:t>响应无效</w:t>
      </w:r>
      <w:r>
        <w:rPr>
          <w:sz w:val="24"/>
        </w:rPr>
        <w:t>。</w:t>
      </w:r>
    </w:p>
    <w:p w14:paraId="07B1ACB6">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支持中小企业</w:t>
      </w:r>
      <w:r>
        <w:rPr>
          <w:sz w:val="24"/>
        </w:rPr>
        <w:t>政府采购政策的价格调整：只有符合第二章《供应商须知》3.3条规定情形的，可以享受中小企业扶持政策，用扣除后的价格参加评审；否则，评审时价格不予扣除。</w:t>
      </w:r>
    </w:p>
    <w:p w14:paraId="353E6CCF">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rPr>
        <w:t>%的扣除，用扣除后的价格参加评审。</w:t>
      </w:r>
    </w:p>
    <w:p w14:paraId="56E19CAB">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rPr>
        <w:t>%的扣除，用扣除后的价格参加评审。</w:t>
      </w:r>
    </w:p>
    <w:p w14:paraId="3074380C">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组成联合体或者接受分包的小微企业与联合体内其他企业、分包企业之间存在直接控股、管理关系的，不享受价格扣除优惠政策。</w:t>
      </w:r>
    </w:p>
    <w:p w14:paraId="6BD6B66D">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价格扣除比例对小型企业和微型企业同等对待，不作区分。</w:t>
      </w:r>
    </w:p>
    <w:p w14:paraId="1E273237">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中小企业参加政府采购活动，应当按照谈判文件给定的格式出具《中小企业声明函》，否则不得享受相关中小企业扶持政策。</w:t>
      </w:r>
    </w:p>
    <w:p w14:paraId="1EE500CF">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监狱企业提供了由省级以上监狱管理局、戒毒管理局（含新疆生产建设兵团）出具的属于监狱企业的证明文件的，视同小微企业。</w:t>
      </w:r>
    </w:p>
    <w:p w14:paraId="6B8A3176">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残疾人福利性单位按谈判文件要求提供了《残疾人福利性单位声明函》的，视同小微企业。</w:t>
      </w:r>
    </w:p>
    <w:p w14:paraId="73F55F08">
      <w:pPr>
        <w:keepNext w:val="0"/>
        <w:keepLines w:val="0"/>
        <w:pageBreakBefore w:val="0"/>
        <w:widowControl w:val="0"/>
        <w:numPr>
          <w:ilvl w:val="2"/>
          <w:numId w:val="13"/>
        </w:numPr>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若供应商同时属于小型或微型企业、监狱企业、残疾人福利性单位中的两种及以上，将不重复享受小微企业价格扣减的优惠政策。</w:t>
      </w:r>
    </w:p>
    <w:p w14:paraId="3C44286B">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非政府强制采购的节能产品或环境标志产品，依据品目清单和认证证书实施政府优先采购。优先采购的具体规定（如涉及</w:t>
      </w:r>
      <w:r>
        <w:rPr>
          <w:color w:val="auto"/>
          <w:sz w:val="24"/>
        </w:rPr>
        <w:t>）：</w:t>
      </w:r>
      <w:r>
        <w:rPr>
          <w:rFonts w:hint="eastAsia"/>
          <w:b w:val="0"/>
          <w:bCs w:val="0"/>
          <w:color w:val="auto"/>
          <w:sz w:val="24"/>
          <w:u w:val="single"/>
        </w:rPr>
        <w:t>当供应商因产品相同或最后报价相同时将被优先推荐为成交候选人。</w:t>
      </w:r>
    </w:p>
    <w:p w14:paraId="127881C7">
      <w:pPr>
        <w:keepNext w:val="0"/>
        <w:keepLines w:val="0"/>
        <w:pageBreakBefore w:val="0"/>
        <w:widowControl w:val="0"/>
        <w:numPr>
          <w:ilvl w:val="1"/>
          <w:numId w:val="13"/>
        </w:numPr>
        <w:tabs>
          <w:tab w:val="left" w:pos="1080"/>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支持本国产品政府采购</w:t>
      </w:r>
      <w:r>
        <w:rPr>
          <w:sz w:val="24"/>
        </w:rPr>
        <w:t>的价格调整：只有符合第二章《</w:t>
      </w:r>
      <w:r>
        <w:rPr>
          <w:rFonts w:hint="eastAsia"/>
          <w:sz w:val="24"/>
        </w:rPr>
        <w:t>供应商</w:t>
      </w:r>
      <w:r>
        <w:rPr>
          <w:sz w:val="24"/>
        </w:rPr>
        <w:t>须知》3.2条规定情形的，可以享受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14:paraId="1A6DB972">
      <w:pPr>
        <w:keepNext w:val="0"/>
        <w:keepLines w:val="0"/>
        <w:pageBreakBefore w:val="0"/>
        <w:widowControl w:val="0"/>
        <w:numPr>
          <w:ilvl w:val="2"/>
          <w:numId w:val="13"/>
        </w:numPr>
        <w:tabs>
          <w:tab w:val="left" w:pos="1080"/>
          <w:tab w:val="left" w:pos="2100"/>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3049A0A">
      <w:pPr>
        <w:keepNext w:val="0"/>
        <w:keepLines w:val="0"/>
        <w:pageBreakBefore w:val="0"/>
        <w:widowControl w:val="0"/>
        <w:numPr>
          <w:ilvl w:val="2"/>
          <w:numId w:val="13"/>
        </w:numPr>
        <w:tabs>
          <w:tab w:val="left" w:pos="1080"/>
          <w:tab w:val="left" w:pos="2100"/>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314756">
      <w:pPr>
        <w:keepNext w:val="0"/>
        <w:keepLines w:val="0"/>
        <w:pageBreakBefore w:val="0"/>
        <w:widowControl w:val="0"/>
        <w:numPr>
          <w:ilvl w:val="2"/>
          <w:numId w:val="13"/>
        </w:numPr>
        <w:tabs>
          <w:tab w:val="left" w:pos="1080"/>
          <w:tab w:val="left" w:pos="2100"/>
        </w:tabs>
        <w:kinsoku/>
        <w:wordWrap/>
        <w:overflowPunct/>
        <w:topLinePunct w:val="0"/>
        <w:autoSpaceDE/>
        <w:autoSpaceDN/>
        <w:bidi w:val="0"/>
        <w:adjustRightInd/>
        <w:snapToGrid w:val="0"/>
        <w:spacing w:line="360" w:lineRule="auto"/>
        <w:ind w:left="0" w:leftChars="0" w:firstLine="0" w:firstLineChars="0"/>
        <w:textAlignment w:val="auto"/>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16689AC">
      <w:pPr>
        <w:keepNext w:val="0"/>
        <w:keepLines w:val="0"/>
        <w:pageBreakBefore w:val="0"/>
        <w:widowControl w:val="0"/>
        <w:numPr>
          <w:ilvl w:val="0"/>
          <w:numId w:val="13"/>
        </w:numPr>
        <w:tabs>
          <w:tab w:val="left" w:pos="360"/>
        </w:tabs>
        <w:kinsoku/>
        <w:wordWrap/>
        <w:overflowPunct/>
        <w:topLinePunct w:val="0"/>
        <w:autoSpaceDE/>
        <w:autoSpaceDN/>
        <w:bidi w:val="0"/>
        <w:adjustRightInd/>
        <w:snapToGrid w:val="0"/>
        <w:spacing w:line="360" w:lineRule="auto"/>
        <w:ind w:left="0" w:leftChars="0" w:firstLine="0" w:firstLineChars="0"/>
        <w:textAlignment w:val="auto"/>
        <w:outlineLvl w:val="1"/>
        <w:rPr>
          <w:sz w:val="24"/>
        </w:rPr>
      </w:pPr>
      <w:r>
        <w:rPr>
          <w:sz w:val="24"/>
        </w:rPr>
        <w:t>谈判环节及提交最后报价后如出现以下情况的，供应商的</w:t>
      </w:r>
      <w:r>
        <w:rPr>
          <w:b/>
          <w:bCs/>
          <w:sz w:val="24"/>
        </w:rPr>
        <w:t>响应文件无效</w:t>
      </w:r>
      <w:r>
        <w:rPr>
          <w:sz w:val="24"/>
        </w:rPr>
        <w:t>：</w:t>
      </w:r>
    </w:p>
    <w:p w14:paraId="0252F55E">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供应商对实质性变动不予确认的；</w:t>
      </w:r>
    </w:p>
    <w:p w14:paraId="79D64561">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sz w:val="24"/>
        </w:rPr>
        <w:t>《采购需求》</w:t>
      </w:r>
      <w:r>
        <w:rPr>
          <w:sz w:val="24"/>
        </w:rPr>
        <w:t>中主要技术参数允许偏差的最大范围的（如有）；</w:t>
      </w:r>
    </w:p>
    <w:p w14:paraId="24A74CD4">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未按照谈判小组规定的时间、逾期提交最后报价的；</w:t>
      </w:r>
    </w:p>
    <w:p w14:paraId="2D69272F">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如供应商的最后报价超过谈判文件中规定的项目/采购包预算金额或者项目/采购包最高限价的；</w:t>
      </w:r>
    </w:p>
    <w:p w14:paraId="790C5881">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响应文件中出现可选择性或可调整的报价的（谈判文件另有规定的除外）；</w:t>
      </w:r>
    </w:p>
    <w:p w14:paraId="02695BCA">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最后报价出现前后不一致，供应商对修正后的报价不予确认的；</w:t>
      </w:r>
    </w:p>
    <w:p w14:paraId="0FCE30C6">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其他：</w:t>
      </w:r>
      <w:r>
        <w:rPr>
          <w:rFonts w:hint="eastAsia"/>
          <w:sz w:val="24"/>
          <w:u w:val="single"/>
          <w:lang w:val="en-US" w:eastAsia="zh-CN"/>
        </w:rPr>
        <w:t xml:space="preserve">   </w:t>
      </w:r>
      <w:r>
        <w:rPr>
          <w:rFonts w:hint="eastAsia" w:asciiTheme="majorEastAsia" w:hAnsiTheme="majorEastAsia" w:eastAsiaTheme="majorEastAsia" w:cstheme="majorEastAsia"/>
          <w:i w:val="0"/>
          <w:iCs w:val="0"/>
          <w:spacing w:val="3"/>
          <w:sz w:val="24"/>
          <w:szCs w:val="24"/>
          <w:u w:val="single"/>
        </w:rPr>
        <w:t>无</w:t>
      </w:r>
      <w:r>
        <w:rPr>
          <w:rFonts w:hint="eastAsia"/>
          <w:sz w:val="24"/>
          <w:u w:val="single"/>
          <w:lang w:val="en-US" w:eastAsia="zh-CN"/>
        </w:rPr>
        <w:t xml:space="preserve">   </w:t>
      </w:r>
      <w:r>
        <w:rPr>
          <w:sz w:val="24"/>
        </w:rPr>
        <w:t>。</w:t>
      </w:r>
    </w:p>
    <w:p w14:paraId="76270F70">
      <w:pPr>
        <w:pStyle w:val="17"/>
      </w:pPr>
      <w:r>
        <w:rPr>
          <w:rFonts w:hint="eastAsia"/>
          <w:lang w:val="en-US" w:eastAsia="zh-CN"/>
        </w:rPr>
        <w:t>4.8</w:t>
      </w:r>
      <w:r>
        <w:t>评标方法和评标标准</w:t>
      </w:r>
    </w:p>
    <w:p w14:paraId="14087973">
      <w:pPr>
        <w:keepNext w:val="0"/>
        <w:keepLines w:val="0"/>
        <w:pageBreakBefore w:val="0"/>
        <w:widowControl w:val="0"/>
        <w:tabs>
          <w:tab w:val="left" w:pos="900"/>
          <w:tab w:val="left" w:pos="1589"/>
          <w:tab w:val="left" w:pos="1701"/>
        </w:tabs>
        <w:kinsoku/>
        <w:wordWrap/>
        <w:overflowPunct/>
        <w:topLinePunct w:val="0"/>
        <w:autoSpaceDE/>
        <w:autoSpaceDN/>
        <w:bidi w:val="0"/>
        <w:adjustRightInd/>
        <w:snapToGrid w:val="0"/>
        <w:spacing w:line="360" w:lineRule="auto"/>
        <w:ind w:left="0"/>
        <w:textAlignment w:val="auto"/>
        <w:rPr>
          <w:rFonts w:hint="eastAsia" w:ascii="宋体" w:hAnsi="宋体" w:eastAsia="宋体" w:cs="宋体"/>
          <w:sz w:val="24"/>
        </w:rPr>
      </w:pPr>
      <w:r>
        <w:rPr>
          <w:rFonts w:hint="eastAsia" w:ascii="宋体" w:hAnsi="宋体" w:eastAsia="宋体" w:cs="宋体"/>
          <w:sz w:val="24"/>
        </w:rPr>
        <w:t>■最低评标价法，指</w:t>
      </w:r>
      <w:r>
        <w:rPr>
          <w:rFonts w:hint="eastAsia" w:ascii="宋体" w:hAnsi="宋体" w:cs="宋体"/>
          <w:sz w:val="24"/>
          <w:lang w:val="en-US" w:eastAsia="zh-CN"/>
        </w:rPr>
        <w:t>响应</w:t>
      </w:r>
      <w:r>
        <w:rPr>
          <w:rFonts w:hint="eastAsia" w:ascii="宋体" w:hAnsi="宋体" w:eastAsia="宋体" w:cs="宋体"/>
          <w:sz w:val="24"/>
        </w:rPr>
        <w:t>文件满足</w:t>
      </w:r>
      <w:r>
        <w:rPr>
          <w:rFonts w:hint="eastAsia" w:ascii="宋体" w:hAnsi="宋体" w:cs="宋体"/>
          <w:sz w:val="24"/>
          <w:lang w:val="en-US" w:eastAsia="zh-CN"/>
        </w:rPr>
        <w:t>竞争性谈判</w:t>
      </w:r>
      <w:r>
        <w:rPr>
          <w:rFonts w:hint="eastAsia" w:ascii="宋体" w:hAnsi="宋体" w:eastAsia="宋体" w:cs="宋体"/>
          <w:sz w:val="24"/>
        </w:rPr>
        <w:t>文件全部实质性要求，且投标报价最低的</w:t>
      </w:r>
      <w:r>
        <w:rPr>
          <w:rFonts w:hint="eastAsia" w:ascii="宋体" w:hAnsi="宋体" w:cs="宋体"/>
          <w:sz w:val="24"/>
          <w:lang w:val="en-US" w:eastAsia="zh-CN"/>
        </w:rPr>
        <w:t>供应商</w:t>
      </w:r>
      <w:r>
        <w:rPr>
          <w:rFonts w:hint="eastAsia" w:ascii="宋体" w:hAnsi="宋体" w:eastAsia="宋体" w:cs="宋体"/>
          <w:sz w:val="24"/>
        </w:rPr>
        <w:t>为</w:t>
      </w:r>
      <w:r>
        <w:rPr>
          <w:rFonts w:hint="eastAsia" w:ascii="宋体" w:hAnsi="宋体" w:cs="宋体"/>
          <w:sz w:val="24"/>
          <w:lang w:val="en-US" w:eastAsia="zh-CN"/>
        </w:rPr>
        <w:t>成交</w:t>
      </w:r>
      <w:r>
        <w:rPr>
          <w:rFonts w:hint="eastAsia" w:ascii="宋体" w:hAnsi="宋体" w:eastAsia="宋体" w:cs="宋体"/>
          <w:sz w:val="24"/>
        </w:rPr>
        <w:t>候选人的评标方法。</w:t>
      </w:r>
    </w:p>
    <w:p w14:paraId="03225E49">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rPr>
      </w:pPr>
      <w:r>
        <w:rPr>
          <w:rFonts w:hint="eastAsia" w:ascii="宋体" w:hAnsi="宋体" w:eastAsia="宋体" w:cs="宋体"/>
          <w:sz w:val="24"/>
          <w:lang w:val="en-US" w:eastAsia="zh-CN"/>
        </w:rPr>
        <w:t>4.8.1</w:t>
      </w:r>
      <w:r>
        <w:rPr>
          <w:rFonts w:hint="eastAsia" w:ascii="宋体" w:hAnsi="宋体" w:eastAsia="宋体" w:cs="宋体"/>
          <w:sz w:val="24"/>
        </w:rPr>
        <w:t>采用最低评标价法时，提供相同品牌产品（单一产品或核心产品品牌相同）的不同</w:t>
      </w:r>
      <w:r>
        <w:rPr>
          <w:rFonts w:hint="eastAsia" w:ascii="宋体" w:hAnsi="宋体" w:cs="宋体"/>
          <w:sz w:val="24"/>
          <w:lang w:val="en-US" w:eastAsia="zh-CN"/>
        </w:rPr>
        <w:t>供应商</w:t>
      </w:r>
      <w:r>
        <w:rPr>
          <w:rFonts w:hint="eastAsia" w:ascii="宋体" w:hAnsi="宋体" w:eastAsia="宋体" w:cs="宋体"/>
          <w:sz w:val="24"/>
        </w:rPr>
        <w:t>参加同一合同项下投标的，以其中通过资格审查、符合性审查且报价最低的参加评标；报价相同的，由采购人或者采购人委托评标委员会按照下述方法确定一个参加评标的</w:t>
      </w:r>
      <w:r>
        <w:rPr>
          <w:rFonts w:hint="eastAsia" w:ascii="宋体" w:hAnsi="宋体" w:cs="宋体"/>
          <w:sz w:val="24"/>
          <w:lang w:val="en-US" w:eastAsia="zh-CN"/>
        </w:rPr>
        <w:t>供应商</w:t>
      </w:r>
      <w:r>
        <w:rPr>
          <w:rFonts w:hint="eastAsia" w:ascii="宋体" w:hAnsi="宋体" w:eastAsia="宋体" w:cs="宋体"/>
          <w:sz w:val="24"/>
        </w:rPr>
        <w:t>，其他</w:t>
      </w:r>
      <w:r>
        <w:rPr>
          <w:rFonts w:hint="eastAsia" w:ascii="宋体" w:hAnsi="宋体" w:eastAsia="宋体" w:cs="宋体"/>
          <w:b/>
          <w:sz w:val="24"/>
        </w:rPr>
        <w:t>响应文件为无效文件</w:t>
      </w:r>
      <w:r>
        <w:rPr>
          <w:rFonts w:hint="eastAsia" w:ascii="宋体" w:hAnsi="宋体" w:eastAsia="宋体" w:cs="宋体"/>
          <w:sz w:val="24"/>
        </w:rPr>
        <w:t>。</w:t>
      </w:r>
    </w:p>
    <w:p w14:paraId="6FB8125F">
      <w:pPr>
        <w:keepNext w:val="0"/>
        <w:keepLines w:val="0"/>
        <w:pageBreakBefore w:val="0"/>
        <w:widowControl w:val="0"/>
        <w:tabs>
          <w:tab w:val="left" w:pos="1080"/>
          <w:tab w:val="left" w:pos="1589"/>
          <w:tab w:val="left" w:pos="2035"/>
        </w:tabs>
        <w:kinsoku/>
        <w:wordWrap/>
        <w:overflowPunct/>
        <w:topLinePunct w:val="0"/>
        <w:autoSpaceDE/>
        <w:autoSpaceDN/>
        <w:bidi w:val="0"/>
        <w:adjustRightInd/>
        <w:snapToGrid w:val="0"/>
        <w:spacing w:line="360" w:lineRule="auto"/>
        <w:ind w:left="0"/>
        <w:textAlignment w:val="auto"/>
        <w:rPr>
          <w:rFonts w:hint="eastAsia" w:ascii="宋体" w:hAnsi="宋体" w:eastAsia="宋体" w:cs="宋体"/>
          <w:sz w:val="24"/>
        </w:rPr>
      </w:pPr>
      <w:r>
        <w:rPr>
          <w:rFonts w:hint="eastAsia" w:ascii="宋体" w:hAnsi="宋体" w:eastAsia="宋体" w:cs="宋体"/>
          <w:sz w:val="24"/>
        </w:rPr>
        <w:t>■随机抽取</w:t>
      </w:r>
    </w:p>
    <w:p w14:paraId="7D22A467">
      <w:pPr>
        <w:keepNext w:val="0"/>
        <w:keepLines w:val="0"/>
        <w:pageBreakBefore w:val="0"/>
        <w:widowControl w:val="0"/>
        <w:tabs>
          <w:tab w:val="left" w:pos="1080"/>
          <w:tab w:val="left" w:pos="1589"/>
          <w:tab w:val="left" w:pos="2035"/>
        </w:tabs>
        <w:kinsoku/>
        <w:wordWrap/>
        <w:overflowPunct/>
        <w:topLinePunct w:val="0"/>
        <w:autoSpaceDE/>
        <w:autoSpaceDN/>
        <w:bidi w:val="0"/>
        <w:adjustRightInd/>
        <w:snapToGrid w:val="0"/>
        <w:spacing w:line="360" w:lineRule="auto"/>
        <w:ind w:left="0"/>
        <w:textAlignment w:val="auto"/>
        <w:rPr>
          <w:rFonts w:hint="eastAsia" w:ascii="宋体" w:hAnsi="宋体" w:eastAsia="宋体" w:cs="宋体"/>
          <w:sz w:val="24"/>
          <w:u w:val="single"/>
        </w:rPr>
      </w:pPr>
      <w:r>
        <w:rPr>
          <w:rFonts w:hint="eastAsia" w:ascii="宋体" w:hAnsi="宋体" w:eastAsia="宋体" w:cs="宋体"/>
          <w:sz w:val="24"/>
        </w:rPr>
        <w:t>□其他方式，具体要求：_____</w:t>
      </w:r>
    </w:p>
    <w:p w14:paraId="0385DDB4">
      <w:pPr>
        <w:keepNext w:val="0"/>
        <w:keepLines w:val="0"/>
        <w:pageBreakBefore w:val="0"/>
        <w:widowControl w:val="0"/>
        <w:numPr>
          <w:ilvl w:val="0"/>
          <w:numId w:val="13"/>
        </w:numPr>
        <w:tabs>
          <w:tab w:val="left" w:pos="360"/>
        </w:tabs>
        <w:kinsoku/>
        <w:wordWrap/>
        <w:overflowPunct/>
        <w:topLinePunct w:val="0"/>
        <w:autoSpaceDE/>
        <w:autoSpaceDN/>
        <w:bidi w:val="0"/>
        <w:adjustRightInd/>
        <w:snapToGrid w:val="0"/>
        <w:spacing w:line="360" w:lineRule="auto"/>
        <w:ind w:left="0" w:leftChars="0" w:firstLine="0" w:firstLineChars="0"/>
        <w:textAlignment w:val="auto"/>
        <w:outlineLvl w:val="1"/>
        <w:rPr>
          <w:sz w:val="24"/>
        </w:rPr>
      </w:pPr>
      <w:r>
        <w:rPr>
          <w:sz w:val="24"/>
        </w:rPr>
        <w:t>评定成交的标准与确定</w:t>
      </w:r>
      <w:bookmarkStart w:id="607" w:name="_Toc195842911"/>
      <w:bookmarkStart w:id="608" w:name="_Toc305158814"/>
      <w:bookmarkStart w:id="609" w:name="_Toc164229387"/>
      <w:bookmarkStart w:id="610" w:name="_Toc151193860"/>
      <w:bookmarkStart w:id="611" w:name="_Toc226965736"/>
      <w:bookmarkStart w:id="612" w:name="_Toc151190173"/>
      <w:bookmarkStart w:id="613" w:name="_Toc164608815"/>
      <w:bookmarkStart w:id="614" w:name="_Toc150774751"/>
      <w:bookmarkStart w:id="615" w:name="_Toc149720839"/>
      <w:bookmarkStart w:id="616" w:name="_Toc151193934"/>
      <w:bookmarkStart w:id="617" w:name="_Toc226337242"/>
      <w:bookmarkStart w:id="618" w:name="_Toc151193788"/>
      <w:bookmarkStart w:id="619" w:name="_Toc150774646"/>
      <w:bookmarkStart w:id="620" w:name="_Toc150509297"/>
      <w:bookmarkStart w:id="621" w:name="_Toc142311048"/>
      <w:bookmarkStart w:id="622" w:name="_Toc264969236"/>
      <w:bookmarkStart w:id="623" w:name="_Toc305158888"/>
      <w:bookmarkStart w:id="624" w:name="_Toc151193644"/>
      <w:bookmarkStart w:id="625" w:name="_Toc127161460"/>
      <w:bookmarkStart w:id="626" w:name="_Toc127151546"/>
      <w:bookmarkStart w:id="627" w:name="_Toc164229241"/>
      <w:bookmarkStart w:id="628" w:name="_Toc164608660"/>
      <w:bookmarkStart w:id="629" w:name="_Ref467307010"/>
      <w:bookmarkStart w:id="630" w:name="_Toc151193716"/>
      <w:bookmarkStart w:id="631" w:name="_Toc150480784"/>
      <w:bookmarkStart w:id="632" w:name="_Toc265228384"/>
      <w:bookmarkStart w:id="633" w:name="_Toc226309790"/>
      <w:bookmarkStart w:id="634" w:name="_Toc127151747"/>
      <w:bookmarkStart w:id="635" w:name="_Toc226965819"/>
      <w:bookmarkStart w:id="636" w:name="_Toc520356170"/>
      <w:bookmarkStart w:id="637" w:name="_Toc164351640"/>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503AE6B">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Pr>
          <w:rFonts w:hint="eastAsia" w:asciiTheme="majorEastAsia" w:hAnsiTheme="majorEastAsia" w:eastAsiaTheme="majorEastAsia" w:cstheme="majorEastAsia"/>
          <w:i w:val="0"/>
          <w:iCs w:val="0"/>
          <w:spacing w:val="2"/>
          <w:sz w:val="24"/>
          <w:szCs w:val="24"/>
          <w:u w:val="single"/>
          <w:lang w:val="en-US" w:eastAsia="zh-CN"/>
        </w:rPr>
        <w:t xml:space="preserve">  三  </w:t>
      </w:r>
      <w:r>
        <w:rPr>
          <w:sz w:val="24"/>
        </w:rPr>
        <w:t>名成交候选人，并编写评审报告。</w:t>
      </w:r>
    </w:p>
    <w:p w14:paraId="3552E184">
      <w:pPr>
        <w:keepNext w:val="0"/>
        <w:keepLines w:val="0"/>
        <w:pageBreakBefore w:val="0"/>
        <w:widowControl w:val="0"/>
        <w:numPr>
          <w:ilvl w:val="1"/>
          <w:numId w:val="13"/>
        </w:numPr>
        <w:tabs>
          <w:tab w:val="left" w:pos="1080"/>
          <w:tab w:val="left" w:pos="1872"/>
        </w:tabs>
        <w:kinsoku/>
        <w:wordWrap/>
        <w:overflowPunct/>
        <w:topLinePunct w:val="0"/>
        <w:autoSpaceDE/>
        <w:autoSpaceDN/>
        <w:bidi w:val="0"/>
        <w:adjustRightInd/>
        <w:snapToGrid w:val="0"/>
        <w:spacing w:line="360" w:lineRule="auto"/>
        <w:ind w:left="0" w:leftChars="0" w:firstLine="0" w:firstLineChars="0"/>
        <w:textAlignment w:val="auto"/>
        <w:rPr>
          <w:rFonts w:eastAsiaTheme="minorEastAsia"/>
          <w:sz w:val="24"/>
        </w:rPr>
      </w:pPr>
      <w:r>
        <w:rPr>
          <w:rFonts w:eastAsiaTheme="minorEastAsia"/>
          <w:sz w:val="24"/>
        </w:rPr>
        <w:t>谈判小组要对评审结果进行复核，特别是对排名第一的、响应文件被认定为无效的情形进行重点复核。</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8"/>
    <w:p w14:paraId="081E4E25">
      <w:pPr>
        <w:keepNext w:val="0"/>
        <w:keepLines w:val="0"/>
        <w:pageBreakBefore w:val="0"/>
        <w:widowControl w:val="0"/>
        <w:numPr>
          <w:ilvl w:val="0"/>
          <w:numId w:val="13"/>
        </w:numPr>
        <w:tabs>
          <w:tab w:val="left" w:pos="360"/>
        </w:tabs>
        <w:kinsoku/>
        <w:wordWrap/>
        <w:overflowPunct/>
        <w:topLinePunct w:val="0"/>
        <w:autoSpaceDE/>
        <w:autoSpaceDN/>
        <w:bidi w:val="0"/>
        <w:adjustRightInd/>
        <w:snapToGrid w:val="0"/>
        <w:spacing w:line="360" w:lineRule="auto"/>
        <w:ind w:left="0" w:leftChars="0" w:firstLine="0" w:firstLineChars="0"/>
        <w:textAlignment w:val="auto"/>
        <w:outlineLvl w:val="1"/>
        <w:rPr>
          <w:sz w:val="24"/>
        </w:rPr>
      </w:pPr>
      <w:bookmarkStart w:id="638" w:name="_Toc353825545"/>
      <w:bookmarkStart w:id="639" w:name="_Toc264969245"/>
      <w:bookmarkStart w:id="640" w:name="_Toc226337251"/>
      <w:bookmarkStart w:id="641" w:name="_Toc150774760"/>
      <w:bookmarkStart w:id="642" w:name="_Toc127151555"/>
      <w:bookmarkStart w:id="643" w:name="_Toc226965828"/>
      <w:bookmarkStart w:id="644" w:name="_Toc353873665"/>
      <w:bookmarkStart w:id="645" w:name="_Toc305158823"/>
      <w:bookmarkStart w:id="646" w:name="_Toc150480793"/>
      <w:bookmarkStart w:id="647" w:name="_Toc142311057"/>
      <w:bookmarkStart w:id="648" w:name="_Toc353873935"/>
      <w:bookmarkStart w:id="649" w:name="_Toc305158897"/>
      <w:bookmarkStart w:id="650" w:name="_Toc195842920"/>
      <w:bookmarkStart w:id="651" w:name="_Toc265228393"/>
      <w:r>
        <w:rPr>
          <w:sz w:val="24"/>
        </w:rPr>
        <w:t>报告违法行为</w:t>
      </w:r>
    </w:p>
    <w:p w14:paraId="6B73284A">
      <w:pPr>
        <w:keepNext w:val="0"/>
        <w:keepLines w:val="0"/>
        <w:pageBreakBefore w:val="0"/>
        <w:widowControl w:val="0"/>
        <w:numPr>
          <w:ilvl w:val="1"/>
          <w:numId w:val="13"/>
        </w:numPr>
        <w:tabs>
          <w:tab w:val="left" w:pos="1080"/>
          <w:tab w:val="left" w:pos="2014"/>
        </w:tabs>
        <w:kinsoku/>
        <w:wordWrap/>
        <w:overflowPunct/>
        <w:topLinePunct w:val="0"/>
        <w:autoSpaceDE/>
        <w:autoSpaceDN/>
        <w:bidi w:val="0"/>
        <w:adjustRightInd/>
        <w:snapToGrid w:val="0"/>
        <w:spacing w:line="360" w:lineRule="auto"/>
        <w:ind w:left="0" w:leftChars="0" w:firstLine="0" w:firstLineChars="0"/>
        <w:textAlignment w:val="auto"/>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43C37DE0">
      <w:pPr>
        <w:rPr>
          <w:sz w:val="24"/>
        </w:rPr>
      </w:pPr>
    </w:p>
    <w:p w14:paraId="6E1924F4">
      <w:pPr>
        <w:spacing w:line="360" w:lineRule="auto"/>
        <w:jc w:val="center"/>
        <w:outlineLvl w:val="0"/>
        <w:rPr>
          <w:b/>
          <w:sz w:val="36"/>
          <w:szCs w:val="36"/>
        </w:rPr>
      </w:pPr>
      <w:r>
        <w:rPr>
          <w:b/>
          <w:sz w:val="36"/>
          <w:szCs w:val="36"/>
        </w:rPr>
        <w:br w:type="page"/>
      </w:r>
      <w:bookmarkStart w:id="652" w:name="_Toc99301376"/>
      <w:r>
        <w:rPr>
          <w:b/>
          <w:sz w:val="36"/>
          <w:szCs w:val="36"/>
        </w:rPr>
        <w:t>第四章   采购需求</w:t>
      </w:r>
      <w:bookmarkEnd w:id="652"/>
    </w:p>
    <w:p w14:paraId="7BE8618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一、指导思想</w:t>
      </w:r>
    </w:p>
    <w:p w14:paraId="1089E7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习近平新时代中国特色社会主义思想为指导，全面贯彻落实党的二十大精神和习近平总书记对北京系列重要讲话精神，坚持以人民为中心的发展理念，依托广播电视传输覆盖网，加快建立“上下贯通、综合覆盖、安全可靠、精准高效”的应急广播系统，最大程度减轻灾害事故造成的损失，为推动完善应急管理体系提供支撑。</w:t>
      </w:r>
    </w:p>
    <w:p w14:paraId="4196A61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二、建设原则</w:t>
      </w:r>
    </w:p>
    <w:p w14:paraId="1CB0D0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国家应急广播体系建设总体要求和实施意见有关要求，结合怀柔区实际情况，按照统筹发展、分级负责、协同合作、整合资源、平战结合、融合创新、安全可靠、精准高效的原则，以满足各级政府和基层组织行政管理、日常宣传、应急信息快速发布为主要目标，依托广播电视现有基础设施，建设区、镇乡（街道）、</w:t>
      </w:r>
      <w:r>
        <w:rPr>
          <w:rFonts w:hint="eastAsia" w:ascii="宋体" w:hAnsi="宋体" w:eastAsia="宋体" w:cs="宋体"/>
          <w:color w:val="000000"/>
          <w:sz w:val="24"/>
          <w:szCs w:val="24"/>
        </w:rPr>
        <w:t>行政</w:t>
      </w:r>
      <w:r>
        <w:rPr>
          <w:rFonts w:hint="eastAsia" w:ascii="宋体" w:hAnsi="宋体" w:eastAsia="宋体" w:cs="宋体"/>
          <w:sz w:val="24"/>
          <w:szCs w:val="24"/>
        </w:rPr>
        <w:t>村</w:t>
      </w:r>
      <w:r>
        <w:rPr>
          <w:rFonts w:hint="eastAsia" w:ascii="宋体" w:hAnsi="宋体" w:eastAsia="宋体" w:cs="宋体"/>
          <w:w w:val="95"/>
          <w:sz w:val="24"/>
          <w:szCs w:val="24"/>
        </w:rPr>
        <w:t>（社区）</w:t>
      </w:r>
      <w:r>
        <w:rPr>
          <w:rFonts w:hint="eastAsia" w:ascii="宋体" w:hAnsi="宋体" w:eastAsia="宋体" w:cs="宋体"/>
          <w:spacing w:val="-1"/>
          <w:w w:val="95"/>
          <w:sz w:val="24"/>
          <w:szCs w:val="24"/>
        </w:rPr>
        <w:t>三级贯通的全区应急广播系统。在实现应急广播信息发布的同时，</w:t>
      </w:r>
      <w:r>
        <w:rPr>
          <w:rFonts w:hint="eastAsia" w:ascii="宋体" w:hAnsi="宋体" w:eastAsia="宋体" w:cs="宋体"/>
          <w:w w:val="95"/>
          <w:sz w:val="24"/>
          <w:szCs w:val="24"/>
        </w:rPr>
        <w:t>满足区、镇乡（街道）、</w:t>
      </w:r>
      <w:r>
        <w:rPr>
          <w:rFonts w:hint="eastAsia" w:ascii="宋体" w:hAnsi="宋体" w:eastAsia="宋体" w:cs="宋体"/>
          <w:color w:val="000000"/>
          <w:sz w:val="24"/>
          <w:szCs w:val="24"/>
        </w:rPr>
        <w:t>行政</w:t>
      </w:r>
      <w:r>
        <w:rPr>
          <w:rFonts w:hint="eastAsia" w:ascii="宋体" w:hAnsi="宋体" w:eastAsia="宋体" w:cs="宋体"/>
          <w:w w:val="95"/>
          <w:sz w:val="24"/>
          <w:szCs w:val="24"/>
        </w:rPr>
        <w:t>村（社区）应急信息发布和应急指挥需求，实现全天候、全方位、全时段的应急广播信息发布，有效提升政府应急管理能力，最大限度减少社会公共资源和人民群众生命财产损失，为服务怀柔区应急管理工作提供有力</w:t>
      </w:r>
      <w:r>
        <w:rPr>
          <w:rFonts w:hint="eastAsia" w:ascii="宋体" w:hAnsi="宋体" w:eastAsia="宋体" w:cs="宋体"/>
          <w:sz w:val="24"/>
          <w:szCs w:val="24"/>
        </w:rPr>
        <w:t>保障。</w:t>
      </w:r>
    </w:p>
    <w:p w14:paraId="110F4A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建设需求</w:t>
      </w:r>
    </w:p>
    <w:p w14:paraId="72D94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按照《北京市应急广播建设实施方案》要求，应急广播主动发布终端人口覆盖率达到100%，全区100%的行政村部署2套以上应急广播主动发布终端，20户以上自然村部署1套以上应急广播主动发布终端。怀柔区应急广播将建设1套区级应急广播平台，搭建1套传输覆盖网络，部署635套主动发布终端等设施，向上对接市级应急广播平台，横向对接</w:t>
      </w:r>
      <w:r>
        <w:rPr>
          <w:rFonts w:hint="eastAsia" w:ascii="宋体" w:hAnsi="宋体" w:eastAsia="宋体" w:cs="宋体"/>
          <w:sz w:val="24"/>
          <w:szCs w:val="24"/>
          <w:lang w:val="en-US" w:eastAsia="zh-CN"/>
        </w:rPr>
        <w:t>区应急、园林、水务、气象、地震五个</w:t>
      </w:r>
      <w:r>
        <w:rPr>
          <w:rFonts w:hint="eastAsia" w:ascii="宋体" w:hAnsi="宋体" w:eastAsia="宋体" w:cs="宋体"/>
          <w:sz w:val="24"/>
          <w:szCs w:val="24"/>
        </w:rPr>
        <w:t>应急预警发布部门，向下对接镇乡（街道）、行政村（社区）等，全面覆盖16个镇乡（街道）、283个行政村和37个社区。</w:t>
      </w:r>
      <w:r>
        <w:rPr>
          <w:rFonts w:hint="eastAsia" w:ascii="宋体" w:hAnsi="宋体" w:eastAsia="宋体" w:cs="宋体"/>
          <w:sz w:val="24"/>
          <w:szCs w:val="24"/>
          <w:highlight w:val="none"/>
        </w:rPr>
        <w:t>2026年上半年</w:t>
      </w:r>
      <w:r>
        <w:rPr>
          <w:rFonts w:hint="eastAsia" w:ascii="宋体" w:hAnsi="宋体" w:eastAsia="宋体" w:cs="宋体"/>
          <w:sz w:val="24"/>
          <w:szCs w:val="24"/>
          <w:highlight w:val="none"/>
          <w:lang w:val="en-US" w:eastAsia="zh-CN"/>
        </w:rPr>
        <w:t>使用市级转移支付资金完成建设怀柔区</w:t>
      </w:r>
      <w:r>
        <w:rPr>
          <w:rFonts w:hint="eastAsia" w:ascii="宋体" w:hAnsi="宋体" w:eastAsia="宋体" w:cs="宋体"/>
          <w:sz w:val="24"/>
          <w:szCs w:val="24"/>
          <w:highlight w:val="none"/>
        </w:rPr>
        <w:t>区级应急广播平台</w:t>
      </w:r>
      <w:r>
        <w:rPr>
          <w:rFonts w:hint="eastAsia" w:ascii="宋体" w:hAnsi="宋体" w:eastAsia="宋体" w:cs="宋体"/>
          <w:sz w:val="24"/>
          <w:szCs w:val="24"/>
          <w:highlight w:val="none"/>
          <w:lang w:val="en-US" w:eastAsia="zh-CN"/>
        </w:rPr>
        <w:t>建设、传输覆盖网络适配、怀柔北部山区汤河口镇、琉璃庙镇、宝山镇、长哨营满族乡、喇叭沟门满族乡五个镇乡级应急广播平台建设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个行政村</w:t>
      </w:r>
      <w:r>
        <w:rPr>
          <w:rFonts w:hint="eastAsia" w:ascii="宋体" w:hAnsi="宋体" w:eastAsia="宋体" w:cs="宋体"/>
          <w:sz w:val="24"/>
          <w:szCs w:val="24"/>
          <w:highlight w:val="none"/>
          <w:lang w:val="en-US" w:eastAsia="zh-CN"/>
        </w:rPr>
        <w:t>和1个社区终端建设及相关网络租赁。其中，</w:t>
      </w:r>
      <w:r>
        <w:rPr>
          <w:rFonts w:hint="eastAsia" w:ascii="宋体" w:hAnsi="宋体" w:eastAsia="宋体" w:cs="宋体"/>
          <w:sz w:val="24"/>
          <w:szCs w:val="24"/>
          <w:highlight w:val="none"/>
        </w:rPr>
        <w:t>汤河口镇、琉璃庙镇、宝山镇</w:t>
      </w:r>
      <w:r>
        <w:rPr>
          <w:rFonts w:hint="eastAsia" w:ascii="宋体" w:hAnsi="宋体" w:eastAsia="宋体" w:cs="宋体"/>
          <w:sz w:val="24"/>
          <w:szCs w:val="24"/>
          <w:highlight w:val="none"/>
          <w:lang w:val="en-US" w:eastAsia="zh-CN"/>
        </w:rPr>
        <w:t>覆盖全部行政村（社区），</w:t>
      </w:r>
      <w:r>
        <w:rPr>
          <w:rFonts w:hint="eastAsia" w:ascii="宋体" w:hAnsi="宋体" w:eastAsia="宋体" w:cs="宋体"/>
          <w:sz w:val="24"/>
          <w:szCs w:val="24"/>
          <w:highlight w:val="none"/>
        </w:rPr>
        <w:t>长哨营满族乡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喇叭沟门满族乡</w:t>
      </w:r>
      <w:r>
        <w:rPr>
          <w:rFonts w:hint="eastAsia" w:ascii="宋体" w:hAnsi="宋体" w:eastAsia="宋体" w:cs="宋体"/>
          <w:sz w:val="24"/>
          <w:szCs w:val="24"/>
          <w:highlight w:val="none"/>
          <w:lang w:val="en-US" w:eastAsia="zh-CN"/>
        </w:rPr>
        <w:t>分别覆盖6个行政村。该系统须通过等保二级和国密二级的测</w:t>
      </w:r>
      <w:r>
        <w:rPr>
          <w:rFonts w:hint="eastAsia" w:ascii="宋体" w:hAnsi="宋体" w:eastAsia="宋体" w:cs="宋体"/>
          <w:color w:val="000000" w:themeColor="text1"/>
          <w:sz w:val="24"/>
          <w:szCs w:val="24"/>
          <w:highlight w:val="none"/>
          <w:lang w:val="en-US" w:eastAsia="zh-CN"/>
          <w14:textFill>
            <w14:solidFill>
              <w14:schemeClr w14:val="tx1"/>
            </w14:solidFill>
          </w14:textFill>
        </w:rPr>
        <w:t>评（测评费用不包含在本次采购中）。</w:t>
      </w:r>
      <w:r>
        <w:rPr>
          <w:rFonts w:hint="eastAsia" w:ascii="宋体" w:hAnsi="宋体" w:eastAsia="宋体" w:cs="宋体"/>
          <w:color w:val="000000" w:themeColor="text1"/>
          <w:sz w:val="24"/>
          <w:szCs w:val="24"/>
          <w:lang w:val="en-US" w:eastAsia="zh-CN"/>
          <w14:textFill>
            <w14:solidFill>
              <w14:schemeClr w14:val="tx1"/>
            </w14:solidFill>
          </w14:textFill>
        </w:rPr>
        <w:t>待后续资金落实后启动</w:t>
      </w:r>
      <w:r>
        <w:rPr>
          <w:rFonts w:hint="eastAsia" w:ascii="宋体" w:hAnsi="宋体" w:eastAsia="宋体" w:cs="宋体"/>
          <w:color w:val="000000" w:themeColor="text1"/>
          <w:sz w:val="24"/>
          <w:szCs w:val="24"/>
          <w14:textFill>
            <w14:solidFill>
              <w14:schemeClr w14:val="tx1"/>
            </w14:solidFill>
          </w14:textFill>
        </w:rPr>
        <w:t>其他11个镇乡（街道）、</w:t>
      </w:r>
      <w:r>
        <w:rPr>
          <w:rFonts w:hint="eastAsia" w:ascii="宋体" w:hAnsi="宋体" w:eastAsia="宋体" w:cs="宋体"/>
          <w:color w:val="000000" w:themeColor="text1"/>
          <w:sz w:val="24"/>
          <w:szCs w:val="24"/>
          <w:lang w:val="en-US" w:eastAsia="zh-CN"/>
          <w14:textFill>
            <w14:solidFill>
              <w14:schemeClr w14:val="tx1"/>
            </w14:solidFill>
          </w14:textFill>
        </w:rPr>
        <w:t>199</w:t>
      </w:r>
      <w:r>
        <w:rPr>
          <w:rFonts w:hint="eastAsia" w:ascii="宋体" w:hAnsi="宋体" w:eastAsia="宋体" w:cs="宋体"/>
          <w:color w:val="000000" w:themeColor="text1"/>
          <w:sz w:val="24"/>
          <w:szCs w:val="24"/>
          <w14:textFill>
            <w14:solidFill>
              <w14:schemeClr w14:val="tx1"/>
            </w14:solidFill>
          </w14:textFill>
        </w:rPr>
        <w:t>个行政村和</w:t>
      </w: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个社区</w:t>
      </w:r>
      <w:r>
        <w:rPr>
          <w:rFonts w:hint="eastAsia" w:ascii="宋体" w:hAnsi="宋体" w:eastAsia="宋体" w:cs="宋体"/>
          <w:color w:val="000000" w:themeColor="text1"/>
          <w:sz w:val="24"/>
          <w:szCs w:val="24"/>
          <w:lang w:val="en-US" w:eastAsia="zh-CN"/>
          <w14:textFill>
            <w14:solidFill>
              <w14:schemeClr w14:val="tx1"/>
            </w14:solidFill>
          </w14:textFill>
        </w:rPr>
        <w:t>建设，</w:t>
      </w:r>
      <w:r>
        <w:rPr>
          <w:rFonts w:hint="eastAsia" w:ascii="宋体" w:hAnsi="宋体" w:eastAsia="宋体" w:cs="宋体"/>
          <w:color w:val="000000" w:themeColor="text1"/>
          <w:sz w:val="24"/>
          <w:szCs w:val="24"/>
          <w:highlight w:val="none"/>
          <w:lang w:val="en-US" w:eastAsia="zh-CN"/>
          <w14:textFill>
            <w14:solidFill>
              <w14:schemeClr w14:val="tx1"/>
            </w14:solidFill>
          </w14:textFill>
        </w:rPr>
        <w:t>180天内完成全部建设。</w:t>
      </w:r>
    </w:p>
    <w:p w14:paraId="495B2E4F">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bookmarkStart w:id="653" w:name="_Hlk168431603"/>
      <w:r>
        <w:rPr>
          <w:rFonts w:hint="eastAsia" w:ascii="宋体" w:hAnsi="宋体" w:eastAsia="宋体" w:cs="宋体"/>
          <w:b/>
          <w:bCs/>
          <w:sz w:val="24"/>
          <w:szCs w:val="24"/>
        </w:rPr>
        <w:t>本项目严格遵循国家相关行业标准和规范，具体如下：</w:t>
      </w:r>
    </w:p>
    <w:p w14:paraId="4E6C8E32">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《建设项目经济评价方法与参数》（第三版）；</w:t>
      </w:r>
    </w:p>
    <w:p w14:paraId="47C46BC2">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《基本建设项目建设成本管理规定》（财建[2016]504号）；</w:t>
      </w:r>
    </w:p>
    <w:p w14:paraId="7108BEF2">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《广播电视安全播出管理规定》（国家广播电视总局令第62号）；</w:t>
      </w:r>
    </w:p>
    <w:p w14:paraId="2389207C">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《调频广播接收机测量方法》（GB/T 6163-2011）；</w:t>
      </w:r>
    </w:p>
    <w:p w14:paraId="50E15264">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《数据中心设计规范》（GB 50174-2017）；</w:t>
      </w:r>
    </w:p>
    <w:p w14:paraId="354BE56C">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《视频安防监控系统工程设计规范》（GB 50395-2007）；</w:t>
      </w:r>
    </w:p>
    <w:p w14:paraId="480051A0">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《入侵报警系统工程设计规范》（GB 50394-2007）；</w:t>
      </w:r>
    </w:p>
    <w:p w14:paraId="6F71A022">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《信息安全技术 网络安全等级保护基本要求》（GB/T 22239-2019）；</w:t>
      </w:r>
    </w:p>
    <w:p w14:paraId="3CA8F15D">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《信息安全技术 网络安全等级保护定级指南》（GB/T 22240-2020）；</w:t>
      </w:r>
    </w:p>
    <w:p w14:paraId="7D05E0B5">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《信息安全技术 网络安全等级保护安全设计技术要求》（GB/T 25070-2019）；</w:t>
      </w:r>
    </w:p>
    <w:p w14:paraId="3663725B">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《信息安全技术 信息系统密码应用基本要求》GB/T 39786-2021；</w:t>
      </w:r>
    </w:p>
    <w:p w14:paraId="6B58745A">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《广播电视网络安全等级保护定级指南》（GY/T 337-2020）；</w:t>
      </w:r>
    </w:p>
    <w:p w14:paraId="2CCF4EAD">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《应急广播系统总体技术规范》（GY/T 383-2023）；</w:t>
      </w:r>
    </w:p>
    <w:p w14:paraId="729B678F">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《应急广播平台接口规范》（GY/T 384-2023）；</w:t>
      </w:r>
    </w:p>
    <w:p w14:paraId="664CB865">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《应急广播消息格式规范》（GY/T 385-2023）；</w:t>
      </w:r>
    </w:p>
    <w:p w14:paraId="0360FF13">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《应急广播系统资源分类及编码规范》（GY/T 386-2023）；</w:t>
      </w:r>
    </w:p>
    <w:p w14:paraId="071FF6C9">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《县级应急广播系统技术规范》（GY/T 387-2023）；</w:t>
      </w:r>
    </w:p>
    <w:p w14:paraId="348DC261">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《应急广播系统数字签名技术规范》（GY/T 389-2023）；</w:t>
      </w:r>
    </w:p>
    <w:p w14:paraId="4183FD81">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《模拟调频广播应急广播技术规范》（GY/T 390-2023）；</w:t>
      </w:r>
    </w:p>
    <w:p w14:paraId="58BA03BC">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《中波调幅广播应急广播技术规范》（GY/T 391-2023）；</w:t>
      </w:r>
    </w:p>
    <w:p w14:paraId="17F69845">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《有线数字电视应急广播技术规范》（GY/T 393-2023）；</w:t>
      </w:r>
    </w:p>
    <w:p w14:paraId="40117AD8">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《应急广播大喇叭系统技术要求和测量方法》（GY/T 394-2023）；</w:t>
      </w:r>
    </w:p>
    <w:p w14:paraId="01EBF45E">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《卫星直播应急广播技术要求和测量方法》（GD/J 051—2014）；</w:t>
      </w:r>
    </w:p>
    <w:p w14:paraId="64A4D750">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《地面数字电视应急广播技术规范》（GD/J 087-2018）；</w:t>
      </w:r>
    </w:p>
    <w:p w14:paraId="7749825D">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《应急广播适配器技术要求和测量方法》（GD/J 128-2021）；</w:t>
      </w:r>
    </w:p>
    <w:p w14:paraId="1C53B97A">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《应急广播平台工程建设技术标准》（GY/T 5093-2020）；</w:t>
      </w:r>
    </w:p>
    <w:p w14:paraId="103AED76">
      <w:pPr>
        <w:pStyle w:val="272"/>
        <w:keepNext w:val="0"/>
        <w:keepLines w:val="0"/>
        <w:pageBreakBefore w:val="0"/>
        <w:widowControl w:val="0"/>
        <w:numPr>
          <w:ilvl w:val="0"/>
          <w:numId w:val="16"/>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《应急广播系统建设技术白皮书（2020版）》。</w:t>
      </w:r>
    </w:p>
    <w:bookmarkEnd w:id="653"/>
    <w:p w14:paraId="13E292D6">
      <w:pPr>
        <w:pStyle w:val="74"/>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contextualSpacing/>
        <w:textAlignment w:val="auto"/>
        <w:rPr>
          <w:rFonts w:ascii="Times New Roman" w:hAnsi="Times New Roman"/>
          <w:b/>
          <w:sz w:val="24"/>
          <w:szCs w:val="24"/>
        </w:rPr>
      </w:pPr>
      <w:r>
        <w:rPr>
          <w:rFonts w:ascii="Times New Roman" w:hAnsi="Times New Roman"/>
          <w:b/>
          <w:sz w:val="24"/>
          <w:szCs w:val="24"/>
        </w:rPr>
        <w:t>采购标的</w:t>
      </w:r>
    </w:p>
    <w:tbl>
      <w:tblPr>
        <w:tblStyle w:val="4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40"/>
        <w:gridCol w:w="1311"/>
        <w:gridCol w:w="720"/>
        <w:gridCol w:w="4388"/>
        <w:gridCol w:w="1319"/>
      </w:tblGrid>
      <w:tr w14:paraId="1C8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dxa"/>
            <w:vAlign w:val="center"/>
          </w:tcPr>
          <w:p w14:paraId="3F4EBD1B">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w:t>
            </w:r>
            <w:r>
              <w:rPr>
                <w:rFonts w:hint="eastAsia" w:ascii="宋体" w:hAnsi="宋体" w:eastAsia="宋体" w:cs="宋体"/>
                <w:bCs/>
                <w:sz w:val="24"/>
                <w:szCs w:val="24"/>
              </w:rPr>
              <w:t>号</w:t>
            </w:r>
          </w:p>
        </w:tc>
        <w:tc>
          <w:tcPr>
            <w:tcW w:w="1040" w:type="dxa"/>
            <w:vAlign w:val="center"/>
          </w:tcPr>
          <w:p w14:paraId="372B51E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w:t>
            </w:r>
          </w:p>
          <w:p w14:paraId="7FC09622">
            <w:pPr>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1311" w:type="dxa"/>
            <w:vAlign w:val="center"/>
          </w:tcPr>
          <w:p w14:paraId="3F815D8E">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25191C89">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5E3849B8">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720" w:type="dxa"/>
            <w:vAlign w:val="center"/>
          </w:tcPr>
          <w:p w14:paraId="70C189AA">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4388" w:type="dxa"/>
            <w:vAlign w:val="center"/>
          </w:tcPr>
          <w:p w14:paraId="21947CE0">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c>
          <w:tcPr>
            <w:tcW w:w="1319" w:type="dxa"/>
            <w:vAlign w:val="center"/>
          </w:tcPr>
          <w:p w14:paraId="58C13E9F">
            <w:pPr>
              <w:spacing w:line="360" w:lineRule="auto"/>
              <w:contextualSpacing/>
              <w:jc w:val="center"/>
              <w:rPr>
                <w:rFonts w:hint="eastAsia" w:ascii="宋体" w:hAnsi="宋体" w:eastAsia="宋体" w:cs="宋体"/>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说明</w:t>
            </w:r>
          </w:p>
        </w:tc>
      </w:tr>
      <w:tr w14:paraId="6AEC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10" w:type="dxa"/>
            <w:vAlign w:val="center"/>
          </w:tcPr>
          <w:p w14:paraId="3F532EFE">
            <w:pPr>
              <w:keepNext w:val="0"/>
              <w:keepLines w:val="0"/>
              <w:widowControl/>
              <w:suppressLineNumbers w:val="0"/>
              <w:jc w:val="center"/>
              <w:textAlignment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01</w:t>
            </w:r>
          </w:p>
        </w:tc>
        <w:tc>
          <w:tcPr>
            <w:tcW w:w="1040" w:type="dxa"/>
            <w:vAlign w:val="center"/>
          </w:tcPr>
          <w:p w14:paraId="0C3EC87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怀柔区应急广播建设</w:t>
            </w:r>
          </w:p>
        </w:tc>
        <w:tc>
          <w:tcPr>
            <w:tcW w:w="1311" w:type="dxa"/>
            <w:shd w:val="clear" w:color="auto" w:fill="auto"/>
            <w:vAlign w:val="center"/>
          </w:tcPr>
          <w:p w14:paraId="317FBDED">
            <w:pPr>
              <w:keepNext w:val="0"/>
              <w:keepLines w:val="0"/>
              <w:widowControl/>
              <w:suppressLineNumbers w:val="0"/>
              <w:jc w:val="center"/>
              <w:textAlignment w:val="bottom"/>
              <w:rPr>
                <w:rFonts w:hint="eastAsia" w:ascii="Times New Roman" w:hAnsi="Times New Roman" w:eastAsia="等线" w:cs="Times New Roman"/>
                <w:i w:val="0"/>
                <w:iCs w:val="0"/>
                <w:color w:val="000000"/>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2287.6402</w:t>
            </w:r>
          </w:p>
        </w:tc>
        <w:tc>
          <w:tcPr>
            <w:tcW w:w="720" w:type="dxa"/>
            <w:vAlign w:val="center"/>
          </w:tcPr>
          <w:p w14:paraId="00C5579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4388" w:type="dxa"/>
            <w:vAlign w:val="center"/>
          </w:tcPr>
          <w:p w14:paraId="629F0BED">
            <w:pPr>
              <w:pStyle w:val="17"/>
              <w:rPr>
                <w:rFonts w:hint="eastAsia"/>
                <w:sz w:val="24"/>
                <w:szCs w:val="24"/>
                <w:lang w:val="en-US" w:eastAsia="zh-CN"/>
              </w:rPr>
            </w:pPr>
            <w:r>
              <w:rPr>
                <w:rFonts w:hint="eastAsia" w:ascii="宋体" w:hAnsi="宋体" w:eastAsia="宋体" w:cs="宋体"/>
                <w:kern w:val="0"/>
                <w:sz w:val="24"/>
                <w:szCs w:val="24"/>
                <w:lang w:val="en-US" w:eastAsia="zh-CN"/>
              </w:rPr>
              <w:t>根据采购人要求</w:t>
            </w:r>
            <w:r>
              <w:rPr>
                <w:rFonts w:hint="eastAsia"/>
                <w:sz w:val="24"/>
                <w:szCs w:val="24"/>
                <w:lang w:val="en-US" w:eastAsia="zh-CN"/>
              </w:rPr>
              <w:t>将建设怀柔区应急广播系统，满足区、镇乡（街道）、行政村（社区）实时应急信息发布和应急指挥需求，为推动完善应急管理体系提供支撑。</w:t>
            </w:r>
          </w:p>
        </w:tc>
        <w:tc>
          <w:tcPr>
            <w:tcW w:w="1319" w:type="dxa"/>
            <w:vAlign w:val="center"/>
          </w:tcPr>
          <w:p w14:paraId="32161B10">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不接受</w:t>
            </w:r>
            <w:r>
              <w:rPr>
                <w:rFonts w:hint="eastAsia" w:ascii="宋体" w:hAnsi="宋体" w:eastAsia="宋体" w:cs="宋体"/>
                <w:bCs/>
                <w:color w:val="000000" w:themeColor="text1"/>
                <w:sz w:val="24"/>
                <w:szCs w:val="24"/>
                <w:lang w:val="en-US" w:eastAsia="zh-CN"/>
                <w14:textFill>
                  <w14:solidFill>
                    <w14:schemeClr w14:val="tx1"/>
                  </w14:solidFill>
                </w14:textFill>
              </w:rPr>
              <w:t>进口产品</w:t>
            </w:r>
          </w:p>
        </w:tc>
      </w:tr>
    </w:tbl>
    <w:p w14:paraId="05F79ED6">
      <w:pPr>
        <w:pStyle w:val="74"/>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contextualSpacing/>
        <w:jc w:val="left"/>
        <w:textAlignment w:val="auto"/>
        <w:rPr>
          <w:rFonts w:hint="eastAsia" w:ascii="宋体" w:hAnsi="宋体" w:eastAsia="宋体" w:cs="宋体"/>
          <w:b/>
          <w:sz w:val="24"/>
          <w:szCs w:val="24"/>
        </w:rPr>
      </w:pPr>
      <w:r>
        <w:rPr>
          <w:rFonts w:hint="eastAsia" w:ascii="宋体" w:hAnsi="宋体" w:eastAsia="宋体" w:cs="宋体"/>
          <w:b/>
          <w:sz w:val="24"/>
          <w:szCs w:val="24"/>
        </w:rPr>
        <w:t>商务要求</w:t>
      </w:r>
    </w:p>
    <w:p w14:paraId="3AD2CBB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交付</w:t>
      </w:r>
    </w:p>
    <w:p w14:paraId="079B6C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w:t>
      </w:r>
      <w:r>
        <w:rPr>
          <w:rFonts w:hint="eastAsia" w:ascii="宋体" w:hAnsi="宋体" w:eastAsia="宋体" w:cs="宋体"/>
          <w:color w:val="auto"/>
          <w:sz w:val="24"/>
          <w:szCs w:val="24"/>
          <w:highlight w:val="none"/>
          <w:lang w:val="en-US" w:eastAsia="zh-CN"/>
        </w:rPr>
        <w:t>5月30日前完成怀柔区</w:t>
      </w:r>
      <w:r>
        <w:rPr>
          <w:rFonts w:hint="eastAsia" w:ascii="宋体" w:hAnsi="宋体" w:eastAsia="宋体" w:cs="宋体"/>
          <w:color w:val="auto"/>
          <w:sz w:val="24"/>
          <w:szCs w:val="24"/>
          <w:highlight w:val="none"/>
        </w:rPr>
        <w:t>区级应急广播平台</w:t>
      </w:r>
      <w:r>
        <w:rPr>
          <w:rFonts w:hint="eastAsia" w:ascii="宋体" w:hAnsi="宋体" w:eastAsia="宋体" w:cs="宋体"/>
          <w:color w:val="auto"/>
          <w:sz w:val="24"/>
          <w:szCs w:val="24"/>
          <w:highlight w:val="none"/>
          <w:lang w:val="en-US" w:eastAsia="zh-CN"/>
        </w:rPr>
        <w:t>建设、传输覆盖网络适配、怀柔北部山区汤河口镇、琉璃庙镇、宝山镇、长哨营满族乡、喇叭沟门满族乡五个镇乡级应急广播平台建设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个行政村</w:t>
      </w:r>
      <w:r>
        <w:rPr>
          <w:rFonts w:hint="eastAsia" w:ascii="宋体" w:hAnsi="宋体" w:eastAsia="宋体" w:cs="宋体"/>
          <w:color w:val="auto"/>
          <w:sz w:val="24"/>
          <w:szCs w:val="24"/>
          <w:highlight w:val="none"/>
          <w:lang w:val="en-US" w:eastAsia="zh-CN"/>
        </w:rPr>
        <w:t>和1个社区终端建设及相关网络租赁。其中，</w:t>
      </w:r>
      <w:r>
        <w:rPr>
          <w:rFonts w:hint="eastAsia" w:ascii="宋体" w:hAnsi="宋体" w:eastAsia="宋体" w:cs="宋体"/>
          <w:color w:val="auto"/>
          <w:sz w:val="24"/>
          <w:szCs w:val="24"/>
          <w:highlight w:val="none"/>
        </w:rPr>
        <w:t>汤河口镇、琉璃庙镇、宝山镇</w:t>
      </w:r>
      <w:r>
        <w:rPr>
          <w:rFonts w:hint="eastAsia" w:ascii="宋体" w:hAnsi="宋体" w:eastAsia="宋体" w:cs="宋体"/>
          <w:color w:val="auto"/>
          <w:sz w:val="24"/>
          <w:szCs w:val="24"/>
          <w:highlight w:val="none"/>
          <w:lang w:val="en-US" w:eastAsia="zh-CN"/>
        </w:rPr>
        <w:t>覆盖全部行政村（社区），</w:t>
      </w:r>
      <w:r>
        <w:rPr>
          <w:rFonts w:hint="eastAsia" w:ascii="宋体" w:hAnsi="宋体" w:eastAsia="宋体" w:cs="宋体"/>
          <w:color w:val="auto"/>
          <w:sz w:val="24"/>
          <w:szCs w:val="24"/>
          <w:highlight w:val="none"/>
        </w:rPr>
        <w:t>长哨营满族乡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喇叭沟门满族乡</w:t>
      </w:r>
      <w:r>
        <w:rPr>
          <w:rFonts w:hint="eastAsia" w:ascii="宋体" w:hAnsi="宋体" w:eastAsia="宋体" w:cs="宋体"/>
          <w:color w:val="auto"/>
          <w:sz w:val="24"/>
          <w:szCs w:val="24"/>
          <w:highlight w:val="none"/>
          <w:lang w:val="en-US" w:eastAsia="zh-CN"/>
        </w:rPr>
        <w:t>分别覆盖6个行政村。该系统须通过等保二级和国密二级的测评，测评费用不包含在本次采购中。</w:t>
      </w:r>
    </w:p>
    <w:p w14:paraId="70993E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待后续资金落实后启动</w:t>
      </w:r>
      <w:r>
        <w:rPr>
          <w:rFonts w:hint="eastAsia" w:ascii="宋体" w:hAnsi="宋体" w:eastAsia="宋体" w:cs="宋体"/>
          <w:color w:val="auto"/>
          <w:sz w:val="24"/>
          <w:szCs w:val="24"/>
        </w:rPr>
        <w:t>其他11个镇乡（街道）、</w:t>
      </w:r>
      <w:r>
        <w:rPr>
          <w:rFonts w:hint="eastAsia" w:ascii="宋体" w:hAnsi="宋体" w:eastAsia="宋体" w:cs="宋体"/>
          <w:color w:val="auto"/>
          <w:sz w:val="24"/>
          <w:szCs w:val="24"/>
          <w:lang w:val="en-US" w:eastAsia="zh-CN"/>
        </w:rPr>
        <w:t>199</w:t>
      </w:r>
      <w:r>
        <w:rPr>
          <w:rFonts w:hint="eastAsia" w:ascii="宋体" w:hAnsi="宋体" w:eastAsia="宋体" w:cs="宋体"/>
          <w:color w:val="auto"/>
          <w:sz w:val="24"/>
          <w:szCs w:val="24"/>
        </w:rPr>
        <w:t>个行政村和</w:t>
      </w: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个社区</w:t>
      </w:r>
      <w:r>
        <w:rPr>
          <w:rFonts w:hint="eastAsia" w:ascii="宋体" w:hAnsi="宋体" w:eastAsia="宋体" w:cs="宋体"/>
          <w:color w:val="auto"/>
          <w:sz w:val="24"/>
          <w:szCs w:val="24"/>
          <w:lang w:val="en-US" w:eastAsia="zh-CN"/>
        </w:rPr>
        <w:t>建设，</w:t>
      </w:r>
      <w:r>
        <w:rPr>
          <w:rFonts w:hint="eastAsia" w:ascii="宋体" w:hAnsi="宋体" w:eastAsia="宋体" w:cs="宋体"/>
          <w:color w:val="auto"/>
          <w:sz w:val="24"/>
          <w:szCs w:val="24"/>
          <w:highlight w:val="none"/>
          <w:lang w:val="en-US" w:eastAsia="zh-CN"/>
        </w:rPr>
        <w:t>180天内完成全部建设。</w:t>
      </w:r>
    </w:p>
    <w:p w14:paraId="79B8DBC4">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付款条件（进度和方式）</w:t>
      </w:r>
    </w:p>
    <w:p w14:paraId="21C9776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根据资金拨付进度，按照上半年建设资金预付上半年建设</w:t>
      </w:r>
      <w:r>
        <w:rPr>
          <w:rFonts w:hint="eastAsia" w:ascii="宋体" w:hAnsi="宋体" w:cs="宋体"/>
          <w:bCs/>
          <w:color w:val="auto"/>
          <w:sz w:val="24"/>
          <w:szCs w:val="24"/>
          <w:lang w:val="en-US" w:eastAsia="zh-CN"/>
        </w:rPr>
        <w:t>资金的9</w:t>
      </w:r>
      <w:r>
        <w:rPr>
          <w:rFonts w:hint="eastAsia" w:ascii="宋体" w:hAnsi="宋体" w:eastAsia="宋体" w:cs="宋体"/>
          <w:bCs/>
          <w:color w:val="auto"/>
          <w:sz w:val="24"/>
          <w:szCs w:val="24"/>
          <w:lang w:val="en-US" w:eastAsia="zh-CN"/>
        </w:rPr>
        <w:t>0%</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安装调试完毕验收后</w:t>
      </w:r>
      <w:r>
        <w:rPr>
          <w:rFonts w:hint="eastAsia" w:ascii="宋体" w:hAnsi="宋体" w:cs="宋体"/>
          <w:bCs/>
          <w:color w:val="auto"/>
          <w:sz w:val="24"/>
          <w:szCs w:val="24"/>
          <w:lang w:val="en-US" w:eastAsia="zh-CN"/>
        </w:rPr>
        <w:t>拨付</w:t>
      </w:r>
      <w:r>
        <w:rPr>
          <w:rFonts w:hint="eastAsia" w:ascii="宋体" w:hAnsi="宋体" w:eastAsia="宋体" w:cs="宋体"/>
          <w:bCs/>
          <w:color w:val="auto"/>
          <w:sz w:val="24"/>
          <w:szCs w:val="24"/>
          <w:lang w:val="en-US" w:eastAsia="zh-CN"/>
        </w:rPr>
        <w:t>上半年建设资金</w:t>
      </w:r>
      <w:r>
        <w:rPr>
          <w:rFonts w:hint="eastAsia" w:ascii="宋体" w:hAnsi="宋体" w:cs="宋体"/>
          <w:bCs/>
          <w:color w:val="auto"/>
          <w:sz w:val="24"/>
          <w:szCs w:val="24"/>
          <w:lang w:val="en-US" w:eastAsia="zh-CN"/>
        </w:rPr>
        <w:t>的</w:t>
      </w:r>
      <w:r>
        <w:rPr>
          <w:rFonts w:hint="eastAsia" w:ascii="宋体" w:hAnsi="宋体" w:eastAsia="宋体" w:cs="宋体"/>
          <w:bCs/>
          <w:color w:val="auto"/>
          <w:sz w:val="24"/>
          <w:szCs w:val="24"/>
          <w:lang w:val="en-US" w:eastAsia="zh-CN"/>
        </w:rPr>
        <w:t>10%。</w:t>
      </w:r>
    </w:p>
    <w:p w14:paraId="52CBAB5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待</w:t>
      </w:r>
      <w:r>
        <w:rPr>
          <w:rFonts w:hint="eastAsia" w:ascii="宋体" w:hAnsi="宋体" w:cs="宋体"/>
          <w:bCs/>
          <w:color w:val="auto"/>
          <w:sz w:val="24"/>
          <w:szCs w:val="24"/>
          <w:lang w:val="en-US" w:eastAsia="zh-CN"/>
        </w:rPr>
        <w:t>下半年</w:t>
      </w:r>
      <w:r>
        <w:rPr>
          <w:rFonts w:hint="eastAsia" w:ascii="宋体" w:hAnsi="宋体" w:eastAsia="宋体" w:cs="宋体"/>
          <w:bCs/>
          <w:color w:val="auto"/>
          <w:sz w:val="24"/>
          <w:szCs w:val="24"/>
          <w:lang w:val="en-US" w:eastAsia="zh-CN"/>
        </w:rPr>
        <w:t>资金落实后，</w:t>
      </w:r>
      <w:r>
        <w:rPr>
          <w:rFonts w:hint="eastAsia" w:ascii="宋体" w:hAnsi="宋体" w:cs="宋体"/>
          <w:bCs/>
          <w:color w:val="auto"/>
          <w:sz w:val="24"/>
          <w:szCs w:val="24"/>
          <w:lang w:val="en-US" w:eastAsia="zh-CN"/>
        </w:rPr>
        <w:t>预付</w:t>
      </w:r>
      <w:r>
        <w:rPr>
          <w:rFonts w:hint="eastAsia" w:ascii="宋体" w:hAnsi="宋体" w:eastAsia="宋体" w:cs="宋体"/>
          <w:bCs/>
          <w:color w:val="auto"/>
          <w:sz w:val="24"/>
          <w:szCs w:val="24"/>
          <w:lang w:val="en-US" w:eastAsia="zh-CN"/>
        </w:rPr>
        <w:t>下半年建设资金</w:t>
      </w:r>
      <w:r>
        <w:rPr>
          <w:rFonts w:hint="eastAsia" w:ascii="宋体" w:hAnsi="宋体" w:cs="宋体"/>
          <w:bCs/>
          <w:color w:val="auto"/>
          <w:sz w:val="24"/>
          <w:szCs w:val="24"/>
          <w:lang w:val="en-US" w:eastAsia="zh-CN"/>
        </w:rPr>
        <w:t>的</w:t>
      </w:r>
      <w:r>
        <w:rPr>
          <w:rFonts w:hint="eastAsia" w:ascii="宋体" w:hAnsi="宋体" w:eastAsia="宋体" w:cs="宋体"/>
          <w:bCs/>
          <w:color w:val="auto"/>
          <w:sz w:val="24"/>
          <w:szCs w:val="24"/>
          <w:lang w:val="en-US" w:eastAsia="zh-CN"/>
        </w:rPr>
        <w:t>50%、到货</w:t>
      </w:r>
      <w:r>
        <w:rPr>
          <w:rFonts w:hint="eastAsia" w:ascii="宋体" w:hAnsi="宋体" w:cs="宋体"/>
          <w:bCs/>
          <w:color w:val="auto"/>
          <w:sz w:val="24"/>
          <w:szCs w:val="24"/>
          <w:lang w:val="en-US" w:eastAsia="zh-CN"/>
        </w:rPr>
        <w:t>清点无误后拨付</w:t>
      </w:r>
      <w:r>
        <w:rPr>
          <w:rFonts w:hint="eastAsia" w:ascii="宋体" w:hAnsi="宋体" w:eastAsia="宋体" w:cs="宋体"/>
          <w:bCs/>
          <w:color w:val="auto"/>
          <w:sz w:val="24"/>
          <w:szCs w:val="24"/>
          <w:lang w:val="en-US" w:eastAsia="zh-CN"/>
        </w:rPr>
        <w:t>下半年建设资金</w:t>
      </w:r>
      <w:r>
        <w:rPr>
          <w:rFonts w:hint="eastAsia" w:ascii="宋体" w:hAnsi="宋体" w:cs="宋体"/>
          <w:bCs/>
          <w:color w:val="auto"/>
          <w:sz w:val="24"/>
          <w:szCs w:val="24"/>
          <w:lang w:val="en-US" w:eastAsia="zh-CN"/>
        </w:rPr>
        <w:t>的</w:t>
      </w:r>
      <w:r>
        <w:rPr>
          <w:rFonts w:hint="eastAsia" w:ascii="宋体" w:hAnsi="宋体" w:eastAsia="宋体" w:cs="宋体"/>
          <w:bCs/>
          <w:color w:val="auto"/>
          <w:sz w:val="24"/>
          <w:szCs w:val="24"/>
          <w:lang w:val="en-US" w:eastAsia="zh-CN"/>
        </w:rPr>
        <w:t>30%、安装调试完毕验收后</w:t>
      </w:r>
      <w:r>
        <w:rPr>
          <w:rFonts w:hint="eastAsia" w:ascii="宋体" w:hAnsi="宋体" w:cs="宋体"/>
          <w:bCs/>
          <w:color w:val="auto"/>
          <w:sz w:val="24"/>
          <w:szCs w:val="24"/>
          <w:lang w:val="en-US" w:eastAsia="zh-CN"/>
        </w:rPr>
        <w:t>拨付剩余尾款</w:t>
      </w:r>
      <w:r>
        <w:rPr>
          <w:rFonts w:hint="eastAsia" w:ascii="宋体" w:hAnsi="宋体" w:eastAsia="宋体" w:cs="宋体"/>
          <w:bCs/>
          <w:color w:val="auto"/>
          <w:sz w:val="24"/>
          <w:szCs w:val="24"/>
          <w:lang w:val="en-US" w:eastAsia="zh-CN"/>
        </w:rPr>
        <w:t>。</w:t>
      </w:r>
      <w:r>
        <w:rPr>
          <w:rFonts w:hint="eastAsia" w:cs="宋体"/>
          <w:color w:val="auto"/>
          <w:sz w:val="24"/>
          <w:szCs w:val="24"/>
          <w:lang w:val="en-US" w:eastAsia="zh-CN"/>
        </w:rPr>
        <w:t>以</w:t>
      </w:r>
      <w:r>
        <w:rPr>
          <w:rFonts w:hint="eastAsia" w:ascii="宋体" w:hAnsi="宋体" w:eastAsia="宋体" w:cs="宋体"/>
          <w:color w:val="auto"/>
          <w:sz w:val="24"/>
          <w:szCs w:val="24"/>
          <w:lang w:val="en-US" w:eastAsia="zh-CN"/>
        </w:rPr>
        <w:t>财政资金拨款为准。</w:t>
      </w:r>
    </w:p>
    <w:p w14:paraId="1FA3096E">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售后服务（质保期）</w:t>
      </w:r>
    </w:p>
    <w:p w14:paraId="0BBA3F6E">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质保期：三年</w:t>
      </w:r>
    </w:p>
    <w:p w14:paraId="737E285D">
      <w:pPr>
        <w:rPr>
          <w:i/>
          <w:iCs/>
          <w:color w:val="FF0000"/>
          <w:sz w:val="24"/>
        </w:rPr>
      </w:pPr>
    </w:p>
    <w:p w14:paraId="36303C71">
      <w:pPr>
        <w:rPr>
          <w:i/>
          <w:iCs/>
          <w:color w:val="FF0000"/>
          <w:sz w:val="24"/>
        </w:rPr>
        <w:sectPr>
          <w:headerReference r:id="rId11" w:type="first"/>
          <w:footerReference r:id="rId13" w:type="first"/>
          <w:headerReference r:id="rId10" w:type="even"/>
          <w:footerReference r:id="rId12" w:type="even"/>
          <w:pgSz w:w="11907" w:h="16840"/>
          <w:pgMar w:top="1418" w:right="1134" w:bottom="1418" w:left="1701" w:header="851" w:footer="851" w:gutter="0"/>
          <w:pgNumType w:fmt="decimal"/>
          <w:cols w:space="720" w:num="1"/>
          <w:docGrid w:linePitch="462" w:charSpace="0"/>
        </w:sectPr>
      </w:pPr>
    </w:p>
    <w:p w14:paraId="3A0E89B5">
      <w:pPr>
        <w:pStyle w:val="74"/>
        <w:numPr>
          <w:ilvl w:val="0"/>
          <w:numId w:val="17"/>
        </w:numPr>
        <w:spacing w:line="360" w:lineRule="auto"/>
        <w:ind w:left="0" w:leftChars="0" w:firstLine="420" w:firstLineChars="0"/>
        <w:contextualSpacing/>
        <w:rPr>
          <w:rFonts w:ascii="Times New Roman" w:hAnsi="Times New Roman"/>
          <w:b/>
          <w:sz w:val="24"/>
          <w:szCs w:val="24"/>
        </w:rPr>
      </w:pPr>
      <w:r>
        <w:rPr>
          <w:rFonts w:ascii="Times New Roman" w:hAnsi="Times New Roman"/>
          <w:b/>
          <w:sz w:val="24"/>
          <w:szCs w:val="24"/>
        </w:rPr>
        <w:t>技术要求</w:t>
      </w:r>
    </w:p>
    <w:p w14:paraId="158060CE">
      <w:pPr>
        <w:pStyle w:val="271"/>
        <w:numPr>
          <w:ilvl w:val="0"/>
          <w:numId w:val="0"/>
        </w:numPr>
        <w:ind w:leftChars="0" w:right="27" w:rightChars="13"/>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建设区级应急广播平台</w:t>
      </w:r>
    </w:p>
    <w:p w14:paraId="47EDA12B">
      <w:pPr>
        <w:pStyle w:val="272"/>
        <w:numPr>
          <w:ilvl w:val="0"/>
          <w:numId w:val="0"/>
        </w:numPr>
        <w:ind w:left="480" w:leftChars="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在国产信创服务器上部署应急广播平台软件，包括接入处理、调度控制、监管考核、媒资、智慧运维、视频融合指挥、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综合</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可视化系统，实现应急广播消息接入处理功能</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27EB793">
      <w:pPr>
        <w:pStyle w:val="272"/>
        <w:numPr>
          <w:ilvl w:val="0"/>
          <w:numId w:val="0"/>
        </w:numPr>
        <w:ind w:left="480" w:leftChars="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搭建安全保障子平台，包括信息安全设备和网络</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安全</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设备，实现区级应急广播平台的国密算法内容加密及网络安全保障</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4D4A7B2">
      <w:pPr>
        <w:pStyle w:val="272"/>
        <w:numPr>
          <w:ilvl w:val="0"/>
          <w:numId w:val="0"/>
        </w:numPr>
        <w:ind w:left="480" w:leftChars="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1.3利旧融媒体中心指挥大厅为应急广播指挥大厅，建设应急广播大屏以及相关设施，实现区级应急广播平台的可视化管理和运维。</w:t>
      </w:r>
    </w:p>
    <w:p w14:paraId="264A91A0">
      <w:pPr>
        <w:pStyle w:val="272"/>
        <w:numPr>
          <w:ilvl w:val="0"/>
          <w:numId w:val="0"/>
        </w:numPr>
        <w:ind w:left="480" w:leftChars="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与相关外延系统对接，包括与市级平台对接，并与应急消息发布部门对接，如</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怀柔区应急局、地震局、气象局、水务局、园林绿化局</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，并预留其他系统的对接接口，实现区级应急广播平台的上下贯通，前后通达，避免区级平台成为信息孤岛，加强应急广播平台与现有资源的互联互通。</w:t>
      </w:r>
    </w:p>
    <w:p w14:paraId="1B5E69A2">
      <w:pPr>
        <w:pStyle w:val="271"/>
        <w:numPr>
          <w:ilvl w:val="0"/>
          <w:numId w:val="0"/>
        </w:numPr>
        <w:ind w:leftChars="0" w:right="27" w:rightChars="13"/>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完善区级传输覆盖</w:t>
      </w:r>
    </w:p>
    <w:p w14:paraId="274135BD">
      <w:pPr>
        <w:pStyle w:val="272"/>
        <w:ind w:firstLine="48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与广播电视频率频道播出系统</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对接，实现应急广播信息通过</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频率频道系统传输播发</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。与区融媒体中心对接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部署应急广播适配器，实现应急广播信息在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融媒体APP中播发</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。与</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个横向</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应急预警发布部门</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对接，部署5套</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应急信息接入前置</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系统</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实现应急信息多渠道获取。</w:t>
      </w:r>
    </w:p>
    <w:p w14:paraId="7ABBB21F">
      <w:pPr>
        <w:pStyle w:val="271"/>
        <w:numPr>
          <w:ilvl w:val="0"/>
          <w:numId w:val="0"/>
        </w:numPr>
        <w:ind w:leftChars="0" w:right="27" w:rightChars="13"/>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3.街镇及</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以下应急广播前端建设</w:t>
      </w:r>
    </w:p>
    <w:p w14:paraId="76CD520A">
      <w:pPr>
        <w:pStyle w:val="272"/>
        <w:ind w:firstLine="48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在2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个街道</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个乡镇</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建设应急广播</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分控平台</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，实现应急广播信息发布。</w:t>
      </w:r>
    </w:p>
    <w:p w14:paraId="207428B7">
      <w:pPr>
        <w:pStyle w:val="271"/>
        <w:numPr>
          <w:ilvl w:val="0"/>
          <w:numId w:val="0"/>
        </w:numPr>
        <w:ind w:leftChars="0" w:right="27" w:rightChars="13"/>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部署应急广播终端</w:t>
      </w:r>
    </w:p>
    <w:p w14:paraId="67679DDB">
      <w:pPr>
        <w:pStyle w:val="272"/>
        <w:ind w:firstLine="48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为进一步发挥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怀柔区</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应急广播平台的功能，增加应急广播消息的覆盖面积，扩大应急广播消息的覆盖人群，满足应急广播的覆盖特点，</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本项目终端建设内容为：</w:t>
      </w:r>
    </w:p>
    <w:p w14:paraId="14EB3588">
      <w:pPr>
        <w:pStyle w:val="272"/>
        <w:ind w:firstLine="48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在2个街道建设4套高可靠性终端，在1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个乡镇</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建设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套</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主动发布终端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（多模收扩机），在3</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个社区建设3</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套高可靠性终端，在</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283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个</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行政村建设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83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套</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主动发布终端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（多模收扩机）、2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83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套高可靠性终端。</w:t>
      </w:r>
    </w:p>
    <w:p w14:paraId="4D3307FA">
      <w:pPr>
        <w:pStyle w:val="271"/>
        <w:numPr>
          <w:ilvl w:val="0"/>
          <w:numId w:val="0"/>
        </w:numPr>
        <w:ind w:leftChars="0" w:right="27" w:rightChars="13"/>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租赁传输覆盖链路</w:t>
      </w:r>
    </w:p>
    <w:p w14:paraId="13CADEDE">
      <w:pPr>
        <w:pStyle w:val="272"/>
        <w:ind w:firstLine="48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为保障整个区级应急广播系统的数据交互，本次计划采用租赁的方式，实现应急广播系统各部分的之间链路打通。</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网络租赁包括：区平台到市平台、横向单位、融媒体、乡镇、街道、社区、行政村、终端的链路租赁。</w:t>
      </w:r>
    </w:p>
    <w:p w14:paraId="065066C8">
      <w:pPr>
        <w:pStyle w:val="74"/>
        <w:numPr>
          <w:ilvl w:val="0"/>
          <w:numId w:val="17"/>
        </w:numPr>
        <w:spacing w:line="360" w:lineRule="auto"/>
        <w:ind w:left="0" w:leftChars="0" w:firstLine="420" w:firstLineChars="0"/>
        <w:contextualSpacing/>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sz w:val="24"/>
          <w:szCs w:val="24"/>
          <w:lang w:eastAsia="zh-CN"/>
          <w14:textFill>
            <w14:solidFill>
              <w14:schemeClr w14:val="tx1"/>
            </w14:solidFill>
          </w14:textFill>
        </w:rPr>
        <w:t>设备采购清单</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及参数要求</w:t>
      </w:r>
    </w:p>
    <w:p w14:paraId="5BBC8098">
      <w:pPr>
        <w:spacing w:line="360" w:lineRule="auto"/>
        <w:contextualSpacing/>
        <w:rPr>
          <w:rFonts w:hint="default" w:ascii="宋体" w:hAnsi="宋体" w:eastAsia="宋体" w:cs="宋体"/>
          <w:i w:val="0"/>
          <w:iCs w:val="0"/>
          <w:color w:val="000000" w:themeColor="text1"/>
          <w:sz w:val="24"/>
          <w:lang w:val="en-US" w:eastAsia="zh-CN"/>
          <w14:textFill>
            <w14:solidFill>
              <w14:schemeClr w14:val="tx1"/>
            </w14:solidFill>
          </w14:textFill>
        </w:rPr>
      </w:pPr>
      <w:r>
        <w:rPr>
          <w:rFonts w:hint="eastAsia"/>
          <w:i w:val="0"/>
          <w:iCs w:val="0"/>
          <w:color w:val="000000" w:themeColor="text1"/>
          <w:sz w:val="24"/>
          <w:lang w:val="en-US" w:eastAsia="zh-CN"/>
          <w14:textFill>
            <w14:solidFill>
              <w14:schemeClr w14:val="tx1"/>
            </w14:solidFill>
          </w14:textFill>
        </w:rPr>
        <w:t>注：</w:t>
      </w:r>
      <w:r>
        <w:rPr>
          <w:rFonts w:hint="eastAsia" w:ascii="宋体" w:hAnsi="宋体" w:eastAsia="宋体" w:cs="宋体"/>
          <w:i w:val="0"/>
          <w:iCs w:val="0"/>
          <w:color w:val="000000" w:themeColor="text1"/>
          <w:sz w:val="24"/>
          <w:lang w:val="en-US" w:eastAsia="zh-CN"/>
          <w14:textFill>
            <w14:solidFill>
              <w14:schemeClr w14:val="tx1"/>
            </w14:solidFill>
          </w14:textFill>
        </w:rPr>
        <w:t>标记“▲</w:t>
      </w:r>
      <w:r>
        <w:rPr>
          <w:rFonts w:hint="eastAsia" w:ascii="宋体" w:hAnsi="宋体" w:cs="宋体"/>
          <w:i w:val="0"/>
          <w:iCs w:val="0"/>
          <w:color w:val="000000" w:themeColor="text1"/>
          <w:sz w:val="24"/>
          <w:lang w:val="en-US" w:eastAsia="zh-CN"/>
          <w14:textFill>
            <w14:solidFill>
              <w14:schemeClr w14:val="tx1"/>
            </w14:solidFill>
          </w14:textFill>
        </w:rPr>
        <w:t>”为本项目核心产品，提供相同品牌产品的不同供应商参加同一合同项下投标的，以其中通过资格审查、符合性审查且报价最低的参加评标。</w:t>
      </w:r>
    </w:p>
    <w:tbl>
      <w:tblPr>
        <w:tblStyle w:val="42"/>
        <w:tblW w:w="14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2856"/>
        <w:gridCol w:w="658"/>
        <w:gridCol w:w="696"/>
        <w:gridCol w:w="7694"/>
        <w:gridCol w:w="1823"/>
      </w:tblGrid>
      <w:tr w14:paraId="02EA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4425" w:type="dxa"/>
            <w:gridSpan w:val="6"/>
            <w:shd w:val="clear" w:color="auto" w:fill="auto"/>
            <w:vAlign w:val="center"/>
          </w:tcPr>
          <w:p w14:paraId="673944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  直接建设</w:t>
            </w:r>
          </w:p>
        </w:tc>
      </w:tr>
      <w:tr w14:paraId="5CC3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25" w:type="dxa"/>
            <w:gridSpan w:val="6"/>
            <w:shd w:val="clear" w:color="auto" w:fill="auto"/>
            <w:vAlign w:val="center"/>
          </w:tcPr>
          <w:p w14:paraId="3EF0A0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一、区应急广播平台</w:t>
            </w:r>
          </w:p>
        </w:tc>
      </w:tr>
      <w:tr w14:paraId="764C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8" w:type="dxa"/>
            <w:shd w:val="clear" w:color="auto" w:fill="auto"/>
            <w:vAlign w:val="center"/>
          </w:tcPr>
          <w:p w14:paraId="788620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4723E9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188230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6854F7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7816B6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技术指标（参数）</w:t>
            </w:r>
          </w:p>
        </w:tc>
        <w:tc>
          <w:tcPr>
            <w:tcW w:w="1823" w:type="dxa"/>
            <w:shd w:val="clear" w:color="auto" w:fill="auto"/>
            <w:vAlign w:val="center"/>
          </w:tcPr>
          <w:p w14:paraId="622171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设备配置原则</w:t>
            </w:r>
          </w:p>
        </w:tc>
      </w:tr>
      <w:tr w14:paraId="0792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8" w:type="dxa"/>
            <w:shd w:val="clear" w:color="auto" w:fill="auto"/>
            <w:vAlign w:val="center"/>
          </w:tcPr>
          <w:p w14:paraId="26FA1E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3727" w:type="dxa"/>
            <w:gridSpan w:val="5"/>
            <w:shd w:val="clear" w:color="auto" w:fill="auto"/>
            <w:vAlign w:val="center"/>
          </w:tcPr>
          <w:p w14:paraId="37DD60D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平台软件</w:t>
            </w:r>
          </w:p>
        </w:tc>
      </w:tr>
      <w:tr w14:paraId="42E3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8" w:type="dxa"/>
            <w:shd w:val="clear" w:color="auto" w:fill="auto"/>
            <w:vAlign w:val="center"/>
          </w:tcPr>
          <w:p w14:paraId="6AB510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3727" w:type="dxa"/>
            <w:gridSpan w:val="5"/>
            <w:shd w:val="clear" w:color="auto" w:fill="auto"/>
            <w:vAlign w:val="center"/>
          </w:tcPr>
          <w:p w14:paraId="515A4F2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应急广播平台软件系统</w:t>
            </w:r>
          </w:p>
        </w:tc>
      </w:tr>
      <w:tr w14:paraId="24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14:paraId="08CA4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56" w:type="dxa"/>
            <w:shd w:val="clear" w:color="auto" w:fill="auto"/>
            <w:vAlign w:val="center"/>
          </w:tcPr>
          <w:p w14:paraId="08A4E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接入处理系统</w:t>
            </w:r>
          </w:p>
        </w:tc>
        <w:tc>
          <w:tcPr>
            <w:tcW w:w="658" w:type="dxa"/>
            <w:shd w:val="clear" w:color="auto" w:fill="auto"/>
            <w:vAlign w:val="center"/>
          </w:tcPr>
          <w:p w14:paraId="2ECEE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78A07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5A1C3CCF">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信息接入子系统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具备接入节点的参数配置和管理功能，包括对接入节点的增加、删除、修改操作，以及对接入节点IP地址、端口、数字证书信息的配置和管理。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具备接入节点的开通和关闭功能，系统接收到被关闭节点的信息不予处理。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具备身份鉴别功能：通过接口的IP地址、端口、主机名等身份信息对访问者进行认证。4) 具备对接入的应急广播消息按照GY/T 384进行解析和验证的功能。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支持和响应上级应急广播平台发送的应急广播消息播发请求，能正确处理未到时、已到时未过期、已过期三种时间指令，并反馈正确的播发状态、应急广播适配器状态及终端状态。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具备播发应急广播播发请求的功能，支持向下级应急广播平台发送应急广播播发请求，并接收下级的播发结果反馈信息。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支持和响应上级应急广播平台发送的播发状态查询请求，并反馈查询请求结果。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支持和响应上级应急广播平台发送的某时间段的播发记录查询指令，并反馈查询结果。</w:t>
            </w:r>
          </w:p>
          <w:p w14:paraId="1124A59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2.信息处理子系统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具备通过系统界面进行信息提示和告警功能；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具备应急信息/应急广播消息的解析、存储功能：可以解析、存储应急信息/应急广播消息的来源单位、信息/消息ID、事件类型、事件级别、播发起止时间、播发内容；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具备应急信息/应急广播消息查询功能：可以查询查看应急信息/应急广播消息的事件来源、事件类型、事件级别、创建时间；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具备应急信息/应急广播消息处理状态的展示功能，包括未处理、处理中、已处理；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具备应急信息/应急广播消息处理日志的记录和查询功能。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3.信息制作子系统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具备文本、语音、图像文件的导入功能。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支持自动检测应急信息中是否带有语音文件，当发现未上传语音文件时，将接收到的应急广播文本内容(至少包含汉语)自动转换成语音文件：支持2000 字以内的文字转语音功能，支持敏感词过滤，支持关键字过滤。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支持接收实时音频流(rtsp和rtmp)并存储成mp3文件。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4)支持将接收到的音额文件（MP3)转化成音频流，支持RTP、RSTP、RTMP、UDP-TS、HTTP，音频流支持32Kbps、64Kbps、128Kbps、320Kbps 码率的音频流:平台可设置音频文件的播出码率，以减少通道占用带宽。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4.审核播发子系统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1）具备对制作完成的应急广播消息进行搜索查询的功能；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2）具备对制作完成的应急消息的查看监听功能；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3）具备审核播发状态展示功能，包括：已审核，未审核，无需审核。</w:t>
            </w:r>
          </w:p>
        </w:tc>
        <w:tc>
          <w:tcPr>
            <w:tcW w:w="1823" w:type="dxa"/>
            <w:shd w:val="clear" w:color="auto" w:fill="auto"/>
            <w:vAlign w:val="center"/>
          </w:tcPr>
          <w:p w14:paraId="6FDA4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应急信息和应急广播消息的接入、验证和反馈功能，平台系统基础功能，部署在应用服务器中</w:t>
            </w:r>
          </w:p>
        </w:tc>
      </w:tr>
      <w:tr w14:paraId="0A52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698" w:type="dxa"/>
            <w:shd w:val="clear" w:color="auto" w:fill="auto"/>
            <w:vAlign w:val="center"/>
          </w:tcPr>
          <w:p w14:paraId="7DAD6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56" w:type="dxa"/>
            <w:shd w:val="clear" w:color="auto" w:fill="auto"/>
            <w:vAlign w:val="center"/>
          </w:tcPr>
          <w:p w14:paraId="25D1A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调度控制系统</w:t>
            </w:r>
          </w:p>
        </w:tc>
        <w:tc>
          <w:tcPr>
            <w:tcW w:w="658" w:type="dxa"/>
            <w:shd w:val="clear" w:color="auto" w:fill="auto"/>
            <w:vAlign w:val="center"/>
          </w:tcPr>
          <w:p w14:paraId="3DC00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04030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05CF6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1.资源管理子系统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具备管理辖区内应急广播系统资源的信息管理和维护功能，包括资源的增加、删除、修改，以及对资源编码、属性、参数配置的管理，资源编码应符合GY/T 386-2023。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具备应急广播系统资源状态获取及显示功能：支持获取并展示应急广播系统资源的状态。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具备应急广播系统资源信息的查询和统计功能。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具备应急广播系统资源导入导出功能：支持excel文件格式的应急广播系统资源数据导入导出功能。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2.资源调度子系统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调度预案生成：根据应急广播消息的事件类型、事件级别、覆盖区域、语言相关参数从系统中获取相关的应急广播传输覆盖资源，生成相关的调度预案。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调度方案生成：根据应急广播消息播发的实际需求，结合调度预案，生成的本次资源调度的解决方案。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预案及方案管理：支持调度预案及方案查询、编辑和维护。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播发任务管理：能够对播发任务进行取消和重发操作。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播发任务流程跟踪：根据调度方案生成的若干个播发进行播发状态监测和图形化展示。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播发优先级处理：具备根据优先级进行应急广播播发任务调度的功能，当应急广播系统资源使用冲突时，优先播发高级别应急广播播发任务。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3.生成播发子系统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具备应急广播消息文件的封装功能：能够对应急广播信息主体文件、应急广播节目资源文件、应急广播消息指令文件进行签名保护并封装，签名格式符合GY/T 389-2023，封装格式符合GY/T 385-2023。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通过网络将应急广播消息发送到对应的广播电视台频率频道播出系统、应急广播传输覆盖网，并接收应急广播适配器的接收处理反馈结果。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支持获取各通道播发状态，并展示播发进程，对异常情况进行记录与展示；当分发传输失败，可重新发送。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4.终端管控子系统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具备通过直属应急广播适配器实现终端管控的功能，与应急广播适配器的接口协议符合GY/T 394-2023附录A的要求。终端/适配器回传信息接收处理功能，协议符合GY/T 394-2023附录B的要求。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1）支持对应急广播适配器的参数配置功能，包括网络参数、应急广播系统资源编码、回传参数、白名单配置；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2）支持对应急广播适配器的数据查询功能，包括输入输出通道、播发记录、故障详情查询功能；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3）支持通过应急广播适配器发出指令控制应急广播终端功能；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4）支持语音切播，具备对话筒、电话播发方式进行管理的功能；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5）具备播发控制功能，支持通过控制终端系统前端设备，向所辖区域内应急广播终端进行广播的功能；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6）支持分区域播发控制；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7）与管控范围内的适配器和终端保持心跳维持功能：支持通过网络获取适配器/终端发送的心跳数据包；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8）具备终端/适配器工作状态获取能力：能够主动查询终端/适配器工作状态，或获取终端/适配器主动上报的工作状态；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10）具备终端/适配器故障与恢复参数获取能力；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11）具备终端/适配器任务切换、播发结果、播发记录的获取能力。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5.效果评估子系统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具备播发效果自评估功能：对本级应急广播系统的运行状态、播发状态、播发内容、响应情况进行采集，并计算展示播发覆盖率，评估播发效果。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具备查询统计功能，支持对应急信息、应急广播消息、播发效果的检索与查询。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具备任务内容展示功能：支持对所有任务进程列表查看，支持显示本次广播的任务状态、事件类型、事件级别、持续时间、下发路径、节点广播覆盖率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具备任务监听功能：支持监听正在播放的广播内容。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具备播发效果展示功能：展示应急广播消息目标覆盖区域、调度方案覆盖区域、实际覆盖区域，显示调用资源、覆盖范围、覆盖人口的信息。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6.运维管理子系统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1）具备资源状态监控功能：支持通过心跳监测区域内资源状态，以及解析资源状态上报数据来更新资源的状态，支持进行资源状态的展示；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2）具备日志管理功能：对管理应急广播平台的各类日志数据，具体包括系统登录日志、用户操作日志、系统运维日志；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3）具备资源故障报警功能：对辖区内应急广播系统资源的运行状态进行监控，发生故障后，进行自动报警；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4）具备系统故障报警功能：对系统的关键进程、设备和网络的运行状态进行实时监控，系统发生故障后，进行自动报警；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5）具备接收资源信息同步数据的功能：接收下级应急广播平台主动上报的资源信息运维数据和主动发出资源信息数据运维请求后收到下级应急广播平台上报的资源信息同步数据，接口协议符合GY/T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上报应急广播系统资源信息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上报资源状态同步数据的功能：平台接收到上级应急广播平台发送的应急广播系统资源状态运维数据请求后根据请求条件将符合条件的数据上报到上级应急广播平台，主动上报时当前平台检查到有应急广播系统资源的状态发生变化时主动上报到上级应急广播平台，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9）具备播发记录查询功能：能够对下级应急广播平台发起播发记录查询请求，并接收解析下级应急广播平台反馈的播发记录数据，接口协议符合GY/T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10）具备应急广播消息播发状态查询功能：可以向上级/下级代发平台或适配器查询当前应急广播消息播发状态，接口协议符合GY/T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11）具备应急广播消息播发状态反馈功能：在接收到上级/下级应急广播平台的播发状态查询指令后，可以向上级/下级应急广播平台反馈当前应急广播消息播发状态，接口协议符合GY/T 384内容。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7.安全服务子系统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1）安全服务子系统包括证书安全代理、签名验签服务等；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2）具有数字签名功能，采用国密算法，按照国家标准规范执行；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3）对平台接收到的应急广播消息进行签名验证，以及对发送的应急广播消息进行签名；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4）具备用户鉴权认证机制，市平台与上级应急广播平台之间、调频台站/有线前端之间的数据交互，以及传输覆盖网下发的控制及唤醒指令，均应进行签名保护，具备防攻击、防篡改机制。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8.系统管理子系统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1）登录/退出：支持以用户名和密码方式实现登录和退出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2）用户管理：支持用户信息的管理，包括增加、删除、修改用户，修改用户登录密码。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3）角色/权限管理：支持对用户角色、权限的配置管理。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4）日志管理：具备对系统操作日志存储、查看功能。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5）数据维护功能：具备基础数据维护功能，支持组织机构管理、行政区域管理、地址管理、支持所属区域的增删改查。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6）参数配置管理：具备系统运行参数的配置管理功能，包括：数据库链接、网络服务地址、网络服务端口号。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7）软件运行模式设置功能：可以配置为全自动播发流程/人工确认模式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8）优先级设置功能：具备根据事件级别、事件类型、来源单位进行应急广播消息播发任务优先级设置的功能。</w:t>
            </w:r>
          </w:p>
        </w:tc>
        <w:tc>
          <w:tcPr>
            <w:tcW w:w="1823" w:type="dxa"/>
            <w:shd w:val="clear" w:color="auto" w:fill="auto"/>
            <w:vAlign w:val="center"/>
          </w:tcPr>
          <w:p w14:paraId="27ACC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资源管理、调度、终端管理等功能，平台系统基础功能，部署在应用服务器中</w:t>
            </w:r>
          </w:p>
        </w:tc>
      </w:tr>
      <w:tr w14:paraId="4B9E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4037F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56" w:type="dxa"/>
            <w:shd w:val="clear" w:color="auto" w:fill="auto"/>
            <w:vAlign w:val="center"/>
          </w:tcPr>
          <w:p w14:paraId="40E9A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快速通道传输系统</w:t>
            </w:r>
          </w:p>
        </w:tc>
        <w:tc>
          <w:tcPr>
            <w:tcW w:w="658" w:type="dxa"/>
            <w:shd w:val="clear" w:color="auto" w:fill="auto"/>
            <w:vAlign w:val="center"/>
          </w:tcPr>
          <w:p w14:paraId="5D203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76AC8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21527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一、资源快速匹配管理：资源匹配包括对播发适配器的资源匹配、对终端播发资源匹配、对播发区域匹配、对平台资源匹配。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1.播发适配器资源匹配：快速匹配系统内播发适配器资源，根据要求自动控制相应播出设备播出应急广播音视频节目，同时在对应的传输通道中插入传输覆盖指令；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2.终端播发资源匹配：快速匹配系统内终端资源，根据不同通道的传输覆盖指令传输机制，要求终端锁定并接收该指令，及时开机响应；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3.播发区域匹配：根据播发指令和本级应急广播资源可用情况，快速匹配播发区域，具备本级播发、通知下级播发、申请上级播发等功能；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4.资源信息快速同步：实现资源数据的快速采集同步，包括软件系统、参数配置、资源属性维护等，如地理位置、资源归属地/资源级别、覆盖区域、覆盖人口等属性管理。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二、快速播发流程管理：快速播发通道相比于普通应急广播通道时延要更小，主要是对播发流程进行了优化，对终端播发内容进行预置。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1.流程优化：根据快速通道时效性要求，对播发流程进行优化，提升播发效率。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2.信息预置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（1）预置音效：在平台预置音效，首先根据解析的信息判断预警/速报信息的类型和级别等，然后选择对应的音效；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（2）预置语音：根据语音需要展示内容的具体要求，首先根据解析的信息判断预警/速报信息的类型和级别等，提前预置内容，空白处内容根据解析的具体内容自动进行填充；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（3）预置图片：根据图片需要展示内容的具体要求，首先根据解析的信息判断预警/速报信息的类型和级别等，提前预置图片所示内容。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3、信息审核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（1）人工审核：通过人工方式完成审核，对于预警/速报信息这种紧急信息，且信息发布部门权威、内容无需变更的情况，可关闭审核流程；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（2）自动审核：通过自动方式完成审核，对于预警/速报信息这种紧急信息，且信息发布部门权威、内容无需变更的情况，可省略该步骤。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三、快速播发预案管理：快速预案主要包括一键预案功能，对系统的下发方案一键生成，并且可在下发之前提前做好预案模板，方便下发广播时使用。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1．快速资源调度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（1）调用预案：直接调用已有的应急预案不会占用太多的时间，所以在处理预警/速报信息时，不经过调度算法环节，直接调用已有应急预案可以节省时间；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（2）紧急流程：或根据实际情况，在重点紧急情况下，系统可选择抛弃资源调度环节，直接进行全网播发。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2．预案模板功能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（1）一键预案功能：速报消息在播发时，应当进行全通道传播。具备一键预案功能，提高速报消息的传播效率；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（2）广播类型：针对中波、调频等广播类型的网络资源，应急预警/速报消息以纯音效/语音形式发布；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（3）电视类型：针对有线/地面数字电视等可展示图像的网络资源，速报消息以图片以及图片+音效/语音形式发布；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（4）接口调用：快速预案库数据库调用接口。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3．快速消息封装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（1）快速封装：根据平台具备的传输方式，根据相应的应急广播协议进行封装，为提高处理效率，提前预置消息封装信息；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（2）消息插入：应急广播消息播发必不可少的环节，通过自动切换/插入实现；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（3）消息级别：具备红、橙、黄、蓝四种颜色，分别代表了红、橙、黄、蓝各个级别的预警信息。</w:t>
            </w:r>
          </w:p>
        </w:tc>
        <w:tc>
          <w:tcPr>
            <w:tcW w:w="1823" w:type="dxa"/>
            <w:shd w:val="clear" w:color="auto" w:fill="auto"/>
            <w:vAlign w:val="center"/>
          </w:tcPr>
          <w:p w14:paraId="63426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播发适配器的资源匹配、对终端播发资源匹配、对播发区域匹配、对平台资源匹配。平台系统基础功能，部署在应用服务器中</w:t>
            </w:r>
          </w:p>
        </w:tc>
      </w:tr>
      <w:tr w14:paraId="7FC3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98" w:type="dxa"/>
            <w:shd w:val="clear" w:color="auto" w:fill="auto"/>
            <w:vAlign w:val="center"/>
          </w:tcPr>
          <w:p w14:paraId="51C57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56" w:type="dxa"/>
            <w:shd w:val="clear" w:color="auto" w:fill="auto"/>
            <w:vAlign w:val="center"/>
          </w:tcPr>
          <w:p w14:paraId="59AC6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监管考核系统</w:t>
            </w:r>
          </w:p>
        </w:tc>
        <w:tc>
          <w:tcPr>
            <w:tcW w:w="658" w:type="dxa"/>
            <w:shd w:val="clear" w:color="auto" w:fill="auto"/>
            <w:vAlign w:val="center"/>
          </w:tcPr>
          <w:p w14:paraId="2AB56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76C4A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2C71E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广播监管考核系统要求负责对下级分控平台回传的平台、适配器、终端的状态数据和消息的播发状态进行实时监测。依据采集的日常广播数量、在线率、故障处理时长，对各分控应急广播平台进行考核评分评比，并按照月度、季度、年度对运行维护情况和应急消息播发情况进行考核评分评比。要求包括：系统运行状态检测、应急广播播发状态监测、应急广播资源监管、应急演练监管和日常考核等模块。共同支撑对应急广播调度控制系统的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（1）周期性考核：能够按照月度、季度、年度对下级分控平台运行维护情况和应急消息播发情况进行考核评分评比。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运行维护评分：系统能够按照月度、季度、年度对下级分控平台的运维情况，平台、适配器、终端的运维故障时间进行考核评分。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应急消息播发情况评分：系统能够按照月度、季度、年度对下级分控平台的应急消息播发情况、广播消息覆盖率进行考核评分。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（2）日常运维考核：对下级分控平台的日常运行情况进行考核。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（3）播发覆盖效果考核：对下级平台反馈的应急广播消息的覆盖情况和覆盖效果进行考核。</w:t>
            </w:r>
          </w:p>
        </w:tc>
        <w:tc>
          <w:tcPr>
            <w:tcW w:w="1823" w:type="dxa"/>
            <w:shd w:val="clear" w:color="auto" w:fill="auto"/>
            <w:vAlign w:val="center"/>
          </w:tcPr>
          <w:p w14:paraId="30A06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负责对下级分控平台回传的平台、适配器、终端的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状态数据和消息的播发状态进行实时监测。平台系统基础功能，部署在应用服务器中</w:t>
            </w:r>
          </w:p>
        </w:tc>
      </w:tr>
      <w:tr w14:paraId="0439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5" w:hRule="atLeast"/>
          <w:jc w:val="center"/>
        </w:trPr>
        <w:tc>
          <w:tcPr>
            <w:tcW w:w="698" w:type="dxa"/>
            <w:shd w:val="clear" w:color="auto" w:fill="auto"/>
            <w:vAlign w:val="center"/>
          </w:tcPr>
          <w:p w14:paraId="7F04F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56" w:type="dxa"/>
            <w:shd w:val="clear" w:color="auto" w:fill="auto"/>
            <w:vAlign w:val="center"/>
          </w:tcPr>
          <w:p w14:paraId="2B861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媒资系统</w:t>
            </w:r>
          </w:p>
        </w:tc>
        <w:tc>
          <w:tcPr>
            <w:tcW w:w="658" w:type="dxa"/>
            <w:shd w:val="clear" w:color="auto" w:fill="auto"/>
            <w:vAlign w:val="center"/>
          </w:tcPr>
          <w:p w14:paraId="6F208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7D0CF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74BC3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1.媒资库及权限管理。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2.媒资元数据管理。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3.媒资加密及解密管理。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4.支持媒资标签管理，多级标签管理。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5.支持协同过滤，sumaSLR，热点推荐等多种智能推荐算法。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6.支持媒资的下载及预览功能。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7.支持媒资检索功能。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8.支持图片、视频、音频、视频流、音频流、文本、压缩包等.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9.支持文件上传，断点续传等功能。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10.支持远程媒资管理，支持多路远程地址及负载均衡。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11.文本转语音注入。支持原有文本媒资转换为语音媒资。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1)支持多级审核流程管理，支持可视化编辑流程。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2)支持流程任务管理，任务审批，支持审核内容显示可配置化。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3)支持流程节点分配给个人或者组织。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4)支持流程进度预览。</w:t>
            </w:r>
          </w:p>
        </w:tc>
        <w:tc>
          <w:tcPr>
            <w:tcW w:w="1823" w:type="dxa"/>
            <w:shd w:val="clear" w:color="auto" w:fill="auto"/>
            <w:vAlign w:val="center"/>
          </w:tcPr>
          <w:p w14:paraId="14CFA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资料存储、数据管理，平台系统基础功能，部署在应用服务器中</w:t>
            </w:r>
          </w:p>
        </w:tc>
      </w:tr>
      <w:tr w14:paraId="0E87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14:paraId="38270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56" w:type="dxa"/>
            <w:shd w:val="clear" w:color="auto" w:fill="auto"/>
            <w:vAlign w:val="center"/>
          </w:tcPr>
          <w:p w14:paraId="7957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智慧运维系统</w:t>
            </w:r>
          </w:p>
        </w:tc>
        <w:tc>
          <w:tcPr>
            <w:tcW w:w="658" w:type="dxa"/>
            <w:shd w:val="clear" w:color="auto" w:fill="auto"/>
            <w:vAlign w:val="center"/>
          </w:tcPr>
          <w:p w14:paraId="3B033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28BB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1EA7EF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1.监控指标管理，支持内置指标及自定义指标。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2.监控设备类型管理。支持服务器、交换机、防火墙、适配器。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3.支持监控服务管理，同一个设备类型可以添加多个监控服务。可支持监控设备整体及各个进程。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4.支持监控服务协议配置：支持promethues、http（配置接口地址，鉴权信息）、snmp（配置community信息）、syslog、ssh（登录账号密码）。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5.支持监控服务各个监控指标告警阈值设置。支持订阅/取消告警接口。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6.支持服务器监测：cpu使用率、内存使用率、出入网络速率、硬盘使用率、硬盘读写速率、cpu各个核使用率。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7.支持交换机监测：cpu使用率、内存使用率、所有网口信息状态、网口速率。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8.支持防火墙：cpu使用率、内存使用率。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9.支持适配器：支持获取链路延时数据、告警信息。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10.支持历史数据统计：1小时、24小时、一周、一月。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11.支持应急广播各模块监测，支持cpu使用率、内存使用率监测。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12.支持各个模块历史数据统计：1小时、24小时、一周、一月。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13.支持应急广播模块服务管理，添加，修改，删除，支持各个模块状态信息展示。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14.支持模块服务监控接口管理，添加，修改，删除，启用，停用功能，支持按照服务、状态、接口名查询监控接口。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15.监测接口请求详细信息查看，响应时间，发送参数，返回，请求地址，所属服务等信息。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16.监测接口及服务统计报表查询，支持按天，周，月，年查看统计成功率。查看不同接口访问总次数、成功次数、失败次数统计。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17.支持设备链路网络拓扑展示，支持设备在线状态展示。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18.支持服务器、网络设备、防火墙设备等展示设备设备状态及详细信息。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19.支持链路状态展示，支持应急广播消息链路延时监控。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20.支持用户操作日志及系统日志管理。显示日志类型、日志时间、操作内容、操作用户、操作服务。支持多条件查询。支持日志删除、详情查看。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21.支持告警编码管理：编码、名称、内容、级别。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22.支持订阅告警列表查看。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23.支持告警通知设置：支持邮件通知。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24.支持实时告警、历史告警、屏蔽告警查看。支持告警名称、设备、级别、服务来源、告警时间。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25.支持告警忽略及恢复，支持告警删除及详情查看。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26.支持查看各个进程日志，支持配置日志路径，规则，支持网页上直接查看日志信息。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27.手动及定时执行平台健康检查。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所有服务器各进程cpu、内存、磁盘是否都有超出设置的阈值，如果超出后支持告警。存储支持指定目录监测，支持手动清理及自动清理策略设置，自动清理策略支持按时间清理及按照容量清理，支持最小清理空间设置（达到最小清理空间立即停止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2)支持应急广播任务监测及告警。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3)检查平台及媒资各个服务进程是否启动，iptables端口是否开放。未启动支持告警，支持进程手动重启。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4)检查时钟是否同步。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5)检查数据库是否同步，支持手动切换主备。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6)检查媒资ftp是否正常，支持修改ftp密码功能。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28.支持检测报告导出。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29.班次管理：系统具备新建、编辑、删除、查询班次等功能。可根据需求创建不同上下班时间段的班次，支持通过别名、名称进行数据筛选。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30.排班管理：排班管理支持手动排班、自动排班、导出 Excel 报表等功能。新建排班时可以选择按天排班和按周期排班。同时又提供手工调整功能，用户能够对排班结果进行调整。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31.自动排班：支持自定义配置排班周期，可选择使用当前周期进行排班，实现自动排班的功能同时支持用户手动调整班次。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开始值班：支持系统内完成交接班工作，提高工作效率，实现值班期间所有值班记录的无纸化管理。开始值班前需确认交接班日志、交接遗留问题等，如没有问题点击开始值班后正式进入值班状态；在正式交接班后，接班人员就可以在当班期间录入自己需要填报的各种值班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33.结束值班：结束值班支持线上填写值班日志并完成交班工作；交班后将不再允许修改值班日志，保证值班日志的真实性和准确性。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34.值班点名：发送一键点名指令后，系统自动依次对值班人员发起点名任务，在值班系统出现点名弹框。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广播任务列表：广播任务列表展示出所下发的广播记录，与平台上广播列表同步，下发的广播都在此页面可以看到，也可根据页签筛选等待执行、广播中、广播完成、广播失败几种类型进行相应展示，点击某条记录也可查看广播级别、类型、区域等详情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36.广播消息列表：消息列表展示出平台中一些操作产生的消息信息，如广播下发、媒资制作、平台注册等操作信息，同样可进行未处理、处理中、已处理页签的分类查看。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37.应急事件列表：应急事件列表展示应急事件的记录信息，如突发事件、安全事件、卫生事件等。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38.广播任务统计：广播任务统计图以柱状图的方式展示了相应区域某段时间的广播任务情况，用户可以进行区域、开始时间、结束时间的选择查看不同级别的广播数量分布情况。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监测地图展示：APP选中监测按钮，便进入监测地图展示界面，可在地图上直观展示下级平台、村村响、适配器、终端等资源的实时状态，选中相应的资源，便会在地图上展示出对应的资源图标，点击资源图标可展示资源的经纬度、状态等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40.资源管理：资源管理分为台站前端列表、平台列表、设备列表、救灾物资列表、终端列表、资源回传列表、终端状态统计这些子模块。</w:t>
            </w:r>
          </w:p>
        </w:tc>
        <w:tc>
          <w:tcPr>
            <w:tcW w:w="1823" w:type="dxa"/>
            <w:shd w:val="clear" w:color="auto" w:fill="auto"/>
            <w:vAlign w:val="center"/>
          </w:tcPr>
          <w:p w14:paraId="02DF4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对平台的的运维进行智慧化管理，平台系统基础功能，部署在应用服务器中</w:t>
            </w:r>
          </w:p>
        </w:tc>
      </w:tr>
      <w:tr w14:paraId="0C0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8" w:type="dxa"/>
            <w:shd w:val="clear" w:color="auto" w:fill="auto"/>
            <w:vAlign w:val="center"/>
          </w:tcPr>
          <w:p w14:paraId="4612E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56" w:type="dxa"/>
            <w:shd w:val="clear" w:color="auto" w:fill="auto"/>
            <w:vAlign w:val="center"/>
          </w:tcPr>
          <w:p w14:paraId="3F0DC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视频融合指挥系统</w:t>
            </w:r>
          </w:p>
        </w:tc>
        <w:tc>
          <w:tcPr>
            <w:tcW w:w="658" w:type="dxa"/>
            <w:shd w:val="clear" w:color="auto" w:fill="auto"/>
            <w:vAlign w:val="center"/>
          </w:tcPr>
          <w:p w14:paraId="497EA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22C8B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40ECE5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1.支持接收应急广播平台广播，即时接收消息、任务或通知。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2.支持自动提示，声音提示。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3.支持系统人员通讯录功能。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4.支持用户拨打电话、发送短信，视频通话功能。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5.支持用户在线状态展示。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6.支持事件预案管理。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7.支持指定事件发生位置经纬度。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8.支持指定相关成员及应急资源加入预案。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9.支持下发预案任务，支持配置预案内容、指派人员、指定地点、执行时间。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10.地图支持指定目标地点。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11.支持导出预案内容，用于打印整个指挥预案。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12.支持预案预演，支持在地图上单步自动执行预案任务，显示各个任务的位置，内容，执行人信息，支持设置单步间隔时长，直观显示整个预案任务执行的全过程。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13.支持使用预案开始指挥任务。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14.支持与现场人员手机进行点对点通话。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15.支持对参与人员下发任务，查看任务执行状态。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16.支持参与人员位置上报，地图显示该人员实时坐标位置。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17.支持现场人员上报任务执行状态，统一查看各个任务执行状态。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18.支持现场人员文字、图片、视频多种形式反馈现场情况，实时查看。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19.支持现场人员任务执行考核，可以为执行完成任务的人员打分，考核内容存档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20.支持导出整个指挥任务的详细资料，支持查询并为后续任务提供经验。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21.支持摄像头画面监看。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22.支持多画面监看展示，支持1,2,4,9,16分屏设置。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23.支持现场人员手机画面查看功能。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24.支持监控录制及回看。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25.支持现场人员手机，指挥中心大屏入会，支持多个终端入会。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26.支持会议控制：启停，加人，踢人功能。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27.支持会议议程设置，支持议程切换启停。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28.支持会议议程画面设置：支持多画面设置。支持会议议程转发目的设置，转发目的支持用户或角色。单个议程可以包含多组转发。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29.支持会议音频全局音频设置，支持多个音频混音设置。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30.支持议程画面预览。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31.支持会议角色管理，修改角色用户，支持正在进行的会议修改画面按照修改后的角色人转发。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32.支持一键报警设备一键上报。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33.平台接收到一键报警后，客户端提示是否接听。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34.用户选择接听后，可以与一键报警器进行双向音频通话，并可以观看一键报警器摄像头图像。</w:t>
            </w:r>
          </w:p>
        </w:tc>
        <w:tc>
          <w:tcPr>
            <w:tcW w:w="1823" w:type="dxa"/>
            <w:shd w:val="clear" w:color="auto" w:fill="auto"/>
            <w:vAlign w:val="center"/>
          </w:tcPr>
          <w:p w14:paraId="0C729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应急指挥系统的视频、音频、数据、文字等媒体，平台系统基础功能，部署在应用服务器中</w:t>
            </w:r>
          </w:p>
        </w:tc>
      </w:tr>
      <w:tr w14:paraId="259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14:paraId="48B02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856" w:type="dxa"/>
            <w:shd w:val="clear" w:color="auto" w:fill="auto"/>
            <w:vAlign w:val="center"/>
          </w:tcPr>
          <w:p w14:paraId="1ED75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GIS地图</w:t>
            </w:r>
          </w:p>
        </w:tc>
        <w:tc>
          <w:tcPr>
            <w:tcW w:w="658" w:type="dxa"/>
            <w:shd w:val="clear" w:color="auto" w:fill="auto"/>
            <w:vAlign w:val="center"/>
          </w:tcPr>
          <w:p w14:paraId="66605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2939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09776E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S地图应用提供地图服务、空间数据访问与管理服务，提供涵盖数据加载、数据转换、类型转换、数据浏览和编辑、地图制图、场景操作、布局排版和打印等在内的所有常规的GIS功能，可以满足应急广播平台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1.支持大多数主流计算机平台上，支持国产化操作系统等运行环境；支持GB18030中文编码字符集。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2.具有良好的开放性，遵循国际主流IT标准：网格协议TCP/IP、HTTP，WEB、XML，遵循ISO、FGDC、OGC规范，支持UML统一建模语言。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3.具有良好的可伸缩性、通用性和兼容性，支持从上到下多个产品层次，支持无缝地扩展和升级。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4.B/S构架，支持包括快速定位、图层管理，缩放等功能模块；支持基本的地图浏览、空间和属性查询、统计图表和报表生成、地图符号化。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5.支持数据视图和地图视图的动态切换，提供比例尺，图例，对象，动态文本等地图整饰元素。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6.2D地图，通用的瓦片格式（png或jpg），支持电子矢量图和卫星影像图。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7.提供元素选择、要素识别、查找、坐标定位、Html弹出框等地图浏览工具</w:t>
            </w:r>
          </w:p>
        </w:tc>
        <w:tc>
          <w:tcPr>
            <w:tcW w:w="1823" w:type="dxa"/>
            <w:shd w:val="clear" w:color="auto" w:fill="auto"/>
            <w:vAlign w:val="center"/>
          </w:tcPr>
          <w:p w14:paraId="5DEB3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通过计算机系统B/S构架，支持包括快速定位、图层管理，缩放等功能，部署在应用服务器中</w:t>
            </w:r>
          </w:p>
        </w:tc>
      </w:tr>
      <w:tr w14:paraId="5F7F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698" w:type="dxa"/>
            <w:shd w:val="clear" w:color="auto" w:fill="auto"/>
            <w:vAlign w:val="center"/>
          </w:tcPr>
          <w:p w14:paraId="36B1F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856" w:type="dxa"/>
            <w:shd w:val="clear" w:color="auto" w:fill="auto"/>
            <w:vAlign w:val="center"/>
          </w:tcPr>
          <w:p w14:paraId="216EB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综合可视化系统</w:t>
            </w:r>
          </w:p>
        </w:tc>
        <w:tc>
          <w:tcPr>
            <w:tcW w:w="658" w:type="dxa"/>
            <w:shd w:val="clear" w:color="auto" w:fill="auto"/>
            <w:vAlign w:val="center"/>
          </w:tcPr>
          <w:p w14:paraId="6EDAB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F05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053D2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广播平台软件应具备独立的大屏综合可视化功能并根据具体项目定制开发，根据应急广播业务需要，选择性进行业务展示。对于需要展示的内容，首先要进行数据汲取及分析。根据可视化展示的要求，由展示上屏模块完成数据转译、可视化实时渲染、可视化显示输出。基础应具备以下系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具备GIS地图与大屏综合显示功能，并可实现本级应急广播系统资源信息与状态监测展示、应急广播消息播发过程展示、播发效果评估展示、报警提示和信号展示。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媒资制作展示：循环动态展示媒资制作的详情。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消息通知展示：展示国家应急中心、省应急办、本地等各类消息通知，使用不同颜色标示不同级别的广播消息，最新的消息会高亮展示。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 调度发布展示：通过GIS地图展示应急事件调度和发布过程。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下发流程及反馈评估展示：展示广播播发的详细流程及反馈评估，并详细显示每一步的具体信息，展示预期/实际的覆盖人口、面积以及节点到达详情列表。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大数据统计展示：将平台可用情况、平台数量、广播情况、资源类型、资源数量、广播成功率进行统计，统计数据实时更新。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GIS反馈与流程展示：展示广播播发的详细流程及反馈评估。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终端管理展示：GIS地图显示所属终端的具体位置信息及状态，大数据统计终端数量和终端可用情况。</w:t>
            </w:r>
          </w:p>
        </w:tc>
        <w:tc>
          <w:tcPr>
            <w:tcW w:w="1823" w:type="dxa"/>
            <w:shd w:val="clear" w:color="auto" w:fill="auto"/>
            <w:vAlign w:val="center"/>
          </w:tcPr>
          <w:p w14:paraId="0EE88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应急广播系统资源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信息与状态监测、应急广播消息播发过程、播发效果评估、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报警提示和信号进行可视化，平台系统基础功能，部署在应用服务器中</w:t>
            </w:r>
          </w:p>
        </w:tc>
      </w:tr>
      <w:tr w14:paraId="4192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98" w:type="dxa"/>
            <w:shd w:val="clear" w:color="auto" w:fill="auto"/>
            <w:vAlign w:val="center"/>
          </w:tcPr>
          <w:p w14:paraId="31F422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二</w:t>
            </w:r>
          </w:p>
        </w:tc>
        <w:tc>
          <w:tcPr>
            <w:tcW w:w="13727" w:type="dxa"/>
            <w:gridSpan w:val="5"/>
            <w:shd w:val="clear" w:color="auto" w:fill="auto"/>
            <w:vAlign w:val="center"/>
          </w:tcPr>
          <w:p w14:paraId="2DD2E4A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配套硬件设备</w:t>
            </w:r>
          </w:p>
        </w:tc>
      </w:tr>
      <w:tr w14:paraId="0FF5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98" w:type="dxa"/>
            <w:shd w:val="clear" w:color="auto" w:fill="auto"/>
            <w:vAlign w:val="center"/>
          </w:tcPr>
          <w:p w14:paraId="063B4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7BBA3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w:t>
            </w:r>
          </w:p>
        </w:tc>
        <w:tc>
          <w:tcPr>
            <w:tcW w:w="658" w:type="dxa"/>
            <w:shd w:val="clear" w:color="auto" w:fill="auto"/>
            <w:vAlign w:val="center"/>
          </w:tcPr>
          <w:p w14:paraId="61A66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36EBD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110E9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不少于24个万兆SFP+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个电源槽位，标配不含电源，2个主控槽位，3个通用业务槽位）1、交换容量≥53.76Tbps/183.04Tbps、包转发率≥10080Mpps/37440Mpps；2、支持NMC/vNMC/NAC/SAC统一管理、统一查看状态、VLAN等配置管理；3、支持框可视化管理；48端口万兆光（SFP+）；专用主控板；550W交流电源*（2）含24个万兆双纤单模模块。为保证兼容性，光模块需与交换机同一品牌；</w:t>
            </w:r>
          </w:p>
        </w:tc>
        <w:tc>
          <w:tcPr>
            <w:tcW w:w="1823" w:type="dxa"/>
            <w:shd w:val="clear" w:color="auto" w:fill="auto"/>
            <w:vAlign w:val="center"/>
          </w:tcPr>
          <w:p w14:paraId="43EE2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系统内部的核心功能交换机，部署在融媒中心体机房</w:t>
            </w:r>
          </w:p>
        </w:tc>
      </w:tr>
      <w:tr w14:paraId="7BFB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698" w:type="dxa"/>
            <w:shd w:val="clear" w:color="auto" w:fill="auto"/>
            <w:vAlign w:val="center"/>
          </w:tcPr>
          <w:p w14:paraId="58706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4FA9E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汇聚交换机</w:t>
            </w:r>
          </w:p>
        </w:tc>
        <w:tc>
          <w:tcPr>
            <w:tcW w:w="658" w:type="dxa"/>
            <w:shd w:val="clear" w:color="auto" w:fill="auto"/>
            <w:vAlign w:val="center"/>
          </w:tcPr>
          <w:p w14:paraId="4EB03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59958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7AF1F2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24个SFP光模块。24个千兆SFP光口，4个10/100/1000Base-T自适应电口（复用），4个万兆SFP+光口；交换容量≥672Gbps/6.72Tbps，包转发率≥171Mpps/309Mpps，支持全端口线速转发；支持NMC/vNMC/NAC/SAC统一管理、统一查看状态、VLAN等配置管理；含4个万兆双纤单模模块。为保证兼容性，光模块需与交换机同一品牌；</w:t>
            </w:r>
          </w:p>
        </w:tc>
        <w:tc>
          <w:tcPr>
            <w:tcW w:w="1823" w:type="dxa"/>
            <w:shd w:val="clear" w:color="auto" w:fill="auto"/>
            <w:vAlign w:val="center"/>
          </w:tcPr>
          <w:p w14:paraId="2E842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对外来信息进行网络链接，部署在融媒中心体机房</w:t>
            </w:r>
          </w:p>
        </w:tc>
      </w:tr>
      <w:tr w14:paraId="3BF2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698" w:type="dxa"/>
            <w:shd w:val="clear" w:color="auto" w:fill="auto"/>
            <w:vAlign w:val="center"/>
          </w:tcPr>
          <w:p w14:paraId="4B4B31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p>
        </w:tc>
        <w:tc>
          <w:tcPr>
            <w:tcW w:w="2856" w:type="dxa"/>
            <w:shd w:val="clear" w:color="auto" w:fill="auto"/>
            <w:vAlign w:val="center"/>
          </w:tcPr>
          <w:p w14:paraId="356DE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磁盘阵列</w:t>
            </w:r>
          </w:p>
        </w:tc>
        <w:tc>
          <w:tcPr>
            <w:tcW w:w="658" w:type="dxa"/>
            <w:shd w:val="clear" w:color="auto" w:fill="auto"/>
            <w:vAlign w:val="center"/>
          </w:tcPr>
          <w:p w14:paraId="6BCF2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1748D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319CE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(2U,双控,SAS,交流\240V高压直流,32GB 缓存,8*1Gb ETH,4*10Gb ETH(含多模SFP+),4*SAS3.0端口,12*3.5英寸SAS,SPE26C0212)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480GB SSD SAS硬盘单元(3.5")*4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8TB 7.2K RPM NL SAS硬盘单元(3.5")*65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SAS硬盘框(4U,交流\240V高压直流,3.5英寸,级联模块,24盘位,不包含硬盘单元,DAE62435U4)*3</w:t>
            </w:r>
          </w:p>
        </w:tc>
        <w:tc>
          <w:tcPr>
            <w:tcW w:w="1823" w:type="dxa"/>
            <w:shd w:val="clear" w:color="auto" w:fill="auto"/>
            <w:vAlign w:val="center"/>
          </w:tcPr>
          <w:p w14:paraId="261FC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应急广播系统数据存储磁盘阵列存储，部署在融媒中心体机房</w:t>
            </w:r>
          </w:p>
        </w:tc>
      </w:tr>
      <w:tr w14:paraId="4CA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028605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w:t>
            </w:r>
          </w:p>
        </w:tc>
        <w:tc>
          <w:tcPr>
            <w:tcW w:w="2856" w:type="dxa"/>
            <w:shd w:val="clear" w:color="auto" w:fill="auto"/>
            <w:vAlign w:val="center"/>
          </w:tcPr>
          <w:p w14:paraId="3ACF5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IP话筒</w:t>
            </w:r>
          </w:p>
        </w:tc>
        <w:tc>
          <w:tcPr>
            <w:tcW w:w="658" w:type="dxa"/>
            <w:shd w:val="clear" w:color="auto" w:fill="auto"/>
            <w:vAlign w:val="center"/>
          </w:tcPr>
          <w:p w14:paraId="11A3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583E6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64F72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桌面话筒式设计，外接鹅颈式话筒；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实现对特定广播终端或区域的寻呼广播；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支持U盘点播，可将U盘内的MP3文件点播给其他广播终端播放；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支持一路本地线路音频输出，可外接功放扩音广播；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支持免提通话，能利用6.5mm话筒接口接专业话筒，便于扩展非免提通话。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支持网络搜索配置，无需知道终端 IP地址可直接寻址；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支持静态IP方式，可跨网段、跨路由工作；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支持网络在线升级；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要求具有U-KEY接口，插入U-KEY支持对用户的操作授权。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要求通过大于或等于的7英寸电容式触控液晶显示屏，实现操作登录身份验证、广播功能操作。</w:t>
            </w:r>
          </w:p>
        </w:tc>
        <w:tc>
          <w:tcPr>
            <w:tcW w:w="1823" w:type="dxa"/>
            <w:shd w:val="clear" w:color="auto" w:fill="auto"/>
            <w:vAlign w:val="center"/>
          </w:tcPr>
          <w:p w14:paraId="5A93F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对特定广播终端或区域的寻呼广播，部署在指挥中心</w:t>
            </w:r>
          </w:p>
        </w:tc>
      </w:tr>
      <w:tr w14:paraId="2A6C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shd w:val="clear" w:color="auto" w:fill="auto"/>
            <w:vAlign w:val="center"/>
          </w:tcPr>
          <w:p w14:paraId="106F2EB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5</w:t>
            </w:r>
          </w:p>
        </w:tc>
        <w:tc>
          <w:tcPr>
            <w:tcW w:w="2856" w:type="dxa"/>
            <w:shd w:val="clear" w:color="auto" w:fill="auto"/>
            <w:vAlign w:val="center"/>
          </w:tcPr>
          <w:p w14:paraId="40BAE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多媒体网关</w:t>
            </w:r>
          </w:p>
        </w:tc>
        <w:tc>
          <w:tcPr>
            <w:tcW w:w="658" w:type="dxa"/>
            <w:shd w:val="clear" w:color="auto" w:fill="auto"/>
            <w:vAlign w:val="center"/>
          </w:tcPr>
          <w:p w14:paraId="54F3E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8A63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94" w:type="dxa"/>
            <w:shd w:val="clear" w:color="auto" w:fill="auto"/>
            <w:vAlign w:val="center"/>
          </w:tcPr>
          <w:p w14:paraId="10625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支持与视频融合指挥系统适配，前置接入网关；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视频融合指挥系统一键报警接入节点；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单节点支持不少于50个一键报警终端接入。</w:t>
            </w:r>
          </w:p>
        </w:tc>
        <w:tc>
          <w:tcPr>
            <w:tcW w:w="1823" w:type="dxa"/>
            <w:shd w:val="clear" w:color="auto" w:fill="auto"/>
            <w:vAlign w:val="center"/>
          </w:tcPr>
          <w:p w14:paraId="66523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音视频信息接入，部署在融媒中心体机房</w:t>
            </w:r>
          </w:p>
        </w:tc>
      </w:tr>
      <w:tr w14:paraId="18C4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0" w:hRule="atLeast"/>
          <w:jc w:val="center"/>
        </w:trPr>
        <w:tc>
          <w:tcPr>
            <w:tcW w:w="698" w:type="dxa"/>
            <w:shd w:val="clear" w:color="auto" w:fill="auto"/>
            <w:vAlign w:val="center"/>
          </w:tcPr>
          <w:p w14:paraId="1813BA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6</w:t>
            </w:r>
          </w:p>
        </w:tc>
        <w:tc>
          <w:tcPr>
            <w:tcW w:w="2856" w:type="dxa"/>
            <w:shd w:val="clear" w:color="auto" w:fill="auto"/>
            <w:vAlign w:val="center"/>
          </w:tcPr>
          <w:p w14:paraId="58EDB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短信网关</w:t>
            </w:r>
          </w:p>
        </w:tc>
        <w:tc>
          <w:tcPr>
            <w:tcW w:w="658" w:type="dxa"/>
            <w:shd w:val="clear" w:color="auto" w:fill="auto"/>
            <w:vAlign w:val="center"/>
          </w:tcPr>
          <w:p w14:paraId="0FB84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BCA6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236C19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至少8路LTE电话及短信输入，任意选配路数可选；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每路电话音频可编码及每路电话音频采样率可设置；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具有web网管功能，可通过web界面设置每路音频采样率、编码格式、声道、码率等；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支持web查看设备参数以及电话授权号码；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支持电话监听功能，并可任意切换监听通道，监听音量可调；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支持非法内容插播时，强制挂机，遏制非法内容播出；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1路RJ45/100Mbps自适应，输出IP音频流和Web网管；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支持一键强制挂机功能：面板具备强制挂机按键，当监听到非法信号插播时，则可强制挂机。</w:t>
            </w:r>
          </w:p>
        </w:tc>
        <w:tc>
          <w:tcPr>
            <w:tcW w:w="1823" w:type="dxa"/>
            <w:shd w:val="clear" w:color="auto" w:fill="auto"/>
            <w:vAlign w:val="center"/>
          </w:tcPr>
          <w:p w14:paraId="5A4F1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短消息播发应急广播信息，部署在融媒中心体机房</w:t>
            </w:r>
          </w:p>
        </w:tc>
      </w:tr>
      <w:tr w14:paraId="504A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8" w:type="dxa"/>
            <w:shd w:val="clear" w:color="auto" w:fill="auto"/>
            <w:vAlign w:val="center"/>
          </w:tcPr>
          <w:p w14:paraId="5E01A4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三</w:t>
            </w:r>
          </w:p>
        </w:tc>
        <w:tc>
          <w:tcPr>
            <w:tcW w:w="13727" w:type="dxa"/>
            <w:gridSpan w:val="5"/>
            <w:shd w:val="clear" w:color="auto" w:fill="auto"/>
            <w:vAlign w:val="center"/>
          </w:tcPr>
          <w:p w14:paraId="4B7CF94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安全设备</w:t>
            </w:r>
          </w:p>
        </w:tc>
      </w:tr>
      <w:tr w14:paraId="2D2F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201C3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1C350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下一代防火墙</w:t>
            </w:r>
          </w:p>
        </w:tc>
        <w:tc>
          <w:tcPr>
            <w:tcW w:w="658" w:type="dxa"/>
            <w:shd w:val="clear" w:color="auto" w:fill="auto"/>
            <w:vAlign w:val="center"/>
          </w:tcPr>
          <w:p w14:paraId="5F99A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3F7DE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0D2A6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1、国产化专用硬件及平台产品，网络层吞吐量不低于10G，应用层吞吐量不低于4G，并发连接不低于400万，每秒新建连接不低于10万/秒，配置不低于6个千兆以太网接口；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2、具备入侵防御、网络防病毒、应用控制、网址过滤、WAF等功能；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3、支持对压缩病毒文件进行检测和拦截，压缩层数支持15层及以上；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4、支持路由类型、协议类型、网络对象、国家地区等条件进行自动选路的策略路由，支持不少于3种的调度算法，至少包括带宽比例、加权流量、线路优先等；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5、产品内置不低于16000种漏洞规则，同时支持在控制台界面通过漏洞ID、漏洞名称、危险等级、漏洞CVE标识、漏洞描述等条件查询漏洞特征信息，支持用户自定义IPS规则；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6、产品支持A|A、A|S两种双机模式部署，当主机故障时，双机切换时不丢包，并可实现双机部署下升级不断网；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7、产品支持服务器漏洞防扫描功能，并对扫描源IP进行日志记录和联动封锁；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8、支持对ICMP、UDP、DNS、SYN等协议进行DDOS防护；支持异常数据包攻击防御，防护类型包括IP数据块分片传输防护、Teardrop攻击防护、Smurf攻击防护、Land攻击防护、WinNuke攻击防护等攻击类型；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9、产品支持策略生命周期管理功能，支持对安全策略修改的时间、原因、变更类型进行统一管理，便于策略的运维与管理；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10、原厂部署服务；3年技术支持服务、特征规则库升级、产品质保、软件升级服务。</w:t>
            </w:r>
          </w:p>
        </w:tc>
        <w:tc>
          <w:tcPr>
            <w:tcW w:w="1823" w:type="dxa"/>
            <w:shd w:val="clear" w:color="auto" w:fill="auto"/>
            <w:vAlign w:val="center"/>
          </w:tcPr>
          <w:p w14:paraId="70636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可以全面应对应用层威胁的高性能防火墙，专用硬件，部署在融媒体中心机房</w:t>
            </w:r>
          </w:p>
        </w:tc>
      </w:tr>
      <w:tr w14:paraId="4F0B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4" w:hRule="atLeast"/>
          <w:jc w:val="center"/>
        </w:trPr>
        <w:tc>
          <w:tcPr>
            <w:tcW w:w="698" w:type="dxa"/>
            <w:shd w:val="clear" w:color="auto" w:fill="auto"/>
            <w:vAlign w:val="center"/>
          </w:tcPr>
          <w:p w14:paraId="5B5C3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51007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终端安全管理系统</w:t>
            </w:r>
          </w:p>
        </w:tc>
        <w:tc>
          <w:tcPr>
            <w:tcW w:w="658" w:type="dxa"/>
            <w:shd w:val="clear" w:color="auto" w:fill="auto"/>
            <w:vAlign w:val="center"/>
          </w:tcPr>
          <w:p w14:paraId="6F063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4DA23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591A7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1、国产化主机安全产品，产品采用控制端+客户端架构，提供不少于50点服务器授权；单一管理控制端可统一管理分别部署在WindowsPC、Windows服务器、Linux服务器以及国产化服务器的客户端软件；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2、具备基于人工智能的检测引擎，支持无特征检测技术，有效应对恶意代码及其变种；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为本次建设的防火墙提供溯源举证功能，即检测到僵木蠕毒的恶意域名访问时，会共享事件信息给同品牌防火墙，包含事件相关的文件、进程、域名连接、注册表修改操作等关键项，并且可以在防火墙侧进行威胁事件的溯源分析。支持对根据回溯出的风险项一键根除，清除后进程无法被创建、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4、支持对攻击事件深度分析，展示每步关键进程相关的文件行为、域名访问行为、进程操作行为、命令行参数等攻击相关的关键行为，帮助用户快速了解攻击者操作，洞悉目的和危害面；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5、采用B/S架构的管理控制中心，能做到终端安全可视，终端统一管理，统一威胁处置，统一漏洞修复，威胁响应处置，日志记录与查询等；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6、支持客户端的错峰升级，可根据实际情况控制客户端同时升级的最大数量，避免客户端升级更新导致业务的影响；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7、支持客户端防卸载，客户端卸载需要输入密码才能卸载，避免非管理员卸载终端，造成终端安全真空；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8、支持在管理平台下发终端漏洞扫描任务，并针对已发现的漏洞提供相应的修复建议；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9、支持显示攻击事件命中的ATT&amp;CK相关技术，并对此技术做简要说明。便于用户了解攻击者的操作行为和目的，评估整体影响面；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10、支持以可视化形式展现攻击事件，提供可视化的进程树溯源，可直观看出攻击入口、相关操作行为、高危实体文件等信息，协助客户进行事件攻击溯源和研判分析；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原厂部署服务；3年技术支持服务、特征规则库升级、软件升级服务。</w:t>
            </w:r>
          </w:p>
        </w:tc>
        <w:tc>
          <w:tcPr>
            <w:tcW w:w="1823" w:type="dxa"/>
            <w:shd w:val="clear" w:color="auto" w:fill="auto"/>
            <w:vAlign w:val="center"/>
          </w:tcPr>
          <w:p w14:paraId="5E90C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用于终端安全管控，部署在融媒体中心机房</w:t>
            </w:r>
          </w:p>
        </w:tc>
      </w:tr>
      <w:tr w14:paraId="11A7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6B90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5A9BD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日志审计系统</w:t>
            </w:r>
          </w:p>
        </w:tc>
        <w:tc>
          <w:tcPr>
            <w:tcW w:w="658" w:type="dxa"/>
            <w:shd w:val="clear" w:color="auto" w:fill="auto"/>
            <w:vAlign w:val="center"/>
          </w:tcPr>
          <w:p w14:paraId="6710A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418C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04D66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1、国产化专用硬件及平台产品，提供不少于100许可授权；配置不低于4TB磁盘存储；平均每秒处理日志不低于2500eps；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2、支持对日志源的批量采集和日志源数据的批量转发；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3、支持对单个/多个日志源批量转发，支持定时转发，可通过syslog和kafka方式转发到第三方平台，同时支持转发已解析日志和原始日志的两种日志；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4、支持SM3国密算法，保障日志完整性，可以有效防止日志篡改等攻击行为；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5、支持把告警通过API的方式发送至第三方接口平台且告警内容支持自定义，确保日志完整性便于分析溯源；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6、支持告警事件归并、告警确认和告警归档；支持基于频率、频次、时间的设定条件；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7、支持网站攻击、漏洞利用、C&amp;C通信、暴力破解、拒绝服务、主机脆弱性、主机异常、恶意软件、账号异常、权限异常、侦查探测等内置关联分析规则；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8、支持TLS加密方式进行日志传输，支持日志传输状态、最近同步时间进行监控，可统计每个日志源的今日传输量和传输总量；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原厂部署服务；3年技术支持服务、产品质保、软件升级服务；</w:t>
            </w:r>
          </w:p>
        </w:tc>
        <w:tc>
          <w:tcPr>
            <w:tcW w:w="1823" w:type="dxa"/>
            <w:shd w:val="clear" w:color="auto" w:fill="auto"/>
            <w:vAlign w:val="center"/>
          </w:tcPr>
          <w:p w14:paraId="2A9BA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用于日志审计，部署在融媒体中心机房</w:t>
            </w:r>
          </w:p>
        </w:tc>
      </w:tr>
      <w:tr w14:paraId="0136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698" w:type="dxa"/>
            <w:shd w:val="clear" w:color="auto" w:fill="auto"/>
            <w:vAlign w:val="center"/>
          </w:tcPr>
          <w:p w14:paraId="7A4B9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.4</w:t>
            </w:r>
          </w:p>
        </w:tc>
        <w:tc>
          <w:tcPr>
            <w:tcW w:w="2856" w:type="dxa"/>
            <w:shd w:val="clear" w:color="auto" w:fill="auto"/>
            <w:vAlign w:val="center"/>
          </w:tcPr>
          <w:p w14:paraId="641D8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数据库审计系统</w:t>
            </w:r>
          </w:p>
        </w:tc>
        <w:tc>
          <w:tcPr>
            <w:tcW w:w="658" w:type="dxa"/>
            <w:shd w:val="clear" w:color="auto" w:fill="auto"/>
            <w:vAlign w:val="center"/>
          </w:tcPr>
          <w:p w14:paraId="36207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01548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7BEEC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化专用硬件平台和安全操作系统，设备硬件吞吐量不低于2Gbps，数据库实例授权不低于30个，SQL处理性能不低于30000条SQL/s，日志检索性能不低于400000条/秒，内置磁盘存储空间不低于4TB。不少于6个千兆自适应电口，1个Console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2、支持精细化日志秒级查询，可通过SQL串模式抽取保障磁盘IO的读写性能；分离式存储SQL语句保障数据审计速度快；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3、支持以风险级别、源IP、业务主机、数据库用户、风险类型为维度的数据库风险排行，便于对数据库风险的排查与处理；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5、可以实时监控系统的CPU使用率，内存使用率和磁盘占用率。快速定位系统的负载压力和系统运行状况；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6、自定义报表拖拽，通过自定义报表拖拽功能可以随意拖拽用户预期的统计报表，帮助用户提升通过高级选项筛选报表的可读性，更方便达到预期效果；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深度解码数据库网络传输协议，完整记录用户数据库会话细节，包括发生时间、源IP、源端口、源MAC、目的IP、目的端口、数据库用户、数据库类型、操作类型、SQL语句、SQL模版、客户端程序名、响应码、影响行数、返回行数、SQL预计响应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8、支持时间段、源IP、客户端程序、业务系统、数据库用户、数据库名、操作类型、表名、返回行数、影响行数、响应时长、响应码等对数据库日志进行精细检索；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原厂部署服务；3年技术支持服务、产品质保、软件升级服务；</w:t>
            </w:r>
          </w:p>
        </w:tc>
        <w:tc>
          <w:tcPr>
            <w:tcW w:w="1823" w:type="dxa"/>
            <w:shd w:val="clear" w:color="auto" w:fill="auto"/>
            <w:vAlign w:val="center"/>
          </w:tcPr>
          <w:p w14:paraId="1905F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用于数据库审计，部署在融媒体中心</w:t>
            </w:r>
          </w:p>
        </w:tc>
      </w:tr>
      <w:tr w14:paraId="23A9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jc w:val="center"/>
        </w:trPr>
        <w:tc>
          <w:tcPr>
            <w:tcW w:w="698" w:type="dxa"/>
            <w:shd w:val="clear" w:color="auto" w:fill="auto"/>
            <w:vAlign w:val="center"/>
          </w:tcPr>
          <w:p w14:paraId="50036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.5</w:t>
            </w:r>
          </w:p>
        </w:tc>
        <w:tc>
          <w:tcPr>
            <w:tcW w:w="2856" w:type="dxa"/>
            <w:shd w:val="clear" w:color="auto" w:fill="auto"/>
            <w:vAlign w:val="center"/>
          </w:tcPr>
          <w:p w14:paraId="12154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安全隔离设备</w:t>
            </w:r>
          </w:p>
        </w:tc>
        <w:tc>
          <w:tcPr>
            <w:tcW w:w="658" w:type="dxa"/>
            <w:shd w:val="clear" w:color="auto" w:fill="auto"/>
            <w:vAlign w:val="center"/>
          </w:tcPr>
          <w:p w14:paraId="4E4AE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41D5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54C73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1.安全隔离设备主要是用于接收和传送应急广播信号并将上下游的 IP 网络隔开。使前端与后端成为真正独立的网络环境，两端业务互不干扰。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2.标准的 2+1 安全隔离体系架构，包含内网处理单元、外网处理单元和专用隔离单元，采用FPGA+ARM 全硬件结构设计；隔离性需求：彻底阻断 TCP/IP 协议及其他网络协议，内网端口与外网端口不能直接通信，完全隔离。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3.设备空间需求：设备不超过 1RU 的双电源设备，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4.满足机房日益紧张的机架空间。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5.每台设备具备不少于 8 个 SFP+网口，可选配置千兆或万兆模块；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6.插卡式设备，可通过扩展万兆接口卡配置内网处理单元与外网处理单元的收发能力；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7.一张万兆接口卡具备 8 个 SFP+网口，可选配置千兆或万兆模块；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8.GbE 端口支持 960Mbps 全双工输入和输出；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9.系统管理接口需与业务传输接口相独立；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 UDP、RTP 协议的数据收发；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 RTSP、RTMP 等协议的数据收发；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12.支持各种应急广播通信协议的数据收发；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 IGMP v2/v3 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14.支持单播、组播；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15.设备支持应急广播节目直通功能；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16.设备具有全面的故障恢复解决方案，保障系统的运营；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可以对每一路输入码流进行错误监视并进行精确的码率测量,并且提供报警功能,报警路数可任意通过后台设置；应具有完备的自身管理功能，如系统启动、初始化、关闭、备份等；必须具备手工更改设备配置文件的功能并支持将配置以文件的方式进行导入、导出；必须具备网管系统操作及管理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18.设备通过国家密码管理局商用密码检测中心检测，符合《网络隔离产品密码检测准则》；19.设备通过中国国家信息安全产品认证，符合认证实施细则（CNCA-CCIS-2018；CNCA-11C077：2009）的要求。</w:t>
            </w:r>
          </w:p>
        </w:tc>
        <w:tc>
          <w:tcPr>
            <w:tcW w:w="1823" w:type="dxa"/>
            <w:shd w:val="clear" w:color="auto" w:fill="auto"/>
            <w:vAlign w:val="center"/>
          </w:tcPr>
          <w:p w14:paraId="5AE39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内外网络不能直接通信，全面隔离设备，专用设备，部署在融媒体中心机房</w:t>
            </w:r>
          </w:p>
        </w:tc>
      </w:tr>
      <w:tr w14:paraId="34C3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98" w:type="dxa"/>
            <w:shd w:val="clear" w:color="auto" w:fill="auto"/>
            <w:vAlign w:val="center"/>
          </w:tcPr>
          <w:p w14:paraId="4DCC24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四</w:t>
            </w:r>
          </w:p>
        </w:tc>
        <w:tc>
          <w:tcPr>
            <w:tcW w:w="13727" w:type="dxa"/>
            <w:gridSpan w:val="5"/>
            <w:shd w:val="clear" w:color="auto" w:fill="auto"/>
            <w:vAlign w:val="center"/>
          </w:tcPr>
          <w:p w14:paraId="2F24CD3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国密设备</w:t>
            </w:r>
          </w:p>
        </w:tc>
      </w:tr>
      <w:tr w14:paraId="5255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jc w:val="center"/>
        </w:trPr>
        <w:tc>
          <w:tcPr>
            <w:tcW w:w="698" w:type="dxa"/>
            <w:shd w:val="clear" w:color="auto" w:fill="auto"/>
            <w:vAlign w:val="center"/>
          </w:tcPr>
          <w:p w14:paraId="38D05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39BA1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签名验签系统</w:t>
            </w:r>
          </w:p>
        </w:tc>
        <w:tc>
          <w:tcPr>
            <w:tcW w:w="658" w:type="dxa"/>
            <w:shd w:val="clear" w:color="auto" w:fill="auto"/>
            <w:vAlign w:val="center"/>
          </w:tcPr>
          <w:p w14:paraId="05D87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1201E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54F042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1.专用硬件加密机。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3.对外接口采用https安全通讯协议。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4.具有证书管理，证书导入；离线方式对信任列表签名；权限分级管理。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5.具有日志管理。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7.安全认证处理延时小于100ms。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8.签名、验签处理性能&gt;1000次/秒。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9.具备国家密码管理局批准的国密型号证书。</w:t>
            </w:r>
          </w:p>
        </w:tc>
        <w:tc>
          <w:tcPr>
            <w:tcW w:w="1823" w:type="dxa"/>
            <w:shd w:val="clear" w:color="auto" w:fill="auto"/>
            <w:vAlign w:val="center"/>
          </w:tcPr>
          <w:p w14:paraId="2394F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安全设备，签名验证，专用设备，部署在融媒体中心机房</w:t>
            </w:r>
          </w:p>
        </w:tc>
      </w:tr>
      <w:tr w14:paraId="2E80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698" w:type="dxa"/>
            <w:shd w:val="clear" w:color="auto" w:fill="auto"/>
            <w:vAlign w:val="center"/>
          </w:tcPr>
          <w:p w14:paraId="1E65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412DC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密码机</w:t>
            </w:r>
          </w:p>
        </w:tc>
        <w:tc>
          <w:tcPr>
            <w:tcW w:w="658" w:type="dxa"/>
            <w:shd w:val="clear" w:color="auto" w:fill="auto"/>
            <w:vAlign w:val="center"/>
          </w:tcPr>
          <w:p w14:paraId="4D546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74319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0B5E9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1.为业务系统提供密码运算接口、密码管理接口、随机数生成等接口。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2.接口支持《GM/T 0018-2012密码设备应用接口规范》标准。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3.密码算法支持SM2、SM3、SM4等国密算法。支持RSA、AES、SHA1、SHA256等主流国际算法。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4.支持密钥生命周期管理，包括密钥的安全生成﹑存储、备份、恢复等。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5.采用由国家密码管理局审批的随机数芯片生成随机数。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6.对访问用户进行身份认证管理，提高密码设备自身的安全性。</w:t>
            </w:r>
          </w:p>
        </w:tc>
        <w:tc>
          <w:tcPr>
            <w:tcW w:w="1823" w:type="dxa"/>
            <w:shd w:val="clear" w:color="auto" w:fill="auto"/>
            <w:vAlign w:val="center"/>
          </w:tcPr>
          <w:p w14:paraId="52AF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运用密码对信息实施加（解）密处理和认证的专用设备，专用设备，部署在融媒体中心机房</w:t>
            </w:r>
          </w:p>
        </w:tc>
      </w:tr>
      <w:tr w14:paraId="7BE0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698" w:type="dxa"/>
            <w:shd w:val="clear" w:color="auto" w:fill="auto"/>
            <w:vAlign w:val="center"/>
          </w:tcPr>
          <w:p w14:paraId="24C7E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338DB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智能密码钥匙</w:t>
            </w:r>
          </w:p>
        </w:tc>
        <w:tc>
          <w:tcPr>
            <w:tcW w:w="658" w:type="dxa"/>
            <w:shd w:val="clear" w:color="auto" w:fill="auto"/>
            <w:vAlign w:val="center"/>
          </w:tcPr>
          <w:p w14:paraId="413EE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35CD7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694" w:type="dxa"/>
            <w:shd w:val="clear" w:color="auto" w:fill="auto"/>
            <w:vAlign w:val="center"/>
          </w:tcPr>
          <w:p w14:paraId="1D050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1.接口：USB2.0。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3.双因子身份认证。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4.基于PIN和公私钥对，实现身份鉴别。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5.密码算法支持。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6.支持SM2、SM3、SM4等国密算法。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7.支持RSA、AES、SHA1、SHA256等主流国际算法。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8.具备密钥的安全生成、存储、保护、销毁等管理能力。</w:t>
            </w:r>
          </w:p>
        </w:tc>
        <w:tc>
          <w:tcPr>
            <w:tcW w:w="1823" w:type="dxa"/>
            <w:shd w:val="clear" w:color="auto" w:fill="auto"/>
            <w:vAlign w:val="center"/>
          </w:tcPr>
          <w:p w14:paraId="02A75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技术、维护、管理、应用等相关人员配备密码钥匙</w:t>
            </w:r>
          </w:p>
        </w:tc>
      </w:tr>
      <w:tr w14:paraId="6594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98" w:type="dxa"/>
            <w:shd w:val="clear" w:color="auto" w:fill="auto"/>
            <w:vAlign w:val="center"/>
          </w:tcPr>
          <w:p w14:paraId="63C9C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.4</w:t>
            </w:r>
          </w:p>
        </w:tc>
        <w:tc>
          <w:tcPr>
            <w:tcW w:w="2856" w:type="dxa"/>
            <w:shd w:val="clear" w:color="auto" w:fill="auto"/>
            <w:vAlign w:val="center"/>
          </w:tcPr>
          <w:p w14:paraId="25621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VPN安全网关</w:t>
            </w:r>
          </w:p>
        </w:tc>
        <w:tc>
          <w:tcPr>
            <w:tcW w:w="658" w:type="dxa"/>
            <w:shd w:val="clear" w:color="auto" w:fill="auto"/>
            <w:vAlign w:val="center"/>
          </w:tcPr>
          <w:p w14:paraId="5904C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180E3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56C029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1、国产化专用硬件平台和安全操作系统，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2、VPN安全网关能够保障通信过程中数据的完整性和机密性，符合国家对信息系统密码应用的要求，支持SSL加密通道模式，支持B/S、C/S模式应用的安全代理；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2、支持SM2、SM3、SM4等国产密码算法及其协议；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3、设备加密速度不低于300Mbps，提供不少于20点并发授权；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强化系统认证安全性，可配置在触发异常环境的条件时，用户需完成增强认证才可登录。可配置的异常环境包括但不限于：帐号首次登录、帐号在该终端首次登录、闲置帐号登录、弱密码登录、异常时间登录、非常用地点登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5、支持将具有异常登录行为的用户日志自动打标签为用户安全日志，以便于管理员快速审计定位。用户安全日志包括但不限于：帐号安全、中间人攻击、SPA安全、cookie劫持等；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6、支持使用商密密码卡进行加密；支持在控制台对密码卡进行管理（包括：激活、取消激活、密钥备份/恢复、管理KEY口令）；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7、具备国家密码管理局商用密码检测中心出具的《商用密码产品认证证书》；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8、原厂部署服务；3年技术支持服务、产品质保、软件升级服务；</w:t>
            </w:r>
          </w:p>
        </w:tc>
        <w:tc>
          <w:tcPr>
            <w:tcW w:w="1823" w:type="dxa"/>
            <w:shd w:val="clear" w:color="auto" w:fill="auto"/>
            <w:vAlign w:val="center"/>
          </w:tcPr>
          <w:p w14:paraId="0235B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加密网络通道，专用软件，部署在防火墙中，部署于融媒体中心机房</w:t>
            </w:r>
          </w:p>
        </w:tc>
      </w:tr>
      <w:tr w14:paraId="0143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jc w:val="center"/>
        </w:trPr>
        <w:tc>
          <w:tcPr>
            <w:tcW w:w="698" w:type="dxa"/>
            <w:shd w:val="clear" w:color="auto" w:fill="auto"/>
            <w:vAlign w:val="center"/>
          </w:tcPr>
          <w:p w14:paraId="1CF21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五</w:t>
            </w:r>
          </w:p>
        </w:tc>
        <w:tc>
          <w:tcPr>
            <w:tcW w:w="2856" w:type="dxa"/>
            <w:shd w:val="clear" w:color="auto" w:fill="auto"/>
            <w:vAlign w:val="center"/>
          </w:tcPr>
          <w:p w14:paraId="4BB4BC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应急信息接入</w:t>
            </w:r>
          </w:p>
        </w:tc>
        <w:tc>
          <w:tcPr>
            <w:tcW w:w="658" w:type="dxa"/>
            <w:shd w:val="clear" w:color="auto" w:fill="auto"/>
            <w:vAlign w:val="center"/>
          </w:tcPr>
          <w:p w14:paraId="5074E4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6" w:type="dxa"/>
            <w:shd w:val="clear" w:color="auto" w:fill="auto"/>
            <w:vAlign w:val="center"/>
          </w:tcPr>
          <w:p w14:paraId="11C5D9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94" w:type="dxa"/>
            <w:shd w:val="clear" w:color="auto" w:fill="auto"/>
            <w:vAlign w:val="center"/>
          </w:tcPr>
          <w:p w14:paraId="6A244A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与应急信息源头发布部门（应急局、地震局、气象局、水务局、园林绿化局）对接，实现应急信息的接入</w:t>
            </w:r>
          </w:p>
        </w:tc>
        <w:tc>
          <w:tcPr>
            <w:tcW w:w="1823" w:type="dxa"/>
            <w:shd w:val="clear" w:color="auto" w:fill="auto"/>
            <w:vAlign w:val="center"/>
          </w:tcPr>
          <w:p w14:paraId="38AE4C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CD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98" w:type="dxa"/>
            <w:shd w:val="clear" w:color="auto" w:fill="auto"/>
            <w:vAlign w:val="center"/>
          </w:tcPr>
          <w:p w14:paraId="24901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5B6FF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应急信息接入前置系统</w:t>
            </w:r>
          </w:p>
        </w:tc>
        <w:tc>
          <w:tcPr>
            <w:tcW w:w="658" w:type="dxa"/>
            <w:shd w:val="clear" w:color="auto" w:fill="auto"/>
            <w:vAlign w:val="center"/>
          </w:tcPr>
          <w:p w14:paraId="0FA67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2793E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94" w:type="dxa"/>
            <w:shd w:val="clear" w:color="auto" w:fill="auto"/>
            <w:vAlign w:val="center"/>
          </w:tcPr>
          <w:p w14:paraId="05C3E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1.身份认证：确认前置系统访问者的身份的合法性。通过用户名密码以及USB_key等方式进行认证；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2.用户管理：注册维护可使用系统的人员信息；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3.权限管理：根据实际业务为不同的用户分配不同的权限；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4.信息录入：能够在本地进行应急信息的录入，包括预警内容、事件等级、覆盖区域等，并进行内容核对；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5.信息提交：对录入信息进行核查及验证，完成后进行上传提交。 对提交的内容调用 USB 密码器进行签名保护，数据格式符合《应急广播平台接口规范》（GY/T 384-2023）；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6.结果反馈：应急信息提交结果能够返回前置系统，使得前置机使用者能够看到所提交应急信息的执行响应情况；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7.操作日志：详能够查询本前置系统所有的操作日志，包括用户登录信息、信息上传信息；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8.附属支撑：支持文字、图片、音视频等多种方式应急信息接入及发布；支持应急广播发布结果以数据、图表等多种方式查看及导出。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9.设备支持硬件专用密码器，支持国密 SM 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10.集成设备设计，以确保广播电视安全播出的稳定可靠。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12.支持应急广播节目的接收和存储、解码。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13.支持应急广播指令的接收和存储、分析。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14.插卡式设备。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15.整机可扩展支持3个云计算节点。</w:t>
            </w:r>
          </w:p>
        </w:tc>
        <w:tc>
          <w:tcPr>
            <w:tcW w:w="1823" w:type="dxa"/>
            <w:shd w:val="clear" w:color="auto" w:fill="auto"/>
            <w:vAlign w:val="center"/>
          </w:tcPr>
          <w:p w14:paraId="7CF2F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每套应急信息接入前置系统，对应一个应急播发横向连接单位，部署于区应急管理局、区水务局、区园林绿化局、区地震局、区气象局机房</w:t>
            </w:r>
          </w:p>
        </w:tc>
      </w:tr>
      <w:tr w14:paraId="0D6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jc w:val="center"/>
        </w:trPr>
        <w:tc>
          <w:tcPr>
            <w:tcW w:w="698" w:type="dxa"/>
            <w:shd w:val="clear" w:color="auto" w:fill="auto"/>
            <w:vAlign w:val="center"/>
          </w:tcPr>
          <w:p w14:paraId="709DA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5D50F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USB密码器</w:t>
            </w:r>
          </w:p>
        </w:tc>
        <w:tc>
          <w:tcPr>
            <w:tcW w:w="658" w:type="dxa"/>
            <w:shd w:val="clear" w:color="auto" w:fill="auto"/>
            <w:vAlign w:val="center"/>
          </w:tcPr>
          <w:p w14:paraId="7330B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D74A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94" w:type="dxa"/>
            <w:shd w:val="clear" w:color="auto" w:fill="auto"/>
            <w:vAlign w:val="center"/>
          </w:tcPr>
          <w:p w14:paraId="006EC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支持信任列表和信任证书的更新；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所有算法符合国家密码管理局相关规定；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采用的数字证书和数字签名技术符合《应急广播系统数字签名技术规范》（GY/T 389-2023）的要求。</w:t>
            </w:r>
          </w:p>
        </w:tc>
        <w:tc>
          <w:tcPr>
            <w:tcW w:w="1823" w:type="dxa"/>
            <w:shd w:val="clear" w:color="auto" w:fill="auto"/>
            <w:vAlign w:val="center"/>
          </w:tcPr>
          <w:p w14:paraId="57B95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每个密码器对应一个应急播发横向连接单位，部署于区应急管理局、区水务局、区园林绿化局、区地震局、区气象局机房</w:t>
            </w:r>
          </w:p>
        </w:tc>
      </w:tr>
      <w:tr w14:paraId="0AC5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98" w:type="dxa"/>
            <w:shd w:val="clear" w:color="auto" w:fill="auto"/>
            <w:vAlign w:val="center"/>
          </w:tcPr>
          <w:p w14:paraId="665B4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p>
        </w:tc>
        <w:tc>
          <w:tcPr>
            <w:tcW w:w="2856" w:type="dxa"/>
            <w:shd w:val="clear" w:color="auto" w:fill="auto"/>
            <w:vAlign w:val="center"/>
          </w:tcPr>
          <w:p w14:paraId="09C59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658" w:type="dxa"/>
            <w:shd w:val="clear" w:color="auto" w:fill="auto"/>
            <w:vAlign w:val="center"/>
          </w:tcPr>
          <w:p w14:paraId="782C8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4B50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94" w:type="dxa"/>
            <w:shd w:val="clear" w:color="auto" w:fill="auto"/>
            <w:vAlign w:val="center"/>
          </w:tcPr>
          <w:p w14:paraId="7EEE1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10/100/1000Base-T自适应电口，4个千兆SFP光口；交换容量≥672Gbps/6.72Tbps，包转发率126Mpps/179Mpps，支持全端口线速转发；支持NMC/vNMC/NAC/SAC统一管理、统一查看状态、VLAN等配置管理；含4个千兆单模模块。为保证兼容性，光模块需与交换机同一品牌；</w:t>
            </w:r>
          </w:p>
        </w:tc>
        <w:tc>
          <w:tcPr>
            <w:tcW w:w="1823" w:type="dxa"/>
            <w:shd w:val="clear" w:color="auto" w:fill="auto"/>
            <w:vAlign w:val="center"/>
          </w:tcPr>
          <w:p w14:paraId="3809D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每个交换机对应一个应急播发横向连接单位，部署于区应急管理局、区水务局、区园林绿化局、区地震局、区气象局机房</w:t>
            </w:r>
          </w:p>
        </w:tc>
      </w:tr>
      <w:tr w14:paraId="6CD7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8" w:type="dxa"/>
            <w:shd w:val="clear" w:color="auto" w:fill="auto"/>
            <w:vAlign w:val="center"/>
          </w:tcPr>
          <w:p w14:paraId="7A450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w:t>
            </w:r>
          </w:p>
        </w:tc>
        <w:tc>
          <w:tcPr>
            <w:tcW w:w="2856" w:type="dxa"/>
            <w:shd w:val="clear" w:color="auto" w:fill="auto"/>
            <w:vAlign w:val="center"/>
          </w:tcPr>
          <w:p w14:paraId="72D94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播控桌椅</w:t>
            </w:r>
          </w:p>
        </w:tc>
        <w:tc>
          <w:tcPr>
            <w:tcW w:w="658" w:type="dxa"/>
            <w:shd w:val="clear" w:color="auto" w:fill="auto"/>
            <w:vAlign w:val="center"/>
          </w:tcPr>
          <w:p w14:paraId="52DD9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8AAA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94" w:type="dxa"/>
            <w:shd w:val="clear" w:color="auto" w:fill="auto"/>
            <w:vAlign w:val="center"/>
          </w:tcPr>
          <w:p w14:paraId="6AF33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双联播控桌+2套椅子</w:t>
            </w:r>
          </w:p>
        </w:tc>
        <w:tc>
          <w:tcPr>
            <w:tcW w:w="1823" w:type="dxa"/>
            <w:shd w:val="clear" w:color="auto" w:fill="auto"/>
            <w:vAlign w:val="center"/>
          </w:tcPr>
          <w:p w14:paraId="7028E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每套播控桌椅对应一个应急播发横向连接单位，放置于区应急管理局、区水务局、区园林绿化局、区地震局、区气象局机房</w:t>
            </w:r>
          </w:p>
        </w:tc>
      </w:tr>
      <w:tr w14:paraId="54DB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98" w:type="dxa"/>
            <w:shd w:val="clear" w:color="auto" w:fill="auto"/>
            <w:vAlign w:val="center"/>
          </w:tcPr>
          <w:p w14:paraId="09A632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六</w:t>
            </w:r>
          </w:p>
        </w:tc>
        <w:tc>
          <w:tcPr>
            <w:tcW w:w="13727" w:type="dxa"/>
            <w:gridSpan w:val="5"/>
            <w:shd w:val="clear" w:color="auto" w:fill="auto"/>
            <w:vAlign w:val="center"/>
          </w:tcPr>
          <w:p w14:paraId="5F1A478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指挥中心改造</w:t>
            </w:r>
          </w:p>
        </w:tc>
      </w:tr>
      <w:tr w14:paraId="7FAA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98" w:type="dxa"/>
            <w:shd w:val="clear" w:color="auto" w:fill="auto"/>
            <w:vAlign w:val="center"/>
          </w:tcPr>
          <w:p w14:paraId="768F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31439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指挥中心大屏</w:t>
            </w:r>
          </w:p>
        </w:tc>
        <w:tc>
          <w:tcPr>
            <w:tcW w:w="658" w:type="dxa"/>
            <w:shd w:val="clear" w:color="auto" w:fill="auto"/>
            <w:vAlign w:val="center"/>
          </w:tcPr>
          <w:p w14:paraId="760E2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65B0E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694" w:type="dxa"/>
            <w:shd w:val="clear" w:color="auto" w:fill="auto"/>
            <w:vAlign w:val="center"/>
          </w:tcPr>
          <w:p w14:paraId="4C3D6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1.液晶拼接单元尺寸≥55寸，采用工业级55寸16：9液晶屏，物理拼缝≤0.88mm；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 LED 背光技术，支持7*24小时不间断使用；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3.物理分辨率≥1920×1080；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4.显示亮度（cd/㎡）（typ.）≥500；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5.对比度≥4000:1；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6.响应时间≤6.5 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7.显示色彩≥16.7M；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8.需具备丰富的接口，如HDMI，DVI，VGA，支持RS232控制；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9.工作功耗≤130W。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10.包含支架、线材、静电保护、运输、安装。</w:t>
            </w:r>
          </w:p>
        </w:tc>
        <w:tc>
          <w:tcPr>
            <w:tcW w:w="1823" w:type="dxa"/>
            <w:shd w:val="clear" w:color="auto" w:fill="auto"/>
            <w:vAlign w:val="center"/>
          </w:tcPr>
          <w:p w14:paraId="1E0D1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4CCF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98" w:type="dxa"/>
            <w:shd w:val="clear" w:color="auto" w:fill="auto"/>
            <w:vAlign w:val="center"/>
          </w:tcPr>
          <w:p w14:paraId="53FA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4533D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中控</w:t>
            </w:r>
          </w:p>
        </w:tc>
        <w:tc>
          <w:tcPr>
            <w:tcW w:w="658" w:type="dxa"/>
            <w:shd w:val="clear" w:color="auto" w:fill="auto"/>
            <w:vAlign w:val="center"/>
          </w:tcPr>
          <w:p w14:paraId="15AFB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20A3C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3A11A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可视化配置处理器，调节中控。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1.同时支持本地及云平台在线编程，无需安装软件，直接通过Chrome浏览器访问智能网关IP地址或云平台；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2.支持远程在线调试、远程在线诊断、远程在线编程；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3.多重界面，同时支持三套相互独立的用户控制界面，支持多用户、跨平台、分布式控制，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适用于多用户集群控制场景；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4、控制端支持通过电脑、Pad进行操作。</w:t>
            </w:r>
          </w:p>
        </w:tc>
        <w:tc>
          <w:tcPr>
            <w:tcW w:w="1823" w:type="dxa"/>
            <w:shd w:val="clear" w:color="auto" w:fill="auto"/>
            <w:vAlign w:val="center"/>
          </w:tcPr>
          <w:p w14:paraId="676BD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059D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shd w:val="clear" w:color="auto" w:fill="auto"/>
            <w:vAlign w:val="center"/>
          </w:tcPr>
          <w:p w14:paraId="1FDD2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1A89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音视频矩阵</w:t>
            </w:r>
          </w:p>
        </w:tc>
        <w:tc>
          <w:tcPr>
            <w:tcW w:w="658" w:type="dxa"/>
            <w:shd w:val="clear" w:color="auto" w:fill="auto"/>
            <w:vAlign w:val="center"/>
          </w:tcPr>
          <w:p w14:paraId="507F5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04C7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2EB363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1.输入接口：32路，包含4路VGA接口，28路HDMI接口。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2.输出接口：32路，包含24路HDMI接口，4路CVBS复合视频口，4路VGA接口。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2.支持叠加。漫游，跨屏。</w:t>
            </w:r>
          </w:p>
        </w:tc>
        <w:tc>
          <w:tcPr>
            <w:tcW w:w="1823" w:type="dxa"/>
            <w:shd w:val="clear" w:color="auto" w:fill="auto"/>
            <w:vAlign w:val="center"/>
          </w:tcPr>
          <w:p w14:paraId="7B788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508F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8" w:type="dxa"/>
            <w:shd w:val="clear" w:color="auto" w:fill="auto"/>
            <w:vAlign w:val="center"/>
          </w:tcPr>
          <w:p w14:paraId="3E15A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.4</w:t>
            </w:r>
          </w:p>
        </w:tc>
        <w:tc>
          <w:tcPr>
            <w:tcW w:w="2856" w:type="dxa"/>
            <w:shd w:val="clear" w:color="auto" w:fill="auto"/>
            <w:vAlign w:val="center"/>
          </w:tcPr>
          <w:p w14:paraId="04215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658" w:type="dxa"/>
            <w:shd w:val="clear" w:color="auto" w:fill="auto"/>
            <w:vAlign w:val="center"/>
          </w:tcPr>
          <w:p w14:paraId="7A711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66BFE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56615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国产 通道：不低于16路单声输入，不低于2路线路输入 主输出：不低于1路立体声输出 幻象电源：48V DC </w:t>
            </w:r>
          </w:p>
        </w:tc>
        <w:tc>
          <w:tcPr>
            <w:tcW w:w="1823" w:type="dxa"/>
            <w:shd w:val="clear" w:color="auto" w:fill="auto"/>
            <w:vAlign w:val="center"/>
          </w:tcPr>
          <w:p w14:paraId="21D1A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5620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8" w:type="dxa"/>
            <w:shd w:val="clear" w:color="auto" w:fill="auto"/>
            <w:vAlign w:val="center"/>
          </w:tcPr>
          <w:p w14:paraId="01CE7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.5</w:t>
            </w:r>
          </w:p>
        </w:tc>
        <w:tc>
          <w:tcPr>
            <w:tcW w:w="2856" w:type="dxa"/>
            <w:shd w:val="clear" w:color="auto" w:fill="auto"/>
            <w:vAlign w:val="center"/>
          </w:tcPr>
          <w:p w14:paraId="50F68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会议主机</w:t>
            </w:r>
          </w:p>
        </w:tc>
        <w:tc>
          <w:tcPr>
            <w:tcW w:w="658" w:type="dxa"/>
            <w:shd w:val="clear" w:color="auto" w:fill="auto"/>
            <w:vAlign w:val="center"/>
          </w:tcPr>
          <w:p w14:paraId="23D05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2D6BB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6B35E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七种发言模式：主席专用、先进先出、后进先出、限制发言、自由讨论、压倒轮替 、申请发言；</w:t>
            </w:r>
          </w:p>
        </w:tc>
        <w:tc>
          <w:tcPr>
            <w:tcW w:w="1823" w:type="dxa"/>
            <w:shd w:val="clear" w:color="auto" w:fill="auto"/>
            <w:vAlign w:val="center"/>
          </w:tcPr>
          <w:p w14:paraId="0D225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74E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698" w:type="dxa"/>
            <w:shd w:val="clear" w:color="auto" w:fill="auto"/>
            <w:vAlign w:val="center"/>
          </w:tcPr>
          <w:p w14:paraId="38203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.6</w:t>
            </w:r>
          </w:p>
        </w:tc>
        <w:tc>
          <w:tcPr>
            <w:tcW w:w="2856" w:type="dxa"/>
            <w:shd w:val="clear" w:color="auto" w:fill="auto"/>
            <w:vAlign w:val="center"/>
          </w:tcPr>
          <w:p w14:paraId="1FDA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会议话筒</w:t>
            </w:r>
          </w:p>
        </w:tc>
        <w:tc>
          <w:tcPr>
            <w:tcW w:w="658" w:type="dxa"/>
            <w:shd w:val="clear" w:color="auto" w:fill="auto"/>
            <w:vAlign w:val="center"/>
          </w:tcPr>
          <w:p w14:paraId="6744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4037E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694" w:type="dxa"/>
            <w:shd w:val="clear" w:color="auto" w:fill="auto"/>
            <w:vAlign w:val="center"/>
          </w:tcPr>
          <w:p w14:paraId="1E5166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类型：动圈或电容话筒；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指向性：心型指向；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适用范围：会议话筒；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频率范围：50～15000Hz；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供电电源：DC 3V。</w:t>
            </w:r>
          </w:p>
        </w:tc>
        <w:tc>
          <w:tcPr>
            <w:tcW w:w="1823" w:type="dxa"/>
            <w:shd w:val="clear" w:color="auto" w:fill="auto"/>
            <w:vAlign w:val="center"/>
          </w:tcPr>
          <w:p w14:paraId="42485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0DB3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98" w:type="dxa"/>
            <w:shd w:val="clear" w:color="auto" w:fill="auto"/>
            <w:vAlign w:val="center"/>
          </w:tcPr>
          <w:p w14:paraId="6918F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.7</w:t>
            </w:r>
          </w:p>
        </w:tc>
        <w:tc>
          <w:tcPr>
            <w:tcW w:w="2856" w:type="dxa"/>
            <w:shd w:val="clear" w:color="auto" w:fill="auto"/>
            <w:vAlign w:val="center"/>
          </w:tcPr>
          <w:p w14:paraId="08A7A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吸顶音响</w:t>
            </w:r>
          </w:p>
        </w:tc>
        <w:tc>
          <w:tcPr>
            <w:tcW w:w="658" w:type="dxa"/>
            <w:shd w:val="clear" w:color="auto" w:fill="auto"/>
            <w:vAlign w:val="center"/>
          </w:tcPr>
          <w:p w14:paraId="6DC8A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78341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94" w:type="dxa"/>
            <w:shd w:val="clear" w:color="auto" w:fill="auto"/>
            <w:vAlign w:val="center"/>
          </w:tcPr>
          <w:p w14:paraId="4A5B2D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1、6.5英寸同轴单元，灵敏度90dB，输出功率60W，拥有高声压级输出和大动态的响应。前出接线设计，方便系统搭建。设计8颗N42高强磁铁装置网罩，能够在吊顶狭窄的环境下安装，适合环境广泛。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单元组成：1x6.5"+1x1"球顶，同轴设计；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额定功率：60W（240W，PEAK）;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有效频率范围：85Hz~20KHz；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特性灵敏度级（1m/1W）：90dB;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指定频带内的声压级：110dB;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网罩材质：金属网；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后壳材质：铁</w:t>
            </w:r>
          </w:p>
        </w:tc>
        <w:tc>
          <w:tcPr>
            <w:tcW w:w="1823" w:type="dxa"/>
            <w:shd w:val="clear" w:color="auto" w:fill="auto"/>
            <w:vAlign w:val="center"/>
          </w:tcPr>
          <w:p w14:paraId="684D1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394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98" w:type="dxa"/>
            <w:shd w:val="clear" w:color="auto" w:fill="auto"/>
            <w:vAlign w:val="center"/>
          </w:tcPr>
          <w:p w14:paraId="1BC1E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.8</w:t>
            </w:r>
          </w:p>
        </w:tc>
        <w:tc>
          <w:tcPr>
            <w:tcW w:w="2856" w:type="dxa"/>
            <w:shd w:val="clear" w:color="auto" w:fill="auto"/>
            <w:vAlign w:val="center"/>
          </w:tcPr>
          <w:p w14:paraId="6FBA0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会议摄像头</w:t>
            </w:r>
          </w:p>
        </w:tc>
        <w:tc>
          <w:tcPr>
            <w:tcW w:w="658" w:type="dxa"/>
            <w:shd w:val="clear" w:color="auto" w:fill="auto"/>
            <w:vAlign w:val="center"/>
          </w:tcPr>
          <w:p w14:paraId="50AB1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61F1C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29DC0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采用1/2.8英寸高品质图像传感器，最大分辨率可达1920x1080，输出帧率高达60帧/秒。多预置位：支持多达256个预置位(遥控器设置调用为10个)。</w:t>
            </w:r>
          </w:p>
        </w:tc>
        <w:tc>
          <w:tcPr>
            <w:tcW w:w="1823" w:type="dxa"/>
            <w:shd w:val="clear" w:color="auto" w:fill="auto"/>
            <w:vAlign w:val="center"/>
          </w:tcPr>
          <w:p w14:paraId="300E9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用于指挥使用，安装在融媒体中心指挥中心</w:t>
            </w:r>
          </w:p>
        </w:tc>
      </w:tr>
      <w:tr w14:paraId="3C45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5AE64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 xml:space="preserve"> </w:t>
            </w:r>
          </w:p>
        </w:tc>
        <w:tc>
          <w:tcPr>
            <w:tcW w:w="2856" w:type="dxa"/>
            <w:shd w:val="clear" w:color="auto" w:fill="auto"/>
            <w:vAlign w:val="center"/>
          </w:tcPr>
          <w:p w14:paraId="7178C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指挥中心装修改造</w:t>
            </w:r>
          </w:p>
        </w:tc>
        <w:tc>
          <w:tcPr>
            <w:tcW w:w="658" w:type="dxa"/>
            <w:shd w:val="clear" w:color="auto" w:fill="auto"/>
            <w:vAlign w:val="center"/>
          </w:tcPr>
          <w:p w14:paraId="5110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56239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549A19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包括墙面粉刷、防静电地板铺设、防雷接地、消防设施等系统的改造</w:t>
            </w:r>
          </w:p>
        </w:tc>
        <w:tc>
          <w:tcPr>
            <w:tcW w:w="1823" w:type="dxa"/>
            <w:shd w:val="clear" w:color="auto" w:fill="auto"/>
            <w:vAlign w:val="center"/>
          </w:tcPr>
          <w:p w14:paraId="2726366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指挥中心整备调度机房</w:t>
            </w:r>
          </w:p>
        </w:tc>
      </w:tr>
      <w:tr w14:paraId="1DD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25" w:type="dxa"/>
            <w:gridSpan w:val="6"/>
            <w:shd w:val="clear" w:color="auto" w:fill="auto"/>
            <w:vAlign w:val="center"/>
          </w:tcPr>
          <w:p w14:paraId="58B57C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二、传输覆盖网络适配</w:t>
            </w:r>
          </w:p>
        </w:tc>
      </w:tr>
      <w:tr w14:paraId="5D9A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4F9E74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16D3C5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1E5CF2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4D8A7A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0E1334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823" w:type="dxa"/>
            <w:shd w:val="clear" w:color="auto" w:fill="auto"/>
            <w:vAlign w:val="center"/>
          </w:tcPr>
          <w:p w14:paraId="3459164B">
            <w:pPr>
              <w:jc w:val="center"/>
              <w:rPr>
                <w:rFonts w:hint="eastAsia" w:ascii="宋体" w:hAnsi="宋体" w:eastAsia="宋体" w:cs="宋体"/>
                <w:i w:val="0"/>
                <w:iCs w:val="0"/>
                <w:color w:val="000000"/>
                <w:sz w:val="24"/>
                <w:szCs w:val="24"/>
                <w:u w:val="none"/>
              </w:rPr>
            </w:pPr>
          </w:p>
        </w:tc>
      </w:tr>
      <w:tr w14:paraId="5A5E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14:paraId="3B59B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w:t>
            </w:r>
          </w:p>
        </w:tc>
        <w:tc>
          <w:tcPr>
            <w:tcW w:w="2856" w:type="dxa"/>
            <w:shd w:val="clear" w:color="auto" w:fill="auto"/>
            <w:vAlign w:val="center"/>
          </w:tcPr>
          <w:p w14:paraId="18DFBF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广播电视频率频道播出系统对接</w:t>
            </w:r>
          </w:p>
        </w:tc>
        <w:tc>
          <w:tcPr>
            <w:tcW w:w="658" w:type="dxa"/>
            <w:shd w:val="clear" w:color="auto" w:fill="auto"/>
            <w:vAlign w:val="center"/>
          </w:tcPr>
          <w:p w14:paraId="76ECD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6" w:type="dxa"/>
            <w:shd w:val="clear" w:color="auto" w:fill="auto"/>
            <w:vAlign w:val="center"/>
          </w:tcPr>
          <w:p w14:paraId="62713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94" w:type="dxa"/>
            <w:shd w:val="clear" w:color="auto" w:fill="auto"/>
            <w:vAlign w:val="center"/>
          </w:tcPr>
          <w:p w14:paraId="42B5B36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23" w:type="dxa"/>
            <w:shd w:val="clear" w:color="auto" w:fill="auto"/>
            <w:vAlign w:val="center"/>
          </w:tcPr>
          <w:p w14:paraId="4E040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D9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698" w:type="dxa"/>
            <w:shd w:val="clear" w:color="auto" w:fill="auto"/>
            <w:vAlign w:val="center"/>
          </w:tcPr>
          <w:p w14:paraId="641F7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6B2F7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应急信息发布前置系统</w:t>
            </w:r>
          </w:p>
        </w:tc>
        <w:tc>
          <w:tcPr>
            <w:tcW w:w="658" w:type="dxa"/>
            <w:shd w:val="clear" w:color="auto" w:fill="auto"/>
            <w:vAlign w:val="center"/>
          </w:tcPr>
          <w:p w14:paraId="5731E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2E9CF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789A4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支持与应急广播平台接口联动配套使用，业务功能：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1）应急消息接收：可接收解析适配应急广播平台推送的应急信息。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2）应急消息验证：对接收到的应急信息进行数字签名认证，以保证接收信息的有效性。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3）应急消息提示：接收到有效的应急信息后提示用户；接收到非有效的信息后要给出安全报警提示。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4）确认反馈：接收到应急信息后按照协议中规定的通用反馈格式将结果数据返回给应急广播平台。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5）信息提交系统：对录入信息进行核查及验证，完成后进行上传提交。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6）应急消息下载：支持对接收到的应急消息媒资文件下载并存储到专有路径。</w:t>
            </w:r>
          </w:p>
        </w:tc>
        <w:tc>
          <w:tcPr>
            <w:tcW w:w="1823" w:type="dxa"/>
            <w:shd w:val="clear" w:color="auto" w:fill="auto"/>
            <w:vAlign w:val="center"/>
          </w:tcPr>
          <w:p w14:paraId="0C99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用于应急广播与融媒体链接之间的应急信息发布前置系统，部署在融媒体中心机房（广播电视频率频道播出系统对接）</w:t>
            </w:r>
          </w:p>
        </w:tc>
      </w:tr>
      <w:tr w14:paraId="582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14431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497F1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USB密码器</w:t>
            </w:r>
          </w:p>
        </w:tc>
        <w:tc>
          <w:tcPr>
            <w:tcW w:w="658" w:type="dxa"/>
            <w:shd w:val="clear" w:color="auto" w:fill="auto"/>
            <w:vAlign w:val="center"/>
          </w:tcPr>
          <w:p w14:paraId="2A77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AA5A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3B4D9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支持信任列表和信任证书的更新；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所有算法符合国家密码管理局相关规定；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采用的数字证书和数字签名技术符合《应急广播系统数字签名技术规范》（GY/T 389-2023）的要求。</w:t>
            </w:r>
          </w:p>
        </w:tc>
        <w:tc>
          <w:tcPr>
            <w:tcW w:w="1823" w:type="dxa"/>
            <w:shd w:val="clear" w:color="auto" w:fill="auto"/>
            <w:vAlign w:val="center"/>
          </w:tcPr>
          <w:p w14:paraId="36BCC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与融媒体链接之间的密码设备部署在融媒体中心机房</w:t>
            </w:r>
          </w:p>
        </w:tc>
      </w:tr>
      <w:tr w14:paraId="5BB2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98" w:type="dxa"/>
            <w:shd w:val="clear" w:color="auto" w:fill="auto"/>
            <w:vAlign w:val="center"/>
          </w:tcPr>
          <w:p w14:paraId="51909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2856" w:type="dxa"/>
            <w:shd w:val="clear" w:color="auto" w:fill="auto"/>
            <w:vAlign w:val="center"/>
          </w:tcPr>
          <w:p w14:paraId="51C89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658" w:type="dxa"/>
            <w:shd w:val="clear" w:color="auto" w:fill="auto"/>
            <w:vAlign w:val="center"/>
          </w:tcPr>
          <w:p w14:paraId="09333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40B06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4256F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10/100/1000Base-T自适应电口，4个千兆SFP光口；交换容量≥672Gbps/6.72Tbps，包转发率126Mpps/179Mpps，支持全端口线速转发；支持NMC/vNMC/NAC/SAC统一管理、统一查看状态、VLAN等配置管理；含4个千兆单模模块。为保证兼容性，光模块需与交换机同一品牌；</w:t>
            </w:r>
          </w:p>
        </w:tc>
        <w:tc>
          <w:tcPr>
            <w:tcW w:w="1823" w:type="dxa"/>
            <w:shd w:val="clear" w:color="auto" w:fill="auto"/>
            <w:vAlign w:val="center"/>
          </w:tcPr>
          <w:p w14:paraId="14492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部署在融媒体中心机房</w:t>
            </w:r>
          </w:p>
        </w:tc>
      </w:tr>
      <w:tr w14:paraId="037B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3D1F75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w:t>
            </w:r>
          </w:p>
        </w:tc>
        <w:tc>
          <w:tcPr>
            <w:tcW w:w="2856" w:type="dxa"/>
            <w:shd w:val="clear" w:color="auto" w:fill="auto"/>
            <w:vAlign w:val="center"/>
          </w:tcPr>
          <w:p w14:paraId="4996D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融媒体中心对接</w:t>
            </w:r>
          </w:p>
        </w:tc>
        <w:tc>
          <w:tcPr>
            <w:tcW w:w="658" w:type="dxa"/>
            <w:shd w:val="clear" w:color="auto" w:fill="auto"/>
            <w:vAlign w:val="center"/>
          </w:tcPr>
          <w:p w14:paraId="5A5E44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96" w:type="dxa"/>
            <w:shd w:val="clear" w:color="auto" w:fill="auto"/>
            <w:vAlign w:val="center"/>
          </w:tcPr>
          <w:p w14:paraId="50A36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94" w:type="dxa"/>
            <w:shd w:val="clear" w:color="auto" w:fill="auto"/>
            <w:vAlign w:val="center"/>
          </w:tcPr>
          <w:p w14:paraId="2872BD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823" w:type="dxa"/>
            <w:shd w:val="clear" w:color="auto" w:fill="auto"/>
            <w:vAlign w:val="center"/>
          </w:tcPr>
          <w:p w14:paraId="1A4FC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C2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jc w:val="center"/>
        </w:trPr>
        <w:tc>
          <w:tcPr>
            <w:tcW w:w="698" w:type="dxa"/>
            <w:shd w:val="clear" w:color="auto" w:fill="auto"/>
            <w:vAlign w:val="center"/>
          </w:tcPr>
          <w:p w14:paraId="49557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6B4D3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融媒体应急广播适配器</w:t>
            </w:r>
          </w:p>
        </w:tc>
        <w:tc>
          <w:tcPr>
            <w:tcW w:w="658" w:type="dxa"/>
            <w:shd w:val="clear" w:color="auto" w:fill="auto"/>
            <w:vAlign w:val="center"/>
          </w:tcPr>
          <w:p w14:paraId="23DE5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1DC10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6C361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含与原融媒体平台定制对接开发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1.设备支持硬件专用密码器，支持国密 SM 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2.集成设备设计，以确保广播电视安全播出的稳定可靠。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4.支持应急广播节目的接收和存储、解码。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5.支持应急广播指令的接收和存储、分析。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6.插卡式设备。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7.整机可扩展支持 3 个云计算节点；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8.单个计算节点 CPU 主频不低于 2.0GHz，内存容量 16G，硬盘容量 64G。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9.设备业务功能：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应急消息接收：可接收解析适配应急广播平台推送的应急信息。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应急消息验证：对接收到的应急信息进行数字签名认证，以保证接收信息的有效性。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应急消息提示：接收到有效的应急信息后提示用户；接收到非有效的信息后要给出安全报警提示。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确认反馈：接收到应急信息后按照协议中规定的通用反馈格式将结果数据返回给应急广播平台。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信息提交系统：对录入信息进行核查及验证，完成后进行上传提交。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应急消息下载：支持对接收到的应急消息媒资文件下载并存储到专有路径。</w:t>
            </w:r>
          </w:p>
        </w:tc>
        <w:tc>
          <w:tcPr>
            <w:tcW w:w="1823" w:type="dxa"/>
            <w:shd w:val="clear" w:color="auto" w:fill="auto"/>
            <w:vAlign w:val="center"/>
          </w:tcPr>
          <w:p w14:paraId="09C8C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用于应急广播与融媒体链接之间的应急广播适配器，部署在融媒体中心机房（融媒体中心指挥调度技术系统）</w:t>
            </w:r>
          </w:p>
        </w:tc>
      </w:tr>
      <w:tr w14:paraId="2027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98" w:type="dxa"/>
            <w:shd w:val="clear" w:color="auto" w:fill="auto"/>
            <w:vAlign w:val="center"/>
          </w:tcPr>
          <w:p w14:paraId="3BE4D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289C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USB密码器</w:t>
            </w:r>
          </w:p>
        </w:tc>
        <w:tc>
          <w:tcPr>
            <w:tcW w:w="658" w:type="dxa"/>
            <w:shd w:val="clear" w:color="auto" w:fill="auto"/>
            <w:vAlign w:val="center"/>
          </w:tcPr>
          <w:p w14:paraId="6C04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62FFB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29C3B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支持信任列表和信任证书的更新；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所有算法符合国家密码管理局相关规定；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采用的数字证书和数字签名技术符合《应急广播系统数字签名技术规范》（GY/T 389-2023）的要求。</w:t>
            </w:r>
          </w:p>
        </w:tc>
        <w:tc>
          <w:tcPr>
            <w:tcW w:w="1823" w:type="dxa"/>
            <w:shd w:val="clear" w:color="auto" w:fill="auto"/>
            <w:vAlign w:val="center"/>
          </w:tcPr>
          <w:p w14:paraId="05114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与融媒体链接之间的密码设备部署在融媒体中心机房</w:t>
            </w:r>
          </w:p>
        </w:tc>
      </w:tr>
      <w:tr w14:paraId="0F76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98" w:type="dxa"/>
            <w:shd w:val="clear" w:color="auto" w:fill="auto"/>
            <w:vAlign w:val="center"/>
          </w:tcPr>
          <w:p w14:paraId="2B830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1F2B3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658" w:type="dxa"/>
            <w:shd w:val="clear" w:color="auto" w:fill="auto"/>
            <w:vAlign w:val="center"/>
          </w:tcPr>
          <w:p w14:paraId="51AE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0E2DB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6F788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10/100/1000Base-T自适应电口，4个千兆SFP光口；交换容量≥672Gbps/6.72Tbps，包转发率126Mpps/179Mpps，支持全端口线速转发；支持NMC/vNMC/NAC/SAC统一管理、统一查看状态、VLAN等配置管理；含4个千兆单模模块。为保证兼容性，光模块需与交换机同一品牌；</w:t>
            </w:r>
          </w:p>
        </w:tc>
        <w:tc>
          <w:tcPr>
            <w:tcW w:w="1823" w:type="dxa"/>
            <w:shd w:val="clear" w:color="auto" w:fill="auto"/>
            <w:vAlign w:val="center"/>
          </w:tcPr>
          <w:p w14:paraId="6F768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部署在融媒体中心机房</w:t>
            </w:r>
          </w:p>
        </w:tc>
      </w:tr>
      <w:tr w14:paraId="0CA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6F5726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3727" w:type="dxa"/>
            <w:gridSpan w:val="5"/>
            <w:shd w:val="clear" w:color="auto" w:fill="auto"/>
            <w:vAlign w:val="center"/>
          </w:tcPr>
          <w:p w14:paraId="3C6D544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融媒体APP对接</w:t>
            </w:r>
          </w:p>
        </w:tc>
      </w:tr>
      <w:tr w14:paraId="1B83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5" w:hRule="atLeast"/>
          <w:jc w:val="center"/>
        </w:trPr>
        <w:tc>
          <w:tcPr>
            <w:tcW w:w="698" w:type="dxa"/>
            <w:shd w:val="clear" w:color="auto" w:fill="auto"/>
            <w:vAlign w:val="center"/>
          </w:tcPr>
          <w:p w14:paraId="20622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62C8C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融媒体应急广播适配器</w:t>
            </w:r>
          </w:p>
        </w:tc>
        <w:tc>
          <w:tcPr>
            <w:tcW w:w="658" w:type="dxa"/>
            <w:shd w:val="clear" w:color="auto" w:fill="auto"/>
            <w:vAlign w:val="center"/>
          </w:tcPr>
          <w:p w14:paraId="2260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1EFF6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15DB3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含与原融媒体平台APP定制对接开发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1.设备支持硬件专用密码器，支持国密 SM 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2.集成设备设计，以确保广播电视安全播出的稳定可靠。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4.支持应急广播节目的接收和存储、解码。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5.支持应急广播指令的接收和存储、分析。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6.插卡式设备。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7.整机可扩展支持 3 个云计算节点；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8.单个计算节点 CPU 主频不低于 2.0GHz，内存容量 16G，硬盘容量 64G。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9.设备业务功能：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应急消息接收：可接收解析适配应急广播平台推送的应急信息。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应急消息验证：对接收到的应急信息进行数字签名认证，以保证接收信息的有效性。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应急消息提示：接收到有效的应急信息后提示用户；接收到非有效的信息后要给出安全报警提示。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确认反馈：接收到应急信息后按照协议中规定的通用反馈格式将结果数据返回给应急广播平台。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信息提交系统：对录入信息进行核查及验证，完成后进行上传提交。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应急消息下载：支持对接收到的应急消息媒资文件下载并存储到专有路径。</w:t>
            </w:r>
          </w:p>
        </w:tc>
        <w:tc>
          <w:tcPr>
            <w:tcW w:w="1823" w:type="dxa"/>
            <w:shd w:val="clear" w:color="auto" w:fill="auto"/>
            <w:vAlign w:val="center"/>
          </w:tcPr>
          <w:p w14:paraId="2D806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用于应急广播与融媒体链接之间的应急广播适配器，部署在融媒体中心机房（北京怀柔APP）</w:t>
            </w:r>
          </w:p>
        </w:tc>
      </w:tr>
      <w:tr w14:paraId="0CF4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98" w:type="dxa"/>
            <w:shd w:val="clear" w:color="auto" w:fill="auto"/>
            <w:vAlign w:val="center"/>
          </w:tcPr>
          <w:p w14:paraId="5B8F2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57ADD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USB密码器</w:t>
            </w:r>
          </w:p>
        </w:tc>
        <w:tc>
          <w:tcPr>
            <w:tcW w:w="658" w:type="dxa"/>
            <w:shd w:val="clear" w:color="auto" w:fill="auto"/>
            <w:vAlign w:val="center"/>
          </w:tcPr>
          <w:p w14:paraId="3DE27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F570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20491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支持信任列表和信任证书的更新；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所有算法符合国家密码管理局相关规定；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采用的数字证书和数字签名技术符合《应急广播系统数字签名技术规范》（GY/T 389-2023）的要求。</w:t>
            </w:r>
          </w:p>
        </w:tc>
        <w:tc>
          <w:tcPr>
            <w:tcW w:w="1823" w:type="dxa"/>
            <w:shd w:val="clear" w:color="auto" w:fill="auto"/>
            <w:vAlign w:val="center"/>
          </w:tcPr>
          <w:p w14:paraId="3727E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与融媒体链接之间的密码设备部署在融媒体中心机房</w:t>
            </w:r>
          </w:p>
        </w:tc>
      </w:tr>
      <w:tr w14:paraId="7B9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698" w:type="dxa"/>
            <w:shd w:val="clear" w:color="auto" w:fill="auto"/>
            <w:vAlign w:val="center"/>
          </w:tcPr>
          <w:p w14:paraId="273A4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18394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658" w:type="dxa"/>
            <w:shd w:val="clear" w:color="auto" w:fill="auto"/>
            <w:vAlign w:val="center"/>
          </w:tcPr>
          <w:p w14:paraId="5966F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115A4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4BC5A4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24个10/100/1000Base-T自适应电口，4个千兆SFP光口；交换容量≥672Gbps/6.72Tbps，包转发率126Mpps/179Mpps，支持全端口线速转发；支持NMC/vNMC/NAC/SAC统一管理、统一查看状态、VLAN等配置管理；含4个千兆单模模块</w:t>
            </w:r>
          </w:p>
        </w:tc>
        <w:tc>
          <w:tcPr>
            <w:tcW w:w="1823" w:type="dxa"/>
            <w:shd w:val="clear" w:color="auto" w:fill="auto"/>
            <w:vAlign w:val="center"/>
          </w:tcPr>
          <w:p w14:paraId="027CC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部署在融媒体中心机房</w:t>
            </w:r>
          </w:p>
        </w:tc>
      </w:tr>
      <w:tr w14:paraId="12B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25" w:type="dxa"/>
            <w:gridSpan w:val="6"/>
            <w:shd w:val="clear" w:color="auto" w:fill="auto"/>
            <w:vAlign w:val="center"/>
          </w:tcPr>
          <w:p w14:paraId="416516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三、街道前端、终端</w:t>
            </w:r>
          </w:p>
        </w:tc>
      </w:tr>
      <w:tr w14:paraId="73AF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25" w:type="dxa"/>
            <w:gridSpan w:val="6"/>
            <w:shd w:val="clear" w:color="auto" w:fill="auto"/>
            <w:vAlign w:val="center"/>
          </w:tcPr>
          <w:p w14:paraId="7E57D6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街道数量：2个街道</w:t>
            </w:r>
          </w:p>
        </w:tc>
      </w:tr>
      <w:tr w14:paraId="7247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423BD4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534C3C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6057DD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51B2B0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00F4B7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823" w:type="dxa"/>
            <w:shd w:val="clear" w:color="auto" w:fill="auto"/>
            <w:vAlign w:val="center"/>
          </w:tcPr>
          <w:p w14:paraId="7E21941D">
            <w:pPr>
              <w:jc w:val="center"/>
              <w:rPr>
                <w:rFonts w:hint="eastAsia" w:ascii="宋体" w:hAnsi="宋体" w:eastAsia="宋体" w:cs="宋体"/>
                <w:i w:val="0"/>
                <w:iCs w:val="0"/>
                <w:color w:val="000000"/>
                <w:sz w:val="24"/>
                <w:szCs w:val="24"/>
                <w:u w:val="none"/>
              </w:rPr>
            </w:pPr>
          </w:p>
        </w:tc>
      </w:tr>
      <w:tr w14:paraId="1444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8" w:type="dxa"/>
            <w:shd w:val="clear" w:color="auto" w:fill="auto"/>
            <w:vAlign w:val="center"/>
          </w:tcPr>
          <w:p w14:paraId="6CE21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66F6C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街道应急广播分控平台</w:t>
            </w:r>
          </w:p>
        </w:tc>
        <w:tc>
          <w:tcPr>
            <w:tcW w:w="658" w:type="dxa"/>
            <w:shd w:val="clear" w:color="auto" w:fill="auto"/>
            <w:vAlign w:val="center"/>
          </w:tcPr>
          <w:p w14:paraId="5115F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4E6C2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740FC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可访问区平台服务端，与区平台软件配合实现以下功能。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（1）信息接入和处理；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（2）资源管理和调度；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（3）应急广播管理；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（4）本地广播管理；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（5）统计和查询；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（6）安全管理和运维管理；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（7）可实时监听下级插播内容；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（8）可查询应急广播插播历史记录；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（9）GIS实时地图展示应急广播布署情况和工作状态；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（10）软件详细功能要求与区平台软件相关功能要求一致。</w:t>
            </w:r>
          </w:p>
        </w:tc>
        <w:tc>
          <w:tcPr>
            <w:tcW w:w="1823" w:type="dxa"/>
            <w:shd w:val="clear" w:color="auto" w:fill="auto"/>
            <w:vAlign w:val="center"/>
          </w:tcPr>
          <w:p w14:paraId="33FE6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每个街道一套分控平台，放置在各街道机房</w:t>
            </w:r>
          </w:p>
        </w:tc>
      </w:tr>
      <w:tr w14:paraId="53E3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39B65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2856" w:type="dxa"/>
            <w:shd w:val="clear" w:color="auto" w:fill="auto"/>
            <w:vAlign w:val="center"/>
          </w:tcPr>
          <w:p w14:paraId="1355F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街道应急广播适配器</w:t>
            </w:r>
          </w:p>
        </w:tc>
        <w:tc>
          <w:tcPr>
            <w:tcW w:w="658" w:type="dxa"/>
            <w:shd w:val="clear" w:color="auto" w:fill="auto"/>
            <w:vAlign w:val="center"/>
          </w:tcPr>
          <w:p w14:paraId="691C7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308C1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6B8D77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满足《模拟调频广播应急广播技术规范》（GY/T 390-2023）、《有线数字电视应急广播技术规范》（GY/T 393-2023）、《GD/J 087-2018 地面数字电视应急广播技术规范》、《应急广播大喇叭系统技术要求和测量方法》（GY/T 394-2023）要求。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设备基本功能要求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具备DVB-C、DTMB接收、IP接收、调频RDS接收功能，接收应急平台发布的控制指令信号和应急广播信息等内容，实现应急广播的功能；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可脱离管理平台实现本级广播（调频、IP）及参数设置功能；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具备完善的抗干扰、防插播、防盗播等安全播出技术措施，确保系统安全播出，采取数字签名验证等技术手段和措施防止干扰、非法插播和盗播；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具备将适配器自身的各种状态和参数信息，按需向应急广播系统管理平台加以回传反馈功能；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可通过前面板液晶屏及按键，对设备IP地址、端口号进行设置；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可设置定时广播，广播音源可选择话筒广播、U盘、调频接收、线路输入等；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支持优先级判断,支持一键紧急开播模式；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具有监听功能：内置监听喇叭，监听音量可调节，具有音频存储功能，音频编码格式为MP3,标称存储容量≥16GB；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通过以太网，支持远程实时监听和历史回溯；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具有声光报警功能，当需要本机应急广播播发时，能够输出声音报警，报警音量≥80分贝；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具有电话广播功能，电话广播支持至少32个白名单；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支持远程对本设备的网络参数、应急广播资源编码、回传参数工作参数配置；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具备响应应急广播管理平台发出的控制和读取状态指令的功能；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内置回传模块，配置TD-LTE和FDD-LTE，全网通4G模块。SIM卡：支持移动、电信、联通，可插拔更换；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内置安全模块，支持国密SM系列算法，具有应急广播数据验签功能；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支持信任列表和信任证书的更新；具有密钥和证书管理功能；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具备中波AM接收功能；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整机采用嵌入式专用设备设计，以确保广播电视安全播出的稳定可靠；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具备RS232接口，可外接其他应急广播辅助设备；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设备支持实时告警功能；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设备具有100Base-T以太网接口，可通过统一网管软件系统的监控管理进行设备配置，并实现通过网管统一集中进行状态监控；设备要求具备网管IP接口，可支持软件升级；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支持外置音频切换器控制；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地面/有线数字电视应急广播接收功能要求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可接收上级DTMB和DVB-C信号，解调出音频信号及控制信号，做出相应的播发/停止动作，符合《有线数字电视应急广播技术规范》（GY/T 393-2023）和《GD/J 087-2018 地面数字电视应急广播技术规范》的要求；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具备地面和有线数字电视应急广播音视频输出；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可接收上级IP信号，解调出音频信号及控制信号，做出相应的播发/停止动作，符合《应急广播大喇叭系统技术要求和测量方法》（GY/T 394-2023）附录D的要求；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调频应急广播功能要求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可接收上级调频信号，解调出音频信号及RDS数据，做出相应的播发/停止动作，符合《模拟调频广播应急广播技术规范》（GY/T 390-2023）的要求；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具备应急广播RDS基带信号输出，可直接对接调频发射机RDS接口；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支持通过IP广播、地面和有线数字电视广播接收到应急广播指令的FM-RDS转发输出功能，实现应急广播接收后的二次覆盖输出；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支持调频广播的RDS应急广播协议封装、适配、发送，包括调频广播RDS基带编码、应急广播RDS数据生成、RDS发送，以及应急广播音频输出功能。输出信号符合《模拟调频广播应急广播技术规范》（GY/T 390-2023）；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安全加密功能要求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支持内置外接安全加密产品可选；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内置符合国密算法的安全模块，具备对接收到的应急广播消息进行验签功能，处理符合《应急广播系统数字签名技术规范》（GY/T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支持对转发输出的指令进行安全签名的功能，处理符合《应急广播系统数字签名技术规范》（GY/T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具备2路线路音频输入，接口类型：RCA莲花母座；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具备1路麦克风音频输入，接口类型：6.35mm插孔；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具备1路拾音器输入，接口类型：凤凰插座；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具备1路内置MIC输入；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具备1路FM调频输入，内置2个调谐器。接口类型：公制F母座；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具备1路DTMB和DVB-C数字电视输入，接口类型：公制F母座；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具备1路线路音频输出，接口类型：RCA莲花母座；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具备1路定阻功率音频输出，接口类型：功放机音频接线柱；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具备1路FM调频输出，可输出2个频点，接口类型：公制F母座；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具备1路RDS输出，接口类型：BNC；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具备1路网络接口，接口类型：RJ45；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具备1路串口，接口类型：RS232；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具备2个USB接口，接口类型：USB TypeA；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具备1路交流电源输入接口，接口类型：三芯电源插座；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具有220VAC受控电源输出。</w:t>
            </w:r>
          </w:p>
        </w:tc>
        <w:tc>
          <w:tcPr>
            <w:tcW w:w="1823" w:type="dxa"/>
            <w:shd w:val="clear" w:color="auto" w:fill="auto"/>
            <w:vAlign w:val="center"/>
          </w:tcPr>
          <w:p w14:paraId="37171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每个街道1套应急广播适配器，放置在各街道机房</w:t>
            </w:r>
          </w:p>
        </w:tc>
      </w:tr>
      <w:tr w14:paraId="74F5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698" w:type="dxa"/>
            <w:shd w:val="clear" w:color="auto" w:fill="auto"/>
            <w:vAlign w:val="center"/>
          </w:tcPr>
          <w:p w14:paraId="086CD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2856" w:type="dxa"/>
            <w:shd w:val="clear" w:color="auto" w:fill="auto"/>
            <w:vAlign w:val="center"/>
          </w:tcPr>
          <w:p w14:paraId="02795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有线话筒</w:t>
            </w:r>
          </w:p>
        </w:tc>
        <w:tc>
          <w:tcPr>
            <w:tcW w:w="658" w:type="dxa"/>
            <w:shd w:val="clear" w:color="auto" w:fill="auto"/>
            <w:vAlign w:val="center"/>
          </w:tcPr>
          <w:p w14:paraId="0DE7F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2919B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39435B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类型：动圈或电容话筒；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指向性：心型指向；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适用范围：会议话筒；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频率范围：50～15000Hz；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供电电源：DC 3V。</w:t>
            </w:r>
          </w:p>
        </w:tc>
        <w:tc>
          <w:tcPr>
            <w:tcW w:w="1823" w:type="dxa"/>
            <w:shd w:val="clear" w:color="auto" w:fill="auto"/>
            <w:vAlign w:val="center"/>
          </w:tcPr>
          <w:p w14:paraId="248E2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每个街道1个播音话筒，放置在各镇街机房</w:t>
            </w:r>
          </w:p>
        </w:tc>
      </w:tr>
      <w:tr w14:paraId="2766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60385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2856" w:type="dxa"/>
            <w:shd w:val="clear" w:color="auto" w:fill="auto"/>
            <w:vAlign w:val="center"/>
          </w:tcPr>
          <w:p w14:paraId="64454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658" w:type="dxa"/>
            <w:shd w:val="clear" w:color="auto" w:fill="auto"/>
            <w:vAlign w:val="center"/>
          </w:tcPr>
          <w:p w14:paraId="30519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7F13D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72BAE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1.交三层交换机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24个SFP光模块。24个千兆SFP光口，4个10/100/1000Base-T自适应电口（复用），4个万兆SFP+光口；交换容量≥672Gbps/6.72Tbps，包转发率≥171Mpps/309Mpps，支持全端口线速转发；支持NMC/vNMC/NAC/SAC统一管理、统一查看状态、VLAN等配置管理；含4个万兆双纤单模模块。为保证兼容性，光模块需与交换机同一品牌；</w:t>
            </w:r>
          </w:p>
        </w:tc>
        <w:tc>
          <w:tcPr>
            <w:tcW w:w="1823" w:type="dxa"/>
            <w:shd w:val="clear" w:color="auto" w:fill="auto"/>
            <w:vAlign w:val="center"/>
          </w:tcPr>
          <w:p w14:paraId="7E2DE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每个街道1台交换机，放置在各街道机房</w:t>
            </w:r>
          </w:p>
        </w:tc>
      </w:tr>
      <w:tr w14:paraId="08DD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62018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2856" w:type="dxa"/>
            <w:shd w:val="clear" w:color="auto" w:fill="auto"/>
            <w:vAlign w:val="center"/>
          </w:tcPr>
          <w:p w14:paraId="47338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10U机柜</w:t>
            </w:r>
          </w:p>
        </w:tc>
        <w:tc>
          <w:tcPr>
            <w:tcW w:w="658" w:type="dxa"/>
            <w:shd w:val="clear" w:color="auto" w:fill="auto"/>
            <w:vAlign w:val="center"/>
          </w:tcPr>
          <w:p w14:paraId="4E10C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74D1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6C051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10U标准机柜。</w:t>
            </w:r>
          </w:p>
        </w:tc>
        <w:tc>
          <w:tcPr>
            <w:tcW w:w="1823" w:type="dxa"/>
            <w:shd w:val="clear" w:color="auto" w:fill="auto"/>
            <w:vAlign w:val="center"/>
          </w:tcPr>
          <w:p w14:paraId="7161B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每个街道1个安放设备机柜，放置在各街道机房</w:t>
            </w:r>
          </w:p>
        </w:tc>
      </w:tr>
      <w:tr w14:paraId="0BD6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087D1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2856" w:type="dxa"/>
            <w:shd w:val="clear" w:color="auto" w:fill="auto"/>
            <w:vAlign w:val="center"/>
          </w:tcPr>
          <w:p w14:paraId="10E5E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播控桌椅</w:t>
            </w:r>
          </w:p>
        </w:tc>
        <w:tc>
          <w:tcPr>
            <w:tcW w:w="658" w:type="dxa"/>
            <w:shd w:val="clear" w:color="auto" w:fill="auto"/>
            <w:vAlign w:val="center"/>
          </w:tcPr>
          <w:p w14:paraId="2441E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01072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68336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根据现场尺寸定制播控桌椅。</w:t>
            </w:r>
          </w:p>
        </w:tc>
        <w:tc>
          <w:tcPr>
            <w:tcW w:w="1823" w:type="dxa"/>
            <w:shd w:val="clear" w:color="auto" w:fill="auto"/>
            <w:vAlign w:val="center"/>
          </w:tcPr>
          <w:p w14:paraId="5D413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每个街道1套播控桌椅，放置在各街道机房</w:t>
            </w:r>
          </w:p>
        </w:tc>
      </w:tr>
      <w:tr w14:paraId="6FCA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98" w:type="dxa"/>
            <w:shd w:val="clear" w:color="auto" w:fill="auto"/>
            <w:vAlign w:val="center"/>
          </w:tcPr>
          <w:p w14:paraId="07288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2856" w:type="dxa"/>
            <w:shd w:val="clear" w:color="auto" w:fill="auto"/>
            <w:vAlign w:val="center"/>
          </w:tcPr>
          <w:p w14:paraId="103FA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高可靠性终端（带直播星）</w:t>
            </w:r>
          </w:p>
        </w:tc>
        <w:tc>
          <w:tcPr>
            <w:tcW w:w="658" w:type="dxa"/>
            <w:shd w:val="clear" w:color="auto" w:fill="auto"/>
            <w:vAlign w:val="center"/>
          </w:tcPr>
          <w:p w14:paraId="7A60F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53D4A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94" w:type="dxa"/>
            <w:shd w:val="clear" w:color="auto" w:fill="auto"/>
            <w:vAlign w:val="center"/>
          </w:tcPr>
          <w:p w14:paraId="0A0493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1、集传统应急广播收扩机、网络IPC 视频监控摄像机、一键报警可视对讲系统、直播星接收天线、太阳能供电系统等为一体的新一代应急广播一体化智能终端；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2、具备直播卫星TS、有线数字电视TS、地面数字电视TS、调频FM、IP 信号等多种接收功能，内置4G/5G 模组，能够播发应急广播音频消息，向应急广播前端平台反馈播发情况等功能，可外接大功率高音号角喇叭，内置电池，可与太阳能供电、交流市电无缝切换；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3、采用模块化外壳结构设计。具备直播卫星ABS-S 输入接口，能够接收直播卫星应急广播消息；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4、具备FM 调频输入接口，能够接收调频应急广播消息；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5、具备DTMB 地面数字电视输入接口，能够接收地面数字电视应急广播消息；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6、具备DVB-C 有线数字电视输入接口，能够接收有线数字电视应急广播消息；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7、具备IP 网络接口，能够接收网络信号应急广播消息；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8、内置4G/5G 模块，能够与应急广播平台交互通信；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9、内置国密安全模块，支持应急广播安全规范；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10、具备一键报警模块，能够通过一键报警按键自动与前端平台连接；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11、具备独立电源输入接口，支持外部供电输入；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12、内置电池，可外接太阳能供电，并与交流市电无缝切换；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13、摄像头400万像素，支持云台旋转、室外防水、智能巡航等功能；音频输出功率：≥100W；一键报警支持全双工免提通话，支持自动应答、对讲，采用铝合金外壳，面盖具备防拆设计；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14、含定制多功能杆体，可适配各种功能模块，高度不低于5m；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15、太阳能供电系统：包含太阳能板18V 100w*2，转换效率大于17%，同时蓄电池12V200Ah*1，支持市电互补。</w:t>
            </w:r>
          </w:p>
        </w:tc>
        <w:tc>
          <w:tcPr>
            <w:tcW w:w="1823" w:type="dxa"/>
            <w:shd w:val="clear" w:color="auto" w:fill="auto"/>
            <w:vAlign w:val="center"/>
          </w:tcPr>
          <w:p w14:paraId="1532F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每个街道所在地安装2套高可靠性终端，放置在各街道指定地点。</w:t>
            </w:r>
          </w:p>
        </w:tc>
      </w:tr>
      <w:tr w14:paraId="39B0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0527D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2856" w:type="dxa"/>
            <w:shd w:val="clear" w:color="auto" w:fill="auto"/>
            <w:vAlign w:val="center"/>
          </w:tcPr>
          <w:p w14:paraId="6B37D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高可靠性终端立杆</w:t>
            </w:r>
          </w:p>
        </w:tc>
        <w:tc>
          <w:tcPr>
            <w:tcW w:w="658" w:type="dxa"/>
            <w:shd w:val="clear" w:color="auto" w:fill="auto"/>
            <w:vAlign w:val="center"/>
          </w:tcPr>
          <w:p w14:paraId="4DD3A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5230F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94" w:type="dxa"/>
            <w:shd w:val="clear" w:color="auto" w:fill="auto"/>
            <w:vAlign w:val="center"/>
          </w:tcPr>
          <w:p w14:paraId="3A904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水泥基础、接地防雷、终端接市电等工作内容。</w:t>
            </w:r>
          </w:p>
        </w:tc>
        <w:tc>
          <w:tcPr>
            <w:tcW w:w="1823" w:type="dxa"/>
            <w:shd w:val="clear" w:color="auto" w:fill="auto"/>
            <w:vAlign w:val="center"/>
          </w:tcPr>
          <w:p w14:paraId="672C5E97">
            <w:pPr>
              <w:jc w:val="center"/>
              <w:rPr>
                <w:rFonts w:hint="eastAsia" w:ascii="宋体" w:hAnsi="宋体" w:eastAsia="宋体" w:cs="宋体"/>
                <w:i w:val="0"/>
                <w:iCs w:val="0"/>
                <w:color w:val="000000"/>
                <w:sz w:val="24"/>
                <w:szCs w:val="24"/>
                <w:u w:val="none"/>
              </w:rPr>
            </w:pPr>
          </w:p>
        </w:tc>
      </w:tr>
      <w:tr w14:paraId="337B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68DA1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2856" w:type="dxa"/>
            <w:shd w:val="clear" w:color="auto" w:fill="auto"/>
            <w:vAlign w:val="center"/>
          </w:tcPr>
          <w:p w14:paraId="6A76B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辅材及安装调试</w:t>
            </w:r>
          </w:p>
        </w:tc>
        <w:tc>
          <w:tcPr>
            <w:tcW w:w="658" w:type="dxa"/>
            <w:shd w:val="clear" w:color="auto" w:fill="auto"/>
            <w:vAlign w:val="center"/>
          </w:tcPr>
          <w:p w14:paraId="4FAEE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400CE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94" w:type="dxa"/>
            <w:shd w:val="clear" w:color="auto" w:fill="auto"/>
            <w:vAlign w:val="center"/>
          </w:tcPr>
          <w:p w14:paraId="3EFAAD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包含支架、线缆、人工、运输、安装、接电等实施费用。</w:t>
            </w:r>
          </w:p>
        </w:tc>
        <w:tc>
          <w:tcPr>
            <w:tcW w:w="1823" w:type="dxa"/>
            <w:shd w:val="clear" w:color="auto" w:fill="auto"/>
            <w:vAlign w:val="center"/>
          </w:tcPr>
          <w:p w14:paraId="54DC8D13">
            <w:pPr>
              <w:jc w:val="center"/>
              <w:rPr>
                <w:rFonts w:hint="eastAsia" w:ascii="宋体" w:hAnsi="宋体" w:eastAsia="宋体" w:cs="宋体"/>
                <w:i w:val="0"/>
                <w:iCs w:val="0"/>
                <w:color w:val="000000"/>
                <w:sz w:val="24"/>
                <w:szCs w:val="24"/>
                <w:u w:val="none"/>
              </w:rPr>
            </w:pPr>
          </w:p>
        </w:tc>
      </w:tr>
      <w:tr w14:paraId="6C64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25" w:type="dxa"/>
            <w:gridSpan w:val="6"/>
            <w:shd w:val="clear" w:color="auto" w:fill="auto"/>
            <w:vAlign w:val="center"/>
          </w:tcPr>
          <w:p w14:paraId="76A6BD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四、乡镇前端、终端</w:t>
            </w:r>
          </w:p>
        </w:tc>
      </w:tr>
      <w:tr w14:paraId="6D6B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25" w:type="dxa"/>
            <w:gridSpan w:val="6"/>
            <w:shd w:val="clear" w:color="auto" w:fill="auto"/>
            <w:vAlign w:val="center"/>
          </w:tcPr>
          <w:p w14:paraId="7E943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乡镇数量：共12个镇、2个乡</w:t>
            </w:r>
          </w:p>
        </w:tc>
      </w:tr>
      <w:tr w14:paraId="12E0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567F9E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07A673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5845AA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7BBB69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152C0A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823" w:type="dxa"/>
            <w:shd w:val="clear" w:color="auto" w:fill="auto"/>
            <w:vAlign w:val="center"/>
          </w:tcPr>
          <w:p w14:paraId="4D41F485">
            <w:pPr>
              <w:jc w:val="center"/>
              <w:rPr>
                <w:rFonts w:hint="eastAsia" w:ascii="宋体" w:hAnsi="宋体" w:eastAsia="宋体" w:cs="宋体"/>
                <w:i w:val="0"/>
                <w:iCs w:val="0"/>
                <w:color w:val="000000"/>
                <w:sz w:val="24"/>
                <w:szCs w:val="24"/>
                <w:u w:val="none"/>
              </w:rPr>
            </w:pPr>
          </w:p>
        </w:tc>
      </w:tr>
      <w:tr w14:paraId="200D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42206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79DDB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乡镇应急广播分控平台</w:t>
            </w:r>
          </w:p>
        </w:tc>
        <w:tc>
          <w:tcPr>
            <w:tcW w:w="658" w:type="dxa"/>
            <w:shd w:val="clear" w:color="auto" w:fill="auto"/>
            <w:vAlign w:val="center"/>
          </w:tcPr>
          <w:p w14:paraId="5143D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609CF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4E4A1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可访问区平台服务端，与区平台软件配合实现以下功能。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（1）信息接入和处理；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（2）资源管理和调度；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（3）应急广播管理；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（4）本地广播管理；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（5）统计和查询；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（6）安全管理和运维管理；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（7）可实时监听下级插播内容；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（8）可查询应急广播插播历史记录；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（9）GIS实时地图展示应急广播布署情况和工作状态；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（10）软件详细功能要求与区平台软件相关功能要求一致。</w:t>
            </w:r>
          </w:p>
        </w:tc>
        <w:tc>
          <w:tcPr>
            <w:tcW w:w="1823" w:type="dxa"/>
            <w:shd w:val="clear" w:color="auto" w:fill="auto"/>
            <w:vAlign w:val="center"/>
          </w:tcPr>
          <w:p w14:paraId="7488A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每个镇乡一套分控平台，放置在各镇乡机房</w:t>
            </w:r>
          </w:p>
        </w:tc>
      </w:tr>
      <w:tr w14:paraId="2238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015A6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2856" w:type="dxa"/>
            <w:shd w:val="clear" w:color="auto" w:fill="auto"/>
            <w:vAlign w:val="center"/>
          </w:tcPr>
          <w:p w14:paraId="0EE10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乡镇应急广播适配器</w:t>
            </w:r>
          </w:p>
        </w:tc>
        <w:tc>
          <w:tcPr>
            <w:tcW w:w="658" w:type="dxa"/>
            <w:shd w:val="clear" w:color="auto" w:fill="auto"/>
            <w:vAlign w:val="center"/>
          </w:tcPr>
          <w:p w14:paraId="7A2EF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6252D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62FC4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满足《模拟调频广播应急广播技术规范》（GY/T 390-2023）、《有线数字电视应急广播技术规范》（GY/T 393-2023）、《GD/J 087-2018 地面数字电视应急广播技术规范》、《应急广播大喇叭系统技术要求和测量方法》（GY/T 394-2023）要求。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设备基本功能要求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具备DVB-C、DTMB接收、IP接收、调频RDS接收功能，接收应急平台发布的控制指令信号和应急广播信息等内容，实现应急广播的功能；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可脱离管理平台实现本级广播（调频、IP）及参数设置功能；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具备完善的抗干扰、防插播、防盗播等安全播出技术措施，确保系统安全播出，采取数字签名验证等技术手段和措施防止干扰、非法插播和盗播；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具备将适配器自身的各种状态和参数信息，按需向应急广播系统管理平台加以回传反馈功能；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可通过前面板液晶屏及按键，对设备IP地址、端口号进行设置；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可设置定时广播，广播音源可选择话筒广播、U盘、调频接收、线路输入等；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支持优先级判断,支持一键紧急开播模式；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具有监听功能：内置监听喇叭，监听音量可调节，具有音频存储功能，音频编码格式为MP3,标称存储容量≥16GB；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通过以太网，支持远程实时监听和历史回溯；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具有声光报警功能，当需要本机应急广播播发时，能够输出声音报警，报警音量≥80分贝；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具有电话广播功能，电话广播支持至少32个白名单；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支持远程对本设备的网络参数、应急广播资源编码、回传参数工作参数配置；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具备响应应急广播管理平台发出的控制和读取状态指令的功能；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内置回传模块，配置TD-LTE和FDD-LTE，全网通4G模块。SIM卡：支持移动、电信、联通，可插拔更换；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内置安全模块，支持国密SM系列算法，具有应急广播数据验签功能；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支持信任列表和信任证书的更新；具有密钥和证书管理功能；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具备中波AM接收功能；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整机采用嵌入式专用设备设计，以确保广播电视安全播出的稳定可靠；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具备RS232接口，可外接其他应急广播辅助设备；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设备支持实时告警功能；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设备具有100Base-T以太网接口，可通过统一网管软件系统的监控管理进行设备配置，并实现通过网管统一集中进行状态监控；设备要求具备网管IP接口，可支持软件升级；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支持外置音频切换器控制；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地面/有线数字电视应急广播接收功能要求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可接收上级DTMB和DVB-C信号，解调出音频信号及控制信号，做出相应的播发/停止动作，符合《有线数字电视应急广播技术规范》（GY/T 393-2023）和《GD/J 087-2018 地面数字电视应急广播技术规范》的要求；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具备地面和有线数字电视应急广播音视频输出；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可接收上级IP信号，解调出音频信号及控制信号，做出相应的播发/停止动作，符合《应急广播大喇叭系统技术要求和测量方法》（GY/T 394-2023）附录D的要求；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调频应急广播功能要求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可接收上级调频信号，解调出音频信号及RDS数据，做出相应的播发/停止动作，符合《模拟调频广播应急广播技术规范》（GY/T 390-2023）的要求；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具备应急广播RDS基带信号输出，可直接对接调频发射机RDS接口；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支持通过IP广播、地面和有线数字电视广播接收到应急广播指令的FM-RDS转发输出功能，实现应急广播接收后的二次覆盖输出；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支持调频广播的RDS应急广播协议封装、适配、发送，包括调频广播RDS基带编码、应急广播RDS数据生成、RDS发送，以及应急广播音频输出功能。输出信号符合《模拟调频广播应急广播技术规范》（GY/T 390-2023）；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安全加密功能要求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支持内置外接安全加密产品可选；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内置符合国密算法的安全模块，具备对接收到的应急广播消息进行验签功能，处理符合《应急广播系统数字签名技术规范》（GY/T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支持对转发输出的指令进行安全签名的功能，处理符合《应急广播系统数字签名技术规范》（GY/T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具备2路线路音频输入，接口类型：RCA莲花母座；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具备1路麦克风音频输入，接口类型：6.35mm插孔；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具备1路拾音器输入，接口类型：凤凰插座；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具备1路内置MIC输入；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具备1路FM调频输入，内置2个调谐器。接口类型：公制F母座；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具备1路DTMB和DVB-C数字电视输入，接口类型：公制F母座；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具备1路线路音频输出，接口类型：RCA莲花母座；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具备1路定阻功率音频输出，接口类型：功放机音频接线柱；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具备1路FM调频输出，可输出2个频点，接口类型：公制F母座；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具备1路RDS输出，接口类型：BNC；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具备1路网络接口，接口类型：RJ45；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具备1路串口，接口类型：RS232；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具备2个USB接口，接口类型：USB TypeA；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具备1路交流电源输入接口，接口类型：三芯电源插座；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具有220VAC受控电源输出。</w:t>
            </w:r>
          </w:p>
        </w:tc>
        <w:tc>
          <w:tcPr>
            <w:tcW w:w="1823" w:type="dxa"/>
            <w:shd w:val="clear" w:color="auto" w:fill="auto"/>
            <w:vAlign w:val="center"/>
          </w:tcPr>
          <w:p w14:paraId="4DC8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每个镇乡一台乡镇应急广播适配器，放置在各镇乡机房</w:t>
            </w:r>
          </w:p>
        </w:tc>
      </w:tr>
      <w:tr w14:paraId="24F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698" w:type="dxa"/>
            <w:shd w:val="clear" w:color="auto" w:fill="auto"/>
            <w:vAlign w:val="center"/>
          </w:tcPr>
          <w:p w14:paraId="39101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2856" w:type="dxa"/>
            <w:shd w:val="clear" w:color="auto" w:fill="auto"/>
            <w:vAlign w:val="center"/>
          </w:tcPr>
          <w:p w14:paraId="65B4E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有线话筒</w:t>
            </w:r>
          </w:p>
        </w:tc>
        <w:tc>
          <w:tcPr>
            <w:tcW w:w="658" w:type="dxa"/>
            <w:shd w:val="clear" w:color="auto" w:fill="auto"/>
            <w:vAlign w:val="center"/>
          </w:tcPr>
          <w:p w14:paraId="1C1CA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6EE61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6A87C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类型：动圈或电容话筒；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指向性：心型指向；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适用范围：会议话筒；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频率范围：50～15000Hz；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供电电源：DC 3V。</w:t>
            </w:r>
          </w:p>
        </w:tc>
        <w:tc>
          <w:tcPr>
            <w:tcW w:w="1823" w:type="dxa"/>
            <w:shd w:val="clear" w:color="auto" w:fill="auto"/>
            <w:vAlign w:val="center"/>
          </w:tcPr>
          <w:p w14:paraId="7B400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每个镇乡一支有线话筒，放置在各镇乡机房</w:t>
            </w:r>
          </w:p>
        </w:tc>
      </w:tr>
      <w:tr w14:paraId="6A92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98" w:type="dxa"/>
            <w:shd w:val="clear" w:color="auto" w:fill="auto"/>
            <w:vAlign w:val="center"/>
          </w:tcPr>
          <w:p w14:paraId="014C4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2856" w:type="dxa"/>
            <w:shd w:val="clear" w:color="auto" w:fill="auto"/>
            <w:vAlign w:val="center"/>
          </w:tcPr>
          <w:p w14:paraId="2A332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658" w:type="dxa"/>
            <w:shd w:val="clear" w:color="auto" w:fill="auto"/>
            <w:vAlign w:val="center"/>
          </w:tcPr>
          <w:p w14:paraId="36BA7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4D1CC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52019A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千兆SFP光口，4个10/100/1000Base-T自适应电口（复用），4个万兆SFP+光口；交换容量≥672Gbps/6.72Tbps，包转发率≥171Mpps/309Mpps，支持全端口线速转发；支持NMC/vNMC/NAC/SAC统一管理、统一查看状态、VLAN等配置管理；实配：24个千兆单芯20KM光模块，为保证兼容性，光模块需与交换机同一品牌；</w:t>
            </w:r>
          </w:p>
        </w:tc>
        <w:tc>
          <w:tcPr>
            <w:tcW w:w="1823" w:type="dxa"/>
            <w:shd w:val="clear" w:color="auto" w:fill="auto"/>
            <w:vAlign w:val="center"/>
          </w:tcPr>
          <w:p w14:paraId="13885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每个镇乡一台交换机，放置在各镇乡机房</w:t>
            </w:r>
          </w:p>
        </w:tc>
      </w:tr>
      <w:tr w14:paraId="090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1799F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2856" w:type="dxa"/>
            <w:shd w:val="clear" w:color="auto" w:fill="auto"/>
            <w:vAlign w:val="center"/>
          </w:tcPr>
          <w:p w14:paraId="41FAD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10U机柜</w:t>
            </w:r>
          </w:p>
        </w:tc>
        <w:tc>
          <w:tcPr>
            <w:tcW w:w="658" w:type="dxa"/>
            <w:shd w:val="clear" w:color="auto" w:fill="auto"/>
            <w:vAlign w:val="center"/>
          </w:tcPr>
          <w:p w14:paraId="56570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2424E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35EF1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10U标准机柜。</w:t>
            </w:r>
          </w:p>
        </w:tc>
        <w:tc>
          <w:tcPr>
            <w:tcW w:w="1823" w:type="dxa"/>
            <w:shd w:val="clear" w:color="auto" w:fill="auto"/>
            <w:vAlign w:val="center"/>
          </w:tcPr>
          <w:p w14:paraId="3F04F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每个镇乡1套10U机柜，放置在各镇乡机房</w:t>
            </w:r>
          </w:p>
        </w:tc>
      </w:tr>
      <w:tr w14:paraId="6D6E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7F15A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2856" w:type="dxa"/>
            <w:shd w:val="clear" w:color="auto" w:fill="auto"/>
            <w:vAlign w:val="center"/>
          </w:tcPr>
          <w:p w14:paraId="6374D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播控桌椅</w:t>
            </w:r>
          </w:p>
        </w:tc>
        <w:tc>
          <w:tcPr>
            <w:tcW w:w="658" w:type="dxa"/>
            <w:shd w:val="clear" w:color="auto" w:fill="auto"/>
            <w:vAlign w:val="center"/>
          </w:tcPr>
          <w:p w14:paraId="7E7F7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22B69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485A3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根据现场尺寸定制播控桌椅。</w:t>
            </w:r>
          </w:p>
        </w:tc>
        <w:tc>
          <w:tcPr>
            <w:tcW w:w="1823" w:type="dxa"/>
            <w:shd w:val="clear" w:color="auto" w:fill="auto"/>
            <w:vAlign w:val="center"/>
          </w:tcPr>
          <w:p w14:paraId="237C8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每个镇乡1套播控桌椅，放置在各镇乡机房</w:t>
            </w:r>
          </w:p>
        </w:tc>
      </w:tr>
      <w:tr w14:paraId="29F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3F68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2856" w:type="dxa"/>
            <w:shd w:val="clear" w:color="auto" w:fill="auto"/>
            <w:vAlign w:val="center"/>
          </w:tcPr>
          <w:p w14:paraId="0215F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多模收扩机</w:t>
            </w:r>
          </w:p>
        </w:tc>
        <w:tc>
          <w:tcPr>
            <w:tcW w:w="658" w:type="dxa"/>
            <w:shd w:val="clear" w:color="auto" w:fill="auto"/>
            <w:vAlign w:val="center"/>
          </w:tcPr>
          <w:p w14:paraId="7C286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3EF3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694" w:type="dxa"/>
            <w:shd w:val="clear" w:color="auto" w:fill="auto"/>
            <w:vAlign w:val="center"/>
          </w:tcPr>
          <w:p w14:paraId="43CA3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参数设置功能：支持设置本设备IP地址、指令端口号；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广播功能：支持接收来自适配器的调频信号，实现远程广播和本机控制功能；支持接收来自适配器的IP信号，实现远程广播和本机控制功能；支持接收来自适配器的DTMB信号，实现远程广播和本机控制功能；支持接收来自适配器的DVB-C信号，实现远程广播和本机控制功能；支持接收4G信号，实现远程广播和本机控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RDS）：支持应急/日常广播开/停播指令；支持设置资源编码；支持音量设置；支持回传参数设置；支持终端参数/状态查询指令；支持时钟校准；支持回传周期设置；支持终端功放开关指令；支持RDS扫描频点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DTMB）：支持应急/日常广播开/停播指令；支持设置资源编码；支持音量设置；支持回传参数设置；支持终端参数/状态查询指令；支持时钟校准；支持回传周期设置；支持终端功放开关指令；支持TS锁定频率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DVB-C）：支持应急/日常广播开/停播指令；支持设置资源编码；支持音量设置；支持回传参数设置；支持终端参数/状态查询指令；支持时钟校准；支持回传周期设置；支持终端功放开关指令；支持TS锁定频率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IP）：支持应急/日常广播开停播指令；支持设置资源编码；支持音量设置；支持回传参数设置；支持终端参数/状态查询指令；支持时钟校准；支持IP终端网络参数设置；支持回传周期设置；支持终端功放开关指令；支持终端证书更新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验签功能：集成国密算法芯片，具有验签功能；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移动通信模块：配置移动通信模块，具备回传功能；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上级远程控制及分区域播发功能：支持上级远程控制，支持分区域播发控制。可实现多级分区，支持全区播放、分区播放、单点播放；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短路保护功能：被测设备输出接口短路时，具有保护功能；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网管功能：具有web网管，可显示、设置及保存设备详细参数；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信息通道：支持IP通道、FM-RDS通道、DTMB通道、DVB-C通道、4G播发应急广播消息通道；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模式切换：支持任意几种接收模式组合，可通过网管设置接收模式优先级。第一信号源中断自动切换到第二信号源，第一信号源恢复则自动接收第一信号源；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功能：支持接收、解码、播发上级平台播发的日常广播、应急广播或控制指令等信息，开关机和广播切换支持淡入淡出功能；音频解码：MPEG-1Layer1/2/3、MPEG-2Layer1/2/3、MP3、AAC、DRA、ADPCM解码输出音质清晰流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音频输出：多模收扩机定阻输出可外接高音喇叭；升级功能：支持软件在线升级。支持通过IP升级、TS升级、USB升级、OTA在线升级等升级方式；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调频接收处理：调频支持5个预置频率、上级信号优于下级信号、应急信号优于日常信号；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实时定时广播：支持网络实时、定时播放，在网络广播状态下，可以通过其它设备监听正在广播的内容；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支持协议：ARP、UDP、TCP/IP、ICMP、IGMP；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PID信息接收分析能力：两个上级应急广播平台同时播发应急广播信息，应急信息分别承载在PID号为0x21、0x22的两个码流上，应急广播适配器可同时接收并分析这两个PID上的应急信息并响应当前所有信息中优先级最高的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优先级播出：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1）应急广播大于日常广播；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2）相同类型广播，首先判断广播消息级别，优先级高则优先播出；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3）广播消息级别相同，如果设备设置为上级优先，则行政级别高优先播出；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4）广播消息级别和行政级别均相同，则按照通道优先级进行播放；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5）高优先级，广播播出完成后，播放次优先级广播；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设备唤醒：县级平台或乡镇平台发布应急广播消息支持FM、DTMB、DVB-C、IP/4G方式；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证书更新：支持调频、DTMB、DVB-C、IP、4G模式下的证书更新指令；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保护及恢复：具有电源过压，输出功放过热过载、短路保护功能，故障消失自动恢复；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自动恢复及优先级：具备广播断电自动恢复功能，可实时修改任务优先级；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音量调节：独立音量调节，上级应急可直接至音量最大；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数据回传：具备IP、4G通道数据回传功能；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频点轮询：具备FM-RDS接收功能，包含双调谐器接收模块，实现对设定调频频点的轮询功能；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工作电压范围；AC：160～264V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FM接收频率范围；87～108MHz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DTMB接收频率范围：VHF频段：167~223MHz，UHF频段：470~806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DVB-C接收频率范围：111～862MHz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信噪比：不低于80dB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频率响应（40Hz-20kHz）：±2dB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音频总谐波失真（1kHz）：不高于0.1%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音频位率：8~320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自适应采样率：8~48kHz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音频输出功率：不低于100W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工作温度：-40～70°C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DTMB接收灵敏度：不高于32dBuV；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DVB-C接收灵敏度：不高于35dBuV；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FM接收灵敏度；不高于30dBuV；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FM输入接口：公制F母头，1路输入，内置2分配，配置2个调谐器；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DTMB和DVB-C输入接口：1路或2路，英制F母头（1路同时支持DTMB和DVB-C）；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收扩机音频输出接口：音频接线柱，定阻输出；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4G天线接口：1路SMA4G天线接口；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USB接口：1路USB2.0接口；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SIM卡槽：1个SIM卡槽；支持12KV浪涌冲击，符合绝缘电阻和抗电强度相关要求；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防尘防水达到IP66等级测试要求。</w:t>
            </w:r>
          </w:p>
        </w:tc>
        <w:tc>
          <w:tcPr>
            <w:tcW w:w="1823" w:type="dxa"/>
            <w:shd w:val="clear" w:color="auto" w:fill="auto"/>
            <w:vAlign w:val="center"/>
          </w:tcPr>
          <w:p w14:paraId="03B2D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每个镇乡2套多模收扩机，放置在各镇乡机房</w:t>
            </w:r>
          </w:p>
        </w:tc>
      </w:tr>
      <w:tr w14:paraId="6454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0754C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2856" w:type="dxa"/>
            <w:shd w:val="clear" w:color="auto" w:fill="auto"/>
            <w:vAlign w:val="center"/>
          </w:tcPr>
          <w:p w14:paraId="67E97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高音喇叭</w:t>
            </w:r>
          </w:p>
        </w:tc>
        <w:tc>
          <w:tcPr>
            <w:tcW w:w="658" w:type="dxa"/>
            <w:shd w:val="clear" w:color="auto" w:fill="auto"/>
            <w:vAlign w:val="center"/>
          </w:tcPr>
          <w:p w14:paraId="4CE35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77C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694" w:type="dxa"/>
            <w:shd w:val="clear" w:color="auto" w:fill="auto"/>
            <w:vAlign w:val="center"/>
          </w:tcPr>
          <w:p w14:paraId="181D1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1.额定功率：25W；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2.额定阻抗：8Ω±15%；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3.额定频率范围：250—5000Hz；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4.特性灵敏度级：不低于104dBm/w（1KHz）；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5.谐波失真：不高于1.5%；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6.语言清晰度：不低于0.8；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7.使用材料：铝、钢铁、磁铁等，加厚设计；8.采用专用抗低温、抗风固定架，采用四角固定方式；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9.喇叭防风能力大于等于8级。</w:t>
            </w:r>
          </w:p>
        </w:tc>
        <w:tc>
          <w:tcPr>
            <w:tcW w:w="1823" w:type="dxa"/>
            <w:shd w:val="clear" w:color="auto" w:fill="auto"/>
            <w:vAlign w:val="center"/>
          </w:tcPr>
          <w:p w14:paraId="434E6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每个镇乡各8个高音喇叭，放置在各镇乡指定地点。</w:t>
            </w:r>
          </w:p>
        </w:tc>
      </w:tr>
      <w:tr w14:paraId="5379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329A4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2856" w:type="dxa"/>
            <w:shd w:val="clear" w:color="auto" w:fill="auto"/>
            <w:vAlign w:val="center"/>
          </w:tcPr>
          <w:p w14:paraId="64BA8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辅材及安装调试</w:t>
            </w:r>
          </w:p>
        </w:tc>
        <w:tc>
          <w:tcPr>
            <w:tcW w:w="658" w:type="dxa"/>
            <w:shd w:val="clear" w:color="auto" w:fill="auto"/>
            <w:vAlign w:val="center"/>
          </w:tcPr>
          <w:p w14:paraId="038D3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1D6A0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694" w:type="dxa"/>
            <w:shd w:val="clear" w:color="auto" w:fill="auto"/>
            <w:vAlign w:val="center"/>
          </w:tcPr>
          <w:p w14:paraId="1E071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包含支架、线缆、人工、运输、安装、接电等实施费用。</w:t>
            </w:r>
          </w:p>
        </w:tc>
        <w:tc>
          <w:tcPr>
            <w:tcW w:w="1823" w:type="dxa"/>
            <w:shd w:val="clear" w:color="auto" w:fill="auto"/>
            <w:vAlign w:val="center"/>
          </w:tcPr>
          <w:p w14:paraId="1EC1D30D">
            <w:pPr>
              <w:jc w:val="center"/>
              <w:rPr>
                <w:rFonts w:hint="eastAsia" w:ascii="宋体" w:hAnsi="宋体" w:eastAsia="宋体" w:cs="宋体"/>
                <w:i w:val="0"/>
                <w:iCs w:val="0"/>
                <w:color w:val="000000"/>
                <w:sz w:val="24"/>
                <w:szCs w:val="24"/>
                <w:u w:val="none"/>
              </w:rPr>
            </w:pPr>
          </w:p>
        </w:tc>
      </w:tr>
      <w:tr w14:paraId="1A48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25" w:type="dxa"/>
            <w:gridSpan w:val="6"/>
            <w:shd w:val="clear" w:color="auto" w:fill="auto"/>
            <w:vAlign w:val="center"/>
          </w:tcPr>
          <w:p w14:paraId="1F242B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五、社区前端、终端</w:t>
            </w:r>
          </w:p>
        </w:tc>
      </w:tr>
      <w:tr w14:paraId="0CF0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25" w:type="dxa"/>
            <w:gridSpan w:val="6"/>
            <w:shd w:val="clear" w:color="auto" w:fill="auto"/>
            <w:vAlign w:val="center"/>
          </w:tcPr>
          <w:p w14:paraId="3636E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社区数量：共37个社区</w:t>
            </w:r>
          </w:p>
        </w:tc>
      </w:tr>
      <w:tr w14:paraId="32DC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39742F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046191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425031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5451C5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6A3BC4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823" w:type="dxa"/>
            <w:shd w:val="clear" w:color="auto" w:fill="auto"/>
            <w:vAlign w:val="center"/>
          </w:tcPr>
          <w:p w14:paraId="108314D0">
            <w:pPr>
              <w:jc w:val="center"/>
              <w:rPr>
                <w:rFonts w:hint="eastAsia" w:ascii="宋体" w:hAnsi="宋体" w:eastAsia="宋体" w:cs="宋体"/>
                <w:i w:val="0"/>
                <w:iCs w:val="0"/>
                <w:color w:val="000000"/>
                <w:sz w:val="24"/>
                <w:szCs w:val="24"/>
                <w:u w:val="none"/>
              </w:rPr>
            </w:pPr>
          </w:p>
        </w:tc>
      </w:tr>
      <w:tr w14:paraId="039E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2BC00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1FFC3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社区应急广播适配器</w:t>
            </w:r>
          </w:p>
        </w:tc>
        <w:tc>
          <w:tcPr>
            <w:tcW w:w="658" w:type="dxa"/>
            <w:shd w:val="clear" w:color="auto" w:fill="auto"/>
            <w:vAlign w:val="center"/>
          </w:tcPr>
          <w:p w14:paraId="07D4B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2359A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0CB87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满足《模拟调频广播应急广播技术规范》（GY/T 390-2023）、《有线数字电视应急广播技术规范》（GY/T 393-2023）、《GD/J 087-2018 地面数字电视应急广播技术规范》、《应急广播大喇叭系统技术要求和测量方法》（GY/T 394-2023）要求。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设备基本功能要求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具备DVB-C、DTMB接收、IP接收、调频RDS接收功能，接收应急平台发布的控制指令信号和应急广播信息等内容，实现应急广播的功能；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可脱离管理平台实现本级广播（调频、IP）及参数设置功能；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具备完善的抗干扰、防插播、防盗播等安全播出技术措施，确保系统安全播出，采取数字签名验证等技术手段和措施防止干扰、非法插播和盗播；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具备将适配器自身的各种状态和参数信息，按需向应急广播系统管理平台加以回传反馈功能；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可通过前面板液晶屏及按键，对设备IP地址、端口号进行设置；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可设置定时广播，广播音源可选择话筒广播、U盘、调频接收、线路输入等；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支持优先级判断,支持一键紧急开播模式；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具有监听功能：内置监听喇叭，监听音量可调节，具有音频存储功能，音频编码格式为MP3,标称存储容量≥16GB；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通过以太网，支持远程实时监听和历史回溯；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具有声光报警功能，当需要本机应急广播播发时，能够输出声音报警，报警音量≥80分贝；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具有电话广播功能，电话广播支持至少32个白名单；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支持远程对本设备的网络参数、应急广播资源编码、回传参数工作参数配置；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具备响应应急广播管理平台发出的控制和读取状态指令的功能；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内置回传模块，配置TD-LTE和FDD-LTE，全网通4G模块。SIM卡：支持移动、电信、联通，可插拔更换；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内置安全模块，支持国密SM系列算法，具有应急广播数据验签功能；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支持信任列表和信任证书的更新；具有密钥和证书管理功能；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具备中波AM接收功能；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整机采用嵌入式专用设备设计，以确保广播电视安全播出的稳定可靠；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具备RS232接口，可外接其他应急广播辅助设备；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设备支持实时告警功能；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设备具有100Base-T以太网接口，可通过统一网管软件系统的监控管理进行设备配置，并实现通过网管统一集中进行状态监控；设备要求具备网管IP接口，可支持软件升级；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支持外置音频切换器控制；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地面/有线数字电视应急广播接收功能要求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可接收上级DTMB和DVB-C信号，解调出音频信号及控制信号，做出相应的播发/停止动作，符合《有线数字电视应急广播技术规范》（GY/T 393-2023）和《GD/J 087-2018 地面数字电视应急广播技术规范》的要求；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具备地面和有线数字电视应急广播音视频输出；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可接收上级IP信号，解调出音频信号及控制信号，做出相应的播发/停止动作，符合《应急广播大喇叭系统技术要求和测量方法》（GY/T 394-2023）附录D的要求；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调频应急广播功能要求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可接收上级调频信号，解调出音频信号及RDS数据，做出相应的播发/停止动作，符合《模拟调频广播应急广播技术规范》（GY/T 390-2023）的要求；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具备应急广播RDS基带信号输出，可直接对接调频发射机RDS接口；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支持通过IP广播、地面和有线数字电视广播接收到应急广播指令的FM-RDS转发输出功能，实现应急广播接收后的二次覆盖输出；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支持调频广播的RDS应急广播协议封装、适配、发送，包括调频广播RDS基带编码、应急广播RDS数据生成、RDS发送，以及应急广播音频输出功能。输出信号符合《模拟调频广播应急广播技术规范》（GY/T 390-2023）；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安全加密功能要求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支持内置外接安全加密产品可选；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内置符合国密算法的安全模块，具备对接收到的应急广播消息进行验签功能，处理符合《应急广播系统数字签名技术规范》（GY/T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支持对转发输出的指令进行安全签名的功能，处理符合《应急广播系统数字签名技术规范》（GY/T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具备2路线路音频输入，接口类型：RCA莲花母座；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具备1路麦克风音频输入，接口类型：6.35mm插孔；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具备1路拾音器输入，接口类型：凤凰插座；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具备1路内置MIC输入；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具备1路FM调频输入，内置2个调谐器。接口类型：公制F母座；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具备1路DTMB和DVB-C数字电视输入，接口类型：公制F母座；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具备1路线路音频输出，接口类型：RCA莲花母座；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具备1路定阻功率音频输出，接口类型：功放机音频接线柱；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具备1路FM调频输出，可输出2个频点，接口类型：公制F母座；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具备1路RDS输出，接口类型：BNC；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具备1路网络接口，接口类型：RJ45；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具备1路串口，接口类型：RS232；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具备2个USB接口，接口类型：USB TypeA；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具备1路交流电源输入接口，接口类型：三芯电源插座；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具有220VAC受控电源输出。</w:t>
            </w:r>
          </w:p>
        </w:tc>
        <w:tc>
          <w:tcPr>
            <w:tcW w:w="1823" w:type="dxa"/>
            <w:shd w:val="clear" w:color="auto" w:fill="auto"/>
            <w:vAlign w:val="center"/>
          </w:tcPr>
          <w:p w14:paraId="3AF58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每个社区1套分控平台，放置在各社区机房</w:t>
            </w:r>
          </w:p>
        </w:tc>
      </w:tr>
      <w:tr w14:paraId="10DF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98" w:type="dxa"/>
            <w:shd w:val="clear" w:color="auto" w:fill="auto"/>
            <w:vAlign w:val="center"/>
          </w:tcPr>
          <w:p w14:paraId="47A38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0236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有线话筒</w:t>
            </w:r>
          </w:p>
        </w:tc>
        <w:tc>
          <w:tcPr>
            <w:tcW w:w="658" w:type="dxa"/>
            <w:shd w:val="clear" w:color="auto" w:fill="auto"/>
            <w:vAlign w:val="center"/>
          </w:tcPr>
          <w:p w14:paraId="20DDF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FD55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55B125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类型：动圈或电容话筒；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指向性：心型指向；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适用范围：会议话筒；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频率范围：50～15000Hz；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供电电源：DC 3V。</w:t>
            </w:r>
          </w:p>
        </w:tc>
        <w:tc>
          <w:tcPr>
            <w:tcW w:w="1823" w:type="dxa"/>
            <w:shd w:val="clear" w:color="auto" w:fill="auto"/>
            <w:vAlign w:val="center"/>
          </w:tcPr>
          <w:p w14:paraId="4D51A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每个社区1个有线话筒，放置在各社区机房</w:t>
            </w:r>
          </w:p>
        </w:tc>
      </w:tr>
      <w:tr w14:paraId="1800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98" w:type="dxa"/>
            <w:shd w:val="clear" w:color="auto" w:fill="auto"/>
            <w:vAlign w:val="center"/>
          </w:tcPr>
          <w:p w14:paraId="0037B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62FEE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658" w:type="dxa"/>
            <w:shd w:val="clear" w:color="auto" w:fill="auto"/>
            <w:vAlign w:val="center"/>
          </w:tcPr>
          <w:p w14:paraId="515BB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4C52C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68B7B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8个10/100/1000Base-T自适应电口，4个1G/2.5G SFP光口；交换容量≥672Gbps/6.72Tbps，包转发率≥102Mpps/126Mpps，支持全端口线速转发；支持NMC/vNMC/NAC/SAC统一管理、统一查看状态、VLAN等配置管理；支持终端识别、终端准入、安全防护及安全画像可视；支持胖瘦一体化；实配：4个千兆单芯20KM光模块，为保证兼容性，光模块需与交换机同一品牌；</w:t>
            </w:r>
          </w:p>
        </w:tc>
        <w:tc>
          <w:tcPr>
            <w:tcW w:w="1823" w:type="dxa"/>
            <w:shd w:val="clear" w:color="auto" w:fill="auto"/>
            <w:vAlign w:val="center"/>
          </w:tcPr>
          <w:p w14:paraId="568A9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每个社区1台交换机，放置在各社区机房</w:t>
            </w:r>
          </w:p>
        </w:tc>
      </w:tr>
      <w:tr w14:paraId="4934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shd w:val="clear" w:color="auto" w:fill="auto"/>
            <w:vAlign w:val="center"/>
          </w:tcPr>
          <w:p w14:paraId="68A2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2856" w:type="dxa"/>
            <w:shd w:val="clear" w:color="auto" w:fill="auto"/>
            <w:vAlign w:val="center"/>
          </w:tcPr>
          <w:p w14:paraId="72830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10U机柜</w:t>
            </w:r>
          </w:p>
        </w:tc>
        <w:tc>
          <w:tcPr>
            <w:tcW w:w="658" w:type="dxa"/>
            <w:shd w:val="clear" w:color="auto" w:fill="auto"/>
            <w:vAlign w:val="center"/>
          </w:tcPr>
          <w:p w14:paraId="262E4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C0D6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3A9A7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10U标准机柜。</w:t>
            </w:r>
          </w:p>
        </w:tc>
        <w:tc>
          <w:tcPr>
            <w:tcW w:w="1823" w:type="dxa"/>
            <w:shd w:val="clear" w:color="auto" w:fill="auto"/>
            <w:vAlign w:val="center"/>
          </w:tcPr>
          <w:p w14:paraId="70EEA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每个社区一套10U机柜，放置在各社区机房</w:t>
            </w:r>
          </w:p>
        </w:tc>
      </w:tr>
      <w:tr w14:paraId="6F7C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20CB2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2856" w:type="dxa"/>
            <w:shd w:val="clear" w:color="auto" w:fill="auto"/>
            <w:vAlign w:val="center"/>
          </w:tcPr>
          <w:p w14:paraId="51AB8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高可靠性终端（带直播星）</w:t>
            </w:r>
          </w:p>
        </w:tc>
        <w:tc>
          <w:tcPr>
            <w:tcW w:w="658" w:type="dxa"/>
            <w:shd w:val="clear" w:color="auto" w:fill="auto"/>
            <w:vAlign w:val="center"/>
          </w:tcPr>
          <w:p w14:paraId="25365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AE31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0A9D6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1、集传统应急广播收扩机、网络IPC 视频监控摄像机、一键报警可视对讲系统、直播星接收天线、太阳能供电系统等为一体的新一代应急广播一体化智能终端；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2、具备直播卫星TS、有线数字电视TS、地面数字电视TS、调频FM、IP 信号等多种接收功能，内置4G/5G 模组，能够播发应急广播音频消息，向应急广播前端平台反馈播发情况等功能，可外接大功率高音号角喇叭，内置电池，可与太阳能供电、交流市电无缝切换；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3、采用模块化外壳结构设计。具备直播卫星ABS-S 输入接口，能够接收直播卫星应急广播消息；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4、具备FM 调频输入接口，能够接收调频应急广播消息；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5、具备DTMB 地面数字电视输入接口，能够接收地面数字电视应急广播消息；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6、具备DVB-C 有线数字电视输入接口，能够接收有线数字电视应急广播消息；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7、具备IP 网络接口，能够接收网络信号应急广播消息；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8、内置4G/5G 模块，能够与应急广播平台交互通信；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9、内置国密安全模块，支持应急广播安全规范；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10、具备一键报警模块，能够通过一键报警按键自动与前端平台连接；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11、具备独立电源输入接口，支持外部供电输入；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12、内置电池，可外接太阳能供电，并与交流市电无缝切换；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13、摄像头400万像素，支持云台旋转、室外防水、智能巡航等功能；音频输出功率：≥100W；一键报警支持全双工免提通话，支持自动应答、对讲，采用铝合金外壳，面盖具备防拆设计；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14、含定制多功能杆体，可适配各种功能模块，高度不低于5m；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15、太阳能供电系统：包含太阳能板18V 100w*2，转换效率大于17%，同时蓄电池12V200Ah*1，支持市电互补。</w:t>
            </w:r>
          </w:p>
        </w:tc>
        <w:tc>
          <w:tcPr>
            <w:tcW w:w="1823" w:type="dxa"/>
            <w:shd w:val="clear" w:color="auto" w:fill="auto"/>
            <w:vAlign w:val="center"/>
          </w:tcPr>
          <w:p w14:paraId="489AB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每个社区所在地安装1套高可靠性终端，放置在各社区指定地点。</w:t>
            </w:r>
          </w:p>
        </w:tc>
      </w:tr>
      <w:tr w14:paraId="57BF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2A761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2856" w:type="dxa"/>
            <w:shd w:val="clear" w:color="auto" w:fill="auto"/>
            <w:vAlign w:val="center"/>
          </w:tcPr>
          <w:p w14:paraId="2295E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高可靠终端立杆费用</w:t>
            </w:r>
          </w:p>
        </w:tc>
        <w:tc>
          <w:tcPr>
            <w:tcW w:w="658" w:type="dxa"/>
            <w:shd w:val="clear" w:color="auto" w:fill="auto"/>
            <w:vAlign w:val="center"/>
          </w:tcPr>
          <w:p w14:paraId="068A1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68D9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6FB43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水泥基础、接地防雷、终端接市电等工作内容。</w:t>
            </w:r>
          </w:p>
        </w:tc>
        <w:tc>
          <w:tcPr>
            <w:tcW w:w="1823" w:type="dxa"/>
            <w:shd w:val="clear" w:color="auto" w:fill="auto"/>
            <w:vAlign w:val="center"/>
          </w:tcPr>
          <w:p w14:paraId="4A48EF50">
            <w:pPr>
              <w:jc w:val="center"/>
              <w:rPr>
                <w:rFonts w:hint="eastAsia" w:ascii="宋体" w:hAnsi="宋体" w:eastAsia="宋体" w:cs="宋体"/>
                <w:i w:val="0"/>
                <w:iCs w:val="0"/>
                <w:color w:val="000000"/>
                <w:sz w:val="24"/>
                <w:szCs w:val="24"/>
                <w:u w:val="none"/>
              </w:rPr>
            </w:pPr>
          </w:p>
        </w:tc>
      </w:tr>
      <w:tr w14:paraId="234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11C50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2856" w:type="dxa"/>
            <w:shd w:val="clear" w:color="auto" w:fill="auto"/>
            <w:vAlign w:val="center"/>
          </w:tcPr>
          <w:p w14:paraId="0493A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辅材及安装调试</w:t>
            </w:r>
          </w:p>
        </w:tc>
        <w:tc>
          <w:tcPr>
            <w:tcW w:w="658" w:type="dxa"/>
            <w:shd w:val="clear" w:color="auto" w:fill="auto"/>
            <w:vAlign w:val="center"/>
          </w:tcPr>
          <w:p w14:paraId="7D018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17A73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29A95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包含支架、线缆、人工、运输、安装、接电等实施费用。</w:t>
            </w:r>
          </w:p>
        </w:tc>
        <w:tc>
          <w:tcPr>
            <w:tcW w:w="1823" w:type="dxa"/>
            <w:shd w:val="clear" w:color="auto" w:fill="auto"/>
            <w:vAlign w:val="center"/>
          </w:tcPr>
          <w:p w14:paraId="1DBCA5EB">
            <w:pPr>
              <w:jc w:val="center"/>
              <w:rPr>
                <w:rFonts w:hint="eastAsia" w:ascii="宋体" w:hAnsi="宋体" w:eastAsia="宋体" w:cs="宋体"/>
                <w:i w:val="0"/>
                <w:iCs w:val="0"/>
                <w:color w:val="000000"/>
                <w:sz w:val="24"/>
                <w:szCs w:val="24"/>
                <w:u w:val="none"/>
              </w:rPr>
            </w:pPr>
          </w:p>
        </w:tc>
      </w:tr>
      <w:tr w14:paraId="7FDB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425" w:type="dxa"/>
            <w:gridSpan w:val="6"/>
            <w:shd w:val="clear" w:color="auto" w:fill="auto"/>
            <w:vAlign w:val="center"/>
          </w:tcPr>
          <w:p w14:paraId="68B06F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六、行政村前端、终端</w:t>
            </w:r>
          </w:p>
        </w:tc>
      </w:tr>
      <w:tr w14:paraId="37F4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425" w:type="dxa"/>
            <w:gridSpan w:val="6"/>
            <w:shd w:val="clear" w:color="auto" w:fill="auto"/>
            <w:vAlign w:val="center"/>
          </w:tcPr>
          <w:p w14:paraId="6C182B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行政村数量：共283个行政村</w:t>
            </w:r>
          </w:p>
        </w:tc>
      </w:tr>
      <w:tr w14:paraId="49BE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0A23F6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119889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1F167A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04EC02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52A266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1823" w:type="dxa"/>
            <w:shd w:val="clear" w:color="auto" w:fill="auto"/>
            <w:vAlign w:val="center"/>
          </w:tcPr>
          <w:p w14:paraId="72D26E9A">
            <w:pPr>
              <w:jc w:val="center"/>
              <w:rPr>
                <w:rFonts w:hint="eastAsia" w:ascii="宋体" w:hAnsi="宋体" w:eastAsia="宋体" w:cs="宋体"/>
                <w:i w:val="0"/>
                <w:iCs w:val="0"/>
                <w:color w:val="000000"/>
                <w:sz w:val="24"/>
                <w:szCs w:val="24"/>
                <w:u w:val="none"/>
              </w:rPr>
            </w:pPr>
          </w:p>
        </w:tc>
      </w:tr>
      <w:tr w14:paraId="526C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0D4B6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33505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▲行政村应急广播适配器</w:t>
            </w:r>
          </w:p>
        </w:tc>
        <w:tc>
          <w:tcPr>
            <w:tcW w:w="658" w:type="dxa"/>
            <w:shd w:val="clear" w:color="auto" w:fill="auto"/>
            <w:vAlign w:val="center"/>
          </w:tcPr>
          <w:p w14:paraId="5E4EE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09EDB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5EFD8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满足《模拟调频广播应急广播技术规范》（GY/T 390-2023）、《有线数字电视应急广播技术规范》（GY/T 393-2023）、《GD/J 087-2018 地面数字电视应急广播技术规范》、《应急广播大喇叭系统技术要求和测量方法》（GY/T 394-2023）要求。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设备基本功能要求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具备DVB-C、DTMB接收、IP接收、调频RDS接收功能，接收应急平台发布的控制指令信号和应急广播信息等内容，实现应急广播的功能；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可脱离管理平台实现本级广播（调频、IP）及参数设置功能；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具备完善的抗干扰、防插播、防盗播等安全播出技术措施，确保系统安全播出，采取数字签名验证等技术手段和措施防止干扰、非法插播和盗播；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具备将适配器自身的各种状态和参数信息，按需向应急广播系统管理平台加以回传反馈功能；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可通过前面板液晶屏及按键，对设备IP地址、端口号进行设置；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可设置定时广播，广播音源可选择话筒广播、U盘、调频接收、线路输入等；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支持优先级判断,支持一键紧急开播模式；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具有监听功能：内置监听喇叭，监听音量可调节，具有音频存储功能，音频编码格式为MP3,标称存储容量≥16GB；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通过以太网，支持远程实时监听和历史回溯；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具有声光报警功能，当需要本机应急广播播发时，能够输出声音报警，报警音量≥80分贝；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具有电话广播功能，电话广播支持至少32个白名单；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支持远程对本设备的网络参数、应急广播资源编码、回传参数工作参数配置；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具备响应应急广播管理平台发出的控制和读取状态指令的功能；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内置回传模块，配置TD-LTE和FDD-LTE，全网通4G模块。SIM卡：支持移动、电信、联通，可插拔更换；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内置安全模块，支持国密SM系列算法，具有应急广播数据验签功能；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支持信任列表和信任证书的更新；具有密钥和证书管理功能；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具备中波AM接收功能；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整机采用嵌入式专用设备设计，以确保广播电视安全播出的稳定可靠；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设备配置管理，应急广播业务配置与监测，均可通过浏览器访问操作；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具备RS232接口，可外接其他应急广播辅助设备；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设备支持实时告警功能；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设备具有100Base-T以太网接口，可通过统一网管软件系统的监控管理进行设备配置，并实现通过网管统一集中进行状态监控；设备要求具备网管IP接口，可支持软件升级；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支持外置音频切换器控制；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地面/有线数字电视应急广播接收功能要求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可接收上级DTMB和DVB-C信号，解调出音频信号及控制信号，做出相应的播发/停止动作，符合《有线数字电视应急广播技术规范》（GY/T 393-2023）和《GD/J 087-2018 地面数字电视应急广播技术规范》的要求；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具备地面和有线数字电视应急广播音视频输出；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IP应急广播接收功能要求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可接收上级IP信号，解调出音频信号及控制信号，做出相应的播发/停止动作，符合《应急广播大喇叭系统技术要求和测量方法》（GY/T 394-2023）附录D的要求；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调频应急广播功能要求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可接收上级调频信号，解调出音频信号及RDS数据，做出相应的播发/停止动作，符合《模拟调频广播应急广播技术规范》（GY/T 390-2023）的要求；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具备应急广播模拟音频输出，支持立体声音频信号输出；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具备应急广播RDS基带信号输出，可直接对接调频发射机RDS接口；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支持通过IP广播、地面和有线数字电视广播接收到应急广播指令的FM-RDS转发输出功能，实现应急广播接收后的二次覆盖输出；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支持调频广播的RDS应急广播协议封装、适配、发送，包括调频广播RDS基带编码、应急广播RDS数据生成、RDS发送，以及应急广播音频输出功能。输出信号符合《模拟调频广播应急广播技术规范》（GY/T 390-2023）；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安全加密功能要求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支持内置外接安全加密产品可选；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内置符合国密算法的安全模块，具备对接收到的应急广播消息进行验签功能，处理符合《应急广播系统数字签名技术规范》（GY/T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支持对转发输出的指令进行安全签名的功能，处理符合《应急广播系统数字签名技术规范》（GY/T 389-2023）的要求；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具备2路线路音频输入，接口类型：RCA莲花母座；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具备1路麦克风音频输入，接口类型：6.35mm插孔；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具备1路拾音器输入，接口类型：凤凰插座；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具备1路内置MIC输入；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具备1路FM调频输入，内置2个调谐器。接口类型：公制F母座；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具备1路DTMB和DVB-C数字电视输入，接口类型：公制F母座；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具备1路线路音频输出，接口类型：RCA莲花母座；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具备1路定阻功率音频输出，接口类型：功放机音频接线柱；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具备1路FM调频输出，可输出2个频点，接口类型：公制F母座；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具备1路RDS输出，接口类型：BNC；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具备1路网络接口，接口类型：RJ45；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具备1路串口，接口类型：RS232；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具备2个USB接口，接口类型：USB TypeA；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具备1路交流电源输入接口，接口类型：三芯电源插座；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具有220VAC受控电源输出。</w:t>
            </w:r>
          </w:p>
        </w:tc>
        <w:tc>
          <w:tcPr>
            <w:tcW w:w="1823" w:type="dxa"/>
            <w:shd w:val="clear" w:color="auto" w:fill="auto"/>
            <w:vAlign w:val="center"/>
          </w:tcPr>
          <w:p w14:paraId="3ABFA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每行政村各1个，放置在各行政村机房</w:t>
            </w:r>
          </w:p>
        </w:tc>
      </w:tr>
      <w:tr w14:paraId="57AE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8" w:type="dxa"/>
            <w:shd w:val="clear" w:color="auto" w:fill="auto"/>
            <w:vAlign w:val="center"/>
          </w:tcPr>
          <w:p w14:paraId="5C5CE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6840A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有线话筒</w:t>
            </w:r>
          </w:p>
        </w:tc>
        <w:tc>
          <w:tcPr>
            <w:tcW w:w="658" w:type="dxa"/>
            <w:shd w:val="clear" w:color="auto" w:fill="auto"/>
            <w:vAlign w:val="center"/>
          </w:tcPr>
          <w:p w14:paraId="222A1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06AE9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589797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类型：动圈或电容话筒；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指向性：心型指向；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适用范围：会议话筒；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频率范围：50～15000Hz；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供电电源：DC 3V。</w:t>
            </w:r>
          </w:p>
        </w:tc>
        <w:tc>
          <w:tcPr>
            <w:tcW w:w="1823" w:type="dxa"/>
            <w:shd w:val="clear" w:color="auto" w:fill="auto"/>
            <w:vAlign w:val="center"/>
          </w:tcPr>
          <w:p w14:paraId="59FE7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每行政村各1个，放置在各行政村机房</w:t>
            </w:r>
          </w:p>
        </w:tc>
      </w:tr>
      <w:tr w14:paraId="3FE4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98" w:type="dxa"/>
            <w:shd w:val="clear" w:color="auto" w:fill="auto"/>
            <w:vAlign w:val="center"/>
          </w:tcPr>
          <w:p w14:paraId="70429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04750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658" w:type="dxa"/>
            <w:shd w:val="clear" w:color="auto" w:fill="auto"/>
            <w:vAlign w:val="center"/>
          </w:tcPr>
          <w:p w14:paraId="7CF00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30706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7A88EA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8个10/100/1000Base-T自适应电口，4个1G/2.5G SFP光口；交换容量≥672Gbps/6.72Tbps，包转发率≥102Mpps/126Mpps，支持全端口线速转发；支持NMC/vNMC/NAC/SAC统一管理、统一查看状态、VLAN等配置管理；支持终端识别、终端准入、安全防护及安全画像可视；支持胖瘦一体化；实配：4个千兆单芯20KM光模块，为保证兼容性，光模块需与交换机同一品牌；</w:t>
            </w:r>
          </w:p>
        </w:tc>
        <w:tc>
          <w:tcPr>
            <w:tcW w:w="1823" w:type="dxa"/>
            <w:shd w:val="clear" w:color="auto" w:fill="auto"/>
            <w:vAlign w:val="center"/>
          </w:tcPr>
          <w:p w14:paraId="0ED0A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每行政村各1台，放置在各行政村机房</w:t>
            </w:r>
          </w:p>
        </w:tc>
      </w:tr>
      <w:tr w14:paraId="55FE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1A42B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56" w:type="dxa"/>
            <w:shd w:val="clear" w:color="auto" w:fill="auto"/>
            <w:vAlign w:val="center"/>
          </w:tcPr>
          <w:p w14:paraId="6B76B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10U机柜</w:t>
            </w:r>
          </w:p>
        </w:tc>
        <w:tc>
          <w:tcPr>
            <w:tcW w:w="658" w:type="dxa"/>
            <w:shd w:val="clear" w:color="auto" w:fill="auto"/>
            <w:vAlign w:val="center"/>
          </w:tcPr>
          <w:p w14:paraId="20314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4C004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4429FB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10U标准机柜。</w:t>
            </w:r>
          </w:p>
        </w:tc>
        <w:tc>
          <w:tcPr>
            <w:tcW w:w="1823" w:type="dxa"/>
            <w:shd w:val="clear" w:color="auto" w:fill="auto"/>
            <w:vAlign w:val="center"/>
          </w:tcPr>
          <w:p w14:paraId="462F2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每行政村各1个，放置在各行政村机房</w:t>
            </w:r>
          </w:p>
        </w:tc>
      </w:tr>
      <w:tr w14:paraId="06CE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8" w:type="dxa"/>
            <w:shd w:val="clear" w:color="auto" w:fill="auto"/>
            <w:vAlign w:val="center"/>
          </w:tcPr>
          <w:p w14:paraId="1E315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56" w:type="dxa"/>
            <w:shd w:val="clear" w:color="auto" w:fill="auto"/>
            <w:vAlign w:val="center"/>
          </w:tcPr>
          <w:p w14:paraId="725A0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太阳能供电系统</w:t>
            </w:r>
          </w:p>
        </w:tc>
        <w:tc>
          <w:tcPr>
            <w:tcW w:w="658" w:type="dxa"/>
            <w:shd w:val="clear" w:color="auto" w:fill="auto"/>
            <w:vAlign w:val="center"/>
          </w:tcPr>
          <w:p w14:paraId="527F8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4B823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3A214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1.太阳能供电系统：包含太阳能板18V 100w*2，转换效率大于17%，同时蓄电池12V200Ah*1，支持市电互补。</w:t>
            </w:r>
          </w:p>
        </w:tc>
        <w:tc>
          <w:tcPr>
            <w:tcW w:w="1823" w:type="dxa"/>
            <w:shd w:val="clear" w:color="auto" w:fill="auto"/>
            <w:vAlign w:val="center"/>
          </w:tcPr>
          <w:p w14:paraId="1C0C6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每行政村各1套，放置在各行政村机房</w:t>
            </w:r>
          </w:p>
        </w:tc>
      </w:tr>
      <w:tr w14:paraId="1DED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8" w:type="dxa"/>
            <w:shd w:val="clear" w:color="auto" w:fill="auto"/>
            <w:vAlign w:val="center"/>
          </w:tcPr>
          <w:p w14:paraId="62D11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56" w:type="dxa"/>
            <w:shd w:val="clear" w:color="auto" w:fill="auto"/>
            <w:vAlign w:val="center"/>
          </w:tcPr>
          <w:p w14:paraId="4809E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高可靠性终端（带直播星）</w:t>
            </w:r>
          </w:p>
        </w:tc>
        <w:tc>
          <w:tcPr>
            <w:tcW w:w="658" w:type="dxa"/>
            <w:shd w:val="clear" w:color="auto" w:fill="auto"/>
            <w:vAlign w:val="center"/>
          </w:tcPr>
          <w:p w14:paraId="2F4AB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6896B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1BD3EF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1、集传统应急广播收扩机、网络IPC 视频监控摄像机、一键报警可视对讲系统、直播星接收天线、太阳能供电系统等为一体的新一代应急广播一体化智能终端；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2、具备直播卫星TS、有线数字电视TS、地面数字电视TS、调频FM、IP 信号等多种接收功能，内置4G/5G 模组，能够播发应急广播音频消息，向应急广播前端平台反馈播发情况等功能，可外接大功率高音号角喇叭，内置电池，可与太阳能供电、交流市电无缝切换；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3、采用模块化外壳结构设计。具备直播卫星ABS-S 输入接口，能够接收直播卫星应急广播消息；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4、具备FM 调频输入接口，能够接收调频应急广播消息；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5、具备DTMB 地面数字电视输入接口，能够接收地面数字电视应急广播消息；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6、具备DVB-C 有线数字电视输入接口，能够接收有线数字电视应急广播消息；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7、具备IP 网络接口，能够接收网络信号应急广播消息；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8、内置4G/5G 模块，能够与应急广播平台交互通信；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9、内置国密安全模块，支持应急广播安全规范；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10、具备一键报警模块，能够通过一键报警按键自动与前端平台连接；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11、具备独立电源输入接口，支持外部供电输入；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12、内置电池，可外接太阳能供电，并与交流市电无缝切换；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13、摄像头400万像素，支持云台旋转、室外防水、智能巡航等功能；音频输出功率：≥100W；一键报警支持全双工免提通话，支持自动应答、对讲，采用铝合金外壳，面盖具备防拆设计；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14、含定制多功能杆体，可适配各种功能模块，高度不低于5m。</w:t>
            </w:r>
          </w:p>
        </w:tc>
        <w:tc>
          <w:tcPr>
            <w:tcW w:w="1823" w:type="dxa"/>
            <w:shd w:val="clear" w:color="auto" w:fill="auto"/>
            <w:vAlign w:val="center"/>
          </w:tcPr>
          <w:p w14:paraId="73D53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每行政村各1套，放置在各行政村机房</w:t>
            </w:r>
          </w:p>
        </w:tc>
      </w:tr>
      <w:tr w14:paraId="108B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1AE64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56" w:type="dxa"/>
            <w:shd w:val="clear" w:color="auto" w:fill="auto"/>
            <w:vAlign w:val="center"/>
          </w:tcPr>
          <w:p w14:paraId="71C08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高可靠性终端立杆</w:t>
            </w:r>
          </w:p>
        </w:tc>
        <w:tc>
          <w:tcPr>
            <w:tcW w:w="658" w:type="dxa"/>
            <w:shd w:val="clear" w:color="auto" w:fill="auto"/>
            <w:vAlign w:val="center"/>
          </w:tcPr>
          <w:p w14:paraId="2691B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03604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28842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水泥基础、接地防雷、终端接市电等工作内容。</w:t>
            </w:r>
          </w:p>
        </w:tc>
        <w:tc>
          <w:tcPr>
            <w:tcW w:w="1823" w:type="dxa"/>
            <w:shd w:val="clear" w:color="auto" w:fill="auto"/>
            <w:vAlign w:val="center"/>
          </w:tcPr>
          <w:p w14:paraId="3D6DB773">
            <w:pPr>
              <w:jc w:val="center"/>
              <w:rPr>
                <w:rFonts w:hint="eastAsia" w:ascii="宋体" w:hAnsi="宋体" w:eastAsia="宋体" w:cs="宋体"/>
                <w:i w:val="0"/>
                <w:iCs w:val="0"/>
                <w:color w:val="000000"/>
                <w:sz w:val="24"/>
                <w:szCs w:val="24"/>
                <w:u w:val="none"/>
              </w:rPr>
            </w:pPr>
          </w:p>
        </w:tc>
      </w:tr>
      <w:tr w14:paraId="4A27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98" w:type="dxa"/>
            <w:shd w:val="clear" w:color="auto" w:fill="auto"/>
            <w:vAlign w:val="center"/>
          </w:tcPr>
          <w:p w14:paraId="29E43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56" w:type="dxa"/>
            <w:shd w:val="clear" w:color="auto" w:fill="auto"/>
            <w:vAlign w:val="center"/>
          </w:tcPr>
          <w:p w14:paraId="64CA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多模收扩机</w:t>
            </w:r>
          </w:p>
        </w:tc>
        <w:tc>
          <w:tcPr>
            <w:tcW w:w="658" w:type="dxa"/>
            <w:shd w:val="clear" w:color="auto" w:fill="auto"/>
            <w:vAlign w:val="center"/>
          </w:tcPr>
          <w:p w14:paraId="496BF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E3AC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597A5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参数设置功能：支持设置本设备IP地址、指令端口号；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广播功能：支持接收来自适配器的调频信号，实现远程广播和本机控制功能；支持接收来自适配器的IP信号，实现远程广播和本机控制功能；支持接收来自适配器的DTMB信号，实现远程广播和本机控制功能；支持接收来自适配器的DVB-C信号，实现远程广播和本机控制功能；支持接收4G信号，实现远程广播和本机控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RDS）：支持应急/日常广播开/停播指令；支持设置资源编码；支持音量设置；支持回传参数设置；支持终端参数/状态查询指令；支持时钟校准；支持回传周期设置；支持终端功放开关指令；支持RDS扫描频点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DTMB）：支持应急/日常广播开/停播指令；支持设置资源编码；支持音量设置；支持回传参数设置；支持终端参数/状态查询指令；支持时钟校准；支持回传周期设置；支持终端功放开关指令；支持TS锁定频率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DVB-C）：支持应急/日常广播开/停播指令；支持设置资源编码；支持音量设置；支持回传参数设置；支持终端参数/状态查询指令；支持时钟校准；支持回传周期设置；支持终端功放开关指令；支持TS锁定频率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控制功能（IP）：支持应急/日常广播开停播指令；支持设置资源编码；支持音量设置；支持回传参数设置；支持终端参数/状态查询指令；支持时钟校准；支持IP终端网络参数设置；支持回传周期设置；支持终端功放开关指令；支持终端证书更新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验签功能：集成国密算法芯片，具有验签功能；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移动通信模块：配置移动通信模块，具备回传功能；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上级远程控制及分区域播发功能：支持上级远程控制，支持分区域播发控制。可实现多级分区，支持全区播放、分区播放、单点播放；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短路保护功能：被测设备输出接口短路时，具有保护功能；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网管功能：具有web网管，可显示、设置及保存设备详细参数；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信息通道：支持IP通道、FM-RDS通道、DTMB通道、DVB-C通道、4G播发应急广播消息通道；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模式切换：支持任意几种接收模式组合，可通过网管设置接收模式优先级。第一信号源中断自动切换到第二信号源，第一信号源恢复则自动接收第一信号源；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功能：支持接收、解码、播发上级平台播发的日常广播、应急广播或控制指令等信息，开关机和广播切换支持淡入淡出功能；音频解码：MPEG-1Layer1/2/3、MPEG-2Layer1/2/3、MP3、AAC、DRA、ADPCM解码输出音质清晰流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音频输出：多模收扩机定阻输出可外接高音喇叭；升级功能：支持软件在线升级。支持通过IP升级、TS升级、USB升级、OTA在线升级等升级方式；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调频接收处理：调频支持5个预置频率、上级信号优于下级信号、应急信号优于日常信号；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实时定时广播：支持网络实时、定时播放，在网络广播状态下，可以通过其它设备监听正在广播的内容；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支持协议：ARP、UDP、TCP/IP、ICMP、IGMP；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PID信息接收分析能力：两个上级应急广播平台同时播发应急广播信息，应急信息分别承载在PID号为0x21、0x22的两个码流上，应急广播适配器可同时接收并分析这两个PID上的应急信息并响应当前所有信息中优先级最高的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优先级播出：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1）应急广播大于日常广播；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2）相同类型广播，首先判断广播消息级别，优先级高则优先播出；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3）广播消息级别相同，如果设备设置为上级优先，则行政级别高优先播出；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4）广播消息级别和行政级别均相同，则按照通道优先级进行播放；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5）高优先级，广播播出完成后，播放次优先级广播；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设备唤醒：县级平台或乡镇平台发布应急广播消息支持FM、DTMB、DVB-C、IP/4G方式；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证书更新：支持调频、DTMB、DVB-C、IP、4G模式下的证书更新指令；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保护及恢复：具有电源过压，输出功放过热过载、短路保护功能，故障消失自动恢复；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自动恢复及优先级：具备广播断电自动恢复功能，可实时修改任务优先级；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音量调节：独立音量调节，上级应急可直接至音量最大；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数据回传：具备IP、4G通道数据回传功能；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频点轮询：具备FM-RDS接收功能，包含双调谐器接收模块，实现对设定调频频点的轮询功能；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工作电压范围；AC：160～264V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FM接收频率范围；87～108MHz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DTMB接收频率范围：VHF频段：167~223MHz，UHF频段：470~806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DVB-C接收频率范围：111～862MHz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信噪比：不低于80dB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频率响应（40Hz-20kHz）：±2dB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音频总谐波失真（1kHz）：不高于0.1%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音频位率：8~320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自适应采样率：8~48kHz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音频输出功率：不低于100W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工作温度：-40～70°C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DTMB接收灵敏度：不高于32dBuV；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DVB-C接收灵敏度：不高于35dBuV；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FM接收灵敏度；不高于30dBuV；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FM输入接口：公制F母头，1路输入，内置2分配，配置2个调谐器；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DTMB和DVB-C输入接口：1路或2路，英制F母头（1路同时支持DTMB和DVB-C）；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收扩机音频输出接口：音频接线柱，定阻输出；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4G天线接口：1路SMA4G天线接口；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USB接口：1路USB2.0接口；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SIM卡槽：1个SIM卡槽；支持12KV浪涌冲击，符合绝缘电阻和抗电强度相关要求；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防尘防水达到IP66等级测试要求。</w:t>
            </w:r>
          </w:p>
        </w:tc>
        <w:tc>
          <w:tcPr>
            <w:tcW w:w="1823" w:type="dxa"/>
            <w:shd w:val="clear" w:color="auto" w:fill="auto"/>
            <w:vAlign w:val="center"/>
          </w:tcPr>
          <w:p w14:paraId="1CEC4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每行政村各1个，放置在各行政村机房</w:t>
            </w:r>
          </w:p>
        </w:tc>
      </w:tr>
      <w:tr w14:paraId="3559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jc w:val="center"/>
        </w:trPr>
        <w:tc>
          <w:tcPr>
            <w:tcW w:w="698" w:type="dxa"/>
            <w:shd w:val="clear" w:color="auto" w:fill="auto"/>
            <w:vAlign w:val="center"/>
          </w:tcPr>
          <w:p w14:paraId="2EDA0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56" w:type="dxa"/>
            <w:shd w:val="clear" w:color="auto" w:fill="auto"/>
            <w:vAlign w:val="center"/>
          </w:tcPr>
          <w:p w14:paraId="7CCC2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高音喇叭</w:t>
            </w:r>
          </w:p>
        </w:tc>
        <w:tc>
          <w:tcPr>
            <w:tcW w:w="658" w:type="dxa"/>
            <w:shd w:val="clear" w:color="auto" w:fill="auto"/>
            <w:vAlign w:val="center"/>
          </w:tcPr>
          <w:p w14:paraId="7060D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06D49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w:t>
            </w:r>
          </w:p>
        </w:tc>
        <w:tc>
          <w:tcPr>
            <w:tcW w:w="7694" w:type="dxa"/>
            <w:shd w:val="clear" w:color="auto" w:fill="auto"/>
            <w:vAlign w:val="center"/>
          </w:tcPr>
          <w:p w14:paraId="4D1DF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1.额定功率：25W；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2.额定阻抗：8Ω±15%；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3.额定频率范围：250—5000Hz；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4.特性灵敏度级：不低于104dBm/w（1KHz）；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5.谐波失真：不高于1.5%；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6.语言清晰度：不低于0.8；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7.使用材料：铝、钢铁、磁铁等，加厚设计；8.采用专用抗低温、抗风固定架，采用四角固定方式；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9.喇叭防风能力大于等于8级。</w:t>
            </w:r>
          </w:p>
        </w:tc>
        <w:tc>
          <w:tcPr>
            <w:tcW w:w="1823" w:type="dxa"/>
            <w:shd w:val="clear" w:color="auto" w:fill="auto"/>
            <w:vAlign w:val="center"/>
          </w:tcPr>
          <w:p w14:paraId="3C341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每行政村各4个，放置在各行政村指定地点。</w:t>
            </w:r>
          </w:p>
        </w:tc>
      </w:tr>
      <w:tr w14:paraId="20CE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0A7CF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56" w:type="dxa"/>
            <w:shd w:val="clear" w:color="auto" w:fill="auto"/>
            <w:vAlign w:val="center"/>
          </w:tcPr>
          <w:p w14:paraId="790FC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辅材及安装调试</w:t>
            </w:r>
          </w:p>
        </w:tc>
        <w:tc>
          <w:tcPr>
            <w:tcW w:w="658" w:type="dxa"/>
            <w:shd w:val="clear" w:color="auto" w:fill="auto"/>
            <w:vAlign w:val="center"/>
          </w:tcPr>
          <w:p w14:paraId="41958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036D6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608D7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包含支架、线缆、人工、运输、安装、接电等全部实施费用</w:t>
            </w:r>
          </w:p>
        </w:tc>
        <w:tc>
          <w:tcPr>
            <w:tcW w:w="1823" w:type="dxa"/>
            <w:shd w:val="clear" w:color="auto" w:fill="auto"/>
            <w:vAlign w:val="center"/>
          </w:tcPr>
          <w:p w14:paraId="3FCB2C0C">
            <w:pPr>
              <w:jc w:val="center"/>
              <w:rPr>
                <w:rFonts w:hint="eastAsia" w:ascii="宋体" w:hAnsi="宋体" w:eastAsia="宋体" w:cs="宋体"/>
                <w:i w:val="0"/>
                <w:iCs w:val="0"/>
                <w:color w:val="000000"/>
                <w:sz w:val="24"/>
                <w:szCs w:val="24"/>
                <w:u w:val="none"/>
              </w:rPr>
            </w:pPr>
          </w:p>
        </w:tc>
      </w:tr>
      <w:tr w14:paraId="4AA6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25" w:type="dxa"/>
            <w:gridSpan w:val="6"/>
            <w:shd w:val="clear" w:color="auto" w:fill="auto"/>
            <w:vAlign w:val="bottom"/>
          </w:tcPr>
          <w:p w14:paraId="5DF6B782">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  网络租赁</w:t>
            </w:r>
          </w:p>
        </w:tc>
      </w:tr>
      <w:tr w14:paraId="2506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130BB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7657B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5FD7AA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09C8CF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6152153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技术指标（参数）</w:t>
            </w:r>
          </w:p>
        </w:tc>
        <w:tc>
          <w:tcPr>
            <w:tcW w:w="1823" w:type="dxa"/>
            <w:shd w:val="clear" w:color="auto" w:fill="auto"/>
            <w:vAlign w:val="center"/>
          </w:tcPr>
          <w:p w14:paraId="3F8FF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配置原则</w:t>
            </w:r>
          </w:p>
        </w:tc>
      </w:tr>
      <w:tr w14:paraId="77AD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0BDA8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56" w:type="dxa"/>
            <w:shd w:val="clear" w:color="auto" w:fill="auto"/>
            <w:vAlign w:val="center"/>
          </w:tcPr>
          <w:p w14:paraId="7E64D1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北京市应急广播平台至怀柔区应急广播平台，100M政务外网</w:t>
            </w:r>
          </w:p>
        </w:tc>
        <w:tc>
          <w:tcPr>
            <w:tcW w:w="658" w:type="dxa"/>
            <w:shd w:val="clear" w:color="auto" w:fill="auto"/>
            <w:vAlign w:val="center"/>
          </w:tcPr>
          <w:p w14:paraId="77917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723E5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6E25DF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怀柔区区应急广播平台与北京市应急广播平台互联</w:t>
            </w:r>
          </w:p>
        </w:tc>
        <w:tc>
          <w:tcPr>
            <w:tcW w:w="1823" w:type="dxa"/>
            <w:shd w:val="clear" w:color="auto" w:fill="auto"/>
            <w:vAlign w:val="center"/>
          </w:tcPr>
          <w:p w14:paraId="4731FA8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r>
      <w:tr w14:paraId="0323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752233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56" w:type="dxa"/>
            <w:shd w:val="clear" w:color="auto" w:fill="auto"/>
            <w:vAlign w:val="center"/>
          </w:tcPr>
          <w:p w14:paraId="2A7322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怀柔区应急广播平台至应急局、地震局、气象局、水务局、园林绿化局，50M通达链路</w:t>
            </w:r>
          </w:p>
        </w:tc>
        <w:tc>
          <w:tcPr>
            <w:tcW w:w="658" w:type="dxa"/>
            <w:shd w:val="clear" w:color="auto" w:fill="auto"/>
            <w:vAlign w:val="center"/>
          </w:tcPr>
          <w:p w14:paraId="077624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743F97B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694" w:type="dxa"/>
            <w:shd w:val="clear" w:color="auto" w:fill="auto"/>
            <w:vAlign w:val="center"/>
          </w:tcPr>
          <w:p w14:paraId="10B4FA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怀柔区应急广播平台至5个横向单位：区应急管理局、区水务局、区园林绿化局、区地震局、区气象局(每年租赁费用)</w:t>
            </w:r>
          </w:p>
        </w:tc>
        <w:tc>
          <w:tcPr>
            <w:tcW w:w="1823" w:type="dxa"/>
            <w:shd w:val="clear" w:color="auto" w:fill="auto"/>
            <w:vAlign w:val="center"/>
          </w:tcPr>
          <w:p w14:paraId="3FED6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w:t>
            </w:r>
          </w:p>
        </w:tc>
      </w:tr>
      <w:tr w14:paraId="761B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3D3848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2856" w:type="dxa"/>
            <w:shd w:val="clear" w:color="auto" w:fill="auto"/>
            <w:vAlign w:val="center"/>
          </w:tcPr>
          <w:p w14:paraId="6F0BFC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怀柔区应急广播平台至怀柔区融媒体中心，</w:t>
            </w:r>
            <w:r>
              <w:rPr>
                <w:rFonts w:hint="default" w:ascii="宋体" w:hAnsi="宋体" w:eastAsia="宋体" w:cs="宋体"/>
                <w:i w:val="0"/>
                <w:iCs w:val="0"/>
                <w:color w:val="000000"/>
                <w:kern w:val="0"/>
                <w:sz w:val="24"/>
                <w:szCs w:val="24"/>
                <w:u w:val="none"/>
                <w:lang w:val="en-US" w:eastAsia="zh-CN" w:bidi="ar"/>
              </w:rPr>
              <w:t>50M</w:t>
            </w:r>
            <w:r>
              <w:rPr>
                <w:rFonts w:hint="eastAsia" w:ascii="宋体" w:hAnsi="宋体" w:eastAsia="宋体" w:cs="宋体"/>
                <w:i w:val="0"/>
                <w:iCs w:val="0"/>
                <w:color w:val="000000"/>
                <w:kern w:val="0"/>
                <w:sz w:val="24"/>
                <w:szCs w:val="24"/>
                <w:u w:val="none"/>
                <w:lang w:val="en-US" w:eastAsia="zh-CN" w:bidi="ar"/>
              </w:rPr>
              <w:t>通达链路</w:t>
            </w:r>
          </w:p>
        </w:tc>
        <w:tc>
          <w:tcPr>
            <w:tcW w:w="658" w:type="dxa"/>
            <w:shd w:val="clear" w:color="auto" w:fill="auto"/>
            <w:vAlign w:val="center"/>
          </w:tcPr>
          <w:p w14:paraId="4389A8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48C42A5C">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94" w:type="dxa"/>
            <w:shd w:val="clear" w:color="auto" w:fill="auto"/>
            <w:vAlign w:val="center"/>
          </w:tcPr>
          <w:p w14:paraId="3978EA1E">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每年租赁费用</w:t>
            </w:r>
            <w:r>
              <w:rPr>
                <w:rFonts w:hint="default" w:ascii="宋体" w:hAnsi="宋体" w:eastAsia="宋体" w:cs="宋体"/>
                <w:i w:val="0"/>
                <w:iCs w:val="0"/>
                <w:color w:val="000000"/>
                <w:kern w:val="0"/>
                <w:sz w:val="24"/>
                <w:szCs w:val="24"/>
                <w:u w:val="none"/>
                <w:lang w:val="en-US" w:eastAsia="zh-CN" w:bidi="ar"/>
              </w:rPr>
              <w:t>)</w:t>
            </w:r>
          </w:p>
        </w:tc>
        <w:tc>
          <w:tcPr>
            <w:tcW w:w="1823" w:type="dxa"/>
            <w:shd w:val="clear" w:color="auto" w:fill="auto"/>
            <w:vAlign w:val="center"/>
          </w:tcPr>
          <w:p w14:paraId="4275F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w:t>
            </w:r>
          </w:p>
        </w:tc>
      </w:tr>
      <w:tr w14:paraId="34B1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11938B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56" w:type="dxa"/>
            <w:shd w:val="clear" w:color="auto" w:fill="auto"/>
            <w:vAlign w:val="center"/>
          </w:tcPr>
          <w:p w14:paraId="0A4047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怀柔区应急广播平台至街道应急广播前端，50M通达链路</w:t>
            </w:r>
          </w:p>
        </w:tc>
        <w:tc>
          <w:tcPr>
            <w:tcW w:w="658" w:type="dxa"/>
            <w:shd w:val="clear" w:color="auto" w:fill="auto"/>
            <w:vAlign w:val="center"/>
          </w:tcPr>
          <w:p w14:paraId="3E2352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63D180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694" w:type="dxa"/>
            <w:shd w:val="clear" w:color="auto" w:fill="auto"/>
            <w:vAlign w:val="center"/>
          </w:tcPr>
          <w:p w14:paraId="611CEC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怀柔区应急广播平台至2个街道前端，50M通达链路(每年租赁费用)</w:t>
            </w:r>
          </w:p>
        </w:tc>
        <w:tc>
          <w:tcPr>
            <w:tcW w:w="1823" w:type="dxa"/>
            <w:shd w:val="clear" w:color="auto" w:fill="auto"/>
            <w:vAlign w:val="center"/>
          </w:tcPr>
          <w:p w14:paraId="39004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w:t>
            </w:r>
          </w:p>
        </w:tc>
      </w:tr>
      <w:tr w14:paraId="2E5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0BA496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856" w:type="dxa"/>
            <w:shd w:val="clear" w:color="auto" w:fill="auto"/>
            <w:vAlign w:val="center"/>
          </w:tcPr>
          <w:p w14:paraId="18F8D8A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怀柔区应急广播平台至社区应急广播前端，50M通达链路</w:t>
            </w:r>
          </w:p>
        </w:tc>
        <w:tc>
          <w:tcPr>
            <w:tcW w:w="658" w:type="dxa"/>
            <w:shd w:val="clear" w:color="auto" w:fill="auto"/>
            <w:vAlign w:val="center"/>
          </w:tcPr>
          <w:p w14:paraId="22329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08B5D2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7694" w:type="dxa"/>
            <w:shd w:val="clear" w:color="auto" w:fill="auto"/>
            <w:vAlign w:val="center"/>
          </w:tcPr>
          <w:p w14:paraId="0A3CE5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怀柔区应急广播平台至37个社区前端，50M通达链路(每年租赁费用)</w:t>
            </w:r>
          </w:p>
        </w:tc>
        <w:tc>
          <w:tcPr>
            <w:tcW w:w="1823" w:type="dxa"/>
            <w:shd w:val="clear" w:color="auto" w:fill="auto"/>
            <w:vAlign w:val="center"/>
          </w:tcPr>
          <w:p w14:paraId="1989D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w:t>
            </w:r>
          </w:p>
        </w:tc>
      </w:tr>
      <w:tr w14:paraId="7877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6CFB75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856" w:type="dxa"/>
            <w:shd w:val="clear" w:color="auto" w:fill="auto"/>
            <w:vAlign w:val="center"/>
          </w:tcPr>
          <w:p w14:paraId="4AE77A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怀柔区应急广播平台至乡镇应急广播前端，50M通达链路</w:t>
            </w:r>
          </w:p>
        </w:tc>
        <w:tc>
          <w:tcPr>
            <w:tcW w:w="658" w:type="dxa"/>
            <w:shd w:val="clear" w:color="auto" w:fill="auto"/>
            <w:vAlign w:val="center"/>
          </w:tcPr>
          <w:p w14:paraId="07E8D1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1CA313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7694" w:type="dxa"/>
            <w:shd w:val="clear" w:color="auto" w:fill="auto"/>
            <w:vAlign w:val="center"/>
          </w:tcPr>
          <w:p w14:paraId="2F88E2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怀柔区应急广播平台至14个镇乡前端，50M通达链路(每年租赁费用)</w:t>
            </w:r>
          </w:p>
        </w:tc>
        <w:tc>
          <w:tcPr>
            <w:tcW w:w="1823" w:type="dxa"/>
            <w:shd w:val="clear" w:color="auto" w:fill="auto"/>
            <w:vAlign w:val="center"/>
          </w:tcPr>
          <w:p w14:paraId="7D5CF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w:t>
            </w:r>
          </w:p>
        </w:tc>
      </w:tr>
      <w:tr w14:paraId="5E5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698" w:type="dxa"/>
            <w:shd w:val="clear" w:color="auto" w:fill="auto"/>
            <w:vAlign w:val="center"/>
          </w:tcPr>
          <w:p w14:paraId="671FCF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856" w:type="dxa"/>
            <w:shd w:val="clear" w:color="auto" w:fill="auto"/>
            <w:vAlign w:val="center"/>
          </w:tcPr>
          <w:p w14:paraId="317768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怀柔区应急广播平台至行政村前端，50M通达链路</w:t>
            </w:r>
          </w:p>
        </w:tc>
        <w:tc>
          <w:tcPr>
            <w:tcW w:w="658" w:type="dxa"/>
            <w:shd w:val="clear" w:color="auto" w:fill="auto"/>
            <w:vAlign w:val="center"/>
          </w:tcPr>
          <w:p w14:paraId="785584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43DAD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w:t>
            </w:r>
          </w:p>
        </w:tc>
        <w:tc>
          <w:tcPr>
            <w:tcW w:w="7694" w:type="dxa"/>
            <w:shd w:val="clear" w:color="auto" w:fill="auto"/>
            <w:vAlign w:val="center"/>
          </w:tcPr>
          <w:p w14:paraId="56123B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怀柔区应急广播平台至283个行政村前端，50M通达链路(每年租赁费用)</w:t>
            </w:r>
          </w:p>
        </w:tc>
        <w:tc>
          <w:tcPr>
            <w:tcW w:w="1823" w:type="dxa"/>
            <w:shd w:val="clear" w:color="auto" w:fill="auto"/>
            <w:vAlign w:val="center"/>
          </w:tcPr>
          <w:p w14:paraId="2DE64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w:t>
            </w:r>
          </w:p>
        </w:tc>
      </w:tr>
      <w:tr w14:paraId="66C0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4F12D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856" w:type="dxa"/>
            <w:shd w:val="clear" w:color="auto" w:fill="auto"/>
            <w:vAlign w:val="center"/>
          </w:tcPr>
          <w:p w14:paraId="120D42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怀柔区应急广播平台至社区、街道、行政村终端，4G/5G物联卡</w:t>
            </w:r>
          </w:p>
        </w:tc>
        <w:tc>
          <w:tcPr>
            <w:tcW w:w="658" w:type="dxa"/>
            <w:shd w:val="clear" w:color="auto" w:fill="auto"/>
            <w:vAlign w:val="center"/>
          </w:tcPr>
          <w:p w14:paraId="6AAF04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696" w:type="dxa"/>
            <w:shd w:val="clear" w:color="auto" w:fill="auto"/>
            <w:vAlign w:val="center"/>
          </w:tcPr>
          <w:p w14:paraId="39D3E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635</w:t>
            </w:r>
          </w:p>
        </w:tc>
        <w:tc>
          <w:tcPr>
            <w:tcW w:w="7694" w:type="dxa"/>
            <w:shd w:val="clear" w:color="auto" w:fill="auto"/>
            <w:vAlign w:val="center"/>
          </w:tcPr>
          <w:p w14:paraId="11879A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1年服务费</w:t>
            </w:r>
          </w:p>
        </w:tc>
        <w:tc>
          <w:tcPr>
            <w:tcW w:w="1823" w:type="dxa"/>
            <w:shd w:val="clear" w:color="auto" w:fill="auto"/>
            <w:vAlign w:val="center"/>
          </w:tcPr>
          <w:p w14:paraId="6BC6B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w:t>
            </w:r>
          </w:p>
        </w:tc>
      </w:tr>
      <w:tr w14:paraId="7739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8" w:type="dxa"/>
            <w:shd w:val="clear" w:color="auto" w:fill="auto"/>
            <w:vAlign w:val="center"/>
          </w:tcPr>
          <w:p w14:paraId="50F2E9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856" w:type="dxa"/>
            <w:shd w:val="clear" w:color="auto" w:fill="auto"/>
            <w:vAlign w:val="center"/>
          </w:tcPr>
          <w:p w14:paraId="1518B2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怀柔区应急广播平台至高可靠性终端专线，50M通达链路</w:t>
            </w:r>
          </w:p>
        </w:tc>
        <w:tc>
          <w:tcPr>
            <w:tcW w:w="658" w:type="dxa"/>
            <w:shd w:val="clear" w:color="auto" w:fill="auto"/>
            <w:vAlign w:val="center"/>
          </w:tcPr>
          <w:p w14:paraId="431485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6" w:type="dxa"/>
            <w:shd w:val="clear" w:color="auto" w:fill="auto"/>
            <w:vAlign w:val="center"/>
          </w:tcPr>
          <w:p w14:paraId="22A10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7694" w:type="dxa"/>
            <w:shd w:val="clear" w:color="auto" w:fill="auto"/>
            <w:vAlign w:val="center"/>
          </w:tcPr>
          <w:p w14:paraId="4E96C8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怀柔区应急广播平台至324个高可靠性终端，50M通达链路(每年租赁费用)</w:t>
            </w:r>
          </w:p>
        </w:tc>
        <w:tc>
          <w:tcPr>
            <w:tcW w:w="1823" w:type="dxa"/>
            <w:shd w:val="clear" w:color="auto" w:fill="auto"/>
            <w:vAlign w:val="center"/>
          </w:tcPr>
          <w:p w14:paraId="5C5C9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w:t>
            </w:r>
          </w:p>
        </w:tc>
      </w:tr>
      <w:tr w14:paraId="22D7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425" w:type="dxa"/>
            <w:gridSpan w:val="6"/>
            <w:shd w:val="clear" w:color="auto" w:fill="auto"/>
            <w:vAlign w:val="center"/>
          </w:tcPr>
          <w:p w14:paraId="1344BE55">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第</w:t>
            </w:r>
            <w:r>
              <w:rPr>
                <w:rFonts w:hint="eastAsia" w:ascii="宋体" w:hAnsi="宋体" w:cs="宋体"/>
                <w:b/>
                <w:bCs/>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部分  其他相关</w:t>
            </w:r>
            <w:r>
              <w:rPr>
                <w:rFonts w:hint="eastAsia" w:ascii="宋体" w:hAnsi="宋体" w:cs="宋体"/>
                <w:b/>
                <w:bCs/>
                <w:i w:val="0"/>
                <w:iCs w:val="0"/>
                <w:color w:val="000000"/>
                <w:kern w:val="0"/>
                <w:sz w:val="24"/>
                <w:szCs w:val="24"/>
                <w:u w:val="none"/>
                <w:lang w:val="en-US" w:eastAsia="zh-CN" w:bidi="ar"/>
              </w:rPr>
              <w:t>建设</w:t>
            </w:r>
          </w:p>
        </w:tc>
      </w:tr>
      <w:tr w14:paraId="3692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8" w:type="dxa"/>
            <w:shd w:val="clear" w:color="auto" w:fill="auto"/>
            <w:vAlign w:val="center"/>
          </w:tcPr>
          <w:p w14:paraId="31451F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856" w:type="dxa"/>
            <w:shd w:val="clear" w:color="auto" w:fill="auto"/>
            <w:vAlign w:val="center"/>
          </w:tcPr>
          <w:p w14:paraId="367CE5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658" w:type="dxa"/>
            <w:shd w:val="clear" w:color="auto" w:fill="auto"/>
            <w:vAlign w:val="center"/>
          </w:tcPr>
          <w:p w14:paraId="1866C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206404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7694" w:type="dxa"/>
            <w:shd w:val="clear" w:color="auto" w:fill="auto"/>
            <w:vAlign w:val="center"/>
          </w:tcPr>
          <w:p w14:paraId="2101818C">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技术指标（参数）</w:t>
            </w:r>
          </w:p>
        </w:tc>
        <w:tc>
          <w:tcPr>
            <w:tcW w:w="1823" w:type="dxa"/>
            <w:shd w:val="clear" w:color="auto" w:fill="auto"/>
            <w:vAlign w:val="center"/>
          </w:tcPr>
          <w:p w14:paraId="49F652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配置原则</w:t>
            </w:r>
          </w:p>
        </w:tc>
      </w:tr>
      <w:tr w14:paraId="31C5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8" w:type="dxa"/>
            <w:shd w:val="clear" w:color="auto" w:fill="auto"/>
            <w:vAlign w:val="center"/>
          </w:tcPr>
          <w:p w14:paraId="4FD32BD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w:t>
            </w:r>
          </w:p>
        </w:tc>
        <w:tc>
          <w:tcPr>
            <w:tcW w:w="2856" w:type="dxa"/>
            <w:shd w:val="clear" w:color="auto" w:fill="auto"/>
            <w:vAlign w:val="center"/>
          </w:tcPr>
          <w:p w14:paraId="2D09BC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系统集成</w:t>
            </w:r>
          </w:p>
        </w:tc>
        <w:tc>
          <w:tcPr>
            <w:tcW w:w="658" w:type="dxa"/>
            <w:shd w:val="clear" w:color="auto" w:fill="auto"/>
            <w:vAlign w:val="center"/>
          </w:tcPr>
          <w:p w14:paraId="16AAAC8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项</w:t>
            </w:r>
          </w:p>
        </w:tc>
        <w:tc>
          <w:tcPr>
            <w:tcW w:w="696" w:type="dxa"/>
            <w:shd w:val="clear" w:color="auto" w:fill="auto"/>
            <w:vAlign w:val="center"/>
          </w:tcPr>
          <w:p w14:paraId="2B63A42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w:t>
            </w:r>
          </w:p>
        </w:tc>
        <w:tc>
          <w:tcPr>
            <w:tcW w:w="7694" w:type="dxa"/>
            <w:shd w:val="clear" w:color="auto" w:fill="auto"/>
            <w:vAlign w:val="center"/>
          </w:tcPr>
          <w:p w14:paraId="4492A069">
            <w:pPr>
              <w:jc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w:t>
            </w:r>
          </w:p>
        </w:tc>
        <w:tc>
          <w:tcPr>
            <w:tcW w:w="1823" w:type="dxa"/>
            <w:shd w:val="clear" w:color="auto" w:fill="auto"/>
            <w:vAlign w:val="center"/>
          </w:tcPr>
          <w:p w14:paraId="40F825A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w:t>
            </w:r>
          </w:p>
        </w:tc>
      </w:tr>
    </w:tbl>
    <w:p w14:paraId="5422A315">
      <w:pPr>
        <w:spacing w:line="360" w:lineRule="auto"/>
        <w:contextualSpacing/>
        <w:rPr>
          <w:i/>
          <w:iCs/>
          <w:color w:val="FF0000"/>
          <w:sz w:val="24"/>
        </w:rPr>
      </w:pPr>
    </w:p>
    <w:p w14:paraId="4EDE549C">
      <w:pPr>
        <w:spacing w:line="360" w:lineRule="auto"/>
        <w:contextualSpacing/>
        <w:rPr>
          <w:i/>
          <w:iCs/>
          <w:color w:val="FF0000"/>
          <w:sz w:val="24"/>
        </w:rPr>
        <w:sectPr>
          <w:pgSz w:w="16840" w:h="11907" w:orient="landscape"/>
          <w:pgMar w:top="1701" w:right="1417" w:bottom="1134" w:left="1417" w:header="851" w:footer="851" w:gutter="0"/>
          <w:pgNumType w:fmt="decimal"/>
          <w:cols w:space="720" w:num="1"/>
          <w:docGrid w:linePitch="462" w:charSpace="0"/>
        </w:sectPr>
      </w:pPr>
    </w:p>
    <w:p w14:paraId="133522D9">
      <w:pPr>
        <w:numPr>
          <w:ilvl w:val="0"/>
          <w:numId w:val="20"/>
        </w:numPr>
        <w:spacing w:line="360" w:lineRule="auto"/>
        <w:jc w:val="center"/>
        <w:outlineLvl w:val="0"/>
        <w:rPr>
          <w:b/>
          <w:sz w:val="36"/>
          <w:szCs w:val="36"/>
        </w:rPr>
      </w:pPr>
      <w:bookmarkStart w:id="654" w:name="_Toc99301377"/>
      <w:r>
        <w:rPr>
          <w:b/>
          <w:sz w:val="36"/>
          <w:szCs w:val="36"/>
        </w:rPr>
        <w:t xml:space="preserve">  合同草案条款</w:t>
      </w:r>
      <w:bookmarkEnd w:id="654"/>
    </w:p>
    <w:p w14:paraId="1D155686">
      <w:pPr>
        <w:keepNext w:val="0"/>
        <w:keepLines w:val="0"/>
        <w:pageBreakBefore w:val="0"/>
        <w:kinsoku/>
        <w:wordWrap/>
        <w:overflowPunct/>
        <w:topLinePunct w:val="0"/>
        <w:bidi w:val="0"/>
        <w:snapToGrid/>
        <w:spacing w:line="240" w:lineRule="auto"/>
        <w:ind w:firstLine="0" w:firstLineChars="0"/>
        <w:jc w:val="left"/>
        <w:textAlignment w:val="auto"/>
        <w:rPr>
          <w:rFonts w:hint="eastAsia"/>
          <w:b/>
          <w:bCs/>
          <w:spacing w:val="-20"/>
          <w:kern w:val="44"/>
          <w:sz w:val="40"/>
          <w:szCs w:val="40"/>
          <w:lang w:eastAsia="zh-CN"/>
        </w:rPr>
      </w:pPr>
      <w:bookmarkStart w:id="655" w:name="_Toc3995"/>
    </w:p>
    <w:p w14:paraId="0C8C6720">
      <w:pPr>
        <w:keepNext w:val="0"/>
        <w:keepLines w:val="0"/>
        <w:pageBreakBefore w:val="0"/>
        <w:kinsoku/>
        <w:wordWrap/>
        <w:overflowPunct/>
        <w:topLinePunct w:val="0"/>
        <w:bidi w:val="0"/>
        <w:snapToGrid/>
        <w:spacing w:line="240" w:lineRule="auto"/>
        <w:ind w:firstLine="0" w:firstLineChars="0"/>
        <w:jc w:val="left"/>
        <w:textAlignment w:val="auto"/>
        <w:rPr>
          <w:rFonts w:hint="eastAsia"/>
          <w:b/>
          <w:bCs/>
          <w:spacing w:val="-20"/>
          <w:kern w:val="44"/>
          <w:sz w:val="40"/>
          <w:szCs w:val="40"/>
          <w:lang w:eastAsia="zh-CN"/>
        </w:rPr>
      </w:pPr>
    </w:p>
    <w:p w14:paraId="2D329587">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16B3DE0A">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4924BD7F">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7BD1F698">
      <w:pPr>
        <w:keepNext w:val="0"/>
        <w:keepLines w:val="0"/>
        <w:pageBreakBefore w:val="0"/>
        <w:kinsoku/>
        <w:wordWrap/>
        <w:overflowPunct/>
        <w:topLinePunct w:val="0"/>
        <w:bidi w:val="0"/>
        <w:snapToGrid/>
        <w:spacing w:line="240" w:lineRule="auto"/>
        <w:ind w:firstLine="0" w:firstLineChars="0"/>
        <w:jc w:val="left"/>
        <w:textAlignment w:val="auto"/>
        <w:rPr>
          <w:rFonts w:hint="eastAsia"/>
          <w:b/>
          <w:bCs/>
          <w:spacing w:val="-20"/>
          <w:kern w:val="44"/>
          <w:sz w:val="40"/>
          <w:szCs w:val="40"/>
          <w:lang w:eastAsia="zh-CN"/>
        </w:rPr>
      </w:pPr>
    </w:p>
    <w:p w14:paraId="5857C83B">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01F3BE58">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45772BA0">
      <w:pPr>
        <w:pStyle w:val="17"/>
        <w:jc w:val="center"/>
        <w:rPr>
          <w:rFonts w:hint="eastAsia"/>
          <w:b/>
          <w:bCs/>
          <w:spacing w:val="-20"/>
          <w:kern w:val="44"/>
          <w:sz w:val="48"/>
          <w:szCs w:val="48"/>
          <w:lang w:eastAsia="zh-CN"/>
        </w:rPr>
      </w:pPr>
      <w:r>
        <w:rPr>
          <w:rFonts w:hint="eastAsia"/>
          <w:b/>
          <w:bCs/>
          <w:spacing w:val="-20"/>
          <w:kern w:val="44"/>
          <w:sz w:val="48"/>
          <w:szCs w:val="48"/>
          <w:lang w:eastAsia="zh-CN"/>
        </w:rPr>
        <w:t>政府采购货物买卖合同</w:t>
      </w:r>
    </w:p>
    <w:p w14:paraId="26BD1FC2">
      <w:pPr>
        <w:keepNext w:val="0"/>
        <w:keepLines w:val="0"/>
        <w:pageBreakBefore w:val="0"/>
        <w:kinsoku/>
        <w:wordWrap/>
        <w:overflowPunct/>
        <w:topLinePunct w:val="0"/>
        <w:bidi w:val="0"/>
        <w:snapToGrid/>
        <w:spacing w:line="240" w:lineRule="auto"/>
        <w:ind w:firstLine="0" w:firstLineChars="0"/>
        <w:jc w:val="left"/>
        <w:textAlignment w:val="auto"/>
        <w:rPr>
          <w:rFonts w:hint="eastAsia"/>
          <w:b/>
          <w:bCs/>
          <w:spacing w:val="-20"/>
          <w:kern w:val="44"/>
          <w:sz w:val="40"/>
          <w:szCs w:val="40"/>
          <w:lang w:eastAsia="zh-CN"/>
        </w:rPr>
      </w:pPr>
    </w:p>
    <w:p w14:paraId="483114A4">
      <w:pPr>
        <w:keepNext w:val="0"/>
        <w:keepLines w:val="0"/>
        <w:pageBreakBefore w:val="0"/>
        <w:kinsoku/>
        <w:wordWrap/>
        <w:overflowPunct/>
        <w:topLinePunct w:val="0"/>
        <w:bidi w:val="0"/>
        <w:snapToGrid/>
        <w:spacing w:line="240" w:lineRule="auto"/>
        <w:ind w:firstLine="0" w:firstLineChars="0"/>
        <w:jc w:val="left"/>
        <w:textAlignment w:val="auto"/>
        <w:rPr>
          <w:rFonts w:hint="eastAsia"/>
          <w:b/>
          <w:bCs/>
          <w:spacing w:val="-20"/>
          <w:kern w:val="44"/>
          <w:sz w:val="40"/>
          <w:szCs w:val="40"/>
          <w:lang w:eastAsia="zh-CN"/>
        </w:rPr>
      </w:pPr>
    </w:p>
    <w:p w14:paraId="4CD52FF7">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7DB7C519">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4362BCA7">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28AA2762">
      <w:pPr>
        <w:keepNext w:val="0"/>
        <w:keepLines w:val="0"/>
        <w:pageBreakBefore w:val="0"/>
        <w:kinsoku/>
        <w:wordWrap/>
        <w:overflowPunct/>
        <w:topLinePunct w:val="0"/>
        <w:bidi w:val="0"/>
        <w:snapToGrid/>
        <w:spacing w:line="240" w:lineRule="auto"/>
        <w:ind w:firstLine="0" w:firstLineChars="0"/>
        <w:jc w:val="left"/>
        <w:textAlignment w:val="auto"/>
        <w:rPr>
          <w:rFonts w:hint="eastAsia"/>
          <w:b/>
          <w:bCs/>
          <w:spacing w:val="-20"/>
          <w:kern w:val="44"/>
          <w:sz w:val="40"/>
          <w:szCs w:val="40"/>
          <w:lang w:eastAsia="zh-CN"/>
        </w:rPr>
      </w:pPr>
    </w:p>
    <w:p w14:paraId="3A6A31D8">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28D798C7">
      <w:pPr>
        <w:pStyle w:val="53"/>
        <w:keepNext w:val="0"/>
        <w:keepLines w:val="0"/>
        <w:pageBreakBefore w:val="0"/>
        <w:kinsoku/>
        <w:wordWrap/>
        <w:overflowPunct/>
        <w:topLinePunct w:val="0"/>
        <w:bidi w:val="0"/>
        <w:snapToGrid/>
        <w:spacing w:line="240" w:lineRule="auto"/>
        <w:ind w:firstLine="0" w:firstLineChars="0"/>
        <w:jc w:val="left"/>
        <w:textAlignment w:val="auto"/>
        <w:rPr>
          <w:rFonts w:hint="eastAsia"/>
        </w:rPr>
      </w:pPr>
    </w:p>
    <w:p w14:paraId="3D83294D">
      <w:pPr>
        <w:spacing w:line="360" w:lineRule="auto"/>
        <w:ind w:left="676" w:leftChars="322" w:firstLine="140" w:firstLineChars="44"/>
        <w:rPr>
          <w:rFonts w:hint="eastAsia"/>
          <w:sz w:val="32"/>
          <w:szCs w:val="32"/>
          <w:lang w:eastAsia="zh-CN"/>
        </w:rPr>
      </w:pPr>
      <w:r>
        <w:rPr>
          <w:rFonts w:hint="eastAsia"/>
          <w:sz w:val="32"/>
          <w:szCs w:val="32"/>
          <w:lang w:eastAsia="zh-CN"/>
        </w:rPr>
        <w:t>项目名称：</w:t>
      </w:r>
      <w:r>
        <w:rPr>
          <w:rFonts w:hint="eastAsia"/>
          <w:sz w:val="32"/>
          <w:szCs w:val="32"/>
          <w:u w:val="single"/>
          <w:lang w:eastAsia="zh-CN"/>
        </w:rPr>
        <w:t xml:space="preserve"> 怀柔区应急广播建设项目</w:t>
      </w:r>
    </w:p>
    <w:p w14:paraId="2A581C02">
      <w:pPr>
        <w:spacing w:line="360" w:lineRule="auto"/>
        <w:ind w:left="676" w:leftChars="322" w:firstLine="140" w:firstLineChars="44"/>
        <w:rPr>
          <w:rFonts w:hint="eastAsia"/>
          <w:sz w:val="32"/>
          <w:szCs w:val="32"/>
          <w:u w:val="single"/>
          <w:lang w:eastAsia="zh-CN"/>
        </w:rPr>
      </w:pPr>
      <w:r>
        <w:rPr>
          <w:rFonts w:hint="eastAsia"/>
          <w:sz w:val="32"/>
          <w:szCs w:val="32"/>
          <w:lang w:eastAsia="zh-CN"/>
        </w:rPr>
        <w:t>合同编号：</w:t>
      </w:r>
      <w:r>
        <w:rPr>
          <w:rFonts w:hint="eastAsia"/>
          <w:sz w:val="32"/>
          <w:szCs w:val="32"/>
          <w:u w:val="single"/>
          <w:lang w:eastAsia="zh-CN"/>
        </w:rPr>
        <w:t xml:space="preserve">                       </w:t>
      </w:r>
    </w:p>
    <w:p w14:paraId="73BF984B">
      <w:pPr>
        <w:spacing w:line="360" w:lineRule="auto"/>
        <w:ind w:left="676" w:leftChars="322" w:firstLine="140" w:firstLineChars="44"/>
        <w:rPr>
          <w:rFonts w:hint="eastAsia"/>
          <w:sz w:val="32"/>
          <w:szCs w:val="32"/>
          <w:lang w:eastAsia="zh-CN"/>
        </w:rPr>
      </w:pPr>
      <w:r>
        <w:rPr>
          <w:rFonts w:hint="eastAsia"/>
          <w:sz w:val="32"/>
          <w:szCs w:val="32"/>
          <w:lang w:eastAsia="zh-CN"/>
        </w:rPr>
        <w:t>甲    方：</w:t>
      </w:r>
      <w:r>
        <w:rPr>
          <w:rFonts w:hint="eastAsia"/>
          <w:sz w:val="32"/>
          <w:szCs w:val="32"/>
          <w:u w:val="single"/>
          <w:lang w:eastAsia="zh-CN"/>
        </w:rPr>
        <w:t xml:space="preserve"> 北京市怀柔区融媒体中心</w:t>
      </w:r>
    </w:p>
    <w:p w14:paraId="0F207A9D">
      <w:pPr>
        <w:spacing w:line="360" w:lineRule="auto"/>
        <w:ind w:left="676" w:leftChars="322" w:firstLine="140" w:firstLineChars="44"/>
        <w:rPr>
          <w:rFonts w:hint="default"/>
          <w:sz w:val="32"/>
          <w:szCs w:val="32"/>
          <w:u w:val="single"/>
          <w:lang w:val="en-US" w:eastAsia="zh-CN"/>
        </w:rPr>
      </w:pPr>
      <w:r>
        <w:rPr>
          <w:rFonts w:hint="eastAsia"/>
          <w:sz w:val="32"/>
          <w:szCs w:val="32"/>
          <w:lang w:eastAsia="zh-CN"/>
        </w:rPr>
        <w:t>乙    方：</w:t>
      </w:r>
      <w:r>
        <w:rPr>
          <w:rFonts w:hint="eastAsia"/>
          <w:sz w:val="32"/>
          <w:szCs w:val="32"/>
          <w:u w:val="single"/>
          <w:lang w:eastAsia="zh-CN"/>
        </w:rPr>
        <w:t xml:space="preserve">                       </w:t>
      </w:r>
    </w:p>
    <w:p w14:paraId="3202F129">
      <w:pPr>
        <w:spacing w:line="360" w:lineRule="auto"/>
        <w:ind w:left="676" w:leftChars="322" w:firstLine="140" w:firstLineChars="44"/>
        <w:rPr>
          <w:rFonts w:hint="default"/>
          <w:sz w:val="32"/>
          <w:szCs w:val="32"/>
          <w:lang w:val="en-US" w:eastAsia="zh-CN"/>
        </w:rPr>
      </w:pPr>
      <w:r>
        <w:rPr>
          <w:rFonts w:hint="eastAsia"/>
          <w:sz w:val="32"/>
          <w:szCs w:val="32"/>
          <w:lang w:eastAsia="zh-CN"/>
        </w:rPr>
        <w:t>签订时间：</w:t>
      </w:r>
      <w:r>
        <w:rPr>
          <w:rFonts w:hint="eastAsia"/>
          <w:sz w:val="32"/>
          <w:szCs w:val="32"/>
          <w:u w:val="single"/>
          <w:lang w:eastAsia="zh-CN"/>
        </w:rPr>
        <w:t xml:space="preserve"> 202</w:t>
      </w:r>
      <w:r>
        <w:rPr>
          <w:rFonts w:hint="eastAsia"/>
          <w:sz w:val="32"/>
          <w:szCs w:val="32"/>
          <w:u w:val="single"/>
          <w:lang w:val="en-US" w:eastAsia="zh-CN"/>
        </w:rPr>
        <w:t>6</w:t>
      </w:r>
      <w:r>
        <w:rPr>
          <w:rFonts w:hint="eastAsia"/>
          <w:sz w:val="32"/>
          <w:szCs w:val="32"/>
          <w:u w:val="single"/>
          <w:lang w:eastAsia="zh-CN"/>
        </w:rPr>
        <w:t>年</w:t>
      </w:r>
      <w:r>
        <w:rPr>
          <w:sz w:val="32"/>
          <w:szCs w:val="32"/>
          <w:u w:val="single"/>
          <w:lang w:eastAsia="zh-CN"/>
        </w:rPr>
        <w:t xml:space="preserve">   </w:t>
      </w:r>
      <w:r>
        <w:rPr>
          <w:rFonts w:hint="eastAsia"/>
          <w:sz w:val="32"/>
          <w:szCs w:val="32"/>
          <w:u w:val="single"/>
          <w:lang w:eastAsia="zh-CN"/>
        </w:rPr>
        <w:t xml:space="preserve">月    日    </w:t>
      </w:r>
    </w:p>
    <w:p w14:paraId="0F9474EC">
      <w:pPr>
        <w:ind w:left="676" w:leftChars="322" w:firstLine="92" w:firstLineChars="44"/>
        <w:rPr>
          <w:rFonts w:hint="eastAsia"/>
          <w:lang w:eastAsia="zh-CN"/>
        </w:rPr>
      </w:pPr>
    </w:p>
    <w:p w14:paraId="4637586D">
      <w:pPr>
        <w:rPr>
          <w:rFonts w:hint="eastAsia" w:eastAsia="黑体"/>
          <w:sz w:val="44"/>
          <w:szCs w:val="44"/>
          <w:lang w:eastAsia="zh-CN"/>
        </w:rPr>
      </w:pPr>
      <w:r>
        <w:rPr>
          <w:rFonts w:eastAsia="黑体"/>
          <w:sz w:val="44"/>
          <w:szCs w:val="44"/>
          <w:lang w:eastAsia="zh-CN"/>
        </w:rPr>
        <w:br w:type="page"/>
      </w:r>
    </w:p>
    <w:bookmarkEnd w:id="655"/>
    <w:p w14:paraId="3197AD9E">
      <w:pPr>
        <w:pStyle w:val="3"/>
        <w:keepNext/>
        <w:keepLines/>
        <w:pageBreakBefore w:val="0"/>
        <w:widowControl w:val="0"/>
        <w:kinsoku/>
        <w:wordWrap/>
        <w:overflowPunct/>
        <w:topLinePunct w:val="0"/>
        <w:autoSpaceDE w:val="0"/>
        <w:autoSpaceDN w:val="0"/>
        <w:bidi w:val="0"/>
        <w:adjustRightInd w:val="0"/>
        <w:snapToGrid w:val="0"/>
        <w:spacing w:before="0" w:line="400" w:lineRule="exact"/>
        <w:textAlignment w:val="auto"/>
        <w:rPr>
          <w:rFonts w:hint="eastAsia" w:ascii="黑体" w:hAnsi="华文中宋" w:eastAsia="黑体"/>
          <w:b/>
          <w:bCs/>
          <w:sz w:val="28"/>
          <w:szCs w:val="28"/>
          <w:lang w:eastAsia="zh-CN"/>
        </w:rPr>
      </w:pPr>
      <w:bookmarkStart w:id="656" w:name="_Toc22209"/>
      <w:r>
        <w:rPr>
          <w:rFonts w:hint="eastAsia" w:ascii="黑体" w:hAnsi="黑体" w:eastAsia="黑体"/>
          <w:sz w:val="28"/>
          <w:szCs w:val="28"/>
          <w:lang w:eastAsia="zh-CN"/>
        </w:rPr>
        <w:t xml:space="preserve">第一节 </w:t>
      </w:r>
      <w:r>
        <w:rPr>
          <w:rFonts w:hint="eastAsia" w:ascii="黑体" w:hAnsi="华文中宋" w:eastAsia="黑体"/>
          <w:sz w:val="28"/>
          <w:szCs w:val="28"/>
          <w:lang w:eastAsia="zh-CN"/>
        </w:rPr>
        <w:t>政府采购合同协议书</w:t>
      </w:r>
      <w:bookmarkEnd w:id="656"/>
    </w:p>
    <w:p w14:paraId="7B5E3500">
      <w:pPr>
        <w:pStyle w:val="3"/>
        <w:adjustRightInd w:val="0"/>
        <w:snapToGrid w:val="0"/>
        <w:spacing w:line="400" w:lineRule="exact"/>
        <w:rPr>
          <w:rFonts w:hint="eastAsia" w:ascii="黑体" w:hAnsi="华文中宋" w:eastAsia="黑体"/>
          <w:b/>
          <w:bCs/>
          <w:sz w:val="28"/>
          <w:szCs w:val="28"/>
          <w:lang w:eastAsia="zh-CN"/>
        </w:rPr>
      </w:pPr>
    </w:p>
    <w:p w14:paraId="48D25962">
      <w:pPr>
        <w:keepNext w:val="0"/>
        <w:keepLines w:val="0"/>
        <w:pageBreakBefore w:val="0"/>
        <w:kinsoku/>
        <w:wordWrap/>
        <w:overflowPunct/>
        <w:topLinePunct w:val="0"/>
        <w:bidi w:val="0"/>
        <w:adjustRightInd w:val="0"/>
        <w:snapToGrid w:val="0"/>
        <w:spacing w:line="360" w:lineRule="auto"/>
        <w:ind w:left="0" w:leftChars="0" w:right="0" w:rightChars="0" w:firstLine="463" w:firstLineChars="193"/>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甲方（全称）：</w:t>
      </w:r>
      <w:r>
        <w:rPr>
          <w:rFonts w:hint="eastAsia" w:ascii="宋体" w:hAnsi="宋体" w:eastAsia="宋体" w:cs="宋体"/>
          <w:sz w:val="24"/>
          <w:szCs w:val="24"/>
          <w:u w:val="single"/>
          <w:lang w:eastAsia="zh-CN"/>
        </w:rPr>
        <w:t xml:space="preserve"> 北京市怀柔区融媒体中心 （采购人）</w:t>
      </w:r>
    </w:p>
    <w:p w14:paraId="42369D76">
      <w:pPr>
        <w:keepNext w:val="0"/>
        <w:keepLines w:val="0"/>
        <w:pageBreakBefore w:val="0"/>
        <w:kinsoku/>
        <w:wordWrap/>
        <w:overflowPunct/>
        <w:topLinePunct w:val="0"/>
        <w:bidi w:val="0"/>
        <w:adjustRightInd w:val="0"/>
        <w:snapToGrid w:val="0"/>
        <w:spacing w:line="360" w:lineRule="auto"/>
        <w:ind w:left="0" w:leftChars="0" w:right="0" w:rightChars="0" w:firstLine="463" w:firstLineChars="193"/>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乙方（全称）：</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成交</w:t>
      </w:r>
      <w:r>
        <w:rPr>
          <w:rFonts w:hint="eastAsia" w:ascii="宋体" w:hAnsi="宋体" w:eastAsia="宋体" w:cs="宋体"/>
          <w:sz w:val="24"/>
          <w:szCs w:val="24"/>
          <w:u w:val="single"/>
          <w:lang w:eastAsia="zh-CN"/>
        </w:rPr>
        <w:t>人）</w:t>
      </w:r>
    </w:p>
    <w:p w14:paraId="3652F84A">
      <w:pPr>
        <w:keepNext w:val="0"/>
        <w:keepLines w:val="0"/>
        <w:pageBreakBefore w:val="0"/>
        <w:kinsoku/>
        <w:wordWrap/>
        <w:overflowPunct/>
        <w:topLinePunct w:val="0"/>
        <w:bidi w:val="0"/>
        <w:spacing w:line="360" w:lineRule="auto"/>
        <w:ind w:left="0" w:leftChars="0" w:right="0" w:rightChars="0" w:firstLine="463" w:firstLineChars="193"/>
        <w:textAlignment w:val="auto"/>
        <w:rPr>
          <w:rFonts w:hint="eastAsia" w:ascii="宋体" w:hAnsi="宋体" w:eastAsia="宋体" w:cs="宋体"/>
          <w:sz w:val="24"/>
          <w:szCs w:val="24"/>
          <w:lang w:eastAsia="zh-CN"/>
        </w:rPr>
      </w:pPr>
    </w:p>
    <w:p w14:paraId="52964981">
      <w:pPr>
        <w:pStyle w:val="18"/>
        <w:keepNext w:val="0"/>
        <w:keepLines w:val="0"/>
        <w:pageBreakBefore w:val="0"/>
        <w:kinsoku/>
        <w:wordWrap/>
        <w:overflowPunct/>
        <w:topLinePunct w:val="0"/>
        <w:bidi w:val="0"/>
        <w:adjustRightInd w:val="0"/>
        <w:snapToGrid w:val="0"/>
        <w:spacing w:after="0" w:line="360" w:lineRule="auto"/>
        <w:ind w:left="0" w:leftChars="0" w:right="0" w:rightChars="0" w:firstLine="463" w:firstLineChars="193"/>
        <w:textAlignment w:val="auto"/>
        <w:rPr>
          <w:rFonts w:hint="eastAsia" w:ascii="宋体" w:hAnsi="宋体" w:eastAsia="宋体" w:cs="宋体"/>
          <w:sz w:val="24"/>
          <w:szCs w:val="24"/>
        </w:rPr>
      </w:pPr>
      <w:r>
        <w:rPr>
          <w:rFonts w:hint="eastAsia" w:ascii="宋体" w:hAnsi="宋体" w:eastAsia="宋体" w:cs="宋体"/>
          <w:sz w:val="24"/>
          <w:szCs w:val="24"/>
          <w:lang w:eastAsia="zh-CN"/>
        </w:rPr>
        <w:t>依据《中华人民共和国民法典》、《中华人民共和国政府采购法》等有关的法律法规，以及本采购项目的</w:t>
      </w:r>
      <w:r>
        <w:rPr>
          <w:rFonts w:hint="eastAsia" w:ascii="宋体" w:hAnsi="宋体" w:cs="宋体"/>
          <w:sz w:val="24"/>
          <w:szCs w:val="24"/>
          <w:lang w:val="en-US" w:eastAsia="zh-CN"/>
        </w:rPr>
        <w:t>谈判</w:t>
      </w:r>
      <w:r>
        <w:rPr>
          <w:rFonts w:hint="eastAsia" w:ascii="宋体" w:hAnsi="宋体" w:eastAsia="宋体" w:cs="宋体"/>
          <w:sz w:val="24"/>
          <w:szCs w:val="24"/>
          <w:lang w:eastAsia="zh-CN"/>
        </w:rPr>
        <w:t>文件等采购文件、乙方的《</w:t>
      </w:r>
      <w:r>
        <w:rPr>
          <w:rFonts w:hint="eastAsia" w:ascii="宋体" w:hAnsi="宋体" w:cs="宋体"/>
          <w:sz w:val="24"/>
          <w:szCs w:val="24"/>
          <w:lang w:val="en-US" w:eastAsia="zh-CN"/>
        </w:rPr>
        <w:t>响应</w:t>
      </w:r>
      <w:r>
        <w:rPr>
          <w:rFonts w:hint="eastAsia" w:ascii="宋体" w:hAnsi="宋体" w:eastAsia="宋体" w:cs="宋体"/>
          <w:sz w:val="24"/>
          <w:szCs w:val="24"/>
          <w:lang w:eastAsia="zh-CN"/>
        </w:rPr>
        <w:t>文件》及《</w:t>
      </w:r>
      <w:r>
        <w:rPr>
          <w:rFonts w:hint="eastAsia" w:ascii="宋体" w:hAnsi="宋体" w:cs="宋体"/>
          <w:sz w:val="24"/>
          <w:szCs w:val="24"/>
          <w:lang w:val="en-US" w:eastAsia="zh-CN"/>
        </w:rPr>
        <w:t>成交</w:t>
      </w:r>
      <w:r>
        <w:rPr>
          <w:rFonts w:hint="eastAsia" w:ascii="宋体" w:hAnsi="宋体" w:eastAsia="宋体" w:cs="宋体"/>
          <w:sz w:val="24"/>
          <w:szCs w:val="24"/>
          <w:lang w:eastAsia="zh-CN"/>
        </w:rPr>
        <w:t>通知书》，甲乙双方同意签订本合同。</w:t>
      </w:r>
      <w:r>
        <w:rPr>
          <w:rFonts w:hint="eastAsia" w:ascii="宋体" w:hAnsi="宋体" w:eastAsia="宋体" w:cs="宋体"/>
          <w:sz w:val="24"/>
          <w:szCs w:val="24"/>
        </w:rPr>
        <w:t>具体情况及要求如下：</w:t>
      </w:r>
    </w:p>
    <w:p w14:paraId="2A9FE0EA">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3BD78893">
      <w:pPr>
        <w:pStyle w:val="18"/>
        <w:keepNext w:val="0"/>
        <w:keepLines w:val="0"/>
        <w:pageBreakBefore w:val="0"/>
        <w:numPr>
          <w:ilvl w:val="0"/>
          <w:numId w:val="22"/>
        </w:numPr>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采购项目名称：</w:t>
      </w:r>
      <w:r>
        <w:rPr>
          <w:rFonts w:hint="eastAsia" w:ascii="宋体" w:hAnsi="宋体" w:eastAsia="宋体" w:cs="宋体"/>
          <w:sz w:val="24"/>
          <w:szCs w:val="24"/>
          <w:u w:val="single"/>
          <w:lang w:eastAsia="zh-CN"/>
        </w:rPr>
        <w:t xml:space="preserve"> 怀柔区应急广播建设项目</w:t>
      </w:r>
    </w:p>
    <w:p w14:paraId="28A19B9D">
      <w:pPr>
        <w:pStyle w:val="18"/>
        <w:keepNext w:val="0"/>
        <w:keepLines w:val="0"/>
        <w:pageBreakBefore w:val="0"/>
        <w:numPr>
          <w:ilvl w:val="255"/>
          <w:numId w:val="0"/>
        </w:numPr>
        <w:tabs>
          <w:tab w:val="left" w:pos="999"/>
        </w:tabs>
        <w:kinsoku/>
        <w:wordWrap/>
        <w:overflowPunct/>
        <w:topLinePunct w:val="0"/>
        <w:bidi w:val="0"/>
        <w:adjustRightInd w:val="0"/>
        <w:snapToGrid w:val="0"/>
        <w:spacing w:after="0"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（2）采购项目编号：</w:t>
      </w:r>
      <w:r>
        <w:rPr>
          <w:rFonts w:hint="eastAsia" w:ascii="宋体" w:hAnsi="宋体" w:eastAsia="宋体" w:cs="宋体"/>
          <w:sz w:val="24"/>
          <w:szCs w:val="24"/>
          <w:u w:val="single"/>
          <w:lang w:val="en-US" w:eastAsia="zh-CN"/>
        </w:rPr>
        <w:t>11011626210200016745-XM002</w:t>
      </w:r>
    </w:p>
    <w:p w14:paraId="572FEE7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（3）项目内容：采购标的及数量（详见附件） </w:t>
      </w:r>
    </w:p>
    <w:p w14:paraId="2AE3F514">
      <w:pPr>
        <w:pStyle w:val="53"/>
        <w:keepNext w:val="0"/>
        <w:keepLines w:val="0"/>
        <w:pageBreakBefore w:val="0"/>
        <w:numPr>
          <w:ilvl w:val="255"/>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4</w:t>
      </w:r>
      <w:r>
        <w:rPr>
          <w:rFonts w:hint="eastAsia" w:ascii="宋体" w:hAnsi="宋体" w:eastAsia="宋体" w:cs="宋体"/>
          <w:sz w:val="24"/>
          <w:szCs w:val="24"/>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color w:val="auto"/>
          <w:sz w:val="24"/>
          <w:szCs w:val="24"/>
        </w:rPr>
        <w:t>■</w:t>
      </w:r>
      <w:r>
        <w:rPr>
          <w:rFonts w:hint="eastAsia" w:ascii="宋体" w:hAnsi="宋体" w:eastAsia="宋体" w:cs="宋体"/>
          <w:sz w:val="24"/>
          <w:szCs w:val="24"/>
        </w:rPr>
        <w:t>分散采购</w:t>
      </w:r>
    </w:p>
    <w:p w14:paraId="271C4CE3">
      <w:pPr>
        <w:pStyle w:val="53"/>
        <w:keepNext w:val="0"/>
        <w:keepLines w:val="0"/>
        <w:pageBreakBefore w:val="0"/>
        <w:numPr>
          <w:ilvl w:val="255"/>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5</w:t>
      </w:r>
      <w:r>
        <w:rPr>
          <w:rFonts w:hint="eastAsia" w:ascii="宋体" w:hAnsi="宋体" w:eastAsia="宋体" w:cs="宋体"/>
          <w:sz w:val="24"/>
          <w:szCs w:val="24"/>
        </w:rPr>
        <w:t>）政府采购方式：</w:t>
      </w:r>
      <w:r>
        <w:rPr>
          <w:rFonts w:hint="eastAsia" w:ascii="宋体" w:hAnsi="宋体" w:eastAsia="宋体" w:cs="宋体"/>
          <w:sz w:val="24"/>
          <w:szCs w:val="24"/>
        </w:rPr>
        <w:sym w:font="Wingdings" w:char="00A8"/>
      </w:r>
      <w:r>
        <w:rPr>
          <w:rFonts w:hint="eastAsia" w:ascii="宋体" w:hAnsi="宋体" w:eastAsia="宋体" w:cs="宋体"/>
          <w:sz w:val="24"/>
          <w:szCs w:val="24"/>
        </w:rPr>
        <w:t>公开招标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询价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51215E4D">
      <w:pPr>
        <w:pStyle w:val="53"/>
        <w:keepNext w:val="0"/>
        <w:keepLines w:val="0"/>
        <w:pageBreakBefore w:val="0"/>
        <w:widowControl/>
        <w:numPr>
          <w:ilvl w:val="255"/>
          <w:numId w:val="0"/>
        </w:numPr>
        <w:kinsoku/>
        <w:wordWrap/>
        <w:overflowPunct/>
        <w:topLinePunct w:val="0"/>
        <w:autoSpaceDE w:val="0"/>
        <w:autoSpaceDN w:val="0"/>
        <w:bidi w:val="0"/>
        <w:adjustRightInd w:val="0"/>
        <w:snapToGrid w:val="0"/>
        <w:spacing w:line="360" w:lineRule="auto"/>
        <w:ind w:left="0" w:leftChars="0" w:right="0" w:rightChars="0" w:firstLine="2280" w:firstLineChars="95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14506299">
      <w:pPr>
        <w:pStyle w:val="53"/>
        <w:keepNext w:val="0"/>
        <w:keepLines w:val="0"/>
        <w:pageBreakBefore w:val="0"/>
        <w:numPr>
          <w:ilvl w:val="255"/>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6</w:t>
      </w:r>
      <w:r>
        <w:rPr>
          <w:rFonts w:hint="eastAsia" w:ascii="宋体" w:hAnsi="宋体" w:eastAsia="宋体" w:cs="宋体"/>
          <w:sz w:val="24"/>
          <w:szCs w:val="24"/>
        </w:rPr>
        <w:t>）</w:t>
      </w:r>
      <w:r>
        <w:rPr>
          <w:rFonts w:hint="eastAsia" w:ascii="宋体" w:hAnsi="宋体" w:eastAsia="宋体" w:cs="宋体"/>
          <w:kern w:val="2"/>
          <w:sz w:val="24"/>
          <w:szCs w:val="24"/>
          <w:lang w:val="en-US" w:eastAsia="zh-CN"/>
        </w:rPr>
        <w:t>成交</w:t>
      </w:r>
      <w:r>
        <w:rPr>
          <w:rFonts w:hint="eastAsia" w:ascii="宋体" w:hAnsi="宋体" w:eastAsia="宋体" w:cs="宋体"/>
          <w:kern w:val="2"/>
          <w:sz w:val="24"/>
          <w:szCs w:val="24"/>
        </w:rPr>
        <w:t>采购标的制造商是否为中小企业：</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是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0022F928">
      <w:pPr>
        <w:keepNext w:val="0"/>
        <w:keepLines w:val="0"/>
        <w:pageBreakBefore w:val="0"/>
        <w:numPr>
          <w:ilvl w:val="255"/>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iCs/>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7</w:t>
      </w:r>
      <w:r>
        <w:rPr>
          <w:rFonts w:hint="eastAsia" w:ascii="宋体" w:hAnsi="宋体" w:eastAsia="宋体" w:cs="宋体"/>
          <w:sz w:val="24"/>
          <w:szCs w:val="24"/>
          <w:lang w:eastAsia="zh-CN"/>
        </w:rPr>
        <w:t>）本合同是否为专门面向中小企业的采购合同（中小企业预留合同）：</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是  </w:t>
      </w:r>
      <w:r>
        <w:rPr>
          <w:rFonts w:hint="eastAsia" w:ascii="宋体" w:hAnsi="宋体" w:eastAsia="宋体" w:cs="宋体"/>
          <w:kern w:val="2"/>
          <w:sz w:val="24"/>
          <w:szCs w:val="24"/>
        </w:rPr>
        <w:sym w:font="Wingdings" w:char="00A8"/>
      </w:r>
      <w:r>
        <w:rPr>
          <w:rFonts w:hint="eastAsia" w:ascii="宋体" w:hAnsi="宋体" w:eastAsia="宋体" w:cs="宋体"/>
          <w:iCs/>
          <w:sz w:val="24"/>
          <w:szCs w:val="24"/>
          <w:lang w:eastAsia="zh-CN"/>
        </w:rPr>
        <w:t>否</w:t>
      </w:r>
    </w:p>
    <w:p w14:paraId="647619A8">
      <w:pPr>
        <w:keepNext w:val="0"/>
        <w:keepLines w:val="0"/>
        <w:pageBreakBefore w:val="0"/>
        <w:numPr>
          <w:ilvl w:val="255"/>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iCs/>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8</w:t>
      </w:r>
      <w:r>
        <w:rPr>
          <w:rFonts w:hint="eastAsia" w:ascii="宋体" w:hAnsi="宋体" w:eastAsia="宋体" w:cs="宋体"/>
          <w:sz w:val="24"/>
          <w:szCs w:val="24"/>
          <w:lang w:eastAsia="zh-CN"/>
        </w:rPr>
        <w:t>）若本项目不专门面向中小企业采购，是否给予小微企业评审优惠：</w:t>
      </w:r>
      <w:r>
        <w:rPr>
          <w:rFonts w:hint="eastAsia" w:ascii="宋体" w:hAnsi="宋体" w:eastAsia="宋体" w:cs="宋体"/>
          <w:kern w:val="2"/>
          <w:sz w:val="24"/>
          <w:szCs w:val="24"/>
        </w:rPr>
        <w:sym w:font="Wingdings" w:char="00A8"/>
      </w:r>
      <w:r>
        <w:rPr>
          <w:rFonts w:hint="eastAsia" w:ascii="宋体" w:hAnsi="宋体" w:eastAsia="宋体" w:cs="宋体"/>
          <w:iCs/>
          <w:sz w:val="24"/>
          <w:szCs w:val="24"/>
          <w:lang w:eastAsia="zh-CN"/>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否</w:t>
      </w:r>
    </w:p>
    <w:p w14:paraId="37D587E7">
      <w:pPr>
        <w:keepNext w:val="0"/>
        <w:keepLines w:val="0"/>
        <w:pageBreakBefore w:val="0"/>
        <w:numPr>
          <w:ilvl w:val="255"/>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iCs/>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9</w:t>
      </w:r>
      <w:r>
        <w:rPr>
          <w:rFonts w:hint="eastAsia" w:ascii="宋体" w:hAnsi="宋体" w:eastAsia="宋体" w:cs="宋体"/>
          <w:sz w:val="24"/>
          <w:szCs w:val="24"/>
          <w:lang w:eastAsia="zh-CN"/>
        </w:rPr>
        <w:t>）中标（成交）采购标的制造商是否为残疾人福利性单位：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是   </w:t>
      </w:r>
      <w:r>
        <w:rPr>
          <w:rFonts w:hint="eastAsia" w:ascii="宋体" w:hAnsi="宋体" w:eastAsia="宋体" w:cs="宋体"/>
          <w:kern w:val="2"/>
          <w:sz w:val="24"/>
          <w:szCs w:val="24"/>
        </w:rPr>
        <w:sym w:font="Wingdings" w:char="00A8"/>
      </w:r>
      <w:r>
        <w:rPr>
          <w:rFonts w:hint="eastAsia" w:ascii="宋体" w:hAnsi="宋体" w:eastAsia="宋体" w:cs="宋体"/>
          <w:iCs/>
          <w:sz w:val="24"/>
          <w:szCs w:val="24"/>
          <w:lang w:eastAsia="zh-CN"/>
        </w:rPr>
        <w:t>否</w:t>
      </w:r>
    </w:p>
    <w:p w14:paraId="014F11C2">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10</w:t>
      </w:r>
      <w:r>
        <w:rPr>
          <w:rFonts w:hint="eastAsia" w:ascii="宋体" w:hAnsi="宋体" w:eastAsia="宋体" w:cs="宋体"/>
          <w:sz w:val="24"/>
          <w:szCs w:val="24"/>
          <w:lang w:eastAsia="zh-CN"/>
        </w:rPr>
        <w:t>）中标（成交）采购标的制造商是否为监狱企业：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是   </w:t>
      </w:r>
      <w:r>
        <w:rPr>
          <w:rFonts w:hint="eastAsia" w:ascii="宋体" w:hAnsi="宋体" w:eastAsia="宋体" w:cs="宋体"/>
          <w:kern w:val="2"/>
          <w:sz w:val="24"/>
          <w:szCs w:val="24"/>
        </w:rPr>
        <w:sym w:font="Wingdings" w:char="00A8"/>
      </w:r>
      <w:r>
        <w:rPr>
          <w:rFonts w:hint="eastAsia" w:ascii="宋体" w:hAnsi="宋体" w:eastAsia="宋体" w:cs="宋体"/>
          <w:iCs/>
          <w:sz w:val="24"/>
          <w:szCs w:val="24"/>
          <w:lang w:eastAsia="zh-CN"/>
        </w:rPr>
        <w:t>否</w:t>
      </w:r>
    </w:p>
    <w:p w14:paraId="0BCF8583">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11</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color w:val="auto"/>
          <w:sz w:val="24"/>
          <w:szCs w:val="24"/>
        </w:rPr>
        <w:t>■</w:t>
      </w:r>
      <w:r>
        <w:rPr>
          <w:rFonts w:hint="eastAsia" w:ascii="宋体" w:hAnsi="宋体" w:eastAsia="宋体" w:cs="宋体"/>
          <w:iCs/>
          <w:sz w:val="24"/>
          <w:szCs w:val="24"/>
        </w:rPr>
        <w:t>否</w:t>
      </w:r>
    </w:p>
    <w:p w14:paraId="74F867D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iCs/>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12</w:t>
      </w:r>
      <w:r>
        <w:rPr>
          <w:rFonts w:hint="eastAsia" w:ascii="宋体" w:hAnsi="宋体" w:eastAsia="宋体" w:cs="宋体"/>
          <w:sz w:val="24"/>
          <w:szCs w:val="24"/>
          <w:lang w:eastAsia="zh-CN"/>
        </w:rPr>
        <w:t>）中标（成交）供应商是否为外商投资企业：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否</w:t>
      </w:r>
    </w:p>
    <w:p w14:paraId="08A24EAF">
      <w:pPr>
        <w:pStyle w:val="53"/>
        <w:keepNext w:val="0"/>
        <w:keepLines w:val="0"/>
        <w:pageBreakBefore w:val="0"/>
        <w:tabs>
          <w:tab w:val="left" w:pos="1340"/>
        </w:tabs>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）是否涉及进口产品：</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 xml:space="preserve">是     </w:t>
      </w:r>
      <w:r>
        <w:rPr>
          <w:rFonts w:hint="eastAsia" w:ascii="宋体" w:hAnsi="宋体" w:eastAsia="宋体" w:cs="宋体"/>
          <w:color w:val="auto"/>
          <w:sz w:val="24"/>
          <w:szCs w:val="24"/>
        </w:rPr>
        <w:t>■</w:t>
      </w:r>
      <w:r>
        <w:rPr>
          <w:rFonts w:hint="eastAsia" w:ascii="宋体" w:hAnsi="宋体" w:eastAsia="宋体" w:cs="宋体"/>
          <w:sz w:val="24"/>
          <w:szCs w:val="24"/>
          <w:lang w:eastAsia="zh-CN"/>
        </w:rPr>
        <w:t>否</w:t>
      </w:r>
    </w:p>
    <w:p w14:paraId="6F67359A">
      <w:pPr>
        <w:keepNext w:val="0"/>
        <w:keepLines w:val="0"/>
        <w:pageBreakBefore w:val="0"/>
        <w:numPr>
          <w:ilvl w:val="255"/>
          <w:numId w:val="0"/>
        </w:numPr>
        <w:tabs>
          <w:tab w:val="left" w:pos="740"/>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14</w:t>
      </w:r>
      <w:r>
        <w:rPr>
          <w:rFonts w:hint="eastAsia" w:ascii="宋体" w:hAnsi="宋体" w:eastAsia="宋体" w:cs="宋体"/>
          <w:sz w:val="24"/>
          <w:szCs w:val="24"/>
          <w:lang w:eastAsia="zh-CN"/>
        </w:rPr>
        <w:t>）是否涉及节能产品：</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rPr>
        <w:sym w:font="Wingdings" w:char="00A8"/>
      </w:r>
      <w:r>
        <w:rPr>
          <w:rFonts w:hint="eastAsia" w:ascii="宋体" w:hAnsi="宋体" w:eastAsia="宋体" w:cs="宋体"/>
          <w:sz w:val="24"/>
          <w:szCs w:val="24"/>
          <w:lang w:eastAsia="zh-CN"/>
        </w:rPr>
        <w:t>否</w:t>
      </w:r>
    </w:p>
    <w:p w14:paraId="08F199BE">
      <w:pPr>
        <w:keepNext w:val="0"/>
        <w:keepLines w:val="0"/>
        <w:pageBreakBefore w:val="0"/>
        <w:numPr>
          <w:ilvl w:val="255"/>
          <w:numId w:val="0"/>
        </w:numPr>
        <w:tabs>
          <w:tab w:val="left" w:pos="740"/>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《节能产品政府采购品目清单》的底级品目名称：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p>
    <w:p w14:paraId="286CC7E3">
      <w:pPr>
        <w:keepNext w:val="0"/>
        <w:keepLines w:val="0"/>
        <w:pageBreakBefore w:val="0"/>
        <w:numPr>
          <w:ilvl w:val="255"/>
          <w:numId w:val="0"/>
        </w:numPr>
        <w:tabs>
          <w:tab w:val="left" w:pos="740"/>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15</w:t>
      </w:r>
      <w:r>
        <w:rPr>
          <w:rFonts w:hint="eastAsia" w:ascii="宋体" w:hAnsi="宋体" w:eastAsia="宋体" w:cs="宋体"/>
          <w:sz w:val="24"/>
          <w:szCs w:val="24"/>
          <w:lang w:eastAsia="zh-CN"/>
        </w:rPr>
        <w:t>）是否涉及环境标志产品：</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rPr>
        <w:sym w:font="Wingdings" w:char="00A8"/>
      </w:r>
      <w:r>
        <w:rPr>
          <w:rFonts w:hint="eastAsia" w:ascii="宋体" w:hAnsi="宋体" w:eastAsia="宋体" w:cs="宋体"/>
          <w:sz w:val="24"/>
          <w:szCs w:val="24"/>
          <w:lang w:eastAsia="zh-CN"/>
        </w:rPr>
        <w:t>否</w:t>
      </w:r>
    </w:p>
    <w:p w14:paraId="1AC903B8">
      <w:pPr>
        <w:keepNext w:val="0"/>
        <w:keepLines w:val="0"/>
        <w:pageBreakBefore w:val="0"/>
        <w:numPr>
          <w:ilvl w:val="255"/>
          <w:numId w:val="0"/>
        </w:numPr>
        <w:tabs>
          <w:tab w:val="left" w:pos="740"/>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iCs/>
          <w:sz w:val="24"/>
          <w:szCs w:val="24"/>
          <w:lang w:eastAsia="zh-CN"/>
        </w:rPr>
      </w:pPr>
      <w:r>
        <w:rPr>
          <w:rFonts w:hint="eastAsia" w:ascii="宋体" w:hAnsi="宋体" w:eastAsia="宋体" w:cs="宋体"/>
          <w:sz w:val="24"/>
          <w:szCs w:val="24"/>
          <w:lang w:eastAsia="zh-CN"/>
        </w:rPr>
        <w:t>《环境标志产品政府采购品目清单》的底级品目名称：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p>
    <w:p w14:paraId="32490F93">
      <w:pPr>
        <w:keepNext w:val="0"/>
        <w:keepLines w:val="0"/>
        <w:pageBreakBefore w:val="0"/>
        <w:numPr>
          <w:ilvl w:val="255"/>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16</w:t>
      </w:r>
      <w:r>
        <w:rPr>
          <w:rFonts w:hint="eastAsia" w:ascii="宋体" w:hAnsi="宋体" w:eastAsia="宋体" w:cs="宋体"/>
          <w:sz w:val="24"/>
          <w:szCs w:val="24"/>
          <w:lang w:eastAsia="zh-CN"/>
        </w:rPr>
        <w:t>）涉及商品包装和快递包装的，是否参考《商品包装政府采购需求标准（试行）》、《快递包装政府采购需求标准（试行）》明确产品及相关快递服务的具体包装要求：</w:t>
      </w:r>
    </w:p>
    <w:p w14:paraId="1809D76C">
      <w:pPr>
        <w:keepNext w:val="0"/>
        <w:keepLines w:val="0"/>
        <w:pageBreakBefore w:val="0"/>
        <w:numPr>
          <w:ilvl w:val="255"/>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A8"/>
      </w:r>
      <w:r>
        <w:rPr>
          <w:rFonts w:hint="eastAsia" w:ascii="宋体" w:hAnsi="宋体" w:eastAsia="宋体" w:cs="宋体"/>
          <w:sz w:val="24"/>
          <w:szCs w:val="24"/>
        </w:rPr>
        <w:t>不涉及</w:t>
      </w:r>
    </w:p>
    <w:p w14:paraId="7B6BF084">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合同金额</w:t>
      </w:r>
    </w:p>
    <w:p w14:paraId="5FF6F2AD">
      <w:pPr>
        <w:keepNext w:val="0"/>
        <w:keepLines w:val="0"/>
        <w:pageBreakBefore w:val="0"/>
        <w:numPr>
          <w:ilvl w:val="0"/>
          <w:numId w:val="23"/>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合同金额</w:t>
      </w:r>
      <w:r>
        <w:rPr>
          <w:rFonts w:hint="eastAsia" w:ascii="宋体" w:hAnsi="宋体" w:cs="宋体"/>
          <w:color w:val="auto"/>
          <w:sz w:val="24"/>
          <w:szCs w:val="24"/>
          <w:lang w:eastAsia="zh-CN"/>
        </w:rPr>
        <w:t>：</w:t>
      </w:r>
    </w:p>
    <w:p w14:paraId="7A7D3DB2">
      <w:pPr>
        <w:keepNext w:val="0"/>
        <w:keepLines w:val="0"/>
        <w:pageBreakBefore w:val="0"/>
        <w:numPr>
          <w:ilvl w:val="0"/>
          <w:numId w:val="0"/>
        </w:numPr>
        <w:kinsoku/>
        <w:wordWrap/>
        <w:overflowPunct/>
        <w:topLinePunct w:val="0"/>
        <w:bidi w:val="0"/>
        <w:adjustRightInd w:val="0"/>
        <w:snapToGrid w:val="0"/>
        <w:spacing w:line="360" w:lineRule="auto"/>
        <w:ind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16E4AF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C023E9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color w:val="EE0000"/>
          <w:sz w:val="24"/>
          <w:szCs w:val="24"/>
          <w:u w:val="single"/>
          <w:lang w:eastAsia="zh-CN"/>
        </w:rPr>
      </w:pPr>
      <w:bookmarkStart w:id="657" w:name="OLE_LINK3"/>
      <w:r>
        <w:rPr>
          <w:rStyle w:val="270"/>
          <w:rFonts w:hint="eastAsia" w:ascii="宋体" w:hAnsi="宋体" w:eastAsia="宋体" w:cs="宋体"/>
          <w:sz w:val="24"/>
          <w:szCs w:val="24"/>
          <w:lang w:eastAsia="zh-CN"/>
        </w:rPr>
        <w:t>上述费用是甲方依据本合同约定支付给乙方的全部费用，包含乙方为履行合同所支出的一切费用及应缴纳的全部税金。除此之外，甲方无需向乙方支付任何其他费用。</w:t>
      </w:r>
      <w:bookmarkEnd w:id="657"/>
      <w:r>
        <w:rPr>
          <w:rStyle w:val="270"/>
          <w:rFonts w:hint="eastAsia" w:ascii="宋体" w:hAnsi="宋体" w:eastAsia="宋体" w:cs="宋体"/>
          <w:sz w:val="24"/>
          <w:szCs w:val="24"/>
          <w:lang w:eastAsia="zh-CN"/>
        </w:rPr>
        <w:t>双方同意，如果该合同金额需要经过财政评审，则上述约定金额与财政评审金额不一致的，以财政评审金额为最终结算金额。</w:t>
      </w:r>
    </w:p>
    <w:p w14:paraId="0C360F0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（2）合同定价方式（采用组合定价方式的，可以勾选多项）：</w:t>
      </w:r>
    </w:p>
    <w:p w14:paraId="76A9251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w:t>
      </w:r>
      <w:r>
        <w:rPr>
          <w:rFonts w:hint="eastAsia" w:ascii="宋体" w:hAnsi="宋体" w:eastAsia="宋体" w:cs="宋体"/>
          <w:iCs/>
          <w:sz w:val="24"/>
          <w:szCs w:val="24"/>
          <w:lang w:eastAsia="zh-CN"/>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lang w:eastAsia="zh-CN"/>
        </w:rPr>
        <w:t xml:space="preserve">       </w:t>
      </w:r>
    </w:p>
    <w:p w14:paraId="0F711B52">
      <w:pPr>
        <w:pStyle w:val="160"/>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（3）付款方式：</w:t>
      </w:r>
    </w:p>
    <w:p w14:paraId="5073AA3D">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全额付款：</w:t>
      </w:r>
      <w:r>
        <w:rPr>
          <w:rFonts w:hint="eastAsia" w:ascii="宋体" w:hAnsi="宋体" w:eastAsia="宋体" w:cs="宋体"/>
          <w:sz w:val="24"/>
          <w:szCs w:val="24"/>
          <w:u w:val="single"/>
          <w:lang w:eastAsia="zh-CN"/>
        </w:rPr>
        <w:t xml:space="preserve">     （应明确一次性支付合同款项的条件）</w:t>
      </w:r>
    </w:p>
    <w:p w14:paraId="1D995CD5">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分期付款：</w:t>
      </w:r>
      <w:r>
        <w:rPr>
          <w:rFonts w:hint="eastAsia" w:ascii="宋体" w:hAnsi="宋体" w:eastAsia="宋体" w:cs="宋体"/>
          <w:color w:val="auto"/>
          <w:sz w:val="24"/>
          <w:szCs w:val="24"/>
          <w:highlight w:val="none"/>
          <w:u w:val="single"/>
          <w:lang w:val="en-US" w:eastAsia="zh-CN"/>
        </w:rPr>
        <w:t>合同签订后，根据财政资金拨付进度10个工作日内，</w:t>
      </w:r>
      <w:r>
        <w:rPr>
          <w:rFonts w:hint="eastAsia" w:ascii="宋体" w:hAnsi="宋体" w:eastAsia="宋体" w:cs="宋体"/>
          <w:color w:val="auto"/>
          <w:sz w:val="24"/>
          <w:szCs w:val="24"/>
          <w:highlight w:val="none"/>
          <w:u w:val="single"/>
          <w:lang w:eastAsia="zh-CN"/>
        </w:rPr>
        <w:t>甲方向乙方支付</w:t>
      </w:r>
      <w:r>
        <w:rPr>
          <w:rFonts w:hint="eastAsia" w:ascii="宋体" w:hAnsi="宋体" w:eastAsia="宋体" w:cs="宋体"/>
          <w:color w:val="auto"/>
          <w:sz w:val="24"/>
          <w:szCs w:val="24"/>
          <w:highlight w:val="none"/>
          <w:u w:val="single"/>
          <w:lang w:val="en-US" w:eastAsia="zh-CN"/>
        </w:rPr>
        <w:t>上半年建设资金</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即</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待上半年建设需求货物安装完毕后经甲方及监理验收后</w:t>
      </w:r>
      <w:r>
        <w:rPr>
          <w:rFonts w:hint="eastAsia" w:ascii="宋体" w:hAnsi="宋体" w:eastAsia="宋体" w:cs="宋体"/>
          <w:color w:val="auto"/>
          <w:sz w:val="24"/>
          <w:szCs w:val="24"/>
          <w:highlight w:val="none"/>
          <w:u w:val="single"/>
          <w:lang w:eastAsia="zh-CN"/>
        </w:rPr>
        <w:t>甲方向乙方一次性支付剩余尾款。</w:t>
      </w:r>
    </w:p>
    <w:p w14:paraId="1759CEDF">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u w:val="single"/>
          <w:lang w:val="en-US" w:eastAsia="zh-CN"/>
        </w:rPr>
        <w:t>根据财政资金拨付进度10个工作日内，</w:t>
      </w:r>
      <w:r>
        <w:rPr>
          <w:rFonts w:hint="eastAsia" w:ascii="宋体" w:hAnsi="宋体" w:eastAsia="宋体" w:cs="宋体"/>
          <w:color w:val="auto"/>
          <w:sz w:val="24"/>
          <w:szCs w:val="24"/>
          <w:u w:val="single"/>
          <w:lang w:eastAsia="zh-CN"/>
        </w:rPr>
        <w:t>甲方向乙方支付</w:t>
      </w:r>
      <w:r>
        <w:rPr>
          <w:rFonts w:hint="eastAsia" w:ascii="宋体" w:hAnsi="宋体" w:eastAsia="宋体" w:cs="宋体"/>
          <w:color w:val="auto"/>
          <w:sz w:val="24"/>
          <w:szCs w:val="24"/>
          <w:u w:val="single"/>
          <w:lang w:val="en-US" w:eastAsia="zh-CN"/>
        </w:rPr>
        <w:t>下半年建设资金50%</w:t>
      </w:r>
      <w:r>
        <w:rPr>
          <w:rFonts w:hint="eastAsia" w:ascii="宋体" w:hAnsi="宋体" w:eastAsia="宋体" w:cs="宋体"/>
          <w:color w:val="auto"/>
          <w:sz w:val="24"/>
          <w:szCs w:val="24"/>
          <w:u w:val="single"/>
          <w:lang w:eastAsia="zh-CN"/>
        </w:rPr>
        <w:t>即</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）；乙方向甲方提供</w:t>
      </w:r>
      <w:r>
        <w:rPr>
          <w:rFonts w:hint="eastAsia" w:ascii="宋体" w:hAnsi="宋体" w:eastAsia="宋体" w:cs="宋体"/>
          <w:color w:val="auto"/>
          <w:sz w:val="24"/>
          <w:szCs w:val="24"/>
          <w:u w:val="single"/>
          <w:lang w:val="en-US" w:eastAsia="zh-CN"/>
        </w:rPr>
        <w:t>下半年建设需求</w:t>
      </w:r>
      <w:r>
        <w:rPr>
          <w:rFonts w:hint="eastAsia" w:ascii="宋体" w:hAnsi="宋体" w:eastAsia="宋体" w:cs="宋体"/>
          <w:color w:val="auto"/>
          <w:sz w:val="24"/>
          <w:szCs w:val="24"/>
          <w:u w:val="single"/>
          <w:lang w:eastAsia="zh-CN"/>
        </w:rPr>
        <w:t>全部货物后，甲方组织人员对全部货物进行到货验收，货物验收合格后向乙方出具到货验收合格单并在10个工作日内向乙方支付合同金额的30%，即</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待下半年建设需求货物安装完毕后经甲方及监理验收后</w:t>
      </w:r>
      <w:r>
        <w:rPr>
          <w:rFonts w:hint="eastAsia" w:ascii="宋体" w:hAnsi="宋体" w:eastAsia="宋体" w:cs="宋体"/>
          <w:color w:val="auto"/>
          <w:sz w:val="24"/>
          <w:szCs w:val="24"/>
          <w:u w:val="single"/>
          <w:lang w:eastAsia="zh-CN"/>
        </w:rPr>
        <w:t>甲方向乙方一次性支付剩余尾款。</w:t>
      </w:r>
    </w:p>
    <w:p w14:paraId="27643347">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3D3DA733">
      <w:pPr>
        <w:pStyle w:val="7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u w:val="single"/>
          <w:lang w:val="en-US" w:eastAsia="zh-CN"/>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lang w:eastAsia="zh-CN"/>
        </w:rPr>
        <w:t>合同签订</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val="en-US" w:eastAsia="zh-CN"/>
        </w:rPr>
        <w:t>。</w:t>
      </w:r>
    </w:p>
    <w:p w14:paraId="2DEA1517">
      <w:pPr>
        <w:pStyle w:val="74"/>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u w:val="single"/>
          <w:lang w:val="en-US" w:eastAsia="zh-CN"/>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val="en-US" w:eastAsia="zh-CN"/>
        </w:rPr>
        <w:t>。</w:t>
      </w:r>
    </w:p>
    <w:p w14:paraId="53A8544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）履约地点</w:t>
      </w:r>
      <w:r>
        <w:rPr>
          <w:rFonts w:hint="eastAsia" w:ascii="宋体" w:hAnsi="宋体" w:eastAsia="宋体" w:cs="宋体"/>
          <w:bCs/>
          <w:sz w:val="24"/>
          <w:szCs w:val="24"/>
          <w:lang w:eastAsia="zh-CN"/>
        </w:rPr>
        <w:t>：</w:t>
      </w:r>
      <w:r>
        <w:rPr>
          <w:rFonts w:hint="eastAsia" w:ascii="宋体" w:hAnsi="宋体" w:eastAsia="宋体" w:cs="宋体"/>
          <w:sz w:val="24"/>
          <w:szCs w:val="24"/>
          <w:u w:val="single"/>
          <w:lang w:eastAsia="zh-CN"/>
        </w:rPr>
        <w:t>采购人指定地点</w:t>
      </w:r>
    </w:p>
    <w:p w14:paraId="22222DD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）履约担保：</w:t>
      </w:r>
      <w:r>
        <w:rPr>
          <w:rFonts w:hint="eastAsia" w:ascii="宋体" w:hAnsi="宋体" w:eastAsia="宋体" w:cs="宋体"/>
          <w:sz w:val="24"/>
          <w:szCs w:val="24"/>
          <w:lang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 xml:space="preserve">是    </w:t>
      </w:r>
      <w:r>
        <w:rPr>
          <w:rFonts w:hint="eastAsia" w:ascii="宋体" w:hAnsi="宋体" w:eastAsia="宋体" w:cs="宋体"/>
          <w:color w:val="auto"/>
          <w:sz w:val="24"/>
          <w:szCs w:val="24"/>
        </w:rPr>
        <w:t>■</w:t>
      </w:r>
      <w:r>
        <w:rPr>
          <w:rFonts w:hint="eastAsia" w:ascii="宋体" w:hAnsi="宋体" w:eastAsia="宋体" w:cs="宋体"/>
          <w:sz w:val="24"/>
          <w:szCs w:val="24"/>
          <w:lang w:eastAsia="zh-CN"/>
        </w:rPr>
        <w:t>否</w:t>
      </w:r>
    </w:p>
    <w:p w14:paraId="3626A918">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6FA94375">
      <w:pPr>
        <w:keepNext w:val="0"/>
        <w:keepLines w:val="0"/>
        <w:pageBreakBefore w:val="0"/>
        <w:numPr>
          <w:ilvl w:val="0"/>
          <w:numId w:val="2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 xml:space="preserve">自行组织 </w:t>
      </w:r>
      <w:r>
        <w:rPr>
          <w:rFonts w:hint="eastAsia" w:ascii="宋体" w:hAnsi="宋体" w:eastAsia="宋体" w:cs="宋体"/>
          <w:color w:val="auto"/>
          <w:sz w:val="24"/>
          <w:szCs w:val="24"/>
        </w:rPr>
        <w:t>■</w:t>
      </w:r>
      <w:r>
        <w:rPr>
          <w:rFonts w:hint="eastAsia" w:ascii="宋体" w:hAnsi="宋体" w:eastAsia="宋体" w:cs="宋体"/>
          <w:bCs/>
          <w:sz w:val="24"/>
          <w:szCs w:val="24"/>
          <w:lang w:eastAsia="zh-CN"/>
        </w:rPr>
        <w:t>委托第三方组织</w:t>
      </w:r>
    </w:p>
    <w:p w14:paraId="460EB51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2</w:t>
      </w:r>
      <w:r>
        <w:rPr>
          <w:rFonts w:hint="eastAsia" w:ascii="宋体" w:hAnsi="宋体" w:eastAsia="宋体" w:cs="宋体"/>
          <w:bCs/>
          <w:sz w:val="24"/>
          <w:szCs w:val="24"/>
          <w:lang w:eastAsia="zh-CN"/>
        </w:rPr>
        <w:t>）验收主体：</w:t>
      </w:r>
      <w:r>
        <w:rPr>
          <w:rFonts w:hint="eastAsia" w:ascii="宋体" w:hAnsi="宋体" w:eastAsia="宋体" w:cs="宋体"/>
          <w:bCs/>
          <w:sz w:val="24"/>
          <w:szCs w:val="24"/>
          <w:u w:val="single"/>
          <w:lang w:eastAsia="zh-CN"/>
        </w:rPr>
        <w:t xml:space="preserve">            </w:t>
      </w:r>
    </w:p>
    <w:p w14:paraId="50A1028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3</w:t>
      </w:r>
      <w:r>
        <w:rPr>
          <w:rFonts w:hint="eastAsia" w:ascii="宋体" w:hAnsi="宋体" w:eastAsia="宋体" w:cs="宋体"/>
          <w:bCs/>
          <w:sz w:val="24"/>
          <w:szCs w:val="24"/>
          <w:lang w:eastAsia="zh-CN"/>
        </w:rPr>
        <w:t>）是否邀请本项目的其他供应商参加验收：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否</w:t>
      </w:r>
    </w:p>
    <w:p w14:paraId="2D00C67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4</w:t>
      </w:r>
      <w:r>
        <w:rPr>
          <w:rFonts w:hint="eastAsia" w:ascii="宋体" w:hAnsi="宋体" w:eastAsia="宋体" w:cs="宋体"/>
          <w:bCs/>
          <w:sz w:val="24"/>
          <w:szCs w:val="24"/>
          <w:lang w:eastAsia="zh-CN"/>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否</w:t>
      </w:r>
    </w:p>
    <w:p w14:paraId="0F68D3E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5</w:t>
      </w:r>
      <w:r>
        <w:rPr>
          <w:rFonts w:hint="eastAsia" w:ascii="宋体" w:hAnsi="宋体" w:eastAsia="宋体" w:cs="宋体"/>
          <w:bCs/>
          <w:sz w:val="24"/>
          <w:szCs w:val="24"/>
          <w:lang w:eastAsia="zh-CN"/>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否</w:t>
      </w:r>
    </w:p>
    <w:p w14:paraId="6B23CB98">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6</w:t>
      </w:r>
      <w:r>
        <w:rPr>
          <w:rFonts w:hint="eastAsia" w:ascii="宋体" w:hAnsi="宋体" w:eastAsia="宋体" w:cs="宋体"/>
          <w:bCs/>
          <w:sz w:val="24"/>
          <w:szCs w:val="24"/>
          <w:lang w:eastAsia="zh-CN"/>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lang w:eastAsia="zh-CN"/>
        </w:rPr>
        <w:t>否</w:t>
      </w:r>
    </w:p>
    <w:p w14:paraId="0E0E804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7</w:t>
      </w:r>
      <w:r>
        <w:rPr>
          <w:rFonts w:hint="eastAsia" w:ascii="宋体" w:hAnsi="宋体" w:eastAsia="宋体" w:cs="宋体"/>
          <w:bCs/>
          <w:sz w:val="24"/>
          <w:szCs w:val="24"/>
          <w:lang w:eastAsia="zh-CN"/>
        </w:rPr>
        <w:t>）履约验收时间：</w:t>
      </w:r>
      <w:r>
        <w:rPr>
          <w:rFonts w:hint="eastAsia" w:ascii="宋体" w:hAnsi="宋体" w:cs="宋体"/>
          <w:bCs/>
          <w:sz w:val="24"/>
          <w:szCs w:val="24"/>
          <w:u w:val="single"/>
          <w:lang w:val="en-US" w:eastAsia="zh-CN"/>
        </w:rPr>
        <w:t>乙方</w:t>
      </w:r>
      <w:r>
        <w:rPr>
          <w:rFonts w:hint="eastAsia" w:ascii="宋体" w:hAnsi="宋体" w:eastAsia="宋体" w:cs="宋体"/>
          <w:bCs/>
          <w:sz w:val="24"/>
          <w:szCs w:val="24"/>
          <w:u w:val="single"/>
          <w:lang w:eastAsia="zh-CN"/>
        </w:rPr>
        <w:t xml:space="preserve">提出验收申请之日起 7日内组织验收 </w:t>
      </w:r>
    </w:p>
    <w:p w14:paraId="3623C27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8</w:t>
      </w:r>
      <w:r>
        <w:rPr>
          <w:rFonts w:hint="eastAsia" w:ascii="宋体" w:hAnsi="宋体" w:eastAsia="宋体" w:cs="宋体"/>
          <w:bCs/>
          <w:sz w:val="24"/>
          <w:szCs w:val="24"/>
          <w:lang w:eastAsia="zh-CN"/>
        </w:rPr>
        <w:t>）履约验收方式：</w:t>
      </w:r>
      <w:r>
        <w:rPr>
          <w:rFonts w:hint="eastAsia" w:ascii="宋体" w:hAnsi="宋体" w:eastAsia="宋体" w:cs="宋体"/>
          <w:color w:val="auto"/>
          <w:sz w:val="24"/>
          <w:szCs w:val="24"/>
        </w:rPr>
        <w:t>■</w:t>
      </w:r>
      <w:r>
        <w:rPr>
          <w:rFonts w:hint="eastAsia" w:ascii="宋体" w:hAnsi="宋体" w:eastAsia="宋体" w:cs="宋体"/>
          <w:bCs/>
          <w:sz w:val="24"/>
          <w:szCs w:val="24"/>
          <w:lang w:eastAsia="zh-CN"/>
        </w:rPr>
        <w:t>分批验收</w:t>
      </w:r>
    </w:p>
    <w:p w14:paraId="4A84267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9</w:t>
      </w:r>
      <w:r>
        <w:rPr>
          <w:rFonts w:hint="eastAsia" w:ascii="宋体" w:hAnsi="宋体" w:eastAsia="宋体" w:cs="宋体"/>
          <w:bCs/>
          <w:sz w:val="24"/>
          <w:szCs w:val="24"/>
          <w:lang w:eastAsia="zh-CN"/>
        </w:rPr>
        <w:t>）履约验收程序：</w:t>
      </w:r>
      <w:r>
        <w:rPr>
          <w:rFonts w:hint="eastAsia" w:ascii="宋体" w:hAnsi="宋体" w:eastAsia="宋体" w:cs="宋体"/>
          <w:bCs/>
          <w:sz w:val="24"/>
          <w:szCs w:val="24"/>
          <w:u w:val="single"/>
          <w:lang w:eastAsia="zh-CN"/>
        </w:rPr>
        <w:t>设备安装、调试等工作完成后，投入试运行，试运行期不少于30天，试运行期出现的问题全部解决后，可以申请项目验收。</w:t>
      </w:r>
    </w:p>
    <w:p w14:paraId="5BC6F1C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10</w:t>
      </w:r>
      <w:r>
        <w:rPr>
          <w:rFonts w:hint="eastAsia" w:ascii="宋体" w:hAnsi="宋体" w:eastAsia="宋体" w:cs="宋体"/>
          <w:bCs/>
          <w:sz w:val="24"/>
          <w:szCs w:val="24"/>
          <w:lang w:eastAsia="zh-CN"/>
        </w:rPr>
        <w:t>）履约验收的内容：</w:t>
      </w:r>
      <w:r>
        <w:rPr>
          <w:rFonts w:hint="eastAsia" w:ascii="宋体" w:hAnsi="宋体" w:eastAsia="宋体" w:cs="宋体"/>
          <w:bCs/>
          <w:sz w:val="24"/>
          <w:szCs w:val="24"/>
          <w:u w:val="single"/>
          <w:lang w:eastAsia="zh-CN"/>
        </w:rPr>
        <w:t xml:space="preserve"> 与本项目相关的所有投标产品及对应服务。</w:t>
      </w:r>
    </w:p>
    <w:p w14:paraId="57B2819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11</w:t>
      </w:r>
      <w:r>
        <w:rPr>
          <w:rFonts w:hint="eastAsia" w:ascii="宋体" w:hAnsi="宋体" w:eastAsia="宋体" w:cs="宋体"/>
          <w:bCs/>
          <w:sz w:val="24"/>
          <w:szCs w:val="24"/>
          <w:lang w:eastAsia="zh-CN"/>
        </w:rPr>
        <w:t>）履约验收标准：</w:t>
      </w:r>
      <w:r>
        <w:rPr>
          <w:rFonts w:hint="eastAsia" w:ascii="宋体" w:hAnsi="宋体" w:eastAsia="宋体" w:cs="宋体"/>
          <w:bCs/>
          <w:sz w:val="24"/>
          <w:szCs w:val="24"/>
          <w:u w:val="single"/>
          <w:lang w:eastAsia="zh-CN"/>
        </w:rPr>
        <w:t xml:space="preserve">  符合合同约定和法律规定的各项标准，且符合甲方的要求。</w:t>
      </w:r>
    </w:p>
    <w:p w14:paraId="2FE331BE">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rPr>
        <w:t>）是否以采购活动中</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75BF96D">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13</w:t>
      </w:r>
      <w:r>
        <w:rPr>
          <w:rFonts w:hint="eastAsia" w:ascii="宋体" w:hAnsi="宋体" w:eastAsia="宋体" w:cs="宋体"/>
          <w:bCs/>
          <w:sz w:val="24"/>
          <w:szCs w:val="24"/>
          <w:lang w:eastAsia="zh-CN"/>
        </w:rPr>
        <w:t>）履约验收其他事项：</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eastAsia="zh-CN"/>
        </w:rPr>
        <w:t xml:space="preserve">/  </w:t>
      </w:r>
    </w:p>
    <w:p w14:paraId="66F6E4A7">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3A8436B8">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本协议书与下列文件一起构成合同文件，如下述文件之间有任何抵触、矛盾或歧义，应按以下顺序解释：</w:t>
      </w:r>
    </w:p>
    <w:p w14:paraId="2BFEB89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（1）政府采购合同协议书及其变更、补充协议</w:t>
      </w:r>
    </w:p>
    <w:p w14:paraId="1CE3092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（2）政府采购合同专用条款</w:t>
      </w:r>
    </w:p>
    <w:p w14:paraId="3881E0FC">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（3）政府采购合同通用条款</w:t>
      </w:r>
    </w:p>
    <w:p w14:paraId="7C16215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（4）中标（成交）通知书</w:t>
      </w:r>
    </w:p>
    <w:p w14:paraId="349A2FC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（5）投标（响应）文件</w:t>
      </w:r>
    </w:p>
    <w:p w14:paraId="6382FE2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（6）采购文件</w:t>
      </w:r>
    </w:p>
    <w:p w14:paraId="75DFD93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（7）有关技术文件，图纸</w:t>
      </w:r>
    </w:p>
    <w:p w14:paraId="1AE69834">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3750CCBD">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71A5D7A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本合同自</w:t>
      </w:r>
      <w:r>
        <w:rPr>
          <w:rFonts w:hint="eastAsia" w:ascii="宋体" w:hAnsi="宋体" w:eastAsia="宋体" w:cs="宋体"/>
          <w:sz w:val="24"/>
          <w:szCs w:val="24"/>
          <w:u w:val="single"/>
          <w:lang w:eastAsia="zh-CN"/>
        </w:rPr>
        <w:t xml:space="preserve"> 双方法定代表人/授权代表签字/签章、加盖单位公章后 </w:t>
      </w:r>
      <w:r>
        <w:rPr>
          <w:rFonts w:hint="eastAsia" w:ascii="宋体" w:hAnsi="宋体" w:eastAsia="宋体" w:cs="宋体"/>
          <w:sz w:val="24"/>
          <w:szCs w:val="24"/>
          <w:lang w:eastAsia="zh-CN"/>
        </w:rPr>
        <w:t>生效。</w:t>
      </w:r>
    </w:p>
    <w:p w14:paraId="60CAED07">
      <w:pPr>
        <w:keepNext w:val="0"/>
        <w:keepLines w:val="0"/>
        <w:pageBreakBefore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0389F83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本合同一式</w:t>
      </w:r>
      <w:r>
        <w:rPr>
          <w:rFonts w:hint="eastAsia" w:ascii="宋体" w:hAnsi="宋体" w:eastAsia="宋体" w:cs="宋体"/>
          <w:sz w:val="24"/>
          <w:szCs w:val="24"/>
          <w:u w:val="single"/>
          <w:lang w:eastAsia="zh-CN"/>
        </w:rPr>
        <w:t xml:space="preserve">  陆  </w:t>
      </w:r>
      <w:r>
        <w:rPr>
          <w:rFonts w:hint="eastAsia" w:ascii="宋体" w:hAnsi="宋体" w:eastAsia="宋体" w:cs="宋体"/>
          <w:sz w:val="24"/>
          <w:szCs w:val="24"/>
          <w:lang w:eastAsia="zh-CN"/>
        </w:rPr>
        <w:t>份，甲方执</w:t>
      </w:r>
      <w:r>
        <w:rPr>
          <w:rFonts w:hint="eastAsia" w:ascii="宋体" w:hAnsi="宋体" w:eastAsia="宋体" w:cs="宋体"/>
          <w:sz w:val="24"/>
          <w:szCs w:val="24"/>
          <w:u w:val="single"/>
          <w:lang w:eastAsia="zh-CN"/>
        </w:rPr>
        <w:t xml:space="preserve"> 叁  </w:t>
      </w:r>
      <w:r>
        <w:rPr>
          <w:rFonts w:hint="eastAsia" w:ascii="宋体" w:hAnsi="宋体" w:eastAsia="宋体" w:cs="宋体"/>
          <w:sz w:val="24"/>
          <w:szCs w:val="24"/>
          <w:lang w:eastAsia="zh-CN"/>
        </w:rPr>
        <w:t>份，乙方执</w:t>
      </w:r>
      <w:r>
        <w:rPr>
          <w:rFonts w:hint="eastAsia" w:ascii="宋体" w:hAnsi="宋体" w:eastAsia="宋体" w:cs="宋体"/>
          <w:sz w:val="24"/>
          <w:szCs w:val="24"/>
          <w:u w:val="single"/>
          <w:lang w:eastAsia="zh-CN"/>
        </w:rPr>
        <w:t xml:space="preserve">  叁  </w:t>
      </w:r>
      <w:r>
        <w:rPr>
          <w:rFonts w:hint="eastAsia" w:ascii="宋体" w:hAnsi="宋体" w:eastAsia="宋体" w:cs="宋体"/>
          <w:sz w:val="24"/>
          <w:szCs w:val="24"/>
          <w:lang w:eastAsia="zh-CN"/>
        </w:rPr>
        <w:t>份，均具有同等法律效力。</w:t>
      </w:r>
    </w:p>
    <w:p w14:paraId="69E188E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合同订立时间：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126CB723">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合同订立地点：</w:t>
      </w:r>
      <w:r>
        <w:rPr>
          <w:rFonts w:hint="eastAsia" w:ascii="宋体" w:hAnsi="宋体" w:eastAsia="宋体" w:cs="宋体"/>
          <w:sz w:val="24"/>
          <w:szCs w:val="24"/>
          <w:u w:val="single"/>
          <w:lang w:eastAsia="zh-CN"/>
        </w:rPr>
        <w:t xml:space="preserve">                      </w:t>
      </w:r>
    </w:p>
    <w:p w14:paraId="162BDDA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附件：采购标的及数量、技术要求和商务要求。</w:t>
      </w:r>
    </w:p>
    <w:p w14:paraId="07468B07">
      <w:pPr>
        <w:pStyle w:val="160"/>
      </w:pPr>
    </w:p>
    <w:tbl>
      <w:tblPr>
        <w:tblStyle w:val="42"/>
        <w:tblW w:w="915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59"/>
        <w:gridCol w:w="2629"/>
        <w:gridCol w:w="2155"/>
        <w:gridCol w:w="2308"/>
      </w:tblGrid>
      <w:tr w14:paraId="166C3B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bottom w:val="single" w:color="auto" w:sz="2" w:space="0"/>
              <w:right w:val="single" w:color="auto" w:sz="2" w:space="0"/>
            </w:tcBorders>
            <w:vAlign w:val="center"/>
          </w:tcPr>
          <w:p w14:paraId="1011CED5">
            <w:pPr>
              <w:adjustRightInd w:val="0"/>
              <w:snapToGrid w:val="0"/>
              <w:spacing w:line="300" w:lineRule="exact"/>
              <w:jc w:val="center"/>
              <w:rPr>
                <w:rFonts w:hint="eastAsia"/>
              </w:rPr>
            </w:pPr>
            <w:r>
              <w:rPr>
                <w:szCs w:val="21"/>
              </w:rPr>
              <w:t>甲方</w:t>
            </w:r>
            <w:r>
              <w:rPr>
                <w:rFonts w:hint="eastAsia"/>
                <w:szCs w:val="21"/>
              </w:rPr>
              <w:t>（采购人）</w:t>
            </w:r>
          </w:p>
        </w:tc>
        <w:tc>
          <w:tcPr>
            <w:tcW w:w="4463" w:type="dxa"/>
            <w:gridSpan w:val="2"/>
            <w:tcBorders>
              <w:left w:val="single" w:color="auto" w:sz="2" w:space="0"/>
              <w:bottom w:val="single" w:color="auto" w:sz="2" w:space="0"/>
            </w:tcBorders>
            <w:vAlign w:val="center"/>
          </w:tcPr>
          <w:p w14:paraId="31E1B65F">
            <w:pPr>
              <w:adjustRightInd w:val="0"/>
              <w:snapToGrid w:val="0"/>
              <w:spacing w:line="300" w:lineRule="exact"/>
              <w:jc w:val="center"/>
              <w:rPr>
                <w:rFonts w:hint="eastAsia"/>
              </w:rPr>
            </w:pPr>
            <w:r>
              <w:rPr>
                <w:szCs w:val="21"/>
              </w:rPr>
              <w:t>乙方</w:t>
            </w:r>
            <w:r>
              <w:rPr>
                <w:rFonts w:hint="eastAsia"/>
                <w:szCs w:val="21"/>
              </w:rPr>
              <w:t>（供应商）</w:t>
            </w:r>
          </w:p>
        </w:tc>
      </w:tr>
      <w:tr w14:paraId="44DC59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59" w:type="dxa"/>
            <w:tcBorders>
              <w:top w:val="single" w:color="auto" w:sz="2" w:space="0"/>
              <w:bottom w:val="single" w:color="auto" w:sz="2" w:space="0"/>
              <w:right w:val="single" w:color="auto" w:sz="2" w:space="0"/>
            </w:tcBorders>
            <w:vAlign w:val="center"/>
          </w:tcPr>
          <w:p w14:paraId="3C883FD0">
            <w:pPr>
              <w:adjustRightInd w:val="0"/>
              <w:snapToGrid w:val="0"/>
              <w:spacing w:line="300" w:lineRule="exact"/>
              <w:jc w:val="both"/>
              <w:rPr>
                <w:rFonts w:hint="eastAsia"/>
                <w:szCs w:val="21"/>
              </w:rPr>
            </w:pPr>
            <w:r>
              <w:rPr>
                <w:szCs w:val="21"/>
              </w:rPr>
              <w:t>单位名称</w:t>
            </w:r>
            <w:r>
              <w:rPr>
                <w:rFonts w:hint="eastAsia"/>
                <w:szCs w:val="21"/>
              </w:rPr>
              <w:t>（公章）</w:t>
            </w:r>
          </w:p>
        </w:tc>
        <w:tc>
          <w:tcPr>
            <w:tcW w:w="2629" w:type="dxa"/>
            <w:tcBorders>
              <w:top w:val="single" w:color="auto" w:sz="2" w:space="0"/>
              <w:left w:val="single" w:color="auto" w:sz="2" w:space="0"/>
              <w:bottom w:val="single" w:color="auto" w:sz="2" w:space="0"/>
              <w:right w:val="single" w:color="auto" w:sz="2" w:space="0"/>
            </w:tcBorders>
            <w:vAlign w:val="center"/>
          </w:tcPr>
          <w:p w14:paraId="3DD748AC">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67CA052F">
            <w:pPr>
              <w:adjustRightInd w:val="0"/>
              <w:snapToGrid w:val="0"/>
              <w:spacing w:line="300" w:lineRule="exact"/>
              <w:jc w:val="center"/>
              <w:rPr>
                <w:rFonts w:hint="eastAsia"/>
                <w:szCs w:val="21"/>
              </w:rPr>
            </w:pPr>
            <w:r>
              <w:rPr>
                <w:szCs w:val="21"/>
              </w:rPr>
              <w:t>单位名称</w:t>
            </w:r>
            <w:r>
              <w:rPr>
                <w:rFonts w:hint="eastAsia"/>
                <w:szCs w:val="21"/>
              </w:rPr>
              <w:t>（公章）</w:t>
            </w:r>
          </w:p>
        </w:tc>
        <w:tc>
          <w:tcPr>
            <w:tcW w:w="2308" w:type="dxa"/>
            <w:tcBorders>
              <w:top w:val="single" w:color="auto" w:sz="2" w:space="0"/>
              <w:left w:val="single" w:color="auto" w:sz="2" w:space="0"/>
              <w:bottom w:val="single" w:color="auto" w:sz="2" w:space="0"/>
            </w:tcBorders>
            <w:vAlign w:val="center"/>
          </w:tcPr>
          <w:p w14:paraId="08C3070B">
            <w:pPr>
              <w:adjustRightInd w:val="0"/>
              <w:snapToGrid w:val="0"/>
              <w:spacing w:line="300" w:lineRule="exact"/>
              <w:jc w:val="center"/>
              <w:rPr>
                <w:rFonts w:hint="eastAsia"/>
                <w:spacing w:val="20"/>
                <w:szCs w:val="21"/>
              </w:rPr>
            </w:pPr>
          </w:p>
        </w:tc>
      </w:tr>
      <w:tr w14:paraId="69F50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59" w:type="dxa"/>
            <w:tcBorders>
              <w:top w:val="single" w:color="auto" w:sz="2" w:space="0"/>
              <w:right w:val="single" w:color="auto" w:sz="2" w:space="0"/>
            </w:tcBorders>
            <w:vAlign w:val="center"/>
          </w:tcPr>
          <w:p w14:paraId="1056D629">
            <w:pPr>
              <w:adjustRightInd w:val="0"/>
              <w:snapToGrid w:val="0"/>
              <w:spacing w:line="300" w:lineRule="exact"/>
              <w:jc w:val="center"/>
              <w:rPr>
                <w:rFonts w:hint="eastAsia"/>
                <w:szCs w:val="21"/>
                <w:lang w:eastAsia="zh-CN"/>
              </w:rPr>
            </w:pPr>
            <w:r>
              <w:rPr>
                <w:szCs w:val="21"/>
                <w:lang w:eastAsia="zh-CN"/>
              </w:rPr>
              <w:t>法定代表人</w:t>
            </w:r>
          </w:p>
          <w:p w14:paraId="5FB6F559">
            <w:pPr>
              <w:adjustRightInd w:val="0"/>
              <w:snapToGrid w:val="0"/>
              <w:spacing w:line="300" w:lineRule="exact"/>
              <w:ind w:firstLine="100" w:firstLineChars="48"/>
              <w:jc w:val="center"/>
              <w:rPr>
                <w:rFonts w:hint="eastAsia"/>
                <w:szCs w:val="21"/>
                <w:lang w:eastAsia="zh-CN"/>
              </w:rPr>
            </w:pPr>
            <w:r>
              <w:rPr>
                <w:rFonts w:hint="eastAsia"/>
                <w:szCs w:val="21"/>
                <w:lang w:eastAsia="zh-CN"/>
              </w:rPr>
              <w:t>或其</w:t>
            </w:r>
            <w:r>
              <w:rPr>
                <w:szCs w:val="21"/>
                <w:lang w:eastAsia="zh-CN"/>
              </w:rPr>
              <w:t>委托代理人</w:t>
            </w:r>
            <w:r>
              <w:rPr>
                <w:rFonts w:hint="eastAsia"/>
                <w:szCs w:val="21"/>
                <w:lang w:eastAsia="zh-CN"/>
              </w:rPr>
              <w:t>（签章）</w:t>
            </w:r>
          </w:p>
        </w:tc>
        <w:tc>
          <w:tcPr>
            <w:tcW w:w="2629" w:type="dxa"/>
            <w:tcBorders>
              <w:top w:val="single" w:color="auto" w:sz="2" w:space="0"/>
              <w:left w:val="single" w:color="auto" w:sz="2" w:space="0"/>
              <w:right w:val="single" w:color="auto" w:sz="2" w:space="0"/>
            </w:tcBorders>
            <w:vAlign w:val="center"/>
          </w:tcPr>
          <w:p w14:paraId="629EDB4A">
            <w:pPr>
              <w:adjustRightInd w:val="0"/>
              <w:snapToGrid w:val="0"/>
              <w:spacing w:line="300" w:lineRule="exact"/>
              <w:jc w:val="center"/>
              <w:rPr>
                <w:rFonts w:hint="eastAsia"/>
                <w:szCs w:val="21"/>
                <w:lang w:eastAsia="zh-CN"/>
              </w:rPr>
            </w:pPr>
          </w:p>
        </w:tc>
        <w:tc>
          <w:tcPr>
            <w:tcW w:w="2155" w:type="dxa"/>
            <w:tcBorders>
              <w:top w:val="single" w:color="auto" w:sz="2" w:space="0"/>
              <w:left w:val="single" w:color="auto" w:sz="2" w:space="0"/>
              <w:right w:val="single" w:color="auto" w:sz="2" w:space="0"/>
            </w:tcBorders>
            <w:vAlign w:val="center"/>
          </w:tcPr>
          <w:p w14:paraId="2D0F4E93">
            <w:pPr>
              <w:adjustRightInd w:val="0"/>
              <w:snapToGrid w:val="0"/>
              <w:spacing w:line="300" w:lineRule="exact"/>
              <w:jc w:val="center"/>
              <w:rPr>
                <w:rFonts w:hint="eastAsia"/>
                <w:szCs w:val="21"/>
                <w:lang w:eastAsia="zh-CN"/>
              </w:rPr>
            </w:pPr>
            <w:r>
              <w:rPr>
                <w:szCs w:val="21"/>
                <w:lang w:eastAsia="zh-CN"/>
              </w:rPr>
              <w:t>法定代表人</w:t>
            </w:r>
          </w:p>
          <w:p w14:paraId="12527DE0">
            <w:pPr>
              <w:adjustRightInd w:val="0"/>
              <w:snapToGrid w:val="0"/>
              <w:spacing w:line="300" w:lineRule="exact"/>
              <w:jc w:val="center"/>
              <w:rPr>
                <w:rFonts w:hint="eastAsia"/>
                <w:szCs w:val="21"/>
                <w:lang w:eastAsia="zh-CN"/>
              </w:rPr>
            </w:pPr>
            <w:r>
              <w:rPr>
                <w:rFonts w:hint="eastAsia"/>
                <w:szCs w:val="21"/>
                <w:lang w:eastAsia="zh-CN"/>
              </w:rPr>
              <w:t>或其</w:t>
            </w:r>
            <w:r>
              <w:rPr>
                <w:szCs w:val="21"/>
                <w:lang w:eastAsia="zh-CN"/>
              </w:rPr>
              <w:t>委托代理人</w:t>
            </w:r>
            <w:r>
              <w:rPr>
                <w:rFonts w:hint="eastAsia"/>
                <w:szCs w:val="21"/>
                <w:lang w:eastAsia="zh-CN"/>
              </w:rPr>
              <w:t>（签章）</w:t>
            </w:r>
          </w:p>
        </w:tc>
        <w:tc>
          <w:tcPr>
            <w:tcW w:w="2308" w:type="dxa"/>
            <w:tcBorders>
              <w:top w:val="single" w:color="auto" w:sz="2" w:space="0"/>
              <w:left w:val="single" w:color="auto" w:sz="2" w:space="0"/>
              <w:bottom w:val="single" w:color="auto" w:sz="2" w:space="0"/>
            </w:tcBorders>
            <w:vAlign w:val="center"/>
          </w:tcPr>
          <w:p w14:paraId="33BE1145">
            <w:pPr>
              <w:adjustRightInd w:val="0"/>
              <w:snapToGrid w:val="0"/>
              <w:spacing w:line="300" w:lineRule="exact"/>
              <w:jc w:val="center"/>
              <w:rPr>
                <w:rFonts w:hint="eastAsia"/>
                <w:szCs w:val="21"/>
                <w:lang w:eastAsia="zh-CN"/>
              </w:rPr>
            </w:pPr>
          </w:p>
        </w:tc>
      </w:tr>
      <w:tr w14:paraId="13EC27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tcBorders>
              <w:top w:val="single" w:color="auto" w:sz="2" w:space="0"/>
              <w:bottom w:val="single" w:color="auto" w:sz="2" w:space="0"/>
              <w:right w:val="single" w:color="auto" w:sz="2" w:space="0"/>
            </w:tcBorders>
            <w:vAlign w:val="center"/>
          </w:tcPr>
          <w:p w14:paraId="7ACB752C">
            <w:pPr>
              <w:adjustRightInd w:val="0"/>
              <w:snapToGrid w:val="0"/>
              <w:spacing w:line="300" w:lineRule="exact"/>
              <w:jc w:val="center"/>
              <w:rPr>
                <w:rFonts w:hint="eastAsia"/>
                <w:szCs w:val="21"/>
              </w:rPr>
            </w:pPr>
            <w:r>
              <w:rPr>
                <w:rFonts w:hint="eastAsia"/>
                <w:szCs w:val="21"/>
              </w:rPr>
              <w:t>住  所</w:t>
            </w:r>
          </w:p>
        </w:tc>
        <w:tc>
          <w:tcPr>
            <w:tcW w:w="2629" w:type="dxa"/>
            <w:tcBorders>
              <w:top w:val="single" w:color="auto" w:sz="2" w:space="0"/>
              <w:left w:val="single" w:color="auto" w:sz="2" w:space="0"/>
              <w:bottom w:val="single" w:color="auto" w:sz="2" w:space="0"/>
              <w:right w:val="single" w:color="auto" w:sz="2" w:space="0"/>
            </w:tcBorders>
            <w:vAlign w:val="center"/>
          </w:tcPr>
          <w:p w14:paraId="246B1A6B">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1C24C6F2">
            <w:pPr>
              <w:adjustRightInd w:val="0"/>
              <w:snapToGrid w:val="0"/>
              <w:spacing w:line="300" w:lineRule="exact"/>
              <w:jc w:val="center"/>
              <w:rPr>
                <w:rFonts w:hint="eastAsia"/>
                <w:szCs w:val="21"/>
              </w:rPr>
            </w:pPr>
            <w:r>
              <w:rPr>
                <w:rFonts w:hint="eastAsia"/>
                <w:szCs w:val="21"/>
              </w:rPr>
              <w:t>住  所</w:t>
            </w:r>
          </w:p>
        </w:tc>
        <w:tc>
          <w:tcPr>
            <w:tcW w:w="2308" w:type="dxa"/>
            <w:tcBorders>
              <w:top w:val="single" w:color="auto" w:sz="2" w:space="0"/>
              <w:left w:val="single" w:color="auto" w:sz="2" w:space="0"/>
              <w:bottom w:val="single" w:color="auto" w:sz="2" w:space="0"/>
            </w:tcBorders>
            <w:vAlign w:val="center"/>
          </w:tcPr>
          <w:p w14:paraId="695FA996">
            <w:pPr>
              <w:adjustRightInd w:val="0"/>
              <w:snapToGrid w:val="0"/>
              <w:spacing w:line="300" w:lineRule="exact"/>
              <w:jc w:val="center"/>
              <w:rPr>
                <w:rFonts w:hint="eastAsia"/>
                <w:spacing w:val="20"/>
                <w:szCs w:val="21"/>
              </w:rPr>
            </w:pPr>
          </w:p>
        </w:tc>
      </w:tr>
      <w:tr w14:paraId="558B98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tcBorders>
              <w:top w:val="single" w:color="auto" w:sz="2" w:space="0"/>
              <w:bottom w:val="single" w:color="auto" w:sz="2" w:space="0"/>
              <w:right w:val="single" w:color="auto" w:sz="2" w:space="0"/>
            </w:tcBorders>
            <w:vAlign w:val="center"/>
          </w:tcPr>
          <w:p w14:paraId="304C0EFA">
            <w:pPr>
              <w:adjustRightInd w:val="0"/>
              <w:snapToGrid w:val="0"/>
              <w:spacing w:line="300" w:lineRule="exact"/>
              <w:jc w:val="center"/>
              <w:rPr>
                <w:rFonts w:hint="eastAsia"/>
                <w:szCs w:val="21"/>
              </w:rPr>
            </w:pPr>
            <w:r>
              <w:rPr>
                <w:szCs w:val="21"/>
              </w:rPr>
              <w:t>联 系 人</w:t>
            </w:r>
          </w:p>
        </w:tc>
        <w:tc>
          <w:tcPr>
            <w:tcW w:w="2629" w:type="dxa"/>
            <w:tcBorders>
              <w:top w:val="single" w:color="auto" w:sz="2" w:space="0"/>
              <w:left w:val="single" w:color="auto" w:sz="2" w:space="0"/>
              <w:bottom w:val="single" w:color="auto" w:sz="2" w:space="0"/>
              <w:right w:val="single" w:color="auto" w:sz="2" w:space="0"/>
            </w:tcBorders>
            <w:vAlign w:val="center"/>
          </w:tcPr>
          <w:p w14:paraId="52A9A5FF">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36BF3928">
            <w:pPr>
              <w:adjustRightInd w:val="0"/>
              <w:snapToGrid w:val="0"/>
              <w:spacing w:line="300" w:lineRule="exact"/>
              <w:jc w:val="center"/>
              <w:rPr>
                <w:rFonts w:hint="eastAsia"/>
                <w:szCs w:val="21"/>
              </w:rPr>
            </w:pPr>
            <w:r>
              <w:rPr>
                <w:szCs w:val="21"/>
              </w:rPr>
              <w:t>联 系 人</w:t>
            </w:r>
          </w:p>
        </w:tc>
        <w:tc>
          <w:tcPr>
            <w:tcW w:w="2308" w:type="dxa"/>
            <w:tcBorders>
              <w:top w:val="single" w:color="auto" w:sz="2" w:space="0"/>
              <w:left w:val="single" w:color="auto" w:sz="2" w:space="0"/>
              <w:bottom w:val="single" w:color="auto" w:sz="2" w:space="0"/>
            </w:tcBorders>
            <w:vAlign w:val="center"/>
          </w:tcPr>
          <w:p w14:paraId="642290FD">
            <w:pPr>
              <w:adjustRightInd w:val="0"/>
              <w:snapToGrid w:val="0"/>
              <w:spacing w:line="300" w:lineRule="exact"/>
              <w:jc w:val="center"/>
              <w:rPr>
                <w:rFonts w:hint="eastAsia"/>
                <w:spacing w:val="20"/>
                <w:szCs w:val="21"/>
              </w:rPr>
            </w:pPr>
          </w:p>
        </w:tc>
      </w:tr>
      <w:tr w14:paraId="69F1E6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tcBorders>
              <w:top w:val="single" w:color="auto" w:sz="2" w:space="0"/>
              <w:bottom w:val="single" w:color="auto" w:sz="2" w:space="0"/>
              <w:right w:val="single" w:color="auto" w:sz="2" w:space="0"/>
            </w:tcBorders>
            <w:vAlign w:val="center"/>
          </w:tcPr>
          <w:p w14:paraId="34F1F07C">
            <w:pPr>
              <w:adjustRightInd w:val="0"/>
              <w:snapToGrid w:val="0"/>
              <w:spacing w:line="300" w:lineRule="exact"/>
              <w:jc w:val="center"/>
              <w:rPr>
                <w:rFonts w:hint="eastAsia"/>
                <w:szCs w:val="21"/>
              </w:rPr>
            </w:pPr>
            <w:r>
              <w:rPr>
                <w:szCs w:val="21"/>
              </w:rPr>
              <w:t>联系电话</w:t>
            </w:r>
          </w:p>
        </w:tc>
        <w:tc>
          <w:tcPr>
            <w:tcW w:w="2629" w:type="dxa"/>
            <w:tcBorders>
              <w:top w:val="single" w:color="auto" w:sz="2" w:space="0"/>
              <w:left w:val="single" w:color="auto" w:sz="2" w:space="0"/>
              <w:bottom w:val="single" w:color="auto" w:sz="2" w:space="0"/>
              <w:right w:val="single" w:color="auto" w:sz="2" w:space="0"/>
            </w:tcBorders>
            <w:vAlign w:val="center"/>
          </w:tcPr>
          <w:p w14:paraId="6FF86866">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1563413C">
            <w:pPr>
              <w:adjustRightInd w:val="0"/>
              <w:snapToGrid w:val="0"/>
              <w:spacing w:line="300" w:lineRule="exact"/>
              <w:jc w:val="center"/>
              <w:rPr>
                <w:rFonts w:hint="eastAsia"/>
                <w:szCs w:val="21"/>
              </w:rPr>
            </w:pPr>
            <w:r>
              <w:rPr>
                <w:szCs w:val="21"/>
              </w:rPr>
              <w:t>联系电话</w:t>
            </w:r>
          </w:p>
        </w:tc>
        <w:tc>
          <w:tcPr>
            <w:tcW w:w="2308" w:type="dxa"/>
            <w:tcBorders>
              <w:top w:val="single" w:color="auto" w:sz="2" w:space="0"/>
              <w:left w:val="single" w:color="auto" w:sz="2" w:space="0"/>
              <w:bottom w:val="single" w:color="auto" w:sz="2" w:space="0"/>
            </w:tcBorders>
            <w:vAlign w:val="center"/>
          </w:tcPr>
          <w:p w14:paraId="26A92062">
            <w:pPr>
              <w:adjustRightInd w:val="0"/>
              <w:snapToGrid w:val="0"/>
              <w:spacing w:line="300" w:lineRule="exact"/>
              <w:jc w:val="center"/>
              <w:rPr>
                <w:rFonts w:hint="eastAsia"/>
                <w:spacing w:val="20"/>
                <w:szCs w:val="21"/>
              </w:rPr>
            </w:pPr>
          </w:p>
        </w:tc>
      </w:tr>
      <w:tr w14:paraId="02B953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tcBorders>
              <w:top w:val="single" w:color="auto" w:sz="2" w:space="0"/>
              <w:bottom w:val="single" w:color="auto" w:sz="2" w:space="0"/>
              <w:right w:val="single" w:color="auto" w:sz="2" w:space="0"/>
            </w:tcBorders>
            <w:vAlign w:val="center"/>
          </w:tcPr>
          <w:p w14:paraId="7FC2D545">
            <w:pPr>
              <w:adjustRightInd w:val="0"/>
              <w:snapToGrid w:val="0"/>
              <w:spacing w:line="300" w:lineRule="exact"/>
              <w:jc w:val="center"/>
              <w:rPr>
                <w:rFonts w:hint="eastAsia"/>
                <w:szCs w:val="21"/>
              </w:rPr>
            </w:pPr>
            <w:r>
              <w:rPr>
                <w:rFonts w:hint="eastAsia"/>
                <w:szCs w:val="21"/>
              </w:rPr>
              <w:t>通信地址</w:t>
            </w:r>
          </w:p>
        </w:tc>
        <w:tc>
          <w:tcPr>
            <w:tcW w:w="2629" w:type="dxa"/>
            <w:tcBorders>
              <w:top w:val="single" w:color="auto" w:sz="2" w:space="0"/>
              <w:left w:val="single" w:color="auto" w:sz="2" w:space="0"/>
              <w:bottom w:val="single" w:color="auto" w:sz="2" w:space="0"/>
              <w:right w:val="single" w:color="auto" w:sz="2" w:space="0"/>
            </w:tcBorders>
            <w:vAlign w:val="center"/>
          </w:tcPr>
          <w:p w14:paraId="4BCA2F85">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0C4BC5C3">
            <w:pPr>
              <w:adjustRightInd w:val="0"/>
              <w:snapToGrid w:val="0"/>
              <w:spacing w:line="300" w:lineRule="exact"/>
              <w:jc w:val="center"/>
              <w:rPr>
                <w:rFonts w:hint="eastAsia"/>
                <w:szCs w:val="21"/>
              </w:rPr>
            </w:pPr>
            <w:r>
              <w:rPr>
                <w:rFonts w:hint="eastAsia"/>
                <w:szCs w:val="21"/>
              </w:rPr>
              <w:t>通信地址</w:t>
            </w:r>
          </w:p>
        </w:tc>
        <w:tc>
          <w:tcPr>
            <w:tcW w:w="2308" w:type="dxa"/>
            <w:tcBorders>
              <w:top w:val="single" w:color="auto" w:sz="2" w:space="0"/>
              <w:left w:val="single" w:color="auto" w:sz="2" w:space="0"/>
              <w:bottom w:val="single" w:color="auto" w:sz="2" w:space="0"/>
            </w:tcBorders>
            <w:vAlign w:val="center"/>
          </w:tcPr>
          <w:p w14:paraId="7F3C478B">
            <w:pPr>
              <w:adjustRightInd w:val="0"/>
              <w:snapToGrid w:val="0"/>
              <w:spacing w:line="300" w:lineRule="exact"/>
              <w:jc w:val="center"/>
              <w:rPr>
                <w:rFonts w:hint="eastAsia"/>
                <w:spacing w:val="20"/>
                <w:szCs w:val="21"/>
              </w:rPr>
            </w:pPr>
          </w:p>
        </w:tc>
      </w:tr>
      <w:tr w14:paraId="100455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tcBorders>
              <w:top w:val="single" w:color="auto" w:sz="2" w:space="0"/>
              <w:bottom w:val="single" w:color="auto" w:sz="2" w:space="0"/>
              <w:right w:val="single" w:color="auto" w:sz="2" w:space="0"/>
            </w:tcBorders>
            <w:vAlign w:val="center"/>
          </w:tcPr>
          <w:p w14:paraId="1CE43BEB">
            <w:pPr>
              <w:adjustRightInd w:val="0"/>
              <w:snapToGrid w:val="0"/>
              <w:spacing w:line="300" w:lineRule="exact"/>
              <w:jc w:val="center"/>
              <w:rPr>
                <w:rFonts w:hint="eastAsia"/>
                <w:szCs w:val="21"/>
              </w:rPr>
            </w:pPr>
            <w:r>
              <w:rPr>
                <w:szCs w:val="21"/>
              </w:rPr>
              <w:t>邮政编码</w:t>
            </w:r>
          </w:p>
        </w:tc>
        <w:tc>
          <w:tcPr>
            <w:tcW w:w="2629" w:type="dxa"/>
            <w:tcBorders>
              <w:top w:val="single" w:color="auto" w:sz="2" w:space="0"/>
              <w:left w:val="single" w:color="auto" w:sz="2" w:space="0"/>
              <w:bottom w:val="single" w:color="auto" w:sz="2" w:space="0"/>
              <w:right w:val="single" w:color="auto" w:sz="2" w:space="0"/>
            </w:tcBorders>
            <w:vAlign w:val="center"/>
          </w:tcPr>
          <w:p w14:paraId="0F892D90">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0C26CA51">
            <w:pPr>
              <w:adjustRightInd w:val="0"/>
              <w:snapToGrid w:val="0"/>
              <w:spacing w:line="300" w:lineRule="exact"/>
              <w:jc w:val="center"/>
              <w:rPr>
                <w:rFonts w:hint="eastAsia"/>
                <w:szCs w:val="21"/>
              </w:rPr>
            </w:pPr>
            <w:r>
              <w:rPr>
                <w:szCs w:val="21"/>
              </w:rPr>
              <w:t>邮政编码</w:t>
            </w:r>
          </w:p>
        </w:tc>
        <w:tc>
          <w:tcPr>
            <w:tcW w:w="2308" w:type="dxa"/>
            <w:tcBorders>
              <w:top w:val="single" w:color="auto" w:sz="2" w:space="0"/>
              <w:left w:val="single" w:color="auto" w:sz="2" w:space="0"/>
              <w:bottom w:val="single" w:color="auto" w:sz="2" w:space="0"/>
            </w:tcBorders>
            <w:vAlign w:val="center"/>
          </w:tcPr>
          <w:p w14:paraId="46520EB9">
            <w:pPr>
              <w:adjustRightInd w:val="0"/>
              <w:snapToGrid w:val="0"/>
              <w:spacing w:line="300" w:lineRule="exact"/>
              <w:jc w:val="center"/>
              <w:rPr>
                <w:rFonts w:hint="eastAsia"/>
                <w:spacing w:val="20"/>
                <w:szCs w:val="21"/>
              </w:rPr>
            </w:pPr>
          </w:p>
        </w:tc>
      </w:tr>
      <w:tr w14:paraId="2D5E53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tcBorders>
              <w:top w:val="single" w:color="auto" w:sz="2" w:space="0"/>
              <w:bottom w:val="single" w:color="auto" w:sz="2" w:space="0"/>
              <w:right w:val="single" w:color="auto" w:sz="2" w:space="0"/>
            </w:tcBorders>
            <w:vAlign w:val="center"/>
          </w:tcPr>
          <w:p w14:paraId="44700858">
            <w:pPr>
              <w:adjustRightInd w:val="0"/>
              <w:snapToGrid w:val="0"/>
              <w:spacing w:line="300" w:lineRule="exact"/>
              <w:jc w:val="center"/>
              <w:rPr>
                <w:rFonts w:hint="eastAsia"/>
                <w:szCs w:val="21"/>
              </w:rPr>
            </w:pPr>
            <w:r>
              <w:rPr>
                <w:rFonts w:hint="eastAsia"/>
                <w:szCs w:val="21"/>
              </w:rPr>
              <w:t>电子邮箱</w:t>
            </w:r>
          </w:p>
        </w:tc>
        <w:tc>
          <w:tcPr>
            <w:tcW w:w="2629" w:type="dxa"/>
            <w:tcBorders>
              <w:top w:val="single" w:color="auto" w:sz="2" w:space="0"/>
              <w:left w:val="single" w:color="auto" w:sz="2" w:space="0"/>
              <w:bottom w:val="single" w:color="auto" w:sz="2" w:space="0"/>
              <w:right w:val="single" w:color="auto" w:sz="2" w:space="0"/>
            </w:tcBorders>
            <w:vAlign w:val="center"/>
          </w:tcPr>
          <w:p w14:paraId="4979DDC9">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2F7F8DEA">
            <w:pPr>
              <w:adjustRightInd w:val="0"/>
              <w:snapToGrid w:val="0"/>
              <w:spacing w:line="300" w:lineRule="exact"/>
              <w:jc w:val="center"/>
              <w:rPr>
                <w:rFonts w:hint="eastAsia"/>
                <w:szCs w:val="21"/>
              </w:rPr>
            </w:pPr>
            <w:r>
              <w:rPr>
                <w:rFonts w:hint="eastAsia"/>
                <w:szCs w:val="21"/>
              </w:rPr>
              <w:t>电子邮箱</w:t>
            </w:r>
          </w:p>
        </w:tc>
        <w:tc>
          <w:tcPr>
            <w:tcW w:w="2308" w:type="dxa"/>
            <w:tcBorders>
              <w:top w:val="single" w:color="auto" w:sz="2" w:space="0"/>
              <w:left w:val="single" w:color="auto" w:sz="2" w:space="0"/>
              <w:bottom w:val="single" w:color="auto" w:sz="2" w:space="0"/>
            </w:tcBorders>
            <w:vAlign w:val="center"/>
          </w:tcPr>
          <w:p w14:paraId="68C8EDC8">
            <w:pPr>
              <w:adjustRightInd w:val="0"/>
              <w:snapToGrid w:val="0"/>
              <w:spacing w:line="300" w:lineRule="exact"/>
              <w:jc w:val="center"/>
              <w:rPr>
                <w:rFonts w:hint="eastAsia"/>
                <w:spacing w:val="20"/>
                <w:szCs w:val="21"/>
              </w:rPr>
            </w:pPr>
          </w:p>
        </w:tc>
      </w:tr>
      <w:tr w14:paraId="616F78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vMerge w:val="restart"/>
            <w:tcBorders>
              <w:top w:val="single" w:color="auto" w:sz="2" w:space="0"/>
              <w:right w:val="single" w:color="auto" w:sz="2" w:space="0"/>
            </w:tcBorders>
            <w:vAlign w:val="center"/>
          </w:tcPr>
          <w:p w14:paraId="05F942F1">
            <w:pPr>
              <w:adjustRightInd w:val="0"/>
              <w:snapToGrid w:val="0"/>
              <w:spacing w:line="300" w:lineRule="exact"/>
              <w:jc w:val="center"/>
              <w:rPr>
                <w:rFonts w:hint="eastAsia"/>
                <w:szCs w:val="21"/>
              </w:rPr>
            </w:pPr>
            <w:r>
              <w:rPr>
                <w:rFonts w:hint="eastAsia"/>
                <w:szCs w:val="21"/>
              </w:rPr>
              <w:t>统一社会信用代码</w:t>
            </w:r>
          </w:p>
        </w:tc>
        <w:tc>
          <w:tcPr>
            <w:tcW w:w="2629" w:type="dxa"/>
            <w:vMerge w:val="restart"/>
            <w:tcBorders>
              <w:top w:val="single" w:color="auto" w:sz="2" w:space="0"/>
              <w:left w:val="single" w:color="auto" w:sz="2" w:space="0"/>
              <w:right w:val="single" w:color="auto" w:sz="2" w:space="0"/>
            </w:tcBorders>
            <w:vAlign w:val="center"/>
          </w:tcPr>
          <w:p w14:paraId="505ADFA9">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33118279">
            <w:pPr>
              <w:adjustRightInd w:val="0"/>
              <w:snapToGrid w:val="0"/>
              <w:spacing w:line="300" w:lineRule="exact"/>
              <w:jc w:val="center"/>
              <w:rPr>
                <w:rFonts w:hint="eastAsia"/>
                <w:szCs w:val="21"/>
              </w:rPr>
            </w:pPr>
            <w:r>
              <w:rPr>
                <w:rFonts w:hint="eastAsia"/>
                <w:szCs w:val="21"/>
              </w:rPr>
              <w:t>统一社会信用代码</w:t>
            </w:r>
          </w:p>
        </w:tc>
        <w:tc>
          <w:tcPr>
            <w:tcW w:w="2308" w:type="dxa"/>
            <w:tcBorders>
              <w:top w:val="single" w:color="auto" w:sz="2" w:space="0"/>
              <w:left w:val="single" w:color="auto" w:sz="2" w:space="0"/>
              <w:bottom w:val="single" w:color="auto" w:sz="2" w:space="0"/>
            </w:tcBorders>
            <w:vAlign w:val="center"/>
          </w:tcPr>
          <w:p w14:paraId="45772562">
            <w:pPr>
              <w:adjustRightInd w:val="0"/>
              <w:snapToGrid w:val="0"/>
              <w:spacing w:line="300" w:lineRule="exact"/>
              <w:jc w:val="center"/>
              <w:rPr>
                <w:rFonts w:hint="eastAsia"/>
                <w:spacing w:val="20"/>
                <w:szCs w:val="21"/>
              </w:rPr>
            </w:pPr>
          </w:p>
        </w:tc>
      </w:tr>
      <w:tr w14:paraId="71732A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vMerge w:val="continue"/>
            <w:tcBorders>
              <w:right w:val="single" w:color="auto" w:sz="2" w:space="0"/>
            </w:tcBorders>
            <w:vAlign w:val="center"/>
          </w:tcPr>
          <w:p w14:paraId="5F5C32E0">
            <w:pPr>
              <w:adjustRightInd w:val="0"/>
              <w:snapToGrid w:val="0"/>
              <w:spacing w:line="300" w:lineRule="exact"/>
              <w:jc w:val="center"/>
              <w:rPr>
                <w:rFonts w:hint="eastAsia"/>
                <w:szCs w:val="21"/>
              </w:rPr>
            </w:pPr>
          </w:p>
        </w:tc>
        <w:tc>
          <w:tcPr>
            <w:tcW w:w="2629" w:type="dxa"/>
            <w:vMerge w:val="continue"/>
            <w:tcBorders>
              <w:left w:val="single" w:color="auto" w:sz="2" w:space="0"/>
              <w:right w:val="single" w:color="auto" w:sz="2" w:space="0"/>
            </w:tcBorders>
            <w:vAlign w:val="center"/>
          </w:tcPr>
          <w:p w14:paraId="17CFD5B5">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2187E089">
            <w:pPr>
              <w:adjustRightInd w:val="0"/>
              <w:snapToGrid w:val="0"/>
              <w:spacing w:line="300" w:lineRule="exact"/>
              <w:jc w:val="center"/>
              <w:rPr>
                <w:rFonts w:hint="eastAsia"/>
                <w:szCs w:val="21"/>
              </w:rPr>
            </w:pPr>
            <w:r>
              <w:rPr>
                <w:szCs w:val="21"/>
              </w:rPr>
              <w:t>开户名称</w:t>
            </w:r>
          </w:p>
        </w:tc>
        <w:tc>
          <w:tcPr>
            <w:tcW w:w="2308" w:type="dxa"/>
            <w:tcBorders>
              <w:top w:val="single" w:color="auto" w:sz="2" w:space="0"/>
              <w:left w:val="single" w:color="auto" w:sz="2" w:space="0"/>
              <w:bottom w:val="single" w:color="auto" w:sz="2" w:space="0"/>
            </w:tcBorders>
            <w:vAlign w:val="center"/>
          </w:tcPr>
          <w:p w14:paraId="2A3641CC">
            <w:pPr>
              <w:adjustRightInd w:val="0"/>
              <w:snapToGrid w:val="0"/>
              <w:spacing w:line="300" w:lineRule="exact"/>
              <w:jc w:val="center"/>
              <w:rPr>
                <w:rFonts w:hint="eastAsia"/>
                <w:spacing w:val="20"/>
                <w:szCs w:val="21"/>
              </w:rPr>
            </w:pPr>
          </w:p>
        </w:tc>
      </w:tr>
      <w:tr w14:paraId="772B7C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vMerge w:val="continue"/>
            <w:tcBorders>
              <w:right w:val="single" w:color="auto" w:sz="2" w:space="0"/>
            </w:tcBorders>
            <w:vAlign w:val="center"/>
          </w:tcPr>
          <w:p w14:paraId="4E6697B3">
            <w:pPr>
              <w:adjustRightInd w:val="0"/>
              <w:snapToGrid w:val="0"/>
              <w:spacing w:line="300" w:lineRule="exact"/>
              <w:jc w:val="center"/>
              <w:rPr>
                <w:rFonts w:hint="eastAsia"/>
                <w:szCs w:val="21"/>
              </w:rPr>
            </w:pPr>
          </w:p>
        </w:tc>
        <w:tc>
          <w:tcPr>
            <w:tcW w:w="2629" w:type="dxa"/>
            <w:vMerge w:val="continue"/>
            <w:tcBorders>
              <w:left w:val="single" w:color="auto" w:sz="2" w:space="0"/>
              <w:right w:val="single" w:color="auto" w:sz="2" w:space="0"/>
            </w:tcBorders>
            <w:vAlign w:val="center"/>
          </w:tcPr>
          <w:p w14:paraId="6DC4FF8D">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2841E4E0">
            <w:pPr>
              <w:adjustRightInd w:val="0"/>
              <w:snapToGrid w:val="0"/>
              <w:spacing w:line="300" w:lineRule="exact"/>
              <w:jc w:val="center"/>
              <w:rPr>
                <w:rFonts w:hint="eastAsia"/>
                <w:szCs w:val="21"/>
              </w:rPr>
            </w:pPr>
            <w:r>
              <w:rPr>
                <w:szCs w:val="21"/>
              </w:rPr>
              <w:t>开户银行</w:t>
            </w:r>
          </w:p>
        </w:tc>
        <w:tc>
          <w:tcPr>
            <w:tcW w:w="2308" w:type="dxa"/>
            <w:tcBorders>
              <w:top w:val="single" w:color="auto" w:sz="2" w:space="0"/>
              <w:left w:val="single" w:color="auto" w:sz="2" w:space="0"/>
              <w:bottom w:val="single" w:color="auto" w:sz="2" w:space="0"/>
            </w:tcBorders>
            <w:vAlign w:val="center"/>
          </w:tcPr>
          <w:p w14:paraId="705216D5">
            <w:pPr>
              <w:adjustRightInd w:val="0"/>
              <w:snapToGrid w:val="0"/>
              <w:spacing w:line="300" w:lineRule="exact"/>
              <w:jc w:val="center"/>
              <w:rPr>
                <w:rFonts w:hint="eastAsia"/>
                <w:spacing w:val="20"/>
                <w:szCs w:val="21"/>
              </w:rPr>
            </w:pPr>
          </w:p>
        </w:tc>
      </w:tr>
      <w:tr w14:paraId="28D951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59" w:type="dxa"/>
            <w:vMerge w:val="continue"/>
            <w:tcBorders>
              <w:bottom w:val="single" w:color="auto" w:sz="2" w:space="0"/>
              <w:right w:val="single" w:color="auto" w:sz="2" w:space="0"/>
            </w:tcBorders>
            <w:vAlign w:val="center"/>
          </w:tcPr>
          <w:p w14:paraId="54B63C2B">
            <w:pPr>
              <w:adjustRightInd w:val="0"/>
              <w:snapToGrid w:val="0"/>
              <w:spacing w:line="300" w:lineRule="exact"/>
              <w:jc w:val="center"/>
              <w:rPr>
                <w:rFonts w:hint="eastAsia"/>
                <w:szCs w:val="21"/>
              </w:rPr>
            </w:pPr>
          </w:p>
        </w:tc>
        <w:tc>
          <w:tcPr>
            <w:tcW w:w="2629" w:type="dxa"/>
            <w:vMerge w:val="continue"/>
            <w:tcBorders>
              <w:left w:val="single" w:color="auto" w:sz="2" w:space="0"/>
              <w:bottom w:val="single" w:color="auto" w:sz="2" w:space="0"/>
              <w:right w:val="single" w:color="auto" w:sz="2" w:space="0"/>
            </w:tcBorders>
            <w:vAlign w:val="center"/>
          </w:tcPr>
          <w:p w14:paraId="3039A965">
            <w:pPr>
              <w:adjustRightInd w:val="0"/>
              <w:snapToGrid w:val="0"/>
              <w:spacing w:line="300" w:lineRule="exact"/>
              <w:jc w:val="center"/>
              <w:rPr>
                <w:rFonts w:hint="eastAsia"/>
                <w:szCs w:val="21"/>
              </w:rPr>
            </w:pPr>
          </w:p>
        </w:tc>
        <w:tc>
          <w:tcPr>
            <w:tcW w:w="2155" w:type="dxa"/>
            <w:tcBorders>
              <w:top w:val="single" w:color="auto" w:sz="2" w:space="0"/>
              <w:left w:val="single" w:color="auto" w:sz="2" w:space="0"/>
              <w:bottom w:val="single" w:color="auto" w:sz="2" w:space="0"/>
              <w:right w:val="single" w:color="auto" w:sz="2" w:space="0"/>
            </w:tcBorders>
            <w:vAlign w:val="center"/>
          </w:tcPr>
          <w:p w14:paraId="038364DF">
            <w:pPr>
              <w:adjustRightInd w:val="0"/>
              <w:snapToGrid w:val="0"/>
              <w:spacing w:line="300" w:lineRule="exact"/>
              <w:jc w:val="center"/>
              <w:rPr>
                <w:rFonts w:hint="eastAsia"/>
                <w:szCs w:val="21"/>
              </w:rPr>
            </w:pPr>
            <w:r>
              <w:rPr>
                <w:szCs w:val="21"/>
              </w:rPr>
              <w:t>银行账号</w:t>
            </w:r>
          </w:p>
        </w:tc>
        <w:tc>
          <w:tcPr>
            <w:tcW w:w="2308" w:type="dxa"/>
            <w:tcBorders>
              <w:top w:val="single" w:color="auto" w:sz="2" w:space="0"/>
              <w:left w:val="single" w:color="auto" w:sz="2" w:space="0"/>
              <w:bottom w:val="single" w:color="auto" w:sz="2" w:space="0"/>
            </w:tcBorders>
            <w:vAlign w:val="center"/>
          </w:tcPr>
          <w:p w14:paraId="08F21A44">
            <w:pPr>
              <w:adjustRightInd w:val="0"/>
              <w:snapToGrid w:val="0"/>
              <w:spacing w:line="300" w:lineRule="exact"/>
              <w:jc w:val="center"/>
              <w:rPr>
                <w:rFonts w:hint="eastAsia"/>
                <w:spacing w:val="20"/>
                <w:szCs w:val="21"/>
              </w:rPr>
            </w:pPr>
          </w:p>
        </w:tc>
      </w:tr>
    </w:tbl>
    <w:p w14:paraId="53251E23">
      <w:pPr>
        <w:pStyle w:val="3"/>
        <w:pageBreakBefore w:val="0"/>
        <w:kinsoku/>
        <w:wordWrap/>
        <w:overflowPunct/>
        <w:topLinePunct w:val="0"/>
        <w:bidi w:val="0"/>
        <w:adjustRightInd w:val="0"/>
        <w:snapToGrid w:val="0"/>
        <w:spacing w:before="0" w:line="360" w:lineRule="auto"/>
        <w:ind w:left="0" w:leftChars="0" w:right="0" w:rightChars="0"/>
        <w:textAlignment w:val="auto"/>
        <w:rPr>
          <w:rFonts w:hint="eastAsia" w:ascii="宋体" w:hAnsi="宋体" w:eastAsia="宋体" w:cs="宋体"/>
          <w:sz w:val="24"/>
          <w:szCs w:val="24"/>
          <w:lang w:eastAsia="zh-CN"/>
        </w:rPr>
      </w:pPr>
      <w:r>
        <w:rPr>
          <w:sz w:val="21"/>
          <w:szCs w:val="21"/>
          <w:u w:val="single"/>
          <w:lang w:eastAsia="zh-CN"/>
        </w:rPr>
        <w:br w:type="page"/>
      </w:r>
      <w:bookmarkStart w:id="658" w:name="_Toc27624"/>
      <w:bookmarkStart w:id="659" w:name="_Toc20313"/>
      <w:r>
        <w:rPr>
          <w:rFonts w:hint="eastAsia" w:ascii="宋体" w:hAnsi="宋体" w:eastAsia="宋体" w:cs="宋体"/>
          <w:sz w:val="24"/>
          <w:szCs w:val="24"/>
          <w:lang w:eastAsia="zh-CN"/>
        </w:rPr>
        <w:t>第二节 政府采购合同通用条款</w:t>
      </w:r>
      <w:bookmarkEnd w:id="658"/>
    </w:p>
    <w:p w14:paraId="7D9331C8">
      <w:pPr>
        <w:keepNext w:val="0"/>
        <w:keepLines w:val="0"/>
        <w:pageBreakBefore w:val="0"/>
        <w:tabs>
          <w:tab w:val="left" w:pos="8820"/>
          <w:tab w:val="left" w:pos="9345"/>
          <w:tab w:val="left" w:pos="976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sz w:val="24"/>
          <w:szCs w:val="24"/>
          <w:lang w:eastAsia="zh-CN"/>
        </w:rPr>
        <w:t xml:space="preserve">1. </w:t>
      </w:r>
      <w:r>
        <w:rPr>
          <w:rFonts w:hint="eastAsia" w:ascii="宋体" w:hAnsi="宋体" w:eastAsia="宋体" w:cs="宋体"/>
          <w:b/>
          <w:bCs/>
          <w:sz w:val="24"/>
          <w:szCs w:val="24"/>
          <w:lang w:eastAsia="zh-CN"/>
        </w:rPr>
        <w:t>定义</w:t>
      </w:r>
    </w:p>
    <w:p w14:paraId="7CC00D5D">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1.1合同当事人</w:t>
      </w:r>
    </w:p>
    <w:p w14:paraId="10A6016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（1）采购人（以下称甲方）是指使用财政性资金，通过政府采购方式向供应商购买货物及其相关服务的国家机关、事业单位、团体组织。</w:t>
      </w:r>
    </w:p>
    <w:p w14:paraId="1799481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（2）供应商（以下称乙方）是指参加政府采购活动并且中标（成交），向采购人提供合同约定的货物及其相关服务的法人、非法人组织或者自然人。</w:t>
      </w:r>
    </w:p>
    <w:p w14:paraId="1E1F724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（3）其他合同主体是指除采购人和供应商以外，</w:t>
      </w:r>
      <w:r>
        <w:rPr>
          <w:rFonts w:hint="eastAsia" w:ascii="宋体" w:hAnsi="宋体" w:eastAsia="宋体" w:cs="宋体"/>
          <w:bCs/>
          <w:sz w:val="24"/>
          <w:szCs w:val="24"/>
          <w:lang w:eastAsia="zh-CN"/>
        </w:rPr>
        <w:t>依法参与合同缔结或履行，享有权利、承担义务的合同当事人</w:t>
      </w:r>
      <w:r>
        <w:rPr>
          <w:rFonts w:hint="eastAsia" w:ascii="宋体" w:hAnsi="宋体" w:eastAsia="宋体" w:cs="宋体"/>
          <w:sz w:val="24"/>
          <w:szCs w:val="24"/>
          <w:lang w:eastAsia="zh-CN"/>
        </w:rPr>
        <w:t>。</w:t>
      </w:r>
    </w:p>
    <w:p w14:paraId="4B52B6DA">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1.2本合同下列术语应解释为：</w:t>
      </w:r>
    </w:p>
    <w:p w14:paraId="28132DFE">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（1）“合同”系指</w:t>
      </w:r>
      <w:r>
        <w:rPr>
          <w:rFonts w:hint="eastAsia" w:ascii="宋体" w:hAnsi="宋体" w:eastAsia="宋体" w:cs="宋体"/>
          <w:bCs/>
          <w:sz w:val="24"/>
          <w:szCs w:val="24"/>
          <w:lang w:eastAsia="zh-CN"/>
        </w:rPr>
        <w:t>合同当事人意思表示达成一致的任何协议，包括签署的</w:t>
      </w:r>
      <w:r>
        <w:rPr>
          <w:rFonts w:hint="eastAsia" w:ascii="宋体" w:hAnsi="宋体" w:eastAsia="宋体" w:cs="宋体"/>
          <w:sz w:val="24"/>
          <w:szCs w:val="24"/>
          <w:lang w:eastAsia="zh-CN"/>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957D775">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（2）“合同价款”系指根据本合同规定乙方在全面履行合同义务后甲方应支付给乙方的价款。</w:t>
      </w:r>
    </w:p>
    <w:p w14:paraId="067DFA95">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lang w:val="en" w:eastAsia="zh-CN"/>
        </w:rPr>
        <w:t>其他</w:t>
      </w:r>
      <w:r>
        <w:rPr>
          <w:rFonts w:hint="eastAsia" w:ascii="宋体" w:hAnsi="宋体" w:eastAsia="宋体" w:cs="宋体"/>
          <w:sz w:val="24"/>
          <w:szCs w:val="24"/>
          <w:lang w:eastAsia="zh-CN"/>
        </w:rPr>
        <w:t>技术资料和材料等。</w:t>
      </w:r>
    </w:p>
    <w:p w14:paraId="3D6A18E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（4）“相关服务”系指根据合同规定，乙方应提供的与货物有关的技术、管理和</w:t>
      </w:r>
      <w:r>
        <w:rPr>
          <w:rFonts w:hint="eastAsia" w:ascii="宋体" w:hAnsi="宋体" w:eastAsia="宋体" w:cs="宋体"/>
          <w:sz w:val="24"/>
          <w:szCs w:val="24"/>
          <w:lang w:val="en" w:eastAsia="zh-CN"/>
        </w:rPr>
        <w:t>其他</w:t>
      </w:r>
      <w:r>
        <w:rPr>
          <w:rFonts w:hint="eastAsia" w:ascii="宋体" w:hAnsi="宋体" w:eastAsia="宋体" w:cs="宋体"/>
          <w:sz w:val="24"/>
          <w:szCs w:val="24"/>
          <w:lang w:eastAsia="zh-CN"/>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lang w:val="en" w:eastAsia="zh-CN"/>
        </w:rPr>
        <w:t>其他</w:t>
      </w:r>
      <w:r>
        <w:rPr>
          <w:rFonts w:hint="eastAsia" w:ascii="宋体" w:hAnsi="宋体" w:eastAsia="宋体" w:cs="宋体"/>
          <w:sz w:val="24"/>
          <w:szCs w:val="24"/>
          <w:lang w:eastAsia="zh-CN"/>
        </w:rPr>
        <w:t>义务。</w:t>
      </w:r>
    </w:p>
    <w:p w14:paraId="246499D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（5）“分包”系指中标（成交）供应商按采购文件、投标（响应）文件的规定，根据分包意向协议，将中标（成交）项目中的部分履约内容，分给具有相应资质条件的供应商履行合同的行为。</w:t>
      </w:r>
    </w:p>
    <w:p w14:paraId="256A7F7E">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w:t>
      </w:r>
    </w:p>
    <w:p w14:paraId="24736A85">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（7）其他术语解释，见【</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w:t>
      </w:r>
    </w:p>
    <w:p w14:paraId="1E7F5685">
      <w:pPr>
        <w:keepNext w:val="0"/>
        <w:keepLines w:val="0"/>
        <w:pageBreakBefore w:val="0"/>
        <w:numPr>
          <w:ilvl w:val="0"/>
          <w:numId w:val="25"/>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sz w:val="24"/>
          <w:szCs w:val="24"/>
        </w:rPr>
        <w:t>合同标的及金额</w:t>
      </w:r>
    </w:p>
    <w:p w14:paraId="1377F66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i/>
          <w:iCs/>
          <w:sz w:val="24"/>
          <w:szCs w:val="24"/>
          <w:lang w:eastAsia="zh-CN"/>
        </w:rPr>
      </w:pPr>
      <w:r>
        <w:rPr>
          <w:rFonts w:hint="eastAsia" w:ascii="宋体" w:hAnsi="宋体" w:eastAsia="宋体" w:cs="宋体"/>
          <w:sz w:val="24"/>
          <w:szCs w:val="24"/>
          <w:lang w:eastAsia="zh-CN"/>
        </w:rPr>
        <w:t>2.1 合同标的及金额应与中标（成交）结果一致。乙方为履行本合同而发生的所有费用均应包含在合同价款中，甲方不再另行支付</w:t>
      </w:r>
      <w:r>
        <w:rPr>
          <w:rFonts w:hint="eastAsia" w:ascii="宋体" w:hAnsi="宋体" w:eastAsia="宋体" w:cs="宋体"/>
          <w:sz w:val="24"/>
          <w:szCs w:val="24"/>
          <w:lang w:val="en" w:eastAsia="zh-CN"/>
        </w:rPr>
        <w:t>其他</w:t>
      </w:r>
      <w:r>
        <w:rPr>
          <w:rFonts w:hint="eastAsia" w:ascii="宋体" w:hAnsi="宋体" w:eastAsia="宋体" w:cs="宋体"/>
          <w:sz w:val="24"/>
          <w:szCs w:val="24"/>
          <w:lang w:eastAsia="zh-CN"/>
        </w:rPr>
        <w:t>任何费用。</w:t>
      </w:r>
    </w:p>
    <w:p w14:paraId="4CA4211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3. 履行合同的时间、地点和方式</w:t>
      </w:r>
    </w:p>
    <w:p w14:paraId="54A17C4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 乙方应当在约定的时间、地点，按照约定方式履行合同。</w:t>
      </w:r>
    </w:p>
    <w:p w14:paraId="7AD2225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 甲方的权利和义务</w:t>
      </w:r>
    </w:p>
    <w:p w14:paraId="44C20F1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4.1 签署合同后，甲方应确定项目负责人（或项目联系人），负责与本合同有关的事务。甲方有权对乙方的履约行为进行检查，并及时确认乙方提交的事项。甲方应当配合乙方完成相关项目实施工作。</w:t>
      </w:r>
    </w:p>
    <w:p w14:paraId="16CA98C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 甲方有权要求乙方按甲方要求时间和方式提交各阶段有关安排计划、完成各阶段进度工作，并有权定期核对乙方提供货物数量、规格、质量等内容。甲方有权督促乙方工作并要求乙方更换不符合要求的货物。</w:t>
      </w:r>
    </w:p>
    <w:p w14:paraId="163D3C3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4.3 甲方有权要求乙方对缺陷部分予以修复，并按合同约定享有货物保修及其他合同约定的权利。</w:t>
      </w:r>
    </w:p>
    <w:p w14:paraId="0A82392D">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4.4 甲方应当按照合同约定及时对交付的货物进行验收，未在</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约定的期限内对乙方履约提出任何异议或者向乙方作出任何说明的，视为验收通过。</w:t>
      </w:r>
    </w:p>
    <w:p w14:paraId="5A1A4BD3">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4.5 甲方应当根据合同约定及时向乙方支付合同价款，不得以内部人员变更、履行内部付款流程等为由，拒绝或迟延支付。</w:t>
      </w:r>
    </w:p>
    <w:p w14:paraId="1B6DCAD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4.6 国家法律法规规定及</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约定应由甲方承担的其他义务和责任。</w:t>
      </w:r>
    </w:p>
    <w:p w14:paraId="6A146C5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 乙方的权利和义务</w:t>
      </w:r>
    </w:p>
    <w:p w14:paraId="59BD8E9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5.1 签署合同后，乙方应确定项目负责人（或项目联系人），负责与本合同有关的事务。</w:t>
      </w:r>
    </w:p>
    <w:p w14:paraId="11F21A1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5.2 乙方应按照合同要求履约，充分合理安排，确保提供的货物及相关服务符合法律规定及合同约定标准，并符合甲方的有关要求。接受项目行业管理部门及政府有关部门的指导，配合甲方的履约检查及验收，并负责项目实施过程中的所有协调工作。</w:t>
      </w:r>
    </w:p>
    <w:p w14:paraId="5B3DE978">
      <w:pPr>
        <w:pStyle w:val="17"/>
        <w:keepNext w:val="0"/>
        <w:keepLines w:val="0"/>
        <w:pageBreakBefore w:val="0"/>
        <w:kinsoku/>
        <w:wordWrap/>
        <w:overflowPunct/>
        <w:topLinePunct w:val="0"/>
        <w:bidi w:val="0"/>
        <w:spacing w:before="0"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5.3乙方有权根据合同约定向甲方收取合同价款。</w:t>
      </w:r>
    </w:p>
    <w:p w14:paraId="3A2B7A10">
      <w:pPr>
        <w:pStyle w:val="17"/>
        <w:keepNext w:val="0"/>
        <w:keepLines w:val="0"/>
        <w:pageBreakBefore w:val="0"/>
        <w:kinsoku/>
        <w:wordWrap/>
        <w:overflowPunct/>
        <w:topLinePunct w:val="0"/>
        <w:bidi w:val="0"/>
        <w:spacing w:before="0"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5.4国家法律法规规定及</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约定应由乙方承担的其他义务和责任。</w:t>
      </w:r>
    </w:p>
    <w:p w14:paraId="7F05FF33">
      <w:pPr>
        <w:keepNext w:val="0"/>
        <w:keepLines w:val="0"/>
        <w:pageBreakBefore w:val="0"/>
        <w:numPr>
          <w:ilvl w:val="0"/>
          <w:numId w:val="26"/>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合同履行</w:t>
      </w:r>
    </w:p>
    <w:p w14:paraId="3E50CB3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6.1 甲乙双方应当按照</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约定顺序履行合同义务；如果没有先后顺序的，应当同时履行。</w:t>
      </w:r>
    </w:p>
    <w:p w14:paraId="68499C6E">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6.2 甲乙双方按照合同约定顺序履行合同义务时，应当先履行一方未履行的，后履行一方有权拒绝其履行请求。先履行一方履行不符合约定的，后履行一方有权拒绝其相应的履行请求。</w:t>
      </w:r>
    </w:p>
    <w:p w14:paraId="3055F8F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7. 货物包装、运输、保险和交付要求</w:t>
      </w:r>
    </w:p>
    <w:p w14:paraId="36D3CC1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7.1 本合同</w:t>
      </w:r>
      <w:r>
        <w:rPr>
          <w:rFonts w:hint="eastAsia" w:ascii="宋体" w:hAnsi="宋体" w:eastAsia="宋体" w:cs="宋体"/>
          <w:bCs/>
          <w:sz w:val="24"/>
          <w:szCs w:val="24"/>
          <w:lang w:eastAsia="zh-CN"/>
        </w:rPr>
        <w:t>涉及商品包装、快递包装的，</w:t>
      </w:r>
      <w:r>
        <w:rPr>
          <w:rFonts w:hint="eastAsia" w:ascii="宋体" w:hAnsi="宋体" w:eastAsia="宋体" w:cs="宋体"/>
          <w:sz w:val="24"/>
          <w:szCs w:val="24"/>
          <w:lang w:eastAsia="zh-CN"/>
        </w:rPr>
        <w:t>除</w:t>
      </w:r>
      <w:r>
        <w:rPr>
          <w:rFonts w:hint="eastAsia" w:ascii="宋体" w:hAnsi="宋体" w:eastAsia="宋体" w:cs="宋体"/>
          <w:b/>
          <w:sz w:val="24"/>
          <w:szCs w:val="24"/>
          <w:lang w:eastAsia="zh-CN"/>
        </w:rPr>
        <w:t>【政府采购合同专用条款】</w:t>
      </w:r>
      <w:r>
        <w:rPr>
          <w:rFonts w:hint="eastAsia" w:ascii="宋体" w:hAnsi="宋体" w:eastAsia="宋体" w:cs="宋体"/>
          <w:bCs/>
          <w:sz w:val="24"/>
          <w:szCs w:val="24"/>
          <w:lang w:eastAsia="zh-CN"/>
        </w:rPr>
        <w:t>另有约定外，由乙方承担涉及包装的全部义务，</w:t>
      </w:r>
      <w:r>
        <w:rPr>
          <w:rFonts w:hint="eastAsia" w:ascii="宋体" w:hAnsi="宋体" w:eastAsia="宋体" w:cs="宋体"/>
          <w:sz w:val="24"/>
          <w:szCs w:val="24"/>
          <w:lang w:eastAsia="zh-CN"/>
        </w:rPr>
        <w:t>相关费用已包含在合同价款中。包装应适应远距离运输、防潮、防震、防锈和防野蛮装卸等要求，确保货物安全无损地运抵</w:t>
      </w:r>
      <w:r>
        <w:rPr>
          <w:rFonts w:hint="eastAsia" w:ascii="宋体" w:hAnsi="宋体" w:eastAsia="宋体" w:cs="宋体"/>
          <w:b/>
          <w:sz w:val="24"/>
          <w:szCs w:val="24"/>
          <w:lang w:eastAsia="zh-CN"/>
        </w:rPr>
        <w:t>【政府采购合同专用条款】</w:t>
      </w:r>
      <w:r>
        <w:rPr>
          <w:rFonts w:hint="eastAsia" w:ascii="宋体" w:hAnsi="宋体" w:eastAsia="宋体" w:cs="宋体"/>
          <w:bCs/>
          <w:sz w:val="24"/>
          <w:szCs w:val="24"/>
          <w:lang w:eastAsia="zh-CN"/>
        </w:rPr>
        <w:t>约定的</w:t>
      </w:r>
      <w:r>
        <w:rPr>
          <w:rFonts w:hint="eastAsia" w:ascii="宋体" w:hAnsi="宋体" w:eastAsia="宋体" w:cs="宋体"/>
          <w:sz w:val="24"/>
          <w:szCs w:val="24"/>
          <w:lang w:eastAsia="zh-CN"/>
        </w:rPr>
        <w:t>指定现场。</w:t>
      </w:r>
    </w:p>
    <w:p w14:paraId="5BDE2D69">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7.2 除</w:t>
      </w:r>
      <w:r>
        <w:rPr>
          <w:rFonts w:hint="eastAsia" w:ascii="宋体" w:hAnsi="宋体" w:eastAsia="宋体" w:cs="宋体"/>
          <w:b/>
          <w:sz w:val="24"/>
          <w:szCs w:val="24"/>
          <w:lang w:eastAsia="zh-CN"/>
        </w:rPr>
        <w:t>【政府采购合同专用条款】</w:t>
      </w:r>
      <w:r>
        <w:rPr>
          <w:rFonts w:hint="eastAsia" w:ascii="宋体" w:hAnsi="宋体" w:eastAsia="宋体" w:cs="宋体"/>
          <w:bCs/>
          <w:sz w:val="24"/>
          <w:szCs w:val="24"/>
          <w:lang w:eastAsia="zh-CN"/>
        </w:rPr>
        <w:t>另有约定外，</w:t>
      </w:r>
      <w:r>
        <w:rPr>
          <w:rFonts w:hint="eastAsia" w:ascii="宋体" w:hAnsi="宋体" w:eastAsia="宋体" w:cs="宋体"/>
          <w:sz w:val="24"/>
          <w:szCs w:val="24"/>
          <w:lang w:eastAsia="zh-CN"/>
        </w:rPr>
        <w:t>乙方负责办理将货物运抵本合同规定的交货地点，并装卸、交付至甲方的一切运输事项，相关费用已包含在合同价款中。</w:t>
      </w:r>
    </w:p>
    <w:p w14:paraId="56EDA3E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7.3 货物保险要求按</w:t>
      </w:r>
      <w:r>
        <w:rPr>
          <w:rFonts w:hint="eastAsia" w:ascii="宋体" w:hAnsi="宋体" w:eastAsia="宋体" w:cs="宋体"/>
          <w:b/>
          <w:sz w:val="24"/>
          <w:szCs w:val="24"/>
          <w:lang w:eastAsia="zh-CN"/>
        </w:rPr>
        <w:t>【政府采购合同专用条款】</w:t>
      </w:r>
      <w:r>
        <w:rPr>
          <w:rFonts w:hint="eastAsia" w:ascii="宋体" w:hAnsi="宋体" w:eastAsia="宋体" w:cs="宋体"/>
          <w:bCs/>
          <w:sz w:val="24"/>
          <w:szCs w:val="24"/>
          <w:lang w:eastAsia="zh-CN"/>
        </w:rPr>
        <w:t>规定执行</w:t>
      </w:r>
      <w:r>
        <w:rPr>
          <w:rFonts w:hint="eastAsia" w:ascii="宋体" w:hAnsi="宋体" w:eastAsia="宋体" w:cs="宋体"/>
          <w:sz w:val="24"/>
          <w:szCs w:val="24"/>
          <w:lang w:eastAsia="zh-CN"/>
        </w:rPr>
        <w:t>。</w:t>
      </w:r>
    </w:p>
    <w:p w14:paraId="5E4E330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0E7C9E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7.5 乙方在运输到达之前应提前通知甲方，并提示货物运输装卸的注意事项，甲方配合乙方做好货物的接收工作。</w:t>
      </w:r>
    </w:p>
    <w:p w14:paraId="351E9EC5">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如因包装、运输问题导致货物损毁、丢失或者品质下降，甲方有权要求降价、换货、拒收部分或整批货物，由此产生的费用和损失，均由乙方承担。</w:t>
      </w:r>
    </w:p>
    <w:p w14:paraId="4C8D99F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8. 质量标准和保证</w:t>
      </w:r>
    </w:p>
    <w:p w14:paraId="4E450A9C">
      <w:pPr>
        <w:pStyle w:val="23"/>
        <w:keepNext w:val="0"/>
        <w:keepLines w:val="0"/>
        <w:pageBreakBefore w:val="0"/>
        <w:kinsoku/>
        <w:wordWrap/>
        <w:overflowPunct/>
        <w:topLinePunct w:val="0"/>
        <w:bidi w:val="0"/>
        <w:adjustRightInd w:val="0"/>
        <w:snapToGrid w:val="0"/>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sz w:val="24"/>
          <w:szCs w:val="24"/>
        </w:rPr>
        <w:t>8.1 质量标准</w:t>
      </w:r>
    </w:p>
    <w:p w14:paraId="1469012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本合同下提供的货物及建设、安装、调试等工作应符合合同约定和甲方要求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D6116C5">
      <w:pPr>
        <w:pStyle w:val="23"/>
        <w:keepNext w:val="0"/>
        <w:keepLines w:val="0"/>
        <w:pageBreakBefore w:val="0"/>
        <w:kinsoku/>
        <w:wordWrap/>
        <w:overflowPunct/>
        <w:topLinePunct w:val="0"/>
        <w:bidi w:val="0"/>
        <w:adjustRightInd w:val="0"/>
        <w:snapToGrid w:val="0"/>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（2）采用中华人民共和国法定计量单位。</w:t>
      </w:r>
    </w:p>
    <w:p w14:paraId="4C175618">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（3）乙方所提供的货物应符合国家有关安全、环保、卫生的规定。</w:t>
      </w:r>
    </w:p>
    <w:p w14:paraId="1819B39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（4）乙方应向甲方提交所提供货物的技术文件，包括相应的中文技术文件，如：产品目录、图纸、操作手册、使用说明、维护手册或服务指南等。上述文件应包装好随货物一同发运。</w:t>
      </w:r>
    </w:p>
    <w:p w14:paraId="3B130E03">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8.2 保证</w:t>
      </w:r>
    </w:p>
    <w:p w14:paraId="1226D8F9">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应保证提供的货物及建设、安装、调试等工作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lang w:eastAsia="zh-CN"/>
        </w:rPr>
        <w:t>【政府采购合同专用条款】</w:t>
      </w:r>
      <w:r>
        <w:rPr>
          <w:rFonts w:hint="eastAsia" w:ascii="宋体" w:hAnsi="宋体" w:eastAsia="宋体" w:cs="宋体"/>
          <w:sz w:val="24"/>
          <w:szCs w:val="24"/>
          <w:lang w:eastAsia="zh-CN"/>
        </w:rPr>
        <w:t>规定或乙方书面承诺（两者以较长的为准）的质量保证期内，本保证保持有效。</w:t>
      </w:r>
    </w:p>
    <w:p w14:paraId="75CDB43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（2）在质量保证期内所发现的缺陷，甲方应尽快以书面形式通知乙方。</w:t>
      </w:r>
    </w:p>
    <w:p w14:paraId="7096C2E8">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（3）乙方收到通知后，应在</w:t>
      </w:r>
      <w:r>
        <w:rPr>
          <w:rFonts w:hint="eastAsia" w:ascii="宋体" w:hAnsi="宋体" w:eastAsia="宋体" w:cs="宋体"/>
          <w:b/>
          <w:sz w:val="24"/>
          <w:szCs w:val="24"/>
          <w:lang w:eastAsia="zh-CN"/>
        </w:rPr>
        <w:t>【政府采购合同专用条款】</w:t>
      </w:r>
      <w:r>
        <w:rPr>
          <w:rFonts w:hint="eastAsia" w:ascii="宋体" w:hAnsi="宋体" w:eastAsia="宋体" w:cs="宋体"/>
          <w:sz w:val="24"/>
          <w:szCs w:val="24"/>
          <w:lang w:eastAsia="zh-CN"/>
        </w:rPr>
        <w:t>规定的响应时间内以合理的速度免费维修或更换有缺陷的货物或部件。</w:t>
      </w:r>
    </w:p>
    <w:p w14:paraId="3D5BE7A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（4）在质量保证期内，如果货物的质量或规格与合同不符，或证实货物是有缺陷的，包括潜在的缺陷或使用不符合要求的材料等，甲方可以根据本合同第15.1条规定追究乙方的违约责任。</w:t>
      </w:r>
    </w:p>
    <w:p w14:paraId="47E272B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（5）乙方在约定的时间内未能弥补缺陷，甲方可采取必要的补救措施，但其风险和费用将由乙方承担，甲方根据合同约定对乙方行使的其他权利不受影响。</w:t>
      </w:r>
    </w:p>
    <w:p w14:paraId="2F03AD3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9. 权利瑕疵担保</w:t>
      </w:r>
    </w:p>
    <w:p w14:paraId="69BFAA9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9.1 乙方保证对其出售的货物享有合法的权利。</w:t>
      </w:r>
    </w:p>
    <w:p w14:paraId="0AA638F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9.2 乙方保证在交付的货物上不存在抵押权等担保物权。</w:t>
      </w:r>
    </w:p>
    <w:p w14:paraId="4509672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9.3 如甲方使用上述货物构成对第三人侵权的，则由乙方承担全部责任。</w:t>
      </w:r>
    </w:p>
    <w:p w14:paraId="1EFF5CD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10. 知识产权保护</w:t>
      </w:r>
    </w:p>
    <w:p w14:paraId="2F6A0A39">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10.1 乙方对其所销售的货物及建设、安装、调试等工作应当享有知识产权或经权利人合法授权，保证没有侵犯任何第三人的知识产权等权利。</w:t>
      </w:r>
      <w:bookmarkStart w:id="660" w:name="_Hlk163047038"/>
      <w:r>
        <w:rPr>
          <w:rFonts w:hint="eastAsia" w:ascii="宋体" w:hAnsi="宋体" w:eastAsia="宋体" w:cs="宋体"/>
          <w:sz w:val="24"/>
          <w:szCs w:val="24"/>
          <w:lang w:eastAsia="zh-CN"/>
        </w:rPr>
        <w:t>因违反前述约定对第三人构成侵权的，应当由乙方向第三人承担法律责任；甲方依法向第三人赔偿后，有权向乙方追偿。甲方还可追究乙方的违约责任，甲方有其他损失的，乙方应当赔偿</w:t>
      </w:r>
      <w:bookmarkEnd w:id="660"/>
      <w:r>
        <w:rPr>
          <w:rFonts w:hint="eastAsia" w:ascii="宋体" w:hAnsi="宋体" w:eastAsia="宋体" w:cs="宋体"/>
          <w:sz w:val="24"/>
          <w:szCs w:val="24"/>
          <w:lang w:eastAsia="zh-CN"/>
        </w:rPr>
        <w:t>。</w:t>
      </w:r>
    </w:p>
    <w:p w14:paraId="0BBA13F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11. 保密义务</w:t>
      </w:r>
    </w:p>
    <w:p w14:paraId="507F0A7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中约定。</w:t>
      </w:r>
    </w:p>
    <w:p w14:paraId="266C6FB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12. 合同价款支付</w:t>
      </w:r>
    </w:p>
    <w:p w14:paraId="7D4CB669">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12.1 合同价款支付按照国库集中支付制度及财政管理相关规定执行。</w:t>
      </w:r>
    </w:p>
    <w:p w14:paraId="4DECAF4C">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5FB6F7AD">
      <w:pPr>
        <w:pStyle w:val="17"/>
        <w:keepNext w:val="0"/>
        <w:keepLines w:val="0"/>
        <w:pageBreakBefore w:val="0"/>
        <w:kinsoku/>
        <w:wordWrap/>
        <w:overflowPunct/>
        <w:topLinePunct w:val="0"/>
        <w:bidi w:val="0"/>
        <w:spacing w:before="0"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13. 履约保证金</w:t>
      </w:r>
    </w:p>
    <w:p w14:paraId="75BC5F6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13.1 乙方应当以支票、汇票、本票或者金融机构、担保机构出具的保函等非现金形式提交。</w:t>
      </w:r>
    </w:p>
    <w:p w14:paraId="7DEE9D89">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13.2 如果乙方出现</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约定情形的，履约保证金不予退还；如果乙方未能按合同约定全面履行义务，甲方有权从履约保证金中取得补偿或赔偿，且不影响甲方要求乙方承担合同约定的超过履约保证金的违约责任的权利。</w:t>
      </w:r>
    </w:p>
    <w:p w14:paraId="127945B3">
      <w:pPr>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13.3 甲方在项目通过验收后按照</w:t>
      </w:r>
      <w:r>
        <w:rPr>
          <w:rFonts w:hint="eastAsia" w:ascii="宋体" w:hAnsi="宋体" w:eastAsia="宋体" w:cs="宋体"/>
          <w:b/>
          <w:sz w:val="24"/>
          <w:szCs w:val="24"/>
          <w:lang w:eastAsia="zh-CN"/>
        </w:rPr>
        <w:t>【政府采购合同专用条款】</w:t>
      </w:r>
      <w:r>
        <w:rPr>
          <w:rFonts w:hint="eastAsia" w:ascii="宋体" w:hAnsi="宋体" w:eastAsia="宋体" w:cs="宋体"/>
          <w:sz w:val="24"/>
          <w:szCs w:val="24"/>
          <w:lang w:eastAsia="zh-CN"/>
        </w:rPr>
        <w:t>规定的时间内将履约保证金退还乙方；逾期退还的，乙方可要求甲方支付违约金，违约金按照</w:t>
      </w:r>
      <w:r>
        <w:rPr>
          <w:rFonts w:hint="eastAsia" w:ascii="宋体" w:hAnsi="宋体" w:eastAsia="宋体" w:cs="宋体"/>
          <w:b/>
          <w:sz w:val="24"/>
          <w:szCs w:val="24"/>
          <w:lang w:eastAsia="zh-CN"/>
        </w:rPr>
        <w:t>【政府采购合同专用条款】</w:t>
      </w:r>
      <w:r>
        <w:rPr>
          <w:rFonts w:hint="eastAsia" w:ascii="宋体" w:hAnsi="宋体" w:eastAsia="宋体" w:cs="宋体"/>
          <w:sz w:val="24"/>
          <w:szCs w:val="24"/>
          <w:lang w:eastAsia="zh-CN"/>
        </w:rPr>
        <w:t>规定支付。</w:t>
      </w:r>
    </w:p>
    <w:p w14:paraId="71A78D2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b/>
          <w:bCs/>
          <w:sz w:val="24"/>
          <w:szCs w:val="24"/>
          <w:lang w:eastAsia="zh-CN"/>
        </w:rPr>
        <w:t xml:space="preserve">14. </w:t>
      </w:r>
      <w:r>
        <w:rPr>
          <w:rFonts w:hint="eastAsia" w:ascii="宋体" w:hAnsi="宋体" w:eastAsia="宋体" w:cs="宋体"/>
          <w:b/>
          <w:sz w:val="24"/>
          <w:szCs w:val="24"/>
          <w:lang w:eastAsia="zh-CN"/>
        </w:rPr>
        <w:t>售后服务</w:t>
      </w:r>
    </w:p>
    <w:p w14:paraId="38871F3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14.1 除项目不涉及或采购活动中明确约定无须承担外，乙方还应提供下列服务：</w:t>
      </w:r>
    </w:p>
    <w:p w14:paraId="58D05DB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（1）货物的现场移动、安装、调试、启动监督及技术支持；</w:t>
      </w:r>
    </w:p>
    <w:p w14:paraId="2C32FBEC">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（2）提供货物组装和维修所需的专用工具和辅助材料；</w:t>
      </w:r>
    </w:p>
    <w:p w14:paraId="0F1B86F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（3）在</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约定的期限内对所有的货物实施运行监督、维修，但前提条件是该服务并不能免除乙方在质量保证期内所承担的义务；</w:t>
      </w:r>
    </w:p>
    <w:p w14:paraId="220B08B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（4）在制造商所在地或指定现场就货物的安装、启动、运营、维护、废弃处置等对甲方操作人员进行培训；</w:t>
      </w:r>
    </w:p>
    <w:p w14:paraId="4F60EF03">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6AE9FB0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b/>
          <w:sz w:val="24"/>
          <w:szCs w:val="24"/>
          <w:lang w:eastAsia="zh-CN"/>
        </w:rPr>
        <w:t>【政府采购合同专用条款】</w:t>
      </w:r>
      <w:r>
        <w:rPr>
          <w:rFonts w:hint="eastAsia" w:ascii="宋体" w:hAnsi="宋体" w:eastAsia="宋体" w:cs="宋体"/>
          <w:sz w:val="24"/>
          <w:szCs w:val="24"/>
          <w:lang w:eastAsia="zh-CN"/>
        </w:rPr>
        <w:t>规定由乙方提供的其他服务。</w:t>
      </w:r>
    </w:p>
    <w:p w14:paraId="1EE9DB68">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14.2 乙方提供的售后服务的费用已包含在合同价款中，甲方不再另行支付。</w:t>
      </w:r>
    </w:p>
    <w:p w14:paraId="40A8904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15. 违约责任</w:t>
      </w:r>
    </w:p>
    <w:p w14:paraId="7450F5B8">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15.1质量瑕疵的违约责任</w:t>
      </w:r>
    </w:p>
    <w:p w14:paraId="5A9763FC">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乙方提供的产品不符合合同约定的质量标准或存在产品质量缺陷，甲方有权要求乙方根据</w:t>
      </w:r>
      <w:r>
        <w:rPr>
          <w:rFonts w:hint="eastAsia" w:ascii="宋体" w:hAnsi="宋体" w:eastAsia="宋体" w:cs="宋体"/>
          <w:b/>
          <w:sz w:val="24"/>
          <w:szCs w:val="24"/>
          <w:lang w:eastAsia="zh-CN"/>
        </w:rPr>
        <w:t>【政府采购合同专用条款】</w:t>
      </w:r>
      <w:r>
        <w:rPr>
          <w:rFonts w:hint="eastAsia" w:ascii="宋体" w:hAnsi="宋体" w:eastAsia="宋体" w:cs="宋体"/>
          <w:bCs/>
          <w:sz w:val="24"/>
          <w:szCs w:val="24"/>
          <w:lang w:eastAsia="zh-CN"/>
        </w:rPr>
        <w:t>要求</w:t>
      </w:r>
      <w:r>
        <w:rPr>
          <w:rFonts w:hint="eastAsia" w:ascii="宋体" w:hAnsi="宋体" w:eastAsia="宋体" w:cs="宋体"/>
          <w:sz w:val="24"/>
          <w:szCs w:val="24"/>
          <w:lang w:eastAsia="zh-CN"/>
        </w:rPr>
        <w:t>及时修理、重作、更换，并承担由此给甲方造成的损失。</w:t>
      </w:r>
    </w:p>
    <w:p w14:paraId="31C419D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15.2 迟延交货的违约责任</w:t>
      </w:r>
    </w:p>
    <w:p w14:paraId="622BB94D">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372712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lang w:eastAsia="zh-CN"/>
        </w:rPr>
        <w:t>【政府采购合同专用条款】</w:t>
      </w:r>
      <w:r>
        <w:rPr>
          <w:rFonts w:hint="eastAsia" w:ascii="宋体" w:hAnsi="宋体" w:eastAsia="宋体" w:cs="宋体"/>
          <w:sz w:val="24"/>
          <w:szCs w:val="24"/>
          <w:lang w:eastAsia="zh-CN"/>
        </w:rPr>
        <w:t>规定执行。如果涉及公共利益，且赔偿金额无法弥补公共利益损失，甲方可要求继续履行或者采取其他补救措施。</w:t>
      </w:r>
    </w:p>
    <w:p w14:paraId="75C9BC7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15.3 迟延支付的违约责任</w:t>
      </w:r>
    </w:p>
    <w:p w14:paraId="384FF36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甲方存在迟延支付乙方合同款项的，应当承担</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规定的逾期付款利息。</w:t>
      </w:r>
    </w:p>
    <w:p w14:paraId="1F1F100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bCs/>
          <w:sz w:val="24"/>
          <w:szCs w:val="24"/>
          <w:lang w:eastAsia="zh-CN"/>
        </w:rPr>
        <w:t>15.4其他违约责任根据项目实际需要按</w:t>
      </w:r>
      <w:r>
        <w:rPr>
          <w:rFonts w:hint="eastAsia" w:ascii="宋体" w:hAnsi="宋体" w:eastAsia="宋体" w:cs="宋体"/>
          <w:b/>
          <w:bCs/>
          <w:sz w:val="24"/>
          <w:szCs w:val="24"/>
          <w:lang w:eastAsia="zh-CN"/>
        </w:rPr>
        <w:t>【政府采购合同专用条款】</w:t>
      </w:r>
      <w:r>
        <w:rPr>
          <w:rFonts w:hint="eastAsia" w:ascii="宋体" w:hAnsi="宋体" w:eastAsia="宋体" w:cs="宋体"/>
          <w:sz w:val="24"/>
          <w:szCs w:val="24"/>
          <w:lang w:eastAsia="zh-CN"/>
        </w:rPr>
        <w:t>规定执行。</w:t>
      </w:r>
    </w:p>
    <w:p w14:paraId="5E505CDA">
      <w:pPr>
        <w:keepNext w:val="0"/>
        <w:keepLines w:val="0"/>
        <w:pageBreakBefore w:val="0"/>
        <w:numPr>
          <w:ilvl w:val="0"/>
          <w:numId w:val="27"/>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75567F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5D691A65">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政府采购合同履行中，在不改变合同其他条款的前提下，甲方可以在合同价款10%的范围内追加与合同标的相同的货物，并就此与乙方协商一致后签订补充协议。</w:t>
      </w:r>
    </w:p>
    <w:p w14:paraId="267F33B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16.2合同的中止</w:t>
      </w:r>
    </w:p>
    <w:p w14:paraId="1FE004F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（1）合同履行过程中因供应商就采购文件、采购过程或结果提起投诉的，甲方认为有必要的，可以中止合同的履行。</w:t>
      </w:r>
    </w:p>
    <w:p w14:paraId="6995DC8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115030">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31CFAAE">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（4）甲方不得以行政区划调整、政府换届、机构或者职能调整以及相关责任人更替为由中止合同。</w:t>
      </w:r>
    </w:p>
    <w:p w14:paraId="70741EBF">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16.3合同的终止</w:t>
      </w:r>
    </w:p>
    <w:p w14:paraId="4AF0614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（1）合同因有效期限届满而终止；</w:t>
      </w:r>
    </w:p>
    <w:p w14:paraId="30E91C47">
      <w:pPr>
        <w:keepNext w:val="0"/>
        <w:keepLines w:val="0"/>
        <w:pageBreakBefore w:val="0"/>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（2）乙方未按合同约定履行，构成根本性违约的，甲方有权终止合同，并追究乙方的违约责任。</w:t>
      </w:r>
    </w:p>
    <w:p w14:paraId="0D16C2A1">
      <w:pPr>
        <w:pStyle w:val="5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4273B6E">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647FB55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17. 合同分包</w:t>
      </w:r>
    </w:p>
    <w:p w14:paraId="1A87FBA1">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17.1 乙方不得将合同转包给其他供应商。涉及合同分包的，乙方应根据采购文件和投标（响应）文件规定进行合同分包。</w:t>
      </w:r>
    </w:p>
    <w:p w14:paraId="6F4000E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17.2 乙方执行政府采购政策向中小企业依法分包的，乙方应当按采购文件和投标（响应）文件签订分包意向协议，分包意向协议属于本合同组成部分。</w:t>
      </w:r>
    </w:p>
    <w:p w14:paraId="4A022A03">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18. 不可抗力</w:t>
      </w:r>
    </w:p>
    <w:p w14:paraId="18358B96">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18.1 不可抗力是指合同双方不能预见、不能避免且不能克服的客观情况。</w:t>
      </w:r>
    </w:p>
    <w:p w14:paraId="359D2D74">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18.2 任何一方对由于不可抗力造成的部分或全部不能履行合同不承担违约责任。但迟延履行后发生不可抗力的，不能免除责任。</w:t>
      </w:r>
    </w:p>
    <w:p w14:paraId="055C64D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53BD7C9">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19. 解决争议的方法</w:t>
      </w:r>
    </w:p>
    <w:p w14:paraId="6176C953">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68C84A4">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AB10220">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64DF264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sz w:val="24"/>
          <w:szCs w:val="24"/>
          <w:lang w:eastAsia="zh-CN"/>
        </w:rPr>
        <w:t>20. 政府采购政策</w:t>
      </w:r>
    </w:p>
    <w:p w14:paraId="097CA7D2">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20.1 </w:t>
      </w:r>
      <w:r>
        <w:rPr>
          <w:rFonts w:hint="eastAsia" w:ascii="宋体" w:hAnsi="宋体" w:eastAsia="宋体" w:cs="宋体"/>
          <w:sz w:val="24"/>
          <w:szCs w:val="24"/>
          <w:lang w:val="en-GB" w:eastAsia="zh-CN"/>
        </w:rPr>
        <w:t>本合同应当按照规定执行政府采购政策。</w:t>
      </w:r>
    </w:p>
    <w:p w14:paraId="039AF4A3">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 本合同依法执行政府采购政策的方式和内容，属于合同履约验收的范围。甲乙双方</w:t>
      </w:r>
      <w:r>
        <w:rPr>
          <w:rFonts w:hint="eastAsia" w:ascii="宋体" w:hAnsi="宋体" w:eastAsia="宋体" w:cs="宋体"/>
          <w:sz w:val="24"/>
          <w:szCs w:val="24"/>
          <w:lang w:val="en-GB" w:eastAsia="zh-CN"/>
        </w:rPr>
        <w:t>未按规定要求执行政府采购政策造成损失的</w:t>
      </w:r>
      <w:r>
        <w:rPr>
          <w:rFonts w:hint="eastAsia" w:ascii="宋体" w:hAnsi="宋体" w:eastAsia="宋体" w:cs="宋体"/>
          <w:sz w:val="24"/>
          <w:szCs w:val="24"/>
          <w:lang w:eastAsia="zh-CN"/>
        </w:rPr>
        <w:t>，有过错的一方应当承担赔偿责任，双方都有过错的，各自承担相应的责任。</w:t>
      </w:r>
    </w:p>
    <w:p w14:paraId="7B9F2255">
      <w:pPr>
        <w:pStyle w:val="17"/>
        <w:keepNext w:val="0"/>
        <w:keepLines w:val="0"/>
        <w:pageBreakBefore w:val="0"/>
        <w:kinsoku/>
        <w:wordWrap/>
        <w:overflowPunct/>
        <w:topLinePunct w:val="0"/>
        <w:bidi w:val="0"/>
        <w:spacing w:before="0"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03E4827">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21. 法律适用</w:t>
      </w:r>
    </w:p>
    <w:p w14:paraId="65638A9E">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CE2C4C9">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42C5C88">
      <w:pPr>
        <w:keepNext w:val="0"/>
        <w:keepLines w:val="0"/>
        <w:pageBreakBefore w:val="0"/>
        <w:numPr>
          <w:ilvl w:val="255"/>
          <w:numId w:val="0"/>
        </w:numPr>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22. 通知</w:t>
      </w:r>
    </w:p>
    <w:p w14:paraId="44EAF271">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4568B085">
      <w:pPr>
        <w:pStyle w:val="53"/>
        <w:keepNext w:val="0"/>
        <w:keepLines w:val="0"/>
        <w:pageBreakBefore w:val="0"/>
        <w:kinsoku/>
        <w:wordWrap/>
        <w:overflowPunct/>
        <w:topLinePunct w:val="0"/>
        <w:bidi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65D0D6AA">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22.3本合同一方给另一方的通知均应采用书面形式，传真或快递送到本合同中规定的对方的地址既视为完成送达。</w:t>
      </w:r>
    </w:p>
    <w:p w14:paraId="1523D1AD">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22.4通知以送达之日或通知书中规定的生效之日起生效，两者中以较迟之日为准。</w:t>
      </w:r>
    </w:p>
    <w:p w14:paraId="2D71A39C">
      <w:pPr>
        <w:keepNext w:val="0"/>
        <w:keepLines w:val="0"/>
        <w:pageBreakBefore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7AF1194E">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23.1合同未尽事项见</w:t>
      </w:r>
      <w:r>
        <w:rPr>
          <w:rFonts w:hint="eastAsia" w:ascii="宋体" w:hAnsi="宋体" w:eastAsia="宋体" w:cs="宋体"/>
          <w:b/>
          <w:sz w:val="24"/>
          <w:szCs w:val="24"/>
          <w:lang w:eastAsia="zh-CN"/>
        </w:rPr>
        <w:t>【政府采购合同专用条款】</w:t>
      </w:r>
      <w:r>
        <w:rPr>
          <w:rFonts w:hint="eastAsia" w:ascii="宋体" w:hAnsi="宋体" w:eastAsia="宋体" w:cs="宋体"/>
          <w:bCs/>
          <w:sz w:val="24"/>
          <w:szCs w:val="24"/>
          <w:lang w:eastAsia="zh-CN"/>
        </w:rPr>
        <w:t>。</w:t>
      </w:r>
    </w:p>
    <w:p w14:paraId="6B6E82A0">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黑体" w:hAnsi="华文中宋" w:eastAsia="黑体"/>
          <w:sz w:val="28"/>
          <w:szCs w:val="28"/>
          <w:lang w:eastAsia="zh-CN"/>
        </w:rPr>
      </w:pPr>
      <w:r>
        <w:rPr>
          <w:rFonts w:hint="eastAsia" w:ascii="宋体" w:hAnsi="宋体" w:eastAsia="宋体" w:cs="宋体"/>
          <w:bCs/>
          <w:sz w:val="24"/>
          <w:szCs w:val="24"/>
          <w:lang w:eastAsia="zh-CN"/>
        </w:rPr>
        <w:t>23.2合同附件与合同正文具有同等的法律效力。</w:t>
      </w:r>
      <w:r>
        <w:rPr>
          <w:rFonts w:hint="eastAsia" w:ascii="黑体" w:hAnsi="华文中宋" w:eastAsia="黑体"/>
          <w:sz w:val="28"/>
          <w:szCs w:val="28"/>
          <w:lang w:eastAsia="zh-CN"/>
        </w:rPr>
        <w:br w:type="page"/>
      </w:r>
    </w:p>
    <w:p w14:paraId="7B9F30A2">
      <w:pPr>
        <w:pStyle w:val="3"/>
        <w:pageBreakBefore w:val="0"/>
        <w:kinsoku/>
        <w:wordWrap/>
        <w:overflowPunct/>
        <w:topLinePunct w:val="0"/>
        <w:bidi w:val="0"/>
        <w:adjustRightInd w:val="0"/>
        <w:snapToGrid w:val="0"/>
        <w:spacing w:before="0" w:line="360" w:lineRule="auto"/>
        <w:textAlignment w:val="auto"/>
        <w:rPr>
          <w:rFonts w:hint="eastAsia" w:ascii="宋体" w:hAnsi="宋体" w:eastAsia="宋体" w:cs="宋体"/>
          <w:b/>
          <w:bCs/>
          <w:sz w:val="24"/>
          <w:szCs w:val="24"/>
          <w:lang w:eastAsia="zh-CN"/>
        </w:rPr>
      </w:pPr>
      <w:r>
        <w:rPr>
          <w:rFonts w:hint="eastAsia" w:ascii="宋体" w:hAnsi="宋体" w:eastAsia="宋体" w:cs="宋体"/>
          <w:sz w:val="24"/>
          <w:szCs w:val="24"/>
          <w:lang w:eastAsia="zh-CN"/>
        </w:rPr>
        <w:t>第三节 政府采购合同专用条款</w:t>
      </w:r>
      <w:bookmarkEnd w:id="659"/>
    </w:p>
    <w:tbl>
      <w:tblPr>
        <w:tblStyle w:val="42"/>
        <w:tblW w:w="98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20"/>
        <w:gridCol w:w="2410"/>
        <w:gridCol w:w="5670"/>
      </w:tblGrid>
      <w:tr w14:paraId="4E491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7B7C43C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C109BA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第1.2（6）项</w:t>
            </w:r>
          </w:p>
        </w:tc>
        <w:tc>
          <w:tcPr>
            <w:tcW w:w="2410" w:type="dxa"/>
            <w:vAlign w:val="center"/>
          </w:tcPr>
          <w:p w14:paraId="125FB02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联合体具体要求</w:t>
            </w:r>
          </w:p>
        </w:tc>
        <w:tc>
          <w:tcPr>
            <w:tcW w:w="5670" w:type="dxa"/>
            <w:vAlign w:val="center"/>
          </w:tcPr>
          <w:p w14:paraId="638AF3A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不允许联合体</w:t>
            </w:r>
          </w:p>
        </w:tc>
      </w:tr>
      <w:tr w14:paraId="52559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20" w:type="dxa"/>
            <w:vAlign w:val="center"/>
          </w:tcPr>
          <w:p w14:paraId="5BBFEE9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0F777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第1.2（7）项</w:t>
            </w:r>
          </w:p>
        </w:tc>
        <w:tc>
          <w:tcPr>
            <w:tcW w:w="2410" w:type="dxa"/>
            <w:vAlign w:val="center"/>
          </w:tcPr>
          <w:p w14:paraId="6F2D1AE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其他术语解释</w:t>
            </w:r>
          </w:p>
        </w:tc>
        <w:tc>
          <w:tcPr>
            <w:tcW w:w="5670" w:type="dxa"/>
            <w:vAlign w:val="center"/>
          </w:tcPr>
          <w:p w14:paraId="7FAD204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29F46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7E1210A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FC93C2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第4.4款</w:t>
            </w:r>
          </w:p>
        </w:tc>
        <w:tc>
          <w:tcPr>
            <w:tcW w:w="2410" w:type="dxa"/>
            <w:vAlign w:val="center"/>
          </w:tcPr>
          <w:p w14:paraId="1B520D1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670" w:type="dxa"/>
            <w:vAlign w:val="center"/>
          </w:tcPr>
          <w:p w14:paraId="01123C4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卖方提出验收申请之日起 7日内组织验收</w:t>
            </w:r>
          </w:p>
        </w:tc>
      </w:tr>
      <w:tr w14:paraId="479F3D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787BBB1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99B2DA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第4.6款</w:t>
            </w:r>
          </w:p>
        </w:tc>
        <w:tc>
          <w:tcPr>
            <w:tcW w:w="2410" w:type="dxa"/>
            <w:vAlign w:val="center"/>
          </w:tcPr>
          <w:p w14:paraId="0E7767A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670" w:type="dxa"/>
            <w:vAlign w:val="center"/>
          </w:tcPr>
          <w:p w14:paraId="3DCDFB5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32BA2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5E80375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FD3E772">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第5.4款</w:t>
            </w:r>
          </w:p>
        </w:tc>
        <w:tc>
          <w:tcPr>
            <w:tcW w:w="2410" w:type="dxa"/>
            <w:vAlign w:val="center"/>
          </w:tcPr>
          <w:p w14:paraId="595FC1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670" w:type="dxa"/>
            <w:vAlign w:val="center"/>
          </w:tcPr>
          <w:p w14:paraId="2E00F59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bookmarkStart w:id="661" w:name="_Hlk195212993"/>
            <w:r>
              <w:rPr>
                <w:rFonts w:hint="eastAsia" w:ascii="宋体" w:hAnsi="宋体" w:eastAsia="宋体" w:cs="宋体"/>
                <w:sz w:val="24"/>
                <w:szCs w:val="24"/>
                <w:lang w:val="en-US" w:eastAsia="zh-CN"/>
              </w:rPr>
              <w:t>甲方对产品验收合格的行为仅系对产品的类别、规格、型号、数量等的初步确认，若甲方在使用过程中发现产品有质量瑕疵的，甲方仍有权要求乙方采取修理、更换等补救措施，并要求乙方承担违约责任。</w:t>
            </w:r>
            <w:bookmarkEnd w:id="661"/>
            <w:r>
              <w:rPr>
                <w:rFonts w:hint="eastAsia" w:ascii="宋体" w:hAnsi="宋体" w:eastAsia="宋体" w:cs="宋体"/>
                <w:sz w:val="24"/>
                <w:szCs w:val="24"/>
                <w:lang w:eastAsia="zh-CN"/>
              </w:rPr>
              <w:t>货物验收合格且交付买方后，风险与所有权转移至买方。但不合格品即使交付买方，风险亦应当由卖方承担。</w:t>
            </w:r>
          </w:p>
        </w:tc>
      </w:tr>
      <w:tr w14:paraId="141CB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2655B0F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C15293">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第6.1款</w:t>
            </w:r>
          </w:p>
        </w:tc>
        <w:tc>
          <w:tcPr>
            <w:tcW w:w="2410" w:type="dxa"/>
            <w:vAlign w:val="center"/>
          </w:tcPr>
          <w:p w14:paraId="7BA1C11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670" w:type="dxa"/>
            <w:vAlign w:val="center"/>
          </w:tcPr>
          <w:p w14:paraId="5291022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（1）政府采购合同协议书及其变更、补充协议</w:t>
            </w:r>
          </w:p>
          <w:p w14:paraId="67D61FE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（2）政府采购合同专用条款</w:t>
            </w:r>
          </w:p>
          <w:p w14:paraId="78637C2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（3）政府采购合同通用条款</w:t>
            </w:r>
          </w:p>
          <w:p w14:paraId="2709749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cs="宋体"/>
                <w:sz w:val="24"/>
                <w:szCs w:val="24"/>
                <w:lang w:val="en-US" w:eastAsia="zh-CN"/>
              </w:rPr>
              <w:t>成交</w:t>
            </w:r>
            <w:r>
              <w:rPr>
                <w:rFonts w:hint="eastAsia" w:ascii="宋体" w:hAnsi="宋体" w:eastAsia="宋体" w:cs="宋体"/>
                <w:sz w:val="24"/>
                <w:szCs w:val="24"/>
                <w:lang w:eastAsia="zh-CN"/>
              </w:rPr>
              <w:t>通知书</w:t>
            </w:r>
          </w:p>
          <w:p w14:paraId="3BD1933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cs="宋体"/>
                <w:sz w:val="24"/>
                <w:szCs w:val="24"/>
                <w:lang w:val="en-US" w:eastAsia="zh-CN"/>
              </w:rPr>
              <w:t>响应</w:t>
            </w:r>
            <w:r>
              <w:rPr>
                <w:rFonts w:hint="eastAsia" w:ascii="宋体" w:hAnsi="宋体" w:eastAsia="宋体" w:cs="宋体"/>
                <w:sz w:val="24"/>
                <w:szCs w:val="24"/>
                <w:lang w:eastAsia="zh-CN"/>
              </w:rPr>
              <w:t>文件(含澄清文件)</w:t>
            </w:r>
          </w:p>
          <w:p w14:paraId="17133EF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（6）竞争性</w:t>
            </w:r>
            <w:r>
              <w:rPr>
                <w:rFonts w:hint="eastAsia" w:ascii="宋体" w:hAnsi="宋体" w:cs="宋体"/>
                <w:sz w:val="24"/>
                <w:szCs w:val="24"/>
                <w:lang w:val="en-US" w:eastAsia="zh-CN"/>
              </w:rPr>
              <w:t>谈判</w:t>
            </w:r>
            <w:r>
              <w:rPr>
                <w:rFonts w:hint="eastAsia" w:ascii="宋体" w:hAnsi="宋体" w:eastAsia="宋体" w:cs="宋体"/>
                <w:sz w:val="24"/>
                <w:szCs w:val="24"/>
                <w:lang w:eastAsia="zh-CN"/>
              </w:rPr>
              <w:t>文件(含竞争性谈判</w:t>
            </w:r>
            <w:r>
              <w:rPr>
                <w:rFonts w:hint="eastAsia" w:ascii="宋体" w:hAnsi="宋体" w:cs="宋体"/>
                <w:sz w:val="24"/>
                <w:szCs w:val="24"/>
                <w:lang w:val="en-US" w:eastAsia="zh-CN"/>
              </w:rPr>
              <w:t>文件</w:t>
            </w:r>
            <w:r>
              <w:rPr>
                <w:rFonts w:hint="eastAsia" w:ascii="宋体" w:hAnsi="宋体" w:eastAsia="宋体" w:cs="宋体"/>
                <w:sz w:val="24"/>
                <w:szCs w:val="24"/>
                <w:lang w:eastAsia="zh-CN"/>
              </w:rPr>
              <w:t>补充通知)</w:t>
            </w:r>
          </w:p>
        </w:tc>
      </w:tr>
      <w:tr w14:paraId="3982A2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20" w:type="dxa"/>
            <w:vMerge w:val="restart"/>
            <w:vAlign w:val="center"/>
          </w:tcPr>
          <w:p w14:paraId="3F6F141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3C5D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第7.1款</w:t>
            </w:r>
          </w:p>
        </w:tc>
        <w:tc>
          <w:tcPr>
            <w:tcW w:w="2410" w:type="dxa"/>
            <w:vAlign w:val="center"/>
          </w:tcPr>
          <w:p w14:paraId="5E0478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包装特殊要求</w:t>
            </w:r>
          </w:p>
        </w:tc>
        <w:tc>
          <w:tcPr>
            <w:tcW w:w="5670" w:type="dxa"/>
            <w:vAlign w:val="center"/>
          </w:tcPr>
          <w:p w14:paraId="44C09188">
            <w:pPr>
              <w:keepNext w:val="0"/>
              <w:keepLines w:val="0"/>
              <w:pageBreakBefore w:val="0"/>
              <w:kinsoku/>
              <w:wordWrap/>
              <w:overflowPunct/>
              <w:topLinePunct w:val="0"/>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371CA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20" w:type="dxa"/>
            <w:vMerge w:val="continue"/>
            <w:vAlign w:val="center"/>
          </w:tcPr>
          <w:p w14:paraId="5D29203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p>
        </w:tc>
        <w:tc>
          <w:tcPr>
            <w:tcW w:w="2410" w:type="dxa"/>
            <w:vAlign w:val="center"/>
          </w:tcPr>
          <w:p w14:paraId="077DC0C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指定现场</w:t>
            </w:r>
          </w:p>
        </w:tc>
        <w:tc>
          <w:tcPr>
            <w:tcW w:w="5670" w:type="dxa"/>
            <w:vAlign w:val="center"/>
          </w:tcPr>
          <w:p w14:paraId="3BB17357">
            <w:pPr>
              <w:keepNext w:val="0"/>
              <w:keepLines w:val="0"/>
              <w:pageBreakBefore w:val="0"/>
              <w:kinsoku/>
              <w:wordWrap/>
              <w:overflowPunct/>
              <w:topLinePunct w:val="0"/>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买方指定地点</w:t>
            </w:r>
          </w:p>
        </w:tc>
      </w:tr>
      <w:tr w14:paraId="29DFD2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20" w:type="dxa"/>
            <w:vAlign w:val="center"/>
          </w:tcPr>
          <w:p w14:paraId="382660E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C7D2C1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第7.2款</w:t>
            </w:r>
          </w:p>
        </w:tc>
        <w:tc>
          <w:tcPr>
            <w:tcW w:w="2410" w:type="dxa"/>
            <w:vAlign w:val="center"/>
          </w:tcPr>
          <w:p w14:paraId="0DFDE77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运输特殊要求</w:t>
            </w:r>
          </w:p>
        </w:tc>
        <w:tc>
          <w:tcPr>
            <w:tcW w:w="5670" w:type="dxa"/>
            <w:vAlign w:val="center"/>
          </w:tcPr>
          <w:p w14:paraId="4F975ADC">
            <w:pPr>
              <w:keepNext w:val="0"/>
              <w:keepLines w:val="0"/>
              <w:pageBreakBefore w:val="0"/>
              <w:kinsoku/>
              <w:wordWrap/>
              <w:overflowPunct/>
              <w:topLinePunct w:val="0"/>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278596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20" w:type="dxa"/>
            <w:vAlign w:val="center"/>
          </w:tcPr>
          <w:p w14:paraId="3B5D7C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9086A3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第7.3款</w:t>
            </w:r>
          </w:p>
        </w:tc>
        <w:tc>
          <w:tcPr>
            <w:tcW w:w="2410" w:type="dxa"/>
            <w:vAlign w:val="center"/>
          </w:tcPr>
          <w:p w14:paraId="1BB6B79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保险要求</w:t>
            </w:r>
          </w:p>
        </w:tc>
        <w:tc>
          <w:tcPr>
            <w:tcW w:w="5670" w:type="dxa"/>
            <w:vAlign w:val="center"/>
          </w:tcPr>
          <w:p w14:paraId="61E42690">
            <w:pPr>
              <w:keepNext w:val="0"/>
              <w:keepLines w:val="0"/>
              <w:pageBreakBefore w:val="0"/>
              <w:kinsoku/>
              <w:wordWrap/>
              <w:overflowPunct/>
              <w:topLinePunct w:val="0"/>
              <w:bidi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14:paraId="2A9FC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3664156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EB704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第8.2（1）项</w:t>
            </w:r>
          </w:p>
        </w:tc>
        <w:tc>
          <w:tcPr>
            <w:tcW w:w="2410" w:type="dxa"/>
            <w:vAlign w:val="center"/>
          </w:tcPr>
          <w:p w14:paraId="5B5828A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670" w:type="dxa"/>
            <w:vAlign w:val="center"/>
          </w:tcPr>
          <w:p w14:paraId="609B174E">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p>
        </w:tc>
      </w:tr>
      <w:tr w14:paraId="6FFC2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30F4EAE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8E0CF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第8.2（3）项</w:t>
            </w:r>
          </w:p>
        </w:tc>
        <w:tc>
          <w:tcPr>
            <w:tcW w:w="2410" w:type="dxa"/>
            <w:vAlign w:val="center"/>
          </w:tcPr>
          <w:p w14:paraId="214EC93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0D79D01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响应时间</w:t>
            </w:r>
          </w:p>
        </w:tc>
        <w:tc>
          <w:tcPr>
            <w:tcW w:w="5670" w:type="dxa"/>
            <w:vAlign w:val="center"/>
          </w:tcPr>
          <w:p w14:paraId="0A470707">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调整或更换有缺陷的货物或部件，应在2日内完成。</w:t>
            </w:r>
          </w:p>
        </w:tc>
      </w:tr>
      <w:tr w14:paraId="73B9A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0C69CE9C">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047DF77">
            <w:pPr>
              <w:pStyle w:val="53"/>
              <w:keepNext w:val="0"/>
              <w:keepLines w:val="0"/>
              <w:pageBreakBefore w:val="0"/>
              <w:kinsoku/>
              <w:wordWrap/>
              <w:overflowPunct/>
              <w:topLinePunct w:val="0"/>
              <w:bidi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第11.1款</w:t>
            </w:r>
          </w:p>
        </w:tc>
        <w:tc>
          <w:tcPr>
            <w:tcW w:w="2410" w:type="dxa"/>
            <w:vAlign w:val="center"/>
          </w:tcPr>
          <w:p w14:paraId="5861924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670" w:type="dxa"/>
            <w:vAlign w:val="center"/>
          </w:tcPr>
          <w:p w14:paraId="07DC5E8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双方保证对在讨论、签订、履行本合同过程中获悉的属于对方的且无法自公开渠道获得的文件及资料予以保密。未经该资料和文件的原提供方同意，另一方不得向第三方泄露该秘密的全部或部分内容，但法律法规和甲方上级单位另有规定或双方另有约定的除外。</w:t>
            </w:r>
            <w:r>
              <w:rPr>
                <w:rFonts w:hint="eastAsia" w:ascii="宋体" w:hAnsi="宋体" w:eastAsia="宋体" w:cs="宋体"/>
                <w:sz w:val="24"/>
                <w:szCs w:val="24"/>
              </w:rPr>
              <w:t>本约定不因本合同的终止、解除而失效。</w:t>
            </w:r>
          </w:p>
        </w:tc>
      </w:tr>
      <w:tr w14:paraId="2E943E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20" w:type="dxa"/>
            <w:vAlign w:val="center"/>
          </w:tcPr>
          <w:p w14:paraId="0013CA1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275CBA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第12.2款</w:t>
            </w:r>
          </w:p>
        </w:tc>
        <w:tc>
          <w:tcPr>
            <w:tcW w:w="2410" w:type="dxa"/>
            <w:vAlign w:val="center"/>
          </w:tcPr>
          <w:p w14:paraId="363F005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670" w:type="dxa"/>
            <w:vAlign w:val="center"/>
          </w:tcPr>
          <w:p w14:paraId="7A27501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FF0000"/>
                <w:sz w:val="24"/>
                <w:szCs w:val="24"/>
                <w:lang w:eastAsia="zh-CN"/>
              </w:rPr>
            </w:pPr>
          </w:p>
        </w:tc>
      </w:tr>
      <w:tr w14:paraId="1F3ADC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20" w:type="dxa"/>
            <w:vAlign w:val="center"/>
          </w:tcPr>
          <w:p w14:paraId="44C9204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3492A2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第13.2款</w:t>
            </w:r>
          </w:p>
        </w:tc>
        <w:tc>
          <w:tcPr>
            <w:tcW w:w="2410" w:type="dxa"/>
            <w:vAlign w:val="center"/>
          </w:tcPr>
          <w:p w14:paraId="743EEB0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履约保证金不予退还的情形</w:t>
            </w:r>
          </w:p>
        </w:tc>
        <w:tc>
          <w:tcPr>
            <w:tcW w:w="5670" w:type="dxa"/>
            <w:vAlign w:val="center"/>
          </w:tcPr>
          <w:p w14:paraId="36E3EFF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无</w:t>
            </w:r>
          </w:p>
        </w:tc>
      </w:tr>
      <w:tr w14:paraId="14049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720" w:type="dxa"/>
            <w:vAlign w:val="center"/>
          </w:tcPr>
          <w:p w14:paraId="7BD73A4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A6F3D4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第13.3款</w:t>
            </w:r>
          </w:p>
        </w:tc>
        <w:tc>
          <w:tcPr>
            <w:tcW w:w="2410" w:type="dxa"/>
            <w:vAlign w:val="center"/>
          </w:tcPr>
          <w:p w14:paraId="22343F4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履约保证金退还时间及逾期退还的违约金</w:t>
            </w:r>
          </w:p>
        </w:tc>
        <w:tc>
          <w:tcPr>
            <w:tcW w:w="5670" w:type="dxa"/>
            <w:vAlign w:val="center"/>
          </w:tcPr>
          <w:p w14:paraId="3AA6167E">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14:paraId="2E91B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20" w:type="dxa"/>
            <w:vAlign w:val="center"/>
          </w:tcPr>
          <w:p w14:paraId="14CEDC9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13D861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第14.1（3）项</w:t>
            </w:r>
          </w:p>
        </w:tc>
        <w:tc>
          <w:tcPr>
            <w:tcW w:w="2410" w:type="dxa"/>
            <w:vAlign w:val="center"/>
          </w:tcPr>
          <w:p w14:paraId="29E378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670" w:type="dxa"/>
            <w:vAlign w:val="center"/>
          </w:tcPr>
          <w:p w14:paraId="0791881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接到故障报告后响应时间不超过2小时。如电话不能解决问题，需在4个小时内赶到项目现场进行问题分析和处理。</w:t>
            </w:r>
          </w:p>
        </w:tc>
      </w:tr>
      <w:tr w14:paraId="0B4DC2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20" w:type="dxa"/>
            <w:vAlign w:val="center"/>
          </w:tcPr>
          <w:p w14:paraId="74EE5DE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E7D5B4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第14.1（5）项</w:t>
            </w:r>
          </w:p>
        </w:tc>
        <w:tc>
          <w:tcPr>
            <w:tcW w:w="2410" w:type="dxa"/>
            <w:vAlign w:val="center"/>
          </w:tcPr>
          <w:p w14:paraId="690CB94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货物回收的约定</w:t>
            </w:r>
          </w:p>
        </w:tc>
        <w:tc>
          <w:tcPr>
            <w:tcW w:w="5670" w:type="dxa"/>
            <w:vAlign w:val="center"/>
          </w:tcPr>
          <w:p w14:paraId="6909EB0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10C55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013E7C4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120368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第14.1（6）项</w:t>
            </w:r>
          </w:p>
        </w:tc>
        <w:tc>
          <w:tcPr>
            <w:tcW w:w="2410" w:type="dxa"/>
            <w:vAlign w:val="center"/>
          </w:tcPr>
          <w:p w14:paraId="307176A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670" w:type="dxa"/>
            <w:vAlign w:val="center"/>
          </w:tcPr>
          <w:p w14:paraId="2D33F7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5AAFB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140443B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34D3EF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第15.1款</w:t>
            </w:r>
          </w:p>
        </w:tc>
        <w:tc>
          <w:tcPr>
            <w:tcW w:w="2410" w:type="dxa"/>
            <w:vAlign w:val="center"/>
          </w:tcPr>
          <w:p w14:paraId="05BF46A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修理、重作、更换相关具体规定</w:t>
            </w:r>
          </w:p>
        </w:tc>
        <w:tc>
          <w:tcPr>
            <w:tcW w:w="5670" w:type="dxa"/>
            <w:vAlign w:val="center"/>
          </w:tcPr>
          <w:p w14:paraId="109F222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质保期内，非买方原因导致修理、重作、更换问题，卖方应用符合规格、质量和性能要求的新零件、部件或货物来更换有缺陷的部分或／和修补缺陷部分，卖方应承担一切费用和风险并负担买方所发生的一切直接费用。同时，卖方应相应延长修补或更换件的质量保证期。</w:t>
            </w:r>
          </w:p>
          <w:p w14:paraId="19A1F6AC">
            <w:pPr>
              <w:keepNext w:val="0"/>
              <w:keepLines w:val="0"/>
              <w:pageBreakBefore w:val="0"/>
              <w:kinsoku/>
              <w:wordWrap/>
              <w:overflowPunct/>
              <w:topLinePunct w:val="0"/>
              <w:bidi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 如果卖方在收到通知后 2 天内没有弥补缺陷，买方可采取必要的补救措施，但由此引发的风险和费用将由卖方承担。</w:t>
            </w:r>
          </w:p>
        </w:tc>
      </w:tr>
      <w:tr w14:paraId="25AAD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159FCAF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2DD406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第15.2（2）项</w:t>
            </w:r>
          </w:p>
        </w:tc>
        <w:tc>
          <w:tcPr>
            <w:tcW w:w="2410" w:type="dxa"/>
            <w:vAlign w:val="center"/>
          </w:tcPr>
          <w:p w14:paraId="48D37FC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670" w:type="dxa"/>
            <w:vAlign w:val="center"/>
          </w:tcPr>
          <w:p w14:paraId="3B83DF7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如果卖方不能按本合同约定期限或甲方许可的期限</w:t>
            </w:r>
            <w:bookmarkStart w:id="662" w:name="_Hlk183102550"/>
            <w:r>
              <w:rPr>
                <w:rFonts w:hint="eastAsia" w:ascii="宋体" w:hAnsi="宋体" w:eastAsia="宋体" w:cs="宋体"/>
                <w:sz w:val="24"/>
                <w:szCs w:val="24"/>
                <w:lang w:eastAsia="zh-CN"/>
              </w:rPr>
              <w:t>在约定地点</w:t>
            </w:r>
            <w:bookmarkEnd w:id="662"/>
            <w:r>
              <w:rPr>
                <w:rFonts w:hint="eastAsia" w:ascii="宋体" w:hAnsi="宋体" w:eastAsia="宋体" w:cs="宋体"/>
                <w:sz w:val="24"/>
                <w:szCs w:val="24"/>
                <w:lang w:eastAsia="zh-CN"/>
              </w:rPr>
              <w:t>完成供货、安装、调试并验收，违约金按每日费用总额的0.5%计收,同时乙方应承担因此给甲方造成的一切损失。</w:t>
            </w:r>
            <w:bookmarkStart w:id="663" w:name="_Hlk195213299"/>
            <w:r>
              <w:rPr>
                <w:rFonts w:hint="eastAsia" w:ascii="宋体" w:hAnsi="宋体" w:eastAsia="宋体" w:cs="宋体"/>
                <w:sz w:val="24"/>
                <w:szCs w:val="24"/>
                <w:lang w:eastAsia="zh-CN"/>
              </w:rPr>
              <w:t>乙方迟延，超过10日的，甲方有权解除合同，要求乙方退还全部货款，并要求乙方支付合同总费用20%的违约金</w:t>
            </w:r>
            <w:bookmarkStart w:id="664" w:name="_Hlk143004401"/>
            <w:r>
              <w:rPr>
                <w:rFonts w:hint="eastAsia" w:ascii="宋体" w:hAnsi="宋体" w:eastAsia="宋体" w:cs="宋体"/>
                <w:sz w:val="24"/>
                <w:szCs w:val="24"/>
                <w:lang w:eastAsia="zh-CN"/>
              </w:rPr>
              <w:t>，同时乙方应承担因此给甲方造成的一切损失</w:t>
            </w:r>
            <w:bookmarkEnd w:id="663"/>
            <w:bookmarkEnd w:id="664"/>
            <w:r>
              <w:rPr>
                <w:rFonts w:hint="eastAsia" w:ascii="宋体" w:hAnsi="宋体" w:eastAsia="宋体" w:cs="宋体"/>
                <w:sz w:val="24"/>
                <w:szCs w:val="24"/>
                <w:lang w:eastAsia="zh-CN"/>
              </w:rPr>
              <w:t>。</w:t>
            </w:r>
          </w:p>
        </w:tc>
      </w:tr>
      <w:tr w14:paraId="438EC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20" w:type="dxa"/>
            <w:vAlign w:val="center"/>
          </w:tcPr>
          <w:p w14:paraId="69BC309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847E98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第15.3款</w:t>
            </w:r>
          </w:p>
        </w:tc>
        <w:tc>
          <w:tcPr>
            <w:tcW w:w="2410" w:type="dxa"/>
            <w:vAlign w:val="center"/>
          </w:tcPr>
          <w:p w14:paraId="33CAB8D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670" w:type="dxa"/>
            <w:vAlign w:val="center"/>
          </w:tcPr>
          <w:p w14:paraId="3F2A557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按中国人民银行同期利率支付相应利息。财政资金未到位或卖方未按要求出具正式发票除外。</w:t>
            </w:r>
          </w:p>
        </w:tc>
      </w:tr>
      <w:tr w14:paraId="68753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20" w:type="dxa"/>
            <w:tcBorders>
              <w:bottom w:val="single" w:color="auto" w:sz="2" w:space="0"/>
              <w:right w:val="single" w:color="auto" w:sz="2" w:space="0"/>
            </w:tcBorders>
            <w:vAlign w:val="center"/>
          </w:tcPr>
          <w:p w14:paraId="2DF69C6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92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第15.4款</w:t>
            </w:r>
          </w:p>
        </w:tc>
        <w:tc>
          <w:tcPr>
            <w:tcW w:w="2410" w:type="dxa"/>
            <w:tcBorders>
              <w:left w:val="single" w:color="auto" w:sz="2" w:space="0"/>
              <w:bottom w:val="single" w:color="auto" w:sz="2" w:space="0"/>
              <w:right w:val="single" w:color="auto" w:sz="2" w:space="0"/>
            </w:tcBorders>
            <w:vAlign w:val="center"/>
          </w:tcPr>
          <w:p w14:paraId="1240CCE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670" w:type="dxa"/>
            <w:tcBorders>
              <w:left w:val="single" w:color="auto" w:sz="2" w:space="0"/>
              <w:bottom w:val="single" w:color="auto" w:sz="2" w:space="0"/>
            </w:tcBorders>
            <w:vAlign w:val="center"/>
          </w:tcPr>
          <w:p w14:paraId="4A84CB96">
            <w:pPr>
              <w:keepNext w:val="0"/>
              <w:keepLines w:val="0"/>
              <w:pageBreakBefore w:val="0"/>
              <w:kinsoku/>
              <w:wordWrap/>
              <w:overflowPunct/>
              <w:topLinePunct w:val="0"/>
              <w:autoSpaceDE w:val="0"/>
              <w:autoSpaceDN w:val="0"/>
              <w:bidi w:val="0"/>
              <w:adjustRightInd w:val="0"/>
              <w:snapToGrid w:val="0"/>
              <w:spacing w:line="240" w:lineRule="auto"/>
              <w:ind w:firstLineChars="0"/>
              <w:jc w:val="left"/>
              <w:textAlignment w:val="auto"/>
              <w:rPr>
                <w:rFonts w:hint="eastAsia" w:ascii="宋体" w:hAnsi="宋体" w:eastAsia="宋体" w:cs="宋体"/>
                <w:kern w:val="0"/>
                <w:sz w:val="24"/>
                <w:szCs w:val="24"/>
                <w:lang w:eastAsia="zh-CN"/>
              </w:rPr>
            </w:pPr>
            <w:bookmarkStart w:id="665" w:name="OLE_LINK4"/>
            <w:r>
              <w:rPr>
                <w:rFonts w:hint="eastAsia" w:ascii="宋体" w:hAnsi="宋体" w:eastAsia="宋体" w:cs="宋体"/>
                <w:kern w:val="0"/>
                <w:sz w:val="24"/>
                <w:szCs w:val="24"/>
                <w:lang w:eastAsia="zh-CN"/>
              </w:rPr>
              <w:t>乙方违反保密</w:t>
            </w:r>
            <w:bookmarkStart w:id="666" w:name="_Hlk211506866"/>
            <w:r>
              <w:rPr>
                <w:rFonts w:hint="eastAsia" w:ascii="宋体" w:hAnsi="宋体" w:eastAsia="宋体" w:cs="宋体"/>
                <w:sz w:val="24"/>
                <w:szCs w:val="24"/>
                <w:lang w:eastAsia="zh-CN"/>
              </w:rPr>
              <w:t>、知识产权条款或其他</w:t>
            </w:r>
            <w:r>
              <w:rPr>
                <w:rFonts w:hint="eastAsia" w:ascii="宋体" w:hAnsi="宋体" w:eastAsia="宋体" w:cs="宋体"/>
                <w:kern w:val="0"/>
                <w:sz w:val="24"/>
                <w:szCs w:val="24"/>
                <w:lang w:eastAsia="zh-CN"/>
              </w:rPr>
              <w:t>合同</w:t>
            </w:r>
            <w:bookmarkEnd w:id="666"/>
            <w:r>
              <w:rPr>
                <w:rFonts w:hint="eastAsia" w:ascii="宋体" w:hAnsi="宋体" w:eastAsia="宋体" w:cs="宋体"/>
                <w:kern w:val="0"/>
                <w:sz w:val="24"/>
                <w:szCs w:val="24"/>
                <w:lang w:eastAsia="zh-CN"/>
              </w:rPr>
              <w:t>义务的，应向甲方支付费用总额的20%违约金，且甲方有权解除本合同</w:t>
            </w:r>
            <w:bookmarkStart w:id="667" w:name="_Hlk143004428"/>
            <w:r>
              <w:rPr>
                <w:rFonts w:hint="eastAsia" w:ascii="宋体" w:hAnsi="宋体" w:eastAsia="宋体" w:cs="宋体"/>
                <w:kern w:val="0"/>
                <w:sz w:val="24"/>
                <w:szCs w:val="24"/>
                <w:lang w:eastAsia="zh-CN"/>
              </w:rPr>
              <w:t>并要求乙方承担因此给甲方造成的一切损失</w:t>
            </w:r>
            <w:bookmarkEnd w:id="667"/>
            <w:r>
              <w:rPr>
                <w:rFonts w:hint="eastAsia" w:ascii="宋体" w:hAnsi="宋体" w:eastAsia="宋体" w:cs="宋体"/>
                <w:kern w:val="0"/>
                <w:sz w:val="24"/>
                <w:szCs w:val="24"/>
                <w:lang w:eastAsia="zh-CN"/>
              </w:rPr>
              <w:t>，甲方还有权要求乙方退还已支付的全部货款。</w:t>
            </w:r>
            <w:bookmarkEnd w:id="665"/>
          </w:p>
          <w:p w14:paraId="6002C8A1">
            <w:pPr>
              <w:keepNext w:val="0"/>
              <w:keepLines w:val="0"/>
              <w:pageBreakBefore w:val="0"/>
              <w:kinsoku/>
              <w:wordWrap/>
              <w:overflowPunct/>
              <w:topLinePunct w:val="0"/>
              <w:autoSpaceDE w:val="0"/>
              <w:autoSpaceDN w:val="0"/>
              <w:bidi w:val="0"/>
              <w:adjustRightInd w:val="0"/>
              <w:snapToGrid w:val="0"/>
              <w:spacing w:line="240" w:lineRule="auto"/>
              <w:ind w:firstLineChars="0"/>
              <w:jc w:val="left"/>
              <w:textAlignment w:val="auto"/>
              <w:rPr>
                <w:rFonts w:hint="eastAsia" w:ascii="宋体" w:hAnsi="宋体" w:eastAsia="宋体" w:cs="宋体"/>
                <w:kern w:val="0"/>
                <w:sz w:val="24"/>
                <w:szCs w:val="24"/>
                <w:lang w:eastAsia="zh-CN"/>
              </w:rPr>
            </w:pPr>
            <w:bookmarkStart w:id="668" w:name="_Hlk211509711"/>
            <w:r>
              <w:rPr>
                <w:rFonts w:hint="eastAsia" w:ascii="宋体" w:hAnsi="宋体" w:eastAsia="宋体" w:cs="宋体"/>
                <w:kern w:val="0"/>
                <w:sz w:val="24"/>
                <w:szCs w:val="24"/>
                <w:lang w:eastAsia="zh-CN"/>
              </w:rPr>
              <w:t>若乙方提供的产品</w:t>
            </w:r>
            <w:r>
              <w:rPr>
                <w:rFonts w:hint="eastAsia" w:ascii="宋体" w:hAnsi="宋体" w:eastAsia="宋体" w:cs="宋体"/>
                <w:sz w:val="24"/>
                <w:szCs w:val="24"/>
                <w:lang w:eastAsia="zh-CN"/>
              </w:rPr>
              <w:t>或建设、安装、调试等工作</w:t>
            </w:r>
            <w:r>
              <w:rPr>
                <w:rFonts w:hint="eastAsia" w:ascii="宋体" w:hAnsi="宋体" w:eastAsia="宋体" w:cs="宋体"/>
                <w:kern w:val="0"/>
                <w:sz w:val="24"/>
                <w:szCs w:val="24"/>
                <w:lang w:eastAsia="zh-CN"/>
              </w:rPr>
              <w:t>存在质量问题</w:t>
            </w:r>
            <w:bookmarkStart w:id="669" w:name="_Hlk211506894"/>
            <w:r>
              <w:rPr>
                <w:rFonts w:hint="eastAsia" w:ascii="宋体" w:hAnsi="宋体" w:eastAsia="宋体" w:cs="宋体"/>
                <w:kern w:val="0"/>
                <w:sz w:val="24"/>
                <w:szCs w:val="24"/>
                <w:lang w:eastAsia="zh-CN"/>
              </w:rPr>
              <w:t>或权利瑕疵</w:t>
            </w:r>
            <w:bookmarkEnd w:id="669"/>
            <w:r>
              <w:rPr>
                <w:rFonts w:hint="eastAsia" w:ascii="宋体" w:hAnsi="宋体" w:eastAsia="宋体" w:cs="宋体"/>
                <w:kern w:val="0"/>
                <w:sz w:val="24"/>
                <w:szCs w:val="24"/>
                <w:lang w:eastAsia="zh-CN"/>
              </w:rPr>
              <w:t>给甲方或第三方造成损失的，甲方有权要求乙方承担全部赔偿责任，并且甲方还有权要求乙方向甲方支付费用总额的20%的违约金。同时甲方有权要求乙方退还甲方已支付的全部费用并单方解除本合同。</w:t>
            </w:r>
          </w:p>
          <w:bookmarkEnd w:id="668"/>
          <w:p w14:paraId="681A476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甲方可要求赔偿的损失包括但不限于直接经济损失、间接经济损失、律师费、诉讼费、仲裁费、公证费、鉴定费</w:t>
            </w:r>
            <w:bookmarkStart w:id="670" w:name="_Hlk195214736"/>
            <w:r>
              <w:rPr>
                <w:rFonts w:hint="eastAsia" w:ascii="宋体" w:hAnsi="宋体" w:eastAsia="宋体" w:cs="宋体"/>
                <w:sz w:val="24"/>
                <w:szCs w:val="24"/>
                <w:lang w:eastAsia="zh-CN"/>
              </w:rPr>
              <w:t>、保全费、保全保险费</w:t>
            </w:r>
            <w:bookmarkEnd w:id="670"/>
            <w:r>
              <w:rPr>
                <w:rFonts w:hint="eastAsia" w:ascii="宋体" w:hAnsi="宋体" w:eastAsia="宋体" w:cs="宋体"/>
                <w:sz w:val="24"/>
                <w:szCs w:val="24"/>
                <w:lang w:eastAsia="zh-CN"/>
              </w:rPr>
              <w:t>等。</w:t>
            </w:r>
          </w:p>
        </w:tc>
      </w:tr>
      <w:tr w14:paraId="30FE8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20" w:type="dxa"/>
            <w:tcBorders>
              <w:top w:val="single" w:color="auto" w:sz="2" w:space="0"/>
              <w:right w:val="single" w:color="auto" w:sz="2" w:space="0"/>
            </w:tcBorders>
            <w:vAlign w:val="center"/>
          </w:tcPr>
          <w:p w14:paraId="45B49EF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8E57903">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第19.2款</w:t>
            </w:r>
          </w:p>
        </w:tc>
        <w:tc>
          <w:tcPr>
            <w:tcW w:w="2410" w:type="dxa"/>
            <w:tcBorders>
              <w:top w:val="single" w:color="auto" w:sz="2" w:space="0"/>
              <w:left w:val="single" w:color="auto" w:sz="2" w:space="0"/>
              <w:right w:val="single" w:color="auto" w:sz="2" w:space="0"/>
            </w:tcBorders>
            <w:vAlign w:val="center"/>
          </w:tcPr>
          <w:p w14:paraId="14B656C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解决争议的方法</w:t>
            </w:r>
          </w:p>
        </w:tc>
        <w:tc>
          <w:tcPr>
            <w:tcW w:w="5670" w:type="dxa"/>
            <w:tcBorders>
              <w:top w:val="single" w:color="auto" w:sz="2" w:space="0"/>
              <w:left w:val="single" w:color="auto" w:sz="2" w:space="0"/>
            </w:tcBorders>
            <w:vAlign w:val="center"/>
          </w:tcPr>
          <w:p w14:paraId="6E3958D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因本合同及合同有关事项发生的争议，按下列第</w:t>
            </w:r>
            <w:r>
              <w:rPr>
                <w:rFonts w:hint="eastAsia" w:ascii="宋体" w:hAnsi="宋体" w:eastAsia="宋体" w:cs="宋体"/>
                <w:iCs/>
                <w:sz w:val="24"/>
                <w:szCs w:val="24"/>
                <w:u w:val="single"/>
                <w:lang w:eastAsia="zh-CN"/>
              </w:rPr>
              <w:t xml:space="preserve">  （2）  </w:t>
            </w:r>
            <w:r>
              <w:rPr>
                <w:rFonts w:hint="eastAsia" w:ascii="宋体" w:hAnsi="宋体" w:eastAsia="宋体" w:cs="宋体"/>
                <w:iCs/>
                <w:sz w:val="24"/>
                <w:szCs w:val="24"/>
                <w:lang w:eastAsia="zh-CN"/>
              </w:rPr>
              <w:t>种方式解决：</w:t>
            </w:r>
          </w:p>
          <w:p w14:paraId="258BEBD3">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（1）向</w:t>
            </w:r>
            <w:r>
              <w:rPr>
                <w:rFonts w:hint="eastAsia" w:ascii="宋体" w:hAnsi="宋体" w:eastAsia="宋体" w:cs="宋体"/>
                <w:iCs/>
                <w:sz w:val="24"/>
                <w:szCs w:val="24"/>
                <w:u w:val="single"/>
                <w:lang w:eastAsia="zh-CN"/>
              </w:rPr>
              <w:t xml:space="preserve">      </w:t>
            </w:r>
            <w:r>
              <w:rPr>
                <w:rFonts w:hint="eastAsia" w:ascii="宋体" w:hAnsi="宋体" w:eastAsia="宋体" w:cs="宋体"/>
                <w:iCs/>
                <w:sz w:val="24"/>
                <w:szCs w:val="24"/>
                <w:lang w:eastAsia="zh-CN"/>
              </w:rPr>
              <w:t>仲裁委员会申请仲裁；</w:t>
            </w:r>
          </w:p>
          <w:p w14:paraId="7AA9B073">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u w:val="single"/>
                <w:lang w:eastAsia="zh-CN"/>
              </w:rPr>
            </w:pPr>
            <w:r>
              <w:rPr>
                <w:rFonts w:hint="eastAsia" w:ascii="宋体" w:hAnsi="宋体" w:eastAsia="宋体" w:cs="宋体"/>
                <w:iCs/>
                <w:sz w:val="24"/>
                <w:szCs w:val="24"/>
                <w:lang w:eastAsia="zh-CN"/>
              </w:rPr>
              <w:t>（2）向</w:t>
            </w:r>
            <w:r>
              <w:rPr>
                <w:rFonts w:hint="eastAsia" w:ascii="宋体" w:hAnsi="宋体" w:eastAsia="宋体" w:cs="宋体"/>
                <w:iCs/>
                <w:sz w:val="24"/>
                <w:szCs w:val="24"/>
                <w:u w:val="single"/>
                <w:lang w:val="en-US" w:eastAsia="zh-CN"/>
              </w:rPr>
              <w:t>甲方所在地</w:t>
            </w:r>
            <w:r>
              <w:rPr>
                <w:rFonts w:hint="eastAsia" w:ascii="宋体" w:hAnsi="宋体" w:eastAsia="宋体" w:cs="宋体"/>
                <w:iCs/>
                <w:sz w:val="24"/>
                <w:szCs w:val="24"/>
                <w:lang w:eastAsia="zh-CN"/>
              </w:rPr>
              <w:t>人民法院起诉。</w:t>
            </w:r>
          </w:p>
        </w:tc>
      </w:tr>
      <w:tr w14:paraId="287476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20" w:type="dxa"/>
            <w:vAlign w:val="center"/>
          </w:tcPr>
          <w:p w14:paraId="5155C60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BE5BC7">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第23.1款</w:t>
            </w:r>
          </w:p>
        </w:tc>
        <w:tc>
          <w:tcPr>
            <w:tcW w:w="2410" w:type="dxa"/>
            <w:vAlign w:val="center"/>
          </w:tcPr>
          <w:p w14:paraId="6771432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670" w:type="dxa"/>
            <w:vAlign w:val="center"/>
          </w:tcPr>
          <w:p w14:paraId="71EC407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1.在合同履行期限内，因甲方后续资金无法落实导致本项目无法继续建设的，已建设完成内容直接进入质保阶段，不再续建</w:t>
            </w:r>
            <w:r>
              <w:rPr>
                <w:rFonts w:hint="eastAsia" w:ascii="宋体" w:hAnsi="宋体" w:cs="宋体"/>
                <w:sz w:val="24"/>
                <w:szCs w:val="24"/>
                <w:lang w:val="en-US" w:eastAsia="zh-CN"/>
              </w:rPr>
              <w:t>。</w:t>
            </w:r>
          </w:p>
          <w:p w14:paraId="648FF65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1.1甲方应在30日内组织已建设完成内容提前验收。</w:t>
            </w:r>
          </w:p>
          <w:p w14:paraId="0F38219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1.2验收合格当日起算质保期，按国家规定及合同约定执行。</w:t>
            </w:r>
          </w:p>
          <w:p w14:paraId="6795EDD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廉洁自律：</w:t>
            </w:r>
          </w:p>
          <w:p w14:paraId="4D63987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合同各方应自觉遵守法律法规，廉洁自律、互相监督，杜绝违法和违纪的行为。</w:t>
            </w:r>
          </w:p>
        </w:tc>
      </w:tr>
    </w:tbl>
    <w:p w14:paraId="3FF608F0">
      <w:pPr>
        <w:rPr>
          <w:rFonts w:hint="eastAsia"/>
          <w:lang w:eastAsia="zh-CN"/>
        </w:rPr>
      </w:pPr>
    </w:p>
    <w:p w14:paraId="5AF61FC0">
      <w:pPr>
        <w:snapToGrid w:val="0"/>
        <w:spacing w:line="331" w:lineRule="auto"/>
        <w:rPr>
          <w:rFonts w:hint="eastAsia"/>
          <w:sz w:val="24"/>
          <w:lang w:eastAsia="zh-CN"/>
        </w:rPr>
      </w:pPr>
    </w:p>
    <w:p w14:paraId="50A6DBFC">
      <w:pPr>
        <w:widowControl/>
        <w:rPr>
          <w:rFonts w:hint="eastAsia"/>
          <w:b/>
          <w:sz w:val="36"/>
          <w:szCs w:val="36"/>
          <w:lang w:eastAsia="zh-CN"/>
        </w:rPr>
      </w:pPr>
    </w:p>
    <w:p w14:paraId="78B5AE62">
      <w:pPr>
        <w:spacing w:line="360" w:lineRule="auto"/>
        <w:jc w:val="center"/>
        <w:outlineLvl w:val="0"/>
        <w:rPr>
          <w:b/>
          <w:sz w:val="36"/>
          <w:szCs w:val="36"/>
        </w:rPr>
      </w:pPr>
      <w:r>
        <w:rPr>
          <w:b/>
          <w:sz w:val="36"/>
          <w:szCs w:val="36"/>
        </w:rPr>
        <w:br w:type="page"/>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Start w:id="671" w:name="_Toc99301378"/>
      <w:r>
        <w:rPr>
          <w:b/>
          <w:sz w:val="36"/>
          <w:szCs w:val="36"/>
        </w:rPr>
        <w:t>第六章   响应文件格式</w:t>
      </w:r>
      <w:bookmarkEnd w:id="671"/>
    </w:p>
    <w:p w14:paraId="72A09A38">
      <w:pPr>
        <w:widowControl/>
        <w:spacing w:line="360" w:lineRule="auto"/>
        <w:jc w:val="left"/>
        <w:rPr>
          <w:b/>
          <w:sz w:val="24"/>
        </w:rPr>
      </w:pPr>
    </w:p>
    <w:p w14:paraId="3C352702">
      <w:pPr>
        <w:tabs>
          <w:tab w:val="left" w:pos="900"/>
          <w:tab w:val="left" w:pos="1980"/>
        </w:tabs>
        <w:snapToGrid w:val="0"/>
        <w:spacing w:line="360" w:lineRule="auto"/>
        <w:ind w:left="142"/>
        <w:rPr>
          <w:b/>
          <w:sz w:val="24"/>
        </w:rPr>
      </w:pPr>
      <w:r>
        <w:rPr>
          <w:b/>
          <w:sz w:val="24"/>
        </w:rPr>
        <w:t>供应商编制文件须知</w:t>
      </w:r>
    </w:p>
    <w:p w14:paraId="64F6BCFF">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794ADE2C">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7E98164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0DF6C8E">
      <w:pPr>
        <w:tabs>
          <w:tab w:val="left" w:pos="900"/>
          <w:tab w:val="left" w:pos="1980"/>
        </w:tabs>
        <w:snapToGrid w:val="0"/>
        <w:spacing w:line="360" w:lineRule="auto"/>
        <w:ind w:left="142"/>
        <w:rPr>
          <w:sz w:val="24"/>
        </w:rPr>
      </w:pPr>
    </w:p>
    <w:p w14:paraId="595D056A">
      <w:pPr>
        <w:widowControl/>
        <w:jc w:val="left"/>
        <w:rPr>
          <w:sz w:val="24"/>
        </w:rPr>
      </w:pPr>
      <w:r>
        <w:rPr>
          <w:sz w:val="24"/>
        </w:rPr>
        <w:br w:type="page"/>
      </w:r>
    </w:p>
    <w:p w14:paraId="4BE1CD75">
      <w:pPr>
        <w:rPr>
          <w:b/>
          <w:spacing w:val="20"/>
          <w:szCs w:val="21"/>
        </w:rPr>
      </w:pPr>
    </w:p>
    <w:p w14:paraId="1BFDC763">
      <w:pPr>
        <w:rPr>
          <w:b/>
          <w:sz w:val="24"/>
        </w:rPr>
      </w:pPr>
      <w:r>
        <w:rPr>
          <w:b/>
          <w:spacing w:val="20"/>
          <w:sz w:val="24"/>
        </w:rPr>
        <w:t>响应文件</w:t>
      </w:r>
      <w:r>
        <w:rPr>
          <w:b/>
          <w:sz w:val="24"/>
        </w:rPr>
        <w:t>封面（非实质性格式）</w:t>
      </w:r>
    </w:p>
    <w:p w14:paraId="30123843">
      <w:pPr>
        <w:jc w:val="center"/>
        <w:rPr>
          <w:szCs w:val="21"/>
        </w:rPr>
      </w:pPr>
    </w:p>
    <w:p w14:paraId="79B928BB">
      <w:pPr>
        <w:jc w:val="center"/>
        <w:rPr>
          <w:b/>
          <w:spacing w:val="60"/>
          <w:sz w:val="84"/>
          <w:szCs w:val="84"/>
        </w:rPr>
      </w:pPr>
      <w:r>
        <w:rPr>
          <w:b/>
          <w:spacing w:val="60"/>
          <w:sz w:val="84"/>
          <w:szCs w:val="84"/>
        </w:rPr>
        <w:t>响 应 文 件</w:t>
      </w:r>
    </w:p>
    <w:p w14:paraId="1ED5A25E">
      <w:pPr>
        <w:ind w:firstLine="963" w:firstLineChars="150"/>
        <w:rPr>
          <w:b/>
          <w:spacing w:val="60"/>
          <w:sz w:val="52"/>
          <w:szCs w:val="52"/>
        </w:rPr>
      </w:pPr>
    </w:p>
    <w:p w14:paraId="24896852">
      <w:pPr>
        <w:ind w:firstLine="542" w:firstLineChars="150"/>
        <w:rPr>
          <w:b/>
          <w:spacing w:val="20"/>
          <w:sz w:val="32"/>
          <w:szCs w:val="32"/>
        </w:rPr>
      </w:pPr>
    </w:p>
    <w:p w14:paraId="1BFBD7FF">
      <w:pPr>
        <w:ind w:firstLine="542" w:firstLineChars="150"/>
        <w:rPr>
          <w:b/>
          <w:spacing w:val="20"/>
          <w:sz w:val="32"/>
          <w:szCs w:val="32"/>
        </w:rPr>
      </w:pPr>
    </w:p>
    <w:p w14:paraId="2886A79B">
      <w:pPr>
        <w:ind w:firstLine="542" w:firstLineChars="150"/>
        <w:rPr>
          <w:b/>
          <w:spacing w:val="20"/>
          <w:sz w:val="32"/>
          <w:szCs w:val="32"/>
        </w:rPr>
      </w:pPr>
      <w:r>
        <w:rPr>
          <w:b/>
          <w:spacing w:val="20"/>
          <w:sz w:val="32"/>
          <w:szCs w:val="32"/>
        </w:rPr>
        <w:t>项目名称:</w:t>
      </w:r>
    </w:p>
    <w:p w14:paraId="024A0A6D">
      <w:pPr>
        <w:ind w:firstLine="542" w:firstLineChars="150"/>
        <w:rPr>
          <w:b/>
          <w:spacing w:val="20"/>
          <w:sz w:val="32"/>
          <w:szCs w:val="32"/>
        </w:rPr>
      </w:pPr>
      <w:r>
        <w:rPr>
          <w:b/>
          <w:spacing w:val="20"/>
          <w:sz w:val="32"/>
          <w:szCs w:val="32"/>
        </w:rPr>
        <w:t>项目编号/包号：</w:t>
      </w:r>
    </w:p>
    <w:p w14:paraId="665E033E">
      <w:pPr>
        <w:ind w:firstLine="542" w:firstLineChars="150"/>
        <w:rPr>
          <w:b/>
          <w:spacing w:val="20"/>
          <w:sz w:val="32"/>
          <w:szCs w:val="32"/>
        </w:rPr>
      </w:pPr>
    </w:p>
    <w:p w14:paraId="073E634D">
      <w:pPr>
        <w:ind w:firstLine="542" w:firstLineChars="150"/>
        <w:rPr>
          <w:b/>
          <w:spacing w:val="20"/>
          <w:sz w:val="32"/>
          <w:szCs w:val="32"/>
        </w:rPr>
      </w:pPr>
    </w:p>
    <w:p w14:paraId="1FEC11AB">
      <w:pPr>
        <w:jc w:val="center"/>
        <w:rPr>
          <w:b/>
          <w:sz w:val="32"/>
          <w:szCs w:val="32"/>
        </w:rPr>
      </w:pPr>
    </w:p>
    <w:p w14:paraId="59E29ACF">
      <w:pPr>
        <w:jc w:val="center"/>
        <w:rPr>
          <w:b/>
          <w:sz w:val="32"/>
          <w:szCs w:val="32"/>
        </w:rPr>
      </w:pPr>
    </w:p>
    <w:p w14:paraId="661653B3">
      <w:pPr>
        <w:jc w:val="center"/>
        <w:rPr>
          <w:b/>
          <w:sz w:val="32"/>
          <w:szCs w:val="32"/>
        </w:rPr>
      </w:pPr>
    </w:p>
    <w:p w14:paraId="05311D04">
      <w:pPr>
        <w:jc w:val="center"/>
        <w:rPr>
          <w:b/>
          <w:spacing w:val="20"/>
          <w:sz w:val="32"/>
          <w:szCs w:val="32"/>
        </w:rPr>
      </w:pPr>
    </w:p>
    <w:p w14:paraId="47C03073">
      <w:pPr>
        <w:jc w:val="center"/>
        <w:rPr>
          <w:b/>
          <w:spacing w:val="20"/>
          <w:sz w:val="32"/>
          <w:szCs w:val="32"/>
        </w:rPr>
      </w:pPr>
    </w:p>
    <w:p w14:paraId="59169798">
      <w:pPr>
        <w:jc w:val="center"/>
        <w:rPr>
          <w:b/>
          <w:spacing w:val="20"/>
          <w:sz w:val="32"/>
          <w:szCs w:val="32"/>
        </w:rPr>
      </w:pPr>
    </w:p>
    <w:p w14:paraId="5F5D91DA">
      <w:pPr>
        <w:spacing w:line="360" w:lineRule="auto"/>
        <w:ind w:firstLine="1445" w:firstLineChars="400"/>
        <w:jc w:val="left"/>
        <w:rPr>
          <w:b/>
          <w:spacing w:val="20"/>
          <w:sz w:val="32"/>
          <w:szCs w:val="32"/>
        </w:rPr>
      </w:pPr>
      <w:r>
        <w:rPr>
          <w:b/>
          <w:spacing w:val="20"/>
          <w:sz w:val="32"/>
          <w:szCs w:val="32"/>
        </w:rPr>
        <w:t>供应商名称：</w:t>
      </w:r>
    </w:p>
    <w:p w14:paraId="3E296B61">
      <w:pPr>
        <w:jc w:val="center"/>
        <w:rPr>
          <w:b/>
          <w:sz w:val="32"/>
          <w:szCs w:val="32"/>
        </w:rPr>
      </w:pPr>
    </w:p>
    <w:p w14:paraId="654F6C2B">
      <w:pPr>
        <w:rPr>
          <w:b/>
        </w:rPr>
      </w:pPr>
      <w:r>
        <w:rPr>
          <w:b/>
          <w:spacing w:val="20"/>
          <w:sz w:val="32"/>
          <w:szCs w:val="32"/>
        </w:rPr>
        <w:br w:type="page"/>
      </w:r>
    </w:p>
    <w:p w14:paraId="33854274">
      <w:pPr>
        <w:numPr>
          <w:ilvl w:val="0"/>
          <w:numId w:val="29"/>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2A17BABE">
      <w:pPr>
        <w:spacing w:line="360" w:lineRule="auto"/>
        <w:outlineLvl w:val="2"/>
        <w:rPr>
          <w:color w:val="000000"/>
          <w:sz w:val="24"/>
          <w:szCs w:val="20"/>
        </w:rPr>
      </w:pPr>
      <w:r>
        <w:rPr>
          <w:color w:val="000000"/>
          <w:sz w:val="24"/>
          <w:szCs w:val="20"/>
        </w:rPr>
        <w:t>1-1 营业执照等证明文件</w:t>
      </w:r>
    </w:p>
    <w:p w14:paraId="6F6E1088">
      <w:pPr>
        <w:tabs>
          <w:tab w:val="left" w:pos="1080"/>
        </w:tabs>
        <w:snapToGrid w:val="0"/>
        <w:rPr>
          <w:sz w:val="24"/>
        </w:rPr>
      </w:pPr>
    </w:p>
    <w:p w14:paraId="3CF2432C">
      <w:pPr>
        <w:widowControl/>
        <w:jc w:val="left"/>
        <w:rPr>
          <w:color w:val="000000"/>
          <w:sz w:val="24"/>
          <w:szCs w:val="20"/>
        </w:rPr>
      </w:pPr>
      <w:r>
        <w:rPr>
          <w:color w:val="000000"/>
          <w:sz w:val="24"/>
        </w:rPr>
        <w:br w:type="page"/>
      </w:r>
    </w:p>
    <w:p w14:paraId="067E28ED">
      <w:pPr>
        <w:pStyle w:val="4"/>
        <w:rPr>
          <w:rFonts w:ascii="Times New Roman"/>
          <w:b w:val="0"/>
          <w:color w:val="000000"/>
          <w:u w:val="none"/>
        </w:rPr>
      </w:pPr>
      <w:r>
        <w:rPr>
          <w:rFonts w:ascii="Times New Roman"/>
          <w:b w:val="0"/>
          <w:color w:val="000000"/>
          <w:u w:val="none"/>
        </w:rPr>
        <w:t>1-2 供应商资格声明书</w:t>
      </w:r>
    </w:p>
    <w:p w14:paraId="215F3D5D">
      <w:pPr>
        <w:spacing w:line="360" w:lineRule="auto"/>
        <w:jc w:val="center"/>
        <w:rPr>
          <w:b/>
          <w:color w:val="000000"/>
          <w:sz w:val="36"/>
          <w:szCs w:val="36"/>
        </w:rPr>
      </w:pPr>
      <w:r>
        <w:rPr>
          <w:b/>
          <w:color w:val="000000"/>
          <w:sz w:val="36"/>
          <w:szCs w:val="36"/>
        </w:rPr>
        <w:t>供应商资格声明书</w:t>
      </w:r>
    </w:p>
    <w:p w14:paraId="2F2C51A1">
      <w:pPr>
        <w:rPr>
          <w:color w:val="000000"/>
          <w:szCs w:val="20"/>
        </w:rPr>
      </w:pPr>
    </w:p>
    <w:p w14:paraId="1D54DA88">
      <w:pPr>
        <w:tabs>
          <w:tab w:val="left" w:pos="5580"/>
        </w:tabs>
        <w:spacing w:line="360" w:lineRule="auto"/>
        <w:rPr>
          <w:sz w:val="24"/>
        </w:rPr>
      </w:pPr>
      <w:r>
        <w:rPr>
          <w:sz w:val="24"/>
        </w:rPr>
        <w:t>致：</w:t>
      </w:r>
      <w:r>
        <w:rPr>
          <w:sz w:val="24"/>
          <w:u w:val="single"/>
        </w:rPr>
        <w:t>采购人或采购代理机构</w:t>
      </w:r>
    </w:p>
    <w:p w14:paraId="4193D552">
      <w:pPr>
        <w:spacing w:line="360" w:lineRule="auto"/>
        <w:ind w:firstLine="480" w:firstLineChars="200"/>
        <w:rPr>
          <w:sz w:val="24"/>
        </w:rPr>
      </w:pPr>
      <w:r>
        <w:rPr>
          <w:sz w:val="24"/>
        </w:rPr>
        <w:t>在参与本次项目响应中，我单位承诺：</w:t>
      </w:r>
    </w:p>
    <w:p w14:paraId="37B5B178">
      <w:pPr>
        <w:numPr>
          <w:ilvl w:val="0"/>
          <w:numId w:val="30"/>
        </w:numPr>
        <w:spacing w:line="360" w:lineRule="auto"/>
        <w:ind w:left="1134"/>
        <w:rPr>
          <w:sz w:val="24"/>
          <w:szCs w:val="22"/>
        </w:rPr>
      </w:pPr>
      <w:r>
        <w:rPr>
          <w:sz w:val="24"/>
          <w:szCs w:val="22"/>
        </w:rPr>
        <w:t>具有良好的商业信誉和健全的财务会计制度；</w:t>
      </w:r>
    </w:p>
    <w:p w14:paraId="43344664">
      <w:pPr>
        <w:numPr>
          <w:ilvl w:val="0"/>
          <w:numId w:val="30"/>
        </w:numPr>
        <w:spacing w:line="360" w:lineRule="auto"/>
        <w:ind w:left="1134"/>
        <w:rPr>
          <w:sz w:val="24"/>
          <w:szCs w:val="22"/>
        </w:rPr>
      </w:pPr>
      <w:r>
        <w:rPr>
          <w:sz w:val="24"/>
          <w:szCs w:val="22"/>
        </w:rPr>
        <w:t>具有履行合同所必需的设备和专业技术能力；</w:t>
      </w:r>
    </w:p>
    <w:p w14:paraId="40070F23">
      <w:pPr>
        <w:numPr>
          <w:ilvl w:val="0"/>
          <w:numId w:val="30"/>
        </w:numPr>
        <w:spacing w:line="360" w:lineRule="auto"/>
        <w:ind w:left="1134"/>
        <w:rPr>
          <w:sz w:val="24"/>
          <w:szCs w:val="22"/>
        </w:rPr>
      </w:pPr>
      <w:r>
        <w:rPr>
          <w:sz w:val="24"/>
          <w:szCs w:val="22"/>
        </w:rPr>
        <w:t>有依法缴纳税收和社会保障资金的良好记录；</w:t>
      </w:r>
    </w:p>
    <w:p w14:paraId="78A4FD2D">
      <w:pPr>
        <w:numPr>
          <w:ilvl w:val="0"/>
          <w:numId w:val="3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9EB88D">
      <w:pPr>
        <w:numPr>
          <w:ilvl w:val="0"/>
          <w:numId w:val="3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D16D87D">
      <w:pPr>
        <w:numPr>
          <w:ilvl w:val="0"/>
          <w:numId w:val="3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4C91D9D">
      <w:pPr>
        <w:numPr>
          <w:ilvl w:val="0"/>
          <w:numId w:val="3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DF50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8E11BB">
            <w:pPr>
              <w:jc w:val="center"/>
              <w:rPr>
                <w:sz w:val="24"/>
              </w:rPr>
            </w:pPr>
            <w:r>
              <w:rPr>
                <w:sz w:val="24"/>
              </w:rPr>
              <w:t>序号</w:t>
            </w:r>
          </w:p>
        </w:tc>
        <w:tc>
          <w:tcPr>
            <w:tcW w:w="4574" w:type="dxa"/>
            <w:vAlign w:val="center"/>
          </w:tcPr>
          <w:p w14:paraId="10FBFD67">
            <w:pPr>
              <w:jc w:val="center"/>
              <w:rPr>
                <w:sz w:val="24"/>
              </w:rPr>
            </w:pPr>
            <w:r>
              <w:rPr>
                <w:sz w:val="24"/>
              </w:rPr>
              <w:t>单位名称</w:t>
            </w:r>
          </w:p>
        </w:tc>
        <w:tc>
          <w:tcPr>
            <w:tcW w:w="2976" w:type="dxa"/>
            <w:vAlign w:val="center"/>
          </w:tcPr>
          <w:p w14:paraId="7F4810FF">
            <w:pPr>
              <w:jc w:val="center"/>
              <w:rPr>
                <w:sz w:val="24"/>
              </w:rPr>
            </w:pPr>
            <w:r>
              <w:rPr>
                <w:sz w:val="24"/>
              </w:rPr>
              <w:t>相互关系</w:t>
            </w:r>
          </w:p>
        </w:tc>
      </w:tr>
      <w:tr w14:paraId="469C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FAE60C">
            <w:pPr>
              <w:jc w:val="center"/>
              <w:rPr>
                <w:sz w:val="24"/>
              </w:rPr>
            </w:pPr>
            <w:r>
              <w:rPr>
                <w:sz w:val="24"/>
              </w:rPr>
              <w:t>1</w:t>
            </w:r>
          </w:p>
        </w:tc>
        <w:tc>
          <w:tcPr>
            <w:tcW w:w="4574" w:type="dxa"/>
            <w:vAlign w:val="center"/>
          </w:tcPr>
          <w:p w14:paraId="004DCD66">
            <w:pPr>
              <w:jc w:val="center"/>
              <w:rPr>
                <w:sz w:val="24"/>
              </w:rPr>
            </w:pPr>
          </w:p>
        </w:tc>
        <w:tc>
          <w:tcPr>
            <w:tcW w:w="2976" w:type="dxa"/>
            <w:vAlign w:val="center"/>
          </w:tcPr>
          <w:p w14:paraId="2DE688D7">
            <w:pPr>
              <w:jc w:val="center"/>
              <w:rPr>
                <w:sz w:val="24"/>
              </w:rPr>
            </w:pPr>
          </w:p>
        </w:tc>
      </w:tr>
      <w:tr w14:paraId="5503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2205FB">
            <w:pPr>
              <w:jc w:val="center"/>
              <w:rPr>
                <w:sz w:val="24"/>
              </w:rPr>
            </w:pPr>
            <w:r>
              <w:rPr>
                <w:sz w:val="24"/>
              </w:rPr>
              <w:t>2</w:t>
            </w:r>
          </w:p>
        </w:tc>
        <w:tc>
          <w:tcPr>
            <w:tcW w:w="4574" w:type="dxa"/>
            <w:vAlign w:val="center"/>
          </w:tcPr>
          <w:p w14:paraId="19BE4706">
            <w:pPr>
              <w:jc w:val="center"/>
              <w:rPr>
                <w:sz w:val="24"/>
              </w:rPr>
            </w:pPr>
          </w:p>
        </w:tc>
        <w:tc>
          <w:tcPr>
            <w:tcW w:w="2976" w:type="dxa"/>
            <w:vAlign w:val="center"/>
          </w:tcPr>
          <w:p w14:paraId="5638E7A1">
            <w:pPr>
              <w:jc w:val="center"/>
              <w:rPr>
                <w:sz w:val="24"/>
              </w:rPr>
            </w:pPr>
          </w:p>
        </w:tc>
      </w:tr>
      <w:tr w14:paraId="7621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09785D">
            <w:pPr>
              <w:jc w:val="center"/>
              <w:rPr>
                <w:sz w:val="24"/>
              </w:rPr>
            </w:pPr>
            <w:r>
              <w:rPr>
                <w:sz w:val="24"/>
              </w:rPr>
              <w:t>…</w:t>
            </w:r>
          </w:p>
        </w:tc>
        <w:tc>
          <w:tcPr>
            <w:tcW w:w="4574" w:type="dxa"/>
            <w:vAlign w:val="center"/>
          </w:tcPr>
          <w:p w14:paraId="3E283A7D">
            <w:pPr>
              <w:jc w:val="center"/>
              <w:rPr>
                <w:sz w:val="24"/>
              </w:rPr>
            </w:pPr>
          </w:p>
        </w:tc>
        <w:tc>
          <w:tcPr>
            <w:tcW w:w="2976" w:type="dxa"/>
            <w:vAlign w:val="center"/>
          </w:tcPr>
          <w:p w14:paraId="37C5DE06">
            <w:pPr>
              <w:jc w:val="center"/>
              <w:rPr>
                <w:sz w:val="24"/>
              </w:rPr>
            </w:pPr>
          </w:p>
        </w:tc>
      </w:tr>
    </w:tbl>
    <w:p w14:paraId="20CE9CFB"/>
    <w:p w14:paraId="06D66449">
      <w:pPr>
        <w:ind w:firstLine="480" w:firstLineChars="200"/>
        <w:rPr>
          <w:sz w:val="24"/>
          <w:szCs w:val="22"/>
        </w:rPr>
      </w:pPr>
      <w:r>
        <w:rPr>
          <w:sz w:val="24"/>
        </w:rPr>
        <w:t>上述声明真实有效，否则我方负全部责任。</w:t>
      </w:r>
    </w:p>
    <w:p w14:paraId="25F22DE9">
      <w:pPr>
        <w:spacing w:line="360" w:lineRule="auto"/>
        <w:rPr>
          <w:sz w:val="24"/>
        </w:rPr>
      </w:pPr>
    </w:p>
    <w:p w14:paraId="05AFB92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0"/>
        <w:jc w:val="right"/>
        <w:textAlignment w:val="auto"/>
        <w:rPr>
          <w:color w:val="000000"/>
          <w:sz w:val="24"/>
          <w:lang w:val="zh-CN"/>
        </w:rPr>
      </w:pPr>
      <w:r>
        <w:rPr>
          <w:color w:val="000000"/>
          <w:sz w:val="24"/>
        </w:rPr>
        <w:t>供应商名称（加盖公章）</w:t>
      </w:r>
      <w:r>
        <w:rPr>
          <w:color w:val="000000"/>
          <w:sz w:val="24"/>
          <w:lang w:val="zh-CN"/>
        </w:rPr>
        <w:t>：____________</w:t>
      </w:r>
    </w:p>
    <w:p w14:paraId="65A0DEA6">
      <w:pPr>
        <w:keepNext w:val="0"/>
        <w:keepLines w:val="0"/>
        <w:pageBreakBefore w:val="0"/>
        <w:widowControl w:val="0"/>
        <w:kinsoku/>
        <w:wordWrap/>
        <w:overflowPunct/>
        <w:topLinePunct w:val="0"/>
        <w:bidi w:val="0"/>
        <w:spacing w:line="360" w:lineRule="auto"/>
        <w:ind w:right="0" w:firstLine="0"/>
        <w:jc w:val="right"/>
        <w:textAlignment w:val="auto"/>
        <w:rPr>
          <w:sz w:val="24"/>
        </w:rPr>
      </w:pPr>
      <w:r>
        <w:rPr>
          <w:color w:val="000000"/>
          <w:sz w:val="24"/>
          <w:szCs w:val="20"/>
        </w:rPr>
        <w:t>日期：_____年______月______日</w:t>
      </w:r>
    </w:p>
    <w:p w14:paraId="46C7C073">
      <w:pPr>
        <w:spacing w:line="360" w:lineRule="auto"/>
        <w:rPr>
          <w:sz w:val="24"/>
        </w:rPr>
      </w:pPr>
      <w:r>
        <w:rPr>
          <w:sz w:val="24"/>
        </w:rPr>
        <w:t>说明：供应商承诺不实的，依据《政府采购法》第七十七条“提供虚假材料谋取中标、成交的”有关规定予以处理。</w:t>
      </w:r>
    </w:p>
    <w:p w14:paraId="69F62E40">
      <w:pPr>
        <w:tabs>
          <w:tab w:val="left" w:pos="5580"/>
        </w:tabs>
        <w:spacing w:line="360" w:lineRule="auto"/>
        <w:rPr>
          <w:sz w:val="24"/>
        </w:rPr>
        <w:sectPr>
          <w:headerReference r:id="rId15" w:type="first"/>
          <w:footerReference r:id="rId17" w:type="first"/>
          <w:headerReference r:id="rId14" w:type="even"/>
          <w:footerReference r:id="rId16" w:type="even"/>
          <w:pgSz w:w="11907" w:h="16840"/>
          <w:pgMar w:top="1418" w:right="1134" w:bottom="1418" w:left="1134" w:header="851" w:footer="851" w:gutter="0"/>
          <w:pgNumType w:fmt="decimal"/>
          <w:cols w:space="720" w:num="1"/>
          <w:docGrid w:linePitch="462" w:charSpace="0"/>
        </w:sectPr>
      </w:pPr>
    </w:p>
    <w:p w14:paraId="58F48027">
      <w:pPr>
        <w:numPr>
          <w:ilvl w:val="0"/>
          <w:numId w:val="29"/>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1CACAD4">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6A09C4F8">
      <w:pPr>
        <w:tabs>
          <w:tab w:val="left" w:pos="5580"/>
        </w:tabs>
        <w:spacing w:line="360" w:lineRule="auto"/>
        <w:rPr>
          <w:rFonts w:eastAsiaTheme="minorEastAsia"/>
          <w:sz w:val="24"/>
        </w:rPr>
      </w:pPr>
      <w:r>
        <w:rPr>
          <w:rFonts w:eastAsiaTheme="minorEastAsia"/>
          <w:sz w:val="24"/>
        </w:rPr>
        <w:t>说明：</w:t>
      </w:r>
    </w:p>
    <w:p w14:paraId="3C9ED539">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537EB3EC">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E5235E7">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86A2DE7">
      <w:pPr>
        <w:tabs>
          <w:tab w:val="left" w:pos="5580"/>
        </w:tabs>
        <w:spacing w:line="360" w:lineRule="auto"/>
        <w:rPr>
          <w:sz w:val="24"/>
        </w:rPr>
      </w:pPr>
      <w:r>
        <w:rPr>
          <w:rFonts w:eastAsiaTheme="minorEastAsia"/>
          <w:sz w:val="24"/>
        </w:rPr>
        <w:t>（4）</w:t>
      </w:r>
      <w:r>
        <w:rPr>
          <w:sz w:val="24"/>
        </w:rPr>
        <w:t>中小企业声明函填写注意事项</w:t>
      </w:r>
    </w:p>
    <w:p w14:paraId="1C2EA324">
      <w:pPr>
        <w:tabs>
          <w:tab w:val="left" w:pos="5580"/>
        </w:tabs>
        <w:spacing w:line="360" w:lineRule="auto"/>
        <w:rPr>
          <w:sz w:val="24"/>
        </w:rPr>
      </w:pPr>
      <w:r>
        <w:rPr>
          <w:sz w:val="24"/>
        </w:rPr>
        <w:t>1）《中小企业声明函》由参加政府采购活动的供应商出具。联合体参与的，《中小企业声明函》可由牵头人出具。</w:t>
      </w:r>
    </w:p>
    <w:p w14:paraId="4F6B3BC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CAB9365">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7B0F3E02">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41F8659D">
      <w:pPr>
        <w:pStyle w:val="6"/>
        <w:rPr>
          <w:b w:val="0"/>
        </w:rPr>
      </w:pPr>
      <w:r>
        <w:rPr>
          <w:b w:val="0"/>
        </w:rPr>
        <w:t>2-1-1 中小企业</w:t>
      </w:r>
      <w:r>
        <w:rPr>
          <w:rFonts w:hint="eastAsia"/>
          <w:b w:val="0"/>
        </w:rPr>
        <w:t>证明文件</w:t>
      </w:r>
    </w:p>
    <w:p w14:paraId="3D9E4A83">
      <w:pPr>
        <w:spacing w:line="360" w:lineRule="auto"/>
        <w:jc w:val="left"/>
        <w:rPr>
          <w:sz w:val="24"/>
        </w:rPr>
      </w:pPr>
    </w:p>
    <w:p w14:paraId="570E0CA4">
      <w:pPr>
        <w:spacing w:line="360" w:lineRule="auto"/>
        <w:jc w:val="center"/>
        <w:rPr>
          <w:b/>
          <w:color w:val="000000"/>
          <w:sz w:val="36"/>
          <w:szCs w:val="36"/>
        </w:rPr>
      </w:pPr>
      <w:r>
        <w:rPr>
          <w:b/>
          <w:color w:val="000000"/>
          <w:sz w:val="36"/>
          <w:szCs w:val="36"/>
        </w:rPr>
        <w:t>中小企业声明函（货物）格式</w:t>
      </w:r>
    </w:p>
    <w:p w14:paraId="0597B991">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35724A1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551554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2867543">
      <w:pPr>
        <w:spacing w:line="360" w:lineRule="auto"/>
        <w:ind w:firstLine="504"/>
        <w:rPr>
          <w:spacing w:val="6"/>
          <w:sz w:val="24"/>
        </w:rPr>
      </w:pPr>
      <w:r>
        <w:rPr>
          <w:spacing w:val="6"/>
          <w:sz w:val="24"/>
        </w:rPr>
        <w:t>……</w:t>
      </w:r>
    </w:p>
    <w:p w14:paraId="7385911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B1D935A">
      <w:pPr>
        <w:spacing w:line="360" w:lineRule="auto"/>
        <w:ind w:firstLine="504"/>
        <w:rPr>
          <w:spacing w:val="6"/>
          <w:sz w:val="24"/>
        </w:rPr>
      </w:pPr>
      <w:r>
        <w:rPr>
          <w:spacing w:val="6"/>
          <w:sz w:val="24"/>
        </w:rPr>
        <w:t>本企业对上述声明内容的真实性负责。如有虚假，将依法承担相应责任。</w:t>
      </w:r>
    </w:p>
    <w:p w14:paraId="69A5C1D7">
      <w:pPr>
        <w:spacing w:line="360" w:lineRule="auto"/>
        <w:ind w:firstLine="504"/>
        <w:rPr>
          <w:spacing w:val="6"/>
          <w:sz w:val="24"/>
        </w:rPr>
      </w:pPr>
    </w:p>
    <w:p w14:paraId="66CBE7F5">
      <w:pPr>
        <w:spacing w:line="360" w:lineRule="auto"/>
        <w:ind w:right="360" w:firstLine="480"/>
        <w:jc w:val="right"/>
        <w:rPr>
          <w:color w:val="000000"/>
          <w:sz w:val="24"/>
        </w:rPr>
      </w:pPr>
      <w:r>
        <w:rPr>
          <w:color w:val="000000"/>
          <w:sz w:val="24"/>
        </w:rPr>
        <w:t>企业名称（盖章）：________</w:t>
      </w:r>
    </w:p>
    <w:p w14:paraId="6B33037B">
      <w:pPr>
        <w:spacing w:line="360" w:lineRule="auto"/>
        <w:ind w:right="360" w:firstLine="480"/>
        <w:jc w:val="right"/>
        <w:rPr>
          <w:color w:val="000000"/>
          <w:sz w:val="24"/>
        </w:rPr>
      </w:pPr>
      <w:r>
        <w:rPr>
          <w:color w:val="000000"/>
          <w:sz w:val="24"/>
        </w:rPr>
        <w:t>日 期：________</w:t>
      </w:r>
    </w:p>
    <w:p w14:paraId="430A29F1">
      <w:pPr>
        <w:spacing w:line="360" w:lineRule="auto"/>
        <w:ind w:right="360" w:firstLine="480"/>
        <w:jc w:val="right"/>
        <w:rPr>
          <w:color w:val="000000"/>
          <w:sz w:val="24"/>
        </w:rPr>
      </w:pPr>
    </w:p>
    <w:p w14:paraId="4BD33555">
      <w:pPr>
        <w:spacing w:line="360" w:lineRule="auto"/>
        <w:ind w:right="360" w:firstLine="480"/>
        <w:jc w:val="right"/>
        <w:rPr>
          <w:color w:val="000000"/>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CC479A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DE69A9E">
            <w:pPr>
              <w:adjustRightInd w:val="0"/>
              <w:snapToGrid w:val="0"/>
              <w:jc w:val="left"/>
              <w:rPr>
                <w:color w:val="000000"/>
                <w:szCs w:val="21"/>
              </w:rPr>
            </w:pPr>
            <w:r>
              <w:rPr>
                <w:color w:val="000000"/>
                <w:szCs w:val="21"/>
              </w:rPr>
              <w:t>从业人员、营业收入、资产总额填报上一年度数据，无上一年度数据的新成立企业可不填报。</w:t>
            </w:r>
          </w:p>
        </w:tc>
      </w:tr>
    </w:tbl>
    <w:p w14:paraId="008E1144">
      <w:pPr>
        <w:autoSpaceDE w:val="0"/>
        <w:autoSpaceDN w:val="0"/>
        <w:adjustRightInd w:val="0"/>
        <w:jc w:val="left"/>
        <w:rPr>
          <w:sz w:val="24"/>
        </w:rPr>
      </w:pPr>
    </w:p>
    <w:p w14:paraId="77B34BF5">
      <w:pPr>
        <w:spacing w:line="360" w:lineRule="auto"/>
        <w:rPr>
          <w:color w:val="000000"/>
          <w:sz w:val="24"/>
        </w:rPr>
      </w:pPr>
    </w:p>
    <w:p w14:paraId="248C3BF2">
      <w:pPr>
        <w:spacing w:line="360" w:lineRule="auto"/>
        <w:outlineLvl w:val="2"/>
        <w:rPr>
          <w:color w:val="000000"/>
          <w:sz w:val="24"/>
          <w:szCs w:val="20"/>
        </w:rPr>
      </w:pPr>
      <w:r>
        <w:rPr>
          <w:color w:val="000000"/>
          <w:sz w:val="24"/>
        </w:rPr>
        <w:br w:type="page"/>
      </w:r>
    </w:p>
    <w:p w14:paraId="47ACC91E">
      <w:pPr>
        <w:spacing w:line="360" w:lineRule="auto"/>
        <w:jc w:val="center"/>
        <w:rPr>
          <w:b/>
          <w:color w:val="000000"/>
        </w:rPr>
      </w:pPr>
      <w:r>
        <w:rPr>
          <w:b/>
          <w:color w:val="000000"/>
          <w:sz w:val="36"/>
          <w:szCs w:val="36"/>
        </w:rPr>
        <w:t>残疾人福利性单位声明函格式</w:t>
      </w:r>
    </w:p>
    <w:p w14:paraId="3858EFB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1018726">
      <w:pPr>
        <w:spacing w:line="588" w:lineRule="exact"/>
        <w:ind w:firstLine="482"/>
        <w:rPr>
          <w:b/>
          <w:spacing w:val="6"/>
          <w:sz w:val="24"/>
        </w:rPr>
      </w:pPr>
      <w:r>
        <w:rPr>
          <w:b/>
          <w:sz w:val="24"/>
        </w:rPr>
        <w:t>□</w:t>
      </w:r>
      <w:r>
        <w:rPr>
          <w:b/>
          <w:spacing w:val="6"/>
          <w:sz w:val="24"/>
        </w:rPr>
        <w:t>不属于符合条件的残疾人福利性单位。</w:t>
      </w:r>
    </w:p>
    <w:p w14:paraId="3D8C38C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2B890F3">
      <w:pPr>
        <w:spacing w:line="588" w:lineRule="exact"/>
        <w:ind w:firstLine="506" w:firstLineChars="200"/>
        <w:rPr>
          <w:spacing w:val="6"/>
          <w:sz w:val="24"/>
        </w:rPr>
      </w:pPr>
      <w:r>
        <w:rPr>
          <w:b/>
          <w:spacing w:val="6"/>
          <w:sz w:val="24"/>
        </w:rPr>
        <w:t>本单位对上述声明的真实性负责。如有虚假，将依法承担相应责任。</w:t>
      </w:r>
    </w:p>
    <w:p w14:paraId="29012BD9">
      <w:pPr>
        <w:spacing w:line="588" w:lineRule="exact"/>
        <w:ind w:firstLine="504" w:firstLineChars="200"/>
        <w:rPr>
          <w:spacing w:val="6"/>
          <w:sz w:val="24"/>
        </w:rPr>
      </w:pPr>
    </w:p>
    <w:p w14:paraId="21EE4CFA">
      <w:pPr>
        <w:spacing w:line="588" w:lineRule="exact"/>
        <w:ind w:firstLine="504" w:firstLineChars="200"/>
        <w:rPr>
          <w:spacing w:val="6"/>
          <w:sz w:val="24"/>
        </w:rPr>
      </w:pPr>
    </w:p>
    <w:p w14:paraId="431AF2DC">
      <w:pPr>
        <w:tabs>
          <w:tab w:val="left" w:pos="4860"/>
        </w:tabs>
        <w:spacing w:line="588" w:lineRule="exact"/>
        <w:ind w:right="1560" w:firstLine="504" w:firstLineChars="200"/>
        <w:jc w:val="center"/>
        <w:rPr>
          <w:spacing w:val="6"/>
          <w:sz w:val="24"/>
        </w:rPr>
      </w:pPr>
      <w:r>
        <w:rPr>
          <w:spacing w:val="6"/>
          <w:sz w:val="24"/>
        </w:rPr>
        <w:t xml:space="preserve">               单位名称（盖章）：</w:t>
      </w:r>
    </w:p>
    <w:p w14:paraId="68C15668">
      <w:pPr>
        <w:tabs>
          <w:tab w:val="left" w:pos="4860"/>
        </w:tabs>
        <w:spacing w:line="588" w:lineRule="exact"/>
        <w:ind w:right="1560" w:firstLine="504" w:firstLineChars="200"/>
        <w:jc w:val="center"/>
        <w:rPr>
          <w:spacing w:val="6"/>
          <w:sz w:val="24"/>
        </w:rPr>
      </w:pPr>
      <w:r>
        <w:rPr>
          <w:spacing w:val="6"/>
          <w:sz w:val="24"/>
        </w:rPr>
        <w:t xml:space="preserve">       日  期：</w:t>
      </w:r>
    </w:p>
    <w:p w14:paraId="5A132595">
      <w:pPr>
        <w:widowControl/>
        <w:jc w:val="left"/>
        <w:rPr>
          <w:color w:val="000000"/>
          <w:sz w:val="24"/>
          <w:szCs w:val="20"/>
        </w:rPr>
      </w:pPr>
      <w:r>
        <w:rPr>
          <w:color w:val="000000"/>
          <w:sz w:val="24"/>
          <w:szCs w:val="20"/>
        </w:rPr>
        <w:br w:type="page"/>
      </w:r>
    </w:p>
    <w:p w14:paraId="2C4DFA71">
      <w:pPr>
        <w:pStyle w:val="6"/>
        <w:rPr>
          <w:b w:val="0"/>
          <w:color w:val="000000"/>
        </w:rPr>
      </w:pPr>
      <w:r>
        <w:rPr>
          <w:b w:val="0"/>
          <w:color w:val="000000"/>
        </w:rPr>
        <w:t>2-1-2 拟分包情况说明及分包意向协议</w:t>
      </w:r>
    </w:p>
    <w:p w14:paraId="23D15B70">
      <w:pPr>
        <w:tabs>
          <w:tab w:val="left" w:pos="5580"/>
        </w:tabs>
        <w:spacing w:line="360" w:lineRule="auto"/>
        <w:rPr>
          <w:rFonts w:eastAsiaTheme="minorEastAsia"/>
          <w:sz w:val="24"/>
        </w:rPr>
      </w:pPr>
      <w:r>
        <w:rPr>
          <w:rFonts w:eastAsiaTheme="minorEastAsia"/>
          <w:sz w:val="24"/>
        </w:rPr>
        <w:t>说明：</w:t>
      </w:r>
    </w:p>
    <w:p w14:paraId="494154BE">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5DAE020E">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5DA199B">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64CF2D29">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5EB9908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D1F916B">
      <w:pPr>
        <w:tabs>
          <w:tab w:val="left" w:pos="5580"/>
        </w:tabs>
        <w:spacing w:line="360" w:lineRule="auto"/>
        <w:rPr>
          <w:rFonts w:eastAsiaTheme="minorEastAsia"/>
          <w:sz w:val="24"/>
        </w:rPr>
      </w:pPr>
    </w:p>
    <w:p w14:paraId="3D15FCC3">
      <w:pPr>
        <w:tabs>
          <w:tab w:val="left" w:pos="5580"/>
        </w:tabs>
        <w:spacing w:line="360" w:lineRule="auto"/>
        <w:rPr>
          <w:rFonts w:eastAsiaTheme="minorEastAsia"/>
          <w:sz w:val="24"/>
        </w:rPr>
      </w:pPr>
    </w:p>
    <w:p w14:paraId="663AC334">
      <w:pPr>
        <w:autoSpaceDE w:val="0"/>
        <w:autoSpaceDN w:val="0"/>
        <w:adjustRightInd w:val="0"/>
        <w:jc w:val="center"/>
        <w:rPr>
          <w:color w:val="000000"/>
          <w:sz w:val="30"/>
          <w:szCs w:val="30"/>
        </w:rPr>
      </w:pPr>
    </w:p>
    <w:p w14:paraId="00EA6FC9">
      <w:pPr>
        <w:widowControl/>
        <w:jc w:val="left"/>
        <w:rPr>
          <w:b/>
          <w:color w:val="000000"/>
          <w:sz w:val="36"/>
          <w:szCs w:val="36"/>
        </w:rPr>
      </w:pPr>
      <w:r>
        <w:rPr>
          <w:b/>
          <w:color w:val="000000"/>
          <w:sz w:val="36"/>
          <w:szCs w:val="36"/>
        </w:rPr>
        <w:br w:type="page"/>
      </w:r>
    </w:p>
    <w:p w14:paraId="0FC7E7E7">
      <w:pPr>
        <w:spacing w:line="360" w:lineRule="auto"/>
        <w:jc w:val="center"/>
        <w:rPr>
          <w:b/>
          <w:color w:val="000000"/>
          <w:sz w:val="36"/>
          <w:szCs w:val="36"/>
        </w:rPr>
      </w:pPr>
      <w:r>
        <w:rPr>
          <w:b/>
          <w:color w:val="000000"/>
          <w:sz w:val="36"/>
          <w:szCs w:val="36"/>
        </w:rPr>
        <w:t>拟分包情况说明</w:t>
      </w:r>
    </w:p>
    <w:p w14:paraId="2319EFF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B033AE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8BE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B9A70B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11F0488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1B9F13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568FF5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1A225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CC5BA2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84FA2B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09353D7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304BD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06E6E66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BA947D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6C3F88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6A88B5E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93BB98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29B854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E49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2AE255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AF64C48">
            <w:pPr>
              <w:pStyle w:val="248"/>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B71BCE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7A2C5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CD1186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2DAE5D9">
            <w:pPr>
              <w:pStyle w:val="248"/>
              <w:jc w:val="center"/>
              <w:rPr>
                <w:rFonts w:ascii="Times New Roman" w:hAnsi="Times New Roman" w:cs="Times New Roman" w:eastAsiaTheme="minor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213AFC5">
            <w:pPr>
              <w:pStyle w:val="248"/>
              <w:jc w:val="center"/>
              <w:rPr>
                <w:rFonts w:ascii="Times New Roman" w:hAnsi="Times New Roman" w:cs="Times New Roman" w:eastAsiaTheme="minor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6069717">
            <w:pPr>
              <w:pStyle w:val="248"/>
              <w:jc w:val="center"/>
              <w:rPr>
                <w:rFonts w:ascii="Times New Roman" w:hAnsi="Times New Roman" w:cs="Times New Roman" w:eastAsiaTheme="minor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7F42B97">
            <w:pPr>
              <w:pStyle w:val="248"/>
              <w:jc w:val="center"/>
              <w:rPr>
                <w:rFonts w:ascii="Times New Roman" w:hAnsi="Times New Roman" w:cs="Times New Roman" w:eastAsiaTheme="minorEastAsia"/>
                <w:sz w:val="30"/>
                <w:lang w:eastAsia="zh-CN"/>
              </w:rPr>
            </w:pPr>
          </w:p>
        </w:tc>
      </w:tr>
      <w:tr w14:paraId="21E1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D66D95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127BF23">
            <w:pPr>
              <w:pStyle w:val="248"/>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0EB2EDA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5B276C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0B092C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68206FC">
            <w:pPr>
              <w:pStyle w:val="248"/>
              <w:jc w:val="center"/>
              <w:rPr>
                <w:rFonts w:ascii="Times New Roman" w:hAnsi="Times New Roman" w:cs="Times New Roman" w:eastAsiaTheme="minor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183B3F">
            <w:pPr>
              <w:pStyle w:val="248"/>
              <w:jc w:val="center"/>
              <w:rPr>
                <w:rFonts w:ascii="Times New Roman" w:hAnsi="Times New Roman" w:cs="Times New Roman" w:eastAsiaTheme="minor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48E232D">
            <w:pPr>
              <w:pStyle w:val="248"/>
              <w:jc w:val="center"/>
              <w:rPr>
                <w:rFonts w:ascii="Times New Roman" w:hAnsi="Times New Roman" w:cs="Times New Roman" w:eastAsiaTheme="minor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95C184B">
            <w:pPr>
              <w:pStyle w:val="248"/>
              <w:jc w:val="center"/>
              <w:rPr>
                <w:rFonts w:ascii="Times New Roman" w:hAnsi="Times New Roman" w:cs="Times New Roman" w:eastAsiaTheme="minorEastAsia"/>
                <w:sz w:val="30"/>
                <w:lang w:eastAsia="zh-CN"/>
              </w:rPr>
            </w:pPr>
          </w:p>
        </w:tc>
      </w:tr>
      <w:tr w14:paraId="46DCB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C30632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2FFA34E4">
            <w:pPr>
              <w:pStyle w:val="248"/>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0BCAB3ED">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42133D6">
            <w:pPr>
              <w:pStyle w:val="248"/>
              <w:jc w:val="center"/>
              <w:rPr>
                <w:rFonts w:ascii="Times New Roman" w:hAnsi="Times New Roman" w:cs="Times New Roman" w:eastAsiaTheme="minorEastAsia"/>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CBCF53A">
            <w:pPr>
              <w:pStyle w:val="248"/>
              <w:jc w:val="center"/>
              <w:rPr>
                <w:rFonts w:ascii="Times New Roman" w:hAnsi="Times New Roman" w:cs="Times New Roman" w:eastAsiaTheme="minorEastAsia"/>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836D2F2">
            <w:pPr>
              <w:pStyle w:val="248"/>
              <w:jc w:val="center"/>
              <w:rPr>
                <w:rFonts w:ascii="Times New Roman" w:hAnsi="Times New Roman" w:cs="Times New Roman" w:eastAsiaTheme="minor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7B3B2EB">
            <w:pPr>
              <w:pStyle w:val="248"/>
              <w:jc w:val="center"/>
              <w:rPr>
                <w:rFonts w:ascii="Times New Roman" w:hAnsi="Times New Roman" w:cs="Times New Roman" w:eastAsiaTheme="minorEastAsia"/>
                <w:sz w:val="30"/>
              </w:rPr>
            </w:pPr>
          </w:p>
        </w:tc>
      </w:tr>
      <w:tr w14:paraId="23069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212EDCE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36732C38">
            <w:pPr>
              <w:pStyle w:val="248"/>
              <w:jc w:val="center"/>
              <w:rPr>
                <w:rFonts w:ascii="Times New Roman" w:hAnsi="Times New Roman" w:cs="Times New Roman" w:eastAsiaTheme="minor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AC737AC">
            <w:pPr>
              <w:pStyle w:val="248"/>
              <w:jc w:val="center"/>
              <w:rPr>
                <w:rFonts w:ascii="Times New Roman" w:hAnsi="Times New Roman" w:cs="Times New Roman" w:eastAsiaTheme="minorEastAsia"/>
                <w:sz w:val="30"/>
              </w:rPr>
            </w:pPr>
          </w:p>
        </w:tc>
      </w:tr>
    </w:tbl>
    <w:p w14:paraId="63D84FA3">
      <w:pPr>
        <w:adjustRightInd w:val="0"/>
        <w:snapToGrid w:val="0"/>
        <w:spacing w:line="360" w:lineRule="auto"/>
        <w:jc w:val="left"/>
        <w:rPr>
          <w:sz w:val="24"/>
        </w:rPr>
      </w:pPr>
    </w:p>
    <w:p w14:paraId="24685501">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3E650F5B">
      <w:pPr>
        <w:spacing w:line="360" w:lineRule="auto"/>
        <w:ind w:right="-57" w:firstLine="480"/>
        <w:jc w:val="right"/>
        <w:rPr>
          <w:color w:val="000000"/>
          <w:sz w:val="24"/>
        </w:rPr>
      </w:pPr>
      <w:r>
        <w:rPr>
          <w:color w:val="000000"/>
          <w:sz w:val="24"/>
          <w:szCs w:val="20"/>
        </w:rPr>
        <w:t>日期：_____年______月______日</w:t>
      </w:r>
    </w:p>
    <w:p w14:paraId="6815BB9C">
      <w:pPr>
        <w:adjustRightInd w:val="0"/>
        <w:snapToGrid w:val="0"/>
        <w:spacing w:line="360" w:lineRule="auto"/>
        <w:jc w:val="left"/>
        <w:rPr>
          <w:sz w:val="24"/>
        </w:rPr>
      </w:pPr>
    </w:p>
    <w:p w14:paraId="084CF9C9">
      <w:pPr>
        <w:adjustRightInd w:val="0"/>
        <w:snapToGrid w:val="0"/>
        <w:spacing w:line="360" w:lineRule="auto"/>
        <w:jc w:val="left"/>
        <w:rPr>
          <w:rFonts w:eastAsiaTheme="minorEastAsia"/>
          <w:sz w:val="24"/>
        </w:rPr>
      </w:pPr>
      <w:r>
        <w:rPr>
          <w:rFonts w:eastAsiaTheme="minorEastAsia"/>
          <w:sz w:val="24"/>
        </w:rPr>
        <w:t>注：</w:t>
      </w:r>
    </w:p>
    <w:p w14:paraId="0F8C16DF">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06AB23D6">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0EF3D5FE">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508D714">
      <w:pPr>
        <w:adjustRightInd w:val="0"/>
        <w:snapToGrid w:val="0"/>
        <w:spacing w:line="360" w:lineRule="auto"/>
        <w:jc w:val="left"/>
        <w:rPr>
          <w:color w:val="000000"/>
          <w:sz w:val="30"/>
          <w:szCs w:val="30"/>
        </w:rPr>
      </w:pPr>
    </w:p>
    <w:p w14:paraId="2FA625B6">
      <w:pPr>
        <w:spacing w:line="360" w:lineRule="auto"/>
        <w:jc w:val="center"/>
        <w:rPr>
          <w:b/>
          <w:color w:val="000000"/>
          <w:sz w:val="30"/>
          <w:szCs w:val="30"/>
        </w:rPr>
      </w:pPr>
      <w:r>
        <w:rPr>
          <w:b/>
          <w:color w:val="000000"/>
          <w:sz w:val="36"/>
          <w:szCs w:val="36"/>
        </w:rPr>
        <w:t>分包意向协议</w:t>
      </w:r>
    </w:p>
    <w:p w14:paraId="7C6179E0">
      <w:pPr>
        <w:adjustRightInd w:val="0"/>
        <w:snapToGrid w:val="0"/>
        <w:spacing w:line="360" w:lineRule="auto"/>
        <w:ind w:firstLine="480" w:firstLineChars="200"/>
        <w:jc w:val="left"/>
        <w:rPr>
          <w:sz w:val="24"/>
        </w:rPr>
      </w:pPr>
      <w:r>
        <w:rPr>
          <w:sz w:val="24"/>
        </w:rPr>
        <w:t>甲方（供应商）：________</w:t>
      </w:r>
    </w:p>
    <w:p w14:paraId="5151CF89">
      <w:pPr>
        <w:adjustRightInd w:val="0"/>
        <w:snapToGrid w:val="0"/>
        <w:spacing w:line="360" w:lineRule="auto"/>
        <w:ind w:firstLine="480" w:firstLineChars="200"/>
        <w:jc w:val="left"/>
        <w:rPr>
          <w:sz w:val="24"/>
        </w:rPr>
      </w:pPr>
      <w:r>
        <w:rPr>
          <w:sz w:val="24"/>
        </w:rPr>
        <w:t>乙方（拟分包单位）：________</w:t>
      </w:r>
    </w:p>
    <w:p w14:paraId="15C8EA75">
      <w:pPr>
        <w:adjustRightInd w:val="0"/>
        <w:snapToGrid w:val="0"/>
        <w:spacing w:line="360" w:lineRule="auto"/>
        <w:ind w:firstLine="480" w:firstLineChars="200"/>
        <w:jc w:val="left"/>
        <w:rPr>
          <w:sz w:val="24"/>
        </w:rPr>
      </w:pPr>
      <w:r>
        <w:rPr>
          <w:sz w:val="24"/>
        </w:rPr>
        <w:t>甲方承诺，一旦在_________（采购项目名称）（项目编号/包号为：_______）采购项目中获得采购合同，将按照下述约定将合同项下部分内容分包给乙方：</w:t>
      </w:r>
    </w:p>
    <w:p w14:paraId="701F4C52">
      <w:pPr>
        <w:adjustRightInd w:val="0"/>
        <w:snapToGrid w:val="0"/>
        <w:spacing w:line="360" w:lineRule="auto"/>
        <w:ind w:firstLine="480" w:firstLineChars="200"/>
        <w:jc w:val="left"/>
        <w:rPr>
          <w:sz w:val="24"/>
        </w:rPr>
      </w:pPr>
      <w:r>
        <w:rPr>
          <w:sz w:val="24"/>
        </w:rPr>
        <w:t>1.分包内容：_____。</w:t>
      </w:r>
    </w:p>
    <w:p w14:paraId="68ACFE6F">
      <w:pPr>
        <w:adjustRightInd w:val="0"/>
        <w:snapToGrid w:val="0"/>
        <w:spacing w:line="360" w:lineRule="auto"/>
        <w:ind w:firstLine="480" w:firstLineChars="200"/>
        <w:jc w:val="left"/>
        <w:rPr>
          <w:sz w:val="24"/>
        </w:rPr>
      </w:pPr>
      <w:r>
        <w:rPr>
          <w:rFonts w:hint="eastAsia"/>
          <w:sz w:val="24"/>
        </w:rPr>
        <w:t>2.分包金额：_____，该金额占该采购包合同金额的比例为___%。</w:t>
      </w:r>
    </w:p>
    <w:p w14:paraId="5C8654E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E82C02C">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50400667">
      <w:pPr>
        <w:spacing w:line="360" w:lineRule="auto"/>
        <w:ind w:firstLine="471"/>
        <w:rPr>
          <w:b/>
          <w:color w:val="000000"/>
          <w:sz w:val="24"/>
        </w:rPr>
      </w:pPr>
    </w:p>
    <w:p w14:paraId="726D2C8B">
      <w:pPr>
        <w:spacing w:line="360" w:lineRule="auto"/>
        <w:ind w:firstLine="471"/>
        <w:rPr>
          <w:b/>
          <w:color w:val="000000"/>
          <w:sz w:val="24"/>
        </w:rPr>
      </w:pPr>
      <w:r>
        <w:rPr>
          <w:color w:val="000000"/>
          <w:sz w:val="24"/>
        </w:rPr>
        <w:t>甲方（盖章）：_________                 乙方（盖章）：_________</w:t>
      </w:r>
    </w:p>
    <w:p w14:paraId="5243E3E3">
      <w:pPr>
        <w:spacing w:line="360" w:lineRule="auto"/>
        <w:ind w:left="480"/>
        <w:jc w:val="right"/>
        <w:rPr>
          <w:color w:val="000000"/>
          <w:sz w:val="24"/>
        </w:rPr>
      </w:pPr>
    </w:p>
    <w:p w14:paraId="56C9DAE9">
      <w:pPr>
        <w:wordWrap w:val="0"/>
        <w:spacing w:line="360" w:lineRule="auto"/>
        <w:ind w:left="480"/>
        <w:jc w:val="right"/>
        <w:rPr>
          <w:b/>
          <w:color w:val="000000"/>
          <w:sz w:val="24"/>
        </w:rPr>
      </w:pPr>
      <w:r>
        <w:rPr>
          <w:color w:val="000000"/>
          <w:sz w:val="24"/>
          <w:szCs w:val="20"/>
        </w:rPr>
        <w:t xml:space="preserve">日期：_____年______月______日   </w:t>
      </w:r>
    </w:p>
    <w:p w14:paraId="2FDC9ED6">
      <w:pPr>
        <w:tabs>
          <w:tab w:val="left" w:pos="8280"/>
        </w:tabs>
        <w:spacing w:line="360" w:lineRule="auto"/>
        <w:ind w:firstLine="480"/>
        <w:rPr>
          <w:color w:val="000000"/>
          <w:sz w:val="24"/>
        </w:rPr>
      </w:pPr>
    </w:p>
    <w:p w14:paraId="511D5419">
      <w:pPr>
        <w:tabs>
          <w:tab w:val="left" w:pos="8280"/>
        </w:tabs>
        <w:spacing w:line="360" w:lineRule="auto"/>
        <w:rPr>
          <w:color w:val="000000"/>
          <w:sz w:val="24"/>
        </w:rPr>
      </w:pPr>
      <w:r>
        <w:rPr>
          <w:rFonts w:eastAsiaTheme="minorEastAsia"/>
          <w:sz w:val="24"/>
        </w:rPr>
        <w:t>注</w:t>
      </w:r>
      <w:r>
        <w:rPr>
          <w:color w:val="000000"/>
          <w:sz w:val="24"/>
        </w:rPr>
        <w:t>：</w:t>
      </w:r>
    </w:p>
    <w:p w14:paraId="564BA4E9">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70458A5">
      <w:pPr>
        <w:tabs>
          <w:tab w:val="left" w:pos="8280"/>
        </w:tabs>
        <w:spacing w:line="360" w:lineRule="auto"/>
        <w:rPr>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462A96C3">
      <w:pPr>
        <w:tabs>
          <w:tab w:val="left" w:pos="8280"/>
        </w:tabs>
        <w:spacing w:line="360" w:lineRule="auto"/>
        <w:rPr>
          <w:color w:val="000000"/>
          <w:sz w:val="24"/>
        </w:rPr>
        <w:sectPr>
          <w:headerReference r:id="rId19" w:type="first"/>
          <w:footerReference r:id="rId21" w:type="first"/>
          <w:headerReference r:id="rId18" w:type="even"/>
          <w:footerReference r:id="rId20" w:type="even"/>
          <w:pgSz w:w="11907" w:h="16840"/>
          <w:pgMar w:top="1418" w:right="1134" w:bottom="1418" w:left="1701" w:header="851" w:footer="851" w:gutter="0"/>
          <w:pgNumType w:fmt="decimal"/>
          <w:cols w:space="720" w:num="1"/>
          <w:docGrid w:linePitch="462" w:charSpace="0"/>
        </w:sectPr>
      </w:pPr>
    </w:p>
    <w:p w14:paraId="238BD6A3">
      <w:pPr>
        <w:spacing w:line="360" w:lineRule="auto"/>
        <w:outlineLvl w:val="2"/>
        <w:rPr>
          <w:color w:val="000000"/>
          <w:sz w:val="24"/>
          <w:szCs w:val="20"/>
        </w:rPr>
      </w:pPr>
      <w:r>
        <w:rPr>
          <w:color w:val="000000"/>
          <w:sz w:val="24"/>
          <w:szCs w:val="20"/>
        </w:rPr>
        <w:t>2-2 其它落实政府采购政策的资格要求（如有）</w:t>
      </w:r>
    </w:p>
    <w:p w14:paraId="322293DA">
      <w:pPr>
        <w:widowControl/>
        <w:jc w:val="left"/>
        <w:rPr>
          <w:sz w:val="24"/>
        </w:rPr>
      </w:pPr>
    </w:p>
    <w:p w14:paraId="7218DDB6">
      <w:pPr>
        <w:widowControl/>
        <w:jc w:val="left"/>
        <w:rPr>
          <w:sz w:val="24"/>
        </w:rPr>
      </w:pPr>
      <w:r>
        <w:rPr>
          <w:sz w:val="24"/>
        </w:rPr>
        <w:br w:type="page"/>
      </w:r>
    </w:p>
    <w:p w14:paraId="367CEF4E">
      <w:pPr>
        <w:numPr>
          <w:ilvl w:val="0"/>
          <w:numId w:val="29"/>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6AC1C0EA">
      <w:pPr>
        <w:spacing w:line="360" w:lineRule="auto"/>
        <w:outlineLvl w:val="2"/>
        <w:rPr>
          <w:color w:val="000000"/>
          <w:sz w:val="24"/>
          <w:szCs w:val="20"/>
        </w:rPr>
      </w:pPr>
      <w:r>
        <w:rPr>
          <w:color w:val="000000"/>
          <w:sz w:val="24"/>
          <w:szCs w:val="20"/>
        </w:rPr>
        <w:t>3-1 联合协议（如有）</w:t>
      </w:r>
    </w:p>
    <w:p w14:paraId="73E4463E">
      <w:pPr>
        <w:spacing w:line="360" w:lineRule="auto"/>
        <w:jc w:val="center"/>
        <w:rPr>
          <w:b/>
          <w:color w:val="000000"/>
          <w:sz w:val="36"/>
          <w:szCs w:val="36"/>
        </w:rPr>
      </w:pPr>
      <w:r>
        <w:rPr>
          <w:b/>
          <w:color w:val="000000"/>
          <w:sz w:val="36"/>
          <w:szCs w:val="36"/>
        </w:rPr>
        <w:t>联合协议</w:t>
      </w:r>
    </w:p>
    <w:p w14:paraId="2A49DBE1">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07BB2B3C">
      <w:pPr>
        <w:numPr>
          <w:ilvl w:val="0"/>
          <w:numId w:val="31"/>
        </w:numPr>
        <w:spacing w:line="360" w:lineRule="auto"/>
        <w:rPr>
          <w:bCs/>
          <w:color w:val="000000"/>
          <w:sz w:val="24"/>
        </w:rPr>
      </w:pPr>
      <w:r>
        <w:rPr>
          <w:bCs/>
          <w:color w:val="000000"/>
          <w:sz w:val="24"/>
        </w:rPr>
        <w:t>由_____________牵头，__________、___________参加，组成联合体共同进行采购项目的响应工作。</w:t>
      </w:r>
    </w:p>
    <w:p w14:paraId="6809BBE2">
      <w:pPr>
        <w:numPr>
          <w:ilvl w:val="0"/>
          <w:numId w:val="31"/>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711ABC42">
      <w:pPr>
        <w:numPr>
          <w:ilvl w:val="0"/>
          <w:numId w:val="31"/>
        </w:numPr>
        <w:spacing w:line="360" w:lineRule="auto"/>
        <w:rPr>
          <w:bCs/>
          <w:color w:val="000000"/>
          <w:sz w:val="24"/>
        </w:rPr>
      </w:pPr>
      <w:r>
        <w:rPr>
          <w:bCs/>
          <w:color w:val="000000"/>
          <w:sz w:val="24"/>
        </w:rPr>
        <w:t>联合体各方均同意由牵头人代表其他联合体成员单位按谈判文件要求出具《授权委托书》。</w:t>
      </w:r>
    </w:p>
    <w:p w14:paraId="5586B259">
      <w:pPr>
        <w:numPr>
          <w:ilvl w:val="0"/>
          <w:numId w:val="31"/>
        </w:numPr>
        <w:spacing w:line="360" w:lineRule="auto"/>
        <w:rPr>
          <w:bCs/>
          <w:color w:val="000000"/>
          <w:sz w:val="24"/>
        </w:rPr>
      </w:pPr>
      <w:r>
        <w:rPr>
          <w:bCs/>
          <w:color w:val="000000"/>
          <w:sz w:val="24"/>
        </w:rPr>
        <w:t>牵头人为项目的总负责单位；组织各参加方进行项目实施工作。</w:t>
      </w:r>
    </w:p>
    <w:p w14:paraId="22073A03">
      <w:pPr>
        <w:numPr>
          <w:ilvl w:val="0"/>
          <w:numId w:val="31"/>
        </w:numPr>
        <w:spacing w:line="360" w:lineRule="auto"/>
        <w:rPr>
          <w:bCs/>
          <w:color w:val="000000"/>
          <w:sz w:val="24"/>
        </w:rPr>
      </w:pPr>
      <w:r>
        <w:rPr>
          <w:bCs/>
          <w:color w:val="000000"/>
          <w:sz w:val="24"/>
        </w:rPr>
        <w:t>___________负责_________，具体工作范围、内容以响应文件及合同为准。</w:t>
      </w:r>
    </w:p>
    <w:p w14:paraId="74DDE790">
      <w:pPr>
        <w:numPr>
          <w:ilvl w:val="0"/>
          <w:numId w:val="31"/>
        </w:numPr>
        <w:spacing w:line="360" w:lineRule="auto"/>
        <w:rPr>
          <w:bCs/>
          <w:color w:val="000000"/>
          <w:sz w:val="24"/>
        </w:rPr>
      </w:pPr>
      <w:r>
        <w:rPr>
          <w:bCs/>
          <w:color w:val="000000"/>
          <w:sz w:val="24"/>
        </w:rPr>
        <w:t>___________负责_________，具体工作范围、内容以响应文件及合同为准。</w:t>
      </w:r>
    </w:p>
    <w:p w14:paraId="587620D5">
      <w:pPr>
        <w:numPr>
          <w:ilvl w:val="0"/>
          <w:numId w:val="31"/>
        </w:numPr>
        <w:spacing w:line="360" w:lineRule="auto"/>
        <w:rPr>
          <w:bCs/>
          <w:color w:val="000000"/>
          <w:sz w:val="24"/>
        </w:rPr>
      </w:pPr>
      <w:r>
        <w:rPr>
          <w:bCs/>
          <w:color w:val="000000"/>
          <w:sz w:val="24"/>
        </w:rPr>
        <w:t>___________负责________（如有），具体工作范围、内容以响应文件及合同为准。</w:t>
      </w:r>
    </w:p>
    <w:p w14:paraId="6D297413">
      <w:pPr>
        <w:numPr>
          <w:ilvl w:val="0"/>
          <w:numId w:val="31"/>
        </w:numPr>
        <w:spacing w:line="360" w:lineRule="auto"/>
        <w:rPr>
          <w:sz w:val="24"/>
        </w:rPr>
      </w:pPr>
      <w:r>
        <w:rPr>
          <w:sz w:val="24"/>
        </w:rPr>
        <w:t>本项目联合协议合同总额为________元，联合体各成员按照如下比例分摊（按联合体成员分别列明）：</w:t>
      </w:r>
    </w:p>
    <w:p w14:paraId="2A28AC2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158E072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2036164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313D3268">
      <w:pPr>
        <w:numPr>
          <w:ilvl w:val="0"/>
          <w:numId w:val="31"/>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62170F2D">
      <w:pPr>
        <w:numPr>
          <w:ilvl w:val="0"/>
          <w:numId w:val="31"/>
        </w:numPr>
        <w:spacing w:line="360" w:lineRule="auto"/>
        <w:rPr>
          <w:bCs/>
          <w:color w:val="000000"/>
          <w:sz w:val="24"/>
        </w:rPr>
      </w:pPr>
      <w:r>
        <w:rPr>
          <w:bCs/>
          <w:color w:val="000000"/>
          <w:sz w:val="24"/>
        </w:rPr>
        <w:t>其他约定（如有）：______________。</w:t>
      </w:r>
    </w:p>
    <w:p w14:paraId="49831942">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200EF638">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914CDA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BC47187">
      <w:pPr>
        <w:spacing w:line="360" w:lineRule="auto"/>
        <w:ind w:firstLine="471"/>
        <w:rPr>
          <w:color w:val="000000"/>
          <w:sz w:val="24"/>
        </w:rPr>
      </w:pPr>
    </w:p>
    <w:p w14:paraId="4480023E">
      <w:pPr>
        <w:spacing w:line="360" w:lineRule="auto"/>
        <w:ind w:firstLine="471"/>
        <w:rPr>
          <w:color w:val="000000"/>
          <w:sz w:val="24"/>
        </w:rPr>
      </w:pPr>
    </w:p>
    <w:p w14:paraId="4F3D92B1">
      <w:pPr>
        <w:spacing w:line="360" w:lineRule="auto"/>
        <w:ind w:firstLine="471"/>
        <w:rPr>
          <w:color w:val="000000"/>
          <w:sz w:val="24"/>
        </w:rPr>
      </w:pPr>
      <w:r>
        <w:rPr>
          <w:color w:val="000000"/>
          <w:sz w:val="24"/>
        </w:rPr>
        <w:t>联合体成员名称：</w:t>
      </w:r>
      <w:r>
        <w:rPr>
          <w:color w:val="000000"/>
          <w:sz w:val="24"/>
          <w:szCs w:val="20"/>
        </w:rPr>
        <w:t>______</w:t>
      </w:r>
    </w:p>
    <w:p w14:paraId="769FCB62">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CA1E3F0">
      <w:pPr>
        <w:widowControl/>
        <w:ind w:firstLine="480" w:firstLineChars="200"/>
        <w:jc w:val="left"/>
        <w:rPr>
          <w:color w:val="000000"/>
          <w:sz w:val="24"/>
        </w:rPr>
      </w:pPr>
      <w:r>
        <w:rPr>
          <w:color w:val="000000"/>
          <w:sz w:val="24"/>
        </w:rPr>
        <w:t xml:space="preserve">                                </w:t>
      </w:r>
    </w:p>
    <w:p w14:paraId="11CC0406">
      <w:pPr>
        <w:spacing w:line="360" w:lineRule="auto"/>
        <w:ind w:left="480"/>
        <w:jc w:val="right"/>
        <w:rPr>
          <w:color w:val="000000"/>
          <w:sz w:val="24"/>
        </w:rPr>
      </w:pPr>
    </w:p>
    <w:p w14:paraId="6B7FFC1C">
      <w:pPr>
        <w:spacing w:line="360" w:lineRule="auto"/>
        <w:ind w:left="480"/>
        <w:jc w:val="right"/>
        <w:rPr>
          <w:color w:val="000000"/>
          <w:sz w:val="24"/>
        </w:rPr>
      </w:pPr>
      <w:r>
        <w:rPr>
          <w:color w:val="000000"/>
          <w:sz w:val="24"/>
          <w:szCs w:val="20"/>
        </w:rPr>
        <w:t>日期：_____年______月______日</w:t>
      </w:r>
    </w:p>
    <w:p w14:paraId="62BF25DC">
      <w:pPr>
        <w:spacing w:line="360" w:lineRule="auto"/>
        <w:ind w:left="480"/>
        <w:jc w:val="right"/>
        <w:rPr>
          <w:b/>
          <w:color w:val="000000"/>
          <w:sz w:val="24"/>
        </w:rPr>
      </w:pPr>
    </w:p>
    <w:p w14:paraId="270EE189">
      <w:pPr>
        <w:tabs>
          <w:tab w:val="left" w:pos="8280"/>
        </w:tabs>
        <w:spacing w:line="360" w:lineRule="auto"/>
        <w:ind w:firstLine="480"/>
        <w:rPr>
          <w:color w:val="000000"/>
          <w:sz w:val="24"/>
        </w:rPr>
      </w:pPr>
    </w:p>
    <w:p w14:paraId="1D939659">
      <w:pPr>
        <w:tabs>
          <w:tab w:val="left" w:pos="8280"/>
        </w:tabs>
        <w:spacing w:line="360" w:lineRule="auto"/>
        <w:ind w:firstLine="480"/>
        <w:rPr>
          <w:color w:val="000000"/>
          <w:sz w:val="24"/>
        </w:rPr>
      </w:pPr>
    </w:p>
    <w:p w14:paraId="2C846B5F">
      <w:pPr>
        <w:spacing w:line="360" w:lineRule="auto"/>
        <w:ind w:left="719" w:leftChars="228" w:hanging="240" w:hangingChars="100"/>
        <w:rPr>
          <w:rFonts w:eastAsiaTheme="minorEastAsia"/>
          <w:color w:val="000000"/>
          <w:sz w:val="24"/>
        </w:rPr>
      </w:pPr>
      <w:r>
        <w:rPr>
          <w:rFonts w:eastAsiaTheme="minorEastAsia"/>
          <w:color w:val="000000"/>
          <w:sz w:val="24"/>
        </w:rPr>
        <w:t>注：</w:t>
      </w:r>
    </w:p>
    <w:p w14:paraId="50D95E28">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2E5E645">
      <w:pPr>
        <w:spacing w:line="360" w:lineRule="auto"/>
        <w:ind w:left="719" w:leftChars="228" w:hanging="240" w:hangingChars="100"/>
        <w:rPr>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F45A9DF">
      <w:pPr>
        <w:widowControl/>
        <w:jc w:val="left"/>
        <w:rPr>
          <w:sz w:val="24"/>
        </w:rPr>
      </w:pPr>
      <w:r>
        <w:rPr>
          <w:sz w:val="24"/>
        </w:rPr>
        <w:br w:type="page"/>
      </w:r>
    </w:p>
    <w:p w14:paraId="7FED3462">
      <w:pPr>
        <w:spacing w:line="360" w:lineRule="auto"/>
        <w:outlineLvl w:val="2"/>
        <w:rPr>
          <w:sz w:val="24"/>
          <w:szCs w:val="20"/>
        </w:rPr>
      </w:pPr>
      <w:r>
        <w:rPr>
          <w:color w:val="000000"/>
          <w:sz w:val="24"/>
          <w:szCs w:val="20"/>
        </w:rPr>
        <w:t>3-2 其他</w:t>
      </w:r>
      <w:r>
        <w:rPr>
          <w:sz w:val="24"/>
          <w:szCs w:val="20"/>
        </w:rPr>
        <w:t>特定资格要求</w:t>
      </w:r>
    </w:p>
    <w:p w14:paraId="6846932F">
      <w:pPr>
        <w:tabs>
          <w:tab w:val="left" w:pos="5580"/>
        </w:tabs>
        <w:spacing w:line="360" w:lineRule="auto"/>
        <w:rPr>
          <w:sz w:val="24"/>
        </w:rPr>
      </w:pPr>
    </w:p>
    <w:p w14:paraId="5CA01A47">
      <w:pPr>
        <w:widowControl/>
        <w:jc w:val="left"/>
        <w:rPr>
          <w:sz w:val="24"/>
          <w:szCs w:val="20"/>
        </w:rPr>
      </w:pPr>
      <w:r>
        <w:rPr>
          <w:sz w:val="24"/>
          <w:szCs w:val="20"/>
        </w:rPr>
        <w:br w:type="page"/>
      </w:r>
    </w:p>
    <w:p w14:paraId="30C2CBD5">
      <w:pPr>
        <w:numPr>
          <w:ilvl w:val="0"/>
          <w:numId w:val="29"/>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t>保证金凭证/交款单据电子件</w:t>
      </w:r>
      <w:r>
        <w:rPr>
          <w:rFonts w:hint="eastAsia" w:eastAsiaTheme="minorEastAsia"/>
          <w:color w:val="000000"/>
          <w:sz w:val="24"/>
          <w:lang w:eastAsia="zh-CN"/>
        </w:rPr>
        <w:t>（</w:t>
      </w:r>
      <w:r>
        <w:rPr>
          <w:rFonts w:hint="eastAsia" w:eastAsiaTheme="minorEastAsia"/>
          <w:color w:val="000000"/>
          <w:sz w:val="24"/>
          <w:lang w:val="en-US" w:eastAsia="zh-CN"/>
        </w:rPr>
        <w:t>本项目不适用</w:t>
      </w:r>
      <w:r>
        <w:rPr>
          <w:rFonts w:hint="eastAsia" w:eastAsiaTheme="minorEastAsia"/>
          <w:color w:val="000000"/>
          <w:sz w:val="24"/>
          <w:lang w:eastAsia="zh-CN"/>
        </w:rPr>
        <w:t>）</w:t>
      </w:r>
    </w:p>
    <w:p w14:paraId="4D640165">
      <w:pPr>
        <w:tabs>
          <w:tab w:val="left" w:pos="5580"/>
        </w:tabs>
        <w:spacing w:line="360" w:lineRule="auto"/>
        <w:rPr>
          <w:sz w:val="24"/>
          <w:szCs w:val="20"/>
        </w:rPr>
      </w:pPr>
    </w:p>
    <w:p w14:paraId="5CA2D0C2">
      <w:pPr>
        <w:widowControl/>
        <w:jc w:val="left"/>
        <w:rPr>
          <w:kern w:val="0"/>
          <w:sz w:val="24"/>
          <w:szCs w:val="20"/>
        </w:rPr>
      </w:pPr>
      <w:r>
        <w:rPr>
          <w:b/>
          <w:sz w:val="24"/>
        </w:rPr>
        <w:br w:type="page"/>
      </w:r>
    </w:p>
    <w:p w14:paraId="7B597868">
      <w:pPr>
        <w:numPr>
          <w:ilvl w:val="0"/>
          <w:numId w:val="29"/>
        </w:numPr>
        <w:tabs>
          <w:tab w:val="left" w:pos="360"/>
        </w:tabs>
        <w:snapToGrid w:val="0"/>
        <w:spacing w:line="360" w:lineRule="auto"/>
        <w:outlineLvl w:val="1"/>
        <w:rPr>
          <w:color w:val="000000"/>
          <w:sz w:val="24"/>
          <w:szCs w:val="20"/>
        </w:rPr>
      </w:pPr>
      <w:bookmarkStart w:id="672" w:name="_Hlt520274393"/>
      <w:bookmarkEnd w:id="672"/>
      <w:bookmarkStart w:id="673" w:name="_Hlt520343000"/>
      <w:bookmarkEnd w:id="673"/>
      <w:bookmarkStart w:id="674" w:name="_Hlt520274121"/>
      <w:bookmarkEnd w:id="674"/>
      <w:bookmarkStart w:id="675" w:name="_Hlt520271212"/>
      <w:bookmarkEnd w:id="675"/>
      <w:bookmarkStart w:id="676" w:name="_Hlt520355504"/>
      <w:bookmarkEnd w:id="676"/>
      <w:bookmarkStart w:id="677" w:name="_Hlt520350918"/>
      <w:bookmarkEnd w:id="677"/>
      <w:bookmarkStart w:id="678" w:name="_Hlt520273711"/>
      <w:bookmarkEnd w:id="678"/>
      <w:bookmarkStart w:id="679" w:name="_Hlt520274407"/>
      <w:bookmarkEnd w:id="679"/>
      <w:bookmarkStart w:id="680" w:name="_Hlt520343392"/>
      <w:bookmarkEnd w:id="680"/>
      <w:bookmarkStart w:id="681" w:name="_Hlt520274065"/>
      <w:bookmarkEnd w:id="681"/>
      <w:bookmarkStart w:id="682" w:name="_Toc226337252"/>
      <w:bookmarkStart w:id="683" w:name="_Toc226965829"/>
      <w:bookmarkStart w:id="684" w:name="_Toc195842921"/>
      <w:bookmarkStart w:id="685" w:name="_Toc150774761"/>
      <w:bookmarkStart w:id="686" w:name="_Toc142311058"/>
      <w:bookmarkStart w:id="687" w:name="_Toc226309800"/>
      <w:bookmarkStart w:id="688" w:name="_Toc150480794"/>
      <w:bookmarkStart w:id="689" w:name="_Toc520356217"/>
      <w:bookmarkStart w:id="690" w:name="_Toc127151556"/>
      <w:bookmarkStart w:id="691" w:name="_Toc226965746"/>
      <w:r>
        <w:rPr>
          <w:color w:val="000000"/>
          <w:sz w:val="24"/>
        </w:rPr>
        <w:t>响应书</w:t>
      </w:r>
      <w:bookmarkEnd w:id="682"/>
      <w:bookmarkEnd w:id="683"/>
      <w:bookmarkEnd w:id="684"/>
      <w:bookmarkEnd w:id="685"/>
      <w:bookmarkEnd w:id="686"/>
      <w:bookmarkEnd w:id="687"/>
      <w:bookmarkEnd w:id="688"/>
      <w:bookmarkEnd w:id="689"/>
      <w:bookmarkEnd w:id="690"/>
      <w:bookmarkEnd w:id="691"/>
      <w:r>
        <w:rPr>
          <w:color w:val="000000"/>
          <w:sz w:val="24"/>
        </w:rPr>
        <w:t>（实质性格式）</w:t>
      </w:r>
    </w:p>
    <w:p w14:paraId="11918CBE">
      <w:pPr>
        <w:tabs>
          <w:tab w:val="left" w:pos="5580"/>
        </w:tabs>
        <w:spacing w:line="360" w:lineRule="auto"/>
        <w:rPr>
          <w:color w:val="000000"/>
          <w:sz w:val="24"/>
        </w:rPr>
      </w:pPr>
    </w:p>
    <w:p w14:paraId="381582D3">
      <w:pPr>
        <w:spacing w:line="360" w:lineRule="auto"/>
        <w:jc w:val="center"/>
        <w:rPr>
          <w:b/>
          <w:color w:val="000000"/>
          <w:sz w:val="36"/>
          <w:szCs w:val="36"/>
        </w:rPr>
      </w:pPr>
      <w:r>
        <w:rPr>
          <w:b/>
          <w:color w:val="000000"/>
          <w:sz w:val="36"/>
          <w:szCs w:val="36"/>
        </w:rPr>
        <w:t>响应书</w:t>
      </w:r>
    </w:p>
    <w:p w14:paraId="2BDBA39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B2833A4">
      <w:pPr>
        <w:tabs>
          <w:tab w:val="left" w:pos="5580"/>
        </w:tabs>
        <w:spacing w:line="360" w:lineRule="auto"/>
        <w:rPr>
          <w:color w:val="000000"/>
          <w:sz w:val="24"/>
          <w:szCs w:val="20"/>
        </w:rPr>
      </w:pPr>
    </w:p>
    <w:p w14:paraId="0974531C">
      <w:pPr>
        <w:tabs>
          <w:tab w:val="left" w:pos="5580"/>
        </w:tabs>
        <w:spacing w:line="360" w:lineRule="auto"/>
        <w:ind w:firstLine="408"/>
        <w:rPr>
          <w:color w:val="000000"/>
          <w:sz w:val="24"/>
          <w:szCs w:val="20"/>
        </w:rPr>
      </w:pPr>
      <w:r>
        <w:rPr>
          <w:color w:val="000000"/>
          <w:sz w:val="24"/>
          <w:szCs w:val="20"/>
        </w:rPr>
        <w:t>我方参加你方就_____________________（项目名称，项目编号/包号）组织的采购活动，并对此项目进行响应。</w:t>
      </w:r>
    </w:p>
    <w:p w14:paraId="107A73F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702D4835">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692F927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356108C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E455CF9">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3BE487D7">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255729E5">
      <w:pPr>
        <w:spacing w:line="360" w:lineRule="auto"/>
        <w:ind w:firstLine="480" w:firstLineChars="200"/>
        <w:rPr>
          <w:color w:val="000000"/>
          <w:sz w:val="24"/>
        </w:rPr>
      </w:pPr>
      <w:r>
        <w:rPr>
          <w:color w:val="000000"/>
          <w:sz w:val="24"/>
        </w:rPr>
        <w:t>与本响应有关的一切正式往来信函请寄：</w:t>
      </w:r>
    </w:p>
    <w:p w14:paraId="3CA22167">
      <w:pPr>
        <w:tabs>
          <w:tab w:val="left" w:pos="5580"/>
        </w:tabs>
        <w:spacing w:line="360" w:lineRule="auto"/>
        <w:ind w:left="420"/>
        <w:rPr>
          <w:color w:val="000000"/>
          <w:sz w:val="24"/>
          <w:szCs w:val="20"/>
        </w:rPr>
      </w:pPr>
    </w:p>
    <w:p w14:paraId="7BC71CF9">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6851633">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C408E09">
      <w:pPr>
        <w:tabs>
          <w:tab w:val="left" w:pos="5580"/>
        </w:tabs>
        <w:spacing w:line="360" w:lineRule="auto"/>
        <w:ind w:left="420"/>
        <w:rPr>
          <w:color w:val="000000"/>
          <w:sz w:val="24"/>
          <w:szCs w:val="20"/>
        </w:rPr>
      </w:pPr>
    </w:p>
    <w:p w14:paraId="1EC43966">
      <w:pPr>
        <w:tabs>
          <w:tab w:val="left" w:pos="5580"/>
        </w:tabs>
        <w:spacing w:line="360" w:lineRule="auto"/>
        <w:ind w:left="420"/>
        <w:rPr>
          <w:color w:val="000000"/>
          <w:sz w:val="24"/>
          <w:szCs w:val="20"/>
        </w:rPr>
      </w:pPr>
    </w:p>
    <w:p w14:paraId="3ADE55ED">
      <w:pPr>
        <w:tabs>
          <w:tab w:val="left" w:pos="5580"/>
        </w:tabs>
        <w:spacing w:line="360" w:lineRule="auto"/>
        <w:ind w:left="420"/>
        <w:rPr>
          <w:color w:val="000000"/>
          <w:sz w:val="24"/>
          <w:szCs w:val="20"/>
        </w:rPr>
      </w:pPr>
    </w:p>
    <w:p w14:paraId="53DCD351">
      <w:pPr>
        <w:tabs>
          <w:tab w:val="left" w:pos="5580"/>
        </w:tabs>
        <w:spacing w:line="360" w:lineRule="auto"/>
        <w:ind w:left="420"/>
        <w:rPr>
          <w:color w:val="000000"/>
          <w:sz w:val="24"/>
          <w:szCs w:val="20"/>
        </w:rPr>
      </w:pPr>
    </w:p>
    <w:p w14:paraId="7BC18C3A">
      <w:pPr>
        <w:tabs>
          <w:tab w:val="left" w:pos="5580"/>
        </w:tabs>
        <w:spacing w:line="360" w:lineRule="auto"/>
        <w:ind w:left="420"/>
        <w:rPr>
          <w:color w:val="000000"/>
          <w:sz w:val="24"/>
          <w:szCs w:val="20"/>
        </w:rPr>
      </w:pPr>
      <w:r>
        <w:rPr>
          <w:color w:val="000000"/>
          <w:sz w:val="24"/>
          <w:szCs w:val="20"/>
        </w:rPr>
        <w:t>供应商名称（加盖公章）_____________________</w:t>
      </w:r>
    </w:p>
    <w:p w14:paraId="0DE96060">
      <w:pPr>
        <w:tabs>
          <w:tab w:val="left" w:pos="5580"/>
        </w:tabs>
        <w:spacing w:line="360" w:lineRule="auto"/>
        <w:ind w:left="420"/>
        <w:rPr>
          <w:color w:val="000000"/>
          <w:sz w:val="24"/>
          <w:szCs w:val="20"/>
        </w:rPr>
      </w:pPr>
      <w:r>
        <w:rPr>
          <w:color w:val="000000"/>
          <w:sz w:val="24"/>
          <w:szCs w:val="20"/>
        </w:rPr>
        <w:t>日期：_____年______月______日</w:t>
      </w:r>
    </w:p>
    <w:p w14:paraId="158202A0">
      <w:pPr>
        <w:tabs>
          <w:tab w:val="left" w:pos="5580"/>
        </w:tabs>
        <w:spacing w:line="360" w:lineRule="auto"/>
        <w:ind w:left="420"/>
        <w:rPr>
          <w:color w:val="000000"/>
          <w:sz w:val="24"/>
          <w:szCs w:val="20"/>
        </w:rPr>
      </w:pPr>
    </w:p>
    <w:p w14:paraId="5373D0A0">
      <w:pPr>
        <w:widowControl/>
        <w:jc w:val="left"/>
        <w:rPr>
          <w:b/>
          <w:color w:val="000000"/>
          <w:sz w:val="24"/>
          <w:szCs w:val="20"/>
        </w:rPr>
      </w:pPr>
      <w:r>
        <w:rPr>
          <w:b/>
          <w:color w:val="000000"/>
          <w:sz w:val="24"/>
          <w:szCs w:val="20"/>
        </w:rPr>
        <w:br w:type="page"/>
      </w:r>
    </w:p>
    <w:p w14:paraId="517F3A79">
      <w:pPr>
        <w:numPr>
          <w:ilvl w:val="0"/>
          <w:numId w:val="29"/>
        </w:numPr>
        <w:tabs>
          <w:tab w:val="left" w:pos="360"/>
        </w:tabs>
        <w:snapToGrid w:val="0"/>
        <w:spacing w:line="360" w:lineRule="auto"/>
        <w:outlineLvl w:val="1"/>
        <w:rPr>
          <w:color w:val="000000"/>
          <w:sz w:val="24"/>
        </w:rPr>
      </w:pPr>
      <w:bookmarkStart w:id="692" w:name="_Hlt520356243"/>
      <w:bookmarkEnd w:id="692"/>
      <w:bookmarkStart w:id="693" w:name="_Hlt520355938"/>
      <w:bookmarkEnd w:id="693"/>
      <w:bookmarkStart w:id="694" w:name="_Toc195842922"/>
      <w:bookmarkStart w:id="695" w:name="_Toc265228395"/>
      <w:bookmarkStart w:id="696" w:name="_Ref467988705"/>
      <w:bookmarkStart w:id="697" w:name="_Toc264969247"/>
      <w:bookmarkStart w:id="698" w:name="_Toc226309801"/>
      <w:bookmarkStart w:id="699" w:name="_Toc226337253"/>
      <w:bookmarkStart w:id="700" w:name="_Toc127151557"/>
      <w:bookmarkStart w:id="701" w:name="_Toc226965830"/>
      <w:bookmarkStart w:id="702" w:name="_Toc520356218"/>
      <w:bookmarkStart w:id="703" w:name="_Toc226965747"/>
      <w:bookmarkStart w:id="704" w:name="_Toc305158825"/>
      <w:bookmarkStart w:id="705" w:name="_Toc142311059"/>
      <w:bookmarkStart w:id="706" w:name="_Toc150774762"/>
      <w:bookmarkStart w:id="707" w:name="_Toc305158899"/>
      <w:bookmarkStart w:id="708" w:name="_Toc480942350"/>
      <w:bookmarkStart w:id="709" w:name="_Toc150480795"/>
      <w:r>
        <w:rPr>
          <w:color w:val="000000"/>
          <w:sz w:val="24"/>
        </w:rPr>
        <w:t>授权委托书（实质性格式）</w:t>
      </w:r>
    </w:p>
    <w:p w14:paraId="3FB1FCCD">
      <w:pPr>
        <w:spacing w:line="360" w:lineRule="exact"/>
        <w:jc w:val="center"/>
        <w:rPr>
          <w:b/>
          <w:color w:val="000000"/>
          <w:sz w:val="36"/>
          <w:szCs w:val="36"/>
        </w:rPr>
      </w:pPr>
      <w:r>
        <w:rPr>
          <w:b/>
          <w:color w:val="000000"/>
          <w:sz w:val="36"/>
          <w:szCs w:val="36"/>
        </w:rPr>
        <w:t>授权委托书</w:t>
      </w:r>
    </w:p>
    <w:p w14:paraId="3C5A49FB">
      <w:pPr>
        <w:spacing w:line="360" w:lineRule="auto"/>
        <w:ind w:firstLine="420"/>
        <w:rPr>
          <w:color w:val="000000"/>
          <w:sz w:val="24"/>
          <w:szCs w:val="20"/>
        </w:rPr>
      </w:pPr>
    </w:p>
    <w:p w14:paraId="6BD44CE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7569FD49">
      <w:pPr>
        <w:spacing w:line="360" w:lineRule="auto"/>
        <w:ind w:firstLine="420"/>
        <w:rPr>
          <w:color w:val="000000"/>
          <w:sz w:val="24"/>
          <w:szCs w:val="20"/>
        </w:rPr>
      </w:pPr>
      <w:r>
        <w:rPr>
          <w:color w:val="000000"/>
          <w:sz w:val="24"/>
          <w:szCs w:val="20"/>
        </w:rPr>
        <w:t>委托期限：自本授权委托书签署之日起至响应有效期届满之日止。</w:t>
      </w:r>
    </w:p>
    <w:p w14:paraId="11CBF43B">
      <w:pPr>
        <w:spacing w:line="360" w:lineRule="auto"/>
        <w:ind w:firstLine="420"/>
        <w:rPr>
          <w:color w:val="000000"/>
          <w:sz w:val="24"/>
          <w:szCs w:val="20"/>
        </w:rPr>
      </w:pPr>
      <w:r>
        <w:rPr>
          <w:color w:val="000000"/>
          <w:sz w:val="24"/>
          <w:szCs w:val="20"/>
        </w:rPr>
        <w:t>代理人无转委托权。</w:t>
      </w:r>
      <w:r>
        <w:rPr>
          <w:color w:val="000000"/>
          <w:sz w:val="24"/>
          <w:szCs w:val="20"/>
        </w:rPr>
        <w:cr/>
      </w:r>
    </w:p>
    <w:p w14:paraId="389B09BB">
      <w:pPr>
        <w:spacing w:line="360" w:lineRule="auto"/>
        <w:rPr>
          <w:color w:val="000000"/>
          <w:sz w:val="24"/>
          <w:lang w:val="zh-CN"/>
        </w:rPr>
      </w:pPr>
      <w:r>
        <w:rPr>
          <w:color w:val="000000"/>
          <w:sz w:val="24"/>
        </w:rPr>
        <w:t>供应商名称（加盖公章）</w:t>
      </w:r>
      <w:r>
        <w:rPr>
          <w:color w:val="000000"/>
          <w:sz w:val="24"/>
          <w:lang w:val="zh-CN"/>
        </w:rPr>
        <w:t>：________________</w:t>
      </w:r>
    </w:p>
    <w:p w14:paraId="180DA9F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14E602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p>
    <w:p w14:paraId="274D320D">
      <w:pPr>
        <w:autoSpaceDE w:val="0"/>
        <w:autoSpaceDN w:val="0"/>
        <w:adjustRightInd w:val="0"/>
        <w:snapToGrid w:val="0"/>
        <w:spacing w:line="360" w:lineRule="auto"/>
        <w:rPr>
          <w:color w:val="000000"/>
          <w:sz w:val="24"/>
          <w:lang w:val="zh-CN"/>
        </w:rPr>
      </w:pPr>
      <w:r>
        <w:rPr>
          <w:color w:val="000000"/>
          <w:sz w:val="24"/>
        </w:rPr>
        <w:t>日期：_____年______月______日</w:t>
      </w:r>
    </w:p>
    <w:p w14:paraId="33592649">
      <w:pPr>
        <w:tabs>
          <w:tab w:val="left" w:pos="5580"/>
        </w:tabs>
        <w:spacing w:line="360" w:lineRule="auto"/>
        <w:ind w:firstLine="480" w:firstLineChars="200"/>
        <w:rPr>
          <w:color w:val="000000"/>
          <w:sz w:val="24"/>
          <w:szCs w:val="20"/>
        </w:rPr>
      </w:pPr>
    </w:p>
    <w:p w14:paraId="22C203F3">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77D0243">
      <w:pPr>
        <w:tabs>
          <w:tab w:val="left" w:pos="5580"/>
        </w:tabs>
        <w:spacing w:line="360" w:lineRule="auto"/>
        <w:jc w:val="left"/>
        <w:rPr>
          <w:color w:val="000000"/>
          <w:sz w:val="24"/>
          <w:szCs w:val="20"/>
        </w:rPr>
      </w:pPr>
    </w:p>
    <w:p w14:paraId="5D00D3A7">
      <w:pPr>
        <w:tabs>
          <w:tab w:val="left" w:pos="5580"/>
        </w:tabs>
        <w:spacing w:line="360" w:lineRule="auto"/>
        <w:jc w:val="left"/>
        <w:rPr>
          <w:color w:val="000000"/>
          <w:sz w:val="24"/>
          <w:szCs w:val="20"/>
        </w:rPr>
      </w:pPr>
    </w:p>
    <w:p w14:paraId="02B3AFD4">
      <w:pPr>
        <w:tabs>
          <w:tab w:val="left" w:pos="5580"/>
        </w:tabs>
        <w:spacing w:line="360" w:lineRule="auto"/>
        <w:jc w:val="left"/>
        <w:rPr>
          <w:color w:val="000000"/>
          <w:sz w:val="24"/>
          <w:szCs w:val="20"/>
        </w:rPr>
      </w:pPr>
    </w:p>
    <w:p w14:paraId="62043C6E">
      <w:pPr>
        <w:tabs>
          <w:tab w:val="left" w:pos="5580"/>
        </w:tabs>
        <w:spacing w:line="360" w:lineRule="auto"/>
        <w:jc w:val="left"/>
        <w:rPr>
          <w:color w:val="000000"/>
          <w:sz w:val="24"/>
          <w:szCs w:val="20"/>
        </w:rPr>
      </w:pPr>
    </w:p>
    <w:p w14:paraId="69245AC2">
      <w:pPr>
        <w:tabs>
          <w:tab w:val="left" w:pos="5580"/>
        </w:tabs>
        <w:spacing w:line="360" w:lineRule="auto"/>
        <w:jc w:val="left"/>
        <w:rPr>
          <w:color w:val="000000"/>
          <w:sz w:val="24"/>
          <w:szCs w:val="20"/>
        </w:rPr>
      </w:pPr>
    </w:p>
    <w:p w14:paraId="14C97440">
      <w:pPr>
        <w:tabs>
          <w:tab w:val="left" w:pos="5580"/>
        </w:tabs>
        <w:spacing w:line="360" w:lineRule="auto"/>
        <w:jc w:val="left"/>
        <w:rPr>
          <w:color w:val="000000"/>
          <w:sz w:val="24"/>
          <w:szCs w:val="20"/>
        </w:rPr>
      </w:pPr>
      <w:r>
        <w:rPr>
          <w:color w:val="000000"/>
          <w:sz w:val="24"/>
          <w:szCs w:val="20"/>
        </w:rPr>
        <w:t>说明：</w:t>
      </w:r>
    </w:p>
    <w:p w14:paraId="0F8B65F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24AF5C1">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5E5D3BC">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42B52F7">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D6F0022">
      <w:pPr>
        <w:spacing w:line="360" w:lineRule="exact"/>
        <w:jc w:val="center"/>
        <w:rPr>
          <w:b/>
          <w:color w:val="000000"/>
          <w:sz w:val="36"/>
          <w:szCs w:val="36"/>
        </w:rPr>
      </w:pPr>
      <w:r>
        <w:rPr>
          <w:b/>
          <w:color w:val="000000"/>
          <w:sz w:val="36"/>
          <w:szCs w:val="36"/>
        </w:rPr>
        <w:t>法定代表人（单位负责人）身份证明</w:t>
      </w:r>
    </w:p>
    <w:p w14:paraId="20253094">
      <w:pPr>
        <w:kinsoku w:val="0"/>
        <w:overflowPunct w:val="0"/>
        <w:spacing w:line="200" w:lineRule="exact"/>
        <w:rPr>
          <w:sz w:val="20"/>
          <w:szCs w:val="20"/>
        </w:rPr>
      </w:pPr>
    </w:p>
    <w:p w14:paraId="3CE5BC47">
      <w:pPr>
        <w:tabs>
          <w:tab w:val="left" w:pos="5580"/>
        </w:tabs>
        <w:spacing w:line="360" w:lineRule="auto"/>
        <w:rPr>
          <w:color w:val="000000"/>
          <w:sz w:val="24"/>
        </w:rPr>
      </w:pPr>
    </w:p>
    <w:p w14:paraId="6CD3C46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5A1520">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F24E400">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C87B070">
      <w:pPr>
        <w:pStyle w:val="17"/>
        <w:tabs>
          <w:tab w:val="left" w:pos="2412"/>
          <w:tab w:val="left" w:pos="3883"/>
          <w:tab w:val="left" w:pos="5352"/>
          <w:tab w:val="left" w:pos="6821"/>
        </w:tabs>
        <w:kinsoku w:val="0"/>
        <w:overflowPunct w:val="0"/>
        <w:spacing w:line="335" w:lineRule="exact"/>
        <w:rPr>
          <w:rFonts w:ascii="Times New Roman" w:hAnsi="Times New Roman"/>
        </w:rPr>
      </w:pPr>
    </w:p>
    <w:p w14:paraId="78840997">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2C55343">
      <w:pPr>
        <w:pStyle w:val="17"/>
        <w:tabs>
          <w:tab w:val="left" w:pos="2412"/>
          <w:tab w:val="left" w:pos="3883"/>
          <w:tab w:val="left" w:pos="5352"/>
          <w:tab w:val="left" w:pos="6821"/>
        </w:tabs>
        <w:kinsoku w:val="0"/>
        <w:overflowPunct w:val="0"/>
        <w:spacing w:line="335" w:lineRule="exact"/>
        <w:rPr>
          <w:rFonts w:ascii="Times New Roman" w:hAnsi="Times New Roman"/>
        </w:rPr>
      </w:pPr>
    </w:p>
    <w:p w14:paraId="04DB7269">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59515645">
      <w:pPr>
        <w:pStyle w:val="17"/>
        <w:kinsoku w:val="0"/>
        <w:overflowPunct w:val="0"/>
        <w:spacing w:line="583" w:lineRule="auto"/>
        <w:ind w:right="4305"/>
        <w:rPr>
          <w:rFonts w:ascii="Times New Roman" w:hAnsi="Times New Roman"/>
          <w:spacing w:val="-3"/>
        </w:rPr>
      </w:pPr>
    </w:p>
    <w:p w14:paraId="39E2518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5F03C978">
      <w:pPr>
        <w:pStyle w:val="17"/>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123F8BB8">
      <w:pPr>
        <w:pStyle w:val="17"/>
        <w:spacing w:line="360" w:lineRule="auto"/>
        <w:rPr>
          <w:rFonts w:ascii="Times New Roman" w:hAnsi="Times New Roman"/>
          <w:color w:val="000000"/>
          <w:lang w:val="zh-CN"/>
        </w:rPr>
      </w:pPr>
      <w:r>
        <w:rPr>
          <w:rFonts w:ascii="Times New Roman" w:hAnsi="Times New Roman"/>
          <w:color w:val="000000"/>
        </w:rPr>
        <w:t>日期：_____年______月______日</w:t>
      </w:r>
    </w:p>
    <w:p w14:paraId="74F7ABD4">
      <w:pPr>
        <w:widowControl/>
        <w:jc w:val="left"/>
        <w:rPr>
          <w:i/>
          <w:color w:val="000000"/>
          <w:sz w:val="24"/>
          <w:szCs w:val="20"/>
          <w:u w:val="single"/>
        </w:rPr>
      </w:pPr>
    </w:p>
    <w:p w14:paraId="34444D35">
      <w:pPr>
        <w:widowControl/>
        <w:jc w:val="left"/>
        <w:rPr>
          <w:color w:val="000000"/>
          <w:sz w:val="24"/>
          <w:szCs w:val="20"/>
        </w:rPr>
      </w:pPr>
      <w:r>
        <w:rPr>
          <w:color w:val="000000"/>
          <w:sz w:val="24"/>
          <w:szCs w:val="20"/>
        </w:rPr>
        <w:br w:type="page"/>
      </w:r>
    </w:p>
    <w:p w14:paraId="591890EF">
      <w:pPr>
        <w:numPr>
          <w:ilvl w:val="0"/>
          <w:numId w:val="29"/>
        </w:numPr>
        <w:tabs>
          <w:tab w:val="left" w:pos="360"/>
        </w:tabs>
        <w:snapToGrid w:val="0"/>
        <w:spacing w:line="360" w:lineRule="auto"/>
        <w:outlineLvl w:val="1"/>
        <w:rPr>
          <w:color w:val="000000"/>
          <w:sz w:val="24"/>
          <w:szCs w:val="20"/>
        </w:rPr>
      </w:pPr>
      <w:r>
        <w:rPr>
          <w:color w:val="000000"/>
          <w:sz w:val="24"/>
          <w:szCs w:val="20"/>
        </w:rPr>
        <w:t>报价一览表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07600AA">
      <w:pPr>
        <w:spacing w:line="360" w:lineRule="exact"/>
        <w:jc w:val="center"/>
        <w:rPr>
          <w:b/>
          <w:color w:val="000000"/>
          <w:sz w:val="36"/>
          <w:szCs w:val="36"/>
        </w:rPr>
      </w:pPr>
      <w:bookmarkStart w:id="710" w:name="_Toc226309802"/>
      <w:bookmarkStart w:id="711" w:name="_Toc305158900"/>
      <w:bookmarkStart w:id="712" w:name="_Toc226337254"/>
      <w:bookmarkStart w:id="713" w:name="_Toc164608827"/>
      <w:bookmarkStart w:id="714" w:name="_Toc226965748"/>
      <w:bookmarkStart w:id="715" w:name="_Toc164608672"/>
      <w:bookmarkStart w:id="716" w:name="_Toc195842923"/>
      <w:bookmarkStart w:id="717" w:name="_Toc226965831"/>
      <w:bookmarkStart w:id="718" w:name="_Toc305158826"/>
      <w:bookmarkStart w:id="719" w:name="_Toc265228396"/>
      <w:bookmarkStart w:id="720" w:name="_Toc264969248"/>
      <w:r>
        <w:rPr>
          <w:b/>
          <w:color w:val="000000"/>
          <w:sz w:val="36"/>
          <w:szCs w:val="36"/>
        </w:rPr>
        <w:t>报价一览表</w:t>
      </w:r>
      <w:bookmarkEnd w:id="710"/>
      <w:bookmarkEnd w:id="711"/>
      <w:bookmarkEnd w:id="712"/>
      <w:bookmarkEnd w:id="713"/>
      <w:bookmarkEnd w:id="714"/>
      <w:bookmarkEnd w:id="715"/>
      <w:bookmarkEnd w:id="716"/>
      <w:bookmarkEnd w:id="717"/>
      <w:bookmarkEnd w:id="718"/>
      <w:bookmarkEnd w:id="719"/>
      <w:bookmarkEnd w:id="720"/>
    </w:p>
    <w:p w14:paraId="4D96E261">
      <w:pPr>
        <w:tabs>
          <w:tab w:val="left" w:pos="1800"/>
          <w:tab w:val="left" w:pos="5580"/>
        </w:tabs>
        <w:spacing w:line="360" w:lineRule="auto"/>
        <w:jc w:val="left"/>
        <w:rPr>
          <w:color w:val="000000"/>
          <w:sz w:val="24"/>
        </w:rPr>
      </w:pPr>
    </w:p>
    <w:p w14:paraId="55A9394A">
      <w:pPr>
        <w:tabs>
          <w:tab w:val="left" w:pos="1800"/>
          <w:tab w:val="left" w:pos="5580"/>
        </w:tabs>
        <w:spacing w:line="360" w:lineRule="auto"/>
        <w:ind w:firstLine="240" w:firstLineChars="100"/>
        <w:jc w:val="left"/>
        <w:rPr>
          <w:color w:val="000000"/>
          <w:sz w:val="24"/>
        </w:rPr>
      </w:pPr>
    </w:p>
    <w:p w14:paraId="5709969B">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1"/>
        <w:gridCol w:w="1764"/>
        <w:gridCol w:w="1115"/>
        <w:gridCol w:w="1175"/>
        <w:gridCol w:w="2291"/>
        <w:gridCol w:w="2292"/>
      </w:tblGrid>
      <w:tr w14:paraId="0894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14:paraId="1015A845">
            <w:pPr>
              <w:tabs>
                <w:tab w:val="left" w:pos="5580"/>
              </w:tabs>
              <w:jc w:val="center"/>
              <w:rPr>
                <w:rFonts w:eastAsiaTheme="minorEastAsia"/>
                <w:b/>
                <w:sz w:val="24"/>
              </w:rPr>
            </w:pPr>
            <w:r>
              <w:rPr>
                <w:rFonts w:eastAsiaTheme="minorEastAsia"/>
                <w:b/>
                <w:sz w:val="24"/>
              </w:rPr>
              <w:t>包号</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335B2F6A">
            <w:pPr>
              <w:tabs>
                <w:tab w:val="left" w:pos="5580"/>
              </w:tabs>
              <w:jc w:val="center"/>
              <w:rPr>
                <w:rFonts w:eastAsiaTheme="minorEastAsia"/>
                <w:b/>
                <w:sz w:val="24"/>
              </w:rPr>
            </w:pPr>
            <w:r>
              <w:rPr>
                <w:rFonts w:eastAsiaTheme="minorEastAsia"/>
                <w:b/>
                <w:sz w:val="24"/>
              </w:rPr>
              <w:t>供应商名称</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77A9A79C">
            <w:pPr>
              <w:tabs>
                <w:tab w:val="left" w:pos="5580"/>
              </w:tabs>
              <w:jc w:val="center"/>
              <w:rPr>
                <w:rFonts w:eastAsiaTheme="minorEastAsia"/>
                <w:b/>
                <w:sz w:val="24"/>
              </w:rPr>
            </w:pPr>
            <w:r>
              <w:rPr>
                <w:rFonts w:eastAsiaTheme="minorEastAsia"/>
                <w:b/>
                <w:sz w:val="24"/>
              </w:rPr>
              <w:t>报价</w:t>
            </w:r>
          </w:p>
        </w:tc>
        <w:tc>
          <w:tcPr>
            <w:tcW w:w="2291" w:type="dxa"/>
            <w:vMerge w:val="restart"/>
            <w:tcBorders>
              <w:top w:val="single" w:color="auto" w:sz="4" w:space="0"/>
              <w:left w:val="single" w:color="auto" w:sz="4" w:space="0"/>
              <w:right w:val="single" w:color="auto" w:sz="4" w:space="0"/>
            </w:tcBorders>
            <w:vAlign w:val="center"/>
          </w:tcPr>
          <w:p w14:paraId="3F2100A7">
            <w:pPr>
              <w:tabs>
                <w:tab w:val="left" w:pos="5580"/>
              </w:tabs>
              <w:jc w:val="center"/>
              <w:rPr>
                <w:rFonts w:hint="default" w:eastAsiaTheme="minorEastAsia"/>
                <w:b/>
                <w:sz w:val="24"/>
                <w:lang w:val="en-US" w:eastAsia="zh-CN"/>
              </w:rPr>
            </w:pPr>
            <w:r>
              <w:rPr>
                <w:rFonts w:hint="eastAsia" w:eastAsiaTheme="minorEastAsia"/>
                <w:b/>
                <w:sz w:val="24"/>
                <w:lang w:val="en-US" w:eastAsia="zh-CN"/>
              </w:rPr>
              <w:t>合同履行期限</w:t>
            </w:r>
          </w:p>
        </w:tc>
        <w:tc>
          <w:tcPr>
            <w:tcW w:w="2292" w:type="dxa"/>
            <w:vMerge w:val="restart"/>
            <w:tcBorders>
              <w:top w:val="single" w:color="auto" w:sz="4" w:space="0"/>
              <w:left w:val="single" w:color="auto" w:sz="4" w:space="0"/>
              <w:right w:val="single" w:color="auto" w:sz="4" w:space="0"/>
            </w:tcBorders>
            <w:vAlign w:val="center"/>
          </w:tcPr>
          <w:p w14:paraId="376D00FD">
            <w:pPr>
              <w:tabs>
                <w:tab w:val="left" w:pos="5580"/>
              </w:tabs>
              <w:jc w:val="center"/>
              <w:rPr>
                <w:rFonts w:hint="eastAsia" w:eastAsiaTheme="minorEastAsia"/>
                <w:b/>
                <w:sz w:val="24"/>
                <w:lang w:val="en-US" w:eastAsia="zh-CN"/>
              </w:rPr>
            </w:pPr>
            <w:r>
              <w:rPr>
                <w:rFonts w:hint="eastAsia" w:eastAsiaTheme="minorEastAsia"/>
                <w:b/>
                <w:sz w:val="24"/>
                <w:lang w:val="en-US" w:eastAsia="zh-CN"/>
              </w:rPr>
              <w:t>备注</w:t>
            </w:r>
          </w:p>
        </w:tc>
      </w:tr>
      <w:tr w14:paraId="023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77F51A58">
            <w:pPr>
              <w:widowControl/>
              <w:jc w:val="left"/>
              <w:rPr>
                <w:rFonts w:eastAsiaTheme="minorEastAsia"/>
                <w:b/>
                <w:sz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7B58F973">
            <w:pPr>
              <w:widowControl/>
              <w:jc w:val="left"/>
              <w:rPr>
                <w:rFonts w:eastAsiaTheme="minorEastAsia"/>
                <w:b/>
                <w:sz w:val="24"/>
              </w:rPr>
            </w:pPr>
          </w:p>
        </w:tc>
        <w:tc>
          <w:tcPr>
            <w:tcW w:w="1115" w:type="dxa"/>
            <w:tcBorders>
              <w:top w:val="single" w:color="auto" w:sz="4" w:space="0"/>
              <w:left w:val="single" w:color="auto" w:sz="4" w:space="0"/>
              <w:bottom w:val="single" w:color="auto" w:sz="4" w:space="0"/>
              <w:right w:val="single" w:color="auto" w:sz="4" w:space="0"/>
            </w:tcBorders>
            <w:vAlign w:val="center"/>
          </w:tcPr>
          <w:p w14:paraId="7BBA8708">
            <w:pPr>
              <w:tabs>
                <w:tab w:val="left" w:pos="5580"/>
              </w:tabs>
              <w:jc w:val="center"/>
              <w:rPr>
                <w:rFonts w:eastAsiaTheme="minorEastAsia"/>
                <w:b/>
                <w:sz w:val="24"/>
              </w:rPr>
            </w:pPr>
            <w:r>
              <w:rPr>
                <w:rFonts w:eastAsiaTheme="minorEastAsia"/>
                <w:b/>
                <w:sz w:val="24"/>
              </w:rPr>
              <w:t>大写</w:t>
            </w:r>
          </w:p>
        </w:tc>
        <w:tc>
          <w:tcPr>
            <w:tcW w:w="1175" w:type="dxa"/>
            <w:tcBorders>
              <w:top w:val="single" w:color="auto" w:sz="4" w:space="0"/>
              <w:left w:val="single" w:color="auto" w:sz="4" w:space="0"/>
              <w:bottom w:val="single" w:color="auto" w:sz="4" w:space="0"/>
              <w:right w:val="single" w:color="auto" w:sz="4" w:space="0"/>
            </w:tcBorders>
            <w:vAlign w:val="center"/>
          </w:tcPr>
          <w:p w14:paraId="7058146C">
            <w:pPr>
              <w:tabs>
                <w:tab w:val="left" w:pos="5580"/>
              </w:tabs>
              <w:jc w:val="center"/>
              <w:rPr>
                <w:rFonts w:eastAsiaTheme="minorEastAsia"/>
                <w:b/>
                <w:sz w:val="24"/>
              </w:rPr>
            </w:pPr>
            <w:r>
              <w:rPr>
                <w:rFonts w:eastAsiaTheme="minorEastAsia"/>
                <w:b/>
                <w:sz w:val="24"/>
              </w:rPr>
              <w:t>小写</w:t>
            </w:r>
          </w:p>
        </w:tc>
        <w:tc>
          <w:tcPr>
            <w:tcW w:w="2291" w:type="dxa"/>
            <w:vMerge w:val="continue"/>
            <w:tcBorders>
              <w:left w:val="single" w:color="auto" w:sz="4" w:space="0"/>
              <w:bottom w:val="single" w:color="auto" w:sz="4" w:space="0"/>
              <w:right w:val="single" w:color="auto" w:sz="4" w:space="0"/>
            </w:tcBorders>
            <w:vAlign w:val="center"/>
          </w:tcPr>
          <w:p w14:paraId="6C4B86DB">
            <w:pPr>
              <w:tabs>
                <w:tab w:val="left" w:pos="5580"/>
              </w:tabs>
              <w:jc w:val="center"/>
              <w:rPr>
                <w:rFonts w:eastAsiaTheme="minorEastAsia"/>
                <w:b/>
                <w:sz w:val="24"/>
              </w:rPr>
            </w:pPr>
          </w:p>
        </w:tc>
        <w:tc>
          <w:tcPr>
            <w:tcW w:w="2292" w:type="dxa"/>
            <w:vMerge w:val="continue"/>
            <w:tcBorders>
              <w:left w:val="single" w:color="auto" w:sz="4" w:space="0"/>
              <w:bottom w:val="single" w:color="auto" w:sz="4" w:space="0"/>
              <w:right w:val="single" w:color="auto" w:sz="4" w:space="0"/>
            </w:tcBorders>
            <w:vAlign w:val="center"/>
          </w:tcPr>
          <w:p w14:paraId="17F3A401">
            <w:pPr>
              <w:tabs>
                <w:tab w:val="left" w:pos="5580"/>
              </w:tabs>
              <w:jc w:val="center"/>
              <w:rPr>
                <w:rFonts w:eastAsiaTheme="minorEastAsia"/>
                <w:b/>
                <w:sz w:val="24"/>
              </w:rPr>
            </w:pPr>
          </w:p>
        </w:tc>
      </w:tr>
      <w:tr w14:paraId="0FE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14:paraId="5C6E71AB">
            <w:pPr>
              <w:tabs>
                <w:tab w:val="left" w:pos="5580"/>
              </w:tabs>
              <w:jc w:val="center"/>
              <w:rPr>
                <w:rFonts w:eastAsiaTheme="minorEastAsia"/>
                <w:sz w:val="24"/>
              </w:rPr>
            </w:pPr>
          </w:p>
        </w:tc>
        <w:tc>
          <w:tcPr>
            <w:tcW w:w="1764" w:type="dxa"/>
            <w:tcBorders>
              <w:top w:val="single" w:color="auto" w:sz="4" w:space="0"/>
              <w:left w:val="single" w:color="auto" w:sz="4" w:space="0"/>
              <w:bottom w:val="single" w:color="auto" w:sz="4" w:space="0"/>
              <w:right w:val="single" w:color="auto" w:sz="4" w:space="0"/>
            </w:tcBorders>
            <w:vAlign w:val="center"/>
          </w:tcPr>
          <w:p w14:paraId="7A9D1ADB">
            <w:pPr>
              <w:tabs>
                <w:tab w:val="left" w:pos="5580"/>
              </w:tabs>
              <w:jc w:val="center"/>
              <w:rPr>
                <w:rFonts w:eastAsiaTheme="minorEastAsia"/>
                <w:sz w:val="24"/>
              </w:rPr>
            </w:pPr>
          </w:p>
        </w:tc>
        <w:tc>
          <w:tcPr>
            <w:tcW w:w="1115" w:type="dxa"/>
            <w:tcBorders>
              <w:top w:val="single" w:color="auto" w:sz="4" w:space="0"/>
              <w:left w:val="single" w:color="auto" w:sz="4" w:space="0"/>
              <w:bottom w:val="single" w:color="auto" w:sz="4" w:space="0"/>
              <w:right w:val="single" w:color="auto" w:sz="4" w:space="0"/>
            </w:tcBorders>
            <w:vAlign w:val="center"/>
          </w:tcPr>
          <w:p w14:paraId="1C58DE24">
            <w:pPr>
              <w:tabs>
                <w:tab w:val="left" w:pos="5580"/>
              </w:tabs>
              <w:jc w:val="center"/>
              <w:rPr>
                <w:rFonts w:eastAsiaTheme="minorEastAsia"/>
                <w:sz w:val="24"/>
              </w:rPr>
            </w:pPr>
          </w:p>
        </w:tc>
        <w:tc>
          <w:tcPr>
            <w:tcW w:w="1175" w:type="dxa"/>
            <w:tcBorders>
              <w:top w:val="single" w:color="auto" w:sz="4" w:space="0"/>
              <w:left w:val="single" w:color="auto" w:sz="4" w:space="0"/>
              <w:bottom w:val="single" w:color="auto" w:sz="4" w:space="0"/>
              <w:right w:val="single" w:color="auto" w:sz="4" w:space="0"/>
            </w:tcBorders>
            <w:vAlign w:val="center"/>
          </w:tcPr>
          <w:p w14:paraId="471AD39B">
            <w:pPr>
              <w:tabs>
                <w:tab w:val="left" w:pos="5580"/>
              </w:tabs>
              <w:jc w:val="center"/>
              <w:rPr>
                <w:rFonts w:eastAsiaTheme="minorEastAsia"/>
                <w:sz w:val="24"/>
              </w:rPr>
            </w:pPr>
          </w:p>
        </w:tc>
        <w:tc>
          <w:tcPr>
            <w:tcW w:w="2291" w:type="dxa"/>
            <w:tcBorders>
              <w:top w:val="single" w:color="auto" w:sz="4" w:space="0"/>
              <w:left w:val="single" w:color="auto" w:sz="4" w:space="0"/>
              <w:bottom w:val="single" w:color="auto" w:sz="4" w:space="0"/>
              <w:right w:val="single" w:color="auto" w:sz="4" w:space="0"/>
            </w:tcBorders>
            <w:vAlign w:val="center"/>
          </w:tcPr>
          <w:p w14:paraId="02A2BBE3">
            <w:pPr>
              <w:tabs>
                <w:tab w:val="left" w:pos="5580"/>
              </w:tabs>
              <w:jc w:val="center"/>
              <w:rPr>
                <w:rFonts w:eastAsiaTheme="minorEastAsia"/>
                <w:sz w:val="24"/>
              </w:rPr>
            </w:pPr>
          </w:p>
        </w:tc>
        <w:tc>
          <w:tcPr>
            <w:tcW w:w="2292" w:type="dxa"/>
            <w:tcBorders>
              <w:top w:val="single" w:color="auto" w:sz="4" w:space="0"/>
              <w:left w:val="single" w:color="auto" w:sz="4" w:space="0"/>
              <w:bottom w:val="single" w:color="auto" w:sz="4" w:space="0"/>
              <w:right w:val="single" w:color="auto" w:sz="4" w:space="0"/>
            </w:tcBorders>
            <w:vAlign w:val="center"/>
          </w:tcPr>
          <w:p w14:paraId="0CF7EA34">
            <w:pPr>
              <w:tabs>
                <w:tab w:val="left" w:pos="5580"/>
              </w:tabs>
              <w:jc w:val="center"/>
              <w:rPr>
                <w:rFonts w:eastAsiaTheme="minorEastAsia"/>
                <w:sz w:val="24"/>
              </w:rPr>
            </w:pPr>
          </w:p>
        </w:tc>
      </w:tr>
    </w:tbl>
    <w:p w14:paraId="3718E9AC">
      <w:pPr>
        <w:autoSpaceDE w:val="0"/>
        <w:autoSpaceDN w:val="0"/>
        <w:adjustRightInd w:val="0"/>
        <w:jc w:val="left"/>
        <w:rPr>
          <w:color w:val="000000"/>
          <w:kern w:val="0"/>
          <w:sz w:val="24"/>
        </w:rPr>
      </w:pPr>
    </w:p>
    <w:p w14:paraId="2B945C7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51DCFCCC">
      <w:pPr>
        <w:tabs>
          <w:tab w:val="left" w:pos="5580"/>
        </w:tabs>
        <w:ind w:firstLine="480" w:firstLineChars="200"/>
        <w:rPr>
          <w:color w:val="000000"/>
          <w:sz w:val="24"/>
          <w:szCs w:val="20"/>
        </w:rPr>
      </w:pPr>
      <w:r>
        <w:rPr>
          <w:color w:val="000000"/>
          <w:sz w:val="24"/>
          <w:szCs w:val="20"/>
        </w:rPr>
        <w:t>2.本表必须按包分别填写。</w:t>
      </w:r>
    </w:p>
    <w:p w14:paraId="5DB60F13">
      <w:pPr>
        <w:autoSpaceDE w:val="0"/>
        <w:autoSpaceDN w:val="0"/>
        <w:adjustRightInd w:val="0"/>
        <w:snapToGrid w:val="0"/>
        <w:spacing w:before="25" w:after="25" w:line="360" w:lineRule="auto"/>
        <w:rPr>
          <w:color w:val="000000"/>
          <w:sz w:val="24"/>
          <w:lang w:val="zh-CN"/>
        </w:rPr>
      </w:pPr>
    </w:p>
    <w:p w14:paraId="54D9F3E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61948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126FFA2E">
      <w:pPr>
        <w:autoSpaceDE w:val="0"/>
        <w:autoSpaceDN w:val="0"/>
        <w:adjustRightInd w:val="0"/>
        <w:snapToGrid w:val="0"/>
        <w:spacing w:before="25" w:after="25" w:line="360" w:lineRule="auto"/>
        <w:rPr>
          <w:color w:val="000000"/>
          <w:sz w:val="24"/>
          <w:lang w:val="zh-CN"/>
        </w:rPr>
      </w:pPr>
      <w:r>
        <w:rPr>
          <w:color w:val="000000"/>
          <w:sz w:val="24"/>
          <w:szCs w:val="20"/>
        </w:rPr>
        <w:t>日期：_____年______月______日</w:t>
      </w:r>
    </w:p>
    <w:p w14:paraId="16BE4125">
      <w:pPr>
        <w:widowControl/>
        <w:jc w:val="left"/>
        <w:rPr>
          <w:color w:val="000000"/>
          <w:sz w:val="24"/>
          <w:szCs w:val="20"/>
        </w:rPr>
      </w:pPr>
      <w:bookmarkStart w:id="721" w:name="_Toc150774763"/>
      <w:bookmarkStart w:id="722" w:name="_Toc305158901"/>
      <w:bookmarkStart w:id="723" w:name="_Toc195842924"/>
      <w:bookmarkStart w:id="724" w:name="_Toc264969249"/>
      <w:bookmarkStart w:id="725" w:name="_Toc226965749"/>
      <w:bookmarkStart w:id="726" w:name="_Toc226965832"/>
      <w:bookmarkStart w:id="727" w:name="_Toc226309803"/>
      <w:bookmarkStart w:id="728" w:name="_Toc127151558"/>
      <w:bookmarkStart w:id="729" w:name="_Toc142311060"/>
      <w:bookmarkStart w:id="730" w:name="_Toc150480796"/>
      <w:bookmarkStart w:id="731" w:name="_Toc226337255"/>
      <w:bookmarkStart w:id="732" w:name="_Toc305158827"/>
      <w:bookmarkStart w:id="733" w:name="_Toc265228397"/>
    </w:p>
    <w:p w14:paraId="7095E49D">
      <w:pPr>
        <w:numPr>
          <w:ilvl w:val="0"/>
          <w:numId w:val="29"/>
        </w:numPr>
        <w:tabs>
          <w:tab w:val="left" w:pos="360"/>
        </w:tabs>
        <w:snapToGrid w:val="0"/>
        <w:spacing w:line="360" w:lineRule="auto"/>
        <w:outlineLvl w:val="1"/>
        <w:rPr>
          <w:color w:val="000000"/>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p>
    <w:p w14:paraId="365334A6">
      <w:pPr>
        <w:numPr>
          <w:ilvl w:val="0"/>
          <w:numId w:val="29"/>
        </w:numPr>
        <w:tabs>
          <w:tab w:val="left" w:pos="360"/>
        </w:tabs>
        <w:snapToGrid w:val="0"/>
        <w:spacing w:line="360" w:lineRule="auto"/>
        <w:outlineLvl w:val="1"/>
        <w:rPr>
          <w:color w:val="000000"/>
          <w:sz w:val="24"/>
          <w:szCs w:val="20"/>
        </w:rPr>
      </w:pPr>
      <w:r>
        <w:rPr>
          <w:color w:val="000000"/>
          <w:sz w:val="24"/>
          <w:szCs w:val="20"/>
        </w:rPr>
        <w:t>分项报价表</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3F5CEBF4">
      <w:pPr>
        <w:spacing w:line="360" w:lineRule="exact"/>
        <w:jc w:val="center"/>
        <w:rPr>
          <w:color w:val="000000"/>
          <w:sz w:val="36"/>
          <w:szCs w:val="36"/>
        </w:rPr>
      </w:pPr>
    </w:p>
    <w:p w14:paraId="2D2168B3">
      <w:pPr>
        <w:spacing w:line="360" w:lineRule="exact"/>
        <w:jc w:val="center"/>
        <w:rPr>
          <w:b/>
          <w:color w:val="000000"/>
          <w:sz w:val="36"/>
          <w:szCs w:val="36"/>
        </w:rPr>
      </w:pPr>
      <w:r>
        <w:rPr>
          <w:b/>
          <w:color w:val="000000"/>
          <w:sz w:val="36"/>
          <w:szCs w:val="36"/>
        </w:rPr>
        <w:t>分项报价表</w:t>
      </w:r>
    </w:p>
    <w:p w14:paraId="5DED973E">
      <w:pPr>
        <w:tabs>
          <w:tab w:val="left" w:pos="1800"/>
          <w:tab w:val="left" w:pos="5580"/>
        </w:tabs>
        <w:rPr>
          <w:rFonts w:hint="eastAsia"/>
          <w:color w:val="000000"/>
          <w:sz w:val="24"/>
        </w:rPr>
      </w:pPr>
      <w:bookmarkStart w:id="734" w:name="_Hlk217395541"/>
    </w:p>
    <w:p w14:paraId="089D85F9">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14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44"/>
        <w:gridCol w:w="1322"/>
        <w:gridCol w:w="941"/>
        <w:gridCol w:w="1248"/>
        <w:gridCol w:w="1248"/>
        <w:gridCol w:w="1248"/>
        <w:gridCol w:w="1248"/>
        <w:gridCol w:w="1248"/>
        <w:gridCol w:w="1248"/>
        <w:gridCol w:w="1026"/>
        <w:gridCol w:w="862"/>
        <w:gridCol w:w="1033"/>
      </w:tblGrid>
      <w:tr w14:paraId="74C7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14:paraId="792830BA">
            <w:pPr>
              <w:adjustRightInd w:val="0"/>
              <w:snapToGrid w:val="0"/>
              <w:jc w:val="center"/>
              <w:rPr>
                <w:b/>
                <w:color w:val="000000"/>
                <w:sz w:val="24"/>
              </w:rPr>
            </w:pPr>
            <w:r>
              <w:rPr>
                <w:rFonts w:hint="eastAsia"/>
                <w:b/>
                <w:color w:val="000000"/>
                <w:sz w:val="24"/>
              </w:rPr>
              <w:t>序号</w:t>
            </w:r>
          </w:p>
        </w:tc>
        <w:tc>
          <w:tcPr>
            <w:tcW w:w="1044" w:type="dxa"/>
            <w:tcBorders>
              <w:top w:val="single" w:color="auto" w:sz="4" w:space="0"/>
              <w:left w:val="single" w:color="auto" w:sz="4" w:space="0"/>
              <w:bottom w:val="single" w:color="auto" w:sz="4" w:space="0"/>
              <w:right w:val="single" w:color="auto" w:sz="4" w:space="0"/>
            </w:tcBorders>
            <w:vAlign w:val="center"/>
          </w:tcPr>
          <w:p w14:paraId="0A1B9A9A">
            <w:pPr>
              <w:adjustRightInd w:val="0"/>
              <w:snapToGrid w:val="0"/>
              <w:jc w:val="center"/>
              <w:rPr>
                <w:b/>
                <w:color w:val="000000"/>
                <w:sz w:val="24"/>
              </w:rPr>
            </w:pPr>
            <w:r>
              <w:rPr>
                <w:rFonts w:hint="eastAsia"/>
                <w:b/>
                <w:color w:val="000000"/>
                <w:sz w:val="24"/>
              </w:rPr>
              <w:t>分项名称</w:t>
            </w:r>
          </w:p>
        </w:tc>
        <w:tc>
          <w:tcPr>
            <w:tcW w:w="1322" w:type="dxa"/>
            <w:tcBorders>
              <w:top w:val="single" w:color="auto" w:sz="4" w:space="0"/>
              <w:left w:val="single" w:color="auto" w:sz="4" w:space="0"/>
              <w:bottom w:val="single" w:color="auto" w:sz="4" w:space="0"/>
              <w:right w:val="single" w:color="auto" w:sz="4" w:space="0"/>
            </w:tcBorders>
            <w:vAlign w:val="center"/>
          </w:tcPr>
          <w:p w14:paraId="77EBF654">
            <w:pPr>
              <w:adjustRightInd w:val="0"/>
              <w:snapToGrid w:val="0"/>
              <w:jc w:val="center"/>
              <w:rPr>
                <w:b/>
                <w:color w:val="000000"/>
                <w:sz w:val="24"/>
              </w:rPr>
            </w:pPr>
            <w:r>
              <w:rPr>
                <w:rFonts w:hint="eastAsia"/>
                <w:b/>
                <w:color w:val="000000"/>
                <w:sz w:val="24"/>
              </w:rPr>
              <w:t>制造商</w:t>
            </w:r>
          </w:p>
        </w:tc>
        <w:tc>
          <w:tcPr>
            <w:tcW w:w="941" w:type="dxa"/>
            <w:tcBorders>
              <w:top w:val="single" w:color="auto" w:sz="4" w:space="0"/>
              <w:left w:val="single" w:color="auto" w:sz="4" w:space="0"/>
              <w:bottom w:val="single" w:color="auto" w:sz="4" w:space="0"/>
              <w:right w:val="single" w:color="auto" w:sz="4" w:space="0"/>
            </w:tcBorders>
            <w:vAlign w:val="center"/>
          </w:tcPr>
          <w:p w14:paraId="6D97D7CD">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1248" w:type="dxa"/>
            <w:tcBorders>
              <w:top w:val="single" w:color="auto" w:sz="4" w:space="0"/>
              <w:left w:val="single" w:color="auto" w:sz="4" w:space="0"/>
              <w:bottom w:val="single" w:color="auto" w:sz="4" w:space="0"/>
              <w:right w:val="single" w:color="auto" w:sz="4" w:space="0"/>
            </w:tcBorders>
            <w:vAlign w:val="center"/>
          </w:tcPr>
          <w:p w14:paraId="12D8AF50">
            <w:pPr>
              <w:jc w:val="center"/>
              <w:rPr>
                <w:b/>
                <w:color w:val="000000"/>
                <w:sz w:val="24"/>
              </w:rPr>
            </w:pPr>
            <w:r>
              <w:rPr>
                <w:rFonts w:hint="eastAsia"/>
                <w:b/>
                <w:color w:val="000000"/>
                <w:sz w:val="24"/>
              </w:rPr>
              <w:t>制造商</w:t>
            </w:r>
          </w:p>
          <w:p w14:paraId="7CD97694">
            <w:pPr>
              <w:adjustRightInd w:val="0"/>
              <w:snapToGrid w:val="0"/>
              <w:jc w:val="center"/>
              <w:rPr>
                <w:b/>
                <w:color w:val="000000"/>
                <w:sz w:val="24"/>
              </w:rPr>
            </w:pPr>
            <w:r>
              <w:rPr>
                <w:rFonts w:hint="eastAsia"/>
                <w:b/>
                <w:color w:val="000000"/>
                <w:sz w:val="24"/>
              </w:rPr>
              <w:t>统一社会信用代码</w:t>
            </w:r>
          </w:p>
        </w:tc>
        <w:tc>
          <w:tcPr>
            <w:tcW w:w="1248" w:type="dxa"/>
            <w:tcBorders>
              <w:top w:val="single" w:color="auto" w:sz="4" w:space="0"/>
              <w:left w:val="single" w:color="auto" w:sz="4" w:space="0"/>
              <w:bottom w:val="single" w:color="auto" w:sz="4" w:space="0"/>
              <w:right w:val="single" w:color="auto" w:sz="4" w:space="0"/>
            </w:tcBorders>
            <w:vAlign w:val="center"/>
          </w:tcPr>
          <w:p w14:paraId="6850EF7A">
            <w:pPr>
              <w:jc w:val="center"/>
              <w:rPr>
                <w:b/>
                <w:color w:val="000000"/>
                <w:sz w:val="24"/>
              </w:rPr>
            </w:pPr>
            <w:r>
              <w:rPr>
                <w:rFonts w:hint="eastAsia"/>
                <w:b/>
                <w:color w:val="000000"/>
                <w:sz w:val="24"/>
              </w:rPr>
              <w:t>制造商</w:t>
            </w:r>
          </w:p>
          <w:p w14:paraId="7D7242F2">
            <w:pPr>
              <w:adjustRightInd w:val="0"/>
              <w:snapToGrid w:val="0"/>
              <w:jc w:val="center"/>
              <w:rPr>
                <w:b/>
                <w:color w:val="000000"/>
                <w:sz w:val="24"/>
              </w:rPr>
            </w:pPr>
            <w:r>
              <w:rPr>
                <w:rFonts w:hint="eastAsia"/>
                <w:b/>
                <w:color w:val="000000"/>
                <w:sz w:val="24"/>
              </w:rPr>
              <w:t>规模</w:t>
            </w:r>
          </w:p>
        </w:tc>
        <w:tc>
          <w:tcPr>
            <w:tcW w:w="1248" w:type="dxa"/>
            <w:tcBorders>
              <w:top w:val="single" w:color="auto" w:sz="4" w:space="0"/>
              <w:left w:val="single" w:color="auto" w:sz="4" w:space="0"/>
              <w:bottom w:val="single" w:color="auto" w:sz="4" w:space="0"/>
              <w:right w:val="single" w:color="auto" w:sz="4" w:space="0"/>
            </w:tcBorders>
            <w:vAlign w:val="center"/>
          </w:tcPr>
          <w:p w14:paraId="01028979">
            <w:pPr>
              <w:adjustRightInd w:val="0"/>
              <w:snapToGrid w:val="0"/>
              <w:jc w:val="center"/>
              <w:rPr>
                <w:b/>
                <w:color w:val="000000"/>
                <w:sz w:val="24"/>
              </w:rPr>
            </w:pPr>
            <w:r>
              <w:rPr>
                <w:rFonts w:hint="eastAsia"/>
                <w:b/>
                <w:color w:val="000000"/>
                <w:sz w:val="24"/>
              </w:rPr>
              <w:t>制造商所属性别</w:t>
            </w:r>
          </w:p>
        </w:tc>
        <w:tc>
          <w:tcPr>
            <w:tcW w:w="1248" w:type="dxa"/>
            <w:tcBorders>
              <w:top w:val="single" w:color="auto" w:sz="4" w:space="0"/>
              <w:left w:val="single" w:color="auto" w:sz="4" w:space="0"/>
              <w:bottom w:val="single" w:color="auto" w:sz="4" w:space="0"/>
              <w:right w:val="single" w:color="auto" w:sz="4" w:space="0"/>
            </w:tcBorders>
            <w:vAlign w:val="center"/>
          </w:tcPr>
          <w:p w14:paraId="4BCE8D35">
            <w:pPr>
              <w:adjustRightInd w:val="0"/>
              <w:snapToGrid w:val="0"/>
              <w:jc w:val="center"/>
              <w:rPr>
                <w:b/>
                <w:color w:val="000000"/>
                <w:sz w:val="24"/>
              </w:rPr>
            </w:pPr>
            <w:r>
              <w:rPr>
                <w:rFonts w:hint="eastAsia"/>
                <w:b/>
                <w:color w:val="000000"/>
                <w:sz w:val="24"/>
              </w:rPr>
              <w:t>外商投资类型</w:t>
            </w:r>
          </w:p>
        </w:tc>
        <w:tc>
          <w:tcPr>
            <w:tcW w:w="1248" w:type="dxa"/>
            <w:tcBorders>
              <w:top w:val="single" w:color="auto" w:sz="4" w:space="0"/>
              <w:left w:val="single" w:color="auto" w:sz="4" w:space="0"/>
              <w:bottom w:val="single" w:color="auto" w:sz="4" w:space="0"/>
              <w:right w:val="single" w:color="auto" w:sz="4" w:space="0"/>
            </w:tcBorders>
            <w:vAlign w:val="center"/>
          </w:tcPr>
          <w:p w14:paraId="50BC9BC6">
            <w:pPr>
              <w:adjustRightInd w:val="0"/>
              <w:snapToGrid w:val="0"/>
              <w:jc w:val="center"/>
              <w:rPr>
                <w:b/>
                <w:color w:val="000000"/>
                <w:sz w:val="24"/>
              </w:rPr>
            </w:pPr>
            <w:r>
              <w:rPr>
                <w:rFonts w:hint="eastAsia"/>
                <w:b/>
                <w:color w:val="000000"/>
                <w:sz w:val="24"/>
              </w:rPr>
              <w:t>品牌</w:t>
            </w:r>
          </w:p>
        </w:tc>
        <w:tc>
          <w:tcPr>
            <w:tcW w:w="1248" w:type="dxa"/>
            <w:tcBorders>
              <w:top w:val="single" w:color="auto" w:sz="4" w:space="0"/>
              <w:left w:val="single" w:color="auto" w:sz="4" w:space="0"/>
              <w:bottom w:val="single" w:color="auto" w:sz="4" w:space="0"/>
              <w:right w:val="single" w:color="auto" w:sz="4" w:space="0"/>
            </w:tcBorders>
            <w:vAlign w:val="center"/>
          </w:tcPr>
          <w:p w14:paraId="46759DEA">
            <w:pPr>
              <w:adjustRightInd w:val="0"/>
              <w:snapToGrid w:val="0"/>
              <w:jc w:val="center"/>
              <w:rPr>
                <w:b/>
                <w:color w:val="000000"/>
                <w:sz w:val="24"/>
              </w:rPr>
            </w:pPr>
            <w:r>
              <w:rPr>
                <w:rFonts w:hint="eastAsia"/>
                <w:b/>
                <w:color w:val="000000"/>
                <w:sz w:val="24"/>
              </w:rPr>
              <w:t>规格、型号</w:t>
            </w:r>
          </w:p>
        </w:tc>
        <w:tc>
          <w:tcPr>
            <w:tcW w:w="1026" w:type="dxa"/>
            <w:tcBorders>
              <w:top w:val="single" w:color="auto" w:sz="4" w:space="0"/>
              <w:left w:val="single" w:color="auto" w:sz="4" w:space="0"/>
              <w:bottom w:val="single" w:color="auto" w:sz="4" w:space="0"/>
              <w:right w:val="single" w:color="auto" w:sz="4" w:space="0"/>
            </w:tcBorders>
            <w:vAlign w:val="center"/>
          </w:tcPr>
          <w:p w14:paraId="1422183C">
            <w:pPr>
              <w:adjustRightInd w:val="0"/>
              <w:snapToGrid w:val="0"/>
              <w:jc w:val="center"/>
              <w:rPr>
                <w:b/>
                <w:color w:val="000000"/>
                <w:sz w:val="24"/>
              </w:rPr>
            </w:pPr>
            <w:r>
              <w:rPr>
                <w:rFonts w:hint="eastAsia"/>
                <w:b/>
                <w:color w:val="000000"/>
                <w:sz w:val="24"/>
              </w:rPr>
              <w:t>单价（元）</w:t>
            </w:r>
          </w:p>
        </w:tc>
        <w:tc>
          <w:tcPr>
            <w:tcW w:w="862" w:type="dxa"/>
            <w:tcBorders>
              <w:top w:val="single" w:color="auto" w:sz="4" w:space="0"/>
              <w:left w:val="single" w:color="auto" w:sz="4" w:space="0"/>
              <w:bottom w:val="single" w:color="auto" w:sz="4" w:space="0"/>
              <w:right w:val="single" w:color="auto" w:sz="4" w:space="0"/>
            </w:tcBorders>
            <w:vAlign w:val="center"/>
          </w:tcPr>
          <w:p w14:paraId="119B7EED">
            <w:pPr>
              <w:adjustRightInd w:val="0"/>
              <w:snapToGrid w:val="0"/>
              <w:jc w:val="center"/>
              <w:rPr>
                <w:b/>
                <w:color w:val="000000"/>
                <w:sz w:val="24"/>
              </w:rPr>
            </w:pPr>
            <w:r>
              <w:rPr>
                <w:rFonts w:hint="eastAsia"/>
                <w:b/>
                <w:color w:val="000000"/>
                <w:sz w:val="24"/>
              </w:rPr>
              <w:t>数量</w:t>
            </w:r>
          </w:p>
        </w:tc>
        <w:tc>
          <w:tcPr>
            <w:tcW w:w="1033" w:type="dxa"/>
            <w:tcBorders>
              <w:top w:val="single" w:color="auto" w:sz="4" w:space="0"/>
              <w:left w:val="single" w:color="auto" w:sz="4" w:space="0"/>
              <w:bottom w:val="single" w:color="auto" w:sz="4" w:space="0"/>
              <w:right w:val="single" w:color="auto" w:sz="4" w:space="0"/>
            </w:tcBorders>
            <w:vAlign w:val="center"/>
          </w:tcPr>
          <w:p w14:paraId="52050E06">
            <w:pPr>
              <w:adjustRightInd w:val="0"/>
              <w:snapToGrid w:val="0"/>
              <w:jc w:val="center"/>
              <w:rPr>
                <w:b/>
                <w:color w:val="000000"/>
                <w:sz w:val="24"/>
              </w:rPr>
            </w:pPr>
            <w:r>
              <w:rPr>
                <w:rFonts w:hint="eastAsia"/>
                <w:b/>
                <w:color w:val="000000"/>
                <w:sz w:val="24"/>
              </w:rPr>
              <w:t>合价（元）</w:t>
            </w:r>
          </w:p>
        </w:tc>
      </w:tr>
      <w:tr w14:paraId="09E0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top w:val="single" w:color="auto" w:sz="4" w:space="0"/>
              <w:left w:val="single" w:color="auto" w:sz="4" w:space="0"/>
              <w:bottom w:val="single" w:color="auto" w:sz="4" w:space="0"/>
              <w:right w:val="single" w:color="auto" w:sz="4" w:space="0"/>
            </w:tcBorders>
            <w:vAlign w:val="center"/>
          </w:tcPr>
          <w:p w14:paraId="63892FC8">
            <w:pPr>
              <w:adjustRightInd w:val="0"/>
              <w:snapToGrid w:val="0"/>
              <w:jc w:val="left"/>
              <w:rPr>
                <w:color w:val="000000"/>
                <w:sz w:val="24"/>
              </w:rPr>
            </w:pPr>
            <w:r>
              <w:rPr>
                <w:color w:val="000000"/>
                <w:sz w:val="24"/>
              </w:rPr>
              <w:t>1</w:t>
            </w:r>
          </w:p>
        </w:tc>
        <w:tc>
          <w:tcPr>
            <w:tcW w:w="1044" w:type="dxa"/>
            <w:tcBorders>
              <w:top w:val="single" w:color="auto" w:sz="4" w:space="0"/>
              <w:left w:val="single" w:color="auto" w:sz="4" w:space="0"/>
              <w:bottom w:val="single" w:color="auto" w:sz="4" w:space="0"/>
              <w:right w:val="single" w:color="auto" w:sz="4" w:space="0"/>
            </w:tcBorders>
            <w:vAlign w:val="center"/>
          </w:tcPr>
          <w:p w14:paraId="4795C87E">
            <w:pPr>
              <w:adjustRightInd w:val="0"/>
              <w:snapToGrid w:val="0"/>
              <w:jc w:val="left"/>
              <w:rPr>
                <w:color w:val="00000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28495E00">
            <w:pPr>
              <w:adjustRightInd w:val="0"/>
              <w:snapToGrid w:val="0"/>
              <w:jc w:val="left"/>
              <w:rPr>
                <w:color w:val="000000"/>
                <w:sz w:val="24"/>
              </w:rPr>
            </w:pPr>
          </w:p>
        </w:tc>
        <w:tc>
          <w:tcPr>
            <w:tcW w:w="941" w:type="dxa"/>
            <w:tcBorders>
              <w:top w:val="single" w:color="auto" w:sz="4" w:space="0"/>
              <w:left w:val="single" w:color="auto" w:sz="4" w:space="0"/>
              <w:bottom w:val="single" w:color="auto" w:sz="4" w:space="0"/>
              <w:right w:val="single" w:color="auto" w:sz="4" w:space="0"/>
            </w:tcBorders>
          </w:tcPr>
          <w:p w14:paraId="5DCD43D2">
            <w:pPr>
              <w:adjustRightInd w:val="0"/>
              <w:snapToGrid w:val="0"/>
              <w:jc w:val="left"/>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19BD1A1D">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6B2BD814">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7061550C">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0D1F4880">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7D547DDC">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69164A15">
            <w:pPr>
              <w:adjustRightInd w:val="0"/>
              <w:snapToGrid w:val="0"/>
              <w:jc w:val="left"/>
              <w:rPr>
                <w:color w:val="000000"/>
                <w:sz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47D80B7E">
            <w:pPr>
              <w:adjustRightInd w:val="0"/>
              <w:snapToGrid w:val="0"/>
              <w:jc w:val="left"/>
              <w:rPr>
                <w:color w:val="000000"/>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0EEEE125">
            <w:pPr>
              <w:adjustRightInd w:val="0"/>
              <w:snapToGrid w:val="0"/>
              <w:jc w:val="left"/>
              <w:rPr>
                <w:color w:val="000000"/>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78A533A6">
            <w:pPr>
              <w:adjustRightInd w:val="0"/>
              <w:snapToGrid w:val="0"/>
              <w:jc w:val="left"/>
              <w:rPr>
                <w:color w:val="000000"/>
                <w:sz w:val="24"/>
              </w:rPr>
            </w:pPr>
          </w:p>
        </w:tc>
      </w:tr>
      <w:tr w14:paraId="7785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top w:val="single" w:color="auto" w:sz="4" w:space="0"/>
              <w:left w:val="single" w:color="auto" w:sz="4" w:space="0"/>
              <w:bottom w:val="single" w:color="auto" w:sz="4" w:space="0"/>
              <w:right w:val="single" w:color="auto" w:sz="4" w:space="0"/>
            </w:tcBorders>
            <w:vAlign w:val="center"/>
          </w:tcPr>
          <w:p w14:paraId="160B87A2">
            <w:pPr>
              <w:adjustRightInd w:val="0"/>
              <w:snapToGrid w:val="0"/>
              <w:jc w:val="left"/>
              <w:rPr>
                <w:color w:val="000000"/>
                <w:sz w:val="24"/>
              </w:rPr>
            </w:pPr>
            <w:r>
              <w:rPr>
                <w:color w:val="000000"/>
                <w:sz w:val="24"/>
              </w:rPr>
              <w:t>2</w:t>
            </w:r>
          </w:p>
        </w:tc>
        <w:tc>
          <w:tcPr>
            <w:tcW w:w="1044" w:type="dxa"/>
            <w:tcBorders>
              <w:top w:val="single" w:color="auto" w:sz="4" w:space="0"/>
              <w:left w:val="single" w:color="auto" w:sz="4" w:space="0"/>
              <w:bottom w:val="single" w:color="auto" w:sz="4" w:space="0"/>
              <w:right w:val="single" w:color="auto" w:sz="4" w:space="0"/>
            </w:tcBorders>
            <w:vAlign w:val="center"/>
          </w:tcPr>
          <w:p w14:paraId="7FB52BFB">
            <w:pPr>
              <w:adjustRightInd w:val="0"/>
              <w:snapToGrid w:val="0"/>
              <w:jc w:val="left"/>
              <w:rPr>
                <w:color w:val="00000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05DDCA2F">
            <w:pPr>
              <w:adjustRightInd w:val="0"/>
              <w:snapToGrid w:val="0"/>
              <w:jc w:val="left"/>
              <w:rPr>
                <w:color w:val="000000"/>
                <w:sz w:val="24"/>
              </w:rPr>
            </w:pPr>
          </w:p>
        </w:tc>
        <w:tc>
          <w:tcPr>
            <w:tcW w:w="941" w:type="dxa"/>
            <w:tcBorders>
              <w:top w:val="single" w:color="auto" w:sz="4" w:space="0"/>
              <w:left w:val="single" w:color="auto" w:sz="4" w:space="0"/>
              <w:bottom w:val="single" w:color="auto" w:sz="4" w:space="0"/>
              <w:right w:val="single" w:color="auto" w:sz="4" w:space="0"/>
            </w:tcBorders>
          </w:tcPr>
          <w:p w14:paraId="002CB271">
            <w:pPr>
              <w:adjustRightInd w:val="0"/>
              <w:snapToGrid w:val="0"/>
              <w:jc w:val="left"/>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52E26319">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6B4A6244">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243ACB5D">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22563CAD">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0C72EE57">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1DE3B41F">
            <w:pPr>
              <w:adjustRightInd w:val="0"/>
              <w:snapToGrid w:val="0"/>
              <w:jc w:val="left"/>
              <w:rPr>
                <w:color w:val="000000"/>
                <w:sz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55CDE9EE">
            <w:pPr>
              <w:adjustRightInd w:val="0"/>
              <w:snapToGrid w:val="0"/>
              <w:jc w:val="left"/>
              <w:rPr>
                <w:color w:val="000000"/>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0CF9C2F5">
            <w:pPr>
              <w:adjustRightInd w:val="0"/>
              <w:snapToGrid w:val="0"/>
              <w:jc w:val="left"/>
              <w:rPr>
                <w:color w:val="000000"/>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6F428471">
            <w:pPr>
              <w:adjustRightInd w:val="0"/>
              <w:snapToGrid w:val="0"/>
              <w:jc w:val="left"/>
              <w:rPr>
                <w:color w:val="000000"/>
                <w:sz w:val="24"/>
              </w:rPr>
            </w:pPr>
          </w:p>
        </w:tc>
      </w:tr>
      <w:tr w14:paraId="3E6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top w:val="single" w:color="auto" w:sz="4" w:space="0"/>
              <w:left w:val="single" w:color="auto" w:sz="4" w:space="0"/>
              <w:bottom w:val="single" w:color="auto" w:sz="4" w:space="0"/>
              <w:right w:val="single" w:color="auto" w:sz="4" w:space="0"/>
            </w:tcBorders>
            <w:vAlign w:val="center"/>
          </w:tcPr>
          <w:p w14:paraId="41A98E60">
            <w:pPr>
              <w:adjustRightInd w:val="0"/>
              <w:snapToGrid w:val="0"/>
              <w:jc w:val="left"/>
              <w:rPr>
                <w:color w:val="000000"/>
                <w:sz w:val="24"/>
              </w:rPr>
            </w:pPr>
            <w:r>
              <w:rPr>
                <w:color w:val="000000"/>
                <w:sz w:val="24"/>
              </w:rPr>
              <w:t>3</w:t>
            </w:r>
          </w:p>
        </w:tc>
        <w:tc>
          <w:tcPr>
            <w:tcW w:w="1044" w:type="dxa"/>
            <w:tcBorders>
              <w:top w:val="single" w:color="auto" w:sz="4" w:space="0"/>
              <w:left w:val="single" w:color="auto" w:sz="4" w:space="0"/>
              <w:bottom w:val="single" w:color="auto" w:sz="4" w:space="0"/>
              <w:right w:val="single" w:color="auto" w:sz="4" w:space="0"/>
            </w:tcBorders>
            <w:vAlign w:val="center"/>
          </w:tcPr>
          <w:p w14:paraId="3CB2F310">
            <w:pPr>
              <w:adjustRightInd w:val="0"/>
              <w:snapToGrid w:val="0"/>
              <w:jc w:val="left"/>
              <w:rPr>
                <w:color w:val="00000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551AB6FE">
            <w:pPr>
              <w:adjustRightInd w:val="0"/>
              <w:snapToGrid w:val="0"/>
              <w:jc w:val="left"/>
              <w:rPr>
                <w:color w:val="000000"/>
                <w:sz w:val="24"/>
              </w:rPr>
            </w:pPr>
          </w:p>
        </w:tc>
        <w:tc>
          <w:tcPr>
            <w:tcW w:w="941" w:type="dxa"/>
            <w:tcBorders>
              <w:top w:val="single" w:color="auto" w:sz="4" w:space="0"/>
              <w:left w:val="single" w:color="auto" w:sz="4" w:space="0"/>
              <w:bottom w:val="single" w:color="auto" w:sz="4" w:space="0"/>
              <w:right w:val="single" w:color="auto" w:sz="4" w:space="0"/>
            </w:tcBorders>
          </w:tcPr>
          <w:p w14:paraId="02C79891">
            <w:pPr>
              <w:adjustRightInd w:val="0"/>
              <w:snapToGrid w:val="0"/>
              <w:jc w:val="left"/>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773585DB">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7E3D1BDE">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0D3FCBA2">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7703BCF6">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70D5C33A">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4A628E3F">
            <w:pPr>
              <w:adjustRightInd w:val="0"/>
              <w:snapToGrid w:val="0"/>
              <w:jc w:val="left"/>
              <w:rPr>
                <w:color w:val="000000"/>
                <w:sz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16283EA0">
            <w:pPr>
              <w:adjustRightInd w:val="0"/>
              <w:snapToGrid w:val="0"/>
              <w:jc w:val="left"/>
              <w:rPr>
                <w:color w:val="000000"/>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7E134950">
            <w:pPr>
              <w:adjustRightInd w:val="0"/>
              <w:snapToGrid w:val="0"/>
              <w:jc w:val="left"/>
              <w:rPr>
                <w:color w:val="000000"/>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0BAC59F8">
            <w:pPr>
              <w:adjustRightInd w:val="0"/>
              <w:snapToGrid w:val="0"/>
              <w:jc w:val="left"/>
              <w:rPr>
                <w:color w:val="000000"/>
                <w:sz w:val="24"/>
              </w:rPr>
            </w:pPr>
          </w:p>
        </w:tc>
      </w:tr>
      <w:tr w14:paraId="30D3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top w:val="single" w:color="auto" w:sz="4" w:space="0"/>
              <w:left w:val="single" w:color="auto" w:sz="4" w:space="0"/>
              <w:bottom w:val="single" w:color="auto" w:sz="4" w:space="0"/>
              <w:right w:val="single" w:color="auto" w:sz="4" w:space="0"/>
            </w:tcBorders>
            <w:vAlign w:val="center"/>
          </w:tcPr>
          <w:p w14:paraId="30654CA1">
            <w:pPr>
              <w:adjustRightInd w:val="0"/>
              <w:snapToGrid w:val="0"/>
              <w:jc w:val="left"/>
              <w:rPr>
                <w:color w:val="000000"/>
                <w:sz w:val="24"/>
              </w:rPr>
            </w:pPr>
            <w:r>
              <w:rPr>
                <w:color w:val="000000"/>
                <w:sz w:val="24"/>
              </w:rPr>
              <w:t>4</w:t>
            </w:r>
          </w:p>
        </w:tc>
        <w:tc>
          <w:tcPr>
            <w:tcW w:w="1044" w:type="dxa"/>
            <w:tcBorders>
              <w:top w:val="single" w:color="auto" w:sz="4" w:space="0"/>
              <w:left w:val="single" w:color="auto" w:sz="4" w:space="0"/>
              <w:bottom w:val="single" w:color="auto" w:sz="4" w:space="0"/>
              <w:right w:val="single" w:color="auto" w:sz="4" w:space="0"/>
            </w:tcBorders>
            <w:vAlign w:val="center"/>
          </w:tcPr>
          <w:p w14:paraId="3602470A">
            <w:pPr>
              <w:adjustRightInd w:val="0"/>
              <w:snapToGrid w:val="0"/>
              <w:jc w:val="left"/>
              <w:rPr>
                <w:color w:val="00000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1B2FC9CC">
            <w:pPr>
              <w:adjustRightInd w:val="0"/>
              <w:snapToGrid w:val="0"/>
              <w:jc w:val="left"/>
              <w:rPr>
                <w:color w:val="000000"/>
                <w:sz w:val="24"/>
              </w:rPr>
            </w:pPr>
          </w:p>
        </w:tc>
        <w:tc>
          <w:tcPr>
            <w:tcW w:w="941" w:type="dxa"/>
            <w:tcBorders>
              <w:top w:val="single" w:color="auto" w:sz="4" w:space="0"/>
              <w:left w:val="single" w:color="auto" w:sz="4" w:space="0"/>
              <w:bottom w:val="single" w:color="auto" w:sz="4" w:space="0"/>
              <w:right w:val="single" w:color="auto" w:sz="4" w:space="0"/>
            </w:tcBorders>
          </w:tcPr>
          <w:p w14:paraId="1492DA26">
            <w:pPr>
              <w:adjustRightInd w:val="0"/>
              <w:snapToGrid w:val="0"/>
              <w:jc w:val="left"/>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2587B78D">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1A28E19A">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211DDAC9">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284BF996">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224446A6">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78AE8985">
            <w:pPr>
              <w:adjustRightInd w:val="0"/>
              <w:snapToGrid w:val="0"/>
              <w:jc w:val="left"/>
              <w:rPr>
                <w:color w:val="000000"/>
                <w:sz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52FBFE2F">
            <w:pPr>
              <w:adjustRightInd w:val="0"/>
              <w:snapToGrid w:val="0"/>
              <w:jc w:val="left"/>
              <w:rPr>
                <w:color w:val="000000"/>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08FD1B50">
            <w:pPr>
              <w:adjustRightInd w:val="0"/>
              <w:snapToGrid w:val="0"/>
              <w:jc w:val="left"/>
              <w:rPr>
                <w:color w:val="000000"/>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14199BEB">
            <w:pPr>
              <w:adjustRightInd w:val="0"/>
              <w:snapToGrid w:val="0"/>
              <w:jc w:val="left"/>
              <w:rPr>
                <w:color w:val="000000"/>
                <w:sz w:val="24"/>
              </w:rPr>
            </w:pPr>
          </w:p>
        </w:tc>
      </w:tr>
      <w:tr w14:paraId="603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tcBorders>
              <w:top w:val="single" w:color="auto" w:sz="4" w:space="0"/>
              <w:left w:val="single" w:color="auto" w:sz="4" w:space="0"/>
              <w:bottom w:val="single" w:color="auto" w:sz="4" w:space="0"/>
              <w:right w:val="single" w:color="auto" w:sz="4" w:space="0"/>
            </w:tcBorders>
            <w:vAlign w:val="center"/>
          </w:tcPr>
          <w:p w14:paraId="207E300D">
            <w:pPr>
              <w:adjustRightInd w:val="0"/>
              <w:snapToGrid w:val="0"/>
              <w:jc w:val="left"/>
              <w:rPr>
                <w:color w:val="000000"/>
                <w:sz w:val="24"/>
              </w:rPr>
            </w:pPr>
            <w:r>
              <w:rPr>
                <w:color w:val="000000"/>
                <w:sz w:val="24"/>
              </w:rPr>
              <w:t>…</w:t>
            </w:r>
          </w:p>
        </w:tc>
        <w:tc>
          <w:tcPr>
            <w:tcW w:w="1044" w:type="dxa"/>
            <w:tcBorders>
              <w:top w:val="single" w:color="auto" w:sz="4" w:space="0"/>
              <w:left w:val="single" w:color="auto" w:sz="4" w:space="0"/>
              <w:bottom w:val="single" w:color="auto" w:sz="4" w:space="0"/>
              <w:right w:val="single" w:color="auto" w:sz="4" w:space="0"/>
            </w:tcBorders>
            <w:vAlign w:val="center"/>
          </w:tcPr>
          <w:p w14:paraId="253F3ECF">
            <w:pPr>
              <w:adjustRightInd w:val="0"/>
              <w:snapToGrid w:val="0"/>
              <w:jc w:val="left"/>
              <w:rPr>
                <w:color w:val="000000"/>
                <w:sz w:val="24"/>
              </w:rPr>
            </w:pPr>
          </w:p>
        </w:tc>
        <w:tc>
          <w:tcPr>
            <w:tcW w:w="1322" w:type="dxa"/>
            <w:tcBorders>
              <w:top w:val="single" w:color="auto" w:sz="4" w:space="0"/>
              <w:left w:val="single" w:color="auto" w:sz="4" w:space="0"/>
              <w:bottom w:val="single" w:color="auto" w:sz="4" w:space="0"/>
              <w:right w:val="single" w:color="auto" w:sz="4" w:space="0"/>
            </w:tcBorders>
            <w:vAlign w:val="center"/>
          </w:tcPr>
          <w:p w14:paraId="23D8718C">
            <w:pPr>
              <w:adjustRightInd w:val="0"/>
              <w:snapToGrid w:val="0"/>
              <w:jc w:val="left"/>
              <w:rPr>
                <w:color w:val="000000"/>
                <w:sz w:val="24"/>
              </w:rPr>
            </w:pPr>
          </w:p>
        </w:tc>
        <w:tc>
          <w:tcPr>
            <w:tcW w:w="941" w:type="dxa"/>
            <w:tcBorders>
              <w:top w:val="single" w:color="auto" w:sz="4" w:space="0"/>
              <w:left w:val="single" w:color="auto" w:sz="4" w:space="0"/>
              <w:bottom w:val="single" w:color="auto" w:sz="4" w:space="0"/>
              <w:right w:val="single" w:color="auto" w:sz="4" w:space="0"/>
            </w:tcBorders>
          </w:tcPr>
          <w:p w14:paraId="2963AEC3">
            <w:pPr>
              <w:adjustRightInd w:val="0"/>
              <w:snapToGrid w:val="0"/>
              <w:jc w:val="left"/>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438ABD77">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123CA156">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063B7C29">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tcPr>
          <w:p w14:paraId="6336AE1B">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5C00531C">
            <w:pPr>
              <w:adjustRightInd w:val="0"/>
              <w:snapToGrid w:val="0"/>
              <w:jc w:val="center"/>
              <w:rPr>
                <w:color w:val="000000"/>
                <w:sz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5796420B">
            <w:pPr>
              <w:adjustRightInd w:val="0"/>
              <w:snapToGrid w:val="0"/>
              <w:jc w:val="left"/>
              <w:rPr>
                <w:color w:val="000000"/>
                <w:sz w:val="24"/>
              </w:rPr>
            </w:pPr>
          </w:p>
        </w:tc>
        <w:tc>
          <w:tcPr>
            <w:tcW w:w="1026" w:type="dxa"/>
            <w:tcBorders>
              <w:top w:val="single" w:color="auto" w:sz="4" w:space="0"/>
              <w:left w:val="single" w:color="auto" w:sz="4" w:space="0"/>
              <w:bottom w:val="single" w:color="auto" w:sz="4" w:space="0"/>
              <w:right w:val="single" w:color="auto" w:sz="4" w:space="0"/>
            </w:tcBorders>
            <w:vAlign w:val="center"/>
          </w:tcPr>
          <w:p w14:paraId="15CFB7B9">
            <w:pPr>
              <w:adjustRightInd w:val="0"/>
              <w:snapToGrid w:val="0"/>
              <w:jc w:val="left"/>
              <w:rPr>
                <w:color w:val="000000"/>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1F253A2C">
            <w:pPr>
              <w:adjustRightInd w:val="0"/>
              <w:snapToGrid w:val="0"/>
              <w:jc w:val="left"/>
              <w:rPr>
                <w:color w:val="000000"/>
                <w:sz w:val="24"/>
              </w:rPr>
            </w:pPr>
          </w:p>
        </w:tc>
        <w:tc>
          <w:tcPr>
            <w:tcW w:w="1033" w:type="dxa"/>
            <w:tcBorders>
              <w:top w:val="single" w:color="auto" w:sz="4" w:space="0"/>
              <w:left w:val="single" w:color="auto" w:sz="4" w:space="0"/>
              <w:bottom w:val="single" w:color="auto" w:sz="4" w:space="0"/>
              <w:right w:val="single" w:color="auto" w:sz="4" w:space="0"/>
            </w:tcBorders>
            <w:vAlign w:val="center"/>
          </w:tcPr>
          <w:p w14:paraId="7202258E">
            <w:pPr>
              <w:adjustRightInd w:val="0"/>
              <w:snapToGrid w:val="0"/>
              <w:jc w:val="left"/>
              <w:rPr>
                <w:color w:val="000000"/>
                <w:sz w:val="24"/>
              </w:rPr>
            </w:pPr>
          </w:p>
        </w:tc>
      </w:tr>
      <w:tr w14:paraId="7C9D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1" w:type="dxa"/>
            <w:gridSpan w:val="12"/>
            <w:tcBorders>
              <w:top w:val="single" w:color="auto" w:sz="4" w:space="0"/>
              <w:left w:val="single" w:color="auto" w:sz="4" w:space="0"/>
              <w:bottom w:val="single" w:color="auto" w:sz="4" w:space="0"/>
              <w:right w:val="single" w:color="auto" w:sz="4" w:space="0"/>
            </w:tcBorders>
            <w:vAlign w:val="center"/>
          </w:tcPr>
          <w:p w14:paraId="01215F69">
            <w:pPr>
              <w:adjustRightInd w:val="0"/>
              <w:snapToGrid w:val="0"/>
              <w:jc w:val="right"/>
              <w:rPr>
                <w:b/>
                <w:bCs/>
                <w:color w:val="000000"/>
                <w:sz w:val="24"/>
              </w:rPr>
            </w:pPr>
            <w:r>
              <w:rPr>
                <w:rFonts w:hint="eastAsia"/>
                <w:b/>
                <w:bCs/>
                <w:color w:val="000000"/>
                <w:sz w:val="24"/>
              </w:rPr>
              <w:t>总价（元）</w:t>
            </w:r>
          </w:p>
        </w:tc>
        <w:tc>
          <w:tcPr>
            <w:tcW w:w="1033" w:type="dxa"/>
            <w:tcBorders>
              <w:top w:val="single" w:color="auto" w:sz="4" w:space="0"/>
              <w:left w:val="single" w:color="auto" w:sz="4" w:space="0"/>
              <w:bottom w:val="single" w:color="auto" w:sz="4" w:space="0"/>
              <w:right w:val="single" w:color="auto" w:sz="4" w:space="0"/>
            </w:tcBorders>
            <w:vAlign w:val="center"/>
          </w:tcPr>
          <w:p w14:paraId="1ED41877">
            <w:pPr>
              <w:adjustRightInd w:val="0"/>
              <w:snapToGrid w:val="0"/>
              <w:jc w:val="left"/>
              <w:rPr>
                <w:color w:val="000000"/>
                <w:sz w:val="24"/>
              </w:rPr>
            </w:pPr>
          </w:p>
        </w:tc>
      </w:tr>
    </w:tbl>
    <w:p w14:paraId="106AB4A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b/>
          <w:bCs w:val="0"/>
          <w:i w:val="0"/>
          <w:iCs/>
          <w:color w:val="auto"/>
          <w:sz w:val="24"/>
        </w:rPr>
      </w:pPr>
    </w:p>
    <w:p w14:paraId="602D17A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b/>
          <w:bCs w:val="0"/>
          <w:i w:val="0"/>
          <w:iCs/>
          <w:color w:val="auto"/>
          <w:sz w:val="24"/>
        </w:rPr>
      </w:pPr>
      <w:r>
        <w:rPr>
          <w:b/>
          <w:bCs w:val="0"/>
          <w:i w:val="0"/>
          <w:iCs/>
          <w:color w:val="auto"/>
          <w:sz w:val="24"/>
        </w:rPr>
        <w:t>说明：制造商规模请填写</w:t>
      </w:r>
      <w:bookmarkStart w:id="735" w:name="_Hlk168431944"/>
      <w:r>
        <w:rPr>
          <w:b/>
          <w:bCs w:val="0"/>
          <w:i w:val="0"/>
          <w:iCs/>
          <w:color w:val="auto"/>
          <w:sz w:val="24"/>
        </w:rPr>
        <w:t>“</w:t>
      </w:r>
      <w:r>
        <w:rPr>
          <w:rFonts w:hint="eastAsia"/>
          <w:b/>
          <w:bCs w:val="0"/>
          <w:i w:val="0"/>
          <w:iCs/>
          <w:color w:val="auto"/>
          <w:sz w:val="24"/>
        </w:rPr>
        <w:t>大</w:t>
      </w:r>
      <w:r>
        <w:rPr>
          <w:b/>
          <w:bCs w:val="0"/>
          <w:i w:val="0"/>
          <w:iCs/>
          <w:color w:val="auto"/>
          <w:sz w:val="24"/>
        </w:rPr>
        <w:t>型”、</w:t>
      </w:r>
      <w:bookmarkEnd w:id="735"/>
      <w:r>
        <w:rPr>
          <w:b/>
          <w:bCs w:val="0"/>
          <w:i w:val="0"/>
          <w:iCs/>
          <w:color w:val="auto"/>
          <w:sz w:val="24"/>
        </w:rPr>
        <w:t>“中型”、“小型”、“微型”或“其他”，中小企业的定义见第二章《</w:t>
      </w:r>
      <w:r>
        <w:rPr>
          <w:rFonts w:hint="eastAsia"/>
          <w:b/>
          <w:bCs w:val="0"/>
          <w:i w:val="0"/>
          <w:iCs/>
          <w:color w:val="auto"/>
          <w:sz w:val="24"/>
        </w:rPr>
        <w:t>供应商</w:t>
      </w:r>
      <w:r>
        <w:rPr>
          <w:b/>
          <w:bCs w:val="0"/>
          <w:i w:val="0"/>
          <w:iCs/>
          <w:color w:val="auto"/>
          <w:sz w:val="24"/>
        </w:rPr>
        <w:t>须知》。</w:t>
      </w:r>
    </w:p>
    <w:p w14:paraId="4041A52D">
      <w:pPr>
        <w:keepNext w:val="0"/>
        <w:keepLines w:val="0"/>
        <w:pageBreakBefore w:val="0"/>
        <w:widowControl w:val="0"/>
        <w:tabs>
          <w:tab w:val="left" w:pos="1800"/>
          <w:tab w:val="left" w:pos="5580"/>
        </w:tabs>
        <w:kinsoku/>
        <w:wordWrap/>
        <w:overflowPunct/>
        <w:topLinePunct w:val="0"/>
        <w:autoSpaceDE/>
        <w:autoSpaceDN/>
        <w:bidi w:val="0"/>
        <w:ind w:firstLine="0" w:firstLineChars="0"/>
        <w:jc w:val="left"/>
        <w:textAlignment w:val="auto"/>
        <w:rPr>
          <w:b/>
          <w:bCs w:val="0"/>
          <w:i w:val="0"/>
          <w:iCs/>
          <w:color w:val="auto"/>
          <w:sz w:val="24"/>
        </w:rPr>
      </w:pPr>
      <w:r>
        <w:rPr>
          <w:b/>
          <w:bCs w:val="0"/>
          <w:i w:val="0"/>
          <w:iCs/>
          <w:color w:val="auto"/>
          <w:sz w:val="24"/>
        </w:rPr>
        <w:t>制造商所属性别请填写“男”</w:t>
      </w:r>
      <w:r>
        <w:rPr>
          <w:rFonts w:hint="eastAsia"/>
          <w:b/>
          <w:bCs w:val="0"/>
          <w:i w:val="0"/>
          <w:iCs/>
          <w:color w:val="auto"/>
          <w:sz w:val="24"/>
        </w:rPr>
        <w:t>或</w:t>
      </w:r>
      <w:r>
        <w:rPr>
          <w:b/>
          <w:bCs w:val="0"/>
          <w:i w:val="0"/>
          <w:iCs/>
          <w:color w:val="auto"/>
          <w:sz w:val="24"/>
        </w:rPr>
        <w:t>“女”，</w:t>
      </w:r>
      <w:r>
        <w:rPr>
          <w:rFonts w:hint="eastAsia"/>
          <w:b/>
          <w:bCs w:val="0"/>
          <w:i w:val="0"/>
          <w:iCs/>
          <w:color w:val="auto"/>
          <w:sz w:val="24"/>
        </w:rPr>
        <w:t xml:space="preserve"> 指拥有制造商5</w:t>
      </w:r>
      <w:r>
        <w:rPr>
          <w:b/>
          <w:bCs w:val="0"/>
          <w:i w:val="0"/>
          <w:iCs/>
          <w:color w:val="auto"/>
          <w:sz w:val="24"/>
        </w:rPr>
        <w:t>1%</w:t>
      </w:r>
      <w:r>
        <w:rPr>
          <w:rFonts w:hint="eastAsia"/>
          <w:b/>
          <w:bCs w:val="0"/>
          <w:i w:val="0"/>
          <w:iCs/>
          <w:color w:val="auto"/>
          <w:sz w:val="24"/>
        </w:rPr>
        <w:t>以上绝对所有权的性别；绝对所有权拥有者可以是一个人，也可以是多人合计计算</w:t>
      </w:r>
      <w:r>
        <w:rPr>
          <w:b/>
          <w:bCs w:val="0"/>
          <w:i w:val="0"/>
          <w:iCs/>
          <w:color w:val="auto"/>
          <w:sz w:val="24"/>
        </w:rPr>
        <w:t>。</w:t>
      </w:r>
    </w:p>
    <w:p w14:paraId="7A6AA915">
      <w:pPr>
        <w:keepNext w:val="0"/>
        <w:keepLines w:val="0"/>
        <w:pageBreakBefore w:val="0"/>
        <w:widowControl w:val="0"/>
        <w:tabs>
          <w:tab w:val="left" w:pos="1800"/>
          <w:tab w:val="left" w:pos="5580"/>
        </w:tabs>
        <w:kinsoku/>
        <w:wordWrap/>
        <w:overflowPunct/>
        <w:topLinePunct w:val="0"/>
        <w:autoSpaceDE/>
        <w:autoSpaceDN/>
        <w:bidi w:val="0"/>
        <w:ind w:firstLine="0" w:firstLineChars="0"/>
        <w:jc w:val="left"/>
        <w:textAlignment w:val="auto"/>
        <w:rPr>
          <w:b/>
          <w:bCs w:val="0"/>
          <w:i w:val="0"/>
          <w:iCs/>
          <w:color w:val="auto"/>
          <w:sz w:val="24"/>
        </w:rPr>
      </w:pPr>
      <w:r>
        <w:rPr>
          <w:b/>
          <w:bCs w:val="0"/>
          <w:i w:val="0"/>
          <w:iCs/>
          <w:color w:val="auto"/>
          <w:sz w:val="24"/>
        </w:rPr>
        <w:t>外商投资类型请填写“外商单独投资”、“外商部分投资”</w:t>
      </w:r>
      <w:r>
        <w:rPr>
          <w:rFonts w:hint="eastAsia"/>
          <w:b/>
          <w:bCs w:val="0"/>
          <w:i w:val="0"/>
          <w:iCs/>
          <w:color w:val="auto"/>
          <w:sz w:val="24"/>
        </w:rPr>
        <w:t>或</w:t>
      </w:r>
      <w:r>
        <w:rPr>
          <w:b/>
          <w:bCs w:val="0"/>
          <w:i w:val="0"/>
          <w:iCs/>
          <w:color w:val="auto"/>
          <w:sz w:val="24"/>
        </w:rPr>
        <w:t>“内资”。</w:t>
      </w:r>
      <w:bookmarkEnd w:id="734"/>
    </w:p>
    <w:p w14:paraId="41E28D59">
      <w:pPr>
        <w:tabs>
          <w:tab w:val="left" w:pos="1800"/>
          <w:tab w:val="left" w:pos="5580"/>
        </w:tabs>
        <w:jc w:val="left"/>
        <w:rPr>
          <w:color w:val="000000"/>
          <w:sz w:val="24"/>
        </w:rPr>
      </w:pPr>
    </w:p>
    <w:p w14:paraId="3F3847B6">
      <w:pPr>
        <w:tabs>
          <w:tab w:val="left" w:pos="1800"/>
          <w:tab w:val="left" w:pos="5580"/>
        </w:tabs>
        <w:ind w:firstLine="480" w:firstLineChars="200"/>
        <w:jc w:val="left"/>
        <w:rPr>
          <w:color w:val="000000"/>
          <w:sz w:val="24"/>
        </w:rPr>
      </w:pPr>
    </w:p>
    <w:p w14:paraId="7259189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F1C62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29141806">
      <w:pPr>
        <w:autoSpaceDE w:val="0"/>
        <w:autoSpaceDN w:val="0"/>
        <w:adjustRightInd w:val="0"/>
        <w:snapToGrid w:val="0"/>
        <w:spacing w:before="25" w:after="25" w:line="360" w:lineRule="auto"/>
        <w:rPr>
          <w:color w:val="000000"/>
          <w:sz w:val="24"/>
          <w:lang w:val="zh-CN"/>
        </w:rPr>
      </w:pPr>
      <w:r>
        <w:rPr>
          <w:color w:val="000000"/>
          <w:sz w:val="24"/>
          <w:szCs w:val="20"/>
        </w:rPr>
        <w:t>日期：_____年______月______日</w:t>
      </w:r>
    </w:p>
    <w:p w14:paraId="2E6B91A1">
      <w:pPr>
        <w:numPr>
          <w:ilvl w:val="0"/>
          <w:numId w:val="29"/>
        </w:numPr>
        <w:tabs>
          <w:tab w:val="left" w:pos="360"/>
        </w:tabs>
        <w:snapToGrid w:val="0"/>
        <w:spacing w:line="360" w:lineRule="auto"/>
        <w:outlineLvl w:val="1"/>
        <w:rPr>
          <w:color w:val="000000"/>
          <w:sz w:val="24"/>
          <w:szCs w:val="20"/>
        </w:rPr>
        <w:sectPr>
          <w:pgSz w:w="16840" w:h="11907" w:orient="landscape"/>
          <w:pgMar w:top="1701" w:right="1418" w:bottom="1134" w:left="1418" w:header="851" w:footer="851" w:gutter="0"/>
          <w:pgNumType w:fmt="decimal"/>
          <w:cols w:space="720" w:num="1"/>
          <w:docGrid w:linePitch="462" w:charSpace="0"/>
        </w:sectPr>
      </w:pPr>
      <w:bookmarkStart w:id="736" w:name="_Toc195842927"/>
      <w:bookmarkStart w:id="737" w:name="_Toc150774765"/>
      <w:bookmarkStart w:id="738" w:name="_Toc150480798"/>
      <w:bookmarkStart w:id="739" w:name="_Toc142311062"/>
      <w:bookmarkStart w:id="740" w:name="_Toc264969252"/>
      <w:bookmarkStart w:id="741" w:name="_Toc226309806"/>
      <w:bookmarkStart w:id="742" w:name="_Toc305158904"/>
      <w:bookmarkStart w:id="743" w:name="_Toc226965835"/>
      <w:bookmarkStart w:id="744" w:name="_Toc226965752"/>
      <w:bookmarkStart w:id="745" w:name="_Toc127151562"/>
      <w:bookmarkStart w:id="746" w:name="_Toc226337258"/>
      <w:bookmarkStart w:id="747" w:name="_Toc265228400"/>
      <w:bookmarkStart w:id="748" w:name="_Toc305158830"/>
      <w:bookmarkStart w:id="749" w:name="_Toc226337257"/>
      <w:bookmarkStart w:id="750" w:name="_Toc150774764"/>
      <w:bookmarkStart w:id="751" w:name="_Toc195842926"/>
      <w:bookmarkStart w:id="752" w:name="_Toc150480797"/>
      <w:bookmarkStart w:id="753" w:name="_Toc142311061"/>
      <w:bookmarkStart w:id="754" w:name="_Toc265228399"/>
      <w:bookmarkStart w:id="755" w:name="_Toc226965834"/>
      <w:bookmarkStart w:id="756" w:name="_Toc226309805"/>
      <w:bookmarkStart w:id="757" w:name="_Toc305158829"/>
      <w:bookmarkStart w:id="758" w:name="_Toc305158903"/>
      <w:bookmarkStart w:id="759" w:name="_Toc127151561"/>
      <w:bookmarkStart w:id="760" w:name="_Toc226965751"/>
      <w:bookmarkStart w:id="761" w:name="_Toc264969251"/>
    </w:p>
    <w:p w14:paraId="36364E7A">
      <w:pPr>
        <w:numPr>
          <w:ilvl w:val="0"/>
          <w:numId w:val="29"/>
        </w:numPr>
        <w:tabs>
          <w:tab w:val="left" w:pos="360"/>
        </w:tabs>
        <w:snapToGrid w:val="0"/>
        <w:spacing w:line="360" w:lineRule="auto"/>
        <w:outlineLvl w:val="1"/>
        <w:rPr>
          <w:color w:val="000000"/>
          <w:sz w:val="24"/>
          <w:szCs w:val="20"/>
        </w:rPr>
      </w:pPr>
      <w:r>
        <w:rPr>
          <w:color w:val="000000"/>
          <w:sz w:val="24"/>
          <w:szCs w:val="20"/>
        </w:rPr>
        <w:t>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r>
        <w:rPr>
          <w:rFonts w:hint="eastAsia"/>
          <w:color w:val="000000"/>
          <w:sz w:val="24"/>
          <w:szCs w:val="20"/>
        </w:rPr>
        <w:t>（实质性格式）</w:t>
      </w:r>
    </w:p>
    <w:p w14:paraId="18B54752">
      <w:pPr>
        <w:spacing w:line="360" w:lineRule="auto"/>
        <w:rPr>
          <w:color w:val="000000"/>
          <w:sz w:val="24"/>
          <w:szCs w:val="20"/>
        </w:rPr>
      </w:pPr>
    </w:p>
    <w:p w14:paraId="48F83EB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BC3D768">
      <w:pPr>
        <w:spacing w:line="360" w:lineRule="auto"/>
        <w:rPr>
          <w:color w:val="000000"/>
          <w:sz w:val="24"/>
          <w:szCs w:val="20"/>
        </w:rPr>
      </w:pPr>
    </w:p>
    <w:p w14:paraId="04E2D7A7">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项目名称：____________________</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6A61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7D6A878">
            <w:pPr>
              <w:adjustRightInd w:val="0"/>
              <w:snapToGrid w:val="0"/>
              <w:jc w:val="center"/>
              <w:rPr>
                <w:color w:val="000000"/>
                <w:sz w:val="24"/>
              </w:rPr>
            </w:pPr>
            <w:r>
              <w:rPr>
                <w:color w:val="000000"/>
                <w:sz w:val="24"/>
              </w:rPr>
              <w:t>序号</w:t>
            </w:r>
          </w:p>
        </w:tc>
        <w:tc>
          <w:tcPr>
            <w:tcW w:w="1561" w:type="dxa"/>
            <w:vAlign w:val="center"/>
          </w:tcPr>
          <w:p w14:paraId="6FEA540A">
            <w:pPr>
              <w:adjustRightInd w:val="0"/>
              <w:snapToGrid w:val="0"/>
              <w:jc w:val="center"/>
              <w:rPr>
                <w:color w:val="000000"/>
                <w:sz w:val="24"/>
              </w:rPr>
            </w:pPr>
            <w:r>
              <w:rPr>
                <w:color w:val="000000"/>
                <w:sz w:val="24"/>
                <w:szCs w:val="21"/>
              </w:rPr>
              <w:t>谈判文件</w:t>
            </w:r>
            <w:r>
              <w:rPr>
                <w:color w:val="000000"/>
                <w:sz w:val="24"/>
              </w:rPr>
              <w:t>条目号（页码）</w:t>
            </w:r>
          </w:p>
        </w:tc>
        <w:tc>
          <w:tcPr>
            <w:tcW w:w="1776" w:type="dxa"/>
            <w:vAlign w:val="center"/>
          </w:tcPr>
          <w:p w14:paraId="6BC09E5A">
            <w:pPr>
              <w:adjustRightInd w:val="0"/>
              <w:snapToGrid w:val="0"/>
              <w:jc w:val="center"/>
              <w:rPr>
                <w:color w:val="000000"/>
                <w:sz w:val="24"/>
              </w:rPr>
            </w:pPr>
            <w:r>
              <w:rPr>
                <w:color w:val="000000"/>
                <w:sz w:val="24"/>
                <w:szCs w:val="21"/>
              </w:rPr>
              <w:t>谈判文件</w:t>
            </w:r>
            <w:r>
              <w:rPr>
                <w:color w:val="000000"/>
                <w:sz w:val="24"/>
              </w:rPr>
              <w:t>要求</w:t>
            </w:r>
          </w:p>
        </w:tc>
        <w:tc>
          <w:tcPr>
            <w:tcW w:w="1778" w:type="dxa"/>
            <w:vAlign w:val="center"/>
          </w:tcPr>
          <w:p w14:paraId="3EE768B6">
            <w:pPr>
              <w:adjustRightInd w:val="0"/>
              <w:snapToGrid w:val="0"/>
              <w:jc w:val="center"/>
              <w:rPr>
                <w:color w:val="000000"/>
                <w:sz w:val="24"/>
              </w:rPr>
            </w:pPr>
            <w:r>
              <w:rPr>
                <w:color w:val="000000"/>
                <w:sz w:val="24"/>
              </w:rPr>
              <w:t>响应文件内容</w:t>
            </w:r>
          </w:p>
        </w:tc>
        <w:tc>
          <w:tcPr>
            <w:tcW w:w="2183" w:type="dxa"/>
            <w:vAlign w:val="center"/>
          </w:tcPr>
          <w:p w14:paraId="7EFB464E">
            <w:pPr>
              <w:adjustRightInd w:val="0"/>
              <w:snapToGrid w:val="0"/>
              <w:jc w:val="center"/>
              <w:rPr>
                <w:color w:val="000000"/>
                <w:sz w:val="24"/>
              </w:rPr>
            </w:pPr>
            <w:r>
              <w:rPr>
                <w:color w:val="000000"/>
                <w:sz w:val="24"/>
              </w:rPr>
              <w:t>偏离情况</w:t>
            </w:r>
          </w:p>
        </w:tc>
        <w:tc>
          <w:tcPr>
            <w:tcW w:w="980" w:type="dxa"/>
            <w:vAlign w:val="center"/>
          </w:tcPr>
          <w:p w14:paraId="4DB76220">
            <w:pPr>
              <w:adjustRightInd w:val="0"/>
              <w:snapToGrid w:val="0"/>
              <w:jc w:val="center"/>
              <w:rPr>
                <w:color w:val="000000"/>
                <w:sz w:val="24"/>
              </w:rPr>
            </w:pPr>
            <w:r>
              <w:rPr>
                <w:color w:val="000000"/>
                <w:sz w:val="24"/>
              </w:rPr>
              <w:t>说明</w:t>
            </w:r>
          </w:p>
        </w:tc>
      </w:tr>
      <w:tr w14:paraId="4F3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257F1D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9189A09">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70EF1041">
            <w:pPr>
              <w:adjustRightInd w:val="0"/>
              <w:snapToGrid w:val="0"/>
              <w:jc w:val="left"/>
              <w:rPr>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52B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053FC46">
            <w:pPr>
              <w:adjustRightInd w:val="0"/>
              <w:snapToGrid w:val="0"/>
              <w:jc w:val="center"/>
              <w:rPr>
                <w:color w:val="000000"/>
                <w:sz w:val="24"/>
              </w:rPr>
            </w:pPr>
          </w:p>
        </w:tc>
        <w:tc>
          <w:tcPr>
            <w:tcW w:w="1561" w:type="dxa"/>
            <w:vAlign w:val="center"/>
          </w:tcPr>
          <w:p w14:paraId="6D674A71">
            <w:pPr>
              <w:adjustRightInd w:val="0"/>
              <w:snapToGrid w:val="0"/>
              <w:jc w:val="center"/>
              <w:rPr>
                <w:color w:val="000000"/>
                <w:sz w:val="24"/>
              </w:rPr>
            </w:pPr>
          </w:p>
        </w:tc>
        <w:tc>
          <w:tcPr>
            <w:tcW w:w="1776" w:type="dxa"/>
            <w:vAlign w:val="center"/>
          </w:tcPr>
          <w:p w14:paraId="64340BBF">
            <w:pPr>
              <w:adjustRightInd w:val="0"/>
              <w:snapToGrid w:val="0"/>
              <w:jc w:val="center"/>
              <w:rPr>
                <w:color w:val="000000"/>
                <w:sz w:val="24"/>
              </w:rPr>
            </w:pPr>
          </w:p>
        </w:tc>
        <w:tc>
          <w:tcPr>
            <w:tcW w:w="1778" w:type="dxa"/>
            <w:vAlign w:val="center"/>
          </w:tcPr>
          <w:p w14:paraId="25B17A41">
            <w:pPr>
              <w:adjustRightInd w:val="0"/>
              <w:snapToGrid w:val="0"/>
              <w:jc w:val="center"/>
              <w:rPr>
                <w:color w:val="000000"/>
                <w:sz w:val="24"/>
              </w:rPr>
            </w:pPr>
          </w:p>
        </w:tc>
        <w:tc>
          <w:tcPr>
            <w:tcW w:w="2183" w:type="dxa"/>
            <w:vAlign w:val="center"/>
          </w:tcPr>
          <w:p w14:paraId="5C6306FB">
            <w:pPr>
              <w:adjustRightInd w:val="0"/>
              <w:snapToGrid w:val="0"/>
              <w:jc w:val="center"/>
              <w:rPr>
                <w:color w:val="000000"/>
                <w:sz w:val="24"/>
              </w:rPr>
            </w:pPr>
          </w:p>
        </w:tc>
        <w:tc>
          <w:tcPr>
            <w:tcW w:w="980" w:type="dxa"/>
            <w:vAlign w:val="center"/>
          </w:tcPr>
          <w:p w14:paraId="659E2364">
            <w:pPr>
              <w:adjustRightInd w:val="0"/>
              <w:snapToGrid w:val="0"/>
              <w:jc w:val="center"/>
              <w:rPr>
                <w:color w:val="000000"/>
                <w:sz w:val="24"/>
              </w:rPr>
            </w:pPr>
          </w:p>
        </w:tc>
      </w:tr>
      <w:tr w14:paraId="10B5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7692979F">
            <w:pPr>
              <w:adjustRightInd w:val="0"/>
              <w:snapToGrid w:val="0"/>
              <w:jc w:val="center"/>
              <w:rPr>
                <w:color w:val="000000"/>
                <w:sz w:val="24"/>
              </w:rPr>
            </w:pPr>
          </w:p>
        </w:tc>
        <w:tc>
          <w:tcPr>
            <w:tcW w:w="1561" w:type="dxa"/>
            <w:vAlign w:val="center"/>
          </w:tcPr>
          <w:p w14:paraId="72BADF30">
            <w:pPr>
              <w:adjustRightInd w:val="0"/>
              <w:snapToGrid w:val="0"/>
              <w:jc w:val="center"/>
              <w:rPr>
                <w:color w:val="000000"/>
                <w:sz w:val="24"/>
              </w:rPr>
            </w:pPr>
          </w:p>
        </w:tc>
        <w:tc>
          <w:tcPr>
            <w:tcW w:w="1776" w:type="dxa"/>
            <w:vAlign w:val="center"/>
          </w:tcPr>
          <w:p w14:paraId="35475AB3">
            <w:pPr>
              <w:adjustRightInd w:val="0"/>
              <w:snapToGrid w:val="0"/>
              <w:jc w:val="center"/>
              <w:rPr>
                <w:color w:val="000000"/>
                <w:sz w:val="24"/>
              </w:rPr>
            </w:pPr>
          </w:p>
        </w:tc>
        <w:tc>
          <w:tcPr>
            <w:tcW w:w="1778" w:type="dxa"/>
            <w:vAlign w:val="center"/>
          </w:tcPr>
          <w:p w14:paraId="4DE29873">
            <w:pPr>
              <w:adjustRightInd w:val="0"/>
              <w:snapToGrid w:val="0"/>
              <w:jc w:val="center"/>
              <w:rPr>
                <w:color w:val="000000"/>
                <w:sz w:val="24"/>
              </w:rPr>
            </w:pPr>
          </w:p>
        </w:tc>
        <w:tc>
          <w:tcPr>
            <w:tcW w:w="2183" w:type="dxa"/>
            <w:vAlign w:val="center"/>
          </w:tcPr>
          <w:p w14:paraId="5EFADE04">
            <w:pPr>
              <w:adjustRightInd w:val="0"/>
              <w:snapToGrid w:val="0"/>
              <w:jc w:val="center"/>
              <w:rPr>
                <w:color w:val="000000"/>
                <w:sz w:val="24"/>
              </w:rPr>
            </w:pPr>
          </w:p>
        </w:tc>
        <w:tc>
          <w:tcPr>
            <w:tcW w:w="980" w:type="dxa"/>
            <w:vAlign w:val="center"/>
          </w:tcPr>
          <w:p w14:paraId="564B5BB9">
            <w:pPr>
              <w:adjustRightInd w:val="0"/>
              <w:snapToGrid w:val="0"/>
              <w:jc w:val="center"/>
              <w:rPr>
                <w:color w:val="000000"/>
                <w:sz w:val="24"/>
              </w:rPr>
            </w:pPr>
          </w:p>
        </w:tc>
      </w:tr>
      <w:tr w14:paraId="23EC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3A93A0A">
            <w:pPr>
              <w:adjustRightInd w:val="0"/>
              <w:snapToGrid w:val="0"/>
              <w:jc w:val="center"/>
              <w:rPr>
                <w:color w:val="000000"/>
                <w:sz w:val="24"/>
              </w:rPr>
            </w:pPr>
          </w:p>
        </w:tc>
        <w:tc>
          <w:tcPr>
            <w:tcW w:w="1561" w:type="dxa"/>
            <w:vAlign w:val="center"/>
          </w:tcPr>
          <w:p w14:paraId="6680A109">
            <w:pPr>
              <w:adjustRightInd w:val="0"/>
              <w:snapToGrid w:val="0"/>
              <w:jc w:val="center"/>
              <w:rPr>
                <w:color w:val="000000"/>
                <w:sz w:val="24"/>
              </w:rPr>
            </w:pPr>
          </w:p>
        </w:tc>
        <w:tc>
          <w:tcPr>
            <w:tcW w:w="1776" w:type="dxa"/>
            <w:vAlign w:val="center"/>
          </w:tcPr>
          <w:p w14:paraId="549E5CDB">
            <w:pPr>
              <w:adjustRightInd w:val="0"/>
              <w:snapToGrid w:val="0"/>
              <w:jc w:val="center"/>
              <w:rPr>
                <w:color w:val="000000"/>
                <w:sz w:val="24"/>
              </w:rPr>
            </w:pPr>
          </w:p>
        </w:tc>
        <w:tc>
          <w:tcPr>
            <w:tcW w:w="1778" w:type="dxa"/>
            <w:vAlign w:val="center"/>
          </w:tcPr>
          <w:p w14:paraId="0D8E00DD">
            <w:pPr>
              <w:adjustRightInd w:val="0"/>
              <w:snapToGrid w:val="0"/>
              <w:jc w:val="center"/>
              <w:rPr>
                <w:color w:val="000000"/>
                <w:sz w:val="24"/>
              </w:rPr>
            </w:pPr>
          </w:p>
        </w:tc>
        <w:tc>
          <w:tcPr>
            <w:tcW w:w="2183" w:type="dxa"/>
            <w:vAlign w:val="center"/>
          </w:tcPr>
          <w:p w14:paraId="3800ED43">
            <w:pPr>
              <w:adjustRightInd w:val="0"/>
              <w:snapToGrid w:val="0"/>
              <w:jc w:val="center"/>
              <w:rPr>
                <w:color w:val="000000"/>
                <w:sz w:val="24"/>
              </w:rPr>
            </w:pPr>
          </w:p>
        </w:tc>
        <w:tc>
          <w:tcPr>
            <w:tcW w:w="980" w:type="dxa"/>
            <w:vAlign w:val="center"/>
          </w:tcPr>
          <w:p w14:paraId="26ED2104">
            <w:pPr>
              <w:adjustRightInd w:val="0"/>
              <w:snapToGrid w:val="0"/>
              <w:jc w:val="center"/>
              <w:rPr>
                <w:color w:val="000000"/>
                <w:sz w:val="24"/>
              </w:rPr>
            </w:pPr>
          </w:p>
        </w:tc>
      </w:tr>
      <w:tr w14:paraId="1729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48D47CA">
            <w:pPr>
              <w:adjustRightInd w:val="0"/>
              <w:snapToGrid w:val="0"/>
              <w:jc w:val="center"/>
              <w:rPr>
                <w:color w:val="000000"/>
                <w:sz w:val="24"/>
              </w:rPr>
            </w:pPr>
          </w:p>
        </w:tc>
        <w:tc>
          <w:tcPr>
            <w:tcW w:w="1561" w:type="dxa"/>
            <w:vAlign w:val="center"/>
          </w:tcPr>
          <w:p w14:paraId="2F9FB3FF">
            <w:pPr>
              <w:adjustRightInd w:val="0"/>
              <w:snapToGrid w:val="0"/>
              <w:jc w:val="center"/>
              <w:rPr>
                <w:color w:val="000000"/>
                <w:sz w:val="24"/>
              </w:rPr>
            </w:pPr>
          </w:p>
        </w:tc>
        <w:tc>
          <w:tcPr>
            <w:tcW w:w="1776" w:type="dxa"/>
            <w:vAlign w:val="center"/>
          </w:tcPr>
          <w:p w14:paraId="64A4795D">
            <w:pPr>
              <w:adjustRightInd w:val="0"/>
              <w:snapToGrid w:val="0"/>
              <w:jc w:val="center"/>
              <w:rPr>
                <w:color w:val="000000"/>
                <w:sz w:val="24"/>
              </w:rPr>
            </w:pPr>
          </w:p>
        </w:tc>
        <w:tc>
          <w:tcPr>
            <w:tcW w:w="1778" w:type="dxa"/>
            <w:vAlign w:val="center"/>
          </w:tcPr>
          <w:p w14:paraId="4E8E004D">
            <w:pPr>
              <w:adjustRightInd w:val="0"/>
              <w:snapToGrid w:val="0"/>
              <w:jc w:val="center"/>
              <w:rPr>
                <w:color w:val="000000"/>
                <w:sz w:val="24"/>
              </w:rPr>
            </w:pPr>
          </w:p>
        </w:tc>
        <w:tc>
          <w:tcPr>
            <w:tcW w:w="2183" w:type="dxa"/>
            <w:vAlign w:val="center"/>
          </w:tcPr>
          <w:p w14:paraId="6F535C3D">
            <w:pPr>
              <w:adjustRightInd w:val="0"/>
              <w:snapToGrid w:val="0"/>
              <w:jc w:val="center"/>
              <w:rPr>
                <w:color w:val="000000"/>
                <w:sz w:val="24"/>
              </w:rPr>
            </w:pPr>
          </w:p>
        </w:tc>
        <w:tc>
          <w:tcPr>
            <w:tcW w:w="980" w:type="dxa"/>
            <w:vAlign w:val="center"/>
          </w:tcPr>
          <w:p w14:paraId="2D9AE51A">
            <w:pPr>
              <w:adjustRightInd w:val="0"/>
              <w:snapToGrid w:val="0"/>
              <w:jc w:val="center"/>
              <w:rPr>
                <w:color w:val="000000"/>
                <w:sz w:val="24"/>
              </w:rPr>
            </w:pPr>
          </w:p>
        </w:tc>
      </w:tr>
      <w:tr w14:paraId="18A6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5FAD9EA">
            <w:pPr>
              <w:adjustRightInd w:val="0"/>
              <w:snapToGrid w:val="0"/>
              <w:jc w:val="center"/>
              <w:rPr>
                <w:color w:val="000000"/>
                <w:sz w:val="24"/>
              </w:rPr>
            </w:pPr>
          </w:p>
        </w:tc>
        <w:tc>
          <w:tcPr>
            <w:tcW w:w="1561" w:type="dxa"/>
            <w:vAlign w:val="center"/>
          </w:tcPr>
          <w:p w14:paraId="5C2C6D03">
            <w:pPr>
              <w:adjustRightInd w:val="0"/>
              <w:snapToGrid w:val="0"/>
              <w:jc w:val="center"/>
              <w:rPr>
                <w:color w:val="000000"/>
                <w:sz w:val="24"/>
              </w:rPr>
            </w:pPr>
          </w:p>
        </w:tc>
        <w:tc>
          <w:tcPr>
            <w:tcW w:w="1776" w:type="dxa"/>
            <w:vAlign w:val="center"/>
          </w:tcPr>
          <w:p w14:paraId="0E4E5C94">
            <w:pPr>
              <w:adjustRightInd w:val="0"/>
              <w:snapToGrid w:val="0"/>
              <w:jc w:val="center"/>
              <w:rPr>
                <w:color w:val="000000"/>
                <w:sz w:val="24"/>
              </w:rPr>
            </w:pPr>
          </w:p>
        </w:tc>
        <w:tc>
          <w:tcPr>
            <w:tcW w:w="1778" w:type="dxa"/>
            <w:vAlign w:val="center"/>
          </w:tcPr>
          <w:p w14:paraId="6F88CDDD">
            <w:pPr>
              <w:adjustRightInd w:val="0"/>
              <w:snapToGrid w:val="0"/>
              <w:jc w:val="center"/>
              <w:rPr>
                <w:color w:val="000000"/>
                <w:sz w:val="24"/>
              </w:rPr>
            </w:pPr>
          </w:p>
        </w:tc>
        <w:tc>
          <w:tcPr>
            <w:tcW w:w="2183" w:type="dxa"/>
            <w:vAlign w:val="center"/>
          </w:tcPr>
          <w:p w14:paraId="1E951ABC">
            <w:pPr>
              <w:adjustRightInd w:val="0"/>
              <w:snapToGrid w:val="0"/>
              <w:jc w:val="center"/>
              <w:rPr>
                <w:color w:val="000000"/>
                <w:sz w:val="24"/>
              </w:rPr>
            </w:pPr>
          </w:p>
        </w:tc>
        <w:tc>
          <w:tcPr>
            <w:tcW w:w="980" w:type="dxa"/>
            <w:vAlign w:val="center"/>
          </w:tcPr>
          <w:p w14:paraId="5C248BF8">
            <w:pPr>
              <w:adjustRightInd w:val="0"/>
              <w:snapToGrid w:val="0"/>
              <w:jc w:val="center"/>
              <w:rPr>
                <w:color w:val="000000"/>
                <w:sz w:val="24"/>
              </w:rPr>
            </w:pPr>
          </w:p>
        </w:tc>
      </w:tr>
    </w:tbl>
    <w:p w14:paraId="42F61A53">
      <w:pPr>
        <w:tabs>
          <w:tab w:val="left" w:pos="1800"/>
          <w:tab w:val="left" w:pos="5580"/>
        </w:tabs>
        <w:jc w:val="left"/>
        <w:rPr>
          <w:color w:val="000000"/>
          <w:sz w:val="24"/>
        </w:rPr>
      </w:pPr>
    </w:p>
    <w:p w14:paraId="4712FA4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1167345">
      <w:pPr>
        <w:spacing w:line="360" w:lineRule="auto"/>
        <w:rPr>
          <w:color w:val="000000"/>
          <w:sz w:val="24"/>
          <w:szCs w:val="20"/>
        </w:rPr>
      </w:pPr>
    </w:p>
    <w:p w14:paraId="7901448F">
      <w:pPr>
        <w:autoSpaceDE w:val="0"/>
        <w:autoSpaceDN w:val="0"/>
        <w:adjustRightInd w:val="0"/>
        <w:snapToGrid w:val="0"/>
        <w:spacing w:before="25" w:after="25" w:line="360" w:lineRule="auto"/>
        <w:rPr>
          <w:color w:val="000000"/>
          <w:sz w:val="24"/>
        </w:rPr>
      </w:pPr>
    </w:p>
    <w:p w14:paraId="3655602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4D6B7FAF">
      <w:pPr>
        <w:autoSpaceDE w:val="0"/>
        <w:autoSpaceDN w:val="0"/>
        <w:adjustRightInd w:val="0"/>
        <w:snapToGrid w:val="0"/>
        <w:spacing w:before="25" w:after="25" w:line="360" w:lineRule="auto"/>
        <w:rPr>
          <w:color w:val="000000"/>
          <w:sz w:val="24"/>
          <w:lang w:val="zh-CN"/>
        </w:rPr>
      </w:pPr>
      <w:r>
        <w:rPr>
          <w:color w:val="000000"/>
          <w:sz w:val="24"/>
          <w:szCs w:val="20"/>
        </w:rPr>
        <w:t>日期：_____年______月______日</w:t>
      </w:r>
    </w:p>
    <w:p w14:paraId="1CC2509C">
      <w:pPr>
        <w:numPr>
          <w:ilvl w:val="0"/>
          <w:numId w:val="29"/>
        </w:numPr>
        <w:tabs>
          <w:tab w:val="left" w:pos="360"/>
        </w:tabs>
        <w:snapToGrid w:val="0"/>
        <w:spacing w:line="360" w:lineRule="auto"/>
        <w:outlineLvl w:val="1"/>
        <w:rPr>
          <w:color w:val="000000"/>
          <w:sz w:val="24"/>
          <w:szCs w:val="20"/>
        </w:rPr>
      </w:pPr>
      <w:r>
        <w:rPr>
          <w:color w:val="000000"/>
          <w:sz w:val="24"/>
          <w:szCs w:val="20"/>
        </w:rPr>
        <w:br w:type="page"/>
      </w:r>
      <w:bookmarkEnd w:id="749"/>
      <w:bookmarkEnd w:id="750"/>
      <w:bookmarkEnd w:id="751"/>
      <w:bookmarkEnd w:id="752"/>
      <w:bookmarkEnd w:id="753"/>
      <w:bookmarkEnd w:id="754"/>
      <w:bookmarkEnd w:id="755"/>
      <w:bookmarkEnd w:id="756"/>
      <w:bookmarkEnd w:id="757"/>
      <w:bookmarkEnd w:id="758"/>
      <w:bookmarkEnd w:id="759"/>
      <w:bookmarkEnd w:id="760"/>
      <w:bookmarkEnd w:id="761"/>
      <w:r>
        <w:rPr>
          <w:color w:val="000000"/>
          <w:sz w:val="24"/>
          <w:szCs w:val="20"/>
        </w:rPr>
        <w:t>采购需求偏离表</w:t>
      </w:r>
      <w:r>
        <w:rPr>
          <w:rFonts w:hint="eastAsia"/>
          <w:color w:val="000000"/>
          <w:sz w:val="24"/>
          <w:szCs w:val="20"/>
        </w:rPr>
        <w:t>（实质性格式）</w:t>
      </w:r>
    </w:p>
    <w:p w14:paraId="33D4EB96">
      <w:pPr>
        <w:autoSpaceDE w:val="0"/>
        <w:autoSpaceDN w:val="0"/>
        <w:adjustRightInd w:val="0"/>
        <w:spacing w:line="360" w:lineRule="auto"/>
        <w:jc w:val="center"/>
        <w:rPr>
          <w:b/>
          <w:color w:val="000000"/>
          <w:sz w:val="36"/>
          <w:szCs w:val="36"/>
        </w:rPr>
      </w:pPr>
      <w:r>
        <w:rPr>
          <w:b/>
          <w:color w:val="000000"/>
          <w:sz w:val="36"/>
          <w:szCs w:val="36"/>
        </w:rPr>
        <w:t>采购需求偏离表</w:t>
      </w:r>
    </w:p>
    <w:p w14:paraId="634A3A23">
      <w:pPr>
        <w:tabs>
          <w:tab w:val="left" w:pos="1800"/>
          <w:tab w:val="left" w:pos="5580"/>
        </w:tabs>
        <w:spacing w:line="360" w:lineRule="auto"/>
        <w:jc w:val="left"/>
        <w:rPr>
          <w:color w:val="000000"/>
          <w:sz w:val="24"/>
          <w:u w:val="single"/>
        </w:rPr>
      </w:pPr>
      <w:r>
        <w:rPr>
          <w:color w:val="000000"/>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48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17A7AE5">
            <w:pPr>
              <w:adjustRightInd w:val="0"/>
              <w:snapToGrid w:val="0"/>
              <w:jc w:val="center"/>
              <w:rPr>
                <w:color w:val="000000"/>
                <w:sz w:val="24"/>
              </w:rPr>
            </w:pPr>
            <w:r>
              <w:rPr>
                <w:color w:val="000000"/>
                <w:sz w:val="24"/>
              </w:rPr>
              <w:t>序号</w:t>
            </w:r>
          </w:p>
        </w:tc>
        <w:tc>
          <w:tcPr>
            <w:tcW w:w="1482" w:type="dxa"/>
            <w:vAlign w:val="center"/>
          </w:tcPr>
          <w:p w14:paraId="190364CF">
            <w:pPr>
              <w:adjustRightInd w:val="0"/>
              <w:snapToGrid w:val="0"/>
              <w:jc w:val="center"/>
              <w:rPr>
                <w:color w:val="000000"/>
                <w:sz w:val="24"/>
              </w:rPr>
            </w:pPr>
            <w:r>
              <w:rPr>
                <w:color w:val="000000"/>
                <w:sz w:val="24"/>
              </w:rPr>
              <w:t>谈判文件条目号</w:t>
            </w:r>
          </w:p>
        </w:tc>
        <w:tc>
          <w:tcPr>
            <w:tcW w:w="2384" w:type="dxa"/>
            <w:vAlign w:val="center"/>
          </w:tcPr>
          <w:p w14:paraId="3F83B6B3">
            <w:pPr>
              <w:adjustRightInd w:val="0"/>
              <w:snapToGrid w:val="0"/>
              <w:jc w:val="center"/>
              <w:rPr>
                <w:color w:val="000000"/>
                <w:sz w:val="24"/>
              </w:rPr>
            </w:pPr>
            <w:r>
              <w:rPr>
                <w:color w:val="000000"/>
                <w:sz w:val="24"/>
              </w:rPr>
              <w:t>谈判文件要求</w:t>
            </w:r>
          </w:p>
        </w:tc>
        <w:tc>
          <w:tcPr>
            <w:tcW w:w="2126" w:type="dxa"/>
            <w:vAlign w:val="center"/>
          </w:tcPr>
          <w:p w14:paraId="1DDCD4DB">
            <w:pPr>
              <w:adjustRightInd w:val="0"/>
              <w:snapToGrid w:val="0"/>
              <w:jc w:val="center"/>
              <w:rPr>
                <w:color w:val="000000"/>
                <w:sz w:val="24"/>
              </w:rPr>
            </w:pPr>
            <w:r>
              <w:rPr>
                <w:color w:val="000000"/>
                <w:sz w:val="24"/>
              </w:rPr>
              <w:t>响应内容</w:t>
            </w:r>
          </w:p>
        </w:tc>
        <w:tc>
          <w:tcPr>
            <w:tcW w:w="1875" w:type="dxa"/>
            <w:vAlign w:val="center"/>
          </w:tcPr>
          <w:p w14:paraId="475191A1">
            <w:pPr>
              <w:adjustRightInd w:val="0"/>
              <w:snapToGrid w:val="0"/>
              <w:jc w:val="center"/>
              <w:rPr>
                <w:color w:val="000000"/>
                <w:sz w:val="24"/>
              </w:rPr>
            </w:pPr>
            <w:r>
              <w:rPr>
                <w:color w:val="000000"/>
                <w:sz w:val="24"/>
              </w:rPr>
              <w:t>偏离情况</w:t>
            </w:r>
          </w:p>
        </w:tc>
        <w:tc>
          <w:tcPr>
            <w:tcW w:w="1009" w:type="dxa"/>
            <w:vAlign w:val="center"/>
          </w:tcPr>
          <w:p w14:paraId="095BCF00">
            <w:pPr>
              <w:adjustRightInd w:val="0"/>
              <w:snapToGrid w:val="0"/>
              <w:jc w:val="center"/>
              <w:rPr>
                <w:color w:val="000000"/>
                <w:sz w:val="24"/>
              </w:rPr>
            </w:pPr>
            <w:r>
              <w:rPr>
                <w:color w:val="000000"/>
                <w:sz w:val="24"/>
              </w:rPr>
              <w:t>说明</w:t>
            </w:r>
          </w:p>
        </w:tc>
      </w:tr>
      <w:tr w14:paraId="19FF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677BD7">
            <w:pPr>
              <w:adjustRightInd w:val="0"/>
              <w:snapToGrid w:val="0"/>
              <w:jc w:val="center"/>
              <w:rPr>
                <w:color w:val="000000"/>
                <w:sz w:val="24"/>
              </w:rPr>
            </w:pPr>
          </w:p>
        </w:tc>
        <w:tc>
          <w:tcPr>
            <w:tcW w:w="1482" w:type="dxa"/>
            <w:vAlign w:val="center"/>
          </w:tcPr>
          <w:p w14:paraId="7951981D">
            <w:pPr>
              <w:adjustRightInd w:val="0"/>
              <w:snapToGrid w:val="0"/>
              <w:jc w:val="center"/>
              <w:rPr>
                <w:color w:val="000000"/>
                <w:sz w:val="24"/>
              </w:rPr>
            </w:pPr>
          </w:p>
        </w:tc>
        <w:tc>
          <w:tcPr>
            <w:tcW w:w="2384" w:type="dxa"/>
            <w:vAlign w:val="center"/>
          </w:tcPr>
          <w:p w14:paraId="6E7204B4">
            <w:pPr>
              <w:adjustRightInd w:val="0"/>
              <w:snapToGrid w:val="0"/>
              <w:jc w:val="center"/>
              <w:rPr>
                <w:color w:val="000000"/>
                <w:sz w:val="24"/>
              </w:rPr>
            </w:pPr>
          </w:p>
        </w:tc>
        <w:tc>
          <w:tcPr>
            <w:tcW w:w="2126" w:type="dxa"/>
            <w:vAlign w:val="center"/>
          </w:tcPr>
          <w:p w14:paraId="5A1BD33D">
            <w:pPr>
              <w:adjustRightInd w:val="0"/>
              <w:snapToGrid w:val="0"/>
              <w:jc w:val="center"/>
              <w:rPr>
                <w:color w:val="000000"/>
                <w:sz w:val="24"/>
              </w:rPr>
            </w:pPr>
          </w:p>
        </w:tc>
        <w:tc>
          <w:tcPr>
            <w:tcW w:w="1875" w:type="dxa"/>
            <w:vAlign w:val="center"/>
          </w:tcPr>
          <w:p w14:paraId="132219CF">
            <w:pPr>
              <w:adjustRightInd w:val="0"/>
              <w:snapToGrid w:val="0"/>
              <w:jc w:val="center"/>
              <w:rPr>
                <w:color w:val="000000"/>
                <w:sz w:val="24"/>
              </w:rPr>
            </w:pPr>
          </w:p>
        </w:tc>
        <w:tc>
          <w:tcPr>
            <w:tcW w:w="1009" w:type="dxa"/>
            <w:vAlign w:val="center"/>
          </w:tcPr>
          <w:p w14:paraId="449AF7CC">
            <w:pPr>
              <w:adjustRightInd w:val="0"/>
              <w:snapToGrid w:val="0"/>
              <w:jc w:val="center"/>
              <w:rPr>
                <w:color w:val="000000"/>
                <w:sz w:val="24"/>
              </w:rPr>
            </w:pPr>
          </w:p>
        </w:tc>
      </w:tr>
      <w:tr w14:paraId="07F9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56F650">
            <w:pPr>
              <w:adjustRightInd w:val="0"/>
              <w:snapToGrid w:val="0"/>
              <w:jc w:val="center"/>
              <w:rPr>
                <w:color w:val="000000"/>
                <w:sz w:val="24"/>
              </w:rPr>
            </w:pPr>
          </w:p>
        </w:tc>
        <w:tc>
          <w:tcPr>
            <w:tcW w:w="1482" w:type="dxa"/>
            <w:vAlign w:val="center"/>
          </w:tcPr>
          <w:p w14:paraId="66B217CA">
            <w:pPr>
              <w:adjustRightInd w:val="0"/>
              <w:snapToGrid w:val="0"/>
              <w:jc w:val="center"/>
              <w:rPr>
                <w:color w:val="000000"/>
                <w:sz w:val="24"/>
              </w:rPr>
            </w:pPr>
          </w:p>
        </w:tc>
        <w:tc>
          <w:tcPr>
            <w:tcW w:w="2384" w:type="dxa"/>
            <w:vAlign w:val="center"/>
          </w:tcPr>
          <w:p w14:paraId="1FD66A25">
            <w:pPr>
              <w:adjustRightInd w:val="0"/>
              <w:snapToGrid w:val="0"/>
              <w:jc w:val="center"/>
              <w:rPr>
                <w:color w:val="000000"/>
                <w:sz w:val="24"/>
              </w:rPr>
            </w:pPr>
          </w:p>
        </w:tc>
        <w:tc>
          <w:tcPr>
            <w:tcW w:w="2126" w:type="dxa"/>
            <w:vAlign w:val="center"/>
          </w:tcPr>
          <w:p w14:paraId="0898025A">
            <w:pPr>
              <w:adjustRightInd w:val="0"/>
              <w:snapToGrid w:val="0"/>
              <w:jc w:val="center"/>
              <w:rPr>
                <w:color w:val="000000"/>
                <w:sz w:val="24"/>
              </w:rPr>
            </w:pPr>
          </w:p>
        </w:tc>
        <w:tc>
          <w:tcPr>
            <w:tcW w:w="1875" w:type="dxa"/>
            <w:vAlign w:val="center"/>
          </w:tcPr>
          <w:p w14:paraId="45E42A9C">
            <w:pPr>
              <w:adjustRightInd w:val="0"/>
              <w:snapToGrid w:val="0"/>
              <w:jc w:val="center"/>
              <w:rPr>
                <w:color w:val="000000"/>
                <w:sz w:val="24"/>
              </w:rPr>
            </w:pPr>
          </w:p>
        </w:tc>
        <w:tc>
          <w:tcPr>
            <w:tcW w:w="1009" w:type="dxa"/>
            <w:vAlign w:val="center"/>
          </w:tcPr>
          <w:p w14:paraId="4B79538A">
            <w:pPr>
              <w:adjustRightInd w:val="0"/>
              <w:snapToGrid w:val="0"/>
              <w:jc w:val="center"/>
              <w:rPr>
                <w:color w:val="000000"/>
                <w:sz w:val="24"/>
              </w:rPr>
            </w:pPr>
          </w:p>
        </w:tc>
      </w:tr>
      <w:tr w14:paraId="29FD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D337B2">
            <w:pPr>
              <w:adjustRightInd w:val="0"/>
              <w:snapToGrid w:val="0"/>
              <w:jc w:val="center"/>
              <w:rPr>
                <w:color w:val="000000"/>
                <w:sz w:val="24"/>
              </w:rPr>
            </w:pPr>
          </w:p>
        </w:tc>
        <w:tc>
          <w:tcPr>
            <w:tcW w:w="1482" w:type="dxa"/>
            <w:vAlign w:val="center"/>
          </w:tcPr>
          <w:p w14:paraId="6ABF55E9">
            <w:pPr>
              <w:adjustRightInd w:val="0"/>
              <w:snapToGrid w:val="0"/>
              <w:jc w:val="center"/>
              <w:rPr>
                <w:color w:val="000000"/>
                <w:sz w:val="24"/>
              </w:rPr>
            </w:pPr>
          </w:p>
        </w:tc>
        <w:tc>
          <w:tcPr>
            <w:tcW w:w="2384" w:type="dxa"/>
            <w:vAlign w:val="center"/>
          </w:tcPr>
          <w:p w14:paraId="73607D76">
            <w:pPr>
              <w:adjustRightInd w:val="0"/>
              <w:snapToGrid w:val="0"/>
              <w:jc w:val="center"/>
              <w:rPr>
                <w:color w:val="000000"/>
                <w:sz w:val="24"/>
              </w:rPr>
            </w:pPr>
          </w:p>
        </w:tc>
        <w:tc>
          <w:tcPr>
            <w:tcW w:w="2126" w:type="dxa"/>
            <w:vAlign w:val="center"/>
          </w:tcPr>
          <w:p w14:paraId="51F84090">
            <w:pPr>
              <w:adjustRightInd w:val="0"/>
              <w:snapToGrid w:val="0"/>
              <w:jc w:val="center"/>
              <w:rPr>
                <w:color w:val="000000"/>
                <w:sz w:val="24"/>
              </w:rPr>
            </w:pPr>
          </w:p>
        </w:tc>
        <w:tc>
          <w:tcPr>
            <w:tcW w:w="1875" w:type="dxa"/>
            <w:vAlign w:val="center"/>
          </w:tcPr>
          <w:p w14:paraId="6B561258">
            <w:pPr>
              <w:adjustRightInd w:val="0"/>
              <w:snapToGrid w:val="0"/>
              <w:jc w:val="center"/>
              <w:rPr>
                <w:color w:val="000000"/>
                <w:sz w:val="24"/>
              </w:rPr>
            </w:pPr>
          </w:p>
        </w:tc>
        <w:tc>
          <w:tcPr>
            <w:tcW w:w="1009" w:type="dxa"/>
            <w:vAlign w:val="center"/>
          </w:tcPr>
          <w:p w14:paraId="4C911DCD">
            <w:pPr>
              <w:adjustRightInd w:val="0"/>
              <w:snapToGrid w:val="0"/>
              <w:jc w:val="center"/>
              <w:rPr>
                <w:color w:val="000000"/>
                <w:sz w:val="24"/>
              </w:rPr>
            </w:pPr>
          </w:p>
        </w:tc>
      </w:tr>
      <w:tr w14:paraId="0CF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F03787">
            <w:pPr>
              <w:adjustRightInd w:val="0"/>
              <w:snapToGrid w:val="0"/>
              <w:jc w:val="center"/>
              <w:rPr>
                <w:color w:val="000000"/>
                <w:sz w:val="24"/>
              </w:rPr>
            </w:pPr>
          </w:p>
        </w:tc>
        <w:tc>
          <w:tcPr>
            <w:tcW w:w="1482" w:type="dxa"/>
            <w:vAlign w:val="center"/>
          </w:tcPr>
          <w:p w14:paraId="2CFDEE31">
            <w:pPr>
              <w:adjustRightInd w:val="0"/>
              <w:snapToGrid w:val="0"/>
              <w:jc w:val="center"/>
              <w:rPr>
                <w:color w:val="000000"/>
                <w:sz w:val="24"/>
              </w:rPr>
            </w:pPr>
          </w:p>
        </w:tc>
        <w:tc>
          <w:tcPr>
            <w:tcW w:w="2384" w:type="dxa"/>
            <w:vAlign w:val="center"/>
          </w:tcPr>
          <w:p w14:paraId="222E8CD1">
            <w:pPr>
              <w:adjustRightInd w:val="0"/>
              <w:snapToGrid w:val="0"/>
              <w:jc w:val="center"/>
              <w:rPr>
                <w:color w:val="000000"/>
                <w:sz w:val="24"/>
              </w:rPr>
            </w:pPr>
          </w:p>
        </w:tc>
        <w:tc>
          <w:tcPr>
            <w:tcW w:w="2126" w:type="dxa"/>
            <w:vAlign w:val="center"/>
          </w:tcPr>
          <w:p w14:paraId="4AEB8A47">
            <w:pPr>
              <w:adjustRightInd w:val="0"/>
              <w:snapToGrid w:val="0"/>
              <w:jc w:val="center"/>
              <w:rPr>
                <w:color w:val="000000"/>
                <w:sz w:val="24"/>
              </w:rPr>
            </w:pPr>
          </w:p>
        </w:tc>
        <w:tc>
          <w:tcPr>
            <w:tcW w:w="1875" w:type="dxa"/>
            <w:vAlign w:val="center"/>
          </w:tcPr>
          <w:p w14:paraId="62656E0B">
            <w:pPr>
              <w:adjustRightInd w:val="0"/>
              <w:snapToGrid w:val="0"/>
              <w:jc w:val="center"/>
              <w:rPr>
                <w:color w:val="000000"/>
                <w:sz w:val="24"/>
              </w:rPr>
            </w:pPr>
          </w:p>
        </w:tc>
        <w:tc>
          <w:tcPr>
            <w:tcW w:w="1009" w:type="dxa"/>
            <w:vAlign w:val="center"/>
          </w:tcPr>
          <w:p w14:paraId="671FE22A">
            <w:pPr>
              <w:adjustRightInd w:val="0"/>
              <w:snapToGrid w:val="0"/>
              <w:jc w:val="center"/>
              <w:rPr>
                <w:color w:val="000000"/>
                <w:sz w:val="24"/>
              </w:rPr>
            </w:pPr>
          </w:p>
        </w:tc>
      </w:tr>
      <w:tr w14:paraId="2DA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627A30">
            <w:pPr>
              <w:adjustRightInd w:val="0"/>
              <w:snapToGrid w:val="0"/>
              <w:jc w:val="center"/>
              <w:rPr>
                <w:color w:val="000000"/>
                <w:sz w:val="24"/>
              </w:rPr>
            </w:pPr>
          </w:p>
        </w:tc>
        <w:tc>
          <w:tcPr>
            <w:tcW w:w="1482" w:type="dxa"/>
            <w:vAlign w:val="center"/>
          </w:tcPr>
          <w:p w14:paraId="316AC0C9">
            <w:pPr>
              <w:adjustRightInd w:val="0"/>
              <w:snapToGrid w:val="0"/>
              <w:jc w:val="center"/>
              <w:rPr>
                <w:color w:val="000000"/>
                <w:sz w:val="24"/>
              </w:rPr>
            </w:pPr>
          </w:p>
        </w:tc>
        <w:tc>
          <w:tcPr>
            <w:tcW w:w="2384" w:type="dxa"/>
            <w:vAlign w:val="center"/>
          </w:tcPr>
          <w:p w14:paraId="66E49393">
            <w:pPr>
              <w:adjustRightInd w:val="0"/>
              <w:snapToGrid w:val="0"/>
              <w:jc w:val="center"/>
              <w:rPr>
                <w:color w:val="000000"/>
                <w:sz w:val="24"/>
              </w:rPr>
            </w:pPr>
          </w:p>
        </w:tc>
        <w:tc>
          <w:tcPr>
            <w:tcW w:w="2126" w:type="dxa"/>
            <w:vAlign w:val="center"/>
          </w:tcPr>
          <w:p w14:paraId="2CF0E4EE">
            <w:pPr>
              <w:adjustRightInd w:val="0"/>
              <w:snapToGrid w:val="0"/>
              <w:jc w:val="center"/>
              <w:rPr>
                <w:color w:val="000000"/>
                <w:sz w:val="24"/>
              </w:rPr>
            </w:pPr>
          </w:p>
        </w:tc>
        <w:tc>
          <w:tcPr>
            <w:tcW w:w="1875" w:type="dxa"/>
            <w:vAlign w:val="center"/>
          </w:tcPr>
          <w:p w14:paraId="484FC21E">
            <w:pPr>
              <w:adjustRightInd w:val="0"/>
              <w:snapToGrid w:val="0"/>
              <w:jc w:val="center"/>
              <w:rPr>
                <w:color w:val="000000"/>
                <w:sz w:val="24"/>
              </w:rPr>
            </w:pPr>
          </w:p>
        </w:tc>
        <w:tc>
          <w:tcPr>
            <w:tcW w:w="1009" w:type="dxa"/>
            <w:vAlign w:val="center"/>
          </w:tcPr>
          <w:p w14:paraId="545189B0">
            <w:pPr>
              <w:adjustRightInd w:val="0"/>
              <w:snapToGrid w:val="0"/>
              <w:jc w:val="center"/>
              <w:rPr>
                <w:color w:val="000000"/>
                <w:sz w:val="24"/>
              </w:rPr>
            </w:pPr>
          </w:p>
        </w:tc>
      </w:tr>
      <w:tr w14:paraId="1680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7A82B6">
            <w:pPr>
              <w:adjustRightInd w:val="0"/>
              <w:snapToGrid w:val="0"/>
              <w:jc w:val="center"/>
              <w:rPr>
                <w:color w:val="000000"/>
                <w:sz w:val="24"/>
              </w:rPr>
            </w:pPr>
          </w:p>
        </w:tc>
        <w:tc>
          <w:tcPr>
            <w:tcW w:w="1482" w:type="dxa"/>
            <w:vAlign w:val="center"/>
          </w:tcPr>
          <w:p w14:paraId="3A5C93D3">
            <w:pPr>
              <w:adjustRightInd w:val="0"/>
              <w:snapToGrid w:val="0"/>
              <w:jc w:val="center"/>
              <w:rPr>
                <w:color w:val="000000"/>
                <w:sz w:val="24"/>
              </w:rPr>
            </w:pPr>
          </w:p>
        </w:tc>
        <w:tc>
          <w:tcPr>
            <w:tcW w:w="2384" w:type="dxa"/>
            <w:vAlign w:val="center"/>
          </w:tcPr>
          <w:p w14:paraId="18B15BFA">
            <w:pPr>
              <w:adjustRightInd w:val="0"/>
              <w:snapToGrid w:val="0"/>
              <w:jc w:val="center"/>
              <w:rPr>
                <w:color w:val="000000"/>
                <w:sz w:val="24"/>
              </w:rPr>
            </w:pPr>
          </w:p>
        </w:tc>
        <w:tc>
          <w:tcPr>
            <w:tcW w:w="2126" w:type="dxa"/>
            <w:vAlign w:val="center"/>
          </w:tcPr>
          <w:p w14:paraId="4C9A9212">
            <w:pPr>
              <w:adjustRightInd w:val="0"/>
              <w:snapToGrid w:val="0"/>
              <w:jc w:val="center"/>
              <w:rPr>
                <w:color w:val="000000"/>
                <w:sz w:val="24"/>
              </w:rPr>
            </w:pPr>
          </w:p>
        </w:tc>
        <w:tc>
          <w:tcPr>
            <w:tcW w:w="1875" w:type="dxa"/>
            <w:vAlign w:val="center"/>
          </w:tcPr>
          <w:p w14:paraId="1972F3FC">
            <w:pPr>
              <w:adjustRightInd w:val="0"/>
              <w:snapToGrid w:val="0"/>
              <w:jc w:val="center"/>
              <w:rPr>
                <w:color w:val="000000"/>
                <w:sz w:val="24"/>
              </w:rPr>
            </w:pPr>
          </w:p>
        </w:tc>
        <w:tc>
          <w:tcPr>
            <w:tcW w:w="1009" w:type="dxa"/>
            <w:vAlign w:val="center"/>
          </w:tcPr>
          <w:p w14:paraId="3EA1FFD7">
            <w:pPr>
              <w:adjustRightInd w:val="0"/>
              <w:snapToGrid w:val="0"/>
              <w:jc w:val="center"/>
              <w:rPr>
                <w:color w:val="000000"/>
                <w:sz w:val="24"/>
              </w:rPr>
            </w:pPr>
          </w:p>
        </w:tc>
      </w:tr>
    </w:tbl>
    <w:p w14:paraId="17A10A40">
      <w:pPr>
        <w:tabs>
          <w:tab w:val="left" w:pos="1800"/>
          <w:tab w:val="left" w:pos="5580"/>
        </w:tabs>
        <w:spacing w:line="360" w:lineRule="auto"/>
        <w:ind w:firstLine="360" w:firstLineChars="150"/>
        <w:jc w:val="left"/>
        <w:rPr>
          <w:color w:val="000000"/>
          <w:sz w:val="24"/>
          <w:u w:val="single"/>
        </w:rPr>
      </w:pPr>
    </w:p>
    <w:p w14:paraId="3B043A73">
      <w:pPr>
        <w:tabs>
          <w:tab w:val="left" w:pos="1800"/>
          <w:tab w:val="left" w:pos="5580"/>
        </w:tabs>
        <w:spacing w:line="360" w:lineRule="auto"/>
        <w:ind w:firstLine="360" w:firstLineChars="150"/>
        <w:jc w:val="left"/>
        <w:rPr>
          <w:color w:val="000000"/>
          <w:sz w:val="24"/>
          <w:u w:val="single"/>
        </w:rPr>
      </w:pPr>
    </w:p>
    <w:p w14:paraId="7B65B163">
      <w:pPr>
        <w:tabs>
          <w:tab w:val="left" w:pos="1800"/>
          <w:tab w:val="left" w:pos="5580"/>
        </w:tabs>
        <w:jc w:val="left"/>
        <w:rPr>
          <w:color w:val="000000"/>
          <w:sz w:val="24"/>
        </w:rPr>
      </w:pPr>
      <w:r>
        <w:rPr>
          <w:color w:val="000000"/>
          <w:sz w:val="24"/>
        </w:rPr>
        <w:t>注：</w:t>
      </w:r>
    </w:p>
    <w:p w14:paraId="5E609947">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7B8E1DC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F7D2608">
      <w:pPr>
        <w:rPr>
          <w:color w:val="000000"/>
          <w:sz w:val="24"/>
          <w:szCs w:val="20"/>
        </w:rPr>
      </w:pPr>
    </w:p>
    <w:p w14:paraId="303A206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E1263C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5DF5AAA6">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1FAE9508">
      <w:pPr>
        <w:adjustRightInd w:val="0"/>
        <w:snapToGrid w:val="0"/>
        <w:spacing w:line="360" w:lineRule="auto"/>
        <w:ind w:firstLine="480" w:firstLineChars="200"/>
        <w:jc w:val="right"/>
        <w:rPr>
          <w:sz w:val="24"/>
        </w:rPr>
      </w:pPr>
    </w:p>
    <w:p w14:paraId="7A0C2617">
      <w:pPr>
        <w:spacing w:line="360" w:lineRule="auto"/>
        <w:rPr>
          <w:b/>
          <w:color w:val="000000"/>
          <w:sz w:val="24"/>
        </w:rPr>
      </w:pPr>
    </w:p>
    <w:p w14:paraId="1C748477">
      <w:pPr>
        <w:numPr>
          <w:ilvl w:val="0"/>
          <w:numId w:val="3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4370ADC4">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4CA69CB9">
      <w:pPr>
        <w:pStyle w:val="37"/>
        <w:shd w:val="clear" w:color="auto" w:fill="FFFFFF"/>
        <w:spacing w:before="30" w:beforeAutospacing="0" w:after="30" w:afterAutospacing="0"/>
        <w:ind w:firstLine="420"/>
        <w:rPr>
          <w:color w:val="333333"/>
        </w:rPr>
      </w:pPr>
    </w:p>
    <w:p w14:paraId="5719FAA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E9A2DD6">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4036E1C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61FFECDA">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ED6A49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E47E4A6">
      <w:pPr>
        <w:pStyle w:val="37"/>
        <w:shd w:val="clear" w:color="auto" w:fill="FFFFFF"/>
        <w:spacing w:before="0" w:beforeAutospacing="0" w:after="0" w:afterAutospacing="0" w:line="360" w:lineRule="auto"/>
        <w:rPr>
          <w:color w:val="333333"/>
        </w:rPr>
      </w:pPr>
    </w:p>
    <w:p w14:paraId="5F77FAFD">
      <w:pPr>
        <w:pStyle w:val="37"/>
        <w:shd w:val="clear" w:color="auto" w:fill="FFFFFF"/>
        <w:spacing w:before="0" w:beforeAutospacing="0" w:after="0" w:afterAutospacing="0" w:line="360" w:lineRule="auto"/>
        <w:jc w:val="right"/>
        <w:rPr>
          <w:color w:val="333333"/>
          <w:shd w:val="clear" w:color="auto" w:fill="FFFFFF"/>
        </w:rPr>
      </w:pPr>
    </w:p>
    <w:p w14:paraId="50F93C4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975E4C8">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3BE6237">
      <w:pPr>
        <w:pStyle w:val="37"/>
        <w:shd w:val="clear" w:color="auto" w:fill="FFFFFF"/>
        <w:spacing w:before="0" w:beforeAutospacing="0" w:after="0" w:afterAutospacing="0" w:line="360" w:lineRule="auto"/>
        <w:rPr>
          <w:color w:val="333333"/>
          <w:shd w:val="clear" w:color="auto" w:fill="FFFFFF"/>
        </w:rPr>
      </w:pPr>
    </w:p>
    <w:p w14:paraId="77B899EC">
      <w:pPr>
        <w:pStyle w:val="37"/>
        <w:shd w:val="clear" w:color="auto" w:fill="FFFFFF"/>
        <w:spacing w:before="0" w:beforeAutospacing="0" w:after="0" w:afterAutospacing="0" w:line="360" w:lineRule="auto"/>
        <w:rPr>
          <w:color w:val="333333"/>
          <w:shd w:val="clear" w:color="auto" w:fill="FFFFFF"/>
        </w:rPr>
      </w:pPr>
    </w:p>
    <w:p w14:paraId="72E4FD74">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34D8171D">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3984B01">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5A658462">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82A727C">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42EBBED9">
      <w:pPr>
        <w:widowControl/>
        <w:jc w:val="left"/>
        <w:rPr>
          <w:color w:val="333333"/>
          <w:szCs w:val="21"/>
          <w:shd w:val="clear" w:color="auto" w:fill="FFFFFF"/>
        </w:rPr>
      </w:pPr>
      <w:r>
        <w:rPr>
          <w:color w:val="333333"/>
          <w:szCs w:val="21"/>
          <w:shd w:val="clear" w:color="auto" w:fill="FFFFFF"/>
        </w:rPr>
        <w:br w:type="page"/>
      </w:r>
    </w:p>
    <w:p w14:paraId="14536558">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6CFDCA05">
      <w:pPr>
        <w:pStyle w:val="37"/>
        <w:shd w:val="clear" w:color="auto" w:fill="FFFFFF"/>
        <w:spacing w:before="30" w:beforeAutospacing="0" w:after="30" w:afterAutospacing="0"/>
        <w:rPr>
          <w:rStyle w:val="46"/>
          <w:sz w:val="36"/>
          <w:szCs w:val="36"/>
        </w:rPr>
      </w:pPr>
    </w:p>
    <w:p w14:paraId="19FA77B6">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19E5952">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CE3C47C">
      <w:pPr>
        <w:widowControl/>
        <w:spacing w:line="360" w:lineRule="auto"/>
        <w:ind w:firstLine="480" w:firstLineChars="200"/>
        <w:jc w:val="left"/>
        <w:rPr>
          <w:color w:val="000000"/>
          <w:sz w:val="24"/>
        </w:rPr>
      </w:pPr>
    </w:p>
    <w:p w14:paraId="5E524075">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60A7075">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24718A3">
      <w:pPr>
        <w:widowControl/>
        <w:spacing w:line="360" w:lineRule="auto"/>
        <w:jc w:val="left"/>
        <w:rPr>
          <w:color w:val="000000"/>
          <w:sz w:val="24"/>
        </w:rPr>
      </w:pPr>
    </w:p>
    <w:p w14:paraId="24E3080B">
      <w:pPr>
        <w:widowControl/>
        <w:spacing w:line="360" w:lineRule="auto"/>
        <w:jc w:val="left"/>
        <w:rPr>
          <w:color w:val="000000"/>
          <w:sz w:val="24"/>
        </w:rPr>
      </w:pPr>
    </w:p>
    <w:p w14:paraId="7F4DBC91">
      <w:pPr>
        <w:spacing w:line="360" w:lineRule="auto"/>
        <w:rPr>
          <w:color w:val="000000"/>
          <w:sz w:val="22"/>
          <w:szCs w:val="22"/>
        </w:rPr>
      </w:pPr>
      <w:r>
        <w:rPr>
          <w:rFonts w:hint="eastAsia"/>
          <w:color w:val="000000"/>
          <w:sz w:val="22"/>
          <w:szCs w:val="22"/>
        </w:rPr>
        <w:t>注：</w:t>
      </w:r>
    </w:p>
    <w:p w14:paraId="056BC858">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DB9B64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08598F9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7058FB6">
      <w:pPr>
        <w:spacing w:line="360" w:lineRule="auto"/>
        <w:ind w:left="420" w:leftChars="200"/>
        <w:rPr>
          <w:color w:val="333333"/>
          <w:szCs w:val="21"/>
          <w:shd w:val="clear" w:color="auto" w:fill="FFFFFF"/>
        </w:rPr>
      </w:pPr>
    </w:p>
    <w:p w14:paraId="460E900B">
      <w:pPr>
        <w:widowControl/>
        <w:jc w:val="left"/>
        <w:rPr>
          <w:color w:val="000000"/>
          <w:sz w:val="24"/>
          <w:szCs w:val="20"/>
        </w:rPr>
      </w:pPr>
      <w:r>
        <w:rPr>
          <w:color w:val="000000"/>
          <w:sz w:val="24"/>
          <w:szCs w:val="20"/>
        </w:rPr>
        <w:br w:type="page"/>
      </w:r>
    </w:p>
    <w:p w14:paraId="72815B97">
      <w:pPr>
        <w:numPr>
          <w:ilvl w:val="0"/>
          <w:numId w:val="33"/>
        </w:numPr>
        <w:tabs>
          <w:tab w:val="left" w:pos="360"/>
        </w:tabs>
        <w:snapToGrid w:val="0"/>
        <w:spacing w:line="360" w:lineRule="auto"/>
        <w:outlineLvl w:val="1"/>
        <w:rPr>
          <w:color w:val="000000"/>
          <w:sz w:val="24"/>
          <w:szCs w:val="20"/>
        </w:rPr>
      </w:pPr>
      <w:r>
        <w:rPr>
          <w:color w:val="000000"/>
          <w:sz w:val="24"/>
          <w:szCs w:val="20"/>
        </w:rPr>
        <w:t>谈判文件要求提供或供应商认为应附的其他材料</w:t>
      </w:r>
    </w:p>
    <w:p w14:paraId="4631EDC7">
      <w:pPr>
        <w:widowControl/>
        <w:jc w:val="left"/>
        <w:rPr>
          <w:sz w:val="24"/>
        </w:rPr>
      </w:pPr>
    </w:p>
    <w:p w14:paraId="6F03195E">
      <w:pPr>
        <w:widowControl/>
        <w:jc w:val="left"/>
        <w:rPr>
          <w:color w:val="000000"/>
          <w:sz w:val="24"/>
          <w:szCs w:val="20"/>
        </w:rPr>
      </w:pPr>
      <w:bookmarkStart w:id="762"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6C803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2F1470B4">
            <w:pPr>
              <w:jc w:val="center"/>
              <w:rPr>
                <w:sz w:val="24"/>
              </w:rPr>
            </w:pPr>
            <w:r>
              <w:rPr>
                <w:rFonts w:hint="eastAsia"/>
                <w:sz w:val="24"/>
              </w:rPr>
              <w:t>供应商名称</w:t>
            </w:r>
          </w:p>
        </w:tc>
        <w:tc>
          <w:tcPr>
            <w:tcW w:w="3097" w:type="dxa"/>
          </w:tcPr>
          <w:p w14:paraId="039D561F">
            <w:pPr>
              <w:jc w:val="center"/>
              <w:rPr>
                <w:sz w:val="24"/>
              </w:rPr>
            </w:pPr>
            <w:r>
              <w:rPr>
                <w:rFonts w:hint="eastAsia"/>
                <w:sz w:val="24"/>
              </w:rPr>
              <w:t>供应商所属性别</w:t>
            </w:r>
          </w:p>
        </w:tc>
        <w:tc>
          <w:tcPr>
            <w:tcW w:w="3095" w:type="dxa"/>
          </w:tcPr>
          <w:p w14:paraId="321D5B18">
            <w:pPr>
              <w:jc w:val="center"/>
              <w:rPr>
                <w:sz w:val="24"/>
              </w:rPr>
            </w:pPr>
            <w:r>
              <w:rPr>
                <w:rFonts w:hint="eastAsia"/>
                <w:sz w:val="24"/>
              </w:rPr>
              <w:t>外商投资类型</w:t>
            </w:r>
          </w:p>
        </w:tc>
      </w:tr>
      <w:tr w14:paraId="7B46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21BB77B1"/>
        </w:tc>
        <w:tc>
          <w:tcPr>
            <w:tcW w:w="3097" w:type="dxa"/>
          </w:tcPr>
          <w:p w14:paraId="3D7B9BE0"/>
        </w:tc>
        <w:tc>
          <w:tcPr>
            <w:tcW w:w="3095" w:type="dxa"/>
          </w:tcPr>
          <w:p w14:paraId="547E9940"/>
        </w:tc>
      </w:tr>
      <w:tr w14:paraId="32B6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00DE7D69"/>
        </w:tc>
        <w:tc>
          <w:tcPr>
            <w:tcW w:w="3097" w:type="dxa"/>
          </w:tcPr>
          <w:p w14:paraId="16961DA3"/>
        </w:tc>
        <w:tc>
          <w:tcPr>
            <w:tcW w:w="3095" w:type="dxa"/>
          </w:tcPr>
          <w:p w14:paraId="45BEDA95"/>
        </w:tc>
      </w:tr>
      <w:tr w14:paraId="3EF9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0E9D334"/>
        </w:tc>
        <w:tc>
          <w:tcPr>
            <w:tcW w:w="3097" w:type="dxa"/>
          </w:tcPr>
          <w:p w14:paraId="0A1A0740"/>
        </w:tc>
        <w:tc>
          <w:tcPr>
            <w:tcW w:w="3095" w:type="dxa"/>
          </w:tcPr>
          <w:p w14:paraId="03A8037D"/>
        </w:tc>
      </w:tr>
      <w:tr w14:paraId="1D69A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63A9F16D"/>
        </w:tc>
        <w:tc>
          <w:tcPr>
            <w:tcW w:w="3097" w:type="dxa"/>
          </w:tcPr>
          <w:p w14:paraId="30FE4810"/>
        </w:tc>
        <w:tc>
          <w:tcPr>
            <w:tcW w:w="3095" w:type="dxa"/>
          </w:tcPr>
          <w:p w14:paraId="1A40D5A1"/>
        </w:tc>
      </w:tr>
    </w:tbl>
    <w:p w14:paraId="5CEFF577">
      <w:pPr>
        <w:tabs>
          <w:tab w:val="left" w:pos="1800"/>
          <w:tab w:val="left" w:pos="5580"/>
        </w:tabs>
        <w:jc w:val="left"/>
        <w:rPr>
          <w:color w:val="000000"/>
          <w:sz w:val="24"/>
        </w:rPr>
      </w:pPr>
      <w:r>
        <w:rPr>
          <w:rFonts w:hint="eastAsia"/>
          <w:color w:val="000000"/>
          <w:sz w:val="24"/>
        </w:rPr>
        <w:t>注：1.供应商如为联合体，则应填写联合体各成员信息。</w:t>
      </w:r>
    </w:p>
    <w:p w14:paraId="60A0C70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3443259">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2"/>
    <w:p w14:paraId="47BB3D3B">
      <w:pPr>
        <w:widowControl/>
        <w:jc w:val="left"/>
        <w:rPr>
          <w:sz w:val="24"/>
        </w:rPr>
      </w:pPr>
    </w:p>
    <w:p w14:paraId="2F099936">
      <w:pPr>
        <w:widowControl/>
        <w:jc w:val="left"/>
        <w:rPr>
          <w:b/>
          <w:sz w:val="36"/>
          <w:szCs w:val="36"/>
        </w:rPr>
      </w:pPr>
      <w:r>
        <w:rPr>
          <w:b/>
          <w:sz w:val="36"/>
          <w:szCs w:val="36"/>
        </w:rPr>
        <w:br w:type="page"/>
      </w:r>
    </w:p>
    <w:p w14:paraId="34878C05">
      <w:pPr>
        <w:numPr>
          <w:ilvl w:val="0"/>
          <w:numId w:val="33"/>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5E2A053F">
      <w:pPr>
        <w:spacing w:line="360" w:lineRule="exact"/>
        <w:jc w:val="center"/>
        <w:rPr>
          <w:b/>
          <w:color w:val="000000"/>
          <w:sz w:val="36"/>
          <w:szCs w:val="36"/>
        </w:rPr>
      </w:pPr>
      <w:r>
        <w:rPr>
          <w:b/>
          <w:color w:val="000000"/>
          <w:sz w:val="36"/>
          <w:szCs w:val="36"/>
        </w:rPr>
        <w:t>最后报价一览表</w:t>
      </w:r>
    </w:p>
    <w:p w14:paraId="6E318B32">
      <w:pPr>
        <w:tabs>
          <w:tab w:val="left" w:pos="1800"/>
          <w:tab w:val="left" w:pos="5580"/>
        </w:tabs>
        <w:spacing w:line="360" w:lineRule="auto"/>
        <w:jc w:val="left"/>
        <w:rPr>
          <w:color w:val="000000"/>
          <w:sz w:val="24"/>
        </w:rPr>
      </w:pPr>
    </w:p>
    <w:p w14:paraId="76071B5D">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项目名称：_______________________</w:t>
      </w:r>
    </w:p>
    <w:tbl>
      <w:tblPr>
        <w:tblStyle w:val="42"/>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2721"/>
        <w:gridCol w:w="2023"/>
        <w:gridCol w:w="1802"/>
        <w:gridCol w:w="1724"/>
      </w:tblGrid>
      <w:tr w14:paraId="771F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2" w:type="dxa"/>
            <w:vMerge w:val="restart"/>
            <w:vAlign w:val="center"/>
          </w:tcPr>
          <w:p w14:paraId="3C0B2FA3">
            <w:pPr>
              <w:tabs>
                <w:tab w:val="left" w:pos="5580"/>
              </w:tabs>
              <w:jc w:val="center"/>
              <w:rPr>
                <w:b/>
                <w:sz w:val="24"/>
              </w:rPr>
            </w:pPr>
            <w:r>
              <w:rPr>
                <w:b/>
                <w:sz w:val="24"/>
              </w:rPr>
              <w:t>序号</w:t>
            </w:r>
          </w:p>
        </w:tc>
        <w:tc>
          <w:tcPr>
            <w:tcW w:w="2721" w:type="dxa"/>
            <w:vMerge w:val="restart"/>
            <w:vAlign w:val="center"/>
          </w:tcPr>
          <w:p w14:paraId="6E0A2806">
            <w:pPr>
              <w:tabs>
                <w:tab w:val="left" w:pos="5580"/>
              </w:tabs>
              <w:jc w:val="center"/>
              <w:rPr>
                <w:b/>
                <w:sz w:val="24"/>
              </w:rPr>
            </w:pPr>
            <w:r>
              <w:rPr>
                <w:b/>
                <w:sz w:val="24"/>
              </w:rPr>
              <w:t>供应商名称</w:t>
            </w:r>
          </w:p>
        </w:tc>
        <w:tc>
          <w:tcPr>
            <w:tcW w:w="3825" w:type="dxa"/>
            <w:gridSpan w:val="2"/>
            <w:vAlign w:val="center"/>
          </w:tcPr>
          <w:p w14:paraId="0E5DFEE1">
            <w:pPr>
              <w:tabs>
                <w:tab w:val="left" w:pos="5580"/>
              </w:tabs>
              <w:jc w:val="center"/>
              <w:rPr>
                <w:b/>
                <w:sz w:val="24"/>
              </w:rPr>
            </w:pPr>
            <w:r>
              <w:rPr>
                <w:b/>
                <w:sz w:val="24"/>
              </w:rPr>
              <w:t>最后报价</w:t>
            </w:r>
          </w:p>
        </w:tc>
        <w:tc>
          <w:tcPr>
            <w:tcW w:w="1724" w:type="dxa"/>
            <w:vMerge w:val="restart"/>
            <w:vAlign w:val="center"/>
          </w:tcPr>
          <w:p w14:paraId="0678D3D2">
            <w:pPr>
              <w:tabs>
                <w:tab w:val="left" w:pos="5580"/>
              </w:tabs>
              <w:jc w:val="center"/>
              <w:rPr>
                <w:b/>
                <w:sz w:val="24"/>
              </w:rPr>
            </w:pPr>
            <w:r>
              <w:rPr>
                <w:b/>
                <w:sz w:val="24"/>
              </w:rPr>
              <w:t>其他</w:t>
            </w:r>
          </w:p>
          <w:p w14:paraId="541349F5">
            <w:pPr>
              <w:tabs>
                <w:tab w:val="left" w:pos="5580"/>
              </w:tabs>
              <w:jc w:val="center"/>
              <w:rPr>
                <w:b/>
                <w:sz w:val="24"/>
              </w:rPr>
            </w:pPr>
            <w:r>
              <w:rPr>
                <w:b/>
                <w:sz w:val="24"/>
              </w:rPr>
              <w:t>声明</w:t>
            </w:r>
          </w:p>
        </w:tc>
      </w:tr>
      <w:tr w14:paraId="7188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2" w:type="dxa"/>
            <w:vMerge w:val="continue"/>
            <w:vAlign w:val="center"/>
          </w:tcPr>
          <w:p w14:paraId="50392C81">
            <w:pPr>
              <w:tabs>
                <w:tab w:val="left" w:pos="5580"/>
              </w:tabs>
              <w:jc w:val="center"/>
              <w:rPr>
                <w:sz w:val="24"/>
              </w:rPr>
            </w:pPr>
          </w:p>
        </w:tc>
        <w:tc>
          <w:tcPr>
            <w:tcW w:w="2721" w:type="dxa"/>
            <w:vMerge w:val="continue"/>
            <w:vAlign w:val="center"/>
          </w:tcPr>
          <w:p w14:paraId="21763EC2">
            <w:pPr>
              <w:tabs>
                <w:tab w:val="left" w:pos="5580"/>
              </w:tabs>
              <w:jc w:val="center"/>
              <w:rPr>
                <w:sz w:val="24"/>
              </w:rPr>
            </w:pPr>
          </w:p>
        </w:tc>
        <w:tc>
          <w:tcPr>
            <w:tcW w:w="2023" w:type="dxa"/>
            <w:vAlign w:val="center"/>
          </w:tcPr>
          <w:p w14:paraId="4B24CA9F">
            <w:pPr>
              <w:tabs>
                <w:tab w:val="left" w:pos="5580"/>
              </w:tabs>
              <w:jc w:val="center"/>
              <w:rPr>
                <w:b/>
                <w:sz w:val="24"/>
              </w:rPr>
            </w:pPr>
            <w:r>
              <w:rPr>
                <w:b/>
                <w:sz w:val="24"/>
              </w:rPr>
              <w:t>大写</w:t>
            </w:r>
          </w:p>
        </w:tc>
        <w:tc>
          <w:tcPr>
            <w:tcW w:w="1802" w:type="dxa"/>
            <w:vAlign w:val="center"/>
          </w:tcPr>
          <w:p w14:paraId="650E8CE7">
            <w:pPr>
              <w:tabs>
                <w:tab w:val="left" w:pos="5580"/>
              </w:tabs>
              <w:jc w:val="center"/>
              <w:rPr>
                <w:b/>
                <w:sz w:val="24"/>
              </w:rPr>
            </w:pPr>
            <w:r>
              <w:rPr>
                <w:b/>
                <w:sz w:val="24"/>
              </w:rPr>
              <w:t>小写</w:t>
            </w:r>
          </w:p>
        </w:tc>
        <w:tc>
          <w:tcPr>
            <w:tcW w:w="1724" w:type="dxa"/>
            <w:vMerge w:val="continue"/>
            <w:vAlign w:val="center"/>
          </w:tcPr>
          <w:p w14:paraId="0F4B08DD">
            <w:pPr>
              <w:tabs>
                <w:tab w:val="left" w:pos="5580"/>
              </w:tabs>
              <w:jc w:val="center"/>
              <w:rPr>
                <w:b/>
                <w:sz w:val="24"/>
              </w:rPr>
            </w:pPr>
          </w:p>
        </w:tc>
      </w:tr>
      <w:tr w14:paraId="1DAF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2" w:type="dxa"/>
            <w:vAlign w:val="center"/>
          </w:tcPr>
          <w:p w14:paraId="450062BB">
            <w:pPr>
              <w:tabs>
                <w:tab w:val="left" w:pos="5580"/>
              </w:tabs>
              <w:jc w:val="center"/>
              <w:rPr>
                <w:sz w:val="24"/>
              </w:rPr>
            </w:pPr>
          </w:p>
        </w:tc>
        <w:tc>
          <w:tcPr>
            <w:tcW w:w="2721" w:type="dxa"/>
            <w:vAlign w:val="center"/>
          </w:tcPr>
          <w:p w14:paraId="195C794A">
            <w:pPr>
              <w:tabs>
                <w:tab w:val="left" w:pos="5580"/>
              </w:tabs>
              <w:jc w:val="center"/>
              <w:rPr>
                <w:sz w:val="24"/>
              </w:rPr>
            </w:pPr>
          </w:p>
        </w:tc>
        <w:tc>
          <w:tcPr>
            <w:tcW w:w="2023" w:type="dxa"/>
            <w:vAlign w:val="center"/>
          </w:tcPr>
          <w:p w14:paraId="2F9D99D7">
            <w:pPr>
              <w:tabs>
                <w:tab w:val="left" w:pos="5580"/>
              </w:tabs>
              <w:jc w:val="center"/>
              <w:rPr>
                <w:sz w:val="24"/>
              </w:rPr>
            </w:pPr>
          </w:p>
        </w:tc>
        <w:tc>
          <w:tcPr>
            <w:tcW w:w="1802" w:type="dxa"/>
            <w:vAlign w:val="center"/>
          </w:tcPr>
          <w:p w14:paraId="08B8F376">
            <w:pPr>
              <w:tabs>
                <w:tab w:val="left" w:pos="5580"/>
              </w:tabs>
              <w:jc w:val="center"/>
              <w:rPr>
                <w:sz w:val="24"/>
              </w:rPr>
            </w:pPr>
          </w:p>
        </w:tc>
        <w:tc>
          <w:tcPr>
            <w:tcW w:w="1724" w:type="dxa"/>
            <w:vAlign w:val="center"/>
          </w:tcPr>
          <w:p w14:paraId="3836D088">
            <w:pPr>
              <w:tabs>
                <w:tab w:val="left" w:pos="5580"/>
              </w:tabs>
              <w:jc w:val="center"/>
              <w:rPr>
                <w:sz w:val="24"/>
              </w:rPr>
            </w:pPr>
          </w:p>
        </w:tc>
      </w:tr>
    </w:tbl>
    <w:p w14:paraId="5E793AAA">
      <w:pPr>
        <w:autoSpaceDE w:val="0"/>
        <w:autoSpaceDN w:val="0"/>
        <w:adjustRightInd w:val="0"/>
        <w:jc w:val="left"/>
        <w:rPr>
          <w:color w:val="000000"/>
          <w:kern w:val="0"/>
          <w:sz w:val="24"/>
        </w:rPr>
      </w:pPr>
    </w:p>
    <w:p w14:paraId="5882CA59">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279774F3">
      <w:pPr>
        <w:tabs>
          <w:tab w:val="left" w:pos="5580"/>
        </w:tabs>
        <w:ind w:firstLine="480" w:firstLineChars="200"/>
        <w:rPr>
          <w:color w:val="000000"/>
          <w:sz w:val="24"/>
          <w:szCs w:val="20"/>
        </w:rPr>
      </w:pPr>
      <w:r>
        <w:rPr>
          <w:color w:val="000000"/>
          <w:sz w:val="24"/>
          <w:szCs w:val="20"/>
        </w:rPr>
        <w:t>2.本表必须按包分别填写。</w:t>
      </w:r>
    </w:p>
    <w:p w14:paraId="2CDE8753">
      <w:pPr>
        <w:pStyle w:val="179"/>
        <w:ind w:left="642" w:leftChars="227" w:hanging="165" w:hangingChars="69"/>
        <w:rPr>
          <w:rFonts w:ascii="Times New Roman" w:hAnsi="Times New Roman"/>
          <w:sz w:val="24"/>
          <w:szCs w:val="24"/>
        </w:rPr>
      </w:pPr>
      <w:r>
        <w:rPr>
          <w:rFonts w:ascii="Times New Roman" w:hAnsi="Times New Roman"/>
          <w:sz w:val="24"/>
          <w:szCs w:val="24"/>
        </w:rPr>
        <w:t>3.</w:t>
      </w:r>
      <w:bookmarkStart w:id="763" w:name="_Hlk137145744"/>
      <w:r>
        <w:rPr>
          <w:rFonts w:ascii="Times New Roman" w:hAnsi="Times New Roman"/>
          <w:sz w:val="24"/>
          <w:szCs w:val="24"/>
        </w:rPr>
        <w:t>此表无需在响应文件中提交，谈判后供应商按谈判小组要求提交。</w:t>
      </w:r>
    </w:p>
    <w:bookmarkEnd w:id="763"/>
    <w:p w14:paraId="708F7634">
      <w:pPr>
        <w:tabs>
          <w:tab w:val="left" w:pos="5580"/>
        </w:tabs>
        <w:ind w:firstLine="480" w:firstLineChars="200"/>
        <w:rPr>
          <w:color w:val="000000"/>
          <w:sz w:val="24"/>
          <w:szCs w:val="20"/>
        </w:rPr>
      </w:pPr>
    </w:p>
    <w:p w14:paraId="53055C5C">
      <w:pPr>
        <w:autoSpaceDE w:val="0"/>
        <w:autoSpaceDN w:val="0"/>
        <w:adjustRightInd w:val="0"/>
        <w:snapToGrid w:val="0"/>
        <w:spacing w:before="25" w:after="25" w:line="360" w:lineRule="auto"/>
        <w:rPr>
          <w:color w:val="000000"/>
          <w:sz w:val="24"/>
          <w:lang w:val="zh-CN"/>
        </w:rPr>
      </w:pPr>
    </w:p>
    <w:p w14:paraId="504CC8A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9F56EB">
      <w:pPr>
        <w:autoSpaceDE w:val="0"/>
        <w:autoSpaceDN w:val="0"/>
        <w:adjustRightInd w:val="0"/>
        <w:snapToGrid w:val="0"/>
        <w:spacing w:before="25" w:after="25" w:line="360" w:lineRule="auto"/>
        <w:rPr>
          <w:color w:val="000000"/>
          <w:sz w:val="24"/>
          <w:lang w:val="zh-CN"/>
        </w:rPr>
      </w:pPr>
      <w:bookmarkStart w:id="764" w:name="_Hlk144141560"/>
      <w:r>
        <w:rPr>
          <w:color w:val="000000"/>
          <w:sz w:val="24"/>
        </w:rPr>
        <w:t>供应商授权代表签字（或加盖供应商公章）</w:t>
      </w:r>
      <w:r>
        <w:rPr>
          <w:color w:val="000000"/>
          <w:sz w:val="24"/>
          <w:lang w:val="zh-CN"/>
        </w:rPr>
        <w:t>：</w:t>
      </w:r>
      <w:bookmarkEnd w:id="764"/>
      <w:r>
        <w:rPr>
          <w:color w:val="000000"/>
          <w:sz w:val="24"/>
          <w:lang w:val="zh-CN"/>
        </w:rPr>
        <w:t>____________</w:t>
      </w:r>
    </w:p>
    <w:p w14:paraId="2BDB233A">
      <w:pPr>
        <w:autoSpaceDE w:val="0"/>
        <w:autoSpaceDN w:val="0"/>
        <w:adjustRightInd w:val="0"/>
        <w:snapToGrid w:val="0"/>
        <w:spacing w:before="25" w:after="25" w:line="360" w:lineRule="auto"/>
        <w:rPr>
          <w:color w:val="000000"/>
          <w:sz w:val="24"/>
          <w:lang w:val="zh-CN"/>
        </w:rPr>
      </w:pPr>
      <w:r>
        <w:rPr>
          <w:color w:val="000000"/>
          <w:sz w:val="24"/>
          <w:szCs w:val="20"/>
        </w:rPr>
        <w:t>日期：_____年______月______日</w:t>
      </w:r>
    </w:p>
    <w:p w14:paraId="5EC1B8CC">
      <w:pPr>
        <w:widowControl/>
        <w:jc w:val="left"/>
        <w:rPr>
          <w:color w:val="000000"/>
          <w:sz w:val="24"/>
          <w:szCs w:val="20"/>
        </w:rPr>
      </w:pPr>
    </w:p>
    <w:p w14:paraId="6737A067">
      <w:pPr>
        <w:numPr>
          <w:ilvl w:val="0"/>
          <w:numId w:val="33"/>
        </w:numPr>
        <w:tabs>
          <w:tab w:val="left" w:pos="360"/>
        </w:tabs>
        <w:snapToGrid w:val="0"/>
        <w:spacing w:line="360" w:lineRule="auto"/>
        <w:outlineLvl w:val="1"/>
        <w:rPr>
          <w:color w:val="000000"/>
          <w:sz w:val="24"/>
          <w:szCs w:val="20"/>
        </w:rPr>
        <w:sectPr>
          <w:pgSz w:w="11907" w:h="16840"/>
          <w:pgMar w:top="1418" w:right="1134" w:bottom="1418" w:left="1701" w:header="851" w:footer="851" w:gutter="0"/>
          <w:pgNumType w:fmt="decimal"/>
          <w:cols w:space="720" w:num="1"/>
          <w:docGrid w:linePitch="462" w:charSpace="0"/>
        </w:sectPr>
      </w:pPr>
    </w:p>
    <w:p w14:paraId="5CD60144">
      <w:pPr>
        <w:numPr>
          <w:ilvl w:val="0"/>
          <w:numId w:val="33"/>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45D55D19">
      <w:pPr>
        <w:spacing w:line="360" w:lineRule="exact"/>
        <w:jc w:val="center"/>
        <w:rPr>
          <w:b/>
          <w:color w:val="000000"/>
          <w:sz w:val="36"/>
          <w:szCs w:val="36"/>
        </w:rPr>
      </w:pPr>
    </w:p>
    <w:p w14:paraId="6BEEDF08">
      <w:pPr>
        <w:spacing w:line="360" w:lineRule="exact"/>
        <w:jc w:val="center"/>
        <w:rPr>
          <w:b/>
          <w:color w:val="000000"/>
          <w:sz w:val="36"/>
          <w:szCs w:val="36"/>
        </w:rPr>
      </w:pPr>
      <w:r>
        <w:rPr>
          <w:b/>
          <w:color w:val="000000"/>
          <w:sz w:val="36"/>
          <w:szCs w:val="36"/>
        </w:rPr>
        <w:t>最后分项报价表</w:t>
      </w:r>
    </w:p>
    <w:p w14:paraId="23132F90">
      <w:pPr>
        <w:pStyle w:val="17"/>
      </w:pPr>
    </w:p>
    <w:p w14:paraId="6550BCD8">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06D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8" w:type="dxa"/>
            <w:vAlign w:val="center"/>
          </w:tcPr>
          <w:p w14:paraId="3149A7D4">
            <w:pPr>
              <w:adjustRightInd w:val="0"/>
              <w:snapToGrid w:val="0"/>
              <w:jc w:val="center"/>
              <w:rPr>
                <w:b/>
                <w:color w:val="000000"/>
                <w:sz w:val="24"/>
              </w:rPr>
            </w:pPr>
            <w:r>
              <w:rPr>
                <w:b/>
                <w:color w:val="000000"/>
                <w:sz w:val="24"/>
              </w:rPr>
              <w:t>序号</w:t>
            </w:r>
          </w:p>
        </w:tc>
        <w:tc>
          <w:tcPr>
            <w:tcW w:w="1052" w:type="dxa"/>
            <w:vAlign w:val="center"/>
          </w:tcPr>
          <w:p w14:paraId="39BE36AD">
            <w:pPr>
              <w:adjustRightInd w:val="0"/>
              <w:snapToGrid w:val="0"/>
              <w:jc w:val="center"/>
              <w:rPr>
                <w:b/>
                <w:color w:val="000000"/>
                <w:sz w:val="24"/>
              </w:rPr>
            </w:pPr>
            <w:r>
              <w:rPr>
                <w:b/>
                <w:color w:val="000000"/>
                <w:sz w:val="24"/>
              </w:rPr>
              <w:t>分项名称</w:t>
            </w:r>
          </w:p>
        </w:tc>
        <w:tc>
          <w:tcPr>
            <w:tcW w:w="1325" w:type="dxa"/>
            <w:vAlign w:val="center"/>
          </w:tcPr>
          <w:p w14:paraId="174D81BD">
            <w:pPr>
              <w:adjustRightInd w:val="0"/>
              <w:snapToGrid w:val="0"/>
              <w:jc w:val="center"/>
              <w:rPr>
                <w:b/>
                <w:color w:val="000000"/>
                <w:sz w:val="24"/>
              </w:rPr>
            </w:pPr>
            <w:r>
              <w:rPr>
                <w:b/>
                <w:color w:val="000000"/>
                <w:sz w:val="24"/>
              </w:rPr>
              <w:t>制造商/</w:t>
            </w:r>
          </w:p>
          <w:p w14:paraId="1F9CF425">
            <w:pPr>
              <w:adjustRightInd w:val="0"/>
              <w:snapToGrid w:val="0"/>
              <w:jc w:val="center"/>
              <w:rPr>
                <w:b/>
                <w:color w:val="000000"/>
                <w:sz w:val="24"/>
              </w:rPr>
            </w:pPr>
            <w:r>
              <w:rPr>
                <w:b/>
                <w:color w:val="000000"/>
                <w:sz w:val="24"/>
              </w:rPr>
              <w:t>生产厂家</w:t>
            </w:r>
          </w:p>
        </w:tc>
        <w:tc>
          <w:tcPr>
            <w:tcW w:w="944" w:type="dxa"/>
            <w:vAlign w:val="center"/>
          </w:tcPr>
          <w:p w14:paraId="19F84DBA">
            <w:pPr>
              <w:adjustRightInd w:val="0"/>
              <w:snapToGrid w:val="0"/>
              <w:jc w:val="center"/>
              <w:rPr>
                <w:b/>
                <w:color w:val="000000"/>
                <w:sz w:val="24"/>
              </w:rPr>
            </w:pPr>
            <w:r>
              <w:rPr>
                <w:b/>
                <w:color w:val="000000"/>
                <w:sz w:val="24"/>
              </w:rPr>
              <w:t>产地/国别</w:t>
            </w:r>
          </w:p>
        </w:tc>
        <w:tc>
          <w:tcPr>
            <w:tcW w:w="1254" w:type="dxa"/>
            <w:vAlign w:val="center"/>
          </w:tcPr>
          <w:p w14:paraId="6AC736C8">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1254" w:type="dxa"/>
            <w:vAlign w:val="center"/>
          </w:tcPr>
          <w:p w14:paraId="04EC9C88">
            <w:pPr>
              <w:jc w:val="center"/>
              <w:rPr>
                <w:b/>
                <w:color w:val="000000"/>
                <w:sz w:val="24"/>
              </w:rPr>
            </w:pPr>
            <w:r>
              <w:rPr>
                <w:b/>
                <w:color w:val="000000"/>
                <w:sz w:val="24"/>
              </w:rPr>
              <w:t>制造商</w:t>
            </w:r>
          </w:p>
          <w:p w14:paraId="15EAFF00">
            <w:pPr>
              <w:adjustRightInd w:val="0"/>
              <w:snapToGrid w:val="0"/>
              <w:jc w:val="center"/>
              <w:rPr>
                <w:b/>
                <w:color w:val="000000"/>
                <w:sz w:val="24"/>
              </w:rPr>
            </w:pPr>
            <w:r>
              <w:rPr>
                <w:b/>
                <w:color w:val="000000"/>
                <w:sz w:val="24"/>
              </w:rPr>
              <w:t>规模</w:t>
            </w:r>
          </w:p>
        </w:tc>
        <w:tc>
          <w:tcPr>
            <w:tcW w:w="1254" w:type="dxa"/>
            <w:vAlign w:val="center"/>
          </w:tcPr>
          <w:p w14:paraId="734AEEF0">
            <w:pPr>
              <w:adjustRightInd w:val="0"/>
              <w:snapToGrid w:val="0"/>
              <w:jc w:val="center"/>
              <w:rPr>
                <w:b/>
                <w:color w:val="000000"/>
                <w:sz w:val="24"/>
              </w:rPr>
            </w:pPr>
            <w:r>
              <w:rPr>
                <w:rFonts w:hint="eastAsia"/>
                <w:b/>
                <w:color w:val="000000"/>
                <w:sz w:val="24"/>
              </w:rPr>
              <w:t>制造商所属性别</w:t>
            </w:r>
          </w:p>
        </w:tc>
        <w:tc>
          <w:tcPr>
            <w:tcW w:w="1254" w:type="dxa"/>
            <w:vAlign w:val="center"/>
          </w:tcPr>
          <w:p w14:paraId="1F59995C">
            <w:pPr>
              <w:adjustRightInd w:val="0"/>
              <w:snapToGrid w:val="0"/>
              <w:jc w:val="center"/>
              <w:rPr>
                <w:b/>
                <w:color w:val="000000"/>
                <w:sz w:val="24"/>
              </w:rPr>
            </w:pPr>
            <w:r>
              <w:rPr>
                <w:rFonts w:hint="eastAsia"/>
                <w:b/>
                <w:color w:val="000000"/>
                <w:sz w:val="24"/>
              </w:rPr>
              <w:t>外商投资类型</w:t>
            </w:r>
          </w:p>
        </w:tc>
        <w:tc>
          <w:tcPr>
            <w:tcW w:w="1254" w:type="dxa"/>
            <w:vAlign w:val="center"/>
          </w:tcPr>
          <w:p w14:paraId="24B64EA6">
            <w:pPr>
              <w:adjustRightInd w:val="0"/>
              <w:snapToGrid w:val="0"/>
              <w:jc w:val="center"/>
              <w:rPr>
                <w:b/>
                <w:color w:val="000000"/>
                <w:sz w:val="24"/>
              </w:rPr>
            </w:pPr>
            <w:r>
              <w:rPr>
                <w:b/>
                <w:color w:val="000000"/>
                <w:sz w:val="24"/>
              </w:rPr>
              <w:t>品牌</w:t>
            </w:r>
          </w:p>
        </w:tc>
        <w:tc>
          <w:tcPr>
            <w:tcW w:w="1254" w:type="dxa"/>
            <w:vAlign w:val="center"/>
          </w:tcPr>
          <w:p w14:paraId="34EBFA82">
            <w:pPr>
              <w:adjustRightInd w:val="0"/>
              <w:snapToGrid w:val="0"/>
              <w:jc w:val="center"/>
              <w:rPr>
                <w:b/>
                <w:color w:val="000000"/>
                <w:sz w:val="24"/>
              </w:rPr>
            </w:pPr>
            <w:r>
              <w:rPr>
                <w:b/>
                <w:color w:val="000000"/>
                <w:sz w:val="24"/>
              </w:rPr>
              <w:t>规格、型号</w:t>
            </w:r>
          </w:p>
        </w:tc>
        <w:tc>
          <w:tcPr>
            <w:tcW w:w="1024" w:type="dxa"/>
            <w:vAlign w:val="center"/>
          </w:tcPr>
          <w:p w14:paraId="7FEF6A5B">
            <w:pPr>
              <w:adjustRightInd w:val="0"/>
              <w:snapToGrid w:val="0"/>
              <w:jc w:val="center"/>
              <w:rPr>
                <w:b/>
                <w:color w:val="000000"/>
                <w:sz w:val="24"/>
              </w:rPr>
            </w:pPr>
            <w:r>
              <w:rPr>
                <w:b/>
                <w:color w:val="000000"/>
                <w:sz w:val="24"/>
              </w:rPr>
              <w:t>单价（元）</w:t>
            </w:r>
          </w:p>
        </w:tc>
        <w:tc>
          <w:tcPr>
            <w:tcW w:w="831" w:type="dxa"/>
            <w:vAlign w:val="center"/>
          </w:tcPr>
          <w:p w14:paraId="3DCF3D99">
            <w:pPr>
              <w:adjustRightInd w:val="0"/>
              <w:snapToGrid w:val="0"/>
              <w:jc w:val="center"/>
              <w:rPr>
                <w:b/>
                <w:color w:val="000000"/>
                <w:sz w:val="24"/>
              </w:rPr>
            </w:pPr>
            <w:r>
              <w:rPr>
                <w:b/>
                <w:color w:val="000000"/>
                <w:sz w:val="24"/>
              </w:rPr>
              <w:t>数量</w:t>
            </w:r>
          </w:p>
        </w:tc>
        <w:tc>
          <w:tcPr>
            <w:tcW w:w="1022" w:type="dxa"/>
            <w:vAlign w:val="center"/>
          </w:tcPr>
          <w:p w14:paraId="5F249A96">
            <w:pPr>
              <w:adjustRightInd w:val="0"/>
              <w:snapToGrid w:val="0"/>
              <w:jc w:val="center"/>
              <w:rPr>
                <w:b/>
                <w:color w:val="000000"/>
                <w:sz w:val="24"/>
              </w:rPr>
            </w:pPr>
            <w:r>
              <w:rPr>
                <w:b/>
                <w:color w:val="000000"/>
                <w:sz w:val="24"/>
              </w:rPr>
              <w:t>合价（元）</w:t>
            </w:r>
          </w:p>
        </w:tc>
      </w:tr>
      <w:tr w14:paraId="3A67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F011A1D">
            <w:pPr>
              <w:adjustRightInd w:val="0"/>
              <w:snapToGrid w:val="0"/>
              <w:jc w:val="left"/>
              <w:rPr>
                <w:color w:val="000000"/>
                <w:sz w:val="24"/>
              </w:rPr>
            </w:pPr>
            <w:r>
              <w:rPr>
                <w:color w:val="000000"/>
                <w:sz w:val="24"/>
              </w:rPr>
              <w:t>1</w:t>
            </w:r>
          </w:p>
        </w:tc>
        <w:tc>
          <w:tcPr>
            <w:tcW w:w="1052" w:type="dxa"/>
            <w:vAlign w:val="center"/>
          </w:tcPr>
          <w:p w14:paraId="6455C69F">
            <w:pPr>
              <w:adjustRightInd w:val="0"/>
              <w:snapToGrid w:val="0"/>
              <w:jc w:val="left"/>
              <w:rPr>
                <w:color w:val="000000"/>
                <w:sz w:val="24"/>
              </w:rPr>
            </w:pPr>
          </w:p>
        </w:tc>
        <w:tc>
          <w:tcPr>
            <w:tcW w:w="1325" w:type="dxa"/>
            <w:vAlign w:val="center"/>
          </w:tcPr>
          <w:p w14:paraId="4F2DB93F">
            <w:pPr>
              <w:adjustRightInd w:val="0"/>
              <w:snapToGrid w:val="0"/>
              <w:jc w:val="left"/>
              <w:rPr>
                <w:color w:val="000000"/>
                <w:sz w:val="24"/>
              </w:rPr>
            </w:pPr>
          </w:p>
        </w:tc>
        <w:tc>
          <w:tcPr>
            <w:tcW w:w="944" w:type="dxa"/>
          </w:tcPr>
          <w:p w14:paraId="1E8CA1A5">
            <w:pPr>
              <w:adjustRightInd w:val="0"/>
              <w:snapToGrid w:val="0"/>
              <w:jc w:val="left"/>
              <w:rPr>
                <w:color w:val="000000"/>
                <w:sz w:val="24"/>
              </w:rPr>
            </w:pPr>
          </w:p>
        </w:tc>
        <w:tc>
          <w:tcPr>
            <w:tcW w:w="1254" w:type="dxa"/>
            <w:vAlign w:val="center"/>
          </w:tcPr>
          <w:p w14:paraId="0A2CBF5F">
            <w:pPr>
              <w:adjustRightInd w:val="0"/>
              <w:snapToGrid w:val="0"/>
              <w:jc w:val="center"/>
              <w:rPr>
                <w:color w:val="000000"/>
                <w:sz w:val="24"/>
              </w:rPr>
            </w:pPr>
          </w:p>
        </w:tc>
        <w:tc>
          <w:tcPr>
            <w:tcW w:w="1254" w:type="dxa"/>
            <w:vAlign w:val="center"/>
          </w:tcPr>
          <w:p w14:paraId="04815DCA">
            <w:pPr>
              <w:adjustRightInd w:val="0"/>
              <w:snapToGrid w:val="0"/>
              <w:jc w:val="center"/>
              <w:rPr>
                <w:color w:val="000000"/>
                <w:sz w:val="24"/>
              </w:rPr>
            </w:pPr>
          </w:p>
        </w:tc>
        <w:tc>
          <w:tcPr>
            <w:tcW w:w="1254" w:type="dxa"/>
          </w:tcPr>
          <w:p w14:paraId="48B3637F">
            <w:pPr>
              <w:adjustRightInd w:val="0"/>
              <w:snapToGrid w:val="0"/>
              <w:jc w:val="center"/>
              <w:rPr>
                <w:color w:val="000000"/>
                <w:sz w:val="24"/>
              </w:rPr>
            </w:pPr>
          </w:p>
        </w:tc>
        <w:tc>
          <w:tcPr>
            <w:tcW w:w="1254" w:type="dxa"/>
          </w:tcPr>
          <w:p w14:paraId="074AB608">
            <w:pPr>
              <w:adjustRightInd w:val="0"/>
              <w:snapToGrid w:val="0"/>
              <w:jc w:val="center"/>
              <w:rPr>
                <w:color w:val="000000"/>
                <w:sz w:val="24"/>
              </w:rPr>
            </w:pPr>
          </w:p>
        </w:tc>
        <w:tc>
          <w:tcPr>
            <w:tcW w:w="1254" w:type="dxa"/>
            <w:vAlign w:val="center"/>
          </w:tcPr>
          <w:p w14:paraId="3F081FBC">
            <w:pPr>
              <w:adjustRightInd w:val="0"/>
              <w:snapToGrid w:val="0"/>
              <w:jc w:val="center"/>
              <w:rPr>
                <w:color w:val="000000"/>
                <w:sz w:val="24"/>
              </w:rPr>
            </w:pPr>
          </w:p>
        </w:tc>
        <w:tc>
          <w:tcPr>
            <w:tcW w:w="1254" w:type="dxa"/>
            <w:vAlign w:val="center"/>
          </w:tcPr>
          <w:p w14:paraId="7721EE44">
            <w:pPr>
              <w:adjustRightInd w:val="0"/>
              <w:snapToGrid w:val="0"/>
              <w:jc w:val="left"/>
              <w:rPr>
                <w:color w:val="000000"/>
                <w:sz w:val="24"/>
              </w:rPr>
            </w:pPr>
          </w:p>
        </w:tc>
        <w:tc>
          <w:tcPr>
            <w:tcW w:w="1024" w:type="dxa"/>
            <w:vAlign w:val="center"/>
          </w:tcPr>
          <w:p w14:paraId="26210C20">
            <w:pPr>
              <w:adjustRightInd w:val="0"/>
              <w:snapToGrid w:val="0"/>
              <w:jc w:val="left"/>
              <w:rPr>
                <w:color w:val="000000"/>
                <w:sz w:val="24"/>
              </w:rPr>
            </w:pPr>
          </w:p>
        </w:tc>
        <w:tc>
          <w:tcPr>
            <w:tcW w:w="831" w:type="dxa"/>
            <w:vAlign w:val="center"/>
          </w:tcPr>
          <w:p w14:paraId="5A3C0FE2">
            <w:pPr>
              <w:adjustRightInd w:val="0"/>
              <w:snapToGrid w:val="0"/>
              <w:jc w:val="left"/>
              <w:rPr>
                <w:color w:val="000000"/>
                <w:sz w:val="24"/>
              </w:rPr>
            </w:pPr>
          </w:p>
        </w:tc>
        <w:tc>
          <w:tcPr>
            <w:tcW w:w="1022" w:type="dxa"/>
            <w:vAlign w:val="center"/>
          </w:tcPr>
          <w:p w14:paraId="7DEFB214">
            <w:pPr>
              <w:adjustRightInd w:val="0"/>
              <w:snapToGrid w:val="0"/>
              <w:jc w:val="left"/>
              <w:rPr>
                <w:color w:val="000000"/>
                <w:sz w:val="24"/>
              </w:rPr>
            </w:pPr>
          </w:p>
        </w:tc>
      </w:tr>
      <w:tr w14:paraId="4D01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59BA5D6">
            <w:pPr>
              <w:adjustRightInd w:val="0"/>
              <w:snapToGrid w:val="0"/>
              <w:jc w:val="left"/>
              <w:rPr>
                <w:color w:val="000000"/>
                <w:sz w:val="24"/>
              </w:rPr>
            </w:pPr>
            <w:r>
              <w:rPr>
                <w:color w:val="000000"/>
                <w:sz w:val="24"/>
              </w:rPr>
              <w:t>2</w:t>
            </w:r>
          </w:p>
        </w:tc>
        <w:tc>
          <w:tcPr>
            <w:tcW w:w="1052" w:type="dxa"/>
            <w:vAlign w:val="center"/>
          </w:tcPr>
          <w:p w14:paraId="5C9EBD53">
            <w:pPr>
              <w:adjustRightInd w:val="0"/>
              <w:snapToGrid w:val="0"/>
              <w:jc w:val="left"/>
              <w:rPr>
                <w:color w:val="000000"/>
                <w:sz w:val="24"/>
              </w:rPr>
            </w:pPr>
          </w:p>
        </w:tc>
        <w:tc>
          <w:tcPr>
            <w:tcW w:w="1325" w:type="dxa"/>
            <w:vAlign w:val="center"/>
          </w:tcPr>
          <w:p w14:paraId="13634D42">
            <w:pPr>
              <w:adjustRightInd w:val="0"/>
              <w:snapToGrid w:val="0"/>
              <w:jc w:val="left"/>
              <w:rPr>
                <w:color w:val="000000"/>
                <w:sz w:val="24"/>
              </w:rPr>
            </w:pPr>
          </w:p>
        </w:tc>
        <w:tc>
          <w:tcPr>
            <w:tcW w:w="944" w:type="dxa"/>
          </w:tcPr>
          <w:p w14:paraId="64CDCED9">
            <w:pPr>
              <w:adjustRightInd w:val="0"/>
              <w:snapToGrid w:val="0"/>
              <w:jc w:val="left"/>
              <w:rPr>
                <w:color w:val="000000"/>
                <w:sz w:val="24"/>
              </w:rPr>
            </w:pPr>
          </w:p>
        </w:tc>
        <w:tc>
          <w:tcPr>
            <w:tcW w:w="1254" w:type="dxa"/>
            <w:vAlign w:val="center"/>
          </w:tcPr>
          <w:p w14:paraId="0DF55BB2">
            <w:pPr>
              <w:adjustRightInd w:val="0"/>
              <w:snapToGrid w:val="0"/>
              <w:jc w:val="center"/>
              <w:rPr>
                <w:color w:val="000000"/>
                <w:sz w:val="24"/>
              </w:rPr>
            </w:pPr>
          </w:p>
        </w:tc>
        <w:tc>
          <w:tcPr>
            <w:tcW w:w="1254" w:type="dxa"/>
            <w:vAlign w:val="center"/>
          </w:tcPr>
          <w:p w14:paraId="703FA612">
            <w:pPr>
              <w:adjustRightInd w:val="0"/>
              <w:snapToGrid w:val="0"/>
              <w:jc w:val="center"/>
              <w:rPr>
                <w:color w:val="000000"/>
                <w:sz w:val="24"/>
              </w:rPr>
            </w:pPr>
          </w:p>
        </w:tc>
        <w:tc>
          <w:tcPr>
            <w:tcW w:w="1254" w:type="dxa"/>
          </w:tcPr>
          <w:p w14:paraId="013C71B7">
            <w:pPr>
              <w:adjustRightInd w:val="0"/>
              <w:snapToGrid w:val="0"/>
              <w:jc w:val="center"/>
              <w:rPr>
                <w:color w:val="000000"/>
                <w:sz w:val="24"/>
              </w:rPr>
            </w:pPr>
          </w:p>
        </w:tc>
        <w:tc>
          <w:tcPr>
            <w:tcW w:w="1254" w:type="dxa"/>
          </w:tcPr>
          <w:p w14:paraId="1577A01F">
            <w:pPr>
              <w:adjustRightInd w:val="0"/>
              <w:snapToGrid w:val="0"/>
              <w:jc w:val="center"/>
              <w:rPr>
                <w:color w:val="000000"/>
                <w:sz w:val="24"/>
              </w:rPr>
            </w:pPr>
          </w:p>
        </w:tc>
        <w:tc>
          <w:tcPr>
            <w:tcW w:w="1254" w:type="dxa"/>
            <w:vAlign w:val="center"/>
          </w:tcPr>
          <w:p w14:paraId="64D05644">
            <w:pPr>
              <w:adjustRightInd w:val="0"/>
              <w:snapToGrid w:val="0"/>
              <w:jc w:val="center"/>
              <w:rPr>
                <w:color w:val="000000"/>
                <w:sz w:val="24"/>
              </w:rPr>
            </w:pPr>
          </w:p>
        </w:tc>
        <w:tc>
          <w:tcPr>
            <w:tcW w:w="1254" w:type="dxa"/>
            <w:vAlign w:val="center"/>
          </w:tcPr>
          <w:p w14:paraId="75B601C6">
            <w:pPr>
              <w:adjustRightInd w:val="0"/>
              <w:snapToGrid w:val="0"/>
              <w:jc w:val="left"/>
              <w:rPr>
                <w:color w:val="000000"/>
                <w:sz w:val="24"/>
              </w:rPr>
            </w:pPr>
          </w:p>
        </w:tc>
        <w:tc>
          <w:tcPr>
            <w:tcW w:w="1024" w:type="dxa"/>
            <w:vAlign w:val="center"/>
          </w:tcPr>
          <w:p w14:paraId="3C855777">
            <w:pPr>
              <w:adjustRightInd w:val="0"/>
              <w:snapToGrid w:val="0"/>
              <w:jc w:val="left"/>
              <w:rPr>
                <w:color w:val="000000"/>
                <w:sz w:val="24"/>
              </w:rPr>
            </w:pPr>
          </w:p>
        </w:tc>
        <w:tc>
          <w:tcPr>
            <w:tcW w:w="831" w:type="dxa"/>
            <w:vAlign w:val="center"/>
          </w:tcPr>
          <w:p w14:paraId="4EC31A9D">
            <w:pPr>
              <w:adjustRightInd w:val="0"/>
              <w:snapToGrid w:val="0"/>
              <w:jc w:val="left"/>
              <w:rPr>
                <w:color w:val="000000"/>
                <w:sz w:val="24"/>
              </w:rPr>
            </w:pPr>
          </w:p>
        </w:tc>
        <w:tc>
          <w:tcPr>
            <w:tcW w:w="1022" w:type="dxa"/>
            <w:vAlign w:val="center"/>
          </w:tcPr>
          <w:p w14:paraId="55829DB2">
            <w:pPr>
              <w:adjustRightInd w:val="0"/>
              <w:snapToGrid w:val="0"/>
              <w:jc w:val="left"/>
              <w:rPr>
                <w:color w:val="000000"/>
                <w:sz w:val="24"/>
              </w:rPr>
            </w:pPr>
          </w:p>
        </w:tc>
      </w:tr>
      <w:tr w14:paraId="77D6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526051B">
            <w:pPr>
              <w:adjustRightInd w:val="0"/>
              <w:snapToGrid w:val="0"/>
              <w:jc w:val="left"/>
              <w:rPr>
                <w:color w:val="000000"/>
                <w:sz w:val="24"/>
              </w:rPr>
            </w:pPr>
            <w:r>
              <w:rPr>
                <w:color w:val="000000"/>
                <w:sz w:val="24"/>
              </w:rPr>
              <w:t>3</w:t>
            </w:r>
          </w:p>
        </w:tc>
        <w:tc>
          <w:tcPr>
            <w:tcW w:w="1052" w:type="dxa"/>
            <w:vAlign w:val="center"/>
          </w:tcPr>
          <w:p w14:paraId="048C09A7">
            <w:pPr>
              <w:adjustRightInd w:val="0"/>
              <w:snapToGrid w:val="0"/>
              <w:jc w:val="left"/>
              <w:rPr>
                <w:color w:val="000000"/>
                <w:sz w:val="24"/>
              </w:rPr>
            </w:pPr>
          </w:p>
        </w:tc>
        <w:tc>
          <w:tcPr>
            <w:tcW w:w="1325" w:type="dxa"/>
            <w:vAlign w:val="center"/>
          </w:tcPr>
          <w:p w14:paraId="483FD1D1">
            <w:pPr>
              <w:adjustRightInd w:val="0"/>
              <w:snapToGrid w:val="0"/>
              <w:jc w:val="left"/>
              <w:rPr>
                <w:color w:val="000000"/>
                <w:sz w:val="24"/>
              </w:rPr>
            </w:pPr>
          </w:p>
        </w:tc>
        <w:tc>
          <w:tcPr>
            <w:tcW w:w="944" w:type="dxa"/>
          </w:tcPr>
          <w:p w14:paraId="19779431">
            <w:pPr>
              <w:adjustRightInd w:val="0"/>
              <w:snapToGrid w:val="0"/>
              <w:jc w:val="left"/>
              <w:rPr>
                <w:color w:val="000000"/>
                <w:sz w:val="24"/>
              </w:rPr>
            </w:pPr>
          </w:p>
        </w:tc>
        <w:tc>
          <w:tcPr>
            <w:tcW w:w="1254" w:type="dxa"/>
            <w:vAlign w:val="center"/>
          </w:tcPr>
          <w:p w14:paraId="449DA400">
            <w:pPr>
              <w:adjustRightInd w:val="0"/>
              <w:snapToGrid w:val="0"/>
              <w:jc w:val="center"/>
              <w:rPr>
                <w:color w:val="000000"/>
                <w:sz w:val="24"/>
              </w:rPr>
            </w:pPr>
          </w:p>
        </w:tc>
        <w:tc>
          <w:tcPr>
            <w:tcW w:w="1254" w:type="dxa"/>
            <w:vAlign w:val="center"/>
          </w:tcPr>
          <w:p w14:paraId="57726130">
            <w:pPr>
              <w:adjustRightInd w:val="0"/>
              <w:snapToGrid w:val="0"/>
              <w:jc w:val="center"/>
              <w:rPr>
                <w:color w:val="000000"/>
                <w:sz w:val="24"/>
              </w:rPr>
            </w:pPr>
          </w:p>
        </w:tc>
        <w:tc>
          <w:tcPr>
            <w:tcW w:w="1254" w:type="dxa"/>
          </w:tcPr>
          <w:p w14:paraId="57C0B4C6">
            <w:pPr>
              <w:adjustRightInd w:val="0"/>
              <w:snapToGrid w:val="0"/>
              <w:jc w:val="center"/>
              <w:rPr>
                <w:color w:val="000000"/>
                <w:sz w:val="24"/>
              </w:rPr>
            </w:pPr>
          </w:p>
        </w:tc>
        <w:tc>
          <w:tcPr>
            <w:tcW w:w="1254" w:type="dxa"/>
          </w:tcPr>
          <w:p w14:paraId="1C60B489">
            <w:pPr>
              <w:adjustRightInd w:val="0"/>
              <w:snapToGrid w:val="0"/>
              <w:jc w:val="center"/>
              <w:rPr>
                <w:color w:val="000000"/>
                <w:sz w:val="24"/>
              </w:rPr>
            </w:pPr>
          </w:p>
        </w:tc>
        <w:tc>
          <w:tcPr>
            <w:tcW w:w="1254" w:type="dxa"/>
            <w:vAlign w:val="center"/>
          </w:tcPr>
          <w:p w14:paraId="206D40E8">
            <w:pPr>
              <w:adjustRightInd w:val="0"/>
              <w:snapToGrid w:val="0"/>
              <w:jc w:val="center"/>
              <w:rPr>
                <w:color w:val="000000"/>
                <w:sz w:val="24"/>
              </w:rPr>
            </w:pPr>
          </w:p>
        </w:tc>
        <w:tc>
          <w:tcPr>
            <w:tcW w:w="1254" w:type="dxa"/>
            <w:vAlign w:val="center"/>
          </w:tcPr>
          <w:p w14:paraId="5B5A3B58">
            <w:pPr>
              <w:adjustRightInd w:val="0"/>
              <w:snapToGrid w:val="0"/>
              <w:jc w:val="left"/>
              <w:rPr>
                <w:color w:val="000000"/>
                <w:sz w:val="24"/>
              </w:rPr>
            </w:pPr>
          </w:p>
        </w:tc>
        <w:tc>
          <w:tcPr>
            <w:tcW w:w="1024" w:type="dxa"/>
            <w:vAlign w:val="center"/>
          </w:tcPr>
          <w:p w14:paraId="21A0F780">
            <w:pPr>
              <w:adjustRightInd w:val="0"/>
              <w:snapToGrid w:val="0"/>
              <w:jc w:val="left"/>
              <w:rPr>
                <w:color w:val="000000"/>
                <w:sz w:val="24"/>
              </w:rPr>
            </w:pPr>
          </w:p>
        </w:tc>
        <w:tc>
          <w:tcPr>
            <w:tcW w:w="831" w:type="dxa"/>
            <w:vAlign w:val="center"/>
          </w:tcPr>
          <w:p w14:paraId="6227FE16">
            <w:pPr>
              <w:adjustRightInd w:val="0"/>
              <w:snapToGrid w:val="0"/>
              <w:jc w:val="left"/>
              <w:rPr>
                <w:color w:val="000000"/>
                <w:sz w:val="24"/>
              </w:rPr>
            </w:pPr>
          </w:p>
        </w:tc>
        <w:tc>
          <w:tcPr>
            <w:tcW w:w="1022" w:type="dxa"/>
            <w:vAlign w:val="center"/>
          </w:tcPr>
          <w:p w14:paraId="777833FD">
            <w:pPr>
              <w:adjustRightInd w:val="0"/>
              <w:snapToGrid w:val="0"/>
              <w:jc w:val="left"/>
              <w:rPr>
                <w:color w:val="000000"/>
                <w:sz w:val="24"/>
              </w:rPr>
            </w:pPr>
          </w:p>
        </w:tc>
      </w:tr>
      <w:tr w14:paraId="2D3E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F442194">
            <w:pPr>
              <w:adjustRightInd w:val="0"/>
              <w:snapToGrid w:val="0"/>
              <w:jc w:val="left"/>
              <w:rPr>
                <w:color w:val="000000"/>
                <w:sz w:val="24"/>
              </w:rPr>
            </w:pPr>
            <w:r>
              <w:rPr>
                <w:color w:val="000000"/>
                <w:sz w:val="24"/>
              </w:rPr>
              <w:t>4</w:t>
            </w:r>
          </w:p>
        </w:tc>
        <w:tc>
          <w:tcPr>
            <w:tcW w:w="1052" w:type="dxa"/>
            <w:vAlign w:val="center"/>
          </w:tcPr>
          <w:p w14:paraId="66310A5E">
            <w:pPr>
              <w:adjustRightInd w:val="0"/>
              <w:snapToGrid w:val="0"/>
              <w:jc w:val="left"/>
              <w:rPr>
                <w:color w:val="000000"/>
                <w:sz w:val="24"/>
              </w:rPr>
            </w:pPr>
          </w:p>
        </w:tc>
        <w:tc>
          <w:tcPr>
            <w:tcW w:w="1325" w:type="dxa"/>
            <w:vAlign w:val="center"/>
          </w:tcPr>
          <w:p w14:paraId="0F5D9787">
            <w:pPr>
              <w:adjustRightInd w:val="0"/>
              <w:snapToGrid w:val="0"/>
              <w:jc w:val="left"/>
              <w:rPr>
                <w:color w:val="000000"/>
                <w:sz w:val="24"/>
              </w:rPr>
            </w:pPr>
          </w:p>
        </w:tc>
        <w:tc>
          <w:tcPr>
            <w:tcW w:w="944" w:type="dxa"/>
          </w:tcPr>
          <w:p w14:paraId="591A542A">
            <w:pPr>
              <w:adjustRightInd w:val="0"/>
              <w:snapToGrid w:val="0"/>
              <w:jc w:val="left"/>
              <w:rPr>
                <w:color w:val="000000"/>
                <w:sz w:val="24"/>
              </w:rPr>
            </w:pPr>
          </w:p>
        </w:tc>
        <w:tc>
          <w:tcPr>
            <w:tcW w:w="1254" w:type="dxa"/>
            <w:vAlign w:val="center"/>
          </w:tcPr>
          <w:p w14:paraId="2FA46DD6">
            <w:pPr>
              <w:adjustRightInd w:val="0"/>
              <w:snapToGrid w:val="0"/>
              <w:jc w:val="center"/>
              <w:rPr>
                <w:color w:val="000000"/>
                <w:sz w:val="24"/>
              </w:rPr>
            </w:pPr>
          </w:p>
        </w:tc>
        <w:tc>
          <w:tcPr>
            <w:tcW w:w="1254" w:type="dxa"/>
            <w:vAlign w:val="center"/>
          </w:tcPr>
          <w:p w14:paraId="14707354">
            <w:pPr>
              <w:adjustRightInd w:val="0"/>
              <w:snapToGrid w:val="0"/>
              <w:jc w:val="center"/>
              <w:rPr>
                <w:color w:val="000000"/>
                <w:sz w:val="24"/>
              </w:rPr>
            </w:pPr>
          </w:p>
        </w:tc>
        <w:tc>
          <w:tcPr>
            <w:tcW w:w="1254" w:type="dxa"/>
          </w:tcPr>
          <w:p w14:paraId="5147A76D">
            <w:pPr>
              <w:adjustRightInd w:val="0"/>
              <w:snapToGrid w:val="0"/>
              <w:jc w:val="center"/>
              <w:rPr>
                <w:color w:val="000000"/>
                <w:sz w:val="24"/>
              </w:rPr>
            </w:pPr>
          </w:p>
        </w:tc>
        <w:tc>
          <w:tcPr>
            <w:tcW w:w="1254" w:type="dxa"/>
          </w:tcPr>
          <w:p w14:paraId="4C87301E">
            <w:pPr>
              <w:adjustRightInd w:val="0"/>
              <w:snapToGrid w:val="0"/>
              <w:jc w:val="center"/>
              <w:rPr>
                <w:color w:val="000000"/>
                <w:sz w:val="24"/>
              </w:rPr>
            </w:pPr>
          </w:p>
        </w:tc>
        <w:tc>
          <w:tcPr>
            <w:tcW w:w="1254" w:type="dxa"/>
            <w:vAlign w:val="center"/>
          </w:tcPr>
          <w:p w14:paraId="4DB0EAFD">
            <w:pPr>
              <w:adjustRightInd w:val="0"/>
              <w:snapToGrid w:val="0"/>
              <w:jc w:val="center"/>
              <w:rPr>
                <w:color w:val="000000"/>
                <w:sz w:val="24"/>
              </w:rPr>
            </w:pPr>
          </w:p>
        </w:tc>
        <w:tc>
          <w:tcPr>
            <w:tcW w:w="1254" w:type="dxa"/>
            <w:vAlign w:val="center"/>
          </w:tcPr>
          <w:p w14:paraId="1BDDF230">
            <w:pPr>
              <w:adjustRightInd w:val="0"/>
              <w:snapToGrid w:val="0"/>
              <w:jc w:val="left"/>
              <w:rPr>
                <w:color w:val="000000"/>
                <w:sz w:val="24"/>
              </w:rPr>
            </w:pPr>
          </w:p>
        </w:tc>
        <w:tc>
          <w:tcPr>
            <w:tcW w:w="1024" w:type="dxa"/>
            <w:vAlign w:val="center"/>
          </w:tcPr>
          <w:p w14:paraId="61B8D4DF">
            <w:pPr>
              <w:adjustRightInd w:val="0"/>
              <w:snapToGrid w:val="0"/>
              <w:jc w:val="left"/>
              <w:rPr>
                <w:color w:val="000000"/>
                <w:sz w:val="24"/>
              </w:rPr>
            </w:pPr>
          </w:p>
        </w:tc>
        <w:tc>
          <w:tcPr>
            <w:tcW w:w="831" w:type="dxa"/>
            <w:vAlign w:val="center"/>
          </w:tcPr>
          <w:p w14:paraId="022E0202">
            <w:pPr>
              <w:adjustRightInd w:val="0"/>
              <w:snapToGrid w:val="0"/>
              <w:jc w:val="left"/>
              <w:rPr>
                <w:color w:val="000000"/>
                <w:sz w:val="24"/>
              </w:rPr>
            </w:pPr>
          </w:p>
        </w:tc>
        <w:tc>
          <w:tcPr>
            <w:tcW w:w="1022" w:type="dxa"/>
            <w:vAlign w:val="center"/>
          </w:tcPr>
          <w:p w14:paraId="1A8C8B09">
            <w:pPr>
              <w:adjustRightInd w:val="0"/>
              <w:snapToGrid w:val="0"/>
              <w:jc w:val="left"/>
              <w:rPr>
                <w:color w:val="000000"/>
                <w:sz w:val="24"/>
              </w:rPr>
            </w:pPr>
          </w:p>
        </w:tc>
      </w:tr>
      <w:tr w14:paraId="6E01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E7DAD78">
            <w:pPr>
              <w:adjustRightInd w:val="0"/>
              <w:snapToGrid w:val="0"/>
              <w:jc w:val="left"/>
              <w:rPr>
                <w:color w:val="000000"/>
                <w:sz w:val="24"/>
              </w:rPr>
            </w:pPr>
            <w:r>
              <w:rPr>
                <w:color w:val="000000"/>
                <w:sz w:val="24"/>
              </w:rPr>
              <w:t>…</w:t>
            </w:r>
          </w:p>
        </w:tc>
        <w:tc>
          <w:tcPr>
            <w:tcW w:w="1052" w:type="dxa"/>
            <w:vAlign w:val="center"/>
          </w:tcPr>
          <w:p w14:paraId="5866CA8D">
            <w:pPr>
              <w:adjustRightInd w:val="0"/>
              <w:snapToGrid w:val="0"/>
              <w:jc w:val="left"/>
              <w:rPr>
                <w:color w:val="000000"/>
                <w:sz w:val="24"/>
              </w:rPr>
            </w:pPr>
          </w:p>
        </w:tc>
        <w:tc>
          <w:tcPr>
            <w:tcW w:w="1325" w:type="dxa"/>
            <w:vAlign w:val="center"/>
          </w:tcPr>
          <w:p w14:paraId="57D6EBCB">
            <w:pPr>
              <w:adjustRightInd w:val="0"/>
              <w:snapToGrid w:val="0"/>
              <w:jc w:val="left"/>
              <w:rPr>
                <w:color w:val="000000"/>
                <w:sz w:val="24"/>
              </w:rPr>
            </w:pPr>
          </w:p>
        </w:tc>
        <w:tc>
          <w:tcPr>
            <w:tcW w:w="944" w:type="dxa"/>
          </w:tcPr>
          <w:p w14:paraId="7685049D">
            <w:pPr>
              <w:adjustRightInd w:val="0"/>
              <w:snapToGrid w:val="0"/>
              <w:jc w:val="left"/>
              <w:rPr>
                <w:color w:val="000000"/>
                <w:sz w:val="24"/>
              </w:rPr>
            </w:pPr>
          </w:p>
        </w:tc>
        <w:tc>
          <w:tcPr>
            <w:tcW w:w="1254" w:type="dxa"/>
            <w:vAlign w:val="center"/>
          </w:tcPr>
          <w:p w14:paraId="56060E8E">
            <w:pPr>
              <w:adjustRightInd w:val="0"/>
              <w:snapToGrid w:val="0"/>
              <w:jc w:val="center"/>
              <w:rPr>
                <w:color w:val="000000"/>
                <w:sz w:val="24"/>
              </w:rPr>
            </w:pPr>
          </w:p>
        </w:tc>
        <w:tc>
          <w:tcPr>
            <w:tcW w:w="1254" w:type="dxa"/>
            <w:vAlign w:val="center"/>
          </w:tcPr>
          <w:p w14:paraId="69F2DD13">
            <w:pPr>
              <w:adjustRightInd w:val="0"/>
              <w:snapToGrid w:val="0"/>
              <w:jc w:val="center"/>
              <w:rPr>
                <w:color w:val="000000"/>
                <w:sz w:val="24"/>
              </w:rPr>
            </w:pPr>
          </w:p>
        </w:tc>
        <w:tc>
          <w:tcPr>
            <w:tcW w:w="1254" w:type="dxa"/>
          </w:tcPr>
          <w:p w14:paraId="6A45D3FF">
            <w:pPr>
              <w:adjustRightInd w:val="0"/>
              <w:snapToGrid w:val="0"/>
              <w:jc w:val="center"/>
              <w:rPr>
                <w:color w:val="000000"/>
                <w:sz w:val="24"/>
              </w:rPr>
            </w:pPr>
          </w:p>
        </w:tc>
        <w:tc>
          <w:tcPr>
            <w:tcW w:w="1254" w:type="dxa"/>
          </w:tcPr>
          <w:p w14:paraId="37FA5486">
            <w:pPr>
              <w:adjustRightInd w:val="0"/>
              <w:snapToGrid w:val="0"/>
              <w:jc w:val="center"/>
              <w:rPr>
                <w:color w:val="000000"/>
                <w:sz w:val="24"/>
              </w:rPr>
            </w:pPr>
          </w:p>
        </w:tc>
        <w:tc>
          <w:tcPr>
            <w:tcW w:w="1254" w:type="dxa"/>
            <w:vAlign w:val="center"/>
          </w:tcPr>
          <w:p w14:paraId="025031E1">
            <w:pPr>
              <w:adjustRightInd w:val="0"/>
              <w:snapToGrid w:val="0"/>
              <w:jc w:val="center"/>
              <w:rPr>
                <w:color w:val="000000"/>
                <w:sz w:val="24"/>
              </w:rPr>
            </w:pPr>
          </w:p>
        </w:tc>
        <w:tc>
          <w:tcPr>
            <w:tcW w:w="1254" w:type="dxa"/>
            <w:vAlign w:val="center"/>
          </w:tcPr>
          <w:p w14:paraId="195324B8">
            <w:pPr>
              <w:adjustRightInd w:val="0"/>
              <w:snapToGrid w:val="0"/>
              <w:jc w:val="left"/>
              <w:rPr>
                <w:color w:val="000000"/>
                <w:sz w:val="24"/>
              </w:rPr>
            </w:pPr>
          </w:p>
        </w:tc>
        <w:tc>
          <w:tcPr>
            <w:tcW w:w="1024" w:type="dxa"/>
            <w:vAlign w:val="center"/>
          </w:tcPr>
          <w:p w14:paraId="18E2865F">
            <w:pPr>
              <w:adjustRightInd w:val="0"/>
              <w:snapToGrid w:val="0"/>
              <w:jc w:val="left"/>
              <w:rPr>
                <w:color w:val="000000"/>
                <w:sz w:val="24"/>
              </w:rPr>
            </w:pPr>
          </w:p>
        </w:tc>
        <w:tc>
          <w:tcPr>
            <w:tcW w:w="831" w:type="dxa"/>
            <w:vAlign w:val="center"/>
          </w:tcPr>
          <w:p w14:paraId="25774C09">
            <w:pPr>
              <w:adjustRightInd w:val="0"/>
              <w:snapToGrid w:val="0"/>
              <w:jc w:val="left"/>
              <w:rPr>
                <w:color w:val="000000"/>
                <w:sz w:val="24"/>
              </w:rPr>
            </w:pPr>
          </w:p>
        </w:tc>
        <w:tc>
          <w:tcPr>
            <w:tcW w:w="1022" w:type="dxa"/>
            <w:vAlign w:val="center"/>
          </w:tcPr>
          <w:p w14:paraId="7CB65D4C">
            <w:pPr>
              <w:adjustRightInd w:val="0"/>
              <w:snapToGrid w:val="0"/>
              <w:jc w:val="left"/>
              <w:rPr>
                <w:color w:val="000000"/>
                <w:sz w:val="24"/>
              </w:rPr>
            </w:pPr>
          </w:p>
        </w:tc>
      </w:tr>
      <w:tr w14:paraId="7FAC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8" w:type="dxa"/>
            <w:gridSpan w:val="12"/>
          </w:tcPr>
          <w:p w14:paraId="37687598">
            <w:pPr>
              <w:jc w:val="right"/>
              <w:rPr>
                <w:b/>
                <w:sz w:val="24"/>
              </w:rPr>
            </w:pPr>
            <w:r>
              <w:rPr>
                <w:b/>
                <w:sz w:val="24"/>
              </w:rPr>
              <w:t>总价（元）</w:t>
            </w:r>
          </w:p>
        </w:tc>
        <w:tc>
          <w:tcPr>
            <w:tcW w:w="1022" w:type="dxa"/>
            <w:vAlign w:val="center"/>
          </w:tcPr>
          <w:p w14:paraId="3B9A5161">
            <w:pPr>
              <w:adjustRightInd w:val="0"/>
              <w:snapToGrid w:val="0"/>
              <w:jc w:val="left"/>
              <w:rPr>
                <w:color w:val="000000"/>
                <w:sz w:val="24"/>
              </w:rPr>
            </w:pPr>
          </w:p>
        </w:tc>
      </w:tr>
    </w:tbl>
    <w:p w14:paraId="3504A7BC">
      <w:pPr>
        <w:adjustRightInd w:val="0"/>
        <w:snapToGrid w:val="0"/>
        <w:jc w:val="left"/>
        <w:rPr>
          <w:b/>
          <w:bCs w:val="0"/>
          <w:i w:val="0"/>
          <w:iCs/>
          <w:color w:val="auto"/>
          <w:sz w:val="24"/>
        </w:rPr>
      </w:pPr>
    </w:p>
    <w:p w14:paraId="06BF912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eastAsiaTheme="minorEastAsia"/>
          <w:b/>
          <w:bCs w:val="0"/>
          <w:i w:val="0"/>
          <w:iCs/>
          <w:color w:val="auto"/>
          <w:sz w:val="24"/>
        </w:rPr>
      </w:pPr>
      <w:r>
        <w:rPr>
          <w:b/>
          <w:bCs w:val="0"/>
          <w:i w:val="0"/>
          <w:iCs/>
          <w:color w:val="auto"/>
          <w:sz w:val="24"/>
        </w:rPr>
        <w:t>说明：制造商规模请填写“</w:t>
      </w:r>
      <w:r>
        <w:rPr>
          <w:rFonts w:hint="eastAsia"/>
          <w:b/>
          <w:bCs w:val="0"/>
          <w:i w:val="0"/>
          <w:iCs/>
          <w:color w:val="auto"/>
          <w:sz w:val="24"/>
        </w:rPr>
        <w:t>大</w:t>
      </w:r>
      <w:r>
        <w:rPr>
          <w:b/>
          <w:bCs w:val="0"/>
          <w:i w:val="0"/>
          <w:iCs/>
          <w:color w:val="auto"/>
          <w:sz w:val="24"/>
        </w:rPr>
        <w:t>型”、“中型”、“小型”、“微型”或“其他”，中小企业的定义见第二章《供应商须知》。</w:t>
      </w:r>
    </w:p>
    <w:p w14:paraId="609D477D">
      <w:pPr>
        <w:keepNext w:val="0"/>
        <w:keepLines w:val="0"/>
        <w:pageBreakBefore w:val="0"/>
        <w:widowControl w:val="0"/>
        <w:tabs>
          <w:tab w:val="left" w:pos="1800"/>
          <w:tab w:val="left" w:pos="5580"/>
        </w:tabs>
        <w:kinsoku/>
        <w:wordWrap/>
        <w:overflowPunct/>
        <w:topLinePunct w:val="0"/>
        <w:autoSpaceDE/>
        <w:autoSpaceDN/>
        <w:bidi w:val="0"/>
        <w:ind w:firstLine="0" w:firstLineChars="0"/>
        <w:jc w:val="left"/>
        <w:textAlignment w:val="auto"/>
        <w:rPr>
          <w:b/>
          <w:bCs w:val="0"/>
          <w:i w:val="0"/>
          <w:iCs/>
          <w:color w:val="auto"/>
          <w:sz w:val="24"/>
        </w:rPr>
      </w:pPr>
      <w:r>
        <w:rPr>
          <w:rFonts w:hint="eastAsia"/>
          <w:b/>
          <w:bCs w:val="0"/>
          <w:i w:val="0"/>
          <w:iCs/>
          <w:color w:val="auto"/>
          <w:sz w:val="24"/>
        </w:rPr>
        <w:t>制造商所属性别请填写“男”或“女”，指拥有制造商</w:t>
      </w:r>
      <w:r>
        <w:rPr>
          <w:b/>
          <w:bCs w:val="0"/>
          <w:i w:val="0"/>
          <w:iCs/>
          <w:color w:val="auto"/>
          <w:sz w:val="24"/>
        </w:rPr>
        <w:t>51%</w:t>
      </w:r>
      <w:r>
        <w:rPr>
          <w:rFonts w:hint="eastAsia"/>
          <w:b/>
          <w:bCs w:val="0"/>
          <w:i w:val="0"/>
          <w:iCs/>
          <w:color w:val="auto"/>
          <w:sz w:val="24"/>
        </w:rPr>
        <w:t>以上绝对所有权的性别；绝对所有权拥有者可以是一个人，也可以是多人合计计算。</w:t>
      </w:r>
    </w:p>
    <w:p w14:paraId="32B4202F">
      <w:pPr>
        <w:keepNext w:val="0"/>
        <w:keepLines w:val="0"/>
        <w:pageBreakBefore w:val="0"/>
        <w:widowControl w:val="0"/>
        <w:tabs>
          <w:tab w:val="left" w:pos="1800"/>
          <w:tab w:val="left" w:pos="5580"/>
        </w:tabs>
        <w:kinsoku/>
        <w:wordWrap/>
        <w:overflowPunct/>
        <w:topLinePunct w:val="0"/>
        <w:autoSpaceDE/>
        <w:autoSpaceDN/>
        <w:bidi w:val="0"/>
        <w:ind w:firstLine="0" w:firstLineChars="0"/>
        <w:jc w:val="left"/>
        <w:textAlignment w:val="auto"/>
        <w:rPr>
          <w:rFonts w:ascii="Times New Roman" w:hAnsi="Times New Roman" w:eastAsiaTheme="minorEastAsia"/>
          <w:b/>
          <w:bCs w:val="0"/>
          <w:i w:val="0"/>
          <w:iCs/>
          <w:color w:val="auto"/>
          <w:sz w:val="24"/>
        </w:rPr>
      </w:pPr>
      <w:r>
        <w:rPr>
          <w:rFonts w:hint="eastAsia"/>
          <w:b/>
          <w:bCs w:val="0"/>
          <w:i w:val="0"/>
          <w:iCs/>
          <w:color w:val="auto"/>
          <w:sz w:val="24"/>
        </w:rPr>
        <w:t>外商投资类型请填写“外商单独投资”、“外商部分投资”或“内资”。</w:t>
      </w:r>
    </w:p>
    <w:p w14:paraId="598B07E2">
      <w:pPr>
        <w:widowControl/>
        <w:jc w:val="left"/>
        <w:rPr>
          <w:i w:val="0"/>
          <w:iCs/>
          <w:color w:val="000000"/>
          <w:sz w:val="24"/>
          <w:szCs w:val="20"/>
        </w:rPr>
      </w:pPr>
    </w:p>
    <w:p w14:paraId="5FB44408">
      <w:pPr>
        <w:autoSpaceDE w:val="0"/>
        <w:autoSpaceDN w:val="0"/>
        <w:adjustRightInd w:val="0"/>
        <w:snapToGrid w:val="0"/>
        <w:spacing w:before="25" w:after="25" w:line="360" w:lineRule="auto"/>
        <w:rPr>
          <w:rFonts w:eastAsiaTheme="minorEastAsia"/>
          <w:i w:val="0"/>
          <w:iCs/>
          <w:color w:val="000000"/>
          <w:sz w:val="24"/>
          <w:lang w:val="zh-CN"/>
        </w:rPr>
      </w:pPr>
      <w:r>
        <w:rPr>
          <w:rFonts w:eastAsiaTheme="minorEastAsia"/>
          <w:i w:val="0"/>
          <w:iCs/>
          <w:kern w:val="0"/>
          <w:sz w:val="24"/>
        </w:rPr>
        <w:t>供应商授权代表签字（或加盖供应商公章）</w:t>
      </w:r>
      <w:r>
        <w:rPr>
          <w:rFonts w:eastAsiaTheme="minorEastAsia"/>
          <w:i w:val="0"/>
          <w:iCs/>
          <w:color w:val="000000"/>
          <w:sz w:val="24"/>
          <w:lang w:val="zh-CN"/>
        </w:rPr>
        <w:t>：____________</w:t>
      </w:r>
    </w:p>
    <w:p w14:paraId="71D04DC0">
      <w:pPr>
        <w:autoSpaceDE w:val="0"/>
        <w:autoSpaceDN w:val="0"/>
        <w:adjustRightInd w:val="0"/>
        <w:snapToGrid w:val="0"/>
        <w:spacing w:before="25" w:after="25" w:line="360" w:lineRule="auto"/>
        <w:rPr>
          <w:b/>
          <w:i w:val="0"/>
          <w:iCs/>
          <w:sz w:val="36"/>
          <w:szCs w:val="36"/>
        </w:rPr>
      </w:pPr>
      <w:r>
        <w:rPr>
          <w:rFonts w:eastAsiaTheme="minorEastAsia"/>
          <w:i w:val="0"/>
          <w:iCs/>
          <w:color w:val="000000"/>
          <w:sz w:val="24"/>
          <w:szCs w:val="20"/>
        </w:rPr>
        <w:t>日期：____年____月____日</w:t>
      </w:r>
    </w:p>
    <w:p w14:paraId="0BA626E1">
      <w:pPr>
        <w:pStyle w:val="17"/>
        <w:rPr>
          <w:rFonts w:hint="default" w:eastAsia="宋体"/>
          <w:color w:val="FF0000"/>
          <w:lang w:val="en-US" w:eastAsia="zh-CN"/>
        </w:rPr>
      </w:pPr>
    </w:p>
    <w:sectPr>
      <w:headerReference r:id="rId26" w:type="default"/>
      <w:footerReference r:id="rId27" w:type="default"/>
      <w:pgSz w:w="16840" w:h="11907" w:orient="landscape"/>
      <w:pgMar w:top="1701" w:right="1418" w:bottom="1134" w:left="1418"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42CE">
    <w:pPr>
      <w:pStyle w:val="28"/>
      <w:framePr w:wrap="around" w:vAnchor="text" w:hAnchor="margin" w:xAlign="right" w:y="1"/>
      <w:rPr>
        <w:rStyle w:val="47"/>
      </w:rPr>
    </w:pPr>
  </w:p>
  <w:p w14:paraId="30A84CCC">
    <w:pPr>
      <w:pStyle w:val="28"/>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0BA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C82F567">
    <w:pPr>
      <w:pStyle w:val="28"/>
      <w:ind w:right="360"/>
    </w:pPr>
  </w:p>
  <w:p w14:paraId="2BF5FC6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71866">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7B0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57C2A19">
    <w:pPr>
      <w:pStyle w:val="28"/>
      <w:ind w:right="360"/>
    </w:pPr>
  </w:p>
  <w:p w14:paraId="02166D4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3930">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343DB">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B199E">
                          <w:pPr>
                            <w:pStyle w:val="2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8B199E">
                    <w:pPr>
                      <w:pStyle w:val="2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C5AD">
    <w:pPr>
      <w:pStyle w:val="28"/>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E1C7">
    <w:pPr>
      <w:pStyle w:val="28"/>
      <w:rPr>
        <w:rStyle w:val="47"/>
      </w:rPr>
    </w:pPr>
  </w:p>
  <w:p w14:paraId="7082B791">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F5E5">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CA034">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7CA034">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83C1A">
    <w:pPr>
      <w:pStyle w:val="28"/>
      <w:rPr>
        <w:rStyle w:val="4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78CAA">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78CAA">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6672A2C4">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0DE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5F747C6">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59E0">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825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596D315">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DAA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35F0">
    <w:pPr>
      <w:pStyle w:val="29"/>
      <w:jc w:val="right"/>
    </w:pPr>
    <w:r>
      <w:rPr>
        <w:rFonts w:hint="eastAsia"/>
      </w:rPr>
      <w:t xml:space="preserve">北京市政府采购项目竞争性谈判文件示范文本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391F">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8C13">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B381">
    <w:pPr>
      <w:pStyle w:val="29"/>
      <w:jc w:val="right"/>
      <w:rPr>
        <w:color w:val="4F81BD" w:themeColor="accent1"/>
        <w14:textFill>
          <w14:solidFill>
            <w14:schemeClr w14:val="accent1"/>
          </w14:solidFill>
        </w14:textFill>
      </w:rPr>
    </w:pPr>
    <w:r>
      <w:rPr>
        <w:rFonts w:hint="eastAsia"/>
      </w:rPr>
      <w:t>北京市政府采购项目竞争性谈判文件示范文本</w:t>
    </w:r>
  </w:p>
  <w:p w14:paraId="5DDF1EBC">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C67C">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65D2">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7546">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8580">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AEB6">
    <w:pPr>
      <w:pStyle w:val="29"/>
    </w:pPr>
  </w:p>
  <w:p w14:paraId="0943E45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8701">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88A2">
    <w:pPr>
      <w:pStyle w:val="29"/>
    </w:pPr>
  </w:p>
  <w:p w14:paraId="6A08C4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596B6"/>
    <w:multiLevelType w:val="singleLevel"/>
    <w:tmpl w:val="890596B6"/>
    <w:lvl w:ilvl="0" w:tentative="0">
      <w:start w:val="5"/>
      <w:numFmt w:val="chineseCounting"/>
      <w:suff w:val="nothing"/>
      <w:lvlText w:val="%1、"/>
      <w:lvlJc w:val="left"/>
      <w:pPr>
        <w:ind w:left="0" w:firstLine="420"/>
      </w:pPr>
      <w:rPr>
        <w:rFonts w:hint="eastAsia"/>
      </w:rPr>
    </w:lvl>
  </w:abstractNum>
  <w:abstractNum w:abstractNumId="1">
    <w:nsid w:val="8A5B0CAA"/>
    <w:multiLevelType w:val="multilevel"/>
    <w:tmpl w:val="8A5B0CAA"/>
    <w:lvl w:ilvl="0" w:tentative="0">
      <w:start w:val="1"/>
      <w:numFmt w:val="decimal"/>
      <w:suff w:val="nothing"/>
      <w:lvlText w:val="%1"/>
      <w:lvlJc w:val="left"/>
      <w:pPr>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9563018B"/>
    <w:multiLevelType w:val="singleLevel"/>
    <w:tmpl w:val="9563018B"/>
    <w:lvl w:ilvl="0" w:tentative="0">
      <w:start w:val="5"/>
      <w:numFmt w:val="chineseCounting"/>
      <w:suff w:val="nothing"/>
      <w:lvlText w:val="（%1）"/>
      <w:lvlJc w:val="left"/>
      <w:rPr>
        <w:rFonts w:hint="eastAsia"/>
      </w:rPr>
    </w:lvl>
  </w:abstractNum>
  <w:abstractNum w:abstractNumId="3">
    <w:nsid w:val="98FC6325"/>
    <w:multiLevelType w:val="singleLevel"/>
    <w:tmpl w:val="98FC6325"/>
    <w:lvl w:ilvl="0" w:tentative="0">
      <w:start w:val="5"/>
      <w:numFmt w:val="chineseCounting"/>
      <w:suff w:val="space"/>
      <w:lvlText w:val="第%1章"/>
      <w:lvlJc w:val="left"/>
      <w:rPr>
        <w:rFonts w:hint="eastAsia"/>
      </w:rPr>
    </w:lvl>
  </w:abstractNum>
  <w:abstractNum w:abstractNumId="4">
    <w:nsid w:val="9F5B5817"/>
    <w:multiLevelType w:val="singleLevel"/>
    <w:tmpl w:val="9F5B5817"/>
    <w:lvl w:ilvl="0" w:tentative="0">
      <w:start w:val="1"/>
      <w:numFmt w:val="decimal"/>
      <w:suff w:val="nothing"/>
      <w:lvlText w:val="（%1）"/>
      <w:lvlJc w:val="left"/>
    </w:lvl>
  </w:abstractNum>
  <w:abstractNum w:abstractNumId="5">
    <w:nsid w:val="BF6BC116"/>
    <w:multiLevelType w:val="singleLevel"/>
    <w:tmpl w:val="BF6BC116"/>
    <w:lvl w:ilvl="0" w:tentative="0">
      <w:start w:val="16"/>
      <w:numFmt w:val="decimal"/>
      <w:suff w:val="space"/>
      <w:lvlText w:val="%1."/>
      <w:lvlJc w:val="left"/>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75D1FE3"/>
    <w:multiLevelType w:val="multilevel"/>
    <w:tmpl w:val="D75D1FE3"/>
    <w:lvl w:ilvl="0" w:tentative="0">
      <w:start w:val="1"/>
      <w:numFmt w:val="decimal"/>
      <w:lvlText w:val="%1"/>
      <w:lvlJc w:val="left"/>
      <w:pPr>
        <w:tabs>
          <w:tab w:val="left" w:pos="900"/>
        </w:tabs>
        <w:ind w:left="900" w:hanging="900"/>
      </w:pPr>
      <w:rPr>
        <w:rFonts w:hint="eastAsia"/>
      </w:rPr>
    </w:lvl>
    <w:lvl w:ilvl="1" w:tentative="0">
      <w:start w:val="3"/>
      <w:numFmt w:val="decimal"/>
      <w:lvlText w:val="%1.%2"/>
      <w:lvlJc w:val="left"/>
      <w:pPr>
        <w:tabs>
          <w:tab w:val="left" w:pos="420"/>
        </w:tabs>
        <w:ind w:left="1468" w:hanging="900"/>
      </w:pPr>
      <w:rPr>
        <w:rFonts w:hint="default" w:ascii="宋体" w:hAnsi="宋体" w:eastAsia="宋体" w:cs="宋体"/>
        <w:sz w:val="24"/>
        <w:szCs w:val="24"/>
      </w:rPr>
    </w:lvl>
    <w:lvl w:ilvl="2" w:tentative="0">
      <w:start w:val="1"/>
      <w:numFmt w:val="decimal"/>
      <w:lvlText w:val="%1.%2.%3"/>
      <w:lvlJc w:val="left"/>
      <w:pPr>
        <w:tabs>
          <w:tab w:val="left" w:pos="420"/>
        </w:tabs>
        <w:ind w:left="1980" w:hanging="900"/>
      </w:pPr>
      <w:rPr>
        <w:rFonts w:hint="default" w:ascii="宋体" w:hAnsi="宋体" w:eastAsia="宋体" w:cs="宋体"/>
      </w:rPr>
    </w:lvl>
    <w:lvl w:ilvl="3" w:tentative="0">
      <w:start w:val="1"/>
      <w:numFmt w:val="decimal"/>
      <w:suff w:val="nothing"/>
      <w:lvlText w:val="3.%2.%3.%4"/>
      <w:lvlJc w:val="left"/>
      <w:pPr>
        <w:tabs>
          <w:tab w:val="left" w:pos="420"/>
        </w:tabs>
        <w:ind w:left="900" w:hanging="900"/>
      </w:pPr>
      <w:rPr>
        <w:rFonts w:hint="default" w:ascii="宋体" w:hAnsi="宋体" w:eastAsia="宋体" w:cs="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DDECD3BC"/>
    <w:multiLevelType w:val="singleLevel"/>
    <w:tmpl w:val="DDECD3BC"/>
    <w:lvl w:ilvl="0" w:tentative="0">
      <w:start w:val="6"/>
      <w:numFmt w:val="decimal"/>
      <w:suff w:val="space"/>
      <w:lvlText w:val="%1."/>
      <w:lvlJc w:val="left"/>
    </w:lvl>
  </w:abstractNum>
  <w:abstractNum w:abstractNumId="9">
    <w:nsid w:val="DE759F4B"/>
    <w:multiLevelType w:val="singleLevel"/>
    <w:tmpl w:val="DE759F4B"/>
    <w:lvl w:ilvl="0" w:tentative="0">
      <w:start w:val="2"/>
      <w:numFmt w:val="decimal"/>
      <w:suff w:val="space"/>
      <w:lvlText w:val="%1."/>
      <w:lvlJc w:val="left"/>
    </w:lvl>
  </w:abstractNum>
  <w:abstractNum w:abstractNumId="10">
    <w:nsid w:val="DEABE1DB"/>
    <w:multiLevelType w:val="singleLevel"/>
    <w:tmpl w:val="DEABE1DB"/>
    <w:lvl w:ilvl="0" w:tentative="0">
      <w:start w:val="23"/>
      <w:numFmt w:val="decimal"/>
      <w:suff w:val="space"/>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1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BE3EE8E"/>
    <w:multiLevelType w:val="multilevel"/>
    <w:tmpl w:val="0BE3EE8E"/>
    <w:lvl w:ilvl="0" w:tentative="0">
      <w:start w:val="1"/>
      <w:numFmt w:val="decimal"/>
      <w:suff w:val="nothing"/>
      <w:lvlText w:val="%1"/>
      <w:lvlJc w:val="left"/>
      <w:pPr>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b w:val="0"/>
        <w:bCs/>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0">
    <w:nsid w:val="1CADE6D5"/>
    <w:multiLevelType w:val="multilevel"/>
    <w:tmpl w:val="1CADE6D5"/>
    <w:lvl w:ilvl="0" w:tentative="0">
      <w:start w:val="1"/>
      <w:numFmt w:val="decimal"/>
      <w:lvlText w:val="%1"/>
      <w:lvlJc w:val="left"/>
      <w:pPr>
        <w:tabs>
          <w:tab w:val="left" w:pos="900"/>
        </w:tabs>
        <w:ind w:left="900" w:hanging="900"/>
      </w:pPr>
      <w:rPr>
        <w:rFonts w:hint="eastAsia"/>
      </w:rPr>
    </w:lvl>
    <w:lvl w:ilvl="1" w:tentative="0">
      <w:start w:val="3"/>
      <w:numFmt w:val="decimal"/>
      <w:lvlText w:val="%1.%2"/>
      <w:lvlJc w:val="left"/>
      <w:pPr>
        <w:tabs>
          <w:tab w:val="left" w:pos="420"/>
        </w:tabs>
        <w:ind w:left="1468" w:hanging="900"/>
      </w:pPr>
      <w:rPr>
        <w:rFonts w:hint="default" w:ascii="宋体" w:hAnsi="宋体" w:eastAsia="宋体" w:cs="宋体"/>
        <w:sz w:val="24"/>
        <w:szCs w:val="24"/>
      </w:rPr>
    </w:lvl>
    <w:lvl w:ilvl="2" w:tentative="0">
      <w:start w:val="3"/>
      <w:numFmt w:val="decimal"/>
      <w:lvlText w:val="%1.%2.%3"/>
      <w:lvlJc w:val="left"/>
      <w:pPr>
        <w:tabs>
          <w:tab w:val="left" w:pos="420"/>
        </w:tabs>
        <w:ind w:left="1980" w:hanging="900"/>
      </w:pPr>
      <w:rPr>
        <w:rFonts w:hint="default" w:ascii="宋体" w:hAnsi="宋体" w:eastAsia="宋体" w:cs="宋体"/>
      </w:rPr>
    </w:lvl>
    <w:lvl w:ilvl="3" w:tentative="0">
      <w:start w:val="1"/>
      <w:numFmt w:val="decimal"/>
      <w:suff w:val="nothing"/>
      <w:lvlText w:val="3.%2.%3.%4"/>
      <w:lvlJc w:val="left"/>
      <w:pPr>
        <w:tabs>
          <w:tab w:val="left" w:pos="0"/>
        </w:tabs>
        <w:ind w:left="900" w:hanging="900"/>
      </w:pPr>
      <w:rPr>
        <w:rFonts w:hint="default" w:ascii="宋体" w:hAnsi="宋体" w:eastAsia="宋体" w:cs="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242948EB"/>
    <w:multiLevelType w:val="multilevel"/>
    <w:tmpl w:val="242948EB"/>
    <w:lvl w:ilvl="0" w:tentative="0">
      <w:start w:val="1"/>
      <w:numFmt w:val="japaneseCounting"/>
      <w:suff w:val="nothing"/>
      <w:lvlText w:val="第%1章"/>
      <w:lvlJc w:val="left"/>
      <w:pPr>
        <w:ind w:left="4941" w:hanging="1140"/>
      </w:pPr>
      <w:rPr>
        <w:rFonts w:hint="eastAsia"/>
      </w:rPr>
    </w:lvl>
    <w:lvl w:ilvl="1" w:tentative="0">
      <w:start w:val="1"/>
      <w:numFmt w:val="lowerLetter"/>
      <w:lvlText w:val="%2)"/>
      <w:lvlJc w:val="left"/>
      <w:pPr>
        <w:tabs>
          <w:tab w:val="left" w:pos="4641"/>
        </w:tabs>
        <w:ind w:left="4641" w:hanging="420"/>
      </w:pPr>
      <w:rPr>
        <w:rFonts w:hint="eastAsia"/>
      </w:rPr>
    </w:lvl>
    <w:lvl w:ilvl="2" w:tentative="0">
      <w:start w:val="1"/>
      <w:numFmt w:val="lowerRoman"/>
      <w:lvlText w:val="%3."/>
      <w:lvlJc w:val="right"/>
      <w:pPr>
        <w:tabs>
          <w:tab w:val="left" w:pos="5061"/>
        </w:tabs>
        <w:ind w:left="5061" w:hanging="420"/>
      </w:pPr>
      <w:rPr>
        <w:rFonts w:hint="eastAsia"/>
      </w:rPr>
    </w:lvl>
    <w:lvl w:ilvl="3" w:tentative="0">
      <w:start w:val="1"/>
      <w:numFmt w:val="decimal"/>
      <w:lvlText w:val="%4."/>
      <w:lvlJc w:val="left"/>
      <w:pPr>
        <w:tabs>
          <w:tab w:val="left" w:pos="5481"/>
        </w:tabs>
        <w:ind w:left="5481" w:hanging="420"/>
      </w:pPr>
      <w:rPr>
        <w:rFonts w:hint="eastAsia"/>
      </w:rPr>
    </w:lvl>
    <w:lvl w:ilvl="4" w:tentative="0">
      <w:start w:val="1"/>
      <w:numFmt w:val="lowerLetter"/>
      <w:lvlText w:val="%5)"/>
      <w:lvlJc w:val="left"/>
      <w:pPr>
        <w:tabs>
          <w:tab w:val="left" w:pos="5901"/>
        </w:tabs>
        <w:ind w:left="5901" w:hanging="420"/>
      </w:pPr>
      <w:rPr>
        <w:rFonts w:hint="eastAsia"/>
      </w:rPr>
    </w:lvl>
    <w:lvl w:ilvl="5" w:tentative="0">
      <w:start w:val="1"/>
      <w:numFmt w:val="lowerRoman"/>
      <w:lvlText w:val="%6."/>
      <w:lvlJc w:val="right"/>
      <w:pPr>
        <w:tabs>
          <w:tab w:val="left" w:pos="6321"/>
        </w:tabs>
        <w:ind w:left="6321" w:hanging="420"/>
      </w:pPr>
      <w:rPr>
        <w:rFonts w:hint="eastAsia"/>
      </w:rPr>
    </w:lvl>
    <w:lvl w:ilvl="6" w:tentative="0">
      <w:start w:val="1"/>
      <w:numFmt w:val="decimal"/>
      <w:lvlText w:val="%7."/>
      <w:lvlJc w:val="left"/>
      <w:pPr>
        <w:tabs>
          <w:tab w:val="left" w:pos="6741"/>
        </w:tabs>
        <w:ind w:left="6741" w:hanging="420"/>
      </w:pPr>
      <w:rPr>
        <w:rFonts w:hint="eastAsia"/>
      </w:rPr>
    </w:lvl>
    <w:lvl w:ilvl="7" w:tentative="0">
      <w:start w:val="1"/>
      <w:numFmt w:val="lowerLetter"/>
      <w:lvlText w:val="%8)"/>
      <w:lvlJc w:val="left"/>
      <w:pPr>
        <w:tabs>
          <w:tab w:val="left" w:pos="7161"/>
        </w:tabs>
        <w:ind w:left="7161" w:hanging="420"/>
      </w:pPr>
      <w:rPr>
        <w:rFonts w:hint="eastAsia"/>
      </w:rPr>
    </w:lvl>
    <w:lvl w:ilvl="8" w:tentative="0">
      <w:start w:val="1"/>
      <w:numFmt w:val="lowerRoman"/>
      <w:lvlText w:val="%9."/>
      <w:lvlJc w:val="right"/>
      <w:pPr>
        <w:tabs>
          <w:tab w:val="left" w:pos="7581"/>
        </w:tabs>
        <w:ind w:left="7581" w:hanging="420"/>
      </w:pPr>
      <w:rPr>
        <w:rFonts w:hint="eastAsia"/>
      </w:rPr>
    </w:lvl>
  </w:abstractNum>
  <w:abstractNum w:abstractNumId="22">
    <w:nsid w:val="2CE93396"/>
    <w:multiLevelType w:val="multilevel"/>
    <w:tmpl w:val="2CE93396"/>
    <w:lvl w:ilvl="0" w:tentative="0">
      <w:start w:val="1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0FA6025"/>
    <w:multiLevelType w:val="singleLevel"/>
    <w:tmpl w:val="30FA6025"/>
    <w:lvl w:ilvl="0" w:tentative="0">
      <w:start w:val="1"/>
      <w:numFmt w:val="decimal"/>
      <w:lvlText w:val="%1."/>
      <w:lvlJc w:val="left"/>
      <w:pPr>
        <w:tabs>
          <w:tab w:val="left" w:pos="312"/>
        </w:tabs>
      </w:pPr>
    </w:lvl>
  </w:abstractNum>
  <w:abstractNum w:abstractNumId="25">
    <w:nsid w:val="366F74A0"/>
    <w:multiLevelType w:val="multilevel"/>
    <w:tmpl w:val="366F74A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3BA4B1A9"/>
    <w:multiLevelType w:val="singleLevel"/>
    <w:tmpl w:val="3BA4B1A9"/>
    <w:lvl w:ilvl="0" w:tentative="0">
      <w:start w:val="1"/>
      <w:numFmt w:val="decimal"/>
      <w:suff w:val="nothing"/>
      <w:lvlText w:val="%1）"/>
      <w:lvlJc w:val="left"/>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56364A9F"/>
    <w:multiLevelType w:val="singleLevel"/>
    <w:tmpl w:val="56364A9F"/>
    <w:lvl w:ilvl="0" w:tentative="0">
      <w:start w:val="1"/>
      <w:numFmt w:val="decimal"/>
      <w:suff w:val="space"/>
      <w:lvlText w:val="%1."/>
      <w:lvlJc w:val="left"/>
    </w:lvl>
  </w:abstractNum>
  <w:abstractNum w:abstractNumId="29">
    <w:nsid w:val="578A0BCF"/>
    <w:multiLevelType w:val="multilevel"/>
    <w:tmpl w:val="578A0BCF"/>
    <w:lvl w:ilvl="0" w:tentative="0">
      <w:start w:val="12"/>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77740065"/>
    <w:multiLevelType w:val="multilevel"/>
    <w:tmpl w:val="7774006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1">
    <w:nsid w:val="7A0F6431"/>
    <w:multiLevelType w:val="singleLevel"/>
    <w:tmpl w:val="7A0F6431"/>
    <w:lvl w:ilvl="0" w:tentative="0">
      <w:start w:val="1"/>
      <w:numFmt w:val="decimal"/>
      <w:suff w:val="space"/>
      <w:lvlText w:val="%1."/>
      <w:lvlJc w:val="left"/>
    </w:lvl>
  </w:abstractNum>
  <w:abstractNum w:abstractNumId="32">
    <w:nsid w:val="7D8813A8"/>
    <w:multiLevelType w:val="multilevel"/>
    <w:tmpl w:val="7D8813A8"/>
    <w:lvl w:ilvl="0" w:tentative="0">
      <w:start w:val="1"/>
      <w:numFmt w:val="decimal"/>
      <w:pStyle w:val="271"/>
      <w:suff w:val="space"/>
      <w:lvlText w:val="第%1章 "/>
      <w:lvlJc w:val="left"/>
      <w:pPr>
        <w:ind w:left="0" w:firstLine="0"/>
      </w:pPr>
      <w:rPr>
        <w:rFonts w:hint="default"/>
        <w:b/>
        <w:sz w:val="28"/>
        <w:szCs w:val="28"/>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suff w:val="space"/>
      <w:lvlText w:val="%1.%2.%3.%4.%5.%6"/>
      <w:lvlJc w:val="left"/>
      <w:pPr>
        <w:ind w:left="1152" w:hanging="1152"/>
      </w:pPr>
      <w:rPr>
        <w:rFonts w:hint="default" w:ascii="Times New Roman" w:hAnsi="Times New Roman" w:cs="Times New Roman"/>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default" w:ascii="Times New Roman" w:hAnsi="Times New Roman" w:cs="Times New Roman"/>
      </w:rPr>
    </w:lvl>
    <w:lvl w:ilvl="8" w:tentative="0">
      <w:start w:val="1"/>
      <w:numFmt w:val="decimal"/>
      <w:suff w:val="space"/>
      <w:lvlText w:val="%1.%2.%3.%4.%5.%6.%7.%8.%9"/>
      <w:lvlJc w:val="left"/>
      <w:pPr>
        <w:ind w:left="1584" w:hanging="1584"/>
      </w:pPr>
      <w:rPr>
        <w:rFonts w:hint="default" w:ascii="Times New Roman" w:hAnsi="Times New Roman" w:cs="Times New Roman"/>
      </w:rPr>
    </w:lvl>
  </w:abstractNum>
  <w:num w:numId="1">
    <w:abstractNumId w:val="15"/>
  </w:num>
  <w:num w:numId="2">
    <w:abstractNumId w:val="17"/>
  </w:num>
  <w:num w:numId="3">
    <w:abstractNumId w:val="12"/>
  </w:num>
  <w:num w:numId="4">
    <w:abstractNumId w:val="16"/>
  </w:num>
  <w:num w:numId="5">
    <w:abstractNumId w:val="14"/>
  </w:num>
  <w:num w:numId="6">
    <w:abstractNumId w:val="13"/>
  </w:num>
  <w:num w:numId="7">
    <w:abstractNumId w:val="19"/>
  </w:num>
  <w:num w:numId="8">
    <w:abstractNumId w:val="32"/>
  </w:num>
  <w:num w:numId="9">
    <w:abstractNumId w:val="1"/>
  </w:num>
  <w:num w:numId="10">
    <w:abstractNumId w:val="7"/>
  </w:num>
  <w:num w:numId="11">
    <w:abstractNumId w:val="20"/>
  </w:num>
  <w:num w:numId="12">
    <w:abstractNumId w:val="21"/>
  </w:num>
  <w:num w:numId="13">
    <w:abstractNumId w:val="18"/>
  </w:num>
  <w:num w:numId="14">
    <w:abstractNumId w:val="26"/>
  </w:num>
  <w:num w:numId="15">
    <w:abstractNumId w:val="2"/>
  </w:num>
  <w:num w:numId="16">
    <w:abstractNumId w:val="30"/>
  </w:num>
  <w:num w:numId="17">
    <w:abstractNumId w:val="0"/>
  </w:num>
  <w:num w:numId="18">
    <w:abstractNumId w:val="28"/>
  </w:num>
  <w:num w:numId="19">
    <w:abstractNumId w:val="24"/>
  </w:num>
  <w:num w:numId="20">
    <w:abstractNumId w:val="3"/>
  </w:num>
  <w:num w:numId="21">
    <w:abstractNumId w:val="31"/>
  </w:num>
  <w:num w:numId="22">
    <w:abstractNumId w:val="6"/>
  </w:num>
  <w:num w:numId="23">
    <w:abstractNumId w:val="4"/>
  </w:num>
  <w:num w:numId="24">
    <w:abstractNumId w:val="11"/>
  </w:num>
  <w:num w:numId="25">
    <w:abstractNumId w:val="9"/>
  </w:num>
  <w:num w:numId="26">
    <w:abstractNumId w:val="8"/>
  </w:num>
  <w:num w:numId="27">
    <w:abstractNumId w:val="5"/>
  </w:num>
  <w:num w:numId="28">
    <w:abstractNumId w:val="10"/>
  </w:num>
  <w:num w:numId="29">
    <w:abstractNumId w:val="25"/>
  </w:num>
  <w:num w:numId="30">
    <w:abstractNumId w:val="23"/>
  </w:num>
  <w:num w:numId="31">
    <w:abstractNumId w:val="27"/>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9E"/>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68B"/>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2F"/>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6A"/>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3B1"/>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82D"/>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EF7"/>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0E6"/>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4E"/>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00"/>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1206D5F"/>
    <w:rsid w:val="012368F3"/>
    <w:rsid w:val="0124336A"/>
    <w:rsid w:val="014541E2"/>
    <w:rsid w:val="014F03EF"/>
    <w:rsid w:val="01611F49"/>
    <w:rsid w:val="01883E03"/>
    <w:rsid w:val="019F20A2"/>
    <w:rsid w:val="01A85D51"/>
    <w:rsid w:val="02051AE6"/>
    <w:rsid w:val="02165FAF"/>
    <w:rsid w:val="02223D56"/>
    <w:rsid w:val="024617F2"/>
    <w:rsid w:val="024B5C25"/>
    <w:rsid w:val="024D764E"/>
    <w:rsid w:val="025008C3"/>
    <w:rsid w:val="02881E0B"/>
    <w:rsid w:val="02A12ECC"/>
    <w:rsid w:val="02B8562E"/>
    <w:rsid w:val="02D52B76"/>
    <w:rsid w:val="02DA76BF"/>
    <w:rsid w:val="02F95332"/>
    <w:rsid w:val="02FC5205"/>
    <w:rsid w:val="03101E00"/>
    <w:rsid w:val="03231B33"/>
    <w:rsid w:val="03351C7A"/>
    <w:rsid w:val="033C0D43"/>
    <w:rsid w:val="033E4BBF"/>
    <w:rsid w:val="03526967"/>
    <w:rsid w:val="03676DD4"/>
    <w:rsid w:val="036D2DAF"/>
    <w:rsid w:val="038325D2"/>
    <w:rsid w:val="03977E2B"/>
    <w:rsid w:val="03A569EC"/>
    <w:rsid w:val="03AD14F3"/>
    <w:rsid w:val="03B66504"/>
    <w:rsid w:val="03D97FAE"/>
    <w:rsid w:val="03F57E82"/>
    <w:rsid w:val="040C0819"/>
    <w:rsid w:val="04117BDE"/>
    <w:rsid w:val="04230AD7"/>
    <w:rsid w:val="0465519A"/>
    <w:rsid w:val="047C1921"/>
    <w:rsid w:val="04844854"/>
    <w:rsid w:val="049251C3"/>
    <w:rsid w:val="04943ED1"/>
    <w:rsid w:val="05113F0C"/>
    <w:rsid w:val="053F1F04"/>
    <w:rsid w:val="059C41F6"/>
    <w:rsid w:val="05B97C74"/>
    <w:rsid w:val="05D84E57"/>
    <w:rsid w:val="05DD246D"/>
    <w:rsid w:val="05ED3628"/>
    <w:rsid w:val="063A2626"/>
    <w:rsid w:val="063F6C84"/>
    <w:rsid w:val="069B14FB"/>
    <w:rsid w:val="06AA135C"/>
    <w:rsid w:val="06B156A8"/>
    <w:rsid w:val="06B6241D"/>
    <w:rsid w:val="06CA1CAF"/>
    <w:rsid w:val="06D118A6"/>
    <w:rsid w:val="06D870D9"/>
    <w:rsid w:val="07013F3A"/>
    <w:rsid w:val="07053AED"/>
    <w:rsid w:val="072E6CF9"/>
    <w:rsid w:val="072F1BD5"/>
    <w:rsid w:val="072F4F4B"/>
    <w:rsid w:val="074309F6"/>
    <w:rsid w:val="075A73A0"/>
    <w:rsid w:val="0790350F"/>
    <w:rsid w:val="07CC6CF6"/>
    <w:rsid w:val="07CD4764"/>
    <w:rsid w:val="07D57174"/>
    <w:rsid w:val="07DF3D76"/>
    <w:rsid w:val="07FC2953"/>
    <w:rsid w:val="08033848"/>
    <w:rsid w:val="0808754A"/>
    <w:rsid w:val="083B16CD"/>
    <w:rsid w:val="0858227F"/>
    <w:rsid w:val="08663B88"/>
    <w:rsid w:val="089D4136"/>
    <w:rsid w:val="08AE00F1"/>
    <w:rsid w:val="08BB13E9"/>
    <w:rsid w:val="08BF40AC"/>
    <w:rsid w:val="08E33B51"/>
    <w:rsid w:val="09216625"/>
    <w:rsid w:val="09532A47"/>
    <w:rsid w:val="095429DE"/>
    <w:rsid w:val="095A2027"/>
    <w:rsid w:val="097F533A"/>
    <w:rsid w:val="09886B94"/>
    <w:rsid w:val="098E1395"/>
    <w:rsid w:val="098E3A7F"/>
    <w:rsid w:val="099103C0"/>
    <w:rsid w:val="09A11A04"/>
    <w:rsid w:val="09E0077E"/>
    <w:rsid w:val="0A0655BF"/>
    <w:rsid w:val="0A132C02"/>
    <w:rsid w:val="0A261F09"/>
    <w:rsid w:val="0A344626"/>
    <w:rsid w:val="0A4A209B"/>
    <w:rsid w:val="0A6C2012"/>
    <w:rsid w:val="0A7E2163"/>
    <w:rsid w:val="0AB665C5"/>
    <w:rsid w:val="0ABF1C30"/>
    <w:rsid w:val="0AC55D37"/>
    <w:rsid w:val="0AD33E3F"/>
    <w:rsid w:val="0ADA341F"/>
    <w:rsid w:val="0ADD2F10"/>
    <w:rsid w:val="0AE416F7"/>
    <w:rsid w:val="0AFF2E86"/>
    <w:rsid w:val="0B093D05"/>
    <w:rsid w:val="0B420FC5"/>
    <w:rsid w:val="0B424B21"/>
    <w:rsid w:val="0B57681E"/>
    <w:rsid w:val="0B6423BD"/>
    <w:rsid w:val="0B660C1A"/>
    <w:rsid w:val="0B732796"/>
    <w:rsid w:val="0BA4633F"/>
    <w:rsid w:val="0BBF2615"/>
    <w:rsid w:val="0BDA7513"/>
    <w:rsid w:val="0BF40511"/>
    <w:rsid w:val="0C0258DC"/>
    <w:rsid w:val="0C0A599F"/>
    <w:rsid w:val="0C1977CA"/>
    <w:rsid w:val="0C670CE3"/>
    <w:rsid w:val="0C684A5B"/>
    <w:rsid w:val="0C6A5370"/>
    <w:rsid w:val="0C711B61"/>
    <w:rsid w:val="0C8252F9"/>
    <w:rsid w:val="0C8D7CAD"/>
    <w:rsid w:val="0C950F9E"/>
    <w:rsid w:val="0CD259ED"/>
    <w:rsid w:val="0CD8573D"/>
    <w:rsid w:val="0CFA3905"/>
    <w:rsid w:val="0CFC51B5"/>
    <w:rsid w:val="0D0A78C0"/>
    <w:rsid w:val="0D605732"/>
    <w:rsid w:val="0D735465"/>
    <w:rsid w:val="0D91242B"/>
    <w:rsid w:val="0D9D0734"/>
    <w:rsid w:val="0DDB79FE"/>
    <w:rsid w:val="0DF50570"/>
    <w:rsid w:val="0E2E169D"/>
    <w:rsid w:val="0E317FED"/>
    <w:rsid w:val="0E7074C1"/>
    <w:rsid w:val="0EA55AF2"/>
    <w:rsid w:val="0EAD49A7"/>
    <w:rsid w:val="0EF02B48"/>
    <w:rsid w:val="0F791A57"/>
    <w:rsid w:val="0FB96D88"/>
    <w:rsid w:val="0FE13628"/>
    <w:rsid w:val="100131FC"/>
    <w:rsid w:val="10022AD1"/>
    <w:rsid w:val="10152804"/>
    <w:rsid w:val="101822F4"/>
    <w:rsid w:val="10543875"/>
    <w:rsid w:val="108300B5"/>
    <w:rsid w:val="10A96360"/>
    <w:rsid w:val="10C5422A"/>
    <w:rsid w:val="10E51AC5"/>
    <w:rsid w:val="10FE14EA"/>
    <w:rsid w:val="10FF62D2"/>
    <w:rsid w:val="11036B00"/>
    <w:rsid w:val="1109296B"/>
    <w:rsid w:val="11193219"/>
    <w:rsid w:val="111B02EE"/>
    <w:rsid w:val="117A036C"/>
    <w:rsid w:val="11AB7525"/>
    <w:rsid w:val="11C36E4C"/>
    <w:rsid w:val="11D706B9"/>
    <w:rsid w:val="11F528ED"/>
    <w:rsid w:val="122A4C8C"/>
    <w:rsid w:val="12372F05"/>
    <w:rsid w:val="12561BF0"/>
    <w:rsid w:val="12597320"/>
    <w:rsid w:val="12626ADE"/>
    <w:rsid w:val="127F48AC"/>
    <w:rsid w:val="129F0AAB"/>
    <w:rsid w:val="12A12E5B"/>
    <w:rsid w:val="12E82452"/>
    <w:rsid w:val="12EE3177"/>
    <w:rsid w:val="135060C2"/>
    <w:rsid w:val="13511DA5"/>
    <w:rsid w:val="138D071E"/>
    <w:rsid w:val="13DD5026"/>
    <w:rsid w:val="1428562F"/>
    <w:rsid w:val="143A4F2F"/>
    <w:rsid w:val="143B4390"/>
    <w:rsid w:val="14467430"/>
    <w:rsid w:val="146826A1"/>
    <w:rsid w:val="14ED0EB5"/>
    <w:rsid w:val="14F74BCE"/>
    <w:rsid w:val="15003A82"/>
    <w:rsid w:val="1507380E"/>
    <w:rsid w:val="152F0F33"/>
    <w:rsid w:val="1537146E"/>
    <w:rsid w:val="15465D5E"/>
    <w:rsid w:val="1550103A"/>
    <w:rsid w:val="15751EFD"/>
    <w:rsid w:val="15873DC6"/>
    <w:rsid w:val="15A12BF7"/>
    <w:rsid w:val="15BB209F"/>
    <w:rsid w:val="15CF1017"/>
    <w:rsid w:val="160A26DF"/>
    <w:rsid w:val="16456719"/>
    <w:rsid w:val="16832BBD"/>
    <w:rsid w:val="16924BAE"/>
    <w:rsid w:val="16970417"/>
    <w:rsid w:val="16D763CF"/>
    <w:rsid w:val="17011559"/>
    <w:rsid w:val="1724245F"/>
    <w:rsid w:val="172C5BE5"/>
    <w:rsid w:val="174340FA"/>
    <w:rsid w:val="17543E86"/>
    <w:rsid w:val="17602EFE"/>
    <w:rsid w:val="17A60604"/>
    <w:rsid w:val="17AF6EBD"/>
    <w:rsid w:val="17B9322B"/>
    <w:rsid w:val="17E72CD8"/>
    <w:rsid w:val="17F93E0B"/>
    <w:rsid w:val="1817209B"/>
    <w:rsid w:val="18285F7D"/>
    <w:rsid w:val="182932F0"/>
    <w:rsid w:val="18506ACF"/>
    <w:rsid w:val="18B232E6"/>
    <w:rsid w:val="18BC0D81"/>
    <w:rsid w:val="18CD7718"/>
    <w:rsid w:val="18DD5A21"/>
    <w:rsid w:val="19257F5C"/>
    <w:rsid w:val="19397563"/>
    <w:rsid w:val="193D41F8"/>
    <w:rsid w:val="194C3D23"/>
    <w:rsid w:val="194F4FD8"/>
    <w:rsid w:val="1960501B"/>
    <w:rsid w:val="196071E6"/>
    <w:rsid w:val="198A6011"/>
    <w:rsid w:val="19A067B4"/>
    <w:rsid w:val="19A1335A"/>
    <w:rsid w:val="19A35324"/>
    <w:rsid w:val="19CF7EC7"/>
    <w:rsid w:val="19D41982"/>
    <w:rsid w:val="19E10151"/>
    <w:rsid w:val="19EA4D01"/>
    <w:rsid w:val="1A175ACC"/>
    <w:rsid w:val="1A1F2BFD"/>
    <w:rsid w:val="1A2C70C8"/>
    <w:rsid w:val="1A422421"/>
    <w:rsid w:val="1A864037"/>
    <w:rsid w:val="1AE25F33"/>
    <w:rsid w:val="1B010554"/>
    <w:rsid w:val="1B0E2C78"/>
    <w:rsid w:val="1B102545"/>
    <w:rsid w:val="1B3B1CB8"/>
    <w:rsid w:val="1B3F107D"/>
    <w:rsid w:val="1B486183"/>
    <w:rsid w:val="1B6A187F"/>
    <w:rsid w:val="1B937848"/>
    <w:rsid w:val="1B983488"/>
    <w:rsid w:val="1BA535D6"/>
    <w:rsid w:val="1BB6133F"/>
    <w:rsid w:val="1BDD2D6F"/>
    <w:rsid w:val="1BE0054C"/>
    <w:rsid w:val="1BE22134"/>
    <w:rsid w:val="1C025FA6"/>
    <w:rsid w:val="1C055E22"/>
    <w:rsid w:val="1C0D3D1D"/>
    <w:rsid w:val="1C1B73F4"/>
    <w:rsid w:val="1C455CA5"/>
    <w:rsid w:val="1C4E7BFF"/>
    <w:rsid w:val="1C6C5EA1"/>
    <w:rsid w:val="1C942349"/>
    <w:rsid w:val="1CD203FA"/>
    <w:rsid w:val="1CD51C99"/>
    <w:rsid w:val="1CD949E8"/>
    <w:rsid w:val="1CEE2D5A"/>
    <w:rsid w:val="1CF06AD2"/>
    <w:rsid w:val="1D0B56BA"/>
    <w:rsid w:val="1D0E51AB"/>
    <w:rsid w:val="1D2C69D2"/>
    <w:rsid w:val="1D6E79F7"/>
    <w:rsid w:val="1DA33B45"/>
    <w:rsid w:val="1DDA08BB"/>
    <w:rsid w:val="1DEB6ABB"/>
    <w:rsid w:val="1DF3687A"/>
    <w:rsid w:val="1E024D4F"/>
    <w:rsid w:val="1E086AA1"/>
    <w:rsid w:val="1E0C16EA"/>
    <w:rsid w:val="1E193FA6"/>
    <w:rsid w:val="1E756287"/>
    <w:rsid w:val="1E7D37D0"/>
    <w:rsid w:val="1E876FC3"/>
    <w:rsid w:val="1E8C63F4"/>
    <w:rsid w:val="1EDD6BE3"/>
    <w:rsid w:val="1F3E1D77"/>
    <w:rsid w:val="1F5350F7"/>
    <w:rsid w:val="1F8352B0"/>
    <w:rsid w:val="1FF02946"/>
    <w:rsid w:val="2000702C"/>
    <w:rsid w:val="204131A1"/>
    <w:rsid w:val="20621A95"/>
    <w:rsid w:val="20773466"/>
    <w:rsid w:val="208319DB"/>
    <w:rsid w:val="20CE712B"/>
    <w:rsid w:val="20DA0FB5"/>
    <w:rsid w:val="20EE3329"/>
    <w:rsid w:val="20FB5A46"/>
    <w:rsid w:val="21303941"/>
    <w:rsid w:val="21354AB4"/>
    <w:rsid w:val="213A0873"/>
    <w:rsid w:val="214F086A"/>
    <w:rsid w:val="217C0A1F"/>
    <w:rsid w:val="219537A4"/>
    <w:rsid w:val="219F2875"/>
    <w:rsid w:val="21FE134A"/>
    <w:rsid w:val="221D41AB"/>
    <w:rsid w:val="223B122A"/>
    <w:rsid w:val="22552F34"/>
    <w:rsid w:val="22A53EBB"/>
    <w:rsid w:val="22AA7723"/>
    <w:rsid w:val="22B1591D"/>
    <w:rsid w:val="22FB3FA8"/>
    <w:rsid w:val="231B6DA7"/>
    <w:rsid w:val="23694EE9"/>
    <w:rsid w:val="239E00B4"/>
    <w:rsid w:val="23A86B40"/>
    <w:rsid w:val="23BC770E"/>
    <w:rsid w:val="23BF71FF"/>
    <w:rsid w:val="23D26F32"/>
    <w:rsid w:val="23D52A7A"/>
    <w:rsid w:val="23E34C9B"/>
    <w:rsid w:val="24125580"/>
    <w:rsid w:val="24223300"/>
    <w:rsid w:val="2423153B"/>
    <w:rsid w:val="242411CC"/>
    <w:rsid w:val="24374FE7"/>
    <w:rsid w:val="24466FD8"/>
    <w:rsid w:val="24546044"/>
    <w:rsid w:val="24575689"/>
    <w:rsid w:val="24E52E58"/>
    <w:rsid w:val="24E964E8"/>
    <w:rsid w:val="25043CC9"/>
    <w:rsid w:val="25112FDF"/>
    <w:rsid w:val="251E74A4"/>
    <w:rsid w:val="251E76B2"/>
    <w:rsid w:val="25203CCD"/>
    <w:rsid w:val="252A68FA"/>
    <w:rsid w:val="253B7932"/>
    <w:rsid w:val="25781413"/>
    <w:rsid w:val="2579170A"/>
    <w:rsid w:val="25A67592"/>
    <w:rsid w:val="25CD5C03"/>
    <w:rsid w:val="25E940BF"/>
    <w:rsid w:val="260158AC"/>
    <w:rsid w:val="26233A75"/>
    <w:rsid w:val="26332EE0"/>
    <w:rsid w:val="263E265D"/>
    <w:rsid w:val="266D2F42"/>
    <w:rsid w:val="26834513"/>
    <w:rsid w:val="268362C1"/>
    <w:rsid w:val="268A7650"/>
    <w:rsid w:val="26CF3B03"/>
    <w:rsid w:val="27005865"/>
    <w:rsid w:val="27286E69"/>
    <w:rsid w:val="274E2D73"/>
    <w:rsid w:val="27545EB0"/>
    <w:rsid w:val="2778352E"/>
    <w:rsid w:val="277E52D7"/>
    <w:rsid w:val="27843CE5"/>
    <w:rsid w:val="27C40159"/>
    <w:rsid w:val="28164F13"/>
    <w:rsid w:val="28177609"/>
    <w:rsid w:val="285E1492"/>
    <w:rsid w:val="286B525F"/>
    <w:rsid w:val="28702D10"/>
    <w:rsid w:val="287560DE"/>
    <w:rsid w:val="28A15125"/>
    <w:rsid w:val="28A864B3"/>
    <w:rsid w:val="28BE4866"/>
    <w:rsid w:val="28C66C86"/>
    <w:rsid w:val="28D14C84"/>
    <w:rsid w:val="28D70B46"/>
    <w:rsid w:val="28E15521"/>
    <w:rsid w:val="28EA746F"/>
    <w:rsid w:val="29003BF9"/>
    <w:rsid w:val="293A46B3"/>
    <w:rsid w:val="296C0A13"/>
    <w:rsid w:val="29736AC1"/>
    <w:rsid w:val="298F1421"/>
    <w:rsid w:val="29F00D73"/>
    <w:rsid w:val="29FF2103"/>
    <w:rsid w:val="2A317018"/>
    <w:rsid w:val="2A4B24D0"/>
    <w:rsid w:val="2A7228D5"/>
    <w:rsid w:val="2A756869"/>
    <w:rsid w:val="2A783C63"/>
    <w:rsid w:val="2AA82B22"/>
    <w:rsid w:val="2AE13EFE"/>
    <w:rsid w:val="2AF333F1"/>
    <w:rsid w:val="2AFC6642"/>
    <w:rsid w:val="2B3362CA"/>
    <w:rsid w:val="2B411820"/>
    <w:rsid w:val="2B413641"/>
    <w:rsid w:val="2B55653E"/>
    <w:rsid w:val="2B650FCD"/>
    <w:rsid w:val="2B801021"/>
    <w:rsid w:val="2B856638"/>
    <w:rsid w:val="2B8C00D9"/>
    <w:rsid w:val="2BBE1B4A"/>
    <w:rsid w:val="2BD15D21"/>
    <w:rsid w:val="2BD74D4E"/>
    <w:rsid w:val="2BE710A1"/>
    <w:rsid w:val="2C0C6D59"/>
    <w:rsid w:val="2C106849"/>
    <w:rsid w:val="2C630CC1"/>
    <w:rsid w:val="2C9C00DD"/>
    <w:rsid w:val="2CBC54D6"/>
    <w:rsid w:val="2CD77367"/>
    <w:rsid w:val="2CE35D0C"/>
    <w:rsid w:val="2CF41CC7"/>
    <w:rsid w:val="2CFC6DCE"/>
    <w:rsid w:val="2D3840B3"/>
    <w:rsid w:val="2D5C5ABE"/>
    <w:rsid w:val="2D6023B1"/>
    <w:rsid w:val="2D74105A"/>
    <w:rsid w:val="2D914541"/>
    <w:rsid w:val="2DA60AE7"/>
    <w:rsid w:val="2DDC09C5"/>
    <w:rsid w:val="2DE21C73"/>
    <w:rsid w:val="2DF23AC9"/>
    <w:rsid w:val="2E005886"/>
    <w:rsid w:val="2E033855"/>
    <w:rsid w:val="2E1B3283"/>
    <w:rsid w:val="2E1C2976"/>
    <w:rsid w:val="2E2E32B7"/>
    <w:rsid w:val="2E426A62"/>
    <w:rsid w:val="2E5E3BC7"/>
    <w:rsid w:val="2E84707B"/>
    <w:rsid w:val="2EC4391B"/>
    <w:rsid w:val="2EE43FBD"/>
    <w:rsid w:val="2F063F34"/>
    <w:rsid w:val="2F0D52C2"/>
    <w:rsid w:val="2F1228D8"/>
    <w:rsid w:val="2F4131BE"/>
    <w:rsid w:val="2F55530D"/>
    <w:rsid w:val="2F6F3DDB"/>
    <w:rsid w:val="2F7056E3"/>
    <w:rsid w:val="2FAB69BB"/>
    <w:rsid w:val="2FF705DF"/>
    <w:rsid w:val="300466C5"/>
    <w:rsid w:val="30393E95"/>
    <w:rsid w:val="30406FD1"/>
    <w:rsid w:val="304235BD"/>
    <w:rsid w:val="30474804"/>
    <w:rsid w:val="30515682"/>
    <w:rsid w:val="307C39D1"/>
    <w:rsid w:val="30915A7F"/>
    <w:rsid w:val="30C710C0"/>
    <w:rsid w:val="30C95219"/>
    <w:rsid w:val="30E8105C"/>
    <w:rsid w:val="30EB1633"/>
    <w:rsid w:val="30EB518F"/>
    <w:rsid w:val="30FD381E"/>
    <w:rsid w:val="310E0E7D"/>
    <w:rsid w:val="311C7A3E"/>
    <w:rsid w:val="312E1520"/>
    <w:rsid w:val="31307046"/>
    <w:rsid w:val="314825E1"/>
    <w:rsid w:val="314F1BC2"/>
    <w:rsid w:val="316A1E7D"/>
    <w:rsid w:val="31BE0AF5"/>
    <w:rsid w:val="31C32EBE"/>
    <w:rsid w:val="31C3610C"/>
    <w:rsid w:val="321B1520"/>
    <w:rsid w:val="324C4353"/>
    <w:rsid w:val="32851613"/>
    <w:rsid w:val="328A09D8"/>
    <w:rsid w:val="32EB653A"/>
    <w:rsid w:val="32EB70B0"/>
    <w:rsid w:val="330D5DEB"/>
    <w:rsid w:val="3316226B"/>
    <w:rsid w:val="33171D0F"/>
    <w:rsid w:val="331C3508"/>
    <w:rsid w:val="332E1CAB"/>
    <w:rsid w:val="336B086B"/>
    <w:rsid w:val="33A53035"/>
    <w:rsid w:val="341449FD"/>
    <w:rsid w:val="34244517"/>
    <w:rsid w:val="34637732"/>
    <w:rsid w:val="346A0AC1"/>
    <w:rsid w:val="348222AE"/>
    <w:rsid w:val="34A47E5D"/>
    <w:rsid w:val="34CA3204"/>
    <w:rsid w:val="34CC177B"/>
    <w:rsid w:val="34E06478"/>
    <w:rsid w:val="34E95E89"/>
    <w:rsid w:val="3512449E"/>
    <w:rsid w:val="35305866"/>
    <w:rsid w:val="35375E41"/>
    <w:rsid w:val="356D67CB"/>
    <w:rsid w:val="357F059C"/>
    <w:rsid w:val="35A16764"/>
    <w:rsid w:val="35C401F3"/>
    <w:rsid w:val="35C67F79"/>
    <w:rsid w:val="35D94B0C"/>
    <w:rsid w:val="35F75996"/>
    <w:rsid w:val="361E1B63"/>
    <w:rsid w:val="362D2681"/>
    <w:rsid w:val="3667350A"/>
    <w:rsid w:val="367C2F2E"/>
    <w:rsid w:val="36891AAE"/>
    <w:rsid w:val="370276D6"/>
    <w:rsid w:val="371B2276"/>
    <w:rsid w:val="374260F0"/>
    <w:rsid w:val="375D490D"/>
    <w:rsid w:val="378A5DAD"/>
    <w:rsid w:val="37A367C3"/>
    <w:rsid w:val="37C8622A"/>
    <w:rsid w:val="37F718E9"/>
    <w:rsid w:val="38064FA4"/>
    <w:rsid w:val="380F20AB"/>
    <w:rsid w:val="38233460"/>
    <w:rsid w:val="38545D10"/>
    <w:rsid w:val="38740160"/>
    <w:rsid w:val="38BD38B5"/>
    <w:rsid w:val="38C06F01"/>
    <w:rsid w:val="38CD2A1D"/>
    <w:rsid w:val="38D962D9"/>
    <w:rsid w:val="38E3340E"/>
    <w:rsid w:val="38E47094"/>
    <w:rsid w:val="390F1A9A"/>
    <w:rsid w:val="391F631E"/>
    <w:rsid w:val="39423DBA"/>
    <w:rsid w:val="396576E0"/>
    <w:rsid w:val="39863223"/>
    <w:rsid w:val="398E5251"/>
    <w:rsid w:val="39A22AAB"/>
    <w:rsid w:val="39CD587C"/>
    <w:rsid w:val="39DF16F3"/>
    <w:rsid w:val="39F95ACD"/>
    <w:rsid w:val="3A0177D1"/>
    <w:rsid w:val="3A06128C"/>
    <w:rsid w:val="3A080B60"/>
    <w:rsid w:val="3A0C6125"/>
    <w:rsid w:val="3A271A5E"/>
    <w:rsid w:val="3A712BA9"/>
    <w:rsid w:val="3AAC1E33"/>
    <w:rsid w:val="3AD35612"/>
    <w:rsid w:val="3B201ED9"/>
    <w:rsid w:val="3B2A2D58"/>
    <w:rsid w:val="3B5129DA"/>
    <w:rsid w:val="3B5C6A72"/>
    <w:rsid w:val="3B714E2B"/>
    <w:rsid w:val="3BC27434"/>
    <w:rsid w:val="3BC44F5A"/>
    <w:rsid w:val="3BCB6780"/>
    <w:rsid w:val="3C0B0DDB"/>
    <w:rsid w:val="3C1F4887"/>
    <w:rsid w:val="3C2974B3"/>
    <w:rsid w:val="3C814BF9"/>
    <w:rsid w:val="3C8B6976"/>
    <w:rsid w:val="3C911630"/>
    <w:rsid w:val="3C915695"/>
    <w:rsid w:val="3C9F32D2"/>
    <w:rsid w:val="3CBA1674"/>
    <w:rsid w:val="3CCD6091"/>
    <w:rsid w:val="3D013F9C"/>
    <w:rsid w:val="3D115F7D"/>
    <w:rsid w:val="3D5E599C"/>
    <w:rsid w:val="3D6C58AA"/>
    <w:rsid w:val="3D750BA5"/>
    <w:rsid w:val="3D820C29"/>
    <w:rsid w:val="3D8949C3"/>
    <w:rsid w:val="3D8F3346"/>
    <w:rsid w:val="3D95127E"/>
    <w:rsid w:val="3D954E00"/>
    <w:rsid w:val="3DB4423A"/>
    <w:rsid w:val="3DE418E4"/>
    <w:rsid w:val="3E824A11"/>
    <w:rsid w:val="3E862961"/>
    <w:rsid w:val="3EAF679F"/>
    <w:rsid w:val="3EB55AC7"/>
    <w:rsid w:val="3EC006FD"/>
    <w:rsid w:val="3EE80F60"/>
    <w:rsid w:val="3EEA117C"/>
    <w:rsid w:val="3F0331D2"/>
    <w:rsid w:val="3F04526F"/>
    <w:rsid w:val="3F087854"/>
    <w:rsid w:val="3F297A2D"/>
    <w:rsid w:val="3F52287D"/>
    <w:rsid w:val="3FA44E04"/>
    <w:rsid w:val="3FA70E1B"/>
    <w:rsid w:val="3FC30DB5"/>
    <w:rsid w:val="3FC62809"/>
    <w:rsid w:val="3FCB00D4"/>
    <w:rsid w:val="3FCB1046"/>
    <w:rsid w:val="3FE21E53"/>
    <w:rsid w:val="3FE61DE6"/>
    <w:rsid w:val="40044CA3"/>
    <w:rsid w:val="401F09B1"/>
    <w:rsid w:val="4024246B"/>
    <w:rsid w:val="405C1C05"/>
    <w:rsid w:val="40745837"/>
    <w:rsid w:val="40A23390"/>
    <w:rsid w:val="40D300F5"/>
    <w:rsid w:val="40E1210B"/>
    <w:rsid w:val="40F01597"/>
    <w:rsid w:val="419246C7"/>
    <w:rsid w:val="41DD28D2"/>
    <w:rsid w:val="41EA3A3F"/>
    <w:rsid w:val="427A45C5"/>
    <w:rsid w:val="428E7F40"/>
    <w:rsid w:val="42BA443E"/>
    <w:rsid w:val="42CD0A98"/>
    <w:rsid w:val="42F62B8D"/>
    <w:rsid w:val="42F97BDF"/>
    <w:rsid w:val="43140575"/>
    <w:rsid w:val="431A0C09"/>
    <w:rsid w:val="43496273"/>
    <w:rsid w:val="434A0471"/>
    <w:rsid w:val="435412BA"/>
    <w:rsid w:val="436239D7"/>
    <w:rsid w:val="43A01E09"/>
    <w:rsid w:val="43E52A81"/>
    <w:rsid w:val="43F42DF0"/>
    <w:rsid w:val="43F860E9"/>
    <w:rsid w:val="44254526"/>
    <w:rsid w:val="44427364"/>
    <w:rsid w:val="44450C02"/>
    <w:rsid w:val="446724B7"/>
    <w:rsid w:val="44713757"/>
    <w:rsid w:val="447B4624"/>
    <w:rsid w:val="449B1E09"/>
    <w:rsid w:val="44D83825"/>
    <w:rsid w:val="452D591E"/>
    <w:rsid w:val="45554E75"/>
    <w:rsid w:val="456B1326"/>
    <w:rsid w:val="458F482B"/>
    <w:rsid w:val="45B46040"/>
    <w:rsid w:val="45BE0507"/>
    <w:rsid w:val="45C67B21"/>
    <w:rsid w:val="460F14C8"/>
    <w:rsid w:val="46256F3D"/>
    <w:rsid w:val="467A1037"/>
    <w:rsid w:val="46A63BDA"/>
    <w:rsid w:val="46DD3374"/>
    <w:rsid w:val="47190850"/>
    <w:rsid w:val="47221787"/>
    <w:rsid w:val="47445193"/>
    <w:rsid w:val="476152FA"/>
    <w:rsid w:val="47665118"/>
    <w:rsid w:val="476D294A"/>
    <w:rsid w:val="477912EF"/>
    <w:rsid w:val="47881934"/>
    <w:rsid w:val="478F0B12"/>
    <w:rsid w:val="47AF4D11"/>
    <w:rsid w:val="47B42327"/>
    <w:rsid w:val="47BC48F9"/>
    <w:rsid w:val="47EC26DD"/>
    <w:rsid w:val="47F70466"/>
    <w:rsid w:val="480E2158"/>
    <w:rsid w:val="48145CB5"/>
    <w:rsid w:val="48343468"/>
    <w:rsid w:val="486A6E89"/>
    <w:rsid w:val="48703954"/>
    <w:rsid w:val="488C0D87"/>
    <w:rsid w:val="48904B42"/>
    <w:rsid w:val="48931F3C"/>
    <w:rsid w:val="489B7043"/>
    <w:rsid w:val="48DA2EC3"/>
    <w:rsid w:val="490D12B6"/>
    <w:rsid w:val="49180694"/>
    <w:rsid w:val="491F43D5"/>
    <w:rsid w:val="492B6619"/>
    <w:rsid w:val="4941408E"/>
    <w:rsid w:val="49531B59"/>
    <w:rsid w:val="49AB3491"/>
    <w:rsid w:val="4A1C7199"/>
    <w:rsid w:val="4A357E65"/>
    <w:rsid w:val="4A54394D"/>
    <w:rsid w:val="4AA32C82"/>
    <w:rsid w:val="4AB34057"/>
    <w:rsid w:val="4AD12E5A"/>
    <w:rsid w:val="4ADA02F6"/>
    <w:rsid w:val="4AEC1DD8"/>
    <w:rsid w:val="4B2C48CA"/>
    <w:rsid w:val="4B320132"/>
    <w:rsid w:val="4B6323A0"/>
    <w:rsid w:val="4B634BCE"/>
    <w:rsid w:val="4B65373A"/>
    <w:rsid w:val="4B661B8A"/>
    <w:rsid w:val="4B6C05C9"/>
    <w:rsid w:val="4B75350F"/>
    <w:rsid w:val="4B92297F"/>
    <w:rsid w:val="4B932FE8"/>
    <w:rsid w:val="4B944949"/>
    <w:rsid w:val="4BB20330"/>
    <w:rsid w:val="4BC44B03"/>
    <w:rsid w:val="4BCE1CA6"/>
    <w:rsid w:val="4BD110E2"/>
    <w:rsid w:val="4BEF7DD1"/>
    <w:rsid w:val="4C0513A3"/>
    <w:rsid w:val="4C2537F3"/>
    <w:rsid w:val="4C4C77F4"/>
    <w:rsid w:val="4C7233BF"/>
    <w:rsid w:val="4C742085"/>
    <w:rsid w:val="4C7B3413"/>
    <w:rsid w:val="4C9B5863"/>
    <w:rsid w:val="4CA94424"/>
    <w:rsid w:val="4CD20746"/>
    <w:rsid w:val="4CFF4044"/>
    <w:rsid w:val="4D00163A"/>
    <w:rsid w:val="4D01600E"/>
    <w:rsid w:val="4D1473C4"/>
    <w:rsid w:val="4D3D5DE0"/>
    <w:rsid w:val="4D5123C6"/>
    <w:rsid w:val="4D5554F7"/>
    <w:rsid w:val="4D7367E0"/>
    <w:rsid w:val="4D8207D1"/>
    <w:rsid w:val="4DBA0BF6"/>
    <w:rsid w:val="4DC40DEA"/>
    <w:rsid w:val="4DD21759"/>
    <w:rsid w:val="4DD94895"/>
    <w:rsid w:val="4E074BBC"/>
    <w:rsid w:val="4E3046D1"/>
    <w:rsid w:val="4E446B55"/>
    <w:rsid w:val="4E473EF5"/>
    <w:rsid w:val="4E5403C0"/>
    <w:rsid w:val="4E593C28"/>
    <w:rsid w:val="4EA64975"/>
    <w:rsid w:val="4EAA6232"/>
    <w:rsid w:val="4EB259BC"/>
    <w:rsid w:val="4EBE1CDD"/>
    <w:rsid w:val="4EF041F5"/>
    <w:rsid w:val="4F0F5BE3"/>
    <w:rsid w:val="4F2C6C47"/>
    <w:rsid w:val="4F2D3318"/>
    <w:rsid w:val="4F6B59C1"/>
    <w:rsid w:val="4F9D237F"/>
    <w:rsid w:val="4FA15633"/>
    <w:rsid w:val="4FCD6771"/>
    <w:rsid w:val="4FE64AA3"/>
    <w:rsid w:val="4FF26C3F"/>
    <w:rsid w:val="501047BA"/>
    <w:rsid w:val="501740DB"/>
    <w:rsid w:val="502678E2"/>
    <w:rsid w:val="503404A9"/>
    <w:rsid w:val="50446212"/>
    <w:rsid w:val="505226DD"/>
    <w:rsid w:val="50697A27"/>
    <w:rsid w:val="508A77AF"/>
    <w:rsid w:val="50962F12"/>
    <w:rsid w:val="50A15412"/>
    <w:rsid w:val="50C17863"/>
    <w:rsid w:val="50F019F4"/>
    <w:rsid w:val="510065DD"/>
    <w:rsid w:val="51170698"/>
    <w:rsid w:val="515661FD"/>
    <w:rsid w:val="519059F2"/>
    <w:rsid w:val="519758C5"/>
    <w:rsid w:val="51AF6B53"/>
    <w:rsid w:val="51F31C9E"/>
    <w:rsid w:val="520E59F7"/>
    <w:rsid w:val="5237602E"/>
    <w:rsid w:val="52422029"/>
    <w:rsid w:val="52887ADE"/>
    <w:rsid w:val="52AA3E50"/>
    <w:rsid w:val="52B458D1"/>
    <w:rsid w:val="52B551A5"/>
    <w:rsid w:val="52C54260"/>
    <w:rsid w:val="52D9353C"/>
    <w:rsid w:val="52DE46FC"/>
    <w:rsid w:val="53104106"/>
    <w:rsid w:val="53397B84"/>
    <w:rsid w:val="533B1B4E"/>
    <w:rsid w:val="533D58C6"/>
    <w:rsid w:val="53463C67"/>
    <w:rsid w:val="53743B4B"/>
    <w:rsid w:val="537A6459"/>
    <w:rsid w:val="53803A05"/>
    <w:rsid w:val="53964FD7"/>
    <w:rsid w:val="53DD2C05"/>
    <w:rsid w:val="53F8359B"/>
    <w:rsid w:val="54091C4C"/>
    <w:rsid w:val="547F1F0F"/>
    <w:rsid w:val="54826A6F"/>
    <w:rsid w:val="548A4B3B"/>
    <w:rsid w:val="54A34230"/>
    <w:rsid w:val="54A62630"/>
    <w:rsid w:val="54AD4386"/>
    <w:rsid w:val="54F46D90"/>
    <w:rsid w:val="54F65F5B"/>
    <w:rsid w:val="55040901"/>
    <w:rsid w:val="550A17D8"/>
    <w:rsid w:val="55163F07"/>
    <w:rsid w:val="552A5CFE"/>
    <w:rsid w:val="55356D0B"/>
    <w:rsid w:val="5552550A"/>
    <w:rsid w:val="555E7F00"/>
    <w:rsid w:val="556709D9"/>
    <w:rsid w:val="558329BA"/>
    <w:rsid w:val="558A0B6B"/>
    <w:rsid w:val="558A6404"/>
    <w:rsid w:val="55C52BA2"/>
    <w:rsid w:val="55C7591B"/>
    <w:rsid w:val="55D549F2"/>
    <w:rsid w:val="561F08D2"/>
    <w:rsid w:val="563F1955"/>
    <w:rsid w:val="56737851"/>
    <w:rsid w:val="569F23F4"/>
    <w:rsid w:val="56C44CD8"/>
    <w:rsid w:val="56CD0D0F"/>
    <w:rsid w:val="56D15BE0"/>
    <w:rsid w:val="56D36D75"/>
    <w:rsid w:val="56DF05DE"/>
    <w:rsid w:val="56F50266"/>
    <w:rsid w:val="56FE4C08"/>
    <w:rsid w:val="57545446"/>
    <w:rsid w:val="57723665"/>
    <w:rsid w:val="57843928"/>
    <w:rsid w:val="57877110"/>
    <w:rsid w:val="579637F7"/>
    <w:rsid w:val="57AC6E43"/>
    <w:rsid w:val="57CD4D3F"/>
    <w:rsid w:val="57F64296"/>
    <w:rsid w:val="57FC6189"/>
    <w:rsid w:val="58592F4A"/>
    <w:rsid w:val="5870229A"/>
    <w:rsid w:val="588144B9"/>
    <w:rsid w:val="588F6E1D"/>
    <w:rsid w:val="58AC2BA6"/>
    <w:rsid w:val="58B303D9"/>
    <w:rsid w:val="58BA52C3"/>
    <w:rsid w:val="58E93DFA"/>
    <w:rsid w:val="590824D3"/>
    <w:rsid w:val="599B50F5"/>
    <w:rsid w:val="59B348C1"/>
    <w:rsid w:val="59CA59DA"/>
    <w:rsid w:val="59F111B9"/>
    <w:rsid w:val="5A184D97"/>
    <w:rsid w:val="5A231305"/>
    <w:rsid w:val="5A41687A"/>
    <w:rsid w:val="5A4C2893"/>
    <w:rsid w:val="5A690D4F"/>
    <w:rsid w:val="5A750FF4"/>
    <w:rsid w:val="5ABF56AA"/>
    <w:rsid w:val="5AE44879"/>
    <w:rsid w:val="5B90055D"/>
    <w:rsid w:val="5B9B2DE0"/>
    <w:rsid w:val="5BAA7871"/>
    <w:rsid w:val="5BB56B61"/>
    <w:rsid w:val="5BC00E43"/>
    <w:rsid w:val="5BD2403C"/>
    <w:rsid w:val="5BDB3ECE"/>
    <w:rsid w:val="5C2313A4"/>
    <w:rsid w:val="5C244FC1"/>
    <w:rsid w:val="5C294C3A"/>
    <w:rsid w:val="5C4952DC"/>
    <w:rsid w:val="5C594DF3"/>
    <w:rsid w:val="5C79404F"/>
    <w:rsid w:val="5C7C3948"/>
    <w:rsid w:val="5C9D73D6"/>
    <w:rsid w:val="5CB85FBE"/>
    <w:rsid w:val="5CBD5382"/>
    <w:rsid w:val="5CFE60C6"/>
    <w:rsid w:val="5D092F30"/>
    <w:rsid w:val="5D1B0DC0"/>
    <w:rsid w:val="5D537A94"/>
    <w:rsid w:val="5D755C5D"/>
    <w:rsid w:val="5D921295"/>
    <w:rsid w:val="5D9F0F2C"/>
    <w:rsid w:val="5DC56BE4"/>
    <w:rsid w:val="5DF23751"/>
    <w:rsid w:val="5E033269"/>
    <w:rsid w:val="5E0707E8"/>
    <w:rsid w:val="5E1B4A56"/>
    <w:rsid w:val="5E224037"/>
    <w:rsid w:val="5E2E6B91"/>
    <w:rsid w:val="5E36363E"/>
    <w:rsid w:val="5E3A2454"/>
    <w:rsid w:val="5E456633"/>
    <w:rsid w:val="5E49697B"/>
    <w:rsid w:val="5E5B30A5"/>
    <w:rsid w:val="5E6A153A"/>
    <w:rsid w:val="5E701F85"/>
    <w:rsid w:val="5E745F14"/>
    <w:rsid w:val="5E8B689C"/>
    <w:rsid w:val="5EA44A4C"/>
    <w:rsid w:val="5F073306"/>
    <w:rsid w:val="5F1C6CD8"/>
    <w:rsid w:val="5F3B67FC"/>
    <w:rsid w:val="5F434264"/>
    <w:rsid w:val="5F457F02"/>
    <w:rsid w:val="5F5F73B9"/>
    <w:rsid w:val="5F9C3975"/>
    <w:rsid w:val="5FAA42E4"/>
    <w:rsid w:val="6009588A"/>
    <w:rsid w:val="600A2EDC"/>
    <w:rsid w:val="601F108D"/>
    <w:rsid w:val="60243CC7"/>
    <w:rsid w:val="6034779D"/>
    <w:rsid w:val="606A75CF"/>
    <w:rsid w:val="60862306"/>
    <w:rsid w:val="60B44CEE"/>
    <w:rsid w:val="60EE59F8"/>
    <w:rsid w:val="60FE43B8"/>
    <w:rsid w:val="61295FF6"/>
    <w:rsid w:val="61616C24"/>
    <w:rsid w:val="61650869"/>
    <w:rsid w:val="61776447"/>
    <w:rsid w:val="618446C0"/>
    <w:rsid w:val="61952D71"/>
    <w:rsid w:val="61A3598A"/>
    <w:rsid w:val="61A97306"/>
    <w:rsid w:val="61E810F3"/>
    <w:rsid w:val="620D46B6"/>
    <w:rsid w:val="621C0D9D"/>
    <w:rsid w:val="622C41A8"/>
    <w:rsid w:val="62593D9F"/>
    <w:rsid w:val="625A7C64"/>
    <w:rsid w:val="629C6A1C"/>
    <w:rsid w:val="62A25746"/>
    <w:rsid w:val="62B86D17"/>
    <w:rsid w:val="62D67621"/>
    <w:rsid w:val="63097573"/>
    <w:rsid w:val="631A194D"/>
    <w:rsid w:val="63310C18"/>
    <w:rsid w:val="634C0CCC"/>
    <w:rsid w:val="63932A29"/>
    <w:rsid w:val="63A0279D"/>
    <w:rsid w:val="63A70B3A"/>
    <w:rsid w:val="63BD3EBA"/>
    <w:rsid w:val="63E9223E"/>
    <w:rsid w:val="63FD075A"/>
    <w:rsid w:val="64254F1A"/>
    <w:rsid w:val="64265F03"/>
    <w:rsid w:val="64416899"/>
    <w:rsid w:val="6460175B"/>
    <w:rsid w:val="646D1D84"/>
    <w:rsid w:val="6488096B"/>
    <w:rsid w:val="649976C7"/>
    <w:rsid w:val="64A532CB"/>
    <w:rsid w:val="64B67287"/>
    <w:rsid w:val="64BD1FCD"/>
    <w:rsid w:val="64DE67DD"/>
    <w:rsid w:val="6530163A"/>
    <w:rsid w:val="653308D7"/>
    <w:rsid w:val="65562818"/>
    <w:rsid w:val="65641252"/>
    <w:rsid w:val="656F0784"/>
    <w:rsid w:val="661B2F6D"/>
    <w:rsid w:val="66382D12"/>
    <w:rsid w:val="6646463A"/>
    <w:rsid w:val="669C06FE"/>
    <w:rsid w:val="66A03D4A"/>
    <w:rsid w:val="66BA4711"/>
    <w:rsid w:val="66E6349D"/>
    <w:rsid w:val="66FD5507"/>
    <w:rsid w:val="672C7CD4"/>
    <w:rsid w:val="67452B44"/>
    <w:rsid w:val="6753700F"/>
    <w:rsid w:val="67980EC5"/>
    <w:rsid w:val="679909C4"/>
    <w:rsid w:val="67B53825"/>
    <w:rsid w:val="68093B71"/>
    <w:rsid w:val="680D18B3"/>
    <w:rsid w:val="6817003C"/>
    <w:rsid w:val="681D480D"/>
    <w:rsid w:val="68320F9A"/>
    <w:rsid w:val="6838144E"/>
    <w:rsid w:val="685F3791"/>
    <w:rsid w:val="68676863"/>
    <w:rsid w:val="686804DB"/>
    <w:rsid w:val="68707504"/>
    <w:rsid w:val="687E630D"/>
    <w:rsid w:val="688D6550"/>
    <w:rsid w:val="68AA7398"/>
    <w:rsid w:val="68AF3A46"/>
    <w:rsid w:val="68CA0D5A"/>
    <w:rsid w:val="68F505D1"/>
    <w:rsid w:val="69012A9A"/>
    <w:rsid w:val="6926615B"/>
    <w:rsid w:val="69643755"/>
    <w:rsid w:val="698A0CE2"/>
    <w:rsid w:val="698A537C"/>
    <w:rsid w:val="69A578CA"/>
    <w:rsid w:val="69A91168"/>
    <w:rsid w:val="69D72179"/>
    <w:rsid w:val="69F66377"/>
    <w:rsid w:val="6A0D662B"/>
    <w:rsid w:val="6A1875BD"/>
    <w:rsid w:val="6A296ED1"/>
    <w:rsid w:val="6A537C4E"/>
    <w:rsid w:val="6A5F4AE6"/>
    <w:rsid w:val="6A70715D"/>
    <w:rsid w:val="6A75729C"/>
    <w:rsid w:val="6AB64EC6"/>
    <w:rsid w:val="6AC83870"/>
    <w:rsid w:val="6AF24D91"/>
    <w:rsid w:val="6AFB3CEC"/>
    <w:rsid w:val="6AFD7857"/>
    <w:rsid w:val="6B0036C3"/>
    <w:rsid w:val="6B1222ED"/>
    <w:rsid w:val="6B19056F"/>
    <w:rsid w:val="6B194614"/>
    <w:rsid w:val="6B1D1F48"/>
    <w:rsid w:val="6B316C7D"/>
    <w:rsid w:val="6B423C79"/>
    <w:rsid w:val="6B4336BE"/>
    <w:rsid w:val="6B476502"/>
    <w:rsid w:val="6B824366"/>
    <w:rsid w:val="6B96396E"/>
    <w:rsid w:val="6B9D0821"/>
    <w:rsid w:val="6BCA3097"/>
    <w:rsid w:val="6BDF5315"/>
    <w:rsid w:val="6BF223A7"/>
    <w:rsid w:val="6C313697"/>
    <w:rsid w:val="6C4D6722"/>
    <w:rsid w:val="6C5B074C"/>
    <w:rsid w:val="6C5F1FB2"/>
    <w:rsid w:val="6CB67A8F"/>
    <w:rsid w:val="6CF201AA"/>
    <w:rsid w:val="6D0F1C2A"/>
    <w:rsid w:val="6D365409"/>
    <w:rsid w:val="6D680F63"/>
    <w:rsid w:val="6DAC0977"/>
    <w:rsid w:val="6E386F5E"/>
    <w:rsid w:val="6E660C6F"/>
    <w:rsid w:val="6E823F0A"/>
    <w:rsid w:val="6E895A0C"/>
    <w:rsid w:val="6E930639"/>
    <w:rsid w:val="6EB544D6"/>
    <w:rsid w:val="6ECB392F"/>
    <w:rsid w:val="6F042D6B"/>
    <w:rsid w:val="6F0D3F9D"/>
    <w:rsid w:val="6F63000B"/>
    <w:rsid w:val="6F681AEC"/>
    <w:rsid w:val="6F6873CF"/>
    <w:rsid w:val="6F881820"/>
    <w:rsid w:val="6F897895"/>
    <w:rsid w:val="6F906306"/>
    <w:rsid w:val="6FA53D5D"/>
    <w:rsid w:val="6FDB386D"/>
    <w:rsid w:val="6FEF7AF1"/>
    <w:rsid w:val="6FFE1200"/>
    <w:rsid w:val="701D465E"/>
    <w:rsid w:val="70651B61"/>
    <w:rsid w:val="70765B1C"/>
    <w:rsid w:val="708B5A6B"/>
    <w:rsid w:val="70932B72"/>
    <w:rsid w:val="709541F4"/>
    <w:rsid w:val="70E364A3"/>
    <w:rsid w:val="70FF5B11"/>
    <w:rsid w:val="7148642D"/>
    <w:rsid w:val="716F2C97"/>
    <w:rsid w:val="71804EC5"/>
    <w:rsid w:val="7185070D"/>
    <w:rsid w:val="71A41EB7"/>
    <w:rsid w:val="71C31E24"/>
    <w:rsid w:val="71C70D25"/>
    <w:rsid w:val="71E13595"/>
    <w:rsid w:val="71EF5B86"/>
    <w:rsid w:val="722515A8"/>
    <w:rsid w:val="7238752D"/>
    <w:rsid w:val="728564EA"/>
    <w:rsid w:val="72A57226"/>
    <w:rsid w:val="72C139C6"/>
    <w:rsid w:val="72CD09AB"/>
    <w:rsid w:val="72D442B8"/>
    <w:rsid w:val="72EB0A43"/>
    <w:rsid w:val="73025D8D"/>
    <w:rsid w:val="73030AA3"/>
    <w:rsid w:val="73267CCD"/>
    <w:rsid w:val="738B18DE"/>
    <w:rsid w:val="73920EBF"/>
    <w:rsid w:val="73E334C8"/>
    <w:rsid w:val="73F47458"/>
    <w:rsid w:val="7416564C"/>
    <w:rsid w:val="742C597A"/>
    <w:rsid w:val="744978D7"/>
    <w:rsid w:val="74560DC5"/>
    <w:rsid w:val="745D14CD"/>
    <w:rsid w:val="74730CF0"/>
    <w:rsid w:val="748A428C"/>
    <w:rsid w:val="748A433D"/>
    <w:rsid w:val="74975A3C"/>
    <w:rsid w:val="74B51309"/>
    <w:rsid w:val="74B912E9"/>
    <w:rsid w:val="74F16DF4"/>
    <w:rsid w:val="75415A18"/>
    <w:rsid w:val="75681F2D"/>
    <w:rsid w:val="756E770A"/>
    <w:rsid w:val="75792336"/>
    <w:rsid w:val="757A4300"/>
    <w:rsid w:val="75932D71"/>
    <w:rsid w:val="75BA294F"/>
    <w:rsid w:val="75D51537"/>
    <w:rsid w:val="762A1882"/>
    <w:rsid w:val="765E7B15"/>
    <w:rsid w:val="769F1FAA"/>
    <w:rsid w:val="76B15B00"/>
    <w:rsid w:val="76C70E7F"/>
    <w:rsid w:val="76CC0B8C"/>
    <w:rsid w:val="76CC293A"/>
    <w:rsid w:val="76FB5714"/>
    <w:rsid w:val="774207F9"/>
    <w:rsid w:val="778857AA"/>
    <w:rsid w:val="779C1D8E"/>
    <w:rsid w:val="77A96E95"/>
    <w:rsid w:val="77CB2BF1"/>
    <w:rsid w:val="78041313"/>
    <w:rsid w:val="780C1CAB"/>
    <w:rsid w:val="781C51FB"/>
    <w:rsid w:val="7826607A"/>
    <w:rsid w:val="78267E28"/>
    <w:rsid w:val="78376EC2"/>
    <w:rsid w:val="783E1615"/>
    <w:rsid w:val="784D67ED"/>
    <w:rsid w:val="785C135A"/>
    <w:rsid w:val="78FD7415"/>
    <w:rsid w:val="79121248"/>
    <w:rsid w:val="79156FC5"/>
    <w:rsid w:val="79246A5D"/>
    <w:rsid w:val="7974738E"/>
    <w:rsid w:val="797F1EE5"/>
    <w:rsid w:val="79A90D10"/>
    <w:rsid w:val="79AF7106"/>
    <w:rsid w:val="79E24222"/>
    <w:rsid w:val="79F20909"/>
    <w:rsid w:val="79F9484F"/>
    <w:rsid w:val="7A570902"/>
    <w:rsid w:val="7A592736"/>
    <w:rsid w:val="7A5A0B8E"/>
    <w:rsid w:val="7A817DA2"/>
    <w:rsid w:val="7AB931D5"/>
    <w:rsid w:val="7AD7039B"/>
    <w:rsid w:val="7AD86E13"/>
    <w:rsid w:val="7AF16E13"/>
    <w:rsid w:val="7B2B6B32"/>
    <w:rsid w:val="7B6E3FBF"/>
    <w:rsid w:val="7B965AB3"/>
    <w:rsid w:val="7B9A4DB4"/>
    <w:rsid w:val="7BBF481B"/>
    <w:rsid w:val="7BEE3352"/>
    <w:rsid w:val="7BFA1F33"/>
    <w:rsid w:val="7C9A0DE4"/>
    <w:rsid w:val="7CD673E6"/>
    <w:rsid w:val="7CDC634C"/>
    <w:rsid w:val="7CFB1883"/>
    <w:rsid w:val="7D483717"/>
    <w:rsid w:val="7D8A2C07"/>
    <w:rsid w:val="7DC03461"/>
    <w:rsid w:val="7DCA3089"/>
    <w:rsid w:val="7E221091"/>
    <w:rsid w:val="7E294719"/>
    <w:rsid w:val="7E374D98"/>
    <w:rsid w:val="7E806791"/>
    <w:rsid w:val="7E927FC5"/>
    <w:rsid w:val="7EC122C1"/>
    <w:rsid w:val="7EC3789B"/>
    <w:rsid w:val="7ECC2A41"/>
    <w:rsid w:val="7ECF1219"/>
    <w:rsid w:val="7EF20255"/>
    <w:rsid w:val="7F1430D0"/>
    <w:rsid w:val="7F4648C2"/>
    <w:rsid w:val="7F5C42F5"/>
    <w:rsid w:val="7F9562A7"/>
    <w:rsid w:val="7F9B1520"/>
    <w:rsid w:val="7FB65F35"/>
    <w:rsid w:val="7FE63771"/>
    <w:rsid w:val="BFF76CFC"/>
    <w:rsid w:val="E9DAB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b/>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9"/>
    <w:qFormat/>
    <w:uiPriority w:val="0"/>
    <w:pPr>
      <w:jc w:val="center"/>
      <w:outlineLvl w:val="0"/>
    </w:pPr>
    <w:rPr>
      <w:b/>
      <w:sz w:val="32"/>
      <w:szCs w:val="20"/>
    </w:rPr>
  </w:style>
  <w:style w:type="paragraph" w:styleId="40">
    <w:name w:val="annotation subject"/>
    <w:basedOn w:val="15"/>
    <w:next w:val="15"/>
    <w:link w:val="245"/>
    <w:qFormat/>
    <w:uiPriority w:val="0"/>
    <w:rPr>
      <w:b/>
      <w:bCs/>
    </w:rPr>
  </w:style>
  <w:style w:type="paragraph" w:styleId="41">
    <w:name w:val="Body Text First Indent 2"/>
    <w:basedOn w:val="18"/>
    <w:next w:val="1"/>
    <w:link w:val="246"/>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模板]"/>
    <w:basedOn w:val="1"/>
    <w:qFormat/>
    <w:uiPriority w:val="0"/>
    <w:pPr>
      <w:spacing w:before="31" w:after="31"/>
      <w:ind w:firstLine="480"/>
    </w:pPr>
    <w:rPr>
      <w:rFonts w:cs="宋体"/>
      <w:szCs w:val="20"/>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4"/>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5"/>
    <w:qFormat/>
    <w:uiPriority w:val="0"/>
  </w:style>
  <w:style w:type="character" w:customStyle="1" w:styleId="62">
    <w:name w:val="locality"/>
    <w:basedOn w:val="45"/>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5"/>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customStyle="1"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99"/>
    <w:rPr>
      <w:rFonts w:eastAsia="宋体"/>
      <w:kern w:val="2"/>
      <w:sz w:val="18"/>
      <w:szCs w:val="18"/>
      <w:lang w:val="en-US" w:eastAsia="zh-CN" w:bidi="ar-SA"/>
    </w:rPr>
  </w:style>
  <w:style w:type="character" w:customStyle="1" w:styleId="78">
    <w:name w:val="chanpin拷贝"/>
    <w:basedOn w:val="45"/>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8"/>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customStyle="1"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39"/>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5"/>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5"/>
    <w:link w:val="2"/>
    <w:qFormat/>
    <w:uiPriority w:val="0"/>
    <w:rPr>
      <w:rFonts w:ascii="宋体"/>
      <w:b/>
      <w:kern w:val="44"/>
      <w:sz w:val="32"/>
    </w:rPr>
  </w:style>
  <w:style w:type="character" w:customStyle="1" w:styleId="231">
    <w:name w:val="标题 4 字符"/>
    <w:basedOn w:val="45"/>
    <w:link w:val="6"/>
    <w:qFormat/>
    <w:uiPriority w:val="0"/>
    <w:rPr>
      <w:b/>
      <w:sz w:val="24"/>
    </w:rPr>
  </w:style>
  <w:style w:type="character" w:customStyle="1" w:styleId="232">
    <w:name w:val="标题 5 字符"/>
    <w:basedOn w:val="45"/>
    <w:link w:val="7"/>
    <w:qFormat/>
    <w:uiPriority w:val="0"/>
    <w:rPr>
      <w:b/>
      <w:sz w:val="28"/>
    </w:rPr>
  </w:style>
  <w:style w:type="character" w:customStyle="1" w:styleId="233">
    <w:name w:val="标题 6 字符"/>
    <w:basedOn w:val="45"/>
    <w:link w:val="8"/>
    <w:qFormat/>
    <w:uiPriority w:val="0"/>
    <w:rPr>
      <w:rFonts w:ascii="Arial" w:hAnsi="Arial" w:eastAsia="黑体"/>
      <w:b/>
      <w:sz w:val="24"/>
    </w:rPr>
  </w:style>
  <w:style w:type="character" w:customStyle="1" w:styleId="234">
    <w:name w:val="标题 7 字符"/>
    <w:basedOn w:val="45"/>
    <w:link w:val="9"/>
    <w:qFormat/>
    <w:uiPriority w:val="0"/>
    <w:rPr>
      <w:b/>
      <w:sz w:val="24"/>
    </w:rPr>
  </w:style>
  <w:style w:type="character" w:customStyle="1" w:styleId="235">
    <w:name w:val="标题 8 字符"/>
    <w:basedOn w:val="45"/>
    <w:link w:val="10"/>
    <w:qFormat/>
    <w:uiPriority w:val="0"/>
    <w:rPr>
      <w:rFonts w:ascii="Arial" w:hAnsi="Arial" w:eastAsia="黑体"/>
      <w:sz w:val="24"/>
    </w:rPr>
  </w:style>
  <w:style w:type="character" w:customStyle="1" w:styleId="236">
    <w:name w:val="标题 9 字符"/>
    <w:basedOn w:val="45"/>
    <w:link w:val="11"/>
    <w:qFormat/>
    <w:uiPriority w:val="0"/>
    <w:rPr>
      <w:rFonts w:ascii="Arial" w:hAnsi="Arial" w:eastAsia="黑体"/>
      <w:sz w:val="21"/>
    </w:rPr>
  </w:style>
  <w:style w:type="character" w:customStyle="1" w:styleId="237">
    <w:name w:val="文档结构图 字符"/>
    <w:basedOn w:val="45"/>
    <w:link w:val="14"/>
    <w:qFormat/>
    <w:uiPriority w:val="0"/>
    <w:rPr>
      <w:kern w:val="2"/>
      <w:sz w:val="21"/>
      <w:szCs w:val="24"/>
      <w:shd w:val="clear" w:color="auto" w:fill="000080"/>
    </w:rPr>
  </w:style>
  <w:style w:type="character" w:customStyle="1" w:styleId="238">
    <w:name w:val="正文文本 3 字符"/>
    <w:basedOn w:val="45"/>
    <w:link w:val="16"/>
    <w:qFormat/>
    <w:uiPriority w:val="0"/>
    <w:rPr>
      <w:kern w:val="2"/>
      <w:sz w:val="16"/>
      <w:szCs w:val="16"/>
    </w:rPr>
  </w:style>
  <w:style w:type="character" w:customStyle="1" w:styleId="239">
    <w:name w:val="正文文本 字符"/>
    <w:basedOn w:val="45"/>
    <w:link w:val="17"/>
    <w:qFormat/>
    <w:uiPriority w:val="0"/>
    <w:rPr>
      <w:rFonts w:ascii="宋体" w:hAnsi="宋体"/>
      <w:kern w:val="2"/>
      <w:sz w:val="24"/>
      <w:szCs w:val="24"/>
    </w:rPr>
  </w:style>
  <w:style w:type="character" w:customStyle="1" w:styleId="240">
    <w:name w:val="日期 字符"/>
    <w:basedOn w:val="45"/>
    <w:link w:val="25"/>
    <w:qFormat/>
    <w:uiPriority w:val="0"/>
    <w:rPr>
      <w:rFonts w:ascii="仿宋_GB2312" w:hAnsi="宋体" w:eastAsia="仿宋_GB2312"/>
      <w:color w:val="000000"/>
      <w:kern w:val="2"/>
      <w:sz w:val="24"/>
      <w:szCs w:val="24"/>
    </w:rPr>
  </w:style>
  <w:style w:type="character" w:customStyle="1" w:styleId="241">
    <w:name w:val="正文文本缩进 2 字符"/>
    <w:basedOn w:val="45"/>
    <w:link w:val="26"/>
    <w:qFormat/>
    <w:uiPriority w:val="0"/>
    <w:rPr>
      <w:rFonts w:ascii="仿宋_GB2312" w:eastAsia="仿宋_GB2312"/>
      <w:kern w:val="2"/>
      <w:sz w:val="24"/>
      <w:szCs w:val="24"/>
    </w:rPr>
  </w:style>
  <w:style w:type="character" w:customStyle="1" w:styleId="242">
    <w:name w:val="批注框文本 字符"/>
    <w:basedOn w:val="45"/>
    <w:link w:val="27"/>
    <w:qFormat/>
    <w:uiPriority w:val="0"/>
    <w:rPr>
      <w:kern w:val="2"/>
      <w:sz w:val="18"/>
      <w:szCs w:val="18"/>
    </w:rPr>
  </w:style>
  <w:style w:type="character" w:customStyle="1" w:styleId="243">
    <w:name w:val="正文文本缩进 3 字符"/>
    <w:basedOn w:val="45"/>
    <w:link w:val="33"/>
    <w:qFormat/>
    <w:uiPriority w:val="0"/>
    <w:rPr>
      <w:rFonts w:ascii="宋体"/>
      <w:sz w:val="24"/>
    </w:rPr>
  </w:style>
  <w:style w:type="character" w:customStyle="1" w:styleId="244">
    <w:name w:val="HTML 预设格式 字符"/>
    <w:basedOn w:val="45"/>
    <w:link w:val="36"/>
    <w:qFormat/>
    <w:uiPriority w:val="0"/>
    <w:rPr>
      <w:rFonts w:ascii="宋体" w:hAnsi="宋体" w:cs="宋体"/>
      <w:sz w:val="24"/>
      <w:szCs w:val="24"/>
    </w:rPr>
  </w:style>
  <w:style w:type="character" w:customStyle="1" w:styleId="245">
    <w:name w:val="批注主题 字符"/>
    <w:basedOn w:val="195"/>
    <w:link w:val="40"/>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1"/>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character" w:customStyle="1" w:styleId="252">
    <w:name w:val="font131"/>
    <w:basedOn w:val="45"/>
    <w:qFormat/>
    <w:uiPriority w:val="0"/>
    <w:rPr>
      <w:rFonts w:hint="eastAsia" w:ascii="宋体" w:hAnsi="宋体" w:eastAsia="宋体" w:cs="宋体"/>
      <w:b/>
      <w:bCs/>
      <w:color w:val="000000"/>
      <w:sz w:val="22"/>
      <w:szCs w:val="22"/>
      <w:u w:val="none"/>
    </w:rPr>
  </w:style>
  <w:style w:type="character" w:customStyle="1" w:styleId="253">
    <w:name w:val="font61"/>
    <w:basedOn w:val="45"/>
    <w:qFormat/>
    <w:uiPriority w:val="0"/>
    <w:rPr>
      <w:rFonts w:hint="eastAsia" w:ascii="宋体" w:hAnsi="宋体" w:eastAsia="宋体" w:cs="宋体"/>
      <w:color w:val="000000"/>
      <w:sz w:val="22"/>
      <w:szCs w:val="22"/>
      <w:u w:val="none"/>
    </w:rPr>
  </w:style>
  <w:style w:type="character" w:customStyle="1" w:styleId="254">
    <w:name w:val="font21"/>
    <w:basedOn w:val="45"/>
    <w:qFormat/>
    <w:uiPriority w:val="0"/>
    <w:rPr>
      <w:rFonts w:hint="default" w:ascii="Times New Roman" w:hAnsi="Times New Roman" w:cs="Times New Roman"/>
      <w:color w:val="000000"/>
      <w:sz w:val="18"/>
      <w:szCs w:val="18"/>
      <w:u w:val="none"/>
    </w:rPr>
  </w:style>
  <w:style w:type="character" w:customStyle="1" w:styleId="255">
    <w:name w:val="font81"/>
    <w:basedOn w:val="45"/>
    <w:qFormat/>
    <w:uiPriority w:val="0"/>
    <w:rPr>
      <w:rFonts w:hint="eastAsia" w:ascii="宋体" w:hAnsi="宋体" w:eastAsia="宋体" w:cs="宋体"/>
      <w:color w:val="000000"/>
      <w:sz w:val="18"/>
      <w:szCs w:val="18"/>
      <w:u w:val="none"/>
    </w:rPr>
  </w:style>
  <w:style w:type="character" w:customStyle="1" w:styleId="256">
    <w:name w:val="font11"/>
    <w:basedOn w:val="45"/>
    <w:qFormat/>
    <w:uiPriority w:val="0"/>
    <w:rPr>
      <w:rFonts w:hint="default" w:ascii="Times New Roman" w:hAnsi="Times New Roman" w:cs="Times New Roman"/>
      <w:color w:val="000000"/>
      <w:sz w:val="22"/>
      <w:szCs w:val="22"/>
      <w:u w:val="none"/>
    </w:rPr>
  </w:style>
  <w:style w:type="character" w:customStyle="1" w:styleId="257">
    <w:name w:val="font91"/>
    <w:basedOn w:val="45"/>
    <w:qFormat/>
    <w:uiPriority w:val="0"/>
    <w:rPr>
      <w:rFonts w:hint="eastAsia" w:ascii="宋体" w:hAnsi="宋体" w:eastAsia="宋体" w:cs="宋体"/>
      <w:color w:val="000000"/>
      <w:sz w:val="18"/>
      <w:szCs w:val="18"/>
      <w:u w:val="none"/>
    </w:rPr>
  </w:style>
  <w:style w:type="character" w:customStyle="1" w:styleId="258">
    <w:name w:val="font112"/>
    <w:basedOn w:val="45"/>
    <w:qFormat/>
    <w:uiPriority w:val="0"/>
    <w:rPr>
      <w:rFonts w:hint="default" w:ascii="Times New Roman" w:hAnsi="Times New Roman" w:cs="Times New Roman"/>
      <w:color w:val="000000"/>
      <w:sz w:val="18"/>
      <w:szCs w:val="18"/>
      <w:u w:val="none"/>
    </w:rPr>
  </w:style>
  <w:style w:type="character" w:customStyle="1" w:styleId="259">
    <w:name w:val="font141"/>
    <w:basedOn w:val="45"/>
    <w:qFormat/>
    <w:uiPriority w:val="0"/>
    <w:rPr>
      <w:rFonts w:hint="eastAsia" w:ascii="宋体" w:hAnsi="宋体" w:eastAsia="宋体" w:cs="宋体"/>
      <w:b/>
      <w:bCs/>
      <w:color w:val="000000"/>
      <w:sz w:val="22"/>
      <w:szCs w:val="22"/>
      <w:u w:val="none"/>
    </w:rPr>
  </w:style>
  <w:style w:type="character" w:customStyle="1" w:styleId="260">
    <w:name w:val="font41"/>
    <w:basedOn w:val="45"/>
    <w:qFormat/>
    <w:uiPriority w:val="0"/>
    <w:rPr>
      <w:rFonts w:hint="eastAsia" w:ascii="宋体" w:hAnsi="宋体" w:eastAsia="宋体" w:cs="宋体"/>
      <w:color w:val="000000"/>
      <w:sz w:val="22"/>
      <w:szCs w:val="22"/>
      <w:u w:val="none"/>
    </w:rPr>
  </w:style>
  <w:style w:type="character" w:customStyle="1" w:styleId="261">
    <w:name w:val="font12"/>
    <w:basedOn w:val="45"/>
    <w:qFormat/>
    <w:uiPriority w:val="0"/>
    <w:rPr>
      <w:rFonts w:hint="default" w:ascii="Times New Roman" w:hAnsi="Times New Roman" w:cs="Times New Roman"/>
      <w:color w:val="000000"/>
      <w:sz w:val="22"/>
      <w:szCs w:val="22"/>
      <w:u w:val="none"/>
    </w:rPr>
  </w:style>
  <w:style w:type="character" w:customStyle="1" w:styleId="262">
    <w:name w:val="font101"/>
    <w:basedOn w:val="45"/>
    <w:qFormat/>
    <w:uiPriority w:val="0"/>
    <w:rPr>
      <w:rFonts w:hint="eastAsia" w:ascii="宋体" w:hAnsi="宋体" w:eastAsia="宋体" w:cs="宋体"/>
      <w:color w:val="000000"/>
      <w:sz w:val="18"/>
      <w:szCs w:val="18"/>
      <w:u w:val="none"/>
    </w:rPr>
  </w:style>
  <w:style w:type="character" w:customStyle="1" w:styleId="263">
    <w:name w:val="font122"/>
    <w:basedOn w:val="45"/>
    <w:qFormat/>
    <w:uiPriority w:val="0"/>
    <w:rPr>
      <w:rFonts w:hint="default" w:ascii="Times New Roman" w:hAnsi="Times New Roman" w:cs="Times New Roman"/>
      <w:color w:val="000000"/>
      <w:sz w:val="18"/>
      <w:szCs w:val="18"/>
      <w:u w:val="none"/>
    </w:rPr>
  </w:style>
  <w:style w:type="character" w:customStyle="1" w:styleId="264">
    <w:name w:val="font31"/>
    <w:basedOn w:val="45"/>
    <w:qFormat/>
    <w:uiPriority w:val="0"/>
    <w:rPr>
      <w:rFonts w:hint="default" w:ascii="Times New Roman" w:hAnsi="Times New Roman" w:cs="Times New Roman"/>
      <w:color w:val="000000"/>
      <w:sz w:val="22"/>
      <w:szCs w:val="22"/>
      <w:u w:val="none"/>
    </w:rPr>
  </w:style>
  <w:style w:type="character" w:customStyle="1" w:styleId="265">
    <w:name w:val="font111"/>
    <w:basedOn w:val="45"/>
    <w:qFormat/>
    <w:uiPriority w:val="0"/>
    <w:rPr>
      <w:rFonts w:hint="eastAsia" w:ascii="宋体" w:hAnsi="宋体" w:eastAsia="宋体" w:cs="宋体"/>
      <w:color w:val="000000"/>
      <w:sz w:val="22"/>
      <w:szCs w:val="22"/>
      <w:u w:val="none"/>
    </w:rPr>
  </w:style>
  <w:style w:type="character" w:customStyle="1" w:styleId="266">
    <w:name w:val="font121"/>
    <w:basedOn w:val="45"/>
    <w:qFormat/>
    <w:uiPriority w:val="0"/>
    <w:rPr>
      <w:rFonts w:hint="eastAsia" w:ascii="宋体" w:hAnsi="宋体" w:eastAsia="宋体" w:cs="宋体"/>
      <w:b/>
      <w:bCs/>
      <w:color w:val="000000"/>
      <w:sz w:val="22"/>
      <w:szCs w:val="22"/>
      <w:u w:val="none"/>
    </w:rPr>
  </w:style>
  <w:style w:type="character" w:customStyle="1" w:styleId="267">
    <w:name w:val="font71"/>
    <w:basedOn w:val="45"/>
    <w:qFormat/>
    <w:uiPriority w:val="0"/>
    <w:rPr>
      <w:rFonts w:hint="default" w:ascii="Times New Roman" w:hAnsi="Times New Roman" w:cs="Times New Roman"/>
      <w:color w:val="000000"/>
      <w:sz w:val="18"/>
      <w:szCs w:val="18"/>
      <w:u w:val="none"/>
    </w:rPr>
  </w:style>
  <w:style w:type="character" w:customStyle="1" w:styleId="268">
    <w:name w:val="font51"/>
    <w:basedOn w:val="45"/>
    <w:qFormat/>
    <w:uiPriority w:val="0"/>
    <w:rPr>
      <w:rFonts w:hint="default" w:ascii="Times New Roman" w:hAnsi="Times New Roman" w:cs="Times New Roman"/>
      <w:color w:val="000000"/>
      <w:sz w:val="22"/>
      <w:szCs w:val="22"/>
      <w:u w:val="none"/>
    </w:rPr>
  </w:style>
  <w:style w:type="character" w:customStyle="1" w:styleId="269">
    <w:name w:val="font151"/>
    <w:basedOn w:val="45"/>
    <w:qFormat/>
    <w:uiPriority w:val="0"/>
    <w:rPr>
      <w:rFonts w:hint="default" w:ascii="Times New Roman" w:hAnsi="Times New Roman" w:cs="Times New Roman"/>
      <w:color w:val="000000"/>
      <w:sz w:val="18"/>
      <w:szCs w:val="18"/>
      <w:u w:val="none"/>
    </w:rPr>
  </w:style>
  <w:style w:type="character" w:customStyle="1" w:styleId="270">
    <w:name w:val="s2"/>
    <w:basedOn w:val="45"/>
    <w:qFormat/>
    <w:uiPriority w:val="0"/>
    <w:rPr>
      <w:u w:val="single"/>
    </w:rPr>
  </w:style>
  <w:style w:type="paragraph" w:customStyle="1" w:styleId="271">
    <w:name w:val="4 级标题"/>
    <w:basedOn w:val="6"/>
    <w:next w:val="272"/>
    <w:qFormat/>
    <w:uiPriority w:val="3"/>
    <w:pPr>
      <w:numPr>
        <w:ilvl w:val="0"/>
        <w:numId w:val="8"/>
      </w:numPr>
      <w:wordWrap w:val="0"/>
      <w:adjustRightInd w:val="0"/>
      <w:spacing w:before="120" w:after="120" w:line="360" w:lineRule="auto"/>
      <w:ind w:right="27" w:rightChars="13"/>
      <w:jc w:val="left"/>
    </w:pPr>
    <w:rPr>
      <w:rFonts w:ascii="Times New Roman" w:hAnsi="Times New Roman" w:eastAsia="宋体"/>
      <w:sz w:val="24"/>
    </w:rPr>
  </w:style>
  <w:style w:type="paragraph" w:customStyle="1" w:styleId="272">
    <w:name w:val="正文内容"/>
    <w:basedOn w:val="1"/>
    <w:qFormat/>
    <w:uiPriority w:val="0"/>
    <w:pPr>
      <w:adjustRightInd w:val="0"/>
      <w:spacing w:line="360" w:lineRule="auto"/>
      <w:ind w:firstLine="200" w:firstLineChars="200"/>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135</Pages>
  <Words>34511</Words>
  <Characters>36646</Characters>
  <Lines>1285</Lines>
  <Paragraphs>1010</Paragraphs>
  <TotalTime>10</TotalTime>
  <ScaleCrop>false</ScaleCrop>
  <LinksUpToDate>false</LinksUpToDate>
  <CharactersWithSpaces>36892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2024-06-05T14:29:00Z</dcterms:created>
  <dc:creator>Yin Hao</dc:creator>
  <cp:lastModifiedBy>物来顺应</cp:lastModifiedBy>
  <cp:lastPrinted>2026-01-30T09:23:00Z</cp:lastPrinted>
  <dcterms:modified xsi:type="dcterms:W3CDTF">2026-04-09T02:28:49Z</dcterms:modified>
  <dc:title>政府采购示范文本（2023）</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B4A004EBA6BD47F2A5FD34261F94A197_13</vt:lpwstr>
  </property>
  <property fmtid="{D5CDD505-2E9C-101B-9397-08002B2CF9AE}" pid="4" name="KSOTemplateDocerSaveRecord">
    <vt:lpwstr>eyJoZGlkIjoiMmFkOGVlNmUxOGUyOTYyZTczMTMwNjlkZDdjMTc1ZjIiLCJ1c2VySWQiOiIxMjE3MjkxMzE2In0=</vt:lpwstr>
  </property>
</Properties>
</file>