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09"/>
      <w:bookmarkStart w:id="1" w:name="_Toc28359022"/>
      <w:bookmarkStart w:id="14" w:name="_GoBack"/>
      <w:bookmarkEnd w:id="14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北京奥林匹克中心区2026年花卉布置项目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11010526210200028462-XM001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北京奥林匹克中心区2026年花卉布置项目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北京四冶建设工程有限公司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北京市门头沟区斋堂大街 45 号科技楼 ZT1172 室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4,431,244.10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B5C6BB2">
      <w:pPr>
        <w:pStyle w:val="7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名称：花卉布置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服务范围：2026年花卉布置工作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服务要求：绿化树木成活率达到98%以上，并对未成活植物及时进行补栽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服务时间：花卉布置项目开工时间为2026年4月中旬，补植应在2026年8月31日前完成；维养期自2026年4月至2026年11月底（其中花箱防寒维护期至2027年4月30日），具体时间以采购人要求为准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0095AF56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武保甲、张燕、马丽霞、王伟、袁琳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采购代理机构采用差额累进方式计算服务费，具体收费标准详见其它补充事宜，本项目代理服务总金额为：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4.2449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4"/>
        <w:gridCol w:w="1756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北京四冶建设工程有限公司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89.4</w:t>
            </w:r>
          </w:p>
        </w:tc>
      </w:tr>
    </w:tbl>
    <w:p w14:paraId="663FB38B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收费标准：</w:t>
      </w:r>
    </w:p>
    <w:p w14:paraId="0C99F8DF">
      <w:pPr>
        <w:spacing w:after="0"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3AF25672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9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7C8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9C7A">
            <w:pPr>
              <w:widowControl w:val="0"/>
              <w:spacing w:after="0" w:line="240" w:lineRule="auto"/>
              <w:ind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B7F1CCF">
            <w:pPr>
              <w:widowControl w:val="0"/>
              <w:spacing w:after="0" w:line="240" w:lineRule="auto"/>
              <w:ind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1C7A75B4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36B5559A"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12196FC7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7A17787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2B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C6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7D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3E6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39A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F8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6E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B5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0159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19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C33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D9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8A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310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0B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DE2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7C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2EF3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0F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B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0C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DB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4B2853B7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0E4691DB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4DC686D6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05C2B773">
      <w:pPr>
        <w:numPr>
          <w:ilvl w:val="0"/>
          <w:numId w:val="0"/>
        </w:numPr>
        <w:ind w:leftChars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67A1C3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31D028D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2B47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0EBE177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3CEAED5B">
      <w:pPr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010-84972796</w:t>
      </w:r>
    </w:p>
    <w:p w14:paraId="44DA38D4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1225F13"/>
    <w:rsid w:val="021D30A7"/>
    <w:rsid w:val="024E73C1"/>
    <w:rsid w:val="03082D39"/>
    <w:rsid w:val="04D252DB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855353"/>
    <w:rsid w:val="1CB302B9"/>
    <w:rsid w:val="2080016D"/>
    <w:rsid w:val="218F47CC"/>
    <w:rsid w:val="21AA615B"/>
    <w:rsid w:val="21D975DE"/>
    <w:rsid w:val="25755DC7"/>
    <w:rsid w:val="262A4E03"/>
    <w:rsid w:val="287C4C49"/>
    <w:rsid w:val="29031704"/>
    <w:rsid w:val="29094010"/>
    <w:rsid w:val="2B315D61"/>
    <w:rsid w:val="2C652E7D"/>
    <w:rsid w:val="2E6D5918"/>
    <w:rsid w:val="2FBB2402"/>
    <w:rsid w:val="303E2ED3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D3C5EC9"/>
    <w:rsid w:val="4EDA1F14"/>
    <w:rsid w:val="50D1479B"/>
    <w:rsid w:val="50EB55A2"/>
    <w:rsid w:val="56FA587C"/>
    <w:rsid w:val="57A07EDB"/>
    <w:rsid w:val="58D66FC6"/>
    <w:rsid w:val="5A2F03B0"/>
    <w:rsid w:val="5A687DD5"/>
    <w:rsid w:val="5D110C47"/>
    <w:rsid w:val="5FF670B6"/>
    <w:rsid w:val="625C73EB"/>
    <w:rsid w:val="626601DA"/>
    <w:rsid w:val="6497724C"/>
    <w:rsid w:val="657E636F"/>
    <w:rsid w:val="66175DAA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7ebf9a3e-7bd0-4a28-85e9-3be0d516201a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5EEE8849</paraID>
      <start>15</start>
      <end>16</end>
      <status>unmodified</status>
      <modifiedWord/>
      <trackRevisions>false</trackRevisions>
    </reviewItem>
    <reviewItem>
      <errorID>bc655bb4-10a2-42c5-b71e-dc3fcc93208b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d468d-6828-45b2-9e2b-8a2037bb7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1051</Characters>
  <Lines>0</Lines>
  <Paragraphs>0</Paragraphs>
  <TotalTime>0</TotalTime>
  <ScaleCrop>false</ScaleCrop>
  <LinksUpToDate>false</LinksUpToDate>
  <CharactersWithSpaces>1099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2026-04-16T07:52:14Z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F841AAD8A7C7488EBAFE1E71F5BB83B2_13</vt:lpwstr>
  </property>
  <property fmtid="{D5CDD505-2E9C-101B-9397-08002B2CF9AE}" pid="4" name="KSOTemplateDocerSaveRecord">
    <vt:lpwstr>eyJoZGlkIjoiODA2NThhNjc1YmRmNzVlMzM1YjQzODRmYjhmZGMzNDUiLCJ1c2VySWQiOiIyMjkxNDI4MjQifQ==</vt:lpwstr>
  </property>
</Properties>
</file>