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rFonts w:hint="eastAsia" w:eastAsia="宋体"/>
          <w:b/>
          <w:bCs/>
          <w:sz w:val="60"/>
          <w:szCs w:val="60"/>
          <w:lang w:eastAsia="zh-CN"/>
        </w:rPr>
      </w:pPr>
      <w:r>
        <w:rPr>
          <w:rFonts w:hint="eastAsia"/>
          <w:b/>
          <w:bCs/>
          <w:sz w:val="60"/>
          <w:szCs w:val="60"/>
          <w:lang w:eastAsia="zh-CN"/>
        </w:rPr>
        <w:t>北京市顺义区空港医院2026-2027年度安保服务项目</w:t>
      </w:r>
    </w:p>
    <w:p>
      <w:pPr>
        <w:jc w:val="center"/>
        <w:rPr>
          <w:b/>
          <w:bCs/>
          <w:sz w:val="60"/>
          <w:szCs w:val="60"/>
        </w:rPr>
      </w:pPr>
      <w:r>
        <w:rPr>
          <w:b/>
          <w:bCs/>
          <w:sz w:val="60"/>
          <w:szCs w:val="60"/>
        </w:rPr>
        <w:t>公开招标文件</w:t>
      </w: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pStyle w:val="28"/>
        <w:rPr>
          <w:bCs/>
          <w:sz w:val="36"/>
          <w:szCs w:val="36"/>
        </w:rPr>
      </w:pPr>
    </w:p>
    <w:p>
      <w:pPr>
        <w:rPr>
          <w:bCs/>
          <w:sz w:val="36"/>
          <w:szCs w:val="36"/>
        </w:rPr>
      </w:pPr>
    </w:p>
    <w:p>
      <w:pPr>
        <w:pStyle w:val="28"/>
        <w:rPr>
          <w:bCs/>
          <w:sz w:val="36"/>
          <w:szCs w:val="36"/>
        </w:rPr>
      </w:pPr>
    </w:p>
    <w:p>
      <w:pPr>
        <w:rPr>
          <w:bCs/>
          <w:sz w:val="36"/>
          <w:szCs w:val="36"/>
        </w:rPr>
      </w:pPr>
    </w:p>
    <w:p>
      <w:pPr>
        <w:pStyle w:val="28"/>
      </w:pPr>
    </w:p>
    <w:p>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lang w:eastAsia="zh-CN"/>
        </w:rPr>
        <w:t>北京市顺义区空港医院2026-2027年度安保服务项目</w:t>
      </w:r>
    </w:p>
    <w:p>
      <w:pPr>
        <w:tabs>
          <w:tab w:val="left" w:pos="3240"/>
          <w:tab w:val="left" w:pos="3420"/>
        </w:tabs>
        <w:spacing w:line="360" w:lineRule="auto"/>
        <w:jc w:val="left"/>
        <w:rPr>
          <w:bCs/>
          <w:sz w:val="36"/>
          <w:szCs w:val="36"/>
        </w:rPr>
      </w:pPr>
      <w:r>
        <w:rPr>
          <w:bCs/>
          <w:sz w:val="36"/>
          <w:szCs w:val="36"/>
        </w:rPr>
        <w:t>项目编号：</w:t>
      </w:r>
      <w:r>
        <w:rPr>
          <w:bCs/>
          <w:sz w:val="36"/>
          <w:szCs w:val="36"/>
        </w:rPr>
        <w:fldChar w:fldCharType="begin"/>
      </w:r>
      <w:r>
        <w:rPr>
          <w:bCs/>
          <w:sz w:val="36"/>
          <w:szCs w:val="36"/>
        </w:rPr>
        <w:instrText xml:space="preserve"> HYPERLINK "http://219.232.204.193:8080/frontend/plan/project_detail.html?projectUuid=07d41691-5d53-4a85-bac5-f97216615b88&amp;viewMode=accept" </w:instrText>
      </w:r>
      <w:r>
        <w:rPr>
          <w:bCs/>
          <w:sz w:val="36"/>
          <w:szCs w:val="36"/>
        </w:rPr>
        <w:fldChar w:fldCharType="separate"/>
      </w:r>
      <w:r>
        <w:rPr>
          <w:rFonts w:hint="default"/>
          <w:bCs/>
          <w:sz w:val="36"/>
          <w:szCs w:val="36"/>
        </w:rPr>
        <w:t>11011326210200025954-XM001</w:t>
      </w:r>
      <w:r>
        <w:rPr>
          <w:rFonts w:hint="default"/>
          <w:bCs/>
          <w:sz w:val="36"/>
          <w:szCs w:val="36"/>
        </w:rPr>
        <w:fldChar w:fldCharType="end"/>
      </w:r>
    </w:p>
    <w:p>
      <w:pPr>
        <w:tabs>
          <w:tab w:val="left" w:pos="3240"/>
          <w:tab w:val="left" w:pos="3420"/>
        </w:tabs>
        <w:spacing w:line="360" w:lineRule="auto"/>
        <w:jc w:val="left"/>
        <w:rPr>
          <w:rFonts w:hint="eastAsia" w:eastAsia="宋体"/>
          <w:bCs/>
          <w:sz w:val="36"/>
          <w:szCs w:val="36"/>
          <w:lang w:eastAsia="zh-CN"/>
        </w:rPr>
      </w:pPr>
      <w:r>
        <w:rPr>
          <w:bCs/>
          <w:sz w:val="36"/>
          <w:szCs w:val="36"/>
        </w:rPr>
        <w:t>采 购 人：</w:t>
      </w:r>
      <w:r>
        <w:rPr>
          <w:rFonts w:hint="eastAsia"/>
          <w:bCs/>
          <w:sz w:val="36"/>
          <w:szCs w:val="36"/>
          <w:lang w:eastAsia="zh-CN"/>
        </w:rPr>
        <w:t>北京市顺义区空港医院</w:t>
      </w:r>
    </w:p>
    <w:p>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 xml:space="preserve">北京招竣建设工程咨询有限公司 </w:t>
      </w:r>
    </w:p>
    <w:p>
      <w:pPr>
        <w:widowControl/>
        <w:jc w:val="left"/>
        <w:rPr>
          <w:b/>
          <w:bCs/>
          <w:sz w:val="44"/>
        </w:rPr>
      </w:pPr>
      <w:r>
        <w:rPr>
          <w:b/>
          <w:bCs/>
          <w:sz w:val="44"/>
        </w:rPr>
        <w:br w:type="page"/>
      </w:r>
    </w:p>
    <w:p>
      <w:pPr>
        <w:pStyle w:val="158"/>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pPr>
        <w:spacing w:line="360" w:lineRule="auto"/>
        <w:jc w:val="center"/>
        <w:outlineLvl w:val="0"/>
        <w:rPr>
          <w:b/>
          <w:sz w:val="36"/>
          <w:szCs w:val="36"/>
        </w:rPr>
      </w:pPr>
      <w:bookmarkStart w:id="2" w:name="_Toc99301418"/>
      <w:bookmarkStart w:id="3" w:name="_Toc16813"/>
      <w:r>
        <w:rPr>
          <w:b/>
          <w:sz w:val="36"/>
          <w:szCs w:val="36"/>
        </w:rPr>
        <w:t>目      录</w:t>
      </w:r>
      <w:bookmarkEnd w:id="2"/>
      <w:bookmarkEnd w:id="3"/>
    </w:p>
    <w:p/>
    <w:p/>
    <w:p/>
    <w:p>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"_Toc29573" </w:instrText>
      </w:r>
      <w:r>
        <w:fldChar w:fldCharType="separate"/>
      </w:r>
      <w:r>
        <w:rPr>
          <w:szCs w:val="36"/>
        </w:rPr>
        <w:t>第一章   投标邀请</w:t>
      </w:r>
      <w:r>
        <w:tab/>
      </w:r>
      <w:r>
        <w:fldChar w:fldCharType="begin"/>
      </w:r>
      <w:r>
        <w:instrText xml:space="preserve"> PAGEREF _Toc29573 \h </w:instrText>
      </w:r>
      <w:r>
        <w:fldChar w:fldCharType="separate"/>
      </w:r>
      <w:r>
        <w:t>2</w:t>
      </w:r>
      <w:r>
        <w:fldChar w:fldCharType="end"/>
      </w:r>
      <w:r>
        <w:fldChar w:fldCharType="end"/>
      </w:r>
    </w:p>
    <w:p>
      <w:pPr>
        <w:pStyle w:val="30"/>
        <w:tabs>
          <w:tab w:val="right" w:leader="dot" w:pos="9072"/>
          <w:tab w:val="clear" w:pos="1050"/>
          <w:tab w:val="clear" w:pos="8937"/>
        </w:tabs>
      </w:pPr>
      <w:r>
        <w:fldChar w:fldCharType="begin"/>
      </w:r>
      <w:r>
        <w:instrText xml:space="preserve"> HYPERLINK \l "_Toc7671" </w:instrText>
      </w:r>
      <w:r>
        <w:fldChar w:fldCharType="separate"/>
      </w:r>
      <w:r>
        <w:rPr>
          <w:szCs w:val="36"/>
        </w:rPr>
        <w:t>第二章   投标人须知</w:t>
      </w:r>
      <w:r>
        <w:tab/>
      </w:r>
      <w:r>
        <w:fldChar w:fldCharType="begin"/>
      </w:r>
      <w:r>
        <w:instrText xml:space="preserve"> PAGEREF _Toc7671 \h </w:instrText>
      </w:r>
      <w:r>
        <w:fldChar w:fldCharType="separate"/>
      </w:r>
      <w:r>
        <w:t>7</w:t>
      </w:r>
      <w:r>
        <w:fldChar w:fldCharType="end"/>
      </w:r>
      <w:r>
        <w:fldChar w:fldCharType="end"/>
      </w:r>
    </w:p>
    <w:p>
      <w:pPr>
        <w:pStyle w:val="30"/>
        <w:tabs>
          <w:tab w:val="right" w:leader="dot" w:pos="9072"/>
          <w:tab w:val="clear" w:pos="1050"/>
          <w:tab w:val="clear" w:pos="8937"/>
        </w:tabs>
      </w:pPr>
      <w:r>
        <w:fldChar w:fldCharType="begin"/>
      </w:r>
      <w:r>
        <w:instrText xml:space="preserve"> HYPERLINK \l "_Toc15454" </w:instrText>
      </w:r>
      <w:r>
        <w:fldChar w:fldCharType="separate"/>
      </w:r>
      <w:r>
        <w:rPr>
          <w:szCs w:val="36"/>
        </w:rPr>
        <w:t>第三章   资格审查</w:t>
      </w:r>
      <w:r>
        <w:tab/>
      </w:r>
      <w:r>
        <w:fldChar w:fldCharType="begin"/>
      </w:r>
      <w:r>
        <w:instrText xml:space="preserve"> PAGEREF _Toc15454 \h </w:instrText>
      </w:r>
      <w:r>
        <w:fldChar w:fldCharType="separate"/>
      </w:r>
      <w:r>
        <w:t>23</w:t>
      </w:r>
      <w:r>
        <w:fldChar w:fldCharType="end"/>
      </w:r>
      <w:r>
        <w:fldChar w:fldCharType="end"/>
      </w:r>
    </w:p>
    <w:p>
      <w:pPr>
        <w:pStyle w:val="30"/>
        <w:tabs>
          <w:tab w:val="right" w:leader="dot" w:pos="9072"/>
          <w:tab w:val="clear" w:pos="1050"/>
          <w:tab w:val="clear" w:pos="8937"/>
        </w:tabs>
      </w:pPr>
      <w:r>
        <w:fldChar w:fldCharType="begin"/>
      </w:r>
      <w:r>
        <w:instrText xml:space="preserve"> HYPERLINK \l "_Toc12002" </w:instrText>
      </w:r>
      <w:r>
        <w:fldChar w:fldCharType="separate"/>
      </w:r>
      <w:r>
        <w:rPr>
          <w:szCs w:val="36"/>
        </w:rPr>
        <w:t>第四章   评标程序、评标方法和评标标准</w:t>
      </w:r>
      <w:r>
        <w:tab/>
      </w:r>
      <w:r>
        <w:fldChar w:fldCharType="begin"/>
      </w:r>
      <w:r>
        <w:instrText xml:space="preserve"> PAGEREF _Toc12002 \h </w:instrText>
      </w:r>
      <w:r>
        <w:fldChar w:fldCharType="separate"/>
      </w:r>
      <w:r>
        <w:t>27</w:t>
      </w:r>
      <w:r>
        <w:fldChar w:fldCharType="end"/>
      </w:r>
      <w:r>
        <w:fldChar w:fldCharType="end"/>
      </w:r>
    </w:p>
    <w:p>
      <w:pPr>
        <w:pStyle w:val="30"/>
        <w:tabs>
          <w:tab w:val="right" w:leader="dot" w:pos="9072"/>
          <w:tab w:val="clear" w:pos="1050"/>
          <w:tab w:val="clear" w:pos="8937"/>
        </w:tabs>
      </w:pPr>
      <w:r>
        <w:fldChar w:fldCharType="begin"/>
      </w:r>
      <w:r>
        <w:instrText xml:space="preserve"> HYPERLINK \l "_Toc14684" </w:instrText>
      </w:r>
      <w:r>
        <w:fldChar w:fldCharType="separate"/>
      </w:r>
      <w:r>
        <w:rPr>
          <w:szCs w:val="36"/>
        </w:rPr>
        <w:t>第五章   采购需求</w:t>
      </w:r>
      <w:r>
        <w:tab/>
      </w:r>
      <w:r>
        <w:fldChar w:fldCharType="begin"/>
      </w:r>
      <w:r>
        <w:instrText xml:space="preserve"> PAGEREF _Toc14684 \h </w:instrText>
      </w:r>
      <w:r>
        <w:fldChar w:fldCharType="separate"/>
      </w:r>
      <w:r>
        <w:t>39</w:t>
      </w:r>
      <w:r>
        <w:fldChar w:fldCharType="end"/>
      </w:r>
      <w:r>
        <w:fldChar w:fldCharType="end"/>
      </w:r>
    </w:p>
    <w:p>
      <w:pPr>
        <w:pStyle w:val="30"/>
        <w:tabs>
          <w:tab w:val="right" w:leader="dot" w:pos="9072"/>
          <w:tab w:val="clear" w:pos="1050"/>
          <w:tab w:val="clear" w:pos="8937"/>
        </w:tabs>
      </w:pPr>
      <w:r>
        <w:fldChar w:fldCharType="begin"/>
      </w:r>
      <w:r>
        <w:instrText xml:space="preserve"> HYPERLINK \l "_Toc21071" </w:instrText>
      </w:r>
      <w:r>
        <w:fldChar w:fldCharType="separate"/>
      </w:r>
      <w:r>
        <w:rPr>
          <w:szCs w:val="36"/>
        </w:rPr>
        <w:t>第六章   拟签订的合同文本</w:t>
      </w:r>
      <w:r>
        <w:tab/>
      </w:r>
      <w:r>
        <w:fldChar w:fldCharType="begin"/>
      </w:r>
      <w:r>
        <w:instrText xml:space="preserve"> PAGEREF _Toc21071 \h </w:instrText>
      </w:r>
      <w:r>
        <w:fldChar w:fldCharType="separate"/>
      </w:r>
      <w:r>
        <w:t>40</w:t>
      </w:r>
      <w:r>
        <w:fldChar w:fldCharType="end"/>
      </w:r>
      <w:r>
        <w:fldChar w:fldCharType="end"/>
      </w:r>
    </w:p>
    <w:p>
      <w:pPr>
        <w:pStyle w:val="30"/>
        <w:tabs>
          <w:tab w:val="right" w:leader="dot" w:pos="9072"/>
          <w:tab w:val="clear" w:pos="1050"/>
          <w:tab w:val="clear" w:pos="8937"/>
        </w:tabs>
      </w:pPr>
      <w:r>
        <w:fldChar w:fldCharType="begin"/>
      </w:r>
      <w:r>
        <w:instrText xml:space="preserve"> HYPERLINK \l "_Toc768" </w:instrText>
      </w:r>
      <w:r>
        <w:fldChar w:fldCharType="separate"/>
      </w:r>
      <w:r>
        <w:rPr>
          <w:szCs w:val="36"/>
        </w:rPr>
        <w:t>第七章   投标文件格式</w:t>
      </w:r>
      <w:r>
        <w:tab/>
      </w:r>
      <w:r>
        <w:fldChar w:fldCharType="begin"/>
      </w:r>
      <w:r>
        <w:instrText xml:space="preserve"> PAGEREF _Toc768 \h </w:instrText>
      </w:r>
      <w:r>
        <w:fldChar w:fldCharType="separate"/>
      </w:r>
      <w:r>
        <w:t>52</w:t>
      </w:r>
      <w:r>
        <w:fldChar w:fldCharType="end"/>
      </w:r>
      <w:r>
        <w:fldChar w:fldCharType="end"/>
      </w:r>
    </w:p>
    <w:p>
      <w:pPr>
        <w:pStyle w:val="30"/>
        <w:spacing w:line="480" w:lineRule="auto"/>
        <w:rPr>
          <w:rFonts w:ascii="Times New Roman" w:hAnsi="Times New Roman" w:eastAsiaTheme="minorEastAsia"/>
          <w:b w:val="0"/>
        </w:rPr>
      </w:pPr>
      <w:r>
        <w:rPr>
          <w:rFonts w:ascii="Times New Roman" w:hAnsi="Times New Roman"/>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4" w:name="_Toc29573"/>
      <w:r>
        <w:rPr>
          <w:b/>
          <w:sz w:val="36"/>
          <w:szCs w:val="36"/>
        </w:rPr>
        <w:t>第一章   投标邀请</w:t>
      </w:r>
      <w:bookmarkEnd w:id="4"/>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5" w:name="_Toc35393790"/>
      <w:bookmarkStart w:id="6" w:name="_Toc28359079"/>
      <w:bookmarkStart w:id="7" w:name="_Toc35393621"/>
      <w:bookmarkStart w:id="8" w:name="_Toc28359002"/>
      <w:bookmarkStart w:id="9" w:name="_Hlk24379207"/>
      <w:r>
        <w:rPr>
          <w:rFonts w:ascii="Times New Roman" w:hAnsi="Times New Roman" w:eastAsia="宋体"/>
          <w:sz w:val="24"/>
          <w:szCs w:val="24"/>
        </w:rPr>
        <w:t>一、项目基本情况</w:t>
      </w:r>
      <w:bookmarkEnd w:id="5"/>
      <w:bookmarkEnd w:id="6"/>
      <w:bookmarkEnd w:id="7"/>
      <w:bookmarkEnd w:id="8"/>
    </w:p>
    <w:p>
      <w:pPr>
        <w:spacing w:line="360" w:lineRule="auto"/>
        <w:ind w:firstLine="480" w:firstLineChars="200"/>
        <w:rPr>
          <w:rFonts w:hint="default" w:eastAsia="宋体"/>
          <w:sz w:val="24"/>
          <w:lang w:val="en-US" w:eastAsia="zh-CN"/>
        </w:rPr>
      </w:pPr>
      <w:r>
        <w:rPr>
          <w:sz w:val="24"/>
        </w:rPr>
        <w:t>1.项目编号：</w:t>
      </w:r>
      <w:r>
        <w:rPr>
          <w:sz w:val="24"/>
          <w:u w:val="single"/>
        </w:rPr>
        <w:fldChar w:fldCharType="begin"/>
      </w:r>
      <w:r>
        <w:rPr>
          <w:sz w:val="24"/>
          <w:u w:val="single"/>
        </w:rPr>
        <w:instrText xml:space="preserve"> HYPERLINK "http://219.232.204.193:8080/frontend/plan/project_detail.html?projectUuid=07d41691-5d53-4a85-bac5-f97216615b88&amp;viewMode=accept" </w:instrText>
      </w:r>
      <w:r>
        <w:rPr>
          <w:sz w:val="24"/>
          <w:u w:val="single"/>
        </w:rPr>
        <w:fldChar w:fldCharType="separate"/>
      </w:r>
      <w:r>
        <w:rPr>
          <w:rFonts w:hint="default"/>
          <w:sz w:val="24"/>
          <w:u w:val="single"/>
        </w:rPr>
        <w:t>11011326210200025954-XM001</w:t>
      </w:r>
      <w:r>
        <w:rPr>
          <w:rFonts w:hint="default"/>
          <w:sz w:val="24"/>
          <w:u w:val="single"/>
        </w:rPr>
        <w:fldChar w:fldCharType="end"/>
      </w:r>
    </w:p>
    <w:p>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北京市顺义区空港医院2026-2027年度安保服务项目</w:t>
      </w:r>
    </w:p>
    <w:bookmarkEnd w:id="9"/>
    <w:p>
      <w:pPr>
        <w:spacing w:line="360" w:lineRule="auto"/>
        <w:ind w:firstLine="480" w:firstLineChars="200"/>
        <w:rPr>
          <w:sz w:val="24"/>
        </w:rPr>
      </w:pPr>
      <w:r>
        <w:rPr>
          <w:sz w:val="24"/>
        </w:rPr>
        <w:t>3.项目预算金额：</w:t>
      </w:r>
      <w:r>
        <w:rPr>
          <w:rFonts w:hint="eastAsia"/>
          <w:sz w:val="24"/>
          <w:lang w:val="en-US" w:eastAsia="zh-CN"/>
        </w:rPr>
        <w:t>132.495</w:t>
      </w:r>
      <w:r>
        <w:rPr>
          <w:sz w:val="24"/>
          <w:lang w:eastAsia="zh-CN"/>
        </w:rPr>
        <w:t>万元</w:t>
      </w:r>
      <w:r>
        <w:rPr>
          <w:sz w:val="24"/>
        </w:rPr>
        <w:t>、项目最高限价（如有）：</w:t>
      </w:r>
      <w:r>
        <w:rPr>
          <w:rFonts w:hint="eastAsia"/>
          <w:sz w:val="24"/>
          <w:lang w:val="en-US" w:eastAsia="zh-CN"/>
        </w:rPr>
        <w:t>132.495</w:t>
      </w:r>
      <w:r>
        <w:rPr>
          <w:sz w:val="24"/>
          <w:lang w:eastAsia="zh-CN"/>
        </w:rPr>
        <w:t>万元</w:t>
      </w:r>
    </w:p>
    <w:p>
      <w:pPr>
        <w:spacing w:line="360" w:lineRule="auto"/>
        <w:ind w:firstLine="480" w:firstLineChars="200"/>
        <w:rPr>
          <w:sz w:val="24"/>
        </w:rPr>
      </w:pPr>
      <w:r>
        <w:rPr>
          <w:sz w:val="24"/>
        </w:rPr>
        <w:t>4.采购需求：</w:t>
      </w:r>
    </w:p>
    <w:tbl>
      <w:tblPr>
        <w:tblStyle w:val="4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41"/>
        <w:gridCol w:w="1457"/>
        <w:gridCol w:w="1575"/>
        <w:gridCol w:w="794"/>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800" w:type="dxa"/>
            <w:vAlign w:val="center"/>
          </w:tcPr>
          <w:p>
            <w:pPr>
              <w:jc w:val="center"/>
              <w:rPr>
                <w:bCs/>
                <w:szCs w:val="21"/>
              </w:rPr>
            </w:pPr>
            <w:r>
              <w:rPr>
                <w:bCs/>
                <w:szCs w:val="21"/>
              </w:rPr>
              <w:t>包号</w:t>
            </w:r>
          </w:p>
        </w:tc>
        <w:tc>
          <w:tcPr>
            <w:tcW w:w="1441" w:type="dxa"/>
            <w:vAlign w:val="center"/>
          </w:tcPr>
          <w:p>
            <w:pPr>
              <w:jc w:val="center"/>
              <w:rPr>
                <w:bCs/>
                <w:szCs w:val="21"/>
              </w:rPr>
            </w:pPr>
            <w:r>
              <w:rPr>
                <w:bCs/>
                <w:szCs w:val="21"/>
              </w:rPr>
              <w:t>标的名称</w:t>
            </w:r>
          </w:p>
        </w:tc>
        <w:tc>
          <w:tcPr>
            <w:tcW w:w="1457" w:type="dxa"/>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1575" w:type="dxa"/>
            <w:vAlign w:val="center"/>
          </w:tcPr>
          <w:p>
            <w:pPr>
              <w:jc w:val="center"/>
              <w:rPr>
                <w:bCs/>
                <w:szCs w:val="21"/>
              </w:rPr>
            </w:pPr>
            <w:r>
              <w:rPr>
                <w:bCs/>
                <w:szCs w:val="21"/>
              </w:rPr>
              <w:t>采购包</w:t>
            </w:r>
          </w:p>
          <w:p>
            <w:pPr>
              <w:jc w:val="center"/>
              <w:rPr>
                <w:bCs/>
                <w:szCs w:val="21"/>
              </w:rPr>
            </w:pPr>
            <w:r>
              <w:rPr>
                <w:rFonts w:ascii="宋体" w:hAnsi="宋体" w:cs="宋体"/>
                <w:sz w:val="24"/>
              </w:rPr>
              <w:t>最高限价</w:t>
            </w:r>
            <w:r>
              <w:rPr>
                <w:rFonts w:hint="eastAsia" w:ascii="宋体" w:hAnsi="宋体" w:cs="宋体"/>
                <w:sz w:val="24"/>
              </w:rPr>
              <w:t>（万</w:t>
            </w:r>
            <w:r>
              <w:rPr>
                <w:rFonts w:hint="eastAsia" w:asciiTheme="minorEastAsia" w:hAnsiTheme="minorEastAsia" w:eastAsiaTheme="minorEastAsia"/>
                <w:sz w:val="24"/>
              </w:rPr>
              <w:t>元</w:t>
            </w:r>
            <w:r>
              <w:rPr>
                <w:rFonts w:hint="eastAsia" w:ascii="宋体" w:hAnsi="宋体" w:cs="宋体"/>
                <w:sz w:val="24"/>
              </w:rPr>
              <w:t>）</w:t>
            </w:r>
          </w:p>
        </w:tc>
        <w:tc>
          <w:tcPr>
            <w:tcW w:w="794" w:type="dxa"/>
            <w:vAlign w:val="center"/>
          </w:tcPr>
          <w:p>
            <w:pPr>
              <w:jc w:val="center"/>
              <w:rPr>
                <w:bCs/>
                <w:szCs w:val="21"/>
              </w:rPr>
            </w:pPr>
            <w:r>
              <w:rPr>
                <w:bCs/>
                <w:szCs w:val="21"/>
              </w:rPr>
              <w:t>数量</w:t>
            </w:r>
          </w:p>
        </w:tc>
        <w:tc>
          <w:tcPr>
            <w:tcW w:w="3288"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vAlign w:val="center"/>
          </w:tcPr>
          <w:p>
            <w:pPr>
              <w:jc w:val="center"/>
              <w:rPr>
                <w:bCs/>
                <w:szCs w:val="21"/>
              </w:rPr>
            </w:pPr>
            <w:r>
              <w:rPr>
                <w:bCs/>
                <w:szCs w:val="21"/>
              </w:rPr>
              <w:t>1</w:t>
            </w:r>
          </w:p>
        </w:tc>
        <w:tc>
          <w:tcPr>
            <w:tcW w:w="1441" w:type="dxa"/>
            <w:vAlign w:val="center"/>
          </w:tcPr>
          <w:p>
            <w:pPr>
              <w:wordWrap w:val="0"/>
              <w:jc w:val="center"/>
              <w:rPr>
                <w:bCs/>
                <w:szCs w:val="21"/>
              </w:rPr>
            </w:pPr>
            <w:r>
              <w:rPr>
                <w:rFonts w:hint="eastAsia" w:asciiTheme="minorEastAsia" w:hAnsiTheme="minorEastAsia" w:eastAsiaTheme="minorEastAsia"/>
                <w:sz w:val="24"/>
                <w:lang w:eastAsia="zh-CN"/>
              </w:rPr>
              <w:t>北京市顺义区空港医院2026-2027年度安保服务项目</w:t>
            </w:r>
          </w:p>
        </w:tc>
        <w:tc>
          <w:tcPr>
            <w:tcW w:w="1457" w:type="dxa"/>
            <w:vAlign w:val="center"/>
          </w:tcPr>
          <w:p>
            <w:pPr>
              <w:wordWrap w:val="0"/>
              <w:spacing w:line="241" w:lineRule="exact"/>
              <w:ind w:left="91" w:right="91"/>
              <w:jc w:val="center"/>
              <w:rPr>
                <w:bCs/>
                <w:szCs w:val="21"/>
              </w:rPr>
            </w:pPr>
            <w:r>
              <w:rPr>
                <w:rFonts w:hint="eastAsia"/>
                <w:bCs/>
                <w:szCs w:val="21"/>
                <w:lang w:val="en-US" w:eastAsia="zh-CN"/>
              </w:rPr>
              <w:t>132.495</w:t>
            </w:r>
          </w:p>
        </w:tc>
        <w:tc>
          <w:tcPr>
            <w:tcW w:w="1575" w:type="dxa"/>
            <w:vAlign w:val="center"/>
          </w:tcPr>
          <w:p>
            <w:pPr>
              <w:wordWrap w:val="0"/>
              <w:spacing w:line="241" w:lineRule="exact"/>
              <w:ind w:left="91" w:right="91"/>
              <w:jc w:val="center"/>
              <w:rPr>
                <w:bCs/>
                <w:szCs w:val="21"/>
              </w:rPr>
            </w:pPr>
            <w:r>
              <w:rPr>
                <w:rFonts w:hint="eastAsia"/>
                <w:bCs/>
                <w:szCs w:val="21"/>
                <w:lang w:val="en-US" w:eastAsia="zh-CN"/>
              </w:rPr>
              <w:t>132.495</w:t>
            </w:r>
          </w:p>
        </w:tc>
        <w:tc>
          <w:tcPr>
            <w:tcW w:w="794" w:type="dxa"/>
            <w:vAlign w:val="center"/>
          </w:tcPr>
          <w:p>
            <w:pPr>
              <w:jc w:val="center"/>
              <w:rPr>
                <w:bCs/>
                <w:szCs w:val="21"/>
              </w:rPr>
            </w:pPr>
            <w:r>
              <w:rPr>
                <w:rFonts w:hint="eastAsia"/>
                <w:bCs/>
                <w:szCs w:val="21"/>
              </w:rPr>
              <w:t>1</w:t>
            </w:r>
          </w:p>
        </w:tc>
        <w:tc>
          <w:tcPr>
            <w:tcW w:w="3288" w:type="dxa"/>
            <w:vAlign w:val="center"/>
          </w:tcPr>
          <w:p>
            <w:pPr>
              <w:wordWrap w:val="0"/>
              <w:rPr>
                <w:kern w:val="0"/>
                <w:szCs w:val="21"/>
              </w:rPr>
            </w:pPr>
            <w:r>
              <w:rPr>
                <w:rFonts w:hint="eastAsia" w:ascii="宋体" w:hAnsi="宋体" w:cs="宋体"/>
                <w:color w:val="000000"/>
                <w:sz w:val="24"/>
                <w:lang w:eastAsia="zh-CN"/>
              </w:rPr>
              <w:t>北京市顺义区空港医院2026-2027年度安保服务项目</w:t>
            </w:r>
            <w:r>
              <w:rPr>
                <w:rFonts w:hint="eastAsia" w:ascii="宋体" w:hAnsi="宋体" w:cs="宋体"/>
                <w:color w:val="000000"/>
                <w:sz w:val="24"/>
              </w:rPr>
              <w:t>，</w:t>
            </w:r>
            <w:r>
              <w:rPr>
                <w:rFonts w:hint="eastAsia" w:ascii="宋体" w:hAnsi="宋体" w:cs="宋体"/>
                <w:sz w:val="24"/>
              </w:rPr>
              <w:t>具体</w:t>
            </w:r>
            <w:r>
              <w:rPr>
                <w:rFonts w:hint="eastAsia" w:ascii="宋体" w:hAnsi="宋体" w:cs="宋体"/>
                <w:sz w:val="24"/>
                <w:lang w:val="en-US" w:eastAsia="zh-CN"/>
              </w:rPr>
              <w:t>服务内容</w:t>
            </w:r>
            <w:r>
              <w:rPr>
                <w:rFonts w:hint="eastAsia" w:ascii="宋体" w:hAnsi="宋体" w:cs="宋体"/>
                <w:sz w:val="24"/>
              </w:rPr>
              <w:t>详</w:t>
            </w:r>
            <w:r>
              <w:rPr>
                <w:rFonts w:hint="eastAsia" w:asciiTheme="minorEastAsia" w:hAnsiTheme="minorEastAsia"/>
                <w:sz w:val="24"/>
              </w:rPr>
              <w:t>见招标文件采购需求。</w:t>
            </w:r>
          </w:p>
        </w:tc>
      </w:tr>
    </w:tbl>
    <w:p>
      <w:pPr>
        <w:spacing w:line="360" w:lineRule="auto"/>
        <w:ind w:firstLine="480" w:firstLineChars="200"/>
        <w:rPr>
          <w:rFonts w:hint="eastAsia" w:eastAsia="宋体"/>
          <w:sz w:val="24"/>
          <w:u w:val="single"/>
          <w:lang w:eastAsia="zh-CN"/>
        </w:rPr>
      </w:pPr>
      <w:r>
        <w:rPr>
          <w:sz w:val="24"/>
        </w:rPr>
        <w:t>5.合同履行期限：</w:t>
      </w:r>
      <w:r>
        <w:rPr>
          <w:rFonts w:hint="eastAsia"/>
          <w:sz w:val="24"/>
          <w:lang w:eastAsia="zh-CN"/>
        </w:rPr>
        <w:t>1年。</w:t>
      </w:r>
    </w:p>
    <w:p>
      <w:pPr>
        <w:spacing w:line="360" w:lineRule="auto"/>
        <w:ind w:firstLine="480" w:firstLineChars="200"/>
        <w:rPr>
          <w:sz w:val="24"/>
        </w:rPr>
      </w:pPr>
      <w:r>
        <w:rPr>
          <w:sz w:val="24"/>
        </w:rPr>
        <w:t xml:space="preserve">6.本项目是否接受联合体投标：□是 </w:t>
      </w:r>
      <w:r>
        <w:rPr>
          <w:rFonts w:hint="eastAsia" w:ascii="宋体" w:hAnsi="宋体" w:cs="宋体"/>
          <w:sz w:val="24"/>
        </w:rPr>
        <w:t>■</w:t>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10" w:name="_Toc28359003"/>
      <w:bookmarkStart w:id="11" w:name="_Toc28359080"/>
      <w:bookmarkStart w:id="12" w:name="_Toc35393791"/>
      <w:bookmarkStart w:id="13" w:name="_Toc35393622"/>
      <w:r>
        <w:rPr>
          <w:rFonts w:ascii="Times New Roman" w:hAnsi="Times New Roman" w:eastAsia="宋体"/>
          <w:sz w:val="24"/>
          <w:szCs w:val="24"/>
        </w:rPr>
        <w:t>二、</w:t>
      </w:r>
      <w:r>
        <w:rPr>
          <w:rFonts w:ascii="Times New Roman" w:hAnsi="Times New Roman" w:eastAsia="宋体"/>
          <w:sz w:val="24"/>
          <w:szCs w:val="24"/>
          <w:highlight w:val="none"/>
        </w:rPr>
        <w:t>申请人的资格要求（须同时满足）</w:t>
      </w:r>
      <w:bookmarkEnd w:id="10"/>
      <w:bookmarkEnd w:id="11"/>
      <w:bookmarkEnd w:id="12"/>
      <w:bookmarkEnd w:id="13"/>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4" w:name="_Toc28359081"/>
      <w:bookmarkStart w:id="15"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 xml:space="preserve">□本项目专门面向 </w:t>
      </w:r>
      <w:r>
        <w:rPr>
          <w:rFonts w:hint="eastAsia"/>
          <w:sz w:val="24"/>
          <w:lang w:eastAsia="zh-CN"/>
        </w:rPr>
        <w:t>□</w:t>
      </w:r>
      <w:r>
        <w:rPr>
          <w:sz w:val="24"/>
        </w:rPr>
        <w:t xml:space="preserve">中小 </w:t>
      </w:r>
      <w:r>
        <w:rPr>
          <w:rFonts w:hint="eastAsia" w:ascii="宋体" w:hAnsi="宋体" w:cs="宋体"/>
          <w:sz w:val="24"/>
        </w:rPr>
        <w:t>■</w:t>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u w:val="none"/>
        </w:rPr>
        <w:t>：</w:t>
      </w:r>
      <w:bookmarkStart w:id="16" w:name="OLE_LINK11"/>
      <w:r>
        <w:rPr>
          <w:rFonts w:hint="eastAsia" w:asciiTheme="minorEastAsia" w:hAnsiTheme="minorEastAsia" w:eastAsiaTheme="minorEastAsia"/>
          <w:sz w:val="24"/>
          <w:highlight w:val="none"/>
          <w:u w:val="single"/>
          <w:lang w:eastAsia="zh-CN"/>
        </w:rPr>
        <w:t>供应商须提供公安机关颁发的《保安服务许可证》</w:t>
      </w:r>
      <w:bookmarkEnd w:id="16"/>
    </w:p>
    <w:bookmarkEnd w:id="14"/>
    <w:bookmarkEnd w:id="15"/>
    <w:p>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04</w:t>
      </w:r>
      <w:r>
        <w:rPr>
          <w:sz w:val="24"/>
          <w:lang w:bidi="ar"/>
        </w:rPr>
        <w:t>月</w:t>
      </w:r>
      <w:r>
        <w:rPr>
          <w:rFonts w:hint="eastAsia"/>
          <w:sz w:val="24"/>
          <w:lang w:val="en-US" w:eastAsia="zh-CN" w:bidi="ar"/>
        </w:rPr>
        <w:t>03</w:t>
      </w:r>
      <w:r>
        <w:rPr>
          <w:sz w:val="24"/>
          <w:lang w:bidi="ar"/>
        </w:rPr>
        <w:t>日至</w:t>
      </w:r>
      <w:r>
        <w:rPr>
          <w:rFonts w:hint="eastAsia"/>
          <w:sz w:val="24"/>
          <w:lang w:bidi="ar"/>
        </w:rPr>
        <w:t>2026</w:t>
      </w:r>
      <w:r>
        <w:rPr>
          <w:sz w:val="24"/>
          <w:lang w:bidi="ar"/>
        </w:rPr>
        <w:t>年</w:t>
      </w:r>
      <w:r>
        <w:rPr>
          <w:rFonts w:hint="eastAsia"/>
          <w:sz w:val="24"/>
          <w:lang w:val="en-US" w:eastAsia="zh-CN" w:bidi="ar"/>
        </w:rPr>
        <w:t>04</w:t>
      </w:r>
      <w:r>
        <w:rPr>
          <w:sz w:val="24"/>
          <w:lang w:bidi="ar"/>
        </w:rPr>
        <w:t>月</w:t>
      </w:r>
      <w:r>
        <w:rPr>
          <w:rFonts w:hint="eastAsia"/>
          <w:sz w:val="24"/>
          <w:lang w:val="en-US" w:eastAsia="zh-CN" w:bidi="ar"/>
        </w:rPr>
        <w:t>10</w:t>
      </w:r>
      <w:r>
        <w:rPr>
          <w:sz w:val="24"/>
          <w:lang w:bidi="ar"/>
        </w:rPr>
        <w:t>日，每天上午</w:t>
      </w:r>
      <w:r>
        <w:rPr>
          <w:rFonts w:hint="eastAsia" w:ascii="宋体" w:hAnsi="宋体" w:cs="宋体"/>
          <w:w w:val="105"/>
          <w:sz w:val="24"/>
          <w:u w:val="single"/>
        </w:rPr>
        <w:t xml:space="preserve"> 0:00</w:t>
      </w:r>
      <w:r>
        <w:rPr>
          <w:rFonts w:ascii="宋体" w:hAnsi="宋体" w:cs="宋体"/>
          <w:sz w:val="24"/>
        </w:rPr>
        <w:t>至</w:t>
      </w:r>
      <w:r>
        <w:rPr>
          <w:rFonts w:hint="eastAsia" w:ascii="宋体" w:hAnsi="宋体" w:cs="宋体"/>
          <w:w w:val="105"/>
          <w:sz w:val="24"/>
          <w:u w:val="single"/>
        </w:rPr>
        <w:t>12:00</w:t>
      </w:r>
      <w:r>
        <w:rPr>
          <w:sz w:val="24"/>
          <w:lang w:bidi="ar"/>
        </w:rPr>
        <w:t>，下午</w:t>
      </w:r>
      <w:r>
        <w:rPr>
          <w:rFonts w:hint="eastAsia" w:ascii="宋体" w:hAnsi="宋体" w:cs="宋体"/>
          <w:w w:val="105"/>
          <w:sz w:val="24"/>
          <w:u w:val="single"/>
        </w:rPr>
        <w:t>12：00</w:t>
      </w:r>
      <w:r>
        <w:rPr>
          <w:rFonts w:ascii="宋体" w:hAnsi="宋体" w:cs="宋体"/>
          <w:sz w:val="24"/>
        </w:rPr>
        <w:t>至</w:t>
      </w:r>
      <w:r>
        <w:rPr>
          <w:rFonts w:hint="eastAsia" w:ascii="宋体" w:hAnsi="宋体" w:cs="宋体"/>
          <w:w w:val="105"/>
          <w:sz w:val="24"/>
          <w:u w:val="single"/>
        </w:rPr>
        <w:t xml:space="preserve"> 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19" w:name="_Toc28359082"/>
      <w:bookmarkStart w:id="20" w:name="_Toc28359005"/>
      <w:bookmarkStart w:id="21" w:name="_Toc35393793"/>
      <w:bookmarkStart w:id="22" w:name="_Toc35393624"/>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pPr>
        <w:spacing w:line="360" w:lineRule="auto"/>
        <w:ind w:firstLine="480" w:firstLineChars="200"/>
        <w:rPr>
          <w:bCs/>
          <w:sz w:val="24"/>
          <w:u w:val="single"/>
        </w:rPr>
      </w:pPr>
      <w:r>
        <w:rPr>
          <w:sz w:val="24"/>
          <w:highlight w:val="none"/>
          <w:lang w:bidi="ar"/>
        </w:rPr>
        <w:t>投标截止时</w:t>
      </w:r>
      <w:r>
        <w:rPr>
          <w:sz w:val="24"/>
          <w:lang w:bidi="ar"/>
        </w:rPr>
        <w:t>间、开标时间：</w:t>
      </w:r>
      <w:r>
        <w:rPr>
          <w:rFonts w:hint="eastAsia"/>
          <w:sz w:val="24"/>
          <w:lang w:bidi="ar"/>
        </w:rPr>
        <w:t>2026</w:t>
      </w:r>
      <w:r>
        <w:rPr>
          <w:sz w:val="24"/>
          <w:lang w:bidi="ar"/>
        </w:rPr>
        <w:t>年</w:t>
      </w:r>
      <w:r>
        <w:rPr>
          <w:rFonts w:hint="eastAsia"/>
          <w:sz w:val="24"/>
          <w:lang w:val="en-US" w:eastAsia="zh-CN" w:bidi="ar"/>
        </w:rPr>
        <w:t xml:space="preserve"> 04</w:t>
      </w:r>
      <w:r>
        <w:rPr>
          <w:sz w:val="24"/>
          <w:lang w:bidi="ar"/>
        </w:rPr>
        <w:t>月</w:t>
      </w:r>
      <w:r>
        <w:rPr>
          <w:rFonts w:hint="eastAsia"/>
          <w:sz w:val="24"/>
          <w:lang w:val="en-US" w:eastAsia="zh-CN" w:bidi="ar"/>
        </w:rPr>
        <w:t>23</w:t>
      </w:r>
      <w:bookmarkStart w:id="926" w:name="_GoBack"/>
      <w:bookmarkEnd w:id="926"/>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r>
        <w:rPr>
          <w:rFonts w:hint="eastAsia" w:ascii="宋体" w:hAnsi="宋体" w:eastAsia="宋体" w:cs="宋体"/>
          <w:w w:val="105"/>
          <w:sz w:val="24"/>
          <w:szCs w:val="24"/>
          <w:u w:val="single"/>
          <w:lang w:eastAsia="zh-CN"/>
        </w:rPr>
        <w:t>北京市顺义区复兴东街</w:t>
      </w:r>
      <w:r>
        <w:rPr>
          <w:rFonts w:ascii="宋体" w:hAnsi="宋体" w:eastAsia="宋体" w:cs="宋体"/>
          <w:w w:val="105"/>
          <w:sz w:val="24"/>
          <w:szCs w:val="24"/>
          <w:u w:val="single"/>
          <w:lang w:eastAsia="zh-CN"/>
        </w:rPr>
        <w:t>3号院顺义区政务服务中心6号电梯厅二层</w:t>
      </w:r>
      <w:r>
        <w:rPr>
          <w:sz w:val="24"/>
          <w:lang w:val="zh-TW" w:bidi="ar"/>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3" w:name="_Toc28359007"/>
      <w:bookmarkStart w:id="24" w:name="_Toc35393794"/>
      <w:bookmarkStart w:id="25" w:name="_Toc35393625"/>
      <w:bookmarkStart w:id="26" w:name="_Toc28359084"/>
      <w:r>
        <w:rPr>
          <w:rFonts w:ascii="Times New Roman" w:hAnsi="Times New Roman" w:eastAsia="宋体"/>
          <w:sz w:val="24"/>
          <w:szCs w:val="24"/>
        </w:rPr>
        <w:t>五、公告期限</w:t>
      </w:r>
      <w:bookmarkEnd w:id="23"/>
      <w:bookmarkEnd w:id="24"/>
      <w:bookmarkEnd w:id="25"/>
      <w:bookmarkEnd w:id="26"/>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pPr>
        <w:spacing w:line="360" w:lineRule="auto"/>
        <w:ind w:firstLine="480" w:firstLineChars="200"/>
        <w:rPr>
          <w:sz w:val="24"/>
        </w:rPr>
      </w:pPr>
      <w:r>
        <w:rPr>
          <w:sz w:val="24"/>
        </w:rPr>
        <w:t>1.本项目需要落实的政府采购政策：</w:t>
      </w:r>
    </w:p>
    <w:p>
      <w:pPr>
        <w:wordWrap w:val="0"/>
        <w:spacing w:line="360" w:lineRule="auto"/>
        <w:ind w:firstLine="480" w:firstLineChars="200"/>
        <w:rPr>
          <w:rFonts w:ascii="宋体" w:hAnsi="宋体" w:cs="宋体"/>
          <w:sz w:val="24"/>
        </w:rPr>
      </w:pPr>
      <w:r>
        <w:rPr>
          <w:rFonts w:hint="eastAsia" w:ascii="宋体" w:hAnsi="宋体" w:cs="宋体"/>
          <w:sz w:val="24"/>
        </w:rPr>
        <w:t>1.1《关于调整优化节能产品、环境标志产品政府采购执行机制的通知》（财库〔2019〕9号）；</w:t>
      </w:r>
    </w:p>
    <w:p>
      <w:pPr>
        <w:wordWrap w:val="0"/>
        <w:spacing w:line="360" w:lineRule="auto"/>
        <w:ind w:firstLine="480" w:firstLineChars="200"/>
        <w:rPr>
          <w:rFonts w:ascii="宋体" w:hAnsi="宋体" w:cs="宋体"/>
          <w:sz w:val="24"/>
        </w:rPr>
      </w:pPr>
      <w:r>
        <w:rPr>
          <w:rFonts w:hint="eastAsia" w:ascii="宋体" w:hAnsi="宋体" w:cs="宋体"/>
          <w:sz w:val="24"/>
        </w:rPr>
        <w:t>1.2《财政部生态环境部关于印发《环境标志产品政府采购品目清单》的通知》（财库[2019]18号）；</w:t>
      </w:r>
    </w:p>
    <w:p>
      <w:pPr>
        <w:wordWrap w:val="0"/>
        <w:spacing w:line="360" w:lineRule="auto"/>
        <w:ind w:firstLine="480" w:firstLineChars="200"/>
        <w:rPr>
          <w:rFonts w:ascii="宋体" w:hAnsi="宋体" w:cs="宋体"/>
          <w:sz w:val="24"/>
        </w:rPr>
      </w:pPr>
      <w:r>
        <w:rPr>
          <w:rFonts w:hint="eastAsia" w:ascii="宋体" w:hAnsi="宋体" w:cs="宋体"/>
          <w:sz w:val="24"/>
        </w:rPr>
        <w:t>1.3《财政部发展改革委关于印发《节能产品政府采购品目清单》的通知》（财库[2019]19号）；</w:t>
      </w:r>
    </w:p>
    <w:p>
      <w:pPr>
        <w:wordWrap w:val="0"/>
        <w:spacing w:line="360" w:lineRule="auto"/>
        <w:ind w:firstLine="480" w:firstLineChars="200"/>
        <w:rPr>
          <w:rFonts w:ascii="宋体" w:hAnsi="宋体" w:cs="宋体"/>
          <w:sz w:val="24"/>
        </w:rPr>
      </w:pPr>
      <w:r>
        <w:rPr>
          <w:rFonts w:hint="eastAsia" w:ascii="宋体" w:hAnsi="宋体" w:cs="宋体"/>
          <w:sz w:val="24"/>
        </w:rPr>
        <w:t>1.4执行《财政部关于开展政府采购信用担保试点工作方案》（财库[2011]124号）；</w:t>
      </w:r>
    </w:p>
    <w:p>
      <w:pPr>
        <w:wordWrap w:val="0"/>
        <w:spacing w:line="360" w:lineRule="auto"/>
        <w:ind w:firstLine="480" w:firstLineChars="200"/>
        <w:rPr>
          <w:rFonts w:ascii="宋体" w:hAnsi="宋体" w:cs="宋体"/>
          <w:sz w:val="24"/>
        </w:rPr>
      </w:pPr>
      <w:r>
        <w:rPr>
          <w:rFonts w:hint="eastAsia" w:ascii="宋体" w:hAnsi="宋体" w:cs="宋体"/>
          <w:sz w:val="24"/>
        </w:rPr>
        <w:t>1.5执行《财政部、司法部关于政府采购支持监狱企业发展有关问题的通知》（财库[2014]68号）；</w:t>
      </w:r>
    </w:p>
    <w:p>
      <w:pPr>
        <w:wordWrap w:val="0"/>
        <w:spacing w:line="360" w:lineRule="auto"/>
        <w:ind w:firstLine="480" w:firstLineChars="200"/>
        <w:rPr>
          <w:rFonts w:ascii="宋体" w:hAnsi="宋体" w:cs="宋体"/>
          <w:sz w:val="24"/>
        </w:rPr>
      </w:pPr>
      <w:r>
        <w:rPr>
          <w:rFonts w:hint="eastAsia" w:ascii="宋体" w:hAnsi="宋体" w:cs="宋体"/>
          <w:sz w:val="24"/>
        </w:rPr>
        <w:t>1.6执行《关于促进残疾人就业政府采购政策的通知》（财库〔2017〕141号）；</w:t>
      </w:r>
    </w:p>
    <w:p>
      <w:pPr>
        <w:wordWrap w:val="0"/>
        <w:spacing w:line="360" w:lineRule="auto"/>
        <w:ind w:firstLine="480" w:firstLineChars="200"/>
        <w:rPr>
          <w:rFonts w:ascii="宋体" w:hAnsi="宋体" w:cs="宋体"/>
          <w:sz w:val="24"/>
        </w:rPr>
      </w:pPr>
      <w:r>
        <w:rPr>
          <w:rFonts w:hint="eastAsia" w:ascii="宋体" w:hAnsi="宋体" w:cs="宋体"/>
          <w:sz w:val="24"/>
        </w:rPr>
        <w:t>1.7执行《财政部关于在政府采购活动中查询及使用信用记录有关问题的通知》（财库[2016]125号）；</w:t>
      </w:r>
    </w:p>
    <w:p>
      <w:pPr>
        <w:wordWrap w:val="0"/>
        <w:spacing w:line="360" w:lineRule="auto"/>
        <w:ind w:firstLine="480" w:firstLineChars="200"/>
        <w:rPr>
          <w:rFonts w:ascii="宋体" w:hAnsi="宋体" w:cs="宋体"/>
        </w:rPr>
      </w:pPr>
      <w:r>
        <w:rPr>
          <w:rFonts w:hint="eastAsia" w:ascii="宋体" w:hAnsi="宋体" w:cs="宋体"/>
          <w:sz w:val="24"/>
        </w:rPr>
        <w:t>1.8财政部、工业和信息化部关于印发《政府采购促进中小企业发展管理办法》的通知财库〔2020〕46号。</w:t>
      </w:r>
    </w:p>
    <w:p>
      <w:pPr>
        <w:widowControl/>
        <w:adjustRightInd w:val="0"/>
        <w:snapToGrid w:val="0"/>
        <w:spacing w:line="360" w:lineRule="auto"/>
        <w:ind w:firstLine="480" w:firstLineChars="200"/>
        <w:jc w:val="left"/>
        <w:rPr>
          <w:sz w:val="24"/>
        </w:rPr>
      </w:pPr>
      <w:r>
        <w:rPr>
          <w:sz w:val="24"/>
          <w:lang w:bidi="ar"/>
        </w:rPr>
        <w:t>2.</w:t>
      </w:r>
      <w:r>
        <w:rPr>
          <w:rFonts w:hint="eastAsia"/>
          <w:sz w:val="24"/>
          <w:lang w:bidi="ar"/>
        </w:rPr>
        <w:t>本公告在中国政府采购网（</w:t>
      </w:r>
      <w:r>
        <w:rPr>
          <w:sz w:val="24"/>
          <w:lang w:bidi="ar"/>
        </w:rPr>
        <w:t>http://www.ccgp.gov.cn）、北京市政府采购网（http://www.ccgp-beijing.gov.cn）上发布。</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tabs>
          <w:tab w:val="left" w:pos="1041"/>
        </w:tabs>
        <w:wordWrap w:val="0"/>
        <w:spacing w:before="38"/>
        <w:ind w:firstLine="600" w:firstLineChars="250"/>
        <w:rPr>
          <w:rFonts w:ascii="宋体" w:hAnsi="宋体" w:eastAsia="宋体" w:cs="宋体"/>
          <w:sz w:val="24"/>
          <w:lang w:eastAsia="zh-CN"/>
        </w:rPr>
      </w:pPr>
      <w:r>
        <w:rPr>
          <w:rFonts w:hint="eastAsia" w:ascii="宋体" w:hAnsi="宋体" w:eastAsia="宋体" w:cs="宋体"/>
          <w:sz w:val="24"/>
          <w:lang w:eastAsia="zh-CN"/>
        </w:rPr>
        <w:t>4.供应商参加开标会的代表人须出示本人身份证（非法定代表人时还须提供与《投标文件》中一致的《法定代表人授权书》）。</w:t>
      </w:r>
    </w:p>
    <w:p>
      <w:pPr>
        <w:spacing w:line="360" w:lineRule="auto"/>
        <w:rPr>
          <w:sz w:val="24"/>
        </w:rPr>
      </w:pPr>
    </w:p>
    <w:p>
      <w:pPr>
        <w:pStyle w:val="4"/>
        <w:spacing w:before="0" w:line="360" w:lineRule="auto"/>
        <w:jc w:val="left"/>
        <w:rPr>
          <w:rFonts w:ascii="Times New Roman" w:hAnsi="Times New Roman" w:eastAsia="宋体"/>
          <w:sz w:val="24"/>
          <w:szCs w:val="24"/>
        </w:rPr>
      </w:pPr>
      <w:bookmarkStart w:id="29" w:name="_Toc28359085"/>
      <w:bookmarkStart w:id="30" w:name="_Toc35393627"/>
      <w:bookmarkStart w:id="31" w:name="_Toc28359008"/>
      <w:bookmarkStart w:id="32" w:name="_Toc35393796"/>
      <w:r>
        <w:rPr>
          <w:rFonts w:ascii="Times New Roman" w:hAnsi="Times New Roman" w:eastAsia="宋体"/>
          <w:sz w:val="24"/>
          <w:szCs w:val="24"/>
        </w:rPr>
        <w:t>七、</w:t>
      </w:r>
      <w:r>
        <w:rPr>
          <w:rFonts w:ascii="Times New Roman" w:hAnsi="Times New Roman" w:eastAsia="宋体"/>
          <w:sz w:val="24"/>
          <w:szCs w:val="24"/>
          <w:highlight w:val="none"/>
        </w:rPr>
        <w:t>对本次招标提出询问，请按以下方式联系。</w:t>
      </w:r>
      <w:bookmarkEnd w:id="29"/>
      <w:bookmarkEnd w:id="30"/>
      <w:bookmarkEnd w:id="31"/>
      <w:bookmarkEnd w:id="32"/>
    </w:p>
    <w:p>
      <w:pPr>
        <w:spacing w:line="360" w:lineRule="auto"/>
        <w:ind w:left="1080" w:leftChars="371" w:hanging="301" w:hangingChars="125"/>
        <w:jc w:val="left"/>
        <w:rPr>
          <w:b/>
          <w:sz w:val="24"/>
        </w:rPr>
      </w:pPr>
      <w:r>
        <w:rPr>
          <w:b/>
          <w:sz w:val="24"/>
        </w:rPr>
        <w:t>1.采购人信息</w:t>
      </w:r>
    </w:p>
    <w:p>
      <w:pPr>
        <w:tabs>
          <w:tab w:val="left" w:pos="9214"/>
        </w:tabs>
        <w:wordWrap w:val="0"/>
        <w:spacing w:before="134" w:line="357" w:lineRule="auto"/>
        <w:ind w:left="899" w:right="238"/>
        <w:rPr>
          <w:rFonts w:hint="eastAsia" w:ascii="宋体" w:hAnsi="宋体" w:eastAsia="宋体" w:cs="宋体"/>
          <w:sz w:val="24"/>
          <w:u w:val="single"/>
          <w:lang w:eastAsia="zh-CN"/>
        </w:rPr>
      </w:pPr>
      <w:bookmarkStart w:id="33" w:name="_Toc28359086"/>
      <w:bookmarkStart w:id="34" w:name="_Toc28359009"/>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sz w:val="24"/>
          <w:u w:val="single"/>
          <w:lang w:eastAsia="zh-CN"/>
        </w:rPr>
        <w:t>北京市顺义区空港医院</w:t>
      </w:r>
    </w:p>
    <w:p>
      <w:pPr>
        <w:tabs>
          <w:tab w:val="left" w:pos="8789"/>
        </w:tabs>
        <w:wordWrap w:val="0"/>
        <w:spacing w:before="134" w:line="357" w:lineRule="auto"/>
        <w:ind w:left="899" w:right="379"/>
        <w:rPr>
          <w:rFonts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北京市顺义区</w:t>
      </w:r>
    </w:p>
    <w:p>
      <w:pPr>
        <w:wordWrap w:val="0"/>
        <w:spacing w:before="151"/>
        <w:ind w:left="899"/>
        <w:rPr>
          <w:rFonts w:hint="default" w:ascii="宋体" w:hAnsi="宋体" w:cs="宋体"/>
          <w:w w:val="105"/>
          <w:u w:val="single"/>
          <w:lang w:val="en-US"/>
        </w:rPr>
      </w:pPr>
      <w:r>
        <w:rPr>
          <w:rFonts w:ascii="宋体" w:hAnsi="宋体" w:cs="宋体"/>
          <w:sz w:val="24"/>
        </w:rPr>
        <w:t>联系方式：</w:t>
      </w:r>
      <w:r>
        <w:rPr>
          <w:rFonts w:hint="eastAsia" w:ascii="宋体" w:hAnsi="宋体" w:cs="宋体"/>
          <w:sz w:val="24"/>
          <w:u w:val="single"/>
          <w:lang w:val="en-US" w:eastAsia="zh-CN"/>
        </w:rPr>
        <w:t>刘永强/010-80482368</w:t>
      </w:r>
    </w:p>
    <w:p>
      <w:pPr>
        <w:spacing w:line="360" w:lineRule="auto"/>
        <w:ind w:left="1080" w:leftChars="371" w:hanging="301" w:hangingChars="125"/>
        <w:jc w:val="left"/>
        <w:rPr>
          <w:b/>
          <w:sz w:val="24"/>
        </w:rPr>
      </w:pPr>
      <w:r>
        <w:rPr>
          <w:b/>
          <w:sz w:val="24"/>
        </w:rPr>
        <w:t>2.采购代理机构信息</w:t>
      </w:r>
      <w:bookmarkEnd w:id="33"/>
      <w:bookmarkEnd w:id="34"/>
    </w:p>
    <w:p>
      <w:pPr>
        <w:tabs>
          <w:tab w:val="left" w:pos="9214"/>
        </w:tabs>
        <w:wordWrap w:val="0"/>
        <w:spacing w:before="134" w:line="357" w:lineRule="auto"/>
        <w:ind w:left="899" w:right="238"/>
        <w:rPr>
          <w:rFonts w:ascii="宋体" w:hAnsi="宋体" w:cs="宋体"/>
          <w:sz w:val="24"/>
          <w:u w:val="single"/>
        </w:rPr>
      </w:pPr>
      <w:bookmarkStart w:id="35" w:name="_Toc28359087"/>
      <w:bookmarkStart w:id="36" w:name="_Toc28359010"/>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w w:val="105"/>
          <w:sz w:val="24"/>
          <w:u w:val="single"/>
        </w:rPr>
        <w:t>北京招竣建设工程咨询有限公司</w:t>
      </w:r>
    </w:p>
    <w:p>
      <w:pPr>
        <w:tabs>
          <w:tab w:val="left" w:pos="8789"/>
        </w:tabs>
        <w:wordWrap w:val="0"/>
        <w:spacing w:before="134" w:line="357" w:lineRule="auto"/>
        <w:ind w:left="899" w:right="379"/>
        <w:rPr>
          <w:rFonts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北京市顺义区顺通路西侧仓上小区商业服务楼2号</w:t>
      </w:r>
    </w:p>
    <w:p>
      <w:pPr>
        <w:tabs>
          <w:tab w:val="left" w:pos="8647"/>
        </w:tabs>
        <w:wordWrap w:val="0"/>
        <w:spacing w:before="134" w:line="357" w:lineRule="auto"/>
        <w:ind w:left="899" w:right="521"/>
        <w:rPr>
          <w:rFonts w:hint="default" w:ascii="宋体" w:hAnsi="宋体" w:eastAsia="宋体" w:cs="宋体"/>
          <w:sz w:val="24"/>
          <w:lang w:val="en-US" w:eastAsia="zh-CN"/>
        </w:rPr>
      </w:pPr>
      <w:r>
        <w:rPr>
          <w:rFonts w:ascii="宋体" w:hAnsi="宋体" w:cs="宋体"/>
          <w:sz w:val="24"/>
        </w:rPr>
        <w:t>联系方式：</w:t>
      </w:r>
      <w:r>
        <w:rPr>
          <w:rFonts w:hint="eastAsia" w:ascii="宋体" w:hAnsi="宋体" w:cs="宋体"/>
          <w:w w:val="105"/>
          <w:sz w:val="24"/>
          <w:u w:val="single"/>
          <w:lang w:val="en-US" w:eastAsia="zh-CN"/>
        </w:rPr>
        <w:t>西冠嘉</w:t>
      </w:r>
      <w:r>
        <w:rPr>
          <w:rFonts w:ascii="宋体" w:hAnsi="宋体" w:cs="宋体"/>
          <w:w w:val="105"/>
          <w:sz w:val="24"/>
          <w:u w:val="single"/>
        </w:rPr>
        <w:t>/010-</w:t>
      </w:r>
      <w:r>
        <w:rPr>
          <w:rFonts w:hint="eastAsia" w:ascii="宋体" w:hAnsi="宋体" w:cs="宋体"/>
          <w:w w:val="105"/>
          <w:sz w:val="24"/>
          <w:u w:val="single"/>
          <w:lang w:val="en-US" w:eastAsia="zh-CN"/>
        </w:rPr>
        <w:t>69409202</w:t>
      </w:r>
    </w:p>
    <w:p>
      <w:pPr>
        <w:spacing w:line="360" w:lineRule="auto"/>
        <w:ind w:left="1080" w:leftChars="371" w:hanging="301" w:hangingChars="125"/>
        <w:jc w:val="left"/>
        <w:rPr>
          <w:b/>
          <w:sz w:val="24"/>
          <w:u w:val="single"/>
        </w:rPr>
      </w:pPr>
      <w:r>
        <w:rPr>
          <w:b/>
          <w:sz w:val="24"/>
        </w:rPr>
        <w:t>3.项目联系方式</w:t>
      </w:r>
      <w:bookmarkEnd w:id="35"/>
      <w:bookmarkEnd w:id="36"/>
    </w:p>
    <w:p>
      <w:pPr>
        <w:tabs>
          <w:tab w:val="left" w:pos="1859"/>
          <w:tab w:val="left" w:pos="3711"/>
        </w:tabs>
        <w:wordWrap w:val="0"/>
        <w:spacing w:before="132" w:line="357" w:lineRule="auto"/>
        <w:ind w:left="899" w:right="5593"/>
        <w:rPr>
          <w:rFonts w:ascii="宋体" w:hAnsi="宋体" w:cs="宋体"/>
          <w:w w:val="105"/>
          <w:sz w:val="24"/>
          <w:u w:val="single"/>
        </w:rPr>
      </w:pPr>
      <w:r>
        <w:rPr>
          <w:rFonts w:ascii="宋体" w:hAnsi="宋体" w:cs="宋体"/>
          <w:sz w:val="24"/>
        </w:rPr>
        <w:t>项目联系人：</w:t>
      </w:r>
      <w:r>
        <w:rPr>
          <w:rFonts w:hint="eastAsia" w:ascii="宋体" w:hAnsi="宋体" w:cs="宋体"/>
          <w:w w:val="105"/>
          <w:sz w:val="24"/>
          <w:u w:val="single"/>
          <w:lang w:val="en-US" w:eastAsia="zh-CN"/>
        </w:rPr>
        <w:t>西冠嘉</w:t>
      </w:r>
    </w:p>
    <w:p>
      <w:pPr>
        <w:tabs>
          <w:tab w:val="left" w:pos="1859"/>
        </w:tabs>
        <w:wordWrap w:val="0"/>
        <w:spacing w:before="132" w:line="357" w:lineRule="auto"/>
        <w:ind w:left="899" w:right="805"/>
        <w:rPr>
          <w:rFonts w:hint="default" w:ascii="宋体" w:hAnsi="宋体" w:cs="宋体"/>
          <w:w w:val="105"/>
          <w:sz w:val="24"/>
          <w:u w:val="single"/>
          <w:lang w:val="en-US"/>
        </w:rPr>
      </w:pPr>
      <w:r>
        <w:rPr>
          <w:rFonts w:ascii="宋体" w:hAnsi="宋体" w:cs="宋体"/>
          <w:sz w:val="24"/>
        </w:rPr>
        <w:t>电     话：</w:t>
      </w:r>
      <w:r>
        <w:rPr>
          <w:rFonts w:ascii="宋体" w:hAnsi="宋体" w:cs="宋体"/>
          <w:w w:val="105"/>
          <w:sz w:val="24"/>
          <w:u w:val="single"/>
        </w:rPr>
        <w:t>010-</w:t>
      </w:r>
      <w:r>
        <w:rPr>
          <w:rFonts w:hint="eastAsia" w:ascii="宋体" w:hAnsi="宋体" w:cs="宋体"/>
          <w:w w:val="105"/>
          <w:sz w:val="24"/>
          <w:u w:val="single"/>
          <w:lang w:val="en-US" w:eastAsia="zh-CN"/>
        </w:rPr>
        <w:t>69409202</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7" w:name="_Toc353825548"/>
      <w:bookmarkStart w:id="38" w:name="_Toc264969275"/>
      <w:bookmarkStart w:id="39" w:name="_Toc265228423"/>
      <w:bookmarkStart w:id="40" w:name="_Toc353873938"/>
      <w:bookmarkStart w:id="41" w:name="_Toc305158928"/>
      <w:bookmarkStart w:id="42" w:name="_Toc150774783"/>
      <w:bookmarkStart w:id="43" w:name="_Toc127161488"/>
      <w:bookmarkStart w:id="44" w:name="_Toc226965856"/>
      <w:bookmarkStart w:id="45" w:name="_Toc512937850"/>
      <w:bookmarkStart w:id="46" w:name="_Toc7671"/>
      <w:bookmarkStart w:id="47" w:name="_Toc305158854"/>
      <w:bookmarkStart w:id="48" w:name="_Toc195842950"/>
      <w:bookmarkStart w:id="49" w:name="_Toc127151777"/>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pPr>
        <w:pStyle w:val="4"/>
        <w:tabs>
          <w:tab w:val="center" w:pos="4592"/>
          <w:tab w:val="left" w:pos="7860"/>
        </w:tabs>
        <w:spacing w:before="0" w:line="360" w:lineRule="auto"/>
        <w:rPr>
          <w:rFonts w:ascii="Times New Roman" w:hAnsi="Times New Roman" w:eastAsia="宋体"/>
          <w:sz w:val="28"/>
        </w:rPr>
      </w:pPr>
      <w:bookmarkStart w:id="50" w:name="_Toc151193689"/>
      <w:bookmarkStart w:id="51" w:name="_Toc149720812"/>
      <w:bookmarkStart w:id="52" w:name="_Toc151193833"/>
      <w:bookmarkStart w:id="53" w:name="_Toc151193617"/>
      <w:bookmarkStart w:id="54" w:name="_Toc164351613"/>
      <w:bookmarkStart w:id="55" w:name="_Toc226309763"/>
      <w:bookmarkStart w:id="56" w:name="_Toc164229214"/>
      <w:bookmarkStart w:id="57" w:name="_Toc151193907"/>
      <w:bookmarkStart w:id="58" w:name="_Toc151190146"/>
      <w:bookmarkStart w:id="59" w:name="_Toc127151720"/>
      <w:bookmarkStart w:id="60" w:name="_Toc226337215"/>
      <w:bookmarkStart w:id="61" w:name="_Toc164608788"/>
      <w:bookmarkStart w:id="62" w:name="_Toc520356144"/>
      <w:bookmarkStart w:id="63" w:name="_Toc150774724"/>
      <w:bookmarkStart w:id="64" w:name="_Toc195842884"/>
      <w:bookmarkStart w:id="65" w:name="_Toc150480757"/>
      <w:bookmarkStart w:id="66" w:name="_Toc151193761"/>
      <w:bookmarkStart w:id="67" w:name="_Toc226965792"/>
      <w:bookmarkStart w:id="68" w:name="_Toc164608633"/>
      <w:bookmarkStart w:id="69" w:name="_Toc150774619"/>
      <w:bookmarkStart w:id="70" w:name="_Toc164229360"/>
      <w:bookmarkStart w:id="71" w:name="_Toc226965709"/>
      <w:bookmarkStart w:id="72" w:name="_Toc127161433"/>
      <w:bookmarkStart w:id="73" w:name="_Toc150509270"/>
      <w:bookmarkStart w:id="74" w:name="_Toc127151519"/>
      <w:bookmarkStart w:id="75" w:name="_Toc142311021"/>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3"/>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34"/>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834" w:type="dxa"/>
            <w:vAlign w:val="center"/>
          </w:tcPr>
          <w:p>
            <w:pPr>
              <w:jc w:val="center"/>
              <w:rPr>
                <w:b/>
                <w:bCs/>
                <w:sz w:val="24"/>
              </w:rPr>
            </w:pPr>
            <w:r>
              <w:rPr>
                <w:b/>
                <w:bCs/>
                <w:sz w:val="24"/>
              </w:rPr>
              <w:t>条目</w:t>
            </w:r>
          </w:p>
        </w:tc>
        <w:tc>
          <w:tcPr>
            <w:tcW w:w="7407"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834" w:type="dxa"/>
            <w:vAlign w:val="center"/>
          </w:tcPr>
          <w:p>
            <w:pPr>
              <w:jc w:val="center"/>
              <w:rPr>
                <w:sz w:val="24"/>
              </w:rPr>
            </w:pPr>
            <w:r>
              <w:rPr>
                <w:sz w:val="24"/>
              </w:rPr>
              <w:t>项目属性</w:t>
            </w:r>
          </w:p>
        </w:tc>
        <w:tc>
          <w:tcPr>
            <w:tcW w:w="7407" w:type="dxa"/>
            <w:vAlign w:val="center"/>
          </w:tcPr>
          <w:p>
            <w:pPr>
              <w:jc w:val="left"/>
              <w:rPr>
                <w:sz w:val="24"/>
              </w:rPr>
            </w:pPr>
            <w:r>
              <w:rPr>
                <w:sz w:val="24"/>
              </w:rPr>
              <w:t>项目属性：</w:t>
            </w:r>
          </w:p>
          <w:p>
            <w:pPr>
              <w:jc w:val="left"/>
              <w:rPr>
                <w:sz w:val="24"/>
              </w:rPr>
            </w:pPr>
            <w:r>
              <w:rPr>
                <w:rFonts w:ascii="宋体" w:hAnsi="宋体" w:cs="宋体"/>
              </w:rPr>
              <w:t>■</w:t>
            </w: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834" w:type="dxa"/>
            <w:vAlign w:val="center"/>
          </w:tcPr>
          <w:p>
            <w:pPr>
              <w:jc w:val="center"/>
              <w:rPr>
                <w:sz w:val="24"/>
              </w:rPr>
            </w:pPr>
            <w:r>
              <w:rPr>
                <w:sz w:val="24"/>
              </w:rPr>
              <w:t>科研仪器设备</w:t>
            </w:r>
          </w:p>
        </w:tc>
        <w:tc>
          <w:tcPr>
            <w:tcW w:w="7407"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ascii="宋体" w:hAnsi="宋体" w:cs="宋体"/>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834" w:type="dxa"/>
            <w:vAlign w:val="center"/>
          </w:tcPr>
          <w:p>
            <w:pPr>
              <w:jc w:val="center"/>
              <w:rPr>
                <w:sz w:val="24"/>
              </w:rPr>
            </w:pPr>
            <w:r>
              <w:rPr>
                <w:sz w:val="24"/>
              </w:rPr>
              <w:t>核心产品</w:t>
            </w:r>
          </w:p>
        </w:tc>
        <w:tc>
          <w:tcPr>
            <w:tcW w:w="7407" w:type="dxa"/>
            <w:vAlign w:val="center"/>
          </w:tcPr>
          <w:p>
            <w:pPr>
              <w:pStyle w:val="23"/>
              <w:adjustRightInd w:val="0"/>
              <w:snapToGrid w:val="0"/>
              <w:rPr>
                <w:rFonts w:hint="default" w:ascii="Times New Roman" w:hAnsi="Times New Roman"/>
                <w:sz w:val="24"/>
                <w:szCs w:val="24"/>
              </w:rPr>
            </w:pPr>
            <w:r>
              <w:rPr>
                <w:rFonts w:hAnsi="宋体" w:cs="宋体"/>
              </w:rPr>
              <w:t>■</w:t>
            </w:r>
            <w:r>
              <w:rPr>
                <w:rFonts w:hint="default" w:ascii="Times New Roman" w:hAnsi="Times New Roman"/>
                <w:sz w:val="24"/>
                <w:szCs w:val="24"/>
              </w:rPr>
              <w:t>关于核心产品本项目不适用。</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834" w:type="dxa"/>
            <w:vAlign w:val="center"/>
          </w:tcPr>
          <w:p>
            <w:pPr>
              <w:jc w:val="center"/>
              <w:rPr>
                <w:sz w:val="24"/>
              </w:rPr>
            </w:pPr>
            <w:r>
              <w:rPr>
                <w:sz w:val="24"/>
              </w:rPr>
              <w:t>现场考察</w:t>
            </w:r>
          </w:p>
        </w:tc>
        <w:tc>
          <w:tcPr>
            <w:tcW w:w="7407" w:type="dxa"/>
            <w:vAlign w:val="center"/>
          </w:tcPr>
          <w:p>
            <w:pPr>
              <w:jc w:val="left"/>
              <w:rPr>
                <w:sz w:val="24"/>
              </w:rPr>
            </w:pPr>
            <w:r>
              <w:rPr>
                <w:rFonts w:ascii="宋体" w:hAnsi="宋体" w:cs="宋体"/>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834" w:type="dxa"/>
            <w:vAlign w:val="center"/>
          </w:tcPr>
          <w:p>
            <w:pPr>
              <w:jc w:val="center"/>
              <w:rPr>
                <w:sz w:val="24"/>
              </w:rPr>
            </w:pPr>
            <w:r>
              <w:rPr>
                <w:sz w:val="24"/>
              </w:rPr>
              <w:t>开标前答疑会</w:t>
            </w:r>
          </w:p>
        </w:tc>
        <w:tc>
          <w:tcPr>
            <w:tcW w:w="7407" w:type="dxa"/>
            <w:vAlign w:val="center"/>
          </w:tcPr>
          <w:p>
            <w:pPr>
              <w:jc w:val="left"/>
              <w:rPr>
                <w:sz w:val="24"/>
              </w:rPr>
            </w:pPr>
            <w:r>
              <w:rPr>
                <w:rFonts w:ascii="宋体" w:hAnsi="宋体" w:cs="宋体"/>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834" w:type="dxa"/>
            <w:vAlign w:val="center"/>
          </w:tcPr>
          <w:p>
            <w:pPr>
              <w:jc w:val="center"/>
              <w:rPr>
                <w:sz w:val="24"/>
              </w:rPr>
            </w:pPr>
            <w:r>
              <w:rPr>
                <w:sz w:val="24"/>
              </w:rPr>
              <w:t>样品</w:t>
            </w:r>
          </w:p>
        </w:tc>
        <w:tc>
          <w:tcPr>
            <w:tcW w:w="7407" w:type="dxa"/>
            <w:vAlign w:val="center"/>
          </w:tcPr>
          <w:p>
            <w:pPr>
              <w:jc w:val="left"/>
              <w:rPr>
                <w:sz w:val="24"/>
              </w:rPr>
            </w:pPr>
            <w:r>
              <w:rPr>
                <w:sz w:val="24"/>
              </w:rPr>
              <w:t>投标样品递交：</w:t>
            </w:r>
          </w:p>
          <w:p>
            <w:pPr>
              <w:jc w:val="left"/>
              <w:rPr>
                <w:sz w:val="24"/>
              </w:rPr>
            </w:pPr>
            <w:r>
              <w:rPr>
                <w:rFonts w:ascii="宋体" w:hAnsi="宋体" w:cs="宋体"/>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wordWrap w:val="0"/>
              <w:jc w:val="center"/>
              <w:rPr>
                <w:sz w:val="24"/>
              </w:rPr>
            </w:pPr>
            <w:r>
              <w:rPr>
                <w:sz w:val="24"/>
              </w:rPr>
              <w:t>5.1</w:t>
            </w:r>
          </w:p>
        </w:tc>
        <w:tc>
          <w:tcPr>
            <w:tcW w:w="1834" w:type="dxa"/>
            <w:vAlign w:val="center"/>
          </w:tcPr>
          <w:p>
            <w:pPr>
              <w:wordWrap w:val="0"/>
              <w:jc w:val="center"/>
              <w:rPr>
                <w:sz w:val="24"/>
              </w:rPr>
            </w:pPr>
            <w:r>
              <w:rPr>
                <w:rFonts w:ascii="宋体" w:hAnsi="宋体" w:cs="宋体"/>
                <w:sz w:val="24"/>
              </w:rPr>
              <w:t>本项目</w:t>
            </w:r>
            <w:r>
              <w:rPr>
                <w:rFonts w:hint="eastAsia" w:ascii="宋体" w:hAnsi="宋体" w:cs="宋体"/>
                <w:sz w:val="24"/>
                <w:lang w:val="en-US" w:eastAsia="zh-CN"/>
              </w:rPr>
              <w:t>属于</w:t>
            </w:r>
            <w:r>
              <w:rPr>
                <w:rFonts w:hint="eastAsia" w:ascii="宋体" w:hAnsi="宋体" w:cs="宋体"/>
                <w:sz w:val="24"/>
              </w:rPr>
              <w:t>货物</w:t>
            </w:r>
            <w:r>
              <w:rPr>
                <w:rFonts w:hint="eastAsia" w:ascii="宋体" w:hAnsi="宋体" w:cs="宋体"/>
                <w:sz w:val="24"/>
                <w:lang w:val="en-US" w:eastAsia="zh-CN"/>
              </w:rPr>
              <w:t>采购，</w:t>
            </w:r>
            <w:r>
              <w:rPr>
                <w:rFonts w:eastAsiaTheme="minorEastAsia"/>
                <w:bCs/>
                <w:sz w:val="24"/>
              </w:rPr>
              <w:t>是否接受进口产品。</w:t>
            </w:r>
          </w:p>
        </w:tc>
        <w:tc>
          <w:tcPr>
            <w:tcW w:w="7407" w:type="dxa"/>
            <w:vAlign w:val="center"/>
          </w:tcPr>
          <w:p>
            <w:pPr>
              <w:wordWrap w:val="0"/>
              <w:rPr>
                <w:rFonts w:ascii="宋体" w:hAnsi="宋体" w:cs="宋体"/>
                <w:sz w:val="24"/>
              </w:rPr>
            </w:pPr>
            <w:r>
              <w:rPr>
                <w:rFonts w:ascii="宋体" w:hAnsi="宋体" w:cs="宋体"/>
                <w:sz w:val="24"/>
              </w:rPr>
              <w:t>□</w:t>
            </w:r>
            <w:r>
              <w:rPr>
                <w:rFonts w:hint="eastAsia" w:ascii="宋体" w:hAnsi="宋体" w:cs="宋体"/>
                <w:sz w:val="24"/>
              </w:rPr>
              <w:t>是</w:t>
            </w:r>
          </w:p>
          <w:p>
            <w:pPr>
              <w:spacing w:line="360" w:lineRule="auto"/>
              <w:contextualSpacing/>
              <w:rPr>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834" w:type="dxa"/>
            <w:vAlign w:val="center"/>
          </w:tcPr>
          <w:p>
            <w:pPr>
              <w:jc w:val="center"/>
              <w:rPr>
                <w:sz w:val="24"/>
              </w:rPr>
            </w:pPr>
            <w:r>
              <w:rPr>
                <w:sz w:val="24"/>
              </w:rPr>
              <w:t>标的所属行业</w:t>
            </w:r>
          </w:p>
        </w:tc>
        <w:tc>
          <w:tcPr>
            <w:tcW w:w="7407" w:type="dxa"/>
            <w:vAlign w:val="center"/>
          </w:tcPr>
          <w:p>
            <w:pPr>
              <w:jc w:val="left"/>
              <w:rPr>
                <w:sz w:val="24"/>
              </w:rPr>
            </w:pPr>
            <w:r>
              <w:rPr>
                <w:sz w:val="24"/>
              </w:rPr>
              <w:t>本项目采购标的对应的中小企业划分标准所属行业：</w:t>
            </w:r>
          </w:p>
          <w:tbl>
            <w:tblPr>
              <w:tblStyle w:val="43"/>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56"/>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85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3182"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bCs/>
                      <w:sz w:val="24"/>
                    </w:rPr>
                  </w:pPr>
                  <w:r>
                    <w:rPr>
                      <w:rFonts w:hint="eastAsia" w:ascii="宋体" w:hAnsi="宋体" w:cs="宋体"/>
                      <w:sz w:val="24"/>
                    </w:rPr>
                    <w:t>1</w:t>
                  </w:r>
                </w:p>
              </w:tc>
              <w:tc>
                <w:tcPr>
                  <w:tcW w:w="2856" w:type="dxa"/>
                  <w:tcBorders>
                    <w:top w:val="single" w:color="auto" w:sz="4" w:space="0"/>
                    <w:left w:val="single" w:color="auto" w:sz="4" w:space="0"/>
                    <w:bottom w:val="single" w:color="auto" w:sz="4" w:space="0"/>
                    <w:right w:val="single" w:color="auto" w:sz="4" w:space="0"/>
                  </w:tcBorders>
                  <w:vAlign w:val="center"/>
                </w:tcPr>
                <w:p>
                  <w:pPr>
                    <w:wordWrap w:val="0"/>
                    <w:rPr>
                      <w:rFonts w:eastAsiaTheme="minorEastAsia"/>
                      <w:bCs/>
                      <w:sz w:val="24"/>
                    </w:rPr>
                  </w:pPr>
                  <w:r>
                    <w:rPr>
                      <w:rFonts w:hint="eastAsia" w:asciiTheme="minorEastAsia" w:hAnsiTheme="minorEastAsia" w:eastAsiaTheme="minorEastAsia"/>
                      <w:sz w:val="24"/>
                      <w:lang w:eastAsia="zh-CN"/>
                    </w:rPr>
                    <w:t>北京市顺义区空港医院2026-2027年度安保服务项目</w:t>
                  </w:r>
                </w:p>
              </w:tc>
              <w:tc>
                <w:tcPr>
                  <w:tcW w:w="3182"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kern w:val="0"/>
                      <w:sz w:val="24"/>
                    </w:rPr>
                  </w:pPr>
                  <w:r>
                    <w:rPr>
                      <w:rFonts w:hint="eastAsia" w:ascii="宋体" w:hAnsi="宋体" w:eastAsia="宋体" w:cs="宋体"/>
                      <w:sz w:val="24"/>
                      <w:szCs w:val="24"/>
                      <w:lang w:eastAsia="zh-CN"/>
                    </w:rPr>
                    <w:t>租赁与商业服务</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834" w:type="dxa"/>
            <w:vAlign w:val="center"/>
          </w:tcPr>
          <w:p>
            <w:pPr>
              <w:jc w:val="center"/>
              <w:rPr>
                <w:sz w:val="24"/>
              </w:rPr>
            </w:pPr>
            <w:r>
              <w:rPr>
                <w:sz w:val="24"/>
              </w:rPr>
              <w:t>投标报价</w:t>
            </w:r>
          </w:p>
        </w:tc>
        <w:tc>
          <w:tcPr>
            <w:tcW w:w="7407" w:type="dxa"/>
            <w:vAlign w:val="center"/>
          </w:tcPr>
          <w:p>
            <w:pPr>
              <w:jc w:val="left"/>
              <w:rPr>
                <w:sz w:val="24"/>
              </w:rPr>
            </w:pPr>
            <w:r>
              <w:rPr>
                <w:sz w:val="24"/>
              </w:rPr>
              <w:t>投标报价的特殊规定：</w:t>
            </w:r>
          </w:p>
          <w:p>
            <w:pPr>
              <w:jc w:val="left"/>
              <w:rPr>
                <w:sz w:val="24"/>
              </w:rPr>
            </w:pPr>
            <w:r>
              <w:rPr>
                <w:rFonts w:ascii="宋体" w:hAnsi="宋体" w:cs="宋体"/>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834" w:type="dxa"/>
            <w:vMerge w:val="restart"/>
            <w:vAlign w:val="center"/>
          </w:tcPr>
          <w:p>
            <w:pPr>
              <w:jc w:val="center"/>
              <w:rPr>
                <w:sz w:val="24"/>
              </w:rPr>
            </w:pPr>
            <w:r>
              <w:rPr>
                <w:sz w:val="24"/>
              </w:rPr>
              <w:t>投标保证金</w:t>
            </w:r>
            <w:r>
              <w:rPr>
                <w:rFonts w:hint="eastAsia"/>
                <w:sz w:val="24"/>
              </w:rPr>
              <w:t>（不适用）</w:t>
            </w:r>
          </w:p>
        </w:tc>
        <w:tc>
          <w:tcPr>
            <w:tcW w:w="7407"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834" w:type="dxa"/>
            <w:vMerge w:val="continue"/>
            <w:vAlign w:val="center"/>
          </w:tcPr>
          <w:p>
            <w:pPr>
              <w:jc w:val="center"/>
              <w:rPr>
                <w:sz w:val="24"/>
              </w:rPr>
            </w:pPr>
          </w:p>
        </w:tc>
        <w:tc>
          <w:tcPr>
            <w:tcW w:w="7407" w:type="dxa"/>
            <w:vAlign w:val="center"/>
          </w:tcPr>
          <w:p>
            <w:pPr>
              <w:jc w:val="left"/>
              <w:rPr>
                <w:sz w:val="24"/>
              </w:rPr>
            </w:pPr>
            <w:r>
              <w:rPr>
                <w:sz w:val="24"/>
              </w:rPr>
              <w:t>投标保证金可以不予退还的其他情形：</w:t>
            </w:r>
          </w:p>
          <w:p>
            <w:pPr>
              <w:jc w:val="left"/>
              <w:rPr>
                <w:sz w:val="24"/>
              </w:rPr>
            </w:pPr>
            <w:r>
              <w:rPr>
                <w:sz w:val="24"/>
              </w:rPr>
              <w:t>□无</w:t>
            </w:r>
          </w:p>
          <w:p>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834" w:type="dxa"/>
            <w:vAlign w:val="center"/>
          </w:tcPr>
          <w:p>
            <w:pPr>
              <w:jc w:val="center"/>
              <w:rPr>
                <w:sz w:val="24"/>
              </w:rPr>
            </w:pPr>
            <w:r>
              <w:rPr>
                <w:sz w:val="24"/>
              </w:rPr>
              <w:t>投标有效期</w:t>
            </w:r>
          </w:p>
        </w:tc>
        <w:tc>
          <w:tcPr>
            <w:tcW w:w="7407" w:type="dxa"/>
            <w:vAlign w:val="center"/>
          </w:tcPr>
          <w:p>
            <w:pPr>
              <w:jc w:val="left"/>
              <w:rPr>
                <w:sz w:val="24"/>
              </w:rPr>
            </w:pPr>
            <w:r>
              <w:rPr>
                <w:sz w:val="24"/>
              </w:rPr>
              <w:t>自提交投标文件的截止之日起算</w:t>
            </w:r>
            <w:r>
              <w:rPr>
                <w:rFonts w:hint="eastAsia" w:ascii="宋体" w:hAnsi="宋体" w:cs="宋体"/>
                <w:sz w:val="24"/>
                <w:u w:val="single"/>
              </w:rPr>
              <w:t>90</w:t>
            </w:r>
            <w:r>
              <w:rPr>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834" w:type="dxa"/>
            <w:vAlign w:val="center"/>
          </w:tcPr>
          <w:p>
            <w:pPr>
              <w:jc w:val="center"/>
              <w:rPr>
                <w:sz w:val="24"/>
              </w:rPr>
            </w:pPr>
            <w:r>
              <w:rPr>
                <w:sz w:val="24"/>
              </w:rPr>
              <w:t>解密时间</w:t>
            </w:r>
          </w:p>
        </w:tc>
        <w:tc>
          <w:tcPr>
            <w:tcW w:w="7407" w:type="dxa"/>
            <w:vAlign w:val="center"/>
          </w:tcPr>
          <w:p>
            <w:pPr>
              <w:jc w:val="left"/>
              <w:rPr>
                <w:sz w:val="24"/>
                <w:u w:val="single"/>
              </w:rPr>
            </w:pPr>
            <w:r>
              <w:rPr>
                <w:sz w:val="24"/>
              </w:rPr>
              <w:t>解密时间：</w:t>
            </w:r>
            <w:r>
              <w:rPr>
                <w:rFonts w:hint="eastAsia"/>
                <w:sz w:val="24"/>
                <w:u w:val="single"/>
              </w:rPr>
              <w:t>30</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834" w:type="dxa"/>
            <w:vAlign w:val="center"/>
          </w:tcPr>
          <w:p>
            <w:pPr>
              <w:jc w:val="center"/>
              <w:rPr>
                <w:sz w:val="24"/>
              </w:rPr>
            </w:pPr>
            <w:r>
              <w:rPr>
                <w:sz w:val="24"/>
              </w:rPr>
              <w:t>确定中标人</w:t>
            </w:r>
          </w:p>
        </w:tc>
        <w:tc>
          <w:tcPr>
            <w:tcW w:w="7407" w:type="dxa"/>
            <w:vAlign w:val="center"/>
          </w:tcPr>
          <w:p>
            <w:pPr>
              <w:pStyle w:val="23"/>
              <w:adjustRightInd w:val="0"/>
              <w:snapToGrid w:val="0"/>
              <w:rPr>
                <w:rFonts w:hint="default"/>
                <w:sz w:val="24"/>
                <w:szCs w:val="24"/>
              </w:rPr>
            </w:pPr>
            <w:r>
              <w:rPr>
                <w:rFonts w:hint="default"/>
                <w:sz w:val="24"/>
                <w:szCs w:val="24"/>
              </w:rPr>
              <w:t>中标候选人并列的，采购人是否委托评标委员会确定中标人：</w:t>
            </w:r>
          </w:p>
          <w:p>
            <w:pPr>
              <w:pStyle w:val="23"/>
              <w:adjustRightInd w:val="0"/>
              <w:snapToGrid w:val="0"/>
              <w:rPr>
                <w:rFonts w:hint="default"/>
                <w:sz w:val="24"/>
                <w:szCs w:val="24"/>
              </w:rPr>
            </w:pPr>
            <w:bookmarkStart w:id="76" w:name="OLE_LINK2"/>
            <w:r>
              <w:rPr>
                <w:sz w:val="24"/>
                <w:szCs w:val="24"/>
              </w:rPr>
              <w:t>■</w:t>
            </w:r>
            <w:bookmarkEnd w:id="76"/>
            <w:r>
              <w:rPr>
                <w:rFonts w:hint="default"/>
                <w:sz w:val="24"/>
                <w:szCs w:val="24"/>
              </w:rPr>
              <w:t>否</w:t>
            </w:r>
          </w:p>
          <w:p>
            <w:pPr>
              <w:pStyle w:val="23"/>
              <w:adjustRightInd w:val="0"/>
              <w:snapToGrid w:val="0"/>
              <w:rPr>
                <w:rFonts w:hint="default"/>
                <w:sz w:val="24"/>
                <w:szCs w:val="24"/>
              </w:rPr>
            </w:pPr>
            <w:r>
              <w:rPr>
                <w:rFonts w:hint="default"/>
                <w:sz w:val="24"/>
                <w:szCs w:val="24"/>
              </w:rPr>
              <w:t>□是</w:t>
            </w:r>
          </w:p>
          <w:p>
            <w:pPr>
              <w:pStyle w:val="23"/>
              <w:adjustRightInd w:val="0"/>
              <w:snapToGrid w:val="0"/>
              <w:rPr>
                <w:rFonts w:hint="default"/>
                <w:sz w:val="24"/>
                <w:szCs w:val="24"/>
              </w:rPr>
            </w:pPr>
            <w:r>
              <w:rPr>
                <w:rFonts w:hint="default"/>
                <w:sz w:val="24"/>
                <w:szCs w:val="24"/>
              </w:rPr>
              <w:t xml:space="preserve">中标候选人并列的，按照以下方式确定中标人： </w:t>
            </w:r>
          </w:p>
          <w:p>
            <w:pPr>
              <w:pStyle w:val="23"/>
              <w:adjustRightInd w:val="0"/>
              <w:snapToGrid w:val="0"/>
              <w:rPr>
                <w:rFonts w:hint="default"/>
                <w:sz w:val="24"/>
                <w:szCs w:val="24"/>
              </w:rPr>
            </w:pPr>
            <w:r>
              <w:rPr>
                <w:sz w:val="24"/>
                <w:szCs w:val="24"/>
              </w:rPr>
              <w:t>■</w:t>
            </w:r>
            <w:r>
              <w:rPr>
                <w:rFonts w:hint="default"/>
                <w:sz w:val="24"/>
                <w:szCs w:val="24"/>
              </w:rPr>
              <w:t>得分且投标报价均相同的，以</w:t>
            </w:r>
            <w:r>
              <w:rPr>
                <w:sz w:val="24"/>
                <w:szCs w:val="24"/>
              </w:rPr>
              <w:t>技术分</w:t>
            </w:r>
            <w:r>
              <w:rPr>
                <w:rFonts w:hint="default"/>
                <w:sz w:val="24"/>
                <w:szCs w:val="24"/>
              </w:rPr>
              <w:t>得分高者为中标人</w:t>
            </w:r>
          </w:p>
          <w:p>
            <w:pPr>
              <w:jc w:val="left"/>
              <w:rPr>
                <w:sz w:val="24"/>
              </w:rPr>
            </w:pPr>
            <w:r>
              <w:rPr>
                <w:sz w:val="24"/>
              </w:rPr>
              <w:t>□随机抽取</w:t>
            </w:r>
          </w:p>
          <w:p>
            <w:pPr>
              <w:pStyle w:val="2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834" w:type="dxa"/>
            <w:vAlign w:val="center"/>
          </w:tcPr>
          <w:p>
            <w:pPr>
              <w:jc w:val="center"/>
              <w:rPr>
                <w:sz w:val="24"/>
              </w:rPr>
            </w:pPr>
            <w:r>
              <w:rPr>
                <w:sz w:val="24"/>
              </w:rPr>
              <w:t>分包</w:t>
            </w:r>
          </w:p>
        </w:tc>
        <w:tc>
          <w:tcPr>
            <w:tcW w:w="7407"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834" w:type="dxa"/>
            <w:vAlign w:val="center"/>
          </w:tcPr>
          <w:p>
            <w:pPr>
              <w:jc w:val="center"/>
              <w:rPr>
                <w:sz w:val="24"/>
              </w:rPr>
            </w:pPr>
            <w:r>
              <w:rPr>
                <w:sz w:val="24"/>
              </w:rPr>
              <w:t>政采贷</w:t>
            </w:r>
          </w:p>
        </w:tc>
        <w:tc>
          <w:tcPr>
            <w:tcW w:w="7407"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834" w:type="dxa"/>
            <w:vAlign w:val="center"/>
          </w:tcPr>
          <w:p>
            <w:pPr>
              <w:jc w:val="center"/>
              <w:rPr>
                <w:sz w:val="24"/>
              </w:rPr>
            </w:pPr>
            <w:r>
              <w:rPr>
                <w:sz w:val="24"/>
              </w:rPr>
              <w:t>询问</w:t>
            </w:r>
          </w:p>
        </w:tc>
        <w:tc>
          <w:tcPr>
            <w:tcW w:w="7407" w:type="dxa"/>
            <w:vAlign w:val="center"/>
          </w:tcPr>
          <w:p>
            <w:pPr>
              <w:jc w:val="left"/>
              <w:rPr>
                <w:sz w:val="24"/>
              </w:rPr>
            </w:pPr>
            <w:r>
              <w:rPr>
                <w:sz w:val="24"/>
              </w:rPr>
              <w:t>询问</w:t>
            </w:r>
            <w:r>
              <w:rPr>
                <w:rFonts w:hint="eastAsia"/>
                <w:sz w:val="24"/>
              </w:rPr>
              <w:t>提出</w:t>
            </w:r>
            <w:r>
              <w:rPr>
                <w:sz w:val="24"/>
              </w:rPr>
              <w:t>形式：</w:t>
            </w:r>
            <w:r>
              <w:rPr>
                <w:rFonts w:hint="eastAsia" w:ascii="宋体" w:hAnsi="宋体" w:cs="宋体"/>
                <w:sz w:val="24"/>
              </w:rPr>
              <w:t>以电子邮件的形式，提交电子pdf版本的文件加盖供应商电子公章发送至</w:t>
            </w:r>
            <w:r>
              <w:rPr>
                <w:rFonts w:hint="eastAsia" w:ascii="宋体" w:hAnsi="宋体" w:cs="宋体"/>
                <w:sz w:val="24"/>
                <w:lang w:val="en-US" w:eastAsia="zh-CN"/>
              </w:rPr>
              <w:t>xiguanjia</w:t>
            </w:r>
            <w:r>
              <w:rPr>
                <w:rFonts w:hint="eastAsia" w:ascii="宋体" w:hAnsi="宋体" w:cs="宋体"/>
                <w:sz w:val="24"/>
              </w:rPr>
              <w:t>@qq.com，并致电010-6</w:t>
            </w:r>
            <w:r>
              <w:rPr>
                <w:rFonts w:hint="eastAsia" w:ascii="宋体" w:hAnsi="宋体" w:cs="宋体"/>
                <w:sz w:val="24"/>
                <w:lang w:val="en-US" w:eastAsia="zh-CN"/>
              </w:rPr>
              <w:t>9409202</w:t>
            </w:r>
            <w:r>
              <w:rPr>
                <w:rFonts w:hint="eastAsia" w:ascii="宋体" w:hAnsi="宋体" w:cs="宋体"/>
                <w:sz w:val="24"/>
              </w:rPr>
              <w:t>予以告知</w:t>
            </w:r>
            <w:r>
              <w:rPr>
                <w:rFonts w:ascii="宋体" w:hAnsi="宋体" w:cs="宋体"/>
                <w:sz w:val="24"/>
              </w:rPr>
              <w:t>。</w:t>
            </w:r>
            <w:r>
              <w:rPr>
                <w:rFonts w:hint="eastAsia" w:ascii="宋体" w:hAnsi="宋体" w:cs="宋体"/>
                <w:sz w:val="24"/>
              </w:rPr>
              <w:t>同时需将纸质版原件邮寄至北京招竣建设工程咨询有限公司。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834" w:type="dxa"/>
            <w:vAlign w:val="center"/>
          </w:tcPr>
          <w:p>
            <w:pPr>
              <w:jc w:val="center"/>
              <w:rPr>
                <w:sz w:val="24"/>
              </w:rPr>
            </w:pPr>
            <w:r>
              <w:rPr>
                <w:sz w:val="24"/>
              </w:rPr>
              <w:t>联系方式</w:t>
            </w:r>
          </w:p>
        </w:tc>
        <w:tc>
          <w:tcPr>
            <w:tcW w:w="7407" w:type="dxa"/>
            <w:vAlign w:val="center"/>
          </w:tcPr>
          <w:p>
            <w:pPr>
              <w:jc w:val="left"/>
              <w:rPr>
                <w:sz w:val="24"/>
              </w:rPr>
            </w:pPr>
            <w:r>
              <w:rPr>
                <w:sz w:val="24"/>
              </w:rPr>
              <w:t>接收询问和质疑的联系方式</w:t>
            </w:r>
          </w:p>
          <w:p>
            <w:pPr>
              <w:wordWrap w:val="0"/>
              <w:ind w:left="102"/>
              <w:rPr>
                <w:rFonts w:ascii="宋体" w:hAnsi="宋体" w:cs="宋体"/>
                <w:sz w:val="24"/>
              </w:rPr>
            </w:pPr>
            <w:r>
              <w:rPr>
                <w:rFonts w:ascii="宋体" w:hAnsi="宋体" w:cs="宋体"/>
                <w:sz w:val="24"/>
              </w:rPr>
              <w:t>联系部门：</w:t>
            </w:r>
            <w:r>
              <w:rPr>
                <w:rFonts w:hint="eastAsia" w:ascii="宋体" w:hAnsi="宋体" w:cs="宋体"/>
                <w:sz w:val="24"/>
              </w:rPr>
              <w:t>北京招竣建设工程咨询有限公司</w:t>
            </w:r>
            <w:r>
              <w:rPr>
                <w:rFonts w:ascii="宋体" w:hAnsi="宋体" w:cs="宋体"/>
                <w:sz w:val="24"/>
              </w:rPr>
              <w:t>；</w:t>
            </w:r>
          </w:p>
          <w:p>
            <w:pPr>
              <w:wordWrap w:val="0"/>
              <w:ind w:left="102"/>
              <w:rPr>
                <w:rFonts w:ascii="宋体" w:hAnsi="宋体" w:cs="宋体"/>
                <w:sz w:val="24"/>
              </w:rPr>
            </w:pPr>
            <w:r>
              <w:rPr>
                <w:rFonts w:ascii="宋体" w:hAnsi="宋体" w:cs="宋体"/>
                <w:sz w:val="24"/>
              </w:rPr>
              <w:t>联系电话：</w:t>
            </w:r>
            <w:r>
              <w:rPr>
                <w:rFonts w:hint="eastAsia" w:ascii="宋体" w:hAnsi="宋体" w:cs="宋体"/>
                <w:sz w:val="24"/>
              </w:rPr>
              <w:t>010-6</w:t>
            </w:r>
            <w:r>
              <w:rPr>
                <w:rFonts w:hint="eastAsia" w:ascii="宋体" w:hAnsi="宋体" w:cs="宋体"/>
                <w:sz w:val="24"/>
                <w:lang w:val="en-US" w:eastAsia="zh-CN"/>
              </w:rPr>
              <w:t>9409202</w:t>
            </w:r>
            <w:r>
              <w:rPr>
                <w:rFonts w:ascii="宋体" w:hAnsi="宋体" w:cs="宋体"/>
                <w:sz w:val="24"/>
              </w:rPr>
              <w:t>；</w:t>
            </w:r>
          </w:p>
          <w:p>
            <w:pPr>
              <w:jc w:val="left"/>
              <w:rPr>
                <w:sz w:val="24"/>
              </w:rPr>
            </w:pPr>
            <w:r>
              <w:rPr>
                <w:rFonts w:ascii="宋体" w:hAnsi="宋体" w:cs="宋体"/>
                <w:sz w:val="24"/>
              </w:rPr>
              <w:t>通讯地址：</w:t>
            </w:r>
            <w:r>
              <w:rPr>
                <w:rFonts w:hint="eastAsia" w:ascii="宋体" w:hAnsi="宋体" w:cs="宋体"/>
                <w:sz w:val="24"/>
              </w:rPr>
              <w:t>北京市顺义区仓上小区商业服务楼2号</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407"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wordWrap w:val="0"/>
              <w:ind w:left="102"/>
              <w:rPr>
                <w:rFonts w:ascii="宋体" w:hAnsi="宋体" w:cs="宋体"/>
                <w:sz w:val="24"/>
              </w:rPr>
            </w:pPr>
            <w:r>
              <w:rPr>
                <w:sz w:val="24"/>
              </w:rPr>
              <w:t>□</w:t>
            </w:r>
            <w:r>
              <w:rPr>
                <w:rFonts w:ascii="宋体" w:hAnsi="宋体" w:cs="宋体"/>
                <w:sz w:val="24"/>
              </w:rPr>
              <w:t>采购人</w:t>
            </w:r>
          </w:p>
          <w:p>
            <w:pPr>
              <w:wordWrap w:val="0"/>
              <w:ind w:left="102"/>
              <w:rPr>
                <w:rFonts w:ascii="宋体" w:hAnsi="宋体" w:cs="宋体"/>
                <w:sz w:val="24"/>
              </w:rPr>
            </w:pPr>
            <w:r>
              <w:rPr>
                <w:rFonts w:hint="eastAsia" w:ascii="宋体" w:hAnsi="宋体" w:cs="宋体"/>
                <w:sz w:val="24"/>
              </w:rPr>
              <w:t>■</w:t>
            </w:r>
            <w:r>
              <w:rPr>
                <w:rFonts w:ascii="宋体" w:hAnsi="宋体" w:cs="宋体"/>
                <w:sz w:val="24"/>
              </w:rPr>
              <w:t>中标人</w:t>
            </w:r>
          </w:p>
          <w:p>
            <w:pPr>
              <w:wordWrap w:val="0"/>
              <w:rPr>
                <w:rFonts w:ascii="宋体" w:hAnsi="宋体" w:cs="宋体"/>
                <w:sz w:val="24"/>
              </w:rPr>
            </w:pPr>
            <w:r>
              <w:rPr>
                <w:rFonts w:ascii="宋体" w:hAnsi="宋体" w:cs="宋体"/>
                <w:sz w:val="24"/>
              </w:rPr>
              <w:t>收费标准：</w:t>
            </w:r>
            <w:r>
              <w:rPr>
                <w:rFonts w:hint="eastAsia" w:ascii="宋体" w:hAnsi="宋体" w:cs="宋体"/>
                <w:sz w:val="24"/>
              </w:rPr>
              <w:t>按“国家发展改革委关于降低部分建设项目收费标准规范收费行为等有关问题的通知,发改价格【2011】534号”,有关规定计取招标代理服务费</w:t>
            </w:r>
            <w:r>
              <w:rPr>
                <w:rFonts w:ascii="宋体" w:hAnsi="宋体" w:cs="宋体"/>
                <w:sz w:val="24"/>
              </w:rPr>
              <w:t>；</w:t>
            </w:r>
          </w:p>
          <w:p>
            <w:pPr>
              <w:jc w:val="left"/>
              <w:rPr>
                <w:sz w:val="24"/>
              </w:rPr>
            </w:pPr>
            <w:r>
              <w:rPr>
                <w:rFonts w:ascii="宋体" w:hAnsi="宋体" w:cs="宋体"/>
                <w:sz w:val="24"/>
              </w:rPr>
              <w:t>缴纳时间：</w:t>
            </w:r>
            <w:r>
              <w:rPr>
                <w:rFonts w:hint="eastAsia" w:ascii="宋体" w:hAnsi="宋体" w:cs="宋体"/>
                <w:sz w:val="24"/>
              </w:rPr>
              <w:t>采购代理机构在发布中标公告的同时，由中标单位向代理机构缴纳招标代理费</w:t>
            </w:r>
            <w:r>
              <w:rPr>
                <w:rFonts w:ascii="宋体" w:hAnsi="宋体" w:cs="宋体"/>
                <w:sz w:val="24"/>
              </w:rPr>
              <w:t>。</w:t>
            </w:r>
          </w:p>
        </w:tc>
      </w:tr>
    </w:tbl>
    <w:p>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7" w:name="_Toc264969207"/>
      <w:bookmarkStart w:id="78" w:name="_Toc353825542"/>
      <w:bookmarkStart w:id="79" w:name="_Toc150480755"/>
      <w:bookmarkStart w:id="80" w:name="_Toc226965790"/>
      <w:bookmarkStart w:id="81" w:name="_Toc305158859"/>
      <w:bookmarkStart w:id="82" w:name="_Toc353873932"/>
      <w:bookmarkStart w:id="83" w:name="_Toc150774722"/>
      <w:bookmarkStart w:id="84" w:name="_Toc353873662"/>
      <w:bookmarkStart w:id="85" w:name="_Toc142311019"/>
      <w:bookmarkStart w:id="86" w:name="_Toc265228355"/>
      <w:bookmarkStart w:id="87" w:name="_Toc127151517"/>
      <w:bookmarkStart w:id="88" w:name="_Toc226337213"/>
      <w:bookmarkStart w:id="89" w:name="_Toc305158785"/>
      <w:bookmarkStart w:id="90" w:name="_Toc195842882"/>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4"/>
        <w:tabs>
          <w:tab w:val="center" w:pos="4592"/>
          <w:tab w:val="left" w:pos="7860"/>
        </w:tabs>
        <w:spacing w:before="0" w:line="360" w:lineRule="auto"/>
        <w:jc w:val="left"/>
        <w:rPr>
          <w:rFonts w:ascii="Times New Roman" w:hAnsi="Times New Roman" w:eastAsia="宋体"/>
          <w:sz w:val="28"/>
        </w:rPr>
      </w:pPr>
      <w:bookmarkStart w:id="91" w:name="_Toc520356143"/>
      <w:bookmarkStart w:id="92" w:name="_Toc127151518"/>
      <w:r>
        <w:rPr>
          <w:rFonts w:ascii="Times New Roman" w:hAnsi="Times New Roman" w:eastAsia="宋体"/>
          <w:sz w:val="28"/>
        </w:rPr>
        <w:tab/>
      </w:r>
      <w:bookmarkStart w:id="93" w:name="_Toc150480756"/>
      <w:bookmarkStart w:id="94" w:name="_Toc226309762"/>
      <w:bookmarkStart w:id="95" w:name="_Toc151193688"/>
      <w:bookmarkStart w:id="96" w:name="_Toc264969208"/>
      <w:bookmarkStart w:id="97" w:name="_Toc142311020"/>
      <w:bookmarkStart w:id="98" w:name="_Toc195842883"/>
      <w:bookmarkStart w:id="99" w:name="_Toc305158860"/>
      <w:bookmarkStart w:id="100" w:name="_Toc151193616"/>
      <w:bookmarkStart w:id="101" w:name="_Toc226965791"/>
      <w:bookmarkStart w:id="102" w:name="_Toc305158786"/>
      <w:bookmarkStart w:id="103" w:name="_Toc226337214"/>
      <w:bookmarkStart w:id="104" w:name="_Toc226965708"/>
      <w:bookmarkStart w:id="105" w:name="_Toc151193760"/>
      <w:bookmarkStart w:id="106" w:name="_Toc150509269"/>
      <w:bookmarkStart w:id="107" w:name="_Toc151193832"/>
      <w:bookmarkStart w:id="108" w:name="_Toc150774723"/>
      <w:bookmarkStart w:id="109" w:name="_Toc151190145"/>
      <w:bookmarkStart w:id="110" w:name="_Toc265228356"/>
      <w:bookmarkStart w:id="111" w:name="_Toc150774618"/>
      <w:bookmarkStart w:id="112" w:name="_Toc151193906"/>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13" w:name="_Toc305158787"/>
      <w:bookmarkStart w:id="114" w:name="_Toc265228357"/>
      <w:bookmarkStart w:id="115" w:name="_Toc264969209"/>
      <w:bookmarkStart w:id="116" w:name="_Toc305158861"/>
      <w:r>
        <w:rPr>
          <w:sz w:val="24"/>
        </w:rPr>
        <w:t>采购人、采购代理机构、投标人</w:t>
      </w:r>
      <w:bookmarkEnd w:id="113"/>
      <w:bookmarkEnd w:id="114"/>
      <w:bookmarkEnd w:id="115"/>
      <w:bookmarkEnd w:id="116"/>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7" w:name="_Toc305158862"/>
      <w:bookmarkStart w:id="118" w:name="_Toc164229215"/>
      <w:bookmarkStart w:id="119" w:name="_Toc305158788"/>
      <w:bookmarkStart w:id="120" w:name="_Toc127161434"/>
      <w:bookmarkStart w:id="121" w:name="_Toc151190147"/>
      <w:bookmarkStart w:id="122" w:name="_Toc151193618"/>
      <w:bookmarkStart w:id="123" w:name="_Toc150509271"/>
      <w:bookmarkStart w:id="124" w:name="_Toc151193690"/>
      <w:bookmarkStart w:id="125" w:name="_Toc142311022"/>
      <w:bookmarkStart w:id="126" w:name="_Toc127151721"/>
      <w:bookmarkStart w:id="127" w:name="_Toc151193908"/>
      <w:bookmarkStart w:id="128" w:name="_Toc149720813"/>
      <w:bookmarkStart w:id="129" w:name="_Toc195842885"/>
      <w:bookmarkStart w:id="130" w:name="_Toc164608789"/>
      <w:bookmarkStart w:id="131" w:name="_Toc226337216"/>
      <w:bookmarkStart w:id="132" w:name="_Toc164229361"/>
      <w:bookmarkStart w:id="133" w:name="_Toc164608634"/>
      <w:bookmarkStart w:id="134" w:name="_Toc265228358"/>
      <w:bookmarkStart w:id="135" w:name="_Toc151193834"/>
      <w:bookmarkStart w:id="136" w:name="_Toc164351614"/>
      <w:bookmarkStart w:id="137" w:name="_Toc226965710"/>
      <w:bookmarkStart w:id="138" w:name="_Toc226965793"/>
      <w:bookmarkStart w:id="139" w:name="_Toc151193762"/>
      <w:bookmarkStart w:id="140" w:name="_Toc150774620"/>
      <w:bookmarkStart w:id="141" w:name="_Toc226309764"/>
      <w:bookmarkStart w:id="142" w:name="_Toc150480758"/>
      <w:bookmarkStart w:id="143" w:name="_Toc127151520"/>
      <w:bookmarkStart w:id="144" w:name="_Toc264969210"/>
      <w:bookmarkStart w:id="145" w:name="_Toc150774725"/>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65228360"/>
      <w:bookmarkStart w:id="147" w:name="_Toc150480760"/>
      <w:bookmarkStart w:id="148" w:name="_Toc127151522"/>
      <w:bookmarkStart w:id="149" w:name="_Toc226965712"/>
      <w:bookmarkStart w:id="150" w:name="_Toc151193620"/>
      <w:bookmarkStart w:id="151" w:name="_Toc305158864"/>
      <w:bookmarkStart w:id="152" w:name="_Toc226965795"/>
      <w:bookmarkStart w:id="153" w:name="_Toc226337218"/>
      <w:bookmarkStart w:id="154" w:name="_Toc520356146"/>
      <w:bookmarkStart w:id="155" w:name="_Toc151193910"/>
      <w:bookmarkStart w:id="156" w:name="_Toc226309766"/>
      <w:bookmarkStart w:id="157" w:name="_Toc264969212"/>
      <w:bookmarkStart w:id="158" w:name="_Toc151193836"/>
      <w:bookmarkStart w:id="159" w:name="_Toc150509273"/>
      <w:bookmarkStart w:id="160" w:name="_Toc151193764"/>
      <w:bookmarkStart w:id="161" w:name="_Toc305158790"/>
      <w:bookmarkStart w:id="162" w:name="_Toc150774727"/>
      <w:bookmarkStart w:id="163" w:name="_Toc151190149"/>
      <w:bookmarkStart w:id="164" w:name="_Toc150774622"/>
      <w:bookmarkStart w:id="165" w:name="_Toc195842887"/>
      <w:bookmarkStart w:id="166" w:name="_Toc142311024"/>
      <w:bookmarkStart w:id="167" w:name="_Toc151193692"/>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，落实本国产品标准。</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1" w:name="_1.8_计量单位"/>
      <w:bookmarkEnd w:id="171"/>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numPr>
          <w:ilvl w:val="0"/>
          <w:numId w:val="8"/>
        </w:numPr>
        <w:tabs>
          <w:tab w:val="left" w:pos="360"/>
        </w:tabs>
        <w:snapToGrid w:val="0"/>
        <w:spacing w:line="360" w:lineRule="auto"/>
        <w:ind w:left="357" w:hanging="357"/>
        <w:outlineLvl w:val="1"/>
        <w:rPr>
          <w:sz w:val="24"/>
        </w:rPr>
      </w:pPr>
      <w:bookmarkStart w:id="172" w:name="_Toc150480761"/>
      <w:bookmarkStart w:id="173" w:name="_Toc127151724"/>
      <w:bookmarkStart w:id="174" w:name="_Toc164608792"/>
      <w:bookmarkStart w:id="175" w:name="_Toc151193911"/>
      <w:bookmarkStart w:id="176" w:name="_Toc226965796"/>
      <w:bookmarkStart w:id="177" w:name="_Toc151193621"/>
      <w:bookmarkStart w:id="178" w:name="_Toc149720816"/>
      <w:bookmarkStart w:id="179" w:name="_Toc195842888"/>
      <w:bookmarkStart w:id="180" w:name="_Toc151193765"/>
      <w:bookmarkStart w:id="181" w:name="_Toc265228361"/>
      <w:bookmarkStart w:id="182" w:name="_Toc151190150"/>
      <w:bookmarkStart w:id="183" w:name="_Toc150774728"/>
      <w:bookmarkStart w:id="184" w:name="_Toc164608637"/>
      <w:bookmarkStart w:id="185" w:name="_Toc226337219"/>
      <w:bookmarkStart w:id="186" w:name="_Toc305158865"/>
      <w:bookmarkStart w:id="187" w:name="_Toc226309767"/>
      <w:bookmarkStart w:id="188" w:name="_Toc151193837"/>
      <w:bookmarkStart w:id="189" w:name="_Toc305158791"/>
      <w:bookmarkStart w:id="190" w:name="_Toc164229218"/>
      <w:bookmarkStart w:id="191" w:name="_Toc164351617"/>
      <w:bookmarkStart w:id="192" w:name="_Toc150509274"/>
      <w:bookmarkStart w:id="193" w:name="_Toc127151523"/>
      <w:bookmarkStart w:id="194" w:name="_Toc264969213"/>
      <w:bookmarkStart w:id="195" w:name="_Toc520356147"/>
      <w:bookmarkStart w:id="196" w:name="_Toc127161437"/>
      <w:bookmarkStart w:id="197" w:name="_Toc150774623"/>
      <w:bookmarkStart w:id="198" w:name="_Toc226965713"/>
      <w:bookmarkStart w:id="199" w:name="_Toc151193693"/>
      <w:bookmarkStart w:id="200" w:name="_Toc164229364"/>
      <w:bookmarkStart w:id="201" w:name="_Toc142311025"/>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2" w:name="_Toc516367020"/>
      <w:bookmarkStart w:id="203" w:name="_Toc151193768"/>
      <w:bookmarkStart w:id="204" w:name="_Toc151193840"/>
      <w:bookmarkStart w:id="205" w:name="_Toc226337222"/>
      <w:bookmarkStart w:id="206" w:name="_Toc195842891"/>
      <w:bookmarkStart w:id="207" w:name="_Toc226309770"/>
      <w:bookmarkStart w:id="208" w:name="_Toc226965799"/>
      <w:bookmarkStart w:id="209" w:name="_Toc151190153"/>
      <w:bookmarkStart w:id="210" w:name="_Toc305158794"/>
      <w:bookmarkStart w:id="211" w:name="_Toc265228364"/>
      <w:bookmarkStart w:id="212" w:name="_Toc305158868"/>
      <w:bookmarkStart w:id="213" w:name="_Toc127151526"/>
      <w:bookmarkStart w:id="214" w:name="_Toc226965716"/>
      <w:bookmarkStart w:id="215" w:name="_Toc520356150"/>
      <w:bookmarkStart w:id="216" w:name="_Toc264969216"/>
      <w:bookmarkStart w:id="217" w:name="_Toc151193914"/>
      <w:bookmarkStart w:id="218" w:name="_Toc150509277"/>
      <w:bookmarkStart w:id="219" w:name="_Toc150480764"/>
      <w:bookmarkStart w:id="220" w:name="_Toc151193624"/>
      <w:bookmarkStart w:id="221" w:name="_Toc150774626"/>
      <w:bookmarkStart w:id="222" w:name="_Toc142311028"/>
      <w:bookmarkStart w:id="223" w:name="_Toc151193696"/>
      <w:bookmarkStart w:id="224" w:name="_Toc150774731"/>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0"/>
          <w:numId w:val="8"/>
        </w:numPr>
        <w:tabs>
          <w:tab w:val="left" w:pos="360"/>
        </w:tabs>
        <w:snapToGrid w:val="0"/>
        <w:spacing w:line="360" w:lineRule="auto"/>
        <w:ind w:left="357" w:hanging="357"/>
        <w:outlineLvl w:val="1"/>
        <w:rPr>
          <w:sz w:val="24"/>
        </w:rPr>
      </w:pPr>
      <w:bookmarkStart w:id="225" w:name="_Toc516367021"/>
      <w:bookmarkStart w:id="226" w:name="_Toc151193841"/>
      <w:bookmarkStart w:id="227" w:name="_Toc150774627"/>
      <w:bookmarkStart w:id="228" w:name="_Toc149720820"/>
      <w:bookmarkStart w:id="229" w:name="_Toc150480765"/>
      <w:bookmarkStart w:id="230" w:name="_Toc264969217"/>
      <w:bookmarkStart w:id="231" w:name="_Toc226309771"/>
      <w:bookmarkStart w:id="232" w:name="_Toc226965800"/>
      <w:bookmarkStart w:id="233" w:name="_Toc164608641"/>
      <w:bookmarkStart w:id="234" w:name="_Toc151190154"/>
      <w:bookmarkStart w:id="235" w:name="_Toc226965717"/>
      <w:bookmarkStart w:id="236" w:name="_Toc151193697"/>
      <w:bookmarkStart w:id="237" w:name="_Toc151193915"/>
      <w:bookmarkStart w:id="238" w:name="_Toc127151728"/>
      <w:bookmarkStart w:id="239" w:name="_Toc520356151"/>
      <w:bookmarkStart w:id="240" w:name="_Toc164229368"/>
      <w:bookmarkStart w:id="241" w:name="_Toc151193625"/>
      <w:bookmarkStart w:id="242" w:name="_Toc127161441"/>
      <w:bookmarkStart w:id="243" w:name="_Toc164608796"/>
      <w:bookmarkStart w:id="244" w:name="_Toc305158795"/>
      <w:bookmarkStart w:id="245" w:name="_Toc164351621"/>
      <w:bookmarkStart w:id="246" w:name="_Toc226337223"/>
      <w:bookmarkStart w:id="247" w:name="_Toc150509278"/>
      <w:bookmarkStart w:id="248" w:name="_Toc305158869"/>
      <w:bookmarkStart w:id="249" w:name="_Toc150774732"/>
      <w:bookmarkStart w:id="250" w:name="_Toc151193769"/>
      <w:bookmarkStart w:id="251" w:name="_Toc142311029"/>
      <w:bookmarkStart w:id="252" w:name="_Toc164229222"/>
      <w:bookmarkStart w:id="253" w:name="_Toc265228365"/>
      <w:bookmarkStart w:id="254" w:name="_Toc127151527"/>
      <w:bookmarkStart w:id="255" w:name="_Toc195842892"/>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56" w:name="_Ref467306676"/>
      <w:bookmarkStart w:id="257" w:name="_Toc516367022"/>
      <w:bookmarkStart w:id="258" w:name="_Ref467306195"/>
      <w:bookmarkStart w:id="259" w:name="_Toc151193770"/>
      <w:bookmarkStart w:id="260" w:name="_Toc226965801"/>
      <w:bookmarkStart w:id="261" w:name="_Toc150480766"/>
      <w:bookmarkStart w:id="262" w:name="_Toc164229223"/>
      <w:bookmarkStart w:id="263" w:name="_Toc520356152"/>
      <w:bookmarkStart w:id="264" w:name="_Toc142311030"/>
      <w:bookmarkStart w:id="265" w:name="_Toc164351622"/>
      <w:bookmarkStart w:id="266" w:name="_Toc149720821"/>
      <w:bookmarkStart w:id="267" w:name="_Toc305158870"/>
      <w:bookmarkStart w:id="268" w:name="_Toc150509279"/>
      <w:bookmarkStart w:id="269" w:name="_Toc195842893"/>
      <w:bookmarkStart w:id="270" w:name="_Toc151193842"/>
      <w:bookmarkStart w:id="271" w:name="_Toc265228366"/>
      <w:bookmarkStart w:id="272" w:name="_Toc127151528"/>
      <w:bookmarkStart w:id="273" w:name="_Toc164229369"/>
      <w:bookmarkStart w:id="274" w:name="_Toc305158796"/>
      <w:bookmarkStart w:id="275" w:name="_Toc150774628"/>
      <w:bookmarkStart w:id="276" w:name="_Toc151193698"/>
      <w:bookmarkStart w:id="277" w:name="_Toc151193626"/>
      <w:bookmarkStart w:id="278" w:name="_Toc226965718"/>
      <w:bookmarkStart w:id="279" w:name="_Toc264969218"/>
      <w:bookmarkStart w:id="280" w:name="_Toc151190155"/>
      <w:bookmarkStart w:id="281" w:name="_Toc164608797"/>
      <w:bookmarkStart w:id="282" w:name="_Toc127161442"/>
      <w:bookmarkStart w:id="283" w:name="_Toc127151729"/>
      <w:bookmarkStart w:id="284" w:name="_Toc164608642"/>
      <w:bookmarkStart w:id="285" w:name="_Toc226309772"/>
      <w:bookmarkStart w:id="286" w:name="_Toc151193916"/>
      <w:bookmarkStart w:id="287" w:name="_Toc226337224"/>
      <w:bookmarkStart w:id="288" w:name="_Toc150774733"/>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pPr>
        <w:numPr>
          <w:ilvl w:val="0"/>
          <w:numId w:val="8"/>
        </w:numPr>
        <w:tabs>
          <w:tab w:val="left" w:pos="360"/>
        </w:tabs>
        <w:snapToGrid w:val="0"/>
        <w:spacing w:line="360" w:lineRule="auto"/>
        <w:ind w:left="357" w:hanging="357"/>
        <w:outlineLvl w:val="1"/>
        <w:rPr>
          <w:sz w:val="24"/>
        </w:rPr>
      </w:pPr>
      <w:bookmarkStart w:id="290" w:name="_Toc164351624"/>
      <w:bookmarkStart w:id="291" w:name="_Toc195842895"/>
      <w:bookmarkStart w:id="292" w:name="_Toc150774630"/>
      <w:bookmarkStart w:id="293" w:name="_Toc151193844"/>
      <w:bookmarkStart w:id="294" w:name="_Toc164229225"/>
      <w:bookmarkStart w:id="295" w:name="_Toc150480768"/>
      <w:bookmarkStart w:id="296" w:name="_Toc151193700"/>
      <w:bookmarkStart w:id="297" w:name="_Toc151193918"/>
      <w:bookmarkStart w:id="298" w:name="_Toc164608799"/>
      <w:bookmarkStart w:id="299" w:name="_Toc151193772"/>
      <w:bookmarkStart w:id="300" w:name="_Toc127161444"/>
      <w:bookmarkStart w:id="301" w:name="_Toc127151530"/>
      <w:bookmarkStart w:id="302" w:name="_Toc150774735"/>
      <w:bookmarkStart w:id="303" w:name="_Toc149720823"/>
      <w:bookmarkStart w:id="304" w:name="_Toc151190157"/>
      <w:bookmarkStart w:id="305" w:name="_Toc151193628"/>
      <w:bookmarkStart w:id="306" w:name="_Toc164608644"/>
      <w:bookmarkStart w:id="307" w:name="_Toc127151731"/>
      <w:bookmarkStart w:id="308" w:name="_Toc164229371"/>
      <w:bookmarkStart w:id="309" w:name="_Toc150509281"/>
      <w:bookmarkStart w:id="310" w:name="_Toc520356155"/>
      <w:bookmarkStart w:id="311" w:name="_Toc142311032"/>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12" w:name="_Toc151190158"/>
      <w:bookmarkStart w:id="313" w:name="_Toc150774631"/>
      <w:bookmarkStart w:id="314" w:name="_Toc305158799"/>
      <w:bookmarkStart w:id="315" w:name="_Toc127151732"/>
      <w:bookmarkStart w:id="316" w:name="_Toc151193845"/>
      <w:bookmarkStart w:id="317" w:name="_Toc226337227"/>
      <w:bookmarkStart w:id="318" w:name="_Toc150774736"/>
      <w:bookmarkStart w:id="319" w:name="_Toc520356156"/>
      <w:bookmarkStart w:id="320" w:name="_Toc127151531"/>
      <w:bookmarkStart w:id="321" w:name="_Toc127161445"/>
      <w:bookmarkStart w:id="322" w:name="_Toc164608800"/>
      <w:bookmarkStart w:id="323" w:name="_Toc150480769"/>
      <w:bookmarkStart w:id="324" w:name="_Toc151193701"/>
      <w:bookmarkStart w:id="325" w:name="_Toc195842896"/>
      <w:bookmarkStart w:id="326" w:name="_Ref467306513"/>
      <w:bookmarkStart w:id="327" w:name="_Toc164229226"/>
      <w:bookmarkStart w:id="328" w:name="_Toc264969221"/>
      <w:bookmarkStart w:id="329" w:name="_Toc151193773"/>
      <w:bookmarkStart w:id="330" w:name="_Toc142311033"/>
      <w:bookmarkStart w:id="331" w:name="_Toc164229372"/>
      <w:bookmarkStart w:id="332" w:name="_Toc226965804"/>
      <w:bookmarkStart w:id="333" w:name="_Toc164351625"/>
      <w:bookmarkStart w:id="334" w:name="_Toc164608645"/>
      <w:bookmarkStart w:id="335" w:name="_Toc151193629"/>
      <w:bookmarkStart w:id="336" w:name="_Toc149720824"/>
      <w:bookmarkStart w:id="337" w:name="_Toc226309775"/>
      <w:bookmarkStart w:id="338" w:name="_Toc151193919"/>
      <w:bookmarkStart w:id="339" w:name="_Toc265228369"/>
      <w:bookmarkStart w:id="340" w:name="_Toc305158873"/>
      <w:bookmarkStart w:id="341" w:name="_Toc150509282"/>
      <w:bookmarkStart w:id="342" w:name="_Toc226965721"/>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5" w:name="_Toc127151532"/>
      <w:bookmarkStart w:id="346" w:name="_Toc127161446"/>
      <w:bookmarkStart w:id="347" w:name="_Toc265228370"/>
      <w:bookmarkStart w:id="348" w:name="_Toc151193920"/>
      <w:bookmarkStart w:id="349" w:name="_Toc520356157"/>
      <w:bookmarkStart w:id="350" w:name="_Toc150509283"/>
      <w:bookmarkStart w:id="351" w:name="_Toc226309776"/>
      <w:bookmarkStart w:id="352" w:name="_Toc164351626"/>
      <w:bookmarkStart w:id="353" w:name="_Toc151190159"/>
      <w:bookmarkStart w:id="354" w:name="_Toc195842897"/>
      <w:bookmarkStart w:id="355" w:name="_Toc264969222"/>
      <w:bookmarkStart w:id="356" w:name="_Toc226337228"/>
      <w:bookmarkStart w:id="357" w:name="_Toc305158800"/>
      <w:bookmarkStart w:id="358" w:name="_Toc305158874"/>
      <w:bookmarkStart w:id="359" w:name="_Toc164229227"/>
      <w:bookmarkStart w:id="360" w:name="_Toc151193630"/>
      <w:bookmarkStart w:id="361" w:name="_Toc151193702"/>
      <w:bookmarkStart w:id="362" w:name="_Toc164608646"/>
      <w:bookmarkStart w:id="363" w:name="_Toc164608801"/>
      <w:bookmarkStart w:id="364" w:name="_Toc150774632"/>
      <w:bookmarkStart w:id="365" w:name="_Toc164229373"/>
      <w:bookmarkStart w:id="366" w:name="_Toc151193774"/>
      <w:bookmarkStart w:id="367" w:name="_Toc151193846"/>
      <w:bookmarkStart w:id="368" w:name="_Toc150480770"/>
      <w:bookmarkStart w:id="369" w:name="_Toc149720825"/>
      <w:bookmarkStart w:id="370" w:name="_Toc142311034"/>
      <w:bookmarkStart w:id="371" w:name="_Toc226965805"/>
      <w:bookmarkStart w:id="372" w:name="_Toc150774737"/>
      <w:bookmarkStart w:id="373" w:name="_Toc127151733"/>
      <w:bookmarkStart w:id="374" w:name="_Toc22696572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5" w:name="_Toc151193775"/>
      <w:bookmarkStart w:id="376" w:name="_Toc151190160"/>
      <w:bookmarkStart w:id="377" w:name="_Toc305158875"/>
      <w:bookmarkStart w:id="378" w:name="_Toc150509284"/>
      <w:bookmarkStart w:id="379" w:name="_Toc520356158"/>
      <w:bookmarkStart w:id="380" w:name="_Toc150774738"/>
      <w:bookmarkStart w:id="381" w:name="_Toc164351627"/>
      <w:bookmarkStart w:id="382" w:name="_Toc226965806"/>
      <w:bookmarkStart w:id="383" w:name="_Toc226965723"/>
      <w:bookmarkStart w:id="384" w:name="_Toc264969223"/>
      <w:bookmarkStart w:id="385" w:name="_Toc265228371"/>
      <w:bookmarkStart w:id="386" w:name="_Toc226337229"/>
      <w:bookmarkStart w:id="387" w:name="_Toc305158801"/>
      <w:bookmarkStart w:id="388" w:name="_Toc127161447"/>
      <w:bookmarkStart w:id="389" w:name="_Toc151193703"/>
      <w:bookmarkStart w:id="390" w:name="_Toc164608647"/>
      <w:bookmarkStart w:id="391" w:name="_Toc151193631"/>
      <w:bookmarkStart w:id="392" w:name="_Toc195842898"/>
      <w:bookmarkStart w:id="393" w:name="_Toc150774633"/>
      <w:bookmarkStart w:id="394" w:name="_Toc151193921"/>
      <w:bookmarkStart w:id="395" w:name="_Toc164608802"/>
      <w:bookmarkStart w:id="396" w:name="_Toc151193847"/>
      <w:bookmarkStart w:id="397" w:name="_Toc226309777"/>
      <w:bookmarkStart w:id="398" w:name="_Toc150480771"/>
      <w:bookmarkStart w:id="399" w:name="_Toc127151533"/>
      <w:bookmarkStart w:id="400" w:name="_Toc127151734"/>
      <w:bookmarkStart w:id="401" w:name="_Toc142311035"/>
      <w:bookmarkStart w:id="402" w:name="_Toc164229374"/>
      <w:bookmarkStart w:id="403" w:name="_Toc149720826"/>
      <w:bookmarkStart w:id="404" w:name="_Toc16422922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pPr>
        <w:numPr>
          <w:ilvl w:val="1"/>
          <w:numId w:val="8"/>
        </w:numPr>
        <w:tabs>
          <w:tab w:val="left" w:pos="1080"/>
          <w:tab w:val="left" w:pos="2014"/>
        </w:tabs>
        <w:snapToGrid w:val="0"/>
        <w:spacing w:line="360" w:lineRule="auto"/>
        <w:ind w:left="1077" w:hanging="720"/>
        <w:rPr>
          <w:sz w:val="24"/>
        </w:rPr>
      </w:pPr>
      <w:bookmarkStart w:id="405" w:name="_Toc127151534"/>
      <w:bookmarkStart w:id="406" w:name="_Toc151190161"/>
      <w:bookmarkStart w:id="407" w:name="_Toc305158802"/>
      <w:bookmarkStart w:id="408" w:name="_Toc150774739"/>
      <w:bookmarkStart w:id="409" w:name="_Toc226965724"/>
      <w:bookmarkStart w:id="410" w:name="_Toc226337230"/>
      <w:bookmarkStart w:id="411" w:name="_Toc151193704"/>
      <w:bookmarkStart w:id="412" w:name="_Toc520356159"/>
      <w:bookmarkStart w:id="413" w:name="_Toc195842899"/>
      <w:bookmarkStart w:id="414" w:name="_Toc265228372"/>
      <w:bookmarkStart w:id="415" w:name="_Toc264969224"/>
      <w:bookmarkStart w:id="416" w:name="_Toc305158876"/>
      <w:bookmarkStart w:id="417" w:name="_Toc150509285"/>
      <w:bookmarkStart w:id="418" w:name="_Toc151193632"/>
      <w:bookmarkStart w:id="419" w:name="_Toc226965807"/>
      <w:bookmarkStart w:id="420" w:name="_Toc151193922"/>
      <w:bookmarkStart w:id="421" w:name="_Toc151193848"/>
      <w:bookmarkStart w:id="422" w:name="_Toc151193776"/>
      <w:bookmarkStart w:id="423" w:name="_Toc150480772"/>
      <w:bookmarkStart w:id="424" w:name="_Toc142311036"/>
      <w:bookmarkStart w:id="425" w:name="_Toc226309778"/>
      <w:bookmarkStart w:id="426"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numPr>
          <w:ilvl w:val="0"/>
          <w:numId w:val="8"/>
        </w:numPr>
        <w:tabs>
          <w:tab w:val="left" w:pos="360"/>
        </w:tabs>
        <w:snapToGrid w:val="0"/>
        <w:spacing w:line="360" w:lineRule="auto"/>
        <w:ind w:left="357" w:hanging="357"/>
        <w:outlineLvl w:val="1"/>
        <w:rPr>
          <w:sz w:val="24"/>
        </w:rPr>
      </w:pPr>
      <w:bookmarkStart w:id="427" w:name="_Toc151190162"/>
      <w:bookmarkStart w:id="428" w:name="_Toc226337231"/>
      <w:bookmarkStart w:id="429" w:name="_Toc226965725"/>
      <w:bookmarkStart w:id="430" w:name="_Toc150480773"/>
      <w:bookmarkStart w:id="431" w:name="_Toc149720828"/>
      <w:bookmarkStart w:id="432" w:name="_Toc151193705"/>
      <w:bookmarkStart w:id="433" w:name="_Toc305158803"/>
      <w:bookmarkStart w:id="434" w:name="_Toc164351629"/>
      <w:bookmarkStart w:id="435" w:name="_Toc127151736"/>
      <w:bookmarkStart w:id="436" w:name="_Toc151193777"/>
      <w:bookmarkStart w:id="437" w:name="_Toc265228373"/>
      <w:bookmarkStart w:id="438" w:name="_Toc164608804"/>
      <w:bookmarkStart w:id="439" w:name="_Toc151193849"/>
      <w:bookmarkStart w:id="440" w:name="_Toc305158877"/>
      <w:bookmarkStart w:id="441" w:name="_Toc150774635"/>
      <w:bookmarkStart w:id="442" w:name="_Toc264969225"/>
      <w:bookmarkStart w:id="443" w:name="_Toc151193633"/>
      <w:bookmarkStart w:id="444" w:name="_Toc226965808"/>
      <w:bookmarkStart w:id="445" w:name="_Toc127151535"/>
      <w:bookmarkStart w:id="446" w:name="_Toc150509286"/>
      <w:bookmarkStart w:id="447" w:name="_Toc226309779"/>
      <w:bookmarkStart w:id="448" w:name="_Toc195842900"/>
      <w:bookmarkStart w:id="449" w:name="_Toc164229376"/>
      <w:bookmarkStart w:id="450" w:name="_Toc142311037"/>
      <w:bookmarkStart w:id="451" w:name="_Toc150774740"/>
      <w:bookmarkStart w:id="452" w:name="_Toc151193923"/>
      <w:bookmarkStart w:id="453" w:name="_Toc164608649"/>
      <w:bookmarkStart w:id="454" w:name="_Toc127161449"/>
      <w:bookmarkStart w:id="455" w:name="_Toc520356160"/>
      <w:bookmarkStart w:id="456" w:name="_Toc164229230"/>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57" w:name="_Toc305158878"/>
      <w:bookmarkStart w:id="458" w:name="_Toc226309780"/>
      <w:bookmarkStart w:id="459" w:name="_Toc164608805"/>
      <w:bookmarkStart w:id="460" w:name="_Toc264969226"/>
      <w:bookmarkStart w:id="461" w:name="_Toc127151737"/>
      <w:bookmarkStart w:id="462" w:name="_Toc151193706"/>
      <w:bookmarkStart w:id="463" w:name="_Toc195842901"/>
      <w:bookmarkStart w:id="464" w:name="_Toc164229377"/>
      <w:bookmarkStart w:id="465" w:name="_Toc149720829"/>
      <w:bookmarkStart w:id="466" w:name="_Toc151193634"/>
      <w:bookmarkStart w:id="467" w:name="_Toc164351630"/>
      <w:bookmarkStart w:id="468" w:name="_Toc127151536"/>
      <w:bookmarkStart w:id="469" w:name="_Toc164229231"/>
      <w:bookmarkStart w:id="470" w:name="_Toc127161450"/>
      <w:bookmarkStart w:id="471" w:name="_Toc164608650"/>
      <w:bookmarkStart w:id="472" w:name="_Toc150774741"/>
      <w:bookmarkStart w:id="473" w:name="_Toc265228374"/>
      <w:bookmarkStart w:id="474" w:name="_Toc226965726"/>
      <w:bookmarkStart w:id="475" w:name="_Toc150774636"/>
      <w:bookmarkStart w:id="476" w:name="_Toc151193850"/>
      <w:bookmarkStart w:id="477" w:name="_Toc520356161"/>
      <w:bookmarkStart w:id="478" w:name="_Toc142311038"/>
      <w:bookmarkStart w:id="479" w:name="_Toc226965809"/>
      <w:bookmarkStart w:id="480" w:name="_Toc305158804"/>
      <w:bookmarkStart w:id="481" w:name="_Toc151193924"/>
      <w:bookmarkStart w:id="482" w:name="_Toc150480774"/>
      <w:bookmarkStart w:id="483" w:name="_Toc151193778"/>
      <w:bookmarkStart w:id="484" w:name="_Toc151190163"/>
      <w:bookmarkStart w:id="485" w:name="_Toc226337232"/>
      <w:bookmarkStart w:id="486" w:name="_Toc150509287"/>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87" w:name="_Toc226309781"/>
      <w:bookmarkStart w:id="488" w:name="_Toc150774637"/>
      <w:bookmarkStart w:id="489" w:name="_Toc164608806"/>
      <w:bookmarkStart w:id="490" w:name="_Toc150509288"/>
      <w:bookmarkStart w:id="491" w:name="_Toc164229232"/>
      <w:bookmarkStart w:id="492" w:name="_Toc151193635"/>
      <w:bookmarkStart w:id="493" w:name="_Toc127151537"/>
      <w:bookmarkStart w:id="494" w:name="_Toc127151738"/>
      <w:bookmarkStart w:id="495" w:name="_Toc305158805"/>
      <w:bookmarkStart w:id="496" w:name="_Toc164351631"/>
      <w:bookmarkStart w:id="497" w:name="_Toc127161451"/>
      <w:bookmarkStart w:id="498" w:name="_Toc151193779"/>
      <w:bookmarkStart w:id="499" w:name="_Toc520356162"/>
      <w:bookmarkStart w:id="500" w:name="_Toc226965727"/>
      <w:bookmarkStart w:id="501" w:name="_Toc265228375"/>
      <w:bookmarkStart w:id="502" w:name="_Toc226337233"/>
      <w:bookmarkStart w:id="503" w:name="_Toc142311039"/>
      <w:bookmarkStart w:id="504" w:name="_Toc164229378"/>
      <w:bookmarkStart w:id="505" w:name="_Toc151190164"/>
      <w:bookmarkStart w:id="506" w:name="_Toc149720830"/>
      <w:bookmarkStart w:id="507" w:name="_Toc195842902"/>
      <w:bookmarkStart w:id="508" w:name="_Toc150774742"/>
      <w:bookmarkStart w:id="509" w:name="_Toc305158879"/>
      <w:bookmarkStart w:id="510" w:name="_Toc164608651"/>
      <w:bookmarkStart w:id="511" w:name="_Toc151193851"/>
      <w:bookmarkStart w:id="512" w:name="_Toc226965810"/>
      <w:bookmarkStart w:id="513" w:name="_Toc151193707"/>
      <w:bookmarkStart w:id="514" w:name="_Toc150480775"/>
      <w:bookmarkStart w:id="515" w:name="_Toc151193925"/>
      <w:bookmarkStart w:id="516" w:name="_Toc26496922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17" w:name="_Toc195842903"/>
      <w:bookmarkStart w:id="518" w:name="_Toc150774743"/>
      <w:bookmarkStart w:id="519" w:name="_Toc305158806"/>
      <w:bookmarkStart w:id="520" w:name="_Toc150480776"/>
      <w:bookmarkStart w:id="521" w:name="_Toc305158880"/>
      <w:bookmarkStart w:id="522" w:name="_Toc151193780"/>
      <w:bookmarkStart w:id="523" w:name="_Toc226309782"/>
      <w:bookmarkStart w:id="524" w:name="_Toc151193636"/>
      <w:bookmarkStart w:id="525" w:name="_Toc150774638"/>
      <w:bookmarkStart w:id="526" w:name="_Toc520356163"/>
      <w:bookmarkStart w:id="527" w:name="_Toc226965728"/>
      <w:bookmarkStart w:id="528" w:name="_Toc151190165"/>
      <w:bookmarkStart w:id="529" w:name="_Toc142311040"/>
      <w:bookmarkStart w:id="530" w:name="_Toc151193926"/>
      <w:bookmarkStart w:id="531" w:name="_Toc226337234"/>
      <w:bookmarkStart w:id="532" w:name="_Toc265228376"/>
      <w:bookmarkStart w:id="533" w:name="_Toc127151538"/>
      <w:bookmarkStart w:id="534" w:name="_Toc151193852"/>
      <w:bookmarkStart w:id="535" w:name="_Toc151193708"/>
      <w:bookmarkStart w:id="536" w:name="_Toc226965811"/>
      <w:bookmarkStart w:id="537" w:name="_Toc264969228"/>
      <w:bookmarkStart w:id="538" w:name="_Toc150509289"/>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numPr>
          <w:ilvl w:val="0"/>
          <w:numId w:val="8"/>
        </w:numPr>
        <w:tabs>
          <w:tab w:val="left" w:pos="360"/>
        </w:tabs>
        <w:snapToGrid w:val="0"/>
        <w:spacing w:line="360" w:lineRule="auto"/>
        <w:ind w:left="357" w:hanging="357"/>
        <w:outlineLvl w:val="1"/>
        <w:rPr>
          <w:sz w:val="24"/>
        </w:rPr>
      </w:pPr>
      <w:bookmarkStart w:id="539" w:name="_Toc164229234"/>
      <w:bookmarkStart w:id="540" w:name="_Toc265228377"/>
      <w:bookmarkStart w:id="541" w:name="_Toc164608653"/>
      <w:bookmarkStart w:id="542" w:name="_Toc149720832"/>
      <w:bookmarkStart w:id="543" w:name="_Toc226309783"/>
      <w:bookmarkStart w:id="544" w:name="_Toc226337235"/>
      <w:bookmarkStart w:id="545" w:name="_Toc151193709"/>
      <w:bookmarkStart w:id="546" w:name="_Toc264969229"/>
      <w:bookmarkStart w:id="547" w:name="_Toc151193927"/>
      <w:bookmarkStart w:id="548" w:name="_Toc151193781"/>
      <w:bookmarkStart w:id="549" w:name="_Toc151193637"/>
      <w:bookmarkStart w:id="550" w:name="_Toc520356164"/>
      <w:bookmarkStart w:id="551" w:name="_Toc127151539"/>
      <w:bookmarkStart w:id="552" w:name="_Toc305158881"/>
      <w:bookmarkStart w:id="553" w:name="_Toc127161453"/>
      <w:bookmarkStart w:id="554" w:name="_Toc164351633"/>
      <w:bookmarkStart w:id="555" w:name="_Toc127151740"/>
      <w:bookmarkStart w:id="556" w:name="_Toc305158807"/>
      <w:bookmarkStart w:id="557" w:name="_Toc142311041"/>
      <w:bookmarkStart w:id="558" w:name="_Toc164229380"/>
      <w:bookmarkStart w:id="559" w:name="_Toc151193853"/>
      <w:bookmarkStart w:id="560" w:name="_Toc150774639"/>
      <w:bookmarkStart w:id="561" w:name="_Toc150480777"/>
      <w:bookmarkStart w:id="562" w:name="_Toc226965729"/>
      <w:bookmarkStart w:id="563" w:name="_Toc195842904"/>
      <w:bookmarkStart w:id="564" w:name="_Toc150774744"/>
      <w:bookmarkStart w:id="565" w:name="_Toc226965812"/>
      <w:bookmarkStart w:id="566" w:name="_Toc151190166"/>
      <w:bookmarkStart w:id="567" w:name="_Toc164608808"/>
      <w:bookmarkStart w:id="568" w:name="_Toc150509290"/>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pPr>
        <w:numPr>
          <w:ilvl w:val="0"/>
          <w:numId w:val="8"/>
        </w:numPr>
        <w:tabs>
          <w:tab w:val="left" w:pos="360"/>
        </w:tabs>
        <w:snapToGrid w:val="0"/>
        <w:spacing w:line="360" w:lineRule="auto"/>
        <w:ind w:left="357" w:hanging="357"/>
        <w:outlineLvl w:val="1"/>
        <w:rPr>
          <w:sz w:val="24"/>
        </w:rPr>
      </w:pPr>
      <w:bookmarkStart w:id="572" w:name="_Toc127151741"/>
      <w:bookmarkStart w:id="573" w:name="_Toc150509291"/>
      <w:bookmarkStart w:id="574" w:name="_Toc149720833"/>
      <w:bookmarkStart w:id="575" w:name="_Toc164229381"/>
      <w:bookmarkStart w:id="576" w:name="_Toc305158808"/>
      <w:bookmarkStart w:id="577" w:name="_Toc150774640"/>
      <w:bookmarkStart w:id="578" w:name="_Toc164608809"/>
      <w:bookmarkStart w:id="579" w:name="_Toc226337236"/>
      <w:bookmarkStart w:id="580" w:name="_Toc226965813"/>
      <w:bookmarkStart w:id="581" w:name="_Toc264969230"/>
      <w:bookmarkStart w:id="582" w:name="_Toc195842905"/>
      <w:bookmarkStart w:id="583" w:name="_Toc151193782"/>
      <w:bookmarkStart w:id="584" w:name="_Toc226965730"/>
      <w:bookmarkStart w:id="585" w:name="_Toc150480778"/>
      <w:bookmarkStart w:id="586" w:name="_Toc265228378"/>
      <w:bookmarkStart w:id="587" w:name="_Toc151193928"/>
      <w:bookmarkStart w:id="588" w:name="_Toc226309784"/>
      <w:bookmarkStart w:id="589" w:name="_Toc151193710"/>
      <w:bookmarkStart w:id="590" w:name="_Toc164351634"/>
      <w:bookmarkStart w:id="591" w:name="_Toc151193638"/>
      <w:bookmarkStart w:id="592" w:name="_Toc151193854"/>
      <w:bookmarkStart w:id="593" w:name="_Toc151190167"/>
      <w:bookmarkStart w:id="594" w:name="_Toc150774745"/>
      <w:bookmarkStart w:id="595" w:name="_Toc164608654"/>
      <w:bookmarkStart w:id="596" w:name="_Toc127161454"/>
      <w:bookmarkStart w:id="597" w:name="_Toc142311042"/>
      <w:bookmarkStart w:id="598" w:name="_Toc305158882"/>
      <w:bookmarkStart w:id="599" w:name="_Toc127151540"/>
      <w:bookmarkStart w:id="600" w:name="_Toc164229235"/>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numPr>
          <w:ilvl w:val="1"/>
          <w:numId w:val="8"/>
        </w:numPr>
        <w:tabs>
          <w:tab w:val="left" w:pos="1080"/>
          <w:tab w:val="left" w:pos="2014"/>
        </w:tabs>
        <w:snapToGrid w:val="0"/>
        <w:spacing w:line="360" w:lineRule="auto"/>
        <w:ind w:left="1077" w:hanging="720"/>
        <w:rPr>
          <w:b/>
          <w:bCs/>
          <w:sz w:val="24"/>
        </w:rPr>
      </w:pPr>
      <w:r>
        <w:rPr>
          <w:sz w:val="24"/>
        </w:rPr>
        <w:t>评标委员会根据政府采购有关规定和本次采购项目的特点进行组建，并负责具体评标事务，独立履行职责。</w:t>
      </w:r>
      <w:bookmarkStart w:id="601" w:name="_Toc520356166"/>
      <w:r>
        <w:rPr>
          <w:rFonts w:hint="eastAsia" w:ascii="宋体" w:hAnsi="宋体" w:cs="宋体"/>
          <w:b/>
          <w:bCs/>
          <w:spacing w:val="2"/>
          <w:sz w:val="24"/>
        </w:rPr>
        <w:t>评标委员会由采购人代表和评审专家共</w:t>
      </w:r>
      <w:r>
        <w:rPr>
          <w:rFonts w:hint="eastAsia" w:ascii="宋体" w:hAnsi="宋体" w:cs="宋体"/>
          <w:b/>
          <w:bCs/>
          <w:spacing w:val="2"/>
          <w:sz w:val="24"/>
          <w:lang w:val="en-US" w:eastAsia="zh-CN"/>
        </w:rPr>
        <w:t>5</w:t>
      </w:r>
      <w:r>
        <w:rPr>
          <w:rFonts w:ascii="宋体" w:hAnsi="宋体" w:cs="宋体"/>
          <w:b/>
          <w:bCs/>
          <w:spacing w:val="2"/>
          <w:sz w:val="24"/>
        </w:rPr>
        <w:t>人组成，</w:t>
      </w:r>
      <w:r>
        <w:rPr>
          <w:rFonts w:hint="eastAsia" w:ascii="宋体" w:hAnsi="宋体" w:cs="宋体"/>
          <w:b/>
          <w:bCs/>
          <w:spacing w:val="2"/>
          <w:sz w:val="24"/>
        </w:rPr>
        <w:t>采购人代表</w:t>
      </w:r>
      <w:r>
        <w:rPr>
          <w:rFonts w:hint="eastAsia" w:ascii="宋体" w:hAnsi="宋体" w:cs="宋体"/>
          <w:b/>
          <w:bCs/>
          <w:spacing w:val="2"/>
          <w:sz w:val="24"/>
          <w:lang w:val="en-US" w:eastAsia="zh-CN"/>
        </w:rPr>
        <w:t>1</w:t>
      </w:r>
      <w:r>
        <w:rPr>
          <w:rFonts w:ascii="宋体" w:hAnsi="宋体" w:cs="宋体"/>
          <w:b/>
          <w:bCs/>
          <w:spacing w:val="2"/>
          <w:sz w:val="24"/>
        </w:rPr>
        <w:t>人，北京市专家库系统随机抽取专家</w:t>
      </w:r>
      <w:r>
        <w:rPr>
          <w:rFonts w:hint="eastAsia" w:ascii="宋体" w:hAnsi="宋体" w:cs="宋体"/>
          <w:b/>
          <w:bCs/>
          <w:spacing w:val="2"/>
          <w:sz w:val="24"/>
          <w:lang w:val="en-US" w:eastAsia="zh-CN"/>
        </w:rPr>
        <w:t>4</w:t>
      </w:r>
      <w:r>
        <w:rPr>
          <w:rFonts w:ascii="宋体" w:hAnsi="宋体" w:cs="宋体"/>
          <w:b/>
          <w:bCs/>
          <w:spacing w:val="2"/>
          <w:sz w:val="24"/>
        </w:rPr>
        <w:t>人。</w:t>
      </w:r>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03" w:name="_Toc265228383"/>
      <w:bookmarkStart w:id="604" w:name="_Toc151190172"/>
      <w:bookmarkStart w:id="605" w:name="_Toc150774645"/>
      <w:bookmarkStart w:id="606" w:name="_Toc142311047"/>
      <w:bookmarkStart w:id="607" w:name="_Toc151193787"/>
      <w:bookmarkStart w:id="608" w:name="_Toc226965818"/>
      <w:bookmarkStart w:id="609" w:name="_Toc151193859"/>
      <w:bookmarkStart w:id="610" w:name="_Toc226965735"/>
      <w:bookmarkStart w:id="611" w:name="_Toc150774750"/>
      <w:bookmarkStart w:id="612" w:name="_Toc150480783"/>
      <w:bookmarkStart w:id="613" w:name="_Toc195842910"/>
      <w:bookmarkStart w:id="614" w:name="_Toc127151545"/>
      <w:bookmarkStart w:id="615" w:name="_Toc151193933"/>
      <w:bookmarkStart w:id="616" w:name="_Toc305158813"/>
      <w:bookmarkStart w:id="617" w:name="_Toc305158887"/>
      <w:bookmarkStart w:id="618" w:name="_Toc150509296"/>
      <w:bookmarkStart w:id="619" w:name="_Toc226309789"/>
      <w:bookmarkStart w:id="620" w:name="_Toc151193715"/>
      <w:bookmarkStart w:id="621" w:name="_Toc226337241"/>
      <w:bookmarkStart w:id="622" w:name="_Toc264969235"/>
      <w:bookmarkStart w:id="623" w:name="_Toc151193643"/>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95842912"/>
      <w:bookmarkStart w:id="625" w:name="_Toc226337243"/>
      <w:bookmarkStart w:id="626" w:name="_Toc127161461"/>
      <w:bookmarkStart w:id="627" w:name="_Toc164608661"/>
      <w:bookmarkStart w:id="628" w:name="_Toc305158889"/>
      <w:bookmarkStart w:id="629" w:name="_Toc151193645"/>
      <w:bookmarkStart w:id="630" w:name="_Toc151193861"/>
      <w:bookmarkStart w:id="631" w:name="_Toc142311049"/>
      <w:bookmarkStart w:id="632" w:name="_Toc150774752"/>
      <w:bookmarkStart w:id="633" w:name="_Toc127151748"/>
      <w:bookmarkStart w:id="634" w:name="_Toc151193789"/>
      <w:bookmarkStart w:id="635" w:name="_Toc149720840"/>
      <w:bookmarkStart w:id="636" w:name="_Toc226965820"/>
      <w:bookmarkStart w:id="637" w:name="_Toc226309791"/>
      <w:bookmarkStart w:id="638" w:name="_Toc164229388"/>
      <w:bookmarkStart w:id="639" w:name="_Toc264969237"/>
      <w:bookmarkStart w:id="640" w:name="_Toc164608816"/>
      <w:bookmarkStart w:id="641" w:name="_Toc150509298"/>
      <w:bookmarkStart w:id="642" w:name="_Toc150480785"/>
      <w:bookmarkStart w:id="643" w:name="_Toc151190174"/>
      <w:bookmarkStart w:id="644" w:name="_Toc164229242"/>
      <w:bookmarkStart w:id="645" w:name="_Toc226965737"/>
      <w:bookmarkStart w:id="646" w:name="_Toc151193935"/>
      <w:bookmarkStart w:id="647" w:name="_Toc150774647"/>
      <w:bookmarkStart w:id="648" w:name="_Toc164351641"/>
      <w:bookmarkStart w:id="649" w:name="_Toc305158815"/>
      <w:bookmarkStart w:id="650" w:name="_Toc151193717"/>
      <w:bookmarkStart w:id="651" w:name="_Toc127151547"/>
      <w:bookmarkStart w:id="652" w:name="_Toc265228385"/>
    </w:p>
    <w:p>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151193937"/>
      <w:bookmarkStart w:id="656" w:name="_Toc264969239"/>
      <w:bookmarkStart w:id="657" w:name="_Toc164229244"/>
      <w:bookmarkStart w:id="658" w:name="_Toc226337245"/>
      <w:bookmarkStart w:id="659" w:name="_Toc151193647"/>
      <w:bookmarkStart w:id="660" w:name="_Toc265228387"/>
      <w:bookmarkStart w:id="661" w:name="_Toc164229390"/>
      <w:bookmarkStart w:id="662" w:name="_Toc127161463"/>
      <w:bookmarkStart w:id="663" w:name="_Toc164351643"/>
      <w:bookmarkStart w:id="664" w:name="_Toc151193791"/>
      <w:bookmarkStart w:id="665" w:name="_Toc164608818"/>
      <w:bookmarkStart w:id="666" w:name="_Toc150509300"/>
      <w:bookmarkStart w:id="667" w:name="_Toc151190176"/>
      <w:bookmarkStart w:id="668" w:name="_Toc151193719"/>
      <w:bookmarkStart w:id="669" w:name="_Toc150480787"/>
      <w:bookmarkStart w:id="670" w:name="_Toc226965822"/>
      <w:bookmarkStart w:id="671" w:name="_Toc226965739"/>
      <w:bookmarkStart w:id="672" w:name="_Toc127151549"/>
      <w:bookmarkStart w:id="673" w:name="_Toc149720842"/>
      <w:bookmarkStart w:id="674" w:name="_Toc195842914"/>
      <w:bookmarkStart w:id="675" w:name="_Toc127151750"/>
      <w:bookmarkStart w:id="676" w:name="_Toc142311051"/>
      <w:bookmarkStart w:id="677" w:name="_Toc226309793"/>
      <w:bookmarkStart w:id="678" w:name="_Toc151193863"/>
      <w:bookmarkStart w:id="679" w:name="_Toc150774649"/>
      <w:bookmarkStart w:id="680" w:name="_Toc150774754"/>
      <w:bookmarkStart w:id="681" w:name="_Toc164608663"/>
      <w:bookmarkStart w:id="682" w:name="_Ref467306425"/>
      <w:bookmarkStart w:id="683" w:name="_Toc520356176"/>
      <w:bookmarkStart w:id="684" w:name="_Ref467307090"/>
      <w:r>
        <w:rPr>
          <w:sz w:val="24"/>
        </w:rPr>
        <w:t>中标公告与中标通知书</w:t>
      </w:r>
      <w:bookmarkEnd w:id="653"/>
      <w:bookmarkEnd w:id="654"/>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Pr>
        <w:numPr>
          <w:ilvl w:val="0"/>
          <w:numId w:val="8"/>
        </w:numPr>
        <w:tabs>
          <w:tab w:val="left" w:pos="360"/>
        </w:tabs>
        <w:snapToGrid w:val="0"/>
        <w:spacing w:line="360" w:lineRule="auto"/>
        <w:ind w:left="357" w:hanging="357"/>
        <w:outlineLvl w:val="1"/>
        <w:rPr>
          <w:sz w:val="24"/>
        </w:rPr>
      </w:pPr>
      <w:bookmarkStart w:id="685" w:name="_Toc151193792"/>
      <w:bookmarkStart w:id="686" w:name="_Toc264969240"/>
      <w:bookmarkStart w:id="687" w:name="_Toc150509301"/>
      <w:bookmarkStart w:id="688" w:name="_Ref467306377"/>
      <w:bookmarkStart w:id="689" w:name="_Toc127151550"/>
      <w:bookmarkStart w:id="690" w:name="_Toc226337246"/>
      <w:bookmarkStart w:id="691" w:name="_Toc164608819"/>
      <w:bookmarkStart w:id="692" w:name="_Toc226965740"/>
      <w:bookmarkStart w:id="693" w:name="_Toc164229245"/>
      <w:bookmarkStart w:id="694" w:name="_Toc265228388"/>
      <w:bookmarkStart w:id="695" w:name="_Toc151193864"/>
      <w:bookmarkStart w:id="696" w:name="_Toc164229391"/>
      <w:bookmarkStart w:id="697" w:name="_Toc150774755"/>
      <w:bookmarkStart w:id="698" w:name="_Toc151193648"/>
      <w:bookmarkStart w:id="699" w:name="_Toc142311052"/>
      <w:bookmarkStart w:id="700" w:name="_Toc127151751"/>
      <w:bookmarkStart w:id="701" w:name="_Toc305158892"/>
      <w:bookmarkStart w:id="702" w:name="_Toc164351644"/>
      <w:bookmarkStart w:id="703" w:name="_Toc150480788"/>
      <w:bookmarkStart w:id="704" w:name="_Toc151193938"/>
      <w:bookmarkStart w:id="705" w:name="_Toc149720843"/>
      <w:bookmarkStart w:id="706" w:name="_Toc305158818"/>
      <w:bookmarkStart w:id="707" w:name="_Toc164608664"/>
      <w:bookmarkStart w:id="708" w:name="_Toc151193720"/>
      <w:bookmarkStart w:id="709" w:name="_Ref467307204"/>
      <w:bookmarkStart w:id="710" w:name="_Ref467306978"/>
      <w:bookmarkStart w:id="711" w:name="_Toc195842915"/>
      <w:bookmarkStart w:id="712" w:name="_Toc127161464"/>
      <w:bookmarkStart w:id="713" w:name="_Toc226309794"/>
      <w:bookmarkStart w:id="714" w:name="_Toc151190177"/>
      <w:bookmarkStart w:id="715" w:name="_Ref467307062"/>
      <w:bookmarkStart w:id="716" w:name="_Toc226965823"/>
      <w:bookmarkStart w:id="717" w:name="_Toc150774650"/>
      <w:bookmarkStart w:id="718" w:name="_Toc520356175"/>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0" w:name="_Toc226337250"/>
      <w:bookmarkStart w:id="721" w:name="_Toc353873664"/>
      <w:bookmarkStart w:id="722" w:name="_Toc142311056"/>
      <w:bookmarkStart w:id="723" w:name="_Toc150480792"/>
      <w:bookmarkStart w:id="724" w:name="_Toc226965827"/>
      <w:bookmarkStart w:id="725" w:name="_Toc353873934"/>
      <w:bookmarkStart w:id="726" w:name="_Toc305158822"/>
      <w:bookmarkStart w:id="727" w:name="_Toc264969244"/>
      <w:bookmarkStart w:id="728" w:name="_Toc150774759"/>
      <w:bookmarkStart w:id="729" w:name="_Toc265228392"/>
      <w:bookmarkStart w:id="730" w:name="_Toc353825544"/>
      <w:bookmarkStart w:id="731" w:name="_Toc305158896"/>
      <w:bookmarkStart w:id="732" w:name="_Toc127151554"/>
      <w:r>
        <w:rPr>
          <w:sz w:val="24"/>
        </w:rPr>
        <w:br w:type="page"/>
      </w:r>
      <w:bookmarkStart w:id="733" w:name="_Toc15454"/>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37" w:name="_Hlt487972895"/>
            <w:bookmarkEnd w:id="737"/>
            <w:bookmarkStart w:id="738" w:name="_Hlk143693460"/>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1-4</w:t>
            </w:r>
          </w:p>
        </w:tc>
        <w:tc>
          <w:tcPr>
            <w:tcW w:w="1982" w:type="dxa"/>
            <w:vAlign w:val="center"/>
          </w:tcPr>
          <w:p>
            <w:pPr>
              <w:tabs>
                <w:tab w:val="left" w:pos="1080"/>
              </w:tabs>
              <w:snapToGrid w:val="0"/>
              <w:rPr>
                <w:sz w:val="24"/>
              </w:rPr>
            </w:pPr>
            <w:r>
              <w:rPr>
                <w:sz w:val="24"/>
              </w:rPr>
              <w:t>法律、行政法规规定的其他条件</w:t>
            </w:r>
          </w:p>
        </w:tc>
        <w:tc>
          <w:tcPr>
            <w:tcW w:w="4822" w:type="dxa"/>
            <w:vAlign w:val="center"/>
          </w:tcPr>
          <w:p>
            <w:pPr>
              <w:tabs>
                <w:tab w:val="left" w:pos="1080"/>
              </w:tabs>
              <w:snapToGrid w:val="0"/>
              <w:rPr>
                <w:sz w:val="24"/>
              </w:rPr>
            </w:pPr>
            <w:r>
              <w:rPr>
                <w:sz w:val="24"/>
              </w:rPr>
              <w:t>法律、行政法规规定的其他条件</w:t>
            </w:r>
          </w:p>
        </w:tc>
        <w:tc>
          <w:tcPr>
            <w:tcW w:w="1639"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r>
              <w:rPr>
                <w:sz w:val="24"/>
              </w:rPr>
              <w:t>中小企业政策证明文件</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2-1-1</w:t>
            </w:r>
          </w:p>
        </w:tc>
        <w:tc>
          <w:tcPr>
            <w:tcW w:w="1982" w:type="dxa"/>
            <w:vAlign w:val="center"/>
          </w:tcPr>
          <w:p>
            <w:pPr>
              <w:tabs>
                <w:tab w:val="left" w:pos="1080"/>
              </w:tabs>
              <w:snapToGrid w:val="0"/>
              <w:rPr>
                <w:sz w:val="24"/>
              </w:rPr>
            </w:pPr>
            <w:r>
              <w:rPr>
                <w:sz w:val="24"/>
              </w:rPr>
              <w:t>中小企业证明文件</w:t>
            </w:r>
          </w:p>
        </w:tc>
        <w:tc>
          <w:tcPr>
            <w:tcW w:w="4822"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2-1-2</w:t>
            </w:r>
          </w:p>
        </w:tc>
        <w:tc>
          <w:tcPr>
            <w:tcW w:w="1982" w:type="dxa"/>
            <w:vAlign w:val="center"/>
          </w:tcPr>
          <w:p>
            <w:pPr>
              <w:tabs>
                <w:tab w:val="left" w:pos="1080"/>
              </w:tabs>
              <w:snapToGrid w:val="0"/>
              <w:rPr>
                <w:sz w:val="24"/>
              </w:rPr>
            </w:pPr>
            <w:r>
              <w:rPr>
                <w:sz w:val="24"/>
              </w:rPr>
              <w:t>拟分包情况说明及分包意向协议</w:t>
            </w:r>
          </w:p>
        </w:tc>
        <w:tc>
          <w:tcPr>
            <w:tcW w:w="4822"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sz w:val="24"/>
              </w:rPr>
              <w:t>本项目对于联合体的要求</w:t>
            </w:r>
          </w:p>
        </w:tc>
        <w:tc>
          <w:tcPr>
            <w:tcW w:w="4822"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639" w:type="dxa"/>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3-2</w:t>
            </w:r>
          </w:p>
        </w:tc>
        <w:tc>
          <w:tcPr>
            <w:tcW w:w="1982" w:type="dxa"/>
            <w:vAlign w:val="center"/>
          </w:tcPr>
          <w:p>
            <w:pPr>
              <w:tabs>
                <w:tab w:val="left" w:pos="1080"/>
              </w:tabs>
              <w:snapToGrid w:val="0"/>
              <w:rPr>
                <w:sz w:val="24"/>
              </w:rPr>
            </w:pPr>
            <w:r>
              <w:rPr>
                <w:sz w:val="24"/>
              </w:rPr>
              <w:t>政府购买服务承接主体的要求</w:t>
            </w:r>
          </w:p>
        </w:tc>
        <w:tc>
          <w:tcPr>
            <w:tcW w:w="4822"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sz w:val="24"/>
              </w:rPr>
            </w:pPr>
            <w:r>
              <w:rPr>
                <w:sz w:val="24"/>
              </w:rPr>
              <w:t>3-3</w:t>
            </w:r>
          </w:p>
        </w:tc>
        <w:tc>
          <w:tcPr>
            <w:tcW w:w="1982" w:type="dxa"/>
            <w:vAlign w:val="center"/>
          </w:tcPr>
          <w:p>
            <w:pPr>
              <w:tabs>
                <w:tab w:val="left" w:pos="1080"/>
              </w:tabs>
              <w:snapToGrid w:val="0"/>
              <w:rPr>
                <w:sz w:val="24"/>
              </w:rPr>
            </w:pPr>
            <w:r>
              <w:rPr>
                <w:sz w:val="24"/>
              </w:rPr>
              <w:t>其他特定资格要求</w:t>
            </w:r>
          </w:p>
        </w:tc>
        <w:tc>
          <w:tcPr>
            <w:tcW w:w="4822" w:type="dxa"/>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4</w:t>
            </w:r>
          </w:p>
        </w:tc>
        <w:tc>
          <w:tcPr>
            <w:tcW w:w="1982" w:type="dxa"/>
            <w:vAlign w:val="center"/>
          </w:tcPr>
          <w:p>
            <w:pPr>
              <w:tabs>
                <w:tab w:val="left" w:pos="1080"/>
              </w:tabs>
              <w:snapToGrid w:val="0"/>
              <w:rPr>
                <w:sz w:val="24"/>
              </w:rPr>
            </w:pPr>
            <w:r>
              <w:rPr>
                <w:sz w:val="24"/>
              </w:rPr>
              <w:t>投标保证金</w:t>
            </w:r>
          </w:p>
        </w:tc>
        <w:tc>
          <w:tcPr>
            <w:tcW w:w="4822" w:type="dxa"/>
            <w:vAlign w:val="center"/>
          </w:tcPr>
          <w:p>
            <w:pPr>
              <w:tabs>
                <w:tab w:val="left" w:pos="1080"/>
              </w:tabs>
              <w:snapToGrid w:val="0"/>
              <w:rPr>
                <w:sz w:val="24"/>
              </w:rPr>
            </w:pPr>
            <w:r>
              <w:rPr>
                <w:color w:val="000000"/>
                <w:kern w:val="0"/>
                <w:sz w:val="24"/>
              </w:rPr>
              <w:t>按照招标文件的规定提交投标保证金。</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5</w:t>
            </w:r>
          </w:p>
        </w:tc>
        <w:tc>
          <w:tcPr>
            <w:tcW w:w="1982" w:type="dxa"/>
            <w:vAlign w:val="center"/>
          </w:tcPr>
          <w:p>
            <w:pPr>
              <w:tabs>
                <w:tab w:val="left" w:pos="1080"/>
              </w:tabs>
              <w:snapToGrid w:val="0"/>
              <w:rPr>
                <w:sz w:val="24"/>
              </w:rPr>
            </w:pPr>
            <w:r>
              <w:rPr>
                <w:sz w:val="24"/>
              </w:rPr>
              <w:t>获取招标文件</w:t>
            </w:r>
          </w:p>
        </w:tc>
        <w:tc>
          <w:tcPr>
            <w:tcW w:w="4822"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9" w:type="dxa"/>
            <w:vAlign w:val="center"/>
          </w:tcPr>
          <w:p>
            <w:pPr>
              <w:tabs>
                <w:tab w:val="left" w:pos="1080"/>
              </w:tabs>
              <w:snapToGrid w:val="0"/>
              <w:rPr>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tbl>
    <w:p>
      <w:pPr>
        <w:widowControl/>
        <w:jc w:val="left"/>
        <w:rPr>
          <w:sz w:val="24"/>
        </w:rPr>
      </w:pPr>
      <w:bookmarkStart w:id="739" w:name="_Hlt522424701"/>
      <w:bookmarkEnd w:id="739"/>
      <w:bookmarkStart w:id="740" w:name="_Hlt487900425"/>
      <w:bookmarkEnd w:id="740"/>
      <w:bookmarkStart w:id="741" w:name="_Toc353825550"/>
      <w:bookmarkStart w:id="742" w:name="_Toc127151779"/>
      <w:bookmarkStart w:id="743" w:name="_Toc127161490"/>
      <w:bookmarkStart w:id="744" w:name="_Toc353873940"/>
      <w:bookmarkStart w:id="745" w:name="_Toc226965858"/>
      <w:r>
        <w:rPr>
          <w:sz w:val="24"/>
        </w:rPr>
        <w:br w:type="page"/>
      </w:r>
    </w:p>
    <w:p>
      <w:pPr>
        <w:spacing w:line="360" w:lineRule="auto"/>
        <w:jc w:val="center"/>
        <w:outlineLvl w:val="0"/>
        <w:rPr>
          <w:b/>
          <w:sz w:val="36"/>
          <w:szCs w:val="36"/>
        </w:rPr>
      </w:pPr>
      <w:bookmarkStart w:id="746" w:name="_Toc12002"/>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48" w:name="_Toc164608655"/>
      <w:bookmarkStart w:id="749" w:name="_Toc265228379"/>
      <w:bookmarkStart w:id="750" w:name="_Toc149720834"/>
      <w:bookmarkStart w:id="751" w:name="_Toc226965731"/>
      <w:bookmarkStart w:id="752" w:name="_Toc164229382"/>
      <w:bookmarkStart w:id="753" w:name="_Toc150509292"/>
      <w:bookmarkStart w:id="754" w:name="_Toc151190168"/>
      <w:bookmarkStart w:id="755" w:name="_Toc195842906"/>
      <w:bookmarkStart w:id="756" w:name="_Toc305158883"/>
      <w:bookmarkStart w:id="757" w:name="_Toc226309785"/>
      <w:bookmarkStart w:id="758" w:name="_Toc164608810"/>
      <w:bookmarkStart w:id="759" w:name="_Toc264969231"/>
      <w:bookmarkStart w:id="760" w:name="_Toc226337237"/>
      <w:bookmarkStart w:id="761" w:name="_Toc164229236"/>
      <w:bookmarkStart w:id="762" w:name="_Toc142311043"/>
      <w:bookmarkStart w:id="763" w:name="_Toc305158809"/>
      <w:bookmarkStart w:id="764" w:name="_Toc150774746"/>
      <w:bookmarkStart w:id="765" w:name="_Toc151193929"/>
      <w:bookmarkStart w:id="766" w:name="_Toc127151742"/>
      <w:bookmarkStart w:id="767" w:name="_Toc150774641"/>
      <w:bookmarkStart w:id="768" w:name="_Toc151193855"/>
      <w:bookmarkStart w:id="769" w:name="_Toc127151541"/>
      <w:bookmarkStart w:id="770" w:name="_Toc127161455"/>
      <w:bookmarkStart w:id="771" w:name="_Toc151193639"/>
      <w:bookmarkStart w:id="772" w:name="_Toc226965814"/>
      <w:bookmarkStart w:id="773" w:name="_Toc150480779"/>
      <w:bookmarkStart w:id="774" w:name="_Toc164351635"/>
      <w:bookmarkStart w:id="775" w:name="_Toc151193711"/>
      <w:bookmarkStart w:id="776" w:name="_Toc151193783"/>
      <w:bookmarkStart w:id="777" w:name="_Toc353873941"/>
      <w:bookmarkStart w:id="778" w:name="_Toc353825551"/>
      <w:bookmarkStart w:id="779" w:name="_Toc305158897"/>
      <w:bookmarkStart w:id="780" w:name="_Toc226965828"/>
      <w:bookmarkStart w:id="781" w:name="_Toc305158823"/>
      <w:bookmarkStart w:id="782" w:name="_Toc150480793"/>
      <w:bookmarkStart w:id="783" w:name="_Toc353825545"/>
      <w:bookmarkStart w:id="784" w:name="_Toc142311057"/>
      <w:bookmarkStart w:id="785" w:name="_Toc353873935"/>
      <w:bookmarkStart w:id="786" w:name="_Toc195842920"/>
      <w:bookmarkStart w:id="787" w:name="_Toc264969245"/>
      <w:bookmarkStart w:id="788" w:name="_Toc353873665"/>
      <w:bookmarkStart w:id="789" w:name="_Toc127151555"/>
      <w:bookmarkStart w:id="790" w:name="_Toc226337251"/>
      <w:bookmarkStart w:id="791" w:name="_Toc265228393"/>
      <w:bookmarkStart w:id="792" w:name="_Toc150774760"/>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9" w:type="dxa"/>
            <w:shd w:val="clear" w:color="auto" w:fill="auto"/>
            <w:vAlign w:val="center"/>
          </w:tcPr>
          <w:p>
            <w:pPr>
              <w:widowControl/>
              <w:jc w:val="center"/>
              <w:rPr>
                <w:b/>
                <w:color w:val="000000"/>
                <w:kern w:val="0"/>
                <w:sz w:val="24"/>
              </w:rPr>
            </w:pPr>
            <w:r>
              <w:rPr>
                <w:b/>
                <w:color w:val="000000"/>
                <w:kern w:val="0"/>
                <w:sz w:val="24"/>
              </w:rPr>
              <w:t>序号</w:t>
            </w:r>
          </w:p>
        </w:tc>
        <w:tc>
          <w:tcPr>
            <w:tcW w:w="1812" w:type="dxa"/>
            <w:shd w:val="clear" w:color="auto" w:fill="auto"/>
            <w:vAlign w:val="center"/>
          </w:tcPr>
          <w:p>
            <w:pPr>
              <w:widowControl/>
              <w:jc w:val="center"/>
              <w:rPr>
                <w:b/>
                <w:color w:val="000000"/>
                <w:kern w:val="0"/>
                <w:sz w:val="24"/>
              </w:rPr>
            </w:pPr>
            <w:r>
              <w:rPr>
                <w:b/>
                <w:color w:val="000000"/>
                <w:kern w:val="0"/>
                <w:sz w:val="24"/>
              </w:rPr>
              <w:t>审查因素</w:t>
            </w:r>
          </w:p>
        </w:tc>
        <w:tc>
          <w:tcPr>
            <w:tcW w:w="6727"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p>
        </w:tc>
        <w:tc>
          <w:tcPr>
            <w:tcW w:w="1812" w:type="dxa"/>
            <w:shd w:val="clear" w:color="auto" w:fill="auto"/>
            <w:vAlign w:val="center"/>
          </w:tcPr>
          <w:p>
            <w:pPr>
              <w:widowControl/>
              <w:jc w:val="left"/>
              <w:rPr>
                <w:color w:val="000000"/>
                <w:kern w:val="0"/>
                <w:sz w:val="24"/>
              </w:rPr>
            </w:pPr>
            <w:r>
              <w:rPr>
                <w:color w:val="000000"/>
                <w:kern w:val="0"/>
                <w:sz w:val="24"/>
              </w:rPr>
              <w:t>授权委托书</w:t>
            </w:r>
          </w:p>
        </w:tc>
        <w:tc>
          <w:tcPr>
            <w:tcW w:w="6727"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2</w:t>
            </w:r>
          </w:p>
        </w:tc>
        <w:tc>
          <w:tcPr>
            <w:tcW w:w="1812" w:type="dxa"/>
            <w:shd w:val="clear" w:color="auto" w:fill="auto"/>
            <w:vAlign w:val="center"/>
          </w:tcPr>
          <w:p>
            <w:pPr>
              <w:widowControl/>
              <w:jc w:val="left"/>
              <w:rPr>
                <w:color w:val="000000"/>
                <w:kern w:val="0"/>
                <w:sz w:val="24"/>
              </w:rPr>
            </w:pPr>
            <w:r>
              <w:rPr>
                <w:color w:val="000000"/>
                <w:kern w:val="0"/>
                <w:sz w:val="24"/>
              </w:rPr>
              <w:t>投标完整性</w:t>
            </w:r>
          </w:p>
        </w:tc>
        <w:tc>
          <w:tcPr>
            <w:tcW w:w="6727" w:type="dxa"/>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3</w:t>
            </w:r>
          </w:p>
        </w:tc>
        <w:tc>
          <w:tcPr>
            <w:tcW w:w="1812" w:type="dxa"/>
            <w:shd w:val="clear" w:color="auto" w:fill="auto"/>
            <w:vAlign w:val="center"/>
          </w:tcPr>
          <w:p>
            <w:pPr>
              <w:widowControl/>
              <w:jc w:val="left"/>
              <w:rPr>
                <w:color w:val="000000"/>
                <w:kern w:val="0"/>
                <w:sz w:val="24"/>
              </w:rPr>
            </w:pPr>
            <w:r>
              <w:rPr>
                <w:color w:val="000000"/>
                <w:kern w:val="0"/>
                <w:sz w:val="24"/>
              </w:rPr>
              <w:t>投标报价</w:t>
            </w:r>
          </w:p>
        </w:tc>
        <w:tc>
          <w:tcPr>
            <w:tcW w:w="6727" w:type="dxa"/>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4</w:t>
            </w:r>
          </w:p>
        </w:tc>
        <w:tc>
          <w:tcPr>
            <w:tcW w:w="1812" w:type="dxa"/>
            <w:shd w:val="clear" w:color="auto" w:fill="auto"/>
            <w:vAlign w:val="center"/>
          </w:tcPr>
          <w:p>
            <w:pPr>
              <w:widowControl/>
              <w:jc w:val="left"/>
              <w:rPr>
                <w:color w:val="000000"/>
                <w:kern w:val="0"/>
                <w:sz w:val="24"/>
              </w:rPr>
            </w:pPr>
            <w:r>
              <w:rPr>
                <w:color w:val="000000"/>
                <w:kern w:val="0"/>
                <w:sz w:val="24"/>
              </w:rPr>
              <w:t>报价唯一性</w:t>
            </w:r>
          </w:p>
        </w:tc>
        <w:tc>
          <w:tcPr>
            <w:tcW w:w="6727" w:type="dxa"/>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5</w:t>
            </w:r>
          </w:p>
        </w:tc>
        <w:tc>
          <w:tcPr>
            <w:tcW w:w="1812" w:type="dxa"/>
            <w:shd w:val="clear" w:color="auto" w:fill="auto"/>
            <w:vAlign w:val="center"/>
          </w:tcPr>
          <w:p>
            <w:pPr>
              <w:widowControl/>
              <w:jc w:val="left"/>
              <w:rPr>
                <w:color w:val="000000"/>
                <w:kern w:val="0"/>
                <w:sz w:val="24"/>
              </w:rPr>
            </w:pPr>
            <w:r>
              <w:rPr>
                <w:color w:val="000000"/>
                <w:kern w:val="0"/>
                <w:sz w:val="24"/>
              </w:rPr>
              <w:t>投标有效期</w:t>
            </w:r>
          </w:p>
        </w:tc>
        <w:tc>
          <w:tcPr>
            <w:tcW w:w="6727" w:type="dxa"/>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6</w:t>
            </w:r>
          </w:p>
        </w:tc>
        <w:tc>
          <w:tcPr>
            <w:tcW w:w="1812" w:type="dxa"/>
            <w:shd w:val="clear" w:color="auto" w:fill="auto"/>
            <w:vAlign w:val="center"/>
          </w:tcPr>
          <w:p>
            <w:pPr>
              <w:widowControl/>
              <w:jc w:val="left"/>
              <w:rPr>
                <w:color w:val="000000"/>
                <w:kern w:val="0"/>
                <w:sz w:val="24"/>
              </w:rPr>
            </w:pPr>
            <w:r>
              <w:rPr>
                <w:color w:val="000000"/>
                <w:kern w:val="0"/>
                <w:sz w:val="24"/>
              </w:rPr>
              <w:t>实质性格式</w:t>
            </w:r>
          </w:p>
        </w:tc>
        <w:tc>
          <w:tcPr>
            <w:tcW w:w="6727" w:type="dxa"/>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7</w:t>
            </w:r>
          </w:p>
        </w:tc>
        <w:tc>
          <w:tcPr>
            <w:tcW w:w="1812" w:type="dxa"/>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8</w:t>
            </w:r>
          </w:p>
        </w:tc>
        <w:tc>
          <w:tcPr>
            <w:tcW w:w="1812" w:type="dxa"/>
            <w:shd w:val="clear" w:color="auto" w:fill="auto"/>
            <w:vAlign w:val="center"/>
          </w:tcPr>
          <w:p>
            <w:pPr>
              <w:widowControl/>
              <w:jc w:val="left"/>
              <w:rPr>
                <w:color w:val="000000"/>
                <w:kern w:val="0"/>
                <w:sz w:val="24"/>
              </w:rPr>
            </w:pPr>
            <w:r>
              <w:rPr>
                <w:sz w:val="24"/>
              </w:rPr>
              <w:t>拟分包情况说明（如有）</w:t>
            </w:r>
          </w:p>
        </w:tc>
        <w:tc>
          <w:tcPr>
            <w:tcW w:w="6727" w:type="dxa"/>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9</w:t>
            </w:r>
          </w:p>
        </w:tc>
        <w:tc>
          <w:tcPr>
            <w:tcW w:w="1812" w:type="dxa"/>
            <w:shd w:val="clear" w:color="auto" w:fill="auto"/>
            <w:vAlign w:val="center"/>
          </w:tcPr>
          <w:p>
            <w:pPr>
              <w:widowControl/>
              <w:jc w:val="left"/>
              <w:rPr>
                <w:color w:val="000000"/>
                <w:kern w:val="0"/>
                <w:sz w:val="24"/>
              </w:rPr>
            </w:pPr>
            <w:r>
              <w:rPr>
                <w:color w:val="000000"/>
                <w:kern w:val="0"/>
                <w:sz w:val="24"/>
              </w:rPr>
              <w:t>分包其他要求（如有）</w:t>
            </w:r>
          </w:p>
        </w:tc>
        <w:tc>
          <w:tcPr>
            <w:tcW w:w="6727" w:type="dxa"/>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10</w:t>
            </w:r>
          </w:p>
        </w:tc>
        <w:tc>
          <w:tcPr>
            <w:tcW w:w="1812" w:type="dxa"/>
            <w:shd w:val="clear" w:color="auto" w:fill="auto"/>
            <w:vAlign w:val="center"/>
          </w:tcPr>
          <w:p>
            <w:pPr>
              <w:widowControl/>
              <w:jc w:val="left"/>
              <w:rPr>
                <w:color w:val="000000"/>
                <w:kern w:val="0"/>
                <w:sz w:val="24"/>
              </w:rPr>
            </w:pPr>
            <w:r>
              <w:rPr>
                <w:color w:val="000000"/>
                <w:kern w:val="0"/>
                <w:sz w:val="24"/>
              </w:rPr>
              <w:t>报价的修正（如有）</w:t>
            </w:r>
          </w:p>
        </w:tc>
        <w:tc>
          <w:tcPr>
            <w:tcW w:w="6727" w:type="dxa"/>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11</w:t>
            </w:r>
          </w:p>
        </w:tc>
        <w:tc>
          <w:tcPr>
            <w:tcW w:w="1812" w:type="dxa"/>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727" w:type="dxa"/>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12</w:t>
            </w:r>
          </w:p>
        </w:tc>
        <w:tc>
          <w:tcPr>
            <w:tcW w:w="1812"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6727"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13</w:t>
            </w:r>
          </w:p>
        </w:tc>
        <w:tc>
          <w:tcPr>
            <w:tcW w:w="1812" w:type="dxa"/>
            <w:shd w:val="clear" w:color="auto" w:fill="auto"/>
            <w:vAlign w:val="center"/>
          </w:tcPr>
          <w:p>
            <w:pPr>
              <w:widowControl/>
              <w:jc w:val="left"/>
              <w:rPr>
                <w:color w:val="000000"/>
                <w:kern w:val="0"/>
                <w:sz w:val="24"/>
              </w:rPr>
            </w:pPr>
            <w:r>
              <w:rPr>
                <w:color w:val="000000"/>
                <w:kern w:val="0"/>
                <w:sz w:val="24"/>
              </w:rPr>
              <w:t>公平竞争</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14</w:t>
            </w:r>
          </w:p>
        </w:tc>
        <w:tc>
          <w:tcPr>
            <w:tcW w:w="1812" w:type="dxa"/>
            <w:shd w:val="clear" w:color="auto" w:fill="auto"/>
            <w:vAlign w:val="center"/>
          </w:tcPr>
          <w:p>
            <w:pPr>
              <w:widowControl/>
              <w:jc w:val="left"/>
              <w:rPr>
                <w:color w:val="000000"/>
                <w:kern w:val="0"/>
                <w:sz w:val="24"/>
              </w:rPr>
            </w:pPr>
            <w:r>
              <w:rPr>
                <w:color w:val="000000"/>
                <w:kern w:val="0"/>
                <w:sz w:val="24"/>
              </w:rPr>
              <w:t>串通投标</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r>
              <w:rPr>
                <w:rFonts w:hint="eastAsia"/>
                <w:color w:val="000000"/>
                <w:kern w:val="0"/>
                <w:sz w:val="24"/>
              </w:rPr>
              <w:t>5</w:t>
            </w:r>
          </w:p>
        </w:tc>
        <w:tc>
          <w:tcPr>
            <w:tcW w:w="1812" w:type="dxa"/>
            <w:shd w:val="clear" w:color="auto" w:fill="auto"/>
            <w:vAlign w:val="center"/>
          </w:tcPr>
          <w:p>
            <w:pPr>
              <w:widowControl/>
              <w:jc w:val="left"/>
              <w:rPr>
                <w:color w:val="000000"/>
                <w:kern w:val="0"/>
                <w:sz w:val="24"/>
              </w:rPr>
            </w:pPr>
            <w:r>
              <w:rPr>
                <w:color w:val="000000"/>
                <w:kern w:val="0"/>
                <w:sz w:val="24"/>
              </w:rPr>
              <w:t>附加条件</w:t>
            </w:r>
          </w:p>
        </w:tc>
        <w:tc>
          <w:tcPr>
            <w:tcW w:w="6727" w:type="dxa"/>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r>
              <w:rPr>
                <w:rFonts w:hint="eastAsia"/>
                <w:color w:val="000000"/>
                <w:kern w:val="0"/>
                <w:sz w:val="24"/>
              </w:rPr>
              <w:t>6</w:t>
            </w:r>
          </w:p>
        </w:tc>
        <w:tc>
          <w:tcPr>
            <w:tcW w:w="1812" w:type="dxa"/>
            <w:shd w:val="clear" w:color="auto" w:fill="auto"/>
            <w:vAlign w:val="center"/>
          </w:tcPr>
          <w:p>
            <w:pPr>
              <w:widowControl/>
              <w:jc w:val="left"/>
              <w:rPr>
                <w:color w:val="000000"/>
                <w:kern w:val="0"/>
                <w:sz w:val="24"/>
              </w:rPr>
            </w:pPr>
            <w:r>
              <w:rPr>
                <w:color w:val="000000"/>
                <w:kern w:val="0"/>
                <w:sz w:val="24"/>
              </w:rPr>
              <w:t>其他无效情形</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795" w:name="_Hlk220085436"/>
      <w:r>
        <w:rPr>
          <w:rFonts w:hint="eastAsia"/>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6" w:name="_Hlk190337965"/>
      <w:r>
        <w:rPr>
          <w:rFonts w:hint="eastAsia"/>
          <w:color w:val="000000"/>
          <w:sz w:val="24"/>
        </w:rPr>
        <w:t xml:space="preserve"> </w:t>
      </w:r>
      <w:r>
        <w:rPr>
          <w:rFonts w:hint="eastAsia"/>
          <w:sz w:val="24"/>
        </w:rPr>
        <w:t>上述投标（响应）报价指按照本章2.4修正后的报价</w:t>
      </w:r>
      <w:bookmarkEnd w:id="796"/>
      <w:r>
        <w:rPr>
          <w:rFonts w:hint="eastAsia"/>
          <w:sz w:val="24"/>
        </w:rPr>
        <w:t>。</w:t>
      </w:r>
    </w:p>
    <w:bookmarkEnd w:id="795"/>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rPr>
        <w:t>■</w:t>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797" w:name="_Toc305158888"/>
      <w:bookmarkStart w:id="798" w:name="_Toc127161460"/>
      <w:bookmarkStart w:id="799" w:name="_Toc195842911"/>
      <w:bookmarkStart w:id="800" w:name="_Toc164351640"/>
      <w:bookmarkStart w:id="801" w:name="_Toc150774751"/>
      <w:bookmarkStart w:id="802" w:name="_Toc150480784"/>
      <w:bookmarkStart w:id="803" w:name="_Toc151193716"/>
      <w:bookmarkStart w:id="804" w:name="_Toc164229387"/>
      <w:bookmarkStart w:id="805" w:name="_Toc149720839"/>
      <w:bookmarkStart w:id="806" w:name="_Toc164608660"/>
      <w:bookmarkStart w:id="807" w:name="_Toc164608815"/>
      <w:bookmarkStart w:id="808" w:name="_Toc150509297"/>
      <w:bookmarkStart w:id="809" w:name="_Toc305158814"/>
      <w:bookmarkStart w:id="810" w:name="_Toc127151747"/>
      <w:bookmarkStart w:id="811" w:name="_Toc151190173"/>
      <w:bookmarkStart w:id="812" w:name="_Toc264969236"/>
      <w:bookmarkStart w:id="813" w:name="_Ref467307010"/>
      <w:bookmarkStart w:id="814" w:name="_Toc520356170"/>
      <w:bookmarkStart w:id="815" w:name="_Toc151193788"/>
      <w:bookmarkStart w:id="816" w:name="_Toc226965819"/>
      <w:bookmarkStart w:id="817" w:name="_Toc265228384"/>
      <w:bookmarkStart w:id="818" w:name="_Toc151193934"/>
      <w:bookmarkStart w:id="819" w:name="_Toc164229241"/>
      <w:bookmarkStart w:id="820" w:name="_Toc151193860"/>
      <w:bookmarkStart w:id="821" w:name="_Toc150774646"/>
      <w:bookmarkStart w:id="822" w:name="_Toc151193644"/>
      <w:bookmarkStart w:id="823" w:name="_Toc226965736"/>
      <w:bookmarkStart w:id="824" w:name="_Toc127151546"/>
      <w:bookmarkStart w:id="825" w:name="_Toc226337242"/>
      <w:bookmarkStart w:id="826" w:name="_Toc142311048"/>
      <w:bookmarkStart w:id="827" w:name="_Toc226309790"/>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wordWrap w:val="0"/>
        <w:spacing w:line="467" w:lineRule="exact"/>
        <w:ind w:left="1251" w:right="3"/>
        <w:rPr>
          <w:rFonts w:ascii="宋体" w:hAnsi="宋体" w:cs="宋体"/>
          <w:sz w:val="24"/>
        </w:rPr>
      </w:pPr>
      <w:r>
        <w:rPr>
          <w:rFonts w:hint="eastAsia" w:ascii="宋体" w:hAnsi="宋体" w:cs="宋体"/>
          <w:sz w:val="24"/>
        </w:rPr>
        <w:t>■</w:t>
      </w:r>
      <w:r>
        <w:rPr>
          <w:sz w:val="24"/>
        </w:rPr>
        <w:t>其他方式，具体要求：</w:t>
      </w:r>
      <w:r>
        <w:rPr>
          <w:rFonts w:hint="eastAsia" w:ascii="宋体" w:hAnsi="宋体" w:cs="宋体"/>
          <w:b/>
          <w:sz w:val="24"/>
          <w:u w:val="single"/>
        </w:rPr>
        <w:t>得分相同的按照价低者优先，得分且投标报价均相同的，以技术分得分高者优先</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tbl>
      <w:tblPr>
        <w:tblStyle w:val="43"/>
        <w:tblW w:w="10152"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76"/>
        <w:gridCol w:w="850"/>
        <w:gridCol w:w="566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280"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b/>
                <w:color w:val="auto"/>
                <w:sz w:val="24"/>
                <w:szCs w:val="24"/>
              </w:rPr>
              <w:t>序号</w:t>
            </w:r>
          </w:p>
        </w:tc>
        <w:tc>
          <w:tcPr>
            <w:tcW w:w="1276"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评审项目</w:t>
            </w:r>
          </w:p>
        </w:tc>
        <w:tc>
          <w:tcPr>
            <w:tcW w:w="850"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分值</w:t>
            </w:r>
          </w:p>
        </w:tc>
        <w:tc>
          <w:tcPr>
            <w:tcW w:w="6746" w:type="dxa"/>
            <w:gridSpan w:val="2"/>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8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商务部分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20分</w:t>
            </w: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业绩</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12分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供应商自202</w:t>
            </w:r>
            <w:r>
              <w:rPr>
                <w:rFonts w:hint="eastAsia" w:ascii="华文仿宋" w:hAnsi="华文仿宋" w:eastAsia="华文仿宋" w:cs="华文仿宋"/>
                <w:color w:val="auto"/>
                <w:sz w:val="24"/>
                <w:szCs w:val="24"/>
                <w:lang w:val="en-US" w:eastAsia="zh-CN"/>
              </w:rPr>
              <w:t>3</w:t>
            </w:r>
            <w:r>
              <w:rPr>
                <w:rFonts w:hint="eastAsia" w:ascii="华文仿宋" w:hAnsi="华文仿宋" w:eastAsia="华文仿宋" w:cs="华文仿宋"/>
                <w:color w:val="auto"/>
                <w:sz w:val="24"/>
                <w:szCs w:val="24"/>
                <w:lang w:eastAsia="zh-CN"/>
              </w:rPr>
              <w:t>年</w:t>
            </w:r>
            <w:r>
              <w:rPr>
                <w:rFonts w:hint="eastAsia" w:ascii="华文仿宋" w:hAnsi="华文仿宋" w:eastAsia="华文仿宋" w:cs="华文仿宋"/>
                <w:color w:val="auto"/>
                <w:sz w:val="24"/>
                <w:szCs w:val="24"/>
                <w:lang w:val="en-US" w:eastAsia="zh-CN"/>
              </w:rPr>
              <w:t>4</w:t>
            </w:r>
            <w:r>
              <w:rPr>
                <w:rFonts w:hint="eastAsia" w:ascii="华文仿宋" w:hAnsi="华文仿宋" w:eastAsia="华文仿宋" w:cs="华文仿宋"/>
                <w:color w:val="auto"/>
                <w:sz w:val="24"/>
                <w:szCs w:val="24"/>
                <w:lang w:eastAsia="zh-CN"/>
              </w:rPr>
              <w:t>月</w:t>
            </w:r>
            <w:r>
              <w:rPr>
                <w:rFonts w:hint="eastAsia" w:ascii="华文仿宋" w:hAnsi="华文仿宋" w:eastAsia="华文仿宋" w:cs="华文仿宋"/>
                <w:color w:val="auto"/>
                <w:sz w:val="24"/>
                <w:szCs w:val="24"/>
                <w:lang w:val="en-US" w:eastAsia="zh-CN"/>
              </w:rPr>
              <w:t>1</w:t>
            </w:r>
            <w:r>
              <w:rPr>
                <w:rFonts w:hint="eastAsia" w:ascii="华文仿宋" w:hAnsi="华文仿宋" w:eastAsia="华文仿宋" w:cs="华文仿宋"/>
                <w:color w:val="auto"/>
                <w:sz w:val="24"/>
                <w:szCs w:val="24"/>
                <w:lang w:eastAsia="zh-CN"/>
              </w:rPr>
              <w:t>日至今提供保安服务项目业绩1个得3分，最多得12分；</w:t>
            </w:r>
          </w:p>
          <w:p>
            <w:pPr>
              <w:spacing w:line="440" w:lineRule="exact"/>
              <w:rPr>
                <w:rFonts w:hint="eastAsia" w:ascii="华文仿宋" w:hAnsi="华文仿宋" w:eastAsia="华文仿宋" w:cs="华文仿宋"/>
                <w:color w:val="auto"/>
                <w:sz w:val="24"/>
                <w:szCs w:val="24"/>
                <w:lang w:eastAsia="zh-CN"/>
              </w:rPr>
            </w:pPr>
            <w:r>
              <w:rPr>
                <w:rFonts w:hint="eastAsia" w:ascii="方正仿宋_GB2312" w:hAnsi="方正仿宋_GB2312" w:eastAsia="方正仿宋_GB2312" w:cs="方正仿宋_GB2312"/>
                <w:sz w:val="24"/>
                <w:szCs w:val="24"/>
                <w:highlight w:val="none"/>
              </w:rPr>
              <w:t>需附合同关键页原件扫描件加盖本单位公章。</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综合实力</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8分</w:t>
            </w:r>
          </w:p>
        </w:tc>
        <w:tc>
          <w:tcPr>
            <w:tcW w:w="5668" w:type="dxa"/>
            <w:vAlign w:val="center"/>
          </w:tcPr>
          <w:p>
            <w:pP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综合考虑信誉荣誉、财务状况、履约能力等合理得8分、一般得4分、较差得0分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128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服务部分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70分</w:t>
            </w: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针对本项目的安保护卫服务的整体方案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30分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结合本项目特点能够提出针对性强的整体服务设想及策划，人员配备合理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结合本项目特点能够提出相应的整体服务设想及策划，人员配备较合理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提出针对性不强的整体服务设想及策划，人员配置不合理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重点部位的防范方案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c>
          <w:tcPr>
            <w:tcW w:w="5668" w:type="dxa"/>
            <w:tcBorders>
              <w:bottom w:val="single" w:color="auto" w:sz="4" w:space="0"/>
            </w:tcBorders>
            <w:vAlign w:val="center"/>
          </w:tcPr>
          <w:p>
            <w:pPr>
              <w:spacing w:line="440" w:lineRule="exact"/>
              <w:ind w:leftChars="-18" w:hanging="43" w:hangingChars="18"/>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针对重点部位的安防方案详细、可操作性强，能够有力的保证重点部位的正常运行</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针对重点部位的安防方案较详细、可操作性一般，能够保证重点部位的正常运行</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针对重点部位的安防方案不详细，对重点部位的安防基本满足招标文件要求</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各种应急情况处理预案</w:t>
            </w:r>
          </w:p>
        </w:tc>
        <w:tc>
          <w:tcPr>
            <w:tcW w:w="850" w:type="dxa"/>
            <w:vMerge w:val="restart"/>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对各种紧急情况预估全面、处理方案有很强的针对性，能够充分保障工作的正常运行</w:t>
            </w:r>
          </w:p>
        </w:tc>
        <w:tc>
          <w:tcPr>
            <w:tcW w:w="1078" w:type="dxa"/>
            <w:tcBorders>
              <w:left w:val="single" w:color="auto" w:sz="4" w:space="0"/>
            </w:tcBorders>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对各种紧急情况预估较全面、处理方案有针对性，能够保障工作正常运行</w:t>
            </w:r>
          </w:p>
        </w:tc>
        <w:tc>
          <w:tcPr>
            <w:tcW w:w="1078" w:type="dxa"/>
            <w:tcBorders>
              <w:lef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 xml:space="preserve">对各种紧急情况预估不全面、处理方案针对性不强 </w:t>
            </w:r>
          </w:p>
        </w:tc>
        <w:tc>
          <w:tcPr>
            <w:tcW w:w="1078" w:type="dxa"/>
            <w:tcBorders>
              <w:lef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服务时间保障方案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c>
          <w:tcPr>
            <w:tcW w:w="5668" w:type="dxa"/>
            <w:tcBorders>
              <w:top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有效、全面、可实施性强</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较为全面有效</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ind w:left="33" w:hanging="36" w:hangingChars="15"/>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满足招标文件要求</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shd w:val="clear" w:color="auto" w:fill="FFFFFF"/>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人员长期培训方案</w:t>
            </w:r>
          </w:p>
        </w:tc>
        <w:tc>
          <w:tcPr>
            <w:tcW w:w="850" w:type="dxa"/>
            <w:vMerge w:val="restart"/>
            <w:shd w:val="clear" w:color="auto" w:fill="FFFFFF"/>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科学合理、全面、详实</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较为科学合理、欠全面、详实</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不可行</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1280"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价格部分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投标报价得分</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c>
          <w:tcPr>
            <w:tcW w:w="6746" w:type="dxa"/>
            <w:gridSpan w:val="2"/>
          </w:tcPr>
          <w:p>
            <w:pPr>
              <w:snapToGrid w:val="0"/>
              <w:spacing w:line="440" w:lineRule="exact"/>
              <w:rPr>
                <w:rFonts w:hint="eastAsia" w:ascii="华文仿宋" w:hAnsi="华文仿宋" w:eastAsia="华文仿宋" w:cs="华文仿宋"/>
                <w:bCs/>
                <w:color w:val="auto"/>
                <w:sz w:val="24"/>
                <w:szCs w:val="24"/>
                <w:lang w:eastAsia="zh-CN"/>
              </w:rPr>
            </w:pPr>
            <w:r>
              <w:rPr>
                <w:rFonts w:hint="eastAsia" w:ascii="华文仿宋" w:hAnsi="华文仿宋" w:eastAsia="华文仿宋" w:cs="华文仿宋"/>
                <w:bCs/>
                <w:color w:val="auto"/>
                <w:sz w:val="24"/>
                <w:szCs w:val="24"/>
                <w:lang w:eastAsia="zh-CN"/>
              </w:rPr>
              <w:t>综合评分法中的价格分统一采用低价优先法计算，即满足招标文件要求且投标价格最低的投标报价为评标基准价，其价格分为满分。其他供应商的价格分统一按照下列公式计算：</w:t>
            </w:r>
          </w:p>
          <w:p>
            <w:pPr>
              <w:snapToGrid w:val="0"/>
              <w:spacing w:line="440" w:lineRule="exact"/>
              <w:rPr>
                <w:rFonts w:hint="eastAsia" w:ascii="华文仿宋" w:hAnsi="华文仿宋" w:eastAsia="华文仿宋" w:cs="华文仿宋"/>
                <w:bCs/>
                <w:color w:val="auto"/>
                <w:sz w:val="24"/>
                <w:szCs w:val="24"/>
                <w:lang w:eastAsia="zh-CN"/>
              </w:rPr>
            </w:pPr>
            <w:r>
              <w:rPr>
                <w:rFonts w:hint="eastAsia" w:ascii="华文仿宋" w:hAnsi="华文仿宋" w:eastAsia="华文仿宋" w:cs="华文仿宋"/>
                <w:bCs/>
                <w:color w:val="auto"/>
                <w:sz w:val="24"/>
                <w:szCs w:val="24"/>
                <w:lang w:eastAsia="zh-CN"/>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2556" w:type="dxa"/>
            <w:gridSpan w:val="2"/>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合计</w:t>
            </w:r>
          </w:p>
        </w:tc>
        <w:tc>
          <w:tcPr>
            <w:tcW w:w="7596" w:type="dxa"/>
            <w:gridSpan w:val="3"/>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满分100分</w:t>
            </w:r>
          </w:p>
        </w:tc>
      </w:tr>
    </w:tbl>
    <w:p>
      <w:pPr>
        <w:wordWrap w:val="0"/>
        <w:rPr>
          <w:rFonts w:ascii="宋体" w:hAnsi="宋体" w:cs="宋体"/>
        </w:rPr>
      </w:pPr>
    </w:p>
    <w:p>
      <w:pPr>
        <w:spacing w:line="360" w:lineRule="auto"/>
        <w:jc w:val="center"/>
        <w:outlineLvl w:val="0"/>
        <w:rPr>
          <w:b/>
          <w:sz w:val="36"/>
          <w:szCs w:val="36"/>
        </w:rPr>
      </w:pPr>
      <w:r>
        <w:rPr>
          <w:b/>
          <w:sz w:val="36"/>
          <w:szCs w:val="36"/>
        </w:rPr>
        <w:br w:type="page"/>
      </w:r>
      <w:bookmarkStart w:id="828" w:name="_Toc14684"/>
      <w:r>
        <w:rPr>
          <w:b/>
          <w:sz w:val="36"/>
          <w:szCs w:val="36"/>
        </w:rPr>
        <w:t>第五章   采购需求</w:t>
      </w:r>
      <w:bookmarkEnd w:id="828"/>
    </w:p>
    <w:p>
      <w:pPr>
        <w:spacing w:before="60" w:beforeLines="25" w:after="60" w:afterLines="25"/>
        <w:rPr>
          <w:rFonts w:hint="eastAsia"/>
          <w:sz w:val="24"/>
          <w:lang w:val="en-US" w:eastAsia="zh-CN"/>
        </w:rPr>
      </w:pPr>
      <w:r>
        <w:rPr>
          <w:rFonts w:hint="eastAsia"/>
          <w:b/>
          <w:bCs/>
          <w:sz w:val="28"/>
          <w:szCs w:val="36"/>
          <w:lang w:val="en-US" w:eastAsia="zh-CN"/>
        </w:rPr>
        <w:t>一、</w:t>
      </w:r>
      <w:r>
        <w:rPr>
          <w:b/>
          <w:bCs/>
          <w:sz w:val="28"/>
          <w:szCs w:val="36"/>
        </w:rPr>
        <w:t>项目规模及概况</w:t>
      </w:r>
      <w:r>
        <w:rPr>
          <w:sz w:val="28"/>
          <w:szCs w:val="36"/>
        </w:rPr>
        <w:t>：</w:t>
      </w:r>
    </w:p>
    <w:p>
      <w:pPr>
        <w:spacing w:before="60" w:beforeLines="25" w:after="60" w:afterLines="25"/>
        <w:ind w:firstLine="480" w:firstLineChars="200"/>
        <w:rPr>
          <w:rFonts w:hint="eastAsia"/>
          <w:sz w:val="24"/>
          <w:lang w:val="en-US" w:eastAsia="zh-CN"/>
        </w:rPr>
      </w:pPr>
      <w:r>
        <w:rPr>
          <w:rFonts w:hint="eastAsia"/>
          <w:sz w:val="24"/>
          <w:lang w:val="en-US" w:eastAsia="zh-CN"/>
        </w:rPr>
        <w:t>北京市顺义区空港医院为公立性二级中西医结合专科医院，占地面积27707平方米，建筑面积15360平方米，含门急诊、住院病房、行政办公区、宿舍区、食堂等。我院现有在岗职工700余人（含三方人员），住院病床数168张。经院长办公会和院党委三重一大会议讨论决定，同意采购专业安保服务公司负责医院安全工作（包含：保安、中控、安检）</w:t>
      </w:r>
    </w:p>
    <w:p>
      <w:pPr>
        <w:spacing w:before="60" w:beforeLines="25" w:after="60" w:afterLines="25"/>
        <w:rPr>
          <w:lang w:eastAsia="zh-CN"/>
        </w:rPr>
      </w:pPr>
      <w:r>
        <w:rPr>
          <w:rFonts w:hint="eastAsia"/>
          <w:sz w:val="24"/>
          <w:lang w:val="en-US" w:eastAsia="zh-CN"/>
        </w:rPr>
        <w:t xml:space="preserve"> </w:t>
      </w:r>
    </w:p>
    <w:p>
      <w:pPr>
        <w:spacing w:before="60" w:beforeLines="25" w:after="60" w:afterLines="25"/>
        <w:rPr>
          <w:sz w:val="24"/>
          <w:lang w:eastAsia="zh-CN"/>
        </w:rPr>
      </w:pPr>
      <w:r>
        <w:rPr>
          <w:rFonts w:hint="eastAsia"/>
          <w:b/>
          <w:bCs/>
          <w:sz w:val="24"/>
          <w:lang w:val="en-US" w:eastAsia="zh-CN"/>
        </w:rPr>
        <w:t>二</w:t>
      </w:r>
      <w:r>
        <w:rPr>
          <w:rFonts w:hint="eastAsia"/>
          <w:b/>
          <w:bCs/>
          <w:sz w:val="24"/>
          <w:lang w:eastAsia="zh-CN"/>
        </w:rPr>
        <w:t>、</w:t>
      </w:r>
      <w:r>
        <w:rPr>
          <w:rFonts w:hint="eastAsia"/>
          <w:b/>
          <w:bCs/>
          <w:sz w:val="24"/>
          <w:lang w:val="en-US" w:eastAsia="zh-CN"/>
        </w:rPr>
        <w:t>服务</w:t>
      </w:r>
      <w:r>
        <w:rPr>
          <w:rFonts w:hint="eastAsia"/>
          <w:b/>
          <w:bCs/>
          <w:sz w:val="24"/>
          <w:lang w:eastAsia="zh-CN"/>
        </w:rPr>
        <w:t>期限</w:t>
      </w:r>
      <w:r>
        <w:rPr>
          <w:rFonts w:hint="eastAsia"/>
          <w:sz w:val="24"/>
          <w:lang w:eastAsia="zh-CN"/>
        </w:rPr>
        <w:t xml:space="preserve">：1年。 </w:t>
      </w:r>
    </w:p>
    <w:p>
      <w:pPr>
        <w:pStyle w:val="28"/>
        <w:rPr>
          <w:lang w:eastAsia="zh-CN"/>
        </w:rPr>
      </w:pPr>
    </w:p>
    <w:p>
      <w:pPr>
        <w:spacing w:before="60" w:beforeLines="25" w:after="60" w:afterLines="25"/>
        <w:rPr>
          <w:b/>
          <w:bCs/>
          <w:sz w:val="24"/>
          <w:lang w:eastAsia="zh-CN"/>
        </w:rPr>
      </w:pPr>
      <w:r>
        <w:rPr>
          <w:rFonts w:hint="eastAsia"/>
          <w:b/>
          <w:bCs/>
          <w:sz w:val="24"/>
          <w:lang w:val="en-US" w:eastAsia="zh-CN"/>
        </w:rPr>
        <w:t>三</w:t>
      </w:r>
      <w:r>
        <w:rPr>
          <w:rFonts w:hint="eastAsia"/>
          <w:b/>
          <w:bCs/>
          <w:sz w:val="24"/>
          <w:lang w:eastAsia="zh-CN"/>
        </w:rPr>
        <w:t>、</w:t>
      </w:r>
      <w:r>
        <w:rPr>
          <w:rFonts w:hint="eastAsia"/>
          <w:b/>
          <w:bCs/>
          <w:sz w:val="24"/>
          <w:lang w:val="en-US" w:eastAsia="zh-CN"/>
        </w:rPr>
        <w:t>服务</w:t>
      </w:r>
      <w:r>
        <w:rPr>
          <w:rFonts w:hint="eastAsia"/>
          <w:b/>
          <w:bCs/>
          <w:sz w:val="24"/>
          <w:lang w:eastAsia="zh-CN"/>
        </w:rPr>
        <w:t>内容</w:t>
      </w:r>
    </w:p>
    <w:p>
      <w:pPr>
        <w:spacing w:before="60" w:beforeLines="25" w:after="60" w:afterLines="25"/>
        <w:ind w:firstLine="240" w:firstLineChars="100"/>
        <w:rPr>
          <w:sz w:val="24"/>
          <w:lang w:eastAsia="zh-CN"/>
        </w:rPr>
      </w:pPr>
      <w:r>
        <w:rPr>
          <w:rFonts w:hint="eastAsia"/>
          <w:sz w:val="24"/>
          <w:lang w:val="en-US" w:eastAsia="zh-CN"/>
        </w:rPr>
        <w:t>1.</w:t>
      </w:r>
      <w:r>
        <w:rPr>
          <w:rFonts w:hint="eastAsia"/>
          <w:sz w:val="24"/>
          <w:lang w:eastAsia="zh-CN"/>
        </w:rPr>
        <w:t>因我院门急诊、住院量及在职职工（包含三方）人员的增加，为满足医院安保相关要求，安保人员</w:t>
      </w:r>
      <w:r>
        <w:rPr>
          <w:rFonts w:hint="eastAsia"/>
          <w:sz w:val="24"/>
          <w:lang w:val="en-US" w:eastAsia="zh-CN"/>
        </w:rPr>
        <w:t>岗位</w:t>
      </w:r>
      <w:r>
        <w:rPr>
          <w:rFonts w:hint="eastAsia"/>
          <w:sz w:val="24"/>
          <w:lang w:eastAsia="zh-CN"/>
        </w:rPr>
        <w:t>要求如下：安保人员</w:t>
      </w:r>
      <w:r>
        <w:rPr>
          <w:rFonts w:hint="eastAsia"/>
          <w:sz w:val="24"/>
          <w:lang w:val="en-US" w:eastAsia="zh-CN"/>
        </w:rPr>
        <w:t>不低于</w:t>
      </w:r>
      <w:r>
        <w:rPr>
          <w:rFonts w:hint="eastAsia"/>
          <w:sz w:val="24"/>
          <w:lang w:eastAsia="zh-CN"/>
        </w:rPr>
        <w:t>17人岗，含管理干部1人岗。其中保安</w:t>
      </w:r>
      <w:r>
        <w:rPr>
          <w:rFonts w:hint="eastAsia"/>
          <w:sz w:val="24"/>
          <w:lang w:val="en-US" w:eastAsia="zh-CN"/>
        </w:rPr>
        <w:t>不低于</w:t>
      </w:r>
      <w:r>
        <w:rPr>
          <w:rFonts w:hint="eastAsia"/>
          <w:sz w:val="24"/>
          <w:lang w:eastAsia="zh-CN"/>
        </w:rPr>
        <w:t>9人岗（</w:t>
      </w:r>
      <w:r>
        <w:rPr>
          <w:rFonts w:hint="eastAsia"/>
          <w:sz w:val="24"/>
          <w:lang w:val="en-US" w:eastAsia="zh-CN"/>
        </w:rPr>
        <w:t>含氧气工1人岗</w:t>
      </w:r>
      <w:r>
        <w:rPr>
          <w:rFonts w:hint="eastAsia"/>
          <w:sz w:val="24"/>
          <w:lang w:eastAsia="zh-CN"/>
        </w:rPr>
        <w:t>），中控室</w:t>
      </w:r>
      <w:r>
        <w:rPr>
          <w:rFonts w:hint="eastAsia"/>
          <w:sz w:val="24"/>
          <w:lang w:val="en-US" w:eastAsia="zh-CN"/>
        </w:rPr>
        <w:t>不低于</w:t>
      </w:r>
      <w:r>
        <w:rPr>
          <w:rFonts w:hint="eastAsia"/>
          <w:sz w:val="24"/>
          <w:lang w:eastAsia="zh-CN"/>
        </w:rPr>
        <w:t>4人岗，安检</w:t>
      </w:r>
      <w:r>
        <w:rPr>
          <w:rFonts w:hint="eastAsia"/>
          <w:sz w:val="24"/>
          <w:lang w:val="en-US" w:eastAsia="zh-CN"/>
        </w:rPr>
        <w:t>不低于</w:t>
      </w:r>
      <w:r>
        <w:rPr>
          <w:rFonts w:hint="eastAsia"/>
          <w:sz w:val="24"/>
          <w:lang w:eastAsia="zh-CN"/>
        </w:rPr>
        <w:t>4人岗（</w:t>
      </w:r>
      <w:r>
        <w:rPr>
          <w:rFonts w:hint="eastAsia"/>
          <w:sz w:val="24"/>
          <w:lang w:val="en-US" w:eastAsia="zh-CN"/>
        </w:rPr>
        <w:t>含女安检2人岗</w:t>
      </w:r>
      <w:r>
        <w:rPr>
          <w:rFonts w:hint="eastAsia"/>
          <w:sz w:val="24"/>
          <w:lang w:eastAsia="zh-CN"/>
        </w:rPr>
        <w:t xml:space="preserve">）。 </w:t>
      </w:r>
    </w:p>
    <w:p>
      <w:pPr>
        <w:spacing w:before="60" w:beforeLines="25" w:after="60" w:afterLines="25"/>
        <w:ind w:firstLine="240" w:firstLineChars="100"/>
        <w:rPr>
          <w:rFonts w:hint="eastAsia"/>
          <w:sz w:val="24"/>
          <w:lang w:eastAsia="zh-CN"/>
        </w:rPr>
      </w:pPr>
      <w:r>
        <w:rPr>
          <w:rFonts w:hint="eastAsia"/>
          <w:sz w:val="24"/>
          <w:lang w:val="en-US" w:eastAsia="zh-CN"/>
        </w:rPr>
        <w:t>2.</w:t>
      </w:r>
      <w:r>
        <w:rPr>
          <w:rFonts w:hint="eastAsia"/>
          <w:sz w:val="24"/>
          <w:lang w:eastAsia="zh-CN"/>
        </w:rPr>
        <w:t>公司需具有北京市公安局颁发的保安服务许可证。保安人员需持有保安证，安检人员需持有安检证，中控人员需持有消防设施操作员中级证书，氧气站人员需持有快开式压力容器证。</w:t>
      </w:r>
    </w:p>
    <w:p>
      <w:pPr>
        <w:spacing w:before="60" w:beforeLines="25" w:after="60" w:afterLines="25"/>
        <w:ind w:firstLine="480" w:firstLineChars="200"/>
        <w:rPr>
          <w:rFonts w:hint="eastAsia"/>
          <w:sz w:val="24"/>
          <w:lang w:eastAsia="zh-CN"/>
        </w:rPr>
      </w:pPr>
    </w:p>
    <w:p>
      <w:pPr>
        <w:pStyle w:val="28"/>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default" w:ascii="仿宋_GB2312" w:hAnsi="Times New Roman" w:eastAsia="仿宋_GB2312" w:cs="Times New Roman"/>
          <w:kern w:val="2"/>
          <w:sz w:val="32"/>
          <w:szCs w:val="32"/>
          <w:lang w:val="en-US" w:eastAsia="zh-CN" w:bidi="ar-SA"/>
        </w:rPr>
      </w:pPr>
    </w:p>
    <w:p/>
    <w:p>
      <w:pPr>
        <w:numPr>
          <w:ilvl w:val="0"/>
          <w:numId w:val="14"/>
        </w:numPr>
        <w:spacing w:line="360" w:lineRule="auto"/>
        <w:jc w:val="center"/>
        <w:outlineLvl w:val="0"/>
        <w:rPr>
          <w:b/>
          <w:sz w:val="36"/>
          <w:szCs w:val="36"/>
        </w:rPr>
      </w:pPr>
      <w:r>
        <w:rPr>
          <w:b/>
          <w:sz w:val="36"/>
          <w:szCs w:val="36"/>
        </w:rPr>
        <w:br w:type="page"/>
      </w:r>
      <w:bookmarkStart w:id="829" w:name="_Toc21071"/>
      <w:r>
        <w:rPr>
          <w:b/>
          <w:sz w:val="36"/>
          <w:szCs w:val="36"/>
        </w:rPr>
        <w:t xml:space="preserve">  拟签订的合同文本</w:t>
      </w:r>
      <w:bookmarkEnd w:id="829"/>
    </w:p>
    <w:p>
      <w:pPr>
        <w:pStyle w:val="41"/>
        <w:widowControl w:val="0"/>
        <w:numPr>
          <w:ilvl w:val="0"/>
          <w:numId w:val="0"/>
        </w:numPr>
        <w:spacing w:before="120" w:line="22" w:lineRule="atLeast"/>
        <w:jc w:val="both"/>
      </w:pPr>
    </w:p>
    <w:p>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北京市顺义区空港医院</w:t>
      </w:r>
    </w:p>
    <w:p>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安保服务合同</w:t>
      </w:r>
    </w:p>
    <w:p>
      <w:pPr>
        <w:spacing w:line="360" w:lineRule="auto"/>
        <w:ind w:left="-2" w:leftChars="-1" w:firstLine="2209" w:firstLineChars="550"/>
        <w:rPr>
          <w:rFonts w:hint="eastAsia" w:ascii="宋体" w:hAnsi="宋体" w:eastAsia="宋体" w:cs="宋体"/>
          <w:b/>
          <w:color w:val="auto"/>
          <w:sz w:val="40"/>
          <w:szCs w:val="40"/>
        </w:rPr>
      </w:pP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甲方:北京市顺义区空港医院</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法定代表人：冯善军</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地址：北京市顺义区后沙峪镇双裕街49号</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联系电话：010-80496842</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项目负责人：刘永强</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开户银行：北京银行后沙峪支行</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帐号：20000038659700025056600</w:t>
      </w:r>
    </w:p>
    <w:p>
      <w:pPr>
        <w:rPr>
          <w:color w:val="auto"/>
        </w:rPr>
      </w:pP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乙方:  </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法定代表人：  </w:t>
      </w:r>
    </w:p>
    <w:p>
      <w:pPr>
        <w:spacing w:line="360" w:lineRule="auto"/>
        <w:ind w:left="1677" w:leftChars="227" w:hanging="1200" w:hangingChars="500"/>
        <w:rPr>
          <w:rFonts w:hint="eastAsia" w:ascii="宋体" w:hAnsi="宋体" w:eastAsia="宋体" w:cs="宋体"/>
          <w:bCs/>
          <w:color w:val="auto"/>
          <w:sz w:val="24"/>
        </w:rPr>
      </w:pPr>
      <w:r>
        <w:rPr>
          <w:rFonts w:hint="eastAsia" w:ascii="宋体" w:hAnsi="宋体" w:eastAsia="宋体" w:cs="宋体"/>
          <w:bCs/>
          <w:color w:val="auto"/>
          <w:sz w:val="24"/>
        </w:rPr>
        <w:t xml:space="preserve">地址：  </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联系电话：  </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项目负责人：  </w:t>
      </w:r>
    </w:p>
    <w:p>
      <w:pPr>
        <w:spacing w:line="360" w:lineRule="auto"/>
        <w:ind w:left="-2" w:leftChars="-1"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开户银行： </w:t>
      </w:r>
      <w:r>
        <w:rPr>
          <w:rFonts w:hint="eastAsia" w:ascii="宋体" w:hAnsi="宋体" w:eastAsia="宋体" w:cs="宋体"/>
          <w:color w:val="auto"/>
          <w:sz w:val="24"/>
        </w:rPr>
        <w:t xml:space="preserve"> </w:t>
      </w:r>
    </w:p>
    <w:p>
      <w:pPr>
        <w:spacing w:line="360" w:lineRule="auto"/>
        <w:ind w:left="-2" w:leftChars="-1" w:firstLine="480" w:firstLineChars="200"/>
        <w:rPr>
          <w:rFonts w:hint="eastAsia" w:ascii="宋体" w:hAnsi="宋体" w:eastAsia="宋体" w:cs="宋体"/>
          <w:b/>
          <w:color w:val="auto"/>
          <w:sz w:val="24"/>
        </w:rPr>
      </w:pPr>
      <w:r>
        <w:rPr>
          <w:rFonts w:hint="eastAsia" w:ascii="宋体" w:hAnsi="宋体" w:eastAsia="宋体" w:cs="宋体"/>
          <w:bCs/>
          <w:color w:val="auto"/>
          <w:sz w:val="24"/>
        </w:rPr>
        <w:t xml:space="preserve">帐号： </w:t>
      </w:r>
      <w:r>
        <w:rPr>
          <w:rFonts w:hint="eastAsia" w:ascii="宋体" w:hAnsi="宋体" w:eastAsia="宋体" w:cs="宋体"/>
          <w:color w:val="auto"/>
          <w:sz w:val="24"/>
        </w:rPr>
        <w:t xml:space="preserve"> </w:t>
      </w:r>
    </w:p>
    <w:p>
      <w:pPr>
        <w:spacing w:line="360" w:lineRule="auto"/>
        <w:rPr>
          <w:rFonts w:hint="eastAsia" w:ascii="宋体" w:hAnsi="宋体" w:eastAsia="宋体" w:cs="宋体"/>
          <w:b/>
          <w:color w:val="auto"/>
          <w:sz w:val="24"/>
        </w:rPr>
      </w:pP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依照《中华人民共和国政府采购法》《中华人民共和国民法典》《保安服务管理条例》及其他有关法律法规，遵循平等、自愿、公平和诚实信用的原则，经甲乙双方友好协商，订立本合同。</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第一条 安保服务内容</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1.甲方聘请乙方安保人员，经双方确认的目标区域、实施安全保卫，做好防火、防盗、防破坏工作，防止侵害甲方财产安全及人员伤害的行为发生。</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乙方安保人员的具体值勤岗位、范围和勤务安排，由甲乙双方在法律、法规允许的范围内协商确定。乙方作为合作单位，同时也是甲方框架内服务企业。甲方如需要临时勤务、增加相关安保服务项目时，双方协商服务费用。</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第二条 安保人员岗位配置、服务期限、服务地点</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1.根据甲方需要聘</w:t>
      </w:r>
      <w:r>
        <w:rPr>
          <w:rFonts w:hint="eastAsia" w:ascii="宋体" w:hAnsi="宋体" w:eastAsia="宋体" w:cs="宋体"/>
          <w:color w:val="auto"/>
          <w:sz w:val="24"/>
          <w:lang w:val="en-US" w:eastAsia="zh-CN"/>
        </w:rPr>
        <w:t>请</w:t>
      </w:r>
      <w:r>
        <w:rPr>
          <w:rFonts w:hint="eastAsia" w:ascii="宋体" w:hAnsi="宋体" w:eastAsia="宋体" w:cs="宋体"/>
          <w:color w:val="auto"/>
          <w:sz w:val="24"/>
        </w:rPr>
        <w:t>乙方安保人员，含管理干部</w:t>
      </w:r>
      <w:r>
        <w:rPr>
          <w:rFonts w:hint="eastAsia" w:ascii="宋体" w:hAnsi="宋体" w:eastAsia="宋体" w:cs="宋体"/>
          <w:color w:val="auto"/>
          <w:sz w:val="24"/>
          <w:lang w:val="en-US" w:eastAsia="zh-CN"/>
        </w:rPr>
        <w:t>岗</w:t>
      </w:r>
      <w:r>
        <w:rPr>
          <w:rFonts w:hint="eastAsia" w:ascii="宋体" w:hAnsi="宋体" w:eastAsia="宋体" w:cs="宋体"/>
          <w:color w:val="auto"/>
          <w:sz w:val="24"/>
          <w:lang w:eastAsia="zh-CN"/>
        </w:rPr>
        <w:t>、</w:t>
      </w:r>
      <w:r>
        <w:rPr>
          <w:rFonts w:hint="eastAsia" w:ascii="宋体" w:hAnsi="宋体" w:eastAsia="宋体" w:cs="宋体"/>
          <w:color w:val="auto"/>
          <w:sz w:val="24"/>
        </w:rPr>
        <w:t>保安</w:t>
      </w:r>
      <w:r>
        <w:rPr>
          <w:rFonts w:hint="eastAsia" w:ascii="宋体" w:hAnsi="宋体" w:eastAsia="宋体" w:cs="宋体"/>
          <w:color w:val="auto"/>
          <w:sz w:val="24"/>
          <w:lang w:val="en-US" w:eastAsia="zh-CN"/>
        </w:rPr>
        <w:t>岗</w:t>
      </w:r>
      <w:r>
        <w:rPr>
          <w:rFonts w:hint="eastAsia" w:ascii="宋体" w:hAnsi="宋体" w:eastAsia="宋体" w:cs="宋体"/>
          <w:color w:val="auto"/>
          <w:sz w:val="24"/>
          <w:lang w:eastAsia="zh-CN"/>
        </w:rPr>
        <w:t>、</w:t>
      </w:r>
      <w:r>
        <w:rPr>
          <w:rFonts w:hint="eastAsia" w:ascii="宋体" w:hAnsi="宋体" w:eastAsia="宋体" w:cs="宋体"/>
          <w:color w:val="auto"/>
          <w:sz w:val="24"/>
        </w:rPr>
        <w:t>中控</w:t>
      </w:r>
      <w:r>
        <w:rPr>
          <w:rFonts w:hint="eastAsia" w:ascii="宋体" w:hAnsi="宋体" w:eastAsia="宋体" w:cs="宋体"/>
          <w:color w:val="auto"/>
          <w:sz w:val="24"/>
          <w:lang w:val="en-US" w:eastAsia="zh-CN"/>
        </w:rPr>
        <w:t>岗</w:t>
      </w:r>
      <w:r>
        <w:rPr>
          <w:rFonts w:hint="eastAsia" w:ascii="宋体" w:hAnsi="宋体" w:eastAsia="宋体" w:cs="宋体"/>
          <w:color w:val="auto"/>
          <w:sz w:val="24"/>
          <w:lang w:eastAsia="zh-CN"/>
        </w:rPr>
        <w:t>、</w:t>
      </w:r>
      <w:r>
        <w:rPr>
          <w:rFonts w:hint="eastAsia" w:ascii="宋体" w:hAnsi="宋体" w:eastAsia="宋体" w:cs="宋体"/>
          <w:color w:val="auto"/>
          <w:sz w:val="24"/>
        </w:rPr>
        <w:t>安检</w:t>
      </w:r>
      <w:r>
        <w:rPr>
          <w:rFonts w:hint="eastAsia" w:ascii="宋体" w:hAnsi="宋体" w:eastAsia="宋体" w:cs="宋体"/>
          <w:color w:val="auto"/>
          <w:sz w:val="24"/>
          <w:lang w:val="en-US" w:eastAsia="zh-CN"/>
        </w:rPr>
        <w:t>岗</w:t>
      </w:r>
      <w:r>
        <w:rPr>
          <w:rFonts w:hint="eastAsia" w:ascii="宋体" w:hAnsi="宋体" w:eastAsia="宋体" w:cs="宋体"/>
          <w:color w:val="auto"/>
          <w:sz w:val="24"/>
        </w:rPr>
        <w:t>。</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2.服务期限：</w:t>
      </w:r>
      <w:r>
        <w:rPr>
          <w:rFonts w:hint="eastAsia" w:ascii="宋体" w:hAnsi="宋体" w:cs="宋体"/>
          <w:color w:val="auto"/>
          <w:sz w:val="24"/>
        </w:rPr>
        <w:t>2026</w:t>
      </w:r>
      <w:r>
        <w:rPr>
          <w:rFonts w:hint="eastAsia" w:ascii="宋体" w:hAnsi="宋体" w:eastAsia="宋体" w:cs="宋体"/>
          <w:color w:val="auto"/>
          <w:sz w:val="24"/>
        </w:rPr>
        <w:t>年</w:t>
      </w:r>
      <w:r>
        <w:rPr>
          <w:rFonts w:hint="eastAsia" w:ascii="宋体" w:hAnsi="宋体" w:cs="宋体"/>
          <w:color w:val="auto"/>
          <w:sz w:val="24"/>
        </w:rPr>
        <w:t>5</w:t>
      </w:r>
      <w:r>
        <w:rPr>
          <w:rFonts w:hint="eastAsia" w:ascii="宋体" w:hAnsi="宋体" w:eastAsia="宋体" w:cs="宋体"/>
          <w:color w:val="auto"/>
          <w:sz w:val="24"/>
        </w:rPr>
        <w:t>月1日至</w:t>
      </w:r>
      <w:r>
        <w:rPr>
          <w:rFonts w:hint="eastAsia" w:ascii="宋体" w:hAnsi="宋体" w:cs="宋体"/>
          <w:color w:val="auto"/>
          <w:sz w:val="24"/>
        </w:rPr>
        <w:t>2027</w:t>
      </w:r>
      <w:r>
        <w:rPr>
          <w:rFonts w:hint="eastAsia" w:ascii="宋体" w:hAnsi="宋体" w:eastAsia="宋体" w:cs="宋体"/>
          <w:color w:val="auto"/>
          <w:sz w:val="24"/>
        </w:rPr>
        <w:t>年</w:t>
      </w:r>
      <w:r>
        <w:rPr>
          <w:rFonts w:hint="eastAsia" w:ascii="宋体" w:hAnsi="宋体" w:cs="宋体"/>
          <w:color w:val="auto"/>
          <w:sz w:val="24"/>
        </w:rPr>
        <w:t>4</w:t>
      </w:r>
      <w:r>
        <w:rPr>
          <w:rFonts w:hint="eastAsia" w:ascii="宋体" w:hAnsi="宋体" w:eastAsia="宋体" w:cs="宋体"/>
          <w:color w:val="auto"/>
          <w:sz w:val="24"/>
        </w:rPr>
        <w:t>月</w:t>
      </w:r>
      <w:r>
        <w:rPr>
          <w:rFonts w:hint="eastAsia" w:ascii="宋体" w:hAnsi="宋体" w:cs="宋体"/>
          <w:color w:val="auto"/>
          <w:sz w:val="24"/>
        </w:rPr>
        <w:t>30</w:t>
      </w:r>
      <w:r>
        <w:rPr>
          <w:rFonts w:hint="eastAsia" w:ascii="宋体" w:hAnsi="宋体" w:eastAsia="宋体" w:cs="宋体"/>
          <w:color w:val="auto"/>
          <w:sz w:val="24"/>
        </w:rPr>
        <w:t>日止。</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3.服务地点:北京市顺义区空港医院。</w:t>
      </w:r>
    </w:p>
    <w:p>
      <w:pPr>
        <w:spacing w:line="360" w:lineRule="auto"/>
        <w:ind w:left="-2" w:leftChars="-1" w:firstLine="482" w:firstLineChars="200"/>
        <w:rPr>
          <w:rFonts w:hint="eastAsia" w:ascii="宋体" w:hAnsi="宋体" w:eastAsia="宋体" w:cs="宋体"/>
          <w:color w:val="auto"/>
          <w:sz w:val="24"/>
        </w:rPr>
      </w:pPr>
      <w:r>
        <w:rPr>
          <w:rFonts w:hint="eastAsia" w:ascii="宋体" w:hAnsi="宋体" w:eastAsia="宋体" w:cs="宋体"/>
          <w:b/>
          <w:color w:val="auto"/>
          <w:sz w:val="24"/>
        </w:rPr>
        <w:t>第三条 工作时间</w:t>
      </w:r>
    </w:p>
    <w:p>
      <w:pPr>
        <w:spacing w:line="360" w:lineRule="auto"/>
        <w:ind w:left="-2" w:leftChars="-1" w:firstLine="480" w:firstLineChars="200"/>
        <w:rPr>
          <w:rFonts w:hint="eastAsia" w:ascii="宋体" w:hAnsi="宋体" w:eastAsia="宋体" w:cs="宋体"/>
          <w:b/>
          <w:color w:val="auto"/>
          <w:sz w:val="24"/>
        </w:rPr>
      </w:pPr>
      <w:r>
        <w:rPr>
          <w:rFonts w:hint="eastAsia" w:ascii="宋体" w:hAnsi="宋体" w:eastAsia="宋体" w:cs="宋体"/>
          <w:color w:val="auto"/>
          <w:sz w:val="24"/>
        </w:rPr>
        <w:t>安保人员保证每日要求的在岗人数，乙方负责为安保人员缴纳社会保险及节日加班费等。</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第四条 安保服务费付款方法</w:t>
      </w:r>
    </w:p>
    <w:p>
      <w:pPr>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1.服务费为：XXXX元，大写人民币：XXXX。该费用为乙方向本合同所指安保人员应支付的各项费用，包括但不限于：安保人员的工资、伙食费、节假日加班费、社保、福利费、住房公积金、税费、管理费等。（甲方提供住宿，安保人员住宿期间产生的水电费由甲方负责），甲方无需向个人支付任何费用。</w:t>
      </w:r>
    </w:p>
    <w:p>
      <w:pPr>
        <w:tabs>
          <w:tab w:val="left" w:pos="360"/>
          <w:tab w:val="left" w:pos="540"/>
          <w:tab w:val="left" w:pos="720"/>
          <w:tab w:val="left" w:pos="1080"/>
        </w:tabs>
        <w:adjustRightInd w:val="0"/>
        <w:spacing w:line="360" w:lineRule="auto"/>
        <w:ind w:firstLine="540"/>
        <w:rPr>
          <w:rFonts w:hint="eastAsia" w:ascii="宋体" w:hAnsi="宋体" w:eastAsia="宋体" w:cs="宋体"/>
          <w:color w:val="auto"/>
          <w:sz w:val="24"/>
        </w:rPr>
      </w:pPr>
      <w:r>
        <w:rPr>
          <w:rFonts w:hint="eastAsia" w:ascii="宋体" w:hAnsi="宋体" w:eastAsia="宋体" w:cs="宋体"/>
          <w:color w:val="auto"/>
          <w:sz w:val="24"/>
        </w:rPr>
        <w:t>2.服务费付款方式为月付。甲方付款前，乙方应向甲方提供等额合规发票、双方签字确认的考勤及考核表，甲方收到上述资料后于15日内以转账方式支付合同约定款项。如乙方未向甲方提供等额合规发票或双方签字确认的考勤及考核表，甲方有权不支付任何款项，且不承担任何违约责任。最终结算甲方依据每月安保服务实际考勤及考核结果进行服务费结算。</w:t>
      </w:r>
    </w:p>
    <w:p>
      <w:pPr>
        <w:tabs>
          <w:tab w:val="left" w:pos="360"/>
          <w:tab w:val="left" w:pos="540"/>
          <w:tab w:val="left" w:pos="720"/>
          <w:tab w:val="left" w:pos="1080"/>
        </w:tabs>
        <w:adjustRightInd w:val="0"/>
        <w:spacing w:line="360" w:lineRule="auto"/>
        <w:ind w:firstLine="540"/>
        <w:rPr>
          <w:rFonts w:hint="eastAsia" w:ascii="宋体" w:hAnsi="宋体" w:eastAsia="宋体" w:cs="宋体"/>
          <w:color w:val="auto"/>
          <w:sz w:val="24"/>
        </w:rPr>
      </w:pPr>
      <w:r>
        <w:rPr>
          <w:rFonts w:hint="eastAsia" w:ascii="宋体" w:hAnsi="宋体" w:eastAsia="宋体" w:cs="宋体"/>
          <w:color w:val="auto"/>
          <w:sz w:val="24"/>
        </w:rPr>
        <w:t>3.如需财政资金拨付的，待财政资金到位且甲方履行完毕资金拨付审批程序后，乙方方可向甲方开具发票，由甲方向乙方拨付资金。</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第五条 双方的权利及义务</w:t>
      </w:r>
    </w:p>
    <w:p>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1.甲方的权利及义务</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1.1甲方有权利对乙方所派安保人员(包括管理人员)的各项工作进行监督、检查、考核和具体指导，有权要求及时调换不合格的安保人员及管理人员。根据医院的实际情况核增或核减安保人员并签补充协议。</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1.2 原则上安保人员由甲乙双方实行双重领导，根据任务需要双方共同研究部署、安排岗位及保安力量，应急状态或特殊情况下，甲方享有单独领导权，可直接安排执行安保人员权限范围内工作任务，安保人员需要全力配合执行。</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1.3甲方配合乙方对安保人员进行业务、技术、政治思想和日常队伍管理工作，如乙方人员出现空岗，甲方有权追究乙方的相应责任并对乙方进行处罚。</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1.4甲方负责提供安保人员工作必要的值勤设施和通讯设施。</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1.5甲方配给乙方的资产及物资，乙方应妥善管理、使用，如有非正常损坏或丢失，由乙方照价赔偿，但不能影响岗上正常使用。</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2.乙方的权利及义务</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2.1乙方应遵守国家的法律、法规和甲方的各项规章管理制度，严格保守医院涉密内容及患者隐私，积极维护医院利益，履行职责，服从甲方相关部门的工作指导和监督，做好安全保卫相关工作，保障病人安全。</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2.2乙方在指派管理人员之前，必须经过岗前培训合格后，并由甲方面试同意后方可上任。乙方所有安保人员需持证上岗，上岗前需进行岗前培训，培训内容包含但不限于医院基本情况，消防及反恐设施的位置及使用方法，消防应急事件处置及反恐的方法及流程。乙方人员上岗前需先自行进行背景调查，确保无不良记录。到岗后需将身份信息提交甲方进行核实。 乙方须保证上岗人员身体健康、岗姿岗容端正、精神态度良好，年龄在18周岁至50周岁之间。保安人员入职前需经过正规医疗机构通过入职体检。</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2.3乙方有权利对安保工作中不完善之处，向甲方提出改进建议，甲方应予以重视，并加以研究改进。</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2.4安保人员及管理人员在工作中发生失职、违纪、违法等行为，根据情节的轻重及造成损失的大小，依据甲、乙双方的管理制度与国家相关法律、法规，由甲、乙双方协商予以处理。确因乙方责任给甲方造成经济损失或有损甲方名誉的，由乙方负责全额赔偿或恢复荣誉。</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2.5乙方负责提供安保人员工资薪金，发放安保人员服装及装备，并保证安保人员有各季更换的岗上着装、鞋、帽等，以保证各位上岗人员的着装干净、整齐、统一。</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2.6乙方应为甲方派选条件较好、无劣迹、遵纪守法、政治、业务、文化素质较强的安保人员，指派素质较高的人员为保安骨干。</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2.7如安保人员及管理人员不能按合同要求履行职责时，乙方应及时予以补充或更换，以杜绝由此造成的严重后果。</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2.8安保人员按照国家规定进行排休，必须保证合同约定中的岗位数量，保证在岗人数不少于</w:t>
      </w:r>
      <w:r>
        <w:rPr>
          <w:rFonts w:hint="eastAsia" w:ascii="宋体" w:hAnsi="宋体" w:cs="宋体"/>
          <w:color w:val="auto"/>
          <w:sz w:val="24"/>
        </w:rPr>
        <w:t>约定人数</w:t>
      </w:r>
      <w:r>
        <w:rPr>
          <w:rFonts w:hint="eastAsia" w:ascii="宋体" w:hAnsi="宋体" w:eastAsia="宋体" w:cs="宋体"/>
          <w:color w:val="auto"/>
          <w:sz w:val="24"/>
        </w:rPr>
        <w:t>，且安保人员不能连续工作超过12小时，严禁出现合同规定的在岗配置缺岗、空岗等现象。乙方人员因劳动关系、工作时长、工资薪金及福利费用产生的纠纷由乙方负责，与甲方无关。</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2.9乙方应保证保安队员相对稳定，无特殊原因不得发生安保人员调换的现象；如因特殊原因造成安保人员调换乙方应提前一个月书面通知甲方。</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2.10乙方保安工作的变动、安排、计划，应事先通知甲方可进行。乙方管理干部休假应事先通知甲方主管领导并得到甲乙双方同意休假后方可。由于乙方工作安排造成人员短缺、工作超时，乙方自行协调。</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2.11乙方应提供在岗人员的专业知识、技能、礼节礼貌法律知识等项目培训，不断提高在岗人员的素质及表达能力。需定期对安保人员、中控人员及安检人员进行教育及培训。</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第六条 安保人员之主要任务及要求</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保护医院医务人员和患者生命财产安全，维护医院安全和秩序，发现可疑情况及时处理并同时报告甲方主管负责人。根据甲方有关要求，在甲方指导下做好以下管理工作：</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1.保安人员</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1.1保安人员需持有保安证。岗位安排至少满足队长1人岗、日间大厅出口1人岗、日间急诊入口1人岗、日间巡逻打点2人岗、夜间大厅1人岗、夜间巡逻打点2人岗、氧气站1人岗。</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1.2 保安人员应尽职尽责，上岗期间严禁脱岗离岗、聊天、玩手机。出入口保安应劝导人员进行安检，巡逻打点人员需对微型消防站及反恐器械柜等物品进行检查，对医院环境及设备设施的运行的异常情况及时处置并汇报。 </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1.3保安人员应主动维护医院消防安全，对吸烟、堵塞消防疏散通道等问题进行劝阻。保安人员应协助车场及车辆的引导、疏通等管理工作。</w:t>
      </w:r>
    </w:p>
    <w:p>
      <w:pPr>
        <w:spacing w:line="360" w:lineRule="auto"/>
        <w:ind w:left="418" w:leftChars="199"/>
        <w:rPr>
          <w:rFonts w:hint="eastAsia" w:ascii="宋体" w:hAnsi="宋体" w:eastAsia="宋体" w:cs="宋体"/>
          <w:color w:val="auto"/>
          <w:sz w:val="24"/>
        </w:rPr>
      </w:pPr>
      <w:r>
        <w:rPr>
          <w:rFonts w:hint="eastAsia" w:ascii="宋体" w:hAnsi="宋体" w:eastAsia="宋体" w:cs="宋体"/>
          <w:color w:val="auto"/>
          <w:sz w:val="24"/>
        </w:rPr>
        <w:t>1.4保安人员应熟练掌握消防器材及反恐器材的使用，应熟知消防应急事件处置流程。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1.5每月至少进行一次消防演习及反恐防暴演习。</w:t>
      </w:r>
    </w:p>
    <w:p>
      <w:pPr>
        <w:pStyle w:val="73"/>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1.6保安人员需1人持有快开式压力容器证。</w:t>
      </w:r>
    </w:p>
    <w:p>
      <w:pPr>
        <w:pStyle w:val="73"/>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1.7氧气站操作时需佩戴防护用具并定期擦拭工具做好登记。</w:t>
      </w:r>
    </w:p>
    <w:p>
      <w:pPr>
        <w:pStyle w:val="73"/>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1.8氧气站工作人员保证门诊及发热门诊不断气，其他门诊及时送气。</w:t>
      </w:r>
    </w:p>
    <w:p>
      <w:pPr>
        <w:pStyle w:val="73"/>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 xml:space="preserve">1.9氧气站工作人员应熟知氧气站相关规范。 </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2.安检人员</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2.1安检人员需持有安检证，熟知安检岗位职责及工作流程。岗位安排至少满足日间2人岗、夜间2人岗。</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2.2安检员需熟练掌握X射线机、安检门、手持安检仪等设备的使用。熟知违禁物品内容。</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2.3要求安检员认真检查每一位患者及家属，检出违禁物品及时没收或存入暂存柜内。</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3.中控室人员</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3.1中控人员需持有消防设施操作员中级证书，且工作期间保证2人在岗。</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3.2中控人员需熟练掌握消防中控主机操作流程及消防应急事件处置流程。 </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3.3在岗期间应根据相关法律法规及相关要求认真做好消防主机每两小时检查及火警、故障、联动报警信号的处理处置记录工作；对安防监控画面进行观察、对发现的异常情况进行汇报；对氧气、燃气报警等设备出现的报警进行处置。</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3.4与保安人员做好联动工作随时配合处置突发事件。</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3.5认真遵守并执行中控室各项管理制度。</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4.乙方管理人员及安保人员禁止参与有偿殡葬相关事务。禁止任何收费性服务，禁止介绍售卖丧葬用品，禁止泄露亡故患者信息。如出现上述情况，甲方有权对乙方进行处罚，情节严重的甲方有权解除合同且不承担任何违约责任。</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5.遵纪守法，服从命令，听从指挥。坚持学习，不断提高自身业务素质及修养。</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6.安保人员要爱护医院内一切设施、设备，包括保安设施、设备，故意损坏者应赔偿损失。</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7.当发生特殊情况或意外事件时，应根据甲方安排做好人员备勤，并在统一安排下做好对突发事件的处理。</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8.本合同不能含概所有安全工作细节，对于其他安全管理业务的具体事项，由甲方提出具体要求，甲乙双方共同研究确认，由乙方完善执行。确保甲方医院人员的生命财产安全，维护正常生活秩序。</w:t>
      </w:r>
    </w:p>
    <w:p>
      <w:pPr>
        <w:spacing w:line="360" w:lineRule="auto"/>
        <w:ind w:left="-2" w:leftChars="-1" w:firstLine="482" w:firstLineChars="200"/>
        <w:rPr>
          <w:rFonts w:hint="eastAsia" w:ascii="宋体" w:hAnsi="宋体" w:eastAsia="宋体" w:cs="宋体"/>
          <w:b/>
          <w:color w:val="auto"/>
          <w:sz w:val="24"/>
        </w:rPr>
      </w:pPr>
      <w:r>
        <w:rPr>
          <w:rFonts w:hint="eastAsia" w:ascii="宋体" w:hAnsi="宋体" w:eastAsia="宋体" w:cs="宋体"/>
          <w:b/>
          <w:color w:val="auto"/>
          <w:sz w:val="24"/>
        </w:rPr>
        <w:t>第七条 违约条款</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在合同有效期内任何一方若单方解除合同，应承担违约责任，向对方支付违约金为所聘安保人员人员总数一个月的服务费。</w:t>
      </w:r>
    </w:p>
    <w:p>
      <w:pPr>
        <w:spacing w:line="360" w:lineRule="auto"/>
        <w:ind w:left="-2" w:leftChars="-1" w:firstLine="482" w:firstLineChars="200"/>
        <w:rPr>
          <w:rFonts w:hint="eastAsia" w:ascii="宋体" w:hAnsi="宋体" w:eastAsia="宋体" w:cs="宋体"/>
          <w:color w:val="auto"/>
          <w:sz w:val="24"/>
        </w:rPr>
      </w:pPr>
      <w:r>
        <w:rPr>
          <w:rFonts w:hint="eastAsia" w:ascii="宋体" w:hAnsi="宋体" w:eastAsia="宋体" w:cs="宋体"/>
          <w:b/>
          <w:color w:val="auto"/>
          <w:sz w:val="24"/>
        </w:rPr>
        <w:t>第八条 合同变更，终止或解除合同</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在乙方违约或出现下列情形的情况下，甲方可向乙方发出书面通知，部分或全部终止合同，同时保留向乙方追诉的权利。</w:t>
      </w:r>
    </w:p>
    <w:p>
      <w:pPr>
        <w:numPr>
          <w:ilvl w:val="0"/>
          <w:numId w:val="15"/>
        </w:num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乙方未能在合同规定的限期或甲方同意延长的限期内，完成全部或部分服务,按合同规定可以解除合同的。 </w:t>
      </w:r>
    </w:p>
    <w:p>
      <w:pPr>
        <w:numPr>
          <w:ilvl w:val="0"/>
          <w:numId w:val="15"/>
        </w:num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乙方未能履行合同规定的其它主要义务的。</w:t>
      </w:r>
    </w:p>
    <w:p>
      <w:pPr>
        <w:spacing w:line="360" w:lineRule="auto"/>
        <w:ind w:left="-2" w:leftChars="-1" w:firstLine="480" w:firstLineChars="200"/>
        <w:rPr>
          <w:rFonts w:hint="eastAsia" w:ascii="宋体" w:hAnsi="宋体" w:eastAsia="宋体" w:cs="宋体"/>
          <w:b/>
          <w:color w:val="auto"/>
          <w:sz w:val="24"/>
        </w:rPr>
      </w:pPr>
      <w:r>
        <w:rPr>
          <w:rFonts w:hint="eastAsia" w:ascii="宋体" w:hAnsi="宋体" w:eastAsia="宋体" w:cs="宋体"/>
          <w:color w:val="auto"/>
          <w:sz w:val="24"/>
        </w:rPr>
        <w:t>3. 在本合同履行过程中有腐败和欺诈行为的。</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“腐败行为”和“欺诈行为”定义如下:</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3.1“腐败行为”是指提供/给予/接受或索取任何有价值的东西来影响甲方在合同签订、履行过程中的行为。</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3.2“欺诈行为”是指为了影响合同签订、履行过程，以谎报事实的方法，损害甲方的利益的行为。</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4.在甲方根据上述规定，全部或部分解除合同之后，应当遵循诚实信用原则，全部或部分甲方与未交付的货物类似的货物或服务，乙方应承担甲方购买类似货物或服务而产生的额外支出。部分解除合同的，乙方应继续履行合同中未解除的部分。</w:t>
      </w:r>
    </w:p>
    <w:p>
      <w:pPr>
        <w:spacing w:line="360" w:lineRule="auto"/>
        <w:ind w:left="-2" w:leftChars="-1" w:firstLine="482" w:firstLineChars="200"/>
        <w:rPr>
          <w:rFonts w:hint="eastAsia" w:ascii="宋体" w:hAnsi="宋体" w:eastAsia="宋体" w:cs="宋体"/>
          <w:color w:val="auto"/>
          <w:sz w:val="24"/>
        </w:rPr>
      </w:pPr>
      <w:r>
        <w:rPr>
          <w:rFonts w:hint="eastAsia" w:ascii="宋体" w:hAnsi="宋体" w:eastAsia="宋体" w:cs="宋体"/>
          <w:b/>
          <w:color w:val="auto"/>
          <w:sz w:val="24"/>
        </w:rPr>
        <w:t>第九条 转让和分包</w:t>
      </w:r>
    </w:p>
    <w:p>
      <w:pPr>
        <w:spacing w:line="360" w:lineRule="auto"/>
        <w:ind w:left="-2" w:leftChars="-1" w:firstLine="480" w:firstLineChars="200"/>
        <w:rPr>
          <w:rFonts w:hint="eastAsia" w:ascii="宋体" w:hAnsi="宋体" w:eastAsia="宋体" w:cs="宋体"/>
          <w:color w:val="auto"/>
          <w:sz w:val="24"/>
        </w:rPr>
      </w:pPr>
      <w:r>
        <w:rPr>
          <w:rFonts w:hint="eastAsia" w:ascii="宋体" w:hAnsi="宋体" w:eastAsia="宋体" w:cs="宋体"/>
          <w:color w:val="auto"/>
          <w:sz w:val="24"/>
        </w:rPr>
        <w:t>本服务合同不能转让或分包。</w:t>
      </w:r>
    </w:p>
    <w:p>
      <w:pPr>
        <w:spacing w:line="360" w:lineRule="auto"/>
        <w:ind w:left="-2" w:leftChars="-1" w:firstLine="482" w:firstLineChars="200"/>
        <w:rPr>
          <w:rFonts w:hint="eastAsia" w:ascii="宋体" w:hAnsi="宋体" w:eastAsia="宋体" w:cs="宋体"/>
          <w:color w:val="auto"/>
          <w:sz w:val="24"/>
        </w:rPr>
      </w:pPr>
      <w:r>
        <w:rPr>
          <w:rFonts w:hint="eastAsia" w:ascii="宋体" w:hAnsi="宋体" w:eastAsia="宋体" w:cs="宋体"/>
          <w:b/>
          <w:color w:val="auto"/>
          <w:sz w:val="24"/>
        </w:rPr>
        <w:t>第十条 保密责任</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1.双方对于因本协议而成交的各类涉密信息和资料，均负有保密义务。任何一方未经对方书面许可，不得向任何第三方披露上述涉密信息和资料，或将其用于其他目的。</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本合同所属秘密信息的保密期限为本合同生效之日始，至双方项目合作完成之后30年止。在保密期限内未经甲方事先书面通知允许，乙方不得以任何理由披露。如果双方经过谈判最终没能实现合作，乙方仍然对甲方在洽谈过程中披露的商业秘密承担保密义务，保密期限为自本合同签订之日起30年。如果双方进行了项目合作，但是项目合作没有完成导致中途解约，卖方承担保密义务的期限为自项目合作终止之日起的30年。</w:t>
      </w:r>
    </w:p>
    <w:p>
      <w:pPr>
        <w:spacing w:line="360" w:lineRule="auto"/>
        <w:ind w:firstLine="420"/>
        <w:rPr>
          <w:rFonts w:hint="eastAsia" w:ascii="宋体" w:hAnsi="宋体" w:eastAsia="宋体" w:cs="宋体"/>
          <w:b/>
          <w:bCs/>
          <w:color w:val="auto"/>
          <w:sz w:val="24"/>
        </w:rPr>
      </w:pPr>
      <w:r>
        <w:rPr>
          <w:rFonts w:hint="eastAsia" w:ascii="宋体" w:hAnsi="宋体" w:eastAsia="宋体" w:cs="宋体"/>
          <w:b/>
          <w:bCs/>
          <w:color w:val="auto"/>
          <w:sz w:val="24"/>
        </w:rPr>
        <w:t>第十一条 不可抗力</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1.如果双方中任何一方遭遇法律规定的不可抗力，致使合同履行受阻时，履行合同的期限应予延长，延长的期限应相当于不可抗力所影响的时间。</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2.受事故影响的一方应在不可抗力的事故发生后尽快书面形式通知另一方，并在合同专用条款规定时间内，将有关部门出具的证明文件送达另一方。</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3.不可抗力使合同的某些内容有变更必要的，双方应在合同专用条款规定时间内达成进一步履行合同的协议。因不可抗力致使合同不能履行的，合同终止。</w:t>
      </w:r>
    </w:p>
    <w:p>
      <w:pPr>
        <w:spacing w:line="360" w:lineRule="auto"/>
        <w:ind w:firstLine="420"/>
        <w:rPr>
          <w:rFonts w:hint="eastAsia" w:ascii="宋体" w:hAnsi="宋体" w:eastAsia="宋体" w:cs="宋体"/>
          <w:b/>
          <w:bCs/>
          <w:color w:val="auto"/>
          <w:sz w:val="24"/>
        </w:rPr>
      </w:pPr>
      <w:r>
        <w:rPr>
          <w:rFonts w:hint="eastAsia" w:ascii="宋体" w:hAnsi="宋体" w:eastAsia="宋体" w:cs="宋体"/>
          <w:b/>
          <w:bCs/>
          <w:color w:val="auto"/>
          <w:sz w:val="24"/>
        </w:rPr>
        <w:t>第十二条 税费</w:t>
      </w:r>
    </w:p>
    <w:p>
      <w:pPr>
        <w:adjustRightInd w:val="0"/>
        <w:spacing w:line="3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sz w:val="24"/>
        </w:rPr>
        <w:t>与本合同有关的一切税费均适用中华人民共和国法律的相关规定。</w:t>
      </w:r>
    </w:p>
    <w:p>
      <w:pPr>
        <w:spacing w:line="360" w:lineRule="auto"/>
        <w:ind w:firstLine="420"/>
        <w:rPr>
          <w:rFonts w:hint="eastAsia" w:ascii="宋体" w:hAnsi="宋体" w:eastAsia="宋体" w:cs="宋体"/>
          <w:b/>
          <w:bCs/>
          <w:color w:val="auto"/>
          <w:sz w:val="24"/>
        </w:rPr>
      </w:pPr>
      <w:r>
        <w:rPr>
          <w:rFonts w:hint="eastAsia" w:ascii="宋体" w:hAnsi="宋体" w:eastAsia="宋体" w:cs="宋体"/>
          <w:b/>
          <w:bCs/>
          <w:color w:val="auto"/>
          <w:sz w:val="24"/>
        </w:rPr>
        <w:t>第十三条 解决争议</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1.本合同未尽事宜，由甲、乙双方协商解决，未能解决，向北京市顺义区人民法院诉讼解决。</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2.本合同生效之后任何一方违反本合同规定除了承担违约金外还要承担守约方向违约方追究违约责任所支付的一切费用包括但不限于律师费、诉讼费、保全费、公告费、鉴定费、交通费、食宿费等。</w:t>
      </w:r>
    </w:p>
    <w:p>
      <w:pPr>
        <w:spacing w:line="360" w:lineRule="auto"/>
        <w:ind w:firstLine="420"/>
        <w:rPr>
          <w:rFonts w:hint="eastAsia" w:ascii="宋体" w:hAnsi="宋体" w:eastAsia="宋体" w:cs="宋体"/>
          <w:color w:val="auto"/>
          <w:sz w:val="24"/>
        </w:rPr>
      </w:pPr>
      <w:r>
        <w:rPr>
          <w:rFonts w:hint="eastAsia" w:ascii="宋体" w:hAnsi="宋体" w:eastAsia="宋体" w:cs="宋体"/>
          <w:b/>
          <w:bCs/>
          <w:color w:val="auto"/>
          <w:sz w:val="24"/>
        </w:rPr>
        <w:t>第十四条 其他</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1.本合同未尽事宜由双方在不违背本合同原则下,协商解决,并签订补充协议,补充协议与本合同具有同等法律效力。</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2.本合同一式伍份，甲方执叁份，乙方执贰份，每份合同具有同等法律效力。</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3.本合同自双方法定代表人或授权代表签字或盖章，并加盖单位印章之日起生效。</w:t>
      </w:r>
    </w:p>
    <w:p>
      <w:pPr>
        <w:rPr>
          <w:rFonts w:hint="eastAsia" w:ascii="宋体" w:hAnsi="宋体" w:eastAsia="宋体" w:cs="宋体"/>
          <w:color w:val="auto"/>
          <w:sz w:val="24"/>
        </w:rPr>
      </w:pPr>
    </w:p>
    <w:p>
      <w:pPr>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spacing w:line="360" w:lineRule="auto"/>
        <w:ind w:firstLine="420"/>
        <w:rPr>
          <w:color w:val="auto"/>
        </w:rPr>
      </w:pPr>
      <w:r>
        <w:rPr>
          <w:rFonts w:hint="eastAsia" w:ascii="宋体" w:hAnsi="宋体" w:eastAsia="宋体" w:cs="宋体"/>
          <w:b/>
          <w:bCs/>
          <w:color w:val="auto"/>
          <w:sz w:val="24"/>
        </w:rPr>
        <w:t>（此页无正文，为签署页）</w:t>
      </w:r>
    </w:p>
    <w:p>
      <w:pPr>
        <w:rPr>
          <w:color w:val="auto"/>
        </w:rPr>
      </w:pPr>
    </w:p>
    <w:p>
      <w:pPr>
        <w:rPr>
          <w:color w:val="auto"/>
        </w:rPr>
      </w:pPr>
    </w:p>
    <w:p>
      <w:pPr>
        <w:spacing w:line="360" w:lineRule="auto"/>
        <w:rPr>
          <w:rFonts w:ascii="Times New Roman" w:hAnsi="Times New Roman" w:eastAsia="宋体" w:cs="Times New Roman"/>
          <w:color w:val="auto"/>
          <w:sz w:val="24"/>
        </w:rPr>
      </w:pPr>
      <w:bookmarkStart w:id="830" w:name="_Toc42863449"/>
      <w:r>
        <w:rPr>
          <w:rFonts w:hint="eastAsia" w:ascii="Times New Roman" w:hAnsi="Times New Roman" w:eastAsia="宋体" w:cs="Times New Roman"/>
          <w:color w:val="auto"/>
          <w:sz w:val="24"/>
        </w:rPr>
        <w:t>甲方：</w:t>
      </w:r>
      <w:r>
        <w:rPr>
          <w:rFonts w:hint="eastAsia" w:ascii="Times New Roman" w:hAnsi="Times New Roman" w:cs="Times New Roman"/>
          <w:color w:val="auto"/>
          <w:sz w:val="24"/>
        </w:rPr>
        <w:t xml:space="preserve">北京市顺义区空港医院        </w:t>
      </w:r>
      <w:r>
        <w:rPr>
          <w:rFonts w:hint="eastAsia" w:ascii="Times New Roman" w:hAnsi="Times New Roman" w:eastAsia="宋体" w:cs="Times New Roman"/>
          <w:color w:val="auto"/>
          <w:sz w:val="24"/>
        </w:rPr>
        <w:t xml:space="preserve">乙方：   </w:t>
      </w:r>
    </w:p>
    <w:p>
      <w:pPr>
        <w:spacing w:line="360" w:lineRule="auto"/>
        <w:ind w:firstLine="1440" w:firstLineChars="600"/>
        <w:rPr>
          <w:rFonts w:ascii="Times New Roman" w:hAnsi="Times New Roman" w:eastAsia="宋体" w:cs="Times New Roman"/>
          <w:color w:val="auto"/>
          <w:sz w:val="24"/>
        </w:rPr>
      </w:pPr>
      <w:r>
        <w:rPr>
          <w:rFonts w:hint="eastAsia" w:ascii="Times New Roman" w:hAnsi="Times New Roman" w:eastAsia="宋体" w:cs="Times New Roman"/>
          <w:color w:val="auto"/>
          <w:sz w:val="24"/>
        </w:rPr>
        <w:t xml:space="preserve">（盖章） </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rPr>
        <w:t>（盖章）</w:t>
      </w:r>
    </w:p>
    <w:p>
      <w:pPr>
        <w:spacing w:line="360" w:lineRule="auto"/>
        <w:rPr>
          <w:rFonts w:ascii="Times New Roman" w:hAnsi="Times New Roman" w:eastAsia="宋体" w:cs="Times New Roman"/>
          <w:color w:val="auto"/>
          <w:sz w:val="24"/>
        </w:rPr>
      </w:pPr>
    </w:p>
    <w:p>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法定代表人或授权代表：           法定代表人或授权代表：</w:t>
      </w:r>
    </w:p>
    <w:p>
      <w:pPr>
        <w:spacing w:line="360" w:lineRule="auto"/>
        <w:rPr>
          <w:rFonts w:ascii="Times New Roman" w:hAnsi="Times New Roman" w:cs="Times New Roman"/>
          <w:color w:val="auto"/>
          <w:sz w:val="24"/>
        </w:rPr>
      </w:pPr>
    </w:p>
    <w:p>
      <w:pPr>
        <w:spacing w:line="360" w:lineRule="auto"/>
        <w:rPr>
          <w:rFonts w:ascii="Times New Roman" w:hAnsi="Times New Roman" w:cs="Times New Roman"/>
          <w:color w:val="auto"/>
          <w:sz w:val="24"/>
        </w:rPr>
      </w:pPr>
    </w:p>
    <w:p>
      <w:pPr>
        <w:spacing w:line="360" w:lineRule="auto"/>
        <w:rPr>
          <w:rFonts w:ascii="Times New Roman" w:hAnsi="Times New Roman" w:eastAsia="宋体" w:cs="Times New Roman"/>
          <w:color w:val="auto"/>
          <w:sz w:val="24"/>
        </w:rPr>
      </w:pPr>
      <w:r>
        <w:rPr>
          <w:rFonts w:hint="eastAsia" w:ascii="Times New Roman" w:hAnsi="Times New Roman" w:cs="Times New Roman"/>
          <w:color w:val="auto"/>
          <w:sz w:val="24"/>
        </w:rPr>
        <w:t>签订日期</w:t>
      </w:r>
      <w:r>
        <w:rPr>
          <w:rFonts w:hint="eastAsia" w:ascii="Times New Roman" w:hAnsi="Times New Roman" w:eastAsia="宋体" w:cs="Times New Roman"/>
          <w:color w:val="auto"/>
          <w:sz w:val="24"/>
        </w:rPr>
        <w:t>：</w:t>
      </w:r>
      <w:r>
        <w:rPr>
          <w:rFonts w:hint="eastAsia" w:ascii="Times New Roman" w:hAnsi="Times New Roman" w:cs="Times New Roman"/>
          <w:color w:val="auto"/>
          <w:sz w:val="24"/>
        </w:rPr>
        <w:t xml:space="preserve">    </w:t>
      </w:r>
      <w:r>
        <w:rPr>
          <w:rFonts w:hint="eastAsia" w:ascii="Times New Roman" w:hAnsi="Times New Roman" w:eastAsia="宋体" w:cs="Times New Roman"/>
          <w:color w:val="auto"/>
          <w:sz w:val="24"/>
        </w:rPr>
        <w:t xml:space="preserve">年   月   日     </w:t>
      </w:r>
      <w:r>
        <w:rPr>
          <w:rFonts w:hint="eastAsia" w:ascii="Times New Roman" w:hAnsi="Times New Roman" w:cs="Times New Roman"/>
          <w:color w:val="auto"/>
          <w:sz w:val="24"/>
        </w:rPr>
        <w:t xml:space="preserve">   签订日期</w:t>
      </w:r>
      <w:r>
        <w:rPr>
          <w:rFonts w:hint="eastAsia" w:ascii="Times New Roman" w:hAnsi="Times New Roman" w:eastAsia="宋体" w:cs="Times New Roman"/>
          <w:color w:val="auto"/>
          <w:sz w:val="24"/>
        </w:rPr>
        <w:t>：</w:t>
      </w:r>
      <w:r>
        <w:rPr>
          <w:rFonts w:hint="eastAsia" w:ascii="Times New Roman" w:hAnsi="Times New Roman" w:cs="Times New Roman"/>
          <w:color w:val="auto"/>
          <w:sz w:val="24"/>
        </w:rPr>
        <w:t xml:space="preserve">    </w:t>
      </w:r>
      <w:r>
        <w:rPr>
          <w:rFonts w:hint="eastAsia" w:ascii="Times New Roman" w:hAnsi="Times New Roman" w:eastAsia="宋体" w:cs="Times New Roman"/>
          <w:color w:val="auto"/>
          <w:sz w:val="24"/>
        </w:rPr>
        <w:t xml:space="preserve">年   月   日    </w:t>
      </w:r>
    </w:p>
    <w:p>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 xml:space="preserve">签订地点：北京市顺义区空港医院（北京市顺义区后沙峪镇双裕街49号）                       </w:t>
      </w:r>
    </w:p>
    <w:p>
      <w:pPr>
        <w:spacing w:line="360" w:lineRule="auto"/>
        <w:ind w:firstLine="960" w:firstLineChars="400"/>
        <w:rPr>
          <w:rFonts w:ascii="Times New Roman" w:hAnsi="Times New Roman" w:eastAsia="宋体" w:cs="Times New Roman"/>
          <w:color w:val="auto"/>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仿宋" w:hAnsi="仿宋" w:eastAsia="仿宋" w:cs="宋体"/>
          <w:b/>
          <w:bCs/>
          <w:color w:val="auto"/>
          <w:sz w:val="36"/>
          <w:szCs w:val="36"/>
          <w:lang w:val="zh-CN"/>
        </w:rPr>
      </w:pPr>
      <w:r>
        <w:rPr>
          <w:rFonts w:hint="eastAsia" w:ascii="仿宋" w:hAnsi="仿宋" w:eastAsia="仿宋" w:cs="宋体"/>
          <w:b/>
          <w:bCs/>
          <w:color w:val="auto"/>
          <w:sz w:val="36"/>
          <w:szCs w:val="36"/>
          <w:lang w:val="zh-CN"/>
        </w:rPr>
        <w:br w:type="page"/>
      </w:r>
    </w:p>
    <w:p>
      <w:pPr>
        <w:keepNext/>
        <w:keepLines/>
        <w:numPr>
          <w:ilvl w:val="255"/>
          <w:numId w:val="0"/>
        </w:numPr>
        <w:spacing w:line="360" w:lineRule="auto"/>
        <w:contextualSpacing/>
        <w:jc w:val="center"/>
        <w:outlineLvl w:val="1"/>
        <w:rPr>
          <w:rFonts w:hint="eastAsia" w:ascii="仿宋" w:hAnsi="仿宋" w:eastAsia="仿宋" w:cs="宋体"/>
          <w:b/>
          <w:bCs/>
          <w:color w:val="auto"/>
          <w:sz w:val="36"/>
          <w:szCs w:val="36"/>
          <w:lang w:val="zh-CN"/>
        </w:rPr>
      </w:pPr>
      <w:r>
        <w:rPr>
          <w:rFonts w:hint="eastAsia" w:ascii="仿宋" w:hAnsi="仿宋" w:eastAsia="仿宋" w:cs="宋体"/>
          <w:b/>
          <w:bCs/>
          <w:color w:val="auto"/>
          <w:sz w:val="36"/>
          <w:szCs w:val="36"/>
          <w:lang w:val="zh-CN"/>
        </w:rPr>
        <w:t>服务标准及要求</w:t>
      </w:r>
      <w:bookmarkEnd w:id="830"/>
    </w:p>
    <w:p>
      <w:pPr>
        <w:rPr>
          <w:color w:val="auto"/>
          <w:lang w:val="zh-CN"/>
        </w:rPr>
      </w:pP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一）医院安全保卫科负责对对安保人员进行日常工作指导、监督、考核和检查等工作的落实情况，对于不符合且不适宜在医院单位执勤的安保人员，医院有权要求调换，服务商应在3个工作日内给予更换，否则医院有权与服务商协商扣除当月该人员的安保服务费用的10%。</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（二）服务商安保人员必须穿着事先经医院确认的制服及配备，以保持良好精神状态。</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（三）每日安保人员岗位出勤率</w:t>
      </w:r>
      <w:r>
        <w:rPr>
          <w:rFonts w:ascii="仿宋" w:hAnsi="仿宋" w:eastAsia="仿宋" w:cs="Times New Roman"/>
          <w:color w:val="auto"/>
          <w:sz w:val="24"/>
        </w:rPr>
        <w:t>100%</w:t>
      </w:r>
      <w:r>
        <w:rPr>
          <w:rFonts w:hint="eastAsia" w:ascii="仿宋" w:hAnsi="仿宋" w:eastAsia="仿宋" w:cs="Times New Roman"/>
          <w:color w:val="auto"/>
          <w:sz w:val="24"/>
        </w:rPr>
        <w:t>，项目有特殊要求除外，不得缺勤。</w:t>
      </w:r>
    </w:p>
    <w:p>
      <w:pPr>
        <w:ind w:firstLine="360" w:firstLineChars="150"/>
        <w:rPr>
          <w:rFonts w:hint="eastAsia" w:ascii="仿宋" w:hAnsi="仿宋" w:eastAsia="仿宋" w:cs="Times New Roman"/>
          <w:b/>
          <w:bCs/>
          <w:color w:val="auto"/>
          <w:sz w:val="24"/>
        </w:rPr>
      </w:pPr>
      <w:r>
        <w:rPr>
          <w:rFonts w:hint="eastAsia" w:ascii="仿宋" w:hAnsi="仿宋" w:eastAsia="仿宋" w:cs="Times New Roman"/>
          <w:color w:val="auto"/>
          <w:sz w:val="24"/>
        </w:rPr>
        <w:t>（四）医院会根据工作安排对在岗安保人员进行月度核查，服务商负责人对核查结果应签字确认，核查结果将作为当月安保服务费用结算的依据。</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（五）如当月核查出现无故岗位缺勤情况，核查中出现一次缺勤情况，扣除当月所缺安保人员人数安保服务费用的</w:t>
      </w:r>
      <w:r>
        <w:rPr>
          <w:rFonts w:ascii="仿宋" w:hAnsi="仿宋" w:eastAsia="仿宋" w:cs="Times New Roman"/>
          <w:color w:val="auto"/>
          <w:sz w:val="24"/>
        </w:rPr>
        <w:t>10%</w:t>
      </w:r>
      <w:r>
        <w:rPr>
          <w:rFonts w:hint="eastAsia" w:ascii="仿宋" w:hAnsi="仿宋" w:eastAsia="仿宋" w:cs="Times New Roman"/>
          <w:color w:val="auto"/>
          <w:sz w:val="24"/>
        </w:rPr>
        <w:t>，核查中累计出现两次缺勤情况，扣除当月缺员安保服务费用的30</w:t>
      </w:r>
      <w:r>
        <w:rPr>
          <w:rFonts w:ascii="仿宋" w:hAnsi="仿宋" w:eastAsia="仿宋" w:cs="Times New Roman"/>
          <w:color w:val="auto"/>
          <w:sz w:val="24"/>
        </w:rPr>
        <w:t>%</w:t>
      </w:r>
      <w:r>
        <w:rPr>
          <w:rFonts w:hint="eastAsia" w:ascii="仿宋" w:hAnsi="仿宋" w:eastAsia="仿宋" w:cs="Times New Roman"/>
          <w:color w:val="auto"/>
          <w:sz w:val="24"/>
        </w:rPr>
        <w:t>；核查中累计出现三次缺勤情况，扣除当月安保服务费用100%；并保留单方解除本合同的权利。</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六）服务商安保人员有事请假、离职，须提前3天通知医院并告知原因，须经双方主管领导同意。在确保医院的安保工作不受影响的前提下，服务商应尽快补齐安保人员数量，如缺人医院有权扣除当月缺少人员的安保服务费用。</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七）服务商安保人员受双方共同领导及医院所属派出所管理。安保人员值勤时，要严格遵守双方的有关规章制度和纪律，认真履行岗位职责，做到着装整齐，文明执勤，坚守岗位，遇到院方医疗纠纷事件及伤害、灾害事故发生，安保人员应在2分钟之内到达现场处置，并第一时间上报安全保卫科式。如遇纠纷人数较多或较大事件发生时，能快速整合支援队伍及时做出现场处置，相关支援人员5分种内迅速到达现场；并同时向双方领导汇报，经批准后向相关部门报告。</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八）服务商应每月派管理人员、督察人员到医院单位检查、督促和了解安保人员各项工作情况，发现问题及时整改，如因工作需要医院有权对安保人员提出岗位调整，使服务水平得到进一步提高，更好的服务于医院。</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（九）服务商所任命的保安负责人手机必须</w:t>
      </w:r>
      <w:r>
        <w:rPr>
          <w:rFonts w:ascii="仿宋" w:hAnsi="仿宋" w:eastAsia="仿宋" w:cs="Times New Roman"/>
          <w:color w:val="auto"/>
          <w:sz w:val="24"/>
        </w:rPr>
        <w:t>24</w:t>
      </w:r>
      <w:r>
        <w:rPr>
          <w:rFonts w:hint="eastAsia" w:ascii="仿宋" w:hAnsi="仿宋" w:eastAsia="仿宋" w:cs="Times New Roman"/>
          <w:color w:val="auto"/>
          <w:sz w:val="24"/>
        </w:rPr>
        <w:t>小时开机，否则违反被发现一次扣除当月服务商服务费</w:t>
      </w:r>
      <w:r>
        <w:rPr>
          <w:rFonts w:ascii="仿宋" w:hAnsi="仿宋" w:eastAsia="仿宋" w:cs="Times New Roman"/>
          <w:color w:val="auto"/>
          <w:sz w:val="24"/>
        </w:rPr>
        <w:t>200</w:t>
      </w:r>
      <w:r>
        <w:rPr>
          <w:rFonts w:hint="eastAsia" w:ascii="仿宋" w:hAnsi="仿宋" w:eastAsia="仿宋" w:cs="Times New Roman"/>
          <w:color w:val="auto"/>
          <w:sz w:val="24"/>
        </w:rPr>
        <w:t>元，如因此造成严重后果则扣除当月服务费</w:t>
      </w:r>
      <w:r>
        <w:rPr>
          <w:rFonts w:ascii="仿宋" w:hAnsi="仿宋" w:eastAsia="仿宋" w:cs="Times New Roman"/>
          <w:color w:val="auto"/>
          <w:sz w:val="24"/>
        </w:rPr>
        <w:t>1%</w:t>
      </w:r>
      <w:r>
        <w:rPr>
          <w:rFonts w:hint="eastAsia" w:ascii="仿宋" w:hAnsi="仿宋" w:eastAsia="仿宋" w:cs="Times New Roman"/>
          <w:color w:val="auto"/>
          <w:sz w:val="24"/>
        </w:rPr>
        <w:t>，额外损失由服务商承担。</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（十）合同期内，服务商安保人员的异动率不得超过2</w:t>
      </w:r>
      <w:r>
        <w:rPr>
          <w:rFonts w:ascii="仿宋" w:hAnsi="仿宋" w:eastAsia="仿宋" w:cs="Times New Roman"/>
          <w:color w:val="auto"/>
          <w:sz w:val="24"/>
        </w:rPr>
        <w:t>0%</w:t>
      </w:r>
      <w:r>
        <w:rPr>
          <w:rFonts w:hint="eastAsia" w:ascii="仿宋" w:hAnsi="仿宋" w:eastAsia="仿宋" w:cs="Times New Roman"/>
          <w:color w:val="auto"/>
          <w:sz w:val="24"/>
        </w:rPr>
        <w:t>（计算公式：员工异动率</w:t>
      </w:r>
      <w:r>
        <w:rPr>
          <w:rFonts w:ascii="仿宋" w:hAnsi="仿宋" w:eastAsia="仿宋" w:cs="Times New Roman"/>
          <w:color w:val="auto"/>
          <w:sz w:val="24"/>
        </w:rPr>
        <w:t>=</w:t>
      </w:r>
      <w:r>
        <w:rPr>
          <w:rFonts w:hint="eastAsia" w:ascii="仿宋" w:hAnsi="仿宋" w:eastAsia="仿宋" w:cs="Times New Roman"/>
          <w:color w:val="auto"/>
          <w:sz w:val="24"/>
        </w:rPr>
        <w:t>员工辞职或者离职的人数</w:t>
      </w:r>
      <w:r>
        <w:rPr>
          <w:rFonts w:ascii="仿宋" w:hAnsi="仿宋" w:eastAsia="仿宋" w:cs="Times New Roman"/>
          <w:color w:val="auto"/>
          <w:sz w:val="24"/>
        </w:rPr>
        <w:t>/</w:t>
      </w:r>
      <w:r>
        <w:rPr>
          <w:rFonts w:hint="eastAsia" w:ascii="仿宋" w:hAnsi="仿宋" w:eastAsia="仿宋" w:cs="Times New Roman"/>
          <w:color w:val="auto"/>
          <w:sz w:val="24"/>
        </w:rPr>
        <w:t>员工的总数），否则医院有权要求服务商承担相应违约责任并单方面提前终止合同。</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十一）服务商全体安保人员均须作为医院的义务消防员，发现火灾隐患及时提出整改意见；预防、处理突发事件，并做好登记。医院和服务商应对安保人员进行岗前培训，特别是专业技能的培训，使安保人员具有一定的业务素质，保证月不少于1次的消防演练安排。</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（十二）实行值班制度，做好值班记录、交接班工作，及时发现医院内的各类安全隐患，并及时处理、上报。</w:t>
      </w: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（十三）安保服务要求如下：</w:t>
      </w:r>
    </w:p>
    <w:p>
      <w:pPr>
        <w:rPr>
          <w:color w:val="auto"/>
        </w:rPr>
      </w:pPr>
    </w:p>
    <w:p>
      <w:pPr>
        <w:pStyle w:val="2"/>
      </w:pPr>
    </w:p>
    <w:tbl>
      <w:tblPr>
        <w:tblStyle w:val="43"/>
        <w:tblW w:w="9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74"/>
        <w:gridCol w:w="6701"/>
        <w:gridCol w:w="1250"/>
      </w:tblGrid>
      <w:tr>
        <w:tblPrEx>
          <w:tblLayout w:type="fixed"/>
          <w:tblCellMar>
            <w:top w:w="0" w:type="dxa"/>
            <w:left w:w="108" w:type="dxa"/>
            <w:bottom w:w="0" w:type="dxa"/>
            <w:right w:w="108" w:type="dxa"/>
          </w:tblCellMar>
        </w:tblPrEx>
        <w:trPr>
          <w:trHeight w:val="618" w:hRule="atLeast"/>
          <w:jc w:val="center"/>
        </w:trPr>
        <w:tc>
          <w:tcPr>
            <w:tcW w:w="1478" w:type="dxa"/>
            <w:gridSpan w:val="2"/>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检查项目</w:t>
            </w:r>
          </w:p>
        </w:tc>
        <w:tc>
          <w:tcPr>
            <w:tcW w:w="6701" w:type="dxa"/>
            <w:vAlign w:val="center"/>
          </w:tcPr>
          <w:p>
            <w:pPr>
              <w:ind w:firstLine="2951" w:firstLineChars="1400"/>
              <w:rPr>
                <w:rFonts w:hint="eastAsia" w:ascii="仿宋" w:hAnsi="仿宋" w:eastAsia="仿宋" w:cs="仿宋"/>
                <w:b/>
                <w:color w:val="auto"/>
                <w:szCs w:val="21"/>
              </w:rPr>
            </w:pPr>
            <w:r>
              <w:rPr>
                <w:rFonts w:hint="eastAsia" w:ascii="仿宋" w:hAnsi="仿宋" w:eastAsia="仿宋" w:cs="仿宋"/>
                <w:b/>
                <w:color w:val="auto"/>
                <w:szCs w:val="21"/>
              </w:rPr>
              <w:t>标准</w:t>
            </w:r>
          </w:p>
        </w:tc>
        <w:tc>
          <w:tcPr>
            <w:tcW w:w="1250" w:type="dxa"/>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未达标</w:t>
            </w:r>
          </w:p>
          <w:p>
            <w:pPr>
              <w:jc w:val="center"/>
              <w:rPr>
                <w:rFonts w:hint="eastAsia" w:ascii="仿宋" w:hAnsi="仿宋" w:eastAsia="仿宋" w:cs="仿宋"/>
                <w:b/>
                <w:color w:val="auto"/>
                <w:szCs w:val="21"/>
              </w:rPr>
            </w:pPr>
            <w:r>
              <w:rPr>
                <w:rFonts w:hint="eastAsia" w:ascii="仿宋" w:hAnsi="仿宋" w:eastAsia="仿宋" w:cs="仿宋"/>
                <w:b/>
                <w:color w:val="auto"/>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保安人数</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符合合同约定的岗位人数。</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安保人员要求</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 xml:space="preserve">五官端正，无违法犯罪记录。 </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restart"/>
            <w:vAlign w:val="center"/>
          </w:tcPr>
          <w:p>
            <w:pPr>
              <w:rPr>
                <w:rFonts w:hint="eastAsia" w:ascii="仿宋" w:hAnsi="仿宋" w:eastAsia="仿宋" w:cs="仿宋"/>
                <w:color w:val="auto"/>
                <w:szCs w:val="21"/>
              </w:rPr>
            </w:pPr>
            <w:r>
              <w:rPr>
                <w:rFonts w:hint="eastAsia" w:ascii="仿宋" w:hAnsi="仿宋" w:eastAsia="仿宋" w:cs="仿宋"/>
                <w:color w:val="auto"/>
                <w:szCs w:val="21"/>
              </w:rPr>
              <w:t>满足岗位要求</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1．熟知岗位职责和本岗位应知应会的相关知识。</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2．了解并熟记甲方医院基本情况：如医院名称、管理理念、服务要求等基本情况。</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79" w:type="dxa"/>
            <w:gridSpan w:val="3"/>
            <w:vAlign w:val="center"/>
          </w:tcPr>
          <w:p>
            <w:pPr>
              <w:rPr>
                <w:rFonts w:hint="eastAsia" w:ascii="仿宋" w:hAnsi="仿宋" w:eastAsia="仿宋" w:cs="仿宋"/>
                <w:color w:val="auto"/>
                <w:szCs w:val="21"/>
              </w:rPr>
            </w:pPr>
            <w:r>
              <w:rPr>
                <w:rFonts w:hint="eastAsia" w:ascii="仿宋" w:hAnsi="仿宋" w:eastAsia="仿宋" w:cs="仿宋"/>
                <w:color w:val="auto"/>
                <w:szCs w:val="21"/>
              </w:rPr>
              <w:t xml:space="preserve">                                                                       共计</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检查项目</w:t>
            </w:r>
          </w:p>
        </w:tc>
        <w:tc>
          <w:tcPr>
            <w:tcW w:w="6701" w:type="dxa"/>
            <w:vAlign w:val="center"/>
          </w:tcPr>
          <w:p>
            <w:pPr>
              <w:ind w:firstLine="2951" w:firstLineChars="1400"/>
              <w:rPr>
                <w:rFonts w:hint="eastAsia" w:ascii="仿宋" w:hAnsi="仿宋" w:eastAsia="仿宋" w:cs="仿宋"/>
                <w:b/>
                <w:color w:val="auto"/>
                <w:szCs w:val="21"/>
              </w:rPr>
            </w:pPr>
            <w:r>
              <w:rPr>
                <w:rFonts w:hint="eastAsia" w:ascii="仿宋" w:hAnsi="仿宋" w:eastAsia="仿宋" w:cs="仿宋"/>
                <w:b/>
                <w:color w:val="auto"/>
                <w:szCs w:val="21"/>
              </w:rPr>
              <w:t>标准</w:t>
            </w:r>
          </w:p>
        </w:tc>
        <w:tc>
          <w:tcPr>
            <w:tcW w:w="1250" w:type="dxa"/>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未达标</w:t>
            </w:r>
          </w:p>
          <w:p>
            <w:pPr>
              <w:jc w:val="center"/>
              <w:rPr>
                <w:rFonts w:hint="eastAsia" w:ascii="仿宋" w:hAnsi="仿宋" w:eastAsia="仿宋" w:cs="仿宋"/>
                <w:b/>
                <w:color w:val="auto"/>
                <w:szCs w:val="21"/>
              </w:rPr>
            </w:pPr>
            <w:r>
              <w:rPr>
                <w:rFonts w:hint="eastAsia" w:ascii="仿宋" w:hAnsi="仿宋" w:eastAsia="仿宋" w:cs="仿宋"/>
                <w:b/>
                <w:color w:val="auto"/>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restart"/>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工作纪律</w:t>
            </w:r>
          </w:p>
        </w:tc>
        <w:tc>
          <w:tcPr>
            <w:tcW w:w="6701" w:type="dxa"/>
            <w:vAlign w:val="center"/>
          </w:tcPr>
          <w:p>
            <w:pPr>
              <w:rPr>
                <w:rFonts w:hint="eastAsia" w:ascii="仿宋" w:hAnsi="仿宋" w:eastAsia="仿宋" w:cs="仿宋"/>
                <w:b/>
                <w:color w:val="auto"/>
                <w:szCs w:val="21"/>
              </w:rPr>
            </w:pPr>
            <w:r>
              <w:rPr>
                <w:rFonts w:hint="eastAsia" w:ascii="仿宋" w:hAnsi="仿宋" w:eastAsia="仿宋" w:cs="仿宋"/>
                <w:color w:val="auto"/>
                <w:szCs w:val="21"/>
              </w:rPr>
              <w:t>1.严禁聚众赌博、酗酒、监守自盗、任何刑事事件和违反治安等行为。</w:t>
            </w:r>
          </w:p>
        </w:tc>
        <w:tc>
          <w:tcPr>
            <w:tcW w:w="1250" w:type="dxa"/>
            <w:vAlign w:val="center"/>
          </w:tcPr>
          <w:p>
            <w:pPr>
              <w:jc w:val="center"/>
              <w:rPr>
                <w:rFonts w:hint="eastAsia" w:ascii="仿宋" w:hAnsi="仿宋" w:eastAsia="仿宋" w:cs="仿宋"/>
                <w:b/>
                <w:color w:val="auto"/>
                <w:szCs w:val="21"/>
              </w:rPr>
            </w:pPr>
            <w:r>
              <w:rPr>
                <w:rFonts w:hint="eastAsia" w:ascii="仿宋" w:hAnsi="仿宋" w:eastAsia="仿宋" w:cs="仿宋"/>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2.礼貌待人，严禁用粗言秽语，讥讽他人或对他人不礼貌，以及因安保服务原因造成他人的有效投诉。</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3．爱护辖区各种公共财物，不得故意损坏辖区内任何公共财物。</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4. 严禁工作时间内擅自进入非工作区域内。安保人员严禁存在脱岗、离岗行为。</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5. 严禁出现危害他人的行为。</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6. 严禁参与殡葬事宜，不泄露故患者信息，不介绍售卖丧葬用品</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7.工作时严禁打游戏、串岗、扎堆聊天等其他与工作无关的事。</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8.保安用具严禁用做工作以外用途、不得暴力操作、违规操作，现场设备有损坏的必须出具经甲方医院主管签字确认的书面材料；不使用时集中存放，摆放有序。</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9.听从甲方工作范围内合理安排。</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lang w:eastAsia="zh-TW"/>
              </w:rPr>
            </w:pPr>
            <w:r>
              <w:rPr>
                <w:rFonts w:hint="eastAsia" w:ascii="仿宋" w:hAnsi="仿宋" w:eastAsia="仿宋" w:cs="仿宋"/>
                <w:color w:val="auto"/>
                <w:szCs w:val="21"/>
                <w:lang w:eastAsia="zh-TW"/>
              </w:rPr>
              <w:t xml:space="preserve">10.严禁私自提供合同外服务。 </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478" w:type="dxa"/>
            <w:gridSpan w:val="2"/>
            <w:vMerge w:val="restart"/>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仪容仪表</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 xml:space="preserve">1.男职工发根不过衣领，前发不遮眼，不梳怪异发型，不染颜色（黑色除外）。每天修面，不留胡须，不留大鬓角。 </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2. 上班时间着统一工作服，并应保持干净整洁，不得佩带饰品。</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3. 态度要友善、面露微笑，使用礼貌用语，不可带有情绪工作。</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478" w:type="dxa"/>
            <w:gridSpan w:val="2"/>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4．遵守甲方其它相关规定。</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8179" w:type="dxa"/>
            <w:gridSpan w:val="3"/>
            <w:vAlign w:val="center"/>
          </w:tcPr>
          <w:p>
            <w:pPr>
              <w:ind w:firstLine="7455" w:firstLineChars="3550"/>
              <w:rPr>
                <w:rFonts w:hint="eastAsia" w:ascii="仿宋" w:hAnsi="仿宋" w:eastAsia="仿宋" w:cs="仿宋"/>
                <w:color w:val="auto"/>
                <w:szCs w:val="21"/>
              </w:rPr>
            </w:pPr>
            <w:r>
              <w:rPr>
                <w:rFonts w:hint="eastAsia" w:ascii="仿宋" w:hAnsi="仿宋" w:eastAsia="仿宋" w:cs="仿宋"/>
                <w:color w:val="auto"/>
                <w:szCs w:val="21"/>
              </w:rPr>
              <w:t>共计</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检查项目</w:t>
            </w:r>
          </w:p>
        </w:tc>
        <w:tc>
          <w:tcPr>
            <w:tcW w:w="6701" w:type="dxa"/>
            <w:vAlign w:val="center"/>
          </w:tcPr>
          <w:p>
            <w:pPr>
              <w:ind w:firstLine="2951" w:firstLineChars="1400"/>
              <w:rPr>
                <w:rFonts w:hint="eastAsia" w:ascii="仿宋" w:hAnsi="仿宋" w:eastAsia="仿宋" w:cs="仿宋"/>
                <w:b/>
                <w:color w:val="auto"/>
                <w:szCs w:val="21"/>
              </w:rPr>
            </w:pPr>
            <w:r>
              <w:rPr>
                <w:rFonts w:hint="eastAsia" w:ascii="仿宋" w:hAnsi="仿宋" w:eastAsia="仿宋" w:cs="仿宋"/>
                <w:b/>
                <w:color w:val="auto"/>
                <w:szCs w:val="21"/>
              </w:rPr>
              <w:t>标准</w:t>
            </w:r>
          </w:p>
        </w:tc>
        <w:tc>
          <w:tcPr>
            <w:tcW w:w="1250" w:type="dxa"/>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未达标</w:t>
            </w:r>
          </w:p>
          <w:p>
            <w:pPr>
              <w:jc w:val="center"/>
              <w:rPr>
                <w:rFonts w:hint="eastAsia" w:ascii="仿宋" w:hAnsi="仿宋" w:eastAsia="仿宋" w:cs="仿宋"/>
                <w:b/>
                <w:color w:val="auto"/>
                <w:szCs w:val="21"/>
              </w:rPr>
            </w:pPr>
            <w:r>
              <w:rPr>
                <w:rFonts w:hint="eastAsia" w:ascii="仿宋" w:hAnsi="仿宋" w:eastAsia="仿宋" w:cs="仿宋"/>
                <w:b/>
                <w:color w:val="auto"/>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restart"/>
            <w:vAlign w:val="center"/>
          </w:tcPr>
          <w:p>
            <w:pPr>
              <w:jc w:val="center"/>
              <w:rPr>
                <w:rFonts w:hint="eastAsia" w:ascii="仿宋" w:hAnsi="仿宋" w:eastAsia="仿宋" w:cs="仿宋"/>
                <w:color w:val="auto"/>
                <w:szCs w:val="21"/>
              </w:rPr>
            </w:pPr>
            <w:r>
              <w:rPr>
                <w:rFonts w:hint="eastAsia" w:ascii="仿宋" w:hAnsi="仿宋" w:eastAsia="仿宋" w:cs="仿宋"/>
                <w:b/>
                <w:color w:val="auto"/>
                <w:szCs w:val="21"/>
              </w:rPr>
              <w:t>准备</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1．提前15分钟到岗位，自检仪容仪表，参加早训。</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478" w:type="dxa"/>
            <w:gridSpan w:val="2"/>
            <w:vMerge w:val="continue"/>
            <w:vAlign w:val="center"/>
          </w:tcPr>
          <w:p>
            <w:pPr>
              <w:jc w:val="center"/>
              <w:rPr>
                <w:rFonts w:hint="eastAsia" w:ascii="仿宋" w:hAnsi="仿宋" w:eastAsia="仿宋" w:cs="仿宋"/>
                <w:b/>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2．交班前10分钟，班长布置当天的工作任务及注意事项。</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restart"/>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通用要求</w:t>
            </w: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记录</w:t>
            </w:r>
          </w:p>
          <w:p>
            <w:pPr>
              <w:jc w:val="center"/>
              <w:rPr>
                <w:rFonts w:hint="eastAsia" w:ascii="仿宋" w:hAnsi="仿宋" w:eastAsia="仿宋" w:cs="仿宋"/>
                <w:color w:val="auto"/>
                <w:szCs w:val="21"/>
              </w:rPr>
            </w:pPr>
            <w:r>
              <w:rPr>
                <w:rFonts w:hint="eastAsia" w:ascii="仿宋" w:hAnsi="仿宋" w:eastAsia="仿宋" w:cs="仿宋"/>
                <w:color w:val="auto"/>
                <w:szCs w:val="21"/>
              </w:rPr>
              <w:t>要求</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各种记录保存完好，字迹清楚明了，无丢失、无赃污等，并及时上交存档。</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相关</w:t>
            </w:r>
          </w:p>
          <w:p>
            <w:pPr>
              <w:jc w:val="center"/>
              <w:rPr>
                <w:rFonts w:hint="eastAsia" w:ascii="仿宋" w:hAnsi="仿宋" w:eastAsia="仿宋" w:cs="仿宋"/>
                <w:color w:val="auto"/>
                <w:szCs w:val="21"/>
              </w:rPr>
            </w:pPr>
            <w:r>
              <w:rPr>
                <w:rFonts w:hint="eastAsia" w:ascii="仿宋" w:hAnsi="仿宋" w:eastAsia="仿宋" w:cs="仿宋"/>
                <w:color w:val="auto"/>
                <w:szCs w:val="21"/>
              </w:rPr>
              <w:t>责任</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各岗位安保人员有责任对公共设备设施使用情况进行监督和检查，发现问题及时报修。</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Merge w:val="restart"/>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突发</w:t>
            </w:r>
          </w:p>
          <w:p>
            <w:pPr>
              <w:jc w:val="center"/>
              <w:rPr>
                <w:rFonts w:hint="eastAsia" w:ascii="仿宋" w:hAnsi="仿宋" w:eastAsia="仿宋" w:cs="仿宋"/>
                <w:color w:val="auto"/>
                <w:szCs w:val="21"/>
              </w:rPr>
            </w:pPr>
            <w:r>
              <w:rPr>
                <w:rFonts w:hint="eastAsia" w:ascii="仿宋" w:hAnsi="仿宋" w:eastAsia="仿宋" w:cs="仿宋"/>
                <w:color w:val="auto"/>
                <w:szCs w:val="21"/>
              </w:rPr>
              <w:t>事件</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所有安保人员，必须熟知各项应急预案，并能与实际相结合。</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定期参加甲方组织的演习，对甲方的紧急事件能给予积极响应。</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Merge w:val="continue"/>
            <w:vAlign w:val="center"/>
          </w:tcPr>
          <w:p>
            <w:pPr>
              <w:jc w:val="center"/>
              <w:rPr>
                <w:rFonts w:hint="eastAsia" w:ascii="仿宋" w:hAnsi="仿宋" w:eastAsia="仿宋" w:cs="仿宋"/>
                <w:color w:val="auto"/>
                <w:szCs w:val="21"/>
              </w:rPr>
            </w:pP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遇有医疗纠纷、大声吵闹等各科突发情况，要第一时间制止，并及时上报。</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通讯设备</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各岗位要保证通讯器材完好，发现问题及时维修，确保出现问题时能及时保持各岗位之间的联络。</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消防设备</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熟知消防知识、辖区内消防设备、设施摆放位置，会正确使用各种消防设备设施，消防知识无盲点。</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工作流程</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各岗位人员熟知甲方要求的工作流程，并严格按照工作流程和指引工作，每月对甲方要求的工作流程培训一遍，并留有培训和考核记录。</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restart"/>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巡逻</w:t>
            </w:r>
          </w:p>
          <w:p>
            <w:pPr>
              <w:jc w:val="center"/>
              <w:rPr>
                <w:rFonts w:hint="eastAsia" w:ascii="仿宋" w:hAnsi="仿宋" w:eastAsia="仿宋" w:cs="仿宋"/>
                <w:color w:val="auto"/>
                <w:szCs w:val="21"/>
              </w:rPr>
            </w:pPr>
            <w:r>
              <w:rPr>
                <w:rFonts w:hint="eastAsia" w:ascii="仿宋" w:hAnsi="仿宋" w:eastAsia="仿宋" w:cs="仿宋"/>
                <w:color w:val="auto"/>
                <w:szCs w:val="21"/>
              </w:rPr>
              <w:t>服务</w:t>
            </w: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巡逻</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管理区域内实行24小时全天候安保服务，要保持良好的精神状态，特别是夜间要重点观察辖区内的可疑情况。</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04" w:type="dxa"/>
            <w:vMerge w:val="continue"/>
            <w:vAlign w:val="center"/>
          </w:tcPr>
          <w:p>
            <w:pPr>
              <w:jc w:val="center"/>
              <w:rPr>
                <w:rFonts w:hint="eastAsia" w:ascii="仿宋" w:hAnsi="仿宋" w:eastAsia="仿宋" w:cs="仿宋"/>
                <w:color w:val="auto"/>
                <w:szCs w:val="21"/>
              </w:rPr>
            </w:pPr>
          </w:p>
        </w:tc>
        <w:tc>
          <w:tcPr>
            <w:tcW w:w="774"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其他</w:t>
            </w:r>
          </w:p>
        </w:tc>
        <w:tc>
          <w:tcPr>
            <w:tcW w:w="6701" w:type="dxa"/>
            <w:vAlign w:val="center"/>
          </w:tcPr>
          <w:p>
            <w:pPr>
              <w:rPr>
                <w:rFonts w:hint="eastAsia" w:ascii="仿宋" w:hAnsi="仿宋" w:eastAsia="仿宋" w:cs="仿宋"/>
                <w:color w:val="auto"/>
                <w:szCs w:val="21"/>
              </w:rPr>
            </w:pPr>
            <w:r>
              <w:rPr>
                <w:rFonts w:hint="eastAsia" w:ascii="仿宋" w:hAnsi="仿宋" w:eastAsia="仿宋" w:cs="仿宋"/>
                <w:color w:val="auto"/>
                <w:szCs w:val="21"/>
              </w:rPr>
              <w:t>及时发现可疑人员在辖区内做危害辖区设备设施的行为要及时处理和上报；</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79" w:type="dxa"/>
            <w:gridSpan w:val="3"/>
            <w:vAlign w:val="center"/>
          </w:tcPr>
          <w:p>
            <w:pPr>
              <w:ind w:firstLine="7455" w:firstLineChars="3550"/>
              <w:rPr>
                <w:rFonts w:hint="eastAsia" w:ascii="仿宋" w:hAnsi="仿宋" w:eastAsia="仿宋" w:cs="仿宋"/>
                <w:color w:val="auto"/>
                <w:szCs w:val="21"/>
              </w:rPr>
            </w:pPr>
            <w:r>
              <w:rPr>
                <w:rFonts w:hint="eastAsia" w:ascii="仿宋" w:hAnsi="仿宋" w:eastAsia="仿宋" w:cs="仿宋"/>
                <w:color w:val="auto"/>
                <w:szCs w:val="21"/>
              </w:rPr>
              <w:t>共计</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79" w:type="dxa"/>
            <w:gridSpan w:val="3"/>
            <w:vAlign w:val="center"/>
          </w:tcPr>
          <w:p>
            <w:pPr>
              <w:rPr>
                <w:rFonts w:hint="eastAsia" w:ascii="仿宋" w:hAnsi="仿宋" w:eastAsia="仿宋" w:cs="仿宋"/>
                <w:color w:val="auto"/>
                <w:szCs w:val="21"/>
              </w:rPr>
            </w:pPr>
            <w:r>
              <w:rPr>
                <w:rFonts w:hint="eastAsia" w:ascii="仿宋" w:hAnsi="仿宋" w:eastAsia="仿宋" w:cs="仿宋"/>
                <w:color w:val="auto"/>
                <w:szCs w:val="21"/>
              </w:rPr>
              <w:t xml:space="preserve">                                         合计</w:t>
            </w:r>
          </w:p>
        </w:tc>
        <w:tc>
          <w:tcPr>
            <w:tcW w:w="1250" w:type="dxa"/>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100分</w:t>
            </w:r>
          </w:p>
        </w:tc>
      </w:tr>
    </w:tbl>
    <w:p>
      <w:pPr>
        <w:ind w:firstLine="360" w:firstLineChars="150"/>
        <w:rPr>
          <w:rFonts w:hint="eastAsia" w:ascii="仿宋" w:hAnsi="仿宋" w:eastAsia="仿宋" w:cs="Times New Roman"/>
          <w:color w:val="auto"/>
          <w:sz w:val="24"/>
        </w:rPr>
      </w:pPr>
    </w:p>
    <w:p>
      <w:pPr>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（十四）装备要求</w:t>
      </w:r>
    </w:p>
    <w:p>
      <w:pPr>
        <w:widowControl/>
        <w:ind w:firstLine="470" w:firstLineChars="196"/>
        <w:jc w:val="left"/>
        <w:textAlignment w:val="top"/>
        <w:rPr>
          <w:rFonts w:hint="eastAsia" w:ascii="仿宋" w:hAnsi="仿宋" w:eastAsia="仿宋" w:cs="Times New Roman"/>
          <w:bCs/>
          <w:color w:val="auto"/>
          <w:kern w:val="0"/>
          <w:sz w:val="24"/>
        </w:rPr>
      </w:pPr>
      <w:r>
        <w:rPr>
          <w:rFonts w:ascii="仿宋" w:hAnsi="仿宋" w:eastAsia="仿宋" w:cs="Times New Roman"/>
          <w:bCs/>
          <w:color w:val="auto"/>
          <w:sz w:val="24"/>
        </w:rPr>
        <w:t>1</w:t>
      </w:r>
      <w:r>
        <w:rPr>
          <w:rFonts w:hint="eastAsia" w:ascii="仿宋" w:hAnsi="仿宋" w:eastAsia="仿宋" w:cs="Times New Roman"/>
          <w:bCs/>
          <w:color w:val="auto"/>
          <w:sz w:val="24"/>
        </w:rPr>
        <w:t>．医院提供安保服务的相应装备，安保人员应爱护装备，如无故造成设备损坏，应如数赔偿</w:t>
      </w:r>
      <w:r>
        <w:rPr>
          <w:rFonts w:hint="eastAsia" w:ascii="仿宋" w:hAnsi="仿宋" w:eastAsia="仿宋" w:cs="Times New Roman"/>
          <w:bCs/>
          <w:color w:val="auto"/>
          <w:kern w:val="0"/>
          <w:sz w:val="24"/>
        </w:rPr>
        <w:t>。</w:t>
      </w:r>
    </w:p>
    <w:p>
      <w:pPr>
        <w:widowControl/>
        <w:ind w:firstLine="470" w:firstLineChars="196"/>
        <w:jc w:val="left"/>
        <w:textAlignment w:val="top"/>
        <w:rPr>
          <w:rFonts w:hint="eastAsia" w:ascii="仿宋" w:hAnsi="仿宋" w:eastAsia="仿宋" w:cs="Times New Roman"/>
          <w:color w:val="auto"/>
          <w:kern w:val="0"/>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bCs/>
          <w:color w:val="auto"/>
          <w:sz w:val="24"/>
        </w:rPr>
        <w:t>2．</w:t>
      </w:r>
      <w:r>
        <w:rPr>
          <w:rFonts w:hint="eastAsia" w:ascii="仿宋" w:hAnsi="仿宋" w:eastAsia="仿宋" w:cs="Times New Roman"/>
          <w:color w:val="auto"/>
          <w:kern w:val="0"/>
          <w:sz w:val="24"/>
        </w:rPr>
        <w:t>保安服装配备齐全、统一制式。</w:t>
      </w:r>
    </w:p>
    <w:p>
      <w:pPr>
        <w:rPr>
          <w:bCs/>
          <w:color w:val="auto"/>
        </w:rPr>
      </w:pPr>
      <w:r>
        <w:rPr>
          <w:rFonts w:hint="eastAsia"/>
          <w:bCs/>
          <w:color w:val="auto"/>
        </w:rPr>
        <w:t>附件1：营业执照复印件</w:t>
      </w:r>
    </w:p>
    <w:p>
      <w:pPr>
        <w:rPr>
          <w:bCs/>
          <w:color w:val="auto"/>
        </w:rPr>
      </w:pPr>
      <w:r>
        <w:rPr>
          <w:rFonts w:hint="eastAsia"/>
          <w:bCs/>
          <w:color w:val="auto"/>
        </w:rPr>
        <w:t>附件2：法人身份证复印件</w:t>
      </w:r>
    </w:p>
    <w:p>
      <w:pPr>
        <w:rPr>
          <w:color w:val="auto"/>
        </w:rPr>
      </w:pPr>
      <w:r>
        <w:rPr>
          <w:rFonts w:hint="eastAsia"/>
          <w:bCs/>
          <w:color w:val="auto"/>
        </w:rPr>
        <w:t>附件3：银行开户基本信息复印件</w:t>
      </w:r>
    </w:p>
    <w:p>
      <w:pPr>
        <w:rPr>
          <w:bCs/>
          <w:color w:val="auto"/>
        </w:rPr>
      </w:pPr>
      <w:r>
        <w:rPr>
          <w:rFonts w:hint="eastAsia"/>
          <w:bCs/>
          <w:color w:val="auto"/>
        </w:rPr>
        <w:t>附件4：其他资质文件</w:t>
      </w:r>
    </w:p>
    <w:p>
      <w:pPr>
        <w:rPr>
          <w:bCs/>
        </w:rPr>
      </w:pPr>
    </w:p>
    <w:p>
      <w:pPr>
        <w:pStyle w:val="42"/>
      </w:pPr>
    </w:p>
    <w:p/>
    <w:p>
      <w:pPr>
        <w:pStyle w:val="41"/>
      </w:pPr>
    </w:p>
    <w:p>
      <w:pPr>
        <w:pStyle w:val="42"/>
      </w:pPr>
    </w:p>
    <w:p/>
    <w:p>
      <w:pPr>
        <w:pStyle w:val="41"/>
      </w:pPr>
    </w:p>
    <w:p>
      <w:pPr>
        <w:pStyle w:val="42"/>
      </w:pPr>
    </w:p>
    <w:p>
      <w:pPr>
        <w:sectPr>
          <w:pgSz w:w="11907" w:h="16840"/>
          <w:pgMar w:top="1418" w:right="1134" w:bottom="1418" w:left="1701" w:header="851" w:footer="851" w:gutter="0"/>
          <w:cols w:space="720" w:num="1"/>
          <w:docGrid w:linePitch="462" w:charSpace="0"/>
        </w:sectPr>
      </w:pPr>
    </w:p>
    <w:p>
      <w:pPr>
        <w:pStyle w:val="2"/>
      </w:pPr>
    </w:p>
    <w:p>
      <w:pPr>
        <w:spacing w:line="360" w:lineRule="auto"/>
        <w:jc w:val="center"/>
        <w:outlineLvl w:val="0"/>
        <w:rPr>
          <w:b/>
          <w:sz w:val="36"/>
          <w:szCs w:val="36"/>
        </w:rPr>
      </w:pPr>
      <w:bookmarkStart w:id="831" w:name="_Toc768"/>
      <w:r>
        <w:rPr>
          <w:b/>
          <w:sz w:val="36"/>
          <w:szCs w:val="36"/>
        </w:rPr>
        <w:t>第七章   投标文件格式</w:t>
      </w:r>
      <w:bookmarkEnd w:id="83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7"/>
      </w:pPr>
      <w:r>
        <w:t>2-1-2 拟分包情况说明及分包意向协议</w:t>
      </w:r>
      <w:r>
        <w:rPr>
          <w:rFonts w:hint="eastAsia" w:ascii="Times New Roman" w:hAnsi="Times New Roman" w:eastAsiaTheme="majorEastAsia"/>
          <w:b w:val="0"/>
          <w:color w:val="000000"/>
          <w:sz w:val="24"/>
          <w:lang w:eastAsia="zh-CN"/>
        </w:rPr>
        <w:t>（如本项目不适用则供应商无需提供）</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r>
        <w:rPr>
          <w:rFonts w:hint="eastAsia" w:ascii="Times New Roman" w:hAnsi="Times New Roman" w:eastAsiaTheme="majorEastAsia"/>
          <w:b w:val="0"/>
          <w:color w:val="000000"/>
          <w:sz w:val="24"/>
          <w:lang w:eastAsia="zh-CN"/>
        </w:rPr>
        <w:t>（如本项目不适用则供应商无需提供）</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______负责_____（如有），具体工作范围、内容以投标文件及合同为准。</w:t>
      </w:r>
    </w:p>
    <w:p>
      <w:pPr>
        <w:numPr>
          <w:ilvl w:val="0"/>
          <w:numId w:val="18"/>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8"/>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ascii="Times New Roman" w:hAnsi="Times New Roman" w:eastAsiaTheme="majorEastAsia"/>
          <w:b w:val="0"/>
          <w:color w:val="000000"/>
          <w:sz w:val="24"/>
          <w:lang w:eastAsia="zh-CN"/>
        </w:rPr>
        <w:t>（如本项目不适用则供应商无需提供）</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9"/>
        </w:numPr>
        <w:tabs>
          <w:tab w:val="left" w:pos="360"/>
        </w:tabs>
        <w:snapToGrid w:val="0"/>
        <w:spacing w:line="360" w:lineRule="auto"/>
        <w:outlineLvl w:val="1"/>
        <w:rPr>
          <w:color w:val="000000"/>
          <w:sz w:val="24"/>
          <w:szCs w:val="20"/>
        </w:rPr>
      </w:pPr>
      <w:bookmarkStart w:id="833" w:name="_Hlt520274393"/>
      <w:bookmarkEnd w:id="833"/>
      <w:bookmarkStart w:id="834" w:name="_Hlt520343392"/>
      <w:bookmarkEnd w:id="834"/>
      <w:bookmarkStart w:id="835" w:name="_Hlt520343000"/>
      <w:bookmarkEnd w:id="835"/>
      <w:bookmarkStart w:id="836" w:name="_Hlt520274121"/>
      <w:bookmarkEnd w:id="836"/>
      <w:bookmarkStart w:id="837" w:name="_Hlt520273711"/>
      <w:bookmarkEnd w:id="837"/>
      <w:bookmarkStart w:id="838" w:name="_Hlt520355504"/>
      <w:bookmarkEnd w:id="838"/>
      <w:bookmarkStart w:id="839" w:name="_Hlt520274065"/>
      <w:bookmarkEnd w:id="839"/>
      <w:bookmarkStart w:id="840" w:name="_Hlt520274407"/>
      <w:bookmarkEnd w:id="840"/>
      <w:bookmarkStart w:id="841" w:name="_Hlt520350918"/>
      <w:bookmarkEnd w:id="841"/>
      <w:bookmarkStart w:id="842" w:name="_Hlt520271212"/>
      <w:bookmarkEnd w:id="842"/>
      <w:bookmarkStart w:id="843" w:name="_Toc480942349"/>
      <w:bookmarkStart w:id="844" w:name="_Ref467988698"/>
      <w:bookmarkStart w:id="845" w:name="_Toc195842921"/>
      <w:bookmarkStart w:id="846" w:name="_Toc226965829"/>
      <w:bookmarkStart w:id="847" w:name="_Toc226965746"/>
      <w:bookmarkStart w:id="848" w:name="_Toc150774761"/>
      <w:bookmarkStart w:id="849" w:name="_Toc127151556"/>
      <w:bookmarkStart w:id="850" w:name="_Toc520356217"/>
      <w:bookmarkStart w:id="851" w:name="_Toc150480794"/>
      <w:bookmarkStart w:id="852" w:name="_Toc226309800"/>
      <w:bookmarkStart w:id="853" w:name="_Toc142311058"/>
      <w:bookmarkStart w:id="854" w:name="_Toc226337252"/>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55" w:name="_Hlt520355938"/>
      <w:bookmarkEnd w:id="855"/>
      <w:bookmarkStart w:id="856" w:name="_Hlt520356243"/>
      <w:bookmarkEnd w:id="856"/>
      <w:bookmarkStart w:id="857" w:name="_Ref467988705"/>
      <w:bookmarkStart w:id="858" w:name="_Toc226309801"/>
      <w:bookmarkStart w:id="859" w:name="_Toc226965747"/>
      <w:bookmarkStart w:id="860" w:name="_Toc150774762"/>
      <w:bookmarkStart w:id="861" w:name="_Toc305158899"/>
      <w:bookmarkStart w:id="862" w:name="_Toc264969247"/>
      <w:bookmarkStart w:id="863" w:name="_Toc142311059"/>
      <w:bookmarkStart w:id="864" w:name="_Toc150480795"/>
      <w:bookmarkStart w:id="865" w:name="_Toc520356218"/>
      <w:bookmarkStart w:id="866" w:name="_Toc265228395"/>
      <w:bookmarkStart w:id="867" w:name="_Toc226965830"/>
      <w:bookmarkStart w:id="868" w:name="_Toc127151557"/>
      <w:bookmarkStart w:id="869" w:name="_Toc195842922"/>
      <w:bookmarkStart w:id="870" w:name="_Toc480942350"/>
      <w:bookmarkStart w:id="871" w:name="_Toc226337253"/>
      <w:bookmarkStart w:id="872" w:name="_Toc305158825"/>
      <w:r>
        <w:rPr>
          <w:color w:val="000000"/>
          <w:sz w:val="24"/>
        </w:rPr>
        <w:br w:type="page"/>
      </w:r>
    </w:p>
    <w:p>
      <w:pPr>
        <w:numPr>
          <w:ilvl w:val="0"/>
          <w:numId w:val="19"/>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lang w:val="en-US" w:eastAsia="zh-CN"/>
        </w:rPr>
        <w:t>盖</w:t>
      </w:r>
      <w:r>
        <w:rPr>
          <w:color w:val="000000"/>
          <w:sz w:val="24"/>
          <w:szCs w:val="20"/>
        </w:rPr>
        <w:t>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2"/>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ascii="Times New Roman" w:hAnsi="Times New Roman"/>
          <w:spacing w:val="-3"/>
          <w:lang w:val="en-US" w:eastAsia="zh-CN"/>
        </w:rPr>
        <w:t>盖</w:t>
      </w:r>
      <w:r>
        <w:rPr>
          <w:rFonts w:ascii="Times New Roman" w:hAnsi="Times New Roman"/>
          <w:spacing w:val="-3"/>
        </w:rPr>
        <w:t>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pPr>
        <w:spacing w:line="360" w:lineRule="exact"/>
        <w:jc w:val="center"/>
        <w:rPr>
          <w:b/>
          <w:color w:val="000000"/>
          <w:sz w:val="36"/>
          <w:szCs w:val="36"/>
        </w:rPr>
      </w:pPr>
      <w:bookmarkStart w:id="873" w:name="_Toc305158826"/>
      <w:bookmarkStart w:id="874" w:name="_Toc264969248"/>
      <w:bookmarkStart w:id="875" w:name="_Toc226965748"/>
      <w:bookmarkStart w:id="876" w:name="_Toc164608672"/>
      <w:bookmarkStart w:id="877" w:name="_Toc195842923"/>
      <w:bookmarkStart w:id="878" w:name="_Toc265228396"/>
      <w:bookmarkStart w:id="879" w:name="_Toc226337254"/>
      <w:bookmarkStart w:id="880" w:name="_Toc305158900"/>
      <w:bookmarkStart w:id="881" w:name="_Toc226965831"/>
      <w:bookmarkStart w:id="882" w:name="_Toc226309802"/>
      <w:bookmarkStart w:id="883" w:name="_Toc164608827"/>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包号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84" w:name="_Toc264969249"/>
      <w:bookmarkStart w:id="885" w:name="_Toc127151558"/>
      <w:bookmarkStart w:id="886" w:name="_Toc150480796"/>
      <w:bookmarkStart w:id="887" w:name="_Toc226337255"/>
      <w:bookmarkStart w:id="888" w:name="_Toc226965749"/>
      <w:bookmarkStart w:id="889" w:name="_Toc150774763"/>
      <w:bookmarkStart w:id="890" w:name="_Toc305158901"/>
      <w:bookmarkStart w:id="891" w:name="_Toc142311060"/>
      <w:bookmarkStart w:id="892" w:name="_Toc226965832"/>
      <w:bookmarkStart w:id="893" w:name="_Toc305158827"/>
      <w:bookmarkStart w:id="894" w:name="_Toc195842924"/>
      <w:bookmarkStart w:id="895" w:name="_Toc226309803"/>
      <w:bookmarkStart w:id="896" w:name="_Toc265228397"/>
    </w:p>
    <w:p>
      <w:pPr>
        <w:widowControl/>
        <w:jc w:val="left"/>
        <w:rPr>
          <w:color w:val="000000"/>
          <w:sz w:val="24"/>
          <w:szCs w:val="20"/>
        </w:rPr>
      </w:pPr>
    </w:p>
    <w:p>
      <w:pPr>
        <w:numPr>
          <w:ilvl w:val="0"/>
          <w:numId w:val="19"/>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00"/>
        <w:gridCol w:w="959"/>
        <w:gridCol w:w="806"/>
        <w:gridCol w:w="1663"/>
        <w:gridCol w:w="123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36" w:type="dxa"/>
            <w:vAlign w:val="center"/>
          </w:tcPr>
          <w:p>
            <w:pPr>
              <w:adjustRightInd w:val="0"/>
              <w:snapToGrid w:val="0"/>
              <w:jc w:val="left"/>
              <w:rPr>
                <w:b/>
                <w:color w:val="000000"/>
                <w:sz w:val="24"/>
              </w:rPr>
            </w:pPr>
            <w:r>
              <w:rPr>
                <w:b/>
                <w:color w:val="000000"/>
                <w:sz w:val="24"/>
              </w:rPr>
              <w:t>序号</w:t>
            </w:r>
          </w:p>
        </w:tc>
        <w:tc>
          <w:tcPr>
            <w:tcW w:w="2200" w:type="dxa"/>
            <w:vAlign w:val="center"/>
          </w:tcPr>
          <w:p>
            <w:pPr>
              <w:adjustRightInd w:val="0"/>
              <w:snapToGrid w:val="0"/>
              <w:jc w:val="left"/>
              <w:rPr>
                <w:b/>
                <w:color w:val="000000"/>
                <w:sz w:val="24"/>
              </w:rPr>
            </w:pPr>
            <w:r>
              <w:rPr>
                <w:b/>
                <w:color w:val="000000"/>
                <w:sz w:val="24"/>
              </w:rPr>
              <w:t>分项名称</w:t>
            </w:r>
          </w:p>
        </w:tc>
        <w:tc>
          <w:tcPr>
            <w:tcW w:w="959" w:type="dxa"/>
            <w:vAlign w:val="center"/>
          </w:tcPr>
          <w:p>
            <w:pPr>
              <w:adjustRightInd w:val="0"/>
              <w:snapToGrid w:val="0"/>
              <w:jc w:val="left"/>
              <w:rPr>
                <w:b/>
                <w:color w:val="000000"/>
                <w:sz w:val="24"/>
              </w:rPr>
            </w:pPr>
            <w:r>
              <w:rPr>
                <w:b/>
                <w:color w:val="000000"/>
                <w:sz w:val="24"/>
              </w:rPr>
              <w:t>单价</w:t>
            </w:r>
          </w:p>
        </w:tc>
        <w:tc>
          <w:tcPr>
            <w:tcW w:w="806" w:type="dxa"/>
            <w:vAlign w:val="center"/>
          </w:tcPr>
          <w:p>
            <w:pPr>
              <w:adjustRightInd w:val="0"/>
              <w:snapToGrid w:val="0"/>
              <w:jc w:val="left"/>
              <w:rPr>
                <w:b/>
                <w:color w:val="000000"/>
                <w:sz w:val="24"/>
              </w:rPr>
            </w:pPr>
            <w:r>
              <w:rPr>
                <w:rFonts w:hint="eastAsia"/>
                <w:b/>
                <w:color w:val="000000"/>
                <w:sz w:val="24"/>
              </w:rPr>
              <w:t>数量</w:t>
            </w:r>
          </w:p>
        </w:tc>
        <w:tc>
          <w:tcPr>
            <w:tcW w:w="1663" w:type="dxa"/>
            <w:vAlign w:val="center"/>
          </w:tcPr>
          <w:p>
            <w:pPr>
              <w:adjustRightInd w:val="0"/>
              <w:snapToGrid w:val="0"/>
              <w:jc w:val="left"/>
              <w:rPr>
                <w:b/>
                <w:color w:val="000000"/>
                <w:sz w:val="24"/>
              </w:rPr>
            </w:pPr>
            <w:r>
              <w:rPr>
                <w:rFonts w:hint="eastAsia" w:hAnsi="宋体" w:cs="宋体"/>
                <w:b/>
                <w:color w:val="000000"/>
              </w:rPr>
              <w:t>分项服务内容</w:t>
            </w:r>
          </w:p>
        </w:tc>
        <w:tc>
          <w:tcPr>
            <w:tcW w:w="1236" w:type="dxa"/>
            <w:vAlign w:val="center"/>
          </w:tcPr>
          <w:p>
            <w:pPr>
              <w:adjustRightInd w:val="0"/>
              <w:snapToGrid w:val="0"/>
              <w:jc w:val="left"/>
              <w:rPr>
                <w:b/>
                <w:color w:val="000000"/>
                <w:sz w:val="24"/>
              </w:rPr>
            </w:pPr>
            <w:r>
              <w:rPr>
                <w:b/>
                <w:color w:val="000000"/>
                <w:sz w:val="24"/>
              </w:rPr>
              <w:t>合价（元）</w:t>
            </w:r>
          </w:p>
        </w:tc>
        <w:tc>
          <w:tcPr>
            <w:tcW w:w="1408"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36" w:type="dxa"/>
            <w:vAlign w:val="center"/>
          </w:tcPr>
          <w:p>
            <w:pPr>
              <w:adjustRightInd w:val="0"/>
              <w:snapToGrid w:val="0"/>
              <w:jc w:val="center"/>
              <w:rPr>
                <w:color w:val="000000"/>
                <w:sz w:val="24"/>
              </w:rPr>
            </w:pPr>
            <w:r>
              <w:rPr>
                <w:color w:val="000000"/>
                <w:sz w:val="24"/>
              </w:rPr>
              <w:t>1</w:t>
            </w:r>
          </w:p>
        </w:tc>
        <w:tc>
          <w:tcPr>
            <w:tcW w:w="2200" w:type="dxa"/>
            <w:vAlign w:val="center"/>
          </w:tcPr>
          <w:p>
            <w:pPr>
              <w:spacing w:line="480" w:lineRule="exac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36" w:type="dxa"/>
            <w:vAlign w:val="center"/>
          </w:tcPr>
          <w:p>
            <w:pPr>
              <w:adjustRightInd w:val="0"/>
              <w:snapToGrid w:val="0"/>
              <w:jc w:val="center"/>
              <w:rPr>
                <w:color w:val="000000"/>
                <w:sz w:val="24"/>
              </w:rPr>
            </w:pPr>
            <w:r>
              <w:rPr>
                <w:rFonts w:hint="eastAsia"/>
                <w:color w:val="000000"/>
                <w:sz w:val="24"/>
              </w:rPr>
              <w:t>···</w:t>
            </w: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095" w:type="dxa"/>
            <w:gridSpan w:val="3"/>
            <w:vAlign w:val="center"/>
          </w:tcPr>
          <w:p>
            <w:pPr>
              <w:adjustRightInd w:val="0"/>
              <w:snapToGrid w:val="0"/>
              <w:jc w:val="right"/>
              <w:rPr>
                <w:b/>
                <w:color w:val="000000"/>
                <w:sz w:val="24"/>
              </w:rPr>
            </w:pPr>
            <w:r>
              <w:rPr>
                <w:b/>
                <w:color w:val="000000"/>
                <w:sz w:val="24"/>
              </w:rPr>
              <w:t>总价（元）</w:t>
            </w: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tabs>
          <w:tab w:val="left" w:pos="1541"/>
          <w:tab w:val="left" w:pos="2501"/>
          <w:tab w:val="left" w:pos="3461"/>
          <w:tab w:val="left" w:pos="4474"/>
        </w:tabs>
        <w:wordWrap w:val="0"/>
        <w:spacing w:before="1" w:line="376" w:lineRule="auto"/>
        <w:ind w:left="221" w:right="4930"/>
        <w:rPr>
          <w:rFonts w:hint="eastAsia" w:ascii="宋体" w:hAnsi="宋体" w:eastAsia="宋体" w:cs="宋体"/>
          <w:sz w:val="24"/>
          <w:szCs w:val="24"/>
          <w:lang w:eastAsia="zh-CN"/>
        </w:rPr>
      </w:pPr>
      <w:r>
        <w:rPr>
          <w:color w:val="000000"/>
          <w:sz w:val="24"/>
          <w:szCs w:val="20"/>
        </w:rPr>
        <w:t xml:space="preserve">日期：_____年______月______日 </w:t>
      </w:r>
    </w:p>
    <w:p>
      <w:pPr>
        <w:adjustRightInd w:val="0"/>
        <w:snapToGrid w:val="0"/>
        <w:spacing w:before="240" w:beforeLines="100" w:after="240" w:afterLines="100"/>
        <w:jc w:val="left"/>
        <w:rPr>
          <w:b/>
          <w:i/>
          <w:color w:val="FF0000"/>
          <w:sz w:val="24"/>
        </w:rPr>
        <w:sectPr>
          <w:pgSz w:w="11907" w:h="16840"/>
          <w:pgMar w:top="1418" w:right="1134" w:bottom="1418" w:left="1701" w:header="851" w:footer="851" w:gutter="0"/>
          <w:cols w:space="720" w:num="1"/>
          <w:docGrid w:linePitch="462" w:charSpace="0"/>
        </w:sectPr>
      </w:pPr>
    </w:p>
    <w:p>
      <w:pPr>
        <w:numPr>
          <w:ilvl w:val="0"/>
          <w:numId w:val="19"/>
        </w:numPr>
        <w:tabs>
          <w:tab w:val="left" w:pos="360"/>
        </w:tabs>
        <w:snapToGrid w:val="0"/>
        <w:spacing w:line="360" w:lineRule="auto"/>
        <w:outlineLvl w:val="1"/>
        <w:rPr>
          <w:color w:val="000000"/>
          <w:sz w:val="24"/>
          <w:szCs w:val="20"/>
        </w:rPr>
      </w:pPr>
      <w:bookmarkStart w:id="897" w:name="_Toc226309806"/>
      <w:bookmarkStart w:id="898" w:name="_Toc264969252"/>
      <w:bookmarkStart w:id="899" w:name="_Toc305158904"/>
      <w:bookmarkStart w:id="900" w:name="_Toc226965835"/>
      <w:bookmarkStart w:id="901" w:name="_Toc226965752"/>
      <w:bookmarkStart w:id="902" w:name="_Toc127151562"/>
      <w:bookmarkStart w:id="903" w:name="_Toc265228400"/>
      <w:bookmarkStart w:id="904" w:name="_Toc305158830"/>
      <w:bookmarkStart w:id="905" w:name="_Toc150774765"/>
      <w:bookmarkStart w:id="906" w:name="_Toc150480798"/>
      <w:bookmarkStart w:id="907" w:name="_Toc195842927"/>
      <w:bookmarkStart w:id="908" w:name="_Toc142311062"/>
      <w:bookmarkStart w:id="909" w:name="_Toc226337258"/>
      <w:bookmarkStart w:id="910" w:name="_Toc305158903"/>
      <w:bookmarkStart w:id="911" w:name="_Toc150774764"/>
      <w:bookmarkStart w:id="912" w:name="_Toc127151561"/>
      <w:bookmarkStart w:id="913" w:name="_Toc305158829"/>
      <w:bookmarkStart w:id="914" w:name="_Toc226309805"/>
      <w:bookmarkStart w:id="915" w:name="_Toc150480797"/>
      <w:bookmarkStart w:id="916" w:name="_Toc195842926"/>
      <w:bookmarkStart w:id="917" w:name="_Toc226965834"/>
      <w:bookmarkStart w:id="918" w:name="_Toc265228399"/>
      <w:bookmarkStart w:id="919" w:name="_Toc226965751"/>
      <w:bookmarkStart w:id="920" w:name="_Toc142311061"/>
      <w:bookmarkStart w:id="921" w:name="_Toc226337257"/>
      <w:bookmarkStart w:id="922" w:name="_Toc264969251"/>
      <w:r>
        <w:rPr>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bookmarkStart w:id="923" w:name="_Hlk144279231"/>
            <w:r>
              <w:rPr>
                <w:color w:val="000000"/>
                <w:sz w:val="24"/>
              </w:rPr>
              <w:t>序号</w:t>
            </w:r>
          </w:p>
        </w:tc>
        <w:tc>
          <w:tcPr>
            <w:tcW w:w="1773"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pPr>
              <w:adjustRightInd w:val="0"/>
              <w:snapToGrid w:val="0"/>
              <w:jc w:val="center"/>
              <w:rPr>
                <w:color w:val="000000"/>
                <w:sz w:val="24"/>
              </w:rPr>
            </w:pPr>
            <w:r>
              <w:rPr>
                <w:color w:val="000000"/>
                <w:sz w:val="24"/>
              </w:rPr>
              <w:t>投标文件内容</w:t>
            </w:r>
          </w:p>
        </w:tc>
        <w:tc>
          <w:tcPr>
            <w:tcW w:w="1875" w:type="dxa"/>
            <w:vAlign w:val="center"/>
          </w:tcPr>
          <w:p>
            <w:pPr>
              <w:adjustRightInd w:val="0"/>
              <w:snapToGrid w:val="0"/>
              <w:jc w:val="center"/>
              <w:rPr>
                <w:color w:val="000000"/>
                <w:sz w:val="24"/>
              </w:rPr>
            </w:pPr>
            <w:r>
              <w:rPr>
                <w:color w:val="000000"/>
                <w:sz w:val="24"/>
              </w:rPr>
              <w:t>偏离情况</w:t>
            </w:r>
          </w:p>
        </w:tc>
        <w:tc>
          <w:tcPr>
            <w:tcW w:w="1134"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bookmarkEnd w:id="92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pPr>
        <w:pStyle w:val="37"/>
        <w:shd w:val="clear" w:color="auto" w:fill="FFFFFF"/>
        <w:spacing w:before="30" w:beforeAutospacing="0" w:after="30" w:afterAutospacing="0"/>
        <w:rPr>
          <w:rStyle w:val="47"/>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ascii="Times New Roman" w:hAnsi="Times New Roman" w:eastAsiaTheme="majorEastAsia"/>
          <w:b w:val="0"/>
          <w:color w:val="000000"/>
          <w:sz w:val="24"/>
          <w:lang w:eastAsia="zh-CN"/>
        </w:rPr>
        <w:t>（如本项目不适用则供应商无需提供）</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2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96" w:type="dxa"/>
          </w:tcPr>
          <w:p>
            <w:pPr>
              <w:rPr>
                <w:sz w:val="24"/>
              </w:rPr>
            </w:pPr>
            <w:r>
              <w:rPr>
                <w:rFonts w:hint="eastAsia"/>
                <w:sz w:val="24"/>
              </w:rPr>
              <w:t>供应商名称</w:t>
            </w:r>
          </w:p>
        </w:tc>
        <w:tc>
          <w:tcPr>
            <w:tcW w:w="3097" w:type="dxa"/>
          </w:tcPr>
          <w:p>
            <w:pPr>
              <w:rPr>
                <w:sz w:val="24"/>
              </w:rPr>
            </w:pPr>
            <w:r>
              <w:rPr>
                <w:rFonts w:hint="eastAsia"/>
                <w:sz w:val="24"/>
              </w:rPr>
              <w:t>供应商所属性别</w:t>
            </w:r>
          </w:p>
        </w:tc>
        <w:tc>
          <w:tcPr>
            <w:tcW w:w="3095"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96" w:type="dxa"/>
          </w:tcPr>
          <w:p>
            <w:pPr>
              <w:rPr>
                <w:sz w:val="24"/>
              </w:rPr>
            </w:pPr>
          </w:p>
        </w:tc>
        <w:tc>
          <w:tcPr>
            <w:tcW w:w="3097" w:type="dxa"/>
          </w:tcPr>
          <w:p>
            <w:pPr>
              <w:rPr>
                <w:sz w:val="24"/>
              </w:rPr>
            </w:pPr>
          </w:p>
        </w:tc>
        <w:tc>
          <w:tcPr>
            <w:tcW w:w="3095"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sectPr>
          <w:pgSz w:w="11907" w:h="16840"/>
          <w:pgMar w:top="1418" w:right="1134" w:bottom="1418" w:left="1701" w:header="851" w:footer="851" w:gutter="0"/>
          <w:cols w:space="720" w:num="1"/>
          <w:docGrid w:linePitch="462" w:charSpace="0"/>
        </w:sectPr>
      </w:pPr>
    </w:p>
    <w:p>
      <w:pPr>
        <w:pStyle w:val="6"/>
        <w:rPr>
          <w:rFonts w:ascii="Times New Roman"/>
          <w:b w:val="0"/>
          <w:color w:val="000000"/>
          <w:kern w:val="2"/>
          <w:u w:val="none"/>
        </w:rPr>
      </w:pPr>
      <w:r>
        <w:rPr>
          <w:rFonts w:hint="eastAsia" w:ascii="Times New Roman"/>
          <w:b w:val="0"/>
          <w:color w:val="000000"/>
          <w:kern w:val="2"/>
          <w:u w:val="none"/>
        </w:rPr>
        <w:t>11 服务人员表（实质性格式）</w:t>
      </w:r>
    </w:p>
    <w:tbl>
      <w:tblPr>
        <w:tblStyle w:val="4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rPr>
            </w:pPr>
            <w:r>
              <w:rPr>
                <w:rFonts w:hint="eastAsia"/>
                <w:sz w:val="24"/>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tabs>
          <w:tab w:val="left" w:pos="481"/>
          <w:tab w:val="left" w:pos="482"/>
        </w:tabs>
        <w:wordWrap w:val="0"/>
        <w:spacing w:before="43"/>
        <w:ind w:left="481"/>
        <w:rPr>
          <w:rFonts w:ascii="宋体" w:hAnsi="宋体" w:cs="宋体"/>
          <w:sz w:val="24"/>
        </w:rPr>
      </w:pPr>
    </w:p>
    <w:p>
      <w:pPr>
        <w:wordWrap w:val="0"/>
        <w:rPr>
          <w:rFonts w:ascii="宋体" w:hAnsi="宋体" w:cs="宋体"/>
        </w:rPr>
      </w:pPr>
    </w:p>
    <w:p>
      <w:pPr>
        <w:wordWrap w:val="0"/>
      </w:pPr>
      <w:r>
        <w:rPr>
          <w:rFonts w:hint="eastAsia"/>
        </w:rPr>
        <w:t>备注：1、投标人可根据自身情况扩展本表行数。但不能改变内容。</w:t>
      </w:r>
    </w:p>
    <w:p>
      <w:pPr>
        <w:pStyle w:val="28"/>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10" w:usb3="00000000" w:csb0="0004009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CF24B"/>
    <w:multiLevelType w:val="singleLevel"/>
    <w:tmpl w:val="AB8CF24B"/>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1DDA1BE"/>
    <w:multiLevelType w:val="singleLevel"/>
    <w:tmpl w:val="11DDA1BE"/>
    <w:lvl w:ilvl="0" w:tentative="0">
      <w:start w:val="6"/>
      <w:numFmt w:val="chineseCounting"/>
      <w:suff w:val="space"/>
      <w:lvlText w:val="第%1章"/>
      <w:lvlJc w:val="left"/>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1"/>
  </w:num>
  <w:num w:numId="14">
    <w:abstractNumId w:val="12"/>
  </w:num>
  <w:num w:numId="15">
    <w:abstractNumId w:val="0"/>
  </w:num>
  <w:num w:numId="16">
    <w:abstractNumId w:val="20"/>
  </w:num>
  <w:num w:numId="17">
    <w:abstractNumId w:val="15"/>
  </w:num>
  <w:num w:numId="18">
    <w:abstractNumId w:val="18"/>
  </w:num>
  <w:num w:numId="19">
    <w:abstractNumId w:val="16"/>
  </w:num>
  <w:num w:numId="20">
    <w:abstractNumId w:val="14"/>
  </w:num>
  <w:num w:numId="21">
    <w:abstractNumId w:val="2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C3"/>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3FED"/>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DA7"/>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01"/>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DA"/>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C"/>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91E"/>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1A6"/>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6"/>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0F"/>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7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3B1"/>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00E"/>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C27"/>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92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6"/>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C07E5"/>
    <w:rsid w:val="024028AA"/>
    <w:rsid w:val="02B7246E"/>
    <w:rsid w:val="03BD7C69"/>
    <w:rsid w:val="04B726BB"/>
    <w:rsid w:val="04D35A7A"/>
    <w:rsid w:val="0700464A"/>
    <w:rsid w:val="076305A7"/>
    <w:rsid w:val="08424209"/>
    <w:rsid w:val="09B17E7E"/>
    <w:rsid w:val="0A0F3187"/>
    <w:rsid w:val="0B660C1A"/>
    <w:rsid w:val="0D376CAB"/>
    <w:rsid w:val="0DC01AC6"/>
    <w:rsid w:val="0FB02A2B"/>
    <w:rsid w:val="0FC9734C"/>
    <w:rsid w:val="10CD1A8C"/>
    <w:rsid w:val="10E9692D"/>
    <w:rsid w:val="10F44FBF"/>
    <w:rsid w:val="11155532"/>
    <w:rsid w:val="114914C6"/>
    <w:rsid w:val="12CB5B66"/>
    <w:rsid w:val="13FB193C"/>
    <w:rsid w:val="14E74F1B"/>
    <w:rsid w:val="17F93E0B"/>
    <w:rsid w:val="18216474"/>
    <w:rsid w:val="19314B37"/>
    <w:rsid w:val="1AD94925"/>
    <w:rsid w:val="1AEE671D"/>
    <w:rsid w:val="1C18461C"/>
    <w:rsid w:val="1C455CA5"/>
    <w:rsid w:val="1C495F41"/>
    <w:rsid w:val="1D2C69D2"/>
    <w:rsid w:val="1D6E325F"/>
    <w:rsid w:val="1EE3467A"/>
    <w:rsid w:val="1F0A1D06"/>
    <w:rsid w:val="22D5719F"/>
    <w:rsid w:val="232F15C7"/>
    <w:rsid w:val="239E00B4"/>
    <w:rsid w:val="244B0D0E"/>
    <w:rsid w:val="248E3C30"/>
    <w:rsid w:val="251E74A4"/>
    <w:rsid w:val="257467DD"/>
    <w:rsid w:val="27843CE5"/>
    <w:rsid w:val="28CB37E0"/>
    <w:rsid w:val="28FC6B1D"/>
    <w:rsid w:val="29ED4BF7"/>
    <w:rsid w:val="2AA06871"/>
    <w:rsid w:val="2B2E7AB7"/>
    <w:rsid w:val="2BCD7F77"/>
    <w:rsid w:val="2DB32368"/>
    <w:rsid w:val="2E8A772D"/>
    <w:rsid w:val="308810D8"/>
    <w:rsid w:val="325C494A"/>
    <w:rsid w:val="32EB653A"/>
    <w:rsid w:val="33A2714E"/>
    <w:rsid w:val="34410ACF"/>
    <w:rsid w:val="36305FAA"/>
    <w:rsid w:val="365D179B"/>
    <w:rsid w:val="3B6B785B"/>
    <w:rsid w:val="3BCB6780"/>
    <w:rsid w:val="3E506347"/>
    <w:rsid w:val="403A4712"/>
    <w:rsid w:val="40F36FCB"/>
    <w:rsid w:val="42CD0A98"/>
    <w:rsid w:val="42E17EF5"/>
    <w:rsid w:val="431A0C09"/>
    <w:rsid w:val="45707B03"/>
    <w:rsid w:val="46050AE3"/>
    <w:rsid w:val="46210386"/>
    <w:rsid w:val="47FB7BE5"/>
    <w:rsid w:val="480E2158"/>
    <w:rsid w:val="48C1075D"/>
    <w:rsid w:val="49572AFF"/>
    <w:rsid w:val="4997641D"/>
    <w:rsid w:val="4B65373A"/>
    <w:rsid w:val="4D00163A"/>
    <w:rsid w:val="4ED316BC"/>
    <w:rsid w:val="4F0F5BE3"/>
    <w:rsid w:val="4F4A7069"/>
    <w:rsid w:val="508334F5"/>
    <w:rsid w:val="508B7A5D"/>
    <w:rsid w:val="52422029"/>
    <w:rsid w:val="53D953FB"/>
    <w:rsid w:val="55040901"/>
    <w:rsid w:val="556113C0"/>
    <w:rsid w:val="55A75D27"/>
    <w:rsid w:val="562C0FCC"/>
    <w:rsid w:val="56DF05DE"/>
    <w:rsid w:val="57FC6189"/>
    <w:rsid w:val="5AB07C7E"/>
    <w:rsid w:val="5B9C03AF"/>
    <w:rsid w:val="5D9C6B14"/>
    <w:rsid w:val="5F073306"/>
    <w:rsid w:val="5F5F73B9"/>
    <w:rsid w:val="5FB011C1"/>
    <w:rsid w:val="5FC00ACE"/>
    <w:rsid w:val="603D1770"/>
    <w:rsid w:val="606D31EA"/>
    <w:rsid w:val="60DE72B7"/>
    <w:rsid w:val="61697E5F"/>
    <w:rsid w:val="62DA5037"/>
    <w:rsid w:val="6838144E"/>
    <w:rsid w:val="68AA7398"/>
    <w:rsid w:val="69170D2E"/>
    <w:rsid w:val="6A2112B4"/>
    <w:rsid w:val="6C283E4F"/>
    <w:rsid w:val="6C340519"/>
    <w:rsid w:val="6FFE3A9C"/>
    <w:rsid w:val="70762411"/>
    <w:rsid w:val="7289671D"/>
    <w:rsid w:val="73D30913"/>
    <w:rsid w:val="73DE4675"/>
    <w:rsid w:val="742C597A"/>
    <w:rsid w:val="742E3E54"/>
    <w:rsid w:val="77A2330D"/>
    <w:rsid w:val="77C7381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next w:val="5"/>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next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next w:val="42"/>
    <w:qFormat/>
    <w:uiPriority w:val="0"/>
    <w:pPr>
      <w:ind w:firstLine="420" w:firstLineChars="100"/>
    </w:pPr>
  </w:style>
  <w:style w:type="paragraph" w:styleId="42">
    <w:name w:val="Body Text First Indent 2"/>
    <w:basedOn w:val="18"/>
    <w:next w:val="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99"/>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Table Normal1"/>
    <w:semiHidden/>
    <w:unhideWhenUsed/>
    <w:qFormat/>
    <w:uiPriority w:val="2"/>
    <w:tblPr>
      <w:tblLayout w:type="fixed"/>
      <w:tblCellMar>
        <w:top w:w="0" w:type="dxa"/>
        <w:left w:w="0" w:type="dxa"/>
        <w:bottom w:w="0" w:type="dxa"/>
        <w:right w:w="0" w:type="dxa"/>
      </w:tblCellMar>
    </w:tblPr>
  </w:style>
  <w:style w:type="table" w:customStyle="1" w:styleId="254">
    <w:name w:val="Table Normal2"/>
    <w:semiHidden/>
    <w:unhideWhenUsed/>
    <w:qFormat/>
    <w:uiPriority w:val="2"/>
    <w:tblPr>
      <w:tblLayout w:type="fixed"/>
      <w:tblCellMar>
        <w:top w:w="0" w:type="dxa"/>
        <w:left w:w="0" w:type="dxa"/>
        <w:bottom w:w="0" w:type="dxa"/>
        <w:right w:w="0" w:type="dxa"/>
      </w:tblCellMar>
    </w:tblPr>
  </w:style>
  <w:style w:type="table" w:customStyle="1" w:styleId="255">
    <w:name w:val="Table Normal3"/>
    <w:semiHidden/>
    <w:unhideWhenUsed/>
    <w:qFormat/>
    <w:uiPriority w:val="2"/>
    <w:tblPr>
      <w:tblLayout w:type="fixed"/>
      <w:tblCellMar>
        <w:top w:w="0" w:type="dxa"/>
        <w:left w:w="0" w:type="dxa"/>
        <w:bottom w:w="0" w:type="dxa"/>
        <w:right w:w="0" w:type="dxa"/>
      </w:tblCellMar>
    </w:tblPr>
  </w:style>
  <w:style w:type="character" w:customStyle="1" w:styleId="256">
    <w:name w:val="not([class*=suffix])"/>
    <w:basedOn w:val="46"/>
    <w:qFormat/>
    <w:uiPriority w:val="0"/>
  </w:style>
  <w:style w:type="character" w:customStyle="1" w:styleId="257">
    <w:name w:val="not([class*=suffix])1"/>
    <w:basedOn w:val="46"/>
    <w:qFormat/>
    <w:uiPriority w:val="0"/>
    <w:rPr>
      <w:sz w:val="19"/>
      <w:szCs w:val="19"/>
    </w:rPr>
  </w:style>
  <w:style w:type="paragraph" w:customStyle="1" w:styleId="258">
    <w:name w:val="正文1"/>
    <w:basedOn w:val="1"/>
    <w:next w:val="1"/>
    <w:qFormat/>
    <w:uiPriority w:val="0"/>
    <w:pPr>
      <w:tabs>
        <w:tab w:val="left" w:pos="480"/>
      </w:tabs>
      <w:autoSpaceDE/>
      <w:autoSpaceDN/>
      <w:spacing w:line="500" w:lineRule="exact"/>
      <w:ind w:left="359" w:hanging="359" w:hangingChars="171"/>
      <w:jc w:val="both"/>
    </w:pPr>
    <w:rPr>
      <w:rFonts w:ascii="黑体" w:hAnsi="宋体" w:eastAsia="宋体" w:cs="黑体"/>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87</Pages>
  <Words>7102</Words>
  <Characters>40486</Characters>
  <Lines>337</Lines>
  <Paragraphs>94</Paragraphs>
  <TotalTime>1</TotalTime>
  <ScaleCrop>false</ScaleCrop>
  <LinksUpToDate>false</LinksUpToDate>
  <CharactersWithSpaces>47494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admin</cp:lastModifiedBy>
  <cp:lastPrinted>2020-04-02T03:13:00Z</cp:lastPrinted>
  <dcterms:modified xsi:type="dcterms:W3CDTF">2026-04-02T02:21:22Z</dcterms:modified>
  <dc:title>政府采购示范文本（2023）</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B196972313054D4789BB25DBD05B5736</vt:lpwstr>
  </property>
</Properties>
</file>